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footer13.xml" ContentType="application/vnd.openxmlformats-officedocument.wordprocessingml.footer+xml"/>
  <Override PartName="/word/header21.xml" ContentType="application/vnd.openxmlformats-officedocument.wordprocessingml.header+xml"/>
  <Override PartName="/word/footer14.xml" ContentType="application/vnd.openxmlformats-officedocument.wordprocessingml.foot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CE4DA" w14:textId="77777777" w:rsidR="000A6C09" w:rsidRDefault="000A6C09" w:rsidP="0097482F">
      <w:pPr>
        <w:pStyle w:val="Title"/>
        <w:pBdr>
          <w:bottom w:val="none" w:sz="0" w:space="0" w:color="auto"/>
        </w:pBdr>
        <w:tabs>
          <w:tab w:val="left" w:pos="1134"/>
          <w:tab w:val="center" w:pos="4395"/>
        </w:tabs>
        <w:autoSpaceDE w:val="0"/>
        <w:autoSpaceDN w:val="0"/>
        <w:adjustRightInd w:val="0"/>
        <w:spacing w:after="0"/>
        <w:contextualSpacing w:val="0"/>
        <w:jc w:val="left"/>
        <w:rPr>
          <w:rFonts w:ascii="Microsoft Sans Serif" w:eastAsia="Times New Roman" w:hAnsi="Microsoft Sans Serif" w:cs="Microsoft Sans Serif"/>
          <w:b/>
          <w:spacing w:val="0"/>
          <w:sz w:val="44"/>
          <w:szCs w:val="44"/>
        </w:rPr>
      </w:pPr>
      <w:bookmarkStart w:id="0" w:name="_GoBack"/>
      <w:bookmarkEnd w:id="0"/>
    </w:p>
    <w:p w14:paraId="3C11B120" w14:textId="22638909" w:rsidR="007F6813" w:rsidRPr="00FB38E1" w:rsidRDefault="00EA693F" w:rsidP="0097482F">
      <w:pPr>
        <w:pStyle w:val="Title"/>
        <w:pBdr>
          <w:bottom w:val="none" w:sz="0" w:space="0" w:color="auto"/>
        </w:pBdr>
        <w:tabs>
          <w:tab w:val="left" w:pos="1134"/>
          <w:tab w:val="center" w:pos="4395"/>
        </w:tabs>
        <w:autoSpaceDE w:val="0"/>
        <w:autoSpaceDN w:val="0"/>
        <w:adjustRightInd w:val="0"/>
        <w:spacing w:after="0"/>
        <w:contextualSpacing w:val="0"/>
        <w:jc w:val="left"/>
        <w:rPr>
          <w:rFonts w:ascii="Microsoft Sans Serif" w:eastAsia="Times New Roman" w:hAnsi="Microsoft Sans Serif" w:cs="Microsoft Sans Serif"/>
          <w:b/>
          <w:spacing w:val="0"/>
          <w:sz w:val="44"/>
          <w:szCs w:val="44"/>
        </w:rPr>
      </w:pPr>
      <w:r w:rsidRPr="00FB38E1">
        <w:rPr>
          <w:rFonts w:ascii="Microsoft Sans Serif" w:eastAsia="Times New Roman" w:hAnsi="Microsoft Sans Serif" w:cs="Microsoft Sans Serif"/>
          <w:b/>
          <w:spacing w:val="0"/>
          <w:sz w:val="44"/>
          <w:szCs w:val="44"/>
        </w:rPr>
        <w:t>DENİZBANK ANONİM ŞİRKETİ</w:t>
      </w:r>
    </w:p>
    <w:p w14:paraId="0DC4ED39" w14:textId="77777777" w:rsidR="00203371" w:rsidRPr="00FB38E1" w:rsidRDefault="00203371" w:rsidP="00696C49">
      <w:pPr>
        <w:spacing w:after="0"/>
      </w:pPr>
    </w:p>
    <w:p w14:paraId="4A99D38D" w14:textId="42B933BD" w:rsidR="00161588" w:rsidRPr="00FB38E1" w:rsidRDefault="00377B5B" w:rsidP="00161588">
      <w:pPr>
        <w:tabs>
          <w:tab w:val="left" w:pos="6930"/>
          <w:tab w:val="right" w:pos="8880"/>
        </w:tabs>
        <w:spacing w:after="0"/>
        <w:rPr>
          <w:rFonts w:ascii="Microsoft Sans Serif" w:eastAsia="Times New Roman" w:hAnsi="Microsoft Sans Serif" w:cs="Microsoft Sans Serif"/>
          <w:b/>
          <w:sz w:val="28"/>
          <w:szCs w:val="28"/>
          <w:lang w:eastAsia="tr-TR"/>
        </w:rPr>
      </w:pPr>
      <w:r w:rsidRPr="00FB38E1">
        <w:rPr>
          <w:rFonts w:ascii="Microsoft Sans Serif" w:eastAsia="Times New Roman" w:hAnsi="Microsoft Sans Serif" w:cs="Microsoft Sans Serif"/>
          <w:b/>
          <w:sz w:val="28"/>
          <w:szCs w:val="28"/>
          <w:lang w:eastAsia="tr-TR"/>
        </w:rPr>
        <w:t>3</w:t>
      </w:r>
      <w:r w:rsidR="00C90B5C" w:rsidRPr="00FB38E1">
        <w:rPr>
          <w:rFonts w:ascii="Microsoft Sans Serif" w:eastAsia="Times New Roman" w:hAnsi="Microsoft Sans Serif" w:cs="Microsoft Sans Serif"/>
          <w:b/>
          <w:sz w:val="28"/>
          <w:szCs w:val="28"/>
          <w:lang w:eastAsia="tr-TR"/>
        </w:rPr>
        <w:t>1</w:t>
      </w:r>
      <w:r w:rsidRPr="00FB38E1">
        <w:rPr>
          <w:rFonts w:ascii="Microsoft Sans Serif" w:eastAsia="Times New Roman" w:hAnsi="Microsoft Sans Serif" w:cs="Microsoft Sans Serif"/>
          <w:b/>
          <w:sz w:val="28"/>
          <w:szCs w:val="28"/>
          <w:lang w:eastAsia="tr-TR"/>
        </w:rPr>
        <w:t xml:space="preserve"> </w:t>
      </w:r>
      <w:r w:rsidR="00C90B5C" w:rsidRPr="00FB38E1">
        <w:rPr>
          <w:rFonts w:ascii="Microsoft Sans Serif" w:eastAsia="Times New Roman" w:hAnsi="Microsoft Sans Serif" w:cs="Microsoft Sans Serif"/>
          <w:b/>
          <w:sz w:val="28"/>
          <w:szCs w:val="28"/>
          <w:lang w:eastAsia="tr-TR"/>
        </w:rPr>
        <w:t>ARALIK</w:t>
      </w:r>
      <w:r w:rsidR="00161588" w:rsidRPr="00FB38E1">
        <w:rPr>
          <w:rFonts w:ascii="Microsoft Sans Serif" w:eastAsia="Times New Roman" w:hAnsi="Microsoft Sans Serif" w:cs="Microsoft Sans Serif"/>
          <w:b/>
          <w:sz w:val="28"/>
          <w:szCs w:val="28"/>
          <w:lang w:eastAsia="tr-TR"/>
        </w:rPr>
        <w:t xml:space="preserve"> 2024 TARİHİ İTİBARIYLA</w:t>
      </w:r>
    </w:p>
    <w:p w14:paraId="0A55A54A" w14:textId="02ED4A17" w:rsidR="00161588" w:rsidRPr="00FB38E1" w:rsidRDefault="00161588" w:rsidP="00161588">
      <w:pPr>
        <w:tabs>
          <w:tab w:val="left" w:pos="6930"/>
          <w:tab w:val="right" w:pos="8880"/>
        </w:tabs>
        <w:spacing w:after="0"/>
        <w:rPr>
          <w:rFonts w:ascii="Microsoft Sans Serif" w:eastAsia="Times New Roman" w:hAnsi="Microsoft Sans Serif" w:cs="Microsoft Sans Serif"/>
          <w:b/>
          <w:sz w:val="28"/>
          <w:szCs w:val="28"/>
          <w:lang w:eastAsia="tr-TR"/>
        </w:rPr>
      </w:pPr>
      <w:r w:rsidRPr="00FB38E1">
        <w:rPr>
          <w:rFonts w:ascii="Microsoft Sans Serif" w:hAnsi="Microsoft Sans Serif" w:cs="Microsoft Sans Serif"/>
          <w:b/>
          <w:sz w:val="28"/>
          <w:szCs w:val="28"/>
        </w:rPr>
        <w:t>BAĞIMSIZ DENETİM RAPORU</w:t>
      </w:r>
      <w:r w:rsidRPr="00FB38E1">
        <w:rPr>
          <w:rFonts w:ascii="Microsoft Sans Serif" w:eastAsia="Times New Roman" w:hAnsi="Microsoft Sans Serif" w:cs="Microsoft Sans Serif"/>
          <w:b/>
          <w:sz w:val="28"/>
          <w:szCs w:val="28"/>
          <w:lang w:eastAsia="tr-TR"/>
        </w:rPr>
        <w:t>,</w:t>
      </w:r>
    </w:p>
    <w:p w14:paraId="12B2ABED" w14:textId="77777777" w:rsidR="00161588" w:rsidRPr="00FB38E1" w:rsidRDefault="00161588" w:rsidP="00161588">
      <w:pPr>
        <w:tabs>
          <w:tab w:val="left" w:pos="6930"/>
          <w:tab w:val="right" w:pos="8880"/>
        </w:tabs>
        <w:spacing w:after="0"/>
        <w:rPr>
          <w:rFonts w:ascii="Microsoft Sans Serif" w:eastAsia="Times New Roman" w:hAnsi="Microsoft Sans Serif" w:cs="Microsoft Sans Serif"/>
          <w:b/>
          <w:sz w:val="28"/>
          <w:szCs w:val="28"/>
          <w:lang w:eastAsia="tr-TR"/>
        </w:rPr>
      </w:pPr>
      <w:r w:rsidRPr="00FB38E1">
        <w:rPr>
          <w:rFonts w:ascii="Microsoft Sans Serif" w:eastAsia="Times New Roman" w:hAnsi="Microsoft Sans Serif" w:cs="Microsoft Sans Serif"/>
          <w:b/>
          <w:sz w:val="28"/>
          <w:szCs w:val="28"/>
          <w:lang w:eastAsia="tr-TR"/>
        </w:rPr>
        <w:t xml:space="preserve">KONSOLİDE OLMAYAN FİNANSAL TABLOLAR VE </w:t>
      </w:r>
    </w:p>
    <w:p w14:paraId="6B7A64BC" w14:textId="77777777" w:rsidR="00161588" w:rsidRPr="00FB38E1" w:rsidRDefault="00161588" w:rsidP="00161588">
      <w:pPr>
        <w:tabs>
          <w:tab w:val="left" w:pos="6930"/>
          <w:tab w:val="right" w:pos="8880"/>
        </w:tabs>
        <w:spacing w:after="0"/>
        <w:jc w:val="left"/>
        <w:rPr>
          <w:rFonts w:ascii="Microsoft Sans Serif" w:eastAsia="Times New Roman" w:hAnsi="Microsoft Sans Serif" w:cs="Microsoft Sans Serif"/>
          <w:b/>
          <w:sz w:val="28"/>
          <w:szCs w:val="28"/>
          <w:lang w:eastAsia="tr-TR"/>
        </w:rPr>
        <w:sectPr w:rsidR="00161588" w:rsidRPr="00FB38E1" w:rsidSect="005B03B1">
          <w:headerReference w:type="even" r:id="rId14"/>
          <w:headerReference w:type="default" r:id="rId15"/>
          <w:footerReference w:type="even" r:id="rId16"/>
          <w:footerReference w:type="default" r:id="rId17"/>
          <w:headerReference w:type="first" r:id="rId18"/>
          <w:footerReference w:type="first" r:id="rId19"/>
          <w:pgSz w:w="11906" w:h="16838"/>
          <w:pgMar w:top="2155" w:right="1814" w:bottom="11964" w:left="2665" w:header="709" w:footer="709" w:gutter="0"/>
          <w:cols w:space="708"/>
          <w:docGrid w:linePitch="360"/>
        </w:sectPr>
      </w:pPr>
      <w:r w:rsidRPr="00FB38E1">
        <w:rPr>
          <w:rFonts w:ascii="Microsoft Sans Serif" w:eastAsia="Times New Roman" w:hAnsi="Microsoft Sans Serif" w:cs="Microsoft Sans Serif"/>
          <w:b/>
          <w:sz w:val="28"/>
          <w:szCs w:val="28"/>
          <w:lang w:eastAsia="tr-TR"/>
        </w:rPr>
        <w:t>FİNANSAL TABLOLARA İLİŞKİN DİPNOTLAR</w:t>
      </w:r>
    </w:p>
    <w:p w14:paraId="76AB85CB" w14:textId="77777777" w:rsidR="002F1FA3" w:rsidRPr="00FB38E1" w:rsidRDefault="002F1FA3" w:rsidP="002F1FA3">
      <w:pPr>
        <w:rPr>
          <w:rFonts w:ascii="Trebuchet MS" w:hAnsi="Trebuchet MS"/>
        </w:rPr>
      </w:pPr>
    </w:p>
    <w:p w14:paraId="2D38BB00" w14:textId="77777777" w:rsidR="002F1FA3" w:rsidRPr="00FB38E1" w:rsidRDefault="002F1FA3" w:rsidP="002F1FA3">
      <w:pPr>
        <w:rPr>
          <w:rFonts w:ascii="Trebuchet MS" w:hAnsi="Trebuchet MS"/>
        </w:rPr>
      </w:pPr>
    </w:p>
    <w:p w14:paraId="746ACB62" w14:textId="77777777" w:rsidR="002F1FA3" w:rsidRPr="00FB38E1" w:rsidRDefault="002F1FA3" w:rsidP="002F1FA3">
      <w:pPr>
        <w:rPr>
          <w:rFonts w:ascii="Trebuchet MS" w:hAnsi="Trebuchet MS"/>
        </w:rPr>
      </w:pPr>
    </w:p>
    <w:p w14:paraId="40096D61" w14:textId="77777777" w:rsidR="002F1FA3" w:rsidRPr="00FB38E1" w:rsidRDefault="002F1FA3" w:rsidP="002F1FA3">
      <w:pPr>
        <w:rPr>
          <w:rFonts w:ascii="Trebuchet MS" w:hAnsi="Trebuchet MS"/>
        </w:rPr>
      </w:pPr>
    </w:p>
    <w:p w14:paraId="44B608F7" w14:textId="77777777" w:rsidR="002F1FA3" w:rsidRPr="00FB38E1" w:rsidRDefault="002F1FA3" w:rsidP="002F1FA3">
      <w:pPr>
        <w:rPr>
          <w:rFonts w:ascii="Trebuchet MS" w:hAnsi="Trebuchet MS"/>
        </w:rPr>
      </w:pPr>
    </w:p>
    <w:p w14:paraId="1682C6B2" w14:textId="77777777" w:rsidR="002F1FA3" w:rsidRPr="00FB38E1" w:rsidRDefault="002F1FA3" w:rsidP="002F1FA3">
      <w:pPr>
        <w:rPr>
          <w:rFonts w:ascii="Trebuchet MS" w:hAnsi="Trebuchet MS"/>
        </w:rPr>
      </w:pPr>
    </w:p>
    <w:p w14:paraId="320D61C6" w14:textId="77777777" w:rsidR="002F1FA3" w:rsidRPr="00FB38E1" w:rsidRDefault="002F1FA3" w:rsidP="002F1FA3">
      <w:pPr>
        <w:rPr>
          <w:rFonts w:ascii="Trebuchet MS" w:hAnsi="Trebuchet MS"/>
        </w:rPr>
      </w:pPr>
    </w:p>
    <w:p w14:paraId="466CAADE" w14:textId="77777777" w:rsidR="002F1FA3" w:rsidRPr="00FB38E1" w:rsidRDefault="002F1FA3" w:rsidP="002F1FA3">
      <w:pPr>
        <w:rPr>
          <w:rFonts w:ascii="Trebuchet MS" w:hAnsi="Trebuchet MS"/>
        </w:rPr>
      </w:pPr>
    </w:p>
    <w:p w14:paraId="51E3DA7E" w14:textId="77777777" w:rsidR="002F1FA3" w:rsidRPr="00FB38E1" w:rsidRDefault="002F1FA3" w:rsidP="002F1FA3">
      <w:pPr>
        <w:rPr>
          <w:rFonts w:ascii="Trebuchet MS" w:hAnsi="Trebuchet MS"/>
        </w:rPr>
      </w:pPr>
    </w:p>
    <w:p w14:paraId="2D41F76E" w14:textId="77777777" w:rsidR="002F1FA3" w:rsidRPr="00FB38E1" w:rsidRDefault="002F1FA3" w:rsidP="002F1FA3">
      <w:pPr>
        <w:rPr>
          <w:rFonts w:ascii="Trebuchet MS" w:hAnsi="Trebuchet MS"/>
        </w:rPr>
      </w:pPr>
    </w:p>
    <w:p w14:paraId="56BE00C4" w14:textId="77777777" w:rsidR="002F1FA3" w:rsidRPr="00FB38E1" w:rsidRDefault="002F1FA3" w:rsidP="002F1FA3">
      <w:pPr>
        <w:rPr>
          <w:rFonts w:ascii="Trebuchet MS" w:hAnsi="Trebuchet MS"/>
        </w:rPr>
      </w:pPr>
    </w:p>
    <w:p w14:paraId="523035D2" w14:textId="77777777" w:rsidR="002F1FA3" w:rsidRPr="00FB38E1" w:rsidRDefault="002F1FA3" w:rsidP="002F1FA3">
      <w:pPr>
        <w:rPr>
          <w:rFonts w:ascii="Trebuchet MS" w:hAnsi="Trebuchet MS"/>
        </w:rPr>
      </w:pPr>
    </w:p>
    <w:p w14:paraId="1E8D923B" w14:textId="77777777" w:rsidR="002F1FA3" w:rsidRPr="00FB38E1" w:rsidRDefault="002F1FA3" w:rsidP="002F1FA3">
      <w:pPr>
        <w:rPr>
          <w:rFonts w:ascii="Microsoft Sans Serif" w:hAnsi="Microsoft Sans Serif" w:cs="Microsoft Sans Serif"/>
          <w:sz w:val="28"/>
          <w:szCs w:val="28"/>
        </w:rPr>
      </w:pPr>
    </w:p>
    <w:p w14:paraId="382FAC36" w14:textId="40CE8357" w:rsidR="002F1FA3" w:rsidRPr="00FB38E1" w:rsidRDefault="00400275" w:rsidP="003B119D">
      <w:pPr>
        <w:pStyle w:val="BodyText"/>
        <w:numPr>
          <w:ilvl w:val="0"/>
          <w:numId w:val="1"/>
        </w:numPr>
        <w:tabs>
          <w:tab w:val="clear" w:pos="5250"/>
        </w:tabs>
        <w:ind w:left="2786" w:hanging="356"/>
        <w:rPr>
          <w:rFonts w:ascii="Microsoft Sans Serif" w:hAnsi="Microsoft Sans Serif" w:cs="Microsoft Sans Serif"/>
          <w:sz w:val="28"/>
          <w:szCs w:val="28"/>
        </w:rPr>
      </w:pPr>
      <w:r w:rsidRPr="00FB38E1">
        <w:rPr>
          <w:rFonts w:ascii="Microsoft Sans Serif" w:hAnsi="Microsoft Sans Serif" w:cs="Microsoft Sans Serif"/>
          <w:sz w:val="28"/>
          <w:szCs w:val="28"/>
        </w:rPr>
        <w:t>Bağımsız</w:t>
      </w:r>
      <w:r w:rsidR="008B0E0F" w:rsidRPr="00FB38E1">
        <w:rPr>
          <w:rFonts w:ascii="Microsoft Sans Serif" w:hAnsi="Microsoft Sans Serif" w:cs="Microsoft Sans Serif"/>
          <w:sz w:val="28"/>
          <w:szCs w:val="28"/>
        </w:rPr>
        <w:t xml:space="preserve"> </w:t>
      </w:r>
      <w:r w:rsidRPr="00FB38E1">
        <w:rPr>
          <w:rFonts w:ascii="Microsoft Sans Serif" w:hAnsi="Microsoft Sans Serif" w:cs="Microsoft Sans Serif"/>
          <w:sz w:val="28"/>
          <w:szCs w:val="28"/>
        </w:rPr>
        <w:t>Denetim Raporu</w:t>
      </w:r>
    </w:p>
    <w:p w14:paraId="4F25074A" w14:textId="77777777" w:rsidR="009E3A80" w:rsidRPr="00FB38E1" w:rsidRDefault="002F1FA3" w:rsidP="009E3A80">
      <w:pPr>
        <w:pStyle w:val="BodyText"/>
        <w:numPr>
          <w:ilvl w:val="0"/>
          <w:numId w:val="1"/>
        </w:numPr>
        <w:tabs>
          <w:tab w:val="clear" w:pos="5250"/>
        </w:tabs>
        <w:ind w:left="2786" w:hanging="356"/>
        <w:rPr>
          <w:rFonts w:ascii="Microsoft Sans Serif" w:hAnsi="Microsoft Sans Serif" w:cs="Microsoft Sans Serif"/>
          <w:sz w:val="28"/>
          <w:szCs w:val="28"/>
        </w:rPr>
      </w:pPr>
      <w:r w:rsidRPr="00FB38E1">
        <w:rPr>
          <w:rFonts w:ascii="Microsoft Sans Serif" w:hAnsi="Microsoft Sans Serif" w:cs="Microsoft Sans Serif"/>
          <w:sz w:val="28"/>
          <w:szCs w:val="28"/>
        </w:rPr>
        <w:t>Kamuya Açıklanacak Konsolide</w:t>
      </w:r>
      <w:r w:rsidR="008934EA" w:rsidRPr="00FB38E1">
        <w:rPr>
          <w:rFonts w:ascii="Microsoft Sans Serif" w:hAnsi="Microsoft Sans Serif" w:cs="Microsoft Sans Serif"/>
          <w:sz w:val="28"/>
          <w:szCs w:val="28"/>
        </w:rPr>
        <w:t xml:space="preserve"> Olmayan</w:t>
      </w:r>
      <w:r w:rsidRPr="00FB38E1">
        <w:rPr>
          <w:rFonts w:ascii="Microsoft Sans Serif" w:hAnsi="Microsoft Sans Serif" w:cs="Microsoft Sans Serif"/>
          <w:sz w:val="28"/>
          <w:szCs w:val="28"/>
        </w:rPr>
        <w:t xml:space="preserve"> </w:t>
      </w:r>
    </w:p>
    <w:p w14:paraId="328220D0" w14:textId="0EAAF27B" w:rsidR="002F1FA3" w:rsidRPr="00FB38E1" w:rsidRDefault="002F1FA3" w:rsidP="009E3A80">
      <w:pPr>
        <w:pStyle w:val="BodyText"/>
        <w:ind w:left="2430"/>
        <w:rPr>
          <w:rFonts w:ascii="Microsoft Sans Serif" w:hAnsi="Microsoft Sans Serif" w:cs="Microsoft Sans Serif"/>
          <w:sz w:val="28"/>
          <w:szCs w:val="28"/>
        </w:rPr>
      </w:pPr>
      <w:r w:rsidRPr="00FB38E1">
        <w:rPr>
          <w:rFonts w:ascii="Microsoft Sans Serif" w:hAnsi="Microsoft Sans Serif" w:cs="Microsoft Sans Serif"/>
          <w:sz w:val="28"/>
          <w:szCs w:val="28"/>
        </w:rPr>
        <w:t>Finansal Rapor</w:t>
      </w:r>
    </w:p>
    <w:p w14:paraId="45319B36" w14:textId="77777777" w:rsidR="002F1FA3" w:rsidRPr="00FB38E1" w:rsidRDefault="002F1FA3" w:rsidP="002F1FA3">
      <w:pPr>
        <w:pStyle w:val="BodyText"/>
        <w:ind w:left="2786"/>
        <w:rPr>
          <w:rFonts w:ascii="Microsoft Sans Serif" w:hAnsi="Microsoft Sans Serif" w:cs="Microsoft Sans Serif"/>
          <w:sz w:val="28"/>
          <w:szCs w:val="28"/>
        </w:rPr>
        <w:sectPr w:rsidR="002F1FA3" w:rsidRPr="00FB38E1" w:rsidSect="00E96263">
          <w:headerReference w:type="even" r:id="rId20"/>
          <w:headerReference w:type="default" r:id="rId21"/>
          <w:footerReference w:type="even" r:id="rId22"/>
          <w:footerReference w:type="default" r:id="rId23"/>
          <w:headerReference w:type="first" r:id="rId24"/>
          <w:footerReference w:type="first" r:id="rId25"/>
          <w:pgSz w:w="11906" w:h="16838"/>
          <w:pgMar w:top="1418" w:right="1418" w:bottom="1418" w:left="1418" w:header="709" w:footer="709" w:gutter="0"/>
          <w:cols w:space="708"/>
          <w:docGrid w:linePitch="360"/>
        </w:sectPr>
      </w:pPr>
    </w:p>
    <w:p w14:paraId="731DE3C5" w14:textId="07F9600A" w:rsidR="00406B44" w:rsidRPr="00FB38E1" w:rsidRDefault="00406B44" w:rsidP="00406B44">
      <w:pPr>
        <w:pStyle w:val="Text"/>
        <w:spacing w:line="270" w:lineRule="atLeast"/>
        <w:jc w:val="center"/>
        <w:rPr>
          <w:rFonts w:ascii="Times New Roman" w:hAnsi="Times New Roman"/>
          <w:b/>
          <w:szCs w:val="24"/>
        </w:rPr>
      </w:pPr>
    </w:p>
    <w:p w14:paraId="04E61A4E" w14:textId="77777777" w:rsidR="0019382F" w:rsidRPr="00FB38E1" w:rsidRDefault="0019382F" w:rsidP="00406B44">
      <w:pPr>
        <w:pStyle w:val="Text"/>
        <w:spacing w:line="270" w:lineRule="atLeast"/>
        <w:jc w:val="center"/>
        <w:rPr>
          <w:rFonts w:ascii="Times New Roman" w:hAnsi="Times New Roman"/>
          <w:b/>
          <w:szCs w:val="24"/>
        </w:rPr>
      </w:pPr>
    </w:p>
    <w:p w14:paraId="048E01B7" w14:textId="6B6677FF" w:rsidR="0019382F" w:rsidRPr="00FB38E1" w:rsidRDefault="0019382F" w:rsidP="00406B44">
      <w:pPr>
        <w:pStyle w:val="Text"/>
        <w:spacing w:line="270" w:lineRule="atLeast"/>
        <w:jc w:val="center"/>
        <w:rPr>
          <w:rFonts w:ascii="Times New Roman" w:hAnsi="Times New Roman"/>
          <w:b/>
          <w:szCs w:val="24"/>
        </w:rPr>
      </w:pPr>
    </w:p>
    <w:p w14:paraId="7478149B" w14:textId="688651B9" w:rsidR="00B67563" w:rsidRPr="00FB38E1" w:rsidRDefault="00B67563" w:rsidP="00406B44">
      <w:pPr>
        <w:pStyle w:val="Text"/>
        <w:spacing w:line="270" w:lineRule="atLeast"/>
        <w:jc w:val="center"/>
        <w:rPr>
          <w:rFonts w:ascii="Times New Roman" w:hAnsi="Times New Roman"/>
          <w:b/>
          <w:szCs w:val="24"/>
        </w:rPr>
      </w:pPr>
    </w:p>
    <w:p w14:paraId="03FA1960" w14:textId="77777777" w:rsidR="00B24706" w:rsidRPr="00FB38E1" w:rsidRDefault="00B24706" w:rsidP="00406B44">
      <w:pPr>
        <w:pStyle w:val="Text"/>
        <w:spacing w:line="270" w:lineRule="atLeast"/>
        <w:jc w:val="center"/>
        <w:rPr>
          <w:rFonts w:ascii="Times New Roman" w:hAnsi="Times New Roman"/>
          <w:b/>
          <w:szCs w:val="24"/>
        </w:rPr>
      </w:pPr>
    </w:p>
    <w:p w14:paraId="0BD6A81B" w14:textId="77777777" w:rsidR="00364B59" w:rsidRPr="00FB38E1" w:rsidRDefault="00364B59" w:rsidP="00364B59">
      <w:pPr>
        <w:pStyle w:val="Text"/>
        <w:spacing w:line="270" w:lineRule="atLeast"/>
        <w:jc w:val="center"/>
        <w:rPr>
          <w:rFonts w:ascii="Times New Roman" w:hAnsi="Times New Roman" w:cs="Times New Roman"/>
          <w:b/>
          <w:szCs w:val="24"/>
        </w:rPr>
      </w:pPr>
      <w:r w:rsidRPr="00FB38E1">
        <w:rPr>
          <w:rFonts w:ascii="Times New Roman" w:hAnsi="Times New Roman"/>
          <w:b/>
        </w:rPr>
        <w:t>BAĞIMSIZ DENETÇİ RAPORU</w:t>
      </w:r>
    </w:p>
    <w:p w14:paraId="44FBBE5E" w14:textId="77777777" w:rsidR="00364B59" w:rsidRPr="00FB38E1" w:rsidRDefault="00364B59" w:rsidP="00364B59">
      <w:pPr>
        <w:pStyle w:val="Text"/>
        <w:spacing w:line="240" w:lineRule="auto"/>
        <w:ind w:hanging="567"/>
        <w:rPr>
          <w:rFonts w:ascii="Times New Roman" w:hAnsi="Times New Roman" w:cs="Times New Roman"/>
          <w:b/>
          <w:szCs w:val="24"/>
        </w:rPr>
      </w:pPr>
    </w:p>
    <w:p w14:paraId="5A2B34C9" w14:textId="77777777" w:rsidR="003E6BDD" w:rsidRPr="00FB38E1" w:rsidRDefault="003E6BDD" w:rsidP="003E6BDD">
      <w:pPr>
        <w:pStyle w:val="Text"/>
        <w:spacing w:line="270" w:lineRule="atLeast"/>
        <w:jc w:val="left"/>
        <w:rPr>
          <w:rFonts w:ascii="Times New Roman" w:hAnsi="Times New Roman" w:cs="Times New Roman"/>
          <w:szCs w:val="24"/>
        </w:rPr>
      </w:pPr>
      <w:r w:rsidRPr="00FB38E1">
        <w:rPr>
          <w:rFonts w:ascii="Times New Roman" w:hAnsi="Times New Roman" w:cs="Times New Roman"/>
          <w:szCs w:val="24"/>
        </w:rPr>
        <w:t>Denizbank A.Ş. Genel Kurulu’na</w:t>
      </w:r>
    </w:p>
    <w:p w14:paraId="4694F5CF" w14:textId="77777777" w:rsidR="003E6BDD" w:rsidRPr="00FB38E1" w:rsidRDefault="003E6BDD" w:rsidP="003E6BDD">
      <w:pPr>
        <w:pStyle w:val="Text"/>
        <w:spacing w:line="270" w:lineRule="atLeast"/>
        <w:jc w:val="left"/>
        <w:rPr>
          <w:rFonts w:ascii="Times New Roman" w:hAnsi="Times New Roman" w:cs="Times New Roman"/>
          <w:b/>
          <w:szCs w:val="24"/>
        </w:rPr>
      </w:pPr>
    </w:p>
    <w:p w14:paraId="5BA6EA87" w14:textId="77777777" w:rsidR="003E6BDD" w:rsidRPr="00FB38E1" w:rsidRDefault="003E6BDD" w:rsidP="003E6BDD">
      <w:pPr>
        <w:pStyle w:val="Text"/>
        <w:spacing w:line="270" w:lineRule="atLeast"/>
        <w:jc w:val="left"/>
        <w:rPr>
          <w:rFonts w:ascii="Times New Roman" w:hAnsi="Times New Roman" w:cs="Times New Roman"/>
          <w:b/>
          <w:szCs w:val="24"/>
        </w:rPr>
      </w:pPr>
      <w:r w:rsidRPr="00FB38E1">
        <w:rPr>
          <w:rFonts w:ascii="Times New Roman" w:hAnsi="Times New Roman" w:cs="Times New Roman"/>
          <w:b/>
          <w:szCs w:val="24"/>
        </w:rPr>
        <w:t xml:space="preserve">A) </w:t>
      </w:r>
      <w:r w:rsidRPr="00FB38E1">
        <w:rPr>
          <w:rFonts w:ascii="Times New Roman" w:hAnsi="Times New Roman" w:cs="Times New Roman"/>
          <w:b/>
          <w:szCs w:val="24"/>
        </w:rPr>
        <w:tab/>
        <w:t>Finansal Tabloların Bağımsız Denetimi</w:t>
      </w:r>
    </w:p>
    <w:p w14:paraId="2D801F33" w14:textId="77777777" w:rsidR="003E6BDD" w:rsidRPr="00FB38E1" w:rsidRDefault="003E6BDD" w:rsidP="003E6BDD">
      <w:pPr>
        <w:pStyle w:val="Text"/>
        <w:spacing w:line="270" w:lineRule="atLeast"/>
        <w:jc w:val="left"/>
        <w:rPr>
          <w:rFonts w:ascii="Times New Roman" w:hAnsi="Times New Roman" w:cs="Times New Roman"/>
          <w:b/>
          <w:szCs w:val="24"/>
        </w:rPr>
      </w:pPr>
    </w:p>
    <w:p w14:paraId="2739BF6C" w14:textId="77777777" w:rsidR="003E6BDD" w:rsidRPr="00FB38E1" w:rsidRDefault="003E6BDD" w:rsidP="003E6BDD">
      <w:pPr>
        <w:pStyle w:val="Text"/>
        <w:numPr>
          <w:ilvl w:val="0"/>
          <w:numId w:val="72"/>
        </w:numPr>
        <w:spacing w:line="270" w:lineRule="atLeast"/>
        <w:ind w:left="284"/>
        <w:jc w:val="left"/>
        <w:rPr>
          <w:rFonts w:ascii="Times New Roman" w:hAnsi="Times New Roman" w:cs="Times New Roman"/>
          <w:b/>
          <w:szCs w:val="24"/>
        </w:rPr>
      </w:pPr>
      <w:r w:rsidRPr="00FB38E1">
        <w:rPr>
          <w:rFonts w:ascii="Times New Roman" w:hAnsi="Times New Roman" w:cs="Times New Roman"/>
          <w:b/>
          <w:szCs w:val="24"/>
        </w:rPr>
        <w:t>Sınırlı Olumlu Görüş</w:t>
      </w:r>
    </w:p>
    <w:p w14:paraId="6D71482E" w14:textId="77777777" w:rsidR="003E6BDD" w:rsidRPr="00FB38E1" w:rsidRDefault="003E6BDD" w:rsidP="003E6BDD">
      <w:pPr>
        <w:pStyle w:val="Text"/>
        <w:spacing w:line="270" w:lineRule="atLeast"/>
        <w:rPr>
          <w:rFonts w:ascii="Times New Roman" w:hAnsi="Times New Roman" w:cs="Times New Roman"/>
          <w:b/>
          <w:szCs w:val="24"/>
        </w:rPr>
      </w:pPr>
    </w:p>
    <w:p w14:paraId="2DEB0486" w14:textId="77777777" w:rsidR="003E6BDD" w:rsidRPr="00FB38E1" w:rsidRDefault="003E6BDD" w:rsidP="003E6BDD">
      <w:pPr>
        <w:pStyle w:val="Text"/>
        <w:spacing w:line="270" w:lineRule="atLeast"/>
        <w:rPr>
          <w:rFonts w:ascii="Times New Roman" w:hAnsi="Times New Roman"/>
          <w:color w:val="auto"/>
        </w:rPr>
      </w:pPr>
      <w:r w:rsidRPr="00FB38E1">
        <w:rPr>
          <w:rFonts w:ascii="Times New Roman" w:hAnsi="Times New Roman"/>
          <w:color w:val="auto"/>
        </w:rPr>
        <w:t>Denizbank A.Ş.’nin (“Banka”) 31 Aralık 2024 tarihli konsolide olmayan finansal durum tablosu ile aynı tarihte sona eren hesap dönemine ait; konsolide olmayan kar veya zarar tablosu, konsolide olmayan kar veya zarar ve diğer kapsamlı gelir tablosu, konsolide olmayan özkaynak değişim tablosu ve konsolide olmayan nakit akış tablosu ile önemli muhasebe politikalarının özeti de dahil olmak üzere konsolide olmayan finansal tablo dipnotlarından oluşan konsolide olmayan finansal tablolarını denetlemiş bulunuyoruz.</w:t>
      </w:r>
    </w:p>
    <w:p w14:paraId="2C194D3E" w14:textId="77777777" w:rsidR="003E6BDD" w:rsidRPr="00FB38E1" w:rsidRDefault="003E6BDD" w:rsidP="003E6BDD">
      <w:pPr>
        <w:pStyle w:val="Text"/>
        <w:spacing w:line="270" w:lineRule="atLeast"/>
        <w:ind w:left="-567"/>
        <w:rPr>
          <w:rFonts w:ascii="Times New Roman" w:hAnsi="Times New Roman"/>
          <w:color w:val="auto"/>
        </w:rPr>
      </w:pPr>
    </w:p>
    <w:p w14:paraId="61B4FEB7" w14:textId="77777777" w:rsidR="003E6BDD" w:rsidRPr="00FB38E1" w:rsidRDefault="003E6BDD" w:rsidP="003E6BDD">
      <w:pPr>
        <w:pStyle w:val="Text"/>
        <w:spacing w:line="270" w:lineRule="atLeast"/>
        <w:rPr>
          <w:rFonts w:ascii="Times New Roman" w:hAnsi="Times New Roman"/>
          <w:color w:val="auto"/>
        </w:rPr>
      </w:pPr>
      <w:r w:rsidRPr="00FB38E1">
        <w:rPr>
          <w:rFonts w:ascii="Times New Roman" w:hAnsi="Times New Roman"/>
          <w:color w:val="auto"/>
        </w:rPr>
        <w:t>Görüşümüze göre,</w:t>
      </w:r>
      <w:bookmarkStart w:id="1" w:name="_Hlk109660481"/>
      <w:r w:rsidRPr="00FB38E1">
        <w:t xml:space="preserve"> </w:t>
      </w:r>
      <w:bookmarkStart w:id="2" w:name="_Hlk126673507"/>
      <w:r w:rsidRPr="00FB38E1">
        <w:rPr>
          <w:rFonts w:ascii="Times New Roman" w:hAnsi="Times New Roman"/>
          <w:color w:val="auto"/>
        </w:rPr>
        <w:t>Sınırlı Olumlu Görüşün Dayanağı paragrafında belirtilen hususun etkileri hariç olmak üzere</w:t>
      </w:r>
      <w:bookmarkEnd w:id="1"/>
      <w:r w:rsidRPr="00FB38E1">
        <w:rPr>
          <w:rFonts w:ascii="Times New Roman" w:hAnsi="Times New Roman"/>
          <w:color w:val="auto"/>
        </w:rPr>
        <w:t>,</w:t>
      </w:r>
      <w:bookmarkEnd w:id="2"/>
      <w:r w:rsidRPr="00FB38E1">
        <w:rPr>
          <w:rFonts w:ascii="Times New Roman" w:hAnsi="Times New Roman"/>
          <w:color w:val="auto"/>
        </w:rPr>
        <w:t xml:space="preserve"> ilişikteki konsolide olmayan finansal tablolar, Banka’nın 31 Aralık 2024 tarihi itibarıyla konsolide olmayan finansal durumunu ve aynı tarihte sona eren hesap dönemine ait konsolide olmayan finansal performansını ve konsolide olmayan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Standartları (TMS) hükümlerini içeren; “BDDK Muhasebe ve Finansal Raporlama Mevzuatı”na uygun olarak tüm önemli yönleriyle gerçeğe uygun bir biçimde sunmaktadır.</w:t>
      </w:r>
    </w:p>
    <w:p w14:paraId="779C9F59" w14:textId="77777777" w:rsidR="003E6BDD" w:rsidRPr="00FB38E1" w:rsidRDefault="003E6BDD" w:rsidP="003E6BDD">
      <w:pPr>
        <w:pStyle w:val="Text"/>
        <w:spacing w:line="270" w:lineRule="atLeast"/>
        <w:jc w:val="left"/>
        <w:rPr>
          <w:rFonts w:ascii="Times New Roman" w:hAnsi="Times New Roman" w:cs="Times New Roman"/>
          <w:b/>
          <w:szCs w:val="24"/>
        </w:rPr>
      </w:pPr>
    </w:p>
    <w:p w14:paraId="4E9A169D" w14:textId="77777777" w:rsidR="003E6BDD" w:rsidRPr="00FB38E1" w:rsidRDefault="003E6BDD" w:rsidP="003E6BDD">
      <w:pPr>
        <w:pStyle w:val="Text"/>
        <w:spacing w:line="270" w:lineRule="atLeast"/>
        <w:jc w:val="left"/>
        <w:rPr>
          <w:rFonts w:ascii="Times New Roman" w:hAnsi="Times New Roman" w:cs="Times New Roman"/>
          <w:b/>
          <w:szCs w:val="24"/>
        </w:rPr>
      </w:pPr>
    </w:p>
    <w:p w14:paraId="0862537D" w14:textId="77777777" w:rsidR="003E6BDD" w:rsidRPr="00FB38E1" w:rsidRDefault="003E6BDD" w:rsidP="003E6BDD">
      <w:pPr>
        <w:pStyle w:val="Text"/>
        <w:numPr>
          <w:ilvl w:val="0"/>
          <w:numId w:val="72"/>
        </w:numPr>
        <w:spacing w:line="270" w:lineRule="atLeast"/>
        <w:ind w:left="426" w:hanging="436"/>
        <w:jc w:val="left"/>
        <w:rPr>
          <w:rFonts w:ascii="Times New Roman" w:hAnsi="Times New Roman" w:cs="Times New Roman"/>
          <w:b/>
          <w:szCs w:val="24"/>
        </w:rPr>
      </w:pPr>
      <w:r w:rsidRPr="00FB38E1">
        <w:rPr>
          <w:rFonts w:ascii="Times New Roman" w:hAnsi="Times New Roman" w:cs="Times New Roman"/>
          <w:b/>
          <w:szCs w:val="24"/>
        </w:rPr>
        <w:t>Sınırlı Olumlu Görüşün Dayanağı</w:t>
      </w:r>
    </w:p>
    <w:p w14:paraId="3F299CB4" w14:textId="77777777" w:rsidR="003E6BDD" w:rsidRPr="00FB38E1" w:rsidRDefault="003E6BDD" w:rsidP="003E6BDD">
      <w:pPr>
        <w:pStyle w:val="Text"/>
        <w:spacing w:line="270" w:lineRule="atLeast"/>
        <w:rPr>
          <w:rFonts w:ascii="Times New Roman" w:hAnsi="Times New Roman"/>
          <w:color w:val="auto"/>
        </w:rPr>
      </w:pPr>
    </w:p>
    <w:p w14:paraId="3A6D8B5E" w14:textId="77777777" w:rsidR="003E6BDD" w:rsidRPr="00FB38E1" w:rsidRDefault="003E6BDD" w:rsidP="003E6BDD">
      <w:pPr>
        <w:pStyle w:val="Text"/>
        <w:spacing w:line="270" w:lineRule="atLeast"/>
        <w:rPr>
          <w:rFonts w:ascii="Times New Roman" w:hAnsi="Times New Roman"/>
          <w:color w:val="auto"/>
        </w:rPr>
      </w:pPr>
      <w:r w:rsidRPr="00FB38E1">
        <w:rPr>
          <w:rFonts w:ascii="Times New Roman" w:hAnsi="Times New Roman"/>
          <w:color w:val="auto"/>
        </w:rPr>
        <w:t>31 Aralık 2024 tarihi itibarıyla hazırlanan ilişikteki konsolide olmayan finansal bilgiler, Banka yönetimi tarafından BDDK Muhasebe ve Finansal Raporlama Mevzuatı gereklilikleri dışında, 2.000.000 bin TL’si cari dönemde ayrılan toplam 8.700.000 bin TL tutarındaki serbest karşılığı içermektedir. Eğer ilgili serbest karşılık ayrılmamış olsaydı, 31 Aralık 2024 tarihi itibarıyla, diğer karşılıklar 8.700.000 bin TL daha az ve 31 Aralık 2024 tarihinde sona eren hesap döneminde vergi öncesi kar 2.000.000 bin TL ve özkaynaklar 8.700.000 bin TL daha fazla olacaktı.</w:t>
      </w:r>
    </w:p>
    <w:p w14:paraId="17887728" w14:textId="77777777" w:rsidR="003E6BDD" w:rsidRPr="00FB38E1" w:rsidRDefault="003E6BDD" w:rsidP="003E6BDD">
      <w:pPr>
        <w:pStyle w:val="Text"/>
        <w:spacing w:line="270" w:lineRule="atLeast"/>
        <w:rPr>
          <w:rFonts w:ascii="Times New Roman" w:hAnsi="Times New Roman"/>
          <w:color w:val="auto"/>
        </w:rPr>
      </w:pPr>
    </w:p>
    <w:p w14:paraId="6950037C" w14:textId="77777777" w:rsidR="003E6BDD" w:rsidRPr="00FB38E1" w:rsidRDefault="003E6BDD" w:rsidP="003E6BDD">
      <w:pPr>
        <w:pStyle w:val="Text"/>
        <w:spacing w:line="270" w:lineRule="atLeast"/>
        <w:rPr>
          <w:rFonts w:ascii="Times New Roman" w:hAnsi="Times New Roman" w:cs="Times New Roman"/>
          <w:szCs w:val="24"/>
        </w:rPr>
      </w:pPr>
      <w:r w:rsidRPr="00FB38E1">
        <w:rPr>
          <w:rFonts w:ascii="Times New Roman" w:hAnsi="Times New Roman"/>
          <w:color w:val="auto"/>
        </w:rPr>
        <w:t xml:space="preserve">Yaptığımız bağımsız denetim, BDDK tarafından 2 Nisan 2015 tarihli 29314 sayılı Resmi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w:t>
      </w:r>
      <w:r w:rsidRPr="00FB38E1">
        <w:rPr>
          <w:rFonts w:ascii="Times New Roman" w:hAnsi="Times New Roman"/>
          <w:i/>
          <w:color w:val="auto"/>
        </w:rPr>
        <w:t>Bağımsız Denetçinin Konsolide Olmayan Finansal Tabloların Bağımsız Denetimine İlişkin Sorumlulukları</w:t>
      </w:r>
      <w:r w:rsidRPr="00FB38E1">
        <w:rPr>
          <w:rFonts w:ascii="Times New Roman" w:hAnsi="Times New Roman"/>
          <w:color w:val="auto"/>
        </w:rPr>
        <w:t xml:space="preserve"> bölümünde ayrıntılı bir şekilde açıklanmıştır. KGK tarafından yayımlanan </w:t>
      </w:r>
      <w:r w:rsidRPr="00FB38E1">
        <w:rPr>
          <w:rFonts w:ascii="Times New Roman" w:hAnsi="Times New Roman"/>
          <w:i/>
          <w:color w:val="auto"/>
        </w:rPr>
        <w:t>Bağımsız Denetçiler için Etik Kurallar</w:t>
      </w:r>
      <w:r w:rsidRPr="00FB38E1">
        <w:rPr>
          <w:rFonts w:ascii="Times New Roman" w:hAnsi="Times New Roman"/>
          <w:color w:val="auto"/>
        </w:rPr>
        <w:t xml:space="preserve"> (Etik Kurallar) ile konsolide olmayan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r w:rsidRPr="00FB38E1">
        <w:rPr>
          <w:rFonts w:ascii="Times New Roman" w:hAnsi="Times New Roman" w:cs="Times New Roman"/>
          <w:szCs w:val="24"/>
        </w:rPr>
        <w:t>.</w:t>
      </w:r>
    </w:p>
    <w:p w14:paraId="3DA2909A" w14:textId="77777777" w:rsidR="003E6BDD" w:rsidRPr="00FB38E1" w:rsidRDefault="003E6BDD" w:rsidP="003E6BDD">
      <w:pPr>
        <w:pStyle w:val="Text"/>
        <w:spacing w:line="270" w:lineRule="atLeast"/>
        <w:rPr>
          <w:rFonts w:ascii="Times New Roman" w:hAnsi="Times New Roman" w:cs="Times New Roman"/>
          <w:szCs w:val="24"/>
        </w:rPr>
      </w:pPr>
    </w:p>
    <w:p w14:paraId="03407C1A" w14:textId="77777777" w:rsidR="00364B59" w:rsidRPr="00FB38E1" w:rsidRDefault="00364B59" w:rsidP="00364B59">
      <w:pPr>
        <w:pStyle w:val="Text"/>
        <w:spacing w:line="270" w:lineRule="atLeast"/>
        <w:rPr>
          <w:rFonts w:ascii="Times New Roman" w:hAnsi="Times New Roman" w:cs="Times New Roman"/>
          <w:szCs w:val="24"/>
        </w:rPr>
      </w:pPr>
    </w:p>
    <w:p w14:paraId="5BE5AE23" w14:textId="73ADB24E" w:rsidR="00364B59" w:rsidRPr="00FB38E1" w:rsidRDefault="00364B59" w:rsidP="00364B59">
      <w:pPr>
        <w:pStyle w:val="Text"/>
        <w:spacing w:line="270" w:lineRule="atLeast"/>
        <w:rPr>
          <w:rFonts w:ascii="Times New Roman" w:hAnsi="Times New Roman" w:cs="Times New Roman"/>
          <w:szCs w:val="24"/>
        </w:rPr>
      </w:pPr>
    </w:p>
    <w:p w14:paraId="699E4AE0" w14:textId="78AB6CFB" w:rsidR="001A2B20" w:rsidRPr="00FB38E1" w:rsidRDefault="001A2B20" w:rsidP="00364B59">
      <w:pPr>
        <w:pStyle w:val="Text"/>
        <w:spacing w:line="270" w:lineRule="atLeast"/>
        <w:rPr>
          <w:rFonts w:ascii="Times New Roman" w:hAnsi="Times New Roman" w:cs="Times New Roman"/>
          <w:szCs w:val="24"/>
        </w:rPr>
      </w:pPr>
    </w:p>
    <w:p w14:paraId="6380D1D1" w14:textId="5FFE29D9" w:rsidR="001A2B20" w:rsidRPr="00FB38E1" w:rsidRDefault="001A2B20" w:rsidP="00364B59">
      <w:pPr>
        <w:pStyle w:val="Text"/>
        <w:spacing w:line="270" w:lineRule="atLeast"/>
        <w:rPr>
          <w:rFonts w:ascii="Times New Roman" w:hAnsi="Times New Roman" w:cs="Times New Roman"/>
          <w:szCs w:val="24"/>
        </w:rPr>
      </w:pPr>
    </w:p>
    <w:p w14:paraId="34984B64" w14:textId="519101D6" w:rsidR="001A2B20" w:rsidRPr="00FB38E1" w:rsidRDefault="001A2B20" w:rsidP="00364B59">
      <w:pPr>
        <w:pStyle w:val="Text"/>
        <w:spacing w:line="270" w:lineRule="atLeast"/>
        <w:rPr>
          <w:rFonts w:ascii="Times New Roman" w:hAnsi="Times New Roman" w:cs="Times New Roman"/>
          <w:szCs w:val="24"/>
        </w:rPr>
      </w:pPr>
    </w:p>
    <w:p w14:paraId="430045A9" w14:textId="7C7D32D7" w:rsidR="001A2B20" w:rsidRPr="00FB38E1" w:rsidRDefault="001A2B20" w:rsidP="00364B59">
      <w:pPr>
        <w:pStyle w:val="Text"/>
        <w:spacing w:line="270" w:lineRule="atLeast"/>
        <w:rPr>
          <w:rFonts w:ascii="Times New Roman" w:hAnsi="Times New Roman" w:cs="Times New Roman"/>
          <w:szCs w:val="24"/>
        </w:rPr>
      </w:pPr>
    </w:p>
    <w:p w14:paraId="6A146920" w14:textId="2C11D6C1" w:rsidR="001A2B20" w:rsidRPr="00FB38E1" w:rsidRDefault="001A2B20" w:rsidP="00364B59">
      <w:pPr>
        <w:pStyle w:val="Text"/>
        <w:spacing w:line="270" w:lineRule="atLeast"/>
        <w:rPr>
          <w:rFonts w:ascii="Times New Roman" w:hAnsi="Times New Roman" w:cs="Times New Roman"/>
          <w:szCs w:val="24"/>
        </w:rPr>
      </w:pPr>
    </w:p>
    <w:p w14:paraId="436873B1" w14:textId="192B3561" w:rsidR="001A2B20" w:rsidRPr="00FB38E1" w:rsidRDefault="001A2B20" w:rsidP="00364B59">
      <w:pPr>
        <w:pStyle w:val="Text"/>
        <w:spacing w:line="270" w:lineRule="atLeast"/>
        <w:rPr>
          <w:rFonts w:ascii="Times New Roman" w:hAnsi="Times New Roman" w:cs="Times New Roman"/>
          <w:szCs w:val="24"/>
        </w:rPr>
      </w:pPr>
    </w:p>
    <w:p w14:paraId="29AB892E" w14:textId="34BA735E" w:rsidR="001A2B20" w:rsidRPr="00FB38E1" w:rsidRDefault="001A2B20" w:rsidP="00364B59">
      <w:pPr>
        <w:pStyle w:val="Text"/>
        <w:spacing w:line="270" w:lineRule="atLeast"/>
        <w:rPr>
          <w:rFonts w:ascii="Times New Roman" w:hAnsi="Times New Roman" w:cs="Times New Roman"/>
          <w:szCs w:val="24"/>
        </w:rPr>
      </w:pPr>
    </w:p>
    <w:p w14:paraId="6FE8A5D4" w14:textId="4B2E9733" w:rsidR="001A2B20" w:rsidRPr="00FB38E1" w:rsidRDefault="001A2B20" w:rsidP="00364B59">
      <w:pPr>
        <w:pStyle w:val="Text"/>
        <w:spacing w:line="270" w:lineRule="atLeast"/>
        <w:rPr>
          <w:rFonts w:ascii="Times New Roman" w:hAnsi="Times New Roman" w:cs="Times New Roman"/>
          <w:szCs w:val="24"/>
        </w:rPr>
      </w:pPr>
    </w:p>
    <w:p w14:paraId="48BC6AF3" w14:textId="77777777" w:rsidR="001A2B20" w:rsidRPr="00FB38E1" w:rsidRDefault="001A2B20" w:rsidP="00364B59">
      <w:pPr>
        <w:pStyle w:val="Text"/>
        <w:spacing w:line="270" w:lineRule="atLeast"/>
        <w:rPr>
          <w:rFonts w:ascii="Times New Roman" w:hAnsi="Times New Roman" w:cs="Times New Roman"/>
          <w:szCs w:val="24"/>
        </w:rPr>
      </w:pPr>
    </w:p>
    <w:p w14:paraId="15565381" w14:textId="77777777" w:rsidR="00364B59" w:rsidRPr="00FB38E1" w:rsidRDefault="00364B59" w:rsidP="00364B59">
      <w:pPr>
        <w:pStyle w:val="Text"/>
        <w:numPr>
          <w:ilvl w:val="0"/>
          <w:numId w:val="72"/>
        </w:numPr>
        <w:tabs>
          <w:tab w:val="center" w:pos="142"/>
        </w:tabs>
        <w:spacing w:line="270" w:lineRule="atLeast"/>
        <w:ind w:left="0" w:firstLine="0"/>
        <w:jc w:val="left"/>
        <w:rPr>
          <w:rFonts w:ascii="Times New Roman" w:hAnsi="Times New Roman" w:cs="Times New Roman"/>
          <w:b/>
          <w:szCs w:val="24"/>
        </w:rPr>
      </w:pPr>
      <w:r w:rsidRPr="00FB38E1">
        <w:rPr>
          <w:rFonts w:ascii="Times New Roman" w:hAnsi="Times New Roman" w:cs="Times New Roman"/>
          <w:b/>
          <w:szCs w:val="24"/>
        </w:rPr>
        <w:t>Kilit Denetim Konuları</w:t>
      </w:r>
    </w:p>
    <w:p w14:paraId="2BCE3DBA" w14:textId="77777777" w:rsidR="00364B59" w:rsidRPr="00FB38E1" w:rsidRDefault="00364B59" w:rsidP="00364B59">
      <w:pPr>
        <w:pStyle w:val="Text"/>
        <w:spacing w:line="270" w:lineRule="atLeast"/>
        <w:jc w:val="left"/>
        <w:rPr>
          <w:rFonts w:ascii="Times New Roman" w:hAnsi="Times New Roman" w:cs="Times New Roman"/>
          <w:b/>
          <w:szCs w:val="24"/>
        </w:rPr>
      </w:pPr>
    </w:p>
    <w:p w14:paraId="2222D573" w14:textId="5C543A3E" w:rsidR="00364B59" w:rsidRPr="00FB38E1" w:rsidRDefault="003E6BDD" w:rsidP="00364B59">
      <w:pPr>
        <w:pStyle w:val="Text"/>
        <w:spacing w:line="270" w:lineRule="atLeast"/>
        <w:rPr>
          <w:rFonts w:ascii="Times New Roman" w:hAnsi="Times New Roman" w:cs="Times New Roman"/>
          <w:szCs w:val="24"/>
        </w:rPr>
      </w:pPr>
      <w:r w:rsidRPr="00FB38E1">
        <w:rPr>
          <w:rFonts w:ascii="Times New Roman" w:hAnsi="Times New Roman"/>
          <w:color w:val="auto"/>
        </w:rPr>
        <w:t>Kilit denetim konuları, mesleki muhakememize göre cari döneme ait konsolide olmayan finansal tabloların bağımsız denetiminde en çok önem arz eden konulardır. Kilit denetim konuları, bir bütün olarak konsolide olmayan finansal tabloların bağımsız denetimi çerçevesinde ve konsolide olmayan finansal tablolara ilişkin görüşümüzün oluşturulmasında ele alınmış olup, bu konular hakkında ayrı bir görüş bildirmiyoruz.</w:t>
      </w:r>
    </w:p>
    <w:tbl>
      <w:tblPr>
        <w:tblpPr w:leftFromText="180" w:rightFromText="180" w:bottomFromText="160" w:vertAnchor="text" w:horzAnchor="margin" w:tblpY="594"/>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820"/>
      </w:tblGrid>
      <w:tr w:rsidR="001A2B20" w:rsidRPr="00FB38E1" w14:paraId="1CDD062C" w14:textId="77777777" w:rsidTr="007F0BAF">
        <w:trPr>
          <w:trHeight w:val="268"/>
        </w:trPr>
        <w:tc>
          <w:tcPr>
            <w:tcW w:w="4536" w:type="dxa"/>
            <w:tcBorders>
              <w:top w:val="single" w:sz="4" w:space="0" w:color="auto"/>
              <w:left w:val="single" w:sz="4" w:space="0" w:color="auto"/>
              <w:bottom w:val="single" w:sz="4" w:space="0" w:color="auto"/>
              <w:right w:val="single" w:sz="4" w:space="0" w:color="auto"/>
            </w:tcBorders>
            <w:hideMark/>
          </w:tcPr>
          <w:p w14:paraId="4227F2D5" w14:textId="77777777" w:rsidR="001A2B20" w:rsidRPr="00FB38E1" w:rsidRDefault="001A2B20" w:rsidP="007F0BAF">
            <w:pPr>
              <w:autoSpaceDE w:val="0"/>
              <w:autoSpaceDN w:val="0"/>
              <w:adjustRightInd w:val="0"/>
              <w:spacing w:after="0" w:line="290" w:lineRule="atLeast"/>
              <w:rPr>
                <w:rFonts w:ascii="Times New Roman" w:eastAsia="Times New Roman" w:hAnsi="Times New Roman" w:cs="Times New Roman"/>
                <w:b/>
              </w:rPr>
            </w:pPr>
            <w:r w:rsidRPr="00FB38E1">
              <w:rPr>
                <w:rFonts w:ascii="Times New Roman" w:eastAsia="Times New Roman" w:hAnsi="Times New Roman" w:cs="Times New Roman"/>
                <w:b/>
              </w:rPr>
              <w:t>Kilit Denetim Konusu</w:t>
            </w:r>
          </w:p>
        </w:tc>
        <w:tc>
          <w:tcPr>
            <w:tcW w:w="4820" w:type="dxa"/>
            <w:tcBorders>
              <w:top w:val="single" w:sz="4" w:space="0" w:color="auto"/>
              <w:left w:val="single" w:sz="4" w:space="0" w:color="auto"/>
              <w:bottom w:val="single" w:sz="4" w:space="0" w:color="auto"/>
              <w:right w:val="single" w:sz="4" w:space="0" w:color="auto"/>
            </w:tcBorders>
            <w:hideMark/>
          </w:tcPr>
          <w:p w14:paraId="119BB0DF" w14:textId="77777777" w:rsidR="001A2B20" w:rsidRPr="00FB38E1" w:rsidRDefault="001A2B20" w:rsidP="007F0BAF">
            <w:pPr>
              <w:autoSpaceDE w:val="0"/>
              <w:autoSpaceDN w:val="0"/>
              <w:adjustRightInd w:val="0"/>
              <w:spacing w:after="0" w:line="290" w:lineRule="atLeast"/>
              <w:rPr>
                <w:rFonts w:ascii="Times New Roman" w:eastAsia="Times New Roman" w:hAnsi="Times New Roman" w:cs="Times New Roman"/>
                <w:b/>
              </w:rPr>
            </w:pPr>
            <w:r w:rsidRPr="00FB38E1">
              <w:rPr>
                <w:rFonts w:ascii="Times New Roman" w:eastAsia="Times New Roman" w:hAnsi="Times New Roman" w:cs="Times New Roman"/>
                <w:b/>
              </w:rPr>
              <w:t>Denetimde bu konu nasıl ele alındı</w:t>
            </w:r>
          </w:p>
        </w:tc>
      </w:tr>
      <w:tr w:rsidR="001A2B20" w:rsidRPr="00FB38E1" w14:paraId="7E034B6C" w14:textId="77777777" w:rsidTr="007F0BAF">
        <w:trPr>
          <w:trHeight w:val="1094"/>
        </w:trPr>
        <w:tc>
          <w:tcPr>
            <w:tcW w:w="4536" w:type="dxa"/>
            <w:tcBorders>
              <w:top w:val="single" w:sz="4" w:space="0" w:color="auto"/>
              <w:left w:val="single" w:sz="4" w:space="0" w:color="auto"/>
              <w:bottom w:val="single" w:sz="4" w:space="0" w:color="auto"/>
              <w:right w:val="single" w:sz="4" w:space="0" w:color="auto"/>
            </w:tcBorders>
            <w:hideMark/>
          </w:tcPr>
          <w:p w14:paraId="6642916F" w14:textId="77777777" w:rsidR="001A2B20" w:rsidRPr="00FB38E1" w:rsidRDefault="001A2B20" w:rsidP="007F0BAF">
            <w:pPr>
              <w:autoSpaceDE w:val="0"/>
              <w:autoSpaceDN w:val="0"/>
              <w:adjustRightInd w:val="0"/>
              <w:rPr>
                <w:rFonts w:ascii="Times New Roman" w:hAnsi="Times New Roman" w:cs="Times New Roman"/>
                <w:b/>
                <w:i/>
              </w:rPr>
            </w:pPr>
            <w:r w:rsidRPr="00FB38E1">
              <w:rPr>
                <w:rFonts w:ascii="Times New Roman" w:hAnsi="Times New Roman" w:cs="Times New Roman"/>
                <w:b/>
                <w:i/>
              </w:rPr>
              <w:t>Kredilere ilişkin TFRS 9 Finansal Araçlar Standardı (“TFRS 9”)  çerçevesinde belirlenen değer düşüklüğü</w:t>
            </w:r>
          </w:p>
          <w:p w14:paraId="51C65B22" w14:textId="77777777" w:rsidR="003E6BDD" w:rsidRPr="00FB38E1" w:rsidRDefault="003E6BDD" w:rsidP="003E6BDD">
            <w:pPr>
              <w:autoSpaceDE w:val="0"/>
              <w:autoSpaceDN w:val="0"/>
              <w:adjustRightInd w:val="0"/>
              <w:rPr>
                <w:rFonts w:ascii="Times New Roman" w:hAnsi="Times New Roman" w:cs="Times New Roman"/>
              </w:rPr>
            </w:pPr>
            <w:r w:rsidRPr="00FB38E1">
              <w:rPr>
                <w:rFonts w:ascii="Times New Roman" w:hAnsi="Times New Roman" w:cs="Times New Roman"/>
              </w:rPr>
              <w:t>Kre</w:t>
            </w:r>
            <w:r w:rsidRPr="00FB38E1">
              <w:rPr>
                <w:rFonts w:ascii="Times New Roman" w:hAnsi="Times New Roman" w:cs="Times New Roman"/>
                <w:snapToGrid w:val="0"/>
                <w:lang w:eastAsia="de-DE"/>
              </w:rPr>
              <w:t>dilere ilişkin değer düşüklüğü yönetim için önemli bir yargı alanıdır. Banka’nın 31 Aralık 2024 tarihli konsolide olmayan finansal tablolarında aktifte %54 paya sahip olan</w:t>
            </w:r>
            <w:r w:rsidRPr="00FB38E1">
              <w:rPr>
                <w:rFonts w:ascii="Times New Roman" w:hAnsi="Times New Roman" w:cs="Times New Roman"/>
              </w:rPr>
              <w:t xml:space="preserve"> kre</w:t>
            </w:r>
            <w:r w:rsidRPr="00FB38E1">
              <w:rPr>
                <w:rFonts w:ascii="Times New Roman" w:hAnsi="Times New Roman" w:cs="Times New Roman"/>
                <w:snapToGrid w:val="0"/>
                <w:lang w:eastAsia="de-DE"/>
              </w:rPr>
              <w:t>diler toplamı 736.218.281 bin TL’dir ve buna istinaden ayrılmış olan toplam 36.035.598 bin TL karşılık bulunmaktadır.</w:t>
            </w:r>
          </w:p>
          <w:p w14:paraId="41A30131" w14:textId="77777777" w:rsidR="003E6BDD" w:rsidRPr="00FB38E1" w:rsidRDefault="003E6BDD" w:rsidP="003E6BDD">
            <w:pPr>
              <w:autoSpaceDE w:val="0"/>
              <w:autoSpaceDN w:val="0"/>
              <w:adjustRightInd w:val="0"/>
              <w:rPr>
                <w:rFonts w:ascii="Times New Roman" w:hAnsi="Times New Roman" w:cs="Times New Roman"/>
              </w:rPr>
            </w:pPr>
            <w:r w:rsidRPr="00FB38E1">
              <w:rPr>
                <w:rFonts w:ascii="Times New Roman" w:hAnsi="Times New Roman" w:cs="Times New Roman"/>
                <w:snapToGrid w:val="0"/>
                <w:lang w:eastAsia="de-DE"/>
              </w:rPr>
              <w:t>Banka, itfa edilmiş maliyetiyle ölçülen kredilere ilişkin değer düşüklüğü karşılıklarını 22 Haziran 2016 tarih ve 29750 sayılı Resmi Gazete’de yayımlanmış ve 1 Ocak 2018 tarihi itibariyle yürürlüğe girmiş olan “Kredilerin Sınıflandırılması ve Bunlar İçin Ayrılacak Karşılıklara İlişkin Usul ve Esaslar Hakkında Yönetmelik” ve TFRS 9 hükümlerine uygun olarak muhasebeleştirmektedir.</w:t>
            </w:r>
            <w:r w:rsidRPr="00FB38E1">
              <w:rPr>
                <w:rFonts w:ascii="Times New Roman" w:hAnsi="Times New Roman" w:cs="Times New Roman"/>
              </w:rPr>
              <w:t xml:space="preserve"> </w:t>
            </w:r>
          </w:p>
          <w:p w14:paraId="25718679" w14:textId="77777777" w:rsidR="003E6BDD" w:rsidRPr="00FB38E1" w:rsidRDefault="003E6BDD" w:rsidP="003E6BDD">
            <w:pPr>
              <w:pStyle w:val="Default"/>
              <w:rPr>
                <w:rFonts w:ascii="Times New Roman" w:hAnsi="Times New Roman" w:cs="Times New Roman"/>
                <w:sz w:val="22"/>
                <w:szCs w:val="22"/>
              </w:rPr>
            </w:pPr>
            <w:r w:rsidRPr="00FB38E1">
              <w:rPr>
                <w:rFonts w:ascii="Times New Roman" w:hAnsi="Times New Roman" w:cs="Times New Roman"/>
                <w:sz w:val="22"/>
                <w:szCs w:val="22"/>
              </w:rPr>
              <w:t xml:space="preserve">Bu çerçevede Üçüncü Bölüm VIII no’lu muhasebe politikasında detaylı açıklanan beklenen kredi zararları modeline istinaden, Beklenen kredi zararları tahmini tarafsız, olasılıklara göre ağırlıklandırılmış ve geçmiş olaylar, mevcut şartlar ve gelecekteki ekonomik şartlara ilişkin tahminler hakkında desteklenebilir bilgiler içermelidir. </w:t>
            </w:r>
          </w:p>
          <w:p w14:paraId="0F40A95A" w14:textId="77777777" w:rsidR="003E6BDD" w:rsidRPr="00FB38E1" w:rsidRDefault="003E6BDD" w:rsidP="003E6BDD">
            <w:pPr>
              <w:pStyle w:val="Default"/>
              <w:rPr>
                <w:rFonts w:ascii="Times New Roman" w:hAnsi="Times New Roman" w:cs="Times New Roman"/>
              </w:rPr>
            </w:pPr>
          </w:p>
          <w:p w14:paraId="0C14C8BE" w14:textId="37D022C7" w:rsidR="001A2B20" w:rsidRPr="00FB38E1" w:rsidRDefault="003E6BDD" w:rsidP="003E6BDD">
            <w:pPr>
              <w:pStyle w:val="Default"/>
              <w:rPr>
                <w:rFonts w:ascii="Times New Roman" w:hAnsi="Times New Roman" w:cs="Times New Roman"/>
                <w:color w:val="auto"/>
                <w:sz w:val="22"/>
                <w:szCs w:val="22"/>
              </w:rPr>
            </w:pPr>
            <w:r w:rsidRPr="00FB38E1">
              <w:rPr>
                <w:rFonts w:ascii="Times New Roman" w:hAnsi="Times New Roman" w:cs="Times New Roman"/>
                <w:color w:val="auto"/>
                <w:sz w:val="22"/>
                <w:szCs w:val="22"/>
              </w:rPr>
              <w:t>Banka, kredi değer düşüklüğü tutarının hesaplanması sırasında önemli yargı, yorum ve varsayımlar kullanarak kararlar alır. Bu yargı, yorum ve varsayımlar, kredilerdeki beklenen kredi zararlarını ölçmek için uygulanan finansal modellerin geliştirilmesinde kilit öneme sahiptir.</w:t>
            </w:r>
          </w:p>
          <w:p w14:paraId="08040BCB" w14:textId="272F1398" w:rsidR="001A2B20" w:rsidRPr="00FB38E1" w:rsidRDefault="001A2B20" w:rsidP="007F0BAF">
            <w:pPr>
              <w:autoSpaceDE w:val="0"/>
              <w:autoSpaceDN w:val="0"/>
              <w:adjustRightInd w:val="0"/>
              <w:rPr>
                <w:rFonts w:ascii="Times New Roman" w:hAnsi="Times New Roman" w:cs="Times New Roman"/>
              </w:rPr>
            </w:pPr>
          </w:p>
        </w:tc>
        <w:tc>
          <w:tcPr>
            <w:tcW w:w="4820" w:type="dxa"/>
            <w:tcBorders>
              <w:top w:val="single" w:sz="4" w:space="0" w:color="auto"/>
              <w:left w:val="single" w:sz="4" w:space="0" w:color="auto"/>
              <w:bottom w:val="single" w:sz="4" w:space="0" w:color="auto"/>
              <w:right w:val="single" w:sz="4" w:space="0" w:color="auto"/>
            </w:tcBorders>
            <w:hideMark/>
          </w:tcPr>
          <w:p w14:paraId="4102C1F0"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Denetim çalışmalarımızın bir parçası olarak aşağıdaki prosedürler gerçekleştirilmiştir:</w:t>
            </w:r>
          </w:p>
          <w:p w14:paraId="21D6DE98"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 xml:space="preserve">Kredilerin sınıflandırılması ile değer düşüklüğüne uğradığının tespiti ve değer düşüklüğü hesaplamalarına ilişkin Banka’nın uyguladığı kilit kontrollerin tasarımı ve uygulanması ile faaliyet etkinliği değerlendirilerek test edilmiştir. Bu çalışmalarımıza bilgi sistemleri uzmanlarımız da katılmıştır. </w:t>
            </w:r>
          </w:p>
          <w:p w14:paraId="4B262EDB"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Örneklem finansal araçlar için, yönetimin muhasebe politikasını ve finansal aracın sınıflandırmasını değerlendirmek için ilgili sözleşme şartları değerlendirilmiş ve analiz edilmiştir.</w:t>
            </w:r>
          </w:p>
          <w:p w14:paraId="12E065E5"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 xml:space="preserve">Kredilerin değer düşüklüğüne uğrayıp uğramadığının tespiti, alacağın değer düşüklüğü karşılığının zamanında ve standarda uygun olarak tesis edilip edilmediğini saptamak için kredi ve alacaklardan seçtiğimiz örnekleri denetim testlerine tabi tutarak kredi inceleme çalışmaları yapılmıştır. </w:t>
            </w:r>
          </w:p>
          <w:p w14:paraId="45B1CFF8"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 xml:space="preserve">Girdilerin ve varsayımların makul olup olmadığını, varsayımlar arasındaki ilişkiyi ve varsayımların birbirine bağlı ve içlerinde tutarlı olup olmadığını, varsayımların uygun bir şekilde yansıtılıp yansıtılmadığını,  piyasa bilgileri ve tahsisatların tüm muhasebe tahminleri dahil olmak üzere diğer varsayımlarla birlikte toplu olarak değerlendirildiğinde makul görünüp görünmediğini dikkate alarak beklenen kredi zararı hesaplamasının her aşaması için yönetim tarafından kullanılan ilgili girdiler ve varsayımlar test edilmiştir. </w:t>
            </w:r>
          </w:p>
          <w:p w14:paraId="4C79F6F1" w14:textId="51842566" w:rsidR="001A2B20"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Önemli parametrelerin tamlığını ve doğruluğunu görebilmek için geçmiş zarar verileri test edilmiştir</w:t>
            </w:r>
            <w:r w:rsidR="001A2B20" w:rsidRPr="00FB38E1">
              <w:rPr>
                <w:rFonts w:ascii="Times New Roman" w:hAnsi="Times New Roman" w:cs="Times New Roman"/>
                <w:snapToGrid w:val="0"/>
                <w:lang w:eastAsia="de-DE"/>
              </w:rPr>
              <w:t xml:space="preserve">. </w:t>
            </w:r>
          </w:p>
        </w:tc>
      </w:tr>
    </w:tbl>
    <w:p w14:paraId="0E8CF9EB" w14:textId="6B4D4640" w:rsidR="001A2B20" w:rsidRPr="00FB38E1" w:rsidRDefault="001A2B20" w:rsidP="00364B59">
      <w:pPr>
        <w:pStyle w:val="Text"/>
        <w:spacing w:line="270" w:lineRule="atLeast"/>
        <w:rPr>
          <w:rFonts w:ascii="Times New Roman" w:hAnsi="Times New Roman" w:cs="Times New Roman"/>
          <w:szCs w:val="24"/>
        </w:rPr>
      </w:pPr>
    </w:p>
    <w:p w14:paraId="5EC7A5A9" w14:textId="2C2B2188" w:rsidR="001A2B20" w:rsidRPr="00FB38E1" w:rsidRDefault="001A2B20" w:rsidP="00364B59">
      <w:pPr>
        <w:pStyle w:val="Text"/>
        <w:spacing w:line="270" w:lineRule="atLeast"/>
        <w:rPr>
          <w:rFonts w:ascii="Times New Roman" w:hAnsi="Times New Roman" w:cs="Times New Roman"/>
          <w:szCs w:val="24"/>
        </w:rPr>
      </w:pPr>
    </w:p>
    <w:p w14:paraId="0DB22FC8" w14:textId="07DFC92D" w:rsidR="001A2B20" w:rsidRPr="00FB38E1" w:rsidRDefault="001A2B20" w:rsidP="00364B59">
      <w:pPr>
        <w:pStyle w:val="Text"/>
        <w:spacing w:line="270" w:lineRule="atLeast"/>
        <w:rPr>
          <w:rFonts w:ascii="Times New Roman" w:hAnsi="Times New Roman" w:cs="Times New Roman"/>
          <w:szCs w:val="24"/>
        </w:rPr>
      </w:pPr>
    </w:p>
    <w:p w14:paraId="2F357BB2" w14:textId="31D725EB" w:rsidR="001A2B20" w:rsidRPr="00FB38E1" w:rsidRDefault="001A2B20" w:rsidP="00364B59">
      <w:pPr>
        <w:pStyle w:val="Text"/>
        <w:spacing w:line="270" w:lineRule="atLeast"/>
        <w:rPr>
          <w:rFonts w:ascii="Times New Roman" w:hAnsi="Times New Roman" w:cs="Times New Roman"/>
          <w:szCs w:val="24"/>
        </w:rPr>
      </w:pPr>
    </w:p>
    <w:p w14:paraId="25D68270" w14:textId="3156C2E7" w:rsidR="001A2B20" w:rsidRPr="00FB38E1" w:rsidRDefault="001A2B20" w:rsidP="00364B59">
      <w:pPr>
        <w:pStyle w:val="Text"/>
        <w:spacing w:line="270" w:lineRule="atLeast"/>
        <w:rPr>
          <w:rFonts w:ascii="Times New Roman" w:hAnsi="Times New Roman" w:cs="Times New Roman"/>
          <w:szCs w:val="24"/>
        </w:rPr>
      </w:pPr>
    </w:p>
    <w:p w14:paraId="687FE4F1" w14:textId="0D7EE744" w:rsidR="001A2B20" w:rsidRPr="00FB38E1" w:rsidRDefault="001A2B20" w:rsidP="00364B59">
      <w:pPr>
        <w:pStyle w:val="Text"/>
        <w:spacing w:line="270" w:lineRule="atLeast"/>
        <w:rPr>
          <w:rFonts w:ascii="Times New Roman" w:hAnsi="Times New Roman" w:cs="Times New Roman"/>
          <w:szCs w:val="24"/>
        </w:rPr>
      </w:pPr>
    </w:p>
    <w:p w14:paraId="587ADCE4" w14:textId="7C78F1B6" w:rsidR="001A2B20" w:rsidRPr="00FB38E1" w:rsidRDefault="001A2B20" w:rsidP="00364B59">
      <w:pPr>
        <w:pStyle w:val="Text"/>
        <w:spacing w:line="270" w:lineRule="atLeast"/>
        <w:rPr>
          <w:rFonts w:ascii="Times New Roman" w:hAnsi="Times New Roman" w:cs="Times New Roman"/>
          <w:szCs w:val="24"/>
        </w:rPr>
      </w:pPr>
    </w:p>
    <w:p w14:paraId="46DDDFFB" w14:textId="48E68C9B" w:rsidR="001A2B20" w:rsidRPr="00FB38E1" w:rsidRDefault="001A2B20" w:rsidP="00364B59">
      <w:pPr>
        <w:pStyle w:val="Text"/>
        <w:spacing w:line="270" w:lineRule="atLeast"/>
        <w:rPr>
          <w:rFonts w:ascii="Times New Roman" w:hAnsi="Times New Roman" w:cs="Times New Roman"/>
          <w:szCs w:val="24"/>
        </w:rPr>
      </w:pPr>
    </w:p>
    <w:p w14:paraId="4FACE9C7" w14:textId="37915E78" w:rsidR="001A2B20" w:rsidRPr="00FB38E1" w:rsidRDefault="001A2B20" w:rsidP="00364B59">
      <w:pPr>
        <w:pStyle w:val="Text"/>
        <w:spacing w:line="270" w:lineRule="atLeast"/>
        <w:rPr>
          <w:rFonts w:ascii="Times New Roman" w:hAnsi="Times New Roman" w:cs="Times New Roman"/>
          <w:szCs w:val="24"/>
        </w:rPr>
      </w:pPr>
    </w:p>
    <w:p w14:paraId="5EE20000" w14:textId="1F26FB1C" w:rsidR="001A2B20" w:rsidRPr="00FB38E1" w:rsidRDefault="001A2B20" w:rsidP="00364B59">
      <w:pPr>
        <w:pStyle w:val="Text"/>
        <w:spacing w:line="270" w:lineRule="atLeast"/>
        <w:rPr>
          <w:rFonts w:ascii="Times New Roman" w:hAnsi="Times New Roman" w:cs="Times New Roman"/>
          <w:szCs w:val="24"/>
        </w:rPr>
      </w:pPr>
    </w:p>
    <w:p w14:paraId="357C255C" w14:textId="76B1F922" w:rsidR="001A2B20" w:rsidRPr="00FB38E1" w:rsidRDefault="001A2B20" w:rsidP="00364B59">
      <w:pPr>
        <w:pStyle w:val="Text"/>
        <w:spacing w:line="270" w:lineRule="atLeast"/>
        <w:rPr>
          <w:rFonts w:ascii="Times New Roman" w:hAnsi="Times New Roman" w:cs="Times New Roman"/>
          <w:szCs w:val="24"/>
        </w:rPr>
      </w:pPr>
    </w:p>
    <w:p w14:paraId="24AF8ED4" w14:textId="7E07300E" w:rsidR="001A2B20" w:rsidRPr="00FB38E1" w:rsidRDefault="001A2B20" w:rsidP="00364B59">
      <w:pPr>
        <w:pStyle w:val="Text"/>
        <w:spacing w:line="270" w:lineRule="atLeast"/>
        <w:rPr>
          <w:rFonts w:ascii="Times New Roman" w:hAnsi="Times New Roman" w:cs="Times New Roman"/>
          <w:szCs w:val="24"/>
        </w:rPr>
      </w:pPr>
    </w:p>
    <w:p w14:paraId="74CB8F81" w14:textId="252B217C" w:rsidR="001A2B20" w:rsidRPr="00FB38E1" w:rsidRDefault="001A2B20" w:rsidP="00364B59">
      <w:pPr>
        <w:pStyle w:val="Text"/>
        <w:spacing w:line="270" w:lineRule="atLeast"/>
        <w:rPr>
          <w:rFonts w:ascii="Times New Roman" w:hAnsi="Times New Roman" w:cs="Times New Roman"/>
          <w:szCs w:val="24"/>
        </w:rPr>
      </w:pPr>
    </w:p>
    <w:p w14:paraId="6F0F0EB7" w14:textId="3111D1D9" w:rsidR="001A2B20" w:rsidRPr="00FB38E1" w:rsidRDefault="001A2B20" w:rsidP="00364B59">
      <w:pPr>
        <w:pStyle w:val="Text"/>
        <w:spacing w:line="270" w:lineRule="atLeast"/>
        <w:rPr>
          <w:rFonts w:ascii="Times New Roman" w:hAnsi="Times New Roman" w:cs="Times New Roman"/>
          <w:szCs w:val="24"/>
        </w:rPr>
      </w:pPr>
    </w:p>
    <w:p w14:paraId="13AC40BC" w14:textId="77777777" w:rsidR="003E6BDD" w:rsidRPr="00FB38E1" w:rsidRDefault="003E6BDD" w:rsidP="00364B59">
      <w:pPr>
        <w:pStyle w:val="Text"/>
        <w:spacing w:line="270" w:lineRule="atLeast"/>
        <w:rPr>
          <w:rFonts w:ascii="Times New Roman" w:hAnsi="Times New Roman" w:cs="Times New Roman"/>
          <w:szCs w:val="24"/>
        </w:rPr>
      </w:pPr>
    </w:p>
    <w:tbl>
      <w:tblPr>
        <w:tblpPr w:leftFromText="180" w:rightFromText="180" w:bottomFromText="160" w:vertAnchor="text" w:horzAnchor="margin" w:tblpY="71"/>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820"/>
      </w:tblGrid>
      <w:tr w:rsidR="001A2B20" w:rsidRPr="00FB38E1" w14:paraId="366F2BFF" w14:textId="77777777" w:rsidTr="007F0BAF">
        <w:trPr>
          <w:trHeight w:val="1094"/>
        </w:trPr>
        <w:tc>
          <w:tcPr>
            <w:tcW w:w="4536" w:type="dxa"/>
            <w:tcBorders>
              <w:top w:val="single" w:sz="4" w:space="0" w:color="auto"/>
              <w:left w:val="single" w:sz="4" w:space="0" w:color="auto"/>
              <w:bottom w:val="single" w:sz="4" w:space="0" w:color="auto"/>
              <w:right w:val="single" w:sz="4" w:space="0" w:color="auto"/>
            </w:tcBorders>
          </w:tcPr>
          <w:p w14:paraId="6DFE344C" w14:textId="7E5C8D5C" w:rsidR="003E6BDD" w:rsidRPr="00FB38E1" w:rsidRDefault="003E6BDD" w:rsidP="003E6BDD">
            <w:pPr>
              <w:pStyle w:val="Default"/>
              <w:rPr>
                <w:rFonts w:ascii="Times New Roman" w:hAnsi="Times New Roman" w:cs="Times New Roman"/>
                <w:color w:val="auto"/>
                <w:sz w:val="22"/>
                <w:szCs w:val="22"/>
              </w:rPr>
            </w:pPr>
            <w:r w:rsidRPr="00FB38E1">
              <w:rPr>
                <w:rFonts w:ascii="Times New Roman" w:hAnsi="Times New Roman" w:cs="Times New Roman"/>
                <w:color w:val="auto"/>
                <w:sz w:val="22"/>
                <w:szCs w:val="22"/>
              </w:rPr>
              <w:t>Banka’nın kurumsal kredi portföyünün önemli bir kısmı münferit değerlendirmeye tabi tutulmuştur. Bu durum beklenen kredi zarar karşılığı hesaplamasında önemli yargılar gerektirmektedir.</w:t>
            </w:r>
          </w:p>
          <w:p w14:paraId="4C29268B" w14:textId="77777777" w:rsidR="003E6BDD" w:rsidRPr="00FB38E1" w:rsidRDefault="003E6BDD" w:rsidP="003E6BDD">
            <w:pPr>
              <w:pStyle w:val="Default"/>
              <w:rPr>
                <w:rFonts w:ascii="Times New Roman" w:hAnsi="Times New Roman" w:cs="Times New Roman"/>
                <w:color w:val="auto"/>
                <w:sz w:val="22"/>
                <w:szCs w:val="22"/>
              </w:rPr>
            </w:pPr>
          </w:p>
          <w:p w14:paraId="61B881BA" w14:textId="77777777" w:rsidR="003E6BDD" w:rsidRPr="00FB38E1" w:rsidRDefault="003E6BDD" w:rsidP="003E6BDD">
            <w:pPr>
              <w:pStyle w:val="Default"/>
              <w:rPr>
                <w:rFonts w:ascii="Times New Roman" w:hAnsi="Times New Roman" w:cs="Times New Roman"/>
                <w:color w:val="auto"/>
                <w:sz w:val="22"/>
                <w:szCs w:val="22"/>
              </w:rPr>
            </w:pPr>
            <w:r w:rsidRPr="00FB38E1">
              <w:rPr>
                <w:rFonts w:ascii="Times New Roman" w:hAnsi="Times New Roman" w:cs="Times New Roman"/>
                <w:color w:val="auto"/>
                <w:sz w:val="22"/>
                <w:szCs w:val="22"/>
              </w:rPr>
              <w:t>TFRS 9’da belirtilen gereklilikleri yerine getirmeme durumu Banka için muhtemel bir risk oluşturmaktadır. Söz konusu risk, değer düşüklüğüne uğrayan kredilerin tespit edilememesi ve ilgili kredi ve alacaklara ilişkin makul değer düşüklüğü karşılığı ayrılmamasıdır. Dolayısıyla, söz konusu krediler ve alacaklara ilişkin değer düşüklüğü kilit denetim konusu olarak değerlendirilmektedir.</w:t>
            </w:r>
          </w:p>
          <w:p w14:paraId="7E55B799" w14:textId="77777777" w:rsidR="003E6BDD" w:rsidRPr="00FB38E1" w:rsidRDefault="003E6BDD" w:rsidP="003E6BDD">
            <w:pPr>
              <w:pStyle w:val="Default"/>
              <w:rPr>
                <w:rFonts w:ascii="Times New Roman" w:hAnsi="Times New Roman" w:cs="Times New Roman"/>
                <w:sz w:val="22"/>
                <w:szCs w:val="22"/>
              </w:rPr>
            </w:pPr>
          </w:p>
          <w:p w14:paraId="3979C96B" w14:textId="39717287" w:rsidR="001A2B20" w:rsidRPr="00FB38E1" w:rsidRDefault="003E6BDD" w:rsidP="003E6BDD">
            <w:pPr>
              <w:autoSpaceDE w:val="0"/>
              <w:autoSpaceDN w:val="0"/>
              <w:adjustRightInd w:val="0"/>
              <w:rPr>
                <w:rFonts w:ascii="Times New Roman" w:hAnsi="Times New Roman" w:cs="Times New Roman"/>
                <w:snapToGrid w:val="0"/>
                <w:lang w:val="en-US" w:eastAsia="de-DE"/>
              </w:rPr>
            </w:pPr>
            <w:r w:rsidRPr="00FB38E1">
              <w:rPr>
                <w:rFonts w:ascii="Times New Roman" w:hAnsi="Times New Roman" w:cs="Times New Roman"/>
                <w:snapToGrid w:val="0"/>
                <w:lang w:eastAsia="de-DE"/>
              </w:rPr>
              <w:t>Finansal tablolardaki krediler ve alacaklar için ayrılan karşılıklara ilişkin bilgiler Bölüm 5 Dipnot I.d numaralı dipnotta açıklanmıştır.</w:t>
            </w:r>
          </w:p>
        </w:tc>
        <w:tc>
          <w:tcPr>
            <w:tcW w:w="4820" w:type="dxa"/>
            <w:tcBorders>
              <w:top w:val="single" w:sz="4" w:space="0" w:color="auto"/>
              <w:left w:val="single" w:sz="4" w:space="0" w:color="auto"/>
              <w:bottom w:val="single" w:sz="4" w:space="0" w:color="auto"/>
              <w:right w:val="single" w:sz="4" w:space="0" w:color="auto"/>
            </w:tcBorders>
            <w:hideMark/>
          </w:tcPr>
          <w:p w14:paraId="4F84D63A"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Modelin, kredi riski özelliklerini paylaşan uygun varlık gruplarına uygulanıp uygulanmadığı test edilmiştir.</w:t>
            </w:r>
          </w:p>
          <w:p w14:paraId="361B4158"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Modelin uygulanmasını sağlayan ilgili girdileri ve beklenen kredi zararı hesaplamasının her aşamasının matematiksel bütünlüğü test edilmiştir.</w:t>
            </w:r>
          </w:p>
          <w:p w14:paraId="4EA69161"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Banka yönetimi ile yapılan görüşmeler çerçevesinde değer düşüklüğü hesaplamalarına dayanak oluşturan temel varsayım ve tüm diğer yargıların makul olup olmadığı değerlendirilmiştir.</w:t>
            </w:r>
          </w:p>
          <w:p w14:paraId="672409DB"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 xml:space="preserve">Banka’nın uygulaması gereği münferit olarak değerlendirilen kredilere ilişkin ayrılan karşılıkların makul olup olmadığını seçilen örnekler dahilinde varsayım ve tahminler ile beraber desteklenebilir veriler ile kontrol edilmiş ve Banka yönetimi ile yapılan görüşmeler çerçevesinde değerlendirilmiştir. </w:t>
            </w:r>
          </w:p>
          <w:p w14:paraId="6C9B0BAB"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Model ve münferit değerlemeye ilişkin varsayımlarla ilgili tüm çalışmalara uzmanlarımız dahil edilmiştir.</w:t>
            </w:r>
          </w:p>
          <w:p w14:paraId="131B9BA8" w14:textId="77777777" w:rsidR="003E6BDD"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Banka tarafindan, modelin dikkate alma dönemlerinde yaşanmamış olağanüstü durumları göz ardı etmemek için etkilenen portföyler belirlenerek ilave ayrılan beklenen kredi zarar karşılıklarına ilişkin varsayımlarla ilgili tüm çalışmalar banka yönetimi ile yapılan görüşmeler çerçevesinde değerlendirilmiştir.</w:t>
            </w:r>
          </w:p>
          <w:p w14:paraId="1D64932F" w14:textId="6608492A" w:rsidR="001A2B20" w:rsidRPr="00FB38E1" w:rsidRDefault="003E6BDD" w:rsidP="003E6BDD">
            <w:pPr>
              <w:autoSpaceDE w:val="0"/>
              <w:autoSpaceDN w:val="0"/>
              <w:adjustRightInd w:val="0"/>
              <w:rPr>
                <w:rFonts w:ascii="Times New Roman" w:hAnsi="Times New Roman" w:cs="Times New Roman"/>
                <w:snapToGrid w:val="0"/>
                <w:lang w:eastAsia="de-DE"/>
              </w:rPr>
            </w:pPr>
            <w:r w:rsidRPr="00FB38E1">
              <w:rPr>
                <w:rFonts w:ascii="Times New Roman" w:hAnsi="Times New Roman" w:cs="Times New Roman"/>
                <w:snapToGrid w:val="0"/>
                <w:lang w:eastAsia="de-DE"/>
              </w:rPr>
              <w:t>Banka’nın finansal tablolarında, krediler ve alacaklara ve ilgili değer düşüklüğüne ilişkin TFRS 9 çerçevesinde yer alan dipnotları kontrol edilmiştir</w:t>
            </w:r>
            <w:r w:rsidR="001A2B20" w:rsidRPr="00FB38E1">
              <w:rPr>
                <w:rFonts w:ascii="Times New Roman" w:hAnsi="Times New Roman" w:cs="Times New Roman"/>
                <w:snapToGrid w:val="0"/>
                <w:lang w:eastAsia="de-DE"/>
              </w:rPr>
              <w:t>.</w:t>
            </w:r>
          </w:p>
        </w:tc>
      </w:tr>
    </w:tbl>
    <w:p w14:paraId="3801082F" w14:textId="1AA3D66F" w:rsidR="001A2B20" w:rsidRPr="00FB38E1" w:rsidRDefault="001A2B20" w:rsidP="00364B59">
      <w:pPr>
        <w:pStyle w:val="Text"/>
        <w:spacing w:line="270" w:lineRule="atLeast"/>
        <w:rPr>
          <w:rFonts w:ascii="Times New Roman" w:hAnsi="Times New Roman" w:cs="Times New Roman"/>
          <w:szCs w:val="24"/>
        </w:rPr>
      </w:pPr>
    </w:p>
    <w:p w14:paraId="1A660E42" w14:textId="6045C895" w:rsidR="001A2B20" w:rsidRPr="00FB38E1" w:rsidRDefault="001A2B20" w:rsidP="00364B59">
      <w:pPr>
        <w:pStyle w:val="Text"/>
        <w:spacing w:line="270" w:lineRule="atLeast"/>
        <w:rPr>
          <w:rFonts w:ascii="Times New Roman" w:hAnsi="Times New Roman" w:cs="Times New Roman"/>
          <w:szCs w:val="24"/>
        </w:rPr>
      </w:pPr>
    </w:p>
    <w:p w14:paraId="702CF702" w14:textId="080D03BD" w:rsidR="001A2B20" w:rsidRPr="00FB38E1" w:rsidRDefault="001A2B20" w:rsidP="00364B59">
      <w:pPr>
        <w:pStyle w:val="Text"/>
        <w:spacing w:line="270" w:lineRule="atLeast"/>
        <w:rPr>
          <w:rFonts w:ascii="Times New Roman" w:hAnsi="Times New Roman" w:cs="Times New Roman"/>
          <w:szCs w:val="24"/>
        </w:rPr>
      </w:pPr>
    </w:p>
    <w:p w14:paraId="76550E72" w14:textId="381832BC" w:rsidR="001A2B20" w:rsidRPr="00FB38E1" w:rsidRDefault="001A2B20" w:rsidP="00364B59">
      <w:pPr>
        <w:pStyle w:val="Text"/>
        <w:spacing w:line="270" w:lineRule="atLeast"/>
        <w:rPr>
          <w:rFonts w:ascii="Times New Roman" w:hAnsi="Times New Roman" w:cs="Times New Roman"/>
          <w:szCs w:val="24"/>
        </w:rPr>
      </w:pPr>
    </w:p>
    <w:p w14:paraId="135F31F0" w14:textId="460B7D48" w:rsidR="001A2B20" w:rsidRPr="00FB38E1" w:rsidRDefault="001A2B20" w:rsidP="00364B59">
      <w:pPr>
        <w:pStyle w:val="Text"/>
        <w:spacing w:line="270" w:lineRule="atLeast"/>
        <w:rPr>
          <w:rFonts w:ascii="Times New Roman" w:hAnsi="Times New Roman" w:cs="Times New Roman"/>
          <w:szCs w:val="24"/>
        </w:rPr>
      </w:pPr>
    </w:p>
    <w:p w14:paraId="41D21CBB" w14:textId="34A50927" w:rsidR="001A2B20" w:rsidRPr="00FB38E1" w:rsidRDefault="001A2B20" w:rsidP="00364B59">
      <w:pPr>
        <w:pStyle w:val="Text"/>
        <w:spacing w:line="270" w:lineRule="atLeast"/>
        <w:rPr>
          <w:rFonts w:ascii="Times New Roman" w:hAnsi="Times New Roman" w:cs="Times New Roman"/>
          <w:szCs w:val="24"/>
        </w:rPr>
      </w:pPr>
    </w:p>
    <w:p w14:paraId="3A5CE121" w14:textId="18357F2A" w:rsidR="001A2B20" w:rsidRPr="00FB38E1" w:rsidRDefault="001A2B20" w:rsidP="00364B59">
      <w:pPr>
        <w:pStyle w:val="Text"/>
        <w:spacing w:line="270" w:lineRule="atLeast"/>
        <w:rPr>
          <w:rFonts w:ascii="Times New Roman" w:hAnsi="Times New Roman" w:cs="Times New Roman"/>
          <w:szCs w:val="24"/>
        </w:rPr>
      </w:pPr>
    </w:p>
    <w:p w14:paraId="575C2F5F" w14:textId="0692236F" w:rsidR="001A2B20" w:rsidRPr="00FB38E1" w:rsidRDefault="001A2B20" w:rsidP="00364B59">
      <w:pPr>
        <w:pStyle w:val="Text"/>
        <w:spacing w:line="270" w:lineRule="atLeast"/>
        <w:rPr>
          <w:rFonts w:ascii="Times New Roman" w:hAnsi="Times New Roman" w:cs="Times New Roman"/>
          <w:szCs w:val="24"/>
        </w:rPr>
      </w:pPr>
    </w:p>
    <w:p w14:paraId="2F661D96" w14:textId="7B89C92C" w:rsidR="001A2B20" w:rsidRPr="00FB38E1" w:rsidRDefault="001A2B20" w:rsidP="00364B59">
      <w:pPr>
        <w:pStyle w:val="Text"/>
        <w:spacing w:line="270" w:lineRule="atLeast"/>
        <w:rPr>
          <w:rFonts w:ascii="Times New Roman" w:hAnsi="Times New Roman" w:cs="Times New Roman"/>
          <w:szCs w:val="24"/>
        </w:rPr>
      </w:pPr>
    </w:p>
    <w:p w14:paraId="6FF79A56" w14:textId="08E8D11A" w:rsidR="001A2B20" w:rsidRPr="00FB38E1" w:rsidRDefault="001A2B20" w:rsidP="00364B59">
      <w:pPr>
        <w:pStyle w:val="Text"/>
        <w:spacing w:line="270" w:lineRule="atLeast"/>
        <w:rPr>
          <w:rFonts w:ascii="Times New Roman" w:hAnsi="Times New Roman" w:cs="Times New Roman"/>
          <w:szCs w:val="24"/>
        </w:rPr>
      </w:pPr>
    </w:p>
    <w:p w14:paraId="66AA8FA9" w14:textId="38562F98" w:rsidR="001A2B20" w:rsidRPr="00FB38E1" w:rsidRDefault="001A2B20" w:rsidP="00364B59">
      <w:pPr>
        <w:pStyle w:val="Text"/>
        <w:spacing w:line="270" w:lineRule="atLeast"/>
        <w:rPr>
          <w:rFonts w:ascii="Times New Roman" w:hAnsi="Times New Roman" w:cs="Times New Roman"/>
          <w:szCs w:val="24"/>
        </w:rPr>
      </w:pPr>
    </w:p>
    <w:p w14:paraId="5D6CB4F5" w14:textId="2E66F392" w:rsidR="001A2B20" w:rsidRPr="00FB38E1" w:rsidRDefault="001A2B20" w:rsidP="00364B59">
      <w:pPr>
        <w:pStyle w:val="Text"/>
        <w:spacing w:line="270" w:lineRule="atLeast"/>
        <w:rPr>
          <w:rFonts w:ascii="Times New Roman" w:hAnsi="Times New Roman" w:cs="Times New Roman"/>
          <w:szCs w:val="24"/>
        </w:rPr>
      </w:pPr>
    </w:p>
    <w:p w14:paraId="3E9AF657" w14:textId="59E93A53" w:rsidR="001A2B20" w:rsidRPr="00FB38E1" w:rsidRDefault="001A2B20" w:rsidP="00364B59">
      <w:pPr>
        <w:pStyle w:val="Text"/>
        <w:spacing w:line="270" w:lineRule="atLeast"/>
        <w:rPr>
          <w:rFonts w:ascii="Times New Roman" w:hAnsi="Times New Roman" w:cs="Times New Roman"/>
          <w:szCs w:val="24"/>
        </w:rPr>
      </w:pPr>
    </w:p>
    <w:p w14:paraId="636F705F" w14:textId="4536CDC5" w:rsidR="001A2B20" w:rsidRPr="00FB38E1" w:rsidRDefault="001A2B20" w:rsidP="00364B59">
      <w:pPr>
        <w:pStyle w:val="Text"/>
        <w:spacing w:line="270" w:lineRule="atLeast"/>
        <w:rPr>
          <w:rFonts w:ascii="Times New Roman" w:hAnsi="Times New Roman" w:cs="Times New Roman"/>
          <w:szCs w:val="24"/>
        </w:rPr>
      </w:pPr>
    </w:p>
    <w:p w14:paraId="6280CF90" w14:textId="02A7AEB8" w:rsidR="001A2B20" w:rsidRPr="00FB38E1" w:rsidRDefault="001A2B20" w:rsidP="00364B59">
      <w:pPr>
        <w:pStyle w:val="Text"/>
        <w:spacing w:line="270" w:lineRule="atLeast"/>
        <w:rPr>
          <w:rFonts w:ascii="Times New Roman" w:hAnsi="Times New Roman" w:cs="Times New Roman"/>
          <w:szCs w:val="24"/>
        </w:rPr>
      </w:pPr>
    </w:p>
    <w:p w14:paraId="75E66F6E" w14:textId="244DBDB6" w:rsidR="001A2B20" w:rsidRPr="00FB38E1" w:rsidRDefault="001A2B20" w:rsidP="00364B59">
      <w:pPr>
        <w:pStyle w:val="Text"/>
        <w:spacing w:line="270" w:lineRule="atLeast"/>
        <w:rPr>
          <w:rFonts w:ascii="Times New Roman" w:hAnsi="Times New Roman" w:cs="Times New Roman"/>
          <w:szCs w:val="24"/>
        </w:rPr>
      </w:pPr>
    </w:p>
    <w:p w14:paraId="5573A524" w14:textId="50932E7E" w:rsidR="001A2B20" w:rsidRPr="00FB38E1" w:rsidRDefault="001A2B20" w:rsidP="00364B59">
      <w:pPr>
        <w:pStyle w:val="Text"/>
        <w:spacing w:line="270" w:lineRule="atLeast"/>
        <w:rPr>
          <w:rFonts w:ascii="Times New Roman" w:hAnsi="Times New Roman" w:cs="Times New Roman"/>
          <w:szCs w:val="24"/>
        </w:rPr>
      </w:pPr>
    </w:p>
    <w:p w14:paraId="396B7E80" w14:textId="6BE0CF76" w:rsidR="001A2B20" w:rsidRPr="00FB38E1" w:rsidRDefault="001A2B20" w:rsidP="00364B59">
      <w:pPr>
        <w:pStyle w:val="Text"/>
        <w:spacing w:line="270" w:lineRule="atLeast"/>
        <w:rPr>
          <w:rFonts w:ascii="Times New Roman" w:hAnsi="Times New Roman" w:cs="Times New Roman"/>
          <w:szCs w:val="24"/>
        </w:rPr>
      </w:pPr>
    </w:p>
    <w:p w14:paraId="2A83CF57" w14:textId="1DB5FE9F" w:rsidR="001A2B20" w:rsidRPr="00FB38E1" w:rsidRDefault="001A2B20" w:rsidP="00364B59">
      <w:pPr>
        <w:pStyle w:val="Text"/>
        <w:spacing w:line="270" w:lineRule="atLeast"/>
        <w:rPr>
          <w:rFonts w:ascii="Times New Roman" w:hAnsi="Times New Roman" w:cs="Times New Roman"/>
          <w:szCs w:val="24"/>
        </w:rPr>
      </w:pPr>
    </w:p>
    <w:p w14:paraId="69F5CE36" w14:textId="15F4CD27" w:rsidR="001A2B20" w:rsidRPr="00FB38E1" w:rsidRDefault="001A2B20" w:rsidP="00364B59">
      <w:pPr>
        <w:pStyle w:val="Text"/>
        <w:spacing w:line="270" w:lineRule="atLeast"/>
        <w:rPr>
          <w:rFonts w:ascii="Times New Roman" w:hAnsi="Times New Roman" w:cs="Times New Roman"/>
          <w:szCs w:val="24"/>
        </w:rPr>
      </w:pPr>
    </w:p>
    <w:p w14:paraId="6B6F1B58" w14:textId="224E0822" w:rsidR="001A2B20" w:rsidRPr="00FB38E1" w:rsidRDefault="001A2B20" w:rsidP="00364B59">
      <w:pPr>
        <w:pStyle w:val="Text"/>
        <w:spacing w:line="270" w:lineRule="atLeast"/>
        <w:rPr>
          <w:rFonts w:ascii="Times New Roman" w:hAnsi="Times New Roman" w:cs="Times New Roman"/>
          <w:szCs w:val="24"/>
        </w:rPr>
      </w:pPr>
    </w:p>
    <w:p w14:paraId="269ACF1A" w14:textId="1C07EE9E" w:rsidR="001A2B20" w:rsidRPr="00FB38E1" w:rsidRDefault="001A2B20" w:rsidP="00364B59">
      <w:pPr>
        <w:pStyle w:val="Text"/>
        <w:spacing w:line="270" w:lineRule="atLeast"/>
        <w:rPr>
          <w:rFonts w:ascii="Times New Roman" w:hAnsi="Times New Roman" w:cs="Times New Roman"/>
          <w:szCs w:val="24"/>
        </w:rPr>
      </w:pPr>
    </w:p>
    <w:p w14:paraId="7759D286" w14:textId="3F477947" w:rsidR="001A2B20" w:rsidRPr="00FB38E1" w:rsidRDefault="001A2B20" w:rsidP="00364B59">
      <w:pPr>
        <w:pStyle w:val="Text"/>
        <w:spacing w:line="270" w:lineRule="atLeast"/>
        <w:rPr>
          <w:rFonts w:ascii="Times New Roman" w:hAnsi="Times New Roman" w:cs="Times New Roman"/>
          <w:szCs w:val="24"/>
        </w:rPr>
      </w:pPr>
    </w:p>
    <w:p w14:paraId="34046539" w14:textId="77777777" w:rsidR="007F424E" w:rsidRPr="00FB38E1" w:rsidRDefault="007F424E" w:rsidP="00364B59">
      <w:pPr>
        <w:pStyle w:val="Text"/>
        <w:spacing w:line="270" w:lineRule="atLeast"/>
        <w:rPr>
          <w:rFonts w:ascii="Times New Roman" w:hAnsi="Times New Roman" w:cs="Times New Roman"/>
          <w:szCs w:val="24"/>
        </w:rPr>
      </w:pPr>
    </w:p>
    <w:p w14:paraId="142DA518" w14:textId="36234237" w:rsidR="001A2B20" w:rsidRPr="00FB38E1" w:rsidRDefault="001A2B20" w:rsidP="00364B59">
      <w:pPr>
        <w:pStyle w:val="Text"/>
        <w:spacing w:line="270" w:lineRule="atLeast"/>
        <w:rPr>
          <w:rFonts w:ascii="Times New Roman" w:hAnsi="Times New Roman" w:cs="Times New Roman"/>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820"/>
      </w:tblGrid>
      <w:tr w:rsidR="001A2B20" w:rsidRPr="00FB38E1" w14:paraId="00EEBED4" w14:textId="77777777" w:rsidTr="007F0BAF">
        <w:trPr>
          <w:trHeight w:val="1094"/>
        </w:trPr>
        <w:tc>
          <w:tcPr>
            <w:tcW w:w="4536" w:type="dxa"/>
            <w:tcBorders>
              <w:top w:val="single" w:sz="4" w:space="0" w:color="auto"/>
              <w:left w:val="single" w:sz="4" w:space="0" w:color="auto"/>
              <w:bottom w:val="single" w:sz="4" w:space="0" w:color="auto"/>
              <w:right w:val="single" w:sz="4" w:space="0" w:color="auto"/>
            </w:tcBorders>
          </w:tcPr>
          <w:p w14:paraId="5A6939CE" w14:textId="77777777" w:rsidR="001A2B20" w:rsidRPr="00FB38E1" w:rsidRDefault="001A2B20" w:rsidP="007F0BAF">
            <w:pPr>
              <w:autoSpaceDE w:val="0"/>
              <w:autoSpaceDN w:val="0"/>
              <w:adjustRightInd w:val="0"/>
              <w:spacing w:after="0" w:line="290" w:lineRule="atLeast"/>
              <w:rPr>
                <w:rFonts w:ascii="Times New Roman" w:hAnsi="Times New Roman" w:cs="Times New Roman"/>
                <w:b/>
                <w:i/>
              </w:rPr>
            </w:pPr>
          </w:p>
          <w:p w14:paraId="11DB7B2B" w14:textId="77777777" w:rsidR="001A2B20" w:rsidRPr="00FB38E1" w:rsidRDefault="001A2B20" w:rsidP="007F0BAF">
            <w:pPr>
              <w:autoSpaceDE w:val="0"/>
              <w:autoSpaceDN w:val="0"/>
              <w:adjustRightInd w:val="0"/>
              <w:rPr>
                <w:rFonts w:ascii="Times New Roman" w:hAnsi="Times New Roman" w:cs="Times New Roman"/>
                <w:b/>
                <w:i/>
              </w:rPr>
            </w:pPr>
            <w:r w:rsidRPr="00FB38E1">
              <w:rPr>
                <w:rFonts w:ascii="Times New Roman" w:hAnsi="Times New Roman" w:cs="Times New Roman"/>
                <w:b/>
                <w:i/>
              </w:rPr>
              <w:t>Bilgi teknolojileri denetimi</w:t>
            </w:r>
          </w:p>
          <w:p w14:paraId="2C10D73F" w14:textId="0C50C745" w:rsidR="001A2B20" w:rsidRPr="00FB38E1" w:rsidRDefault="003E6BDD" w:rsidP="007F0BAF">
            <w:pPr>
              <w:autoSpaceDE w:val="0"/>
              <w:autoSpaceDN w:val="0"/>
              <w:adjustRightInd w:val="0"/>
              <w:rPr>
                <w:rFonts w:ascii="Times New Roman" w:hAnsi="Times New Roman" w:cs="Times New Roman"/>
                <w:b/>
                <w:i/>
              </w:rPr>
            </w:pPr>
            <w:r w:rsidRPr="00FB38E1">
              <w:rPr>
                <w:rFonts w:ascii="Times New Roman" w:hAnsi="Times New Roman" w:cs="Times New Roman"/>
              </w:rPr>
              <w:t>Banka, operasyonlarının sürekliliği ve finansal operasyonları için Bilgi teknolojileri altyapısına bağımlıdır ve Bankada teknoloji destekli hizmetlere olan talep hızla artmaktadır. Elektronik veri işlemesinin güvenilirliği ve sürekliliği üzerindeki kontroller, bilgi sistemleri iç kontroller denetiminin kapsamındadır. Banka’nın bilgi sistemlerine bağımlı olması ile erişim haklarına, sistemlerin sürekliliğinin, elektronik verilerin mahremiyetinin ve bütünlüğünün sağlanmasına ilişkin kontroller kritik önem taşımakta ve risk bazlı denetim planında bu önceliklere göre kapsam oluşturulmakta ve ilgili kapsama göre denetim uygulanmaktadır.</w:t>
            </w:r>
          </w:p>
        </w:tc>
        <w:tc>
          <w:tcPr>
            <w:tcW w:w="4820" w:type="dxa"/>
            <w:tcBorders>
              <w:top w:val="single" w:sz="4" w:space="0" w:color="auto"/>
              <w:left w:val="single" w:sz="4" w:space="0" w:color="auto"/>
              <w:bottom w:val="single" w:sz="4" w:space="0" w:color="auto"/>
              <w:right w:val="single" w:sz="4" w:space="0" w:color="auto"/>
            </w:tcBorders>
          </w:tcPr>
          <w:p w14:paraId="1D1E4F53" w14:textId="77777777" w:rsidR="001A2B20" w:rsidRPr="00FB38E1" w:rsidRDefault="001A2B20" w:rsidP="007F0BAF">
            <w:pPr>
              <w:spacing w:after="0" w:line="290" w:lineRule="atLeast"/>
              <w:rPr>
                <w:rFonts w:ascii="Times New Roman" w:hAnsi="Times New Roman" w:cs="Times New Roman"/>
              </w:rPr>
            </w:pPr>
          </w:p>
          <w:p w14:paraId="7D6893B6" w14:textId="77777777" w:rsidR="003E6BDD" w:rsidRPr="00FB38E1" w:rsidRDefault="003E6BDD" w:rsidP="003E6BDD">
            <w:pPr>
              <w:rPr>
                <w:rFonts w:ascii="Times New Roman" w:hAnsi="Times New Roman" w:cs="Times New Roman"/>
              </w:rPr>
            </w:pPr>
            <w:r w:rsidRPr="00FB38E1">
              <w:rPr>
                <w:rFonts w:ascii="Times New Roman" w:hAnsi="Times New Roman" w:cs="Times New Roman"/>
              </w:rPr>
              <w:t xml:space="preserve">Bilgi teknolojileri denetim çalışmalarımız kapsamında gerçekleştirilen prosedürler: </w:t>
            </w:r>
          </w:p>
          <w:p w14:paraId="2FF7BB68" w14:textId="77777777" w:rsidR="003E6BDD" w:rsidRPr="00FB38E1" w:rsidRDefault="003E6BDD" w:rsidP="003E6BDD">
            <w:pPr>
              <w:pStyle w:val="ListParagraph"/>
              <w:numPr>
                <w:ilvl w:val="0"/>
                <w:numId w:val="71"/>
              </w:numPr>
              <w:spacing w:after="0"/>
              <w:rPr>
                <w:rFonts w:ascii="Times New Roman" w:hAnsi="Times New Roman" w:cs="Times New Roman"/>
              </w:rPr>
            </w:pPr>
            <w:r w:rsidRPr="00FB38E1">
              <w:rPr>
                <w:rFonts w:ascii="Times New Roman" w:hAnsi="Times New Roman" w:cs="Times New Roman"/>
              </w:rPr>
              <w:t xml:space="preserve">Banka’nın bilgi sistemleri üzerindeki kontrolleri risk bazlı yaklaşımla tarafımızca tespit edilmiş, anlaşılmış ve test edilmiştir. </w:t>
            </w:r>
          </w:p>
          <w:p w14:paraId="4DDD5C39" w14:textId="77777777" w:rsidR="003E6BDD" w:rsidRPr="00FB38E1" w:rsidRDefault="003E6BDD" w:rsidP="003E6BDD">
            <w:pPr>
              <w:pStyle w:val="ListParagraph"/>
              <w:ind w:left="0"/>
              <w:rPr>
                <w:rFonts w:ascii="Times New Roman" w:hAnsi="Times New Roman" w:cs="Times New Roman"/>
              </w:rPr>
            </w:pPr>
          </w:p>
          <w:p w14:paraId="4027CF93" w14:textId="77777777" w:rsidR="003E6BDD" w:rsidRPr="00FB38E1" w:rsidRDefault="003E6BDD" w:rsidP="003E6BDD">
            <w:pPr>
              <w:pStyle w:val="ListParagraph"/>
              <w:numPr>
                <w:ilvl w:val="0"/>
                <w:numId w:val="71"/>
              </w:numPr>
              <w:spacing w:after="0"/>
              <w:rPr>
                <w:rFonts w:ascii="Times New Roman" w:hAnsi="Times New Roman" w:cs="Times New Roman"/>
              </w:rPr>
            </w:pPr>
            <w:r w:rsidRPr="00FB38E1">
              <w:rPr>
                <w:rFonts w:ascii="Times New Roman" w:hAnsi="Times New Roman" w:cs="Times New Roman"/>
              </w:rPr>
              <w:t>Verilerin oluşumu, iletimi ve saklanması süreçlerinde rol alan finansal tablolar açısından önemli bilgi sistemleri katmanlarını (uygulamalar, veri tabanları, işletim sistemleri ve ağ seviyeleri) içermektedir. Test ettiğimiz bilgi sistemleri kontrolleri genel olarak aşağıda sıralanan alanlarda kategorize edilmektedir:</w:t>
            </w:r>
          </w:p>
          <w:p w14:paraId="5252FE36" w14:textId="77777777" w:rsidR="003E6BDD" w:rsidRPr="00FB38E1" w:rsidRDefault="003E6BDD" w:rsidP="003E6BDD">
            <w:pPr>
              <w:rPr>
                <w:rFonts w:ascii="Times New Roman" w:hAnsi="Times New Roman" w:cs="Times New Roman"/>
              </w:rPr>
            </w:pPr>
            <w:r w:rsidRPr="00FB38E1">
              <w:rPr>
                <w:rFonts w:ascii="Times New Roman" w:hAnsi="Times New Roman" w:cs="Times New Roman"/>
              </w:rPr>
              <w:t xml:space="preserve"> </w:t>
            </w:r>
          </w:p>
          <w:p w14:paraId="54EF4637" w14:textId="77777777" w:rsidR="003E6BDD" w:rsidRPr="00FB38E1" w:rsidRDefault="003E6BDD" w:rsidP="003E6BDD">
            <w:pPr>
              <w:spacing w:after="0"/>
              <w:rPr>
                <w:rFonts w:ascii="Times New Roman" w:hAnsi="Times New Roman" w:cs="Times New Roman"/>
              </w:rPr>
            </w:pPr>
            <w:r w:rsidRPr="00FB38E1">
              <w:rPr>
                <w:rFonts w:ascii="Times New Roman" w:hAnsi="Times New Roman" w:cs="Times New Roman"/>
              </w:rPr>
              <w:t>•    Erişim Güvenliği</w:t>
            </w:r>
          </w:p>
          <w:p w14:paraId="7A659BB2" w14:textId="77777777" w:rsidR="003E6BDD" w:rsidRPr="00FB38E1" w:rsidRDefault="003E6BDD" w:rsidP="003E6BDD">
            <w:pPr>
              <w:spacing w:after="0"/>
              <w:rPr>
                <w:rFonts w:ascii="Times New Roman" w:hAnsi="Times New Roman" w:cs="Times New Roman"/>
              </w:rPr>
            </w:pPr>
            <w:r w:rsidRPr="00FB38E1">
              <w:rPr>
                <w:rFonts w:ascii="Times New Roman" w:hAnsi="Times New Roman" w:cs="Times New Roman"/>
              </w:rPr>
              <w:t xml:space="preserve">•    Değişiklik Yönetimi </w:t>
            </w:r>
          </w:p>
          <w:p w14:paraId="2712F533" w14:textId="77777777" w:rsidR="003E6BDD" w:rsidRPr="00FB38E1" w:rsidRDefault="003E6BDD" w:rsidP="003E6BDD">
            <w:pPr>
              <w:rPr>
                <w:rFonts w:ascii="Times New Roman" w:hAnsi="Times New Roman" w:cs="Times New Roman"/>
              </w:rPr>
            </w:pPr>
            <w:r w:rsidRPr="00FB38E1">
              <w:rPr>
                <w:rFonts w:ascii="Times New Roman" w:hAnsi="Times New Roman" w:cs="Times New Roman"/>
              </w:rPr>
              <w:t>•    Veri Merkezi ve Ağ Operasyonları</w:t>
            </w:r>
          </w:p>
          <w:p w14:paraId="1D5570FC" w14:textId="77777777" w:rsidR="003E6BDD" w:rsidRPr="00FB38E1" w:rsidRDefault="003E6BDD" w:rsidP="003E6BDD">
            <w:pPr>
              <w:pStyle w:val="ListParagraph"/>
              <w:numPr>
                <w:ilvl w:val="0"/>
                <w:numId w:val="71"/>
              </w:numPr>
              <w:spacing w:after="0"/>
              <w:rPr>
                <w:rFonts w:ascii="Times New Roman" w:hAnsi="Times New Roman" w:cs="Times New Roman"/>
              </w:rPr>
            </w:pPr>
            <w:r w:rsidRPr="00FB38E1">
              <w:rPr>
                <w:rFonts w:ascii="Times New Roman" w:hAnsi="Times New Roman" w:cs="Times New Roman"/>
              </w:rPr>
              <w:t>Yüksek riskli kontrol alanları olarak, finansal verilere yetkisiz erişimlerin engellenmesi ve önlenmesine ilişkin veri tabanı ve uygulama seviyelerinde denetim izlerinin oluşturulması ve izlenmesi ile değişiklik yönetimi kontrol aktiviteleri belirlenmiştir.</w:t>
            </w:r>
          </w:p>
          <w:p w14:paraId="71DC23A6" w14:textId="77777777" w:rsidR="003E6BDD" w:rsidRPr="00FB38E1" w:rsidRDefault="003E6BDD" w:rsidP="003E6BDD">
            <w:pPr>
              <w:pStyle w:val="ListParagraph"/>
              <w:numPr>
                <w:ilvl w:val="0"/>
                <w:numId w:val="71"/>
              </w:numPr>
              <w:spacing w:after="0"/>
              <w:rPr>
                <w:rFonts w:ascii="Times New Roman" w:hAnsi="Times New Roman" w:cs="Times New Roman"/>
              </w:rPr>
            </w:pPr>
            <w:r w:rsidRPr="00FB38E1">
              <w:rPr>
                <w:rFonts w:ascii="Times New Roman" w:hAnsi="Times New Roman" w:cs="Times New Roman"/>
              </w:rPr>
              <w:t>Finansal verilere doğrudan veya dolaylı olarak etkisi olan tüm uygulamalar için denetim izlerinin yönetimi ve erişim yönetimine ilişkin kontroller test edilmiştir.</w:t>
            </w:r>
          </w:p>
          <w:p w14:paraId="255088AC" w14:textId="77777777" w:rsidR="003E6BDD" w:rsidRPr="00FB38E1" w:rsidRDefault="003E6BDD" w:rsidP="003E6BDD">
            <w:pPr>
              <w:pStyle w:val="ListParagraph"/>
              <w:numPr>
                <w:ilvl w:val="0"/>
                <w:numId w:val="71"/>
              </w:numPr>
              <w:spacing w:after="0"/>
              <w:rPr>
                <w:rFonts w:ascii="Times New Roman" w:hAnsi="Times New Roman" w:cs="Times New Roman"/>
              </w:rPr>
            </w:pPr>
            <w:r w:rsidRPr="00FB38E1">
              <w:rPr>
                <w:rFonts w:ascii="Times New Roman" w:hAnsi="Times New Roman" w:cs="Times New Roman"/>
              </w:rPr>
              <w:t>Finansal verilerin oluşum sürecinin temelini anlamak ve değişiklik ve erişimlerin tespiti amacıyla otomatik kontroller ve entegrasyon kontrolleri test edilmiştir.</w:t>
            </w:r>
          </w:p>
          <w:p w14:paraId="1D980195" w14:textId="77777777" w:rsidR="003E6BDD" w:rsidRPr="00FB38E1" w:rsidRDefault="003E6BDD" w:rsidP="003E6BDD">
            <w:pPr>
              <w:pStyle w:val="ListParagraph"/>
              <w:numPr>
                <w:ilvl w:val="0"/>
                <w:numId w:val="71"/>
              </w:numPr>
              <w:spacing w:after="0"/>
              <w:rPr>
                <w:rFonts w:ascii="Times New Roman" w:hAnsi="Times New Roman" w:cs="Times New Roman"/>
              </w:rPr>
            </w:pPr>
            <w:r w:rsidRPr="00FB38E1">
              <w:rPr>
                <w:rFonts w:ascii="Times New Roman" w:hAnsi="Times New Roman" w:cs="Times New Roman"/>
              </w:rPr>
              <w:t xml:space="preserve">Bununla birlikte, kontrollere girdi sağlayan ve BT bileşenleri tarafından üretilen raporların tamlık ve doğruluğuna ilişkin testler gerçekleştirilmiştir. </w:t>
            </w:r>
          </w:p>
          <w:p w14:paraId="3C5A8C8F" w14:textId="0C22C51C" w:rsidR="001A2B20" w:rsidRPr="00FB38E1" w:rsidRDefault="003E6BDD" w:rsidP="003E6BDD">
            <w:pPr>
              <w:pStyle w:val="ListParagraph"/>
              <w:numPr>
                <w:ilvl w:val="0"/>
                <w:numId w:val="71"/>
              </w:numPr>
              <w:autoSpaceDE w:val="0"/>
              <w:autoSpaceDN w:val="0"/>
              <w:adjustRightInd w:val="0"/>
              <w:spacing w:after="0"/>
              <w:rPr>
                <w:rFonts w:ascii="Times New Roman" w:hAnsi="Times New Roman" w:cs="Times New Roman"/>
              </w:rPr>
            </w:pPr>
            <w:r w:rsidRPr="00FB38E1">
              <w:rPr>
                <w:rFonts w:ascii="Times New Roman" w:hAnsi="Times New Roman" w:cs="Times New Roman"/>
              </w:rPr>
              <w:t>Ayrıca, kapsamda yer alan uygulamaların veri tabanı, ağ ve işletim sistemi seviyelerine ilişkin kontroller test edilmiştir</w:t>
            </w:r>
            <w:r w:rsidR="001A2B20" w:rsidRPr="00FB38E1">
              <w:rPr>
                <w:rFonts w:ascii="Times New Roman" w:hAnsi="Times New Roman" w:cs="Times New Roman"/>
              </w:rPr>
              <w:t>.</w:t>
            </w:r>
          </w:p>
          <w:p w14:paraId="49594667" w14:textId="42406B20" w:rsidR="001A2B20" w:rsidRPr="00FB38E1" w:rsidRDefault="001A2B20" w:rsidP="001A2B20">
            <w:pPr>
              <w:pStyle w:val="ListParagraph"/>
              <w:autoSpaceDE w:val="0"/>
              <w:autoSpaceDN w:val="0"/>
              <w:adjustRightInd w:val="0"/>
              <w:spacing w:after="0"/>
              <w:ind w:left="360"/>
              <w:rPr>
                <w:rFonts w:ascii="Times New Roman" w:hAnsi="Times New Roman" w:cs="Times New Roman"/>
              </w:rPr>
            </w:pPr>
          </w:p>
        </w:tc>
      </w:tr>
    </w:tbl>
    <w:p w14:paraId="01B0102D" w14:textId="77777777" w:rsidR="001A2B20" w:rsidRPr="00FB38E1" w:rsidRDefault="001A2B20" w:rsidP="00364B59">
      <w:pPr>
        <w:pStyle w:val="Text"/>
        <w:spacing w:line="270" w:lineRule="atLeast"/>
        <w:rPr>
          <w:rFonts w:ascii="Times New Roman" w:hAnsi="Times New Roman" w:cs="Times New Roman"/>
          <w:szCs w:val="24"/>
        </w:rPr>
      </w:pPr>
    </w:p>
    <w:p w14:paraId="5BDF585E" w14:textId="77777777" w:rsidR="001A2B20" w:rsidRPr="00FB38E1" w:rsidRDefault="001A2B20" w:rsidP="00364B59">
      <w:pPr>
        <w:pStyle w:val="Text"/>
        <w:spacing w:line="270" w:lineRule="atLeast"/>
        <w:rPr>
          <w:rFonts w:ascii="Times New Roman" w:hAnsi="Times New Roman" w:cs="Times New Roman"/>
          <w:szCs w:val="24"/>
        </w:rPr>
      </w:pPr>
    </w:p>
    <w:p w14:paraId="5330D5EC" w14:textId="138B979A" w:rsidR="001A2B20" w:rsidRPr="00FB38E1" w:rsidRDefault="001A2B20" w:rsidP="00364B59">
      <w:pPr>
        <w:pStyle w:val="Text"/>
        <w:spacing w:line="270" w:lineRule="atLeast"/>
        <w:rPr>
          <w:rFonts w:ascii="Times New Roman" w:hAnsi="Times New Roman" w:cs="Times New Roman"/>
          <w:szCs w:val="24"/>
        </w:rPr>
      </w:pPr>
    </w:p>
    <w:p w14:paraId="6D43B2C1" w14:textId="592D7EB6" w:rsidR="001A2B20" w:rsidRPr="00FB38E1" w:rsidRDefault="001A2B20" w:rsidP="00364B59">
      <w:pPr>
        <w:pStyle w:val="Text"/>
        <w:spacing w:line="270" w:lineRule="atLeast"/>
        <w:rPr>
          <w:rFonts w:ascii="Times New Roman" w:hAnsi="Times New Roman" w:cs="Times New Roman"/>
          <w:szCs w:val="24"/>
        </w:rPr>
      </w:pPr>
    </w:p>
    <w:p w14:paraId="4162FBD6" w14:textId="0D6413EA" w:rsidR="001A2B20" w:rsidRPr="00FB38E1" w:rsidRDefault="001A2B20" w:rsidP="00364B59">
      <w:pPr>
        <w:pStyle w:val="Text"/>
        <w:spacing w:line="270" w:lineRule="atLeast"/>
        <w:rPr>
          <w:rFonts w:ascii="Times New Roman" w:hAnsi="Times New Roman" w:cs="Times New Roman"/>
          <w:szCs w:val="24"/>
        </w:rPr>
      </w:pPr>
    </w:p>
    <w:p w14:paraId="535CC34F" w14:textId="28BD9C98" w:rsidR="001A2B20" w:rsidRPr="00FB38E1" w:rsidRDefault="001A2B20" w:rsidP="00364B59">
      <w:pPr>
        <w:pStyle w:val="Text"/>
        <w:spacing w:line="270" w:lineRule="atLeast"/>
        <w:rPr>
          <w:rFonts w:ascii="Times New Roman" w:hAnsi="Times New Roman" w:cs="Times New Roman"/>
          <w:szCs w:val="24"/>
        </w:rPr>
      </w:pPr>
    </w:p>
    <w:p w14:paraId="0D2D4678" w14:textId="1CF51581" w:rsidR="001A2B20" w:rsidRPr="00FB38E1" w:rsidRDefault="001A2B20" w:rsidP="00364B59">
      <w:pPr>
        <w:pStyle w:val="Text"/>
        <w:spacing w:line="270" w:lineRule="atLeast"/>
        <w:rPr>
          <w:rFonts w:ascii="Times New Roman" w:hAnsi="Times New Roman" w:cs="Times New Roman"/>
          <w:szCs w:val="24"/>
        </w:rPr>
      </w:pPr>
    </w:p>
    <w:p w14:paraId="0146BA47" w14:textId="1164E30E" w:rsidR="001A2B20" w:rsidRPr="00FB38E1" w:rsidRDefault="001A2B20" w:rsidP="00364B59">
      <w:pPr>
        <w:pStyle w:val="Text"/>
        <w:spacing w:line="270" w:lineRule="atLeast"/>
        <w:rPr>
          <w:rFonts w:ascii="Times New Roman" w:hAnsi="Times New Roman" w:cs="Times New Roman"/>
          <w:szCs w:val="24"/>
        </w:rPr>
      </w:pPr>
    </w:p>
    <w:p w14:paraId="66673879" w14:textId="20EE5BA1" w:rsidR="001A2B20" w:rsidRPr="00FB38E1" w:rsidRDefault="001A2B20" w:rsidP="00364B59">
      <w:pPr>
        <w:pStyle w:val="Text"/>
        <w:spacing w:line="270" w:lineRule="atLeast"/>
        <w:rPr>
          <w:rFonts w:ascii="Times New Roman" w:hAnsi="Times New Roman" w:cs="Times New Roman"/>
          <w:szCs w:val="24"/>
        </w:rPr>
      </w:pPr>
    </w:p>
    <w:p w14:paraId="733DED3A" w14:textId="29C2BDB0" w:rsidR="001A2B20" w:rsidRPr="00FB38E1" w:rsidRDefault="001A2B20" w:rsidP="00364B59">
      <w:pPr>
        <w:pStyle w:val="Text"/>
        <w:spacing w:line="270" w:lineRule="atLeast"/>
        <w:rPr>
          <w:rFonts w:ascii="Times New Roman" w:hAnsi="Times New Roman" w:cs="Times New Roman"/>
          <w:szCs w:val="24"/>
        </w:rPr>
      </w:pPr>
    </w:p>
    <w:p w14:paraId="2EF3C6E8" w14:textId="59226E13" w:rsidR="001A2B20" w:rsidRPr="00FB38E1" w:rsidRDefault="001A2B20" w:rsidP="00364B59">
      <w:pPr>
        <w:pStyle w:val="Text"/>
        <w:spacing w:line="270" w:lineRule="atLeast"/>
        <w:rPr>
          <w:rFonts w:ascii="Times New Roman" w:hAnsi="Times New Roman" w:cs="Times New Roman"/>
          <w:szCs w:val="24"/>
        </w:rPr>
      </w:pPr>
    </w:p>
    <w:p w14:paraId="18E5A6CC" w14:textId="3D3C960F" w:rsidR="001A2B20" w:rsidRPr="00FB38E1" w:rsidRDefault="001A2B20" w:rsidP="00364B59">
      <w:pPr>
        <w:pStyle w:val="Text"/>
        <w:spacing w:line="270" w:lineRule="atLeast"/>
        <w:rPr>
          <w:rFonts w:ascii="Times New Roman" w:hAnsi="Times New Roman" w:cs="Times New Roman"/>
          <w:szCs w:val="24"/>
        </w:rPr>
      </w:pPr>
    </w:p>
    <w:p w14:paraId="58558EE5" w14:textId="6557D20A" w:rsidR="001A2B20" w:rsidRPr="00FB38E1" w:rsidRDefault="001A2B20" w:rsidP="00364B59">
      <w:pPr>
        <w:pStyle w:val="Text"/>
        <w:spacing w:line="270" w:lineRule="atLeast"/>
        <w:rPr>
          <w:rFonts w:ascii="Times New Roman" w:hAnsi="Times New Roman" w:cs="Times New Roman"/>
          <w:szCs w:val="24"/>
        </w:rPr>
      </w:pPr>
    </w:p>
    <w:p w14:paraId="7521A438" w14:textId="26A5E956" w:rsidR="001A2B20" w:rsidRPr="00FB38E1" w:rsidRDefault="001A2B20" w:rsidP="00364B59">
      <w:pPr>
        <w:pStyle w:val="Text"/>
        <w:spacing w:line="270" w:lineRule="atLeast"/>
        <w:rPr>
          <w:rFonts w:ascii="Times New Roman" w:hAnsi="Times New Roman" w:cs="Times New Roman"/>
          <w:szCs w:val="24"/>
        </w:rPr>
      </w:pPr>
    </w:p>
    <w:p w14:paraId="45F55EC9" w14:textId="714216FD" w:rsidR="001A2B20" w:rsidRPr="00FB38E1" w:rsidRDefault="001A2B20" w:rsidP="00364B59">
      <w:pPr>
        <w:pStyle w:val="Text"/>
        <w:spacing w:line="270" w:lineRule="atLeast"/>
        <w:rPr>
          <w:rFonts w:ascii="Times New Roman" w:hAnsi="Times New Roman" w:cs="Times New Roman"/>
          <w:szCs w:val="24"/>
        </w:rPr>
      </w:pPr>
    </w:p>
    <w:p w14:paraId="6D1EF5B3" w14:textId="57C4D2E1" w:rsidR="001A2B20" w:rsidRPr="00FB38E1" w:rsidRDefault="001A2B20" w:rsidP="00364B59">
      <w:pPr>
        <w:pStyle w:val="Text"/>
        <w:spacing w:line="270" w:lineRule="atLeast"/>
        <w:rPr>
          <w:rFonts w:ascii="Times New Roman" w:hAnsi="Times New Roman" w:cs="Times New Roman"/>
          <w:szCs w:val="24"/>
        </w:rPr>
      </w:pPr>
    </w:p>
    <w:p w14:paraId="51E593E1" w14:textId="2C0BAEB5" w:rsidR="00364B59" w:rsidRPr="00FB38E1" w:rsidRDefault="00364B59" w:rsidP="00364B59">
      <w:pPr>
        <w:pStyle w:val="Text"/>
        <w:spacing w:line="270" w:lineRule="atLeast"/>
        <w:rPr>
          <w:rFonts w:ascii="Times New Roman" w:hAnsi="Times New Roman" w:cs="Times New Roman"/>
          <w:szCs w:val="24"/>
        </w:rPr>
      </w:pPr>
    </w:p>
    <w:p w14:paraId="573A1EE2" w14:textId="77777777" w:rsidR="00442A15" w:rsidRPr="00FB38E1" w:rsidRDefault="00442A15" w:rsidP="00364B59">
      <w:pPr>
        <w:pStyle w:val="Text"/>
        <w:spacing w:line="270" w:lineRule="atLeast"/>
        <w:rPr>
          <w:rFonts w:ascii="Times New Roman" w:hAnsi="Times New Roman" w:cs="Times New Roman"/>
          <w:szCs w:val="24"/>
        </w:rPr>
      </w:pPr>
    </w:p>
    <w:p w14:paraId="573454FE" w14:textId="77777777" w:rsidR="001A2B20" w:rsidRPr="00FB38E1" w:rsidRDefault="001A2B20" w:rsidP="00364B59">
      <w:pPr>
        <w:pStyle w:val="Text"/>
        <w:spacing w:line="270" w:lineRule="atLeast"/>
        <w:rPr>
          <w:rFonts w:ascii="Times New Roman" w:hAnsi="Times New Roman" w:cs="Times New Roman"/>
          <w:szCs w:val="24"/>
        </w:rPr>
      </w:pPr>
    </w:p>
    <w:p w14:paraId="5CE7F119" w14:textId="3E41B35A" w:rsidR="00364B59" w:rsidRPr="00FB38E1" w:rsidRDefault="00364B59" w:rsidP="00364B59">
      <w:pPr>
        <w:pStyle w:val="Text"/>
        <w:spacing w:line="270" w:lineRule="atLeast"/>
        <w:rPr>
          <w:rFonts w:ascii="Times New Roman" w:hAnsi="Times New Roman" w:cs="Times New Roman"/>
          <w:szCs w:val="24"/>
        </w:rPr>
      </w:pPr>
      <w:r w:rsidRPr="00FB38E1">
        <w:rPr>
          <w:rFonts w:ascii="Times New Roman" w:hAnsi="Times New Roman"/>
          <w:b/>
          <w:color w:val="auto"/>
        </w:rPr>
        <w:t>4)   Yönetimin ve Üst Yönetimden Sorumlu Olanların Konsolide Olmayan Finansal Tablolara İlişkin Sorumlulukları</w:t>
      </w:r>
    </w:p>
    <w:p w14:paraId="491941CB" w14:textId="77777777" w:rsidR="00364B59" w:rsidRPr="00FB38E1" w:rsidRDefault="00364B59" w:rsidP="00364B59">
      <w:pPr>
        <w:pStyle w:val="Text"/>
        <w:spacing w:line="270" w:lineRule="atLeast"/>
        <w:ind w:left="142" w:hanging="142"/>
        <w:rPr>
          <w:rFonts w:ascii="Times New Roman" w:hAnsi="Times New Roman"/>
          <w:b/>
          <w:color w:val="auto"/>
        </w:rPr>
      </w:pPr>
      <w:r w:rsidRPr="00FB38E1">
        <w:rPr>
          <w:rFonts w:ascii="Times New Roman" w:hAnsi="Times New Roman"/>
          <w:b/>
          <w:color w:val="auto"/>
        </w:rPr>
        <w:t xml:space="preserve"> </w:t>
      </w:r>
    </w:p>
    <w:p w14:paraId="4BAFC404" w14:textId="77777777" w:rsidR="003E6BDD" w:rsidRPr="00FB38E1" w:rsidRDefault="003E6BDD" w:rsidP="003E6BDD">
      <w:pPr>
        <w:pStyle w:val="Text"/>
        <w:spacing w:line="270" w:lineRule="atLeast"/>
        <w:ind w:left="142"/>
        <w:rPr>
          <w:rFonts w:ascii="Times New Roman" w:hAnsi="Times New Roman"/>
          <w:color w:val="auto"/>
        </w:rPr>
      </w:pPr>
      <w:bookmarkStart w:id="3" w:name="_Hlk188861698"/>
      <w:r w:rsidRPr="00FB38E1">
        <w:rPr>
          <w:rFonts w:ascii="Times New Roman" w:hAnsi="Times New Roman"/>
          <w:color w:val="auto"/>
        </w:rPr>
        <w:t xml:space="preserve">Banka yönetimi; konsolide olmayan finansal tabloların BDDK Muhasebe ve Finansal Raporlama Mevzuatı’na uygun olarak hazırlanmasından, gerçeğe uygun bir biçimde sunumundan ve hata veya hile kaynaklı önemli yanlışlık içermeyecek şekilde hazırlanması için gerekli gördüğü iç kontrolden sorumludur. </w:t>
      </w:r>
    </w:p>
    <w:p w14:paraId="30FFA499" w14:textId="77777777" w:rsidR="003E6BDD" w:rsidRPr="00FB38E1" w:rsidRDefault="003E6BDD" w:rsidP="003E6BDD">
      <w:pPr>
        <w:pStyle w:val="Text"/>
        <w:spacing w:line="270" w:lineRule="atLeast"/>
        <w:ind w:left="142" w:hanging="142"/>
        <w:rPr>
          <w:rFonts w:ascii="Times New Roman" w:hAnsi="Times New Roman"/>
          <w:color w:val="auto"/>
        </w:rPr>
      </w:pPr>
    </w:p>
    <w:p w14:paraId="5A5A3E93" w14:textId="77777777" w:rsidR="003E6BDD" w:rsidRPr="00FB38E1" w:rsidRDefault="003E6BDD" w:rsidP="003E6BDD">
      <w:pPr>
        <w:pStyle w:val="Text"/>
        <w:spacing w:line="270" w:lineRule="atLeast"/>
        <w:ind w:left="142"/>
        <w:rPr>
          <w:rFonts w:ascii="Times New Roman" w:hAnsi="Times New Roman"/>
          <w:color w:val="auto"/>
        </w:rPr>
      </w:pPr>
      <w:r w:rsidRPr="00FB38E1">
        <w:rPr>
          <w:rFonts w:ascii="Times New Roman" w:hAnsi="Times New Roman"/>
          <w:color w:val="auto"/>
        </w:rPr>
        <w:t xml:space="preserve">Finansal tabloları hazırlarken yönetim; Banka’nın 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 </w:t>
      </w:r>
    </w:p>
    <w:p w14:paraId="531F61B2" w14:textId="77777777" w:rsidR="003E6BDD" w:rsidRPr="00FB38E1" w:rsidRDefault="003E6BDD" w:rsidP="003E6BDD">
      <w:pPr>
        <w:pStyle w:val="Text"/>
        <w:spacing w:line="270" w:lineRule="atLeast"/>
        <w:ind w:left="142" w:hanging="142"/>
        <w:rPr>
          <w:rFonts w:ascii="Times New Roman" w:hAnsi="Times New Roman"/>
          <w:color w:val="auto"/>
        </w:rPr>
      </w:pPr>
    </w:p>
    <w:p w14:paraId="5BDAB5C0" w14:textId="7FAE48D9" w:rsidR="00364B59" w:rsidRPr="00FB38E1" w:rsidRDefault="003E6BDD" w:rsidP="003E6BDD">
      <w:pPr>
        <w:pStyle w:val="Text"/>
        <w:spacing w:line="270" w:lineRule="atLeast"/>
        <w:ind w:left="142" w:hanging="142"/>
        <w:rPr>
          <w:rFonts w:ascii="Times New Roman" w:hAnsi="Times New Roman"/>
          <w:color w:val="auto"/>
        </w:rPr>
      </w:pPr>
      <w:r w:rsidRPr="00FB38E1">
        <w:rPr>
          <w:rFonts w:ascii="Times New Roman" w:hAnsi="Times New Roman"/>
          <w:color w:val="auto"/>
        </w:rPr>
        <w:t xml:space="preserve">  Üst yönetimden sorumlu olanlar, Banka’nın finansal raporlama sürecinin gözetiminden sorumludur</w:t>
      </w:r>
      <w:bookmarkEnd w:id="3"/>
    </w:p>
    <w:p w14:paraId="6AB3EF8F" w14:textId="77777777" w:rsidR="003E6BDD" w:rsidRPr="00FB38E1" w:rsidRDefault="003E6BDD" w:rsidP="003E6BDD">
      <w:pPr>
        <w:pStyle w:val="Text"/>
        <w:spacing w:line="270" w:lineRule="atLeast"/>
        <w:ind w:left="142" w:hanging="142"/>
        <w:rPr>
          <w:rFonts w:ascii="Times New Roman" w:hAnsi="Times New Roman"/>
          <w:b/>
        </w:rPr>
      </w:pPr>
    </w:p>
    <w:p w14:paraId="707B6528" w14:textId="77777777" w:rsidR="00364B59" w:rsidRPr="00FB38E1" w:rsidRDefault="00364B59" w:rsidP="00364B59">
      <w:pPr>
        <w:pStyle w:val="Text"/>
        <w:snapToGrid/>
        <w:spacing w:line="270" w:lineRule="atLeast"/>
        <w:ind w:left="142" w:hanging="142"/>
        <w:rPr>
          <w:rFonts w:ascii="Times New Roman" w:hAnsi="Times New Roman"/>
        </w:rPr>
      </w:pPr>
      <w:r w:rsidRPr="00FB38E1">
        <w:rPr>
          <w:rFonts w:ascii="Times New Roman" w:hAnsi="Times New Roman"/>
          <w:b/>
          <w:color w:val="auto"/>
        </w:rPr>
        <w:t xml:space="preserve">5)  Bağımsız Denetçinin Konsolide Olmayan Finansal Tabloların Bağımsız Denetimine İlişkin Sorumlulukları </w:t>
      </w:r>
    </w:p>
    <w:p w14:paraId="48E4AAA3" w14:textId="77777777" w:rsidR="00364B59" w:rsidRPr="00FB38E1" w:rsidRDefault="00364B59" w:rsidP="00364B59">
      <w:pPr>
        <w:pStyle w:val="Text"/>
        <w:spacing w:line="270" w:lineRule="atLeast"/>
        <w:ind w:left="142" w:hanging="142"/>
        <w:rPr>
          <w:rFonts w:ascii="Times New Roman" w:hAnsi="Times New Roman"/>
          <w:color w:val="auto"/>
        </w:rPr>
      </w:pPr>
    </w:p>
    <w:p w14:paraId="49526206" w14:textId="77777777" w:rsidR="003E6BDD" w:rsidRPr="00FB38E1" w:rsidRDefault="003E6BDD" w:rsidP="003E6BDD">
      <w:pPr>
        <w:pStyle w:val="Text"/>
        <w:spacing w:line="270" w:lineRule="atLeast"/>
        <w:ind w:left="142"/>
        <w:rPr>
          <w:rFonts w:ascii="Times New Roman" w:hAnsi="Times New Roman"/>
          <w:color w:val="auto"/>
        </w:rPr>
      </w:pPr>
      <w:r w:rsidRPr="00FB38E1">
        <w:rPr>
          <w:rFonts w:ascii="Times New Roman" w:hAnsi="Times New Roman"/>
          <w:color w:val="auto"/>
        </w:rPr>
        <w:t xml:space="preserve">Bir bağımsız denetimde, biz bağımsız denetçilerin sorumlulukları şunlardır: </w:t>
      </w:r>
    </w:p>
    <w:p w14:paraId="7887561F" w14:textId="77777777" w:rsidR="003E6BDD" w:rsidRPr="00FB38E1" w:rsidRDefault="003E6BDD" w:rsidP="003E6BDD">
      <w:pPr>
        <w:pStyle w:val="Text"/>
        <w:spacing w:line="270" w:lineRule="atLeast"/>
        <w:ind w:left="142" w:hanging="142"/>
        <w:rPr>
          <w:rFonts w:ascii="Times New Roman" w:hAnsi="Times New Roman"/>
          <w:color w:val="auto"/>
        </w:rPr>
      </w:pPr>
    </w:p>
    <w:p w14:paraId="7AFFCA36" w14:textId="77777777" w:rsidR="003E6BDD" w:rsidRPr="00FB38E1" w:rsidRDefault="003E6BDD" w:rsidP="003E6BDD">
      <w:pPr>
        <w:pStyle w:val="Text"/>
        <w:spacing w:line="270" w:lineRule="atLeast"/>
        <w:ind w:left="142"/>
        <w:rPr>
          <w:rFonts w:ascii="Times New Roman" w:hAnsi="Times New Roman"/>
          <w:color w:val="auto"/>
        </w:rPr>
      </w:pPr>
      <w:r w:rsidRPr="00FB38E1">
        <w:rPr>
          <w:rFonts w:ascii="Times New Roman" w:hAnsi="Times New Roman"/>
          <w:color w:val="auto"/>
        </w:rPr>
        <w:t xml:space="preserve">Amacımız, bir bütün olarak konsolide olmayan finansal tabloların hata veya hile kaynaklı önemli yanlışlık içerip içermediğine ilişkin makul güvence elde etmek ve görüşümüzü içeren bir bağımsız denetçi raporu düzenlemektir. BDDK tarafından 2 Nisan 2015 tarihli 29314 sayılı Resmi Gazete’de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olmayan finansal tablolara istinaden alacakları ekonomik kararları etkilemesi makul ölçüde bekleniyorsa bu yanlışlıklar önemli olarak kabul edilir. </w:t>
      </w:r>
    </w:p>
    <w:p w14:paraId="41FD69A3" w14:textId="77777777" w:rsidR="003E6BDD" w:rsidRPr="00FB38E1" w:rsidRDefault="003E6BDD" w:rsidP="003E6BDD">
      <w:pPr>
        <w:pStyle w:val="Text"/>
        <w:spacing w:line="270" w:lineRule="atLeast"/>
        <w:ind w:left="142" w:hanging="142"/>
        <w:rPr>
          <w:rFonts w:ascii="Times New Roman" w:hAnsi="Times New Roman"/>
          <w:color w:val="auto"/>
        </w:rPr>
      </w:pPr>
    </w:p>
    <w:p w14:paraId="31CA5AF9" w14:textId="77777777" w:rsidR="003E6BDD" w:rsidRPr="00FB38E1" w:rsidRDefault="003E6BDD" w:rsidP="003E6BDD">
      <w:pPr>
        <w:pStyle w:val="Text"/>
        <w:spacing w:line="270" w:lineRule="atLeast"/>
        <w:ind w:left="142"/>
        <w:rPr>
          <w:rFonts w:ascii="Times New Roman" w:hAnsi="Times New Roman"/>
          <w:color w:val="auto"/>
        </w:rPr>
      </w:pPr>
      <w:r w:rsidRPr="00FB38E1">
        <w:rPr>
          <w:rFonts w:ascii="Times New Roman" w:hAnsi="Times New Roman"/>
          <w:color w:val="auto"/>
        </w:rPr>
        <w:t>BDDK tarafından 2 Nisan 2015 tarihli 29314 sayılı Resmi Gazete’de yayımlanan “Bankaların Bağımsız Denetimi Hakkında Yönetmelik” ve BDS’lere uygun olarak yürütülen bir bağımsız denetimin gereği olarak, bağımsız denetim boyunca mesleki muhakememizi kullanmakta ve mesleki şüpheciliğimizi sürdürmekteyiz. Tarafımızca ayrıca:</w:t>
      </w:r>
    </w:p>
    <w:p w14:paraId="3B10C43F" w14:textId="77777777" w:rsidR="003E6BDD" w:rsidRPr="00FB38E1" w:rsidRDefault="003E6BDD" w:rsidP="003E6BDD">
      <w:pPr>
        <w:pStyle w:val="Text"/>
        <w:spacing w:line="270" w:lineRule="atLeast"/>
        <w:ind w:left="142" w:hanging="142"/>
        <w:rPr>
          <w:rFonts w:ascii="Times New Roman" w:hAnsi="Times New Roman"/>
          <w:color w:val="auto"/>
        </w:rPr>
      </w:pPr>
    </w:p>
    <w:p w14:paraId="0D456ACC" w14:textId="77777777" w:rsidR="003E6BDD" w:rsidRPr="00FB38E1" w:rsidRDefault="003E6BDD" w:rsidP="003E6BDD">
      <w:pPr>
        <w:pStyle w:val="Text"/>
        <w:numPr>
          <w:ilvl w:val="0"/>
          <w:numId w:val="70"/>
        </w:numPr>
        <w:snapToGrid/>
        <w:spacing w:line="270" w:lineRule="atLeast"/>
        <w:ind w:left="142" w:hanging="142"/>
        <w:rPr>
          <w:rFonts w:ascii="Times New Roman" w:hAnsi="Times New Roman"/>
          <w:color w:val="auto"/>
        </w:rPr>
      </w:pPr>
      <w:r w:rsidRPr="00FB38E1">
        <w:rPr>
          <w:rFonts w:ascii="Times New Roman" w:hAnsi="Times New Roman"/>
          <w:color w:val="auto"/>
        </w:rPr>
        <w:t xml:space="preserve">Konsolide olmayan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 </w:t>
      </w:r>
    </w:p>
    <w:p w14:paraId="3B1ED9A5" w14:textId="77777777" w:rsidR="003E6BDD" w:rsidRPr="00FB38E1" w:rsidRDefault="003E6BDD" w:rsidP="003E6BDD">
      <w:pPr>
        <w:pStyle w:val="Text"/>
        <w:spacing w:line="270" w:lineRule="atLeast"/>
        <w:ind w:left="142" w:hanging="142"/>
        <w:rPr>
          <w:rFonts w:ascii="Times New Roman" w:hAnsi="Times New Roman"/>
          <w:color w:val="auto"/>
        </w:rPr>
      </w:pPr>
    </w:p>
    <w:p w14:paraId="29905800" w14:textId="77777777" w:rsidR="003E6BDD" w:rsidRPr="00FB38E1" w:rsidRDefault="003E6BDD" w:rsidP="003E6BDD">
      <w:pPr>
        <w:pStyle w:val="Text"/>
        <w:numPr>
          <w:ilvl w:val="0"/>
          <w:numId w:val="70"/>
        </w:numPr>
        <w:snapToGrid/>
        <w:spacing w:line="270" w:lineRule="atLeast"/>
        <w:ind w:left="142" w:hanging="142"/>
        <w:rPr>
          <w:rFonts w:ascii="Times New Roman" w:hAnsi="Times New Roman"/>
          <w:color w:val="auto"/>
        </w:rPr>
      </w:pPr>
      <w:r w:rsidRPr="00FB38E1">
        <w:rPr>
          <w:rFonts w:ascii="Times New Roman" w:hAnsi="Times New Roman"/>
          <w:color w:val="auto"/>
        </w:rPr>
        <w:t xml:space="preserve">Banka’nın iç kontrolünün etkinliğine ilişkin bir görüş bildirmek amacıyla değil ama duruma uygun denetim prosedürlerini tasarlamak amacıyla denetimle ilgili iç kontrol değerlendirilmektedir. </w:t>
      </w:r>
    </w:p>
    <w:p w14:paraId="218CAF4D" w14:textId="77777777" w:rsidR="003E6BDD" w:rsidRPr="00FB38E1" w:rsidRDefault="003E6BDD" w:rsidP="003E6BDD">
      <w:pPr>
        <w:pStyle w:val="Text"/>
        <w:spacing w:line="270" w:lineRule="atLeast"/>
        <w:ind w:left="142" w:hanging="142"/>
        <w:rPr>
          <w:rFonts w:ascii="Times New Roman" w:hAnsi="Times New Roman"/>
          <w:color w:val="auto"/>
        </w:rPr>
      </w:pPr>
    </w:p>
    <w:p w14:paraId="2D2DD266" w14:textId="77777777" w:rsidR="003E6BDD" w:rsidRPr="00FB38E1" w:rsidRDefault="003E6BDD" w:rsidP="003E6BDD">
      <w:pPr>
        <w:pStyle w:val="Text"/>
        <w:numPr>
          <w:ilvl w:val="0"/>
          <w:numId w:val="70"/>
        </w:numPr>
        <w:snapToGrid/>
        <w:spacing w:line="270" w:lineRule="atLeast"/>
        <w:ind w:left="142" w:hanging="142"/>
        <w:rPr>
          <w:rFonts w:ascii="Times New Roman" w:hAnsi="Times New Roman"/>
          <w:color w:val="auto"/>
        </w:rPr>
      </w:pPr>
      <w:r w:rsidRPr="00FB38E1">
        <w:rPr>
          <w:rFonts w:ascii="Times New Roman" w:hAnsi="Times New Roman"/>
          <w:color w:val="auto"/>
        </w:rPr>
        <w:br w:type="page"/>
      </w:r>
    </w:p>
    <w:p w14:paraId="60500A07" w14:textId="799DAAB2" w:rsidR="003E6BDD" w:rsidRPr="00FB38E1" w:rsidRDefault="003E6BDD" w:rsidP="007F424E">
      <w:pPr>
        <w:pStyle w:val="Text"/>
        <w:snapToGrid/>
        <w:spacing w:line="270" w:lineRule="atLeast"/>
        <w:rPr>
          <w:rFonts w:ascii="Times New Roman" w:hAnsi="Times New Roman"/>
          <w:color w:val="auto"/>
        </w:rPr>
      </w:pPr>
    </w:p>
    <w:p w14:paraId="30AA6E0B" w14:textId="154C6DBF" w:rsidR="003E6BDD" w:rsidRPr="00FB38E1" w:rsidRDefault="003E6BDD" w:rsidP="003E6BDD">
      <w:pPr>
        <w:pStyle w:val="Text"/>
        <w:snapToGrid/>
        <w:spacing w:line="270" w:lineRule="atLeast"/>
        <w:ind w:left="142"/>
        <w:rPr>
          <w:rFonts w:ascii="Times New Roman" w:hAnsi="Times New Roman"/>
          <w:color w:val="auto"/>
        </w:rPr>
      </w:pPr>
    </w:p>
    <w:p w14:paraId="301AF262" w14:textId="77777777" w:rsidR="003E6BDD" w:rsidRPr="00FB38E1" w:rsidRDefault="003E6BDD" w:rsidP="003E6BDD">
      <w:pPr>
        <w:pStyle w:val="Text"/>
        <w:snapToGrid/>
        <w:spacing w:line="270" w:lineRule="atLeast"/>
        <w:ind w:left="142"/>
        <w:rPr>
          <w:rFonts w:ascii="Times New Roman" w:hAnsi="Times New Roman"/>
          <w:color w:val="auto"/>
        </w:rPr>
      </w:pPr>
    </w:p>
    <w:p w14:paraId="51ED5A16" w14:textId="77777777" w:rsidR="003E6BDD" w:rsidRPr="00FB38E1" w:rsidRDefault="003E6BDD" w:rsidP="003E6BDD">
      <w:pPr>
        <w:pStyle w:val="Text"/>
        <w:numPr>
          <w:ilvl w:val="0"/>
          <w:numId w:val="70"/>
        </w:numPr>
        <w:snapToGrid/>
        <w:spacing w:line="270" w:lineRule="atLeast"/>
        <w:ind w:left="142" w:hanging="142"/>
        <w:rPr>
          <w:rFonts w:ascii="Times New Roman" w:hAnsi="Times New Roman"/>
          <w:color w:val="auto"/>
        </w:rPr>
      </w:pPr>
      <w:r w:rsidRPr="00FB38E1">
        <w:rPr>
          <w:rFonts w:ascii="Times New Roman" w:hAnsi="Times New Roman"/>
          <w:color w:val="auto"/>
        </w:rPr>
        <w:t xml:space="preserve">Yönetim tarafından kullanılan muhasebe politikalarının uygunluğu ile yapılan muhasebe tahminlerinin ve ilgili açıklamaların makul olup olmadığı değerlendirilmektedir. </w:t>
      </w:r>
    </w:p>
    <w:p w14:paraId="19A5DF54" w14:textId="77777777" w:rsidR="003E6BDD" w:rsidRPr="00FB38E1" w:rsidRDefault="003E6BDD" w:rsidP="003E6BDD">
      <w:pPr>
        <w:pStyle w:val="Text"/>
        <w:spacing w:line="270" w:lineRule="atLeast"/>
        <w:ind w:left="142" w:hanging="142"/>
        <w:rPr>
          <w:rFonts w:ascii="Times New Roman" w:hAnsi="Times New Roman"/>
          <w:color w:val="auto"/>
        </w:rPr>
      </w:pPr>
    </w:p>
    <w:p w14:paraId="0B754B1F" w14:textId="77777777" w:rsidR="003E6BDD" w:rsidRPr="00FB38E1" w:rsidRDefault="003E6BDD" w:rsidP="003E6BDD">
      <w:pPr>
        <w:pStyle w:val="Text"/>
        <w:numPr>
          <w:ilvl w:val="0"/>
          <w:numId w:val="70"/>
        </w:numPr>
        <w:snapToGrid/>
        <w:spacing w:line="270" w:lineRule="atLeast"/>
        <w:ind w:left="142" w:hanging="142"/>
        <w:rPr>
          <w:rFonts w:ascii="Times New Roman" w:hAnsi="Times New Roman"/>
          <w:color w:val="auto"/>
        </w:rPr>
      </w:pPr>
      <w:r w:rsidRPr="00FB38E1">
        <w:rPr>
          <w:rFonts w:ascii="Times New Roman" w:hAnsi="Times New Roman"/>
          <w:color w:val="auto"/>
        </w:rPr>
        <w:t xml:space="preserve">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halinde, raporumuzda, konsolide olmayan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 </w:t>
      </w:r>
    </w:p>
    <w:p w14:paraId="2DCFA12E" w14:textId="77777777" w:rsidR="003E6BDD" w:rsidRPr="00FB38E1" w:rsidRDefault="003E6BDD" w:rsidP="003E6BDD">
      <w:pPr>
        <w:pStyle w:val="Text"/>
        <w:spacing w:line="270" w:lineRule="atLeast"/>
        <w:ind w:left="142" w:hanging="142"/>
        <w:rPr>
          <w:rFonts w:ascii="Times New Roman" w:hAnsi="Times New Roman"/>
          <w:color w:val="auto"/>
        </w:rPr>
      </w:pPr>
    </w:p>
    <w:p w14:paraId="11672F0A" w14:textId="77777777" w:rsidR="003E6BDD" w:rsidRPr="00FB38E1" w:rsidRDefault="003E6BDD" w:rsidP="003E6BDD">
      <w:pPr>
        <w:pStyle w:val="Text"/>
        <w:numPr>
          <w:ilvl w:val="0"/>
          <w:numId w:val="70"/>
        </w:numPr>
        <w:snapToGrid/>
        <w:spacing w:line="270" w:lineRule="atLeast"/>
        <w:ind w:left="142" w:hanging="142"/>
        <w:rPr>
          <w:rFonts w:ascii="Times New Roman" w:hAnsi="Times New Roman"/>
          <w:color w:val="auto"/>
        </w:rPr>
      </w:pPr>
      <w:r w:rsidRPr="00FB38E1">
        <w:rPr>
          <w:rFonts w:ascii="Times New Roman" w:hAnsi="Times New Roman"/>
          <w:color w:val="auto"/>
        </w:rPr>
        <w:t xml:space="preserve">Konsolide olmayan finansal tabloların, açıklamalar dahil olmak üzere, genel sunumu, yapısı ve içeriği ile bu tabloların, temelini oluşturan işlem ve olayları gerçeğe uygun sunumu sağlayacak şekilde yansıtıp yansıtmadığı değerlendirilmektedir. </w:t>
      </w:r>
    </w:p>
    <w:p w14:paraId="3E84577E" w14:textId="77777777" w:rsidR="003E6BDD" w:rsidRPr="00FB38E1" w:rsidRDefault="003E6BDD" w:rsidP="003E6BDD">
      <w:pPr>
        <w:pStyle w:val="Text"/>
        <w:spacing w:line="270" w:lineRule="atLeast"/>
        <w:ind w:left="142" w:hanging="142"/>
        <w:rPr>
          <w:rFonts w:ascii="Times New Roman" w:hAnsi="Times New Roman"/>
          <w:color w:val="auto"/>
        </w:rPr>
      </w:pPr>
    </w:p>
    <w:p w14:paraId="761D53D6" w14:textId="77777777" w:rsidR="003E6BDD" w:rsidRPr="00FB38E1" w:rsidRDefault="003E6BDD" w:rsidP="003E6BDD">
      <w:pPr>
        <w:pStyle w:val="Text"/>
        <w:spacing w:line="270" w:lineRule="atLeast"/>
        <w:ind w:left="142"/>
        <w:rPr>
          <w:rFonts w:ascii="Times New Roman" w:hAnsi="Times New Roman"/>
          <w:color w:val="auto"/>
        </w:rPr>
      </w:pPr>
      <w:r w:rsidRPr="00FB38E1">
        <w:rPr>
          <w:rFonts w:ascii="Times New Roman" w:hAnsi="Times New Roman"/>
          <w:color w:val="auto"/>
        </w:rPr>
        <w:t>Diğer hususların yanı sıra, denetim sırasında tespit ettiğimiz önemli iç kontrol eksiklikleri dahil olmak üzere, bağımsız denetimin planlanan kapsamı ve zamanlaması ile önemli denetim bulgularını üst yönetimden sorumlu olanlara bildirmekteyiz.</w:t>
      </w:r>
    </w:p>
    <w:p w14:paraId="5E263B7E" w14:textId="77777777" w:rsidR="003E6BDD" w:rsidRPr="00FB38E1" w:rsidRDefault="003E6BDD" w:rsidP="003E6BDD">
      <w:pPr>
        <w:pStyle w:val="Text"/>
        <w:spacing w:line="270" w:lineRule="atLeast"/>
        <w:ind w:left="142" w:hanging="142"/>
        <w:rPr>
          <w:rFonts w:ascii="Times New Roman" w:hAnsi="Times New Roman"/>
          <w:color w:val="auto"/>
        </w:rPr>
      </w:pPr>
    </w:p>
    <w:p w14:paraId="7BC52943" w14:textId="77777777" w:rsidR="003E6BDD" w:rsidRPr="00FB38E1" w:rsidRDefault="003E6BDD" w:rsidP="003E6BDD">
      <w:pPr>
        <w:pStyle w:val="Text"/>
        <w:spacing w:line="270" w:lineRule="atLeast"/>
        <w:ind w:left="142"/>
        <w:rPr>
          <w:rFonts w:ascii="Times New Roman" w:hAnsi="Times New Roman"/>
          <w:color w:val="auto"/>
        </w:rPr>
      </w:pPr>
      <w:r w:rsidRPr="00FB38E1">
        <w:rPr>
          <w:rFonts w:ascii="Times New Roman" w:hAnsi="Times New Roman"/>
          <w:color w:val="auto"/>
        </w:rPr>
        <w:t>Bağımsızlığa ilişkin etik hükümlere uygunluk sağladığımızı üst yönetimden sorumlu olanlara bildirmiş bulunmaktayız. Ayrıca bağımsızlık üzerinde etkisi olduğu düşünülebilecek tüm ilişkiler ve diğer hususları ve -varsa- ilgili önlemleri üst yönetimden sorumlu olanlara iletmiş bulunmaktayız.</w:t>
      </w:r>
    </w:p>
    <w:p w14:paraId="55CCDD09" w14:textId="77777777" w:rsidR="003E6BDD" w:rsidRPr="00FB38E1" w:rsidRDefault="003E6BDD" w:rsidP="003E6BDD">
      <w:pPr>
        <w:pStyle w:val="Text"/>
        <w:spacing w:line="270" w:lineRule="atLeast"/>
        <w:ind w:left="142" w:hanging="142"/>
        <w:rPr>
          <w:rFonts w:ascii="Times New Roman" w:hAnsi="Times New Roman"/>
          <w:color w:val="auto"/>
        </w:rPr>
      </w:pPr>
    </w:p>
    <w:p w14:paraId="2F48791D" w14:textId="77777777" w:rsidR="003E6BDD" w:rsidRPr="00FB38E1" w:rsidRDefault="003E6BDD" w:rsidP="003E6BDD">
      <w:pPr>
        <w:pStyle w:val="Text"/>
        <w:spacing w:line="270" w:lineRule="atLeast"/>
        <w:ind w:left="142"/>
        <w:rPr>
          <w:rFonts w:ascii="Times New Roman" w:hAnsi="Times New Roman"/>
          <w:color w:val="auto"/>
        </w:rPr>
      </w:pPr>
      <w:r w:rsidRPr="00FB38E1">
        <w:rPr>
          <w:rFonts w:ascii="Times New Roman" w:hAnsi="Times New Roman"/>
          <w:color w:val="auto"/>
        </w:rPr>
        <w:t xml:space="preserve">Üst yönetimden sorumlu olanlara bildirilen konular arasından, cari döneme ait konsolide olmayan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 </w:t>
      </w:r>
    </w:p>
    <w:p w14:paraId="78334803" w14:textId="77777777" w:rsidR="00364B59" w:rsidRPr="00FB38E1" w:rsidRDefault="00364B59" w:rsidP="00364B59">
      <w:pPr>
        <w:ind w:left="142" w:hanging="142"/>
        <w:rPr>
          <w:rFonts w:ascii="Times New Roman" w:hAnsi="Times New Roman" w:cs="Arial"/>
          <w:lang w:eastAsia="de-DE"/>
        </w:rPr>
      </w:pPr>
      <w:r w:rsidRPr="00FB38E1">
        <w:rPr>
          <w:rFonts w:ascii="Times New Roman" w:hAnsi="Times New Roman"/>
        </w:rPr>
        <w:br w:type="page"/>
      </w:r>
    </w:p>
    <w:p w14:paraId="625E9991" w14:textId="05B4BCE8" w:rsidR="00364B59" w:rsidRPr="00FB38E1" w:rsidRDefault="00364B59" w:rsidP="00364B59">
      <w:pPr>
        <w:pStyle w:val="Text"/>
        <w:spacing w:line="270" w:lineRule="atLeast"/>
        <w:ind w:left="142" w:hanging="142"/>
        <w:jc w:val="left"/>
        <w:rPr>
          <w:rFonts w:ascii="Times New Roman" w:hAnsi="Times New Roman" w:cs="Times New Roman"/>
          <w:b/>
          <w:szCs w:val="24"/>
        </w:rPr>
      </w:pPr>
      <w:r w:rsidRPr="00FB38E1">
        <w:rPr>
          <w:rFonts w:ascii="Times New Roman" w:hAnsi="Times New Roman" w:cs="Times New Roman"/>
          <w:b/>
          <w:szCs w:val="24"/>
        </w:rPr>
        <w:t> </w:t>
      </w:r>
    </w:p>
    <w:p w14:paraId="01BFCE40" w14:textId="3658290B" w:rsidR="001A2B20" w:rsidRPr="00FB38E1" w:rsidRDefault="001A2B20" w:rsidP="00364B59">
      <w:pPr>
        <w:pStyle w:val="Text"/>
        <w:spacing w:line="270" w:lineRule="atLeast"/>
        <w:ind w:left="142" w:hanging="142"/>
        <w:jc w:val="left"/>
        <w:rPr>
          <w:rFonts w:ascii="Times New Roman" w:hAnsi="Times New Roman" w:cs="Times New Roman"/>
          <w:b/>
          <w:szCs w:val="24"/>
        </w:rPr>
      </w:pPr>
    </w:p>
    <w:p w14:paraId="6F2B62E3" w14:textId="6E7D91C7" w:rsidR="001A2B20" w:rsidRPr="00FB38E1" w:rsidRDefault="001A2B20" w:rsidP="00364B59">
      <w:pPr>
        <w:pStyle w:val="Text"/>
        <w:spacing w:line="270" w:lineRule="atLeast"/>
        <w:ind w:left="142" w:hanging="142"/>
        <w:jc w:val="left"/>
        <w:rPr>
          <w:rFonts w:ascii="Times New Roman" w:hAnsi="Times New Roman" w:cs="Times New Roman"/>
          <w:b/>
          <w:szCs w:val="24"/>
        </w:rPr>
      </w:pPr>
    </w:p>
    <w:p w14:paraId="624E6E1C" w14:textId="101BAC15" w:rsidR="001A2B20" w:rsidRPr="00FB38E1" w:rsidRDefault="001A2B20" w:rsidP="00364B59">
      <w:pPr>
        <w:pStyle w:val="Text"/>
        <w:spacing w:line="270" w:lineRule="atLeast"/>
        <w:ind w:left="142" w:hanging="142"/>
        <w:jc w:val="left"/>
        <w:rPr>
          <w:rFonts w:ascii="Times New Roman" w:hAnsi="Times New Roman" w:cs="Times New Roman"/>
          <w:b/>
          <w:szCs w:val="24"/>
        </w:rPr>
      </w:pPr>
    </w:p>
    <w:p w14:paraId="10A560B9" w14:textId="77777777" w:rsidR="001A2B20" w:rsidRPr="00FB38E1" w:rsidRDefault="001A2B20" w:rsidP="00364B59">
      <w:pPr>
        <w:pStyle w:val="Text"/>
        <w:spacing w:line="270" w:lineRule="atLeast"/>
        <w:ind w:left="142" w:hanging="142"/>
        <w:jc w:val="left"/>
        <w:rPr>
          <w:rFonts w:ascii="Times New Roman" w:hAnsi="Times New Roman" w:cs="Times New Roman"/>
          <w:b/>
          <w:szCs w:val="24"/>
        </w:rPr>
      </w:pPr>
    </w:p>
    <w:p w14:paraId="623640E4" w14:textId="77777777" w:rsidR="00364B59" w:rsidRPr="00FB38E1" w:rsidRDefault="00364B59" w:rsidP="00364B59">
      <w:pPr>
        <w:pStyle w:val="Text"/>
        <w:spacing w:line="270" w:lineRule="atLeast"/>
        <w:ind w:left="142" w:hanging="142"/>
        <w:rPr>
          <w:rFonts w:ascii="Times New Roman" w:hAnsi="Times New Roman"/>
          <w:b/>
        </w:rPr>
      </w:pPr>
      <w:r w:rsidRPr="00FB38E1">
        <w:rPr>
          <w:rFonts w:ascii="Times New Roman" w:hAnsi="Times New Roman"/>
          <w:b/>
        </w:rPr>
        <w:t xml:space="preserve">B) </w:t>
      </w:r>
      <w:r w:rsidRPr="00FB38E1">
        <w:rPr>
          <w:rFonts w:ascii="Times New Roman" w:hAnsi="Times New Roman"/>
          <w:b/>
        </w:rPr>
        <w:tab/>
        <w:t>Mevzuattan Kaynaklanan Diğer Yükümlülüklere İlişkin Rapor</w:t>
      </w:r>
    </w:p>
    <w:p w14:paraId="56645646" w14:textId="77777777" w:rsidR="00364B59" w:rsidRPr="00FB38E1" w:rsidRDefault="00364B59" w:rsidP="00364B59">
      <w:pPr>
        <w:tabs>
          <w:tab w:val="left" w:pos="-426"/>
        </w:tabs>
        <w:ind w:left="142" w:hanging="142"/>
        <w:rPr>
          <w:snapToGrid w:val="0"/>
          <w:lang w:eastAsia="de-DE"/>
        </w:rPr>
      </w:pPr>
    </w:p>
    <w:p w14:paraId="2BF73A95" w14:textId="77777777" w:rsidR="003E6BDD" w:rsidRPr="00FB38E1" w:rsidRDefault="00364B59" w:rsidP="003E6BDD">
      <w:pPr>
        <w:pStyle w:val="pumatext"/>
        <w:tabs>
          <w:tab w:val="left" w:pos="-426"/>
        </w:tabs>
        <w:spacing w:before="0" w:after="0" w:line="290" w:lineRule="atLeast"/>
        <w:ind w:left="142" w:hanging="142"/>
        <w:rPr>
          <w:rFonts w:ascii="Times New Roman" w:hAnsi="Times New Roman"/>
          <w:szCs w:val="22"/>
          <w:lang w:val="tr-TR"/>
        </w:rPr>
      </w:pPr>
      <w:r w:rsidRPr="00FB38E1">
        <w:rPr>
          <w:rFonts w:ascii="Times New Roman" w:hAnsi="Times New Roman"/>
          <w:szCs w:val="22"/>
          <w:lang w:val="tr-TR"/>
        </w:rPr>
        <w:tab/>
      </w:r>
      <w:bookmarkStart w:id="4" w:name="_Hlk188861793"/>
      <w:r w:rsidR="003E6BDD" w:rsidRPr="00FB38E1">
        <w:rPr>
          <w:rFonts w:ascii="Times New Roman" w:hAnsi="Times New Roman"/>
          <w:szCs w:val="22"/>
          <w:lang w:val="tr-TR"/>
        </w:rPr>
        <w:t>TTK’nın 402’nci maddesinin dördüncü fıkrası uyarınca; Banka’nın 1 Ocak – 31 Aralık 2024 hesap döneminde defter tutma düzeninin, finansal tablolarının, TTK ile Banka esas sözleşmesinin finansal raporlamaya ilişkin hükümlerine uygun olmadığına dair önemli bir hususa rastlanmamıştır.</w:t>
      </w:r>
    </w:p>
    <w:p w14:paraId="468F2478" w14:textId="77777777" w:rsidR="003E6BDD" w:rsidRPr="00FB38E1" w:rsidRDefault="003E6BDD" w:rsidP="003E6BDD">
      <w:pPr>
        <w:pStyle w:val="Default"/>
        <w:ind w:left="142" w:hanging="142"/>
        <w:rPr>
          <w:sz w:val="22"/>
          <w:szCs w:val="22"/>
        </w:rPr>
      </w:pPr>
    </w:p>
    <w:p w14:paraId="7C76EE3A" w14:textId="77777777" w:rsidR="003E6BDD" w:rsidRPr="00FB38E1" w:rsidRDefault="003E6BDD" w:rsidP="003E6BDD">
      <w:pPr>
        <w:pStyle w:val="pumatext"/>
        <w:tabs>
          <w:tab w:val="left" w:pos="-426"/>
        </w:tabs>
        <w:spacing w:before="0" w:after="0" w:line="290" w:lineRule="atLeast"/>
        <w:ind w:left="142" w:hanging="142"/>
        <w:rPr>
          <w:rFonts w:ascii="Times New Roman" w:hAnsi="Times New Roman"/>
          <w:szCs w:val="22"/>
          <w:lang w:val="tr-TR"/>
        </w:rPr>
      </w:pPr>
      <w:r w:rsidRPr="00FB38E1">
        <w:rPr>
          <w:rFonts w:ascii="Times New Roman" w:hAnsi="Times New Roman"/>
          <w:szCs w:val="22"/>
          <w:lang w:val="tr-TR"/>
        </w:rPr>
        <w:tab/>
        <w:t xml:space="preserve">TTK’nın 402’nci maddesinin dördüncü fıkrası uyarınca; </w:t>
      </w:r>
      <w:r w:rsidRPr="00FB38E1">
        <w:rPr>
          <w:rFonts w:ascii="Times New Roman" w:hAnsi="Times New Roman"/>
          <w:color w:val="auto"/>
          <w:szCs w:val="22"/>
          <w:lang w:val="tr-TR"/>
        </w:rPr>
        <w:t xml:space="preserve">Yönetim Kurulu </w:t>
      </w:r>
      <w:r w:rsidRPr="00FB38E1">
        <w:rPr>
          <w:rFonts w:ascii="Times New Roman" w:hAnsi="Times New Roman"/>
          <w:szCs w:val="22"/>
          <w:lang w:val="tr-TR"/>
        </w:rPr>
        <w:t xml:space="preserve">tarafımıza denetim kapsamında istenen açıklamaları yapmış ve talep edilen belgeleri vermiştir. </w:t>
      </w:r>
    </w:p>
    <w:p w14:paraId="799E10B7" w14:textId="77777777" w:rsidR="003E6BDD" w:rsidRPr="00FB38E1" w:rsidRDefault="003E6BDD" w:rsidP="003E6BDD">
      <w:pPr>
        <w:pStyle w:val="Default"/>
        <w:ind w:left="142" w:hanging="142"/>
        <w:rPr>
          <w:sz w:val="22"/>
          <w:szCs w:val="22"/>
        </w:rPr>
      </w:pPr>
    </w:p>
    <w:p w14:paraId="3FF4412E" w14:textId="77777777" w:rsidR="003E6BDD" w:rsidRPr="00FB38E1" w:rsidRDefault="003E6BDD" w:rsidP="003E6BDD">
      <w:pPr>
        <w:pStyle w:val="Text"/>
        <w:spacing w:line="270" w:lineRule="atLeast"/>
        <w:ind w:left="142"/>
        <w:rPr>
          <w:rFonts w:ascii="Times New Roman" w:hAnsi="Times New Roman"/>
          <w:color w:val="auto"/>
        </w:rPr>
      </w:pPr>
      <w:bookmarkStart w:id="5" w:name="_Hlk135174362"/>
      <w:r w:rsidRPr="00FB38E1">
        <w:rPr>
          <w:rFonts w:ascii="Times New Roman" w:hAnsi="Times New Roman"/>
        </w:rPr>
        <w:t>Bu bağımsız denetimi yürütüp sonuçlandıran sorumlu denetçi Yaman Polat’tır</w:t>
      </w:r>
      <w:r w:rsidRPr="00FB38E1">
        <w:rPr>
          <w:rFonts w:ascii="Times New Roman" w:hAnsi="Times New Roman"/>
          <w:color w:val="auto"/>
        </w:rPr>
        <w:t>.</w:t>
      </w:r>
    </w:p>
    <w:bookmarkEnd w:id="5"/>
    <w:p w14:paraId="18754F90" w14:textId="77777777" w:rsidR="003E6BDD" w:rsidRPr="00FB38E1" w:rsidRDefault="003E6BDD" w:rsidP="003E6BDD">
      <w:pPr>
        <w:pStyle w:val="Text"/>
        <w:tabs>
          <w:tab w:val="left" w:pos="1150"/>
        </w:tabs>
        <w:spacing w:line="270" w:lineRule="atLeast"/>
        <w:ind w:left="142" w:hanging="142"/>
        <w:jc w:val="left"/>
        <w:rPr>
          <w:rFonts w:ascii="Times New Roman" w:hAnsi="Times New Roman" w:cs="Times New Roman"/>
          <w:b/>
          <w:szCs w:val="24"/>
        </w:rPr>
      </w:pPr>
      <w:r w:rsidRPr="00FB38E1">
        <w:rPr>
          <w:rFonts w:ascii="Times New Roman" w:hAnsi="Times New Roman" w:cs="Times New Roman"/>
          <w:b/>
          <w:szCs w:val="24"/>
        </w:rPr>
        <w:tab/>
      </w:r>
      <w:r w:rsidRPr="00FB38E1">
        <w:rPr>
          <w:rFonts w:ascii="Times New Roman" w:hAnsi="Times New Roman" w:cs="Times New Roman"/>
          <w:b/>
          <w:szCs w:val="24"/>
        </w:rPr>
        <w:tab/>
      </w:r>
    </w:p>
    <w:p w14:paraId="677A1696" w14:textId="77777777" w:rsidR="003E6BDD" w:rsidRPr="00FB38E1" w:rsidRDefault="003E6BDD" w:rsidP="003E6BDD">
      <w:pPr>
        <w:pStyle w:val="Text"/>
        <w:spacing w:line="270" w:lineRule="atLeast"/>
        <w:ind w:left="142" w:hanging="142"/>
        <w:jc w:val="left"/>
        <w:rPr>
          <w:rFonts w:ascii="Times New Roman" w:hAnsi="Times New Roman" w:cs="Times New Roman"/>
          <w:b/>
          <w:szCs w:val="24"/>
        </w:rPr>
      </w:pPr>
    </w:p>
    <w:p w14:paraId="51C15913" w14:textId="77777777" w:rsidR="003E6BDD" w:rsidRPr="00FB38E1" w:rsidRDefault="003E6BDD" w:rsidP="003E6BDD">
      <w:pPr>
        <w:pStyle w:val="Text"/>
        <w:spacing w:line="270" w:lineRule="atLeast"/>
        <w:ind w:left="142" w:hanging="142"/>
        <w:jc w:val="left"/>
        <w:rPr>
          <w:rFonts w:ascii="Times New Roman" w:hAnsi="Times New Roman" w:cs="Times New Roman"/>
          <w:szCs w:val="24"/>
        </w:rPr>
      </w:pPr>
      <w:r w:rsidRPr="00FB38E1">
        <w:rPr>
          <w:rFonts w:ascii="Times New Roman" w:hAnsi="Times New Roman" w:cs="Times New Roman"/>
          <w:szCs w:val="24"/>
        </w:rPr>
        <w:t xml:space="preserve">DRT BAĞIMSIZ DENETİM VE SERBEST MUHASEBECİ MALİ MÜŞAVİRLİK A.Ş. </w:t>
      </w:r>
    </w:p>
    <w:p w14:paraId="01830CEA" w14:textId="77777777" w:rsidR="003E6BDD" w:rsidRPr="00FB38E1" w:rsidRDefault="003E6BDD" w:rsidP="003E6BDD">
      <w:pPr>
        <w:pStyle w:val="Text"/>
        <w:spacing w:line="270" w:lineRule="atLeast"/>
        <w:ind w:left="142" w:hanging="142"/>
        <w:jc w:val="left"/>
        <w:rPr>
          <w:rFonts w:ascii="Times New Roman" w:hAnsi="Times New Roman" w:cs="Times New Roman"/>
          <w:szCs w:val="24"/>
        </w:rPr>
      </w:pPr>
      <w:r w:rsidRPr="00FB38E1">
        <w:rPr>
          <w:rFonts w:ascii="Times New Roman" w:hAnsi="Times New Roman" w:cs="Times New Roman"/>
          <w:szCs w:val="24"/>
        </w:rPr>
        <w:t>Member of</w:t>
      </w:r>
      <w:r w:rsidRPr="00FB38E1">
        <w:rPr>
          <w:rFonts w:ascii="Times New Roman" w:hAnsi="Times New Roman" w:cs="Times New Roman"/>
          <w:b/>
          <w:szCs w:val="24"/>
        </w:rPr>
        <w:t xml:space="preserve"> DELOITTE TOUCHE TOHMATSU LIMITED</w:t>
      </w:r>
    </w:p>
    <w:bookmarkEnd w:id="4"/>
    <w:p w14:paraId="2960C73E" w14:textId="1B932CC6" w:rsidR="00364B59" w:rsidRPr="00FB38E1" w:rsidRDefault="00364B59" w:rsidP="003E6BDD">
      <w:pPr>
        <w:pStyle w:val="pumatext"/>
        <w:tabs>
          <w:tab w:val="left" w:pos="-426"/>
        </w:tabs>
        <w:spacing w:before="0" w:after="0" w:line="290" w:lineRule="atLeast"/>
        <w:ind w:left="142" w:hanging="142"/>
        <w:rPr>
          <w:rFonts w:ascii="Times New Roman" w:hAnsi="Times New Roman"/>
          <w:b/>
          <w:szCs w:val="24"/>
        </w:rPr>
      </w:pPr>
    </w:p>
    <w:p w14:paraId="00C84DCC" w14:textId="77777777" w:rsidR="00364B59" w:rsidRPr="00FB38E1" w:rsidRDefault="00364B59" w:rsidP="00364B59">
      <w:pPr>
        <w:pStyle w:val="Text"/>
        <w:spacing w:line="270" w:lineRule="atLeast"/>
        <w:ind w:left="142" w:hanging="142"/>
        <w:jc w:val="left"/>
        <w:rPr>
          <w:rFonts w:ascii="Times New Roman" w:hAnsi="Times New Roman" w:cs="Times New Roman"/>
          <w:b/>
          <w:szCs w:val="24"/>
        </w:rPr>
      </w:pPr>
    </w:p>
    <w:p w14:paraId="1F5D4E66" w14:textId="77777777" w:rsidR="00364B59" w:rsidRPr="00FB38E1" w:rsidRDefault="00364B59" w:rsidP="00364B59">
      <w:pPr>
        <w:pStyle w:val="Text"/>
        <w:spacing w:line="270" w:lineRule="atLeast"/>
        <w:ind w:left="142" w:hanging="142"/>
        <w:jc w:val="left"/>
        <w:rPr>
          <w:rFonts w:ascii="Times New Roman" w:hAnsi="Times New Roman" w:cs="Times New Roman"/>
          <w:b/>
          <w:szCs w:val="24"/>
        </w:rPr>
      </w:pPr>
    </w:p>
    <w:p w14:paraId="599556E0" w14:textId="77777777" w:rsidR="00364B59" w:rsidRPr="00FB38E1" w:rsidRDefault="00364B59" w:rsidP="00364B59">
      <w:pPr>
        <w:pStyle w:val="Text"/>
        <w:spacing w:line="270" w:lineRule="atLeast"/>
        <w:ind w:left="142" w:hanging="142"/>
        <w:jc w:val="left"/>
        <w:rPr>
          <w:rFonts w:ascii="Times New Roman" w:hAnsi="Times New Roman" w:cs="Times New Roman"/>
          <w:b/>
          <w:szCs w:val="24"/>
        </w:rPr>
      </w:pPr>
    </w:p>
    <w:p w14:paraId="5132C114" w14:textId="77777777" w:rsidR="00364B59" w:rsidRPr="00FB38E1" w:rsidRDefault="00364B59" w:rsidP="00364B59">
      <w:pPr>
        <w:pStyle w:val="Text"/>
        <w:spacing w:line="270" w:lineRule="atLeast"/>
        <w:ind w:left="142" w:hanging="142"/>
        <w:jc w:val="left"/>
        <w:rPr>
          <w:rFonts w:ascii="Times New Roman" w:hAnsi="Times New Roman" w:cs="Times New Roman"/>
          <w:b/>
          <w:szCs w:val="24"/>
        </w:rPr>
      </w:pPr>
    </w:p>
    <w:p w14:paraId="2325FB6D" w14:textId="77777777" w:rsidR="00364B59" w:rsidRPr="00FB38E1" w:rsidRDefault="00364B59" w:rsidP="00364B59">
      <w:pPr>
        <w:pStyle w:val="Text"/>
        <w:spacing w:line="270" w:lineRule="atLeast"/>
        <w:ind w:left="142" w:hanging="142"/>
        <w:jc w:val="left"/>
        <w:rPr>
          <w:rFonts w:ascii="Times New Roman" w:hAnsi="Times New Roman" w:cs="Times New Roman"/>
          <w:szCs w:val="24"/>
        </w:rPr>
      </w:pPr>
      <w:r w:rsidRPr="00FB38E1">
        <w:rPr>
          <w:rFonts w:ascii="Times New Roman" w:hAnsi="Times New Roman" w:cs="Times New Roman"/>
          <w:szCs w:val="24"/>
        </w:rPr>
        <w:t>Yaman Polat, SMMM</w:t>
      </w:r>
    </w:p>
    <w:p w14:paraId="032B524D" w14:textId="77777777" w:rsidR="00364B59" w:rsidRPr="00FB38E1" w:rsidRDefault="00364B59" w:rsidP="00364B59">
      <w:pPr>
        <w:pStyle w:val="Text"/>
        <w:spacing w:line="270" w:lineRule="atLeast"/>
        <w:ind w:left="142" w:hanging="142"/>
        <w:jc w:val="left"/>
        <w:rPr>
          <w:rFonts w:ascii="Times New Roman" w:hAnsi="Times New Roman" w:cs="Times New Roman"/>
          <w:szCs w:val="24"/>
        </w:rPr>
      </w:pPr>
      <w:r w:rsidRPr="00FB38E1">
        <w:rPr>
          <w:rFonts w:ascii="Times New Roman" w:hAnsi="Times New Roman" w:cs="Times New Roman"/>
          <w:szCs w:val="24"/>
        </w:rPr>
        <w:t>Sorumlu Denetçi</w:t>
      </w:r>
    </w:p>
    <w:p w14:paraId="30011550" w14:textId="77777777" w:rsidR="00364B59" w:rsidRPr="00FB38E1" w:rsidRDefault="00364B59" w:rsidP="00364B59">
      <w:pPr>
        <w:pStyle w:val="Text"/>
        <w:spacing w:line="270" w:lineRule="atLeast"/>
        <w:ind w:left="142" w:hanging="142"/>
        <w:jc w:val="left"/>
        <w:rPr>
          <w:rFonts w:ascii="Times New Roman" w:hAnsi="Times New Roman" w:cs="Times New Roman"/>
          <w:szCs w:val="24"/>
        </w:rPr>
      </w:pPr>
    </w:p>
    <w:p w14:paraId="349B6087" w14:textId="513835A0" w:rsidR="00364B59" w:rsidRPr="00FB38E1" w:rsidRDefault="00364B59" w:rsidP="00364B59">
      <w:pPr>
        <w:pStyle w:val="Text"/>
        <w:spacing w:line="270" w:lineRule="atLeast"/>
        <w:ind w:left="142" w:hanging="142"/>
        <w:jc w:val="left"/>
        <w:rPr>
          <w:rFonts w:ascii="Times New Roman" w:hAnsi="Times New Roman" w:cs="Times New Roman"/>
          <w:szCs w:val="24"/>
        </w:rPr>
      </w:pPr>
      <w:r w:rsidRPr="00FB38E1">
        <w:rPr>
          <w:rFonts w:ascii="Times New Roman" w:hAnsi="Times New Roman" w:cs="Times New Roman"/>
          <w:szCs w:val="24"/>
        </w:rPr>
        <w:t>İstanbul, 2</w:t>
      </w:r>
      <w:r w:rsidR="007E2543" w:rsidRPr="00FB38E1">
        <w:rPr>
          <w:rFonts w:ascii="Times New Roman" w:hAnsi="Times New Roman" w:cs="Times New Roman"/>
          <w:szCs w:val="24"/>
        </w:rPr>
        <w:t>8</w:t>
      </w:r>
      <w:r w:rsidRPr="00FB38E1">
        <w:rPr>
          <w:rFonts w:ascii="Times New Roman" w:hAnsi="Times New Roman" w:cs="Times New Roman"/>
          <w:szCs w:val="24"/>
        </w:rPr>
        <w:t xml:space="preserve"> Ocak 2025</w:t>
      </w:r>
    </w:p>
    <w:p w14:paraId="34727E65" w14:textId="364C6E23" w:rsidR="00696C49" w:rsidRPr="00FB38E1" w:rsidRDefault="00C15620" w:rsidP="00C15620">
      <w:pPr>
        <w:pStyle w:val="Heading2"/>
        <w:pageBreakBefore/>
        <w:spacing w:before="0"/>
        <w:ind w:left="993" w:right="1416"/>
        <w:jc w:val="center"/>
        <w:rPr>
          <w:rFonts w:ascii="Microsoft Sans Serif" w:hAnsi="Microsoft Sans Serif" w:cs="Microsoft Sans Serif"/>
          <w:sz w:val="22"/>
          <w:szCs w:val="22"/>
        </w:rPr>
      </w:pPr>
      <w:r w:rsidRPr="00FB38E1">
        <w:rPr>
          <w:sz w:val="22"/>
          <w:szCs w:val="22"/>
        </w:rPr>
        <w:tab/>
      </w:r>
      <w:r w:rsidR="00426431" w:rsidRPr="00FB38E1">
        <w:rPr>
          <w:rFonts w:ascii="Microsoft Sans Serif" w:hAnsi="Microsoft Sans Serif" w:cs="Microsoft Sans Serif"/>
          <w:sz w:val="22"/>
          <w:szCs w:val="22"/>
        </w:rPr>
        <w:t xml:space="preserve">DENİZBANK A.Ş.’NİN </w:t>
      </w:r>
      <w:r w:rsidR="00377B5B" w:rsidRPr="00FB38E1">
        <w:rPr>
          <w:rFonts w:ascii="Microsoft Sans Serif" w:hAnsi="Microsoft Sans Serif" w:cs="Microsoft Sans Serif"/>
          <w:sz w:val="22"/>
          <w:szCs w:val="22"/>
        </w:rPr>
        <w:t>3</w:t>
      </w:r>
      <w:r w:rsidR="005411A8" w:rsidRPr="00FB38E1">
        <w:rPr>
          <w:rFonts w:ascii="Microsoft Sans Serif" w:hAnsi="Microsoft Sans Serif" w:cs="Microsoft Sans Serif"/>
          <w:sz w:val="22"/>
          <w:szCs w:val="22"/>
        </w:rPr>
        <w:t>1 ARALIK</w:t>
      </w:r>
      <w:r w:rsidR="00377B5B" w:rsidRPr="00FB38E1">
        <w:rPr>
          <w:rFonts w:ascii="Microsoft Sans Serif" w:hAnsi="Microsoft Sans Serif" w:cs="Microsoft Sans Serif"/>
          <w:sz w:val="22"/>
          <w:szCs w:val="22"/>
        </w:rPr>
        <w:t xml:space="preserve"> </w:t>
      </w:r>
      <w:r w:rsidR="00161588" w:rsidRPr="00FB38E1">
        <w:rPr>
          <w:rFonts w:ascii="Microsoft Sans Serif" w:hAnsi="Microsoft Sans Serif" w:cs="Microsoft Sans Serif"/>
          <w:sz w:val="22"/>
          <w:szCs w:val="22"/>
        </w:rPr>
        <w:t>2024</w:t>
      </w:r>
      <w:r w:rsidR="003D283A" w:rsidRPr="00FB38E1">
        <w:rPr>
          <w:rFonts w:ascii="Microsoft Sans Serif" w:hAnsi="Microsoft Sans Serif" w:cs="Microsoft Sans Serif"/>
          <w:sz w:val="22"/>
          <w:szCs w:val="22"/>
        </w:rPr>
        <w:t xml:space="preserve"> T</w:t>
      </w:r>
      <w:r w:rsidR="00377B5B" w:rsidRPr="00FB38E1">
        <w:rPr>
          <w:rFonts w:ascii="Microsoft Sans Serif" w:hAnsi="Microsoft Sans Serif" w:cs="Microsoft Sans Serif"/>
          <w:sz w:val="22"/>
          <w:szCs w:val="22"/>
        </w:rPr>
        <w:t xml:space="preserve">ARİHİ İTİBARIYLA HAZIRLANAN </w:t>
      </w:r>
      <w:r w:rsidR="005411A8" w:rsidRPr="00FB38E1">
        <w:rPr>
          <w:rFonts w:ascii="Microsoft Sans Serif" w:hAnsi="Microsoft Sans Serif" w:cs="Microsoft Sans Serif"/>
          <w:sz w:val="22"/>
          <w:szCs w:val="22"/>
        </w:rPr>
        <w:t>YIL SONU</w:t>
      </w:r>
      <w:r w:rsidR="00161588" w:rsidRPr="00FB38E1">
        <w:rPr>
          <w:rFonts w:ascii="Microsoft Sans Serif" w:hAnsi="Microsoft Sans Serif" w:cs="Microsoft Sans Serif"/>
          <w:sz w:val="22"/>
          <w:szCs w:val="22"/>
        </w:rPr>
        <w:t xml:space="preserve"> KONSOLİDE </w:t>
      </w:r>
      <w:r w:rsidR="0054000C" w:rsidRPr="00FB38E1">
        <w:rPr>
          <w:rFonts w:ascii="Microsoft Sans Serif" w:hAnsi="Microsoft Sans Serif" w:cs="Microsoft Sans Serif"/>
          <w:sz w:val="22"/>
          <w:szCs w:val="22"/>
        </w:rPr>
        <w:t xml:space="preserve">OLMAYAN </w:t>
      </w:r>
      <w:r w:rsidR="006C5CDF" w:rsidRPr="00FB38E1">
        <w:rPr>
          <w:rFonts w:ascii="Microsoft Sans Serif" w:hAnsi="Microsoft Sans Serif" w:cs="Microsoft Sans Serif"/>
          <w:sz w:val="22"/>
          <w:szCs w:val="22"/>
        </w:rPr>
        <w:t>FİNANSAL RAPORU</w:t>
      </w:r>
    </w:p>
    <w:p w14:paraId="0B1A2DAD" w14:textId="77777777" w:rsidR="00161588" w:rsidRPr="00FB38E1" w:rsidRDefault="00161588" w:rsidP="00161588"/>
    <w:p w14:paraId="3F548425" w14:textId="77777777" w:rsidR="00161588" w:rsidRPr="00FB38E1" w:rsidRDefault="00161588" w:rsidP="0024624D"/>
    <w:p w14:paraId="2767ACCE" w14:textId="1BB9BB56" w:rsidR="0024624D" w:rsidRPr="00FB38E1" w:rsidRDefault="0024624D" w:rsidP="0024624D">
      <w:r w:rsidRPr="00FB38E1">
        <w:rPr>
          <w:rFonts w:ascii="Microsoft Sans Serif" w:hAnsi="Microsoft Sans Serif" w:cs="Microsoft Sans Serif"/>
          <w:noProof/>
          <w:lang w:eastAsia="tr-TR"/>
        </w:rPr>
        <mc:AlternateContent>
          <mc:Choice Requires="wps">
            <w:drawing>
              <wp:anchor distT="0" distB="0" distL="114300" distR="114300" simplePos="0" relativeHeight="251659264" behindDoc="0" locked="0" layoutInCell="1" allowOverlap="1" wp14:anchorId="13E7B138" wp14:editId="4E75CE29">
                <wp:simplePos x="0" y="0"/>
                <wp:positionH relativeFrom="margin">
                  <wp:align>right</wp:align>
                </wp:positionH>
                <wp:positionV relativeFrom="paragraph">
                  <wp:posOffset>5715</wp:posOffset>
                </wp:positionV>
                <wp:extent cx="1915160" cy="1414780"/>
                <wp:effectExtent l="0" t="0" r="889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1414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BB92C3" w14:textId="77777777" w:rsidR="00EA2415" w:rsidRPr="0024624D" w:rsidRDefault="00EA2415"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10FA12A4" w14:textId="77777777" w:rsidR="00EA2415" w:rsidRPr="0024624D" w:rsidRDefault="00EA2415"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64A9E236" w14:textId="77777777" w:rsidR="00EA2415" w:rsidRPr="0024624D" w:rsidRDefault="00EA2415"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64581A24" w14:textId="77777777" w:rsidR="00EA2415" w:rsidRPr="0024624D" w:rsidRDefault="00EA2415"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22EFBFD4" w14:textId="77777777" w:rsidR="00EA2415" w:rsidRPr="0024624D" w:rsidRDefault="00EA2415"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629EFF4E" w14:textId="77777777" w:rsidR="00EA2415" w:rsidRPr="0024624D" w:rsidRDefault="00EA2415"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08B544A2" w14:textId="77777777" w:rsidR="00EA2415" w:rsidRPr="0024624D" w:rsidRDefault="00EA2415"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2D16A08B" w14:textId="77777777" w:rsidR="00EA2415" w:rsidRPr="0024624D" w:rsidRDefault="005F24F5" w:rsidP="0024624D">
                            <w:pPr>
                              <w:spacing w:after="0"/>
                              <w:rPr>
                                <w:rFonts w:ascii="Microsoft Sans Serif" w:eastAsia="Times New Roman" w:hAnsi="Microsoft Sans Serif" w:cs="Microsoft Sans Serif"/>
                                <w:sz w:val="16"/>
                                <w:szCs w:val="16"/>
                                <w:lang w:eastAsia="tr-TR"/>
                              </w:rPr>
                            </w:pPr>
                            <w:hyperlink r:id="rId26" w:history="1">
                              <w:r w:rsidR="00EA2415" w:rsidRPr="0024624D">
                                <w:rPr>
                                  <w:rFonts w:ascii="Microsoft Sans Serif" w:eastAsia="Times New Roman" w:hAnsi="Microsoft Sans Serif" w:cs="Microsoft Sans Serif"/>
                                  <w:sz w:val="16"/>
                                  <w:szCs w:val="16"/>
                                  <w:lang w:eastAsia="tr-TR"/>
                                </w:rPr>
                                <w:t>www.denizbank.com</w:t>
                              </w:r>
                            </w:hyperlink>
                          </w:p>
                          <w:p w14:paraId="5819B5FB" w14:textId="77777777" w:rsidR="00EA2415" w:rsidRPr="0024624D" w:rsidRDefault="00EA2415"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6D6754F1" w14:textId="77777777" w:rsidR="00EA2415" w:rsidRPr="00F34E96" w:rsidRDefault="00EA2415"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3E7B138" id="_x0000_t202" coordsize="21600,21600" o:spt="202" path="m,l,21600r21600,l21600,xe">
                <v:stroke joinstyle="miter"/>
                <v:path gradientshapeok="t" o:connecttype="rect"/>
              </v:shapetype>
              <v:shape id="Text Box 2" o:spid="_x0000_s1026" type="#_x0000_t202" style="position:absolute;left:0;text-align:left;margin-left:99.6pt;margin-top:.45pt;width:150.8pt;height:111.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" stroked="f">
                <v:textbox>
                  <w:txbxContent>
                    <w:p w14:paraId="22BB92C3" w14:textId="77777777" w:rsidR="00EA2415" w:rsidRPr="0024624D" w:rsidRDefault="00EA2415" w:rsidP="0024624D">
                      <w:pPr>
                        <w:spacing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 xml:space="preserve">Bankanın Yönetim Merkezinin Adresi </w:t>
                      </w:r>
                    </w:p>
                    <w:p w14:paraId="10FA12A4" w14:textId="77777777" w:rsidR="00EA2415" w:rsidRPr="0024624D" w:rsidRDefault="00EA2415"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Büyükdere Caddesi No:141</w:t>
                      </w:r>
                    </w:p>
                    <w:p w14:paraId="64A9E236" w14:textId="77777777" w:rsidR="00EA2415" w:rsidRPr="0024624D" w:rsidRDefault="00EA2415"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34394 –ESENTEPE/İSTANBUL</w:t>
                      </w:r>
                    </w:p>
                    <w:p w14:paraId="64581A24" w14:textId="77777777" w:rsidR="00EA2415" w:rsidRPr="0024624D" w:rsidRDefault="00EA2415"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Telefon ve Faks Numaraları</w:t>
                      </w:r>
                    </w:p>
                    <w:p w14:paraId="22EFBFD4" w14:textId="77777777" w:rsidR="00EA2415" w:rsidRPr="0024624D" w:rsidRDefault="00EA2415"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Tel</w:t>
                      </w:r>
                      <w:r w:rsidRPr="0024624D">
                        <w:rPr>
                          <w:rFonts w:ascii="Microsoft Sans Serif" w:eastAsia="Times New Roman" w:hAnsi="Microsoft Sans Serif" w:cs="Microsoft Sans Serif"/>
                          <w:sz w:val="16"/>
                          <w:szCs w:val="16"/>
                          <w:lang w:eastAsia="tr-TR"/>
                        </w:rPr>
                        <w:tab/>
                        <w:t>: 0.212.348 20 00</w:t>
                      </w:r>
                    </w:p>
                    <w:p w14:paraId="629EFF4E" w14:textId="77777777" w:rsidR="00EA2415" w:rsidRPr="0024624D" w:rsidRDefault="00EA2415" w:rsidP="0024624D">
                      <w:pPr>
                        <w:spacing w:after="0"/>
                        <w:rPr>
                          <w:rFonts w:ascii="Microsoft Sans Serif" w:eastAsia="Times New Roman" w:hAnsi="Microsoft Sans Serif" w:cs="Microsoft Sans Serif"/>
                          <w:sz w:val="16"/>
                          <w:szCs w:val="16"/>
                          <w:lang w:eastAsia="tr-TR"/>
                        </w:rPr>
                      </w:pPr>
                      <w:r w:rsidRPr="0024624D">
                        <w:rPr>
                          <w:rFonts w:ascii="Microsoft Sans Serif" w:eastAsia="Times New Roman" w:hAnsi="Microsoft Sans Serif" w:cs="Microsoft Sans Serif"/>
                          <w:sz w:val="16"/>
                          <w:szCs w:val="16"/>
                          <w:lang w:eastAsia="tr-TR"/>
                        </w:rPr>
                        <w:t>Faks</w:t>
                      </w:r>
                      <w:r w:rsidRPr="0024624D">
                        <w:rPr>
                          <w:rFonts w:ascii="Microsoft Sans Serif" w:eastAsia="Times New Roman" w:hAnsi="Microsoft Sans Serif" w:cs="Microsoft Sans Serif"/>
                          <w:sz w:val="16"/>
                          <w:szCs w:val="16"/>
                          <w:lang w:eastAsia="tr-TR"/>
                        </w:rPr>
                        <w:tab/>
                        <w:t>: 0.212.336 61 86</w:t>
                      </w:r>
                    </w:p>
                    <w:p w14:paraId="08B544A2" w14:textId="77777777" w:rsidR="00EA2415" w:rsidRPr="0024624D" w:rsidRDefault="00EA2415"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Bankanın Elektronik Site Adresi</w:t>
                      </w:r>
                    </w:p>
                    <w:p w14:paraId="2D16A08B" w14:textId="77777777" w:rsidR="00EA2415" w:rsidRPr="0024624D" w:rsidRDefault="00EA2415" w:rsidP="0024624D">
                      <w:pPr>
                        <w:spacing w:after="0"/>
                        <w:rPr>
                          <w:rFonts w:ascii="Microsoft Sans Serif" w:eastAsia="Times New Roman" w:hAnsi="Microsoft Sans Serif" w:cs="Microsoft Sans Serif"/>
                          <w:sz w:val="16"/>
                          <w:szCs w:val="16"/>
                          <w:lang w:eastAsia="tr-TR"/>
                        </w:rPr>
                      </w:pPr>
                      <w:hyperlink r:id="rId27" w:history="1">
                        <w:r w:rsidRPr="0024624D">
                          <w:rPr>
                            <w:rFonts w:ascii="Microsoft Sans Serif" w:eastAsia="Times New Roman" w:hAnsi="Microsoft Sans Serif" w:cs="Microsoft Sans Serif"/>
                            <w:sz w:val="16"/>
                            <w:szCs w:val="16"/>
                            <w:lang w:eastAsia="tr-TR"/>
                          </w:rPr>
                          <w:t>www.denizbank.com</w:t>
                        </w:r>
                      </w:hyperlink>
                    </w:p>
                    <w:p w14:paraId="5819B5FB" w14:textId="77777777" w:rsidR="00EA2415" w:rsidRPr="0024624D" w:rsidRDefault="00EA2415" w:rsidP="00482AD0">
                      <w:pPr>
                        <w:spacing w:before="60" w:after="0"/>
                        <w:rPr>
                          <w:rFonts w:ascii="Microsoft Sans Serif" w:eastAsia="Times New Roman" w:hAnsi="Microsoft Sans Serif" w:cs="Microsoft Sans Serif"/>
                          <w:sz w:val="16"/>
                          <w:szCs w:val="16"/>
                          <w:u w:val="single"/>
                          <w:lang w:eastAsia="tr-TR"/>
                        </w:rPr>
                      </w:pPr>
                      <w:r w:rsidRPr="0024624D">
                        <w:rPr>
                          <w:rFonts w:ascii="Microsoft Sans Serif" w:eastAsia="Times New Roman" w:hAnsi="Microsoft Sans Serif" w:cs="Microsoft Sans Serif"/>
                          <w:sz w:val="16"/>
                          <w:szCs w:val="16"/>
                          <w:u w:val="single"/>
                          <w:lang w:eastAsia="tr-TR"/>
                        </w:rPr>
                        <w:t>İrtibat İçin Elektronik Posta Adresi</w:t>
                      </w:r>
                    </w:p>
                    <w:p w14:paraId="6D6754F1" w14:textId="77777777" w:rsidR="00EA2415" w:rsidRPr="00F34E96" w:rsidRDefault="00EA2415" w:rsidP="0024624D">
                      <w:pPr>
                        <w:rPr>
                          <w:rFonts w:ascii="Microsoft Sans Serif" w:hAnsi="Microsoft Sans Serif" w:cs="Microsoft Sans Serif"/>
                          <w:color w:val="000000"/>
                          <w:sz w:val="16"/>
                          <w:szCs w:val="16"/>
                        </w:rPr>
                      </w:pPr>
                      <w:r w:rsidRPr="00F34E96">
                        <w:rPr>
                          <w:rFonts w:ascii="Microsoft Sans Serif" w:hAnsi="Microsoft Sans Serif" w:cs="Microsoft Sans Serif"/>
                          <w:color w:val="000000"/>
                          <w:sz w:val="16"/>
                          <w:szCs w:val="16"/>
                        </w:rPr>
                        <w:t>yatirimciiliskileri@denizbank.com</w:t>
                      </w:r>
                    </w:p>
                  </w:txbxContent>
                </v:textbox>
                <w10:wrap type="square" anchorx="margin"/>
              </v:shape>
            </w:pict>
          </mc:Fallback>
        </mc:AlternateContent>
      </w:r>
    </w:p>
    <w:p w14:paraId="4F5D1295" w14:textId="77777777" w:rsidR="00696C49" w:rsidRPr="00FB38E1" w:rsidRDefault="00696C49" w:rsidP="00696C49"/>
    <w:p w14:paraId="409EBD5D" w14:textId="77777777" w:rsidR="0024624D" w:rsidRPr="00FB38E1" w:rsidRDefault="0024624D" w:rsidP="00696C49"/>
    <w:p w14:paraId="24D36D75" w14:textId="77777777" w:rsidR="0024624D" w:rsidRPr="00FB38E1" w:rsidRDefault="0024624D" w:rsidP="00696C49"/>
    <w:p w14:paraId="47AEEF40" w14:textId="77777777" w:rsidR="006F404A" w:rsidRPr="00FB38E1" w:rsidRDefault="006F404A" w:rsidP="000F4352">
      <w:pPr>
        <w:pStyle w:val="BodybyBD"/>
        <w:spacing w:before="840" w:after="240" w:line="240" w:lineRule="auto"/>
        <w:rPr>
          <w:rFonts w:ascii="Microsoft Sans Serif" w:hAnsi="Microsoft Sans Serif" w:cs="Microsoft Sans Serif"/>
          <w:sz w:val="16"/>
          <w:szCs w:val="16"/>
        </w:rPr>
      </w:pPr>
    </w:p>
    <w:p w14:paraId="5E1ADEB8" w14:textId="41DFF460" w:rsidR="0024624D" w:rsidRPr="00FB38E1" w:rsidRDefault="0024624D" w:rsidP="006F404A">
      <w:pPr>
        <w:pStyle w:val="BodybyBD"/>
        <w:spacing w:before="240" w:after="240" w:line="240" w:lineRule="auto"/>
        <w:rPr>
          <w:rFonts w:ascii="Microsoft Sans Serif" w:hAnsi="Microsoft Sans Serif" w:cs="Microsoft Sans Serif"/>
          <w:sz w:val="16"/>
          <w:szCs w:val="16"/>
        </w:rPr>
      </w:pPr>
      <w:r w:rsidRPr="00FB38E1">
        <w:rPr>
          <w:rFonts w:ascii="Microsoft Sans Serif" w:hAnsi="Microsoft Sans Serif" w:cs="Microsoft Sans Serif"/>
          <w:sz w:val="16"/>
          <w:szCs w:val="16"/>
        </w:rPr>
        <w:t>Bankacılık Düzenleme ve Denetleme Kurumu tarafınd</w:t>
      </w:r>
      <w:r w:rsidR="006F404A" w:rsidRPr="00FB38E1">
        <w:rPr>
          <w:rFonts w:ascii="Microsoft Sans Serif" w:hAnsi="Microsoft Sans Serif" w:cs="Microsoft Sans Serif"/>
          <w:sz w:val="16"/>
          <w:szCs w:val="16"/>
        </w:rPr>
        <w:t xml:space="preserve">an düzenlenen Bankalarca Kamuya </w:t>
      </w:r>
      <w:r w:rsidRPr="00FB38E1">
        <w:rPr>
          <w:rFonts w:ascii="Microsoft Sans Serif" w:hAnsi="Microsoft Sans Serif" w:cs="Microsoft Sans Serif"/>
          <w:sz w:val="16"/>
          <w:szCs w:val="16"/>
        </w:rPr>
        <w:t xml:space="preserve">Açıklanacak Finansal Tablolar ile Bunlara İlişkin Açıklama ve Dipnotlar Hakkında Tebliğe göre hazırlanan konsolide </w:t>
      </w:r>
      <w:r w:rsidR="008934EA" w:rsidRPr="00FB38E1">
        <w:rPr>
          <w:rFonts w:ascii="Microsoft Sans Serif" w:hAnsi="Microsoft Sans Serif" w:cs="Microsoft Sans Serif"/>
          <w:sz w:val="16"/>
          <w:szCs w:val="16"/>
        </w:rPr>
        <w:t xml:space="preserve">olmayan </w:t>
      </w:r>
      <w:r w:rsidRPr="00FB38E1">
        <w:rPr>
          <w:rFonts w:ascii="Microsoft Sans Serif" w:hAnsi="Microsoft Sans Serif" w:cs="Microsoft Sans Serif"/>
          <w:sz w:val="16"/>
          <w:szCs w:val="16"/>
        </w:rPr>
        <w:t>finansal rapor aşağıda yer alan bölümlerden oluşmaktadır.</w:t>
      </w:r>
    </w:p>
    <w:p w14:paraId="479949D6" w14:textId="77777777" w:rsidR="00FF5DB0" w:rsidRPr="00FB38E1" w:rsidRDefault="00FF5DB0" w:rsidP="00FF5DB0">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FB38E1">
        <w:rPr>
          <w:rFonts w:ascii="Microsoft Sans Serif" w:hAnsi="Microsoft Sans Serif" w:cs="Microsoft Sans Serif"/>
          <w:sz w:val="16"/>
          <w:szCs w:val="16"/>
          <w:lang w:val="pt-BR"/>
        </w:rPr>
        <w:t>BANKA HAKKINDA GENEL BİLGİLER</w:t>
      </w:r>
    </w:p>
    <w:p w14:paraId="5EB275F9" w14:textId="77777777" w:rsidR="00FF5DB0" w:rsidRPr="00FB38E1" w:rsidRDefault="00FF5DB0" w:rsidP="00FF5DB0">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FB38E1">
        <w:rPr>
          <w:rFonts w:ascii="Microsoft Sans Serif" w:hAnsi="Microsoft Sans Serif" w:cs="Microsoft Sans Serif"/>
          <w:sz w:val="16"/>
          <w:szCs w:val="16"/>
          <w:lang w:val="pt-BR"/>
        </w:rPr>
        <w:t>BANKA’NIN KONSOLİDE OLMAYAN FİNANSAL TABLOLARI</w:t>
      </w:r>
    </w:p>
    <w:p w14:paraId="7F64CC7C" w14:textId="77777777" w:rsidR="00FF5DB0" w:rsidRPr="00FB38E1" w:rsidRDefault="00FF5DB0" w:rsidP="00FF5DB0">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FB38E1">
        <w:rPr>
          <w:rFonts w:ascii="Microsoft Sans Serif" w:hAnsi="Microsoft Sans Serif" w:cs="Microsoft Sans Serif"/>
          <w:sz w:val="16"/>
          <w:szCs w:val="16"/>
          <w:lang w:val="pt-BR"/>
        </w:rPr>
        <w:t>İLGİLİ DÖNEMDE UYGULANAN MUHASEBE POLİTİKALARINA İLİŞKİN AÇIKLAMALAR</w:t>
      </w:r>
    </w:p>
    <w:p w14:paraId="5905BAFD" w14:textId="77777777" w:rsidR="00FF5DB0" w:rsidRPr="00FB38E1" w:rsidRDefault="00FF5DB0" w:rsidP="00FF5DB0">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FB38E1">
        <w:rPr>
          <w:rFonts w:ascii="Microsoft Sans Serif" w:hAnsi="Microsoft Sans Serif" w:cs="Microsoft Sans Serif"/>
          <w:sz w:val="16"/>
          <w:szCs w:val="16"/>
          <w:lang w:val="pt-BR"/>
        </w:rPr>
        <w:t>BANKA’NIN MALİ BÜNYESİNE VE RİSK YÖNETİMİNE İLİŞKİN BİLGİLER</w:t>
      </w:r>
    </w:p>
    <w:p w14:paraId="4BE3652F" w14:textId="77777777" w:rsidR="00FF5DB0" w:rsidRPr="00FB38E1" w:rsidRDefault="00FF5DB0" w:rsidP="00FF5DB0">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FB38E1">
        <w:rPr>
          <w:rFonts w:ascii="Microsoft Sans Serif" w:hAnsi="Microsoft Sans Serif" w:cs="Microsoft Sans Serif"/>
          <w:sz w:val="16"/>
          <w:szCs w:val="16"/>
          <w:lang w:val="pt-BR"/>
        </w:rPr>
        <w:t>KONSOLİDE OLMAYAN FİNANSAL TABLOLARA İLİŞKİN AÇIKLAMA VE DİPNOTLAR</w:t>
      </w:r>
    </w:p>
    <w:p w14:paraId="6DAD9DC7" w14:textId="77777777" w:rsidR="00FF5DB0" w:rsidRPr="00FB38E1" w:rsidRDefault="00FF5DB0" w:rsidP="00FF5DB0">
      <w:pPr>
        <w:numPr>
          <w:ilvl w:val="0"/>
          <w:numId w:val="2"/>
        </w:numPr>
        <w:tabs>
          <w:tab w:val="left" w:pos="360"/>
        </w:tabs>
        <w:spacing w:after="0"/>
        <w:ind w:right="-765"/>
        <w:rPr>
          <w:rFonts w:ascii="Microsoft Sans Serif" w:eastAsia="Arial Unicode MS" w:hAnsi="Microsoft Sans Serif" w:cs="Microsoft Sans Serif"/>
          <w:sz w:val="16"/>
          <w:szCs w:val="16"/>
          <w:lang w:val="pt-BR"/>
        </w:rPr>
      </w:pPr>
      <w:r w:rsidRPr="00FB38E1">
        <w:rPr>
          <w:rFonts w:ascii="Microsoft Sans Serif" w:hAnsi="Microsoft Sans Serif" w:cs="Microsoft Sans Serif"/>
          <w:sz w:val="16"/>
          <w:szCs w:val="16"/>
        </w:rPr>
        <w:t>DİĞER AÇIKLAMA VE DİPNOTLAR</w:t>
      </w:r>
    </w:p>
    <w:p w14:paraId="388AD61A" w14:textId="77777777" w:rsidR="00FF5DB0" w:rsidRPr="00FB38E1" w:rsidRDefault="00FF5DB0" w:rsidP="00FF5DB0">
      <w:pPr>
        <w:numPr>
          <w:ilvl w:val="0"/>
          <w:numId w:val="2"/>
        </w:numPr>
        <w:tabs>
          <w:tab w:val="left" w:pos="360"/>
        </w:tabs>
        <w:spacing w:after="0"/>
        <w:ind w:right="-765"/>
        <w:rPr>
          <w:rFonts w:ascii="Microsoft Sans Serif" w:eastAsia="Arial Unicode MS" w:hAnsi="Microsoft Sans Serif" w:cs="Microsoft Sans Serif"/>
          <w:sz w:val="16"/>
          <w:szCs w:val="16"/>
        </w:rPr>
      </w:pPr>
      <w:r w:rsidRPr="00FB38E1">
        <w:rPr>
          <w:rFonts w:ascii="Microsoft Sans Serif" w:eastAsia="Arial Unicode MS" w:hAnsi="Microsoft Sans Serif" w:cs="Microsoft Sans Serif"/>
          <w:sz w:val="16"/>
          <w:szCs w:val="16"/>
        </w:rPr>
        <w:t>BAĞIMSIZ DENETİM RAPORU</w:t>
      </w:r>
    </w:p>
    <w:p w14:paraId="48B2CEB3" w14:textId="7151F42D" w:rsidR="00A8713B" w:rsidRPr="00FB38E1" w:rsidRDefault="00A8713B" w:rsidP="007F2A05">
      <w:pPr>
        <w:tabs>
          <w:tab w:val="left" w:pos="360"/>
        </w:tabs>
        <w:spacing w:after="0"/>
        <w:ind w:left="720" w:right="-765"/>
        <w:rPr>
          <w:rFonts w:ascii="Microsoft Sans Serif" w:eastAsia="Arial Unicode MS" w:hAnsi="Microsoft Sans Serif" w:cs="Microsoft Sans Serif"/>
          <w:sz w:val="16"/>
          <w:szCs w:val="16"/>
        </w:rPr>
      </w:pPr>
    </w:p>
    <w:p w14:paraId="15D294B3" w14:textId="5863E018" w:rsidR="00005746" w:rsidRPr="00FB38E1" w:rsidRDefault="00005746" w:rsidP="00A12A78">
      <w:pPr>
        <w:tabs>
          <w:tab w:val="left" w:pos="360"/>
        </w:tabs>
        <w:spacing w:after="0"/>
        <w:ind w:left="720" w:right="-765"/>
        <w:rPr>
          <w:rFonts w:ascii="Microsoft Sans Serif" w:eastAsia="Arial Unicode MS" w:hAnsi="Microsoft Sans Serif" w:cs="Microsoft Sans Serif"/>
          <w:sz w:val="16"/>
          <w:szCs w:val="16"/>
        </w:rPr>
      </w:pPr>
    </w:p>
    <w:p w14:paraId="799A9AED" w14:textId="78A9DEE4" w:rsidR="00B72E93" w:rsidRPr="00FB38E1" w:rsidRDefault="00B72E93" w:rsidP="000F4352">
      <w:pPr>
        <w:pStyle w:val="BodybyBD"/>
        <w:keepLines w:val="0"/>
        <w:spacing w:before="360" w:after="240" w:line="240" w:lineRule="auto"/>
        <w:rPr>
          <w:rFonts w:ascii="Microsoft Sans Serif" w:eastAsia="Arial Unicode MS" w:hAnsi="Microsoft Sans Serif" w:cs="Microsoft Sans Serif"/>
          <w:sz w:val="16"/>
          <w:szCs w:val="16"/>
        </w:rPr>
      </w:pPr>
      <w:r w:rsidRPr="00FB38E1">
        <w:rPr>
          <w:rFonts w:ascii="Microsoft Sans Serif" w:eastAsia="Arial Unicode MS" w:hAnsi="Microsoft Sans Serif" w:cs="Microsoft Sans Serif"/>
          <w:sz w:val="16"/>
          <w:szCs w:val="16"/>
        </w:rPr>
        <w:t xml:space="preserve">Bu raporda yer alan konsolide </w:t>
      </w:r>
      <w:r w:rsidR="00240B5A" w:rsidRPr="00FB38E1">
        <w:rPr>
          <w:rFonts w:ascii="Microsoft Sans Serif" w:eastAsia="Arial Unicode MS" w:hAnsi="Microsoft Sans Serif" w:cs="Microsoft Sans Serif"/>
          <w:sz w:val="16"/>
          <w:szCs w:val="16"/>
        </w:rPr>
        <w:t xml:space="preserve">olmayan </w:t>
      </w:r>
      <w:r w:rsidRPr="00FB38E1">
        <w:rPr>
          <w:rFonts w:ascii="Microsoft Sans Serif" w:eastAsia="Arial Unicode MS" w:hAnsi="Microsoft Sans Serif" w:cs="Microsoft Sans Serif"/>
          <w:sz w:val="16"/>
          <w:szCs w:val="16"/>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FB38E1">
        <w:rPr>
          <w:rFonts w:ascii="Microsoft Sans Serif" w:eastAsia="Arial Unicode MS" w:hAnsi="Microsoft Sans Serif" w:cs="Microsoft Sans Serif"/>
          <w:b/>
          <w:bCs/>
          <w:sz w:val="16"/>
          <w:szCs w:val="16"/>
        </w:rPr>
        <w:t>Bin Türk Lirası</w:t>
      </w:r>
      <w:r w:rsidRPr="00FB38E1">
        <w:rPr>
          <w:rFonts w:ascii="Microsoft Sans Serif" w:eastAsia="Arial Unicode MS" w:hAnsi="Microsoft Sans Serif" w:cs="Microsoft Sans Serif"/>
          <w:sz w:val="16"/>
          <w:szCs w:val="16"/>
        </w:rPr>
        <w:t xml:space="preserve"> cinsinden hazırlanmış olup, bağımsız</w:t>
      </w:r>
      <w:r w:rsidR="00161588" w:rsidRPr="00FB38E1">
        <w:rPr>
          <w:rFonts w:ascii="Microsoft Sans Serif" w:eastAsia="Arial Unicode MS" w:hAnsi="Microsoft Sans Serif" w:cs="Microsoft Sans Serif"/>
          <w:sz w:val="16"/>
          <w:szCs w:val="16"/>
        </w:rPr>
        <w:t xml:space="preserve"> </w:t>
      </w:r>
      <w:r w:rsidRPr="00FB38E1">
        <w:rPr>
          <w:rFonts w:ascii="Microsoft Sans Serif" w:eastAsia="Arial Unicode MS" w:hAnsi="Microsoft Sans Serif" w:cs="Microsoft Sans Serif"/>
          <w:sz w:val="16"/>
          <w:szCs w:val="16"/>
        </w:rPr>
        <w:t>denetime tabi tutulmuş ve ilişikte sunulmuştur.</w:t>
      </w:r>
    </w:p>
    <w:p w14:paraId="3B3669CA" w14:textId="3D1045F3" w:rsidR="00B72E93" w:rsidRPr="00FB38E1" w:rsidRDefault="00632DC5" w:rsidP="000F4352">
      <w:pPr>
        <w:pStyle w:val="BodybyBD"/>
        <w:keepLines w:val="0"/>
        <w:tabs>
          <w:tab w:val="center" w:pos="1080"/>
          <w:tab w:val="center" w:pos="3330"/>
          <w:tab w:val="center" w:pos="5400"/>
          <w:tab w:val="center" w:pos="8010"/>
        </w:tabs>
        <w:spacing w:before="120" w:after="2400" w:line="240" w:lineRule="atLeast"/>
        <w:ind w:right="-1208"/>
        <w:jc w:val="left"/>
        <w:rPr>
          <w:rFonts w:ascii="Microsoft Sans Serif" w:eastAsia="Arial Unicode MS" w:hAnsi="Microsoft Sans Serif" w:cs="Microsoft Sans Serif"/>
          <w:bCs/>
          <w:sz w:val="16"/>
          <w:szCs w:val="16"/>
        </w:rPr>
      </w:pPr>
      <w:r w:rsidRPr="00FB38E1">
        <w:rPr>
          <w:rFonts w:ascii="Microsoft Sans Serif" w:eastAsia="Arial Unicode MS" w:hAnsi="Microsoft Sans Serif" w:cs="Microsoft Sans Serif"/>
          <w:bCs/>
          <w:sz w:val="16"/>
          <w:szCs w:val="16"/>
        </w:rPr>
        <w:t>2</w:t>
      </w:r>
      <w:r w:rsidR="007E2543" w:rsidRPr="00FB38E1">
        <w:rPr>
          <w:rFonts w:ascii="Microsoft Sans Serif" w:eastAsia="Arial Unicode MS" w:hAnsi="Microsoft Sans Serif" w:cs="Microsoft Sans Serif"/>
          <w:bCs/>
          <w:sz w:val="16"/>
          <w:szCs w:val="16"/>
        </w:rPr>
        <w:t>8</w:t>
      </w:r>
      <w:r w:rsidR="00364B59" w:rsidRPr="00FB38E1">
        <w:rPr>
          <w:rFonts w:ascii="Microsoft Sans Serif" w:eastAsia="Arial Unicode MS" w:hAnsi="Microsoft Sans Serif" w:cs="Microsoft Sans Serif"/>
          <w:bCs/>
          <w:sz w:val="16"/>
          <w:szCs w:val="16"/>
        </w:rPr>
        <w:t xml:space="preserve"> </w:t>
      </w:r>
      <w:r w:rsidRPr="00FB38E1">
        <w:rPr>
          <w:rFonts w:ascii="Microsoft Sans Serif" w:eastAsia="Arial Unicode MS" w:hAnsi="Microsoft Sans Serif" w:cs="Microsoft Sans Serif"/>
          <w:bCs/>
          <w:sz w:val="16"/>
          <w:szCs w:val="16"/>
        </w:rPr>
        <w:t>Ocak</w:t>
      </w:r>
      <w:r w:rsidR="001662A2" w:rsidRPr="00FB38E1">
        <w:rPr>
          <w:rFonts w:ascii="Microsoft Sans Serif" w:eastAsia="Arial Unicode MS" w:hAnsi="Microsoft Sans Serif" w:cs="Microsoft Sans Serif"/>
          <w:bCs/>
          <w:sz w:val="16"/>
          <w:szCs w:val="16"/>
        </w:rPr>
        <w:t xml:space="preserve"> </w:t>
      </w:r>
      <w:r w:rsidR="00A9394D" w:rsidRPr="00FB38E1">
        <w:rPr>
          <w:rFonts w:ascii="Microsoft Sans Serif" w:eastAsia="Arial Unicode MS" w:hAnsi="Microsoft Sans Serif" w:cs="Microsoft Sans Serif"/>
          <w:bCs/>
          <w:sz w:val="16"/>
          <w:szCs w:val="16"/>
        </w:rPr>
        <w:t>202</w:t>
      </w:r>
      <w:r w:rsidRPr="00FB38E1">
        <w:rPr>
          <w:rFonts w:ascii="Microsoft Sans Serif" w:eastAsia="Arial Unicode MS" w:hAnsi="Microsoft Sans Serif" w:cs="Microsoft Sans Serif"/>
          <w:bCs/>
          <w:sz w:val="16"/>
          <w:szCs w:val="16"/>
        </w:rPr>
        <w:t>5</w:t>
      </w:r>
    </w:p>
    <w:tbl>
      <w:tblPr>
        <w:tblStyle w:val="TableGrid"/>
        <w:tblW w:w="97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2"/>
        <w:gridCol w:w="293"/>
        <w:gridCol w:w="2351"/>
        <w:gridCol w:w="293"/>
        <w:gridCol w:w="2190"/>
        <w:gridCol w:w="284"/>
        <w:gridCol w:w="2017"/>
      </w:tblGrid>
      <w:tr w:rsidR="000B0333" w:rsidRPr="00FB38E1" w14:paraId="165C83E3" w14:textId="77777777" w:rsidTr="00751447">
        <w:trPr>
          <w:trHeight w:val="227"/>
        </w:trPr>
        <w:tc>
          <w:tcPr>
            <w:tcW w:w="2352" w:type="dxa"/>
            <w:tcBorders>
              <w:top w:val="single" w:sz="4" w:space="0" w:color="auto"/>
            </w:tcBorders>
            <w:shd w:val="clear" w:color="auto" w:fill="auto"/>
            <w:vAlign w:val="center"/>
          </w:tcPr>
          <w:p w14:paraId="31852F3E" w14:textId="3F921D98" w:rsidR="000B0333" w:rsidRPr="00FB38E1" w:rsidRDefault="000B0333" w:rsidP="000B0333">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ELBURUZ İNCEMAN</w:t>
            </w:r>
          </w:p>
        </w:tc>
        <w:tc>
          <w:tcPr>
            <w:tcW w:w="293" w:type="dxa"/>
            <w:shd w:val="clear" w:color="auto" w:fill="auto"/>
            <w:vAlign w:val="center"/>
          </w:tcPr>
          <w:p w14:paraId="5D723497" w14:textId="77777777" w:rsidR="000B0333" w:rsidRPr="00FB38E1" w:rsidRDefault="000B0333" w:rsidP="000B0333">
            <w:pPr>
              <w:jc w:val="left"/>
              <w:rPr>
                <w:rFonts w:ascii="Microsoft Sans Serif" w:hAnsi="Microsoft Sans Serif" w:cs="Microsoft Sans Serif"/>
                <w:sz w:val="14"/>
                <w:szCs w:val="14"/>
              </w:rPr>
            </w:pPr>
          </w:p>
        </w:tc>
        <w:tc>
          <w:tcPr>
            <w:tcW w:w="2351" w:type="dxa"/>
            <w:tcBorders>
              <w:top w:val="single" w:sz="4" w:space="0" w:color="auto"/>
            </w:tcBorders>
            <w:shd w:val="clear" w:color="auto" w:fill="auto"/>
            <w:vAlign w:val="center"/>
          </w:tcPr>
          <w:p w14:paraId="0158613F" w14:textId="2D7E2DD2" w:rsidR="000B0333" w:rsidRPr="00FB38E1" w:rsidRDefault="000B0333" w:rsidP="000B0333">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RUSLAN ABİL</w:t>
            </w:r>
          </w:p>
        </w:tc>
        <w:tc>
          <w:tcPr>
            <w:tcW w:w="293" w:type="dxa"/>
            <w:shd w:val="clear" w:color="auto" w:fill="auto"/>
            <w:vAlign w:val="center"/>
          </w:tcPr>
          <w:p w14:paraId="36975FF1" w14:textId="77777777" w:rsidR="000B0333" w:rsidRPr="00FB38E1" w:rsidRDefault="000B0333" w:rsidP="000B0333">
            <w:pPr>
              <w:jc w:val="left"/>
              <w:rPr>
                <w:rFonts w:ascii="Microsoft Sans Serif" w:hAnsi="Microsoft Sans Serif" w:cs="Microsoft Sans Serif"/>
                <w:sz w:val="14"/>
                <w:szCs w:val="14"/>
              </w:rPr>
            </w:pPr>
          </w:p>
        </w:tc>
        <w:tc>
          <w:tcPr>
            <w:tcW w:w="2190" w:type="dxa"/>
            <w:tcBorders>
              <w:top w:val="single" w:sz="4" w:space="0" w:color="auto"/>
            </w:tcBorders>
            <w:shd w:val="clear" w:color="auto" w:fill="auto"/>
            <w:vAlign w:val="center"/>
          </w:tcPr>
          <w:p w14:paraId="684860EA" w14:textId="7E3D9E34" w:rsidR="000B0333" w:rsidRPr="00FB38E1" w:rsidRDefault="000B0333" w:rsidP="000B0333">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RECEP BAŞTUĞ</w:t>
            </w:r>
          </w:p>
        </w:tc>
        <w:tc>
          <w:tcPr>
            <w:tcW w:w="284" w:type="dxa"/>
            <w:shd w:val="clear" w:color="auto" w:fill="auto"/>
            <w:vAlign w:val="bottom"/>
          </w:tcPr>
          <w:p w14:paraId="3BBAD76F" w14:textId="77777777" w:rsidR="000B0333" w:rsidRPr="00FB38E1" w:rsidRDefault="000B0333" w:rsidP="000B0333">
            <w:pPr>
              <w:rPr>
                <w:rFonts w:ascii="Microsoft Sans Serif" w:hAnsi="Microsoft Sans Serif" w:cs="Microsoft Sans Serif"/>
                <w:sz w:val="14"/>
                <w:szCs w:val="14"/>
              </w:rPr>
            </w:pPr>
          </w:p>
        </w:tc>
        <w:tc>
          <w:tcPr>
            <w:tcW w:w="2017" w:type="dxa"/>
            <w:tcBorders>
              <w:top w:val="single" w:sz="4" w:space="0" w:color="auto"/>
            </w:tcBorders>
            <w:shd w:val="clear" w:color="auto" w:fill="auto"/>
            <w:vAlign w:val="center"/>
          </w:tcPr>
          <w:p w14:paraId="09E7A2C8" w14:textId="0506A00F" w:rsidR="000B0333" w:rsidRPr="00FB38E1" w:rsidRDefault="000B0333" w:rsidP="000B0333">
            <w:pPr>
              <w:ind w:right="452"/>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HESHAM ABDULLA </w:t>
            </w:r>
          </w:p>
        </w:tc>
      </w:tr>
      <w:tr w:rsidR="000B0333" w:rsidRPr="00FB38E1" w14:paraId="3CBD24C7" w14:textId="77777777" w:rsidTr="00482AD0">
        <w:tc>
          <w:tcPr>
            <w:tcW w:w="2352" w:type="dxa"/>
          </w:tcPr>
          <w:p w14:paraId="763C5BE6" w14:textId="5EEEF37B"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Finansal Raporlama ve Muhasebe</w:t>
            </w:r>
          </w:p>
        </w:tc>
        <w:tc>
          <w:tcPr>
            <w:tcW w:w="293" w:type="dxa"/>
          </w:tcPr>
          <w:p w14:paraId="049E8EDA"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351" w:type="dxa"/>
          </w:tcPr>
          <w:p w14:paraId="51DB0441" w14:textId="5EB2857E"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Mali İşler</w:t>
            </w:r>
          </w:p>
        </w:tc>
        <w:tc>
          <w:tcPr>
            <w:tcW w:w="293" w:type="dxa"/>
          </w:tcPr>
          <w:p w14:paraId="5A3F2141"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190" w:type="dxa"/>
          </w:tcPr>
          <w:p w14:paraId="42EBAD2E" w14:textId="0C475A88"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Yönetim Kurulu Üyesi</w:t>
            </w:r>
          </w:p>
        </w:tc>
        <w:tc>
          <w:tcPr>
            <w:tcW w:w="284" w:type="dxa"/>
          </w:tcPr>
          <w:p w14:paraId="665F8D22"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017" w:type="dxa"/>
          </w:tcPr>
          <w:p w14:paraId="7AB63FDE" w14:textId="559D2089"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b/>
                <w:sz w:val="14"/>
                <w:szCs w:val="14"/>
              </w:rPr>
              <w:t>QASSIM  AL QASSIM</w:t>
            </w:r>
          </w:p>
        </w:tc>
      </w:tr>
      <w:tr w:rsidR="000B0333" w:rsidRPr="00FB38E1" w14:paraId="64E9F7D9" w14:textId="77777777" w:rsidTr="00482AD0">
        <w:tc>
          <w:tcPr>
            <w:tcW w:w="2352" w:type="dxa"/>
          </w:tcPr>
          <w:p w14:paraId="3F38CD52" w14:textId="0467B6B6"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Grup Müdürü</w:t>
            </w:r>
          </w:p>
        </w:tc>
        <w:tc>
          <w:tcPr>
            <w:tcW w:w="293" w:type="dxa"/>
          </w:tcPr>
          <w:p w14:paraId="01299344"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351" w:type="dxa"/>
          </w:tcPr>
          <w:p w14:paraId="33034E54" w14:textId="3700C430"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Genel Müdür Yardımcısı, CFO</w:t>
            </w:r>
          </w:p>
        </w:tc>
        <w:tc>
          <w:tcPr>
            <w:tcW w:w="293" w:type="dxa"/>
          </w:tcPr>
          <w:p w14:paraId="20E0AFF4"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190" w:type="dxa"/>
          </w:tcPr>
          <w:p w14:paraId="66CAF4E6" w14:textId="6491F805"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Genel Müdür</w:t>
            </w:r>
          </w:p>
        </w:tc>
        <w:tc>
          <w:tcPr>
            <w:tcW w:w="284" w:type="dxa"/>
          </w:tcPr>
          <w:p w14:paraId="1322082B"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017" w:type="dxa"/>
          </w:tcPr>
          <w:p w14:paraId="1BA004EF" w14:textId="37A57E83"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Yönetim Kurulu Başkanı</w:t>
            </w:r>
          </w:p>
        </w:tc>
      </w:tr>
    </w:tbl>
    <w:p w14:paraId="7ED6346B" w14:textId="77777777" w:rsidR="0024624D" w:rsidRPr="00FB38E1" w:rsidRDefault="0024624D" w:rsidP="000F4352">
      <w:pPr>
        <w:spacing w:after="1440"/>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2"/>
        <w:gridCol w:w="297"/>
        <w:gridCol w:w="2381"/>
        <w:gridCol w:w="240"/>
        <w:gridCol w:w="2213"/>
        <w:gridCol w:w="284"/>
        <w:gridCol w:w="1984"/>
      </w:tblGrid>
      <w:tr w:rsidR="000B0333" w:rsidRPr="00FB38E1" w14:paraId="562D827B" w14:textId="77777777" w:rsidTr="004B502E">
        <w:trPr>
          <w:trHeight w:val="227"/>
        </w:trPr>
        <w:tc>
          <w:tcPr>
            <w:tcW w:w="2382" w:type="dxa"/>
            <w:tcBorders>
              <w:top w:val="single" w:sz="4" w:space="0" w:color="auto"/>
            </w:tcBorders>
            <w:vAlign w:val="center"/>
          </w:tcPr>
          <w:p w14:paraId="35281ECA" w14:textId="67AACB42" w:rsidR="000B0333" w:rsidRPr="00FB38E1" w:rsidRDefault="000B0333" w:rsidP="000B0333">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BJORN LENZMANN</w:t>
            </w:r>
          </w:p>
        </w:tc>
        <w:tc>
          <w:tcPr>
            <w:tcW w:w="297" w:type="dxa"/>
            <w:shd w:val="clear" w:color="auto" w:fill="auto"/>
            <w:vAlign w:val="bottom"/>
          </w:tcPr>
          <w:p w14:paraId="48685BF6" w14:textId="77777777" w:rsidR="000B0333" w:rsidRPr="00FB38E1" w:rsidRDefault="000B0333" w:rsidP="000B0333">
            <w:pPr>
              <w:rPr>
                <w:rFonts w:ascii="Microsoft Sans Serif" w:hAnsi="Microsoft Sans Serif" w:cs="Microsoft Sans Serif"/>
                <w:sz w:val="14"/>
                <w:szCs w:val="14"/>
              </w:rPr>
            </w:pPr>
          </w:p>
        </w:tc>
        <w:tc>
          <w:tcPr>
            <w:tcW w:w="2381" w:type="dxa"/>
            <w:tcBorders>
              <w:top w:val="single" w:sz="4" w:space="0" w:color="auto"/>
            </w:tcBorders>
            <w:vAlign w:val="bottom"/>
          </w:tcPr>
          <w:p w14:paraId="466F18D6" w14:textId="77777777" w:rsidR="000B0333" w:rsidRPr="00FB38E1" w:rsidRDefault="000B0333" w:rsidP="000B0333">
            <w:pPr>
              <w:rPr>
                <w:rFonts w:ascii="Microsoft Sans Serif" w:hAnsi="Microsoft Sans Serif" w:cs="Microsoft Sans Serif"/>
                <w:b/>
                <w:sz w:val="14"/>
                <w:szCs w:val="14"/>
              </w:rPr>
            </w:pPr>
            <w:r w:rsidRPr="00FB38E1">
              <w:rPr>
                <w:rFonts w:ascii="Microsoft Sans Serif" w:hAnsi="Microsoft Sans Serif" w:cs="Microsoft Sans Serif"/>
                <w:b/>
                <w:sz w:val="14"/>
                <w:szCs w:val="14"/>
              </w:rPr>
              <w:t>AHMED MOHAMMED AQIL</w:t>
            </w:r>
          </w:p>
          <w:p w14:paraId="2C72EB90" w14:textId="2F18A6BB" w:rsidR="000B0333" w:rsidRPr="00FB38E1" w:rsidRDefault="000B0333" w:rsidP="000B0333">
            <w:pPr>
              <w:rPr>
                <w:rFonts w:ascii="Microsoft Sans Serif" w:hAnsi="Microsoft Sans Serif" w:cs="Microsoft Sans Serif"/>
                <w:b/>
                <w:sz w:val="14"/>
                <w:szCs w:val="14"/>
              </w:rPr>
            </w:pPr>
            <w:r w:rsidRPr="00FB38E1">
              <w:rPr>
                <w:rFonts w:ascii="Microsoft Sans Serif" w:hAnsi="Microsoft Sans Serif" w:cs="Microsoft Sans Serif"/>
                <w:b/>
                <w:sz w:val="14"/>
                <w:szCs w:val="14"/>
              </w:rPr>
              <w:t>QASSIM AL QASSIM</w:t>
            </w:r>
          </w:p>
        </w:tc>
        <w:tc>
          <w:tcPr>
            <w:tcW w:w="240" w:type="dxa"/>
          </w:tcPr>
          <w:p w14:paraId="2EACDDA4" w14:textId="77777777" w:rsidR="000B0333" w:rsidRPr="00FB38E1" w:rsidRDefault="000B0333" w:rsidP="000B0333">
            <w:pPr>
              <w:rPr>
                <w:rFonts w:ascii="Microsoft Sans Serif" w:hAnsi="Microsoft Sans Serif" w:cs="Microsoft Sans Serif"/>
                <w:b/>
                <w:sz w:val="14"/>
                <w:szCs w:val="14"/>
              </w:rPr>
            </w:pPr>
          </w:p>
        </w:tc>
        <w:tc>
          <w:tcPr>
            <w:tcW w:w="2213" w:type="dxa"/>
            <w:shd w:val="clear" w:color="auto" w:fill="auto"/>
            <w:vAlign w:val="bottom"/>
          </w:tcPr>
          <w:p w14:paraId="669CD44A" w14:textId="62749CB6" w:rsidR="000B0333" w:rsidRPr="00FB38E1" w:rsidRDefault="000B0333" w:rsidP="000B0333">
            <w:pPr>
              <w:rPr>
                <w:rFonts w:ascii="Microsoft Sans Serif" w:hAnsi="Microsoft Sans Serif" w:cs="Microsoft Sans Serif"/>
                <w:b/>
                <w:sz w:val="14"/>
                <w:szCs w:val="14"/>
              </w:rPr>
            </w:pPr>
          </w:p>
        </w:tc>
        <w:tc>
          <w:tcPr>
            <w:tcW w:w="284" w:type="dxa"/>
          </w:tcPr>
          <w:p w14:paraId="6DFC4AD3" w14:textId="77777777" w:rsidR="000B0333" w:rsidRPr="00FB38E1" w:rsidRDefault="000B0333" w:rsidP="000B0333">
            <w:pPr>
              <w:rPr>
                <w:rFonts w:ascii="Microsoft Sans Serif" w:hAnsi="Microsoft Sans Serif" w:cs="Microsoft Sans Serif"/>
                <w:sz w:val="14"/>
                <w:szCs w:val="14"/>
              </w:rPr>
            </w:pPr>
          </w:p>
        </w:tc>
        <w:tc>
          <w:tcPr>
            <w:tcW w:w="1984" w:type="dxa"/>
            <w:shd w:val="clear" w:color="auto" w:fill="auto"/>
            <w:vAlign w:val="bottom"/>
          </w:tcPr>
          <w:p w14:paraId="2989189D" w14:textId="73004FA4" w:rsidR="000B0333" w:rsidRPr="00FB38E1" w:rsidRDefault="000B0333" w:rsidP="000B0333">
            <w:pPr>
              <w:rPr>
                <w:rFonts w:ascii="Microsoft Sans Serif" w:hAnsi="Microsoft Sans Serif" w:cs="Microsoft Sans Serif"/>
                <w:sz w:val="14"/>
                <w:szCs w:val="14"/>
              </w:rPr>
            </w:pPr>
          </w:p>
        </w:tc>
      </w:tr>
      <w:tr w:rsidR="000B0333" w:rsidRPr="00FB38E1" w14:paraId="4E2D8080" w14:textId="77777777" w:rsidTr="00F06243">
        <w:tc>
          <w:tcPr>
            <w:tcW w:w="2382" w:type="dxa"/>
          </w:tcPr>
          <w:p w14:paraId="196A36A3" w14:textId="0DAA5D46"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Yönetim Kurulu Üyesi ve</w:t>
            </w:r>
          </w:p>
        </w:tc>
        <w:tc>
          <w:tcPr>
            <w:tcW w:w="297" w:type="dxa"/>
            <w:shd w:val="clear" w:color="auto" w:fill="auto"/>
          </w:tcPr>
          <w:p w14:paraId="5CF9C84C"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381" w:type="dxa"/>
          </w:tcPr>
          <w:p w14:paraId="25DE8020" w14:textId="48C623D7"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Yönetim Kurulu ve</w:t>
            </w:r>
          </w:p>
        </w:tc>
        <w:tc>
          <w:tcPr>
            <w:tcW w:w="240" w:type="dxa"/>
          </w:tcPr>
          <w:p w14:paraId="2BC92F6F"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213" w:type="dxa"/>
            <w:shd w:val="clear" w:color="auto" w:fill="auto"/>
          </w:tcPr>
          <w:p w14:paraId="7585E5BF" w14:textId="38BFA928" w:rsidR="000B0333" w:rsidRPr="00FB38E1" w:rsidRDefault="000B0333" w:rsidP="000B0333">
            <w:pPr>
              <w:rPr>
                <w:rFonts w:ascii="Microsoft Sans Serif" w:hAnsi="Microsoft Sans Serif" w:cs="Microsoft Sans Serif"/>
                <w:color w:val="404040" w:themeColor="text1" w:themeTint="BF"/>
                <w:sz w:val="14"/>
                <w:szCs w:val="14"/>
              </w:rPr>
            </w:pPr>
          </w:p>
        </w:tc>
        <w:tc>
          <w:tcPr>
            <w:tcW w:w="284" w:type="dxa"/>
          </w:tcPr>
          <w:p w14:paraId="6B3EFDF2"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1984" w:type="dxa"/>
            <w:shd w:val="clear" w:color="auto" w:fill="auto"/>
          </w:tcPr>
          <w:p w14:paraId="2CCBBDEF" w14:textId="02CF716C" w:rsidR="000B0333" w:rsidRPr="00FB38E1" w:rsidRDefault="000B0333" w:rsidP="000B0333">
            <w:pPr>
              <w:rPr>
                <w:rFonts w:ascii="Microsoft Sans Serif" w:hAnsi="Microsoft Sans Serif" w:cs="Microsoft Sans Serif"/>
                <w:color w:val="404040" w:themeColor="text1" w:themeTint="BF"/>
                <w:sz w:val="14"/>
                <w:szCs w:val="14"/>
              </w:rPr>
            </w:pPr>
          </w:p>
        </w:tc>
      </w:tr>
      <w:tr w:rsidR="000B0333" w:rsidRPr="00FB38E1" w14:paraId="7160C1DA" w14:textId="77777777" w:rsidTr="00F06243">
        <w:tc>
          <w:tcPr>
            <w:tcW w:w="2382" w:type="dxa"/>
          </w:tcPr>
          <w:p w14:paraId="241EED08" w14:textId="33F49849"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Denetim ve Risk Komitesi Başkanı</w:t>
            </w:r>
          </w:p>
        </w:tc>
        <w:tc>
          <w:tcPr>
            <w:tcW w:w="297" w:type="dxa"/>
            <w:shd w:val="clear" w:color="auto" w:fill="auto"/>
          </w:tcPr>
          <w:p w14:paraId="3145B659"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381" w:type="dxa"/>
          </w:tcPr>
          <w:p w14:paraId="0DAE49A0" w14:textId="3F9CF083" w:rsidR="000B0333" w:rsidRPr="00FB38E1" w:rsidRDefault="000B0333" w:rsidP="000B033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Denetim ve Risk Komitesi Üyesi</w:t>
            </w:r>
          </w:p>
        </w:tc>
        <w:tc>
          <w:tcPr>
            <w:tcW w:w="240" w:type="dxa"/>
          </w:tcPr>
          <w:p w14:paraId="4EDCEFCD"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2213" w:type="dxa"/>
            <w:shd w:val="clear" w:color="auto" w:fill="auto"/>
          </w:tcPr>
          <w:p w14:paraId="5A71313F" w14:textId="602D8F3D" w:rsidR="000B0333" w:rsidRPr="00FB38E1" w:rsidRDefault="000B0333" w:rsidP="000B0333">
            <w:pPr>
              <w:rPr>
                <w:rFonts w:ascii="Microsoft Sans Serif" w:hAnsi="Microsoft Sans Serif" w:cs="Microsoft Sans Serif"/>
                <w:color w:val="404040" w:themeColor="text1" w:themeTint="BF"/>
                <w:sz w:val="14"/>
                <w:szCs w:val="14"/>
              </w:rPr>
            </w:pPr>
          </w:p>
        </w:tc>
        <w:tc>
          <w:tcPr>
            <w:tcW w:w="284" w:type="dxa"/>
          </w:tcPr>
          <w:p w14:paraId="4044CF14" w14:textId="77777777" w:rsidR="000B0333" w:rsidRPr="00FB38E1" w:rsidRDefault="000B0333" w:rsidP="000B0333">
            <w:pPr>
              <w:rPr>
                <w:rFonts w:ascii="Microsoft Sans Serif" w:hAnsi="Microsoft Sans Serif" w:cs="Microsoft Sans Serif"/>
                <w:color w:val="404040" w:themeColor="text1" w:themeTint="BF"/>
                <w:sz w:val="14"/>
                <w:szCs w:val="14"/>
              </w:rPr>
            </w:pPr>
          </w:p>
        </w:tc>
        <w:tc>
          <w:tcPr>
            <w:tcW w:w="1984" w:type="dxa"/>
            <w:shd w:val="clear" w:color="auto" w:fill="auto"/>
          </w:tcPr>
          <w:p w14:paraId="437B3193" w14:textId="6AA11238" w:rsidR="000B0333" w:rsidRPr="00FB38E1" w:rsidRDefault="000B0333" w:rsidP="000B0333">
            <w:pPr>
              <w:rPr>
                <w:rFonts w:ascii="Microsoft Sans Serif" w:hAnsi="Microsoft Sans Serif" w:cs="Microsoft Sans Serif"/>
                <w:color w:val="404040" w:themeColor="text1" w:themeTint="BF"/>
                <w:sz w:val="14"/>
                <w:szCs w:val="14"/>
              </w:rPr>
            </w:pPr>
          </w:p>
        </w:tc>
      </w:tr>
    </w:tbl>
    <w:p w14:paraId="27F9AEEC" w14:textId="77777777" w:rsidR="00B72E93" w:rsidRPr="00FB38E1" w:rsidRDefault="00B72E93" w:rsidP="000F4352">
      <w:pPr>
        <w:pStyle w:val="BodybyBD"/>
        <w:keepLines w:val="0"/>
        <w:tabs>
          <w:tab w:val="left" w:pos="0"/>
          <w:tab w:val="center" w:pos="1080"/>
          <w:tab w:val="center" w:pos="3330"/>
          <w:tab w:val="center" w:pos="5400"/>
          <w:tab w:val="center" w:pos="8010"/>
        </w:tabs>
        <w:spacing w:before="960" w:after="0" w:line="240" w:lineRule="auto"/>
        <w:jc w:val="left"/>
        <w:rPr>
          <w:rFonts w:ascii="Microsoft Sans Serif" w:eastAsia="Arial Unicode MS" w:hAnsi="Microsoft Sans Serif" w:cs="Microsoft Sans Serif"/>
          <w:position w:val="6"/>
          <w:sz w:val="16"/>
          <w:szCs w:val="16"/>
        </w:rPr>
      </w:pPr>
      <w:r w:rsidRPr="00FB38E1">
        <w:rPr>
          <w:rFonts w:ascii="Microsoft Sans Serif" w:eastAsia="Arial Unicode MS" w:hAnsi="Microsoft Sans Serif" w:cs="Microsoft Sans Serif"/>
          <w:position w:val="6"/>
          <w:sz w:val="16"/>
          <w:szCs w:val="16"/>
        </w:rPr>
        <w:t>Bu finansal rapor ile ilgili olarak soruların iletilebileceği yetkili personele ilişkin bilgiler:</w:t>
      </w:r>
    </w:p>
    <w:p w14:paraId="30B86EC6" w14:textId="77777777" w:rsidR="00B72E93" w:rsidRPr="00FB38E1"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FB38E1">
        <w:rPr>
          <w:rFonts w:ascii="Microsoft Sans Serif" w:eastAsia="Arial Unicode MS" w:hAnsi="Microsoft Sans Serif" w:cs="Microsoft Sans Serif"/>
          <w:position w:val="6"/>
          <w:sz w:val="16"/>
          <w:szCs w:val="16"/>
        </w:rPr>
        <w:t xml:space="preserve">Ad-Soyad / Unvan: İmge İhtiyar / Uluslararası Raporlama </w:t>
      </w:r>
      <w:r w:rsidR="001C3567" w:rsidRPr="00FB38E1">
        <w:rPr>
          <w:rFonts w:ascii="Microsoft Sans Serif" w:eastAsia="Arial Unicode MS" w:hAnsi="Microsoft Sans Serif" w:cs="Microsoft Sans Serif"/>
          <w:position w:val="6"/>
          <w:sz w:val="16"/>
          <w:szCs w:val="16"/>
        </w:rPr>
        <w:t xml:space="preserve">ve Konsolidasyon </w:t>
      </w:r>
      <w:r w:rsidRPr="00FB38E1">
        <w:rPr>
          <w:rFonts w:ascii="Microsoft Sans Serif" w:eastAsia="Arial Unicode MS" w:hAnsi="Microsoft Sans Serif" w:cs="Microsoft Sans Serif"/>
          <w:position w:val="6"/>
          <w:sz w:val="16"/>
          <w:szCs w:val="16"/>
        </w:rPr>
        <w:t>Bölüm Müdürü</w:t>
      </w:r>
    </w:p>
    <w:p w14:paraId="2E7E7002" w14:textId="77777777" w:rsidR="00B72E93" w:rsidRPr="00FB38E1" w:rsidRDefault="00B72E93" w:rsidP="00B72E93">
      <w:pPr>
        <w:pStyle w:val="BodybyBD"/>
        <w:keepLines w:val="0"/>
        <w:tabs>
          <w:tab w:val="left" w:pos="567"/>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FB38E1">
        <w:rPr>
          <w:rFonts w:ascii="Microsoft Sans Serif" w:eastAsia="Arial Unicode MS" w:hAnsi="Microsoft Sans Serif" w:cs="Microsoft Sans Serif"/>
          <w:position w:val="6"/>
          <w:sz w:val="16"/>
          <w:szCs w:val="16"/>
          <w:lang w:val="pt-BR"/>
        </w:rPr>
        <w:t>Tel No</w:t>
      </w:r>
      <w:r w:rsidRPr="00FB38E1">
        <w:rPr>
          <w:rFonts w:ascii="Microsoft Sans Serif" w:eastAsia="Arial Unicode MS" w:hAnsi="Microsoft Sans Serif" w:cs="Microsoft Sans Serif"/>
          <w:position w:val="6"/>
          <w:sz w:val="16"/>
          <w:szCs w:val="16"/>
          <w:lang w:val="pt-BR"/>
        </w:rPr>
        <w:tab/>
      </w:r>
      <w:r w:rsidRPr="00FB38E1">
        <w:rPr>
          <w:rFonts w:ascii="Microsoft Sans Serif" w:eastAsia="Arial Unicode MS" w:hAnsi="Microsoft Sans Serif" w:cs="Microsoft Sans Serif"/>
          <w:position w:val="6"/>
          <w:sz w:val="16"/>
          <w:szCs w:val="16"/>
          <w:lang w:val="pt-BR"/>
        </w:rPr>
        <w:tab/>
        <w:t>: 0 212 348 5997</w:t>
      </w:r>
    </w:p>
    <w:p w14:paraId="439BBA8B" w14:textId="77777777" w:rsidR="00B72E93" w:rsidRPr="00FB38E1" w:rsidRDefault="00B72E93" w:rsidP="00B72E93">
      <w:pPr>
        <w:pStyle w:val="BodybyBD"/>
        <w:keepLines w:val="0"/>
        <w:tabs>
          <w:tab w:val="left" w:pos="720"/>
          <w:tab w:val="center" w:pos="3330"/>
          <w:tab w:val="center" w:pos="5400"/>
          <w:tab w:val="center" w:pos="8010"/>
        </w:tabs>
        <w:spacing w:before="0" w:after="0" w:line="240" w:lineRule="auto"/>
        <w:jc w:val="left"/>
        <w:rPr>
          <w:rFonts w:ascii="Microsoft Sans Serif" w:eastAsia="Arial Unicode MS" w:hAnsi="Microsoft Sans Serif" w:cs="Microsoft Sans Serif"/>
          <w:position w:val="6"/>
          <w:sz w:val="16"/>
          <w:szCs w:val="16"/>
          <w:lang w:val="pt-BR"/>
        </w:rPr>
      </w:pPr>
      <w:r w:rsidRPr="00FB38E1">
        <w:rPr>
          <w:rFonts w:ascii="Microsoft Sans Serif" w:eastAsia="Arial Unicode MS" w:hAnsi="Microsoft Sans Serif" w:cs="Microsoft Sans Serif"/>
          <w:position w:val="6"/>
          <w:sz w:val="16"/>
          <w:szCs w:val="16"/>
          <w:lang w:val="pt-BR"/>
        </w:rPr>
        <w:t>Faks No</w:t>
      </w:r>
      <w:r w:rsidRPr="00FB38E1">
        <w:rPr>
          <w:rFonts w:ascii="Microsoft Sans Serif" w:eastAsia="Arial Unicode MS" w:hAnsi="Microsoft Sans Serif" w:cs="Microsoft Sans Serif"/>
          <w:position w:val="6"/>
          <w:sz w:val="16"/>
          <w:szCs w:val="16"/>
          <w:lang w:val="pt-BR"/>
        </w:rPr>
        <w:tab/>
        <w:t>: 0 212 336 6186</w:t>
      </w:r>
    </w:p>
    <w:p w14:paraId="48503AB7" w14:textId="77777777" w:rsidR="00B72E93" w:rsidRPr="00FB38E1" w:rsidRDefault="00B72E93" w:rsidP="00696C49"/>
    <w:p w14:paraId="48E95E9D" w14:textId="77777777" w:rsidR="00DE3C9B" w:rsidRPr="00FB38E1" w:rsidRDefault="00DE3C9B" w:rsidP="00D4619C">
      <w:pPr>
        <w:pageBreakBefore/>
        <w:spacing w:after="0"/>
        <w:rPr>
          <w:sz w:val="16"/>
          <w:szCs w:val="16"/>
        </w:rPr>
      </w:pPr>
      <w:bookmarkStart w:id="6" w:name="_Hlk180569842"/>
    </w:p>
    <w:tbl>
      <w:tblPr>
        <w:tblStyle w:val="TableGrid"/>
        <w:tblW w:w="992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
        <w:gridCol w:w="8589"/>
        <w:gridCol w:w="810"/>
      </w:tblGrid>
      <w:tr w:rsidR="00630A98" w:rsidRPr="00FB38E1" w14:paraId="6DD8C9D0" w14:textId="77777777" w:rsidTr="00836EF2">
        <w:tc>
          <w:tcPr>
            <w:tcW w:w="524" w:type="dxa"/>
            <w:tcMar>
              <w:left w:w="57" w:type="dxa"/>
              <w:right w:w="57" w:type="dxa"/>
            </w:tcMar>
          </w:tcPr>
          <w:p w14:paraId="713997B8" w14:textId="77777777" w:rsidR="00630A98" w:rsidRPr="00FB38E1" w:rsidRDefault="00630A98" w:rsidP="00836EF2">
            <w:pPr>
              <w:rPr>
                <w:rFonts w:ascii="Microsoft Sans Serif" w:hAnsi="Microsoft Sans Serif" w:cs="Microsoft Sans Serif"/>
                <w:sz w:val="16"/>
                <w:szCs w:val="16"/>
              </w:rPr>
            </w:pPr>
            <w:bookmarkStart w:id="7" w:name="_Hlk188971150"/>
          </w:p>
        </w:tc>
        <w:tc>
          <w:tcPr>
            <w:tcW w:w="8589" w:type="dxa"/>
            <w:tcMar>
              <w:left w:w="57" w:type="dxa"/>
              <w:right w:w="57" w:type="dxa"/>
            </w:tcMar>
          </w:tcPr>
          <w:p w14:paraId="497E5F36" w14:textId="77777777" w:rsidR="00630A98" w:rsidRPr="00FB38E1" w:rsidRDefault="00630A98" w:rsidP="00836EF2">
            <w:pPr>
              <w:rPr>
                <w:rFonts w:ascii="Microsoft Sans Serif" w:hAnsi="Microsoft Sans Serif" w:cs="Microsoft Sans Serif"/>
                <w:sz w:val="16"/>
                <w:szCs w:val="16"/>
              </w:rPr>
            </w:pPr>
          </w:p>
        </w:tc>
        <w:tc>
          <w:tcPr>
            <w:tcW w:w="810" w:type="dxa"/>
            <w:tcBorders>
              <w:bottom w:val="single" w:sz="4" w:space="0" w:color="auto"/>
            </w:tcBorders>
            <w:tcMar>
              <w:left w:w="57" w:type="dxa"/>
              <w:right w:w="57" w:type="dxa"/>
            </w:tcMar>
            <w:vAlign w:val="bottom"/>
          </w:tcPr>
          <w:p w14:paraId="10176DB7" w14:textId="77777777" w:rsidR="00630A98" w:rsidRPr="00FB38E1" w:rsidRDefault="00630A98"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lang w:val="pt-BR"/>
              </w:rPr>
              <w:t>SAYFA</w:t>
            </w:r>
          </w:p>
        </w:tc>
      </w:tr>
      <w:tr w:rsidR="00630A98" w:rsidRPr="00FB38E1" w14:paraId="537195A2" w14:textId="77777777" w:rsidTr="00836EF2">
        <w:trPr>
          <w:trHeight w:val="70"/>
        </w:trPr>
        <w:tc>
          <w:tcPr>
            <w:tcW w:w="524" w:type="dxa"/>
            <w:tcMar>
              <w:left w:w="57" w:type="dxa"/>
              <w:right w:w="57" w:type="dxa"/>
            </w:tcMar>
          </w:tcPr>
          <w:p w14:paraId="30C32394" w14:textId="77777777" w:rsidR="00630A98" w:rsidRPr="00FB38E1" w:rsidRDefault="00630A98" w:rsidP="00836EF2">
            <w:pPr>
              <w:rPr>
                <w:rFonts w:ascii="Microsoft Sans Serif" w:hAnsi="Microsoft Sans Serif" w:cs="Microsoft Sans Serif"/>
                <w:sz w:val="16"/>
                <w:szCs w:val="16"/>
              </w:rPr>
            </w:pPr>
          </w:p>
        </w:tc>
        <w:tc>
          <w:tcPr>
            <w:tcW w:w="8589" w:type="dxa"/>
            <w:tcMar>
              <w:left w:w="57" w:type="dxa"/>
              <w:right w:w="57" w:type="dxa"/>
            </w:tcMar>
          </w:tcPr>
          <w:p w14:paraId="4938B7B6" w14:textId="77777777" w:rsidR="00630A98" w:rsidRPr="00FB38E1" w:rsidRDefault="00630A98"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lang w:val="pt-BR"/>
              </w:rPr>
              <w:t>BİRİNCİ BÖLÜM</w:t>
            </w:r>
          </w:p>
        </w:tc>
        <w:tc>
          <w:tcPr>
            <w:tcW w:w="810" w:type="dxa"/>
            <w:tcBorders>
              <w:top w:val="single" w:sz="4" w:space="0" w:color="auto"/>
            </w:tcBorders>
            <w:tcMar>
              <w:left w:w="57" w:type="dxa"/>
              <w:right w:w="57" w:type="dxa"/>
            </w:tcMar>
            <w:vAlign w:val="bottom"/>
          </w:tcPr>
          <w:p w14:paraId="1FEC9DE1" w14:textId="77777777" w:rsidR="00630A98" w:rsidRPr="00FB38E1" w:rsidRDefault="00630A98" w:rsidP="00836EF2">
            <w:pPr>
              <w:jc w:val="right"/>
              <w:rPr>
                <w:rFonts w:ascii="Microsoft Sans Serif" w:hAnsi="Microsoft Sans Serif" w:cs="Microsoft Sans Serif"/>
                <w:sz w:val="16"/>
                <w:szCs w:val="16"/>
              </w:rPr>
            </w:pPr>
          </w:p>
        </w:tc>
      </w:tr>
      <w:tr w:rsidR="00630A98" w:rsidRPr="00FB38E1" w14:paraId="3C4D872C" w14:textId="77777777" w:rsidTr="00836EF2">
        <w:tc>
          <w:tcPr>
            <w:tcW w:w="524" w:type="dxa"/>
            <w:tcMar>
              <w:left w:w="57" w:type="dxa"/>
              <w:right w:w="57" w:type="dxa"/>
            </w:tcMar>
          </w:tcPr>
          <w:p w14:paraId="478639F9" w14:textId="77777777" w:rsidR="00630A98" w:rsidRPr="00FB38E1" w:rsidRDefault="00630A98" w:rsidP="00836EF2">
            <w:pPr>
              <w:rPr>
                <w:rFonts w:ascii="Microsoft Sans Serif" w:hAnsi="Microsoft Sans Serif" w:cs="Microsoft Sans Serif"/>
                <w:sz w:val="16"/>
                <w:szCs w:val="16"/>
              </w:rPr>
            </w:pPr>
          </w:p>
        </w:tc>
        <w:tc>
          <w:tcPr>
            <w:tcW w:w="8589" w:type="dxa"/>
            <w:shd w:val="clear" w:color="auto" w:fill="auto"/>
            <w:tcMar>
              <w:left w:w="57" w:type="dxa"/>
              <w:right w:w="57" w:type="dxa"/>
            </w:tcMar>
          </w:tcPr>
          <w:p w14:paraId="036AE24C" w14:textId="77777777" w:rsidR="00630A98" w:rsidRPr="00FB38E1" w:rsidRDefault="00630A98"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lang w:val="pt-BR"/>
              </w:rPr>
              <w:t>Genel Bilgiler</w:t>
            </w:r>
          </w:p>
        </w:tc>
        <w:tc>
          <w:tcPr>
            <w:tcW w:w="810" w:type="dxa"/>
            <w:tcMar>
              <w:left w:w="57" w:type="dxa"/>
              <w:right w:w="57" w:type="dxa"/>
            </w:tcMar>
            <w:vAlign w:val="bottom"/>
          </w:tcPr>
          <w:p w14:paraId="3678331C" w14:textId="77777777" w:rsidR="00630A98" w:rsidRPr="00FB38E1" w:rsidRDefault="00630A98" w:rsidP="00836EF2">
            <w:pPr>
              <w:jc w:val="right"/>
              <w:rPr>
                <w:rFonts w:ascii="Microsoft Sans Serif" w:hAnsi="Microsoft Sans Serif" w:cs="Microsoft Sans Serif"/>
                <w:sz w:val="16"/>
                <w:szCs w:val="16"/>
              </w:rPr>
            </w:pPr>
          </w:p>
        </w:tc>
      </w:tr>
      <w:tr w:rsidR="00B754EC" w:rsidRPr="00FB38E1" w14:paraId="246A9CD9" w14:textId="77777777" w:rsidTr="00836EF2">
        <w:tc>
          <w:tcPr>
            <w:tcW w:w="524" w:type="dxa"/>
            <w:tcMar>
              <w:left w:w="57" w:type="dxa"/>
              <w:right w:w="57" w:type="dxa"/>
            </w:tcMar>
          </w:tcPr>
          <w:p w14:paraId="05478033"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I.</w:t>
            </w:r>
          </w:p>
        </w:tc>
        <w:tc>
          <w:tcPr>
            <w:tcW w:w="8589" w:type="dxa"/>
            <w:shd w:val="clear" w:color="auto" w:fill="auto"/>
            <w:tcMar>
              <w:left w:w="57" w:type="dxa"/>
              <w:right w:w="57" w:type="dxa"/>
            </w:tcMar>
          </w:tcPr>
          <w:p w14:paraId="230DD68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Banka’nın kuruluş tarihi, başlangıç statüsü, anılan statüde meydana gelen değişiklikleri ihtiva eden tarihçesi</w:t>
            </w:r>
          </w:p>
        </w:tc>
        <w:tc>
          <w:tcPr>
            <w:tcW w:w="810" w:type="dxa"/>
            <w:tcMar>
              <w:left w:w="57" w:type="dxa"/>
              <w:right w:w="57" w:type="dxa"/>
            </w:tcMar>
            <w:vAlign w:val="bottom"/>
          </w:tcPr>
          <w:p w14:paraId="64EAF29F" w14:textId="5E49DF4A"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w:t>
            </w:r>
          </w:p>
        </w:tc>
      </w:tr>
      <w:tr w:rsidR="00B754EC" w:rsidRPr="00FB38E1" w14:paraId="3E93ED41" w14:textId="77777777" w:rsidTr="00836EF2">
        <w:tc>
          <w:tcPr>
            <w:tcW w:w="524" w:type="dxa"/>
            <w:tcMar>
              <w:left w:w="57" w:type="dxa"/>
              <w:right w:w="57" w:type="dxa"/>
            </w:tcMar>
          </w:tcPr>
          <w:p w14:paraId="290FF791"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II.</w:t>
            </w:r>
          </w:p>
        </w:tc>
        <w:tc>
          <w:tcPr>
            <w:tcW w:w="8589" w:type="dxa"/>
            <w:shd w:val="clear" w:color="auto" w:fill="auto"/>
            <w:tcMar>
              <w:left w:w="57" w:type="dxa"/>
              <w:right w:w="57" w:type="dxa"/>
            </w:tcMar>
          </w:tcPr>
          <w:p w14:paraId="64993B2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Banka’nın sermaye yapısı, yönetim ve denetimini doğrudan veya dolaylı olarak tek başına veya birlikte elinde bulunduran ortakları, varsa bu hususlarda yıl içindeki değişiklikler ile dahil olduğu gruba ilişkin açıklama</w:t>
            </w:r>
          </w:p>
        </w:tc>
        <w:tc>
          <w:tcPr>
            <w:tcW w:w="810" w:type="dxa"/>
            <w:tcMar>
              <w:left w:w="57" w:type="dxa"/>
              <w:right w:w="57" w:type="dxa"/>
            </w:tcMar>
            <w:vAlign w:val="bottom"/>
          </w:tcPr>
          <w:p w14:paraId="657E6FCD" w14:textId="750F1B81"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w:t>
            </w:r>
          </w:p>
        </w:tc>
      </w:tr>
      <w:tr w:rsidR="00B754EC" w:rsidRPr="00FB38E1" w14:paraId="48EEE246" w14:textId="77777777" w:rsidTr="00836EF2">
        <w:tc>
          <w:tcPr>
            <w:tcW w:w="524" w:type="dxa"/>
            <w:tcMar>
              <w:left w:w="57" w:type="dxa"/>
              <w:right w:w="57" w:type="dxa"/>
            </w:tcMar>
          </w:tcPr>
          <w:p w14:paraId="4C01B206"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III.</w:t>
            </w:r>
          </w:p>
        </w:tc>
        <w:tc>
          <w:tcPr>
            <w:tcW w:w="8589" w:type="dxa"/>
            <w:shd w:val="clear" w:color="auto" w:fill="auto"/>
            <w:tcMar>
              <w:left w:w="57" w:type="dxa"/>
              <w:right w:w="57" w:type="dxa"/>
            </w:tcMar>
          </w:tcPr>
          <w:p w14:paraId="78178118"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Banka’nın, yönetim kurulu başkan ve üyeleri, denetim komitesi üyeleri ile genel müdür ve yardımcılarının varsa Banka’da sahip oldukları paylara ve sorumluluk alanlarına ilişkin açıklamalar</w:t>
            </w:r>
          </w:p>
        </w:tc>
        <w:tc>
          <w:tcPr>
            <w:tcW w:w="810" w:type="dxa"/>
            <w:tcMar>
              <w:left w:w="57" w:type="dxa"/>
              <w:right w:w="57" w:type="dxa"/>
            </w:tcMar>
            <w:vAlign w:val="bottom"/>
          </w:tcPr>
          <w:p w14:paraId="38C06BA8" w14:textId="73CAB970"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w:t>
            </w:r>
          </w:p>
        </w:tc>
      </w:tr>
      <w:tr w:rsidR="00B754EC" w:rsidRPr="00FB38E1" w14:paraId="1F12510C" w14:textId="77777777" w:rsidTr="00836EF2">
        <w:tc>
          <w:tcPr>
            <w:tcW w:w="524" w:type="dxa"/>
            <w:tcMar>
              <w:left w:w="57" w:type="dxa"/>
              <w:right w:w="57" w:type="dxa"/>
            </w:tcMar>
          </w:tcPr>
          <w:p w14:paraId="0F6B73E5"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IV.</w:t>
            </w:r>
          </w:p>
        </w:tc>
        <w:tc>
          <w:tcPr>
            <w:tcW w:w="8589" w:type="dxa"/>
            <w:shd w:val="clear" w:color="auto" w:fill="auto"/>
            <w:tcMar>
              <w:left w:w="57" w:type="dxa"/>
              <w:right w:w="57" w:type="dxa"/>
            </w:tcMar>
          </w:tcPr>
          <w:p w14:paraId="2849D137"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Banka’da nitelikli pay sahibi olan kişi ve kuruluşlara ilişkin açıklamalar</w:t>
            </w:r>
          </w:p>
        </w:tc>
        <w:tc>
          <w:tcPr>
            <w:tcW w:w="810" w:type="dxa"/>
            <w:tcMar>
              <w:left w:w="57" w:type="dxa"/>
              <w:right w:w="57" w:type="dxa"/>
            </w:tcMar>
            <w:vAlign w:val="bottom"/>
          </w:tcPr>
          <w:p w14:paraId="32EBE739" w14:textId="7D1A7E04"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3</w:t>
            </w:r>
          </w:p>
        </w:tc>
      </w:tr>
      <w:tr w:rsidR="00B754EC" w:rsidRPr="00FB38E1" w14:paraId="38596760" w14:textId="77777777" w:rsidTr="00836EF2">
        <w:tc>
          <w:tcPr>
            <w:tcW w:w="524" w:type="dxa"/>
            <w:tcMar>
              <w:left w:w="57" w:type="dxa"/>
              <w:right w:w="57" w:type="dxa"/>
            </w:tcMar>
          </w:tcPr>
          <w:p w14:paraId="1CBBFCF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V.</w:t>
            </w:r>
          </w:p>
        </w:tc>
        <w:tc>
          <w:tcPr>
            <w:tcW w:w="8589" w:type="dxa"/>
            <w:shd w:val="clear" w:color="auto" w:fill="auto"/>
            <w:tcMar>
              <w:left w:w="57" w:type="dxa"/>
              <w:right w:w="57" w:type="dxa"/>
            </w:tcMar>
          </w:tcPr>
          <w:p w14:paraId="72E3A39B"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Banka’nın hizmet türü ve faaliyet alanlarını içeren özet bilgi</w:t>
            </w:r>
          </w:p>
        </w:tc>
        <w:tc>
          <w:tcPr>
            <w:tcW w:w="810" w:type="dxa"/>
            <w:tcMar>
              <w:left w:w="57" w:type="dxa"/>
              <w:right w:w="57" w:type="dxa"/>
            </w:tcMar>
            <w:vAlign w:val="bottom"/>
          </w:tcPr>
          <w:p w14:paraId="22086D64" w14:textId="3EB3A0F3"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3</w:t>
            </w:r>
          </w:p>
        </w:tc>
      </w:tr>
      <w:tr w:rsidR="00B754EC" w:rsidRPr="00FB38E1" w14:paraId="6E9ADF6D" w14:textId="77777777" w:rsidTr="00836EF2">
        <w:tc>
          <w:tcPr>
            <w:tcW w:w="524" w:type="dxa"/>
            <w:tcMar>
              <w:left w:w="57" w:type="dxa"/>
              <w:right w:w="57" w:type="dxa"/>
            </w:tcMar>
          </w:tcPr>
          <w:p w14:paraId="58DFA3BE"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1699900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Banka ile bağlı ortaklıkları arasında özkaynakların derhal transfer edilmesinin veya borçların geri ödemesinin önünde mevcut veya muhtemel, fiili veya hukuki engeller</w:t>
            </w:r>
          </w:p>
        </w:tc>
        <w:tc>
          <w:tcPr>
            <w:tcW w:w="810" w:type="dxa"/>
            <w:tcMar>
              <w:left w:w="57" w:type="dxa"/>
              <w:right w:w="57" w:type="dxa"/>
            </w:tcMar>
            <w:vAlign w:val="bottom"/>
          </w:tcPr>
          <w:p w14:paraId="1C366A5B" w14:textId="01ED3EF5"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3</w:t>
            </w:r>
          </w:p>
        </w:tc>
      </w:tr>
      <w:tr w:rsidR="00B754EC" w:rsidRPr="00FB38E1" w14:paraId="25D86F47" w14:textId="77777777" w:rsidTr="00836EF2">
        <w:tc>
          <w:tcPr>
            <w:tcW w:w="524" w:type="dxa"/>
            <w:tcMar>
              <w:left w:w="57" w:type="dxa"/>
              <w:right w:w="57" w:type="dxa"/>
            </w:tcMar>
          </w:tcPr>
          <w:p w14:paraId="467A458B" w14:textId="77777777" w:rsidR="00B754EC" w:rsidRPr="00FB38E1" w:rsidRDefault="00B754EC" w:rsidP="00B754EC">
            <w:pPr>
              <w:rPr>
                <w:rFonts w:ascii="Microsoft Sans Serif" w:hAnsi="Microsoft Sans Serif" w:cs="Microsoft Sans Serif"/>
                <w:sz w:val="16"/>
                <w:szCs w:val="16"/>
              </w:rPr>
            </w:pPr>
          </w:p>
        </w:tc>
        <w:tc>
          <w:tcPr>
            <w:tcW w:w="8589" w:type="dxa"/>
            <w:shd w:val="clear" w:color="auto" w:fill="auto"/>
            <w:tcMar>
              <w:left w:w="57" w:type="dxa"/>
              <w:right w:w="57" w:type="dxa"/>
            </w:tcMar>
          </w:tcPr>
          <w:p w14:paraId="5BCAC388" w14:textId="77777777" w:rsidR="00B754EC" w:rsidRPr="00FB38E1" w:rsidRDefault="00B754EC" w:rsidP="00B754EC">
            <w:pPr>
              <w:jc w:val="center"/>
              <w:rPr>
                <w:rFonts w:ascii="Microsoft Sans Serif" w:hAnsi="Microsoft Sans Serif" w:cs="Microsoft Sans Serif"/>
                <w:sz w:val="16"/>
                <w:szCs w:val="16"/>
              </w:rPr>
            </w:pPr>
            <w:r w:rsidRPr="00FB38E1">
              <w:rPr>
                <w:rFonts w:ascii="Microsoft Sans Serif" w:hAnsi="Microsoft Sans Serif" w:cs="Microsoft Sans Serif"/>
                <w:b/>
                <w:bCs/>
                <w:sz w:val="16"/>
                <w:szCs w:val="16"/>
                <w:lang w:val="pt-BR"/>
              </w:rPr>
              <w:t>İKİNCİ BÖLÜM</w:t>
            </w:r>
          </w:p>
        </w:tc>
        <w:tc>
          <w:tcPr>
            <w:tcW w:w="810" w:type="dxa"/>
            <w:tcMar>
              <w:left w:w="57" w:type="dxa"/>
              <w:right w:w="57" w:type="dxa"/>
            </w:tcMar>
            <w:vAlign w:val="bottom"/>
          </w:tcPr>
          <w:p w14:paraId="0CBC10AD"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3A50802A" w14:textId="77777777" w:rsidTr="00836EF2">
        <w:tc>
          <w:tcPr>
            <w:tcW w:w="524" w:type="dxa"/>
            <w:tcMar>
              <w:left w:w="57" w:type="dxa"/>
              <w:right w:w="57" w:type="dxa"/>
            </w:tcMar>
          </w:tcPr>
          <w:p w14:paraId="7B31B3A2" w14:textId="77777777" w:rsidR="00B754EC" w:rsidRPr="00FB38E1" w:rsidRDefault="00B754EC" w:rsidP="00B754EC">
            <w:pPr>
              <w:rPr>
                <w:rFonts w:ascii="Microsoft Sans Serif" w:hAnsi="Microsoft Sans Serif" w:cs="Microsoft Sans Serif"/>
                <w:sz w:val="16"/>
                <w:szCs w:val="16"/>
              </w:rPr>
            </w:pPr>
          </w:p>
        </w:tc>
        <w:tc>
          <w:tcPr>
            <w:tcW w:w="8589" w:type="dxa"/>
            <w:shd w:val="clear" w:color="auto" w:fill="auto"/>
            <w:tcMar>
              <w:left w:w="57" w:type="dxa"/>
              <w:right w:w="57" w:type="dxa"/>
            </w:tcMar>
          </w:tcPr>
          <w:p w14:paraId="3CC53A93" w14:textId="77777777" w:rsidR="00B754EC" w:rsidRPr="00FB38E1" w:rsidRDefault="00B754EC" w:rsidP="00B754EC">
            <w:pPr>
              <w:jc w:val="center"/>
              <w:rPr>
                <w:rFonts w:ascii="Microsoft Sans Serif" w:hAnsi="Microsoft Sans Serif" w:cs="Microsoft Sans Serif"/>
                <w:sz w:val="16"/>
                <w:szCs w:val="16"/>
              </w:rPr>
            </w:pPr>
            <w:r w:rsidRPr="00FB38E1">
              <w:rPr>
                <w:rFonts w:ascii="Microsoft Sans Serif" w:hAnsi="Microsoft Sans Serif" w:cs="Microsoft Sans Serif"/>
                <w:b/>
                <w:bCs/>
                <w:sz w:val="16"/>
                <w:szCs w:val="16"/>
                <w:lang w:val="pt-BR"/>
              </w:rPr>
              <w:t>Konsolide Olmayan Finansal Tablolar</w:t>
            </w:r>
          </w:p>
        </w:tc>
        <w:tc>
          <w:tcPr>
            <w:tcW w:w="810" w:type="dxa"/>
            <w:tcMar>
              <w:left w:w="57" w:type="dxa"/>
              <w:right w:w="57" w:type="dxa"/>
            </w:tcMar>
            <w:vAlign w:val="bottom"/>
          </w:tcPr>
          <w:p w14:paraId="7564E274"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6DB4C2C4" w14:textId="77777777" w:rsidTr="00836EF2">
        <w:tc>
          <w:tcPr>
            <w:tcW w:w="524" w:type="dxa"/>
            <w:tcMar>
              <w:left w:w="57" w:type="dxa"/>
              <w:right w:w="57" w:type="dxa"/>
            </w:tcMar>
          </w:tcPr>
          <w:p w14:paraId="3D51A73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0087FE23"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Konsolide olmayan finansal durum tablosu (bilanço)</w:t>
            </w:r>
          </w:p>
        </w:tc>
        <w:tc>
          <w:tcPr>
            <w:tcW w:w="810" w:type="dxa"/>
            <w:tcMar>
              <w:left w:w="57" w:type="dxa"/>
              <w:right w:w="57" w:type="dxa"/>
            </w:tcMar>
            <w:vAlign w:val="bottom"/>
          </w:tcPr>
          <w:p w14:paraId="7C2D3770" w14:textId="3D4AB6D3"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5</w:t>
            </w:r>
          </w:p>
        </w:tc>
      </w:tr>
      <w:tr w:rsidR="00B754EC" w:rsidRPr="00FB38E1" w14:paraId="40FB026C" w14:textId="77777777" w:rsidTr="00836EF2">
        <w:tc>
          <w:tcPr>
            <w:tcW w:w="524" w:type="dxa"/>
            <w:tcMar>
              <w:left w:w="57" w:type="dxa"/>
              <w:right w:w="57" w:type="dxa"/>
            </w:tcMar>
          </w:tcPr>
          <w:p w14:paraId="4AA0C0FA"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141826B1"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Konsolide olmayan nazım hesaplar tablosu</w:t>
            </w:r>
          </w:p>
        </w:tc>
        <w:tc>
          <w:tcPr>
            <w:tcW w:w="810" w:type="dxa"/>
            <w:tcMar>
              <w:left w:w="57" w:type="dxa"/>
              <w:right w:w="57" w:type="dxa"/>
            </w:tcMar>
            <w:vAlign w:val="bottom"/>
          </w:tcPr>
          <w:p w14:paraId="7D910F0B" w14:textId="25E17827"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7</w:t>
            </w:r>
          </w:p>
        </w:tc>
      </w:tr>
      <w:tr w:rsidR="00B754EC" w:rsidRPr="00FB38E1" w14:paraId="60A9B61A" w14:textId="77777777" w:rsidTr="00836EF2">
        <w:tc>
          <w:tcPr>
            <w:tcW w:w="524" w:type="dxa"/>
            <w:tcMar>
              <w:left w:w="57" w:type="dxa"/>
              <w:right w:w="57" w:type="dxa"/>
            </w:tcMar>
          </w:tcPr>
          <w:p w14:paraId="7898B296"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15081E07"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Konsolide olmayan kar veya zarar tablosu</w:t>
            </w:r>
          </w:p>
        </w:tc>
        <w:tc>
          <w:tcPr>
            <w:tcW w:w="810" w:type="dxa"/>
            <w:tcMar>
              <w:left w:w="57" w:type="dxa"/>
              <w:right w:w="57" w:type="dxa"/>
            </w:tcMar>
            <w:vAlign w:val="bottom"/>
          </w:tcPr>
          <w:p w14:paraId="7374BDFE" w14:textId="6E3CF5F0"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8</w:t>
            </w:r>
          </w:p>
        </w:tc>
      </w:tr>
      <w:tr w:rsidR="00B754EC" w:rsidRPr="00FB38E1" w14:paraId="0D17961B" w14:textId="77777777" w:rsidTr="00836EF2">
        <w:tc>
          <w:tcPr>
            <w:tcW w:w="524" w:type="dxa"/>
            <w:tcMar>
              <w:left w:w="57" w:type="dxa"/>
              <w:right w:w="57" w:type="dxa"/>
            </w:tcMar>
          </w:tcPr>
          <w:p w14:paraId="69BBF4F6"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6AB1625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 xml:space="preserve">Konsolide olmayan kar veya zarar ve diğer kapsamlı gelir tablosu </w:t>
            </w:r>
          </w:p>
        </w:tc>
        <w:tc>
          <w:tcPr>
            <w:tcW w:w="810" w:type="dxa"/>
            <w:tcMar>
              <w:left w:w="57" w:type="dxa"/>
              <w:right w:w="57" w:type="dxa"/>
            </w:tcMar>
            <w:vAlign w:val="bottom"/>
          </w:tcPr>
          <w:p w14:paraId="3215E5A4" w14:textId="173389C6"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9</w:t>
            </w:r>
          </w:p>
        </w:tc>
      </w:tr>
      <w:tr w:rsidR="00B754EC" w:rsidRPr="00FB38E1" w14:paraId="7C7C4F17" w14:textId="77777777" w:rsidTr="00836EF2">
        <w:tc>
          <w:tcPr>
            <w:tcW w:w="524" w:type="dxa"/>
            <w:tcMar>
              <w:left w:w="57" w:type="dxa"/>
              <w:right w:w="57" w:type="dxa"/>
            </w:tcMar>
          </w:tcPr>
          <w:p w14:paraId="5CE62EE6"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05A20407"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Konsolide olmayan özkaynak değişim tablosu</w:t>
            </w:r>
          </w:p>
        </w:tc>
        <w:tc>
          <w:tcPr>
            <w:tcW w:w="810" w:type="dxa"/>
            <w:tcMar>
              <w:left w:w="57" w:type="dxa"/>
              <w:right w:w="57" w:type="dxa"/>
            </w:tcMar>
            <w:vAlign w:val="bottom"/>
          </w:tcPr>
          <w:p w14:paraId="3381252F" w14:textId="3D2B277B"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10</w:t>
            </w:r>
          </w:p>
        </w:tc>
      </w:tr>
      <w:tr w:rsidR="00B754EC" w:rsidRPr="00FB38E1" w14:paraId="7DC1740C" w14:textId="77777777" w:rsidTr="00836EF2">
        <w:tc>
          <w:tcPr>
            <w:tcW w:w="524" w:type="dxa"/>
            <w:tcMar>
              <w:left w:w="57" w:type="dxa"/>
              <w:right w:w="57" w:type="dxa"/>
            </w:tcMar>
          </w:tcPr>
          <w:p w14:paraId="47F32F73"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57701FA0"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Konsolide olmayan nakit akış tablosu</w:t>
            </w:r>
          </w:p>
        </w:tc>
        <w:tc>
          <w:tcPr>
            <w:tcW w:w="810" w:type="dxa"/>
            <w:tcMar>
              <w:left w:w="57" w:type="dxa"/>
              <w:right w:w="57" w:type="dxa"/>
            </w:tcMar>
            <w:vAlign w:val="bottom"/>
          </w:tcPr>
          <w:p w14:paraId="037A1698" w14:textId="15BB0EC7"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11</w:t>
            </w:r>
          </w:p>
        </w:tc>
      </w:tr>
      <w:tr w:rsidR="00B754EC" w:rsidRPr="00FB38E1" w14:paraId="2723589B" w14:textId="77777777" w:rsidTr="00836EF2">
        <w:tc>
          <w:tcPr>
            <w:tcW w:w="524" w:type="dxa"/>
            <w:tcMar>
              <w:left w:w="57" w:type="dxa"/>
              <w:right w:w="57" w:type="dxa"/>
            </w:tcMar>
          </w:tcPr>
          <w:p w14:paraId="018DDE5C"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VII.</w:t>
            </w:r>
          </w:p>
        </w:tc>
        <w:tc>
          <w:tcPr>
            <w:tcW w:w="8589" w:type="dxa"/>
            <w:shd w:val="clear" w:color="auto" w:fill="auto"/>
            <w:tcMar>
              <w:left w:w="57" w:type="dxa"/>
              <w:right w:w="57" w:type="dxa"/>
            </w:tcMar>
          </w:tcPr>
          <w:p w14:paraId="3A981569"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Konsolide olmayan kar dağıtım tablosu</w:t>
            </w:r>
          </w:p>
        </w:tc>
        <w:tc>
          <w:tcPr>
            <w:tcW w:w="810" w:type="dxa"/>
            <w:tcMar>
              <w:left w:w="57" w:type="dxa"/>
              <w:right w:w="57" w:type="dxa"/>
            </w:tcMar>
            <w:vAlign w:val="bottom"/>
          </w:tcPr>
          <w:p w14:paraId="777A3A81" w14:textId="6588BAFC"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12</w:t>
            </w:r>
          </w:p>
        </w:tc>
      </w:tr>
      <w:tr w:rsidR="00B754EC" w:rsidRPr="00FB38E1" w14:paraId="5CA98CC4" w14:textId="77777777" w:rsidTr="00836EF2">
        <w:tc>
          <w:tcPr>
            <w:tcW w:w="524" w:type="dxa"/>
            <w:tcMar>
              <w:left w:w="57" w:type="dxa"/>
              <w:right w:w="57" w:type="dxa"/>
            </w:tcMar>
          </w:tcPr>
          <w:p w14:paraId="120B01F6" w14:textId="77777777" w:rsidR="00B754EC" w:rsidRPr="00FB38E1" w:rsidRDefault="00B754EC" w:rsidP="00B754EC">
            <w:pPr>
              <w:rPr>
                <w:rFonts w:ascii="Microsoft Sans Serif" w:hAnsi="Microsoft Sans Serif" w:cs="Microsoft Sans Serif"/>
                <w:sz w:val="16"/>
                <w:szCs w:val="16"/>
                <w:lang w:val="pt-BR"/>
              </w:rPr>
            </w:pPr>
          </w:p>
        </w:tc>
        <w:tc>
          <w:tcPr>
            <w:tcW w:w="8589" w:type="dxa"/>
            <w:shd w:val="clear" w:color="auto" w:fill="auto"/>
            <w:tcMar>
              <w:left w:w="57" w:type="dxa"/>
              <w:right w:w="57" w:type="dxa"/>
            </w:tcMar>
          </w:tcPr>
          <w:p w14:paraId="4B56F111" w14:textId="77777777" w:rsidR="00B754EC" w:rsidRPr="00FB38E1" w:rsidRDefault="00B754EC" w:rsidP="00B754EC">
            <w:pPr>
              <w:jc w:val="center"/>
              <w:rPr>
                <w:rFonts w:ascii="Microsoft Sans Serif" w:hAnsi="Microsoft Sans Serif" w:cs="Microsoft Sans Serif"/>
                <w:sz w:val="16"/>
                <w:szCs w:val="16"/>
                <w:lang w:val="pt-BR"/>
              </w:rPr>
            </w:pPr>
            <w:r w:rsidRPr="00FB38E1">
              <w:rPr>
                <w:rFonts w:ascii="Microsoft Sans Serif" w:hAnsi="Microsoft Sans Serif" w:cs="Microsoft Sans Serif"/>
                <w:b/>
                <w:bCs/>
                <w:sz w:val="16"/>
                <w:szCs w:val="16"/>
                <w:lang w:val="pt-BR"/>
              </w:rPr>
              <w:t>ÜÇÜNCÜ BÖLÜM</w:t>
            </w:r>
          </w:p>
        </w:tc>
        <w:tc>
          <w:tcPr>
            <w:tcW w:w="810" w:type="dxa"/>
            <w:tcMar>
              <w:left w:w="57" w:type="dxa"/>
              <w:right w:w="57" w:type="dxa"/>
            </w:tcMar>
            <w:vAlign w:val="bottom"/>
          </w:tcPr>
          <w:p w14:paraId="616AE394"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0649C8BA" w14:textId="77777777" w:rsidTr="00836EF2">
        <w:tc>
          <w:tcPr>
            <w:tcW w:w="524" w:type="dxa"/>
            <w:tcMar>
              <w:left w:w="57" w:type="dxa"/>
              <w:right w:w="57" w:type="dxa"/>
            </w:tcMar>
          </w:tcPr>
          <w:p w14:paraId="6F8A1989" w14:textId="77777777" w:rsidR="00B754EC" w:rsidRPr="00FB38E1" w:rsidRDefault="00B754EC" w:rsidP="00B754EC">
            <w:pPr>
              <w:rPr>
                <w:rFonts w:ascii="Microsoft Sans Serif" w:hAnsi="Microsoft Sans Serif" w:cs="Microsoft Sans Serif"/>
                <w:sz w:val="16"/>
                <w:szCs w:val="16"/>
              </w:rPr>
            </w:pPr>
          </w:p>
        </w:tc>
        <w:tc>
          <w:tcPr>
            <w:tcW w:w="8589" w:type="dxa"/>
            <w:shd w:val="clear" w:color="auto" w:fill="auto"/>
            <w:tcMar>
              <w:left w:w="57" w:type="dxa"/>
              <w:right w:w="57" w:type="dxa"/>
            </w:tcMar>
          </w:tcPr>
          <w:p w14:paraId="200290E9" w14:textId="77777777" w:rsidR="00B754EC" w:rsidRPr="00FB38E1" w:rsidRDefault="00B754EC" w:rsidP="00B754EC">
            <w:pPr>
              <w:jc w:val="center"/>
              <w:rPr>
                <w:rFonts w:ascii="Microsoft Sans Serif" w:hAnsi="Microsoft Sans Serif" w:cs="Microsoft Sans Serif"/>
                <w:sz w:val="16"/>
                <w:szCs w:val="16"/>
              </w:rPr>
            </w:pPr>
            <w:r w:rsidRPr="00FB38E1">
              <w:rPr>
                <w:rFonts w:ascii="Microsoft Sans Serif" w:hAnsi="Microsoft Sans Serif" w:cs="Microsoft Sans Serif"/>
                <w:b/>
                <w:bCs/>
                <w:sz w:val="16"/>
                <w:szCs w:val="16"/>
                <w:lang w:val="pt-BR"/>
              </w:rPr>
              <w:t>Muhasebe Politikaları</w:t>
            </w:r>
          </w:p>
        </w:tc>
        <w:tc>
          <w:tcPr>
            <w:tcW w:w="810" w:type="dxa"/>
            <w:tcMar>
              <w:left w:w="57" w:type="dxa"/>
              <w:right w:w="57" w:type="dxa"/>
            </w:tcMar>
            <w:vAlign w:val="bottom"/>
          </w:tcPr>
          <w:p w14:paraId="1D7E031A"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0DBB5983" w14:textId="77777777" w:rsidTr="00836EF2">
        <w:tc>
          <w:tcPr>
            <w:tcW w:w="524" w:type="dxa"/>
            <w:tcMar>
              <w:left w:w="57" w:type="dxa"/>
              <w:right w:w="57" w:type="dxa"/>
            </w:tcMar>
          </w:tcPr>
          <w:p w14:paraId="57A63799"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1EAFD2FC" w14:textId="77777777" w:rsidR="00B754EC" w:rsidRPr="00FB38E1" w:rsidRDefault="00B754EC" w:rsidP="00B754EC">
            <w:pPr>
              <w:jc w:val="left"/>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Sunum esaslarına ilişkin açıklamalar</w:t>
            </w:r>
          </w:p>
        </w:tc>
        <w:tc>
          <w:tcPr>
            <w:tcW w:w="810" w:type="dxa"/>
            <w:tcMar>
              <w:left w:w="57" w:type="dxa"/>
              <w:right w:w="57" w:type="dxa"/>
            </w:tcMar>
            <w:vAlign w:val="bottom"/>
          </w:tcPr>
          <w:p w14:paraId="5A3DBE53" w14:textId="732A7016"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13</w:t>
            </w:r>
          </w:p>
        </w:tc>
      </w:tr>
      <w:tr w:rsidR="00B754EC" w:rsidRPr="00FB38E1" w14:paraId="4BFAA6ED" w14:textId="77777777" w:rsidTr="00836EF2">
        <w:tc>
          <w:tcPr>
            <w:tcW w:w="524" w:type="dxa"/>
            <w:tcMar>
              <w:left w:w="57" w:type="dxa"/>
              <w:right w:w="57" w:type="dxa"/>
            </w:tcMar>
          </w:tcPr>
          <w:p w14:paraId="6765A485"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4165696B"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Finansal araçların kullanım stratejisi ve yabancı para cinsinden işlemlere ilişkin açıklamalar</w:t>
            </w:r>
          </w:p>
        </w:tc>
        <w:tc>
          <w:tcPr>
            <w:tcW w:w="810" w:type="dxa"/>
            <w:tcMar>
              <w:left w:w="57" w:type="dxa"/>
              <w:right w:w="57" w:type="dxa"/>
            </w:tcMar>
            <w:vAlign w:val="bottom"/>
          </w:tcPr>
          <w:p w14:paraId="6A8A054F" w14:textId="2A419365"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14</w:t>
            </w:r>
          </w:p>
        </w:tc>
      </w:tr>
      <w:tr w:rsidR="00B754EC" w:rsidRPr="00FB38E1" w14:paraId="43BA637E" w14:textId="77777777" w:rsidTr="00836EF2">
        <w:tc>
          <w:tcPr>
            <w:tcW w:w="524" w:type="dxa"/>
            <w:tcMar>
              <w:left w:w="57" w:type="dxa"/>
              <w:right w:w="57" w:type="dxa"/>
            </w:tcMar>
          </w:tcPr>
          <w:p w14:paraId="69E2BC45"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3A5D8BAB"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İştirak, bağlı ortaklıklar ve birlikte kontrol edilen ortaklıklara ilişkin açıklamalar</w:t>
            </w:r>
          </w:p>
        </w:tc>
        <w:tc>
          <w:tcPr>
            <w:tcW w:w="810" w:type="dxa"/>
            <w:tcMar>
              <w:left w:w="57" w:type="dxa"/>
              <w:right w:w="57" w:type="dxa"/>
            </w:tcMar>
            <w:vAlign w:val="bottom"/>
          </w:tcPr>
          <w:p w14:paraId="31C3E87A" w14:textId="5E8957A8"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15</w:t>
            </w:r>
          </w:p>
        </w:tc>
      </w:tr>
      <w:tr w:rsidR="00B754EC" w:rsidRPr="00FB38E1" w14:paraId="4FF09954" w14:textId="77777777" w:rsidTr="00836EF2">
        <w:tc>
          <w:tcPr>
            <w:tcW w:w="524" w:type="dxa"/>
            <w:tcMar>
              <w:left w:w="57" w:type="dxa"/>
              <w:right w:w="57" w:type="dxa"/>
            </w:tcMar>
          </w:tcPr>
          <w:p w14:paraId="6087A413"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4EAE5BCC"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Vadeli işlem ve opsiyon sözleşmeleri ile türev ürünlere ilişkin açıklamalar</w:t>
            </w:r>
          </w:p>
        </w:tc>
        <w:tc>
          <w:tcPr>
            <w:tcW w:w="810" w:type="dxa"/>
            <w:tcMar>
              <w:left w:w="57" w:type="dxa"/>
              <w:right w:w="57" w:type="dxa"/>
            </w:tcMar>
            <w:vAlign w:val="bottom"/>
          </w:tcPr>
          <w:p w14:paraId="1204745C" w14:textId="267C87F8"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15</w:t>
            </w:r>
          </w:p>
        </w:tc>
      </w:tr>
      <w:tr w:rsidR="00B754EC" w:rsidRPr="00FB38E1" w14:paraId="36CF3C34" w14:textId="77777777" w:rsidTr="00836EF2">
        <w:tc>
          <w:tcPr>
            <w:tcW w:w="524" w:type="dxa"/>
            <w:tcMar>
              <w:left w:w="57" w:type="dxa"/>
              <w:right w:w="57" w:type="dxa"/>
            </w:tcMar>
          </w:tcPr>
          <w:p w14:paraId="5C371649"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485EE881"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Faiz gelir ve giderlerine ilişkin açıklamalar</w:t>
            </w:r>
          </w:p>
        </w:tc>
        <w:tc>
          <w:tcPr>
            <w:tcW w:w="810" w:type="dxa"/>
            <w:tcMar>
              <w:left w:w="57" w:type="dxa"/>
              <w:right w:w="57" w:type="dxa"/>
            </w:tcMar>
            <w:vAlign w:val="bottom"/>
          </w:tcPr>
          <w:p w14:paraId="7C0A6B9C" w14:textId="450E88BC"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15</w:t>
            </w:r>
          </w:p>
        </w:tc>
      </w:tr>
      <w:tr w:rsidR="00B754EC" w:rsidRPr="00FB38E1" w14:paraId="7009FBE5" w14:textId="77777777" w:rsidTr="00836EF2">
        <w:tc>
          <w:tcPr>
            <w:tcW w:w="524" w:type="dxa"/>
            <w:tcMar>
              <w:left w:w="57" w:type="dxa"/>
              <w:right w:w="57" w:type="dxa"/>
            </w:tcMar>
          </w:tcPr>
          <w:p w14:paraId="47456C89"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4D618ED9"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Ücret ve komisyon gelir ve giderlerine ilişkin açıklamalar</w:t>
            </w:r>
          </w:p>
        </w:tc>
        <w:tc>
          <w:tcPr>
            <w:tcW w:w="810" w:type="dxa"/>
            <w:tcMar>
              <w:left w:w="57" w:type="dxa"/>
              <w:right w:w="57" w:type="dxa"/>
            </w:tcMar>
            <w:vAlign w:val="bottom"/>
          </w:tcPr>
          <w:p w14:paraId="32B1F4D2" w14:textId="7B0162A2"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15</w:t>
            </w:r>
          </w:p>
        </w:tc>
      </w:tr>
      <w:tr w:rsidR="00B754EC" w:rsidRPr="00FB38E1" w14:paraId="73C4B7F1" w14:textId="77777777" w:rsidTr="00836EF2">
        <w:tc>
          <w:tcPr>
            <w:tcW w:w="524" w:type="dxa"/>
            <w:tcMar>
              <w:left w:w="57" w:type="dxa"/>
              <w:right w:w="57" w:type="dxa"/>
            </w:tcMar>
          </w:tcPr>
          <w:p w14:paraId="4A1177B4"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VII.</w:t>
            </w:r>
          </w:p>
        </w:tc>
        <w:tc>
          <w:tcPr>
            <w:tcW w:w="8589" w:type="dxa"/>
            <w:shd w:val="clear" w:color="auto" w:fill="auto"/>
            <w:tcMar>
              <w:left w:w="57" w:type="dxa"/>
              <w:right w:w="57" w:type="dxa"/>
            </w:tcMar>
          </w:tcPr>
          <w:p w14:paraId="1B2A0371"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Finansal varlıklara ilişkin açıklamalar</w:t>
            </w:r>
          </w:p>
        </w:tc>
        <w:tc>
          <w:tcPr>
            <w:tcW w:w="810" w:type="dxa"/>
            <w:tcMar>
              <w:left w:w="57" w:type="dxa"/>
              <w:right w:w="57" w:type="dxa"/>
            </w:tcMar>
            <w:vAlign w:val="bottom"/>
          </w:tcPr>
          <w:p w14:paraId="35D2D1BB" w14:textId="36D8D051"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16</w:t>
            </w:r>
          </w:p>
        </w:tc>
      </w:tr>
      <w:tr w:rsidR="00B754EC" w:rsidRPr="00FB38E1" w14:paraId="2B7945EB" w14:textId="77777777" w:rsidTr="00836EF2">
        <w:tc>
          <w:tcPr>
            <w:tcW w:w="524" w:type="dxa"/>
            <w:tcMar>
              <w:left w:w="57" w:type="dxa"/>
              <w:right w:w="57" w:type="dxa"/>
            </w:tcMar>
          </w:tcPr>
          <w:p w14:paraId="5CD17D8D"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VIII.</w:t>
            </w:r>
          </w:p>
        </w:tc>
        <w:tc>
          <w:tcPr>
            <w:tcW w:w="8589" w:type="dxa"/>
            <w:shd w:val="clear" w:color="auto" w:fill="auto"/>
            <w:tcMar>
              <w:left w:w="57" w:type="dxa"/>
              <w:right w:w="57" w:type="dxa"/>
            </w:tcMar>
          </w:tcPr>
          <w:p w14:paraId="6BCA84BA"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Beklenen kredi zararlarına ilişkin açıklamalar</w:t>
            </w:r>
          </w:p>
        </w:tc>
        <w:tc>
          <w:tcPr>
            <w:tcW w:w="810" w:type="dxa"/>
            <w:tcMar>
              <w:left w:w="57" w:type="dxa"/>
              <w:right w:w="57" w:type="dxa"/>
            </w:tcMar>
            <w:vAlign w:val="bottom"/>
          </w:tcPr>
          <w:p w14:paraId="5352D319" w14:textId="76B2E758"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17</w:t>
            </w:r>
          </w:p>
        </w:tc>
      </w:tr>
      <w:tr w:rsidR="00B754EC" w:rsidRPr="00FB38E1" w14:paraId="0CCCBFE5" w14:textId="77777777" w:rsidTr="00836EF2">
        <w:tc>
          <w:tcPr>
            <w:tcW w:w="524" w:type="dxa"/>
            <w:tcMar>
              <w:left w:w="57" w:type="dxa"/>
              <w:right w:w="57" w:type="dxa"/>
            </w:tcMar>
          </w:tcPr>
          <w:p w14:paraId="667C080F"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IX</w:t>
            </w:r>
          </w:p>
        </w:tc>
        <w:tc>
          <w:tcPr>
            <w:tcW w:w="8589" w:type="dxa"/>
            <w:shd w:val="clear" w:color="auto" w:fill="auto"/>
            <w:tcMar>
              <w:left w:w="57" w:type="dxa"/>
              <w:right w:w="57" w:type="dxa"/>
            </w:tcMar>
          </w:tcPr>
          <w:p w14:paraId="3F4E106D"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Finansal araçların netleştirilmesine ilişkin açıklamalar</w:t>
            </w:r>
          </w:p>
        </w:tc>
        <w:tc>
          <w:tcPr>
            <w:tcW w:w="810" w:type="dxa"/>
            <w:tcMar>
              <w:left w:w="57" w:type="dxa"/>
              <w:right w:w="57" w:type="dxa"/>
            </w:tcMar>
            <w:vAlign w:val="bottom"/>
          </w:tcPr>
          <w:p w14:paraId="30D8EB6F" w14:textId="73EA990F"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21</w:t>
            </w:r>
          </w:p>
        </w:tc>
      </w:tr>
      <w:tr w:rsidR="00B754EC" w:rsidRPr="00FB38E1" w14:paraId="7D4EE7AB" w14:textId="77777777" w:rsidTr="00836EF2">
        <w:tc>
          <w:tcPr>
            <w:tcW w:w="524" w:type="dxa"/>
            <w:tcMar>
              <w:left w:w="57" w:type="dxa"/>
              <w:right w:w="57" w:type="dxa"/>
            </w:tcMar>
          </w:tcPr>
          <w:p w14:paraId="25EA5B0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w:t>
            </w:r>
          </w:p>
        </w:tc>
        <w:tc>
          <w:tcPr>
            <w:tcW w:w="8589" w:type="dxa"/>
            <w:shd w:val="clear" w:color="auto" w:fill="auto"/>
            <w:tcMar>
              <w:left w:w="57" w:type="dxa"/>
              <w:right w:w="57" w:type="dxa"/>
            </w:tcMar>
          </w:tcPr>
          <w:p w14:paraId="2AB212A7"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Satış ve geri alış anlaşmaları ve menkul değerlerin ödünç verilmesi işlemlerine ilişkin açıklamalar</w:t>
            </w:r>
          </w:p>
        </w:tc>
        <w:tc>
          <w:tcPr>
            <w:tcW w:w="810" w:type="dxa"/>
            <w:tcMar>
              <w:left w:w="57" w:type="dxa"/>
              <w:right w:w="57" w:type="dxa"/>
            </w:tcMar>
            <w:vAlign w:val="bottom"/>
          </w:tcPr>
          <w:p w14:paraId="0C82499E" w14:textId="10563AA9"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22</w:t>
            </w:r>
          </w:p>
        </w:tc>
      </w:tr>
      <w:tr w:rsidR="00B754EC" w:rsidRPr="00FB38E1" w14:paraId="53DC1F36" w14:textId="77777777" w:rsidTr="00836EF2">
        <w:tc>
          <w:tcPr>
            <w:tcW w:w="524" w:type="dxa"/>
            <w:tcMar>
              <w:left w:w="57" w:type="dxa"/>
              <w:right w:w="57" w:type="dxa"/>
            </w:tcMar>
          </w:tcPr>
          <w:p w14:paraId="571A90F1"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XI.</w:t>
            </w:r>
          </w:p>
        </w:tc>
        <w:tc>
          <w:tcPr>
            <w:tcW w:w="8589" w:type="dxa"/>
            <w:shd w:val="clear" w:color="auto" w:fill="auto"/>
            <w:tcMar>
              <w:left w:w="57" w:type="dxa"/>
              <w:right w:w="57" w:type="dxa"/>
            </w:tcMar>
          </w:tcPr>
          <w:p w14:paraId="31375747"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Satış amaçlı elde tutulan ve durdurulan faaliyetlere ilişkin duran varlıklar ile bu varlıklara ilişkin borçlar hakkında açıklamalar</w:t>
            </w:r>
          </w:p>
        </w:tc>
        <w:tc>
          <w:tcPr>
            <w:tcW w:w="810" w:type="dxa"/>
            <w:tcMar>
              <w:left w:w="57" w:type="dxa"/>
              <w:right w:w="57" w:type="dxa"/>
            </w:tcMar>
            <w:vAlign w:val="bottom"/>
          </w:tcPr>
          <w:p w14:paraId="331BFD96" w14:textId="62CEED7F"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22</w:t>
            </w:r>
          </w:p>
        </w:tc>
      </w:tr>
      <w:tr w:rsidR="00B754EC" w:rsidRPr="00FB38E1" w14:paraId="185D61C2" w14:textId="77777777" w:rsidTr="00836EF2">
        <w:tc>
          <w:tcPr>
            <w:tcW w:w="524" w:type="dxa"/>
            <w:tcMar>
              <w:left w:w="57" w:type="dxa"/>
              <w:right w:w="57" w:type="dxa"/>
            </w:tcMar>
          </w:tcPr>
          <w:p w14:paraId="3EA62B8A"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XII.</w:t>
            </w:r>
          </w:p>
        </w:tc>
        <w:tc>
          <w:tcPr>
            <w:tcW w:w="8589" w:type="dxa"/>
            <w:shd w:val="clear" w:color="auto" w:fill="auto"/>
            <w:tcMar>
              <w:left w:w="57" w:type="dxa"/>
              <w:right w:w="57" w:type="dxa"/>
            </w:tcMar>
          </w:tcPr>
          <w:p w14:paraId="07E12D9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Şerefiye ve diğer maddi olmayan duran varlıklara ilişkin açıklamalar</w:t>
            </w:r>
          </w:p>
        </w:tc>
        <w:tc>
          <w:tcPr>
            <w:tcW w:w="810" w:type="dxa"/>
            <w:tcMar>
              <w:left w:w="57" w:type="dxa"/>
              <w:right w:w="57" w:type="dxa"/>
            </w:tcMar>
            <w:vAlign w:val="bottom"/>
          </w:tcPr>
          <w:p w14:paraId="649DE4BF" w14:textId="6024DD64"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22</w:t>
            </w:r>
          </w:p>
        </w:tc>
      </w:tr>
      <w:tr w:rsidR="00B754EC" w:rsidRPr="00FB38E1" w14:paraId="5AF93427" w14:textId="77777777" w:rsidTr="00836EF2">
        <w:tc>
          <w:tcPr>
            <w:tcW w:w="524" w:type="dxa"/>
            <w:tcMar>
              <w:left w:w="57" w:type="dxa"/>
              <w:right w:w="57" w:type="dxa"/>
            </w:tcMar>
          </w:tcPr>
          <w:p w14:paraId="517C184E"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XIII.</w:t>
            </w:r>
          </w:p>
        </w:tc>
        <w:tc>
          <w:tcPr>
            <w:tcW w:w="8589" w:type="dxa"/>
            <w:shd w:val="clear" w:color="auto" w:fill="auto"/>
            <w:tcMar>
              <w:left w:w="57" w:type="dxa"/>
              <w:right w:w="57" w:type="dxa"/>
            </w:tcMar>
          </w:tcPr>
          <w:p w14:paraId="20BD5775"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Maddi duran varlıklara ilişkin açıklamalar</w:t>
            </w:r>
          </w:p>
        </w:tc>
        <w:tc>
          <w:tcPr>
            <w:tcW w:w="810" w:type="dxa"/>
            <w:tcMar>
              <w:left w:w="57" w:type="dxa"/>
              <w:right w:w="57" w:type="dxa"/>
            </w:tcMar>
            <w:vAlign w:val="bottom"/>
          </w:tcPr>
          <w:p w14:paraId="1AD0E54B" w14:textId="31C2F01B"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23</w:t>
            </w:r>
          </w:p>
        </w:tc>
      </w:tr>
      <w:tr w:rsidR="00B754EC" w:rsidRPr="00FB38E1" w14:paraId="6C793AA7" w14:textId="77777777" w:rsidTr="00836EF2">
        <w:tc>
          <w:tcPr>
            <w:tcW w:w="524" w:type="dxa"/>
            <w:tcMar>
              <w:left w:w="57" w:type="dxa"/>
              <w:right w:w="57" w:type="dxa"/>
            </w:tcMar>
          </w:tcPr>
          <w:p w14:paraId="2552A811"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XIV.</w:t>
            </w:r>
          </w:p>
        </w:tc>
        <w:tc>
          <w:tcPr>
            <w:tcW w:w="8589" w:type="dxa"/>
            <w:shd w:val="clear" w:color="auto" w:fill="auto"/>
            <w:tcMar>
              <w:left w:w="57" w:type="dxa"/>
              <w:right w:w="57" w:type="dxa"/>
            </w:tcMar>
          </w:tcPr>
          <w:p w14:paraId="6F065D3A"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Yatırım amaçlı gayrimenkullere ilişkin açıklamalar</w:t>
            </w:r>
          </w:p>
        </w:tc>
        <w:tc>
          <w:tcPr>
            <w:tcW w:w="810" w:type="dxa"/>
            <w:tcMar>
              <w:left w:w="57" w:type="dxa"/>
              <w:right w:w="57" w:type="dxa"/>
            </w:tcMar>
            <w:vAlign w:val="bottom"/>
          </w:tcPr>
          <w:p w14:paraId="62337E18" w14:textId="7F65BFE6"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23</w:t>
            </w:r>
          </w:p>
        </w:tc>
      </w:tr>
      <w:tr w:rsidR="00B754EC" w:rsidRPr="00FB38E1" w14:paraId="4C917D8D" w14:textId="77777777" w:rsidTr="00836EF2">
        <w:tc>
          <w:tcPr>
            <w:tcW w:w="524" w:type="dxa"/>
            <w:tcMar>
              <w:left w:w="57" w:type="dxa"/>
              <w:right w:w="57" w:type="dxa"/>
            </w:tcMar>
          </w:tcPr>
          <w:p w14:paraId="01CC1401"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XV.</w:t>
            </w:r>
          </w:p>
        </w:tc>
        <w:tc>
          <w:tcPr>
            <w:tcW w:w="8589" w:type="dxa"/>
            <w:shd w:val="clear" w:color="auto" w:fill="auto"/>
            <w:tcMar>
              <w:left w:w="57" w:type="dxa"/>
              <w:right w:w="57" w:type="dxa"/>
            </w:tcMar>
          </w:tcPr>
          <w:p w14:paraId="0D281D3E"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Kiralama işlemlerine ilişkin açıklamalar</w:t>
            </w:r>
          </w:p>
        </w:tc>
        <w:tc>
          <w:tcPr>
            <w:tcW w:w="810" w:type="dxa"/>
            <w:tcMar>
              <w:left w:w="57" w:type="dxa"/>
              <w:right w:w="57" w:type="dxa"/>
            </w:tcMar>
            <w:vAlign w:val="bottom"/>
          </w:tcPr>
          <w:p w14:paraId="56F693D0" w14:textId="2A6463DE"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23</w:t>
            </w:r>
          </w:p>
        </w:tc>
      </w:tr>
      <w:tr w:rsidR="00B754EC" w:rsidRPr="00FB38E1" w14:paraId="29DB2E4B" w14:textId="77777777" w:rsidTr="00836EF2">
        <w:tc>
          <w:tcPr>
            <w:tcW w:w="524" w:type="dxa"/>
            <w:tcMar>
              <w:left w:w="57" w:type="dxa"/>
              <w:right w:w="57" w:type="dxa"/>
            </w:tcMar>
          </w:tcPr>
          <w:p w14:paraId="048A6377"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XVI.</w:t>
            </w:r>
          </w:p>
        </w:tc>
        <w:tc>
          <w:tcPr>
            <w:tcW w:w="8589" w:type="dxa"/>
            <w:shd w:val="clear" w:color="auto" w:fill="auto"/>
            <w:tcMar>
              <w:left w:w="57" w:type="dxa"/>
              <w:right w:w="57" w:type="dxa"/>
            </w:tcMar>
          </w:tcPr>
          <w:p w14:paraId="4C168C85"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Karşılıklar ve koşullu yükümlülüklere ilişkin açıklamalar</w:t>
            </w:r>
          </w:p>
        </w:tc>
        <w:tc>
          <w:tcPr>
            <w:tcW w:w="810" w:type="dxa"/>
            <w:tcMar>
              <w:left w:w="57" w:type="dxa"/>
              <w:right w:w="57" w:type="dxa"/>
            </w:tcMar>
            <w:vAlign w:val="bottom"/>
          </w:tcPr>
          <w:p w14:paraId="18199E50" w14:textId="14B63FAC"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24</w:t>
            </w:r>
          </w:p>
        </w:tc>
      </w:tr>
      <w:tr w:rsidR="00B754EC" w:rsidRPr="00FB38E1" w14:paraId="2DADEB56" w14:textId="77777777" w:rsidTr="00836EF2">
        <w:tc>
          <w:tcPr>
            <w:tcW w:w="524" w:type="dxa"/>
            <w:tcMar>
              <w:left w:w="57" w:type="dxa"/>
              <w:right w:w="57" w:type="dxa"/>
            </w:tcMar>
          </w:tcPr>
          <w:p w14:paraId="588BB4CF"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XVII.</w:t>
            </w:r>
          </w:p>
        </w:tc>
        <w:tc>
          <w:tcPr>
            <w:tcW w:w="8589" w:type="dxa"/>
            <w:shd w:val="clear" w:color="auto" w:fill="auto"/>
            <w:tcMar>
              <w:left w:w="57" w:type="dxa"/>
              <w:right w:w="57" w:type="dxa"/>
            </w:tcMar>
          </w:tcPr>
          <w:p w14:paraId="02A4409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Çalışanların haklarına ilişkin yükümlülüklere ilişkin açıklamalar</w:t>
            </w:r>
          </w:p>
        </w:tc>
        <w:tc>
          <w:tcPr>
            <w:tcW w:w="810" w:type="dxa"/>
            <w:tcMar>
              <w:left w:w="57" w:type="dxa"/>
              <w:right w:w="57" w:type="dxa"/>
            </w:tcMar>
            <w:vAlign w:val="bottom"/>
          </w:tcPr>
          <w:p w14:paraId="724DCC92" w14:textId="022BB378"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24</w:t>
            </w:r>
          </w:p>
        </w:tc>
      </w:tr>
      <w:tr w:rsidR="00B754EC" w:rsidRPr="00FB38E1" w14:paraId="4AAB6D94" w14:textId="77777777" w:rsidTr="00836EF2">
        <w:tc>
          <w:tcPr>
            <w:tcW w:w="524" w:type="dxa"/>
            <w:tcMar>
              <w:left w:w="57" w:type="dxa"/>
              <w:right w:w="57" w:type="dxa"/>
            </w:tcMar>
          </w:tcPr>
          <w:p w14:paraId="042A1B30"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XVIII.</w:t>
            </w:r>
          </w:p>
        </w:tc>
        <w:tc>
          <w:tcPr>
            <w:tcW w:w="8589" w:type="dxa"/>
            <w:shd w:val="clear" w:color="auto" w:fill="auto"/>
            <w:tcMar>
              <w:left w:w="57" w:type="dxa"/>
              <w:right w:w="57" w:type="dxa"/>
            </w:tcMar>
          </w:tcPr>
          <w:p w14:paraId="5E61A4DA"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Vergi uygulamalarına ilişkin açıklamalar</w:t>
            </w:r>
          </w:p>
        </w:tc>
        <w:tc>
          <w:tcPr>
            <w:tcW w:w="810" w:type="dxa"/>
            <w:tcMar>
              <w:left w:w="57" w:type="dxa"/>
              <w:right w:w="57" w:type="dxa"/>
            </w:tcMar>
            <w:vAlign w:val="bottom"/>
          </w:tcPr>
          <w:p w14:paraId="62FE23AC" w14:textId="08521A75"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24</w:t>
            </w:r>
          </w:p>
        </w:tc>
      </w:tr>
      <w:tr w:rsidR="00B754EC" w:rsidRPr="00FB38E1" w14:paraId="12D2DB0E" w14:textId="77777777" w:rsidTr="00836EF2">
        <w:tc>
          <w:tcPr>
            <w:tcW w:w="524" w:type="dxa"/>
            <w:tcMar>
              <w:left w:w="57" w:type="dxa"/>
              <w:right w:w="57" w:type="dxa"/>
            </w:tcMar>
          </w:tcPr>
          <w:p w14:paraId="2D97966A"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XIX.</w:t>
            </w:r>
          </w:p>
        </w:tc>
        <w:tc>
          <w:tcPr>
            <w:tcW w:w="8589" w:type="dxa"/>
            <w:shd w:val="clear" w:color="auto" w:fill="auto"/>
            <w:tcMar>
              <w:left w:w="57" w:type="dxa"/>
              <w:right w:w="57" w:type="dxa"/>
            </w:tcMar>
          </w:tcPr>
          <w:p w14:paraId="2B723D92"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Borçlanmalara ilişkin ilave açıklamalar</w:t>
            </w:r>
          </w:p>
        </w:tc>
        <w:tc>
          <w:tcPr>
            <w:tcW w:w="810" w:type="dxa"/>
            <w:tcMar>
              <w:left w:w="57" w:type="dxa"/>
              <w:right w:w="57" w:type="dxa"/>
            </w:tcMar>
            <w:vAlign w:val="bottom"/>
          </w:tcPr>
          <w:p w14:paraId="58B0D471" w14:textId="7E6A1E69"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26</w:t>
            </w:r>
          </w:p>
        </w:tc>
      </w:tr>
      <w:tr w:rsidR="00B754EC" w:rsidRPr="00FB38E1" w14:paraId="221C51A8" w14:textId="77777777" w:rsidTr="00836EF2">
        <w:tc>
          <w:tcPr>
            <w:tcW w:w="524" w:type="dxa"/>
            <w:tcMar>
              <w:left w:w="57" w:type="dxa"/>
              <w:right w:w="57" w:type="dxa"/>
            </w:tcMar>
          </w:tcPr>
          <w:p w14:paraId="3E2A600F"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XX.</w:t>
            </w:r>
          </w:p>
        </w:tc>
        <w:tc>
          <w:tcPr>
            <w:tcW w:w="8589" w:type="dxa"/>
            <w:shd w:val="clear" w:color="auto" w:fill="auto"/>
            <w:tcMar>
              <w:left w:w="57" w:type="dxa"/>
              <w:right w:w="57" w:type="dxa"/>
            </w:tcMar>
          </w:tcPr>
          <w:p w14:paraId="7AB3ED39"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İhraç edilen hisse senetlerine ilişkin açıklamalar</w:t>
            </w:r>
          </w:p>
        </w:tc>
        <w:tc>
          <w:tcPr>
            <w:tcW w:w="810" w:type="dxa"/>
            <w:tcMar>
              <w:left w:w="57" w:type="dxa"/>
              <w:right w:w="57" w:type="dxa"/>
            </w:tcMar>
            <w:vAlign w:val="bottom"/>
          </w:tcPr>
          <w:p w14:paraId="63A09260" w14:textId="34C19875"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26</w:t>
            </w:r>
          </w:p>
        </w:tc>
      </w:tr>
      <w:tr w:rsidR="00B754EC" w:rsidRPr="00FB38E1" w14:paraId="7BF87EF8" w14:textId="77777777" w:rsidTr="00836EF2">
        <w:tc>
          <w:tcPr>
            <w:tcW w:w="524" w:type="dxa"/>
            <w:tcMar>
              <w:left w:w="57" w:type="dxa"/>
              <w:right w:w="57" w:type="dxa"/>
            </w:tcMar>
          </w:tcPr>
          <w:p w14:paraId="33755946"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XXI.</w:t>
            </w:r>
          </w:p>
        </w:tc>
        <w:tc>
          <w:tcPr>
            <w:tcW w:w="8589" w:type="dxa"/>
            <w:shd w:val="clear" w:color="auto" w:fill="auto"/>
            <w:tcMar>
              <w:left w:w="57" w:type="dxa"/>
              <w:right w:w="57" w:type="dxa"/>
            </w:tcMar>
          </w:tcPr>
          <w:p w14:paraId="37EE9198"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Aval ve kabullere ilişkin açıklamalar</w:t>
            </w:r>
          </w:p>
        </w:tc>
        <w:tc>
          <w:tcPr>
            <w:tcW w:w="810" w:type="dxa"/>
            <w:tcMar>
              <w:left w:w="57" w:type="dxa"/>
              <w:right w:w="57" w:type="dxa"/>
            </w:tcMar>
            <w:vAlign w:val="bottom"/>
          </w:tcPr>
          <w:p w14:paraId="565452C7" w14:textId="34DA4254"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27</w:t>
            </w:r>
          </w:p>
        </w:tc>
      </w:tr>
      <w:tr w:rsidR="00B754EC" w:rsidRPr="00FB38E1" w14:paraId="6117B3FF" w14:textId="77777777" w:rsidTr="00836EF2">
        <w:tc>
          <w:tcPr>
            <w:tcW w:w="524" w:type="dxa"/>
            <w:tcMar>
              <w:left w:w="57" w:type="dxa"/>
              <w:right w:w="57" w:type="dxa"/>
            </w:tcMar>
          </w:tcPr>
          <w:p w14:paraId="072BF8C4"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XXII.</w:t>
            </w:r>
          </w:p>
        </w:tc>
        <w:tc>
          <w:tcPr>
            <w:tcW w:w="8589" w:type="dxa"/>
            <w:shd w:val="clear" w:color="auto" w:fill="auto"/>
            <w:tcMar>
              <w:left w:w="57" w:type="dxa"/>
              <w:right w:w="57" w:type="dxa"/>
            </w:tcMar>
          </w:tcPr>
          <w:p w14:paraId="3CF336AB"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Devlet teşviklerine ilişkin açıklamalar</w:t>
            </w:r>
          </w:p>
        </w:tc>
        <w:tc>
          <w:tcPr>
            <w:tcW w:w="810" w:type="dxa"/>
            <w:tcMar>
              <w:left w:w="57" w:type="dxa"/>
              <w:right w:w="57" w:type="dxa"/>
            </w:tcMar>
            <w:vAlign w:val="bottom"/>
          </w:tcPr>
          <w:p w14:paraId="59851230" w14:textId="18B9FD20"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27</w:t>
            </w:r>
          </w:p>
        </w:tc>
      </w:tr>
      <w:tr w:rsidR="00B754EC" w:rsidRPr="00FB38E1" w14:paraId="739DABF3" w14:textId="77777777" w:rsidTr="00836EF2">
        <w:tc>
          <w:tcPr>
            <w:tcW w:w="524" w:type="dxa"/>
            <w:tcMar>
              <w:left w:w="57" w:type="dxa"/>
              <w:right w:w="57" w:type="dxa"/>
            </w:tcMar>
          </w:tcPr>
          <w:p w14:paraId="65612170"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XXIII.</w:t>
            </w:r>
          </w:p>
        </w:tc>
        <w:tc>
          <w:tcPr>
            <w:tcW w:w="8589" w:type="dxa"/>
            <w:shd w:val="clear" w:color="auto" w:fill="auto"/>
            <w:tcMar>
              <w:left w:w="57" w:type="dxa"/>
              <w:right w:w="57" w:type="dxa"/>
            </w:tcMar>
          </w:tcPr>
          <w:p w14:paraId="5A4CC3CA"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Raporlamanın bölümlemeye göre yapılmasına ilişkin açıklamalar</w:t>
            </w:r>
          </w:p>
        </w:tc>
        <w:tc>
          <w:tcPr>
            <w:tcW w:w="810" w:type="dxa"/>
            <w:tcMar>
              <w:left w:w="57" w:type="dxa"/>
              <w:right w:w="57" w:type="dxa"/>
            </w:tcMar>
            <w:vAlign w:val="bottom"/>
          </w:tcPr>
          <w:p w14:paraId="4E00111F" w14:textId="092A1BAF"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27</w:t>
            </w:r>
          </w:p>
        </w:tc>
      </w:tr>
      <w:tr w:rsidR="00B754EC" w:rsidRPr="00FB38E1" w14:paraId="674AAE30" w14:textId="77777777" w:rsidTr="00836EF2">
        <w:tc>
          <w:tcPr>
            <w:tcW w:w="524" w:type="dxa"/>
            <w:tcMar>
              <w:left w:w="57" w:type="dxa"/>
              <w:right w:w="57" w:type="dxa"/>
            </w:tcMar>
          </w:tcPr>
          <w:p w14:paraId="02DA7361"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XXIV.</w:t>
            </w:r>
          </w:p>
        </w:tc>
        <w:tc>
          <w:tcPr>
            <w:tcW w:w="8589" w:type="dxa"/>
            <w:shd w:val="clear" w:color="auto" w:fill="auto"/>
            <w:tcMar>
              <w:left w:w="57" w:type="dxa"/>
              <w:right w:w="57" w:type="dxa"/>
            </w:tcMar>
          </w:tcPr>
          <w:p w14:paraId="11890B82"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Diğer hususlara ilişkin açıklamalar</w:t>
            </w:r>
          </w:p>
        </w:tc>
        <w:tc>
          <w:tcPr>
            <w:tcW w:w="810" w:type="dxa"/>
            <w:tcMar>
              <w:left w:w="57" w:type="dxa"/>
              <w:right w:w="57" w:type="dxa"/>
            </w:tcMar>
            <w:vAlign w:val="bottom"/>
          </w:tcPr>
          <w:p w14:paraId="518B47B4" w14:textId="2F8F6BAB"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27</w:t>
            </w:r>
          </w:p>
        </w:tc>
      </w:tr>
      <w:tr w:rsidR="00B754EC" w:rsidRPr="00FB38E1" w14:paraId="6A9C6B89" w14:textId="77777777" w:rsidTr="00836EF2">
        <w:tc>
          <w:tcPr>
            <w:tcW w:w="524" w:type="dxa"/>
            <w:tcMar>
              <w:left w:w="57" w:type="dxa"/>
              <w:right w:w="57" w:type="dxa"/>
            </w:tcMar>
          </w:tcPr>
          <w:p w14:paraId="3709538F"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XXV.</w:t>
            </w:r>
          </w:p>
        </w:tc>
        <w:tc>
          <w:tcPr>
            <w:tcW w:w="8589" w:type="dxa"/>
            <w:shd w:val="clear" w:color="auto" w:fill="auto"/>
            <w:tcMar>
              <w:left w:w="57" w:type="dxa"/>
              <w:right w:w="57" w:type="dxa"/>
            </w:tcMar>
          </w:tcPr>
          <w:p w14:paraId="7BD772E8"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Sınıflandırmalar</w:t>
            </w:r>
          </w:p>
        </w:tc>
        <w:tc>
          <w:tcPr>
            <w:tcW w:w="810" w:type="dxa"/>
            <w:tcMar>
              <w:left w:w="57" w:type="dxa"/>
              <w:right w:w="57" w:type="dxa"/>
            </w:tcMar>
            <w:vAlign w:val="bottom"/>
          </w:tcPr>
          <w:p w14:paraId="136025F2" w14:textId="39BF0971"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27</w:t>
            </w:r>
          </w:p>
        </w:tc>
      </w:tr>
      <w:tr w:rsidR="00B754EC" w:rsidRPr="00FB38E1" w14:paraId="4CE919FC" w14:textId="77777777" w:rsidTr="00836EF2">
        <w:tc>
          <w:tcPr>
            <w:tcW w:w="524" w:type="dxa"/>
            <w:tcMar>
              <w:left w:w="57" w:type="dxa"/>
              <w:right w:w="57" w:type="dxa"/>
            </w:tcMar>
          </w:tcPr>
          <w:p w14:paraId="0DD65092" w14:textId="77777777" w:rsidR="00B754EC" w:rsidRPr="00FB38E1" w:rsidRDefault="00B754EC" w:rsidP="00B754EC">
            <w:pPr>
              <w:rPr>
                <w:rFonts w:ascii="Microsoft Sans Serif" w:hAnsi="Microsoft Sans Serif" w:cs="Microsoft Sans Serif"/>
                <w:sz w:val="16"/>
                <w:szCs w:val="16"/>
                <w:lang w:val="pt-BR"/>
              </w:rPr>
            </w:pPr>
          </w:p>
        </w:tc>
        <w:tc>
          <w:tcPr>
            <w:tcW w:w="8589" w:type="dxa"/>
            <w:shd w:val="clear" w:color="auto" w:fill="auto"/>
            <w:tcMar>
              <w:left w:w="57" w:type="dxa"/>
              <w:right w:w="57" w:type="dxa"/>
            </w:tcMar>
          </w:tcPr>
          <w:p w14:paraId="71DDB6CB" w14:textId="77777777" w:rsidR="00B754EC" w:rsidRPr="00FB38E1" w:rsidRDefault="00B754EC" w:rsidP="00B754EC">
            <w:pPr>
              <w:rPr>
                <w:rFonts w:ascii="Microsoft Sans Serif" w:hAnsi="Microsoft Sans Serif" w:cs="Microsoft Sans Serif"/>
                <w:sz w:val="16"/>
                <w:szCs w:val="16"/>
                <w:lang w:val="pt-BR"/>
              </w:rPr>
            </w:pPr>
          </w:p>
        </w:tc>
        <w:tc>
          <w:tcPr>
            <w:tcW w:w="810" w:type="dxa"/>
            <w:tcMar>
              <w:left w:w="57" w:type="dxa"/>
              <w:right w:w="57" w:type="dxa"/>
            </w:tcMar>
            <w:vAlign w:val="bottom"/>
          </w:tcPr>
          <w:p w14:paraId="61BA8E11"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65C02D8F" w14:textId="77777777" w:rsidTr="00836EF2">
        <w:tc>
          <w:tcPr>
            <w:tcW w:w="524" w:type="dxa"/>
            <w:tcMar>
              <w:left w:w="57" w:type="dxa"/>
              <w:right w:w="57" w:type="dxa"/>
            </w:tcMar>
          </w:tcPr>
          <w:p w14:paraId="2596C366" w14:textId="77777777" w:rsidR="00B754EC" w:rsidRPr="00FB38E1" w:rsidRDefault="00B754EC" w:rsidP="00B754EC">
            <w:pPr>
              <w:rPr>
                <w:rFonts w:ascii="Microsoft Sans Serif" w:hAnsi="Microsoft Sans Serif" w:cs="Microsoft Sans Serif"/>
                <w:sz w:val="16"/>
                <w:szCs w:val="16"/>
              </w:rPr>
            </w:pPr>
          </w:p>
        </w:tc>
        <w:tc>
          <w:tcPr>
            <w:tcW w:w="8589" w:type="dxa"/>
            <w:shd w:val="clear" w:color="auto" w:fill="auto"/>
            <w:tcMar>
              <w:left w:w="57" w:type="dxa"/>
              <w:right w:w="57" w:type="dxa"/>
            </w:tcMar>
          </w:tcPr>
          <w:p w14:paraId="23D2D448" w14:textId="77777777" w:rsidR="00B754EC" w:rsidRPr="00FB38E1" w:rsidRDefault="00B754EC" w:rsidP="00B754EC">
            <w:pPr>
              <w:jc w:val="center"/>
              <w:rPr>
                <w:rFonts w:ascii="Microsoft Sans Serif" w:hAnsi="Microsoft Sans Serif" w:cs="Microsoft Sans Serif"/>
                <w:sz w:val="16"/>
                <w:szCs w:val="16"/>
              </w:rPr>
            </w:pPr>
            <w:r w:rsidRPr="00FB38E1">
              <w:rPr>
                <w:rFonts w:ascii="Microsoft Sans Serif" w:hAnsi="Microsoft Sans Serif" w:cs="Microsoft Sans Serif"/>
                <w:b/>
                <w:bCs/>
                <w:sz w:val="16"/>
                <w:szCs w:val="16"/>
                <w:lang w:val="pt-BR"/>
              </w:rPr>
              <w:t>DÖRDÜNCÜ BÖLÜM</w:t>
            </w:r>
          </w:p>
        </w:tc>
        <w:tc>
          <w:tcPr>
            <w:tcW w:w="810" w:type="dxa"/>
            <w:tcMar>
              <w:left w:w="57" w:type="dxa"/>
              <w:right w:w="57" w:type="dxa"/>
            </w:tcMar>
            <w:vAlign w:val="bottom"/>
          </w:tcPr>
          <w:p w14:paraId="6A2698C8"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0BBFB213" w14:textId="77777777" w:rsidTr="00836EF2">
        <w:tc>
          <w:tcPr>
            <w:tcW w:w="524" w:type="dxa"/>
            <w:tcMar>
              <w:left w:w="57" w:type="dxa"/>
              <w:right w:w="57" w:type="dxa"/>
            </w:tcMar>
          </w:tcPr>
          <w:p w14:paraId="18A0BF49" w14:textId="77777777" w:rsidR="00B754EC" w:rsidRPr="00FB38E1" w:rsidRDefault="00B754EC" w:rsidP="00B754EC">
            <w:pPr>
              <w:jc w:val="center"/>
              <w:rPr>
                <w:rFonts w:ascii="Microsoft Sans Serif" w:hAnsi="Microsoft Sans Serif" w:cs="Microsoft Sans Serif"/>
                <w:b/>
                <w:bCs/>
                <w:sz w:val="16"/>
                <w:szCs w:val="16"/>
                <w:lang w:val="pt-BR"/>
              </w:rPr>
            </w:pPr>
          </w:p>
        </w:tc>
        <w:tc>
          <w:tcPr>
            <w:tcW w:w="8589" w:type="dxa"/>
            <w:shd w:val="clear" w:color="auto" w:fill="auto"/>
            <w:tcMar>
              <w:left w:w="57" w:type="dxa"/>
              <w:right w:w="57" w:type="dxa"/>
            </w:tcMar>
          </w:tcPr>
          <w:p w14:paraId="69D7226B" w14:textId="77777777" w:rsidR="00B754EC" w:rsidRPr="00FB38E1" w:rsidRDefault="00B754EC" w:rsidP="00B754EC">
            <w:pPr>
              <w:jc w:val="center"/>
              <w:rPr>
                <w:rFonts w:ascii="Microsoft Sans Serif" w:hAnsi="Microsoft Sans Serif" w:cs="Microsoft Sans Serif"/>
                <w:b/>
                <w:bCs/>
                <w:sz w:val="16"/>
                <w:szCs w:val="16"/>
                <w:lang w:val="pt-BR"/>
              </w:rPr>
            </w:pPr>
            <w:r w:rsidRPr="00FB38E1">
              <w:rPr>
                <w:rFonts w:ascii="Microsoft Sans Serif" w:hAnsi="Microsoft Sans Serif" w:cs="Microsoft Sans Serif"/>
                <w:b/>
                <w:bCs/>
                <w:sz w:val="16"/>
                <w:szCs w:val="16"/>
                <w:lang w:val="pt-BR"/>
              </w:rPr>
              <w:t>Mali Bünyeye ve Risk Yönetimine İlişkin Bilgiler</w:t>
            </w:r>
          </w:p>
        </w:tc>
        <w:tc>
          <w:tcPr>
            <w:tcW w:w="810" w:type="dxa"/>
            <w:tcMar>
              <w:left w:w="57" w:type="dxa"/>
              <w:right w:w="57" w:type="dxa"/>
            </w:tcMar>
            <w:vAlign w:val="bottom"/>
          </w:tcPr>
          <w:p w14:paraId="7D5046F9"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08F3EFE3" w14:textId="77777777" w:rsidTr="00836EF2">
        <w:tc>
          <w:tcPr>
            <w:tcW w:w="524" w:type="dxa"/>
            <w:tcMar>
              <w:left w:w="57" w:type="dxa"/>
              <w:right w:w="57" w:type="dxa"/>
            </w:tcMar>
          </w:tcPr>
          <w:p w14:paraId="541F40DE"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4E0866CE" w14:textId="77777777" w:rsidR="00B754EC" w:rsidRPr="00FB38E1" w:rsidRDefault="00B754EC" w:rsidP="00B754EC">
            <w:pPr>
              <w:jc w:val="left"/>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Özkaynağa ilişkin bilgiler</w:t>
            </w:r>
          </w:p>
        </w:tc>
        <w:tc>
          <w:tcPr>
            <w:tcW w:w="810" w:type="dxa"/>
            <w:tcMar>
              <w:left w:w="57" w:type="dxa"/>
              <w:right w:w="57" w:type="dxa"/>
            </w:tcMar>
            <w:vAlign w:val="bottom"/>
          </w:tcPr>
          <w:p w14:paraId="335CC4BA" w14:textId="75CFD277"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28</w:t>
            </w:r>
          </w:p>
        </w:tc>
      </w:tr>
      <w:tr w:rsidR="00B754EC" w:rsidRPr="00FB38E1" w14:paraId="285A2399" w14:textId="77777777" w:rsidTr="00836EF2">
        <w:tc>
          <w:tcPr>
            <w:tcW w:w="524" w:type="dxa"/>
            <w:tcMar>
              <w:left w:w="57" w:type="dxa"/>
              <w:right w:w="57" w:type="dxa"/>
            </w:tcMar>
          </w:tcPr>
          <w:p w14:paraId="1146828D"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590B1FB5" w14:textId="77777777" w:rsidR="00B754EC" w:rsidRPr="00FB38E1" w:rsidRDefault="00B754EC" w:rsidP="00B754EC">
            <w:pPr>
              <w:jc w:val="left"/>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Kredi riskine ilişkin açıklamalar</w:t>
            </w:r>
          </w:p>
        </w:tc>
        <w:tc>
          <w:tcPr>
            <w:tcW w:w="810" w:type="dxa"/>
            <w:tcMar>
              <w:left w:w="57" w:type="dxa"/>
              <w:right w:w="57" w:type="dxa"/>
            </w:tcMar>
            <w:vAlign w:val="bottom"/>
          </w:tcPr>
          <w:p w14:paraId="1ACC3D58" w14:textId="25753374"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32</w:t>
            </w:r>
          </w:p>
        </w:tc>
      </w:tr>
      <w:tr w:rsidR="00B754EC" w:rsidRPr="00FB38E1" w14:paraId="443E4ACA" w14:textId="77777777" w:rsidTr="00836EF2">
        <w:tc>
          <w:tcPr>
            <w:tcW w:w="524" w:type="dxa"/>
            <w:tcMar>
              <w:left w:w="57" w:type="dxa"/>
              <w:right w:w="57" w:type="dxa"/>
            </w:tcMar>
          </w:tcPr>
          <w:p w14:paraId="25147B20"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III.</w:t>
            </w:r>
          </w:p>
        </w:tc>
        <w:tc>
          <w:tcPr>
            <w:tcW w:w="8589" w:type="dxa"/>
            <w:shd w:val="clear" w:color="auto" w:fill="auto"/>
            <w:tcMar>
              <w:left w:w="57" w:type="dxa"/>
              <w:right w:w="57" w:type="dxa"/>
            </w:tcMar>
          </w:tcPr>
          <w:p w14:paraId="1DC44C99" w14:textId="77777777" w:rsidR="00B754EC" w:rsidRPr="00FB38E1" w:rsidRDefault="00B754EC" w:rsidP="00B754EC">
            <w:pPr>
              <w:jc w:val="left"/>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Kur riskine ilişkin açıklamalar</w:t>
            </w:r>
          </w:p>
        </w:tc>
        <w:tc>
          <w:tcPr>
            <w:tcW w:w="810" w:type="dxa"/>
            <w:tcMar>
              <w:left w:w="57" w:type="dxa"/>
              <w:right w:w="57" w:type="dxa"/>
            </w:tcMar>
            <w:vAlign w:val="bottom"/>
          </w:tcPr>
          <w:p w14:paraId="0EBB587C" w14:textId="69CAC056"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43</w:t>
            </w:r>
          </w:p>
        </w:tc>
      </w:tr>
      <w:tr w:rsidR="00B754EC" w:rsidRPr="00FB38E1" w14:paraId="52F027A6" w14:textId="77777777" w:rsidTr="00836EF2">
        <w:tc>
          <w:tcPr>
            <w:tcW w:w="524" w:type="dxa"/>
            <w:tcMar>
              <w:left w:w="57" w:type="dxa"/>
              <w:right w:w="57" w:type="dxa"/>
            </w:tcMar>
          </w:tcPr>
          <w:p w14:paraId="24C7F4A3"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IV.</w:t>
            </w:r>
          </w:p>
        </w:tc>
        <w:tc>
          <w:tcPr>
            <w:tcW w:w="8589" w:type="dxa"/>
            <w:shd w:val="clear" w:color="auto" w:fill="auto"/>
            <w:tcMar>
              <w:left w:w="57" w:type="dxa"/>
              <w:right w:w="57" w:type="dxa"/>
            </w:tcMar>
          </w:tcPr>
          <w:p w14:paraId="2600CF1C"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Faiz oranı riskine ilişkin açıklamalar</w:t>
            </w:r>
          </w:p>
        </w:tc>
        <w:tc>
          <w:tcPr>
            <w:tcW w:w="810" w:type="dxa"/>
            <w:tcMar>
              <w:left w:w="57" w:type="dxa"/>
              <w:right w:w="57" w:type="dxa"/>
            </w:tcMar>
            <w:vAlign w:val="bottom"/>
          </w:tcPr>
          <w:p w14:paraId="08161A00" w14:textId="45D2BB84"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45</w:t>
            </w:r>
          </w:p>
        </w:tc>
      </w:tr>
      <w:tr w:rsidR="00B754EC" w:rsidRPr="00FB38E1" w14:paraId="11EF6301" w14:textId="77777777" w:rsidTr="00836EF2">
        <w:tc>
          <w:tcPr>
            <w:tcW w:w="524" w:type="dxa"/>
            <w:tcMar>
              <w:left w:w="57" w:type="dxa"/>
              <w:right w:w="57" w:type="dxa"/>
            </w:tcMar>
          </w:tcPr>
          <w:p w14:paraId="622DE73D"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w:t>
            </w:r>
          </w:p>
        </w:tc>
        <w:tc>
          <w:tcPr>
            <w:tcW w:w="8589" w:type="dxa"/>
            <w:shd w:val="clear" w:color="auto" w:fill="auto"/>
            <w:tcMar>
              <w:left w:w="57" w:type="dxa"/>
              <w:right w:w="57" w:type="dxa"/>
            </w:tcMar>
          </w:tcPr>
          <w:p w14:paraId="160D0A7F"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Bankacılık hesaplarından kaynaklanan hisse senedi pozisyon riski</w:t>
            </w:r>
          </w:p>
        </w:tc>
        <w:tc>
          <w:tcPr>
            <w:tcW w:w="810" w:type="dxa"/>
            <w:tcMar>
              <w:left w:w="57" w:type="dxa"/>
              <w:right w:w="57" w:type="dxa"/>
            </w:tcMar>
            <w:vAlign w:val="bottom"/>
          </w:tcPr>
          <w:p w14:paraId="0D585CDE" w14:textId="3983AC83"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47</w:t>
            </w:r>
          </w:p>
        </w:tc>
      </w:tr>
      <w:tr w:rsidR="00B754EC" w:rsidRPr="00FB38E1" w14:paraId="46A14E4A" w14:textId="77777777" w:rsidTr="00836EF2">
        <w:tc>
          <w:tcPr>
            <w:tcW w:w="524" w:type="dxa"/>
            <w:tcMar>
              <w:left w:w="57" w:type="dxa"/>
              <w:right w:w="57" w:type="dxa"/>
            </w:tcMar>
          </w:tcPr>
          <w:p w14:paraId="27B5D33D"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VI.</w:t>
            </w:r>
          </w:p>
        </w:tc>
        <w:tc>
          <w:tcPr>
            <w:tcW w:w="8589" w:type="dxa"/>
            <w:shd w:val="clear" w:color="auto" w:fill="auto"/>
            <w:tcMar>
              <w:left w:w="57" w:type="dxa"/>
              <w:right w:w="57" w:type="dxa"/>
            </w:tcMar>
          </w:tcPr>
          <w:p w14:paraId="057595A5" w14:textId="488C05B6"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Likidite riski yönetimi, likidite karşılama oranı ve net istikrarlı fonlama oranına ilişkin açıklamalar</w:t>
            </w:r>
          </w:p>
        </w:tc>
        <w:tc>
          <w:tcPr>
            <w:tcW w:w="810" w:type="dxa"/>
            <w:tcMar>
              <w:left w:w="57" w:type="dxa"/>
              <w:right w:w="57" w:type="dxa"/>
            </w:tcMar>
            <w:vAlign w:val="bottom"/>
          </w:tcPr>
          <w:p w14:paraId="0AFA7D30" w14:textId="7BE5D8FB"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48</w:t>
            </w:r>
          </w:p>
        </w:tc>
      </w:tr>
      <w:tr w:rsidR="00B754EC" w:rsidRPr="00FB38E1" w14:paraId="73C24594" w14:textId="77777777" w:rsidTr="00836EF2">
        <w:tc>
          <w:tcPr>
            <w:tcW w:w="524" w:type="dxa"/>
            <w:tcMar>
              <w:left w:w="57" w:type="dxa"/>
              <w:right w:w="57" w:type="dxa"/>
            </w:tcMar>
          </w:tcPr>
          <w:p w14:paraId="35453B09"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VII.</w:t>
            </w:r>
          </w:p>
        </w:tc>
        <w:tc>
          <w:tcPr>
            <w:tcW w:w="8589" w:type="dxa"/>
            <w:shd w:val="clear" w:color="auto" w:fill="auto"/>
            <w:tcMar>
              <w:left w:w="57" w:type="dxa"/>
              <w:right w:w="57" w:type="dxa"/>
            </w:tcMar>
          </w:tcPr>
          <w:p w14:paraId="3BF68D0E"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Kaldıraç oranına ilişkin açıklamalar</w:t>
            </w:r>
          </w:p>
        </w:tc>
        <w:tc>
          <w:tcPr>
            <w:tcW w:w="810" w:type="dxa"/>
            <w:tcMar>
              <w:left w:w="57" w:type="dxa"/>
              <w:right w:w="57" w:type="dxa"/>
            </w:tcMar>
            <w:vAlign w:val="bottom"/>
          </w:tcPr>
          <w:p w14:paraId="7C8E222E" w14:textId="1FACE96F"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54</w:t>
            </w:r>
          </w:p>
        </w:tc>
      </w:tr>
      <w:tr w:rsidR="00B754EC" w:rsidRPr="00FB38E1" w14:paraId="47ADFB6A" w14:textId="77777777" w:rsidTr="00836EF2">
        <w:tc>
          <w:tcPr>
            <w:tcW w:w="524" w:type="dxa"/>
            <w:tcMar>
              <w:left w:w="57" w:type="dxa"/>
              <w:right w:w="57" w:type="dxa"/>
            </w:tcMar>
          </w:tcPr>
          <w:p w14:paraId="7EF43D2B"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VIII.</w:t>
            </w:r>
          </w:p>
        </w:tc>
        <w:tc>
          <w:tcPr>
            <w:tcW w:w="8589" w:type="dxa"/>
            <w:shd w:val="clear" w:color="auto" w:fill="auto"/>
            <w:tcMar>
              <w:left w:w="57" w:type="dxa"/>
              <w:right w:w="57" w:type="dxa"/>
            </w:tcMar>
          </w:tcPr>
          <w:p w14:paraId="7ADB84F1"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Risk yönetimine ilişkin açıklamalar</w:t>
            </w:r>
          </w:p>
        </w:tc>
        <w:tc>
          <w:tcPr>
            <w:tcW w:w="810" w:type="dxa"/>
            <w:tcMar>
              <w:left w:w="57" w:type="dxa"/>
              <w:right w:w="57" w:type="dxa"/>
            </w:tcMar>
            <w:vAlign w:val="bottom"/>
          </w:tcPr>
          <w:p w14:paraId="52880829" w14:textId="3255414D"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54</w:t>
            </w:r>
          </w:p>
        </w:tc>
      </w:tr>
      <w:tr w:rsidR="00B754EC" w:rsidRPr="00FB38E1" w14:paraId="180E63E6" w14:textId="77777777" w:rsidTr="00836EF2">
        <w:tc>
          <w:tcPr>
            <w:tcW w:w="524" w:type="dxa"/>
            <w:tcMar>
              <w:left w:w="57" w:type="dxa"/>
              <w:right w:w="57" w:type="dxa"/>
            </w:tcMar>
          </w:tcPr>
          <w:p w14:paraId="7892E846"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rPr>
              <w:t>IX.</w:t>
            </w:r>
          </w:p>
        </w:tc>
        <w:tc>
          <w:tcPr>
            <w:tcW w:w="8589" w:type="dxa"/>
            <w:shd w:val="clear" w:color="auto" w:fill="auto"/>
            <w:tcMar>
              <w:left w:w="57" w:type="dxa"/>
              <w:right w:w="57" w:type="dxa"/>
            </w:tcMar>
          </w:tcPr>
          <w:p w14:paraId="36E5AC4F"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Finansal varlık ve borçların gerçeğe uygun değeri ile gösterilmesine ilişkin açıklamalar</w:t>
            </w:r>
          </w:p>
        </w:tc>
        <w:tc>
          <w:tcPr>
            <w:tcW w:w="810" w:type="dxa"/>
            <w:tcMar>
              <w:left w:w="57" w:type="dxa"/>
              <w:right w:w="57" w:type="dxa"/>
            </w:tcMar>
            <w:vAlign w:val="bottom"/>
          </w:tcPr>
          <w:p w14:paraId="24101550" w14:textId="074AD5DE" w:rsidR="00B754EC" w:rsidRPr="00FB38E1" w:rsidRDefault="00B754EC" w:rsidP="00B754EC">
            <w:pPr>
              <w:jc w:val="right"/>
              <w:rPr>
                <w:rFonts w:ascii="Microsoft Sans Serif" w:hAnsi="Microsoft Sans Serif" w:cs="Microsoft Sans Serif"/>
                <w:sz w:val="16"/>
                <w:szCs w:val="16"/>
                <w:lang w:val="pt-BR"/>
              </w:rPr>
            </w:pPr>
            <w:r w:rsidRPr="00FB38E1">
              <w:rPr>
                <w:rFonts w:ascii="Microsoft Sans Serif" w:hAnsi="Microsoft Sans Serif" w:cs="Microsoft Sans Serif"/>
                <w:sz w:val="16"/>
                <w:szCs w:val="16"/>
              </w:rPr>
              <w:t>73</w:t>
            </w:r>
          </w:p>
        </w:tc>
      </w:tr>
      <w:tr w:rsidR="00B754EC" w:rsidRPr="00FB38E1" w14:paraId="45074382" w14:textId="77777777" w:rsidTr="00836EF2">
        <w:tc>
          <w:tcPr>
            <w:tcW w:w="524" w:type="dxa"/>
            <w:tcMar>
              <w:left w:w="57" w:type="dxa"/>
              <w:right w:w="57" w:type="dxa"/>
            </w:tcMar>
          </w:tcPr>
          <w:p w14:paraId="7B1B2D1E"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X.</w:t>
            </w:r>
          </w:p>
        </w:tc>
        <w:tc>
          <w:tcPr>
            <w:tcW w:w="8589" w:type="dxa"/>
            <w:shd w:val="clear" w:color="auto" w:fill="auto"/>
            <w:tcMar>
              <w:left w:w="57" w:type="dxa"/>
              <w:right w:w="57" w:type="dxa"/>
            </w:tcMar>
          </w:tcPr>
          <w:p w14:paraId="5C9ECB70"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Başkalarının nam ve hesabına yapılan işlemler, inanca dayalı işlemlere ilişkin açıklamalar</w:t>
            </w:r>
          </w:p>
        </w:tc>
        <w:tc>
          <w:tcPr>
            <w:tcW w:w="810" w:type="dxa"/>
            <w:tcMar>
              <w:left w:w="57" w:type="dxa"/>
              <w:right w:w="57" w:type="dxa"/>
            </w:tcMar>
            <w:vAlign w:val="bottom"/>
          </w:tcPr>
          <w:p w14:paraId="52EF651F" w14:textId="30D09B39" w:rsidR="00B754EC" w:rsidRPr="00FB38E1" w:rsidRDefault="00B754EC" w:rsidP="00B754EC">
            <w:pPr>
              <w:jc w:val="right"/>
              <w:rPr>
                <w:rFonts w:ascii="Microsoft Sans Serif" w:hAnsi="Microsoft Sans Serif" w:cs="Microsoft Sans Serif"/>
                <w:sz w:val="16"/>
                <w:szCs w:val="16"/>
                <w:lang w:val="pt-BR"/>
              </w:rPr>
            </w:pPr>
            <w:r w:rsidRPr="00FB38E1">
              <w:rPr>
                <w:rFonts w:ascii="Microsoft Sans Serif" w:hAnsi="Microsoft Sans Serif" w:cs="Microsoft Sans Serif"/>
                <w:sz w:val="16"/>
                <w:szCs w:val="16"/>
              </w:rPr>
              <w:t>74</w:t>
            </w:r>
          </w:p>
        </w:tc>
      </w:tr>
      <w:tr w:rsidR="00B754EC" w:rsidRPr="00FB38E1" w14:paraId="1486EE7F" w14:textId="77777777" w:rsidTr="00836EF2">
        <w:tc>
          <w:tcPr>
            <w:tcW w:w="524" w:type="dxa"/>
            <w:tcMar>
              <w:left w:w="57" w:type="dxa"/>
              <w:right w:w="57" w:type="dxa"/>
            </w:tcMar>
          </w:tcPr>
          <w:p w14:paraId="42B5A59F"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XI.</w:t>
            </w:r>
          </w:p>
        </w:tc>
        <w:tc>
          <w:tcPr>
            <w:tcW w:w="8589" w:type="dxa"/>
            <w:shd w:val="clear" w:color="auto" w:fill="auto"/>
            <w:tcMar>
              <w:left w:w="57" w:type="dxa"/>
              <w:right w:w="57" w:type="dxa"/>
            </w:tcMar>
          </w:tcPr>
          <w:p w14:paraId="4D9FA4F8"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ab/>
              <w:t>Riskten korunma işlemlerine ilişkin açıklamalar</w:t>
            </w:r>
          </w:p>
        </w:tc>
        <w:tc>
          <w:tcPr>
            <w:tcW w:w="810" w:type="dxa"/>
            <w:tcMar>
              <w:left w:w="57" w:type="dxa"/>
              <w:right w:w="57" w:type="dxa"/>
            </w:tcMar>
            <w:vAlign w:val="bottom"/>
          </w:tcPr>
          <w:p w14:paraId="0088A0A1" w14:textId="16855B3D" w:rsidR="00B754EC" w:rsidRPr="00FB38E1" w:rsidRDefault="00B754EC" w:rsidP="00B754EC">
            <w:pPr>
              <w:jc w:val="right"/>
              <w:rPr>
                <w:rFonts w:ascii="Microsoft Sans Serif" w:hAnsi="Microsoft Sans Serif" w:cs="Microsoft Sans Serif"/>
                <w:sz w:val="16"/>
                <w:szCs w:val="16"/>
                <w:lang w:val="pt-BR"/>
              </w:rPr>
            </w:pPr>
            <w:r w:rsidRPr="00FB38E1">
              <w:rPr>
                <w:rFonts w:ascii="Microsoft Sans Serif" w:hAnsi="Microsoft Sans Serif" w:cs="Microsoft Sans Serif"/>
                <w:sz w:val="16"/>
                <w:szCs w:val="16"/>
              </w:rPr>
              <w:t>75</w:t>
            </w:r>
          </w:p>
        </w:tc>
      </w:tr>
      <w:tr w:rsidR="00B754EC" w:rsidRPr="00FB38E1" w14:paraId="0C64F0BF" w14:textId="77777777" w:rsidTr="00836EF2">
        <w:tc>
          <w:tcPr>
            <w:tcW w:w="524" w:type="dxa"/>
            <w:tcMar>
              <w:left w:w="57" w:type="dxa"/>
              <w:right w:w="57" w:type="dxa"/>
            </w:tcMar>
          </w:tcPr>
          <w:p w14:paraId="177845D9"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XII.</w:t>
            </w:r>
          </w:p>
        </w:tc>
        <w:tc>
          <w:tcPr>
            <w:tcW w:w="8589" w:type="dxa"/>
            <w:shd w:val="clear" w:color="auto" w:fill="auto"/>
            <w:tcMar>
              <w:left w:w="57" w:type="dxa"/>
              <w:right w:w="57" w:type="dxa"/>
            </w:tcMar>
          </w:tcPr>
          <w:p w14:paraId="7C1C4E4A"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Raporlamanın bölümlemeye göre yapılmasına ilişkin açıklamalar</w:t>
            </w:r>
          </w:p>
        </w:tc>
        <w:tc>
          <w:tcPr>
            <w:tcW w:w="810" w:type="dxa"/>
            <w:tcMar>
              <w:left w:w="57" w:type="dxa"/>
              <w:right w:w="57" w:type="dxa"/>
            </w:tcMar>
            <w:vAlign w:val="bottom"/>
          </w:tcPr>
          <w:p w14:paraId="64F454C5" w14:textId="37B0EF16" w:rsidR="00B754EC" w:rsidRPr="00FB38E1" w:rsidRDefault="00B754EC" w:rsidP="00B754EC">
            <w:pPr>
              <w:jc w:val="right"/>
              <w:rPr>
                <w:rFonts w:ascii="Microsoft Sans Serif" w:hAnsi="Microsoft Sans Serif" w:cs="Microsoft Sans Serif"/>
                <w:sz w:val="16"/>
                <w:szCs w:val="16"/>
                <w:lang w:val="pt-BR"/>
              </w:rPr>
            </w:pPr>
            <w:r w:rsidRPr="00FB38E1">
              <w:rPr>
                <w:rFonts w:ascii="Microsoft Sans Serif" w:hAnsi="Microsoft Sans Serif" w:cs="Microsoft Sans Serif"/>
                <w:sz w:val="16"/>
                <w:szCs w:val="16"/>
              </w:rPr>
              <w:t>75</w:t>
            </w:r>
          </w:p>
        </w:tc>
      </w:tr>
      <w:tr w:rsidR="00B754EC" w:rsidRPr="00FB38E1" w14:paraId="53068E6F" w14:textId="77777777" w:rsidTr="00836EF2">
        <w:tc>
          <w:tcPr>
            <w:tcW w:w="524" w:type="dxa"/>
            <w:tcMar>
              <w:left w:w="57" w:type="dxa"/>
              <w:right w:w="57" w:type="dxa"/>
            </w:tcMar>
          </w:tcPr>
          <w:p w14:paraId="17748770" w14:textId="77777777" w:rsidR="00B754EC" w:rsidRPr="00FB38E1" w:rsidRDefault="00B754EC" w:rsidP="00B754EC">
            <w:pPr>
              <w:rPr>
                <w:rFonts w:ascii="Microsoft Sans Serif" w:hAnsi="Microsoft Sans Serif" w:cs="Microsoft Sans Serif"/>
                <w:sz w:val="16"/>
                <w:szCs w:val="16"/>
              </w:rPr>
            </w:pPr>
          </w:p>
        </w:tc>
        <w:tc>
          <w:tcPr>
            <w:tcW w:w="8589" w:type="dxa"/>
            <w:shd w:val="clear" w:color="auto" w:fill="auto"/>
            <w:tcMar>
              <w:left w:w="57" w:type="dxa"/>
              <w:right w:w="57" w:type="dxa"/>
            </w:tcMar>
          </w:tcPr>
          <w:p w14:paraId="6C7C8211" w14:textId="77777777" w:rsidR="00B754EC" w:rsidRPr="00FB38E1" w:rsidRDefault="00B754EC" w:rsidP="00B754EC">
            <w:pPr>
              <w:jc w:val="center"/>
              <w:rPr>
                <w:rFonts w:ascii="Microsoft Sans Serif" w:hAnsi="Microsoft Sans Serif" w:cs="Microsoft Sans Serif"/>
                <w:sz w:val="16"/>
                <w:szCs w:val="16"/>
              </w:rPr>
            </w:pPr>
            <w:r w:rsidRPr="00FB38E1">
              <w:rPr>
                <w:rFonts w:ascii="Microsoft Sans Serif" w:hAnsi="Microsoft Sans Serif" w:cs="Microsoft Sans Serif"/>
                <w:b/>
                <w:bCs/>
                <w:sz w:val="16"/>
                <w:szCs w:val="16"/>
                <w:lang w:val="pt-BR"/>
              </w:rPr>
              <w:t>BEŞİNCİ BÖLÜM</w:t>
            </w:r>
          </w:p>
        </w:tc>
        <w:tc>
          <w:tcPr>
            <w:tcW w:w="810" w:type="dxa"/>
            <w:tcMar>
              <w:left w:w="57" w:type="dxa"/>
              <w:right w:w="57" w:type="dxa"/>
            </w:tcMar>
            <w:vAlign w:val="bottom"/>
          </w:tcPr>
          <w:p w14:paraId="7F96B0B8"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01AB4FCA" w14:textId="77777777" w:rsidTr="00836EF2">
        <w:tc>
          <w:tcPr>
            <w:tcW w:w="524" w:type="dxa"/>
            <w:tcMar>
              <w:left w:w="57" w:type="dxa"/>
              <w:right w:w="57" w:type="dxa"/>
            </w:tcMar>
          </w:tcPr>
          <w:p w14:paraId="3D932173" w14:textId="77777777" w:rsidR="00B754EC" w:rsidRPr="00FB38E1" w:rsidRDefault="00B754EC" w:rsidP="00B754EC">
            <w:pPr>
              <w:rPr>
                <w:rFonts w:ascii="Microsoft Sans Serif" w:hAnsi="Microsoft Sans Serif" w:cs="Microsoft Sans Serif"/>
                <w:sz w:val="16"/>
                <w:szCs w:val="16"/>
              </w:rPr>
            </w:pPr>
          </w:p>
        </w:tc>
        <w:tc>
          <w:tcPr>
            <w:tcW w:w="8589" w:type="dxa"/>
            <w:shd w:val="clear" w:color="auto" w:fill="auto"/>
            <w:tcMar>
              <w:left w:w="57" w:type="dxa"/>
              <w:right w:w="57" w:type="dxa"/>
            </w:tcMar>
          </w:tcPr>
          <w:p w14:paraId="50770C8C" w14:textId="77777777" w:rsidR="00B754EC" w:rsidRPr="00FB38E1" w:rsidRDefault="00B754EC" w:rsidP="00B754EC">
            <w:pPr>
              <w:jc w:val="center"/>
              <w:rPr>
                <w:rFonts w:ascii="Microsoft Sans Serif" w:hAnsi="Microsoft Sans Serif" w:cs="Microsoft Sans Serif"/>
                <w:sz w:val="16"/>
                <w:szCs w:val="16"/>
                <w:lang w:val="pt-BR"/>
              </w:rPr>
            </w:pPr>
            <w:r w:rsidRPr="00FB38E1">
              <w:rPr>
                <w:rFonts w:ascii="Microsoft Sans Serif" w:hAnsi="Microsoft Sans Serif" w:cs="Microsoft Sans Serif"/>
                <w:b/>
                <w:bCs/>
                <w:sz w:val="16"/>
                <w:szCs w:val="16"/>
                <w:lang w:val="pt-BR"/>
              </w:rPr>
              <w:t>Konsolide Olmayan Finansal Tablolara İlişkin Açıklama ve Dipnotlar</w:t>
            </w:r>
          </w:p>
        </w:tc>
        <w:tc>
          <w:tcPr>
            <w:tcW w:w="810" w:type="dxa"/>
            <w:tcMar>
              <w:left w:w="57" w:type="dxa"/>
              <w:right w:w="57" w:type="dxa"/>
            </w:tcMar>
            <w:vAlign w:val="bottom"/>
          </w:tcPr>
          <w:p w14:paraId="0229338D"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20A57902" w14:textId="77777777" w:rsidTr="00836EF2">
        <w:tc>
          <w:tcPr>
            <w:tcW w:w="524" w:type="dxa"/>
            <w:tcMar>
              <w:left w:w="57" w:type="dxa"/>
              <w:right w:w="57" w:type="dxa"/>
            </w:tcMar>
          </w:tcPr>
          <w:p w14:paraId="2420A844"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w:t>
            </w:r>
          </w:p>
        </w:tc>
        <w:tc>
          <w:tcPr>
            <w:tcW w:w="8589" w:type="dxa"/>
            <w:shd w:val="clear" w:color="auto" w:fill="auto"/>
            <w:tcMar>
              <w:left w:w="57" w:type="dxa"/>
              <w:right w:w="57" w:type="dxa"/>
            </w:tcMar>
          </w:tcPr>
          <w:p w14:paraId="13E405CD"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Bilançonun aktif hesaplarına ilişkin açıklama ve dipnotlar</w:t>
            </w:r>
          </w:p>
        </w:tc>
        <w:tc>
          <w:tcPr>
            <w:tcW w:w="810" w:type="dxa"/>
            <w:tcMar>
              <w:left w:w="57" w:type="dxa"/>
              <w:right w:w="57" w:type="dxa"/>
            </w:tcMar>
            <w:vAlign w:val="bottom"/>
          </w:tcPr>
          <w:p w14:paraId="2DBF5826" w14:textId="7FD5C155"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77</w:t>
            </w:r>
          </w:p>
        </w:tc>
      </w:tr>
      <w:tr w:rsidR="00B754EC" w:rsidRPr="00FB38E1" w14:paraId="7154B528" w14:textId="77777777" w:rsidTr="00836EF2">
        <w:tc>
          <w:tcPr>
            <w:tcW w:w="524" w:type="dxa"/>
            <w:tcMar>
              <w:left w:w="57" w:type="dxa"/>
              <w:right w:w="57" w:type="dxa"/>
            </w:tcMar>
          </w:tcPr>
          <w:p w14:paraId="071FF4FB"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pt-BR"/>
              </w:rPr>
              <w:t>II.</w:t>
            </w:r>
          </w:p>
        </w:tc>
        <w:tc>
          <w:tcPr>
            <w:tcW w:w="8589" w:type="dxa"/>
            <w:shd w:val="clear" w:color="auto" w:fill="auto"/>
            <w:tcMar>
              <w:left w:w="57" w:type="dxa"/>
              <w:right w:w="57" w:type="dxa"/>
            </w:tcMar>
          </w:tcPr>
          <w:p w14:paraId="7005FDF3" w14:textId="77777777" w:rsidR="00B754EC" w:rsidRPr="00FB38E1" w:rsidRDefault="00B754EC" w:rsidP="00B754EC">
            <w:pPr>
              <w:rPr>
                <w:rFonts w:ascii="Microsoft Sans Serif" w:hAnsi="Microsoft Sans Serif" w:cs="Microsoft Sans Serif"/>
                <w:sz w:val="16"/>
                <w:szCs w:val="16"/>
                <w:lang w:val="pt-BR"/>
              </w:rPr>
            </w:pPr>
            <w:r w:rsidRPr="00FB38E1">
              <w:rPr>
                <w:rFonts w:ascii="Microsoft Sans Serif" w:hAnsi="Microsoft Sans Serif" w:cs="Microsoft Sans Serif"/>
                <w:sz w:val="16"/>
                <w:szCs w:val="16"/>
                <w:lang w:val="pt-BR"/>
              </w:rPr>
              <w:t>Bilançonun pasif hesaplarına ilişkin açıklama ve dipnotlar</w:t>
            </w:r>
          </w:p>
        </w:tc>
        <w:tc>
          <w:tcPr>
            <w:tcW w:w="810" w:type="dxa"/>
            <w:tcMar>
              <w:left w:w="57" w:type="dxa"/>
              <w:right w:w="57" w:type="dxa"/>
            </w:tcMar>
            <w:vAlign w:val="bottom"/>
          </w:tcPr>
          <w:p w14:paraId="30EC3908" w14:textId="73E5BCA5"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89</w:t>
            </w:r>
          </w:p>
        </w:tc>
      </w:tr>
      <w:tr w:rsidR="00B754EC" w:rsidRPr="00FB38E1" w14:paraId="42D9D26C" w14:textId="77777777" w:rsidTr="00836EF2">
        <w:tc>
          <w:tcPr>
            <w:tcW w:w="524" w:type="dxa"/>
            <w:tcMar>
              <w:left w:w="57" w:type="dxa"/>
              <w:right w:w="57" w:type="dxa"/>
            </w:tcMar>
          </w:tcPr>
          <w:p w14:paraId="59B6A3C9"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es-ES"/>
              </w:rPr>
              <w:t>III.</w:t>
            </w:r>
          </w:p>
        </w:tc>
        <w:tc>
          <w:tcPr>
            <w:tcW w:w="8589" w:type="dxa"/>
            <w:shd w:val="clear" w:color="auto" w:fill="auto"/>
            <w:tcMar>
              <w:left w:w="57" w:type="dxa"/>
              <w:right w:w="57" w:type="dxa"/>
            </w:tcMar>
          </w:tcPr>
          <w:p w14:paraId="4EB6315B" w14:textId="77777777" w:rsidR="00B754EC" w:rsidRPr="00FB38E1" w:rsidRDefault="00B754EC" w:rsidP="00B754EC">
            <w:pPr>
              <w:jc w:val="left"/>
              <w:rPr>
                <w:rFonts w:ascii="Microsoft Sans Serif" w:hAnsi="Microsoft Sans Serif" w:cs="Microsoft Sans Serif"/>
                <w:sz w:val="16"/>
                <w:szCs w:val="16"/>
              </w:rPr>
            </w:pPr>
            <w:r w:rsidRPr="00FB38E1">
              <w:rPr>
                <w:rFonts w:ascii="Microsoft Sans Serif" w:hAnsi="Microsoft Sans Serif" w:cs="Microsoft Sans Serif"/>
                <w:sz w:val="16"/>
                <w:szCs w:val="16"/>
                <w:lang w:val="es-ES"/>
              </w:rPr>
              <w:t>Nazım hesaplara ilişkin açıklama ve dipnotlar</w:t>
            </w:r>
          </w:p>
        </w:tc>
        <w:tc>
          <w:tcPr>
            <w:tcW w:w="810" w:type="dxa"/>
            <w:tcMar>
              <w:left w:w="57" w:type="dxa"/>
              <w:right w:w="57" w:type="dxa"/>
            </w:tcMar>
            <w:vAlign w:val="bottom"/>
          </w:tcPr>
          <w:p w14:paraId="3E905A02" w14:textId="6EEEBE03"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95</w:t>
            </w:r>
          </w:p>
        </w:tc>
      </w:tr>
      <w:tr w:rsidR="00B754EC" w:rsidRPr="00FB38E1" w14:paraId="2D6B77D2" w14:textId="77777777" w:rsidTr="00836EF2">
        <w:tc>
          <w:tcPr>
            <w:tcW w:w="524" w:type="dxa"/>
            <w:tcMar>
              <w:left w:w="57" w:type="dxa"/>
              <w:right w:w="57" w:type="dxa"/>
            </w:tcMar>
          </w:tcPr>
          <w:p w14:paraId="396A4EF4"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es-ES"/>
              </w:rPr>
              <w:t>IV.</w:t>
            </w:r>
          </w:p>
        </w:tc>
        <w:tc>
          <w:tcPr>
            <w:tcW w:w="8589" w:type="dxa"/>
            <w:shd w:val="clear" w:color="auto" w:fill="auto"/>
            <w:tcMar>
              <w:left w:w="57" w:type="dxa"/>
              <w:right w:w="57" w:type="dxa"/>
            </w:tcMar>
          </w:tcPr>
          <w:p w14:paraId="3E63B8B0" w14:textId="77777777" w:rsidR="00B754EC" w:rsidRPr="00FB38E1" w:rsidRDefault="00B754EC" w:rsidP="00B754EC">
            <w:pPr>
              <w:jc w:val="left"/>
              <w:rPr>
                <w:rFonts w:ascii="Microsoft Sans Serif" w:hAnsi="Microsoft Sans Serif" w:cs="Microsoft Sans Serif"/>
                <w:sz w:val="16"/>
                <w:szCs w:val="16"/>
              </w:rPr>
            </w:pPr>
            <w:r w:rsidRPr="00FB38E1">
              <w:rPr>
                <w:rFonts w:ascii="Microsoft Sans Serif" w:hAnsi="Microsoft Sans Serif" w:cs="Microsoft Sans Serif"/>
                <w:sz w:val="16"/>
                <w:szCs w:val="16"/>
                <w:lang w:val="es-ES"/>
              </w:rPr>
              <w:t>Gelir tablosuna ilişkin açıklama ve dipnotlar</w:t>
            </w:r>
          </w:p>
        </w:tc>
        <w:tc>
          <w:tcPr>
            <w:tcW w:w="810" w:type="dxa"/>
            <w:tcMar>
              <w:left w:w="57" w:type="dxa"/>
              <w:right w:w="57" w:type="dxa"/>
            </w:tcMar>
            <w:vAlign w:val="bottom"/>
          </w:tcPr>
          <w:p w14:paraId="12B10DCF" w14:textId="0B5BA8DB"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98</w:t>
            </w:r>
          </w:p>
        </w:tc>
      </w:tr>
      <w:tr w:rsidR="00B754EC" w:rsidRPr="00FB38E1" w14:paraId="536DB431" w14:textId="77777777" w:rsidTr="00836EF2">
        <w:tc>
          <w:tcPr>
            <w:tcW w:w="524" w:type="dxa"/>
            <w:tcMar>
              <w:left w:w="57" w:type="dxa"/>
              <w:right w:w="57" w:type="dxa"/>
            </w:tcMar>
          </w:tcPr>
          <w:p w14:paraId="0EE080EB" w14:textId="77777777" w:rsidR="00B754EC" w:rsidRPr="00FB38E1" w:rsidRDefault="00B754EC" w:rsidP="00B754EC">
            <w:pPr>
              <w:rPr>
                <w:rFonts w:ascii="Microsoft Sans Serif" w:hAnsi="Microsoft Sans Serif" w:cs="Microsoft Sans Serif"/>
                <w:sz w:val="16"/>
                <w:szCs w:val="16"/>
                <w:lang w:val="es-ES"/>
              </w:rPr>
            </w:pPr>
            <w:r w:rsidRPr="00FB38E1">
              <w:rPr>
                <w:rFonts w:ascii="Microsoft Sans Serif" w:hAnsi="Microsoft Sans Serif" w:cs="Microsoft Sans Serif"/>
                <w:sz w:val="16"/>
                <w:szCs w:val="16"/>
                <w:lang w:val="es-ES"/>
              </w:rPr>
              <w:t>V.</w:t>
            </w:r>
          </w:p>
        </w:tc>
        <w:tc>
          <w:tcPr>
            <w:tcW w:w="8589" w:type="dxa"/>
            <w:shd w:val="clear" w:color="auto" w:fill="auto"/>
            <w:tcMar>
              <w:left w:w="57" w:type="dxa"/>
              <w:right w:w="57" w:type="dxa"/>
            </w:tcMar>
          </w:tcPr>
          <w:p w14:paraId="55BE71BD" w14:textId="77777777" w:rsidR="00B754EC" w:rsidRPr="00FB38E1" w:rsidRDefault="00B754EC" w:rsidP="00B754EC">
            <w:pPr>
              <w:jc w:val="left"/>
              <w:rPr>
                <w:rFonts w:ascii="Microsoft Sans Serif" w:hAnsi="Microsoft Sans Serif" w:cs="Microsoft Sans Serif"/>
                <w:sz w:val="16"/>
                <w:szCs w:val="16"/>
                <w:lang w:val="es-ES"/>
              </w:rPr>
            </w:pPr>
            <w:r w:rsidRPr="00FB38E1">
              <w:rPr>
                <w:rFonts w:ascii="Microsoft Sans Serif" w:hAnsi="Microsoft Sans Serif" w:cs="Microsoft Sans Serif"/>
                <w:sz w:val="16"/>
                <w:szCs w:val="16"/>
                <w:lang w:val="es-ES"/>
              </w:rPr>
              <w:t>Özkaynak değişim tablosuna ilişkin açıklamalar</w:t>
            </w:r>
          </w:p>
        </w:tc>
        <w:tc>
          <w:tcPr>
            <w:tcW w:w="810" w:type="dxa"/>
            <w:tcMar>
              <w:left w:w="57" w:type="dxa"/>
              <w:right w:w="57" w:type="dxa"/>
            </w:tcMar>
            <w:vAlign w:val="bottom"/>
          </w:tcPr>
          <w:p w14:paraId="061E4C9C" w14:textId="2C346E58"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102</w:t>
            </w:r>
          </w:p>
        </w:tc>
      </w:tr>
      <w:tr w:rsidR="00B754EC" w:rsidRPr="00FB38E1" w14:paraId="6C6DD5A5" w14:textId="77777777" w:rsidTr="00836EF2">
        <w:tc>
          <w:tcPr>
            <w:tcW w:w="524" w:type="dxa"/>
            <w:tcMar>
              <w:left w:w="57" w:type="dxa"/>
              <w:right w:w="57" w:type="dxa"/>
            </w:tcMar>
          </w:tcPr>
          <w:p w14:paraId="32A6AC7E" w14:textId="77777777" w:rsidR="00B754EC" w:rsidRPr="00FB38E1" w:rsidRDefault="00B754EC" w:rsidP="00B754EC">
            <w:pPr>
              <w:rPr>
                <w:rFonts w:ascii="Microsoft Sans Serif" w:hAnsi="Microsoft Sans Serif" w:cs="Microsoft Sans Serif"/>
                <w:sz w:val="16"/>
                <w:szCs w:val="16"/>
                <w:lang w:val="es-ES"/>
              </w:rPr>
            </w:pPr>
            <w:r w:rsidRPr="00FB38E1">
              <w:rPr>
                <w:rFonts w:ascii="Microsoft Sans Serif" w:hAnsi="Microsoft Sans Serif" w:cs="Microsoft Sans Serif"/>
                <w:sz w:val="16"/>
                <w:szCs w:val="16"/>
                <w:lang w:val="es-ES"/>
              </w:rPr>
              <w:t>VI.</w:t>
            </w:r>
          </w:p>
        </w:tc>
        <w:tc>
          <w:tcPr>
            <w:tcW w:w="8589" w:type="dxa"/>
            <w:shd w:val="clear" w:color="auto" w:fill="auto"/>
            <w:tcMar>
              <w:left w:w="57" w:type="dxa"/>
              <w:right w:w="57" w:type="dxa"/>
            </w:tcMar>
          </w:tcPr>
          <w:p w14:paraId="3F343ECE" w14:textId="77777777" w:rsidR="00B754EC" w:rsidRPr="00FB38E1" w:rsidRDefault="00B754EC" w:rsidP="00B754EC">
            <w:pPr>
              <w:jc w:val="left"/>
              <w:rPr>
                <w:rFonts w:ascii="Microsoft Sans Serif" w:hAnsi="Microsoft Sans Serif" w:cs="Microsoft Sans Serif"/>
                <w:sz w:val="16"/>
                <w:szCs w:val="16"/>
                <w:lang w:val="es-ES"/>
              </w:rPr>
            </w:pPr>
            <w:r w:rsidRPr="00FB38E1">
              <w:rPr>
                <w:rFonts w:ascii="Microsoft Sans Serif" w:hAnsi="Microsoft Sans Serif" w:cs="Microsoft Sans Serif"/>
                <w:sz w:val="16"/>
                <w:szCs w:val="16"/>
                <w:lang w:val="es-ES"/>
              </w:rPr>
              <w:t>Nakit akış tablosuna ilişkin açıklamalar</w:t>
            </w:r>
          </w:p>
        </w:tc>
        <w:tc>
          <w:tcPr>
            <w:tcW w:w="810" w:type="dxa"/>
            <w:tcMar>
              <w:left w:w="57" w:type="dxa"/>
              <w:right w:w="57" w:type="dxa"/>
            </w:tcMar>
            <w:vAlign w:val="bottom"/>
          </w:tcPr>
          <w:p w14:paraId="525A474A" w14:textId="4D9F56A3"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103</w:t>
            </w:r>
          </w:p>
        </w:tc>
      </w:tr>
      <w:tr w:rsidR="00B754EC" w:rsidRPr="00FB38E1" w14:paraId="6D751567" w14:textId="77777777" w:rsidTr="00836EF2">
        <w:tc>
          <w:tcPr>
            <w:tcW w:w="524" w:type="dxa"/>
            <w:tcMar>
              <w:left w:w="57" w:type="dxa"/>
              <w:right w:w="57" w:type="dxa"/>
            </w:tcMar>
          </w:tcPr>
          <w:p w14:paraId="4CAA0D22" w14:textId="77777777" w:rsidR="00B754EC" w:rsidRPr="00FB38E1" w:rsidRDefault="00B754EC" w:rsidP="00B754EC">
            <w:pPr>
              <w:rPr>
                <w:rFonts w:ascii="Microsoft Sans Serif" w:hAnsi="Microsoft Sans Serif" w:cs="Microsoft Sans Serif"/>
                <w:sz w:val="16"/>
                <w:szCs w:val="16"/>
                <w:lang w:val="es-ES"/>
              </w:rPr>
            </w:pPr>
            <w:r w:rsidRPr="00FB38E1">
              <w:rPr>
                <w:rFonts w:ascii="Microsoft Sans Serif" w:hAnsi="Microsoft Sans Serif" w:cs="Microsoft Sans Serif"/>
                <w:sz w:val="16"/>
                <w:szCs w:val="16"/>
                <w:lang w:val="es-ES"/>
              </w:rPr>
              <w:t>VII.</w:t>
            </w:r>
          </w:p>
        </w:tc>
        <w:tc>
          <w:tcPr>
            <w:tcW w:w="8589" w:type="dxa"/>
            <w:shd w:val="clear" w:color="auto" w:fill="auto"/>
            <w:tcMar>
              <w:left w:w="57" w:type="dxa"/>
              <w:right w:w="57" w:type="dxa"/>
            </w:tcMar>
          </w:tcPr>
          <w:p w14:paraId="32C6A44C" w14:textId="77777777" w:rsidR="00B754EC" w:rsidRPr="00FB38E1" w:rsidRDefault="00B754EC" w:rsidP="00B754EC">
            <w:pPr>
              <w:jc w:val="left"/>
              <w:rPr>
                <w:rFonts w:ascii="Microsoft Sans Serif" w:hAnsi="Microsoft Sans Serif" w:cs="Microsoft Sans Serif"/>
                <w:sz w:val="16"/>
                <w:szCs w:val="16"/>
                <w:lang w:val="es-ES"/>
              </w:rPr>
            </w:pPr>
            <w:r w:rsidRPr="00FB38E1">
              <w:rPr>
                <w:rFonts w:ascii="Microsoft Sans Serif" w:hAnsi="Microsoft Sans Serif" w:cs="Microsoft Sans Serif"/>
                <w:sz w:val="16"/>
                <w:szCs w:val="16"/>
                <w:lang w:val="es-ES"/>
              </w:rPr>
              <w:t>Banka’nın dahil olduğu risk grubuna ilişkin açıklamalar</w:t>
            </w:r>
          </w:p>
        </w:tc>
        <w:tc>
          <w:tcPr>
            <w:tcW w:w="810" w:type="dxa"/>
            <w:tcMar>
              <w:left w:w="57" w:type="dxa"/>
              <w:right w:w="57" w:type="dxa"/>
            </w:tcMar>
            <w:vAlign w:val="bottom"/>
          </w:tcPr>
          <w:p w14:paraId="0999D460" w14:textId="407CA795"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104</w:t>
            </w:r>
          </w:p>
        </w:tc>
      </w:tr>
      <w:tr w:rsidR="00B754EC" w:rsidRPr="00FB38E1" w14:paraId="4D5181D2" w14:textId="77777777" w:rsidTr="00836EF2">
        <w:tc>
          <w:tcPr>
            <w:tcW w:w="524" w:type="dxa"/>
            <w:tcMar>
              <w:left w:w="57" w:type="dxa"/>
              <w:right w:w="57" w:type="dxa"/>
            </w:tcMar>
          </w:tcPr>
          <w:p w14:paraId="3FC308E7" w14:textId="77777777" w:rsidR="00B754EC" w:rsidRPr="00FB38E1" w:rsidRDefault="00B754EC" w:rsidP="00B754EC">
            <w:pPr>
              <w:rPr>
                <w:rFonts w:ascii="Microsoft Sans Serif" w:hAnsi="Microsoft Sans Serif" w:cs="Microsoft Sans Serif"/>
                <w:sz w:val="16"/>
                <w:szCs w:val="16"/>
                <w:lang w:val="es-ES"/>
              </w:rPr>
            </w:pPr>
            <w:r w:rsidRPr="00FB38E1">
              <w:rPr>
                <w:rFonts w:ascii="Microsoft Sans Serif" w:hAnsi="Microsoft Sans Serif" w:cs="Microsoft Sans Serif"/>
                <w:sz w:val="16"/>
                <w:szCs w:val="16"/>
                <w:lang w:val="es-ES"/>
              </w:rPr>
              <w:t>VIII.</w:t>
            </w:r>
          </w:p>
        </w:tc>
        <w:tc>
          <w:tcPr>
            <w:tcW w:w="8589" w:type="dxa"/>
            <w:shd w:val="clear" w:color="auto" w:fill="auto"/>
            <w:tcMar>
              <w:left w:w="57" w:type="dxa"/>
              <w:right w:w="57" w:type="dxa"/>
            </w:tcMar>
          </w:tcPr>
          <w:p w14:paraId="383962C1" w14:textId="77777777" w:rsidR="00B754EC" w:rsidRPr="00FB38E1" w:rsidRDefault="00B754EC" w:rsidP="00B754EC">
            <w:pPr>
              <w:jc w:val="left"/>
              <w:rPr>
                <w:rFonts w:ascii="Microsoft Sans Serif" w:hAnsi="Microsoft Sans Serif" w:cs="Microsoft Sans Serif"/>
                <w:sz w:val="16"/>
                <w:szCs w:val="16"/>
                <w:lang w:val="es-ES"/>
              </w:rPr>
            </w:pPr>
            <w:r w:rsidRPr="00FB38E1">
              <w:rPr>
                <w:rFonts w:ascii="Microsoft Sans Serif" w:hAnsi="Microsoft Sans Serif" w:cs="Microsoft Sans Serif"/>
                <w:sz w:val="16"/>
                <w:szCs w:val="16"/>
                <w:lang w:val="es-ES"/>
              </w:rPr>
              <w:tab/>
              <w:t>Banka’nın yurt içi, yurtdışı, kıyı bankacılığı bölgelerindeki şube veya iştirakleri ile yurtdışı temsilciliklerine ilişkin açıklamalar</w:t>
            </w:r>
          </w:p>
        </w:tc>
        <w:tc>
          <w:tcPr>
            <w:tcW w:w="810" w:type="dxa"/>
            <w:tcMar>
              <w:left w:w="57" w:type="dxa"/>
              <w:right w:w="57" w:type="dxa"/>
            </w:tcMar>
            <w:vAlign w:val="bottom"/>
          </w:tcPr>
          <w:p w14:paraId="0C8E61FB" w14:textId="732A643E"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105</w:t>
            </w:r>
          </w:p>
        </w:tc>
      </w:tr>
      <w:tr w:rsidR="00B754EC" w:rsidRPr="00FB38E1" w14:paraId="5A43085E" w14:textId="77777777" w:rsidTr="00836EF2">
        <w:tc>
          <w:tcPr>
            <w:tcW w:w="524" w:type="dxa"/>
            <w:tcMar>
              <w:left w:w="57" w:type="dxa"/>
              <w:right w:w="57" w:type="dxa"/>
            </w:tcMar>
          </w:tcPr>
          <w:p w14:paraId="4AEE3280" w14:textId="77777777" w:rsidR="00B754EC" w:rsidRPr="00FB38E1" w:rsidRDefault="00B754EC" w:rsidP="00B754EC">
            <w:pPr>
              <w:rPr>
                <w:rFonts w:ascii="Microsoft Sans Serif" w:hAnsi="Microsoft Sans Serif" w:cs="Microsoft Sans Serif"/>
                <w:sz w:val="16"/>
                <w:szCs w:val="16"/>
              </w:rPr>
            </w:pPr>
          </w:p>
        </w:tc>
        <w:tc>
          <w:tcPr>
            <w:tcW w:w="8589" w:type="dxa"/>
            <w:shd w:val="clear" w:color="auto" w:fill="auto"/>
            <w:tcMar>
              <w:left w:w="57" w:type="dxa"/>
              <w:right w:w="57" w:type="dxa"/>
            </w:tcMar>
          </w:tcPr>
          <w:p w14:paraId="2F1430D8" w14:textId="77777777" w:rsidR="00B754EC" w:rsidRPr="00FB38E1" w:rsidRDefault="00B754EC" w:rsidP="00B754EC">
            <w:pPr>
              <w:jc w:val="center"/>
              <w:rPr>
                <w:rFonts w:ascii="Microsoft Sans Serif" w:hAnsi="Microsoft Sans Serif" w:cs="Microsoft Sans Serif"/>
                <w:sz w:val="16"/>
                <w:szCs w:val="16"/>
              </w:rPr>
            </w:pPr>
            <w:r w:rsidRPr="00FB38E1">
              <w:rPr>
                <w:rFonts w:ascii="Microsoft Sans Serif" w:hAnsi="Microsoft Sans Serif" w:cs="Microsoft Sans Serif"/>
                <w:b/>
                <w:bCs/>
                <w:sz w:val="16"/>
                <w:szCs w:val="16"/>
                <w:lang w:val="es-ES"/>
              </w:rPr>
              <w:t>ALTINCI BÖLÜM</w:t>
            </w:r>
          </w:p>
        </w:tc>
        <w:tc>
          <w:tcPr>
            <w:tcW w:w="810" w:type="dxa"/>
            <w:tcMar>
              <w:left w:w="57" w:type="dxa"/>
              <w:right w:w="57" w:type="dxa"/>
            </w:tcMar>
            <w:vAlign w:val="bottom"/>
          </w:tcPr>
          <w:p w14:paraId="34A287DD"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0B469FA8" w14:textId="77777777" w:rsidTr="00836EF2">
        <w:tc>
          <w:tcPr>
            <w:tcW w:w="524" w:type="dxa"/>
            <w:tcMar>
              <w:left w:w="57" w:type="dxa"/>
              <w:right w:w="57" w:type="dxa"/>
            </w:tcMar>
          </w:tcPr>
          <w:p w14:paraId="58A4EB3E" w14:textId="77777777" w:rsidR="00B754EC" w:rsidRPr="00FB38E1" w:rsidRDefault="00B754EC" w:rsidP="00B754EC">
            <w:pPr>
              <w:rPr>
                <w:rFonts w:ascii="Microsoft Sans Serif" w:hAnsi="Microsoft Sans Serif" w:cs="Microsoft Sans Serif"/>
                <w:sz w:val="16"/>
                <w:szCs w:val="16"/>
              </w:rPr>
            </w:pPr>
          </w:p>
        </w:tc>
        <w:tc>
          <w:tcPr>
            <w:tcW w:w="8589" w:type="dxa"/>
            <w:shd w:val="clear" w:color="auto" w:fill="auto"/>
            <w:tcMar>
              <w:left w:w="57" w:type="dxa"/>
              <w:right w:w="57" w:type="dxa"/>
            </w:tcMar>
          </w:tcPr>
          <w:p w14:paraId="49E19558" w14:textId="77777777" w:rsidR="00B754EC" w:rsidRPr="00FB38E1" w:rsidRDefault="00B754EC" w:rsidP="00B754EC">
            <w:pPr>
              <w:jc w:val="center"/>
              <w:rPr>
                <w:rFonts w:ascii="Microsoft Sans Serif" w:hAnsi="Microsoft Sans Serif" w:cs="Microsoft Sans Serif"/>
                <w:sz w:val="16"/>
                <w:szCs w:val="16"/>
              </w:rPr>
            </w:pPr>
            <w:r w:rsidRPr="00FB38E1">
              <w:rPr>
                <w:rFonts w:ascii="Microsoft Sans Serif" w:hAnsi="Microsoft Sans Serif" w:cs="Microsoft Sans Serif"/>
                <w:b/>
                <w:bCs/>
                <w:sz w:val="16"/>
                <w:szCs w:val="16"/>
                <w:lang w:val="es-ES"/>
              </w:rPr>
              <w:t>Diğer Açıklamalar</w:t>
            </w:r>
          </w:p>
        </w:tc>
        <w:tc>
          <w:tcPr>
            <w:tcW w:w="810" w:type="dxa"/>
            <w:tcMar>
              <w:left w:w="57" w:type="dxa"/>
              <w:right w:w="57" w:type="dxa"/>
            </w:tcMar>
            <w:vAlign w:val="bottom"/>
          </w:tcPr>
          <w:p w14:paraId="6E2B396B"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5FA5E199" w14:textId="77777777" w:rsidTr="00836EF2">
        <w:tc>
          <w:tcPr>
            <w:tcW w:w="524" w:type="dxa"/>
            <w:tcMar>
              <w:left w:w="57" w:type="dxa"/>
              <w:right w:w="57" w:type="dxa"/>
            </w:tcMar>
          </w:tcPr>
          <w:p w14:paraId="2F67A528"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es-ES"/>
              </w:rPr>
              <w:t>I.</w:t>
            </w:r>
          </w:p>
        </w:tc>
        <w:tc>
          <w:tcPr>
            <w:tcW w:w="8589" w:type="dxa"/>
            <w:shd w:val="clear" w:color="auto" w:fill="auto"/>
            <w:tcMar>
              <w:left w:w="57" w:type="dxa"/>
              <w:right w:w="57" w:type="dxa"/>
            </w:tcMar>
          </w:tcPr>
          <w:p w14:paraId="3637C10E"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es-ES"/>
              </w:rPr>
              <w:t>Banka’nın faaliyetlerine ilişkin diğer açıklamalar</w:t>
            </w:r>
          </w:p>
        </w:tc>
        <w:tc>
          <w:tcPr>
            <w:tcW w:w="810" w:type="dxa"/>
            <w:tcMar>
              <w:left w:w="57" w:type="dxa"/>
              <w:right w:w="57" w:type="dxa"/>
            </w:tcMar>
            <w:vAlign w:val="bottom"/>
          </w:tcPr>
          <w:p w14:paraId="13F6018B" w14:textId="15E9D0DB"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106</w:t>
            </w:r>
          </w:p>
        </w:tc>
      </w:tr>
      <w:tr w:rsidR="00B754EC" w:rsidRPr="00FB38E1" w14:paraId="3F3E9161" w14:textId="77777777" w:rsidTr="00836EF2">
        <w:tc>
          <w:tcPr>
            <w:tcW w:w="524" w:type="dxa"/>
            <w:tcMar>
              <w:left w:w="57" w:type="dxa"/>
              <w:right w:w="57" w:type="dxa"/>
            </w:tcMar>
          </w:tcPr>
          <w:p w14:paraId="79CC9BF2" w14:textId="77777777" w:rsidR="00B754EC" w:rsidRPr="00FB38E1" w:rsidRDefault="00B754EC" w:rsidP="00B754EC">
            <w:pPr>
              <w:rPr>
                <w:rFonts w:ascii="Microsoft Sans Serif" w:hAnsi="Microsoft Sans Serif" w:cs="Microsoft Sans Serif"/>
                <w:sz w:val="16"/>
                <w:szCs w:val="16"/>
                <w:lang w:val="pt-BR"/>
              </w:rPr>
            </w:pPr>
          </w:p>
        </w:tc>
        <w:tc>
          <w:tcPr>
            <w:tcW w:w="8589" w:type="dxa"/>
            <w:shd w:val="clear" w:color="auto" w:fill="auto"/>
            <w:tcMar>
              <w:left w:w="57" w:type="dxa"/>
              <w:right w:w="57" w:type="dxa"/>
            </w:tcMar>
          </w:tcPr>
          <w:p w14:paraId="39878C4C" w14:textId="77777777" w:rsidR="00B754EC" w:rsidRPr="00FB38E1" w:rsidRDefault="00B754EC" w:rsidP="00B754EC">
            <w:pPr>
              <w:jc w:val="center"/>
              <w:rPr>
                <w:rFonts w:ascii="Microsoft Sans Serif" w:hAnsi="Microsoft Sans Serif" w:cs="Microsoft Sans Serif"/>
                <w:sz w:val="16"/>
                <w:szCs w:val="16"/>
                <w:lang w:val="es-ES"/>
              </w:rPr>
            </w:pPr>
            <w:r w:rsidRPr="00FB38E1">
              <w:rPr>
                <w:rFonts w:ascii="Microsoft Sans Serif" w:hAnsi="Microsoft Sans Serif" w:cs="Microsoft Sans Serif"/>
                <w:b/>
                <w:bCs/>
                <w:sz w:val="16"/>
                <w:szCs w:val="16"/>
                <w:lang w:val="es-ES"/>
              </w:rPr>
              <w:t>YEDİNCİ BÖLÜM</w:t>
            </w:r>
          </w:p>
        </w:tc>
        <w:tc>
          <w:tcPr>
            <w:tcW w:w="810" w:type="dxa"/>
            <w:tcMar>
              <w:left w:w="57" w:type="dxa"/>
              <w:right w:w="57" w:type="dxa"/>
            </w:tcMar>
            <w:vAlign w:val="bottom"/>
          </w:tcPr>
          <w:p w14:paraId="201E2357"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07CE7820" w14:textId="77777777" w:rsidTr="00836EF2">
        <w:tc>
          <w:tcPr>
            <w:tcW w:w="524" w:type="dxa"/>
            <w:tcMar>
              <w:left w:w="57" w:type="dxa"/>
              <w:right w:w="57" w:type="dxa"/>
            </w:tcMar>
          </w:tcPr>
          <w:p w14:paraId="5E5C08BC" w14:textId="77777777" w:rsidR="00B754EC" w:rsidRPr="00FB38E1" w:rsidRDefault="00B754EC" w:rsidP="00B754EC">
            <w:pPr>
              <w:rPr>
                <w:rFonts w:ascii="Microsoft Sans Serif" w:hAnsi="Microsoft Sans Serif" w:cs="Microsoft Sans Serif"/>
                <w:sz w:val="16"/>
                <w:szCs w:val="16"/>
                <w:lang w:val="es-ES"/>
              </w:rPr>
            </w:pPr>
          </w:p>
        </w:tc>
        <w:tc>
          <w:tcPr>
            <w:tcW w:w="8589" w:type="dxa"/>
            <w:shd w:val="clear" w:color="auto" w:fill="auto"/>
            <w:tcMar>
              <w:left w:w="57" w:type="dxa"/>
              <w:right w:w="57" w:type="dxa"/>
            </w:tcMar>
          </w:tcPr>
          <w:p w14:paraId="0BC7ED9D" w14:textId="77777777" w:rsidR="00B754EC" w:rsidRPr="00FB38E1" w:rsidRDefault="00B754EC" w:rsidP="00B754EC">
            <w:pPr>
              <w:jc w:val="center"/>
              <w:rPr>
                <w:rFonts w:ascii="Microsoft Sans Serif" w:hAnsi="Microsoft Sans Serif" w:cs="Microsoft Sans Serif"/>
                <w:b/>
                <w:bCs/>
                <w:sz w:val="16"/>
                <w:szCs w:val="16"/>
                <w:lang w:val="es-ES"/>
              </w:rPr>
            </w:pPr>
            <w:r w:rsidRPr="00FB38E1">
              <w:rPr>
                <w:rFonts w:ascii="Microsoft Sans Serif" w:hAnsi="Microsoft Sans Serif" w:cs="Microsoft Sans Serif"/>
                <w:b/>
                <w:bCs/>
                <w:sz w:val="16"/>
                <w:szCs w:val="16"/>
                <w:lang w:val="es-ES"/>
              </w:rPr>
              <w:t>Bağımsız Denetim Raporu</w:t>
            </w:r>
          </w:p>
        </w:tc>
        <w:tc>
          <w:tcPr>
            <w:tcW w:w="810" w:type="dxa"/>
            <w:tcMar>
              <w:left w:w="57" w:type="dxa"/>
              <w:right w:w="57" w:type="dxa"/>
            </w:tcMar>
            <w:vAlign w:val="bottom"/>
          </w:tcPr>
          <w:p w14:paraId="0FF3674C" w14:textId="77777777" w:rsidR="00B754EC" w:rsidRPr="00FB38E1" w:rsidRDefault="00B754EC" w:rsidP="00B754EC">
            <w:pPr>
              <w:jc w:val="right"/>
              <w:rPr>
                <w:rFonts w:ascii="Microsoft Sans Serif" w:hAnsi="Microsoft Sans Serif" w:cs="Microsoft Sans Serif"/>
                <w:sz w:val="16"/>
                <w:szCs w:val="16"/>
              </w:rPr>
            </w:pPr>
          </w:p>
        </w:tc>
      </w:tr>
      <w:tr w:rsidR="00B754EC" w:rsidRPr="00FB38E1" w14:paraId="02737896" w14:textId="77777777" w:rsidTr="00836EF2">
        <w:tc>
          <w:tcPr>
            <w:tcW w:w="524" w:type="dxa"/>
            <w:tcMar>
              <w:left w:w="57" w:type="dxa"/>
              <w:right w:w="57" w:type="dxa"/>
            </w:tcMar>
          </w:tcPr>
          <w:p w14:paraId="16E308DE" w14:textId="77777777" w:rsidR="00B754EC" w:rsidRPr="00FB38E1" w:rsidRDefault="00B754EC" w:rsidP="00B754EC">
            <w:pPr>
              <w:rPr>
                <w:rFonts w:ascii="Microsoft Sans Serif" w:hAnsi="Microsoft Sans Serif" w:cs="Microsoft Sans Serif"/>
                <w:sz w:val="16"/>
                <w:szCs w:val="16"/>
                <w:lang w:val="es-ES"/>
              </w:rPr>
            </w:pPr>
            <w:r w:rsidRPr="00FB38E1">
              <w:rPr>
                <w:rFonts w:ascii="Microsoft Sans Serif" w:hAnsi="Microsoft Sans Serif" w:cs="Microsoft Sans Serif"/>
                <w:sz w:val="16"/>
                <w:szCs w:val="16"/>
                <w:lang w:val="es-ES"/>
              </w:rPr>
              <w:t>I.</w:t>
            </w:r>
          </w:p>
        </w:tc>
        <w:tc>
          <w:tcPr>
            <w:tcW w:w="8589" w:type="dxa"/>
            <w:shd w:val="clear" w:color="auto" w:fill="auto"/>
            <w:tcMar>
              <w:left w:w="57" w:type="dxa"/>
              <w:right w:w="57" w:type="dxa"/>
            </w:tcMar>
          </w:tcPr>
          <w:p w14:paraId="1ED7EAB1" w14:textId="77777777" w:rsidR="00B754EC" w:rsidRPr="00FB38E1" w:rsidRDefault="00B754EC" w:rsidP="00B754EC">
            <w:pPr>
              <w:pStyle w:val="Default"/>
              <w:jc w:val="left"/>
              <w:rPr>
                <w:sz w:val="16"/>
                <w:szCs w:val="16"/>
              </w:rPr>
            </w:pPr>
            <w:r w:rsidRPr="00FB38E1">
              <w:rPr>
                <w:rFonts w:ascii="Microsoft Sans Serif" w:hAnsi="Microsoft Sans Serif" w:cs="Microsoft Sans Serif"/>
                <w:sz w:val="16"/>
                <w:szCs w:val="16"/>
                <w:lang w:val="es-ES"/>
              </w:rPr>
              <w:t>Bağımsız denetim raporuna ilişkin olarak açıklanması gereken hususlar</w:t>
            </w:r>
          </w:p>
        </w:tc>
        <w:tc>
          <w:tcPr>
            <w:tcW w:w="810" w:type="dxa"/>
            <w:tcMar>
              <w:left w:w="57" w:type="dxa"/>
              <w:right w:w="57" w:type="dxa"/>
            </w:tcMar>
            <w:vAlign w:val="bottom"/>
          </w:tcPr>
          <w:p w14:paraId="5C534B0F" w14:textId="3E51B943"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107</w:t>
            </w:r>
          </w:p>
        </w:tc>
      </w:tr>
      <w:tr w:rsidR="00B754EC" w:rsidRPr="00FB38E1" w14:paraId="53823972" w14:textId="77777777" w:rsidTr="00836EF2">
        <w:tc>
          <w:tcPr>
            <w:tcW w:w="524" w:type="dxa"/>
            <w:tcMar>
              <w:left w:w="57" w:type="dxa"/>
              <w:right w:w="57" w:type="dxa"/>
            </w:tcMar>
          </w:tcPr>
          <w:p w14:paraId="22E5C8D1"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lang w:val="es-ES"/>
              </w:rPr>
              <w:t>II.</w:t>
            </w:r>
          </w:p>
        </w:tc>
        <w:tc>
          <w:tcPr>
            <w:tcW w:w="8589" w:type="dxa"/>
            <w:tcMar>
              <w:left w:w="57" w:type="dxa"/>
              <w:right w:w="57" w:type="dxa"/>
            </w:tcMar>
          </w:tcPr>
          <w:p w14:paraId="6455C7DA" w14:textId="77777777" w:rsidR="00B754EC" w:rsidRPr="00FB38E1" w:rsidRDefault="00B754EC" w:rsidP="00B754EC">
            <w:pPr>
              <w:rPr>
                <w:rFonts w:ascii="Microsoft Sans Serif" w:hAnsi="Microsoft Sans Serif" w:cs="Microsoft Sans Serif"/>
                <w:sz w:val="16"/>
                <w:szCs w:val="16"/>
              </w:rPr>
            </w:pPr>
            <w:r w:rsidRPr="00FB38E1">
              <w:rPr>
                <w:rFonts w:ascii="Microsoft Sans Serif" w:hAnsi="Microsoft Sans Serif" w:cs="Microsoft Sans Serif"/>
                <w:sz w:val="16"/>
                <w:szCs w:val="16"/>
              </w:rPr>
              <w:t>Bağımsız denetçi tarafından hazırlanan açıklama ve dipnotlar</w:t>
            </w:r>
          </w:p>
        </w:tc>
        <w:tc>
          <w:tcPr>
            <w:tcW w:w="810" w:type="dxa"/>
            <w:tcMar>
              <w:left w:w="57" w:type="dxa"/>
              <w:right w:w="57" w:type="dxa"/>
            </w:tcMar>
            <w:vAlign w:val="bottom"/>
          </w:tcPr>
          <w:p w14:paraId="49E0E371" w14:textId="234967E5" w:rsidR="00B754EC" w:rsidRPr="00FB38E1" w:rsidRDefault="00B754EC" w:rsidP="00B754EC">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107</w:t>
            </w:r>
          </w:p>
        </w:tc>
      </w:tr>
      <w:tr w:rsidR="00630A98" w:rsidRPr="00FB38E1" w14:paraId="49D6DA1B" w14:textId="77777777" w:rsidTr="00836EF2">
        <w:trPr>
          <w:gridAfter w:val="1"/>
          <w:wAfter w:w="810" w:type="dxa"/>
        </w:trPr>
        <w:tc>
          <w:tcPr>
            <w:tcW w:w="524" w:type="dxa"/>
            <w:tcMar>
              <w:left w:w="57" w:type="dxa"/>
              <w:right w:w="57" w:type="dxa"/>
            </w:tcMar>
          </w:tcPr>
          <w:p w14:paraId="45E2AA9F" w14:textId="77777777" w:rsidR="00630A98" w:rsidRPr="00FB38E1" w:rsidRDefault="00630A98" w:rsidP="00836EF2">
            <w:pPr>
              <w:rPr>
                <w:rFonts w:ascii="Microsoft Sans Serif" w:hAnsi="Microsoft Sans Serif" w:cs="Microsoft Sans Serif"/>
                <w:sz w:val="16"/>
                <w:szCs w:val="16"/>
                <w:lang w:val="es-ES"/>
              </w:rPr>
            </w:pPr>
          </w:p>
        </w:tc>
        <w:tc>
          <w:tcPr>
            <w:tcW w:w="8589" w:type="dxa"/>
            <w:tcMar>
              <w:left w:w="57" w:type="dxa"/>
              <w:right w:w="57" w:type="dxa"/>
            </w:tcMar>
          </w:tcPr>
          <w:p w14:paraId="23B8784B" w14:textId="77777777" w:rsidR="00630A98" w:rsidRPr="00FB38E1" w:rsidRDefault="00630A98" w:rsidP="00836EF2">
            <w:pPr>
              <w:rPr>
                <w:rFonts w:ascii="Microsoft Sans Serif" w:hAnsi="Microsoft Sans Serif" w:cs="Microsoft Sans Serif"/>
                <w:sz w:val="16"/>
                <w:szCs w:val="16"/>
              </w:rPr>
            </w:pPr>
          </w:p>
        </w:tc>
      </w:tr>
      <w:tr w:rsidR="00630A98" w:rsidRPr="00FB38E1" w14:paraId="7F337197" w14:textId="77777777" w:rsidTr="005411A8">
        <w:trPr>
          <w:gridAfter w:val="1"/>
          <w:wAfter w:w="810" w:type="dxa"/>
        </w:trPr>
        <w:tc>
          <w:tcPr>
            <w:tcW w:w="524" w:type="dxa"/>
            <w:tcMar>
              <w:left w:w="57" w:type="dxa"/>
              <w:right w:w="57" w:type="dxa"/>
            </w:tcMar>
          </w:tcPr>
          <w:p w14:paraId="18CDB466" w14:textId="77777777" w:rsidR="00630A98" w:rsidRPr="00FB38E1" w:rsidRDefault="00630A98" w:rsidP="00161588">
            <w:pPr>
              <w:rPr>
                <w:rFonts w:ascii="Microsoft Sans Serif" w:hAnsi="Microsoft Sans Serif" w:cs="Microsoft Sans Serif"/>
                <w:sz w:val="16"/>
                <w:szCs w:val="16"/>
              </w:rPr>
            </w:pPr>
            <w:bookmarkStart w:id="8" w:name="_Hlk165647871"/>
          </w:p>
        </w:tc>
        <w:tc>
          <w:tcPr>
            <w:tcW w:w="8589" w:type="dxa"/>
            <w:tcMar>
              <w:left w:w="57" w:type="dxa"/>
              <w:right w:w="57" w:type="dxa"/>
            </w:tcMar>
          </w:tcPr>
          <w:p w14:paraId="268E7EBA" w14:textId="77777777" w:rsidR="00630A98" w:rsidRPr="00FB38E1" w:rsidRDefault="00630A98" w:rsidP="00161588">
            <w:pPr>
              <w:rPr>
                <w:rFonts w:ascii="Microsoft Sans Serif" w:hAnsi="Microsoft Sans Serif" w:cs="Microsoft Sans Serif"/>
                <w:sz w:val="16"/>
                <w:szCs w:val="16"/>
              </w:rPr>
            </w:pPr>
          </w:p>
        </w:tc>
      </w:tr>
      <w:bookmarkEnd w:id="6"/>
      <w:bookmarkEnd w:id="8"/>
      <w:bookmarkEnd w:id="7"/>
    </w:tbl>
    <w:p w14:paraId="6583899A" w14:textId="77777777" w:rsidR="003F7AC2" w:rsidRPr="00FB38E1" w:rsidRDefault="003F7AC2" w:rsidP="00623471">
      <w:pPr>
        <w:sectPr w:rsidR="003F7AC2" w:rsidRPr="00FB38E1" w:rsidSect="00406B44">
          <w:headerReference w:type="even" r:id="rId28"/>
          <w:headerReference w:type="first" r:id="rId29"/>
          <w:footerReference w:type="first" r:id="rId30"/>
          <w:pgSz w:w="11906" w:h="16838"/>
          <w:pgMar w:top="-567" w:right="567" w:bottom="-340" w:left="1701" w:header="709" w:footer="709" w:gutter="0"/>
          <w:cols w:space="708"/>
          <w:docGrid w:linePitch="360"/>
        </w:sectPr>
      </w:pPr>
    </w:p>
    <w:p w14:paraId="02F07106" w14:textId="77777777" w:rsidR="009C0A32" w:rsidRPr="00FB38E1" w:rsidRDefault="009C0A32" w:rsidP="009C0A32">
      <w:pPr>
        <w:spacing w:after="0"/>
        <w:rPr>
          <w:rFonts w:ascii="Microsoft Sans Serif" w:eastAsia="Times New Roman" w:hAnsi="Microsoft Sans Serif" w:cs="Microsoft Sans Serif"/>
          <w:b/>
          <w:bCs/>
          <w:sz w:val="28"/>
          <w:szCs w:val="28"/>
          <w:lang w:eastAsia="tr-TR"/>
        </w:rPr>
      </w:pPr>
      <w:r w:rsidRPr="00FB38E1">
        <w:rPr>
          <w:rFonts w:ascii="Microsoft Sans Serif" w:eastAsia="Times New Roman" w:hAnsi="Microsoft Sans Serif" w:cs="Microsoft Sans Serif"/>
          <w:b/>
          <w:bCs/>
          <w:sz w:val="28"/>
          <w:szCs w:val="28"/>
          <w:lang w:eastAsia="tr-TR"/>
        </w:rPr>
        <w:t>BİRİNCİ BÖLÜM</w:t>
      </w:r>
    </w:p>
    <w:p w14:paraId="5D2CABE6" w14:textId="77777777" w:rsidR="00696C49" w:rsidRPr="00FB38E1" w:rsidRDefault="009C0A32" w:rsidP="009C0A32">
      <w:pPr>
        <w:spacing w:after="0"/>
        <w:rPr>
          <w:rFonts w:ascii="Microsoft Sans Serif" w:eastAsia="Times New Roman" w:hAnsi="Microsoft Sans Serif" w:cs="Microsoft Sans Serif"/>
          <w:b/>
          <w:bCs/>
          <w:sz w:val="28"/>
          <w:szCs w:val="28"/>
          <w:lang w:eastAsia="tr-TR"/>
        </w:rPr>
      </w:pPr>
      <w:r w:rsidRPr="00FB38E1">
        <w:rPr>
          <w:rFonts w:ascii="Microsoft Sans Serif" w:eastAsia="Times New Roman" w:hAnsi="Microsoft Sans Serif" w:cs="Microsoft Sans Serif"/>
          <w:b/>
          <w:bCs/>
          <w:sz w:val="28"/>
          <w:szCs w:val="28"/>
          <w:lang w:eastAsia="tr-TR"/>
        </w:rPr>
        <w:t>GENEL BİLGİLER</w:t>
      </w:r>
    </w:p>
    <w:p w14:paraId="15CB83A8" w14:textId="1838A885" w:rsidR="00B76FFE" w:rsidRPr="00FB38E1" w:rsidRDefault="00960012" w:rsidP="00076C9E">
      <w:pPr>
        <w:pStyle w:val="ListParagraph"/>
        <w:numPr>
          <w:ilvl w:val="0"/>
          <w:numId w:val="6"/>
        </w:numPr>
        <w:spacing w:before="240" w:after="120" w:line="240" w:lineRule="exact"/>
        <w:ind w:left="0" w:hanging="851"/>
        <w:contextualSpacing w:val="0"/>
        <w:rPr>
          <w:rFonts w:ascii="Microsoft Sans Serif" w:eastAsia="Times New Roman" w:hAnsi="Microsoft Sans Serif" w:cs="Microsoft Sans Serif"/>
          <w:b/>
          <w:bCs/>
          <w:sz w:val="28"/>
          <w:szCs w:val="28"/>
          <w:lang w:eastAsia="tr-TR"/>
        </w:rPr>
      </w:pPr>
      <w:r w:rsidRPr="00FB38E1">
        <w:rPr>
          <w:rFonts w:ascii="Microsoft Sans Serif" w:hAnsi="Microsoft Sans Serif" w:cs="Microsoft Sans Serif"/>
          <w:b/>
        </w:rPr>
        <w:t>Banka’nın kuruluş tarihi, başlangıç statüsü, anılan statüde meydana gelen değişiklikleri ihtiva eden tarihçesi</w:t>
      </w:r>
    </w:p>
    <w:p w14:paraId="2F25CDA0" w14:textId="75B1CD93" w:rsidR="0088736E" w:rsidRPr="00FB38E1" w:rsidRDefault="00A24A69" w:rsidP="00DE4409">
      <w:pPr>
        <w:pStyle w:val="BDDKmetin"/>
        <w:spacing w:line="20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Denizbank A.Ş. (Banka), Özelleştirme İdaresi Başkanlığı’nın 20 Mart 1997 tarih ve 97/5 sayılı Denizbank A.Ş. hisselerinin %100’ünün özelleştirilmesi kararını takiben 29 Mayıs 1997 tarihinde imzalanan hisse satışı sözleşmesi ile Zorlu Holding A.Ş. tarafından Özelleştirme İdaresi’nden bankacılık lisansı olarak satın alınmış ve 25 Ağustos 1997 tarihinde faaliyet izni alarak faaliyetlerine başlamıştır. Bankanın hisse senetleri 1 Ekim 2004 tarihinde Borsa İstanbul’da (“BIST”) işlem görmeye başlamıştır. </w:t>
      </w:r>
    </w:p>
    <w:p w14:paraId="7ACC12E3" w14:textId="12403AE7" w:rsidR="00A24A69" w:rsidRPr="00FB38E1" w:rsidRDefault="00A24A69"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FB38E1">
        <w:rPr>
          <w:rFonts w:ascii="Microsoft Sans Serif" w:eastAsia="Times New Roman" w:hAnsi="Microsoft Sans Serif" w:cs="Microsoft Sans Serif"/>
          <w:color w:val="404040" w:themeColor="text1" w:themeTint="BF"/>
          <w:sz w:val="20"/>
          <w:szCs w:val="20"/>
          <w:lang w:val="pt-BR" w:eastAsia="tr-TR"/>
        </w:rPr>
        <w:t xml:space="preserve">Dexia SA/NV’nin doğrudan ve dolaylı olarak %100 sahibi olduğu Dexia Participation Belgique SA, 17 Ekim 2006 tarihinde Zorlu Holding A.Ş.’nin elinde bulunan %75 oranındaki Banka hisselerini devralmış, hisse devrini takiben müteakip alımlarla Dexia Participation Belgique SA’nın ortaklık payı %99,85’e ulaşmıştır. </w:t>
      </w:r>
    </w:p>
    <w:p w14:paraId="12F617A5" w14:textId="77777777" w:rsidR="0060694A" w:rsidRPr="00FB38E1" w:rsidRDefault="00AB754B" w:rsidP="00DE4409">
      <w:pPr>
        <w:spacing w:before="120" w:after="0" w:line="200" w:lineRule="exact"/>
        <w:rPr>
          <w:rFonts w:ascii="Microsoft Sans Serif" w:eastAsia="Times New Roman" w:hAnsi="Microsoft Sans Serif" w:cs="Microsoft Sans Serif"/>
          <w:color w:val="404040" w:themeColor="text1" w:themeTint="BF"/>
          <w:sz w:val="20"/>
          <w:szCs w:val="20"/>
          <w:lang w:eastAsia="tr-TR"/>
        </w:rPr>
      </w:pPr>
      <w:r w:rsidRPr="00FB38E1">
        <w:rPr>
          <w:rFonts w:ascii="Microsoft Sans Serif" w:eastAsia="Times New Roman" w:hAnsi="Microsoft Sans Serif" w:cs="Microsoft Sans Serif"/>
          <w:color w:val="404040" w:themeColor="text1" w:themeTint="BF"/>
          <w:sz w:val="20"/>
          <w:szCs w:val="20"/>
          <w:lang w:eastAsia="tr-TR"/>
        </w:rPr>
        <w:t xml:space="preserve">27 Aralık 2012 tarihinde Banka hisselerinin %99,85’i Dexia Grubu’ndan Sberbank of Russia’ya (“Sberbank”) </w:t>
      </w:r>
      <w:r w:rsidR="0060694A" w:rsidRPr="00FB38E1">
        <w:rPr>
          <w:rFonts w:ascii="Microsoft Sans Serif" w:eastAsia="Times New Roman" w:hAnsi="Microsoft Sans Serif" w:cs="Microsoft Sans Serif"/>
          <w:color w:val="404040" w:themeColor="text1" w:themeTint="BF"/>
          <w:sz w:val="20"/>
          <w:szCs w:val="20"/>
          <w:lang w:eastAsia="tr-TR"/>
        </w:rPr>
        <w:t xml:space="preserve">6,90 milyar TL (2,98 milyar Avro) satış bedeli ile devrolmuştur. </w:t>
      </w:r>
    </w:p>
    <w:p w14:paraId="18C0183D" w14:textId="1643A569" w:rsidR="00AB00A9" w:rsidRPr="00FB38E1" w:rsidRDefault="0060694A"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FB38E1">
        <w:rPr>
          <w:rFonts w:ascii="Microsoft Sans Serif" w:eastAsia="Times New Roman" w:hAnsi="Microsoft Sans Serif" w:cs="Microsoft Sans Serif"/>
          <w:color w:val="404040" w:themeColor="text1" w:themeTint="BF"/>
          <w:sz w:val="20"/>
          <w:szCs w:val="20"/>
          <w:lang w:eastAsia="tr-TR"/>
        </w:rPr>
        <w:t>22 Mayıs 2018 tarihinde, Sberbank ve E</w:t>
      </w:r>
      <w:r w:rsidR="00002A59" w:rsidRPr="00FB38E1">
        <w:rPr>
          <w:rFonts w:ascii="Microsoft Sans Serif" w:eastAsia="Times New Roman" w:hAnsi="Microsoft Sans Serif" w:cs="Microsoft Sans Serif"/>
          <w:color w:val="404040" w:themeColor="text1" w:themeTint="BF"/>
          <w:sz w:val="20"/>
          <w:szCs w:val="20"/>
          <w:lang w:eastAsia="tr-TR"/>
        </w:rPr>
        <w:t>mirates NBD Bank PJSC (E</w:t>
      </w:r>
      <w:r w:rsidRPr="00FB38E1">
        <w:rPr>
          <w:rFonts w:ascii="Microsoft Sans Serif" w:eastAsia="Times New Roman" w:hAnsi="Microsoft Sans Serif" w:cs="Microsoft Sans Serif"/>
          <w:color w:val="404040" w:themeColor="text1" w:themeTint="BF"/>
          <w:sz w:val="20"/>
          <w:szCs w:val="20"/>
          <w:lang w:eastAsia="tr-TR"/>
        </w:rPr>
        <w:t>NBD), Sberbank’ın sahibi olduğu %99,85 oranı</w:t>
      </w:r>
      <w:r w:rsidR="00002A59" w:rsidRPr="00FB38E1">
        <w:rPr>
          <w:rFonts w:ascii="Microsoft Sans Serif" w:eastAsia="Times New Roman" w:hAnsi="Microsoft Sans Serif" w:cs="Microsoft Sans Serif"/>
          <w:color w:val="404040" w:themeColor="text1" w:themeTint="BF"/>
          <w:sz w:val="20"/>
          <w:szCs w:val="20"/>
          <w:lang w:eastAsia="tr-TR"/>
        </w:rPr>
        <w:t>ndaki Banka paylarının E</w:t>
      </w:r>
      <w:r w:rsidRPr="00FB38E1">
        <w:rPr>
          <w:rFonts w:ascii="Microsoft Sans Serif" w:eastAsia="Times New Roman" w:hAnsi="Microsoft Sans Serif" w:cs="Microsoft Sans Serif"/>
          <w:color w:val="404040" w:themeColor="text1" w:themeTint="BF"/>
          <w:sz w:val="20"/>
          <w:szCs w:val="20"/>
          <w:lang w:eastAsia="tr-TR"/>
        </w:rPr>
        <w:t>NBD’ye satışı konusunda kesin bir sözleşme imzalamış ve 2 Nisan 2019 tarihinde imzalanan “Yenilenen Sözleşme” ile söz konusu payların toplam bedeli konusunda Banka’nın 31 Aralık 2018 tarihi itibarıyla sahip olduğu 15,51 milyar TL’lik konsolide özkaynak büyüklüğüne istinaden 15,48 milyar TL bedel üzerinden yeniden düzenlenen hükümler çerçevesinde anlaşmışlardır. Türkiye, Rusya ve Birleşik Arap Emirlikleri ile Banka’nın faaliyet gösterdiği diğer ülkelerin düzenleyici kuruluşlarının onayları alınarak pay devir işlemi 31 Temmuz 2019 tarihinde gerçekleşmiştir.</w:t>
      </w:r>
      <w:r w:rsidRPr="00FB38E1" w:rsidDel="0060694A">
        <w:rPr>
          <w:rFonts w:ascii="Microsoft Sans Serif" w:eastAsia="Times New Roman" w:hAnsi="Microsoft Sans Serif" w:cs="Microsoft Sans Serif"/>
          <w:color w:val="404040" w:themeColor="text1" w:themeTint="BF"/>
          <w:sz w:val="20"/>
          <w:szCs w:val="20"/>
          <w:lang w:val="pt-BR" w:eastAsia="tr-TR"/>
        </w:rPr>
        <w:t xml:space="preserve"> </w:t>
      </w:r>
    </w:p>
    <w:p w14:paraId="5DAB46FA" w14:textId="41287B49" w:rsidR="009C06BC" w:rsidRPr="00FB38E1" w:rsidRDefault="009C06BC"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FB38E1">
        <w:rPr>
          <w:rFonts w:ascii="Microsoft Sans Serif" w:eastAsia="Times New Roman" w:hAnsi="Microsoft Sans Serif" w:cs="Microsoft Sans Serif"/>
          <w:color w:val="404040" w:themeColor="text1" w:themeTint="BF"/>
          <w:sz w:val="20"/>
          <w:szCs w:val="20"/>
          <w:lang w:val="pt-BR" w:eastAsia="tr-TR"/>
        </w:rPr>
        <w:t xml:space="preserve">31 Temmuz 2019 tarihi itibarıyla, ENBD’nin Banka paylarının %99,85’ini iktisap etmesi sonucunda;  Sermaye Piyasası Kurulu’nun (SPK) II-26.1 sayılı Pay Alım Teklifi Tebliği hükümleri uyarınca ENBD’nin Banka için </w:t>
      </w:r>
      <w:r w:rsidR="002639AA" w:rsidRPr="00FB38E1">
        <w:rPr>
          <w:rFonts w:ascii="Microsoft Sans Serif" w:eastAsia="Times New Roman" w:hAnsi="Microsoft Sans Serif" w:cs="Microsoft Sans Serif"/>
          <w:color w:val="404040" w:themeColor="text1" w:themeTint="BF"/>
          <w:sz w:val="20"/>
          <w:szCs w:val="20"/>
          <w:lang w:val="pt-BR" w:eastAsia="tr-TR"/>
        </w:rPr>
        <w:t xml:space="preserve">zorunlu </w:t>
      </w:r>
      <w:r w:rsidRPr="00FB38E1">
        <w:rPr>
          <w:rFonts w:ascii="Microsoft Sans Serif" w:eastAsia="Times New Roman" w:hAnsi="Microsoft Sans Serif" w:cs="Microsoft Sans Serif"/>
          <w:color w:val="404040" w:themeColor="text1" w:themeTint="BF"/>
          <w:sz w:val="20"/>
          <w:szCs w:val="20"/>
          <w:lang w:val="pt-BR" w:eastAsia="tr-TR"/>
        </w:rPr>
        <w:t>pay alım teklifinde bulunması yükümlülüğü ile SPK’nın II-27.2 sayılı Ortaklıktan Çıkarma ve Satma Hakları Tebliği hükümleri uyarınca ENBD dışındaki Banka ortaklarının paylarını ENBD’ye satma hakkı doğmuştur.</w:t>
      </w:r>
    </w:p>
    <w:p w14:paraId="30046212" w14:textId="490E752A" w:rsidR="009C06BC" w:rsidRPr="00FB38E1" w:rsidRDefault="00701099"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FB38E1">
        <w:rPr>
          <w:rFonts w:ascii="Microsoft Sans Serif" w:eastAsia="Times New Roman" w:hAnsi="Microsoft Sans Serif" w:cs="Microsoft Sans Serif"/>
          <w:color w:val="404040" w:themeColor="text1" w:themeTint="BF"/>
          <w:sz w:val="20"/>
          <w:szCs w:val="20"/>
          <w:lang w:val="pt-BR" w:eastAsia="tr-TR"/>
        </w:rPr>
        <w:t>Ortaklıktan Çıkarma ve Satma Hakları Tebliği</w:t>
      </w:r>
      <w:r w:rsidR="009C06BC" w:rsidRPr="00FB38E1">
        <w:rPr>
          <w:rFonts w:ascii="Microsoft Sans Serif" w:eastAsia="Times New Roman" w:hAnsi="Microsoft Sans Serif" w:cs="Microsoft Sans Serif"/>
          <w:color w:val="404040" w:themeColor="text1" w:themeTint="BF"/>
          <w:sz w:val="20"/>
          <w:szCs w:val="20"/>
          <w:lang w:val="pt-BR" w:eastAsia="tr-TR"/>
        </w:rPr>
        <w:t xml:space="preserve"> kapsamında, 1 Ağustos 2019-31 Ekim 2019 tarihleri arasındaki üç aylık hak düşürücü süre içerisinde diğer pay sahipleri tarafından satma hakları kullanılmıştır. 31 Ekim 2019’da sona eren üç aylık hak düşürücü süreden sonra ENBD satma hakkını kullanmayan diğer ortakların ortaklıktan çıkarılması talebiyle 3 Kasım 2019 tarihinde Banka’ya başvurmuştur. Bu kapsamda ENBD'nin ortaklıktan çıkarma hakkını kullanması ve BIST kotundan çıkartılmasına ilişkin süreçte; Banka’nın satma hakkını kullanmayan diğer ortaklara ait 1.426.214,154 adet halka açık paylarının iptal edilerek sermaye azaltımı yapılması ve söz konusu paylar karşılığında çıkarılan paylarla ENBD’ye eş zamanlı olarak tahsisli sermaye artırımı yapılması ve bu kapsamda Banka esas sözleşmesinin 6. maddesinin tadili hususlarında düzenleyici kuruluşlardan gerekli onaylar alınmış ve 12 Aralık 2019 tarihli Olağanüstü Genel Kurul Toplantısında onaylanmıştır. Söz konusu Genel Kurul Toplantısı kararları ile SPK tarafından onaylanan ‘İhraç Belgesi' 13 Aralık 2019 tarihinde ticaret sicilinde tescil edilmiştir. </w:t>
      </w:r>
    </w:p>
    <w:p w14:paraId="3C2D65F1" w14:textId="77E31353" w:rsidR="009C06BC" w:rsidRPr="00FB38E1" w:rsidRDefault="009C06BC" w:rsidP="00DE4409">
      <w:pPr>
        <w:spacing w:before="120" w:after="0" w:line="200" w:lineRule="exact"/>
        <w:rPr>
          <w:rFonts w:ascii="Microsoft Sans Serif" w:eastAsia="Times New Roman" w:hAnsi="Microsoft Sans Serif" w:cs="Microsoft Sans Serif"/>
          <w:color w:val="404040" w:themeColor="text1" w:themeTint="BF"/>
          <w:sz w:val="20"/>
          <w:szCs w:val="20"/>
          <w:lang w:val="pt-BR" w:eastAsia="tr-TR"/>
        </w:rPr>
      </w:pPr>
      <w:r w:rsidRPr="00FB38E1">
        <w:rPr>
          <w:rFonts w:ascii="Microsoft Sans Serif" w:eastAsia="Times New Roman" w:hAnsi="Microsoft Sans Serif" w:cs="Microsoft Sans Serif"/>
          <w:color w:val="404040" w:themeColor="text1" w:themeTint="BF"/>
          <w:sz w:val="20"/>
          <w:szCs w:val="20"/>
          <w:lang w:val="pt-BR" w:eastAsia="tr-TR"/>
        </w:rPr>
        <w:t>M</w:t>
      </w:r>
      <w:r w:rsidR="00701099" w:rsidRPr="00FB38E1">
        <w:rPr>
          <w:rFonts w:ascii="Microsoft Sans Serif" w:eastAsia="Times New Roman" w:hAnsi="Microsoft Sans Serif" w:cs="Microsoft Sans Serif"/>
          <w:color w:val="404040" w:themeColor="text1" w:themeTint="BF"/>
          <w:sz w:val="20"/>
          <w:szCs w:val="20"/>
          <w:lang w:val="pt-BR" w:eastAsia="tr-TR"/>
        </w:rPr>
        <w:t xml:space="preserve">erkezi </w:t>
      </w:r>
      <w:r w:rsidRPr="00FB38E1">
        <w:rPr>
          <w:rFonts w:ascii="Microsoft Sans Serif" w:eastAsia="Times New Roman" w:hAnsi="Microsoft Sans Serif" w:cs="Microsoft Sans Serif"/>
          <w:color w:val="404040" w:themeColor="text1" w:themeTint="BF"/>
          <w:sz w:val="20"/>
          <w:szCs w:val="20"/>
          <w:lang w:val="pt-BR" w:eastAsia="tr-TR"/>
        </w:rPr>
        <w:t>K</w:t>
      </w:r>
      <w:r w:rsidR="00701099" w:rsidRPr="00FB38E1">
        <w:rPr>
          <w:rFonts w:ascii="Microsoft Sans Serif" w:eastAsia="Times New Roman" w:hAnsi="Microsoft Sans Serif" w:cs="Microsoft Sans Serif"/>
          <w:color w:val="404040" w:themeColor="text1" w:themeTint="BF"/>
          <w:sz w:val="20"/>
          <w:szCs w:val="20"/>
          <w:lang w:val="pt-BR" w:eastAsia="tr-TR"/>
        </w:rPr>
        <w:t xml:space="preserve">ayıt </w:t>
      </w:r>
      <w:r w:rsidRPr="00FB38E1">
        <w:rPr>
          <w:rFonts w:ascii="Microsoft Sans Serif" w:eastAsia="Times New Roman" w:hAnsi="Microsoft Sans Serif" w:cs="Microsoft Sans Serif"/>
          <w:color w:val="404040" w:themeColor="text1" w:themeTint="BF"/>
          <w:sz w:val="20"/>
          <w:szCs w:val="20"/>
          <w:lang w:val="pt-BR" w:eastAsia="tr-TR"/>
        </w:rPr>
        <w:t>K</w:t>
      </w:r>
      <w:r w:rsidR="00701099" w:rsidRPr="00FB38E1">
        <w:rPr>
          <w:rFonts w:ascii="Microsoft Sans Serif" w:eastAsia="Times New Roman" w:hAnsi="Microsoft Sans Serif" w:cs="Microsoft Sans Serif"/>
          <w:color w:val="404040" w:themeColor="text1" w:themeTint="BF"/>
          <w:sz w:val="20"/>
          <w:szCs w:val="20"/>
          <w:lang w:val="pt-BR" w:eastAsia="tr-TR"/>
        </w:rPr>
        <w:t>uruluşu</w:t>
      </w:r>
      <w:r w:rsidRPr="00FB38E1">
        <w:rPr>
          <w:rFonts w:ascii="Microsoft Sans Serif" w:eastAsia="Times New Roman" w:hAnsi="Microsoft Sans Serif" w:cs="Microsoft Sans Serif"/>
          <w:color w:val="404040" w:themeColor="text1" w:themeTint="BF"/>
          <w:sz w:val="20"/>
          <w:szCs w:val="20"/>
          <w:lang w:val="pt-BR" w:eastAsia="tr-TR"/>
        </w:rPr>
        <w:t xml:space="preserve"> başvuru</w:t>
      </w:r>
      <w:r w:rsidR="00701099" w:rsidRPr="00FB38E1">
        <w:rPr>
          <w:rFonts w:ascii="Microsoft Sans Serif" w:eastAsia="Times New Roman" w:hAnsi="Microsoft Sans Serif" w:cs="Microsoft Sans Serif"/>
          <w:color w:val="404040" w:themeColor="text1" w:themeTint="BF"/>
          <w:sz w:val="20"/>
          <w:szCs w:val="20"/>
          <w:lang w:val="pt-BR" w:eastAsia="tr-TR"/>
        </w:rPr>
        <w:t>su</w:t>
      </w:r>
      <w:r w:rsidRPr="00FB38E1">
        <w:rPr>
          <w:rFonts w:ascii="Microsoft Sans Serif" w:eastAsia="Times New Roman" w:hAnsi="Microsoft Sans Serif" w:cs="Microsoft Sans Serif"/>
          <w:color w:val="404040" w:themeColor="text1" w:themeTint="BF"/>
          <w:sz w:val="20"/>
          <w:szCs w:val="20"/>
          <w:lang w:val="pt-BR" w:eastAsia="tr-TR"/>
        </w:rPr>
        <w:t xml:space="preserve"> kapsamında hakim ortak dışındaki ortakların payları iptal edilmiş, yeni ihraç edilen paylar hakim ortak hesabına aktarılmış ve iptal edilen her 1 TL nominal değerli pay için pay sahiplerine SPK düzenlemelerine göre belirlenmiş fiyat olan 21,2 TL 13 Aralık 2019 tarihinde ödenmiştir. Bu işlemin sonunda ENBD’nin Banka’daki ortaklık payı %100’e ulaşmıştır. Sürecin tamamlanmasını takiben Banka payları 16 Aralık 2019 tarihinden itibaren Borsa kotundan çıkarılmıştır.</w:t>
      </w:r>
    </w:p>
    <w:p w14:paraId="73584479" w14:textId="14AE5D6A" w:rsidR="0048232F" w:rsidRPr="00FB38E1" w:rsidRDefault="0048232F" w:rsidP="00DE4409">
      <w:pPr>
        <w:spacing w:before="120" w:after="0" w:line="200" w:lineRule="exact"/>
        <w:rPr>
          <w:rFonts w:ascii="Microsoft Sans Serif" w:hAnsi="Microsoft Sans Serif" w:cs="Microsoft Sans Serif"/>
          <w:color w:val="404040" w:themeColor="text1" w:themeTint="BF"/>
          <w:sz w:val="20"/>
          <w:szCs w:val="20"/>
          <w:lang w:eastAsia="tr-TR"/>
        </w:rPr>
      </w:pPr>
      <w:r w:rsidRPr="00FB38E1">
        <w:rPr>
          <w:rFonts w:ascii="Microsoft Sans Serif" w:hAnsi="Microsoft Sans Serif" w:cs="Microsoft Sans Serif"/>
          <w:color w:val="404040" w:themeColor="text1" w:themeTint="BF"/>
          <w:sz w:val="20"/>
          <w:szCs w:val="20"/>
          <w:lang w:eastAsia="tr-TR"/>
        </w:rPr>
        <w:t>9 Ocak 2020 tarihli Yönetim Kurulu toplantısında Banka’nın 3.316.100.000 tam TL olan ödenmiş sermayesinin 2.380.000.000 tam TL nakden artırılması ve Banka Esas Sözleşmesi’nin “Banka Sermayesi” başlıklı 6. maddesinin değiştirilmesi hususunun Genel Kurul onayına sunulmasına karar verilmiş ve 3 Şubat 2020 tarihinde gerçekleştirilen Olağanüstü Genel Kurul Toplantısı’nda değişiklik kararları onaylanmıştır. Sermaye artış tutarı olan 2.380.000.000 tam TL’nin tamamı hakim ortak ENBD tarafından nakden taahhüt edilerek sermaye artışının tescilinden önce ödenmiştir.</w:t>
      </w:r>
    </w:p>
    <w:p w14:paraId="004260C9" w14:textId="25A1325F" w:rsidR="002B0E13" w:rsidRPr="00FB38E1" w:rsidRDefault="002B0E13" w:rsidP="00DE4409">
      <w:pPr>
        <w:spacing w:before="120" w:after="0" w:line="200" w:lineRule="exact"/>
        <w:rPr>
          <w:rFonts w:ascii="Microsoft Sans Serif" w:hAnsi="Microsoft Sans Serif" w:cs="Microsoft Sans Serif"/>
          <w:color w:val="404040" w:themeColor="text1" w:themeTint="BF"/>
          <w:sz w:val="20"/>
          <w:szCs w:val="20"/>
          <w:lang w:eastAsia="tr-TR"/>
        </w:rPr>
      </w:pPr>
      <w:bookmarkStart w:id="9" w:name="_Hlk172282730"/>
      <w:bookmarkStart w:id="10" w:name="_Hlk172278963"/>
      <w:bookmarkStart w:id="11" w:name="_Hlk172282706"/>
      <w:r w:rsidRPr="00FB38E1">
        <w:rPr>
          <w:rFonts w:ascii="Microsoft Sans Serif" w:hAnsi="Microsoft Sans Serif" w:cs="Microsoft Sans Serif"/>
          <w:color w:val="404040" w:themeColor="text1" w:themeTint="BF"/>
          <w:sz w:val="20"/>
          <w:szCs w:val="20"/>
          <w:lang w:eastAsia="tr-TR"/>
        </w:rPr>
        <w:t xml:space="preserve">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w:t>
      </w:r>
      <w:r w:rsidR="008A0A31" w:rsidRPr="00FB38E1">
        <w:rPr>
          <w:rFonts w:ascii="Microsoft Sans Serif" w:hAnsi="Microsoft Sans Serif" w:cs="Microsoft Sans Serif"/>
          <w:color w:val="404040" w:themeColor="text1" w:themeTint="BF"/>
          <w:sz w:val="20"/>
          <w:szCs w:val="20"/>
          <w:lang w:eastAsia="tr-TR"/>
        </w:rPr>
        <w:t xml:space="preserve">almış olduğu karar, </w:t>
      </w:r>
      <w:r w:rsidRPr="00FB38E1">
        <w:rPr>
          <w:rFonts w:ascii="Microsoft Sans Serif" w:hAnsi="Microsoft Sans Serif" w:cs="Microsoft Sans Serif"/>
          <w:color w:val="404040" w:themeColor="text1" w:themeTint="BF"/>
          <w:sz w:val="20"/>
          <w:szCs w:val="20"/>
          <w:lang w:eastAsia="tr-TR"/>
        </w:rPr>
        <w:t>16 Mayıs 2024 tarihinde Olağanüstü Genel Kurul Toplantısı</w:t>
      </w:r>
      <w:r w:rsidR="008A0A31" w:rsidRPr="00FB38E1">
        <w:rPr>
          <w:rFonts w:ascii="Microsoft Sans Serif" w:hAnsi="Microsoft Sans Serif" w:cs="Microsoft Sans Serif"/>
          <w:color w:val="404040" w:themeColor="text1" w:themeTint="BF"/>
          <w:sz w:val="20"/>
          <w:szCs w:val="20"/>
          <w:lang w:eastAsia="tr-TR"/>
        </w:rPr>
        <w:t>’</w:t>
      </w:r>
      <w:r w:rsidRPr="00FB38E1">
        <w:rPr>
          <w:rFonts w:ascii="Microsoft Sans Serif" w:hAnsi="Microsoft Sans Serif" w:cs="Microsoft Sans Serif"/>
          <w:color w:val="404040" w:themeColor="text1" w:themeTint="BF"/>
          <w:sz w:val="20"/>
          <w:szCs w:val="20"/>
          <w:lang w:eastAsia="tr-TR"/>
        </w:rPr>
        <w:t xml:space="preserve">nda </w:t>
      </w:r>
      <w:r w:rsidR="008A0A31" w:rsidRPr="00FB38E1">
        <w:rPr>
          <w:rFonts w:ascii="Microsoft Sans Serif" w:hAnsi="Microsoft Sans Serif" w:cs="Microsoft Sans Serif"/>
          <w:color w:val="404040" w:themeColor="text1" w:themeTint="BF"/>
          <w:sz w:val="20"/>
          <w:szCs w:val="20"/>
          <w:lang w:eastAsia="tr-TR"/>
        </w:rPr>
        <w:t>onaylanmış</w:t>
      </w:r>
      <w:r w:rsidRPr="00FB38E1">
        <w:rPr>
          <w:rFonts w:ascii="Microsoft Sans Serif" w:hAnsi="Microsoft Sans Serif" w:cs="Microsoft Sans Serif"/>
          <w:color w:val="404040" w:themeColor="text1" w:themeTint="BF"/>
          <w:sz w:val="20"/>
          <w:szCs w:val="20"/>
          <w:lang w:eastAsia="tr-TR"/>
        </w:rPr>
        <w:t xml:space="preserve"> ve 23 Mayıs 2024 tarihinde</w:t>
      </w:r>
      <w:r w:rsidR="008A0A31" w:rsidRPr="00FB38E1">
        <w:rPr>
          <w:rFonts w:ascii="Microsoft Sans Serif" w:hAnsi="Microsoft Sans Serif" w:cs="Microsoft Sans Serif"/>
          <w:color w:val="404040" w:themeColor="text1" w:themeTint="BF"/>
          <w:sz w:val="20"/>
          <w:szCs w:val="20"/>
          <w:lang w:eastAsia="tr-TR"/>
        </w:rPr>
        <w:t xml:space="preserve"> sermaye</w:t>
      </w:r>
      <w:r w:rsidRPr="00FB38E1">
        <w:rPr>
          <w:rFonts w:ascii="Microsoft Sans Serif" w:hAnsi="Microsoft Sans Serif" w:cs="Microsoft Sans Serif"/>
          <w:color w:val="404040" w:themeColor="text1" w:themeTint="BF"/>
          <w:sz w:val="20"/>
          <w:szCs w:val="20"/>
          <w:lang w:eastAsia="tr-TR"/>
        </w:rPr>
        <w:t xml:space="preserve"> </w:t>
      </w:r>
      <w:r w:rsidR="008A0A31" w:rsidRPr="00FB38E1">
        <w:rPr>
          <w:rFonts w:ascii="Microsoft Sans Serif" w:hAnsi="Microsoft Sans Serif" w:cs="Microsoft Sans Serif"/>
          <w:color w:val="404040" w:themeColor="text1" w:themeTint="BF"/>
          <w:sz w:val="20"/>
          <w:szCs w:val="20"/>
          <w:lang w:eastAsia="tr-TR"/>
        </w:rPr>
        <w:t xml:space="preserve">artışı </w:t>
      </w:r>
      <w:r w:rsidRPr="00FB38E1">
        <w:rPr>
          <w:rFonts w:ascii="Microsoft Sans Serif" w:hAnsi="Microsoft Sans Serif" w:cs="Microsoft Sans Serif"/>
          <w:color w:val="404040" w:themeColor="text1" w:themeTint="BF"/>
          <w:sz w:val="20"/>
          <w:szCs w:val="20"/>
          <w:lang w:eastAsia="tr-TR"/>
        </w:rPr>
        <w:t>tescil edilmiştir</w:t>
      </w:r>
      <w:bookmarkEnd w:id="9"/>
      <w:r w:rsidRPr="00FB38E1">
        <w:rPr>
          <w:rFonts w:ascii="Microsoft Sans Serif" w:hAnsi="Microsoft Sans Serif" w:cs="Microsoft Sans Serif"/>
          <w:color w:val="404040" w:themeColor="text1" w:themeTint="BF"/>
          <w:sz w:val="20"/>
          <w:szCs w:val="20"/>
          <w:lang w:eastAsia="tr-TR"/>
        </w:rPr>
        <w:t>.</w:t>
      </w:r>
      <w:bookmarkEnd w:id="10"/>
    </w:p>
    <w:bookmarkEnd w:id="11"/>
    <w:p w14:paraId="09A4A76F" w14:textId="77777777" w:rsidR="002B0E13" w:rsidRPr="00FB38E1" w:rsidRDefault="002B0E13" w:rsidP="002B0E13">
      <w:pPr>
        <w:pStyle w:val="ListParagraph"/>
        <w:spacing w:before="240" w:after="60" w:line="240" w:lineRule="exact"/>
        <w:ind w:left="0"/>
        <w:contextualSpacing w:val="0"/>
        <w:rPr>
          <w:rFonts w:ascii="Microsoft Sans Serif" w:hAnsi="Microsoft Sans Serif" w:cs="Microsoft Sans Serif"/>
          <w:b/>
          <w:color w:val="404040" w:themeColor="text1" w:themeTint="BF"/>
          <w:sz w:val="20"/>
          <w:szCs w:val="20"/>
        </w:rPr>
      </w:pPr>
    </w:p>
    <w:p w14:paraId="1C6E9FBF" w14:textId="6D023B2A" w:rsidR="00B76FFE" w:rsidRPr="00FB38E1" w:rsidRDefault="00960012" w:rsidP="00076C9E">
      <w:pPr>
        <w:pStyle w:val="ListParagraph"/>
        <w:numPr>
          <w:ilvl w:val="0"/>
          <w:numId w:val="6"/>
        </w:numPr>
        <w:spacing w:before="240" w:after="60" w:line="240" w:lineRule="exact"/>
        <w:ind w:left="0" w:hanging="851"/>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rPr>
        <w:t>Banka’nın sermaye yapısı, yönetim ve denetimini doğrudan veya dolaylı olarak tek başına veya birlikte elinde bulunduran ortakları, varsa bu hususlarda yıl içindeki değişiklikler ile dahil olduğu gruba ilişkin açıklama</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9"/>
        <w:gridCol w:w="2408"/>
        <w:gridCol w:w="1371"/>
        <w:gridCol w:w="2408"/>
        <w:gridCol w:w="1353"/>
      </w:tblGrid>
      <w:tr w:rsidR="00340DE4" w:rsidRPr="00FB38E1" w14:paraId="7157081A" w14:textId="77777777" w:rsidTr="00340DE4">
        <w:tc>
          <w:tcPr>
            <w:tcW w:w="1089" w:type="pct"/>
            <w:tcBorders>
              <w:top w:val="thinThickSmallGap" w:sz="24" w:space="0" w:color="auto"/>
            </w:tcBorders>
            <w:tcMar>
              <w:left w:w="57" w:type="dxa"/>
              <w:right w:w="57" w:type="dxa"/>
            </w:tcMar>
            <w:vAlign w:val="bottom"/>
          </w:tcPr>
          <w:p w14:paraId="5AF33615" w14:textId="67D83E83" w:rsidR="00340DE4" w:rsidRPr="00FB38E1" w:rsidRDefault="00340DE4" w:rsidP="00C010B6">
            <w:pPr>
              <w:rPr>
                <w:rFonts w:ascii="Microsoft Sans Serif" w:hAnsi="Microsoft Sans Serif" w:cs="Microsoft Sans Serif"/>
                <w:b/>
                <w:sz w:val="16"/>
                <w:szCs w:val="16"/>
              </w:rPr>
            </w:pPr>
          </w:p>
        </w:tc>
        <w:tc>
          <w:tcPr>
            <w:tcW w:w="1960" w:type="pct"/>
            <w:gridSpan w:val="2"/>
            <w:tcBorders>
              <w:top w:val="thinThickSmallGap" w:sz="24" w:space="0" w:color="auto"/>
            </w:tcBorders>
            <w:vAlign w:val="bottom"/>
          </w:tcPr>
          <w:p w14:paraId="238EFFB3" w14:textId="2096ED6F" w:rsidR="00340DE4" w:rsidRPr="00FB38E1" w:rsidRDefault="00340DE4" w:rsidP="00340DE4">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Cari Dönem </w:t>
            </w:r>
            <w:r w:rsidRPr="00FB38E1">
              <w:rPr>
                <w:rFonts w:ascii="Microsoft Sans Serif" w:hAnsi="Microsoft Sans Serif" w:cs="Microsoft Sans Serif"/>
                <w:b/>
                <w:sz w:val="16"/>
                <w:szCs w:val="16"/>
                <w:vertAlign w:val="superscript"/>
              </w:rPr>
              <w:t>(*)</w:t>
            </w:r>
          </w:p>
        </w:tc>
        <w:tc>
          <w:tcPr>
            <w:tcW w:w="1951" w:type="pct"/>
            <w:gridSpan w:val="2"/>
            <w:tcBorders>
              <w:top w:val="thinThickSmallGap" w:sz="24" w:space="0" w:color="auto"/>
            </w:tcBorders>
            <w:vAlign w:val="bottom"/>
          </w:tcPr>
          <w:p w14:paraId="2B8111A1" w14:textId="76DEB72D" w:rsidR="00340DE4" w:rsidRPr="00FB38E1" w:rsidRDefault="00340DE4" w:rsidP="00340DE4">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Önceki Dönem </w:t>
            </w:r>
            <w:r w:rsidRPr="00FB38E1">
              <w:rPr>
                <w:rFonts w:ascii="Microsoft Sans Serif" w:hAnsi="Microsoft Sans Serif" w:cs="Microsoft Sans Serif"/>
                <w:b/>
                <w:sz w:val="16"/>
                <w:szCs w:val="16"/>
                <w:vertAlign w:val="superscript"/>
              </w:rPr>
              <w:t>(*)</w:t>
            </w:r>
          </w:p>
        </w:tc>
      </w:tr>
      <w:tr w:rsidR="00340DE4" w:rsidRPr="00FB38E1" w14:paraId="29BB0A5D" w14:textId="77777777" w:rsidTr="00340DE4">
        <w:tc>
          <w:tcPr>
            <w:tcW w:w="1089" w:type="pct"/>
            <w:tcBorders>
              <w:bottom w:val="single" w:sz="4" w:space="0" w:color="auto"/>
            </w:tcBorders>
            <w:tcMar>
              <w:left w:w="57" w:type="dxa"/>
              <w:right w:w="57" w:type="dxa"/>
            </w:tcMar>
            <w:vAlign w:val="bottom"/>
          </w:tcPr>
          <w:p w14:paraId="32DED3CB" w14:textId="77777777" w:rsidR="00340DE4" w:rsidRPr="00FB38E1" w:rsidRDefault="00340DE4" w:rsidP="00340DE4">
            <w:pPr>
              <w:rPr>
                <w:rFonts w:ascii="Microsoft Sans Serif" w:hAnsi="Microsoft Sans Serif" w:cs="Microsoft Sans Serif"/>
                <w:b/>
                <w:sz w:val="16"/>
                <w:szCs w:val="16"/>
              </w:rPr>
            </w:pPr>
            <w:r w:rsidRPr="00FB38E1">
              <w:rPr>
                <w:rFonts w:ascii="Microsoft Sans Serif" w:hAnsi="Microsoft Sans Serif" w:cs="Microsoft Sans Serif"/>
                <w:b/>
                <w:sz w:val="16"/>
                <w:szCs w:val="16"/>
              </w:rPr>
              <w:t>Ortaklığın Unvanı</w:t>
            </w:r>
          </w:p>
        </w:tc>
        <w:tc>
          <w:tcPr>
            <w:tcW w:w="1249" w:type="pct"/>
            <w:tcBorders>
              <w:bottom w:val="single" w:sz="4" w:space="0" w:color="auto"/>
            </w:tcBorders>
          </w:tcPr>
          <w:p w14:paraId="6A038BEE" w14:textId="174EE68E" w:rsidR="00340DE4" w:rsidRPr="00FB38E1" w:rsidRDefault="00340DE4" w:rsidP="00340DE4">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Ortaklık Tutarı (Tam TL)</w:t>
            </w:r>
          </w:p>
        </w:tc>
        <w:tc>
          <w:tcPr>
            <w:tcW w:w="711" w:type="pct"/>
            <w:tcBorders>
              <w:bottom w:val="single" w:sz="4" w:space="0" w:color="auto"/>
            </w:tcBorders>
          </w:tcPr>
          <w:p w14:paraId="1A66AC4C" w14:textId="2CAB6B79" w:rsidR="00340DE4" w:rsidRPr="00FB38E1" w:rsidRDefault="00340DE4" w:rsidP="00340DE4">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Pay Oranı (%)</w:t>
            </w:r>
          </w:p>
        </w:tc>
        <w:tc>
          <w:tcPr>
            <w:tcW w:w="1249" w:type="pct"/>
            <w:tcBorders>
              <w:bottom w:val="single" w:sz="4" w:space="0" w:color="auto"/>
            </w:tcBorders>
          </w:tcPr>
          <w:p w14:paraId="2B738857" w14:textId="3FF44E25" w:rsidR="00340DE4" w:rsidRPr="00FB38E1" w:rsidRDefault="00340DE4" w:rsidP="00340DE4">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Ortaklık Tutarı (Tam TL)</w:t>
            </w:r>
          </w:p>
        </w:tc>
        <w:tc>
          <w:tcPr>
            <w:tcW w:w="702" w:type="pct"/>
            <w:tcBorders>
              <w:bottom w:val="single" w:sz="4" w:space="0" w:color="auto"/>
            </w:tcBorders>
          </w:tcPr>
          <w:p w14:paraId="15EF0E89" w14:textId="6B558BAE" w:rsidR="00340DE4" w:rsidRPr="00FB38E1" w:rsidRDefault="00340DE4" w:rsidP="00340DE4">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Pay Oranı (%)</w:t>
            </w:r>
          </w:p>
        </w:tc>
      </w:tr>
      <w:tr w:rsidR="009E5D59" w:rsidRPr="00FB38E1" w14:paraId="36C769DF" w14:textId="77777777" w:rsidTr="00794ACB">
        <w:trPr>
          <w:trHeight w:val="85"/>
        </w:trPr>
        <w:tc>
          <w:tcPr>
            <w:tcW w:w="1089" w:type="pct"/>
            <w:tcBorders>
              <w:top w:val="single" w:sz="4" w:space="0" w:color="auto"/>
            </w:tcBorders>
            <w:tcMar>
              <w:left w:w="57" w:type="dxa"/>
              <w:right w:w="57" w:type="dxa"/>
            </w:tcMar>
            <w:vAlign w:val="bottom"/>
          </w:tcPr>
          <w:p w14:paraId="078949AF" w14:textId="4484537C" w:rsidR="009E5D59" w:rsidRPr="00FB38E1" w:rsidRDefault="009E5D59" w:rsidP="009E5D59">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Emirates NBD Bank PJSC</w:t>
            </w:r>
          </w:p>
        </w:tc>
        <w:tc>
          <w:tcPr>
            <w:tcW w:w="1249" w:type="pct"/>
            <w:tcBorders>
              <w:top w:val="single" w:sz="4" w:space="0" w:color="auto"/>
            </w:tcBorders>
            <w:vAlign w:val="bottom"/>
          </w:tcPr>
          <w:p w14:paraId="44B66D96" w14:textId="7E489C14" w:rsidR="009E5D59" w:rsidRPr="00FB38E1" w:rsidRDefault="002B0E13" w:rsidP="002B0E1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19.638.599.996</w:t>
            </w:r>
          </w:p>
        </w:tc>
        <w:tc>
          <w:tcPr>
            <w:tcW w:w="711" w:type="pct"/>
            <w:tcBorders>
              <w:top w:val="single" w:sz="4" w:space="0" w:color="auto"/>
            </w:tcBorders>
            <w:vAlign w:val="bottom"/>
          </w:tcPr>
          <w:p w14:paraId="64770645" w14:textId="001A25C4" w:rsidR="009E5D59" w:rsidRPr="00FB38E1" w:rsidRDefault="009E5D59" w:rsidP="009E5D59">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100,00</w:t>
            </w:r>
          </w:p>
        </w:tc>
        <w:tc>
          <w:tcPr>
            <w:tcW w:w="1249" w:type="pct"/>
            <w:tcBorders>
              <w:top w:val="single" w:sz="4" w:space="0" w:color="auto"/>
            </w:tcBorders>
            <w:vAlign w:val="bottom"/>
          </w:tcPr>
          <w:p w14:paraId="295E483B" w14:textId="2C5678E0" w:rsidR="009E5D59" w:rsidRPr="00FB38E1" w:rsidRDefault="009E5D59" w:rsidP="009E5D59">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5.696.099.996</w:t>
            </w:r>
          </w:p>
        </w:tc>
        <w:tc>
          <w:tcPr>
            <w:tcW w:w="702" w:type="pct"/>
            <w:tcBorders>
              <w:top w:val="single" w:sz="4" w:space="0" w:color="auto"/>
            </w:tcBorders>
            <w:vAlign w:val="bottom"/>
          </w:tcPr>
          <w:p w14:paraId="0DA4E78B" w14:textId="0BFCF5EB" w:rsidR="009E5D59" w:rsidRPr="00FB38E1" w:rsidRDefault="009E5D59" w:rsidP="009E5D59">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100,00</w:t>
            </w:r>
          </w:p>
        </w:tc>
      </w:tr>
      <w:tr w:rsidR="009E5D59" w:rsidRPr="00FB38E1" w14:paraId="47306D42" w14:textId="77777777" w:rsidTr="00340DE4">
        <w:tc>
          <w:tcPr>
            <w:tcW w:w="1089" w:type="pct"/>
            <w:tcBorders>
              <w:bottom w:val="single" w:sz="4" w:space="0" w:color="auto"/>
            </w:tcBorders>
            <w:tcMar>
              <w:left w:w="57" w:type="dxa"/>
              <w:right w:w="57" w:type="dxa"/>
            </w:tcMar>
            <w:vAlign w:val="bottom"/>
          </w:tcPr>
          <w:p w14:paraId="532788DF" w14:textId="77777777" w:rsidR="009E5D59" w:rsidRPr="00FB38E1" w:rsidRDefault="009E5D59" w:rsidP="009E5D59">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Diğer hissedarlar toplamı</w:t>
            </w:r>
          </w:p>
        </w:tc>
        <w:tc>
          <w:tcPr>
            <w:tcW w:w="1249" w:type="pct"/>
            <w:tcBorders>
              <w:bottom w:val="single" w:sz="4" w:space="0" w:color="auto"/>
            </w:tcBorders>
            <w:vAlign w:val="bottom"/>
          </w:tcPr>
          <w:p w14:paraId="27F3C062" w14:textId="06277D9D" w:rsidR="009E5D59" w:rsidRPr="00FB38E1" w:rsidRDefault="009E5D59" w:rsidP="009E5D59">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w:t>
            </w:r>
          </w:p>
        </w:tc>
        <w:tc>
          <w:tcPr>
            <w:tcW w:w="711" w:type="pct"/>
            <w:tcBorders>
              <w:bottom w:val="single" w:sz="4" w:space="0" w:color="auto"/>
            </w:tcBorders>
            <w:vAlign w:val="bottom"/>
          </w:tcPr>
          <w:p w14:paraId="22E7CA8D" w14:textId="340AA65C" w:rsidR="009E5D59" w:rsidRPr="00FB38E1" w:rsidRDefault="009E5D59" w:rsidP="009E5D59">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p>
        </w:tc>
        <w:tc>
          <w:tcPr>
            <w:tcW w:w="1249" w:type="pct"/>
            <w:tcBorders>
              <w:bottom w:val="single" w:sz="4" w:space="0" w:color="auto"/>
            </w:tcBorders>
            <w:vAlign w:val="bottom"/>
          </w:tcPr>
          <w:p w14:paraId="1C2A8652" w14:textId="0BE04BC0" w:rsidR="009E5D59" w:rsidRPr="00FB38E1" w:rsidRDefault="009E5D59" w:rsidP="009E5D59">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w:t>
            </w:r>
          </w:p>
        </w:tc>
        <w:tc>
          <w:tcPr>
            <w:tcW w:w="702" w:type="pct"/>
            <w:tcBorders>
              <w:bottom w:val="single" w:sz="4" w:space="0" w:color="auto"/>
            </w:tcBorders>
            <w:vAlign w:val="bottom"/>
          </w:tcPr>
          <w:p w14:paraId="54F0A487" w14:textId="034292F6" w:rsidR="009E5D59" w:rsidRPr="00FB38E1" w:rsidRDefault="009E5D59" w:rsidP="009E5D59">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p>
        </w:tc>
      </w:tr>
      <w:tr w:rsidR="009E5D59" w:rsidRPr="00FB38E1" w14:paraId="026F23E1" w14:textId="77777777" w:rsidTr="00340DE4">
        <w:tc>
          <w:tcPr>
            <w:tcW w:w="1089" w:type="pct"/>
            <w:tcBorders>
              <w:top w:val="single" w:sz="4" w:space="0" w:color="auto"/>
              <w:bottom w:val="thickThinSmallGap" w:sz="24" w:space="0" w:color="auto"/>
            </w:tcBorders>
            <w:tcMar>
              <w:left w:w="57" w:type="dxa"/>
              <w:right w:w="57" w:type="dxa"/>
            </w:tcMar>
            <w:vAlign w:val="bottom"/>
          </w:tcPr>
          <w:p w14:paraId="27DC5C10" w14:textId="77777777" w:rsidR="009E5D59" w:rsidRPr="00FB38E1" w:rsidRDefault="009E5D59" w:rsidP="009E5D59">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1249" w:type="pct"/>
            <w:tcBorders>
              <w:top w:val="single" w:sz="4" w:space="0" w:color="auto"/>
              <w:bottom w:val="thickThinSmallGap" w:sz="24" w:space="0" w:color="auto"/>
            </w:tcBorders>
            <w:vAlign w:val="bottom"/>
          </w:tcPr>
          <w:p w14:paraId="1B5D1F55" w14:textId="20847B9A" w:rsidR="009E5D59" w:rsidRPr="00FB38E1" w:rsidRDefault="002B0E13" w:rsidP="009E5D59">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19.638.600.000</w:t>
            </w:r>
          </w:p>
        </w:tc>
        <w:tc>
          <w:tcPr>
            <w:tcW w:w="711" w:type="pct"/>
            <w:tcBorders>
              <w:top w:val="single" w:sz="4" w:space="0" w:color="auto"/>
              <w:bottom w:val="thickThinSmallGap" w:sz="24" w:space="0" w:color="auto"/>
            </w:tcBorders>
            <w:vAlign w:val="bottom"/>
          </w:tcPr>
          <w:p w14:paraId="3F840397" w14:textId="7B3EBAC3" w:rsidR="009E5D59" w:rsidRPr="00FB38E1" w:rsidRDefault="009E5D59" w:rsidP="009E5D59">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100,00</w:t>
            </w:r>
          </w:p>
        </w:tc>
        <w:tc>
          <w:tcPr>
            <w:tcW w:w="1249" w:type="pct"/>
            <w:tcBorders>
              <w:top w:val="single" w:sz="4" w:space="0" w:color="auto"/>
              <w:bottom w:val="thickThinSmallGap" w:sz="24" w:space="0" w:color="auto"/>
            </w:tcBorders>
            <w:vAlign w:val="bottom"/>
          </w:tcPr>
          <w:p w14:paraId="27C4A1F3" w14:textId="7963D03C" w:rsidR="009E5D59" w:rsidRPr="00FB38E1" w:rsidRDefault="009E5D59" w:rsidP="009E5D59">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5.696.100.000</w:t>
            </w:r>
          </w:p>
        </w:tc>
        <w:tc>
          <w:tcPr>
            <w:tcW w:w="702" w:type="pct"/>
            <w:tcBorders>
              <w:top w:val="single" w:sz="4" w:space="0" w:color="auto"/>
              <w:bottom w:val="thickThinSmallGap" w:sz="24" w:space="0" w:color="auto"/>
            </w:tcBorders>
            <w:vAlign w:val="bottom"/>
          </w:tcPr>
          <w:p w14:paraId="166629CF" w14:textId="67615416" w:rsidR="009E5D59" w:rsidRPr="00FB38E1" w:rsidRDefault="009E5D59" w:rsidP="009E5D59">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100,00</w:t>
            </w:r>
          </w:p>
        </w:tc>
      </w:tr>
    </w:tbl>
    <w:p w14:paraId="4E3C9E9A" w14:textId="01AE56FA" w:rsidR="004B47D3" w:rsidRPr="00FB38E1" w:rsidRDefault="00113152" w:rsidP="00C65451">
      <w:pPr>
        <w:spacing w:before="60" w:after="12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Birinci Bölüm I no’lu dipnot’ta verilmiştir.</w:t>
      </w:r>
      <w:r w:rsidRPr="00FB38E1" w:rsidDel="00113152">
        <w:rPr>
          <w:rFonts w:ascii="Microsoft Sans Serif" w:hAnsi="Microsoft Sans Serif" w:cs="Microsoft Sans Serif"/>
          <w:color w:val="404040" w:themeColor="text1" w:themeTint="BF"/>
          <w:sz w:val="16"/>
          <w:szCs w:val="16"/>
        </w:rPr>
        <w:t xml:space="preserve"> </w:t>
      </w:r>
    </w:p>
    <w:p w14:paraId="2E8B7F7C" w14:textId="77777777" w:rsidR="00DF01CD" w:rsidRPr="00FB38E1" w:rsidRDefault="00C700CD" w:rsidP="002B0E13">
      <w:pPr>
        <w:pStyle w:val="ListParagraph"/>
        <w:numPr>
          <w:ilvl w:val="0"/>
          <w:numId w:val="6"/>
        </w:numPr>
        <w:spacing w:before="240" w:after="120" w:line="240" w:lineRule="exact"/>
        <w:ind w:left="0" w:hanging="851"/>
        <w:contextualSpacing w:val="0"/>
        <w:rPr>
          <w:sz w:val="20"/>
        </w:rPr>
      </w:pPr>
      <w:r w:rsidRPr="00FB38E1">
        <w:rPr>
          <w:rFonts w:ascii="Microsoft Sans Serif" w:hAnsi="Microsoft Sans Serif" w:cs="Microsoft Sans Serif"/>
          <w:b/>
        </w:rPr>
        <w:t>Banka’nın, yönetim kurulu başkan ve üyeleri, denetim komitesi üyeleri ile genel müdür ve yardımcılarının varsa Banka’da sahip oldukları paylara ve sorumluluk alanlarına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06"/>
        <w:gridCol w:w="5573"/>
        <w:gridCol w:w="960"/>
      </w:tblGrid>
      <w:tr w:rsidR="00C63A85" w:rsidRPr="00FB38E1" w14:paraId="707EADC5" w14:textId="77777777" w:rsidTr="00CC6C11">
        <w:tc>
          <w:tcPr>
            <w:tcW w:w="1611" w:type="pct"/>
            <w:shd w:val="clear" w:color="auto" w:fill="auto"/>
            <w:tcMar>
              <w:left w:w="57" w:type="dxa"/>
              <w:right w:w="57" w:type="dxa"/>
            </w:tcMar>
            <w:vAlign w:val="center"/>
          </w:tcPr>
          <w:p w14:paraId="38A67A82" w14:textId="77777777" w:rsidR="00C63A85" w:rsidRPr="00FB38E1" w:rsidRDefault="00C63A85" w:rsidP="00B566B5">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Adı Soyadı</w:t>
            </w:r>
          </w:p>
        </w:tc>
        <w:tc>
          <w:tcPr>
            <w:tcW w:w="2891" w:type="pct"/>
            <w:shd w:val="clear" w:color="auto" w:fill="auto"/>
            <w:tcMar>
              <w:left w:w="57" w:type="dxa"/>
              <w:right w:w="57" w:type="dxa"/>
            </w:tcMar>
            <w:vAlign w:val="center"/>
          </w:tcPr>
          <w:p w14:paraId="65B6AB7C" w14:textId="77777777" w:rsidR="00C63A85" w:rsidRPr="00FB38E1" w:rsidRDefault="00C63A85" w:rsidP="00B566B5">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Görevi</w:t>
            </w:r>
          </w:p>
        </w:tc>
        <w:tc>
          <w:tcPr>
            <w:tcW w:w="498" w:type="pct"/>
            <w:shd w:val="clear" w:color="auto" w:fill="auto"/>
            <w:tcMar>
              <w:left w:w="57" w:type="dxa"/>
              <w:right w:w="57" w:type="dxa"/>
            </w:tcMar>
          </w:tcPr>
          <w:p w14:paraId="2BDDA138" w14:textId="77777777" w:rsidR="00C63A85" w:rsidRPr="00FB38E1" w:rsidRDefault="00C63A85" w:rsidP="00B566B5">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Sahip Olduğu Pay (%)</w:t>
            </w:r>
          </w:p>
        </w:tc>
      </w:tr>
      <w:tr w:rsidR="00C63A85" w:rsidRPr="00FB38E1" w14:paraId="264ADBE9" w14:textId="77777777" w:rsidTr="00CC6C11">
        <w:tc>
          <w:tcPr>
            <w:tcW w:w="1611" w:type="pct"/>
            <w:tcBorders>
              <w:bottom w:val="nil"/>
            </w:tcBorders>
            <w:shd w:val="clear" w:color="auto" w:fill="auto"/>
            <w:tcMar>
              <w:left w:w="57" w:type="dxa"/>
              <w:right w:w="57" w:type="dxa"/>
            </w:tcMar>
          </w:tcPr>
          <w:p w14:paraId="46DD42E5" w14:textId="77777777" w:rsidR="00C63A85" w:rsidRPr="00FB38E1" w:rsidRDefault="00C63A85" w:rsidP="00696C49">
            <w:pPr>
              <w:rPr>
                <w:rFonts w:ascii="Microsoft Sans Serif" w:hAnsi="Microsoft Sans Serif" w:cs="Microsoft Sans Serif"/>
                <w:sz w:val="6"/>
                <w:szCs w:val="6"/>
              </w:rPr>
            </w:pPr>
          </w:p>
        </w:tc>
        <w:tc>
          <w:tcPr>
            <w:tcW w:w="2891" w:type="pct"/>
            <w:tcBorders>
              <w:bottom w:val="nil"/>
            </w:tcBorders>
            <w:shd w:val="clear" w:color="auto" w:fill="auto"/>
            <w:tcMar>
              <w:left w:w="57" w:type="dxa"/>
              <w:right w:w="57" w:type="dxa"/>
            </w:tcMar>
          </w:tcPr>
          <w:p w14:paraId="315C2D6C" w14:textId="77777777" w:rsidR="00C63A85" w:rsidRPr="00FB38E1" w:rsidRDefault="00C63A85" w:rsidP="00696C49">
            <w:pPr>
              <w:rPr>
                <w:rFonts w:ascii="Microsoft Sans Serif" w:hAnsi="Microsoft Sans Serif" w:cs="Microsoft Sans Serif"/>
                <w:sz w:val="6"/>
                <w:szCs w:val="6"/>
              </w:rPr>
            </w:pPr>
          </w:p>
        </w:tc>
        <w:tc>
          <w:tcPr>
            <w:tcW w:w="498" w:type="pct"/>
            <w:tcBorders>
              <w:bottom w:val="nil"/>
            </w:tcBorders>
            <w:shd w:val="clear" w:color="auto" w:fill="auto"/>
            <w:tcMar>
              <w:left w:w="57" w:type="dxa"/>
              <w:right w:w="57" w:type="dxa"/>
            </w:tcMar>
          </w:tcPr>
          <w:p w14:paraId="38476718" w14:textId="77777777" w:rsidR="00C63A85" w:rsidRPr="00FB38E1" w:rsidRDefault="00C63A85" w:rsidP="00C63A85">
            <w:pPr>
              <w:jc w:val="right"/>
              <w:rPr>
                <w:rFonts w:ascii="Microsoft Sans Serif" w:hAnsi="Microsoft Sans Serif" w:cs="Microsoft Sans Serif"/>
                <w:sz w:val="6"/>
                <w:szCs w:val="6"/>
              </w:rPr>
            </w:pPr>
          </w:p>
        </w:tc>
      </w:tr>
      <w:tr w:rsidR="00C63A85" w:rsidRPr="00FB38E1" w14:paraId="52253753" w14:textId="77777777" w:rsidTr="00CC6C11">
        <w:tc>
          <w:tcPr>
            <w:tcW w:w="1611" w:type="pct"/>
            <w:tcBorders>
              <w:top w:val="nil"/>
              <w:bottom w:val="single" w:sz="4" w:space="0" w:color="auto"/>
            </w:tcBorders>
            <w:shd w:val="clear" w:color="auto" w:fill="auto"/>
            <w:tcMar>
              <w:left w:w="57" w:type="dxa"/>
              <w:right w:w="57" w:type="dxa"/>
            </w:tcMar>
          </w:tcPr>
          <w:p w14:paraId="20E34B78" w14:textId="2A352720" w:rsidR="00C63A85" w:rsidRPr="00FB38E1" w:rsidRDefault="00C63A85" w:rsidP="00AB6105">
            <w:pPr>
              <w:rPr>
                <w:rFonts w:ascii="Microsoft Sans Serif" w:hAnsi="Microsoft Sans Serif" w:cs="Microsoft Sans Serif"/>
                <w:b/>
                <w:sz w:val="16"/>
                <w:szCs w:val="16"/>
              </w:rPr>
            </w:pPr>
            <w:r w:rsidRPr="00FB38E1">
              <w:rPr>
                <w:rFonts w:ascii="Microsoft Sans Serif" w:hAnsi="Microsoft Sans Serif" w:cs="Microsoft Sans Serif"/>
                <w:b/>
                <w:sz w:val="16"/>
                <w:szCs w:val="16"/>
              </w:rPr>
              <w:t>Yönetim Kurulu Başkanı</w:t>
            </w:r>
          </w:p>
        </w:tc>
        <w:tc>
          <w:tcPr>
            <w:tcW w:w="2891" w:type="pct"/>
            <w:tcBorders>
              <w:top w:val="nil"/>
              <w:bottom w:val="single" w:sz="4" w:space="0" w:color="auto"/>
            </w:tcBorders>
            <w:shd w:val="clear" w:color="auto" w:fill="auto"/>
            <w:tcMar>
              <w:left w:w="57" w:type="dxa"/>
              <w:right w:w="57" w:type="dxa"/>
            </w:tcMar>
          </w:tcPr>
          <w:p w14:paraId="4AD2FB8E" w14:textId="77777777" w:rsidR="00C63A85" w:rsidRPr="00FB38E1" w:rsidRDefault="00C63A85" w:rsidP="00696C49">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1B0962EF" w14:textId="77777777" w:rsidR="00C63A85" w:rsidRPr="00FB38E1" w:rsidRDefault="00C63A85" w:rsidP="00C63A85">
            <w:pPr>
              <w:jc w:val="right"/>
              <w:rPr>
                <w:rFonts w:ascii="Microsoft Sans Serif" w:hAnsi="Microsoft Sans Serif" w:cs="Microsoft Sans Serif"/>
                <w:sz w:val="16"/>
                <w:szCs w:val="16"/>
              </w:rPr>
            </w:pPr>
          </w:p>
        </w:tc>
      </w:tr>
      <w:tr w:rsidR="00293B44" w:rsidRPr="00FB38E1" w14:paraId="6DCEE3AD" w14:textId="77777777" w:rsidTr="00CC6C11">
        <w:tc>
          <w:tcPr>
            <w:tcW w:w="1611" w:type="pct"/>
            <w:tcBorders>
              <w:top w:val="single" w:sz="4" w:space="0" w:color="auto"/>
            </w:tcBorders>
            <w:shd w:val="clear" w:color="auto" w:fill="auto"/>
            <w:tcMar>
              <w:left w:w="57" w:type="dxa"/>
              <w:right w:w="57" w:type="dxa"/>
            </w:tcMar>
          </w:tcPr>
          <w:p w14:paraId="78C85672" w14:textId="5194B4FA" w:rsidR="00293B44" w:rsidRPr="00FB38E1" w:rsidRDefault="00293B44" w:rsidP="00293B44">
            <w:pPr>
              <w:rPr>
                <w:rFonts w:ascii="Microsoft Sans Serif" w:hAnsi="Microsoft Sans Serif" w:cs="Microsoft Sans Serif"/>
                <w:sz w:val="16"/>
                <w:szCs w:val="16"/>
              </w:rPr>
            </w:pPr>
            <w:r w:rsidRPr="00FB38E1">
              <w:rPr>
                <w:rFonts w:ascii="Microsoft Sans Serif" w:hAnsi="Microsoft Sans Serif" w:cs="Microsoft Sans Serif"/>
                <w:color w:val="404040" w:themeColor="text1" w:themeTint="BF"/>
                <w:sz w:val="16"/>
                <w:szCs w:val="16"/>
              </w:rPr>
              <w:t>Hesham Abdulla Qassim Alqassim</w:t>
            </w:r>
          </w:p>
        </w:tc>
        <w:tc>
          <w:tcPr>
            <w:tcW w:w="2891" w:type="pct"/>
            <w:tcBorders>
              <w:top w:val="single" w:sz="4" w:space="0" w:color="auto"/>
            </w:tcBorders>
            <w:shd w:val="clear" w:color="auto" w:fill="auto"/>
            <w:tcMar>
              <w:left w:w="57" w:type="dxa"/>
              <w:right w:w="57" w:type="dxa"/>
            </w:tcMar>
          </w:tcPr>
          <w:p w14:paraId="38A957D0" w14:textId="1AC6BCF8" w:rsidR="00293B44" w:rsidRPr="00FB38E1" w:rsidRDefault="00293B44" w:rsidP="00293B44">
            <w:pPr>
              <w:rPr>
                <w:rFonts w:ascii="Microsoft Sans Serif" w:hAnsi="Microsoft Sans Serif" w:cs="Microsoft Sans Serif"/>
                <w:sz w:val="16"/>
                <w:szCs w:val="16"/>
              </w:rPr>
            </w:pPr>
            <w:r w:rsidRPr="00FB38E1">
              <w:rPr>
                <w:rFonts w:ascii="Microsoft Sans Serif" w:hAnsi="Microsoft Sans Serif" w:cs="Microsoft Sans Serif"/>
                <w:color w:val="404040" w:themeColor="text1" w:themeTint="BF"/>
                <w:sz w:val="16"/>
                <w:szCs w:val="16"/>
              </w:rPr>
              <w:t xml:space="preserve">Başkan  </w:t>
            </w:r>
          </w:p>
        </w:tc>
        <w:tc>
          <w:tcPr>
            <w:tcW w:w="498" w:type="pct"/>
            <w:tcBorders>
              <w:top w:val="single" w:sz="4" w:space="0" w:color="auto"/>
            </w:tcBorders>
            <w:shd w:val="clear" w:color="auto" w:fill="auto"/>
            <w:tcMar>
              <w:left w:w="57" w:type="dxa"/>
              <w:right w:w="57" w:type="dxa"/>
            </w:tcMar>
          </w:tcPr>
          <w:p w14:paraId="539A9EE7" w14:textId="67F1A00B" w:rsidR="00293B44" w:rsidRPr="00FB38E1" w:rsidRDefault="00293B44" w:rsidP="00293B44">
            <w:pPr>
              <w:jc w:val="cente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p>
        </w:tc>
      </w:tr>
      <w:tr w:rsidR="00293B44" w:rsidRPr="00FB38E1" w14:paraId="15F824CB" w14:textId="77777777" w:rsidTr="00CC6C11">
        <w:tc>
          <w:tcPr>
            <w:tcW w:w="1611" w:type="pct"/>
            <w:tcBorders>
              <w:top w:val="single" w:sz="4" w:space="0" w:color="auto"/>
            </w:tcBorders>
            <w:shd w:val="clear" w:color="auto" w:fill="auto"/>
            <w:tcMar>
              <w:left w:w="57" w:type="dxa"/>
              <w:right w:w="57" w:type="dxa"/>
            </w:tcMar>
          </w:tcPr>
          <w:p w14:paraId="44853ADC" w14:textId="77777777" w:rsidR="00293B44" w:rsidRPr="00FB38E1" w:rsidRDefault="00293B44" w:rsidP="00293B44">
            <w:pPr>
              <w:rPr>
                <w:rFonts w:ascii="Microsoft Sans Serif" w:hAnsi="Microsoft Sans Serif" w:cs="Microsoft Sans Serif"/>
                <w:color w:val="404040" w:themeColor="text1" w:themeTint="BF"/>
                <w:sz w:val="6"/>
                <w:szCs w:val="6"/>
              </w:rPr>
            </w:pPr>
          </w:p>
        </w:tc>
        <w:tc>
          <w:tcPr>
            <w:tcW w:w="2891" w:type="pct"/>
            <w:tcBorders>
              <w:top w:val="single" w:sz="4" w:space="0" w:color="auto"/>
            </w:tcBorders>
            <w:shd w:val="clear" w:color="auto" w:fill="auto"/>
            <w:tcMar>
              <w:left w:w="57" w:type="dxa"/>
              <w:right w:w="57" w:type="dxa"/>
            </w:tcMar>
          </w:tcPr>
          <w:p w14:paraId="462FE077" w14:textId="77777777" w:rsidR="00293B44" w:rsidRPr="00FB38E1" w:rsidRDefault="00293B44" w:rsidP="00293B44">
            <w:pPr>
              <w:rPr>
                <w:rFonts w:ascii="Microsoft Sans Serif" w:hAnsi="Microsoft Sans Serif" w:cs="Microsoft Sans Serif"/>
                <w:color w:val="404040" w:themeColor="text1" w:themeTint="BF"/>
                <w:sz w:val="6"/>
                <w:szCs w:val="6"/>
              </w:rPr>
            </w:pPr>
          </w:p>
        </w:tc>
        <w:tc>
          <w:tcPr>
            <w:tcW w:w="498" w:type="pct"/>
            <w:tcBorders>
              <w:top w:val="single" w:sz="4" w:space="0" w:color="auto"/>
            </w:tcBorders>
            <w:shd w:val="clear" w:color="auto" w:fill="auto"/>
            <w:tcMar>
              <w:left w:w="57" w:type="dxa"/>
              <w:right w:w="57" w:type="dxa"/>
            </w:tcMar>
          </w:tcPr>
          <w:p w14:paraId="35C30734" w14:textId="77777777" w:rsidR="00293B44" w:rsidRPr="00FB38E1" w:rsidRDefault="00293B44" w:rsidP="00293B44">
            <w:pPr>
              <w:jc w:val="center"/>
              <w:rPr>
                <w:rFonts w:ascii="Microsoft Sans Serif" w:hAnsi="Microsoft Sans Serif" w:cs="Microsoft Sans Serif"/>
                <w:color w:val="404040" w:themeColor="text1" w:themeTint="BF"/>
                <w:sz w:val="6"/>
                <w:szCs w:val="6"/>
              </w:rPr>
            </w:pPr>
          </w:p>
        </w:tc>
      </w:tr>
      <w:tr w:rsidR="00293B44" w:rsidRPr="00FB38E1" w14:paraId="21BDE5D2" w14:textId="77777777" w:rsidTr="00CC6C11">
        <w:tc>
          <w:tcPr>
            <w:tcW w:w="1611" w:type="pct"/>
            <w:tcBorders>
              <w:top w:val="nil"/>
              <w:bottom w:val="single" w:sz="4" w:space="0" w:color="auto"/>
            </w:tcBorders>
            <w:shd w:val="clear" w:color="auto" w:fill="auto"/>
            <w:tcMar>
              <w:left w:w="57" w:type="dxa"/>
              <w:right w:w="57" w:type="dxa"/>
            </w:tcMar>
          </w:tcPr>
          <w:p w14:paraId="4770AF7E" w14:textId="227FB460" w:rsidR="00293B44" w:rsidRPr="00FB38E1" w:rsidRDefault="00293B44" w:rsidP="00293B44">
            <w:pPr>
              <w:rPr>
                <w:rFonts w:ascii="Microsoft Sans Serif" w:hAnsi="Microsoft Sans Serif" w:cs="Microsoft Sans Serif"/>
                <w:b/>
                <w:sz w:val="16"/>
                <w:szCs w:val="16"/>
              </w:rPr>
            </w:pPr>
            <w:r w:rsidRPr="00FB38E1">
              <w:rPr>
                <w:rFonts w:ascii="Microsoft Sans Serif" w:hAnsi="Microsoft Sans Serif" w:cs="Microsoft Sans Serif"/>
                <w:b/>
                <w:sz w:val="16"/>
                <w:szCs w:val="16"/>
              </w:rPr>
              <w:t>Yönetim Kurulu</w:t>
            </w:r>
            <w:r w:rsidR="00F86704" w:rsidRPr="00FB38E1">
              <w:rPr>
                <w:rFonts w:ascii="Microsoft Sans Serif" w:hAnsi="Microsoft Sans Serif" w:cs="Microsoft Sans Serif"/>
                <w:b/>
                <w:sz w:val="16"/>
                <w:szCs w:val="16"/>
              </w:rPr>
              <w:t>(**)</w:t>
            </w:r>
          </w:p>
        </w:tc>
        <w:tc>
          <w:tcPr>
            <w:tcW w:w="2891" w:type="pct"/>
            <w:tcBorders>
              <w:top w:val="nil"/>
              <w:bottom w:val="single" w:sz="4" w:space="0" w:color="auto"/>
            </w:tcBorders>
            <w:shd w:val="clear" w:color="auto" w:fill="auto"/>
            <w:tcMar>
              <w:left w:w="57" w:type="dxa"/>
              <w:right w:w="57" w:type="dxa"/>
            </w:tcMar>
          </w:tcPr>
          <w:p w14:paraId="490953A2" w14:textId="77777777" w:rsidR="00293B44" w:rsidRPr="00FB38E1" w:rsidRDefault="00293B44" w:rsidP="00293B44">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05DA460C" w14:textId="77777777" w:rsidR="00293B44" w:rsidRPr="00FB38E1" w:rsidRDefault="00293B44" w:rsidP="00293B44">
            <w:pPr>
              <w:jc w:val="right"/>
              <w:rPr>
                <w:rFonts w:ascii="Microsoft Sans Serif" w:hAnsi="Microsoft Sans Serif" w:cs="Microsoft Sans Serif"/>
                <w:sz w:val="16"/>
                <w:szCs w:val="16"/>
              </w:rPr>
            </w:pPr>
          </w:p>
        </w:tc>
      </w:tr>
      <w:tr w:rsidR="00293B44" w:rsidRPr="00FB38E1" w14:paraId="51BBDBB7" w14:textId="77777777" w:rsidTr="00CC6C11">
        <w:tc>
          <w:tcPr>
            <w:tcW w:w="1611" w:type="pct"/>
            <w:shd w:val="clear" w:color="auto" w:fill="auto"/>
            <w:tcMar>
              <w:left w:w="57" w:type="dxa"/>
              <w:right w:w="57" w:type="dxa"/>
            </w:tcMar>
            <w:vAlign w:val="bottom"/>
          </w:tcPr>
          <w:p w14:paraId="4F905522" w14:textId="7684899A" w:rsidR="00293B44" w:rsidRPr="00FB38E1" w:rsidRDefault="00293B44"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Hakan Ateş</w:t>
            </w:r>
          </w:p>
        </w:tc>
        <w:tc>
          <w:tcPr>
            <w:tcW w:w="2891" w:type="pct"/>
            <w:shd w:val="clear" w:color="auto" w:fill="auto"/>
            <w:tcMar>
              <w:left w:w="57" w:type="dxa"/>
              <w:right w:w="57" w:type="dxa"/>
            </w:tcMar>
            <w:vAlign w:val="bottom"/>
          </w:tcPr>
          <w:p w14:paraId="6F1ED19D" w14:textId="42C5297F" w:rsidR="00293B44" w:rsidRPr="00FB38E1" w:rsidRDefault="00293B44"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Üye, Genel Müdür</w:t>
            </w:r>
          </w:p>
        </w:tc>
        <w:tc>
          <w:tcPr>
            <w:tcW w:w="498" w:type="pct"/>
            <w:shd w:val="clear" w:color="auto" w:fill="auto"/>
            <w:tcMar>
              <w:left w:w="57" w:type="dxa"/>
              <w:right w:w="57" w:type="dxa"/>
            </w:tcMar>
            <w:vAlign w:val="bottom"/>
          </w:tcPr>
          <w:p w14:paraId="0C5C7331" w14:textId="41B87397" w:rsidR="00293B44" w:rsidRPr="00FB38E1" w:rsidRDefault="00293B44" w:rsidP="00293B4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E087C" w:rsidRPr="00FB38E1" w14:paraId="5021D9CC" w14:textId="77777777" w:rsidTr="00CC6C11">
        <w:tc>
          <w:tcPr>
            <w:tcW w:w="1611" w:type="pct"/>
            <w:shd w:val="clear" w:color="auto" w:fill="auto"/>
            <w:tcMar>
              <w:left w:w="57" w:type="dxa"/>
              <w:right w:w="57" w:type="dxa"/>
            </w:tcMar>
            <w:vAlign w:val="bottom"/>
          </w:tcPr>
          <w:p w14:paraId="43F9F887" w14:textId="2DC717F7" w:rsidR="00FE087C" w:rsidRPr="00FB38E1" w:rsidRDefault="00FE087C" w:rsidP="00FE087C">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Ahmed Mohammed Aqil Qassim Alqassım</w:t>
            </w:r>
          </w:p>
        </w:tc>
        <w:tc>
          <w:tcPr>
            <w:tcW w:w="2891" w:type="pct"/>
            <w:shd w:val="clear" w:color="auto" w:fill="auto"/>
            <w:tcMar>
              <w:left w:w="57" w:type="dxa"/>
              <w:right w:w="57" w:type="dxa"/>
            </w:tcMar>
            <w:vAlign w:val="bottom"/>
          </w:tcPr>
          <w:p w14:paraId="67C03C51" w14:textId="1C57A4BE" w:rsidR="00FE087C" w:rsidRPr="00FB38E1" w:rsidRDefault="00FE087C"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54D6D122" w14:textId="77B9C763" w:rsidR="00FE087C" w:rsidRPr="00FB38E1" w:rsidRDefault="00A813D6" w:rsidP="002A1A78">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w:t>
            </w:r>
            <w:r w:rsidR="002A1A78" w:rsidRPr="00FB38E1">
              <w:rPr>
                <w:rFonts w:ascii="Microsoft Sans Serif" w:hAnsi="Microsoft Sans Serif" w:cs="Microsoft Sans Serif"/>
                <w:color w:val="404040"/>
                <w:sz w:val="16"/>
                <w:szCs w:val="16"/>
              </w:rPr>
              <w:t>,</w:t>
            </w:r>
            <w:r w:rsidRPr="00FB38E1">
              <w:rPr>
                <w:rFonts w:ascii="Microsoft Sans Serif" w:hAnsi="Microsoft Sans Serif" w:cs="Microsoft Sans Serif"/>
                <w:color w:val="404040"/>
                <w:sz w:val="16"/>
                <w:szCs w:val="16"/>
              </w:rPr>
              <w:t>00000002</w:t>
            </w:r>
          </w:p>
        </w:tc>
      </w:tr>
      <w:tr w:rsidR="00293B44" w:rsidRPr="00FB38E1" w14:paraId="6C6BE7C9" w14:textId="77777777" w:rsidTr="00CC6C11">
        <w:tc>
          <w:tcPr>
            <w:tcW w:w="1611" w:type="pct"/>
            <w:shd w:val="clear" w:color="auto" w:fill="auto"/>
            <w:tcMar>
              <w:left w:w="57" w:type="dxa"/>
              <w:right w:w="57" w:type="dxa"/>
            </w:tcMar>
            <w:vAlign w:val="bottom"/>
          </w:tcPr>
          <w:p w14:paraId="21684A05" w14:textId="304BC251" w:rsidR="00293B44" w:rsidRPr="00FB38E1" w:rsidRDefault="00E9698E"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Derya Kumru</w:t>
            </w:r>
          </w:p>
        </w:tc>
        <w:tc>
          <w:tcPr>
            <w:tcW w:w="2891" w:type="pct"/>
            <w:shd w:val="clear" w:color="auto" w:fill="auto"/>
            <w:tcMar>
              <w:left w:w="57" w:type="dxa"/>
              <w:right w:w="57" w:type="dxa"/>
            </w:tcMar>
            <w:vAlign w:val="bottom"/>
          </w:tcPr>
          <w:p w14:paraId="38EC6EA8" w14:textId="5F38CDBF" w:rsidR="00293B44" w:rsidRPr="00FB38E1" w:rsidRDefault="00293B44"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615DF424" w14:textId="46C3B01B" w:rsidR="00293B44" w:rsidRPr="00FB38E1" w:rsidRDefault="00293B44" w:rsidP="00293B4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93B44" w:rsidRPr="00FB38E1" w14:paraId="04B24D6E" w14:textId="77777777" w:rsidTr="00CC6C11">
        <w:tc>
          <w:tcPr>
            <w:tcW w:w="1611" w:type="pct"/>
            <w:shd w:val="clear" w:color="auto" w:fill="auto"/>
            <w:tcMar>
              <w:left w:w="57" w:type="dxa"/>
              <w:right w:w="57" w:type="dxa"/>
            </w:tcMar>
            <w:vAlign w:val="bottom"/>
          </w:tcPr>
          <w:p w14:paraId="02A7FAA4" w14:textId="28CC58DE" w:rsidR="00293B44" w:rsidRPr="00FB38E1" w:rsidRDefault="00293B44" w:rsidP="00E9698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Shayne Keith Nelson</w:t>
            </w:r>
          </w:p>
        </w:tc>
        <w:tc>
          <w:tcPr>
            <w:tcW w:w="2891" w:type="pct"/>
            <w:shd w:val="clear" w:color="auto" w:fill="auto"/>
            <w:tcMar>
              <w:left w:w="57" w:type="dxa"/>
              <w:right w:w="57" w:type="dxa"/>
            </w:tcMar>
            <w:vAlign w:val="bottom"/>
          </w:tcPr>
          <w:p w14:paraId="0147195C" w14:textId="30ED0122" w:rsidR="00293B44" w:rsidRPr="00FB38E1" w:rsidRDefault="00293B44"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1FA47F3F" w14:textId="3CD9622A" w:rsidR="00293B44" w:rsidRPr="00FB38E1" w:rsidRDefault="00293B44" w:rsidP="00293B4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93B44" w:rsidRPr="00FB38E1" w14:paraId="4B545377" w14:textId="77777777" w:rsidTr="00CC6C11">
        <w:tc>
          <w:tcPr>
            <w:tcW w:w="1611" w:type="pct"/>
            <w:shd w:val="clear" w:color="auto" w:fill="auto"/>
            <w:tcMar>
              <w:left w:w="57" w:type="dxa"/>
              <w:right w:w="57" w:type="dxa"/>
            </w:tcMar>
            <w:vAlign w:val="bottom"/>
          </w:tcPr>
          <w:p w14:paraId="18925E20" w14:textId="5F7F56C1" w:rsidR="00293B44" w:rsidRPr="00FB38E1" w:rsidRDefault="00293B44"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Tanju Kaya</w:t>
            </w:r>
          </w:p>
        </w:tc>
        <w:tc>
          <w:tcPr>
            <w:tcW w:w="2891" w:type="pct"/>
            <w:shd w:val="clear" w:color="auto" w:fill="auto"/>
            <w:tcMar>
              <w:left w:w="57" w:type="dxa"/>
              <w:right w:w="57" w:type="dxa"/>
            </w:tcMar>
            <w:vAlign w:val="bottom"/>
          </w:tcPr>
          <w:p w14:paraId="4231AC85" w14:textId="4A2B9E4A" w:rsidR="00293B44" w:rsidRPr="00FB38E1" w:rsidRDefault="00293B44"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06B43B51" w14:textId="528AE6F0" w:rsidR="00293B44" w:rsidRPr="00FB38E1" w:rsidRDefault="00293B44" w:rsidP="00293B4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E087C" w:rsidRPr="00FB38E1" w14:paraId="6B6C627E" w14:textId="77777777" w:rsidTr="00CC6C11">
        <w:tc>
          <w:tcPr>
            <w:tcW w:w="1611" w:type="pct"/>
            <w:shd w:val="clear" w:color="auto" w:fill="auto"/>
            <w:tcMar>
              <w:left w:w="57" w:type="dxa"/>
              <w:right w:w="57" w:type="dxa"/>
            </w:tcMar>
            <w:vAlign w:val="bottom"/>
          </w:tcPr>
          <w:p w14:paraId="7423AFE2" w14:textId="526A7EAD" w:rsidR="00FE087C" w:rsidRPr="00FB38E1" w:rsidRDefault="00FE087C"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Burcu Çalıklı</w:t>
            </w:r>
          </w:p>
        </w:tc>
        <w:tc>
          <w:tcPr>
            <w:tcW w:w="2891" w:type="pct"/>
            <w:shd w:val="clear" w:color="auto" w:fill="auto"/>
            <w:tcMar>
              <w:left w:w="57" w:type="dxa"/>
              <w:right w:w="57" w:type="dxa"/>
            </w:tcMar>
            <w:vAlign w:val="bottom"/>
          </w:tcPr>
          <w:p w14:paraId="181F5BCD" w14:textId="0623B311" w:rsidR="00FE087C" w:rsidRPr="00FB38E1" w:rsidRDefault="00FE087C"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06119421" w14:textId="5F7C7805" w:rsidR="00FE087C" w:rsidRPr="00FB38E1" w:rsidRDefault="00FE087C" w:rsidP="00293B4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93B44" w:rsidRPr="00FB38E1" w14:paraId="5EDBD1D2" w14:textId="77777777" w:rsidTr="00CC6C11">
        <w:tc>
          <w:tcPr>
            <w:tcW w:w="1611" w:type="pct"/>
            <w:shd w:val="clear" w:color="auto" w:fill="auto"/>
            <w:tcMar>
              <w:left w:w="57" w:type="dxa"/>
              <w:right w:w="57" w:type="dxa"/>
            </w:tcMar>
            <w:vAlign w:val="bottom"/>
          </w:tcPr>
          <w:p w14:paraId="2AEC41A8" w14:textId="31D72842" w:rsidR="00293B44" w:rsidRPr="00FB38E1" w:rsidRDefault="00293B44"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Bjorn Lenzmann</w:t>
            </w:r>
          </w:p>
        </w:tc>
        <w:tc>
          <w:tcPr>
            <w:tcW w:w="2891" w:type="pct"/>
            <w:shd w:val="clear" w:color="auto" w:fill="auto"/>
            <w:tcMar>
              <w:left w:w="57" w:type="dxa"/>
              <w:right w:w="57" w:type="dxa"/>
            </w:tcMar>
            <w:vAlign w:val="bottom"/>
          </w:tcPr>
          <w:p w14:paraId="449FA299" w14:textId="20AC05DF" w:rsidR="00293B44" w:rsidRPr="00FB38E1" w:rsidRDefault="00293B44"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3B2D95E2" w14:textId="3A59836E" w:rsidR="00293B44" w:rsidRPr="00FB38E1" w:rsidRDefault="00293B44" w:rsidP="00293B4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C6C" w:rsidRPr="00FB38E1" w14:paraId="5CF46A42" w14:textId="77777777" w:rsidTr="00CC6C11">
        <w:tc>
          <w:tcPr>
            <w:tcW w:w="1611" w:type="pct"/>
            <w:shd w:val="clear" w:color="auto" w:fill="auto"/>
            <w:tcMar>
              <w:left w:w="57" w:type="dxa"/>
              <w:right w:w="57" w:type="dxa"/>
            </w:tcMar>
            <w:vAlign w:val="bottom"/>
          </w:tcPr>
          <w:p w14:paraId="0F360E5E" w14:textId="75622C6F" w:rsidR="002A2C6C" w:rsidRPr="00FB38E1" w:rsidRDefault="002A2C6C" w:rsidP="002A2C6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Aazar Ali Khwaja</w:t>
            </w:r>
          </w:p>
        </w:tc>
        <w:tc>
          <w:tcPr>
            <w:tcW w:w="2891" w:type="pct"/>
            <w:shd w:val="clear" w:color="auto" w:fill="auto"/>
            <w:tcMar>
              <w:left w:w="57" w:type="dxa"/>
              <w:right w:w="57" w:type="dxa"/>
            </w:tcMar>
            <w:vAlign w:val="bottom"/>
          </w:tcPr>
          <w:p w14:paraId="27D1D583" w14:textId="58B8F236" w:rsidR="002A2C6C" w:rsidRPr="00FB38E1" w:rsidRDefault="002A2C6C" w:rsidP="00293B4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Üye</w:t>
            </w:r>
          </w:p>
        </w:tc>
        <w:tc>
          <w:tcPr>
            <w:tcW w:w="498" w:type="pct"/>
            <w:shd w:val="clear" w:color="auto" w:fill="auto"/>
            <w:tcMar>
              <w:left w:w="57" w:type="dxa"/>
              <w:right w:w="57" w:type="dxa"/>
            </w:tcMar>
            <w:vAlign w:val="bottom"/>
          </w:tcPr>
          <w:p w14:paraId="37F8C042" w14:textId="54ED754B" w:rsidR="002A2C6C" w:rsidRPr="00FB38E1" w:rsidRDefault="002A2C6C" w:rsidP="00293B4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93B44" w:rsidRPr="00FB38E1" w14:paraId="0FD7422E" w14:textId="77777777" w:rsidTr="00CC6C11">
        <w:tc>
          <w:tcPr>
            <w:tcW w:w="1611" w:type="pct"/>
            <w:tcBorders>
              <w:bottom w:val="nil"/>
            </w:tcBorders>
            <w:shd w:val="clear" w:color="auto" w:fill="auto"/>
            <w:tcMar>
              <w:left w:w="57" w:type="dxa"/>
              <w:right w:w="57" w:type="dxa"/>
            </w:tcMar>
          </w:tcPr>
          <w:p w14:paraId="1760941F" w14:textId="77777777" w:rsidR="00293B44" w:rsidRPr="00FB38E1" w:rsidRDefault="00293B44" w:rsidP="00293B44">
            <w:pPr>
              <w:rPr>
                <w:rFonts w:ascii="Microsoft Sans Serif" w:hAnsi="Microsoft Sans Serif" w:cs="Microsoft Sans Serif"/>
                <w:color w:val="404040"/>
                <w:sz w:val="6"/>
                <w:szCs w:val="6"/>
              </w:rPr>
            </w:pPr>
          </w:p>
        </w:tc>
        <w:tc>
          <w:tcPr>
            <w:tcW w:w="2891" w:type="pct"/>
            <w:tcBorders>
              <w:bottom w:val="nil"/>
            </w:tcBorders>
            <w:shd w:val="clear" w:color="auto" w:fill="auto"/>
            <w:tcMar>
              <w:left w:w="57" w:type="dxa"/>
              <w:right w:w="57" w:type="dxa"/>
            </w:tcMar>
          </w:tcPr>
          <w:p w14:paraId="6F1F2248" w14:textId="77777777" w:rsidR="00293B44" w:rsidRPr="00FB38E1" w:rsidRDefault="00293B44" w:rsidP="00293B44">
            <w:pPr>
              <w:rPr>
                <w:rFonts w:ascii="Microsoft Sans Serif" w:hAnsi="Microsoft Sans Serif" w:cs="Microsoft Sans Serif"/>
                <w:color w:val="404040"/>
                <w:sz w:val="6"/>
                <w:szCs w:val="6"/>
              </w:rPr>
            </w:pPr>
          </w:p>
        </w:tc>
        <w:tc>
          <w:tcPr>
            <w:tcW w:w="498" w:type="pct"/>
            <w:tcBorders>
              <w:bottom w:val="nil"/>
            </w:tcBorders>
            <w:shd w:val="clear" w:color="auto" w:fill="auto"/>
            <w:tcMar>
              <w:left w:w="57" w:type="dxa"/>
              <w:right w:w="57" w:type="dxa"/>
            </w:tcMar>
          </w:tcPr>
          <w:p w14:paraId="187306C4" w14:textId="77777777" w:rsidR="00293B44" w:rsidRPr="00FB38E1" w:rsidRDefault="00293B44" w:rsidP="00293B44">
            <w:pPr>
              <w:jc w:val="center"/>
              <w:rPr>
                <w:rFonts w:ascii="Microsoft Sans Serif" w:hAnsi="Microsoft Sans Serif" w:cs="Microsoft Sans Serif"/>
                <w:color w:val="404040"/>
                <w:sz w:val="6"/>
                <w:szCs w:val="6"/>
              </w:rPr>
            </w:pPr>
          </w:p>
        </w:tc>
      </w:tr>
      <w:tr w:rsidR="00293B44" w:rsidRPr="00FB38E1" w14:paraId="6B66F221" w14:textId="77777777" w:rsidTr="00CC6C11">
        <w:tc>
          <w:tcPr>
            <w:tcW w:w="1611" w:type="pct"/>
            <w:tcBorders>
              <w:top w:val="nil"/>
              <w:bottom w:val="single" w:sz="4" w:space="0" w:color="auto"/>
            </w:tcBorders>
            <w:shd w:val="clear" w:color="auto" w:fill="auto"/>
            <w:tcMar>
              <w:left w:w="57" w:type="dxa"/>
              <w:right w:w="57" w:type="dxa"/>
            </w:tcMar>
          </w:tcPr>
          <w:p w14:paraId="5012A24C" w14:textId="6CF4F44C" w:rsidR="00293B44" w:rsidRPr="00FB38E1" w:rsidRDefault="00293B44" w:rsidP="00293B44">
            <w:pPr>
              <w:rPr>
                <w:rFonts w:ascii="Microsoft Sans Serif" w:hAnsi="Microsoft Sans Serif" w:cs="Microsoft Sans Serif"/>
                <w:sz w:val="16"/>
                <w:szCs w:val="16"/>
              </w:rPr>
            </w:pPr>
            <w:r w:rsidRPr="00FB38E1">
              <w:rPr>
                <w:rFonts w:ascii="Microsoft Sans Serif" w:hAnsi="Microsoft Sans Serif" w:cs="Microsoft Sans Serif"/>
                <w:b/>
                <w:sz w:val="16"/>
                <w:szCs w:val="16"/>
              </w:rPr>
              <w:t>Denetim</w:t>
            </w:r>
            <w:r w:rsidR="00161588" w:rsidRPr="00FB38E1">
              <w:rPr>
                <w:rFonts w:ascii="Microsoft Sans Serif" w:hAnsi="Microsoft Sans Serif" w:cs="Microsoft Sans Serif"/>
                <w:b/>
                <w:sz w:val="16"/>
                <w:szCs w:val="16"/>
              </w:rPr>
              <w:t xml:space="preserve"> ve Risk</w:t>
            </w:r>
            <w:r w:rsidRPr="00FB38E1">
              <w:rPr>
                <w:rFonts w:ascii="Microsoft Sans Serif" w:hAnsi="Microsoft Sans Serif" w:cs="Microsoft Sans Serif"/>
                <w:b/>
                <w:sz w:val="16"/>
                <w:szCs w:val="16"/>
              </w:rPr>
              <w:t xml:space="preserve"> Komitesi</w:t>
            </w:r>
          </w:p>
        </w:tc>
        <w:tc>
          <w:tcPr>
            <w:tcW w:w="2891" w:type="pct"/>
            <w:tcBorders>
              <w:top w:val="nil"/>
              <w:bottom w:val="single" w:sz="4" w:space="0" w:color="auto"/>
            </w:tcBorders>
            <w:shd w:val="clear" w:color="auto" w:fill="auto"/>
            <w:tcMar>
              <w:left w:w="57" w:type="dxa"/>
              <w:right w:w="57" w:type="dxa"/>
            </w:tcMar>
          </w:tcPr>
          <w:p w14:paraId="75E9114D" w14:textId="77777777" w:rsidR="00293B44" w:rsidRPr="00FB38E1" w:rsidRDefault="00293B44" w:rsidP="00293B44">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0949B30F" w14:textId="77777777" w:rsidR="00293B44" w:rsidRPr="00FB38E1" w:rsidRDefault="00293B44" w:rsidP="00293B44">
            <w:pPr>
              <w:jc w:val="right"/>
              <w:rPr>
                <w:rFonts w:ascii="Microsoft Sans Serif" w:hAnsi="Microsoft Sans Serif" w:cs="Microsoft Sans Serif"/>
                <w:sz w:val="16"/>
                <w:szCs w:val="16"/>
              </w:rPr>
            </w:pPr>
          </w:p>
        </w:tc>
      </w:tr>
      <w:tr w:rsidR="000125E6" w:rsidRPr="00FB38E1" w14:paraId="10C0BE8D" w14:textId="77777777" w:rsidTr="00CC6C11">
        <w:tc>
          <w:tcPr>
            <w:tcW w:w="1611" w:type="pct"/>
            <w:shd w:val="clear" w:color="auto" w:fill="auto"/>
            <w:tcMar>
              <w:left w:w="57" w:type="dxa"/>
              <w:right w:w="57" w:type="dxa"/>
            </w:tcMar>
            <w:vAlign w:val="bottom"/>
          </w:tcPr>
          <w:p w14:paraId="1464934B" w14:textId="6C340AF3" w:rsidR="000125E6" w:rsidRPr="00FB38E1" w:rsidRDefault="00161588" w:rsidP="00510936">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Bjorn Lenzmann</w:t>
            </w:r>
          </w:p>
        </w:tc>
        <w:tc>
          <w:tcPr>
            <w:tcW w:w="2891" w:type="pct"/>
            <w:shd w:val="clear" w:color="auto" w:fill="auto"/>
            <w:tcMar>
              <w:left w:w="57" w:type="dxa"/>
              <w:right w:w="57" w:type="dxa"/>
            </w:tcMar>
            <w:vAlign w:val="bottom"/>
          </w:tcPr>
          <w:p w14:paraId="717372D8" w14:textId="1B9CE803" w:rsidR="000125E6" w:rsidRPr="00FB38E1" w:rsidRDefault="00161588"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Denetim ve Risk Komitesi Başkanı</w:t>
            </w:r>
          </w:p>
        </w:tc>
        <w:tc>
          <w:tcPr>
            <w:tcW w:w="498" w:type="pct"/>
            <w:shd w:val="clear" w:color="auto" w:fill="auto"/>
            <w:tcMar>
              <w:left w:w="57" w:type="dxa"/>
              <w:right w:w="57" w:type="dxa"/>
            </w:tcMar>
            <w:vAlign w:val="bottom"/>
          </w:tcPr>
          <w:p w14:paraId="7509B70F" w14:textId="4F650624"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0CF12BA4" w14:textId="77777777" w:rsidTr="00CC6C11">
        <w:tc>
          <w:tcPr>
            <w:tcW w:w="1611" w:type="pct"/>
            <w:shd w:val="clear" w:color="auto" w:fill="auto"/>
            <w:tcMar>
              <w:left w:w="57" w:type="dxa"/>
              <w:right w:w="57" w:type="dxa"/>
            </w:tcMar>
            <w:vAlign w:val="bottom"/>
          </w:tcPr>
          <w:p w14:paraId="4EF89DD7" w14:textId="4F281A22" w:rsidR="000125E6" w:rsidRPr="00FB38E1" w:rsidRDefault="00161588"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Ahmed Mohammed Aqil Qassim Alqassim</w:t>
            </w:r>
          </w:p>
        </w:tc>
        <w:tc>
          <w:tcPr>
            <w:tcW w:w="2891" w:type="pct"/>
            <w:shd w:val="clear" w:color="auto" w:fill="auto"/>
            <w:tcMar>
              <w:left w:w="57" w:type="dxa"/>
              <w:right w:w="57" w:type="dxa"/>
            </w:tcMar>
            <w:vAlign w:val="bottom"/>
          </w:tcPr>
          <w:p w14:paraId="32CC2822" w14:textId="5C375B4F" w:rsidR="000125E6" w:rsidRPr="00FB38E1" w:rsidRDefault="00161588" w:rsidP="0016158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Üye </w:t>
            </w:r>
          </w:p>
        </w:tc>
        <w:tc>
          <w:tcPr>
            <w:tcW w:w="498" w:type="pct"/>
            <w:shd w:val="clear" w:color="auto" w:fill="auto"/>
            <w:tcMar>
              <w:left w:w="57" w:type="dxa"/>
              <w:right w:w="57" w:type="dxa"/>
            </w:tcMar>
            <w:vAlign w:val="bottom"/>
          </w:tcPr>
          <w:p w14:paraId="5D2C70D3" w14:textId="02D2FE95"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93B44" w:rsidRPr="00FB38E1" w14:paraId="080F676C" w14:textId="77777777" w:rsidTr="00CC6C11">
        <w:tc>
          <w:tcPr>
            <w:tcW w:w="1611" w:type="pct"/>
            <w:tcBorders>
              <w:bottom w:val="nil"/>
            </w:tcBorders>
            <w:shd w:val="clear" w:color="auto" w:fill="auto"/>
            <w:tcMar>
              <w:left w:w="57" w:type="dxa"/>
              <w:right w:w="57" w:type="dxa"/>
            </w:tcMar>
          </w:tcPr>
          <w:p w14:paraId="68C3D41D" w14:textId="77777777" w:rsidR="00293B44" w:rsidRPr="00FB38E1" w:rsidRDefault="00293B44" w:rsidP="00293B44">
            <w:pPr>
              <w:rPr>
                <w:rFonts w:ascii="Microsoft Sans Serif" w:hAnsi="Microsoft Sans Serif" w:cs="Microsoft Sans Serif"/>
                <w:color w:val="404040"/>
                <w:sz w:val="6"/>
                <w:szCs w:val="6"/>
              </w:rPr>
            </w:pPr>
          </w:p>
        </w:tc>
        <w:tc>
          <w:tcPr>
            <w:tcW w:w="2891" w:type="pct"/>
            <w:tcBorders>
              <w:bottom w:val="nil"/>
            </w:tcBorders>
            <w:shd w:val="clear" w:color="auto" w:fill="auto"/>
            <w:tcMar>
              <w:left w:w="57" w:type="dxa"/>
              <w:right w:w="57" w:type="dxa"/>
            </w:tcMar>
          </w:tcPr>
          <w:p w14:paraId="3BAD48FD" w14:textId="77777777" w:rsidR="00293B44" w:rsidRPr="00FB38E1" w:rsidRDefault="00293B44" w:rsidP="00293B44">
            <w:pPr>
              <w:rPr>
                <w:rFonts w:ascii="Microsoft Sans Serif" w:hAnsi="Microsoft Sans Serif" w:cs="Microsoft Sans Serif"/>
                <w:color w:val="404040"/>
                <w:sz w:val="6"/>
                <w:szCs w:val="6"/>
              </w:rPr>
            </w:pPr>
          </w:p>
        </w:tc>
        <w:tc>
          <w:tcPr>
            <w:tcW w:w="498" w:type="pct"/>
            <w:tcBorders>
              <w:bottom w:val="nil"/>
            </w:tcBorders>
            <w:shd w:val="clear" w:color="auto" w:fill="auto"/>
            <w:tcMar>
              <w:left w:w="57" w:type="dxa"/>
              <w:right w:w="57" w:type="dxa"/>
            </w:tcMar>
          </w:tcPr>
          <w:p w14:paraId="01D5F472" w14:textId="77777777" w:rsidR="00293B44" w:rsidRPr="00FB38E1" w:rsidRDefault="00293B44" w:rsidP="00293B44">
            <w:pPr>
              <w:jc w:val="center"/>
              <w:rPr>
                <w:rFonts w:ascii="Microsoft Sans Serif" w:hAnsi="Microsoft Sans Serif" w:cs="Microsoft Sans Serif"/>
                <w:color w:val="404040"/>
                <w:sz w:val="6"/>
                <w:szCs w:val="6"/>
              </w:rPr>
            </w:pPr>
          </w:p>
        </w:tc>
      </w:tr>
      <w:tr w:rsidR="000125E6" w:rsidRPr="00FB38E1" w14:paraId="2505A226" w14:textId="77777777" w:rsidTr="00CC6C11">
        <w:tc>
          <w:tcPr>
            <w:tcW w:w="1611" w:type="pct"/>
            <w:tcBorders>
              <w:top w:val="nil"/>
              <w:bottom w:val="single" w:sz="4" w:space="0" w:color="auto"/>
            </w:tcBorders>
            <w:shd w:val="clear" w:color="auto" w:fill="auto"/>
            <w:tcMar>
              <w:left w:w="57" w:type="dxa"/>
              <w:right w:w="57" w:type="dxa"/>
            </w:tcMar>
          </w:tcPr>
          <w:p w14:paraId="51FF61F1" w14:textId="73A86B09" w:rsidR="000125E6" w:rsidRPr="00FB38E1" w:rsidRDefault="00510936" w:rsidP="000125E6">
            <w:pPr>
              <w:rPr>
                <w:rFonts w:ascii="Microsoft Sans Serif" w:hAnsi="Microsoft Sans Serif" w:cs="Microsoft Sans Serif"/>
                <w:sz w:val="16"/>
                <w:szCs w:val="16"/>
              </w:rPr>
            </w:pPr>
            <w:r w:rsidRPr="00FB38E1">
              <w:rPr>
                <w:rFonts w:ascii="Microsoft Sans Serif" w:hAnsi="Microsoft Sans Serif" w:cs="Microsoft Sans Serif"/>
                <w:b/>
                <w:sz w:val="16"/>
                <w:szCs w:val="16"/>
              </w:rPr>
              <w:t>Genel Müdür Yardımcıları</w:t>
            </w:r>
            <w:r w:rsidR="005C14FA" w:rsidRPr="00FB38E1">
              <w:rPr>
                <w:rFonts w:ascii="Microsoft Sans Serif" w:hAnsi="Microsoft Sans Serif" w:cs="Microsoft Sans Serif"/>
                <w:b/>
                <w:sz w:val="16"/>
                <w:szCs w:val="16"/>
                <w:vertAlign w:val="superscript"/>
              </w:rPr>
              <w:t>(*)</w:t>
            </w:r>
          </w:p>
        </w:tc>
        <w:tc>
          <w:tcPr>
            <w:tcW w:w="2891" w:type="pct"/>
            <w:tcBorders>
              <w:top w:val="nil"/>
              <w:bottom w:val="single" w:sz="4" w:space="0" w:color="auto"/>
            </w:tcBorders>
            <w:shd w:val="clear" w:color="auto" w:fill="auto"/>
            <w:tcMar>
              <w:left w:w="57" w:type="dxa"/>
              <w:right w:w="57" w:type="dxa"/>
            </w:tcMar>
          </w:tcPr>
          <w:p w14:paraId="4D5D44DD" w14:textId="77777777" w:rsidR="000125E6" w:rsidRPr="00FB38E1" w:rsidRDefault="000125E6" w:rsidP="000125E6">
            <w:pPr>
              <w:rPr>
                <w:rFonts w:ascii="Microsoft Sans Serif" w:hAnsi="Microsoft Sans Serif" w:cs="Microsoft Sans Serif"/>
                <w:sz w:val="16"/>
                <w:szCs w:val="16"/>
              </w:rPr>
            </w:pPr>
          </w:p>
        </w:tc>
        <w:tc>
          <w:tcPr>
            <w:tcW w:w="498" w:type="pct"/>
            <w:tcBorders>
              <w:top w:val="nil"/>
              <w:bottom w:val="single" w:sz="4" w:space="0" w:color="auto"/>
            </w:tcBorders>
            <w:shd w:val="clear" w:color="auto" w:fill="auto"/>
            <w:tcMar>
              <w:left w:w="57" w:type="dxa"/>
              <w:right w:w="57" w:type="dxa"/>
            </w:tcMar>
          </w:tcPr>
          <w:p w14:paraId="0E27B98A" w14:textId="77777777" w:rsidR="000125E6" w:rsidRPr="00FB38E1" w:rsidRDefault="000125E6" w:rsidP="000125E6">
            <w:pPr>
              <w:jc w:val="right"/>
              <w:rPr>
                <w:rFonts w:ascii="Microsoft Sans Serif" w:hAnsi="Microsoft Sans Serif" w:cs="Microsoft Sans Serif"/>
                <w:sz w:val="16"/>
                <w:szCs w:val="16"/>
              </w:rPr>
            </w:pPr>
          </w:p>
        </w:tc>
      </w:tr>
      <w:tr w:rsidR="000125E6" w:rsidRPr="00FB38E1" w14:paraId="57BE96E2" w14:textId="77777777" w:rsidTr="00CC6C11">
        <w:tc>
          <w:tcPr>
            <w:tcW w:w="1611" w:type="pct"/>
            <w:tcBorders>
              <w:top w:val="single" w:sz="4" w:space="0" w:color="auto"/>
            </w:tcBorders>
            <w:shd w:val="clear" w:color="auto" w:fill="auto"/>
            <w:tcMar>
              <w:left w:w="57" w:type="dxa"/>
              <w:right w:w="57" w:type="dxa"/>
            </w:tcMar>
            <w:vAlign w:val="bottom"/>
          </w:tcPr>
          <w:p w14:paraId="642A5C6D" w14:textId="03339735" w:rsidR="000125E6" w:rsidRPr="00FB38E1" w:rsidRDefault="000125E6" w:rsidP="000125E6">
            <w:pPr>
              <w:rPr>
                <w:rFonts w:ascii="Microsoft Sans Serif" w:hAnsi="Microsoft Sans Serif" w:cs="Microsoft Sans Serif"/>
                <w:b/>
                <w:sz w:val="16"/>
                <w:szCs w:val="16"/>
              </w:rPr>
            </w:pPr>
            <w:r w:rsidRPr="00FB38E1">
              <w:rPr>
                <w:rFonts w:ascii="Microsoft Sans Serif" w:hAnsi="Microsoft Sans Serif" w:cs="Microsoft Sans Serif"/>
                <w:color w:val="404040"/>
                <w:sz w:val="16"/>
                <w:szCs w:val="16"/>
              </w:rPr>
              <w:t>Bora Böcügöz</w:t>
            </w:r>
          </w:p>
        </w:tc>
        <w:tc>
          <w:tcPr>
            <w:tcW w:w="2891" w:type="pct"/>
            <w:tcBorders>
              <w:top w:val="single" w:sz="4" w:space="0" w:color="auto"/>
            </w:tcBorders>
            <w:shd w:val="clear" w:color="auto" w:fill="auto"/>
            <w:tcMar>
              <w:left w:w="57" w:type="dxa"/>
              <w:right w:w="57" w:type="dxa"/>
            </w:tcMar>
            <w:vAlign w:val="bottom"/>
          </w:tcPr>
          <w:p w14:paraId="4828AC85" w14:textId="434DCE02" w:rsidR="000125E6" w:rsidRPr="00FB38E1" w:rsidRDefault="000125E6" w:rsidP="000125E6">
            <w:pPr>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Hazine, Finansal Kurumlar ve Yatırım</w:t>
            </w:r>
          </w:p>
        </w:tc>
        <w:tc>
          <w:tcPr>
            <w:tcW w:w="498" w:type="pct"/>
            <w:tcBorders>
              <w:top w:val="single" w:sz="4" w:space="0" w:color="auto"/>
            </w:tcBorders>
            <w:shd w:val="clear" w:color="auto" w:fill="auto"/>
            <w:tcMar>
              <w:left w:w="57" w:type="dxa"/>
              <w:right w:w="57" w:type="dxa"/>
            </w:tcMar>
            <w:vAlign w:val="bottom"/>
          </w:tcPr>
          <w:p w14:paraId="5B6F4BDF" w14:textId="55ACDCE2" w:rsidR="000125E6" w:rsidRPr="00FB38E1" w:rsidRDefault="000125E6" w:rsidP="000125E6">
            <w:pPr>
              <w:jc w:val="center"/>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r>
      <w:tr w:rsidR="000125E6" w:rsidRPr="00FB38E1" w14:paraId="55C0598C" w14:textId="77777777" w:rsidTr="00CC6C11">
        <w:tc>
          <w:tcPr>
            <w:tcW w:w="1611" w:type="pct"/>
            <w:shd w:val="clear" w:color="auto" w:fill="auto"/>
            <w:tcMar>
              <w:left w:w="57" w:type="dxa"/>
              <w:right w:w="57" w:type="dxa"/>
            </w:tcMar>
            <w:vAlign w:val="bottom"/>
          </w:tcPr>
          <w:p w14:paraId="45AF3305" w14:textId="5C052C01"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Ruslan Abil</w:t>
            </w:r>
          </w:p>
        </w:tc>
        <w:tc>
          <w:tcPr>
            <w:tcW w:w="2891" w:type="pct"/>
            <w:shd w:val="clear" w:color="auto" w:fill="auto"/>
            <w:tcMar>
              <w:left w:w="57" w:type="dxa"/>
              <w:right w:w="57" w:type="dxa"/>
            </w:tcMar>
            <w:vAlign w:val="bottom"/>
          </w:tcPr>
          <w:p w14:paraId="6D451544" w14:textId="442AD39D"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Mali İşler</w:t>
            </w:r>
          </w:p>
        </w:tc>
        <w:tc>
          <w:tcPr>
            <w:tcW w:w="498" w:type="pct"/>
            <w:shd w:val="clear" w:color="auto" w:fill="auto"/>
            <w:tcMar>
              <w:left w:w="57" w:type="dxa"/>
              <w:right w:w="57" w:type="dxa"/>
            </w:tcMar>
            <w:vAlign w:val="bottom"/>
          </w:tcPr>
          <w:p w14:paraId="0E4DB25D" w14:textId="16568D48"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59097B71" w14:textId="77777777" w:rsidTr="00CC6C11">
        <w:tc>
          <w:tcPr>
            <w:tcW w:w="1611" w:type="pct"/>
            <w:shd w:val="clear" w:color="auto" w:fill="auto"/>
            <w:tcMar>
              <w:left w:w="57" w:type="dxa"/>
              <w:right w:w="57" w:type="dxa"/>
            </w:tcMar>
            <w:vAlign w:val="bottom"/>
          </w:tcPr>
          <w:p w14:paraId="2162FD8B" w14:textId="7F00B424"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Cem Demirağ</w:t>
            </w:r>
          </w:p>
        </w:tc>
        <w:tc>
          <w:tcPr>
            <w:tcW w:w="2891" w:type="pct"/>
            <w:shd w:val="clear" w:color="auto" w:fill="auto"/>
            <w:tcMar>
              <w:left w:w="57" w:type="dxa"/>
              <w:right w:w="57" w:type="dxa"/>
            </w:tcMar>
            <w:vAlign w:val="bottom"/>
          </w:tcPr>
          <w:p w14:paraId="6DA5752B" w14:textId="7B8F0CFB"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Uyum Başkanı</w:t>
            </w:r>
          </w:p>
        </w:tc>
        <w:tc>
          <w:tcPr>
            <w:tcW w:w="498" w:type="pct"/>
            <w:shd w:val="clear" w:color="auto" w:fill="auto"/>
            <w:tcMar>
              <w:left w:w="57" w:type="dxa"/>
              <w:right w:w="57" w:type="dxa"/>
            </w:tcMar>
            <w:vAlign w:val="bottom"/>
          </w:tcPr>
          <w:p w14:paraId="7F8CD662" w14:textId="02F6A11E"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469A433D" w14:textId="77777777" w:rsidTr="00CC6C11">
        <w:tc>
          <w:tcPr>
            <w:tcW w:w="1611" w:type="pct"/>
            <w:shd w:val="clear" w:color="auto" w:fill="auto"/>
            <w:tcMar>
              <w:left w:w="57" w:type="dxa"/>
              <w:right w:w="57" w:type="dxa"/>
            </w:tcMar>
            <w:vAlign w:val="bottom"/>
          </w:tcPr>
          <w:p w14:paraId="5BD1720B" w14:textId="7C345553"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Ali Murat Dizdar</w:t>
            </w:r>
          </w:p>
        </w:tc>
        <w:tc>
          <w:tcPr>
            <w:tcW w:w="2891" w:type="pct"/>
            <w:shd w:val="clear" w:color="auto" w:fill="auto"/>
            <w:tcMar>
              <w:left w:w="57" w:type="dxa"/>
              <w:right w:w="57" w:type="dxa"/>
            </w:tcMar>
            <w:vAlign w:val="bottom"/>
          </w:tcPr>
          <w:p w14:paraId="0D110197" w14:textId="4E680F71"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Hukuk Baş Müşaviri</w:t>
            </w:r>
          </w:p>
        </w:tc>
        <w:tc>
          <w:tcPr>
            <w:tcW w:w="498" w:type="pct"/>
            <w:shd w:val="clear" w:color="auto" w:fill="auto"/>
            <w:tcMar>
              <w:left w:w="57" w:type="dxa"/>
              <w:right w:w="57" w:type="dxa"/>
            </w:tcMar>
            <w:vAlign w:val="bottom"/>
          </w:tcPr>
          <w:p w14:paraId="6076BF6B" w14:textId="1D47B89D"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1D57AF1C" w14:textId="77777777" w:rsidTr="00CC6C11">
        <w:tc>
          <w:tcPr>
            <w:tcW w:w="1611" w:type="pct"/>
            <w:shd w:val="clear" w:color="auto" w:fill="auto"/>
            <w:tcMar>
              <w:left w:w="57" w:type="dxa"/>
              <w:right w:w="57" w:type="dxa"/>
            </w:tcMar>
            <w:vAlign w:val="bottom"/>
          </w:tcPr>
          <w:p w14:paraId="27124D0F" w14:textId="73FEB0EE"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Ayşenur Hıçkıran</w:t>
            </w:r>
          </w:p>
        </w:tc>
        <w:tc>
          <w:tcPr>
            <w:tcW w:w="2891" w:type="pct"/>
            <w:shd w:val="clear" w:color="auto" w:fill="auto"/>
            <w:tcMar>
              <w:left w:w="57" w:type="dxa"/>
              <w:right w:w="57" w:type="dxa"/>
            </w:tcMar>
            <w:vAlign w:val="bottom"/>
          </w:tcPr>
          <w:p w14:paraId="04230062" w14:textId="1D185E9D"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Perakende Bankacılık</w:t>
            </w:r>
          </w:p>
        </w:tc>
        <w:tc>
          <w:tcPr>
            <w:tcW w:w="498" w:type="pct"/>
            <w:shd w:val="clear" w:color="auto" w:fill="auto"/>
            <w:tcMar>
              <w:left w:w="57" w:type="dxa"/>
              <w:right w:w="57" w:type="dxa"/>
            </w:tcMar>
            <w:vAlign w:val="bottom"/>
          </w:tcPr>
          <w:p w14:paraId="4DD27177" w14:textId="553520A0"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0261F0B9" w14:textId="77777777" w:rsidTr="00CC6C11">
        <w:tc>
          <w:tcPr>
            <w:tcW w:w="1611" w:type="pct"/>
            <w:shd w:val="clear" w:color="auto" w:fill="auto"/>
            <w:tcMar>
              <w:left w:w="57" w:type="dxa"/>
              <w:right w:w="57" w:type="dxa"/>
            </w:tcMar>
            <w:vAlign w:val="bottom"/>
          </w:tcPr>
          <w:p w14:paraId="6ED312DA" w14:textId="534746E7"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Selim Efe Teoman</w:t>
            </w:r>
          </w:p>
        </w:tc>
        <w:tc>
          <w:tcPr>
            <w:tcW w:w="2891" w:type="pct"/>
            <w:shd w:val="clear" w:color="auto" w:fill="auto"/>
            <w:tcMar>
              <w:left w:w="57" w:type="dxa"/>
              <w:right w:w="57" w:type="dxa"/>
            </w:tcMar>
            <w:vAlign w:val="bottom"/>
          </w:tcPr>
          <w:p w14:paraId="32872B49" w14:textId="253E74E2" w:rsidR="000125E6" w:rsidRPr="00FB38E1" w:rsidRDefault="00301ED7"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Krediler</w:t>
            </w:r>
            <w:r w:rsidR="000125E6" w:rsidRPr="00FB38E1">
              <w:rPr>
                <w:rFonts w:ascii="Microsoft Sans Serif" w:hAnsi="Microsoft Sans Serif" w:cs="Microsoft Sans Serif"/>
                <w:color w:val="404040"/>
                <w:sz w:val="16"/>
                <w:szCs w:val="16"/>
              </w:rPr>
              <w:t xml:space="preserve"> </w:t>
            </w:r>
          </w:p>
        </w:tc>
        <w:tc>
          <w:tcPr>
            <w:tcW w:w="498" w:type="pct"/>
            <w:shd w:val="clear" w:color="auto" w:fill="auto"/>
            <w:tcMar>
              <w:left w:w="57" w:type="dxa"/>
              <w:right w:w="57" w:type="dxa"/>
            </w:tcMar>
            <w:vAlign w:val="bottom"/>
          </w:tcPr>
          <w:p w14:paraId="06944D30" w14:textId="7436BC99"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55206033" w14:textId="77777777" w:rsidTr="00CC6C11">
        <w:tc>
          <w:tcPr>
            <w:tcW w:w="1611" w:type="pct"/>
            <w:shd w:val="clear" w:color="auto" w:fill="auto"/>
            <w:tcMar>
              <w:left w:w="57" w:type="dxa"/>
              <w:right w:w="57" w:type="dxa"/>
            </w:tcMar>
            <w:vAlign w:val="bottom"/>
          </w:tcPr>
          <w:p w14:paraId="29F8E97F" w14:textId="00E98828" w:rsidR="000125E6" w:rsidRPr="00FB38E1" w:rsidRDefault="0051093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Engin Eskiduman</w:t>
            </w:r>
          </w:p>
        </w:tc>
        <w:tc>
          <w:tcPr>
            <w:tcW w:w="2891" w:type="pct"/>
            <w:shd w:val="clear" w:color="auto" w:fill="auto"/>
            <w:tcMar>
              <w:left w:w="57" w:type="dxa"/>
              <w:right w:w="57" w:type="dxa"/>
            </w:tcMar>
            <w:vAlign w:val="bottom"/>
          </w:tcPr>
          <w:p w14:paraId="4D2275D1" w14:textId="34C81461"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KOBİ Bankacılığı</w:t>
            </w:r>
            <w:r w:rsidR="00301ED7" w:rsidRPr="00FB38E1">
              <w:rPr>
                <w:rFonts w:ascii="Microsoft Sans Serif" w:hAnsi="Microsoft Sans Serif" w:cs="Microsoft Sans Serif"/>
                <w:color w:val="404040"/>
                <w:sz w:val="16"/>
                <w:szCs w:val="16"/>
              </w:rPr>
              <w:t>, Tarım Bankacılığı</w:t>
            </w:r>
            <w:r w:rsidRPr="00FB38E1">
              <w:rPr>
                <w:rFonts w:ascii="Microsoft Sans Serif" w:hAnsi="Microsoft Sans Serif" w:cs="Microsoft Sans Serif"/>
                <w:color w:val="404040"/>
                <w:sz w:val="16"/>
                <w:szCs w:val="16"/>
              </w:rPr>
              <w:t xml:space="preserve"> ve Kamu Finansmanı</w:t>
            </w:r>
          </w:p>
        </w:tc>
        <w:tc>
          <w:tcPr>
            <w:tcW w:w="498" w:type="pct"/>
            <w:shd w:val="clear" w:color="auto" w:fill="auto"/>
            <w:tcMar>
              <w:left w:w="57" w:type="dxa"/>
              <w:right w:w="57" w:type="dxa"/>
            </w:tcMar>
            <w:vAlign w:val="bottom"/>
          </w:tcPr>
          <w:p w14:paraId="3E0EB41C" w14:textId="7E6C3931"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002F734B" w14:textId="77777777" w:rsidTr="00CC6C11">
        <w:tc>
          <w:tcPr>
            <w:tcW w:w="1611" w:type="pct"/>
            <w:shd w:val="clear" w:color="auto" w:fill="auto"/>
            <w:tcMar>
              <w:left w:w="57" w:type="dxa"/>
              <w:right w:w="57" w:type="dxa"/>
            </w:tcMar>
            <w:vAlign w:val="bottom"/>
          </w:tcPr>
          <w:p w14:paraId="5617700C" w14:textId="546E8B06"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Necip Yavuz Elkin</w:t>
            </w:r>
          </w:p>
        </w:tc>
        <w:tc>
          <w:tcPr>
            <w:tcW w:w="2891" w:type="pct"/>
            <w:shd w:val="clear" w:color="auto" w:fill="auto"/>
            <w:tcMar>
              <w:left w:w="57" w:type="dxa"/>
              <w:right w:w="57" w:type="dxa"/>
            </w:tcMar>
            <w:vAlign w:val="bottom"/>
          </w:tcPr>
          <w:p w14:paraId="5C326F4C" w14:textId="195A8D6F"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İnsan Kaynakları ve Deniz Akademi</w:t>
            </w:r>
          </w:p>
        </w:tc>
        <w:tc>
          <w:tcPr>
            <w:tcW w:w="498" w:type="pct"/>
            <w:shd w:val="clear" w:color="auto" w:fill="auto"/>
            <w:tcMar>
              <w:left w:w="57" w:type="dxa"/>
              <w:right w:w="57" w:type="dxa"/>
            </w:tcMar>
            <w:vAlign w:val="bottom"/>
          </w:tcPr>
          <w:p w14:paraId="15E4A8E1" w14:textId="32561B9B"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3B33DD6C" w14:textId="77777777" w:rsidTr="00CC6C11">
        <w:tc>
          <w:tcPr>
            <w:tcW w:w="1611" w:type="pct"/>
            <w:tcBorders>
              <w:top w:val="nil"/>
              <w:bottom w:val="nil"/>
            </w:tcBorders>
            <w:shd w:val="clear" w:color="auto" w:fill="auto"/>
            <w:tcMar>
              <w:left w:w="57" w:type="dxa"/>
              <w:right w:w="57" w:type="dxa"/>
            </w:tcMar>
            <w:vAlign w:val="bottom"/>
          </w:tcPr>
          <w:p w14:paraId="258090C9" w14:textId="0B74AB27" w:rsidR="000125E6" w:rsidRPr="00FB38E1" w:rsidRDefault="000125E6" w:rsidP="0051093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Oğuzhan Özark</w:t>
            </w:r>
          </w:p>
        </w:tc>
        <w:tc>
          <w:tcPr>
            <w:tcW w:w="2891" w:type="pct"/>
            <w:tcBorders>
              <w:top w:val="nil"/>
              <w:bottom w:val="nil"/>
            </w:tcBorders>
            <w:shd w:val="clear" w:color="auto" w:fill="auto"/>
            <w:tcMar>
              <w:left w:w="57" w:type="dxa"/>
              <w:right w:w="57" w:type="dxa"/>
            </w:tcMar>
            <w:vAlign w:val="bottom"/>
          </w:tcPr>
          <w:p w14:paraId="503F2977" w14:textId="3095B084"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Bireysel </w:t>
            </w:r>
            <w:r w:rsidR="00147D27" w:rsidRPr="00FB38E1">
              <w:rPr>
                <w:rFonts w:ascii="Microsoft Sans Serif" w:hAnsi="Microsoft Sans Serif" w:cs="Microsoft Sans Serif"/>
                <w:color w:val="404040"/>
                <w:sz w:val="16"/>
                <w:szCs w:val="16"/>
              </w:rPr>
              <w:t xml:space="preserve">ve Özel </w:t>
            </w:r>
            <w:r w:rsidRPr="00FB38E1">
              <w:rPr>
                <w:rFonts w:ascii="Microsoft Sans Serif" w:hAnsi="Microsoft Sans Serif" w:cs="Microsoft Sans Serif"/>
                <w:color w:val="404040"/>
                <w:sz w:val="16"/>
                <w:szCs w:val="16"/>
              </w:rPr>
              <w:t>Bankacılık</w:t>
            </w:r>
          </w:p>
        </w:tc>
        <w:tc>
          <w:tcPr>
            <w:tcW w:w="498" w:type="pct"/>
            <w:tcBorders>
              <w:top w:val="nil"/>
              <w:bottom w:val="nil"/>
            </w:tcBorders>
            <w:shd w:val="clear" w:color="auto" w:fill="auto"/>
            <w:tcMar>
              <w:left w:w="57" w:type="dxa"/>
              <w:right w:w="57" w:type="dxa"/>
            </w:tcMar>
            <w:vAlign w:val="bottom"/>
          </w:tcPr>
          <w:p w14:paraId="222687C9" w14:textId="4303A17C"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36565380" w14:textId="77777777" w:rsidTr="00CC6C11">
        <w:tc>
          <w:tcPr>
            <w:tcW w:w="1611" w:type="pct"/>
            <w:tcBorders>
              <w:top w:val="nil"/>
            </w:tcBorders>
            <w:shd w:val="clear" w:color="auto" w:fill="auto"/>
            <w:tcMar>
              <w:left w:w="57" w:type="dxa"/>
              <w:right w:w="57" w:type="dxa"/>
            </w:tcMar>
            <w:vAlign w:val="bottom"/>
          </w:tcPr>
          <w:p w14:paraId="45F504AC" w14:textId="2B6FBD0D"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Sinan Yılmaz</w:t>
            </w:r>
          </w:p>
        </w:tc>
        <w:tc>
          <w:tcPr>
            <w:tcW w:w="2891" w:type="pct"/>
            <w:tcBorders>
              <w:top w:val="nil"/>
            </w:tcBorders>
            <w:shd w:val="clear" w:color="auto" w:fill="auto"/>
            <w:tcMar>
              <w:left w:w="57" w:type="dxa"/>
              <w:right w:w="57" w:type="dxa"/>
            </w:tcMar>
            <w:vAlign w:val="bottom"/>
          </w:tcPr>
          <w:p w14:paraId="63C1197E" w14:textId="39579D4D"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Risk Yönetimi Grubu Başkanı</w:t>
            </w:r>
          </w:p>
        </w:tc>
        <w:tc>
          <w:tcPr>
            <w:tcW w:w="498" w:type="pct"/>
            <w:tcBorders>
              <w:top w:val="nil"/>
            </w:tcBorders>
            <w:shd w:val="clear" w:color="auto" w:fill="auto"/>
            <w:tcMar>
              <w:left w:w="57" w:type="dxa"/>
              <w:right w:w="57" w:type="dxa"/>
            </w:tcMar>
            <w:vAlign w:val="bottom"/>
          </w:tcPr>
          <w:p w14:paraId="01FBDCE8" w14:textId="1A6CD9EC"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34363479" w14:textId="77777777" w:rsidTr="00CC6C11">
        <w:tc>
          <w:tcPr>
            <w:tcW w:w="1611" w:type="pct"/>
            <w:shd w:val="clear" w:color="auto" w:fill="auto"/>
            <w:tcMar>
              <w:left w:w="57" w:type="dxa"/>
              <w:right w:w="57" w:type="dxa"/>
            </w:tcMar>
          </w:tcPr>
          <w:p w14:paraId="1BB44301" w14:textId="3AB2B4BC"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Verda Beril Yüzer Oğuz </w:t>
            </w:r>
          </w:p>
        </w:tc>
        <w:tc>
          <w:tcPr>
            <w:tcW w:w="2891" w:type="pct"/>
            <w:shd w:val="clear" w:color="auto" w:fill="auto"/>
            <w:tcMar>
              <w:left w:w="57" w:type="dxa"/>
              <w:right w:w="57" w:type="dxa"/>
            </w:tcMar>
          </w:tcPr>
          <w:p w14:paraId="6D7B4597" w14:textId="55F14535"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Finansal Kurumlar</w:t>
            </w:r>
            <w:r w:rsidR="00A813D6" w:rsidRPr="00FB38E1">
              <w:rPr>
                <w:rFonts w:ascii="Microsoft Sans Serif" w:hAnsi="Microsoft Sans Serif" w:cs="Microsoft Sans Serif"/>
                <w:color w:val="404040"/>
                <w:sz w:val="16"/>
                <w:szCs w:val="16"/>
              </w:rPr>
              <w:t xml:space="preserve"> ve Sürdürülebilirlik Koordinasyon</w:t>
            </w:r>
          </w:p>
        </w:tc>
        <w:tc>
          <w:tcPr>
            <w:tcW w:w="498" w:type="pct"/>
            <w:shd w:val="clear" w:color="auto" w:fill="auto"/>
            <w:tcMar>
              <w:left w:w="57" w:type="dxa"/>
              <w:right w:w="57" w:type="dxa"/>
            </w:tcMar>
            <w:vAlign w:val="bottom"/>
          </w:tcPr>
          <w:p w14:paraId="2D29B5F5" w14:textId="68EBEF2A"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41597297" w14:textId="77777777" w:rsidTr="00CC6C11">
        <w:tc>
          <w:tcPr>
            <w:tcW w:w="1611" w:type="pct"/>
            <w:shd w:val="clear" w:color="auto" w:fill="auto"/>
            <w:tcMar>
              <w:left w:w="57" w:type="dxa"/>
              <w:right w:w="57" w:type="dxa"/>
            </w:tcMar>
          </w:tcPr>
          <w:p w14:paraId="4BAAD2CD" w14:textId="3F7B64CC" w:rsidR="000125E6" w:rsidRPr="00FB38E1" w:rsidRDefault="000125E6" w:rsidP="0051093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Umut Özdoğan</w:t>
            </w:r>
          </w:p>
        </w:tc>
        <w:tc>
          <w:tcPr>
            <w:tcW w:w="2891" w:type="pct"/>
            <w:shd w:val="clear" w:color="auto" w:fill="auto"/>
            <w:tcMar>
              <w:left w:w="57" w:type="dxa"/>
              <w:right w:w="57" w:type="dxa"/>
            </w:tcMar>
          </w:tcPr>
          <w:p w14:paraId="7365DFE8" w14:textId="3FD46AE7" w:rsidR="000125E6" w:rsidRPr="00FB38E1" w:rsidRDefault="00A41DB3"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Şube ve Merkezi Operasyonlar</w:t>
            </w:r>
          </w:p>
        </w:tc>
        <w:tc>
          <w:tcPr>
            <w:tcW w:w="498" w:type="pct"/>
            <w:shd w:val="clear" w:color="auto" w:fill="auto"/>
            <w:tcMar>
              <w:left w:w="57" w:type="dxa"/>
              <w:right w:w="57" w:type="dxa"/>
            </w:tcMar>
            <w:vAlign w:val="bottom"/>
          </w:tcPr>
          <w:p w14:paraId="264BB487" w14:textId="4820A6CE"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33280F9C" w14:textId="77777777" w:rsidTr="00CC6C11">
        <w:tc>
          <w:tcPr>
            <w:tcW w:w="1611" w:type="pct"/>
            <w:shd w:val="clear" w:color="auto" w:fill="auto"/>
            <w:tcMar>
              <w:left w:w="57" w:type="dxa"/>
              <w:right w:w="57" w:type="dxa"/>
            </w:tcMar>
          </w:tcPr>
          <w:p w14:paraId="168EA533" w14:textId="2CC4D1AB" w:rsidR="000125E6" w:rsidRPr="00FB38E1" w:rsidRDefault="000125E6" w:rsidP="00510936">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Savaş Çıtak</w:t>
            </w:r>
          </w:p>
        </w:tc>
        <w:tc>
          <w:tcPr>
            <w:tcW w:w="2891" w:type="pct"/>
            <w:shd w:val="clear" w:color="auto" w:fill="auto"/>
            <w:tcMar>
              <w:left w:w="57" w:type="dxa"/>
              <w:right w:w="57" w:type="dxa"/>
            </w:tcMar>
            <w:vAlign w:val="bottom"/>
          </w:tcPr>
          <w:p w14:paraId="79646493" w14:textId="5A8B9D21" w:rsidR="000125E6" w:rsidRPr="00FB38E1" w:rsidRDefault="000125E6" w:rsidP="000125E6">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Proje Finansmanı, Finansal Yapılandırma ve Krediler Uluslararası Koordinasyon</w:t>
            </w:r>
          </w:p>
        </w:tc>
        <w:tc>
          <w:tcPr>
            <w:tcW w:w="498" w:type="pct"/>
            <w:shd w:val="clear" w:color="auto" w:fill="auto"/>
            <w:tcMar>
              <w:left w:w="57" w:type="dxa"/>
              <w:right w:w="57" w:type="dxa"/>
            </w:tcMar>
            <w:vAlign w:val="bottom"/>
          </w:tcPr>
          <w:p w14:paraId="1B7358F2" w14:textId="5D2B20EC"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4B6B959E" w14:textId="77777777" w:rsidTr="00CC6C11">
        <w:tc>
          <w:tcPr>
            <w:tcW w:w="1611" w:type="pct"/>
            <w:shd w:val="clear" w:color="auto" w:fill="auto"/>
            <w:tcMar>
              <w:left w:w="57" w:type="dxa"/>
              <w:right w:w="57" w:type="dxa"/>
            </w:tcMar>
          </w:tcPr>
          <w:p w14:paraId="6CF4E459" w14:textId="7C134A59" w:rsidR="000125E6" w:rsidRPr="00FB38E1" w:rsidRDefault="000125E6" w:rsidP="0051093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Kishore Swayamberdut Bhatt</w:t>
            </w:r>
          </w:p>
        </w:tc>
        <w:tc>
          <w:tcPr>
            <w:tcW w:w="2891" w:type="pct"/>
            <w:shd w:val="clear" w:color="auto" w:fill="auto"/>
            <w:tcMar>
              <w:left w:w="57" w:type="dxa"/>
              <w:right w:w="57" w:type="dxa"/>
            </w:tcMar>
          </w:tcPr>
          <w:p w14:paraId="09E91B41" w14:textId="7C835CD8"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Kredi Tahsis</w:t>
            </w:r>
          </w:p>
        </w:tc>
        <w:tc>
          <w:tcPr>
            <w:tcW w:w="498" w:type="pct"/>
            <w:shd w:val="clear" w:color="auto" w:fill="auto"/>
            <w:tcMar>
              <w:left w:w="57" w:type="dxa"/>
              <w:right w:w="57" w:type="dxa"/>
            </w:tcMar>
            <w:vAlign w:val="bottom"/>
          </w:tcPr>
          <w:p w14:paraId="4EC735E6" w14:textId="1A2D89DF"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25FFDC26" w14:textId="77777777" w:rsidTr="00CC6C11">
        <w:tc>
          <w:tcPr>
            <w:tcW w:w="1611" w:type="pct"/>
            <w:shd w:val="clear" w:color="auto" w:fill="auto"/>
            <w:tcMar>
              <w:left w:w="57" w:type="dxa"/>
              <w:right w:w="57" w:type="dxa"/>
            </w:tcMar>
          </w:tcPr>
          <w:p w14:paraId="0EB6FF64" w14:textId="6D777793" w:rsidR="000125E6" w:rsidRPr="00FB38E1" w:rsidRDefault="000125E6" w:rsidP="0051093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Mustafa Okan Çetinkaya</w:t>
            </w:r>
          </w:p>
        </w:tc>
        <w:tc>
          <w:tcPr>
            <w:tcW w:w="2891" w:type="pct"/>
            <w:shd w:val="clear" w:color="auto" w:fill="auto"/>
            <w:tcMar>
              <w:left w:w="57" w:type="dxa"/>
              <w:right w:w="57" w:type="dxa"/>
            </w:tcMar>
          </w:tcPr>
          <w:p w14:paraId="1D7051C2" w14:textId="37C3814D"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Analitik, Veri ve Müşteri Değer Yönetimi Politikaları</w:t>
            </w:r>
          </w:p>
        </w:tc>
        <w:tc>
          <w:tcPr>
            <w:tcW w:w="498" w:type="pct"/>
            <w:shd w:val="clear" w:color="auto" w:fill="auto"/>
            <w:tcMar>
              <w:left w:w="57" w:type="dxa"/>
              <w:right w:w="57" w:type="dxa"/>
            </w:tcMar>
            <w:vAlign w:val="bottom"/>
          </w:tcPr>
          <w:p w14:paraId="78FD3C51" w14:textId="36E0E692"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067524F1" w14:textId="77777777" w:rsidTr="00CC6C11">
        <w:tc>
          <w:tcPr>
            <w:tcW w:w="1611" w:type="pct"/>
            <w:shd w:val="clear" w:color="auto" w:fill="auto"/>
            <w:tcMar>
              <w:left w:w="57" w:type="dxa"/>
              <w:right w:w="57" w:type="dxa"/>
            </w:tcMar>
          </w:tcPr>
          <w:p w14:paraId="34B0280D" w14:textId="265FEE26" w:rsidR="000125E6" w:rsidRPr="00FB38E1" w:rsidRDefault="000125E6" w:rsidP="0051093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Ali Rıza Aydın</w:t>
            </w:r>
          </w:p>
        </w:tc>
        <w:tc>
          <w:tcPr>
            <w:tcW w:w="2891" w:type="pct"/>
            <w:shd w:val="clear" w:color="auto" w:fill="auto"/>
            <w:tcMar>
              <w:left w:w="57" w:type="dxa"/>
              <w:right w:w="57" w:type="dxa"/>
            </w:tcMar>
          </w:tcPr>
          <w:p w14:paraId="64FD3876" w14:textId="1116F53E"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Bilgi Güvenliği ve Bilgi Teknolojileri Risk Yönetimi</w:t>
            </w:r>
          </w:p>
        </w:tc>
        <w:tc>
          <w:tcPr>
            <w:tcW w:w="498" w:type="pct"/>
            <w:shd w:val="clear" w:color="auto" w:fill="auto"/>
            <w:tcMar>
              <w:left w:w="57" w:type="dxa"/>
              <w:right w:w="57" w:type="dxa"/>
            </w:tcMar>
            <w:vAlign w:val="bottom"/>
          </w:tcPr>
          <w:p w14:paraId="616BFA7B" w14:textId="2473BA11"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0125E6" w:rsidRPr="00FB38E1" w14:paraId="6AA30CC5" w14:textId="77777777" w:rsidTr="00CC6C11">
        <w:tc>
          <w:tcPr>
            <w:tcW w:w="1611" w:type="pct"/>
            <w:shd w:val="clear" w:color="auto" w:fill="auto"/>
            <w:tcMar>
              <w:left w:w="57" w:type="dxa"/>
              <w:right w:w="57" w:type="dxa"/>
            </w:tcMar>
          </w:tcPr>
          <w:p w14:paraId="330C2CFD" w14:textId="4C3BF0C9" w:rsidR="000125E6" w:rsidRPr="00FB38E1" w:rsidRDefault="000125E6" w:rsidP="0051093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Okan Aksu</w:t>
            </w:r>
          </w:p>
        </w:tc>
        <w:tc>
          <w:tcPr>
            <w:tcW w:w="2891" w:type="pct"/>
            <w:shd w:val="clear" w:color="auto" w:fill="auto"/>
            <w:tcMar>
              <w:left w:w="57" w:type="dxa"/>
              <w:right w:w="57" w:type="dxa"/>
            </w:tcMar>
          </w:tcPr>
          <w:p w14:paraId="7526B4BB" w14:textId="41565E5C" w:rsidR="000125E6" w:rsidRPr="00FB38E1" w:rsidRDefault="000125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Hazine Grubu</w:t>
            </w:r>
          </w:p>
        </w:tc>
        <w:tc>
          <w:tcPr>
            <w:tcW w:w="498" w:type="pct"/>
            <w:shd w:val="clear" w:color="auto" w:fill="auto"/>
            <w:tcMar>
              <w:left w:w="57" w:type="dxa"/>
              <w:right w:w="57" w:type="dxa"/>
            </w:tcMar>
            <w:vAlign w:val="bottom"/>
          </w:tcPr>
          <w:p w14:paraId="68F06D6E" w14:textId="2E5CBB4E" w:rsidR="000125E6" w:rsidRPr="00FB38E1" w:rsidRDefault="000125E6"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E6EE6" w:rsidRPr="00FB38E1" w14:paraId="71C8E2A1" w14:textId="77777777" w:rsidTr="00CC6C11">
        <w:tc>
          <w:tcPr>
            <w:tcW w:w="1611" w:type="pct"/>
            <w:shd w:val="clear" w:color="auto" w:fill="auto"/>
            <w:tcMar>
              <w:left w:w="57" w:type="dxa"/>
              <w:right w:w="57" w:type="dxa"/>
            </w:tcMar>
          </w:tcPr>
          <w:p w14:paraId="6E2C8AF1" w14:textId="2A371B43" w:rsidR="005E6EE6" w:rsidRPr="00FB38E1" w:rsidRDefault="005E6EE6" w:rsidP="0051093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Serkan Boran</w:t>
            </w:r>
          </w:p>
        </w:tc>
        <w:tc>
          <w:tcPr>
            <w:tcW w:w="2891" w:type="pct"/>
            <w:shd w:val="clear" w:color="auto" w:fill="auto"/>
            <w:tcMar>
              <w:left w:w="57" w:type="dxa"/>
              <w:right w:w="57" w:type="dxa"/>
            </w:tcMar>
          </w:tcPr>
          <w:p w14:paraId="3DDB3CAE" w14:textId="47548FC5" w:rsidR="005E6EE6" w:rsidRPr="00FB38E1" w:rsidRDefault="005E6EE6" w:rsidP="000125E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Sorunlu Alacak Çözümleme</w:t>
            </w:r>
          </w:p>
        </w:tc>
        <w:tc>
          <w:tcPr>
            <w:tcW w:w="498" w:type="pct"/>
            <w:shd w:val="clear" w:color="auto" w:fill="auto"/>
            <w:tcMar>
              <w:left w:w="57" w:type="dxa"/>
              <w:right w:w="57" w:type="dxa"/>
            </w:tcMar>
            <w:vAlign w:val="bottom"/>
          </w:tcPr>
          <w:p w14:paraId="1EB3C63D" w14:textId="174C60B6" w:rsidR="005E6EE6" w:rsidRPr="00FB38E1" w:rsidRDefault="00D73AE7" w:rsidP="000125E6">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4776F6" w:rsidRPr="00FB38E1" w14:paraId="63D99C29" w14:textId="77777777" w:rsidTr="00CC6C11">
        <w:tc>
          <w:tcPr>
            <w:tcW w:w="1611" w:type="pct"/>
            <w:shd w:val="clear" w:color="auto" w:fill="auto"/>
            <w:tcMar>
              <w:left w:w="57" w:type="dxa"/>
              <w:right w:w="57" w:type="dxa"/>
            </w:tcMar>
          </w:tcPr>
          <w:p w14:paraId="17475126" w14:textId="1A03675C" w:rsidR="004776F6" w:rsidRPr="00FB38E1" w:rsidRDefault="004776F6" w:rsidP="004776F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Rasim Orman</w:t>
            </w:r>
          </w:p>
        </w:tc>
        <w:tc>
          <w:tcPr>
            <w:tcW w:w="2891" w:type="pct"/>
            <w:shd w:val="clear" w:color="auto" w:fill="auto"/>
            <w:tcMar>
              <w:left w:w="57" w:type="dxa"/>
              <w:right w:w="57" w:type="dxa"/>
            </w:tcMar>
          </w:tcPr>
          <w:p w14:paraId="2600DF78" w14:textId="0FA0E6DA" w:rsidR="004776F6" w:rsidRPr="00FB38E1" w:rsidRDefault="004776F6" w:rsidP="004776F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Genel Sekreterlik ve Davalar</w:t>
            </w:r>
          </w:p>
        </w:tc>
        <w:tc>
          <w:tcPr>
            <w:tcW w:w="498" w:type="pct"/>
            <w:shd w:val="clear" w:color="auto" w:fill="auto"/>
            <w:tcMar>
              <w:left w:w="57" w:type="dxa"/>
              <w:right w:w="57" w:type="dxa"/>
            </w:tcMar>
            <w:vAlign w:val="bottom"/>
          </w:tcPr>
          <w:p w14:paraId="0A89CF12" w14:textId="77777777" w:rsidR="004776F6" w:rsidRPr="00FB38E1" w:rsidRDefault="004776F6" w:rsidP="004776F6">
            <w:pPr>
              <w:jc w:val="center"/>
              <w:rPr>
                <w:rFonts w:ascii="Microsoft Sans Serif" w:hAnsi="Microsoft Sans Serif" w:cs="Microsoft Sans Serif"/>
                <w:color w:val="404040"/>
                <w:sz w:val="16"/>
                <w:szCs w:val="16"/>
              </w:rPr>
            </w:pPr>
          </w:p>
        </w:tc>
      </w:tr>
      <w:tr w:rsidR="00A41DB3" w:rsidRPr="00FB38E1" w14:paraId="3006ECDE" w14:textId="77777777" w:rsidTr="00CC6C11">
        <w:tc>
          <w:tcPr>
            <w:tcW w:w="1611" w:type="pct"/>
            <w:shd w:val="clear" w:color="auto" w:fill="auto"/>
            <w:tcMar>
              <w:left w:w="57" w:type="dxa"/>
              <w:right w:w="57" w:type="dxa"/>
            </w:tcMar>
          </w:tcPr>
          <w:p w14:paraId="17A37F8F" w14:textId="072E17AB" w:rsidR="00A41DB3" w:rsidRPr="00FB38E1" w:rsidRDefault="00A41DB3" w:rsidP="00A41DB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Hacı Mehmet Oflaz</w:t>
            </w:r>
          </w:p>
        </w:tc>
        <w:tc>
          <w:tcPr>
            <w:tcW w:w="2891" w:type="pct"/>
            <w:shd w:val="clear" w:color="auto" w:fill="auto"/>
            <w:tcMar>
              <w:left w:w="57" w:type="dxa"/>
              <w:right w:w="57" w:type="dxa"/>
            </w:tcMar>
          </w:tcPr>
          <w:p w14:paraId="76615295" w14:textId="0E4EAA2E" w:rsidR="00A41DB3" w:rsidRPr="00FB38E1" w:rsidRDefault="00A41DB3" w:rsidP="00A41DB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Kurumsal ve Ticari Bankacılık</w:t>
            </w:r>
          </w:p>
        </w:tc>
        <w:tc>
          <w:tcPr>
            <w:tcW w:w="498" w:type="pct"/>
            <w:shd w:val="clear" w:color="auto" w:fill="auto"/>
            <w:tcMar>
              <w:left w:w="57" w:type="dxa"/>
              <w:right w:w="57" w:type="dxa"/>
            </w:tcMar>
            <w:vAlign w:val="bottom"/>
          </w:tcPr>
          <w:p w14:paraId="0EAA22D5" w14:textId="7AE35CE1" w:rsidR="00A41DB3" w:rsidRPr="00FB38E1" w:rsidRDefault="00A41DB3" w:rsidP="00A41DB3">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A41DB3" w:rsidRPr="00FB38E1" w14:paraId="2AA022A4" w14:textId="77777777" w:rsidTr="00CC6C11">
        <w:tc>
          <w:tcPr>
            <w:tcW w:w="1611" w:type="pct"/>
            <w:shd w:val="clear" w:color="auto" w:fill="auto"/>
            <w:tcMar>
              <w:left w:w="57" w:type="dxa"/>
              <w:right w:w="57" w:type="dxa"/>
            </w:tcMar>
          </w:tcPr>
          <w:p w14:paraId="7872BA31" w14:textId="6134CC92" w:rsidR="00A41DB3" w:rsidRPr="00FB38E1" w:rsidRDefault="00A41DB3" w:rsidP="004776F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Orkun Solmaz</w:t>
            </w:r>
          </w:p>
        </w:tc>
        <w:tc>
          <w:tcPr>
            <w:tcW w:w="2891" w:type="pct"/>
            <w:shd w:val="clear" w:color="auto" w:fill="auto"/>
            <w:tcMar>
              <w:left w:w="57" w:type="dxa"/>
              <w:right w:w="57" w:type="dxa"/>
            </w:tcMar>
          </w:tcPr>
          <w:p w14:paraId="645DEF52" w14:textId="19781DAA" w:rsidR="00A41DB3" w:rsidRPr="00FB38E1" w:rsidRDefault="00A41DB3" w:rsidP="004776F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Teftiş Kurulu Başkanı</w:t>
            </w:r>
          </w:p>
        </w:tc>
        <w:tc>
          <w:tcPr>
            <w:tcW w:w="498" w:type="pct"/>
            <w:shd w:val="clear" w:color="auto" w:fill="auto"/>
            <w:tcMar>
              <w:left w:w="57" w:type="dxa"/>
              <w:right w:w="57" w:type="dxa"/>
            </w:tcMar>
            <w:vAlign w:val="bottom"/>
          </w:tcPr>
          <w:p w14:paraId="02B31102" w14:textId="77777777" w:rsidR="00A41DB3" w:rsidRPr="00FB38E1" w:rsidRDefault="00A41DB3" w:rsidP="004776F6">
            <w:pPr>
              <w:jc w:val="center"/>
              <w:rPr>
                <w:rFonts w:ascii="Microsoft Sans Serif" w:hAnsi="Microsoft Sans Serif" w:cs="Microsoft Sans Serif"/>
                <w:color w:val="404040"/>
                <w:sz w:val="16"/>
                <w:szCs w:val="16"/>
              </w:rPr>
            </w:pPr>
          </w:p>
        </w:tc>
      </w:tr>
      <w:tr w:rsidR="004776F6" w:rsidRPr="00FB38E1" w14:paraId="23880E77" w14:textId="77777777" w:rsidTr="00CC6C11">
        <w:tc>
          <w:tcPr>
            <w:tcW w:w="1611" w:type="pct"/>
            <w:shd w:val="clear" w:color="auto" w:fill="auto"/>
            <w:tcMar>
              <w:left w:w="57" w:type="dxa"/>
              <w:right w:w="57" w:type="dxa"/>
            </w:tcMar>
          </w:tcPr>
          <w:p w14:paraId="02F370DD" w14:textId="249123ED" w:rsidR="004776F6" w:rsidRPr="00FB38E1" w:rsidRDefault="00A41DB3" w:rsidP="004776F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Cenk İzgi</w:t>
            </w:r>
          </w:p>
        </w:tc>
        <w:tc>
          <w:tcPr>
            <w:tcW w:w="2891" w:type="pct"/>
            <w:shd w:val="clear" w:color="auto" w:fill="auto"/>
            <w:tcMar>
              <w:left w:w="57" w:type="dxa"/>
              <w:right w:w="57" w:type="dxa"/>
            </w:tcMar>
          </w:tcPr>
          <w:p w14:paraId="503D79E5" w14:textId="7660A892" w:rsidR="004776F6" w:rsidRPr="00FB38E1" w:rsidRDefault="00A41DB3" w:rsidP="004776F6">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İç Kontrol Merkezi Başkanı</w:t>
            </w:r>
          </w:p>
        </w:tc>
        <w:tc>
          <w:tcPr>
            <w:tcW w:w="498" w:type="pct"/>
            <w:shd w:val="clear" w:color="auto" w:fill="auto"/>
            <w:tcMar>
              <w:left w:w="57" w:type="dxa"/>
              <w:right w:w="57" w:type="dxa"/>
            </w:tcMar>
            <w:vAlign w:val="bottom"/>
          </w:tcPr>
          <w:p w14:paraId="617A1517" w14:textId="16683CD3" w:rsidR="004776F6" w:rsidRPr="00FB38E1" w:rsidRDefault="004776F6" w:rsidP="004776F6">
            <w:pPr>
              <w:jc w:val="center"/>
              <w:rPr>
                <w:rFonts w:ascii="Microsoft Sans Serif" w:hAnsi="Microsoft Sans Serif" w:cs="Microsoft Sans Serif"/>
                <w:color w:val="404040"/>
                <w:sz w:val="16"/>
                <w:szCs w:val="16"/>
              </w:rPr>
            </w:pPr>
          </w:p>
        </w:tc>
      </w:tr>
    </w:tbl>
    <w:p w14:paraId="37C58008" w14:textId="49293971" w:rsidR="003D499A" w:rsidRPr="00FB38E1" w:rsidRDefault="005C14FA" w:rsidP="004025EC">
      <w:pPr>
        <w:pStyle w:val="ListParagraph"/>
        <w:spacing w:after="0" w:line="240" w:lineRule="exact"/>
        <w:ind w:left="0"/>
        <w:contextualSpacing w:val="0"/>
        <w:rPr>
          <w:rFonts w:ascii="Microsoft Sans Serif" w:hAnsi="Microsoft Sans Serif" w:cs="Microsoft Sans Serif"/>
          <w:color w:val="404040" w:themeColor="text1" w:themeTint="BF"/>
          <w:sz w:val="14"/>
          <w:szCs w:val="14"/>
        </w:rPr>
      </w:pPr>
      <w:bookmarkStart w:id="12" w:name="_Hlk181184668"/>
      <w:r w:rsidRPr="00FB38E1">
        <w:rPr>
          <w:rFonts w:ascii="Microsoft Sans Serif" w:hAnsi="Microsoft Sans Serif" w:cs="Microsoft Sans Serif"/>
          <w:color w:val="404040" w:themeColor="text1" w:themeTint="BF"/>
          <w:sz w:val="14"/>
          <w:szCs w:val="14"/>
        </w:rPr>
        <w:t>(*)</w:t>
      </w:r>
      <w:r w:rsidR="00F86704" w:rsidRPr="00FB38E1">
        <w:rPr>
          <w:rFonts w:ascii="Microsoft Sans Serif" w:hAnsi="Microsoft Sans Serif" w:cs="Microsoft Sans Serif"/>
          <w:color w:val="404040" w:themeColor="text1" w:themeTint="BF"/>
          <w:sz w:val="14"/>
          <w:szCs w:val="14"/>
        </w:rPr>
        <w:tab/>
      </w:r>
      <w:r w:rsidR="00F86704" w:rsidRPr="00FB38E1">
        <w:rPr>
          <w:rFonts w:ascii="Microsoft Sans Serif" w:hAnsi="Microsoft Sans Serif" w:cs="Microsoft Sans Serif"/>
          <w:color w:val="404040" w:themeColor="text1" w:themeTint="BF"/>
          <w:sz w:val="14"/>
          <w:szCs w:val="14"/>
        </w:rPr>
        <w:tab/>
        <w:t xml:space="preserve"> </w:t>
      </w:r>
      <w:r w:rsidRPr="00FB38E1">
        <w:rPr>
          <w:rFonts w:ascii="Microsoft Sans Serif" w:hAnsi="Microsoft Sans Serif" w:cs="Microsoft Sans Serif"/>
          <w:color w:val="404040" w:themeColor="text1" w:themeTint="BF"/>
          <w:sz w:val="14"/>
          <w:szCs w:val="14"/>
        </w:rPr>
        <w:t>24 Mayıs 2024 tarihinde Ödeme Sistemleri Grubu’ndan sorumlu Genel Müdür Yardımcısı Halit Cihan Tunçbilek vefat etmiştir</w:t>
      </w:r>
      <w:r w:rsidR="00416C40" w:rsidRPr="00FB38E1">
        <w:rPr>
          <w:rFonts w:ascii="Microsoft Sans Serif" w:hAnsi="Microsoft Sans Serif" w:cs="Microsoft Sans Serif"/>
          <w:color w:val="404040" w:themeColor="text1" w:themeTint="BF"/>
          <w:sz w:val="14"/>
          <w:szCs w:val="14"/>
        </w:rPr>
        <w:t>.</w:t>
      </w:r>
    </w:p>
    <w:p w14:paraId="2AADB865" w14:textId="77777777" w:rsidR="00E26D80" w:rsidRPr="00FB38E1" w:rsidRDefault="003D499A" w:rsidP="004025EC">
      <w:pPr>
        <w:pStyle w:val="ListParagraph"/>
        <w:spacing w:before="60" w:after="0"/>
        <w:ind w:left="142"/>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 Ağustos 2024 tarihinde Teftiş Kurulu Başkanı olarak görev yapan Ramazan Işık istifaen görevinden ayrılmıştır</w:t>
      </w:r>
      <w:r w:rsidR="00FF133E" w:rsidRPr="00FB38E1">
        <w:rPr>
          <w:rFonts w:ascii="Microsoft Sans Serif" w:hAnsi="Microsoft Sans Serif" w:cs="Microsoft Sans Serif"/>
          <w:color w:val="404040" w:themeColor="text1" w:themeTint="BF"/>
          <w:sz w:val="14"/>
          <w:szCs w:val="14"/>
        </w:rPr>
        <w:t>.</w:t>
      </w:r>
    </w:p>
    <w:p w14:paraId="3BB7EB52" w14:textId="44BA94DD" w:rsidR="008E020F" w:rsidRPr="00FB38E1" w:rsidRDefault="004025EC" w:rsidP="004025EC">
      <w:pPr>
        <w:pStyle w:val="ListParagraph"/>
        <w:spacing w:before="60" w:after="0"/>
        <w:ind w:left="142"/>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xml:space="preserve">17 Ekim 2024 tarihli Yönetim Kurulu Kararı ile; İncelemeler ve Soruşturmalar Grup Müdürü olarak görev yapmakta olan Cenk İzgi’nin İç kontrol Merkezi Başkanı olarak, Ekspertiz, Menkul ve Gayrimenkul Yönetimi Grup Müdürü olarak görev yapmakta olan Orkun Solmaz’ın Teftiş Kurulu Başkanı olarak atanmasına karar verilmiştir. İç kontrol Merkezi ve Uyum Başkanı olarak görev yapmakta olan Cem Demirağ’ın görevinin Uyum Başkanı olarak değiştirilmesine, </w:t>
      </w:r>
      <w:r w:rsidR="00D870EC" w:rsidRPr="00FB38E1">
        <w:rPr>
          <w:rFonts w:ascii="Microsoft Sans Serif" w:hAnsi="Microsoft Sans Serif" w:cs="Microsoft Sans Serif"/>
          <w:color w:val="404040" w:themeColor="text1" w:themeTint="BF"/>
          <w:sz w:val="14"/>
          <w:szCs w:val="14"/>
        </w:rPr>
        <w:t>Şube ve Merkezi Operas</w:t>
      </w:r>
      <w:r w:rsidR="00F65126" w:rsidRPr="00FB38E1">
        <w:rPr>
          <w:rFonts w:ascii="Microsoft Sans Serif" w:hAnsi="Microsoft Sans Serif" w:cs="Microsoft Sans Serif"/>
          <w:color w:val="404040" w:themeColor="text1" w:themeTint="BF"/>
          <w:sz w:val="14"/>
          <w:szCs w:val="14"/>
        </w:rPr>
        <w:t>y</w:t>
      </w:r>
      <w:r w:rsidR="00D870EC" w:rsidRPr="00FB38E1">
        <w:rPr>
          <w:rFonts w:ascii="Microsoft Sans Serif" w:hAnsi="Microsoft Sans Serif" w:cs="Microsoft Sans Serif"/>
          <w:color w:val="404040" w:themeColor="text1" w:themeTint="BF"/>
          <w:sz w:val="14"/>
          <w:szCs w:val="14"/>
        </w:rPr>
        <w:t>onlar Grubundan sorumlu Genel Müdür Yardımcısı Mustafa Özel</w:t>
      </w:r>
      <w:r w:rsidR="00D46764" w:rsidRPr="00FB38E1">
        <w:rPr>
          <w:rFonts w:ascii="Microsoft Sans Serif" w:hAnsi="Microsoft Sans Serif" w:cs="Microsoft Sans Serif"/>
          <w:color w:val="404040" w:themeColor="text1" w:themeTint="BF"/>
          <w:sz w:val="14"/>
          <w:szCs w:val="14"/>
        </w:rPr>
        <w:t>’in</w:t>
      </w:r>
      <w:r w:rsidR="00D870EC" w:rsidRPr="00FB38E1">
        <w:rPr>
          <w:rFonts w:ascii="Microsoft Sans Serif" w:hAnsi="Microsoft Sans Serif" w:cs="Microsoft Sans Serif"/>
          <w:color w:val="404040" w:themeColor="text1" w:themeTint="BF"/>
          <w:sz w:val="14"/>
          <w:szCs w:val="14"/>
        </w:rPr>
        <w:t xml:space="preserve"> </w:t>
      </w:r>
      <w:r w:rsidR="00F65126" w:rsidRPr="00FB38E1">
        <w:rPr>
          <w:rFonts w:ascii="Microsoft Sans Serif" w:hAnsi="Microsoft Sans Serif" w:cs="Microsoft Sans Serif"/>
          <w:color w:val="404040" w:themeColor="text1" w:themeTint="BF"/>
          <w:sz w:val="14"/>
          <w:szCs w:val="14"/>
        </w:rPr>
        <w:t xml:space="preserve">Banka’daki </w:t>
      </w:r>
      <w:r w:rsidR="00D870EC" w:rsidRPr="00FB38E1">
        <w:rPr>
          <w:rFonts w:ascii="Microsoft Sans Serif" w:hAnsi="Microsoft Sans Serif" w:cs="Microsoft Sans Serif"/>
          <w:color w:val="404040" w:themeColor="text1" w:themeTint="BF"/>
          <w:sz w:val="14"/>
          <w:szCs w:val="14"/>
        </w:rPr>
        <w:t>görevinden ayrılması ile birlikte, Bilgi Sistemleri Grubundan sorumlu Genel Müdür Yardımcısı olarak görev yapmakta olan Umut Özdoğan’ın görevinin Şube ve Merkezi Operasyonlardan sorumlu Genel Müdür Yardımcısı olarak değiştirilmesine karar verilmiştir.</w:t>
      </w:r>
      <w:bookmarkEnd w:id="12"/>
    </w:p>
    <w:p w14:paraId="444F2899" w14:textId="5214A3C1" w:rsidR="009101B6" w:rsidRPr="00FB38E1" w:rsidRDefault="009101B6" w:rsidP="004025EC">
      <w:pPr>
        <w:pStyle w:val="ListParagraph"/>
        <w:spacing w:before="60" w:after="0"/>
        <w:ind w:left="142"/>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15 Kasım 2024 tarihi itibarı ile Toptan Bankacılık Grubu’ndan sorumlu Genel Müdür Yardımcısı Mehmet Aydoğdu görevinden ayrılmıştır.</w:t>
      </w:r>
    </w:p>
    <w:p w14:paraId="40A1D0F0" w14:textId="7A3B2F48" w:rsidR="00B00F95" w:rsidRPr="00FB38E1" w:rsidRDefault="00F86704" w:rsidP="0027513D">
      <w:pPr>
        <w:pStyle w:val="ListParagraph"/>
        <w:spacing w:before="60" w:after="0"/>
        <w:ind w:left="142" w:hanging="284"/>
        <w:contextualSpacing w:val="0"/>
        <w:rPr>
          <w:rFonts w:ascii="Microsoft Sans Serif" w:hAnsi="Microsoft Sans Serif" w:cs="Microsoft Sans Serif"/>
          <w:b/>
        </w:rPr>
      </w:pPr>
      <w:r w:rsidRPr="00FB38E1">
        <w:rPr>
          <w:rFonts w:ascii="Microsoft Sans Serif" w:hAnsi="Microsoft Sans Serif" w:cs="Microsoft Sans Serif"/>
          <w:color w:val="404040" w:themeColor="text1" w:themeTint="BF"/>
          <w:sz w:val="14"/>
          <w:szCs w:val="14"/>
        </w:rPr>
        <w:t xml:space="preserve">(**) </w:t>
      </w:r>
      <w:r w:rsidR="0027513D" w:rsidRPr="00FB38E1">
        <w:rPr>
          <w:rFonts w:ascii="Microsoft Sans Serif" w:hAnsi="Microsoft Sans Serif" w:cs="Microsoft Sans Serif"/>
          <w:color w:val="404040" w:themeColor="text1" w:themeTint="BF"/>
          <w:sz w:val="14"/>
          <w:szCs w:val="14"/>
        </w:rPr>
        <w:t xml:space="preserve"> </w:t>
      </w:r>
      <w:r w:rsidR="009101B6" w:rsidRPr="00FB38E1">
        <w:rPr>
          <w:rFonts w:ascii="Microsoft Sans Serif" w:hAnsi="Microsoft Sans Serif" w:cs="Microsoft Sans Serif"/>
          <w:color w:val="404040" w:themeColor="text1" w:themeTint="BF"/>
          <w:sz w:val="14"/>
          <w:szCs w:val="14"/>
        </w:rPr>
        <w:t xml:space="preserve">1 Ocak 2025 tarihinden itibaren geçerli olmak üzere </w:t>
      </w:r>
      <w:r w:rsidRPr="00FB38E1">
        <w:rPr>
          <w:rFonts w:ascii="Microsoft Sans Serif" w:hAnsi="Microsoft Sans Serif" w:cs="Microsoft Sans Serif"/>
          <w:color w:val="404040" w:themeColor="text1" w:themeTint="BF"/>
          <w:sz w:val="14"/>
          <w:szCs w:val="14"/>
        </w:rPr>
        <w:t xml:space="preserve">Recep Baştuğ, Genel Müdür ve Yönetim Kurulu </w:t>
      </w:r>
      <w:r w:rsidR="00F65126" w:rsidRPr="00FB38E1">
        <w:rPr>
          <w:rFonts w:ascii="Microsoft Sans Serif" w:hAnsi="Microsoft Sans Serif" w:cs="Microsoft Sans Serif"/>
          <w:color w:val="404040" w:themeColor="text1" w:themeTint="BF"/>
          <w:sz w:val="14"/>
          <w:szCs w:val="14"/>
        </w:rPr>
        <w:t xml:space="preserve">Üyesi </w:t>
      </w:r>
      <w:r w:rsidRPr="00FB38E1">
        <w:rPr>
          <w:rFonts w:ascii="Microsoft Sans Serif" w:hAnsi="Microsoft Sans Serif" w:cs="Microsoft Sans Serif"/>
          <w:color w:val="404040" w:themeColor="text1" w:themeTint="BF"/>
          <w:sz w:val="14"/>
          <w:szCs w:val="14"/>
        </w:rPr>
        <w:t xml:space="preserve">olarak atanmıştır. </w:t>
      </w:r>
      <w:r w:rsidR="009101B6" w:rsidRPr="00FB38E1">
        <w:rPr>
          <w:rFonts w:ascii="Microsoft Sans Serif" w:hAnsi="Microsoft Sans Serif" w:cs="Microsoft Sans Serif"/>
          <w:color w:val="404040" w:themeColor="text1" w:themeTint="BF"/>
          <w:sz w:val="14"/>
          <w:szCs w:val="14"/>
        </w:rPr>
        <w:t>Genel Müdür ve Yönetim Kurulu Üyesi olarak görev yapmakta olan Hakan Ateş, Yönetim Kurulu Üyesi olarak görevine devam e</w:t>
      </w:r>
      <w:r w:rsidR="00B67F99" w:rsidRPr="00FB38E1">
        <w:rPr>
          <w:rFonts w:ascii="Microsoft Sans Serif" w:hAnsi="Microsoft Sans Serif" w:cs="Microsoft Sans Serif"/>
          <w:color w:val="404040" w:themeColor="text1" w:themeTint="BF"/>
          <w:sz w:val="14"/>
          <w:szCs w:val="14"/>
        </w:rPr>
        <w:t>tmektedir</w:t>
      </w:r>
      <w:r w:rsidR="009101B6" w:rsidRPr="00FB38E1">
        <w:rPr>
          <w:rFonts w:ascii="Microsoft Sans Serif" w:hAnsi="Microsoft Sans Serif" w:cs="Microsoft Sans Serif"/>
          <w:color w:val="404040" w:themeColor="text1" w:themeTint="BF"/>
          <w:sz w:val="14"/>
          <w:szCs w:val="14"/>
        </w:rPr>
        <w:t xml:space="preserve">. </w:t>
      </w:r>
      <w:r w:rsidRPr="00FB38E1">
        <w:rPr>
          <w:rFonts w:ascii="Microsoft Sans Serif" w:hAnsi="Microsoft Sans Serif" w:cs="Microsoft Sans Serif"/>
          <w:color w:val="404040" w:themeColor="text1" w:themeTint="BF"/>
          <w:sz w:val="14"/>
          <w:szCs w:val="14"/>
        </w:rPr>
        <w:t>Yönetim Kurulu Üyesi olarak görev yapan Tanju Kaya görevinden ayrılmıştır.</w:t>
      </w:r>
      <w:r w:rsidR="00B00F95" w:rsidRPr="00FB38E1">
        <w:rPr>
          <w:rFonts w:ascii="Microsoft Sans Serif" w:hAnsi="Microsoft Sans Serif" w:cs="Microsoft Sans Serif"/>
          <w:b/>
        </w:rPr>
        <w:br w:type="page"/>
      </w:r>
    </w:p>
    <w:p w14:paraId="262F792D" w14:textId="5C190437" w:rsidR="00696C49" w:rsidRPr="00FB38E1" w:rsidRDefault="00E410D8" w:rsidP="00E410D8">
      <w:pPr>
        <w:pStyle w:val="ListParagraph"/>
        <w:numPr>
          <w:ilvl w:val="0"/>
          <w:numId w:val="6"/>
        </w:numPr>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Banka’da nitelikli pay sahibi olan kişi ve kuruluşlara ilişkin açıklamalar</w:t>
      </w:r>
    </w:p>
    <w:tbl>
      <w:tblPr>
        <w:tblStyle w:val="TableGrid"/>
        <w:tblW w:w="9639" w:type="dxa"/>
        <w:tblInd w:w="57" w:type="dxa"/>
        <w:tblBorders>
          <w:top w:val="thinThickSmallGap" w:sz="18" w:space="0" w:color="auto"/>
          <w:left w:val="none" w:sz="0" w:space="0" w:color="auto"/>
          <w:bottom w:val="thickThinSmallGap" w:sz="18" w:space="0" w:color="auto"/>
          <w:right w:val="none" w:sz="0" w:space="0" w:color="auto"/>
          <w:insideV w:val="none" w:sz="0" w:space="0" w:color="auto"/>
        </w:tblBorders>
        <w:tblLook w:val="04A0" w:firstRow="1" w:lastRow="0" w:firstColumn="1" w:lastColumn="0" w:noHBand="0" w:noVBand="1"/>
      </w:tblPr>
      <w:tblGrid>
        <w:gridCol w:w="3861"/>
        <w:gridCol w:w="1446"/>
        <w:gridCol w:w="1444"/>
        <w:gridCol w:w="1444"/>
        <w:gridCol w:w="1444"/>
      </w:tblGrid>
      <w:tr w:rsidR="004F0C5E" w:rsidRPr="00FB38E1" w14:paraId="2F18BC21" w14:textId="77777777" w:rsidTr="00C25BB5">
        <w:tc>
          <w:tcPr>
            <w:tcW w:w="2003" w:type="pct"/>
            <w:shd w:val="clear" w:color="auto" w:fill="auto"/>
            <w:tcMar>
              <w:left w:w="57" w:type="dxa"/>
              <w:right w:w="57" w:type="dxa"/>
            </w:tcMar>
            <w:vAlign w:val="bottom"/>
          </w:tcPr>
          <w:p w14:paraId="0648748A" w14:textId="77777777" w:rsidR="004F0C5E" w:rsidRPr="00FB38E1" w:rsidRDefault="004F0C5E" w:rsidP="004F0C5E">
            <w:pPr>
              <w:pStyle w:val="ListParagraph"/>
              <w:ind w:left="0"/>
              <w:rPr>
                <w:rFonts w:ascii="Microsoft Sans Serif" w:hAnsi="Microsoft Sans Serif" w:cs="Microsoft Sans Serif"/>
                <w:b/>
                <w:sz w:val="16"/>
                <w:szCs w:val="16"/>
              </w:rPr>
            </w:pPr>
            <w:r w:rsidRPr="00FB38E1">
              <w:rPr>
                <w:rFonts w:ascii="Microsoft Sans Serif" w:hAnsi="Microsoft Sans Serif" w:cs="Microsoft Sans Serif"/>
                <w:b/>
                <w:sz w:val="16"/>
                <w:szCs w:val="16"/>
              </w:rPr>
              <w:t>Ticari Unvan</w:t>
            </w:r>
          </w:p>
        </w:tc>
        <w:tc>
          <w:tcPr>
            <w:tcW w:w="750" w:type="pct"/>
            <w:shd w:val="clear" w:color="auto" w:fill="auto"/>
            <w:tcMar>
              <w:left w:w="57" w:type="dxa"/>
              <w:right w:w="57" w:type="dxa"/>
            </w:tcMar>
          </w:tcPr>
          <w:p w14:paraId="24AB86A9" w14:textId="77777777" w:rsidR="004F0C5E" w:rsidRPr="00FB38E1" w:rsidRDefault="004F0C5E" w:rsidP="004F0C5E">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Pay</w:t>
            </w:r>
          </w:p>
          <w:p w14:paraId="6359C188" w14:textId="77777777" w:rsidR="004F0C5E" w:rsidRPr="00FB38E1" w:rsidRDefault="004F0C5E" w:rsidP="004F0C5E">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Tutarları</w:t>
            </w:r>
          </w:p>
        </w:tc>
        <w:tc>
          <w:tcPr>
            <w:tcW w:w="749" w:type="pct"/>
            <w:shd w:val="clear" w:color="auto" w:fill="auto"/>
            <w:tcMar>
              <w:left w:w="57" w:type="dxa"/>
              <w:right w:w="57" w:type="dxa"/>
            </w:tcMar>
          </w:tcPr>
          <w:p w14:paraId="05626AD5" w14:textId="77777777" w:rsidR="004F0C5E" w:rsidRPr="00FB38E1" w:rsidRDefault="004F0C5E" w:rsidP="004F0C5E">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Pay</w:t>
            </w:r>
          </w:p>
          <w:p w14:paraId="2BA91A7D" w14:textId="18527130" w:rsidR="004F0C5E" w:rsidRPr="00FB38E1" w:rsidRDefault="004F0C5E" w:rsidP="004F0C5E">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Oranları</w:t>
            </w:r>
            <w:r w:rsidR="002601D0" w:rsidRPr="00FB38E1">
              <w:rPr>
                <w:rFonts w:ascii="Microsoft Sans Serif" w:hAnsi="Microsoft Sans Serif" w:cs="Microsoft Sans Serif"/>
                <w:b/>
                <w:sz w:val="16"/>
                <w:szCs w:val="16"/>
              </w:rPr>
              <w:t xml:space="preserve"> %</w:t>
            </w:r>
          </w:p>
        </w:tc>
        <w:tc>
          <w:tcPr>
            <w:tcW w:w="749" w:type="pct"/>
            <w:shd w:val="clear" w:color="auto" w:fill="auto"/>
            <w:tcMar>
              <w:left w:w="57" w:type="dxa"/>
              <w:right w:w="57" w:type="dxa"/>
            </w:tcMar>
          </w:tcPr>
          <w:p w14:paraId="1169EE3A" w14:textId="77777777" w:rsidR="004F0C5E" w:rsidRPr="00FB38E1" w:rsidRDefault="004F0C5E" w:rsidP="004F0C5E">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Ödenmiş</w:t>
            </w:r>
          </w:p>
          <w:p w14:paraId="27E4DF1E" w14:textId="77777777" w:rsidR="004F0C5E" w:rsidRPr="00FB38E1" w:rsidRDefault="004F0C5E" w:rsidP="004F0C5E">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Paylar</w:t>
            </w:r>
          </w:p>
        </w:tc>
        <w:tc>
          <w:tcPr>
            <w:tcW w:w="749" w:type="pct"/>
            <w:shd w:val="clear" w:color="auto" w:fill="auto"/>
            <w:tcMar>
              <w:left w:w="57" w:type="dxa"/>
              <w:right w:w="57" w:type="dxa"/>
            </w:tcMar>
          </w:tcPr>
          <w:p w14:paraId="125056A5" w14:textId="77777777" w:rsidR="004F0C5E" w:rsidRPr="00FB38E1" w:rsidRDefault="004F0C5E" w:rsidP="004F0C5E">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Ödenmemiş Paylar</w:t>
            </w:r>
          </w:p>
        </w:tc>
      </w:tr>
      <w:tr w:rsidR="00C87575" w:rsidRPr="00FB38E1" w14:paraId="5A2D1836" w14:textId="77777777" w:rsidTr="003A7E07">
        <w:trPr>
          <w:trHeight w:val="47"/>
        </w:trPr>
        <w:tc>
          <w:tcPr>
            <w:tcW w:w="2003" w:type="pct"/>
            <w:shd w:val="clear" w:color="auto" w:fill="auto"/>
            <w:tcMar>
              <w:left w:w="57" w:type="dxa"/>
              <w:right w:w="57" w:type="dxa"/>
            </w:tcMar>
            <w:vAlign w:val="bottom"/>
          </w:tcPr>
          <w:p w14:paraId="62F5FCB4" w14:textId="478ABDF6" w:rsidR="00C87575" w:rsidRPr="00FB38E1" w:rsidRDefault="003D6400" w:rsidP="00C8757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Emirates NBD Bank PJSC</w:t>
            </w:r>
          </w:p>
        </w:tc>
        <w:tc>
          <w:tcPr>
            <w:tcW w:w="750" w:type="pct"/>
            <w:shd w:val="clear" w:color="auto" w:fill="auto"/>
            <w:tcMar>
              <w:left w:w="57" w:type="dxa"/>
              <w:right w:w="57" w:type="dxa"/>
            </w:tcMar>
            <w:vAlign w:val="bottom"/>
          </w:tcPr>
          <w:p w14:paraId="11EC6082" w14:textId="7B9CAD7D" w:rsidR="00C87575" w:rsidRPr="00FB38E1" w:rsidRDefault="008E0CCC" w:rsidP="00B03B4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19.638.600</w:t>
            </w:r>
          </w:p>
        </w:tc>
        <w:tc>
          <w:tcPr>
            <w:tcW w:w="749" w:type="pct"/>
            <w:shd w:val="clear" w:color="auto" w:fill="auto"/>
            <w:tcMar>
              <w:left w:w="57" w:type="dxa"/>
              <w:right w:w="57" w:type="dxa"/>
            </w:tcMar>
            <w:vAlign w:val="bottom"/>
          </w:tcPr>
          <w:p w14:paraId="343F09E8" w14:textId="01DDC7E8" w:rsidR="00C87575" w:rsidRPr="00FB38E1" w:rsidRDefault="00E2775E" w:rsidP="00E2775E">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100</w:t>
            </w:r>
          </w:p>
        </w:tc>
        <w:tc>
          <w:tcPr>
            <w:tcW w:w="749" w:type="pct"/>
            <w:shd w:val="clear" w:color="auto" w:fill="auto"/>
            <w:tcMar>
              <w:left w:w="57" w:type="dxa"/>
              <w:right w:w="57" w:type="dxa"/>
            </w:tcMar>
            <w:vAlign w:val="bottom"/>
          </w:tcPr>
          <w:p w14:paraId="716BE956" w14:textId="5E584426" w:rsidR="00C87575" w:rsidRPr="00FB38E1" w:rsidRDefault="008513BE" w:rsidP="00C87575">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19.638.600</w:t>
            </w:r>
          </w:p>
        </w:tc>
        <w:tc>
          <w:tcPr>
            <w:tcW w:w="749" w:type="pct"/>
            <w:shd w:val="clear" w:color="auto" w:fill="auto"/>
            <w:tcMar>
              <w:left w:w="57" w:type="dxa"/>
              <w:right w:w="57" w:type="dxa"/>
            </w:tcMar>
            <w:vAlign w:val="bottom"/>
          </w:tcPr>
          <w:p w14:paraId="53E38333" w14:textId="77777777" w:rsidR="00C87575" w:rsidRPr="00FB38E1" w:rsidRDefault="00C87575" w:rsidP="00C87575">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0F06C3E9" w14:textId="627CED83" w:rsidR="001E06DA" w:rsidRPr="00FB38E1" w:rsidRDefault="00C700CD" w:rsidP="00941DF0">
      <w:pPr>
        <w:spacing w:before="240" w:after="120" w:line="220" w:lineRule="exact"/>
        <w:rPr>
          <w:rFonts w:ascii="Microsoft Sans Serif" w:eastAsia="Times New Roman" w:hAnsi="Microsoft Sans Serif" w:cs="Microsoft Sans Serif"/>
          <w:color w:val="404040" w:themeColor="text1" w:themeTint="BF"/>
          <w:position w:val="4"/>
          <w:sz w:val="20"/>
          <w:szCs w:val="20"/>
          <w:lang w:eastAsia="tr-TR"/>
        </w:rPr>
      </w:pPr>
      <w:r w:rsidRPr="00FB38E1">
        <w:rPr>
          <w:rFonts w:ascii="Microsoft Sans Serif" w:hAnsi="Microsoft Sans Serif" w:cs="Microsoft Sans Serif"/>
          <w:color w:val="404040" w:themeColor="text1" w:themeTint="BF"/>
          <w:sz w:val="20"/>
          <w:szCs w:val="20"/>
        </w:rPr>
        <w:t xml:space="preserve">Banka’nın sermayesinde doğrudan veya dolaylı hakimiyeti söz konusu olan nitelikli pay sahibi şirket </w:t>
      </w:r>
      <w:r w:rsidR="003D6400" w:rsidRPr="00FB38E1">
        <w:rPr>
          <w:rFonts w:ascii="Microsoft Sans Serif" w:hAnsi="Microsoft Sans Serif" w:cs="Microsoft Sans Serif"/>
          <w:color w:val="404040" w:themeColor="text1" w:themeTint="BF"/>
          <w:sz w:val="20"/>
          <w:szCs w:val="20"/>
        </w:rPr>
        <w:t>ENBD’dir.</w:t>
      </w:r>
    </w:p>
    <w:p w14:paraId="11967187" w14:textId="2D408419" w:rsidR="00464B06" w:rsidRPr="00FB38E1" w:rsidRDefault="003D6400" w:rsidP="001E06DA">
      <w:pPr>
        <w:pStyle w:val="ListParagraph"/>
        <w:spacing w:before="120" w:after="120"/>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ENBD’nin</w:t>
      </w:r>
      <w:r w:rsidR="000C0071" w:rsidRPr="00FB38E1">
        <w:rPr>
          <w:rFonts w:ascii="Microsoft Sans Serif" w:hAnsi="Microsoft Sans Serif" w:cs="Microsoft Sans Serif"/>
          <w:color w:val="404040" w:themeColor="text1" w:themeTint="BF"/>
          <w:sz w:val="20"/>
          <w:szCs w:val="20"/>
        </w:rPr>
        <w:t xml:space="preserve"> </w:t>
      </w:r>
      <w:r w:rsidR="00AD2A6F" w:rsidRPr="00FB38E1">
        <w:rPr>
          <w:rFonts w:ascii="Microsoft Sans Serif" w:hAnsi="Microsoft Sans Serif" w:cs="Microsoft Sans Serif"/>
          <w:color w:val="404040" w:themeColor="text1" w:themeTint="BF"/>
          <w:sz w:val="20"/>
          <w:szCs w:val="20"/>
        </w:rPr>
        <w:t xml:space="preserve">31 Aralık 2024 </w:t>
      </w:r>
      <w:r w:rsidR="001E06DA" w:rsidRPr="00FB38E1">
        <w:rPr>
          <w:rFonts w:ascii="Microsoft Sans Serif" w:hAnsi="Microsoft Sans Serif" w:cs="Microsoft Sans Serif"/>
          <w:color w:val="404040" w:themeColor="text1" w:themeTint="BF"/>
          <w:sz w:val="20"/>
          <w:szCs w:val="20"/>
        </w:rPr>
        <w:t>tarihi itibarıyla sermaye yapısı aşağıdaki gibidir:</w:t>
      </w:r>
    </w:p>
    <w:tbl>
      <w:tblPr>
        <w:tblStyle w:val="TableGrid"/>
        <w:tblW w:w="965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6510"/>
        <w:gridCol w:w="1576"/>
        <w:gridCol w:w="1572"/>
      </w:tblGrid>
      <w:tr w:rsidR="003C7633" w:rsidRPr="00FB38E1" w14:paraId="17DBB37A" w14:textId="77777777" w:rsidTr="00027B74">
        <w:trPr>
          <w:trHeight w:val="228"/>
        </w:trPr>
        <w:tc>
          <w:tcPr>
            <w:tcW w:w="3370" w:type="pct"/>
            <w:tcBorders>
              <w:top w:val="thinThickSmallGap" w:sz="18" w:space="0" w:color="auto"/>
              <w:bottom w:val="single" w:sz="4" w:space="0" w:color="auto"/>
            </w:tcBorders>
            <w:shd w:val="clear" w:color="auto" w:fill="auto"/>
            <w:tcMar>
              <w:left w:w="57" w:type="dxa"/>
              <w:right w:w="57" w:type="dxa"/>
            </w:tcMar>
            <w:vAlign w:val="bottom"/>
          </w:tcPr>
          <w:p w14:paraId="538DFE24" w14:textId="77777777" w:rsidR="003C7633" w:rsidRPr="00FB38E1" w:rsidRDefault="003C7633" w:rsidP="003C7633">
            <w:pPr>
              <w:rPr>
                <w:rFonts w:ascii="Microsoft Sans Serif" w:hAnsi="Microsoft Sans Serif" w:cs="Microsoft Sans Serif"/>
                <w:b/>
                <w:bCs/>
                <w:color w:val="000000"/>
                <w:sz w:val="16"/>
                <w:szCs w:val="16"/>
              </w:rPr>
            </w:pPr>
            <w:bookmarkStart w:id="13" w:name="_Hlk172623239"/>
            <w:r w:rsidRPr="00FB38E1">
              <w:rPr>
                <w:rFonts w:ascii="Microsoft Sans Serif" w:hAnsi="Microsoft Sans Serif" w:cs="Microsoft Sans Serif"/>
                <w:b/>
                <w:bCs/>
                <w:color w:val="000000"/>
                <w:sz w:val="16"/>
                <w:szCs w:val="16"/>
              </w:rPr>
              <w:t>Ünvanı</w:t>
            </w:r>
          </w:p>
        </w:tc>
        <w:tc>
          <w:tcPr>
            <w:tcW w:w="816" w:type="pct"/>
            <w:tcBorders>
              <w:top w:val="thinThickSmallGap" w:sz="18" w:space="0" w:color="auto"/>
              <w:bottom w:val="single" w:sz="4" w:space="0" w:color="auto"/>
            </w:tcBorders>
            <w:shd w:val="clear" w:color="auto" w:fill="auto"/>
            <w:vAlign w:val="bottom"/>
          </w:tcPr>
          <w:p w14:paraId="72CFEF21" w14:textId="77777777" w:rsidR="003C7633" w:rsidRPr="00FB38E1" w:rsidRDefault="003C7633" w:rsidP="003C7633">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p w14:paraId="158C9273" w14:textId="6EE8C4B9" w:rsidR="003C7633" w:rsidRPr="00FB38E1" w:rsidRDefault="003C7633" w:rsidP="003C7633">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Pay Oranları %</w:t>
            </w:r>
          </w:p>
        </w:tc>
        <w:tc>
          <w:tcPr>
            <w:tcW w:w="814" w:type="pct"/>
            <w:tcBorders>
              <w:top w:val="thinThickSmallGap" w:sz="18" w:space="0" w:color="auto"/>
              <w:bottom w:val="single" w:sz="4" w:space="0" w:color="auto"/>
            </w:tcBorders>
            <w:shd w:val="clear" w:color="auto" w:fill="auto"/>
            <w:tcMar>
              <w:left w:w="57" w:type="dxa"/>
              <w:right w:w="57" w:type="dxa"/>
            </w:tcMar>
            <w:vAlign w:val="bottom"/>
          </w:tcPr>
          <w:p w14:paraId="009568F2" w14:textId="6A7C7634" w:rsidR="003C7633" w:rsidRPr="00FB38E1" w:rsidRDefault="003C7633" w:rsidP="003C7633">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p w14:paraId="095B8A77" w14:textId="4B6519A3" w:rsidR="003C7633" w:rsidRPr="00FB38E1" w:rsidRDefault="003C7633" w:rsidP="003C7633">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Pay Oranları %</w:t>
            </w:r>
          </w:p>
        </w:tc>
      </w:tr>
      <w:tr w:rsidR="00027B74" w:rsidRPr="00FB38E1" w14:paraId="1BE4A0DD" w14:textId="77777777" w:rsidTr="00027B74">
        <w:trPr>
          <w:trHeight w:val="243"/>
        </w:trPr>
        <w:tc>
          <w:tcPr>
            <w:tcW w:w="3370" w:type="pct"/>
            <w:tcBorders>
              <w:top w:val="single" w:sz="4" w:space="0" w:color="auto"/>
            </w:tcBorders>
            <w:shd w:val="clear" w:color="auto" w:fill="auto"/>
            <w:tcMar>
              <w:left w:w="57" w:type="dxa"/>
              <w:right w:w="57" w:type="dxa"/>
            </w:tcMar>
            <w:vAlign w:val="bottom"/>
          </w:tcPr>
          <w:p w14:paraId="6281044B" w14:textId="0CA23C5B" w:rsidR="00027B74" w:rsidRPr="00FB38E1" w:rsidRDefault="00027B74" w:rsidP="00027B7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Investment Corporation of Dubai</w:t>
            </w:r>
          </w:p>
        </w:tc>
        <w:tc>
          <w:tcPr>
            <w:tcW w:w="816" w:type="pct"/>
            <w:tcBorders>
              <w:top w:val="single" w:sz="4" w:space="0" w:color="auto"/>
            </w:tcBorders>
            <w:shd w:val="clear" w:color="auto" w:fill="auto"/>
            <w:vAlign w:val="bottom"/>
          </w:tcPr>
          <w:p w14:paraId="09E649C7" w14:textId="735921DF" w:rsidR="00027B74" w:rsidRPr="00FB38E1" w:rsidRDefault="00027B74" w:rsidP="00027B7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40,92</w:t>
            </w:r>
          </w:p>
        </w:tc>
        <w:tc>
          <w:tcPr>
            <w:tcW w:w="814" w:type="pct"/>
            <w:tcBorders>
              <w:top w:val="single" w:sz="4" w:space="0" w:color="auto"/>
            </w:tcBorders>
            <w:shd w:val="clear" w:color="auto" w:fill="auto"/>
            <w:tcMar>
              <w:left w:w="57" w:type="dxa"/>
              <w:right w:w="57" w:type="dxa"/>
            </w:tcMar>
            <w:vAlign w:val="bottom"/>
          </w:tcPr>
          <w:p w14:paraId="0A8E9B33" w14:textId="5DAD32A0" w:rsidR="00027B74" w:rsidRPr="00FB38E1" w:rsidRDefault="00027B74" w:rsidP="00027B7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40,92</w:t>
            </w:r>
          </w:p>
        </w:tc>
      </w:tr>
      <w:tr w:rsidR="00027B74" w:rsidRPr="00FB38E1" w14:paraId="012D1552" w14:textId="77777777" w:rsidTr="00027B74">
        <w:trPr>
          <w:trHeight w:val="243"/>
        </w:trPr>
        <w:tc>
          <w:tcPr>
            <w:tcW w:w="3370" w:type="pct"/>
            <w:tcBorders>
              <w:bottom w:val="nil"/>
            </w:tcBorders>
            <w:shd w:val="clear" w:color="auto" w:fill="auto"/>
            <w:tcMar>
              <w:left w:w="57" w:type="dxa"/>
              <w:right w:w="57" w:type="dxa"/>
            </w:tcMar>
            <w:vAlign w:val="bottom"/>
          </w:tcPr>
          <w:p w14:paraId="7A7E7324" w14:textId="46FEE7AB" w:rsidR="00027B74" w:rsidRPr="00FB38E1" w:rsidRDefault="00027B74" w:rsidP="00027B7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DH 7 LLC</w:t>
            </w:r>
          </w:p>
        </w:tc>
        <w:tc>
          <w:tcPr>
            <w:tcW w:w="816" w:type="pct"/>
            <w:tcBorders>
              <w:bottom w:val="nil"/>
            </w:tcBorders>
            <w:shd w:val="clear" w:color="auto" w:fill="auto"/>
            <w:vAlign w:val="bottom"/>
          </w:tcPr>
          <w:p w14:paraId="09DE1B71" w14:textId="34005F59" w:rsidR="00027B74" w:rsidRPr="00FB38E1" w:rsidRDefault="00027B74" w:rsidP="00027B7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14,84</w:t>
            </w:r>
          </w:p>
        </w:tc>
        <w:tc>
          <w:tcPr>
            <w:tcW w:w="814" w:type="pct"/>
            <w:tcBorders>
              <w:bottom w:val="nil"/>
            </w:tcBorders>
            <w:shd w:val="clear" w:color="auto" w:fill="auto"/>
            <w:tcMar>
              <w:left w:w="57" w:type="dxa"/>
              <w:right w:w="57" w:type="dxa"/>
            </w:tcMar>
            <w:vAlign w:val="bottom"/>
          </w:tcPr>
          <w:p w14:paraId="60142DC7" w14:textId="280FBB4D" w:rsidR="00027B74" w:rsidRPr="00FB38E1" w:rsidRDefault="00027B74" w:rsidP="00027B7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14,84</w:t>
            </w:r>
          </w:p>
        </w:tc>
      </w:tr>
      <w:tr w:rsidR="00027B74" w:rsidRPr="00FB38E1" w14:paraId="41287D64" w14:textId="77777777" w:rsidTr="00027B74">
        <w:trPr>
          <w:trHeight w:val="228"/>
        </w:trPr>
        <w:tc>
          <w:tcPr>
            <w:tcW w:w="3370" w:type="pct"/>
            <w:tcBorders>
              <w:bottom w:val="nil"/>
            </w:tcBorders>
            <w:shd w:val="clear" w:color="auto" w:fill="auto"/>
            <w:tcMar>
              <w:left w:w="57" w:type="dxa"/>
              <w:right w:w="57" w:type="dxa"/>
            </w:tcMar>
            <w:vAlign w:val="bottom"/>
          </w:tcPr>
          <w:p w14:paraId="6C6ABB14" w14:textId="56DC8E6A" w:rsidR="00027B74" w:rsidRPr="00FB38E1" w:rsidRDefault="00027B74" w:rsidP="00027B7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Capital Assets LLC</w:t>
            </w:r>
          </w:p>
        </w:tc>
        <w:tc>
          <w:tcPr>
            <w:tcW w:w="816" w:type="pct"/>
            <w:tcBorders>
              <w:bottom w:val="nil"/>
            </w:tcBorders>
            <w:shd w:val="clear" w:color="auto" w:fill="auto"/>
            <w:vAlign w:val="bottom"/>
          </w:tcPr>
          <w:p w14:paraId="38320600" w14:textId="6EEDDC2C" w:rsidR="00027B74" w:rsidRPr="00FB38E1" w:rsidRDefault="00027B74" w:rsidP="00027B7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5,33</w:t>
            </w:r>
          </w:p>
        </w:tc>
        <w:tc>
          <w:tcPr>
            <w:tcW w:w="814" w:type="pct"/>
            <w:tcBorders>
              <w:bottom w:val="nil"/>
            </w:tcBorders>
            <w:shd w:val="clear" w:color="auto" w:fill="auto"/>
            <w:tcMar>
              <w:left w:w="57" w:type="dxa"/>
              <w:right w:w="57" w:type="dxa"/>
            </w:tcMar>
            <w:vAlign w:val="bottom"/>
          </w:tcPr>
          <w:p w14:paraId="5597F1EA" w14:textId="24BEAE4B" w:rsidR="00027B74" w:rsidRPr="00FB38E1" w:rsidRDefault="00027B74" w:rsidP="00027B7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5,33</w:t>
            </w:r>
          </w:p>
        </w:tc>
      </w:tr>
      <w:tr w:rsidR="00027B74" w:rsidRPr="00FB38E1" w14:paraId="277E95FF" w14:textId="77777777" w:rsidTr="00027B74">
        <w:trPr>
          <w:trHeight w:val="243"/>
        </w:trPr>
        <w:tc>
          <w:tcPr>
            <w:tcW w:w="3370" w:type="pct"/>
            <w:tcBorders>
              <w:top w:val="nil"/>
              <w:bottom w:val="single" w:sz="4" w:space="0" w:color="auto"/>
            </w:tcBorders>
            <w:shd w:val="clear" w:color="auto" w:fill="auto"/>
            <w:tcMar>
              <w:left w:w="57" w:type="dxa"/>
              <w:right w:w="57" w:type="dxa"/>
            </w:tcMar>
            <w:vAlign w:val="bottom"/>
          </w:tcPr>
          <w:p w14:paraId="2CFBEDA4" w14:textId="77777777" w:rsidR="00027B74" w:rsidRPr="00FB38E1" w:rsidRDefault="00027B74" w:rsidP="00027B7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Halka Açık Kısım</w:t>
            </w:r>
          </w:p>
        </w:tc>
        <w:tc>
          <w:tcPr>
            <w:tcW w:w="816" w:type="pct"/>
            <w:tcBorders>
              <w:top w:val="nil"/>
              <w:bottom w:val="single" w:sz="4" w:space="0" w:color="auto"/>
            </w:tcBorders>
            <w:shd w:val="clear" w:color="auto" w:fill="auto"/>
            <w:vAlign w:val="bottom"/>
          </w:tcPr>
          <w:p w14:paraId="5FDF27F9" w14:textId="7FCD794E" w:rsidR="00027B74" w:rsidRPr="00FB38E1" w:rsidRDefault="00027B74" w:rsidP="00027B7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38,91</w:t>
            </w:r>
          </w:p>
        </w:tc>
        <w:tc>
          <w:tcPr>
            <w:tcW w:w="814" w:type="pct"/>
            <w:tcBorders>
              <w:top w:val="nil"/>
              <w:bottom w:val="single" w:sz="4" w:space="0" w:color="auto"/>
            </w:tcBorders>
            <w:shd w:val="clear" w:color="auto" w:fill="auto"/>
            <w:tcMar>
              <w:left w:w="57" w:type="dxa"/>
              <w:right w:w="57" w:type="dxa"/>
            </w:tcMar>
            <w:vAlign w:val="bottom"/>
          </w:tcPr>
          <w:p w14:paraId="57D87EA0" w14:textId="751FBC6D" w:rsidR="00027B74" w:rsidRPr="00FB38E1" w:rsidRDefault="00027B74" w:rsidP="00027B74">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38,91</w:t>
            </w:r>
          </w:p>
        </w:tc>
      </w:tr>
      <w:tr w:rsidR="00027B74" w:rsidRPr="00FB38E1" w14:paraId="4FB79AAD" w14:textId="77777777" w:rsidTr="00027B74">
        <w:trPr>
          <w:trHeight w:val="228"/>
        </w:trPr>
        <w:tc>
          <w:tcPr>
            <w:tcW w:w="3370" w:type="pct"/>
            <w:tcBorders>
              <w:top w:val="single" w:sz="4" w:space="0" w:color="auto"/>
              <w:bottom w:val="thickThinSmallGap" w:sz="18" w:space="0" w:color="auto"/>
            </w:tcBorders>
            <w:shd w:val="clear" w:color="auto" w:fill="auto"/>
            <w:tcMar>
              <w:left w:w="57" w:type="dxa"/>
              <w:right w:w="57" w:type="dxa"/>
            </w:tcMar>
            <w:vAlign w:val="bottom"/>
          </w:tcPr>
          <w:p w14:paraId="3E4D1142" w14:textId="77777777" w:rsidR="00027B74" w:rsidRPr="00FB38E1" w:rsidRDefault="00027B74" w:rsidP="00027B74">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816" w:type="pct"/>
            <w:tcBorders>
              <w:top w:val="single" w:sz="4" w:space="0" w:color="auto"/>
              <w:bottom w:val="thickThinSmallGap" w:sz="18" w:space="0" w:color="auto"/>
            </w:tcBorders>
            <w:shd w:val="clear" w:color="auto" w:fill="auto"/>
            <w:vAlign w:val="bottom"/>
          </w:tcPr>
          <w:p w14:paraId="0F993EBF" w14:textId="08B3B221" w:rsidR="00027B74" w:rsidRPr="00FB38E1" w:rsidRDefault="00027B74" w:rsidP="00027B74">
            <w:pPr>
              <w:jc w:val="cente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100,00</w:t>
            </w:r>
          </w:p>
        </w:tc>
        <w:tc>
          <w:tcPr>
            <w:tcW w:w="814" w:type="pct"/>
            <w:tcBorders>
              <w:top w:val="single" w:sz="4" w:space="0" w:color="auto"/>
              <w:bottom w:val="thickThinSmallGap" w:sz="18" w:space="0" w:color="auto"/>
            </w:tcBorders>
            <w:shd w:val="clear" w:color="auto" w:fill="auto"/>
            <w:tcMar>
              <w:left w:w="57" w:type="dxa"/>
              <w:right w:w="57" w:type="dxa"/>
            </w:tcMar>
            <w:vAlign w:val="bottom"/>
          </w:tcPr>
          <w:p w14:paraId="2D9BDE9B" w14:textId="737371E5" w:rsidR="00027B74" w:rsidRPr="00FB38E1" w:rsidRDefault="00027B74" w:rsidP="00027B74">
            <w:pPr>
              <w:jc w:val="cente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100,00</w:t>
            </w:r>
          </w:p>
        </w:tc>
      </w:tr>
    </w:tbl>
    <w:bookmarkEnd w:id="13"/>
    <w:p w14:paraId="465808A2" w14:textId="77777777" w:rsidR="00206498" w:rsidRPr="00FB38E1" w:rsidRDefault="00206498" w:rsidP="00076C9E">
      <w:pPr>
        <w:pStyle w:val="ListParagraph"/>
        <w:numPr>
          <w:ilvl w:val="0"/>
          <w:numId w:val="6"/>
        </w:numPr>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Banka’nın hizmet türü ve faaliyet alanlarını içeren özet bilgi</w:t>
      </w:r>
    </w:p>
    <w:p w14:paraId="3A4FF92E" w14:textId="2EB5F352" w:rsidR="00206498" w:rsidRPr="00FB38E1" w:rsidRDefault="00AD2A6F" w:rsidP="003A174C">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31 Aralık 2024</w:t>
      </w:r>
      <w:r w:rsidR="00D2745C" w:rsidRPr="00FB38E1">
        <w:rPr>
          <w:rFonts w:ascii="Microsoft Sans Serif" w:hAnsi="Microsoft Sans Serif" w:cs="Microsoft Sans Serif"/>
          <w:color w:val="404040" w:themeColor="text1" w:themeTint="BF"/>
          <w:sz w:val="20"/>
          <w:szCs w:val="20"/>
        </w:rPr>
        <w:t xml:space="preserve"> </w:t>
      </w:r>
      <w:r w:rsidR="00742AED" w:rsidRPr="00FB38E1">
        <w:rPr>
          <w:rFonts w:ascii="Microsoft Sans Serif" w:hAnsi="Microsoft Sans Serif" w:cs="Microsoft Sans Serif"/>
          <w:color w:val="404040" w:themeColor="text1" w:themeTint="BF"/>
          <w:sz w:val="20"/>
          <w:szCs w:val="20"/>
        </w:rPr>
        <w:t>tarihi itibarıyla yurtiçindeki 6</w:t>
      </w:r>
      <w:r w:rsidR="00050E45" w:rsidRPr="00FB38E1">
        <w:rPr>
          <w:rFonts w:ascii="Microsoft Sans Serif" w:hAnsi="Microsoft Sans Serif" w:cs="Microsoft Sans Serif"/>
          <w:color w:val="404040" w:themeColor="text1" w:themeTint="BF"/>
          <w:sz w:val="20"/>
          <w:szCs w:val="20"/>
        </w:rPr>
        <w:t>28</w:t>
      </w:r>
      <w:r w:rsidR="00742AED" w:rsidRPr="00FB38E1">
        <w:rPr>
          <w:rFonts w:ascii="Microsoft Sans Serif" w:hAnsi="Microsoft Sans Serif" w:cs="Microsoft Sans Serif"/>
          <w:color w:val="404040" w:themeColor="text1" w:themeTint="BF"/>
          <w:sz w:val="20"/>
          <w:szCs w:val="20"/>
        </w:rPr>
        <w:t xml:space="preserve"> (31 Aralık 2023: 639) ve yurtdışındaki 2 (31 Aralık 2023: 2) </w:t>
      </w:r>
      <w:r w:rsidR="00206498" w:rsidRPr="00FB38E1">
        <w:rPr>
          <w:rFonts w:ascii="Microsoft Sans Serif" w:hAnsi="Microsoft Sans Serif" w:cs="Microsoft Sans Serif"/>
          <w:color w:val="404040" w:themeColor="text1" w:themeTint="BF"/>
          <w:sz w:val="20"/>
          <w:szCs w:val="20"/>
        </w:rPr>
        <w:t xml:space="preserve"> şubesi ile hizmet vermekte olan Banka, bir özel sektör mevduat bankasıdır.</w:t>
      </w:r>
    </w:p>
    <w:p w14:paraId="29173ABF" w14:textId="77777777" w:rsidR="00206498" w:rsidRPr="00FB38E1" w:rsidRDefault="00206498" w:rsidP="003A174C">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Esas Sözleşme’nin 3. maddesinde belirtildiği üzere Banka’nın faaliyet alanlarının özeti aşağıda sıralanmıştır:</w:t>
      </w:r>
    </w:p>
    <w:p w14:paraId="7B356D7A" w14:textId="77777777" w:rsidR="00206498" w:rsidRPr="00FB38E1" w:rsidRDefault="00206498" w:rsidP="003A174C">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Bankacılık kanunu ve ilgili mevzuata aykırı olmamak şartıyla;</w:t>
      </w:r>
    </w:p>
    <w:p w14:paraId="4BB5D516" w14:textId="77777777" w:rsidR="00206498" w:rsidRPr="00FB38E1" w:rsidRDefault="00206498" w:rsidP="00076C9E">
      <w:pPr>
        <w:numPr>
          <w:ilvl w:val="0"/>
          <w:numId w:val="3"/>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Her türlü bankacılık işlemleri yapabilir,</w:t>
      </w:r>
    </w:p>
    <w:p w14:paraId="19BC78E6" w14:textId="77777777" w:rsidR="00206498" w:rsidRPr="00FB38E1" w:rsidRDefault="00206498" w:rsidP="00076C9E">
      <w:pPr>
        <w:numPr>
          <w:ilvl w:val="0"/>
          <w:numId w:val="4"/>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İlgili mevzuat ve Sermaye Piyasası Kanunu hükümleri çerçevesinde her türlü sermaye piyasası araçları üzerinde işlemler yapabilir,</w:t>
      </w:r>
    </w:p>
    <w:p w14:paraId="6E76C31A" w14:textId="691C7B26" w:rsidR="00206498" w:rsidRPr="00FB38E1" w:rsidRDefault="00CC65DD" w:rsidP="00076C9E">
      <w:pPr>
        <w:numPr>
          <w:ilvl w:val="0"/>
          <w:numId w:val="4"/>
        </w:numPr>
        <w:tabs>
          <w:tab w:val="clear" w:pos="1080"/>
          <w:tab w:val="num" w:pos="720"/>
        </w:tabs>
        <w:spacing w:before="120" w:after="60" w:line="220" w:lineRule="exact"/>
        <w:ind w:left="714" w:hanging="357"/>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Yurt içi</w:t>
      </w:r>
      <w:r w:rsidR="00206498" w:rsidRPr="00FB38E1">
        <w:rPr>
          <w:rFonts w:ascii="Microsoft Sans Serif" w:hAnsi="Microsoft Sans Serif" w:cs="Microsoft Sans Serif"/>
          <w:color w:val="404040" w:themeColor="text1" w:themeTint="BF"/>
          <w:sz w:val="20"/>
          <w:szCs w:val="20"/>
        </w:rPr>
        <w:t>nde ve Bankacılık Kanunu gereğince Bankacılık Düzenleme ve Denetleme Kurumu’ndan izin almak koşuluyla yurt dışındaki şirketlere ve bankalara, finansal kuruluşlara ve her türlü yatırım ortaklıklarına kurucu olarak veya paylarını yahut pay senetlerini satın almak suretiyle iştirak edebilir, yönetim ve denetimlerini üstlenebilir,</w:t>
      </w:r>
    </w:p>
    <w:p w14:paraId="5D27BB73" w14:textId="08615312" w:rsidR="00206498" w:rsidRPr="00FB38E1" w:rsidRDefault="00CC65DD" w:rsidP="00076C9E">
      <w:pPr>
        <w:numPr>
          <w:ilvl w:val="0"/>
          <w:numId w:val="4"/>
        </w:numPr>
        <w:tabs>
          <w:tab w:val="clear" w:pos="1080"/>
          <w:tab w:val="num" w:pos="720"/>
        </w:tabs>
        <w:spacing w:before="120" w:after="120" w:line="220" w:lineRule="exact"/>
        <w:ind w:left="714" w:hanging="357"/>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Yurt içi</w:t>
      </w:r>
      <w:r w:rsidR="00206498" w:rsidRPr="00FB38E1">
        <w:rPr>
          <w:rFonts w:ascii="Microsoft Sans Serif" w:hAnsi="Microsoft Sans Serif" w:cs="Microsoft Sans Serif"/>
          <w:color w:val="404040" w:themeColor="text1" w:themeTint="BF"/>
          <w:sz w:val="20"/>
          <w:szCs w:val="20"/>
        </w:rPr>
        <w:t xml:space="preserve"> ve </w:t>
      </w:r>
      <w:r w:rsidRPr="00FB38E1">
        <w:rPr>
          <w:rFonts w:ascii="Microsoft Sans Serif" w:hAnsi="Microsoft Sans Serif" w:cs="Microsoft Sans Serif"/>
          <w:color w:val="404040" w:themeColor="text1" w:themeTint="BF"/>
          <w:sz w:val="20"/>
          <w:szCs w:val="20"/>
        </w:rPr>
        <w:t>yurt dışı</w:t>
      </w:r>
      <w:r w:rsidR="00206498" w:rsidRPr="00FB38E1">
        <w:rPr>
          <w:rFonts w:ascii="Microsoft Sans Serif" w:hAnsi="Microsoft Sans Serif" w:cs="Microsoft Sans Serif"/>
          <w:color w:val="404040" w:themeColor="text1" w:themeTint="BF"/>
          <w:sz w:val="20"/>
          <w:szCs w:val="20"/>
        </w:rPr>
        <w:t>nda her türlü sigorta acenteliği işlemi yapabilir, bu amaçla sigorta şirketleri ile sigorta acenteliği anlaşmaları imzalayabilir.</w:t>
      </w:r>
    </w:p>
    <w:p w14:paraId="584F001F" w14:textId="77777777" w:rsidR="00206498" w:rsidRPr="00FB38E1" w:rsidRDefault="00206498" w:rsidP="003A174C">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Yukarıda belirtilen faaliyetler dışında, ileride Banka için faydalı ve lüzumlu görülecek başka işlere girişilmek istenildiği takdirde; keyfiyet Yönetim Kurulu’nun kararı üzerine Genel Kurul’un onayına sunulacak, bu hususta Genel Kurul tarafından karar alınmasını müteakip öngörülen işler Banka tarafından yapılabilecektir.</w:t>
      </w:r>
    </w:p>
    <w:p w14:paraId="69C47AD4" w14:textId="77777777" w:rsidR="0042077E" w:rsidRPr="00FB38E1" w:rsidRDefault="0042077E" w:rsidP="00076C9E">
      <w:pPr>
        <w:pStyle w:val="ListParagraph"/>
        <w:numPr>
          <w:ilvl w:val="0"/>
          <w:numId w:val="6"/>
        </w:numPr>
        <w:spacing w:before="240" w:after="120" w:line="240" w:lineRule="exact"/>
        <w:ind w:left="0" w:hanging="851"/>
        <w:contextualSpacing w:val="0"/>
      </w:pPr>
      <w:r w:rsidRPr="00FB38E1">
        <w:rPr>
          <w:rFonts w:ascii="Microsoft Sans Serif" w:hAnsi="Microsoft Sans Serif" w:cs="Microsoft Sans Serif"/>
          <w:b/>
        </w:rPr>
        <w:t>Banka ile bağlı ortaklıkları arasında özkaynakların derhal transfer edilmesinin veya borçların geri ödenmesinin önünde mevcut veya muhtemel, fiili ve hukuki engeller</w:t>
      </w:r>
    </w:p>
    <w:p w14:paraId="31A9017D" w14:textId="77777777" w:rsidR="001F1C49" w:rsidRPr="00FB38E1" w:rsidRDefault="0042077E" w:rsidP="003A174C">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Bulunmamaktadır.</w:t>
      </w:r>
      <w:r w:rsidR="001F1C49" w:rsidRPr="00FB38E1">
        <w:rPr>
          <w:rFonts w:ascii="Microsoft Sans Serif" w:hAnsi="Microsoft Sans Serif" w:cs="Microsoft Sans Serif"/>
          <w:color w:val="404040" w:themeColor="text1" w:themeTint="BF"/>
          <w:sz w:val="20"/>
          <w:szCs w:val="20"/>
        </w:rPr>
        <w:br w:type="page"/>
      </w:r>
    </w:p>
    <w:p w14:paraId="3BAAF685" w14:textId="77777777" w:rsidR="001F1C49" w:rsidRPr="00FB38E1" w:rsidRDefault="001F1C49" w:rsidP="0042077E">
      <w:pPr>
        <w:pStyle w:val="ListParagraph"/>
        <w:spacing w:before="120" w:after="120"/>
        <w:ind w:left="-68"/>
        <w:contextualSpacing w:val="0"/>
        <w:rPr>
          <w:rFonts w:ascii="Microsoft Sans Serif" w:hAnsi="Microsoft Sans Serif" w:cs="Microsoft Sans Serif"/>
          <w:color w:val="404040" w:themeColor="text1" w:themeTint="BF"/>
          <w:sz w:val="20"/>
          <w:szCs w:val="20"/>
        </w:rPr>
        <w:sectPr w:rsidR="001F1C49" w:rsidRPr="00FB38E1" w:rsidSect="00041CF4">
          <w:headerReference w:type="default" r:id="rId31"/>
          <w:footerReference w:type="default" r:id="rId32"/>
          <w:pgSz w:w="11906" w:h="16838"/>
          <w:pgMar w:top="-1985" w:right="567" w:bottom="-862" w:left="1701" w:header="709" w:footer="284" w:gutter="0"/>
          <w:pgNumType w:start="1"/>
          <w:cols w:space="708"/>
          <w:docGrid w:linePitch="360"/>
        </w:sectPr>
      </w:pPr>
    </w:p>
    <w:p w14:paraId="28C02B8D" w14:textId="77777777" w:rsidR="001F1C49"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6F5394E4" w14:textId="77777777" w:rsidR="001F1C49"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7483D268" w14:textId="77777777" w:rsidR="001F1C49"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002BC90F" w14:textId="77777777" w:rsidR="001F1C49"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ACCFFDE" w14:textId="77777777" w:rsidR="001F1C49"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1580C311" w14:textId="77777777" w:rsidR="001F1C49"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07C815C2" w14:textId="77777777" w:rsidR="001F1C49"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1F757E5" w14:textId="77777777" w:rsidR="001F1C49"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p>
    <w:p w14:paraId="28F3AA4F" w14:textId="77777777" w:rsidR="0042077E"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FB38E1">
        <w:rPr>
          <w:rFonts w:ascii="Microsoft Sans Serif" w:hAnsi="Microsoft Sans Serif" w:cs="Microsoft Sans Serif"/>
          <w:b/>
          <w:sz w:val="32"/>
          <w:szCs w:val="32"/>
        </w:rPr>
        <w:t>İKİNCİ BÖLÜM</w:t>
      </w:r>
    </w:p>
    <w:p w14:paraId="26D9626E" w14:textId="77777777" w:rsidR="001F1C49" w:rsidRPr="00FB38E1" w:rsidRDefault="001F1C49" w:rsidP="001F1C49">
      <w:pPr>
        <w:pStyle w:val="ListParagraph"/>
        <w:spacing w:after="0"/>
        <w:ind w:left="-68"/>
        <w:contextualSpacing w:val="0"/>
        <w:jc w:val="center"/>
        <w:rPr>
          <w:rFonts w:ascii="Microsoft Sans Serif" w:hAnsi="Microsoft Sans Serif" w:cs="Microsoft Sans Serif"/>
          <w:b/>
          <w:sz w:val="32"/>
          <w:szCs w:val="32"/>
        </w:rPr>
      </w:pPr>
      <w:r w:rsidRPr="00FB38E1">
        <w:rPr>
          <w:rFonts w:ascii="Microsoft Sans Serif" w:hAnsi="Microsoft Sans Serif" w:cs="Microsoft Sans Serif"/>
          <w:b/>
          <w:sz w:val="32"/>
          <w:szCs w:val="32"/>
        </w:rPr>
        <w:t xml:space="preserve">KONSOLİDE </w:t>
      </w:r>
      <w:r w:rsidR="00C700CD" w:rsidRPr="00FB38E1">
        <w:rPr>
          <w:rFonts w:ascii="Microsoft Sans Serif" w:hAnsi="Microsoft Sans Serif" w:cs="Microsoft Sans Serif"/>
          <w:b/>
          <w:sz w:val="32"/>
          <w:szCs w:val="32"/>
        </w:rPr>
        <w:t xml:space="preserve">OLMAYAN </w:t>
      </w:r>
      <w:r w:rsidRPr="00FB38E1">
        <w:rPr>
          <w:rFonts w:ascii="Microsoft Sans Serif" w:hAnsi="Microsoft Sans Serif" w:cs="Microsoft Sans Serif"/>
          <w:b/>
          <w:sz w:val="32"/>
          <w:szCs w:val="32"/>
        </w:rPr>
        <w:t>FİNANSAL TABLOLAR</w:t>
      </w:r>
    </w:p>
    <w:p w14:paraId="7CA1E59B" w14:textId="77777777" w:rsidR="001F1C49" w:rsidRPr="00FB38E1" w:rsidRDefault="001F1C49" w:rsidP="000207AD">
      <w:pPr>
        <w:pStyle w:val="ListParagraph"/>
        <w:spacing w:after="0"/>
        <w:ind w:left="-68"/>
        <w:contextualSpacing w:val="0"/>
        <w:rPr>
          <w:rFonts w:ascii="Microsoft Sans Serif" w:hAnsi="Microsoft Sans Serif" w:cs="Microsoft Sans Serif"/>
          <w:b/>
          <w:sz w:val="32"/>
          <w:szCs w:val="32"/>
        </w:rPr>
      </w:pPr>
    </w:p>
    <w:p w14:paraId="69F26EBB" w14:textId="77777777" w:rsidR="0033796C" w:rsidRPr="00FB38E1" w:rsidRDefault="0033796C" w:rsidP="000207AD">
      <w:pPr>
        <w:pStyle w:val="ListParagraph"/>
        <w:spacing w:after="0"/>
        <w:ind w:left="-68"/>
        <w:contextualSpacing w:val="0"/>
        <w:rPr>
          <w:rFonts w:ascii="Microsoft Sans Serif" w:hAnsi="Microsoft Sans Serif" w:cs="Microsoft Sans Serif"/>
          <w:b/>
          <w:sz w:val="32"/>
          <w:szCs w:val="32"/>
        </w:rPr>
      </w:pPr>
    </w:p>
    <w:p w14:paraId="3384B2AC" w14:textId="2C52A931" w:rsidR="0033796C" w:rsidRPr="00FB38E1" w:rsidRDefault="0033796C" w:rsidP="00922182">
      <w:pPr>
        <w:spacing w:after="0"/>
        <w:rPr>
          <w:rFonts w:ascii="Microsoft Sans Serif" w:hAnsi="Microsoft Sans Serif" w:cs="Microsoft Sans Serif"/>
          <w:b/>
          <w:sz w:val="32"/>
          <w:szCs w:val="32"/>
        </w:rPr>
      </w:pPr>
    </w:p>
    <w:p w14:paraId="04C75139" w14:textId="77777777" w:rsidR="0033796C" w:rsidRPr="00FB38E1" w:rsidRDefault="0033796C" w:rsidP="000207AD">
      <w:pPr>
        <w:pStyle w:val="ListParagraph"/>
        <w:spacing w:after="0"/>
        <w:ind w:left="-68"/>
        <w:contextualSpacing w:val="0"/>
        <w:rPr>
          <w:rFonts w:ascii="Microsoft Sans Serif" w:hAnsi="Microsoft Sans Serif" w:cs="Microsoft Sans Serif"/>
          <w:b/>
          <w:sz w:val="32"/>
          <w:szCs w:val="32"/>
        </w:rPr>
      </w:pPr>
    </w:p>
    <w:p w14:paraId="6D8397EC" w14:textId="2FCB3BDC" w:rsidR="0033796C" w:rsidRPr="00FB38E1" w:rsidRDefault="0033796C" w:rsidP="000207AD">
      <w:pPr>
        <w:pStyle w:val="ListParagraph"/>
        <w:spacing w:after="0"/>
        <w:ind w:left="-68"/>
        <w:contextualSpacing w:val="0"/>
        <w:rPr>
          <w:rFonts w:ascii="Microsoft Sans Serif" w:hAnsi="Microsoft Sans Serif" w:cs="Microsoft Sans Serif"/>
          <w:b/>
          <w:sz w:val="32"/>
          <w:szCs w:val="32"/>
        </w:rPr>
      </w:pPr>
    </w:p>
    <w:p w14:paraId="22C446D5" w14:textId="5EDE2009" w:rsidR="00922182" w:rsidRPr="00FB38E1" w:rsidRDefault="00922182" w:rsidP="000207AD">
      <w:pPr>
        <w:pStyle w:val="ListParagraph"/>
        <w:spacing w:after="0"/>
        <w:ind w:left="-68"/>
        <w:contextualSpacing w:val="0"/>
        <w:rPr>
          <w:rFonts w:ascii="Microsoft Sans Serif" w:hAnsi="Microsoft Sans Serif" w:cs="Microsoft Sans Serif"/>
          <w:b/>
          <w:sz w:val="32"/>
          <w:szCs w:val="32"/>
        </w:rPr>
      </w:pPr>
    </w:p>
    <w:p w14:paraId="0A7FDE20" w14:textId="667937D5" w:rsidR="00922182" w:rsidRPr="00FB38E1" w:rsidRDefault="00922182" w:rsidP="000207AD">
      <w:pPr>
        <w:pStyle w:val="ListParagraph"/>
        <w:spacing w:after="0"/>
        <w:ind w:left="-68"/>
        <w:contextualSpacing w:val="0"/>
        <w:rPr>
          <w:rFonts w:ascii="Microsoft Sans Serif" w:hAnsi="Microsoft Sans Serif" w:cs="Microsoft Sans Serif"/>
          <w:b/>
          <w:sz w:val="32"/>
          <w:szCs w:val="32"/>
        </w:rPr>
      </w:pPr>
    </w:p>
    <w:p w14:paraId="535FC7C9" w14:textId="1C8048F5" w:rsidR="00922182" w:rsidRPr="00FB38E1" w:rsidRDefault="00922182" w:rsidP="000207AD">
      <w:pPr>
        <w:pStyle w:val="ListParagraph"/>
        <w:spacing w:after="0"/>
        <w:ind w:left="-68"/>
        <w:contextualSpacing w:val="0"/>
        <w:rPr>
          <w:rFonts w:ascii="Microsoft Sans Serif" w:hAnsi="Microsoft Sans Serif" w:cs="Microsoft Sans Serif"/>
          <w:b/>
          <w:sz w:val="32"/>
          <w:szCs w:val="32"/>
        </w:rPr>
      </w:pPr>
    </w:p>
    <w:p w14:paraId="007B97CE" w14:textId="207B612D" w:rsidR="00922182" w:rsidRPr="00FB38E1" w:rsidRDefault="00922182" w:rsidP="000207AD">
      <w:pPr>
        <w:pStyle w:val="ListParagraph"/>
        <w:spacing w:after="0"/>
        <w:ind w:left="-68"/>
        <w:contextualSpacing w:val="0"/>
        <w:rPr>
          <w:rFonts w:ascii="Microsoft Sans Serif" w:hAnsi="Microsoft Sans Serif" w:cs="Microsoft Sans Serif"/>
          <w:b/>
          <w:sz w:val="32"/>
          <w:szCs w:val="32"/>
        </w:rPr>
      </w:pPr>
    </w:p>
    <w:p w14:paraId="384BBCB0" w14:textId="4C9279E6" w:rsidR="00922182" w:rsidRPr="00FB38E1" w:rsidRDefault="00922182" w:rsidP="000207AD">
      <w:pPr>
        <w:pStyle w:val="ListParagraph"/>
        <w:spacing w:after="0"/>
        <w:ind w:left="-68"/>
        <w:contextualSpacing w:val="0"/>
        <w:rPr>
          <w:rFonts w:ascii="Microsoft Sans Serif" w:hAnsi="Microsoft Sans Serif" w:cs="Microsoft Sans Serif"/>
          <w:b/>
          <w:sz w:val="32"/>
          <w:szCs w:val="32"/>
        </w:rPr>
      </w:pPr>
    </w:p>
    <w:p w14:paraId="2A5B5981" w14:textId="28508CFB" w:rsidR="00922182" w:rsidRPr="00FB38E1" w:rsidRDefault="00922182" w:rsidP="000207AD">
      <w:pPr>
        <w:pStyle w:val="ListParagraph"/>
        <w:spacing w:after="0"/>
        <w:ind w:left="-68"/>
        <w:contextualSpacing w:val="0"/>
        <w:rPr>
          <w:rFonts w:ascii="Microsoft Sans Serif" w:hAnsi="Microsoft Sans Serif" w:cs="Microsoft Sans Serif"/>
          <w:b/>
          <w:sz w:val="32"/>
          <w:szCs w:val="32"/>
        </w:rPr>
      </w:pPr>
    </w:p>
    <w:p w14:paraId="353D4A7B" w14:textId="1358C802" w:rsidR="00922182" w:rsidRPr="00FB38E1" w:rsidRDefault="00922182" w:rsidP="000207AD">
      <w:pPr>
        <w:pStyle w:val="ListParagraph"/>
        <w:spacing w:after="0"/>
        <w:ind w:left="-68"/>
        <w:contextualSpacing w:val="0"/>
        <w:rPr>
          <w:rFonts w:ascii="Microsoft Sans Serif" w:hAnsi="Microsoft Sans Serif" w:cs="Microsoft Sans Serif"/>
          <w:b/>
          <w:sz w:val="32"/>
          <w:szCs w:val="32"/>
        </w:rPr>
      </w:pPr>
    </w:p>
    <w:p w14:paraId="4FFDBCCF" w14:textId="77777777" w:rsidR="00922182" w:rsidRPr="00FB38E1" w:rsidRDefault="00922182" w:rsidP="000207AD">
      <w:pPr>
        <w:pStyle w:val="ListParagraph"/>
        <w:spacing w:after="0"/>
        <w:ind w:left="-68"/>
        <w:contextualSpacing w:val="0"/>
        <w:rPr>
          <w:rFonts w:ascii="Microsoft Sans Serif" w:hAnsi="Microsoft Sans Serif" w:cs="Microsoft Sans Serif"/>
          <w:b/>
          <w:sz w:val="32"/>
          <w:szCs w:val="32"/>
        </w:rPr>
      </w:pPr>
    </w:p>
    <w:p w14:paraId="6C683CFB" w14:textId="77777777" w:rsidR="0033796C" w:rsidRPr="00FB38E1" w:rsidRDefault="0033796C" w:rsidP="000207AD">
      <w:pPr>
        <w:pStyle w:val="ListParagraph"/>
        <w:spacing w:after="0"/>
        <w:ind w:left="-68"/>
        <w:contextualSpacing w:val="0"/>
        <w:rPr>
          <w:rFonts w:ascii="Microsoft Sans Serif" w:hAnsi="Microsoft Sans Serif" w:cs="Microsoft Sans Serif"/>
          <w:b/>
          <w:sz w:val="32"/>
          <w:szCs w:val="32"/>
        </w:rPr>
      </w:pPr>
    </w:p>
    <w:p w14:paraId="75F859F3" w14:textId="77777777" w:rsidR="0033796C" w:rsidRPr="00FB38E1" w:rsidRDefault="0033796C" w:rsidP="000207AD">
      <w:pPr>
        <w:pStyle w:val="ListParagraph"/>
        <w:spacing w:after="0"/>
        <w:ind w:left="-68"/>
        <w:contextualSpacing w:val="0"/>
        <w:rPr>
          <w:rFonts w:ascii="Microsoft Sans Serif" w:hAnsi="Microsoft Sans Serif" w:cs="Microsoft Sans Serif"/>
          <w:b/>
          <w:sz w:val="32"/>
          <w:szCs w:val="32"/>
        </w:rPr>
      </w:pPr>
    </w:p>
    <w:p w14:paraId="539FA75A" w14:textId="77777777" w:rsidR="0033796C" w:rsidRPr="00FB38E1" w:rsidRDefault="0033796C" w:rsidP="000207AD">
      <w:pPr>
        <w:pStyle w:val="ListParagraph"/>
        <w:spacing w:after="0"/>
        <w:ind w:left="-68"/>
        <w:contextualSpacing w:val="0"/>
        <w:rPr>
          <w:rFonts w:ascii="Microsoft Sans Serif" w:hAnsi="Microsoft Sans Serif" w:cs="Microsoft Sans Serif"/>
          <w:b/>
          <w:sz w:val="32"/>
          <w:szCs w:val="32"/>
        </w:rPr>
      </w:pPr>
    </w:p>
    <w:p w14:paraId="2EE40D13" w14:textId="77777777" w:rsidR="001F1C49" w:rsidRPr="00FB38E1" w:rsidRDefault="001F1C49" w:rsidP="000207AD">
      <w:pPr>
        <w:pStyle w:val="ListParagraph"/>
        <w:spacing w:after="0"/>
        <w:ind w:left="-68"/>
        <w:contextualSpacing w:val="0"/>
        <w:rPr>
          <w:rFonts w:ascii="Microsoft Sans Serif" w:hAnsi="Microsoft Sans Serif" w:cs="Microsoft Sans Serif"/>
          <w:b/>
          <w:sz w:val="32"/>
          <w:szCs w:val="32"/>
        </w:rPr>
      </w:pPr>
    </w:p>
    <w:p w14:paraId="7DD66286" w14:textId="3C097D6B" w:rsidR="001F1C49" w:rsidRPr="00FB38E1" w:rsidRDefault="001F1C49" w:rsidP="00076C9E">
      <w:pPr>
        <w:pStyle w:val="ListParagraph"/>
        <w:numPr>
          <w:ilvl w:val="0"/>
          <w:numId w:val="5"/>
        </w:numPr>
        <w:spacing w:after="0"/>
        <w:ind w:left="2835"/>
        <w:jc w:val="left"/>
        <w:rPr>
          <w:rFonts w:ascii="Microsoft Sans Serif" w:hAnsi="Microsoft Sans Serif" w:cs="Microsoft Sans Serif"/>
          <w:b/>
          <w:sz w:val="32"/>
          <w:szCs w:val="32"/>
        </w:rPr>
      </w:pPr>
      <w:r w:rsidRPr="00FB38E1">
        <w:rPr>
          <w:rFonts w:ascii="Microsoft Sans Serif" w:hAnsi="Microsoft Sans Serif" w:cs="Microsoft Sans Serif"/>
        </w:rPr>
        <w:t xml:space="preserve">Konsolide </w:t>
      </w:r>
      <w:r w:rsidR="00C700CD" w:rsidRPr="00FB38E1">
        <w:rPr>
          <w:rFonts w:ascii="Microsoft Sans Serif" w:hAnsi="Microsoft Sans Serif" w:cs="Microsoft Sans Serif"/>
        </w:rPr>
        <w:t xml:space="preserve">Olmayan </w:t>
      </w:r>
      <w:r w:rsidRPr="00FB38E1">
        <w:rPr>
          <w:rFonts w:ascii="Microsoft Sans Serif" w:hAnsi="Microsoft Sans Serif" w:cs="Microsoft Sans Serif"/>
        </w:rPr>
        <w:t>Finansal Durum Tablo</w:t>
      </w:r>
      <w:r w:rsidR="00C20948" w:rsidRPr="00FB38E1">
        <w:rPr>
          <w:rFonts w:ascii="Microsoft Sans Serif" w:hAnsi="Microsoft Sans Serif" w:cs="Microsoft Sans Serif"/>
        </w:rPr>
        <w:t>su</w:t>
      </w:r>
      <w:r w:rsidR="00BE7754" w:rsidRPr="00FB38E1">
        <w:rPr>
          <w:rFonts w:ascii="Microsoft Sans Serif" w:hAnsi="Microsoft Sans Serif" w:cs="Microsoft Sans Serif"/>
        </w:rPr>
        <w:t xml:space="preserve"> (Bilanço)</w:t>
      </w:r>
    </w:p>
    <w:p w14:paraId="248E999B" w14:textId="5F44EF20" w:rsidR="001F1C49" w:rsidRPr="00FB38E1" w:rsidRDefault="0033796C" w:rsidP="00076C9E">
      <w:pPr>
        <w:pStyle w:val="ListParagraph"/>
        <w:numPr>
          <w:ilvl w:val="0"/>
          <w:numId w:val="5"/>
        </w:numPr>
        <w:spacing w:after="0"/>
        <w:ind w:left="2835"/>
        <w:jc w:val="left"/>
        <w:rPr>
          <w:rFonts w:ascii="Microsoft Sans Serif" w:hAnsi="Microsoft Sans Serif" w:cs="Microsoft Sans Serif"/>
          <w:b/>
          <w:sz w:val="32"/>
          <w:szCs w:val="32"/>
        </w:rPr>
      </w:pPr>
      <w:r w:rsidRPr="00FB38E1">
        <w:rPr>
          <w:rFonts w:ascii="Microsoft Sans Serif" w:hAnsi="Microsoft Sans Serif" w:cs="Microsoft Sans Serif"/>
        </w:rPr>
        <w:t xml:space="preserve">Konsolide </w:t>
      </w:r>
      <w:r w:rsidR="00C700CD" w:rsidRPr="00FB38E1">
        <w:rPr>
          <w:rFonts w:ascii="Microsoft Sans Serif" w:hAnsi="Microsoft Sans Serif" w:cs="Microsoft Sans Serif"/>
        </w:rPr>
        <w:t xml:space="preserve">Olmayan </w:t>
      </w:r>
      <w:r w:rsidRPr="00FB38E1">
        <w:rPr>
          <w:rFonts w:ascii="Microsoft Sans Serif" w:hAnsi="Microsoft Sans Serif" w:cs="Microsoft Sans Serif"/>
        </w:rPr>
        <w:t>Nazım Hesap</w:t>
      </w:r>
      <w:r w:rsidR="00EC6032" w:rsidRPr="00FB38E1">
        <w:rPr>
          <w:rFonts w:ascii="Microsoft Sans Serif" w:hAnsi="Microsoft Sans Serif" w:cs="Microsoft Sans Serif"/>
        </w:rPr>
        <w:t>lar</w:t>
      </w:r>
      <w:r w:rsidRPr="00FB38E1">
        <w:rPr>
          <w:rFonts w:ascii="Microsoft Sans Serif" w:hAnsi="Microsoft Sans Serif" w:cs="Microsoft Sans Serif"/>
        </w:rPr>
        <w:t xml:space="preserve"> Tablo</w:t>
      </w:r>
      <w:r w:rsidR="00C20948" w:rsidRPr="00FB38E1">
        <w:rPr>
          <w:rFonts w:ascii="Microsoft Sans Serif" w:hAnsi="Microsoft Sans Serif" w:cs="Microsoft Sans Serif"/>
        </w:rPr>
        <w:t>su</w:t>
      </w:r>
    </w:p>
    <w:p w14:paraId="0DA78A95" w14:textId="7D9AC385" w:rsidR="0033796C" w:rsidRPr="00FB38E1" w:rsidRDefault="0033796C" w:rsidP="00076C9E">
      <w:pPr>
        <w:numPr>
          <w:ilvl w:val="0"/>
          <w:numId w:val="5"/>
        </w:numPr>
        <w:tabs>
          <w:tab w:val="right" w:pos="7740"/>
        </w:tabs>
        <w:spacing w:after="0"/>
        <w:ind w:left="2835"/>
        <w:jc w:val="left"/>
        <w:rPr>
          <w:rFonts w:ascii="Microsoft Sans Serif" w:hAnsi="Microsoft Sans Serif" w:cs="Microsoft Sans Serif"/>
        </w:rPr>
      </w:pPr>
      <w:r w:rsidRPr="00FB38E1">
        <w:rPr>
          <w:rFonts w:ascii="Microsoft Sans Serif" w:hAnsi="Microsoft Sans Serif" w:cs="Microsoft Sans Serif"/>
        </w:rPr>
        <w:t xml:space="preserve">Konsolide </w:t>
      </w:r>
      <w:r w:rsidR="00C700CD" w:rsidRPr="00FB38E1">
        <w:rPr>
          <w:rFonts w:ascii="Microsoft Sans Serif" w:hAnsi="Microsoft Sans Serif" w:cs="Microsoft Sans Serif"/>
        </w:rPr>
        <w:t xml:space="preserve">Olmayan </w:t>
      </w:r>
      <w:r w:rsidR="00C20948" w:rsidRPr="00FB38E1">
        <w:rPr>
          <w:rFonts w:ascii="Microsoft Sans Serif" w:hAnsi="Microsoft Sans Serif" w:cs="Microsoft Sans Serif"/>
        </w:rPr>
        <w:t>Kar veya Zarar Tablosu</w:t>
      </w:r>
    </w:p>
    <w:p w14:paraId="23E259C0" w14:textId="329D26DC" w:rsidR="00C20948" w:rsidRPr="00FB38E1" w:rsidRDefault="00C20948" w:rsidP="00076C9E">
      <w:pPr>
        <w:numPr>
          <w:ilvl w:val="0"/>
          <w:numId w:val="5"/>
        </w:numPr>
        <w:tabs>
          <w:tab w:val="right" w:pos="7740"/>
        </w:tabs>
        <w:spacing w:after="0"/>
        <w:ind w:left="2835"/>
        <w:jc w:val="left"/>
        <w:rPr>
          <w:rFonts w:ascii="Microsoft Sans Serif" w:hAnsi="Microsoft Sans Serif" w:cs="Microsoft Sans Serif"/>
          <w:color w:val="000000" w:themeColor="text1"/>
        </w:rPr>
      </w:pPr>
      <w:r w:rsidRPr="00FB38E1">
        <w:rPr>
          <w:rFonts w:ascii="Microsoft Sans Serif" w:hAnsi="Microsoft Sans Serif" w:cs="Microsoft Sans Serif"/>
        </w:rPr>
        <w:t xml:space="preserve">Konsolide Olmayan Kar veya Zarar ve Diğer Kapsamlı Gelir </w:t>
      </w:r>
      <w:r w:rsidRPr="00FB38E1">
        <w:rPr>
          <w:rFonts w:ascii="Microsoft Sans Serif" w:hAnsi="Microsoft Sans Serif" w:cs="Microsoft Sans Serif"/>
          <w:color w:val="000000" w:themeColor="text1"/>
        </w:rPr>
        <w:t>Tablosu</w:t>
      </w:r>
    </w:p>
    <w:p w14:paraId="077AA653" w14:textId="6F8557D1" w:rsidR="0033796C" w:rsidRPr="00FB38E1" w:rsidRDefault="0033796C" w:rsidP="00076C9E">
      <w:pPr>
        <w:numPr>
          <w:ilvl w:val="0"/>
          <w:numId w:val="5"/>
        </w:numPr>
        <w:tabs>
          <w:tab w:val="right" w:pos="7740"/>
        </w:tabs>
        <w:spacing w:after="0"/>
        <w:ind w:left="2835"/>
        <w:jc w:val="left"/>
        <w:rPr>
          <w:rFonts w:ascii="Microsoft Sans Serif" w:hAnsi="Microsoft Sans Serif" w:cs="Microsoft Sans Serif"/>
          <w:color w:val="000000" w:themeColor="text1"/>
        </w:rPr>
      </w:pPr>
      <w:r w:rsidRPr="00FB38E1">
        <w:rPr>
          <w:rFonts w:ascii="Microsoft Sans Serif" w:hAnsi="Microsoft Sans Serif" w:cs="Microsoft Sans Serif"/>
          <w:color w:val="000000" w:themeColor="text1"/>
        </w:rPr>
        <w:t xml:space="preserve">Konsolide </w:t>
      </w:r>
      <w:r w:rsidR="00240B5A" w:rsidRPr="00FB38E1">
        <w:rPr>
          <w:rFonts w:ascii="Microsoft Sans Serif" w:hAnsi="Microsoft Sans Serif" w:cs="Microsoft Sans Serif"/>
          <w:color w:val="000000" w:themeColor="text1"/>
        </w:rPr>
        <w:t xml:space="preserve">Olmayan </w:t>
      </w:r>
      <w:r w:rsidRPr="00FB38E1">
        <w:rPr>
          <w:rFonts w:ascii="Microsoft Sans Serif" w:hAnsi="Microsoft Sans Serif" w:cs="Microsoft Sans Serif"/>
          <w:color w:val="000000" w:themeColor="text1"/>
        </w:rPr>
        <w:t>Özkaynak Değişim</w:t>
      </w:r>
      <w:r w:rsidR="00C20948" w:rsidRPr="00FB38E1">
        <w:rPr>
          <w:rFonts w:ascii="Microsoft Sans Serif" w:hAnsi="Microsoft Sans Serif" w:cs="Microsoft Sans Serif"/>
          <w:color w:val="000000" w:themeColor="text1"/>
        </w:rPr>
        <w:t xml:space="preserve"> Tablosu</w:t>
      </w:r>
    </w:p>
    <w:p w14:paraId="074B66B1" w14:textId="6A543CCC" w:rsidR="0033796C" w:rsidRPr="00FB38E1" w:rsidRDefault="0033796C" w:rsidP="00076C9E">
      <w:pPr>
        <w:pStyle w:val="ListParagraph"/>
        <w:numPr>
          <w:ilvl w:val="0"/>
          <w:numId w:val="5"/>
        </w:numPr>
        <w:tabs>
          <w:tab w:val="right" w:pos="7740"/>
        </w:tabs>
        <w:spacing w:after="0"/>
        <w:ind w:left="2835"/>
        <w:jc w:val="left"/>
        <w:rPr>
          <w:rFonts w:ascii="Microsoft Sans Serif" w:hAnsi="Microsoft Sans Serif" w:cs="Microsoft Sans Serif"/>
          <w:color w:val="000000" w:themeColor="text1"/>
        </w:rPr>
      </w:pPr>
      <w:r w:rsidRPr="00FB38E1">
        <w:rPr>
          <w:rFonts w:ascii="Microsoft Sans Serif" w:hAnsi="Microsoft Sans Serif" w:cs="Microsoft Sans Serif"/>
          <w:color w:val="000000" w:themeColor="text1"/>
        </w:rPr>
        <w:t xml:space="preserve">Konsolide </w:t>
      </w:r>
      <w:r w:rsidR="00240B5A" w:rsidRPr="00FB38E1">
        <w:rPr>
          <w:rFonts w:ascii="Microsoft Sans Serif" w:hAnsi="Microsoft Sans Serif" w:cs="Microsoft Sans Serif"/>
          <w:color w:val="000000" w:themeColor="text1"/>
        </w:rPr>
        <w:t xml:space="preserve">Olmayan </w:t>
      </w:r>
      <w:r w:rsidRPr="00FB38E1">
        <w:rPr>
          <w:rFonts w:ascii="Microsoft Sans Serif" w:hAnsi="Microsoft Sans Serif" w:cs="Microsoft Sans Serif"/>
          <w:color w:val="000000" w:themeColor="text1"/>
        </w:rPr>
        <w:t>Nakit Akış Tablo</w:t>
      </w:r>
      <w:r w:rsidR="00C20948" w:rsidRPr="00FB38E1">
        <w:rPr>
          <w:rFonts w:ascii="Microsoft Sans Serif" w:hAnsi="Microsoft Sans Serif" w:cs="Microsoft Sans Serif"/>
          <w:color w:val="000000" w:themeColor="text1"/>
        </w:rPr>
        <w:t>su</w:t>
      </w:r>
    </w:p>
    <w:p w14:paraId="3CAD418A" w14:textId="5DB82665" w:rsidR="00D2745C" w:rsidRPr="00FB38E1" w:rsidRDefault="00D2745C" w:rsidP="00076C9E">
      <w:pPr>
        <w:pStyle w:val="ListParagraph"/>
        <w:numPr>
          <w:ilvl w:val="0"/>
          <w:numId w:val="5"/>
        </w:numPr>
        <w:tabs>
          <w:tab w:val="right" w:pos="7740"/>
        </w:tabs>
        <w:spacing w:after="0"/>
        <w:ind w:left="2835"/>
        <w:jc w:val="left"/>
        <w:rPr>
          <w:rFonts w:ascii="Microsoft Sans Serif" w:hAnsi="Microsoft Sans Serif" w:cs="Microsoft Sans Serif"/>
          <w:color w:val="000000" w:themeColor="text1"/>
        </w:rPr>
      </w:pPr>
      <w:r w:rsidRPr="00FB38E1">
        <w:rPr>
          <w:rFonts w:ascii="Microsoft Sans Serif" w:hAnsi="Microsoft Sans Serif" w:cs="Microsoft Sans Serif"/>
          <w:color w:val="000000" w:themeColor="text1"/>
        </w:rPr>
        <w:t>Konsolide Olmayan Kar Dağıtım Tablosu</w:t>
      </w:r>
    </w:p>
    <w:p w14:paraId="57A9FA80" w14:textId="5E9427B3" w:rsidR="00B32F90" w:rsidRPr="00FB38E1" w:rsidRDefault="00B32F90" w:rsidP="00161588">
      <w:pPr>
        <w:pStyle w:val="ListParagraph"/>
        <w:tabs>
          <w:tab w:val="right" w:pos="7740"/>
        </w:tabs>
        <w:spacing w:after="0"/>
        <w:ind w:left="2835"/>
        <w:jc w:val="left"/>
        <w:rPr>
          <w:rFonts w:ascii="Microsoft Sans Serif" w:hAnsi="Microsoft Sans Serif" w:cs="Microsoft Sans Serif"/>
          <w:color w:val="000000" w:themeColor="text1"/>
        </w:rPr>
      </w:pPr>
    </w:p>
    <w:p w14:paraId="54D628B6" w14:textId="3286F614" w:rsidR="003634F6" w:rsidRPr="00FB38E1" w:rsidRDefault="003634F6" w:rsidP="00BB494E">
      <w:pPr>
        <w:pStyle w:val="ListParagraph"/>
        <w:tabs>
          <w:tab w:val="right" w:pos="7740"/>
        </w:tabs>
        <w:spacing w:after="0"/>
        <w:ind w:left="3119"/>
        <w:jc w:val="left"/>
        <w:rPr>
          <w:rFonts w:ascii="Microsoft Sans Serif" w:hAnsi="Microsoft Sans Serif" w:cs="Microsoft Sans Serif"/>
        </w:rPr>
      </w:pPr>
    </w:p>
    <w:p w14:paraId="520EA8E6" w14:textId="5BE879CB" w:rsidR="006F2A66" w:rsidRPr="00FB38E1" w:rsidRDefault="006F2A66" w:rsidP="00DF480B">
      <w:pPr>
        <w:pStyle w:val="ListParagraph"/>
        <w:tabs>
          <w:tab w:val="right" w:pos="7740"/>
        </w:tabs>
        <w:spacing w:after="0"/>
        <w:ind w:left="3119"/>
        <w:jc w:val="left"/>
        <w:rPr>
          <w:rFonts w:ascii="Microsoft Sans Serif" w:hAnsi="Microsoft Sans Serif" w:cs="Microsoft Sans Serif"/>
        </w:rPr>
      </w:pPr>
    </w:p>
    <w:p w14:paraId="5B29A480" w14:textId="32B0813E" w:rsidR="00D9252F" w:rsidRPr="00FB38E1" w:rsidRDefault="00D9252F" w:rsidP="007D1F2D">
      <w:pPr>
        <w:pStyle w:val="ListParagraph"/>
        <w:tabs>
          <w:tab w:val="right" w:pos="7740"/>
        </w:tabs>
        <w:spacing w:after="0"/>
        <w:ind w:left="3119"/>
        <w:jc w:val="left"/>
        <w:rPr>
          <w:rFonts w:ascii="Microsoft Sans Serif" w:hAnsi="Microsoft Sans Serif" w:cs="Microsoft Sans Serif"/>
        </w:rPr>
      </w:pPr>
    </w:p>
    <w:p w14:paraId="22C2E308" w14:textId="31151A0D" w:rsidR="002455E7" w:rsidRPr="00FB38E1" w:rsidRDefault="002455E7" w:rsidP="0078563D">
      <w:pPr>
        <w:pStyle w:val="ListParagraph"/>
        <w:tabs>
          <w:tab w:val="right" w:pos="7740"/>
        </w:tabs>
        <w:spacing w:after="0"/>
        <w:ind w:left="3119"/>
        <w:jc w:val="left"/>
        <w:rPr>
          <w:rFonts w:ascii="Microsoft Sans Serif" w:hAnsi="Microsoft Sans Serif" w:cs="Microsoft Sans Serif"/>
        </w:rPr>
      </w:pPr>
    </w:p>
    <w:p w14:paraId="5557BE97" w14:textId="2A90D2E2" w:rsidR="00BF1C00" w:rsidRPr="00FB38E1" w:rsidRDefault="00BF1C00" w:rsidP="00BF1C00">
      <w:pPr>
        <w:tabs>
          <w:tab w:val="right" w:pos="7740"/>
        </w:tabs>
        <w:spacing w:after="0"/>
        <w:jc w:val="left"/>
        <w:rPr>
          <w:rFonts w:ascii="Microsoft Sans Serif" w:hAnsi="Microsoft Sans Serif" w:cs="Microsoft Sans Serif"/>
        </w:rPr>
      </w:pPr>
    </w:p>
    <w:p w14:paraId="72AF520A" w14:textId="77777777" w:rsidR="0033796C" w:rsidRPr="00FB38E1" w:rsidRDefault="0033796C" w:rsidP="0033796C">
      <w:pPr>
        <w:pStyle w:val="ListParagraph"/>
        <w:tabs>
          <w:tab w:val="right" w:pos="7740"/>
        </w:tabs>
        <w:spacing w:after="0"/>
        <w:ind w:left="1080"/>
        <w:rPr>
          <w:rStyle w:val="CharChar"/>
          <w:rFonts w:ascii="Microsoft Sans Serif" w:hAnsi="Microsoft Sans Serif" w:cs="Microsoft Sans Serif"/>
        </w:rPr>
      </w:pPr>
    </w:p>
    <w:p w14:paraId="4AEB3D3F" w14:textId="77777777" w:rsidR="00B10664" w:rsidRPr="00FB38E1" w:rsidRDefault="00B10664" w:rsidP="00076C9E">
      <w:pPr>
        <w:pStyle w:val="ListParagraph"/>
        <w:numPr>
          <w:ilvl w:val="0"/>
          <w:numId w:val="5"/>
        </w:numPr>
        <w:spacing w:after="0"/>
        <w:ind w:left="3119"/>
        <w:jc w:val="left"/>
        <w:rPr>
          <w:rFonts w:ascii="Microsoft Sans Serif" w:hAnsi="Microsoft Sans Serif" w:cs="Microsoft Sans Serif"/>
          <w:b/>
          <w:sz w:val="32"/>
          <w:szCs w:val="32"/>
        </w:rPr>
        <w:sectPr w:rsidR="00B10664" w:rsidRPr="00FB38E1" w:rsidSect="005B03B1">
          <w:headerReference w:type="default" r:id="rId33"/>
          <w:footerReference w:type="default" r:id="rId34"/>
          <w:pgSz w:w="11906" w:h="16838"/>
          <w:pgMar w:top="-1985" w:right="567" w:bottom="-862" w:left="1701" w:header="709" w:footer="709"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
        <w:gridCol w:w="3335"/>
        <w:gridCol w:w="692"/>
        <w:gridCol w:w="885"/>
        <w:gridCol w:w="898"/>
        <w:gridCol w:w="985"/>
        <w:gridCol w:w="783"/>
        <w:gridCol w:w="796"/>
        <w:gridCol w:w="883"/>
      </w:tblGrid>
      <w:tr w:rsidR="00715141" w:rsidRPr="00FB38E1" w14:paraId="0FC1471B" w14:textId="77777777" w:rsidTr="00733EB0">
        <w:trPr>
          <w:trHeight w:val="170"/>
        </w:trPr>
        <w:tc>
          <w:tcPr>
            <w:tcW w:w="198" w:type="pct"/>
            <w:tcMar>
              <w:left w:w="57" w:type="dxa"/>
              <w:right w:w="57" w:type="dxa"/>
            </w:tcMar>
            <w:vAlign w:val="bottom"/>
          </w:tcPr>
          <w:p w14:paraId="3D997E37" w14:textId="77777777" w:rsidR="00715141" w:rsidRPr="00FB38E1" w:rsidRDefault="00715141" w:rsidP="00094F5B">
            <w:pPr>
              <w:pStyle w:val="ListParagraph"/>
              <w:ind w:left="0"/>
              <w:rPr>
                <w:rFonts w:ascii="Microsoft Sans Serif" w:hAnsi="Microsoft Sans Serif" w:cs="Microsoft Sans Serif"/>
                <w:b/>
                <w:sz w:val="12"/>
                <w:szCs w:val="12"/>
              </w:rPr>
            </w:pPr>
          </w:p>
        </w:tc>
        <w:tc>
          <w:tcPr>
            <w:tcW w:w="1730" w:type="pct"/>
            <w:tcMar>
              <w:left w:w="57" w:type="dxa"/>
              <w:right w:w="57" w:type="dxa"/>
            </w:tcMar>
            <w:vAlign w:val="bottom"/>
          </w:tcPr>
          <w:p w14:paraId="448BE623" w14:textId="77777777" w:rsidR="00715141" w:rsidRPr="00FB38E1" w:rsidRDefault="00715141" w:rsidP="00094F5B">
            <w:pPr>
              <w:pStyle w:val="ListParagraph"/>
              <w:ind w:left="0"/>
              <w:rPr>
                <w:rFonts w:ascii="Microsoft Sans Serif" w:hAnsi="Microsoft Sans Serif" w:cs="Microsoft Sans Serif"/>
                <w:b/>
                <w:sz w:val="12"/>
                <w:szCs w:val="12"/>
              </w:rPr>
            </w:pPr>
          </w:p>
        </w:tc>
        <w:tc>
          <w:tcPr>
            <w:tcW w:w="359" w:type="pct"/>
            <w:tcMar>
              <w:left w:w="57" w:type="dxa"/>
              <w:right w:w="57" w:type="dxa"/>
            </w:tcMar>
            <w:vAlign w:val="bottom"/>
          </w:tcPr>
          <w:p w14:paraId="4608A49B" w14:textId="77777777" w:rsidR="00715141" w:rsidRPr="00FB38E1" w:rsidRDefault="00715141" w:rsidP="00094F5B">
            <w:pPr>
              <w:pStyle w:val="ListParagraph"/>
              <w:ind w:left="0"/>
              <w:jc w:val="center"/>
              <w:rPr>
                <w:rFonts w:ascii="Microsoft Sans Serif" w:hAnsi="Microsoft Sans Serif" w:cs="Microsoft Sans Serif"/>
                <w:b/>
                <w:sz w:val="12"/>
                <w:szCs w:val="12"/>
              </w:rPr>
            </w:pPr>
          </w:p>
        </w:tc>
        <w:tc>
          <w:tcPr>
            <w:tcW w:w="1436" w:type="pct"/>
            <w:gridSpan w:val="3"/>
            <w:vAlign w:val="bottom"/>
          </w:tcPr>
          <w:p w14:paraId="36BC82CF" w14:textId="582D3F3B" w:rsidR="00715141" w:rsidRPr="00FB38E1" w:rsidRDefault="00D2745C" w:rsidP="00715141">
            <w:pPr>
              <w:pStyle w:val="ListParagraph"/>
              <w:ind w:left="0"/>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Bağımsız</w:t>
            </w:r>
            <w:r w:rsidR="004371FA" w:rsidRPr="00FB38E1">
              <w:rPr>
                <w:rFonts w:ascii="Microsoft Sans Serif" w:hAnsi="Microsoft Sans Serif" w:cs="Microsoft Sans Serif"/>
                <w:b/>
                <w:sz w:val="12"/>
                <w:szCs w:val="12"/>
              </w:rPr>
              <w:t xml:space="preserve"> </w:t>
            </w:r>
            <w:r w:rsidR="0033005E" w:rsidRPr="00FB38E1">
              <w:rPr>
                <w:rFonts w:ascii="Microsoft Sans Serif" w:hAnsi="Microsoft Sans Serif" w:cs="Microsoft Sans Serif"/>
                <w:b/>
                <w:sz w:val="12"/>
                <w:szCs w:val="12"/>
              </w:rPr>
              <w:t>Den</w:t>
            </w:r>
            <w:r w:rsidR="00D84834" w:rsidRPr="00FB38E1">
              <w:rPr>
                <w:rFonts w:ascii="Microsoft Sans Serif" w:hAnsi="Microsoft Sans Serif" w:cs="Microsoft Sans Serif"/>
                <w:b/>
                <w:sz w:val="12"/>
                <w:szCs w:val="12"/>
              </w:rPr>
              <w:t>etimden Geçmiş</w:t>
            </w:r>
          </w:p>
        </w:tc>
        <w:tc>
          <w:tcPr>
            <w:tcW w:w="1277" w:type="pct"/>
            <w:gridSpan w:val="3"/>
            <w:tcMar>
              <w:left w:w="57" w:type="dxa"/>
              <w:right w:w="57" w:type="dxa"/>
            </w:tcMar>
            <w:vAlign w:val="bottom"/>
          </w:tcPr>
          <w:p w14:paraId="549FAA9F" w14:textId="11D34E57" w:rsidR="00715141" w:rsidRPr="00FB38E1" w:rsidRDefault="00CA7FAB" w:rsidP="00094F5B">
            <w:pPr>
              <w:pStyle w:val="ListParagraph"/>
              <w:ind w:left="0"/>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 xml:space="preserve">Bağımsız </w:t>
            </w:r>
            <w:r w:rsidR="00D84834" w:rsidRPr="00FB38E1">
              <w:rPr>
                <w:rFonts w:ascii="Microsoft Sans Serif" w:hAnsi="Microsoft Sans Serif" w:cs="Microsoft Sans Serif"/>
                <w:b/>
                <w:sz w:val="12"/>
                <w:szCs w:val="12"/>
              </w:rPr>
              <w:t>Denetimden Geçmiş</w:t>
            </w:r>
          </w:p>
        </w:tc>
      </w:tr>
      <w:tr w:rsidR="00D84834" w:rsidRPr="00FB38E1" w14:paraId="2EF20DD9" w14:textId="77777777" w:rsidTr="00733EB0">
        <w:trPr>
          <w:trHeight w:val="170"/>
        </w:trPr>
        <w:tc>
          <w:tcPr>
            <w:tcW w:w="198" w:type="pct"/>
            <w:tcMar>
              <w:left w:w="57" w:type="dxa"/>
              <w:right w:w="57" w:type="dxa"/>
            </w:tcMar>
            <w:vAlign w:val="bottom"/>
          </w:tcPr>
          <w:p w14:paraId="2AA4CE25" w14:textId="77777777" w:rsidR="00D84834" w:rsidRPr="00FB38E1" w:rsidRDefault="00D84834" w:rsidP="00D84834">
            <w:pPr>
              <w:pStyle w:val="ListParagraph"/>
              <w:ind w:left="0"/>
              <w:rPr>
                <w:rFonts w:ascii="Microsoft Sans Serif" w:hAnsi="Microsoft Sans Serif" w:cs="Microsoft Sans Serif"/>
                <w:b/>
                <w:sz w:val="12"/>
                <w:szCs w:val="12"/>
              </w:rPr>
            </w:pPr>
          </w:p>
        </w:tc>
        <w:tc>
          <w:tcPr>
            <w:tcW w:w="1730" w:type="pct"/>
            <w:tcMar>
              <w:left w:w="57" w:type="dxa"/>
              <w:right w:w="57" w:type="dxa"/>
            </w:tcMar>
            <w:vAlign w:val="bottom"/>
          </w:tcPr>
          <w:p w14:paraId="0F853570" w14:textId="77777777" w:rsidR="00D84834" w:rsidRPr="00FB38E1" w:rsidRDefault="00D84834" w:rsidP="00D84834">
            <w:pPr>
              <w:pStyle w:val="ListParagraph"/>
              <w:ind w:left="0"/>
              <w:rPr>
                <w:rFonts w:ascii="Microsoft Sans Serif" w:hAnsi="Microsoft Sans Serif" w:cs="Microsoft Sans Serif"/>
                <w:b/>
                <w:sz w:val="12"/>
                <w:szCs w:val="12"/>
              </w:rPr>
            </w:pPr>
          </w:p>
        </w:tc>
        <w:tc>
          <w:tcPr>
            <w:tcW w:w="359" w:type="pct"/>
            <w:tcMar>
              <w:left w:w="57" w:type="dxa"/>
              <w:right w:w="57" w:type="dxa"/>
            </w:tcMar>
            <w:vAlign w:val="bottom"/>
          </w:tcPr>
          <w:p w14:paraId="045FD4EB" w14:textId="77777777" w:rsidR="00D84834" w:rsidRPr="00FB38E1" w:rsidRDefault="00D84834" w:rsidP="00D84834">
            <w:pPr>
              <w:pStyle w:val="ListParagraph"/>
              <w:ind w:left="0"/>
              <w:jc w:val="center"/>
              <w:rPr>
                <w:rFonts w:ascii="Microsoft Sans Serif" w:hAnsi="Microsoft Sans Serif" w:cs="Microsoft Sans Serif"/>
                <w:b/>
                <w:sz w:val="12"/>
                <w:szCs w:val="12"/>
              </w:rPr>
            </w:pPr>
          </w:p>
        </w:tc>
        <w:tc>
          <w:tcPr>
            <w:tcW w:w="1436" w:type="pct"/>
            <w:gridSpan w:val="3"/>
            <w:vAlign w:val="bottom"/>
          </w:tcPr>
          <w:p w14:paraId="6B77FCEE" w14:textId="4A9ACEE7" w:rsidR="00D84834" w:rsidRPr="00FB38E1" w:rsidRDefault="00D84834" w:rsidP="008150EC">
            <w:pPr>
              <w:pStyle w:val="ListParagraph"/>
              <w:ind w:left="0" w:right="-60"/>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CARİ DÖNEM</w:t>
            </w:r>
          </w:p>
        </w:tc>
        <w:tc>
          <w:tcPr>
            <w:tcW w:w="1277" w:type="pct"/>
            <w:gridSpan w:val="3"/>
            <w:tcMar>
              <w:left w:w="57" w:type="dxa"/>
              <w:right w:w="57" w:type="dxa"/>
            </w:tcMar>
            <w:vAlign w:val="bottom"/>
          </w:tcPr>
          <w:p w14:paraId="752F3430" w14:textId="30004943" w:rsidR="00D84834" w:rsidRPr="00FB38E1" w:rsidRDefault="00D84834" w:rsidP="00D84834">
            <w:pPr>
              <w:pStyle w:val="ListParagraph"/>
              <w:ind w:left="0"/>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ÖNCEKİ DÖNEM</w:t>
            </w:r>
          </w:p>
        </w:tc>
      </w:tr>
      <w:tr w:rsidR="00D84834" w:rsidRPr="00FB38E1" w14:paraId="3D17EF3B" w14:textId="77777777" w:rsidTr="00733EB0">
        <w:trPr>
          <w:trHeight w:val="170"/>
        </w:trPr>
        <w:tc>
          <w:tcPr>
            <w:tcW w:w="198" w:type="pct"/>
            <w:tcMar>
              <w:left w:w="57" w:type="dxa"/>
              <w:right w:w="57" w:type="dxa"/>
            </w:tcMar>
            <w:vAlign w:val="bottom"/>
          </w:tcPr>
          <w:p w14:paraId="04D18B0A" w14:textId="77777777" w:rsidR="00D84834" w:rsidRPr="00FB38E1" w:rsidRDefault="00D84834" w:rsidP="00D84834">
            <w:pPr>
              <w:pStyle w:val="ListParagraph"/>
              <w:ind w:left="0"/>
              <w:rPr>
                <w:rFonts w:ascii="Microsoft Sans Serif" w:hAnsi="Microsoft Sans Serif" w:cs="Microsoft Sans Serif"/>
                <w:b/>
                <w:sz w:val="12"/>
                <w:szCs w:val="12"/>
              </w:rPr>
            </w:pPr>
          </w:p>
        </w:tc>
        <w:tc>
          <w:tcPr>
            <w:tcW w:w="1730" w:type="pct"/>
            <w:tcMar>
              <w:left w:w="57" w:type="dxa"/>
              <w:right w:w="57" w:type="dxa"/>
            </w:tcMar>
            <w:vAlign w:val="bottom"/>
          </w:tcPr>
          <w:p w14:paraId="75CFA2E5" w14:textId="7340431E" w:rsidR="00D84834" w:rsidRPr="00FB38E1" w:rsidRDefault="00D84834" w:rsidP="00D84834">
            <w:pPr>
              <w:pStyle w:val="ListParagraph"/>
              <w:ind w:left="0"/>
              <w:rPr>
                <w:rFonts w:ascii="Microsoft Sans Serif" w:hAnsi="Microsoft Sans Serif" w:cs="Microsoft Sans Serif"/>
                <w:b/>
                <w:sz w:val="12"/>
                <w:szCs w:val="12"/>
              </w:rPr>
            </w:pPr>
            <w:r w:rsidRPr="00FB38E1">
              <w:rPr>
                <w:rFonts w:ascii="Microsoft Sans Serif" w:hAnsi="Microsoft Sans Serif" w:cs="Microsoft Sans Serif"/>
                <w:b/>
                <w:sz w:val="12"/>
                <w:szCs w:val="12"/>
              </w:rPr>
              <w:t>VARLIKLAR</w:t>
            </w:r>
          </w:p>
        </w:tc>
        <w:tc>
          <w:tcPr>
            <w:tcW w:w="359" w:type="pct"/>
            <w:tcMar>
              <w:left w:w="57" w:type="dxa"/>
              <w:right w:w="57" w:type="dxa"/>
            </w:tcMar>
            <w:vAlign w:val="bottom"/>
          </w:tcPr>
          <w:p w14:paraId="39A92819" w14:textId="77777777" w:rsidR="00D84834" w:rsidRPr="00FB38E1" w:rsidRDefault="00D84834" w:rsidP="00D84834">
            <w:pPr>
              <w:pStyle w:val="ListParagraph"/>
              <w:ind w:left="0"/>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Dipnot</w:t>
            </w:r>
          </w:p>
        </w:tc>
        <w:tc>
          <w:tcPr>
            <w:tcW w:w="459" w:type="pct"/>
            <w:vAlign w:val="bottom"/>
          </w:tcPr>
          <w:p w14:paraId="1F8D77E5" w14:textId="77777777" w:rsidR="00D84834" w:rsidRPr="00FB38E1" w:rsidRDefault="00D84834" w:rsidP="00D84834">
            <w:pPr>
              <w:pStyle w:val="ListParagraph"/>
              <w:ind w:left="0"/>
              <w:jc w:val="center"/>
              <w:rPr>
                <w:rFonts w:ascii="Microsoft Sans Serif" w:hAnsi="Microsoft Sans Serif" w:cs="Microsoft Sans Serif"/>
                <w:b/>
                <w:sz w:val="12"/>
                <w:szCs w:val="12"/>
              </w:rPr>
            </w:pPr>
          </w:p>
        </w:tc>
        <w:tc>
          <w:tcPr>
            <w:tcW w:w="466" w:type="pct"/>
            <w:vAlign w:val="bottom"/>
          </w:tcPr>
          <w:p w14:paraId="113D56C0" w14:textId="68C3D8F2" w:rsidR="00D84834" w:rsidRPr="00FB38E1" w:rsidRDefault="00D2745C" w:rsidP="008150EC">
            <w:pPr>
              <w:pStyle w:val="ListParagraph"/>
              <w:ind w:left="0" w:right="-189"/>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(31/12/2024)</w:t>
            </w:r>
          </w:p>
        </w:tc>
        <w:tc>
          <w:tcPr>
            <w:tcW w:w="511" w:type="pct"/>
            <w:vAlign w:val="bottom"/>
          </w:tcPr>
          <w:p w14:paraId="7935ACF5" w14:textId="77777777" w:rsidR="00D84834" w:rsidRPr="00FB38E1" w:rsidRDefault="00D84834" w:rsidP="00D84834">
            <w:pPr>
              <w:pStyle w:val="ListParagraph"/>
              <w:ind w:left="0"/>
              <w:jc w:val="center"/>
              <w:rPr>
                <w:rFonts w:ascii="Microsoft Sans Serif" w:hAnsi="Microsoft Sans Serif" w:cs="Microsoft Sans Serif"/>
                <w:b/>
                <w:sz w:val="12"/>
                <w:szCs w:val="12"/>
              </w:rPr>
            </w:pPr>
          </w:p>
        </w:tc>
        <w:tc>
          <w:tcPr>
            <w:tcW w:w="406" w:type="pct"/>
            <w:tcMar>
              <w:left w:w="57" w:type="dxa"/>
              <w:right w:w="57" w:type="dxa"/>
            </w:tcMar>
            <w:vAlign w:val="bottom"/>
          </w:tcPr>
          <w:p w14:paraId="29741921" w14:textId="78F30ED8" w:rsidR="00D84834" w:rsidRPr="00FB38E1" w:rsidRDefault="00D84834" w:rsidP="00D84834">
            <w:pPr>
              <w:pStyle w:val="ListParagraph"/>
              <w:ind w:left="0"/>
              <w:jc w:val="right"/>
              <w:rPr>
                <w:rFonts w:ascii="Microsoft Sans Serif" w:hAnsi="Microsoft Sans Serif" w:cs="Microsoft Sans Serif"/>
                <w:b/>
                <w:sz w:val="12"/>
                <w:szCs w:val="12"/>
              </w:rPr>
            </w:pPr>
          </w:p>
        </w:tc>
        <w:tc>
          <w:tcPr>
            <w:tcW w:w="413" w:type="pct"/>
            <w:tcMar>
              <w:left w:w="57" w:type="dxa"/>
              <w:right w:w="57" w:type="dxa"/>
            </w:tcMar>
            <w:vAlign w:val="bottom"/>
          </w:tcPr>
          <w:p w14:paraId="65F4DCDB" w14:textId="25152120" w:rsidR="00D84834" w:rsidRPr="00FB38E1" w:rsidRDefault="00BB494E" w:rsidP="00D84834">
            <w:pPr>
              <w:pStyle w:val="ListParagraph"/>
              <w:ind w:left="0"/>
              <w:jc w:val="right"/>
              <w:rPr>
                <w:rFonts w:ascii="Microsoft Sans Serif" w:hAnsi="Microsoft Sans Serif" w:cs="Microsoft Sans Serif"/>
                <w:b/>
                <w:sz w:val="12"/>
                <w:szCs w:val="12"/>
              </w:rPr>
            </w:pPr>
            <w:r w:rsidRPr="00FB38E1">
              <w:rPr>
                <w:rFonts w:ascii="Microsoft Sans Serif" w:hAnsi="Microsoft Sans Serif" w:cs="Microsoft Sans Serif"/>
                <w:b/>
                <w:sz w:val="12"/>
                <w:szCs w:val="12"/>
              </w:rPr>
              <w:t>(31/12/202</w:t>
            </w:r>
            <w:r w:rsidR="007A16CD" w:rsidRPr="00FB38E1">
              <w:rPr>
                <w:rFonts w:ascii="Microsoft Sans Serif" w:hAnsi="Microsoft Sans Serif" w:cs="Microsoft Sans Serif"/>
                <w:b/>
                <w:sz w:val="12"/>
                <w:szCs w:val="12"/>
              </w:rPr>
              <w:t>3</w:t>
            </w:r>
            <w:r w:rsidR="00D84834" w:rsidRPr="00FB38E1">
              <w:rPr>
                <w:rFonts w:ascii="Microsoft Sans Serif" w:hAnsi="Microsoft Sans Serif" w:cs="Microsoft Sans Serif"/>
                <w:b/>
                <w:sz w:val="12"/>
                <w:szCs w:val="12"/>
              </w:rPr>
              <w:t>)</w:t>
            </w:r>
          </w:p>
        </w:tc>
        <w:tc>
          <w:tcPr>
            <w:tcW w:w="458" w:type="pct"/>
            <w:tcMar>
              <w:left w:w="57" w:type="dxa"/>
              <w:right w:w="57" w:type="dxa"/>
            </w:tcMar>
            <w:vAlign w:val="bottom"/>
          </w:tcPr>
          <w:p w14:paraId="7DC99D8A" w14:textId="77777777" w:rsidR="00D84834" w:rsidRPr="00FB38E1" w:rsidRDefault="00D84834" w:rsidP="00D84834">
            <w:pPr>
              <w:pStyle w:val="ListParagraph"/>
              <w:ind w:left="0"/>
              <w:jc w:val="right"/>
              <w:rPr>
                <w:rFonts w:ascii="Microsoft Sans Serif" w:hAnsi="Microsoft Sans Serif" w:cs="Microsoft Sans Serif"/>
                <w:b/>
                <w:sz w:val="12"/>
                <w:szCs w:val="12"/>
              </w:rPr>
            </w:pPr>
          </w:p>
        </w:tc>
      </w:tr>
      <w:tr w:rsidR="00D84834" w:rsidRPr="00FB38E1" w14:paraId="70743EB8" w14:textId="77777777" w:rsidTr="00733EB0">
        <w:trPr>
          <w:trHeight w:val="170"/>
        </w:trPr>
        <w:tc>
          <w:tcPr>
            <w:tcW w:w="198" w:type="pct"/>
            <w:tcBorders>
              <w:bottom w:val="single" w:sz="12" w:space="0" w:color="auto"/>
            </w:tcBorders>
            <w:tcMar>
              <w:left w:w="57" w:type="dxa"/>
              <w:right w:w="57" w:type="dxa"/>
            </w:tcMar>
            <w:vAlign w:val="bottom"/>
          </w:tcPr>
          <w:p w14:paraId="5A4174C3" w14:textId="77777777" w:rsidR="00D84834" w:rsidRPr="00FB38E1" w:rsidRDefault="00D84834" w:rsidP="00D84834">
            <w:pPr>
              <w:pStyle w:val="ListParagraph"/>
              <w:ind w:left="0"/>
              <w:rPr>
                <w:rFonts w:ascii="Microsoft Sans Serif" w:hAnsi="Microsoft Sans Serif" w:cs="Microsoft Sans Serif"/>
                <w:b/>
                <w:sz w:val="12"/>
                <w:szCs w:val="12"/>
              </w:rPr>
            </w:pPr>
          </w:p>
        </w:tc>
        <w:tc>
          <w:tcPr>
            <w:tcW w:w="1730" w:type="pct"/>
            <w:tcBorders>
              <w:bottom w:val="single" w:sz="12" w:space="0" w:color="auto"/>
            </w:tcBorders>
            <w:tcMar>
              <w:left w:w="57" w:type="dxa"/>
              <w:right w:w="57" w:type="dxa"/>
            </w:tcMar>
            <w:vAlign w:val="bottom"/>
          </w:tcPr>
          <w:p w14:paraId="1C293DE0" w14:textId="77777777" w:rsidR="00D84834" w:rsidRPr="00FB38E1" w:rsidRDefault="00D84834" w:rsidP="00D84834">
            <w:pPr>
              <w:pStyle w:val="ListParagraph"/>
              <w:ind w:left="0"/>
              <w:rPr>
                <w:rFonts w:ascii="Microsoft Sans Serif" w:hAnsi="Microsoft Sans Serif" w:cs="Microsoft Sans Serif"/>
                <w:b/>
                <w:sz w:val="12"/>
                <w:szCs w:val="12"/>
              </w:rPr>
            </w:pPr>
          </w:p>
        </w:tc>
        <w:tc>
          <w:tcPr>
            <w:tcW w:w="359" w:type="pct"/>
            <w:tcBorders>
              <w:bottom w:val="single" w:sz="12" w:space="0" w:color="auto"/>
            </w:tcBorders>
            <w:tcMar>
              <w:left w:w="57" w:type="dxa"/>
              <w:right w:w="57" w:type="dxa"/>
            </w:tcMar>
            <w:vAlign w:val="bottom"/>
          </w:tcPr>
          <w:p w14:paraId="75377677" w14:textId="77777777" w:rsidR="00D84834" w:rsidRPr="00FB38E1" w:rsidRDefault="00D84834" w:rsidP="00D84834">
            <w:pPr>
              <w:pStyle w:val="ListParagraph"/>
              <w:ind w:left="0"/>
              <w:jc w:val="center"/>
              <w:rPr>
                <w:rFonts w:ascii="Microsoft Sans Serif" w:hAnsi="Microsoft Sans Serif" w:cs="Microsoft Sans Serif"/>
                <w:b/>
                <w:sz w:val="12"/>
                <w:szCs w:val="12"/>
              </w:rPr>
            </w:pPr>
          </w:p>
        </w:tc>
        <w:tc>
          <w:tcPr>
            <w:tcW w:w="459" w:type="pct"/>
            <w:tcBorders>
              <w:bottom w:val="single" w:sz="12" w:space="0" w:color="auto"/>
            </w:tcBorders>
            <w:vAlign w:val="bottom"/>
          </w:tcPr>
          <w:p w14:paraId="7BDE9077" w14:textId="3A65D35E" w:rsidR="00D84834" w:rsidRPr="00FB38E1" w:rsidRDefault="00D84834" w:rsidP="00D84834">
            <w:pPr>
              <w:pStyle w:val="ListParagraph"/>
              <w:ind w:left="0"/>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TP</w:t>
            </w:r>
          </w:p>
        </w:tc>
        <w:tc>
          <w:tcPr>
            <w:tcW w:w="466" w:type="pct"/>
            <w:tcBorders>
              <w:bottom w:val="single" w:sz="12" w:space="0" w:color="auto"/>
            </w:tcBorders>
            <w:vAlign w:val="bottom"/>
          </w:tcPr>
          <w:p w14:paraId="245913D4" w14:textId="6F6AA320" w:rsidR="00D84834" w:rsidRPr="00FB38E1" w:rsidRDefault="00D84834" w:rsidP="00D84834">
            <w:pPr>
              <w:pStyle w:val="ListParagraph"/>
              <w:ind w:left="0"/>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YP</w:t>
            </w:r>
          </w:p>
        </w:tc>
        <w:tc>
          <w:tcPr>
            <w:tcW w:w="511" w:type="pct"/>
            <w:tcBorders>
              <w:bottom w:val="single" w:sz="12" w:space="0" w:color="auto"/>
            </w:tcBorders>
            <w:vAlign w:val="bottom"/>
          </w:tcPr>
          <w:p w14:paraId="085A6364" w14:textId="6900E4A1" w:rsidR="00D84834" w:rsidRPr="00FB38E1" w:rsidRDefault="00D84834" w:rsidP="00D84834">
            <w:pPr>
              <w:pStyle w:val="ListParagraph"/>
              <w:ind w:left="0"/>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w:t>
            </w:r>
          </w:p>
        </w:tc>
        <w:tc>
          <w:tcPr>
            <w:tcW w:w="406" w:type="pct"/>
            <w:tcBorders>
              <w:bottom w:val="single" w:sz="12" w:space="0" w:color="auto"/>
            </w:tcBorders>
            <w:tcMar>
              <w:left w:w="57" w:type="dxa"/>
              <w:right w:w="57" w:type="dxa"/>
            </w:tcMar>
            <w:vAlign w:val="bottom"/>
          </w:tcPr>
          <w:p w14:paraId="6BC8A6FE" w14:textId="1B392F76" w:rsidR="00D84834" w:rsidRPr="00FB38E1" w:rsidRDefault="00D84834" w:rsidP="00D84834">
            <w:pPr>
              <w:pStyle w:val="ListParagraph"/>
              <w:ind w:left="0"/>
              <w:jc w:val="right"/>
              <w:rPr>
                <w:rFonts w:ascii="Microsoft Sans Serif" w:hAnsi="Microsoft Sans Serif" w:cs="Microsoft Sans Serif"/>
                <w:b/>
                <w:sz w:val="12"/>
                <w:szCs w:val="12"/>
              </w:rPr>
            </w:pPr>
            <w:r w:rsidRPr="00FB38E1">
              <w:rPr>
                <w:rFonts w:ascii="Microsoft Sans Serif" w:hAnsi="Microsoft Sans Serif" w:cs="Microsoft Sans Serif"/>
                <w:b/>
                <w:sz w:val="12"/>
                <w:szCs w:val="12"/>
              </w:rPr>
              <w:t>TP</w:t>
            </w:r>
          </w:p>
        </w:tc>
        <w:tc>
          <w:tcPr>
            <w:tcW w:w="413" w:type="pct"/>
            <w:tcBorders>
              <w:bottom w:val="single" w:sz="12" w:space="0" w:color="auto"/>
            </w:tcBorders>
            <w:tcMar>
              <w:left w:w="57" w:type="dxa"/>
              <w:right w:w="57" w:type="dxa"/>
            </w:tcMar>
            <w:vAlign w:val="bottom"/>
          </w:tcPr>
          <w:p w14:paraId="0BBB508B" w14:textId="77777777" w:rsidR="00D84834" w:rsidRPr="00FB38E1" w:rsidRDefault="00D84834" w:rsidP="00D84834">
            <w:pPr>
              <w:pStyle w:val="ListParagraph"/>
              <w:ind w:left="0"/>
              <w:jc w:val="right"/>
              <w:rPr>
                <w:rFonts w:ascii="Microsoft Sans Serif" w:hAnsi="Microsoft Sans Serif" w:cs="Microsoft Sans Serif"/>
                <w:b/>
                <w:sz w:val="12"/>
                <w:szCs w:val="12"/>
              </w:rPr>
            </w:pPr>
            <w:r w:rsidRPr="00FB38E1">
              <w:rPr>
                <w:rFonts w:ascii="Microsoft Sans Serif" w:hAnsi="Microsoft Sans Serif" w:cs="Microsoft Sans Serif"/>
                <w:b/>
                <w:sz w:val="12"/>
                <w:szCs w:val="12"/>
              </w:rPr>
              <w:t>YP</w:t>
            </w:r>
          </w:p>
        </w:tc>
        <w:tc>
          <w:tcPr>
            <w:tcW w:w="458" w:type="pct"/>
            <w:tcBorders>
              <w:bottom w:val="single" w:sz="12" w:space="0" w:color="auto"/>
            </w:tcBorders>
            <w:tcMar>
              <w:left w:w="57" w:type="dxa"/>
              <w:right w:w="57" w:type="dxa"/>
            </w:tcMar>
            <w:vAlign w:val="bottom"/>
          </w:tcPr>
          <w:p w14:paraId="2C0D9820" w14:textId="77777777" w:rsidR="00D84834" w:rsidRPr="00FB38E1" w:rsidRDefault="00D84834" w:rsidP="00D84834">
            <w:pPr>
              <w:pStyle w:val="ListParagraph"/>
              <w:ind w:left="0"/>
              <w:jc w:val="right"/>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w:t>
            </w:r>
          </w:p>
        </w:tc>
      </w:tr>
      <w:tr w:rsidR="0027513D" w:rsidRPr="00FB38E1" w14:paraId="5C1DE1B8" w14:textId="77777777" w:rsidTr="00733EB0">
        <w:trPr>
          <w:trHeight w:val="170"/>
        </w:trPr>
        <w:tc>
          <w:tcPr>
            <w:tcW w:w="198" w:type="pct"/>
            <w:tcBorders>
              <w:top w:val="single" w:sz="12" w:space="0" w:color="auto"/>
            </w:tcBorders>
            <w:tcMar>
              <w:left w:w="57" w:type="dxa"/>
              <w:right w:w="57" w:type="dxa"/>
            </w:tcMar>
            <w:vAlign w:val="bottom"/>
          </w:tcPr>
          <w:p w14:paraId="36970857" w14:textId="19C2152A"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w:t>
            </w:r>
          </w:p>
        </w:tc>
        <w:tc>
          <w:tcPr>
            <w:tcW w:w="1730" w:type="pct"/>
            <w:tcBorders>
              <w:top w:val="single" w:sz="12" w:space="0" w:color="auto"/>
            </w:tcBorders>
            <w:tcMar>
              <w:left w:w="57" w:type="dxa"/>
              <w:right w:w="57" w:type="dxa"/>
            </w:tcMar>
            <w:vAlign w:val="bottom"/>
          </w:tcPr>
          <w:p w14:paraId="5B27AFDF" w14:textId="722DAF61"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FİNANSAL VARLIKLAR (Net)</w:t>
            </w:r>
          </w:p>
        </w:tc>
        <w:tc>
          <w:tcPr>
            <w:tcW w:w="359" w:type="pct"/>
            <w:tcBorders>
              <w:top w:val="single" w:sz="12" w:space="0" w:color="auto"/>
            </w:tcBorders>
            <w:tcMar>
              <w:left w:w="57" w:type="dxa"/>
              <w:right w:w="57" w:type="dxa"/>
            </w:tcMar>
            <w:vAlign w:val="bottom"/>
          </w:tcPr>
          <w:p w14:paraId="1C92D5AE" w14:textId="290ADABF" w:rsidR="0027513D" w:rsidRPr="00FB38E1" w:rsidRDefault="0027513D" w:rsidP="0027513D">
            <w:pPr>
              <w:jc w:val="left"/>
              <w:rPr>
                <w:rFonts w:ascii="Microsoft Sans Serif" w:hAnsi="Microsoft Sans Serif" w:cs="Microsoft Sans Serif"/>
                <w:sz w:val="12"/>
                <w:szCs w:val="12"/>
              </w:rPr>
            </w:pPr>
          </w:p>
        </w:tc>
        <w:tc>
          <w:tcPr>
            <w:tcW w:w="459" w:type="pct"/>
            <w:tcBorders>
              <w:top w:val="single" w:sz="12" w:space="0" w:color="auto"/>
            </w:tcBorders>
            <w:vAlign w:val="bottom"/>
          </w:tcPr>
          <w:p w14:paraId="38990F1E" w14:textId="61FAF21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230.396.631</w:t>
            </w:r>
          </w:p>
        </w:tc>
        <w:tc>
          <w:tcPr>
            <w:tcW w:w="466" w:type="pct"/>
            <w:tcBorders>
              <w:top w:val="single" w:sz="12" w:space="0" w:color="auto"/>
            </w:tcBorders>
            <w:vAlign w:val="bottom"/>
          </w:tcPr>
          <w:p w14:paraId="62E5D39A" w14:textId="1EE54C3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206.300.931</w:t>
            </w:r>
          </w:p>
        </w:tc>
        <w:tc>
          <w:tcPr>
            <w:tcW w:w="511" w:type="pct"/>
            <w:tcBorders>
              <w:top w:val="single" w:sz="12" w:space="0" w:color="auto"/>
            </w:tcBorders>
            <w:vAlign w:val="bottom"/>
          </w:tcPr>
          <w:p w14:paraId="25F3B5C1" w14:textId="4D008F09"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436.697.562</w:t>
            </w:r>
          </w:p>
        </w:tc>
        <w:tc>
          <w:tcPr>
            <w:tcW w:w="406" w:type="pct"/>
            <w:tcBorders>
              <w:top w:val="single" w:sz="12" w:space="0" w:color="auto"/>
            </w:tcBorders>
            <w:tcMar>
              <w:left w:w="57" w:type="dxa"/>
              <w:right w:w="57" w:type="dxa"/>
            </w:tcMar>
            <w:vAlign w:val="bottom"/>
          </w:tcPr>
          <w:p w14:paraId="481C3B9E" w14:textId="5CD53CC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195.068.979</w:t>
            </w:r>
          </w:p>
        </w:tc>
        <w:tc>
          <w:tcPr>
            <w:tcW w:w="413" w:type="pct"/>
            <w:tcBorders>
              <w:top w:val="single" w:sz="12" w:space="0" w:color="auto"/>
            </w:tcBorders>
            <w:tcMar>
              <w:left w:w="57" w:type="dxa"/>
              <w:right w:w="57" w:type="dxa"/>
            </w:tcMar>
            <w:vAlign w:val="bottom"/>
          </w:tcPr>
          <w:p w14:paraId="7E27FA35" w14:textId="436217A5"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179.827.887</w:t>
            </w:r>
          </w:p>
        </w:tc>
        <w:tc>
          <w:tcPr>
            <w:tcW w:w="458" w:type="pct"/>
            <w:tcBorders>
              <w:top w:val="single" w:sz="12" w:space="0" w:color="auto"/>
            </w:tcBorders>
            <w:tcMar>
              <w:left w:w="57" w:type="dxa"/>
              <w:right w:w="57" w:type="dxa"/>
            </w:tcMar>
            <w:vAlign w:val="bottom"/>
          </w:tcPr>
          <w:p w14:paraId="5EB6ACFA" w14:textId="098AEA59"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374.896.866</w:t>
            </w:r>
          </w:p>
        </w:tc>
      </w:tr>
      <w:tr w:rsidR="0027513D" w:rsidRPr="00FB38E1" w14:paraId="52C1BC49" w14:textId="77777777" w:rsidTr="00733EB0">
        <w:trPr>
          <w:trHeight w:val="170"/>
        </w:trPr>
        <w:tc>
          <w:tcPr>
            <w:tcW w:w="198" w:type="pct"/>
            <w:tcMar>
              <w:left w:w="57" w:type="dxa"/>
              <w:right w:w="57" w:type="dxa"/>
            </w:tcMar>
            <w:vAlign w:val="bottom"/>
          </w:tcPr>
          <w:p w14:paraId="016943C3" w14:textId="77F3D5EC"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1.1</w:t>
            </w:r>
          </w:p>
        </w:tc>
        <w:tc>
          <w:tcPr>
            <w:tcW w:w="1730" w:type="pct"/>
            <w:tcMar>
              <w:left w:w="57" w:type="dxa"/>
              <w:right w:w="57" w:type="dxa"/>
            </w:tcMar>
            <w:vAlign w:val="bottom"/>
          </w:tcPr>
          <w:p w14:paraId="3E59433E" w14:textId="4369DB38"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Nakit ve Nakit Benzerleri</w:t>
            </w:r>
          </w:p>
        </w:tc>
        <w:tc>
          <w:tcPr>
            <w:tcW w:w="359" w:type="pct"/>
            <w:tcMar>
              <w:left w:w="57" w:type="dxa"/>
              <w:right w:w="57" w:type="dxa"/>
            </w:tcMar>
            <w:vAlign w:val="bottom"/>
          </w:tcPr>
          <w:p w14:paraId="01756C3B" w14:textId="5FE7E6C4"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6EE9C394" w14:textId="1DF96D60"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184.975.864</w:t>
            </w:r>
          </w:p>
        </w:tc>
        <w:tc>
          <w:tcPr>
            <w:tcW w:w="466" w:type="pct"/>
            <w:vAlign w:val="bottom"/>
          </w:tcPr>
          <w:p w14:paraId="190104BF" w14:textId="7E843353"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126.236.860</w:t>
            </w:r>
          </w:p>
        </w:tc>
        <w:tc>
          <w:tcPr>
            <w:tcW w:w="511" w:type="pct"/>
            <w:vAlign w:val="bottom"/>
          </w:tcPr>
          <w:p w14:paraId="571FD027" w14:textId="34F5809E"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311.212.724</w:t>
            </w:r>
          </w:p>
        </w:tc>
        <w:tc>
          <w:tcPr>
            <w:tcW w:w="406" w:type="pct"/>
            <w:tcMar>
              <w:left w:w="57" w:type="dxa"/>
              <w:right w:w="57" w:type="dxa"/>
            </w:tcMar>
            <w:vAlign w:val="bottom"/>
          </w:tcPr>
          <w:p w14:paraId="10C5D60C" w14:textId="37C19CB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158.767.059</w:t>
            </w:r>
          </w:p>
        </w:tc>
        <w:tc>
          <w:tcPr>
            <w:tcW w:w="413" w:type="pct"/>
            <w:tcMar>
              <w:left w:w="57" w:type="dxa"/>
              <w:right w:w="57" w:type="dxa"/>
            </w:tcMar>
            <w:vAlign w:val="bottom"/>
          </w:tcPr>
          <w:p w14:paraId="10B15032" w14:textId="1E9EA98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115.362.108</w:t>
            </w:r>
          </w:p>
        </w:tc>
        <w:tc>
          <w:tcPr>
            <w:tcW w:w="458" w:type="pct"/>
            <w:tcMar>
              <w:left w:w="57" w:type="dxa"/>
              <w:right w:w="57" w:type="dxa"/>
            </w:tcMar>
            <w:vAlign w:val="bottom"/>
          </w:tcPr>
          <w:p w14:paraId="7D5E583A" w14:textId="45743DD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274.129.167</w:t>
            </w:r>
          </w:p>
        </w:tc>
      </w:tr>
      <w:tr w:rsidR="0027513D" w:rsidRPr="00FB38E1" w14:paraId="72F76A70" w14:textId="77777777" w:rsidTr="00733EB0">
        <w:trPr>
          <w:trHeight w:val="170"/>
        </w:trPr>
        <w:tc>
          <w:tcPr>
            <w:tcW w:w="198" w:type="pct"/>
            <w:tcMar>
              <w:left w:w="57" w:type="dxa"/>
              <w:right w:w="57" w:type="dxa"/>
            </w:tcMar>
            <w:vAlign w:val="bottom"/>
          </w:tcPr>
          <w:p w14:paraId="6D611E39" w14:textId="11D700B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1.1.1</w:t>
            </w:r>
          </w:p>
        </w:tc>
        <w:tc>
          <w:tcPr>
            <w:tcW w:w="1730" w:type="pct"/>
            <w:tcMar>
              <w:left w:w="57" w:type="dxa"/>
              <w:right w:w="57" w:type="dxa"/>
            </w:tcMar>
            <w:vAlign w:val="bottom"/>
          </w:tcPr>
          <w:p w14:paraId="41D16B84" w14:textId="531B544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Nakit Değerler ve Merkez Bankası</w:t>
            </w:r>
          </w:p>
        </w:tc>
        <w:tc>
          <w:tcPr>
            <w:tcW w:w="359" w:type="pct"/>
            <w:tcMar>
              <w:left w:w="57" w:type="dxa"/>
              <w:right w:w="57" w:type="dxa"/>
            </w:tcMar>
            <w:vAlign w:val="bottom"/>
          </w:tcPr>
          <w:p w14:paraId="1A1675B5" w14:textId="5C3C9C46"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(5.I.a)</w:t>
            </w:r>
          </w:p>
        </w:tc>
        <w:tc>
          <w:tcPr>
            <w:tcW w:w="459" w:type="pct"/>
            <w:vAlign w:val="bottom"/>
          </w:tcPr>
          <w:p w14:paraId="4D9723D6" w14:textId="386CD7E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107.912.395</w:t>
            </w:r>
          </w:p>
        </w:tc>
        <w:tc>
          <w:tcPr>
            <w:tcW w:w="466" w:type="pct"/>
            <w:vAlign w:val="bottom"/>
          </w:tcPr>
          <w:p w14:paraId="3A469F23" w14:textId="2151A5C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106.155.021</w:t>
            </w:r>
          </w:p>
        </w:tc>
        <w:tc>
          <w:tcPr>
            <w:tcW w:w="511" w:type="pct"/>
            <w:vAlign w:val="bottom"/>
          </w:tcPr>
          <w:p w14:paraId="4253C5C0" w14:textId="617D7D0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214.067.416</w:t>
            </w:r>
          </w:p>
        </w:tc>
        <w:tc>
          <w:tcPr>
            <w:tcW w:w="406" w:type="pct"/>
            <w:tcMar>
              <w:left w:w="57" w:type="dxa"/>
              <w:right w:w="57" w:type="dxa"/>
            </w:tcMar>
            <w:vAlign w:val="bottom"/>
          </w:tcPr>
          <w:p w14:paraId="6AAE508E" w14:textId="4EB21BB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100.379.604</w:t>
            </w:r>
          </w:p>
        </w:tc>
        <w:tc>
          <w:tcPr>
            <w:tcW w:w="413" w:type="pct"/>
            <w:tcMar>
              <w:left w:w="57" w:type="dxa"/>
              <w:right w:w="57" w:type="dxa"/>
            </w:tcMar>
            <w:vAlign w:val="bottom"/>
          </w:tcPr>
          <w:p w14:paraId="3C555371" w14:textId="5C72442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102.595.811</w:t>
            </w:r>
          </w:p>
        </w:tc>
        <w:tc>
          <w:tcPr>
            <w:tcW w:w="458" w:type="pct"/>
            <w:tcMar>
              <w:left w:w="57" w:type="dxa"/>
              <w:right w:w="57" w:type="dxa"/>
            </w:tcMar>
            <w:vAlign w:val="bottom"/>
          </w:tcPr>
          <w:p w14:paraId="306EF98F" w14:textId="763D87F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202.975.415</w:t>
            </w:r>
          </w:p>
        </w:tc>
      </w:tr>
      <w:tr w:rsidR="0027513D" w:rsidRPr="00FB38E1" w14:paraId="3424FDF7" w14:textId="77777777" w:rsidTr="00733EB0">
        <w:trPr>
          <w:trHeight w:val="170"/>
        </w:trPr>
        <w:tc>
          <w:tcPr>
            <w:tcW w:w="198" w:type="pct"/>
            <w:tcMar>
              <w:left w:w="57" w:type="dxa"/>
              <w:right w:w="57" w:type="dxa"/>
            </w:tcMar>
            <w:vAlign w:val="bottom"/>
          </w:tcPr>
          <w:p w14:paraId="18BB3204" w14:textId="10F544DC"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1.1.2</w:t>
            </w:r>
          </w:p>
        </w:tc>
        <w:tc>
          <w:tcPr>
            <w:tcW w:w="1730" w:type="pct"/>
            <w:tcMar>
              <w:left w:w="57" w:type="dxa"/>
              <w:right w:w="57" w:type="dxa"/>
            </w:tcMar>
            <w:vAlign w:val="bottom"/>
          </w:tcPr>
          <w:p w14:paraId="607A8982" w14:textId="615483C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Bankalar</w:t>
            </w:r>
          </w:p>
        </w:tc>
        <w:tc>
          <w:tcPr>
            <w:tcW w:w="359" w:type="pct"/>
            <w:tcMar>
              <w:left w:w="57" w:type="dxa"/>
              <w:right w:w="57" w:type="dxa"/>
            </w:tcMar>
            <w:vAlign w:val="bottom"/>
          </w:tcPr>
          <w:p w14:paraId="57FA3A0F" w14:textId="79215585"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(5.I.a)</w:t>
            </w:r>
          </w:p>
        </w:tc>
        <w:tc>
          <w:tcPr>
            <w:tcW w:w="459" w:type="pct"/>
            <w:vAlign w:val="bottom"/>
          </w:tcPr>
          <w:p w14:paraId="0DAB6730" w14:textId="6ACA341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495.878</w:t>
            </w:r>
          </w:p>
        </w:tc>
        <w:tc>
          <w:tcPr>
            <w:tcW w:w="466" w:type="pct"/>
            <w:vAlign w:val="bottom"/>
          </w:tcPr>
          <w:p w14:paraId="03A24A5F" w14:textId="5D0F324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20.082.249</w:t>
            </w:r>
          </w:p>
        </w:tc>
        <w:tc>
          <w:tcPr>
            <w:tcW w:w="511" w:type="pct"/>
            <w:vAlign w:val="bottom"/>
          </w:tcPr>
          <w:p w14:paraId="040BDF41" w14:textId="72D7C10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20.578.127</w:t>
            </w:r>
          </w:p>
        </w:tc>
        <w:tc>
          <w:tcPr>
            <w:tcW w:w="406" w:type="pct"/>
            <w:tcMar>
              <w:left w:w="57" w:type="dxa"/>
              <w:right w:w="57" w:type="dxa"/>
            </w:tcMar>
            <w:vAlign w:val="bottom"/>
          </w:tcPr>
          <w:p w14:paraId="359238A0" w14:textId="202299C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6.261.105</w:t>
            </w:r>
          </w:p>
        </w:tc>
        <w:tc>
          <w:tcPr>
            <w:tcW w:w="413" w:type="pct"/>
            <w:tcMar>
              <w:left w:w="57" w:type="dxa"/>
              <w:right w:w="57" w:type="dxa"/>
            </w:tcMar>
            <w:vAlign w:val="bottom"/>
          </w:tcPr>
          <w:p w14:paraId="45933089" w14:textId="5ED1D89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12.766.623</w:t>
            </w:r>
          </w:p>
        </w:tc>
        <w:tc>
          <w:tcPr>
            <w:tcW w:w="458" w:type="pct"/>
            <w:tcMar>
              <w:left w:w="57" w:type="dxa"/>
              <w:right w:w="57" w:type="dxa"/>
            </w:tcMar>
            <w:vAlign w:val="bottom"/>
          </w:tcPr>
          <w:p w14:paraId="3AB9CC84" w14:textId="25C251F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19.027.728</w:t>
            </w:r>
          </w:p>
        </w:tc>
      </w:tr>
      <w:tr w:rsidR="0027513D" w:rsidRPr="00FB38E1" w14:paraId="2AA3F42A" w14:textId="77777777" w:rsidTr="00733EB0">
        <w:trPr>
          <w:trHeight w:val="170"/>
        </w:trPr>
        <w:tc>
          <w:tcPr>
            <w:tcW w:w="198" w:type="pct"/>
            <w:tcMar>
              <w:left w:w="57" w:type="dxa"/>
              <w:right w:w="57" w:type="dxa"/>
            </w:tcMar>
            <w:vAlign w:val="bottom"/>
          </w:tcPr>
          <w:p w14:paraId="0A2FCCCB" w14:textId="04A10F1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1.1.3</w:t>
            </w:r>
          </w:p>
        </w:tc>
        <w:tc>
          <w:tcPr>
            <w:tcW w:w="1730" w:type="pct"/>
            <w:tcMar>
              <w:left w:w="57" w:type="dxa"/>
              <w:right w:w="57" w:type="dxa"/>
            </w:tcMar>
            <w:vAlign w:val="bottom"/>
          </w:tcPr>
          <w:p w14:paraId="66D035FA" w14:textId="6E43FCD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Para Piyasalarından Alacaklar</w:t>
            </w:r>
          </w:p>
        </w:tc>
        <w:tc>
          <w:tcPr>
            <w:tcW w:w="359" w:type="pct"/>
            <w:tcMar>
              <w:left w:w="57" w:type="dxa"/>
              <w:right w:w="57" w:type="dxa"/>
            </w:tcMar>
            <w:vAlign w:val="bottom"/>
          </w:tcPr>
          <w:p w14:paraId="5CB3946E" w14:textId="4BB44015"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18966C2B" w14:textId="2130666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76.567.876</w:t>
            </w:r>
          </w:p>
        </w:tc>
        <w:tc>
          <w:tcPr>
            <w:tcW w:w="466" w:type="pct"/>
            <w:vAlign w:val="bottom"/>
          </w:tcPr>
          <w:p w14:paraId="5DC0716E" w14:textId="2D506B4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3ACC7190" w14:textId="0C7CD26C"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76.567.876</w:t>
            </w:r>
          </w:p>
        </w:tc>
        <w:tc>
          <w:tcPr>
            <w:tcW w:w="406" w:type="pct"/>
            <w:tcMar>
              <w:left w:w="57" w:type="dxa"/>
              <w:right w:w="57" w:type="dxa"/>
            </w:tcMar>
            <w:vAlign w:val="bottom"/>
          </w:tcPr>
          <w:p w14:paraId="70522D47" w14:textId="34FF8DC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52.126.807</w:t>
            </w:r>
          </w:p>
        </w:tc>
        <w:tc>
          <w:tcPr>
            <w:tcW w:w="413" w:type="pct"/>
            <w:tcMar>
              <w:left w:w="57" w:type="dxa"/>
              <w:right w:w="57" w:type="dxa"/>
            </w:tcMar>
            <w:vAlign w:val="bottom"/>
          </w:tcPr>
          <w:p w14:paraId="1B9FFD86" w14:textId="3CF80F5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63CDB38D" w14:textId="1BF4ECB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52.126.807</w:t>
            </w:r>
          </w:p>
        </w:tc>
      </w:tr>
      <w:tr w:rsidR="0027513D" w:rsidRPr="00FB38E1" w14:paraId="2CF89938" w14:textId="77777777" w:rsidTr="00733EB0">
        <w:trPr>
          <w:trHeight w:val="170"/>
        </w:trPr>
        <w:tc>
          <w:tcPr>
            <w:tcW w:w="198" w:type="pct"/>
            <w:tcMar>
              <w:left w:w="57" w:type="dxa"/>
              <w:right w:w="57" w:type="dxa"/>
            </w:tcMar>
            <w:vAlign w:val="bottom"/>
          </w:tcPr>
          <w:p w14:paraId="6EDAB40A" w14:textId="5DFB469B"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1.1.4</w:t>
            </w:r>
          </w:p>
        </w:tc>
        <w:tc>
          <w:tcPr>
            <w:tcW w:w="1730" w:type="pct"/>
            <w:tcMar>
              <w:left w:w="57" w:type="dxa"/>
              <w:right w:w="57" w:type="dxa"/>
            </w:tcMar>
            <w:vAlign w:val="bottom"/>
          </w:tcPr>
          <w:p w14:paraId="5739DA18" w14:textId="5976D97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Beklenen Zarar Karşılıkları (-)</w:t>
            </w:r>
          </w:p>
        </w:tc>
        <w:tc>
          <w:tcPr>
            <w:tcW w:w="359" w:type="pct"/>
            <w:tcMar>
              <w:left w:w="57" w:type="dxa"/>
              <w:right w:w="57" w:type="dxa"/>
            </w:tcMar>
            <w:vAlign w:val="bottom"/>
          </w:tcPr>
          <w:p w14:paraId="6170AB4D" w14:textId="787AF3F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 </w:t>
            </w:r>
          </w:p>
        </w:tc>
        <w:tc>
          <w:tcPr>
            <w:tcW w:w="459" w:type="pct"/>
            <w:vAlign w:val="bottom"/>
          </w:tcPr>
          <w:p w14:paraId="7961F54A" w14:textId="62932FE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285</w:t>
            </w:r>
          </w:p>
        </w:tc>
        <w:tc>
          <w:tcPr>
            <w:tcW w:w="466" w:type="pct"/>
            <w:vAlign w:val="bottom"/>
          </w:tcPr>
          <w:p w14:paraId="3E0C098D" w14:textId="24F5117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410</w:t>
            </w:r>
          </w:p>
        </w:tc>
        <w:tc>
          <w:tcPr>
            <w:tcW w:w="511" w:type="pct"/>
            <w:vAlign w:val="bottom"/>
          </w:tcPr>
          <w:p w14:paraId="6ED72ED3" w14:textId="21F30990"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695</w:t>
            </w:r>
          </w:p>
        </w:tc>
        <w:tc>
          <w:tcPr>
            <w:tcW w:w="406" w:type="pct"/>
            <w:tcMar>
              <w:left w:w="57" w:type="dxa"/>
              <w:right w:w="57" w:type="dxa"/>
            </w:tcMar>
            <w:vAlign w:val="bottom"/>
          </w:tcPr>
          <w:p w14:paraId="3A6887FB" w14:textId="699B405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457</w:t>
            </w:r>
          </w:p>
        </w:tc>
        <w:tc>
          <w:tcPr>
            <w:tcW w:w="413" w:type="pct"/>
            <w:tcMar>
              <w:left w:w="57" w:type="dxa"/>
              <w:right w:w="57" w:type="dxa"/>
            </w:tcMar>
            <w:vAlign w:val="bottom"/>
          </w:tcPr>
          <w:p w14:paraId="57358E4F" w14:textId="2EF64BB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326</w:t>
            </w:r>
          </w:p>
        </w:tc>
        <w:tc>
          <w:tcPr>
            <w:tcW w:w="458" w:type="pct"/>
            <w:tcMar>
              <w:left w:w="57" w:type="dxa"/>
              <w:right w:w="57" w:type="dxa"/>
            </w:tcMar>
            <w:vAlign w:val="bottom"/>
          </w:tcPr>
          <w:p w14:paraId="3CA15CA5" w14:textId="1A072D2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783</w:t>
            </w:r>
          </w:p>
        </w:tc>
      </w:tr>
      <w:tr w:rsidR="0027513D" w:rsidRPr="00FB38E1" w14:paraId="5EC41E20" w14:textId="77777777" w:rsidTr="00733EB0">
        <w:trPr>
          <w:trHeight w:val="170"/>
        </w:trPr>
        <w:tc>
          <w:tcPr>
            <w:tcW w:w="198" w:type="pct"/>
            <w:tcMar>
              <w:left w:w="57" w:type="dxa"/>
              <w:right w:w="57" w:type="dxa"/>
            </w:tcMar>
            <w:vAlign w:val="bottom"/>
          </w:tcPr>
          <w:p w14:paraId="581AB450" w14:textId="6A7D2CA0"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1.2</w:t>
            </w:r>
          </w:p>
        </w:tc>
        <w:tc>
          <w:tcPr>
            <w:tcW w:w="1730" w:type="pct"/>
            <w:tcMar>
              <w:left w:w="57" w:type="dxa"/>
              <w:right w:w="57" w:type="dxa"/>
            </w:tcMar>
            <w:vAlign w:val="bottom"/>
          </w:tcPr>
          <w:p w14:paraId="13843908" w14:textId="4D2E744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 xml:space="preserve">Gerçeğe Uygun Değer Farkı Kâr Zarara Yansıtılan Finansal Varlıklar </w:t>
            </w:r>
          </w:p>
        </w:tc>
        <w:tc>
          <w:tcPr>
            <w:tcW w:w="359" w:type="pct"/>
            <w:tcMar>
              <w:left w:w="57" w:type="dxa"/>
              <w:right w:w="57" w:type="dxa"/>
            </w:tcMar>
            <w:vAlign w:val="bottom"/>
          </w:tcPr>
          <w:p w14:paraId="528CA4D2" w14:textId="102E4DA5"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(5.I.b)</w:t>
            </w:r>
          </w:p>
        </w:tc>
        <w:tc>
          <w:tcPr>
            <w:tcW w:w="459" w:type="pct"/>
            <w:vAlign w:val="bottom"/>
          </w:tcPr>
          <w:p w14:paraId="4FCE8695" w14:textId="59DF303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1.669.499</w:t>
            </w:r>
          </w:p>
        </w:tc>
        <w:tc>
          <w:tcPr>
            <w:tcW w:w="466" w:type="pct"/>
            <w:vAlign w:val="bottom"/>
          </w:tcPr>
          <w:p w14:paraId="410DED47" w14:textId="3204B00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2.745.352</w:t>
            </w:r>
          </w:p>
        </w:tc>
        <w:tc>
          <w:tcPr>
            <w:tcW w:w="511" w:type="pct"/>
            <w:vAlign w:val="bottom"/>
          </w:tcPr>
          <w:p w14:paraId="4E548CE4" w14:textId="6BF263F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4.414.851</w:t>
            </w:r>
          </w:p>
        </w:tc>
        <w:tc>
          <w:tcPr>
            <w:tcW w:w="406" w:type="pct"/>
            <w:tcMar>
              <w:left w:w="57" w:type="dxa"/>
              <w:right w:w="57" w:type="dxa"/>
            </w:tcMar>
            <w:vAlign w:val="bottom"/>
          </w:tcPr>
          <w:p w14:paraId="789BFFFA" w14:textId="038C097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775.630</w:t>
            </w:r>
          </w:p>
        </w:tc>
        <w:tc>
          <w:tcPr>
            <w:tcW w:w="413" w:type="pct"/>
            <w:tcMar>
              <w:left w:w="57" w:type="dxa"/>
              <w:right w:w="57" w:type="dxa"/>
            </w:tcMar>
            <w:vAlign w:val="bottom"/>
          </w:tcPr>
          <w:p w14:paraId="13B8050C" w14:textId="3B5B50C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4.526.745</w:t>
            </w:r>
          </w:p>
        </w:tc>
        <w:tc>
          <w:tcPr>
            <w:tcW w:w="458" w:type="pct"/>
            <w:tcMar>
              <w:left w:w="57" w:type="dxa"/>
              <w:right w:w="57" w:type="dxa"/>
            </w:tcMar>
            <w:vAlign w:val="bottom"/>
          </w:tcPr>
          <w:p w14:paraId="15A64E24" w14:textId="2B1D71E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5.302.375</w:t>
            </w:r>
          </w:p>
        </w:tc>
      </w:tr>
      <w:tr w:rsidR="0027513D" w:rsidRPr="00FB38E1" w14:paraId="265D4236" w14:textId="77777777" w:rsidTr="00733EB0">
        <w:trPr>
          <w:trHeight w:val="170"/>
        </w:trPr>
        <w:tc>
          <w:tcPr>
            <w:tcW w:w="198" w:type="pct"/>
            <w:tcMar>
              <w:left w:w="57" w:type="dxa"/>
              <w:right w:w="57" w:type="dxa"/>
            </w:tcMar>
            <w:vAlign w:val="bottom"/>
          </w:tcPr>
          <w:p w14:paraId="24C48A7E" w14:textId="6A1A852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1.2.1</w:t>
            </w:r>
          </w:p>
        </w:tc>
        <w:tc>
          <w:tcPr>
            <w:tcW w:w="1730" w:type="pct"/>
            <w:tcMar>
              <w:left w:w="57" w:type="dxa"/>
              <w:right w:w="57" w:type="dxa"/>
            </w:tcMar>
            <w:vAlign w:val="bottom"/>
          </w:tcPr>
          <w:p w14:paraId="2301C796" w14:textId="41F433F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Devlet Borçlanma Senetleri</w:t>
            </w:r>
          </w:p>
        </w:tc>
        <w:tc>
          <w:tcPr>
            <w:tcW w:w="359" w:type="pct"/>
            <w:tcMar>
              <w:left w:w="57" w:type="dxa"/>
              <w:right w:w="57" w:type="dxa"/>
            </w:tcMar>
            <w:vAlign w:val="bottom"/>
          </w:tcPr>
          <w:p w14:paraId="165287BB" w14:textId="48355E21"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5690A648" w14:textId="64B0EC5C"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85.483</w:t>
            </w:r>
          </w:p>
        </w:tc>
        <w:tc>
          <w:tcPr>
            <w:tcW w:w="466" w:type="pct"/>
            <w:vAlign w:val="bottom"/>
          </w:tcPr>
          <w:p w14:paraId="06480269" w14:textId="290CFFA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1.184.309</w:t>
            </w:r>
          </w:p>
        </w:tc>
        <w:tc>
          <w:tcPr>
            <w:tcW w:w="511" w:type="pct"/>
            <w:vAlign w:val="bottom"/>
          </w:tcPr>
          <w:p w14:paraId="139118FD" w14:textId="3461BEC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1.269.792</w:t>
            </w:r>
          </w:p>
        </w:tc>
        <w:tc>
          <w:tcPr>
            <w:tcW w:w="406" w:type="pct"/>
            <w:tcMar>
              <w:left w:w="57" w:type="dxa"/>
              <w:right w:w="57" w:type="dxa"/>
            </w:tcMar>
            <w:vAlign w:val="bottom"/>
          </w:tcPr>
          <w:p w14:paraId="772DDA49" w14:textId="1022BF5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193.273</w:t>
            </w:r>
          </w:p>
        </w:tc>
        <w:tc>
          <w:tcPr>
            <w:tcW w:w="413" w:type="pct"/>
            <w:tcMar>
              <w:left w:w="57" w:type="dxa"/>
              <w:right w:w="57" w:type="dxa"/>
            </w:tcMar>
            <w:vAlign w:val="bottom"/>
          </w:tcPr>
          <w:p w14:paraId="351C1C0E" w14:textId="77BCB3A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2.234.830</w:t>
            </w:r>
          </w:p>
        </w:tc>
        <w:tc>
          <w:tcPr>
            <w:tcW w:w="458" w:type="pct"/>
            <w:tcMar>
              <w:left w:w="57" w:type="dxa"/>
              <w:right w:w="57" w:type="dxa"/>
            </w:tcMar>
            <w:vAlign w:val="bottom"/>
          </w:tcPr>
          <w:p w14:paraId="126D108B" w14:textId="7136DFA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2.428.103</w:t>
            </w:r>
          </w:p>
        </w:tc>
      </w:tr>
      <w:tr w:rsidR="0027513D" w:rsidRPr="00FB38E1" w14:paraId="26463122" w14:textId="77777777" w:rsidTr="00733EB0">
        <w:trPr>
          <w:trHeight w:val="170"/>
        </w:trPr>
        <w:tc>
          <w:tcPr>
            <w:tcW w:w="198" w:type="pct"/>
            <w:tcMar>
              <w:left w:w="57" w:type="dxa"/>
              <w:right w:w="57" w:type="dxa"/>
            </w:tcMar>
            <w:vAlign w:val="bottom"/>
          </w:tcPr>
          <w:p w14:paraId="62C1DE44" w14:textId="0764ADA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1.2.2</w:t>
            </w:r>
          </w:p>
        </w:tc>
        <w:tc>
          <w:tcPr>
            <w:tcW w:w="1730" w:type="pct"/>
            <w:tcMar>
              <w:left w:w="57" w:type="dxa"/>
              <w:right w:w="57" w:type="dxa"/>
            </w:tcMar>
            <w:vAlign w:val="bottom"/>
          </w:tcPr>
          <w:p w14:paraId="4278CFF0" w14:textId="71EF6BD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Sermayede Payı Temsil Eden Menkul Değerler</w:t>
            </w:r>
          </w:p>
        </w:tc>
        <w:tc>
          <w:tcPr>
            <w:tcW w:w="359" w:type="pct"/>
            <w:tcMar>
              <w:left w:w="57" w:type="dxa"/>
              <w:right w:w="57" w:type="dxa"/>
            </w:tcMar>
            <w:vAlign w:val="bottom"/>
          </w:tcPr>
          <w:p w14:paraId="2FCDFFFB" w14:textId="4268F68C"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6619C9FC" w14:textId="49C85BB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0666B6B2" w14:textId="1F7D8D3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1.400.570</w:t>
            </w:r>
          </w:p>
        </w:tc>
        <w:tc>
          <w:tcPr>
            <w:tcW w:w="511" w:type="pct"/>
            <w:vAlign w:val="bottom"/>
          </w:tcPr>
          <w:p w14:paraId="2D7B7E97" w14:textId="108A4EF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1.400.570</w:t>
            </w:r>
          </w:p>
        </w:tc>
        <w:tc>
          <w:tcPr>
            <w:tcW w:w="406" w:type="pct"/>
            <w:tcMar>
              <w:left w:w="57" w:type="dxa"/>
              <w:right w:w="57" w:type="dxa"/>
            </w:tcMar>
            <w:vAlign w:val="bottom"/>
          </w:tcPr>
          <w:p w14:paraId="0CE21934" w14:textId="2E35725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58ED8B46" w14:textId="2016EFD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896.056</w:t>
            </w:r>
          </w:p>
        </w:tc>
        <w:tc>
          <w:tcPr>
            <w:tcW w:w="458" w:type="pct"/>
            <w:tcMar>
              <w:left w:w="57" w:type="dxa"/>
              <w:right w:w="57" w:type="dxa"/>
            </w:tcMar>
            <w:vAlign w:val="bottom"/>
          </w:tcPr>
          <w:p w14:paraId="2C04DCCA" w14:textId="0F95BED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896.056</w:t>
            </w:r>
          </w:p>
        </w:tc>
      </w:tr>
      <w:tr w:rsidR="0027513D" w:rsidRPr="00FB38E1" w14:paraId="3FA6DCC7" w14:textId="77777777" w:rsidTr="00733EB0">
        <w:trPr>
          <w:trHeight w:val="170"/>
        </w:trPr>
        <w:tc>
          <w:tcPr>
            <w:tcW w:w="198" w:type="pct"/>
            <w:tcMar>
              <w:left w:w="57" w:type="dxa"/>
              <w:right w:w="57" w:type="dxa"/>
            </w:tcMar>
            <w:vAlign w:val="bottom"/>
          </w:tcPr>
          <w:p w14:paraId="6DD7BBE4" w14:textId="65EB89E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1.2.3</w:t>
            </w:r>
          </w:p>
        </w:tc>
        <w:tc>
          <w:tcPr>
            <w:tcW w:w="1730" w:type="pct"/>
            <w:tcMar>
              <w:left w:w="57" w:type="dxa"/>
              <w:right w:w="57" w:type="dxa"/>
            </w:tcMar>
            <w:vAlign w:val="bottom"/>
          </w:tcPr>
          <w:p w14:paraId="0850122B" w14:textId="32045E7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Diğer Finansal Varlıklar</w:t>
            </w:r>
          </w:p>
        </w:tc>
        <w:tc>
          <w:tcPr>
            <w:tcW w:w="359" w:type="pct"/>
            <w:tcMar>
              <w:left w:w="57" w:type="dxa"/>
              <w:right w:w="57" w:type="dxa"/>
            </w:tcMar>
            <w:vAlign w:val="bottom"/>
          </w:tcPr>
          <w:p w14:paraId="02D5A450" w14:textId="4B9676C8"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1E6DA67C" w14:textId="03CC56ED"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1.584.016</w:t>
            </w:r>
          </w:p>
        </w:tc>
        <w:tc>
          <w:tcPr>
            <w:tcW w:w="466" w:type="pct"/>
            <w:vAlign w:val="bottom"/>
          </w:tcPr>
          <w:p w14:paraId="6F98B398" w14:textId="26E6413F"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160.473</w:t>
            </w:r>
          </w:p>
        </w:tc>
        <w:tc>
          <w:tcPr>
            <w:tcW w:w="511" w:type="pct"/>
            <w:vAlign w:val="bottom"/>
          </w:tcPr>
          <w:p w14:paraId="502EB22C" w14:textId="455A866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1.744.489</w:t>
            </w:r>
          </w:p>
        </w:tc>
        <w:tc>
          <w:tcPr>
            <w:tcW w:w="406" w:type="pct"/>
            <w:tcMar>
              <w:left w:w="57" w:type="dxa"/>
              <w:right w:w="57" w:type="dxa"/>
            </w:tcMar>
            <w:vAlign w:val="bottom"/>
          </w:tcPr>
          <w:p w14:paraId="590D3660" w14:textId="1B88387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582.357</w:t>
            </w:r>
          </w:p>
        </w:tc>
        <w:tc>
          <w:tcPr>
            <w:tcW w:w="413" w:type="pct"/>
            <w:tcMar>
              <w:left w:w="57" w:type="dxa"/>
              <w:right w:w="57" w:type="dxa"/>
            </w:tcMar>
            <w:vAlign w:val="bottom"/>
          </w:tcPr>
          <w:p w14:paraId="6AEBEC3F" w14:textId="4FB33BF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1.395.859</w:t>
            </w:r>
          </w:p>
        </w:tc>
        <w:tc>
          <w:tcPr>
            <w:tcW w:w="458" w:type="pct"/>
            <w:tcMar>
              <w:left w:w="57" w:type="dxa"/>
              <w:right w:w="57" w:type="dxa"/>
            </w:tcMar>
            <w:vAlign w:val="bottom"/>
          </w:tcPr>
          <w:p w14:paraId="77D328E4" w14:textId="2D5ECA6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1.978.216</w:t>
            </w:r>
          </w:p>
        </w:tc>
      </w:tr>
      <w:tr w:rsidR="0027513D" w:rsidRPr="00FB38E1" w14:paraId="2900A873" w14:textId="77777777" w:rsidTr="00733EB0">
        <w:trPr>
          <w:trHeight w:val="170"/>
        </w:trPr>
        <w:tc>
          <w:tcPr>
            <w:tcW w:w="198" w:type="pct"/>
            <w:tcMar>
              <w:left w:w="57" w:type="dxa"/>
              <w:right w:w="57" w:type="dxa"/>
            </w:tcMar>
          </w:tcPr>
          <w:p w14:paraId="7F7085FF" w14:textId="2D015D9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1.3</w:t>
            </w:r>
          </w:p>
        </w:tc>
        <w:tc>
          <w:tcPr>
            <w:tcW w:w="1730" w:type="pct"/>
            <w:tcMar>
              <w:left w:w="57" w:type="dxa"/>
              <w:right w:w="57" w:type="dxa"/>
            </w:tcMar>
            <w:vAlign w:val="bottom"/>
          </w:tcPr>
          <w:p w14:paraId="1AD18153" w14:textId="238F473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Gerçeğe Uygun Değer Farkı Diğer Kapsamlı Gelire Yansıtılan Finansal Varlıklar</w:t>
            </w:r>
          </w:p>
        </w:tc>
        <w:tc>
          <w:tcPr>
            <w:tcW w:w="359" w:type="pct"/>
            <w:tcMar>
              <w:left w:w="57" w:type="dxa"/>
              <w:right w:w="57" w:type="dxa"/>
            </w:tcMar>
            <w:vAlign w:val="bottom"/>
          </w:tcPr>
          <w:p w14:paraId="725B0007" w14:textId="5E69EDC5"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(5.I.c)</w:t>
            </w:r>
          </w:p>
        </w:tc>
        <w:tc>
          <w:tcPr>
            <w:tcW w:w="459" w:type="pct"/>
            <w:vAlign w:val="bottom"/>
          </w:tcPr>
          <w:p w14:paraId="11E22AA3" w14:textId="6A3FF02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41.935.636</w:t>
            </w:r>
          </w:p>
        </w:tc>
        <w:tc>
          <w:tcPr>
            <w:tcW w:w="466" w:type="pct"/>
            <w:vAlign w:val="bottom"/>
          </w:tcPr>
          <w:p w14:paraId="2C8A5B0D" w14:textId="485EE0B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67.254.489</w:t>
            </w:r>
          </w:p>
        </w:tc>
        <w:tc>
          <w:tcPr>
            <w:tcW w:w="511" w:type="pct"/>
            <w:vAlign w:val="bottom"/>
          </w:tcPr>
          <w:p w14:paraId="52D3BF2A" w14:textId="5B8460B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109.190.125</w:t>
            </w:r>
          </w:p>
        </w:tc>
        <w:tc>
          <w:tcPr>
            <w:tcW w:w="406" w:type="pct"/>
            <w:tcMar>
              <w:left w:w="57" w:type="dxa"/>
              <w:right w:w="57" w:type="dxa"/>
            </w:tcMar>
            <w:vAlign w:val="bottom"/>
          </w:tcPr>
          <w:p w14:paraId="281CF332" w14:textId="5E7F542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34.299.022</w:t>
            </w:r>
          </w:p>
        </w:tc>
        <w:tc>
          <w:tcPr>
            <w:tcW w:w="413" w:type="pct"/>
            <w:tcMar>
              <w:left w:w="57" w:type="dxa"/>
              <w:right w:w="57" w:type="dxa"/>
            </w:tcMar>
            <w:vAlign w:val="bottom"/>
          </w:tcPr>
          <w:p w14:paraId="79AA994E" w14:textId="2124FEF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53.122.159</w:t>
            </w:r>
          </w:p>
        </w:tc>
        <w:tc>
          <w:tcPr>
            <w:tcW w:w="458" w:type="pct"/>
            <w:tcMar>
              <w:left w:w="57" w:type="dxa"/>
              <w:right w:w="57" w:type="dxa"/>
            </w:tcMar>
            <w:vAlign w:val="bottom"/>
          </w:tcPr>
          <w:p w14:paraId="20C844DE" w14:textId="2829BE5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87.421.181</w:t>
            </w:r>
          </w:p>
        </w:tc>
      </w:tr>
      <w:tr w:rsidR="0027513D" w:rsidRPr="00FB38E1" w14:paraId="4A3C7DCD" w14:textId="77777777" w:rsidTr="00733EB0">
        <w:trPr>
          <w:trHeight w:val="170"/>
        </w:trPr>
        <w:tc>
          <w:tcPr>
            <w:tcW w:w="198" w:type="pct"/>
            <w:tcMar>
              <w:left w:w="57" w:type="dxa"/>
              <w:right w:w="57" w:type="dxa"/>
            </w:tcMar>
            <w:vAlign w:val="bottom"/>
          </w:tcPr>
          <w:p w14:paraId="194B0258" w14:textId="61A216E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1.3.1</w:t>
            </w:r>
          </w:p>
        </w:tc>
        <w:tc>
          <w:tcPr>
            <w:tcW w:w="1730" w:type="pct"/>
            <w:tcMar>
              <w:left w:w="57" w:type="dxa"/>
              <w:right w:w="57" w:type="dxa"/>
            </w:tcMar>
            <w:vAlign w:val="bottom"/>
          </w:tcPr>
          <w:p w14:paraId="6DA5B724" w14:textId="6CFC883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Devlet Borçlanma Senetleri</w:t>
            </w:r>
          </w:p>
        </w:tc>
        <w:tc>
          <w:tcPr>
            <w:tcW w:w="359" w:type="pct"/>
            <w:tcMar>
              <w:left w:w="57" w:type="dxa"/>
              <w:right w:w="57" w:type="dxa"/>
            </w:tcMar>
            <w:vAlign w:val="bottom"/>
          </w:tcPr>
          <w:p w14:paraId="096FE3BB" w14:textId="30AB5184"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25767C60" w14:textId="4220474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41.934.676</w:t>
            </w:r>
          </w:p>
        </w:tc>
        <w:tc>
          <w:tcPr>
            <w:tcW w:w="466" w:type="pct"/>
            <w:vAlign w:val="bottom"/>
          </w:tcPr>
          <w:p w14:paraId="4D8E4890" w14:textId="051E1DA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62.116.276</w:t>
            </w:r>
          </w:p>
        </w:tc>
        <w:tc>
          <w:tcPr>
            <w:tcW w:w="511" w:type="pct"/>
            <w:vAlign w:val="bottom"/>
          </w:tcPr>
          <w:p w14:paraId="6682A669" w14:textId="196D4A1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104.050.952</w:t>
            </w:r>
          </w:p>
        </w:tc>
        <w:tc>
          <w:tcPr>
            <w:tcW w:w="406" w:type="pct"/>
            <w:tcMar>
              <w:left w:w="57" w:type="dxa"/>
              <w:right w:w="57" w:type="dxa"/>
            </w:tcMar>
            <w:vAlign w:val="bottom"/>
          </w:tcPr>
          <w:p w14:paraId="248035F5" w14:textId="0A25E5E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34.298.062</w:t>
            </w:r>
          </w:p>
        </w:tc>
        <w:tc>
          <w:tcPr>
            <w:tcW w:w="413" w:type="pct"/>
            <w:tcMar>
              <w:left w:w="57" w:type="dxa"/>
              <w:right w:w="57" w:type="dxa"/>
            </w:tcMar>
            <w:vAlign w:val="bottom"/>
          </w:tcPr>
          <w:p w14:paraId="65A2B43F" w14:textId="250E679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51.026.864</w:t>
            </w:r>
          </w:p>
        </w:tc>
        <w:tc>
          <w:tcPr>
            <w:tcW w:w="458" w:type="pct"/>
            <w:tcMar>
              <w:left w:w="57" w:type="dxa"/>
              <w:right w:w="57" w:type="dxa"/>
            </w:tcMar>
            <w:vAlign w:val="bottom"/>
          </w:tcPr>
          <w:p w14:paraId="2DE9B03A" w14:textId="2C47398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85.324.926</w:t>
            </w:r>
          </w:p>
        </w:tc>
      </w:tr>
      <w:tr w:rsidR="0027513D" w:rsidRPr="00FB38E1" w14:paraId="22111EC4" w14:textId="77777777" w:rsidTr="00733EB0">
        <w:trPr>
          <w:trHeight w:val="170"/>
        </w:trPr>
        <w:tc>
          <w:tcPr>
            <w:tcW w:w="198" w:type="pct"/>
            <w:tcMar>
              <w:left w:w="57" w:type="dxa"/>
              <w:right w:w="57" w:type="dxa"/>
            </w:tcMar>
            <w:vAlign w:val="bottom"/>
          </w:tcPr>
          <w:p w14:paraId="0DB2F339" w14:textId="70218444"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1.3.2</w:t>
            </w:r>
          </w:p>
        </w:tc>
        <w:tc>
          <w:tcPr>
            <w:tcW w:w="1730" w:type="pct"/>
            <w:tcMar>
              <w:left w:w="57" w:type="dxa"/>
              <w:right w:w="57" w:type="dxa"/>
            </w:tcMar>
            <w:vAlign w:val="bottom"/>
          </w:tcPr>
          <w:p w14:paraId="25298BB4" w14:textId="244ABA74"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Sermayede Payı Temsil Eden Menkul Değerler</w:t>
            </w:r>
          </w:p>
        </w:tc>
        <w:tc>
          <w:tcPr>
            <w:tcW w:w="359" w:type="pct"/>
            <w:tcMar>
              <w:left w:w="57" w:type="dxa"/>
              <w:right w:w="57" w:type="dxa"/>
            </w:tcMar>
            <w:vAlign w:val="bottom"/>
          </w:tcPr>
          <w:p w14:paraId="45E1427F" w14:textId="37630906"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7EFFFEC4" w14:textId="5B066F3C"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960</w:t>
            </w:r>
          </w:p>
        </w:tc>
        <w:tc>
          <w:tcPr>
            <w:tcW w:w="466" w:type="pct"/>
            <w:vAlign w:val="bottom"/>
          </w:tcPr>
          <w:p w14:paraId="3DDD9E5D" w14:textId="3A74301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7A1124AE" w14:textId="4115232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960</w:t>
            </w:r>
          </w:p>
        </w:tc>
        <w:tc>
          <w:tcPr>
            <w:tcW w:w="406" w:type="pct"/>
            <w:tcMar>
              <w:left w:w="57" w:type="dxa"/>
              <w:right w:w="57" w:type="dxa"/>
            </w:tcMar>
            <w:vAlign w:val="bottom"/>
          </w:tcPr>
          <w:p w14:paraId="6DC0CE43" w14:textId="706A0D6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960</w:t>
            </w:r>
          </w:p>
        </w:tc>
        <w:tc>
          <w:tcPr>
            <w:tcW w:w="413" w:type="pct"/>
            <w:tcMar>
              <w:left w:w="57" w:type="dxa"/>
              <w:right w:w="57" w:type="dxa"/>
            </w:tcMar>
            <w:vAlign w:val="bottom"/>
          </w:tcPr>
          <w:p w14:paraId="18B5CF29" w14:textId="10EFC49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11D92440" w14:textId="1E452AB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960</w:t>
            </w:r>
          </w:p>
        </w:tc>
      </w:tr>
      <w:tr w:rsidR="0027513D" w:rsidRPr="00FB38E1" w14:paraId="5B799354" w14:textId="77777777" w:rsidTr="00733EB0">
        <w:trPr>
          <w:trHeight w:val="170"/>
        </w:trPr>
        <w:tc>
          <w:tcPr>
            <w:tcW w:w="198" w:type="pct"/>
            <w:tcMar>
              <w:left w:w="57" w:type="dxa"/>
              <w:right w:w="57" w:type="dxa"/>
            </w:tcMar>
            <w:vAlign w:val="bottom"/>
          </w:tcPr>
          <w:p w14:paraId="05D604E5" w14:textId="5DBDB818"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1.3.3</w:t>
            </w:r>
          </w:p>
        </w:tc>
        <w:tc>
          <w:tcPr>
            <w:tcW w:w="1730" w:type="pct"/>
            <w:tcMar>
              <w:left w:w="57" w:type="dxa"/>
              <w:right w:w="57" w:type="dxa"/>
            </w:tcMar>
            <w:vAlign w:val="bottom"/>
          </w:tcPr>
          <w:p w14:paraId="7E8687CD" w14:textId="54287DDF"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Diğer Finansal Varlıklar</w:t>
            </w:r>
          </w:p>
        </w:tc>
        <w:tc>
          <w:tcPr>
            <w:tcW w:w="359" w:type="pct"/>
            <w:tcMar>
              <w:left w:w="57" w:type="dxa"/>
              <w:right w:w="57" w:type="dxa"/>
            </w:tcMar>
            <w:vAlign w:val="bottom"/>
          </w:tcPr>
          <w:p w14:paraId="0A14AFAC" w14:textId="4D150A11"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21B3AD77" w14:textId="7B791BBE"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05126C33" w14:textId="1E6FC9DC"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5.138.213</w:t>
            </w:r>
          </w:p>
        </w:tc>
        <w:tc>
          <w:tcPr>
            <w:tcW w:w="511" w:type="pct"/>
            <w:vAlign w:val="bottom"/>
          </w:tcPr>
          <w:p w14:paraId="2ECD9C52" w14:textId="25FA0DD5"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5.138.213</w:t>
            </w:r>
          </w:p>
        </w:tc>
        <w:tc>
          <w:tcPr>
            <w:tcW w:w="406" w:type="pct"/>
            <w:tcMar>
              <w:left w:w="57" w:type="dxa"/>
              <w:right w:w="57" w:type="dxa"/>
            </w:tcMar>
            <w:vAlign w:val="bottom"/>
          </w:tcPr>
          <w:p w14:paraId="56A4180C" w14:textId="7168E334"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703B77E5" w14:textId="5D97DC9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2.095.295</w:t>
            </w:r>
          </w:p>
        </w:tc>
        <w:tc>
          <w:tcPr>
            <w:tcW w:w="458" w:type="pct"/>
            <w:tcMar>
              <w:left w:w="57" w:type="dxa"/>
              <w:right w:w="57" w:type="dxa"/>
            </w:tcMar>
            <w:vAlign w:val="bottom"/>
          </w:tcPr>
          <w:p w14:paraId="34738FD7" w14:textId="623FB026"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2.095.295</w:t>
            </w:r>
          </w:p>
        </w:tc>
      </w:tr>
      <w:tr w:rsidR="0027513D" w:rsidRPr="00FB38E1" w14:paraId="4915B8D7" w14:textId="77777777" w:rsidTr="00733EB0">
        <w:trPr>
          <w:trHeight w:val="170"/>
        </w:trPr>
        <w:tc>
          <w:tcPr>
            <w:tcW w:w="198" w:type="pct"/>
            <w:tcMar>
              <w:left w:w="57" w:type="dxa"/>
              <w:right w:w="57" w:type="dxa"/>
            </w:tcMar>
            <w:vAlign w:val="bottom"/>
          </w:tcPr>
          <w:p w14:paraId="6215F792" w14:textId="136C7E4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1.4</w:t>
            </w:r>
          </w:p>
        </w:tc>
        <w:tc>
          <w:tcPr>
            <w:tcW w:w="1730" w:type="pct"/>
            <w:tcMar>
              <w:left w:w="57" w:type="dxa"/>
              <w:right w:w="57" w:type="dxa"/>
            </w:tcMar>
            <w:vAlign w:val="bottom"/>
          </w:tcPr>
          <w:p w14:paraId="7FC7981E" w14:textId="448593A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Türev Finansal Varlıklar</w:t>
            </w:r>
          </w:p>
        </w:tc>
        <w:tc>
          <w:tcPr>
            <w:tcW w:w="359" w:type="pct"/>
            <w:tcMar>
              <w:left w:w="57" w:type="dxa"/>
              <w:right w:w="57" w:type="dxa"/>
            </w:tcMar>
            <w:vAlign w:val="bottom"/>
          </w:tcPr>
          <w:p w14:paraId="2723AF4F" w14:textId="49CE2FAE"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1DC96886" w14:textId="3D05D8B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1.815.632</w:t>
            </w:r>
          </w:p>
        </w:tc>
        <w:tc>
          <w:tcPr>
            <w:tcW w:w="466" w:type="pct"/>
            <w:vAlign w:val="bottom"/>
          </w:tcPr>
          <w:p w14:paraId="52BBAE20" w14:textId="657AE5A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10.064.230</w:t>
            </w:r>
          </w:p>
        </w:tc>
        <w:tc>
          <w:tcPr>
            <w:tcW w:w="511" w:type="pct"/>
            <w:vAlign w:val="bottom"/>
          </w:tcPr>
          <w:p w14:paraId="0513EC7A" w14:textId="0300E99F"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11.879.862</w:t>
            </w:r>
          </w:p>
        </w:tc>
        <w:tc>
          <w:tcPr>
            <w:tcW w:w="406" w:type="pct"/>
            <w:tcMar>
              <w:left w:w="57" w:type="dxa"/>
              <w:right w:w="57" w:type="dxa"/>
            </w:tcMar>
            <w:vAlign w:val="bottom"/>
          </w:tcPr>
          <w:p w14:paraId="1F093FA5" w14:textId="2DA6827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1.227.268</w:t>
            </w:r>
          </w:p>
        </w:tc>
        <w:tc>
          <w:tcPr>
            <w:tcW w:w="413" w:type="pct"/>
            <w:tcMar>
              <w:left w:w="57" w:type="dxa"/>
              <w:right w:w="57" w:type="dxa"/>
            </w:tcMar>
            <w:vAlign w:val="bottom"/>
          </w:tcPr>
          <w:p w14:paraId="40DB5D88" w14:textId="6C465AA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6.816.875</w:t>
            </w:r>
          </w:p>
        </w:tc>
        <w:tc>
          <w:tcPr>
            <w:tcW w:w="458" w:type="pct"/>
            <w:tcMar>
              <w:left w:w="57" w:type="dxa"/>
              <w:right w:w="57" w:type="dxa"/>
            </w:tcMar>
            <w:vAlign w:val="bottom"/>
          </w:tcPr>
          <w:p w14:paraId="3A9FF3E9" w14:textId="60FFCC1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8.044.143</w:t>
            </w:r>
          </w:p>
        </w:tc>
      </w:tr>
      <w:tr w:rsidR="0027513D" w:rsidRPr="00FB38E1" w14:paraId="3F98CA2F" w14:textId="77777777" w:rsidTr="00733EB0">
        <w:trPr>
          <w:trHeight w:val="170"/>
        </w:trPr>
        <w:tc>
          <w:tcPr>
            <w:tcW w:w="198" w:type="pct"/>
            <w:tcMar>
              <w:left w:w="57" w:type="dxa"/>
              <w:right w:w="57" w:type="dxa"/>
            </w:tcMar>
          </w:tcPr>
          <w:p w14:paraId="6160ED77" w14:textId="547B02E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1.4.1</w:t>
            </w:r>
          </w:p>
        </w:tc>
        <w:tc>
          <w:tcPr>
            <w:tcW w:w="1730" w:type="pct"/>
            <w:tcMar>
              <w:left w:w="57" w:type="dxa"/>
              <w:right w:w="57" w:type="dxa"/>
            </w:tcMar>
            <w:vAlign w:val="bottom"/>
          </w:tcPr>
          <w:p w14:paraId="5E82D482" w14:textId="2FEECE4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Türev Finansal Varlıkların Gerçeğe Uygun Değer Farkı Kar Zarara Yansıtılan Kısmı</w:t>
            </w:r>
          </w:p>
        </w:tc>
        <w:tc>
          <w:tcPr>
            <w:tcW w:w="359" w:type="pct"/>
            <w:tcMar>
              <w:left w:w="57" w:type="dxa"/>
              <w:right w:w="57" w:type="dxa"/>
            </w:tcMar>
            <w:vAlign w:val="bottom"/>
          </w:tcPr>
          <w:p w14:paraId="5C1F56BE" w14:textId="7011ADA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(5.I.b)</w:t>
            </w:r>
          </w:p>
        </w:tc>
        <w:tc>
          <w:tcPr>
            <w:tcW w:w="459" w:type="pct"/>
            <w:vAlign w:val="bottom"/>
          </w:tcPr>
          <w:p w14:paraId="54AB9D7D" w14:textId="441ADB1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1.815.632</w:t>
            </w:r>
          </w:p>
        </w:tc>
        <w:tc>
          <w:tcPr>
            <w:tcW w:w="466" w:type="pct"/>
            <w:vAlign w:val="bottom"/>
          </w:tcPr>
          <w:p w14:paraId="56C59AF4" w14:textId="74395CC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10.064.230</w:t>
            </w:r>
          </w:p>
        </w:tc>
        <w:tc>
          <w:tcPr>
            <w:tcW w:w="511" w:type="pct"/>
            <w:vAlign w:val="bottom"/>
          </w:tcPr>
          <w:p w14:paraId="75D6549C" w14:textId="0A2CE36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11.879.862</w:t>
            </w:r>
          </w:p>
        </w:tc>
        <w:tc>
          <w:tcPr>
            <w:tcW w:w="406" w:type="pct"/>
            <w:tcMar>
              <w:left w:w="57" w:type="dxa"/>
              <w:right w:w="57" w:type="dxa"/>
            </w:tcMar>
            <w:vAlign w:val="bottom"/>
          </w:tcPr>
          <w:p w14:paraId="394F96DC" w14:textId="20C4098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1.227.268</w:t>
            </w:r>
          </w:p>
        </w:tc>
        <w:tc>
          <w:tcPr>
            <w:tcW w:w="413" w:type="pct"/>
            <w:tcMar>
              <w:left w:w="57" w:type="dxa"/>
              <w:right w:w="57" w:type="dxa"/>
            </w:tcMar>
            <w:vAlign w:val="bottom"/>
          </w:tcPr>
          <w:p w14:paraId="3D5B359D" w14:textId="797EAB4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6.816.875</w:t>
            </w:r>
          </w:p>
        </w:tc>
        <w:tc>
          <w:tcPr>
            <w:tcW w:w="458" w:type="pct"/>
            <w:tcMar>
              <w:left w:w="57" w:type="dxa"/>
              <w:right w:w="57" w:type="dxa"/>
            </w:tcMar>
            <w:vAlign w:val="bottom"/>
          </w:tcPr>
          <w:p w14:paraId="6F248AA5" w14:textId="7D7EA5E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8.044.143</w:t>
            </w:r>
          </w:p>
        </w:tc>
      </w:tr>
      <w:tr w:rsidR="0027513D" w:rsidRPr="00FB38E1" w14:paraId="79F1076B" w14:textId="77777777" w:rsidTr="00733EB0">
        <w:trPr>
          <w:trHeight w:val="170"/>
        </w:trPr>
        <w:tc>
          <w:tcPr>
            <w:tcW w:w="198" w:type="pct"/>
            <w:tcMar>
              <w:left w:w="57" w:type="dxa"/>
              <w:right w:w="57" w:type="dxa"/>
            </w:tcMar>
          </w:tcPr>
          <w:p w14:paraId="63914C62" w14:textId="1FE8BD3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1.4.2</w:t>
            </w:r>
          </w:p>
        </w:tc>
        <w:tc>
          <w:tcPr>
            <w:tcW w:w="1730" w:type="pct"/>
            <w:tcMar>
              <w:left w:w="57" w:type="dxa"/>
              <w:right w:w="57" w:type="dxa"/>
            </w:tcMar>
            <w:vAlign w:val="bottom"/>
          </w:tcPr>
          <w:p w14:paraId="582C273D" w14:textId="7E477C1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Türev Finansal Varlıkların Gerçeğe Uygun Değer Farkı Diğer Kapsamlı Gelire Yansıtılan Kısmı</w:t>
            </w:r>
          </w:p>
        </w:tc>
        <w:tc>
          <w:tcPr>
            <w:tcW w:w="359" w:type="pct"/>
            <w:tcMar>
              <w:left w:w="57" w:type="dxa"/>
              <w:right w:w="57" w:type="dxa"/>
            </w:tcMar>
            <w:vAlign w:val="bottom"/>
          </w:tcPr>
          <w:p w14:paraId="30EA2E9F" w14:textId="43DC73D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(5.I.j)</w:t>
            </w:r>
          </w:p>
        </w:tc>
        <w:tc>
          <w:tcPr>
            <w:tcW w:w="459" w:type="pct"/>
            <w:vAlign w:val="bottom"/>
          </w:tcPr>
          <w:p w14:paraId="494D8A01" w14:textId="304B93F0"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3EB41C95" w14:textId="1A57A823"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1EB96044" w14:textId="5AFADD78"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230B4CF9" w14:textId="309EBB4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0394C3AD" w14:textId="58FE178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7D2387CE" w14:textId="0E782C8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r>
      <w:tr w:rsidR="0027513D" w:rsidRPr="00FB38E1" w14:paraId="43E10AD2" w14:textId="77777777" w:rsidTr="00733EB0">
        <w:trPr>
          <w:trHeight w:val="170"/>
        </w:trPr>
        <w:tc>
          <w:tcPr>
            <w:tcW w:w="198" w:type="pct"/>
            <w:tcMar>
              <w:left w:w="57" w:type="dxa"/>
              <w:right w:w="57" w:type="dxa"/>
            </w:tcMar>
          </w:tcPr>
          <w:p w14:paraId="2EB680AB" w14:textId="64CAA9D7"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II.</w:t>
            </w:r>
          </w:p>
        </w:tc>
        <w:tc>
          <w:tcPr>
            <w:tcW w:w="1730" w:type="pct"/>
            <w:tcMar>
              <w:left w:w="57" w:type="dxa"/>
              <w:right w:w="57" w:type="dxa"/>
            </w:tcMar>
            <w:vAlign w:val="bottom"/>
          </w:tcPr>
          <w:p w14:paraId="2A72F012" w14:textId="07276EFE"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İTFA EDİLMİŞ MALİYET İLE ÖLÇÜLEN FİNANSAL VARLIKLAR (Net)</w:t>
            </w:r>
          </w:p>
        </w:tc>
        <w:tc>
          <w:tcPr>
            <w:tcW w:w="359" w:type="pct"/>
            <w:tcMar>
              <w:left w:w="57" w:type="dxa"/>
              <w:right w:w="57" w:type="dxa"/>
            </w:tcMar>
            <w:vAlign w:val="bottom"/>
          </w:tcPr>
          <w:p w14:paraId="1670B51D" w14:textId="0A991FEC"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 </w:t>
            </w:r>
          </w:p>
        </w:tc>
        <w:tc>
          <w:tcPr>
            <w:tcW w:w="459" w:type="pct"/>
            <w:vAlign w:val="bottom"/>
          </w:tcPr>
          <w:p w14:paraId="73EB0768" w14:textId="1071159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492.232.714</w:t>
            </w:r>
          </w:p>
        </w:tc>
        <w:tc>
          <w:tcPr>
            <w:tcW w:w="466" w:type="pct"/>
            <w:vAlign w:val="bottom"/>
          </w:tcPr>
          <w:p w14:paraId="1A880E7B" w14:textId="58DF32A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273.537.530</w:t>
            </w:r>
          </w:p>
        </w:tc>
        <w:tc>
          <w:tcPr>
            <w:tcW w:w="511" w:type="pct"/>
            <w:vAlign w:val="bottom"/>
          </w:tcPr>
          <w:p w14:paraId="70A03529" w14:textId="02BB889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765.770.244</w:t>
            </w:r>
          </w:p>
        </w:tc>
        <w:tc>
          <w:tcPr>
            <w:tcW w:w="406" w:type="pct"/>
            <w:tcMar>
              <w:left w:w="57" w:type="dxa"/>
              <w:right w:w="57" w:type="dxa"/>
            </w:tcMar>
            <w:vAlign w:val="bottom"/>
          </w:tcPr>
          <w:p w14:paraId="7CE0D374" w14:textId="194149F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328.674.624</w:t>
            </w:r>
          </w:p>
        </w:tc>
        <w:tc>
          <w:tcPr>
            <w:tcW w:w="413" w:type="pct"/>
            <w:tcMar>
              <w:left w:w="57" w:type="dxa"/>
              <w:right w:w="57" w:type="dxa"/>
            </w:tcMar>
            <w:vAlign w:val="bottom"/>
          </w:tcPr>
          <w:p w14:paraId="581CF2A3" w14:textId="6EDF8F5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188.113.661</w:t>
            </w:r>
          </w:p>
        </w:tc>
        <w:tc>
          <w:tcPr>
            <w:tcW w:w="458" w:type="pct"/>
            <w:tcMar>
              <w:left w:w="57" w:type="dxa"/>
              <w:right w:w="57" w:type="dxa"/>
            </w:tcMar>
            <w:vAlign w:val="bottom"/>
          </w:tcPr>
          <w:p w14:paraId="69954DD3" w14:textId="7B0E5F29"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516.788.285</w:t>
            </w:r>
          </w:p>
        </w:tc>
      </w:tr>
      <w:tr w:rsidR="0027513D" w:rsidRPr="00FB38E1" w14:paraId="7BD853AD" w14:textId="77777777" w:rsidTr="00733EB0">
        <w:trPr>
          <w:trHeight w:val="170"/>
        </w:trPr>
        <w:tc>
          <w:tcPr>
            <w:tcW w:w="198" w:type="pct"/>
            <w:tcMar>
              <w:left w:w="57" w:type="dxa"/>
              <w:right w:w="57" w:type="dxa"/>
            </w:tcMar>
            <w:vAlign w:val="bottom"/>
          </w:tcPr>
          <w:p w14:paraId="2B69031E" w14:textId="4F5947B6"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2.1</w:t>
            </w:r>
          </w:p>
        </w:tc>
        <w:tc>
          <w:tcPr>
            <w:tcW w:w="1730" w:type="pct"/>
            <w:tcMar>
              <w:left w:w="57" w:type="dxa"/>
              <w:right w:w="57" w:type="dxa"/>
            </w:tcMar>
            <w:vAlign w:val="bottom"/>
          </w:tcPr>
          <w:p w14:paraId="76A94DCB" w14:textId="1AE5C19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 xml:space="preserve">Krediler </w:t>
            </w:r>
          </w:p>
        </w:tc>
        <w:tc>
          <w:tcPr>
            <w:tcW w:w="359" w:type="pct"/>
            <w:tcMar>
              <w:left w:w="57" w:type="dxa"/>
              <w:right w:w="57" w:type="dxa"/>
            </w:tcMar>
            <w:vAlign w:val="bottom"/>
          </w:tcPr>
          <w:p w14:paraId="581A51EA" w14:textId="1C97F404"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(5.I.d)</w:t>
            </w:r>
          </w:p>
        </w:tc>
        <w:tc>
          <w:tcPr>
            <w:tcW w:w="459" w:type="pct"/>
            <w:vAlign w:val="bottom"/>
          </w:tcPr>
          <w:p w14:paraId="05AD5E98" w14:textId="4526E4E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460.622.843</w:t>
            </w:r>
          </w:p>
        </w:tc>
        <w:tc>
          <w:tcPr>
            <w:tcW w:w="466" w:type="pct"/>
            <w:vAlign w:val="bottom"/>
          </w:tcPr>
          <w:p w14:paraId="67129408" w14:textId="203D993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275.595.438</w:t>
            </w:r>
          </w:p>
        </w:tc>
        <w:tc>
          <w:tcPr>
            <w:tcW w:w="511" w:type="pct"/>
            <w:vAlign w:val="bottom"/>
          </w:tcPr>
          <w:p w14:paraId="4EC5D431" w14:textId="7871600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736.218.281</w:t>
            </w:r>
          </w:p>
        </w:tc>
        <w:tc>
          <w:tcPr>
            <w:tcW w:w="406" w:type="pct"/>
            <w:tcMar>
              <w:left w:w="57" w:type="dxa"/>
              <w:right w:w="57" w:type="dxa"/>
            </w:tcMar>
            <w:vAlign w:val="bottom"/>
          </w:tcPr>
          <w:p w14:paraId="04C570E0" w14:textId="492E7AF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305.436.740</w:t>
            </w:r>
          </w:p>
        </w:tc>
        <w:tc>
          <w:tcPr>
            <w:tcW w:w="413" w:type="pct"/>
            <w:tcMar>
              <w:left w:w="57" w:type="dxa"/>
              <w:right w:w="57" w:type="dxa"/>
            </w:tcMar>
            <w:vAlign w:val="bottom"/>
          </w:tcPr>
          <w:p w14:paraId="25880650" w14:textId="1482926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195.021.586</w:t>
            </w:r>
          </w:p>
        </w:tc>
        <w:tc>
          <w:tcPr>
            <w:tcW w:w="458" w:type="pct"/>
            <w:tcMar>
              <w:left w:w="57" w:type="dxa"/>
              <w:right w:w="57" w:type="dxa"/>
            </w:tcMar>
            <w:vAlign w:val="bottom"/>
          </w:tcPr>
          <w:p w14:paraId="6E66E2BB" w14:textId="0889D20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500.458.326</w:t>
            </w:r>
          </w:p>
        </w:tc>
      </w:tr>
      <w:tr w:rsidR="0027513D" w:rsidRPr="00FB38E1" w14:paraId="63F4AD69" w14:textId="77777777" w:rsidTr="00733EB0">
        <w:trPr>
          <w:trHeight w:val="170"/>
        </w:trPr>
        <w:tc>
          <w:tcPr>
            <w:tcW w:w="198" w:type="pct"/>
            <w:tcMar>
              <w:left w:w="57" w:type="dxa"/>
              <w:right w:w="57" w:type="dxa"/>
            </w:tcMar>
            <w:vAlign w:val="bottom"/>
          </w:tcPr>
          <w:p w14:paraId="350EFFF8" w14:textId="558CC67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2.2</w:t>
            </w:r>
          </w:p>
        </w:tc>
        <w:tc>
          <w:tcPr>
            <w:tcW w:w="1730" w:type="pct"/>
            <w:tcMar>
              <w:left w:w="57" w:type="dxa"/>
              <w:right w:w="57" w:type="dxa"/>
            </w:tcMar>
            <w:vAlign w:val="bottom"/>
          </w:tcPr>
          <w:p w14:paraId="1B7EAB22" w14:textId="0436034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Kiralama İşlemlerinden Alacaklar</w:t>
            </w:r>
          </w:p>
        </w:tc>
        <w:tc>
          <w:tcPr>
            <w:tcW w:w="359" w:type="pct"/>
            <w:tcMar>
              <w:left w:w="57" w:type="dxa"/>
              <w:right w:w="57" w:type="dxa"/>
            </w:tcMar>
            <w:vAlign w:val="bottom"/>
          </w:tcPr>
          <w:p w14:paraId="6577E940" w14:textId="1A0CC61D"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w:t>
            </w:r>
          </w:p>
        </w:tc>
        <w:tc>
          <w:tcPr>
            <w:tcW w:w="459" w:type="pct"/>
            <w:vAlign w:val="bottom"/>
          </w:tcPr>
          <w:p w14:paraId="046A7CD0" w14:textId="58047B89"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0442F0A9" w14:textId="1D87799C"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1717469C" w14:textId="4DB61E85"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443C3B67" w14:textId="0C4B4FC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55BFC19F" w14:textId="23D336D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3873DD7C" w14:textId="5A1BB42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r>
      <w:tr w:rsidR="0027513D" w:rsidRPr="00FB38E1" w14:paraId="7DBD8F9B" w14:textId="77777777" w:rsidTr="00733EB0">
        <w:trPr>
          <w:trHeight w:val="170"/>
        </w:trPr>
        <w:tc>
          <w:tcPr>
            <w:tcW w:w="198" w:type="pct"/>
            <w:tcMar>
              <w:left w:w="57" w:type="dxa"/>
              <w:right w:w="57" w:type="dxa"/>
            </w:tcMar>
            <w:vAlign w:val="bottom"/>
          </w:tcPr>
          <w:p w14:paraId="3CAD7A00" w14:textId="351ACF5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2.3</w:t>
            </w:r>
          </w:p>
        </w:tc>
        <w:tc>
          <w:tcPr>
            <w:tcW w:w="1730" w:type="pct"/>
            <w:tcMar>
              <w:left w:w="57" w:type="dxa"/>
              <w:right w:w="57" w:type="dxa"/>
            </w:tcMar>
            <w:vAlign w:val="bottom"/>
          </w:tcPr>
          <w:p w14:paraId="662E1835" w14:textId="1767691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Faktoring Alacakları</w:t>
            </w:r>
          </w:p>
        </w:tc>
        <w:tc>
          <w:tcPr>
            <w:tcW w:w="359" w:type="pct"/>
            <w:tcMar>
              <w:left w:w="57" w:type="dxa"/>
              <w:right w:w="57" w:type="dxa"/>
            </w:tcMar>
            <w:vAlign w:val="bottom"/>
          </w:tcPr>
          <w:p w14:paraId="11638AAA" w14:textId="2BBAA58D"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5BB52200" w14:textId="2C3118D4"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4EE6509C" w14:textId="6FFBC52E"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74AF5F1D" w14:textId="2C85ED9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32CB5454" w14:textId="5F68099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D6EF9AD" w14:textId="53991C3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56D2F8C" w14:textId="412932A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r>
      <w:tr w:rsidR="0027513D" w:rsidRPr="00FB38E1" w14:paraId="244A0978" w14:textId="77777777" w:rsidTr="00733EB0">
        <w:trPr>
          <w:trHeight w:val="170"/>
        </w:trPr>
        <w:tc>
          <w:tcPr>
            <w:tcW w:w="198" w:type="pct"/>
            <w:tcMar>
              <w:left w:w="57" w:type="dxa"/>
              <w:right w:w="57" w:type="dxa"/>
            </w:tcMar>
            <w:vAlign w:val="bottom"/>
          </w:tcPr>
          <w:p w14:paraId="6C3B2019" w14:textId="4435DB87"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2.4</w:t>
            </w:r>
          </w:p>
        </w:tc>
        <w:tc>
          <w:tcPr>
            <w:tcW w:w="1730" w:type="pct"/>
            <w:tcMar>
              <w:left w:w="57" w:type="dxa"/>
              <w:right w:w="57" w:type="dxa"/>
            </w:tcMar>
            <w:vAlign w:val="bottom"/>
          </w:tcPr>
          <w:p w14:paraId="334B436A" w14:textId="7BEB861F"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İtfa Edilmiş Maliyeti ile Ölçülen Finansal Varlıklar</w:t>
            </w:r>
          </w:p>
        </w:tc>
        <w:tc>
          <w:tcPr>
            <w:tcW w:w="359" w:type="pct"/>
            <w:tcMar>
              <w:left w:w="57" w:type="dxa"/>
              <w:right w:w="57" w:type="dxa"/>
            </w:tcMar>
            <w:vAlign w:val="bottom"/>
          </w:tcPr>
          <w:p w14:paraId="6965F560" w14:textId="1691FBDD"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(5.I.e)</w:t>
            </w:r>
          </w:p>
        </w:tc>
        <w:tc>
          <w:tcPr>
            <w:tcW w:w="459" w:type="pct"/>
            <w:vAlign w:val="bottom"/>
          </w:tcPr>
          <w:p w14:paraId="79D984BC" w14:textId="59B2F3A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57.719.773</w:t>
            </w:r>
          </w:p>
        </w:tc>
        <w:tc>
          <w:tcPr>
            <w:tcW w:w="466" w:type="pct"/>
            <w:vAlign w:val="bottom"/>
          </w:tcPr>
          <w:p w14:paraId="28C60FCB" w14:textId="6CD9F11D"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7.875.618</w:t>
            </w:r>
          </w:p>
        </w:tc>
        <w:tc>
          <w:tcPr>
            <w:tcW w:w="511" w:type="pct"/>
            <w:vAlign w:val="bottom"/>
          </w:tcPr>
          <w:p w14:paraId="51589D03" w14:textId="303279C0"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65.595.391</w:t>
            </w:r>
          </w:p>
        </w:tc>
        <w:tc>
          <w:tcPr>
            <w:tcW w:w="406" w:type="pct"/>
            <w:tcMar>
              <w:left w:w="57" w:type="dxa"/>
              <w:right w:w="57" w:type="dxa"/>
            </w:tcMar>
            <w:vAlign w:val="bottom"/>
          </w:tcPr>
          <w:p w14:paraId="078342BD" w14:textId="68E9DB26"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42.882.876</w:t>
            </w:r>
          </w:p>
        </w:tc>
        <w:tc>
          <w:tcPr>
            <w:tcW w:w="413" w:type="pct"/>
            <w:tcMar>
              <w:left w:w="57" w:type="dxa"/>
              <w:right w:w="57" w:type="dxa"/>
            </w:tcMar>
            <w:vAlign w:val="bottom"/>
          </w:tcPr>
          <w:p w14:paraId="51A3FE7D" w14:textId="207073D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8.354.208</w:t>
            </w:r>
          </w:p>
        </w:tc>
        <w:tc>
          <w:tcPr>
            <w:tcW w:w="458" w:type="pct"/>
            <w:tcMar>
              <w:left w:w="57" w:type="dxa"/>
              <w:right w:w="57" w:type="dxa"/>
            </w:tcMar>
            <w:vAlign w:val="bottom"/>
          </w:tcPr>
          <w:p w14:paraId="1B66D33C" w14:textId="76F6BA2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51.237.084</w:t>
            </w:r>
          </w:p>
        </w:tc>
      </w:tr>
      <w:tr w:rsidR="0027513D" w:rsidRPr="00FB38E1" w14:paraId="524FEC16" w14:textId="77777777" w:rsidTr="00733EB0">
        <w:trPr>
          <w:trHeight w:val="170"/>
        </w:trPr>
        <w:tc>
          <w:tcPr>
            <w:tcW w:w="198" w:type="pct"/>
            <w:tcMar>
              <w:left w:w="57" w:type="dxa"/>
              <w:right w:w="57" w:type="dxa"/>
            </w:tcMar>
            <w:vAlign w:val="bottom"/>
          </w:tcPr>
          <w:p w14:paraId="4759F844" w14:textId="569270F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2.4.1</w:t>
            </w:r>
          </w:p>
        </w:tc>
        <w:tc>
          <w:tcPr>
            <w:tcW w:w="1730" w:type="pct"/>
            <w:tcMar>
              <w:left w:w="57" w:type="dxa"/>
              <w:right w:w="57" w:type="dxa"/>
            </w:tcMar>
            <w:vAlign w:val="bottom"/>
          </w:tcPr>
          <w:p w14:paraId="619620F8" w14:textId="70EBC81B"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Devlet Borçlanma Senetleri</w:t>
            </w:r>
          </w:p>
        </w:tc>
        <w:tc>
          <w:tcPr>
            <w:tcW w:w="359" w:type="pct"/>
            <w:tcMar>
              <w:left w:w="57" w:type="dxa"/>
              <w:right w:w="57" w:type="dxa"/>
            </w:tcMar>
            <w:vAlign w:val="bottom"/>
          </w:tcPr>
          <w:p w14:paraId="577BA2E2" w14:textId="592489EA"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557600E2" w14:textId="0839EB3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57.719.773</w:t>
            </w:r>
          </w:p>
        </w:tc>
        <w:tc>
          <w:tcPr>
            <w:tcW w:w="466" w:type="pct"/>
            <w:vAlign w:val="bottom"/>
          </w:tcPr>
          <w:p w14:paraId="2B0CBBEA" w14:textId="12F6D0A2"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7.875.618</w:t>
            </w:r>
          </w:p>
        </w:tc>
        <w:tc>
          <w:tcPr>
            <w:tcW w:w="511" w:type="pct"/>
            <w:vAlign w:val="bottom"/>
          </w:tcPr>
          <w:p w14:paraId="2291C35F" w14:textId="41B6C65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65.595.391</w:t>
            </w:r>
          </w:p>
        </w:tc>
        <w:tc>
          <w:tcPr>
            <w:tcW w:w="406" w:type="pct"/>
            <w:tcMar>
              <w:left w:w="57" w:type="dxa"/>
              <w:right w:w="57" w:type="dxa"/>
            </w:tcMar>
            <w:vAlign w:val="bottom"/>
          </w:tcPr>
          <w:p w14:paraId="3D249B4F" w14:textId="2AABC1A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42.882.876</w:t>
            </w:r>
          </w:p>
        </w:tc>
        <w:tc>
          <w:tcPr>
            <w:tcW w:w="413" w:type="pct"/>
            <w:tcMar>
              <w:left w:w="57" w:type="dxa"/>
              <w:right w:w="57" w:type="dxa"/>
            </w:tcMar>
            <w:vAlign w:val="bottom"/>
          </w:tcPr>
          <w:p w14:paraId="4066EC0F" w14:textId="5D110B4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8.354.208</w:t>
            </w:r>
          </w:p>
        </w:tc>
        <w:tc>
          <w:tcPr>
            <w:tcW w:w="458" w:type="pct"/>
            <w:tcMar>
              <w:left w:w="57" w:type="dxa"/>
              <w:right w:w="57" w:type="dxa"/>
            </w:tcMar>
            <w:vAlign w:val="bottom"/>
          </w:tcPr>
          <w:p w14:paraId="477AC46E" w14:textId="2896F95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51.237.084</w:t>
            </w:r>
          </w:p>
        </w:tc>
      </w:tr>
      <w:tr w:rsidR="0027513D" w:rsidRPr="00FB38E1" w14:paraId="2CD58046" w14:textId="77777777" w:rsidTr="00733EB0">
        <w:trPr>
          <w:trHeight w:val="170"/>
        </w:trPr>
        <w:tc>
          <w:tcPr>
            <w:tcW w:w="198" w:type="pct"/>
            <w:tcMar>
              <w:left w:w="57" w:type="dxa"/>
              <w:right w:w="57" w:type="dxa"/>
            </w:tcMar>
            <w:vAlign w:val="bottom"/>
          </w:tcPr>
          <w:p w14:paraId="5F20F490" w14:textId="2295B73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2.4.2</w:t>
            </w:r>
          </w:p>
        </w:tc>
        <w:tc>
          <w:tcPr>
            <w:tcW w:w="1730" w:type="pct"/>
            <w:tcMar>
              <w:left w:w="57" w:type="dxa"/>
              <w:right w:w="57" w:type="dxa"/>
            </w:tcMar>
            <w:vAlign w:val="bottom"/>
          </w:tcPr>
          <w:p w14:paraId="0E5319B9" w14:textId="306D89A0"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Diğer Finansal Varlıklar</w:t>
            </w:r>
          </w:p>
        </w:tc>
        <w:tc>
          <w:tcPr>
            <w:tcW w:w="359" w:type="pct"/>
            <w:tcMar>
              <w:left w:w="57" w:type="dxa"/>
              <w:right w:w="57" w:type="dxa"/>
            </w:tcMar>
            <w:vAlign w:val="bottom"/>
          </w:tcPr>
          <w:p w14:paraId="250E86C8" w14:textId="2EDFE52B"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3390B60E" w14:textId="0825A668"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51A50802" w14:textId="331407D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43311529" w14:textId="5D280DA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39555F74" w14:textId="00B157B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1B3BB2D8" w14:textId="7D7601B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5C48C9CE" w14:textId="5413508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r>
      <w:tr w:rsidR="0027513D" w:rsidRPr="00FB38E1" w14:paraId="14DF5FA2" w14:textId="77777777" w:rsidTr="00733EB0">
        <w:trPr>
          <w:trHeight w:val="170"/>
        </w:trPr>
        <w:tc>
          <w:tcPr>
            <w:tcW w:w="198" w:type="pct"/>
            <w:tcMar>
              <w:left w:w="57" w:type="dxa"/>
              <w:right w:w="57" w:type="dxa"/>
            </w:tcMar>
            <w:vAlign w:val="bottom"/>
          </w:tcPr>
          <w:p w14:paraId="15A6D985" w14:textId="0704D03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 xml:space="preserve">2.5 </w:t>
            </w:r>
          </w:p>
        </w:tc>
        <w:tc>
          <w:tcPr>
            <w:tcW w:w="1730" w:type="pct"/>
            <w:tcMar>
              <w:left w:w="57" w:type="dxa"/>
              <w:right w:w="57" w:type="dxa"/>
            </w:tcMar>
            <w:vAlign w:val="bottom"/>
          </w:tcPr>
          <w:p w14:paraId="3CF37FDC" w14:textId="3071C9C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Beklenen Zarar Karşılıkları (-)</w:t>
            </w:r>
          </w:p>
        </w:tc>
        <w:tc>
          <w:tcPr>
            <w:tcW w:w="359" w:type="pct"/>
            <w:tcMar>
              <w:left w:w="57" w:type="dxa"/>
              <w:right w:w="57" w:type="dxa"/>
            </w:tcMar>
            <w:vAlign w:val="bottom"/>
          </w:tcPr>
          <w:p w14:paraId="647CEBC5" w14:textId="596E6D68"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6A7D7019" w14:textId="24EB3ABF" w:rsidR="0027513D" w:rsidRPr="00FB38E1" w:rsidRDefault="0027513D" w:rsidP="0027513D">
            <w:pPr>
              <w:jc w:val="right"/>
              <w:rPr>
                <w:rFonts w:ascii="Microsoft Sans Serif" w:hAnsi="Microsoft Sans Serif" w:cs="Microsoft Sans Serif"/>
                <w:b/>
                <w:color w:val="000000"/>
                <w:sz w:val="12"/>
                <w:szCs w:val="12"/>
              </w:rPr>
            </w:pPr>
            <w:r w:rsidRPr="00FB38E1">
              <w:rPr>
                <w:rFonts w:ascii="Microsoft Sans Serif" w:hAnsi="Microsoft Sans Serif" w:cs="Microsoft Sans Serif"/>
                <w:b/>
                <w:bCs/>
                <w:color w:val="000000"/>
                <w:sz w:val="12"/>
                <w:szCs w:val="12"/>
              </w:rPr>
              <w:t>26.109.902</w:t>
            </w:r>
          </w:p>
        </w:tc>
        <w:tc>
          <w:tcPr>
            <w:tcW w:w="466" w:type="pct"/>
            <w:vAlign w:val="bottom"/>
          </w:tcPr>
          <w:p w14:paraId="69425E46" w14:textId="0AC4E298" w:rsidR="0027513D" w:rsidRPr="00FB38E1" w:rsidRDefault="0027513D" w:rsidP="0027513D">
            <w:pPr>
              <w:jc w:val="right"/>
              <w:rPr>
                <w:rFonts w:ascii="Microsoft Sans Serif" w:hAnsi="Microsoft Sans Serif" w:cs="Microsoft Sans Serif"/>
                <w:b/>
                <w:color w:val="000000"/>
                <w:sz w:val="12"/>
                <w:szCs w:val="12"/>
              </w:rPr>
            </w:pPr>
            <w:r w:rsidRPr="00FB38E1">
              <w:rPr>
                <w:rFonts w:ascii="Microsoft Sans Serif" w:hAnsi="Microsoft Sans Serif" w:cs="Microsoft Sans Serif"/>
                <w:b/>
                <w:bCs/>
                <w:color w:val="000000"/>
                <w:sz w:val="12"/>
                <w:szCs w:val="12"/>
              </w:rPr>
              <w:t>9.933.526</w:t>
            </w:r>
          </w:p>
        </w:tc>
        <w:tc>
          <w:tcPr>
            <w:tcW w:w="511" w:type="pct"/>
            <w:vAlign w:val="bottom"/>
          </w:tcPr>
          <w:p w14:paraId="3227928D" w14:textId="2A28B03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36.043.428</w:t>
            </w:r>
          </w:p>
        </w:tc>
        <w:tc>
          <w:tcPr>
            <w:tcW w:w="406" w:type="pct"/>
            <w:tcMar>
              <w:left w:w="57" w:type="dxa"/>
              <w:right w:w="57" w:type="dxa"/>
            </w:tcMar>
            <w:vAlign w:val="bottom"/>
          </w:tcPr>
          <w:p w14:paraId="276DBE08" w14:textId="1D2B053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19.644.992</w:t>
            </w:r>
          </w:p>
        </w:tc>
        <w:tc>
          <w:tcPr>
            <w:tcW w:w="413" w:type="pct"/>
            <w:tcMar>
              <w:left w:w="57" w:type="dxa"/>
              <w:right w:w="57" w:type="dxa"/>
            </w:tcMar>
            <w:vAlign w:val="bottom"/>
          </w:tcPr>
          <w:p w14:paraId="38200E1A" w14:textId="1C91A98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15.262.133</w:t>
            </w:r>
          </w:p>
        </w:tc>
        <w:tc>
          <w:tcPr>
            <w:tcW w:w="458" w:type="pct"/>
            <w:tcMar>
              <w:left w:w="57" w:type="dxa"/>
              <w:right w:w="57" w:type="dxa"/>
            </w:tcMar>
            <w:vAlign w:val="bottom"/>
          </w:tcPr>
          <w:p w14:paraId="40C9C314" w14:textId="59C7112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34.907.125</w:t>
            </w:r>
          </w:p>
        </w:tc>
      </w:tr>
      <w:tr w:rsidR="0027513D" w:rsidRPr="00FB38E1" w14:paraId="5283ACDF" w14:textId="77777777" w:rsidTr="00733EB0">
        <w:trPr>
          <w:trHeight w:val="170"/>
        </w:trPr>
        <w:tc>
          <w:tcPr>
            <w:tcW w:w="198" w:type="pct"/>
            <w:tcMar>
              <w:left w:w="57" w:type="dxa"/>
              <w:right w:w="57" w:type="dxa"/>
            </w:tcMar>
          </w:tcPr>
          <w:p w14:paraId="58648352" w14:textId="29D9F80B"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III.</w:t>
            </w:r>
          </w:p>
        </w:tc>
        <w:tc>
          <w:tcPr>
            <w:tcW w:w="1730" w:type="pct"/>
            <w:tcMar>
              <w:left w:w="57" w:type="dxa"/>
              <w:right w:w="57" w:type="dxa"/>
            </w:tcMar>
            <w:vAlign w:val="bottom"/>
          </w:tcPr>
          <w:p w14:paraId="230EC6D8" w14:textId="6647814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SATIŞ AMAÇLI ELDE TUTULAN VE DURDURULAN FAALİYETLERE İLİŞKİN DURAN VARLIKLAR (Net)</w:t>
            </w:r>
          </w:p>
        </w:tc>
        <w:tc>
          <w:tcPr>
            <w:tcW w:w="359" w:type="pct"/>
            <w:tcMar>
              <w:left w:w="57" w:type="dxa"/>
              <w:right w:w="57" w:type="dxa"/>
            </w:tcMar>
            <w:vAlign w:val="bottom"/>
          </w:tcPr>
          <w:p w14:paraId="08EF0F15" w14:textId="0F7C5F94"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(5.I.o)</w:t>
            </w:r>
          </w:p>
        </w:tc>
        <w:tc>
          <w:tcPr>
            <w:tcW w:w="459" w:type="pct"/>
            <w:vAlign w:val="bottom"/>
          </w:tcPr>
          <w:p w14:paraId="03EA5200" w14:textId="1DD60F7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4F588F88" w14:textId="2911ECB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138743D4" w14:textId="64CADF3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56225E76" w14:textId="388AF2F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F8EB9CB" w14:textId="7CC1860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7.118</w:t>
            </w:r>
          </w:p>
        </w:tc>
        <w:tc>
          <w:tcPr>
            <w:tcW w:w="458" w:type="pct"/>
            <w:tcMar>
              <w:left w:w="57" w:type="dxa"/>
              <w:right w:w="57" w:type="dxa"/>
            </w:tcMar>
            <w:vAlign w:val="bottom"/>
          </w:tcPr>
          <w:p w14:paraId="217A944A" w14:textId="7031D20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7.118</w:t>
            </w:r>
          </w:p>
        </w:tc>
      </w:tr>
      <w:tr w:rsidR="0027513D" w:rsidRPr="00FB38E1" w14:paraId="5AE1B9F9" w14:textId="77777777" w:rsidTr="00733EB0">
        <w:trPr>
          <w:trHeight w:val="170"/>
        </w:trPr>
        <w:tc>
          <w:tcPr>
            <w:tcW w:w="198" w:type="pct"/>
            <w:tcMar>
              <w:left w:w="57" w:type="dxa"/>
              <w:right w:w="57" w:type="dxa"/>
            </w:tcMar>
            <w:vAlign w:val="bottom"/>
          </w:tcPr>
          <w:p w14:paraId="208BC14D" w14:textId="2BE37E5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3.1</w:t>
            </w:r>
          </w:p>
        </w:tc>
        <w:tc>
          <w:tcPr>
            <w:tcW w:w="1730" w:type="pct"/>
            <w:tcMar>
              <w:left w:w="57" w:type="dxa"/>
              <w:right w:w="57" w:type="dxa"/>
            </w:tcMar>
            <w:vAlign w:val="bottom"/>
          </w:tcPr>
          <w:p w14:paraId="2C837C18" w14:textId="181CEE2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 xml:space="preserve">Satış Amaçlı </w:t>
            </w:r>
          </w:p>
        </w:tc>
        <w:tc>
          <w:tcPr>
            <w:tcW w:w="359" w:type="pct"/>
            <w:tcMar>
              <w:left w:w="57" w:type="dxa"/>
              <w:right w:w="57" w:type="dxa"/>
            </w:tcMar>
            <w:vAlign w:val="bottom"/>
          </w:tcPr>
          <w:p w14:paraId="4B3C6562" w14:textId="024F10EE"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3547FDA" w14:textId="05EB722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1BB9953B" w14:textId="36E6DF7F"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399EB367" w14:textId="1E323239"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670A3113" w14:textId="2119EA7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0D0982E4" w14:textId="1801A50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40EF2844" w14:textId="23AAE9D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r>
      <w:tr w:rsidR="0027513D" w:rsidRPr="00FB38E1" w14:paraId="604D75DC" w14:textId="77777777" w:rsidTr="00733EB0">
        <w:trPr>
          <w:trHeight w:val="170"/>
        </w:trPr>
        <w:tc>
          <w:tcPr>
            <w:tcW w:w="198" w:type="pct"/>
            <w:tcMar>
              <w:left w:w="57" w:type="dxa"/>
              <w:right w:w="57" w:type="dxa"/>
            </w:tcMar>
            <w:vAlign w:val="bottom"/>
          </w:tcPr>
          <w:p w14:paraId="20A8684A" w14:textId="3C8FCFA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3.2</w:t>
            </w:r>
          </w:p>
        </w:tc>
        <w:tc>
          <w:tcPr>
            <w:tcW w:w="1730" w:type="pct"/>
            <w:tcMar>
              <w:left w:w="57" w:type="dxa"/>
              <w:right w:w="57" w:type="dxa"/>
            </w:tcMar>
            <w:vAlign w:val="bottom"/>
          </w:tcPr>
          <w:p w14:paraId="77B5A8C2" w14:textId="40B6F5B6"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Durdurulan Faaliyetlere İlişkin</w:t>
            </w:r>
          </w:p>
        </w:tc>
        <w:tc>
          <w:tcPr>
            <w:tcW w:w="359" w:type="pct"/>
            <w:tcMar>
              <w:left w:w="57" w:type="dxa"/>
              <w:right w:w="57" w:type="dxa"/>
            </w:tcMar>
            <w:vAlign w:val="bottom"/>
          </w:tcPr>
          <w:p w14:paraId="0F181E6E" w14:textId="02754811"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1BACE8E2" w14:textId="2B86626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536EF36D" w14:textId="3F5FA02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627D87D1" w14:textId="095AA0D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2B54107E" w14:textId="7B8C724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530983E5" w14:textId="342B843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7.118</w:t>
            </w:r>
          </w:p>
        </w:tc>
        <w:tc>
          <w:tcPr>
            <w:tcW w:w="458" w:type="pct"/>
            <w:tcMar>
              <w:left w:w="57" w:type="dxa"/>
              <w:right w:w="57" w:type="dxa"/>
            </w:tcMar>
            <w:vAlign w:val="bottom"/>
          </w:tcPr>
          <w:p w14:paraId="2F15C507" w14:textId="3A2E3F0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7.118</w:t>
            </w:r>
          </w:p>
        </w:tc>
      </w:tr>
      <w:tr w:rsidR="0027513D" w:rsidRPr="00FB38E1" w14:paraId="4319B160" w14:textId="77777777" w:rsidTr="00733EB0">
        <w:trPr>
          <w:trHeight w:val="170"/>
        </w:trPr>
        <w:tc>
          <w:tcPr>
            <w:tcW w:w="198" w:type="pct"/>
            <w:tcMar>
              <w:left w:w="57" w:type="dxa"/>
              <w:right w:w="57" w:type="dxa"/>
            </w:tcMar>
            <w:vAlign w:val="bottom"/>
          </w:tcPr>
          <w:p w14:paraId="16AF5490" w14:textId="17FACA4E"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IV.</w:t>
            </w:r>
          </w:p>
        </w:tc>
        <w:tc>
          <w:tcPr>
            <w:tcW w:w="1730" w:type="pct"/>
            <w:tcMar>
              <w:left w:w="57" w:type="dxa"/>
              <w:right w:w="57" w:type="dxa"/>
            </w:tcMar>
            <w:vAlign w:val="bottom"/>
          </w:tcPr>
          <w:p w14:paraId="5F4BD168" w14:textId="424BD3AB"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ORTAKLIK YATIRIMLARI</w:t>
            </w:r>
          </w:p>
        </w:tc>
        <w:tc>
          <w:tcPr>
            <w:tcW w:w="359" w:type="pct"/>
            <w:tcMar>
              <w:left w:w="57" w:type="dxa"/>
              <w:right w:w="57" w:type="dxa"/>
            </w:tcMar>
            <w:vAlign w:val="bottom"/>
          </w:tcPr>
          <w:p w14:paraId="7AAD6C5A" w14:textId="685A5C8F"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8273172" w14:textId="403A62E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37.737.988</w:t>
            </w:r>
          </w:p>
        </w:tc>
        <w:tc>
          <w:tcPr>
            <w:tcW w:w="466" w:type="pct"/>
            <w:vAlign w:val="bottom"/>
          </w:tcPr>
          <w:p w14:paraId="22A0BAD5" w14:textId="08353BE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51.006.444</w:t>
            </w:r>
          </w:p>
        </w:tc>
        <w:tc>
          <w:tcPr>
            <w:tcW w:w="511" w:type="pct"/>
            <w:vAlign w:val="bottom"/>
          </w:tcPr>
          <w:p w14:paraId="0B2C3DBF" w14:textId="69EE474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88.744.432</w:t>
            </w:r>
          </w:p>
        </w:tc>
        <w:tc>
          <w:tcPr>
            <w:tcW w:w="406" w:type="pct"/>
            <w:tcMar>
              <w:left w:w="57" w:type="dxa"/>
              <w:right w:w="57" w:type="dxa"/>
            </w:tcMar>
            <w:vAlign w:val="bottom"/>
          </w:tcPr>
          <w:p w14:paraId="6A22B646" w14:textId="0B6AB23C"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21.407.821</w:t>
            </w:r>
          </w:p>
        </w:tc>
        <w:tc>
          <w:tcPr>
            <w:tcW w:w="413" w:type="pct"/>
            <w:tcMar>
              <w:left w:w="57" w:type="dxa"/>
              <w:right w:w="57" w:type="dxa"/>
            </w:tcMar>
            <w:vAlign w:val="bottom"/>
          </w:tcPr>
          <w:p w14:paraId="50B785C1" w14:textId="373FDDA4"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47.721.089</w:t>
            </w:r>
          </w:p>
        </w:tc>
        <w:tc>
          <w:tcPr>
            <w:tcW w:w="458" w:type="pct"/>
            <w:tcMar>
              <w:left w:w="57" w:type="dxa"/>
              <w:right w:w="57" w:type="dxa"/>
            </w:tcMar>
            <w:vAlign w:val="bottom"/>
          </w:tcPr>
          <w:p w14:paraId="2B930D4A" w14:textId="705656DC"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69.128.910</w:t>
            </w:r>
          </w:p>
        </w:tc>
      </w:tr>
      <w:tr w:rsidR="0027513D" w:rsidRPr="00FB38E1" w14:paraId="2F5A292E" w14:textId="77777777" w:rsidTr="00733EB0">
        <w:trPr>
          <w:trHeight w:val="170"/>
        </w:trPr>
        <w:tc>
          <w:tcPr>
            <w:tcW w:w="198" w:type="pct"/>
            <w:tcMar>
              <w:left w:w="57" w:type="dxa"/>
              <w:right w:w="57" w:type="dxa"/>
            </w:tcMar>
            <w:vAlign w:val="bottom"/>
          </w:tcPr>
          <w:p w14:paraId="4BB68DD6" w14:textId="20917026"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4.1</w:t>
            </w:r>
          </w:p>
        </w:tc>
        <w:tc>
          <w:tcPr>
            <w:tcW w:w="1730" w:type="pct"/>
            <w:tcMar>
              <w:left w:w="57" w:type="dxa"/>
              <w:right w:w="57" w:type="dxa"/>
            </w:tcMar>
            <w:vAlign w:val="bottom"/>
          </w:tcPr>
          <w:p w14:paraId="356C1C0A" w14:textId="30799C3D"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xml:space="preserve">İştirakler (Net)  </w:t>
            </w:r>
          </w:p>
        </w:tc>
        <w:tc>
          <w:tcPr>
            <w:tcW w:w="359" w:type="pct"/>
            <w:tcMar>
              <w:left w:w="57" w:type="dxa"/>
              <w:right w:w="57" w:type="dxa"/>
            </w:tcMar>
            <w:vAlign w:val="bottom"/>
          </w:tcPr>
          <w:p w14:paraId="0F7C888C" w14:textId="01D45A7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(5.I.f)</w:t>
            </w:r>
          </w:p>
        </w:tc>
        <w:tc>
          <w:tcPr>
            <w:tcW w:w="459" w:type="pct"/>
            <w:vAlign w:val="bottom"/>
          </w:tcPr>
          <w:p w14:paraId="0D4CBD05" w14:textId="6539665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24.968</w:t>
            </w:r>
          </w:p>
        </w:tc>
        <w:tc>
          <w:tcPr>
            <w:tcW w:w="466" w:type="pct"/>
            <w:vAlign w:val="bottom"/>
          </w:tcPr>
          <w:p w14:paraId="53FC2AC1" w14:textId="512629D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0C0101F6" w14:textId="0875FFF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24.968</w:t>
            </w:r>
          </w:p>
        </w:tc>
        <w:tc>
          <w:tcPr>
            <w:tcW w:w="406" w:type="pct"/>
            <w:tcMar>
              <w:left w:w="57" w:type="dxa"/>
              <w:right w:w="57" w:type="dxa"/>
            </w:tcMar>
            <w:vAlign w:val="bottom"/>
          </w:tcPr>
          <w:p w14:paraId="378F1F54" w14:textId="0780D16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22.268</w:t>
            </w:r>
          </w:p>
        </w:tc>
        <w:tc>
          <w:tcPr>
            <w:tcW w:w="413" w:type="pct"/>
            <w:tcMar>
              <w:left w:w="57" w:type="dxa"/>
              <w:right w:w="57" w:type="dxa"/>
            </w:tcMar>
            <w:vAlign w:val="bottom"/>
          </w:tcPr>
          <w:p w14:paraId="08B1A366" w14:textId="21969E8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21D63747" w14:textId="5F55F48C"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22.268</w:t>
            </w:r>
          </w:p>
        </w:tc>
      </w:tr>
      <w:tr w:rsidR="0027513D" w:rsidRPr="00FB38E1" w14:paraId="33B94267" w14:textId="77777777" w:rsidTr="00733EB0">
        <w:trPr>
          <w:trHeight w:val="170"/>
        </w:trPr>
        <w:tc>
          <w:tcPr>
            <w:tcW w:w="198" w:type="pct"/>
            <w:tcMar>
              <w:left w:w="57" w:type="dxa"/>
              <w:right w:w="57" w:type="dxa"/>
            </w:tcMar>
            <w:vAlign w:val="bottom"/>
          </w:tcPr>
          <w:p w14:paraId="30EA9B3C" w14:textId="70ECD91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4.1.1</w:t>
            </w:r>
          </w:p>
        </w:tc>
        <w:tc>
          <w:tcPr>
            <w:tcW w:w="1730" w:type="pct"/>
            <w:tcMar>
              <w:left w:w="57" w:type="dxa"/>
              <w:right w:w="57" w:type="dxa"/>
            </w:tcMar>
            <w:vAlign w:val="bottom"/>
          </w:tcPr>
          <w:p w14:paraId="33521840" w14:textId="5C92652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Özkaynak Yöntemine Göre Değerlenenler</w:t>
            </w:r>
          </w:p>
        </w:tc>
        <w:tc>
          <w:tcPr>
            <w:tcW w:w="359" w:type="pct"/>
            <w:tcMar>
              <w:left w:w="57" w:type="dxa"/>
              <w:right w:w="57" w:type="dxa"/>
            </w:tcMar>
            <w:vAlign w:val="bottom"/>
          </w:tcPr>
          <w:p w14:paraId="6F7925B7" w14:textId="5B3A192E"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28DD833" w14:textId="5512F53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56ABF325" w14:textId="2C2D9D7E"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1D9BAB62" w14:textId="296620E2"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15A8CEDA" w14:textId="657D261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08142DEE" w14:textId="26DDF1D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0932C7CD" w14:textId="5AACCB6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r>
      <w:tr w:rsidR="0027513D" w:rsidRPr="00FB38E1" w14:paraId="257FA628" w14:textId="77777777" w:rsidTr="00733EB0">
        <w:trPr>
          <w:trHeight w:val="170"/>
        </w:trPr>
        <w:tc>
          <w:tcPr>
            <w:tcW w:w="198" w:type="pct"/>
            <w:tcMar>
              <w:left w:w="57" w:type="dxa"/>
              <w:right w:w="57" w:type="dxa"/>
            </w:tcMar>
            <w:vAlign w:val="bottom"/>
          </w:tcPr>
          <w:p w14:paraId="653532EC" w14:textId="5F5FC6D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4.1.2</w:t>
            </w:r>
          </w:p>
        </w:tc>
        <w:tc>
          <w:tcPr>
            <w:tcW w:w="1730" w:type="pct"/>
            <w:tcMar>
              <w:left w:w="57" w:type="dxa"/>
              <w:right w:w="57" w:type="dxa"/>
            </w:tcMar>
            <w:vAlign w:val="bottom"/>
          </w:tcPr>
          <w:p w14:paraId="44EF68D7" w14:textId="664C77E0"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 xml:space="preserve">Konsolide Edilmeyenler </w:t>
            </w:r>
          </w:p>
        </w:tc>
        <w:tc>
          <w:tcPr>
            <w:tcW w:w="359" w:type="pct"/>
            <w:tcMar>
              <w:left w:w="57" w:type="dxa"/>
              <w:right w:w="57" w:type="dxa"/>
            </w:tcMar>
            <w:vAlign w:val="bottom"/>
          </w:tcPr>
          <w:p w14:paraId="2F95E988" w14:textId="5EE4D426"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9AB02B8" w14:textId="2FB29AC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24.968</w:t>
            </w:r>
          </w:p>
        </w:tc>
        <w:tc>
          <w:tcPr>
            <w:tcW w:w="466" w:type="pct"/>
            <w:vAlign w:val="bottom"/>
          </w:tcPr>
          <w:p w14:paraId="409416A6" w14:textId="0286215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0C35B4ED" w14:textId="7F56E718"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24.968</w:t>
            </w:r>
          </w:p>
        </w:tc>
        <w:tc>
          <w:tcPr>
            <w:tcW w:w="406" w:type="pct"/>
            <w:tcMar>
              <w:left w:w="57" w:type="dxa"/>
              <w:right w:w="57" w:type="dxa"/>
            </w:tcMar>
            <w:vAlign w:val="bottom"/>
          </w:tcPr>
          <w:p w14:paraId="252CCFB0" w14:textId="66584C0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22.268</w:t>
            </w:r>
          </w:p>
        </w:tc>
        <w:tc>
          <w:tcPr>
            <w:tcW w:w="413" w:type="pct"/>
            <w:tcMar>
              <w:left w:w="57" w:type="dxa"/>
              <w:right w:w="57" w:type="dxa"/>
            </w:tcMar>
            <w:vAlign w:val="bottom"/>
          </w:tcPr>
          <w:p w14:paraId="43285F24" w14:textId="5C6345B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7ED6B780" w14:textId="4F26BF0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22.268</w:t>
            </w:r>
          </w:p>
        </w:tc>
      </w:tr>
      <w:tr w:rsidR="0027513D" w:rsidRPr="00FB38E1" w14:paraId="333FEC4B" w14:textId="77777777" w:rsidTr="00733EB0">
        <w:trPr>
          <w:trHeight w:val="170"/>
        </w:trPr>
        <w:tc>
          <w:tcPr>
            <w:tcW w:w="198" w:type="pct"/>
            <w:tcMar>
              <w:left w:w="57" w:type="dxa"/>
              <w:right w:w="57" w:type="dxa"/>
            </w:tcMar>
            <w:vAlign w:val="bottom"/>
          </w:tcPr>
          <w:p w14:paraId="2D160BC6" w14:textId="6DF1DB10"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4.2</w:t>
            </w:r>
          </w:p>
        </w:tc>
        <w:tc>
          <w:tcPr>
            <w:tcW w:w="1730" w:type="pct"/>
            <w:tcMar>
              <w:left w:w="57" w:type="dxa"/>
              <w:right w:w="57" w:type="dxa"/>
            </w:tcMar>
            <w:vAlign w:val="bottom"/>
          </w:tcPr>
          <w:p w14:paraId="41CE6A18" w14:textId="7E71B6CD"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xml:space="preserve">Bağlı Ortaklıklar  (Net) </w:t>
            </w:r>
          </w:p>
        </w:tc>
        <w:tc>
          <w:tcPr>
            <w:tcW w:w="359" w:type="pct"/>
            <w:tcMar>
              <w:left w:w="57" w:type="dxa"/>
              <w:right w:w="57" w:type="dxa"/>
            </w:tcMar>
            <w:vAlign w:val="bottom"/>
          </w:tcPr>
          <w:p w14:paraId="26C8F948" w14:textId="64C542E0"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(5.I.g)</w:t>
            </w:r>
          </w:p>
        </w:tc>
        <w:tc>
          <w:tcPr>
            <w:tcW w:w="459" w:type="pct"/>
            <w:vAlign w:val="bottom"/>
          </w:tcPr>
          <w:p w14:paraId="2BBCA9A1" w14:textId="60E1A54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37.710.220</w:t>
            </w:r>
          </w:p>
        </w:tc>
        <w:tc>
          <w:tcPr>
            <w:tcW w:w="466" w:type="pct"/>
            <w:vAlign w:val="bottom"/>
          </w:tcPr>
          <w:p w14:paraId="7FC4439A" w14:textId="19B408D8"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51.006.444</w:t>
            </w:r>
          </w:p>
        </w:tc>
        <w:tc>
          <w:tcPr>
            <w:tcW w:w="511" w:type="pct"/>
            <w:vAlign w:val="bottom"/>
          </w:tcPr>
          <w:p w14:paraId="27625B0A" w14:textId="3E2A0A2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88.716.664</w:t>
            </w:r>
          </w:p>
        </w:tc>
        <w:tc>
          <w:tcPr>
            <w:tcW w:w="406" w:type="pct"/>
            <w:tcMar>
              <w:left w:w="57" w:type="dxa"/>
              <w:right w:w="57" w:type="dxa"/>
            </w:tcMar>
            <w:vAlign w:val="bottom"/>
          </w:tcPr>
          <w:p w14:paraId="070FFB7A" w14:textId="7D2DF89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21.382.753</w:t>
            </w:r>
          </w:p>
        </w:tc>
        <w:tc>
          <w:tcPr>
            <w:tcW w:w="413" w:type="pct"/>
            <w:tcMar>
              <w:left w:w="57" w:type="dxa"/>
              <w:right w:w="57" w:type="dxa"/>
            </w:tcMar>
            <w:vAlign w:val="bottom"/>
          </w:tcPr>
          <w:p w14:paraId="0B2F3344" w14:textId="5FABF2A7"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47.721.089</w:t>
            </w:r>
          </w:p>
        </w:tc>
        <w:tc>
          <w:tcPr>
            <w:tcW w:w="458" w:type="pct"/>
            <w:tcMar>
              <w:left w:w="57" w:type="dxa"/>
              <w:right w:w="57" w:type="dxa"/>
            </w:tcMar>
            <w:vAlign w:val="bottom"/>
          </w:tcPr>
          <w:p w14:paraId="2CCE772B" w14:textId="3840273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69.103.842</w:t>
            </w:r>
          </w:p>
        </w:tc>
      </w:tr>
      <w:tr w:rsidR="0027513D" w:rsidRPr="00FB38E1" w14:paraId="4EE741D4" w14:textId="77777777" w:rsidTr="00733EB0">
        <w:trPr>
          <w:trHeight w:val="170"/>
        </w:trPr>
        <w:tc>
          <w:tcPr>
            <w:tcW w:w="198" w:type="pct"/>
            <w:tcMar>
              <w:left w:w="57" w:type="dxa"/>
              <w:right w:w="57" w:type="dxa"/>
            </w:tcMar>
            <w:vAlign w:val="bottom"/>
          </w:tcPr>
          <w:p w14:paraId="3658C79F" w14:textId="7BE1BDE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4.2.1</w:t>
            </w:r>
          </w:p>
        </w:tc>
        <w:tc>
          <w:tcPr>
            <w:tcW w:w="1730" w:type="pct"/>
            <w:tcMar>
              <w:left w:w="57" w:type="dxa"/>
              <w:right w:w="57" w:type="dxa"/>
            </w:tcMar>
            <w:vAlign w:val="bottom"/>
          </w:tcPr>
          <w:p w14:paraId="06EEF874" w14:textId="6143BCC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Konsolide Edilmeyen Mali Ortaklıklar</w:t>
            </w:r>
          </w:p>
        </w:tc>
        <w:tc>
          <w:tcPr>
            <w:tcW w:w="359" w:type="pct"/>
            <w:tcMar>
              <w:left w:w="57" w:type="dxa"/>
              <w:right w:w="57" w:type="dxa"/>
            </w:tcMar>
            <w:vAlign w:val="bottom"/>
          </w:tcPr>
          <w:p w14:paraId="18BE3DE1" w14:textId="51140EB5"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7D6CCD37" w14:textId="5D8ED038"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25.361.220</w:t>
            </w:r>
          </w:p>
        </w:tc>
        <w:tc>
          <w:tcPr>
            <w:tcW w:w="466" w:type="pct"/>
            <w:vAlign w:val="bottom"/>
          </w:tcPr>
          <w:p w14:paraId="5209A7C0" w14:textId="311A8B6F"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51.006.444</w:t>
            </w:r>
          </w:p>
        </w:tc>
        <w:tc>
          <w:tcPr>
            <w:tcW w:w="511" w:type="pct"/>
            <w:vAlign w:val="bottom"/>
          </w:tcPr>
          <w:p w14:paraId="57754964" w14:textId="2CD0382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76.367.664</w:t>
            </w:r>
          </w:p>
        </w:tc>
        <w:tc>
          <w:tcPr>
            <w:tcW w:w="406" w:type="pct"/>
            <w:tcMar>
              <w:left w:w="57" w:type="dxa"/>
              <w:right w:w="57" w:type="dxa"/>
            </w:tcMar>
            <w:vAlign w:val="bottom"/>
          </w:tcPr>
          <w:p w14:paraId="55589C01" w14:textId="0AD29C1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13.127.282</w:t>
            </w:r>
          </w:p>
        </w:tc>
        <w:tc>
          <w:tcPr>
            <w:tcW w:w="413" w:type="pct"/>
            <w:tcMar>
              <w:left w:w="57" w:type="dxa"/>
              <w:right w:w="57" w:type="dxa"/>
            </w:tcMar>
            <w:vAlign w:val="bottom"/>
          </w:tcPr>
          <w:p w14:paraId="4365C634" w14:textId="4FB8E28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47.721.089</w:t>
            </w:r>
          </w:p>
        </w:tc>
        <w:tc>
          <w:tcPr>
            <w:tcW w:w="458" w:type="pct"/>
            <w:tcMar>
              <w:left w:w="57" w:type="dxa"/>
              <w:right w:w="57" w:type="dxa"/>
            </w:tcMar>
            <w:vAlign w:val="bottom"/>
          </w:tcPr>
          <w:p w14:paraId="32718BB0" w14:textId="28789C1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60.848.371</w:t>
            </w:r>
          </w:p>
        </w:tc>
      </w:tr>
      <w:tr w:rsidR="0027513D" w:rsidRPr="00FB38E1" w14:paraId="4BF111F0" w14:textId="77777777" w:rsidTr="00733EB0">
        <w:trPr>
          <w:trHeight w:val="170"/>
        </w:trPr>
        <w:tc>
          <w:tcPr>
            <w:tcW w:w="198" w:type="pct"/>
            <w:tcMar>
              <w:left w:w="57" w:type="dxa"/>
              <w:right w:w="57" w:type="dxa"/>
            </w:tcMar>
            <w:vAlign w:val="bottom"/>
          </w:tcPr>
          <w:p w14:paraId="18D54EAA" w14:textId="023AB39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4.2.2</w:t>
            </w:r>
          </w:p>
        </w:tc>
        <w:tc>
          <w:tcPr>
            <w:tcW w:w="1730" w:type="pct"/>
            <w:tcMar>
              <w:left w:w="57" w:type="dxa"/>
              <w:right w:w="57" w:type="dxa"/>
            </w:tcMar>
            <w:vAlign w:val="bottom"/>
          </w:tcPr>
          <w:p w14:paraId="4A3791C5" w14:textId="369925AC"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Konsolide Edilmeyen Mali Olmayan Ortaklıklar</w:t>
            </w:r>
          </w:p>
        </w:tc>
        <w:tc>
          <w:tcPr>
            <w:tcW w:w="359" w:type="pct"/>
            <w:tcMar>
              <w:left w:w="57" w:type="dxa"/>
              <w:right w:w="57" w:type="dxa"/>
            </w:tcMar>
            <w:vAlign w:val="bottom"/>
          </w:tcPr>
          <w:p w14:paraId="50E00D61" w14:textId="5BC1FC9F"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E3FFA2E" w14:textId="7204CE12"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12.349.000</w:t>
            </w:r>
          </w:p>
        </w:tc>
        <w:tc>
          <w:tcPr>
            <w:tcW w:w="466" w:type="pct"/>
            <w:vAlign w:val="bottom"/>
          </w:tcPr>
          <w:p w14:paraId="076DA54F" w14:textId="084CF0F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146B7F13" w14:textId="3CFB240A"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12.349.000</w:t>
            </w:r>
          </w:p>
        </w:tc>
        <w:tc>
          <w:tcPr>
            <w:tcW w:w="406" w:type="pct"/>
            <w:tcMar>
              <w:left w:w="57" w:type="dxa"/>
              <w:right w:w="57" w:type="dxa"/>
            </w:tcMar>
            <w:vAlign w:val="bottom"/>
          </w:tcPr>
          <w:p w14:paraId="3E6E21C6" w14:textId="0A9CE74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8.255.471</w:t>
            </w:r>
          </w:p>
        </w:tc>
        <w:tc>
          <w:tcPr>
            <w:tcW w:w="413" w:type="pct"/>
            <w:tcMar>
              <w:left w:w="57" w:type="dxa"/>
              <w:right w:w="57" w:type="dxa"/>
            </w:tcMar>
            <w:vAlign w:val="bottom"/>
          </w:tcPr>
          <w:p w14:paraId="2212731C" w14:textId="513A30A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38D6CC45" w14:textId="2B07836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8.255.471</w:t>
            </w:r>
          </w:p>
        </w:tc>
      </w:tr>
      <w:tr w:rsidR="0027513D" w:rsidRPr="00FB38E1" w14:paraId="123E69CA" w14:textId="77777777" w:rsidTr="00733EB0">
        <w:trPr>
          <w:trHeight w:val="170"/>
        </w:trPr>
        <w:tc>
          <w:tcPr>
            <w:tcW w:w="198" w:type="pct"/>
            <w:tcMar>
              <w:left w:w="57" w:type="dxa"/>
              <w:right w:w="57" w:type="dxa"/>
            </w:tcMar>
            <w:vAlign w:val="bottom"/>
          </w:tcPr>
          <w:p w14:paraId="7A49FD33" w14:textId="395CFDC5"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4.3</w:t>
            </w:r>
          </w:p>
        </w:tc>
        <w:tc>
          <w:tcPr>
            <w:tcW w:w="1730" w:type="pct"/>
            <w:tcMar>
              <w:left w:w="57" w:type="dxa"/>
              <w:right w:w="57" w:type="dxa"/>
            </w:tcMar>
            <w:vAlign w:val="bottom"/>
          </w:tcPr>
          <w:p w14:paraId="038385A4" w14:textId="374CB09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 xml:space="preserve">Birlikte Kontrol Edilen Ortaklıklar (İş Ortaklıkları) (Net)  </w:t>
            </w:r>
          </w:p>
        </w:tc>
        <w:tc>
          <w:tcPr>
            <w:tcW w:w="359" w:type="pct"/>
            <w:tcMar>
              <w:left w:w="57" w:type="dxa"/>
              <w:right w:w="57" w:type="dxa"/>
            </w:tcMar>
            <w:vAlign w:val="bottom"/>
          </w:tcPr>
          <w:p w14:paraId="67AA9EA5" w14:textId="6217AAFB"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(5.I.h)</w:t>
            </w:r>
          </w:p>
        </w:tc>
        <w:tc>
          <w:tcPr>
            <w:tcW w:w="459" w:type="pct"/>
            <w:vAlign w:val="bottom"/>
          </w:tcPr>
          <w:p w14:paraId="6608FE85" w14:textId="395C94F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2.800</w:t>
            </w:r>
          </w:p>
        </w:tc>
        <w:tc>
          <w:tcPr>
            <w:tcW w:w="466" w:type="pct"/>
            <w:vAlign w:val="bottom"/>
          </w:tcPr>
          <w:p w14:paraId="0219161A" w14:textId="2E283C12"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1771987F" w14:textId="7377FDE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2.800</w:t>
            </w:r>
          </w:p>
        </w:tc>
        <w:tc>
          <w:tcPr>
            <w:tcW w:w="406" w:type="pct"/>
            <w:tcMar>
              <w:left w:w="57" w:type="dxa"/>
              <w:right w:w="57" w:type="dxa"/>
            </w:tcMar>
            <w:vAlign w:val="bottom"/>
          </w:tcPr>
          <w:p w14:paraId="17951761" w14:textId="1F03899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2.800</w:t>
            </w:r>
          </w:p>
        </w:tc>
        <w:tc>
          <w:tcPr>
            <w:tcW w:w="413" w:type="pct"/>
            <w:tcMar>
              <w:left w:w="57" w:type="dxa"/>
              <w:right w:w="57" w:type="dxa"/>
            </w:tcMar>
            <w:vAlign w:val="bottom"/>
          </w:tcPr>
          <w:p w14:paraId="4DAEAC3E" w14:textId="4AD811F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4112B5B8" w14:textId="637E0A4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2.800</w:t>
            </w:r>
          </w:p>
        </w:tc>
      </w:tr>
      <w:tr w:rsidR="0027513D" w:rsidRPr="00FB38E1" w14:paraId="46F9EBDD" w14:textId="77777777" w:rsidTr="00733EB0">
        <w:trPr>
          <w:trHeight w:val="170"/>
        </w:trPr>
        <w:tc>
          <w:tcPr>
            <w:tcW w:w="198" w:type="pct"/>
            <w:tcMar>
              <w:left w:w="57" w:type="dxa"/>
              <w:right w:w="57" w:type="dxa"/>
            </w:tcMar>
            <w:vAlign w:val="bottom"/>
          </w:tcPr>
          <w:p w14:paraId="7F6D336F" w14:textId="3C4913C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4.3.1</w:t>
            </w:r>
          </w:p>
        </w:tc>
        <w:tc>
          <w:tcPr>
            <w:tcW w:w="1730" w:type="pct"/>
            <w:tcMar>
              <w:left w:w="57" w:type="dxa"/>
              <w:right w:w="57" w:type="dxa"/>
            </w:tcMar>
            <w:vAlign w:val="bottom"/>
          </w:tcPr>
          <w:p w14:paraId="1B5B2D5A" w14:textId="6F630320"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Özkaynak Yöntemine Göre Değerlenenler</w:t>
            </w:r>
          </w:p>
        </w:tc>
        <w:tc>
          <w:tcPr>
            <w:tcW w:w="359" w:type="pct"/>
            <w:tcMar>
              <w:left w:w="57" w:type="dxa"/>
              <w:right w:w="57" w:type="dxa"/>
            </w:tcMar>
            <w:vAlign w:val="bottom"/>
          </w:tcPr>
          <w:p w14:paraId="13E78B46" w14:textId="1C9771CB"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5C4B0EE0" w14:textId="09C01C4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46869AD7" w14:textId="357FCBC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34EF006D" w14:textId="01C1F1E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34D6AB09" w14:textId="3892CC2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2A6C515C" w14:textId="1C51A93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187A0F24" w14:textId="44586D2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r>
      <w:tr w:rsidR="0027513D" w:rsidRPr="00FB38E1" w14:paraId="4BD124CC" w14:textId="77777777" w:rsidTr="00733EB0">
        <w:trPr>
          <w:trHeight w:val="170"/>
        </w:trPr>
        <w:tc>
          <w:tcPr>
            <w:tcW w:w="198" w:type="pct"/>
            <w:tcMar>
              <w:left w:w="57" w:type="dxa"/>
              <w:right w:w="57" w:type="dxa"/>
            </w:tcMar>
            <w:vAlign w:val="bottom"/>
          </w:tcPr>
          <w:p w14:paraId="7CDA4B6F" w14:textId="5E4121A1"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4.3.2</w:t>
            </w:r>
          </w:p>
        </w:tc>
        <w:tc>
          <w:tcPr>
            <w:tcW w:w="1730" w:type="pct"/>
            <w:tcMar>
              <w:left w:w="57" w:type="dxa"/>
              <w:right w:w="57" w:type="dxa"/>
            </w:tcMar>
            <w:vAlign w:val="bottom"/>
          </w:tcPr>
          <w:p w14:paraId="5D8CCC78" w14:textId="2A7D3F2E"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 xml:space="preserve">Konsolide Edilmeyenler </w:t>
            </w:r>
          </w:p>
        </w:tc>
        <w:tc>
          <w:tcPr>
            <w:tcW w:w="359" w:type="pct"/>
            <w:tcMar>
              <w:left w:w="57" w:type="dxa"/>
              <w:right w:w="57" w:type="dxa"/>
            </w:tcMar>
            <w:vAlign w:val="bottom"/>
          </w:tcPr>
          <w:p w14:paraId="7D8D0E34" w14:textId="78F5423F"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808DF05" w14:textId="617446A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2.800</w:t>
            </w:r>
          </w:p>
        </w:tc>
        <w:tc>
          <w:tcPr>
            <w:tcW w:w="466" w:type="pct"/>
            <w:vAlign w:val="bottom"/>
          </w:tcPr>
          <w:p w14:paraId="1760A5CD" w14:textId="0887403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71C55AEC" w14:textId="3C9A191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2.800</w:t>
            </w:r>
          </w:p>
        </w:tc>
        <w:tc>
          <w:tcPr>
            <w:tcW w:w="406" w:type="pct"/>
            <w:tcMar>
              <w:left w:w="57" w:type="dxa"/>
              <w:right w:w="57" w:type="dxa"/>
            </w:tcMar>
            <w:vAlign w:val="bottom"/>
          </w:tcPr>
          <w:p w14:paraId="2766CF56" w14:textId="340D4F5C"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2.800</w:t>
            </w:r>
          </w:p>
        </w:tc>
        <w:tc>
          <w:tcPr>
            <w:tcW w:w="413" w:type="pct"/>
            <w:tcMar>
              <w:left w:w="57" w:type="dxa"/>
              <w:right w:w="57" w:type="dxa"/>
            </w:tcMar>
            <w:vAlign w:val="bottom"/>
          </w:tcPr>
          <w:p w14:paraId="2E2CE631" w14:textId="0A829C9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0B87B860" w14:textId="592DBE9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2.800</w:t>
            </w:r>
          </w:p>
        </w:tc>
      </w:tr>
      <w:tr w:rsidR="0027513D" w:rsidRPr="00FB38E1" w14:paraId="470ACB72" w14:textId="77777777" w:rsidTr="00733EB0">
        <w:trPr>
          <w:trHeight w:val="170"/>
        </w:trPr>
        <w:tc>
          <w:tcPr>
            <w:tcW w:w="198" w:type="pct"/>
            <w:tcMar>
              <w:left w:w="57" w:type="dxa"/>
              <w:right w:w="57" w:type="dxa"/>
            </w:tcMar>
            <w:vAlign w:val="bottom"/>
          </w:tcPr>
          <w:p w14:paraId="317D8CE8" w14:textId="3264668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V.</w:t>
            </w:r>
          </w:p>
        </w:tc>
        <w:tc>
          <w:tcPr>
            <w:tcW w:w="1730" w:type="pct"/>
            <w:tcMar>
              <w:left w:w="57" w:type="dxa"/>
              <w:right w:w="57" w:type="dxa"/>
            </w:tcMar>
            <w:vAlign w:val="bottom"/>
          </w:tcPr>
          <w:p w14:paraId="38937A92" w14:textId="2813B7D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 xml:space="preserve">MADDİ DURAN VARLIKLAR (Net) </w:t>
            </w:r>
          </w:p>
        </w:tc>
        <w:tc>
          <w:tcPr>
            <w:tcW w:w="359" w:type="pct"/>
            <w:tcMar>
              <w:left w:w="57" w:type="dxa"/>
              <w:right w:w="57" w:type="dxa"/>
            </w:tcMar>
            <w:vAlign w:val="bottom"/>
          </w:tcPr>
          <w:p w14:paraId="0CD20829" w14:textId="410748C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(5.I.k)</w:t>
            </w:r>
          </w:p>
        </w:tc>
        <w:tc>
          <w:tcPr>
            <w:tcW w:w="459" w:type="pct"/>
            <w:vAlign w:val="bottom"/>
          </w:tcPr>
          <w:p w14:paraId="5649C3B1" w14:textId="70E4F90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18.347.221</w:t>
            </w:r>
          </w:p>
        </w:tc>
        <w:tc>
          <w:tcPr>
            <w:tcW w:w="466" w:type="pct"/>
            <w:vAlign w:val="bottom"/>
          </w:tcPr>
          <w:p w14:paraId="66E54EBD" w14:textId="21069FB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103</w:t>
            </w:r>
          </w:p>
        </w:tc>
        <w:tc>
          <w:tcPr>
            <w:tcW w:w="511" w:type="pct"/>
            <w:vAlign w:val="bottom"/>
          </w:tcPr>
          <w:p w14:paraId="060AA904" w14:textId="064D0908"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18.347.324</w:t>
            </w:r>
          </w:p>
        </w:tc>
        <w:tc>
          <w:tcPr>
            <w:tcW w:w="406" w:type="pct"/>
            <w:tcMar>
              <w:left w:w="57" w:type="dxa"/>
              <w:right w:w="57" w:type="dxa"/>
            </w:tcMar>
            <w:vAlign w:val="bottom"/>
          </w:tcPr>
          <w:p w14:paraId="708FCD8E" w14:textId="61B2F30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2.268.432</w:t>
            </w:r>
          </w:p>
        </w:tc>
        <w:tc>
          <w:tcPr>
            <w:tcW w:w="413" w:type="pct"/>
            <w:tcMar>
              <w:left w:w="57" w:type="dxa"/>
              <w:right w:w="57" w:type="dxa"/>
            </w:tcMar>
            <w:vAlign w:val="bottom"/>
          </w:tcPr>
          <w:p w14:paraId="57CDB76C" w14:textId="39912A9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1.348</w:t>
            </w:r>
          </w:p>
        </w:tc>
        <w:tc>
          <w:tcPr>
            <w:tcW w:w="458" w:type="pct"/>
            <w:tcMar>
              <w:left w:w="57" w:type="dxa"/>
              <w:right w:w="57" w:type="dxa"/>
            </w:tcMar>
            <w:vAlign w:val="bottom"/>
          </w:tcPr>
          <w:p w14:paraId="0A028760" w14:textId="17024A9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2.269.780</w:t>
            </w:r>
          </w:p>
        </w:tc>
      </w:tr>
      <w:tr w:rsidR="0027513D" w:rsidRPr="00FB38E1" w14:paraId="016DAAC0" w14:textId="77777777" w:rsidTr="00733EB0">
        <w:trPr>
          <w:trHeight w:val="170"/>
        </w:trPr>
        <w:tc>
          <w:tcPr>
            <w:tcW w:w="198" w:type="pct"/>
            <w:tcMar>
              <w:left w:w="57" w:type="dxa"/>
              <w:right w:w="57" w:type="dxa"/>
            </w:tcMar>
            <w:vAlign w:val="bottom"/>
          </w:tcPr>
          <w:p w14:paraId="042BAE7B" w14:textId="65EC53E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VI.</w:t>
            </w:r>
          </w:p>
        </w:tc>
        <w:tc>
          <w:tcPr>
            <w:tcW w:w="1730" w:type="pct"/>
            <w:tcMar>
              <w:left w:w="57" w:type="dxa"/>
              <w:right w:w="57" w:type="dxa"/>
            </w:tcMar>
            <w:vAlign w:val="bottom"/>
          </w:tcPr>
          <w:p w14:paraId="1AD164E6" w14:textId="0311BB6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MADDİ OLMAYAN DURAN VARLIKLAR (Net)</w:t>
            </w:r>
          </w:p>
        </w:tc>
        <w:tc>
          <w:tcPr>
            <w:tcW w:w="359" w:type="pct"/>
            <w:tcMar>
              <w:left w:w="57" w:type="dxa"/>
              <w:right w:w="57" w:type="dxa"/>
            </w:tcMar>
            <w:vAlign w:val="bottom"/>
          </w:tcPr>
          <w:p w14:paraId="6E189894" w14:textId="4F7F11B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(5.I.l)</w:t>
            </w:r>
          </w:p>
        </w:tc>
        <w:tc>
          <w:tcPr>
            <w:tcW w:w="459" w:type="pct"/>
            <w:vAlign w:val="bottom"/>
          </w:tcPr>
          <w:p w14:paraId="1D4E1F2D" w14:textId="093EF6D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4.865.774</w:t>
            </w:r>
          </w:p>
        </w:tc>
        <w:tc>
          <w:tcPr>
            <w:tcW w:w="466" w:type="pct"/>
            <w:vAlign w:val="bottom"/>
          </w:tcPr>
          <w:p w14:paraId="590ED052" w14:textId="687B8350"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285AC4DD" w14:textId="1E052AE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4.865.774</w:t>
            </w:r>
          </w:p>
        </w:tc>
        <w:tc>
          <w:tcPr>
            <w:tcW w:w="406" w:type="pct"/>
            <w:tcMar>
              <w:left w:w="57" w:type="dxa"/>
              <w:right w:w="57" w:type="dxa"/>
            </w:tcMar>
            <w:vAlign w:val="bottom"/>
          </w:tcPr>
          <w:p w14:paraId="40A25B7A" w14:textId="70B959E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2.283.719</w:t>
            </w:r>
          </w:p>
        </w:tc>
        <w:tc>
          <w:tcPr>
            <w:tcW w:w="413" w:type="pct"/>
            <w:tcMar>
              <w:left w:w="57" w:type="dxa"/>
              <w:right w:w="57" w:type="dxa"/>
            </w:tcMar>
            <w:vAlign w:val="bottom"/>
          </w:tcPr>
          <w:p w14:paraId="2F9C3EF3" w14:textId="3AB4A5E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827ABC6" w14:textId="084DFDB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2.283.719</w:t>
            </w:r>
          </w:p>
        </w:tc>
      </w:tr>
      <w:tr w:rsidR="0027513D" w:rsidRPr="00FB38E1" w14:paraId="22E799FD" w14:textId="77777777" w:rsidTr="00733EB0">
        <w:trPr>
          <w:trHeight w:val="170"/>
        </w:trPr>
        <w:tc>
          <w:tcPr>
            <w:tcW w:w="198" w:type="pct"/>
            <w:tcMar>
              <w:left w:w="57" w:type="dxa"/>
              <w:right w:w="57" w:type="dxa"/>
            </w:tcMar>
            <w:vAlign w:val="bottom"/>
          </w:tcPr>
          <w:p w14:paraId="673C41AB" w14:textId="53A02754"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6.1</w:t>
            </w:r>
          </w:p>
        </w:tc>
        <w:tc>
          <w:tcPr>
            <w:tcW w:w="1730" w:type="pct"/>
            <w:tcMar>
              <w:left w:w="57" w:type="dxa"/>
              <w:right w:w="57" w:type="dxa"/>
            </w:tcMar>
            <w:vAlign w:val="bottom"/>
          </w:tcPr>
          <w:p w14:paraId="0DB026A0" w14:textId="39BDF581"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Şerefiye</w:t>
            </w:r>
          </w:p>
        </w:tc>
        <w:tc>
          <w:tcPr>
            <w:tcW w:w="359" w:type="pct"/>
            <w:tcMar>
              <w:left w:w="57" w:type="dxa"/>
              <w:right w:w="57" w:type="dxa"/>
            </w:tcMar>
            <w:vAlign w:val="bottom"/>
          </w:tcPr>
          <w:p w14:paraId="39C67D7A" w14:textId="2622BC67"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390B9623" w14:textId="3DAF49D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0C8B9462" w14:textId="6D39023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61C83B02" w14:textId="0335AED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0EC87163" w14:textId="7F1C02A9"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3AB2A20E" w14:textId="2074DCC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71FFCAAD" w14:textId="3996F05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14574BE7" w14:textId="77777777" w:rsidTr="00733EB0">
        <w:trPr>
          <w:trHeight w:val="170"/>
        </w:trPr>
        <w:tc>
          <w:tcPr>
            <w:tcW w:w="198" w:type="pct"/>
            <w:tcMar>
              <w:left w:w="57" w:type="dxa"/>
              <w:right w:w="57" w:type="dxa"/>
            </w:tcMar>
            <w:vAlign w:val="bottom"/>
          </w:tcPr>
          <w:p w14:paraId="2A0B4B1D" w14:textId="1CAFD2A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6.2</w:t>
            </w:r>
          </w:p>
        </w:tc>
        <w:tc>
          <w:tcPr>
            <w:tcW w:w="1730" w:type="pct"/>
            <w:tcMar>
              <w:left w:w="57" w:type="dxa"/>
              <w:right w:w="57" w:type="dxa"/>
            </w:tcMar>
            <w:vAlign w:val="bottom"/>
          </w:tcPr>
          <w:p w14:paraId="0E4D66F6" w14:textId="448A5BF6"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Diğer</w:t>
            </w:r>
          </w:p>
        </w:tc>
        <w:tc>
          <w:tcPr>
            <w:tcW w:w="359" w:type="pct"/>
            <w:tcMar>
              <w:left w:w="57" w:type="dxa"/>
              <w:right w:w="57" w:type="dxa"/>
            </w:tcMar>
            <w:vAlign w:val="bottom"/>
          </w:tcPr>
          <w:p w14:paraId="4A73B386" w14:textId="1DA28E97"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01EB067F" w14:textId="0E1FF90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4.865.774</w:t>
            </w:r>
          </w:p>
        </w:tc>
        <w:tc>
          <w:tcPr>
            <w:tcW w:w="466" w:type="pct"/>
            <w:vAlign w:val="bottom"/>
          </w:tcPr>
          <w:p w14:paraId="3064F4EE" w14:textId="722B561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2C150A2F" w14:textId="448B26D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4.865.774</w:t>
            </w:r>
          </w:p>
        </w:tc>
        <w:tc>
          <w:tcPr>
            <w:tcW w:w="406" w:type="pct"/>
            <w:tcMar>
              <w:left w:w="57" w:type="dxa"/>
              <w:right w:w="57" w:type="dxa"/>
            </w:tcMar>
            <w:vAlign w:val="bottom"/>
          </w:tcPr>
          <w:p w14:paraId="53BAF272" w14:textId="6DD9EDB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2.283.719</w:t>
            </w:r>
          </w:p>
        </w:tc>
        <w:tc>
          <w:tcPr>
            <w:tcW w:w="413" w:type="pct"/>
            <w:tcMar>
              <w:left w:w="57" w:type="dxa"/>
              <w:right w:w="57" w:type="dxa"/>
            </w:tcMar>
            <w:vAlign w:val="bottom"/>
          </w:tcPr>
          <w:p w14:paraId="45F3E64A" w14:textId="7A16079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38D68DC8" w14:textId="371E4B0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2.283.719</w:t>
            </w:r>
          </w:p>
        </w:tc>
      </w:tr>
      <w:tr w:rsidR="0027513D" w:rsidRPr="00FB38E1" w14:paraId="258C1D48" w14:textId="77777777" w:rsidTr="00733EB0">
        <w:trPr>
          <w:trHeight w:val="170"/>
        </w:trPr>
        <w:tc>
          <w:tcPr>
            <w:tcW w:w="198" w:type="pct"/>
            <w:tcMar>
              <w:left w:w="57" w:type="dxa"/>
              <w:right w:w="57" w:type="dxa"/>
            </w:tcMar>
            <w:vAlign w:val="bottom"/>
          </w:tcPr>
          <w:p w14:paraId="7407AA77" w14:textId="358F4E6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VII.</w:t>
            </w:r>
          </w:p>
        </w:tc>
        <w:tc>
          <w:tcPr>
            <w:tcW w:w="1730" w:type="pct"/>
            <w:tcMar>
              <w:left w:w="57" w:type="dxa"/>
              <w:right w:w="57" w:type="dxa"/>
            </w:tcMar>
            <w:vAlign w:val="bottom"/>
          </w:tcPr>
          <w:p w14:paraId="6523975B" w14:textId="4190146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YATIRIM AMAÇLI GAYRİMENKULLER (Net)</w:t>
            </w:r>
          </w:p>
        </w:tc>
        <w:tc>
          <w:tcPr>
            <w:tcW w:w="359" w:type="pct"/>
            <w:tcMar>
              <w:left w:w="57" w:type="dxa"/>
              <w:right w:w="57" w:type="dxa"/>
            </w:tcMar>
            <w:vAlign w:val="bottom"/>
          </w:tcPr>
          <w:p w14:paraId="21726F47" w14:textId="3C69D34C"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(5.I.m)</w:t>
            </w:r>
          </w:p>
        </w:tc>
        <w:tc>
          <w:tcPr>
            <w:tcW w:w="459" w:type="pct"/>
            <w:vAlign w:val="bottom"/>
          </w:tcPr>
          <w:p w14:paraId="7C853A94" w14:textId="0C9F6F8E"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1E253807" w14:textId="6EBC852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14E32C8D" w14:textId="1070ECF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3E23BBE1" w14:textId="211E45B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BEB6C58" w14:textId="7419D88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1A8625C" w14:textId="465D4FB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r>
      <w:tr w:rsidR="0027513D" w:rsidRPr="00FB38E1" w14:paraId="623CB530" w14:textId="77777777" w:rsidTr="00733EB0">
        <w:trPr>
          <w:trHeight w:val="170"/>
        </w:trPr>
        <w:tc>
          <w:tcPr>
            <w:tcW w:w="198" w:type="pct"/>
            <w:tcMar>
              <w:left w:w="57" w:type="dxa"/>
              <w:right w:w="57" w:type="dxa"/>
            </w:tcMar>
            <w:vAlign w:val="bottom"/>
          </w:tcPr>
          <w:p w14:paraId="0B4C2D00" w14:textId="6F52C966"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VIII.</w:t>
            </w:r>
          </w:p>
        </w:tc>
        <w:tc>
          <w:tcPr>
            <w:tcW w:w="1730" w:type="pct"/>
            <w:tcMar>
              <w:left w:w="57" w:type="dxa"/>
              <w:right w:w="57" w:type="dxa"/>
            </w:tcMar>
            <w:vAlign w:val="bottom"/>
          </w:tcPr>
          <w:p w14:paraId="04670450" w14:textId="24E2C85D"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CARİ VERGİ VARLIĞI</w:t>
            </w:r>
          </w:p>
        </w:tc>
        <w:tc>
          <w:tcPr>
            <w:tcW w:w="359" w:type="pct"/>
            <w:tcMar>
              <w:left w:w="57" w:type="dxa"/>
              <w:right w:w="57" w:type="dxa"/>
            </w:tcMar>
            <w:vAlign w:val="bottom"/>
          </w:tcPr>
          <w:p w14:paraId="7F1D2416" w14:textId="692DAD22"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70F66FD7" w14:textId="3145F9B9"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392D7342" w14:textId="1A2D9688"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1FAB7109" w14:textId="004347CD"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1BFE5495" w14:textId="3ED6822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1.877.045</w:t>
            </w:r>
          </w:p>
        </w:tc>
        <w:tc>
          <w:tcPr>
            <w:tcW w:w="413" w:type="pct"/>
            <w:tcMar>
              <w:left w:w="57" w:type="dxa"/>
              <w:right w:w="57" w:type="dxa"/>
            </w:tcMar>
            <w:vAlign w:val="bottom"/>
          </w:tcPr>
          <w:p w14:paraId="06FFA3E3" w14:textId="53239DD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183EE115" w14:textId="4BB3F0E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1.877.045</w:t>
            </w:r>
          </w:p>
        </w:tc>
      </w:tr>
      <w:tr w:rsidR="0027513D" w:rsidRPr="00FB38E1" w14:paraId="3EF4ABAA" w14:textId="77777777" w:rsidTr="00733EB0">
        <w:trPr>
          <w:trHeight w:val="170"/>
        </w:trPr>
        <w:tc>
          <w:tcPr>
            <w:tcW w:w="198" w:type="pct"/>
            <w:tcMar>
              <w:left w:w="57" w:type="dxa"/>
              <w:right w:w="57" w:type="dxa"/>
            </w:tcMar>
            <w:vAlign w:val="bottom"/>
          </w:tcPr>
          <w:p w14:paraId="4DFFCC6D" w14:textId="05D7E20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IX.</w:t>
            </w:r>
          </w:p>
        </w:tc>
        <w:tc>
          <w:tcPr>
            <w:tcW w:w="1730" w:type="pct"/>
            <w:tcMar>
              <w:left w:w="57" w:type="dxa"/>
              <w:right w:w="57" w:type="dxa"/>
            </w:tcMar>
            <w:vAlign w:val="bottom"/>
          </w:tcPr>
          <w:p w14:paraId="69525134" w14:textId="399D830B"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 xml:space="preserve">ERTELENMİŞ VERGİ VARLIĞI </w:t>
            </w:r>
          </w:p>
        </w:tc>
        <w:tc>
          <w:tcPr>
            <w:tcW w:w="359" w:type="pct"/>
            <w:tcMar>
              <w:left w:w="57" w:type="dxa"/>
              <w:right w:w="57" w:type="dxa"/>
            </w:tcMar>
            <w:vAlign w:val="bottom"/>
          </w:tcPr>
          <w:p w14:paraId="16022F67" w14:textId="0AE309E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(5.I.n)</w:t>
            </w:r>
          </w:p>
        </w:tc>
        <w:tc>
          <w:tcPr>
            <w:tcW w:w="459" w:type="pct"/>
            <w:vAlign w:val="bottom"/>
          </w:tcPr>
          <w:p w14:paraId="48DFEED6" w14:textId="456A363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4.756.787</w:t>
            </w:r>
          </w:p>
        </w:tc>
        <w:tc>
          <w:tcPr>
            <w:tcW w:w="466" w:type="pct"/>
            <w:vAlign w:val="bottom"/>
          </w:tcPr>
          <w:p w14:paraId="51DA6627" w14:textId="31F0236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428DBAE9" w14:textId="3A13033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4.756.787</w:t>
            </w:r>
          </w:p>
        </w:tc>
        <w:tc>
          <w:tcPr>
            <w:tcW w:w="406" w:type="pct"/>
            <w:tcMar>
              <w:left w:w="57" w:type="dxa"/>
              <w:right w:w="57" w:type="dxa"/>
            </w:tcMar>
            <w:vAlign w:val="bottom"/>
          </w:tcPr>
          <w:p w14:paraId="6CE15164" w14:textId="4803E39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4.173.522</w:t>
            </w:r>
          </w:p>
        </w:tc>
        <w:tc>
          <w:tcPr>
            <w:tcW w:w="413" w:type="pct"/>
            <w:tcMar>
              <w:left w:w="57" w:type="dxa"/>
              <w:right w:w="57" w:type="dxa"/>
            </w:tcMar>
            <w:vAlign w:val="bottom"/>
          </w:tcPr>
          <w:p w14:paraId="1AFC5467" w14:textId="17FB22C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5D3EBC9F" w14:textId="7D6D112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4.173.522</w:t>
            </w:r>
          </w:p>
        </w:tc>
      </w:tr>
      <w:tr w:rsidR="0027513D" w:rsidRPr="00FB38E1" w14:paraId="1AC51257" w14:textId="77777777" w:rsidTr="00733EB0">
        <w:trPr>
          <w:trHeight w:val="170"/>
        </w:trPr>
        <w:tc>
          <w:tcPr>
            <w:tcW w:w="198" w:type="pct"/>
            <w:tcMar>
              <w:left w:w="57" w:type="dxa"/>
              <w:right w:w="57" w:type="dxa"/>
            </w:tcMar>
            <w:vAlign w:val="bottom"/>
          </w:tcPr>
          <w:p w14:paraId="4B6A6DE0" w14:textId="593246F9"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X.</w:t>
            </w:r>
          </w:p>
        </w:tc>
        <w:tc>
          <w:tcPr>
            <w:tcW w:w="1730" w:type="pct"/>
            <w:tcMar>
              <w:left w:w="57" w:type="dxa"/>
              <w:right w:w="57" w:type="dxa"/>
            </w:tcMar>
            <w:vAlign w:val="bottom"/>
          </w:tcPr>
          <w:p w14:paraId="4D061167" w14:textId="5A35E48B"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DİĞER AKTİFLER  (Net)</w:t>
            </w:r>
          </w:p>
        </w:tc>
        <w:tc>
          <w:tcPr>
            <w:tcW w:w="359" w:type="pct"/>
            <w:tcMar>
              <w:left w:w="57" w:type="dxa"/>
              <w:right w:w="57" w:type="dxa"/>
            </w:tcMar>
            <w:vAlign w:val="bottom"/>
          </w:tcPr>
          <w:p w14:paraId="7CD66CE3" w14:textId="75FC8EB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(5.I.p)</w:t>
            </w:r>
          </w:p>
        </w:tc>
        <w:tc>
          <w:tcPr>
            <w:tcW w:w="459" w:type="pct"/>
            <w:vAlign w:val="bottom"/>
          </w:tcPr>
          <w:p w14:paraId="3EABA7E1" w14:textId="4A00712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43.110.946</w:t>
            </w:r>
          </w:p>
        </w:tc>
        <w:tc>
          <w:tcPr>
            <w:tcW w:w="466" w:type="pct"/>
            <w:vAlign w:val="bottom"/>
          </w:tcPr>
          <w:p w14:paraId="5A543DDA" w14:textId="6AC04C5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8.327.963</w:t>
            </w:r>
          </w:p>
        </w:tc>
        <w:tc>
          <w:tcPr>
            <w:tcW w:w="511" w:type="pct"/>
            <w:vAlign w:val="bottom"/>
          </w:tcPr>
          <w:p w14:paraId="6CD5A93D" w14:textId="588E6EF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51.438.909</w:t>
            </w:r>
          </w:p>
        </w:tc>
        <w:tc>
          <w:tcPr>
            <w:tcW w:w="406" w:type="pct"/>
            <w:tcMar>
              <w:left w:w="57" w:type="dxa"/>
              <w:right w:w="57" w:type="dxa"/>
            </w:tcMar>
            <w:vAlign w:val="bottom"/>
          </w:tcPr>
          <w:p w14:paraId="491C43D0" w14:textId="3E23C05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29.977.133</w:t>
            </w:r>
          </w:p>
        </w:tc>
        <w:tc>
          <w:tcPr>
            <w:tcW w:w="413" w:type="pct"/>
            <w:tcMar>
              <w:left w:w="57" w:type="dxa"/>
              <w:right w:w="57" w:type="dxa"/>
            </w:tcMar>
            <w:vAlign w:val="bottom"/>
          </w:tcPr>
          <w:p w14:paraId="5C626C6F" w14:textId="3FDCFAF7"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6.306.683</w:t>
            </w:r>
          </w:p>
        </w:tc>
        <w:tc>
          <w:tcPr>
            <w:tcW w:w="458" w:type="pct"/>
            <w:tcMar>
              <w:left w:w="57" w:type="dxa"/>
              <w:right w:w="57" w:type="dxa"/>
            </w:tcMar>
            <w:vAlign w:val="bottom"/>
          </w:tcPr>
          <w:p w14:paraId="46E6D16A" w14:textId="337EF5E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36.283.816</w:t>
            </w:r>
          </w:p>
        </w:tc>
      </w:tr>
      <w:tr w:rsidR="0027513D" w:rsidRPr="00FB38E1" w14:paraId="6D11379E" w14:textId="77777777" w:rsidTr="00733EB0">
        <w:trPr>
          <w:trHeight w:val="170"/>
        </w:trPr>
        <w:tc>
          <w:tcPr>
            <w:tcW w:w="198" w:type="pct"/>
            <w:tcMar>
              <w:left w:w="57" w:type="dxa"/>
              <w:right w:w="57" w:type="dxa"/>
            </w:tcMar>
            <w:vAlign w:val="bottom"/>
          </w:tcPr>
          <w:p w14:paraId="534C6EDD" w14:textId="77777777" w:rsidR="0027513D" w:rsidRPr="00FB38E1" w:rsidRDefault="0027513D" w:rsidP="0027513D">
            <w:pPr>
              <w:jc w:val="left"/>
              <w:rPr>
                <w:rFonts w:ascii="Microsoft Sans Serif" w:hAnsi="Microsoft Sans Serif" w:cs="Microsoft Sans Serif"/>
                <w:b/>
                <w:bCs/>
                <w:sz w:val="12"/>
                <w:szCs w:val="12"/>
              </w:rPr>
            </w:pPr>
          </w:p>
        </w:tc>
        <w:tc>
          <w:tcPr>
            <w:tcW w:w="1730" w:type="pct"/>
            <w:tcMar>
              <w:left w:w="57" w:type="dxa"/>
              <w:right w:w="57" w:type="dxa"/>
            </w:tcMar>
            <w:vAlign w:val="bottom"/>
          </w:tcPr>
          <w:p w14:paraId="3645E4D6" w14:textId="725BE09D"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359" w:type="pct"/>
            <w:tcMar>
              <w:left w:w="57" w:type="dxa"/>
              <w:right w:w="57" w:type="dxa"/>
            </w:tcMar>
            <w:vAlign w:val="bottom"/>
          </w:tcPr>
          <w:p w14:paraId="3268A356" w14:textId="77777777"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734ED98E" w14:textId="1043FE1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 </w:t>
            </w:r>
          </w:p>
        </w:tc>
        <w:tc>
          <w:tcPr>
            <w:tcW w:w="466" w:type="pct"/>
            <w:vAlign w:val="bottom"/>
          </w:tcPr>
          <w:p w14:paraId="32FD0915" w14:textId="64AF275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 </w:t>
            </w:r>
          </w:p>
        </w:tc>
        <w:tc>
          <w:tcPr>
            <w:tcW w:w="511" w:type="pct"/>
            <w:vAlign w:val="bottom"/>
          </w:tcPr>
          <w:p w14:paraId="30524512" w14:textId="7ABBB79D" w:rsidR="0027513D" w:rsidRPr="00FB38E1" w:rsidRDefault="0027513D" w:rsidP="0027513D">
            <w:pPr>
              <w:jc w:val="right"/>
              <w:rPr>
                <w:rFonts w:ascii="Microsoft Sans Serif" w:hAnsi="Microsoft Sans Serif" w:cs="Microsoft Sans Serif"/>
                <w:color w:val="000000"/>
                <w:sz w:val="12"/>
                <w:szCs w:val="12"/>
              </w:rPr>
            </w:pPr>
          </w:p>
        </w:tc>
        <w:tc>
          <w:tcPr>
            <w:tcW w:w="406" w:type="pct"/>
            <w:tcMar>
              <w:left w:w="57" w:type="dxa"/>
              <w:right w:w="57" w:type="dxa"/>
            </w:tcMar>
            <w:vAlign w:val="bottom"/>
          </w:tcPr>
          <w:p w14:paraId="5F30803B" w14:textId="6FC90B1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 </w:t>
            </w:r>
          </w:p>
        </w:tc>
        <w:tc>
          <w:tcPr>
            <w:tcW w:w="413" w:type="pct"/>
            <w:tcMar>
              <w:left w:w="57" w:type="dxa"/>
              <w:right w:w="57" w:type="dxa"/>
            </w:tcMar>
            <w:vAlign w:val="bottom"/>
          </w:tcPr>
          <w:p w14:paraId="62B43637" w14:textId="2DC29B0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 </w:t>
            </w:r>
          </w:p>
        </w:tc>
        <w:tc>
          <w:tcPr>
            <w:tcW w:w="458" w:type="pct"/>
            <w:tcMar>
              <w:left w:w="57" w:type="dxa"/>
              <w:right w:w="57" w:type="dxa"/>
            </w:tcMar>
            <w:vAlign w:val="bottom"/>
          </w:tcPr>
          <w:p w14:paraId="3690D391" w14:textId="77777777" w:rsidR="0027513D" w:rsidRPr="00FB38E1" w:rsidRDefault="0027513D" w:rsidP="0027513D">
            <w:pPr>
              <w:jc w:val="right"/>
              <w:rPr>
                <w:rFonts w:ascii="Microsoft Sans Serif" w:hAnsi="Microsoft Sans Serif" w:cs="Microsoft Sans Serif"/>
                <w:color w:val="000000"/>
                <w:sz w:val="12"/>
                <w:szCs w:val="12"/>
              </w:rPr>
            </w:pPr>
          </w:p>
        </w:tc>
      </w:tr>
      <w:tr w:rsidR="0027513D" w:rsidRPr="00FB38E1" w14:paraId="41C1B786" w14:textId="77777777" w:rsidTr="00733EB0">
        <w:trPr>
          <w:trHeight w:val="170"/>
        </w:trPr>
        <w:tc>
          <w:tcPr>
            <w:tcW w:w="198" w:type="pct"/>
            <w:tcBorders>
              <w:top w:val="single" w:sz="4" w:space="0" w:color="auto"/>
              <w:bottom w:val="single" w:sz="12" w:space="0" w:color="auto"/>
            </w:tcBorders>
            <w:tcMar>
              <w:left w:w="57" w:type="dxa"/>
              <w:right w:w="57" w:type="dxa"/>
            </w:tcMar>
            <w:vAlign w:val="bottom"/>
          </w:tcPr>
          <w:p w14:paraId="0245DB7B" w14:textId="49C4E404" w:rsidR="0027513D" w:rsidRPr="00FB38E1" w:rsidRDefault="0027513D" w:rsidP="0027513D">
            <w:pPr>
              <w:pStyle w:val="ListParagraph"/>
              <w:ind w:left="0"/>
              <w:jc w:val="left"/>
              <w:rPr>
                <w:rFonts w:ascii="Microsoft Sans Serif" w:hAnsi="Microsoft Sans Serif" w:cs="Microsoft Sans Serif"/>
                <w:b/>
                <w:sz w:val="12"/>
                <w:szCs w:val="12"/>
              </w:rPr>
            </w:pPr>
            <w:r w:rsidRPr="00FB38E1">
              <w:rPr>
                <w:rFonts w:ascii="Microsoft Sans Serif" w:hAnsi="Microsoft Sans Serif" w:cs="Microsoft Sans Serif"/>
                <w:sz w:val="12"/>
                <w:szCs w:val="12"/>
              </w:rPr>
              <w:t> </w:t>
            </w:r>
          </w:p>
        </w:tc>
        <w:tc>
          <w:tcPr>
            <w:tcW w:w="1730" w:type="pct"/>
            <w:tcBorders>
              <w:top w:val="single" w:sz="4" w:space="0" w:color="auto"/>
              <w:bottom w:val="single" w:sz="12" w:space="0" w:color="auto"/>
            </w:tcBorders>
            <w:tcMar>
              <w:left w:w="57" w:type="dxa"/>
              <w:right w:w="57" w:type="dxa"/>
            </w:tcMar>
            <w:vAlign w:val="bottom"/>
          </w:tcPr>
          <w:p w14:paraId="4D01ADDD" w14:textId="51D55B78"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VARLIKLAR TOPLAMI</w:t>
            </w:r>
          </w:p>
        </w:tc>
        <w:tc>
          <w:tcPr>
            <w:tcW w:w="359" w:type="pct"/>
            <w:tcBorders>
              <w:top w:val="single" w:sz="4" w:space="0" w:color="auto"/>
              <w:bottom w:val="single" w:sz="12" w:space="0" w:color="auto"/>
            </w:tcBorders>
            <w:tcMar>
              <w:left w:w="57" w:type="dxa"/>
              <w:right w:w="57" w:type="dxa"/>
            </w:tcMar>
            <w:vAlign w:val="bottom"/>
          </w:tcPr>
          <w:p w14:paraId="5477C942" w14:textId="7777777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459" w:type="pct"/>
            <w:tcBorders>
              <w:top w:val="single" w:sz="4" w:space="0" w:color="auto"/>
              <w:bottom w:val="single" w:sz="12" w:space="0" w:color="auto"/>
            </w:tcBorders>
            <w:vAlign w:val="bottom"/>
          </w:tcPr>
          <w:p w14:paraId="41BF2021" w14:textId="68507E64"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831.448.061</w:t>
            </w:r>
          </w:p>
        </w:tc>
        <w:tc>
          <w:tcPr>
            <w:tcW w:w="466" w:type="pct"/>
            <w:tcBorders>
              <w:top w:val="single" w:sz="4" w:space="0" w:color="auto"/>
              <w:bottom w:val="single" w:sz="12" w:space="0" w:color="auto"/>
            </w:tcBorders>
            <w:vAlign w:val="bottom"/>
          </w:tcPr>
          <w:p w14:paraId="5C4062D6" w14:textId="71A7B02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539.172.971</w:t>
            </w:r>
          </w:p>
        </w:tc>
        <w:tc>
          <w:tcPr>
            <w:tcW w:w="511" w:type="pct"/>
            <w:tcBorders>
              <w:top w:val="single" w:sz="4" w:space="0" w:color="auto"/>
              <w:bottom w:val="single" w:sz="12" w:space="0" w:color="auto"/>
            </w:tcBorders>
            <w:vAlign w:val="bottom"/>
          </w:tcPr>
          <w:p w14:paraId="2D1C8535" w14:textId="3C628335"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1.370.621.032</w:t>
            </w:r>
          </w:p>
        </w:tc>
        <w:tc>
          <w:tcPr>
            <w:tcW w:w="406" w:type="pct"/>
            <w:tcBorders>
              <w:top w:val="single" w:sz="4" w:space="0" w:color="auto"/>
              <w:bottom w:val="single" w:sz="12" w:space="0" w:color="auto"/>
            </w:tcBorders>
            <w:tcMar>
              <w:left w:w="57" w:type="dxa"/>
              <w:right w:w="57" w:type="dxa"/>
            </w:tcMar>
            <w:vAlign w:val="bottom"/>
          </w:tcPr>
          <w:p w14:paraId="1270CEE2" w14:textId="68F7284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585.731.275</w:t>
            </w:r>
          </w:p>
        </w:tc>
        <w:tc>
          <w:tcPr>
            <w:tcW w:w="413" w:type="pct"/>
            <w:tcBorders>
              <w:top w:val="single" w:sz="4" w:space="0" w:color="auto"/>
              <w:bottom w:val="single" w:sz="12" w:space="0" w:color="auto"/>
            </w:tcBorders>
            <w:tcMar>
              <w:left w:w="57" w:type="dxa"/>
              <w:right w:w="57" w:type="dxa"/>
            </w:tcMar>
            <w:vAlign w:val="bottom"/>
          </w:tcPr>
          <w:p w14:paraId="0CBD68C8" w14:textId="1676487C"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421.977.786</w:t>
            </w:r>
          </w:p>
        </w:tc>
        <w:tc>
          <w:tcPr>
            <w:tcW w:w="458" w:type="pct"/>
            <w:tcBorders>
              <w:top w:val="single" w:sz="4" w:space="0" w:color="auto"/>
              <w:bottom w:val="single" w:sz="12" w:space="0" w:color="auto"/>
            </w:tcBorders>
            <w:tcMar>
              <w:left w:w="57" w:type="dxa"/>
              <w:right w:w="57" w:type="dxa"/>
            </w:tcMar>
            <w:vAlign w:val="bottom"/>
          </w:tcPr>
          <w:p w14:paraId="5969685E" w14:textId="494889F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1.007.709.061</w:t>
            </w:r>
          </w:p>
        </w:tc>
      </w:tr>
    </w:tbl>
    <w:p w14:paraId="3FAA682C" w14:textId="77777777" w:rsidR="00C63508" w:rsidRPr="00FB38E1" w:rsidRDefault="00C63508" w:rsidP="00CB1278">
      <w:pPr>
        <w:pStyle w:val="ListParagraph"/>
        <w:spacing w:before="240"/>
        <w:ind w:left="0"/>
        <w:jc w:val="center"/>
        <w:rPr>
          <w:rFonts w:ascii="Microsoft Sans Serif" w:hAnsi="Microsoft Sans Serif" w:cs="Microsoft Sans Serif"/>
          <w:bCs/>
          <w:sz w:val="18"/>
          <w:szCs w:val="18"/>
        </w:rPr>
      </w:pPr>
    </w:p>
    <w:p w14:paraId="076B2752" w14:textId="77777777" w:rsidR="00C63508" w:rsidRPr="00FB38E1" w:rsidRDefault="00C63508" w:rsidP="00CB1278">
      <w:pPr>
        <w:pStyle w:val="ListParagraph"/>
        <w:spacing w:before="240"/>
        <w:ind w:left="0"/>
        <w:jc w:val="center"/>
        <w:rPr>
          <w:rFonts w:ascii="Microsoft Sans Serif" w:hAnsi="Microsoft Sans Serif" w:cs="Microsoft Sans Serif"/>
          <w:bCs/>
          <w:sz w:val="18"/>
          <w:szCs w:val="18"/>
        </w:rPr>
      </w:pPr>
    </w:p>
    <w:p w14:paraId="34D02545" w14:textId="77777777" w:rsidR="00C63508" w:rsidRPr="00FB38E1" w:rsidRDefault="00C63508" w:rsidP="00CB1278">
      <w:pPr>
        <w:pStyle w:val="ListParagraph"/>
        <w:spacing w:before="240"/>
        <w:ind w:left="0"/>
        <w:jc w:val="center"/>
        <w:rPr>
          <w:rFonts w:ascii="Microsoft Sans Serif" w:hAnsi="Microsoft Sans Serif" w:cs="Microsoft Sans Serif"/>
          <w:bCs/>
          <w:sz w:val="18"/>
          <w:szCs w:val="18"/>
        </w:rPr>
      </w:pPr>
    </w:p>
    <w:p w14:paraId="30328F8D" w14:textId="77777777" w:rsidR="00C63508" w:rsidRPr="00FB38E1" w:rsidRDefault="00C63508" w:rsidP="00CB1278">
      <w:pPr>
        <w:pStyle w:val="ListParagraph"/>
        <w:spacing w:before="240"/>
        <w:ind w:left="0"/>
        <w:jc w:val="center"/>
        <w:rPr>
          <w:rFonts w:ascii="Microsoft Sans Serif" w:hAnsi="Microsoft Sans Serif" w:cs="Microsoft Sans Serif"/>
          <w:bCs/>
          <w:sz w:val="18"/>
          <w:szCs w:val="18"/>
        </w:rPr>
      </w:pPr>
    </w:p>
    <w:p w14:paraId="1EB9D2A4" w14:textId="77777777" w:rsidR="00C63508" w:rsidRPr="00FB38E1" w:rsidRDefault="00C63508" w:rsidP="00CB1278">
      <w:pPr>
        <w:pStyle w:val="ListParagraph"/>
        <w:spacing w:before="240"/>
        <w:ind w:left="0"/>
        <w:jc w:val="center"/>
        <w:rPr>
          <w:rFonts w:ascii="Microsoft Sans Serif" w:hAnsi="Microsoft Sans Serif" w:cs="Microsoft Sans Serif"/>
          <w:bCs/>
          <w:sz w:val="18"/>
          <w:szCs w:val="18"/>
        </w:rPr>
      </w:pPr>
    </w:p>
    <w:p w14:paraId="7FBA1EE5" w14:textId="77777777" w:rsidR="00CE6877" w:rsidRPr="00FB38E1" w:rsidRDefault="00CE6877" w:rsidP="00CB1278">
      <w:pPr>
        <w:pStyle w:val="ListParagraph"/>
        <w:spacing w:before="240"/>
        <w:ind w:left="0"/>
        <w:jc w:val="center"/>
        <w:rPr>
          <w:rFonts w:ascii="Microsoft Sans Serif" w:hAnsi="Microsoft Sans Serif" w:cs="Microsoft Sans Serif"/>
          <w:bCs/>
          <w:sz w:val="18"/>
          <w:szCs w:val="18"/>
        </w:rPr>
      </w:pPr>
    </w:p>
    <w:p w14:paraId="65C706BF" w14:textId="77777777" w:rsidR="00CE6877" w:rsidRPr="00FB38E1" w:rsidRDefault="00CE6877" w:rsidP="00CB1278">
      <w:pPr>
        <w:pStyle w:val="ListParagraph"/>
        <w:spacing w:before="240"/>
        <w:ind w:left="0"/>
        <w:jc w:val="center"/>
        <w:rPr>
          <w:rFonts w:ascii="Microsoft Sans Serif" w:hAnsi="Microsoft Sans Serif" w:cs="Microsoft Sans Serif"/>
          <w:bCs/>
          <w:sz w:val="18"/>
          <w:szCs w:val="18"/>
        </w:rPr>
      </w:pPr>
    </w:p>
    <w:p w14:paraId="3CAFB2EF" w14:textId="77777777" w:rsidR="00CE6877" w:rsidRPr="00FB38E1" w:rsidRDefault="00CE6877" w:rsidP="00CB1278">
      <w:pPr>
        <w:pStyle w:val="ListParagraph"/>
        <w:spacing w:before="240"/>
        <w:ind w:left="0"/>
        <w:jc w:val="center"/>
        <w:rPr>
          <w:rFonts w:ascii="Microsoft Sans Serif" w:hAnsi="Microsoft Sans Serif" w:cs="Microsoft Sans Serif"/>
          <w:bCs/>
          <w:sz w:val="18"/>
          <w:szCs w:val="18"/>
        </w:rPr>
      </w:pPr>
    </w:p>
    <w:p w14:paraId="50FB25E1" w14:textId="6DF2ED30" w:rsidR="00814157" w:rsidRPr="00FB38E1" w:rsidRDefault="00814157" w:rsidP="009E5C75">
      <w:pPr>
        <w:pStyle w:val="ListParagraph"/>
        <w:spacing w:before="240"/>
        <w:ind w:left="0"/>
        <w:jc w:val="center"/>
        <w:rPr>
          <w:rFonts w:ascii="Microsoft Sans Serif" w:hAnsi="Microsoft Sans Serif" w:cs="Microsoft Sans Serif"/>
          <w:bCs/>
          <w:sz w:val="18"/>
          <w:szCs w:val="18"/>
        </w:rPr>
        <w:sectPr w:rsidR="00814157" w:rsidRPr="00FB38E1" w:rsidSect="00967156">
          <w:headerReference w:type="default" r:id="rId35"/>
          <w:footerReference w:type="default" r:id="rId36"/>
          <w:pgSz w:w="11906" w:h="16838"/>
          <w:pgMar w:top="-1985" w:right="567" w:bottom="-862" w:left="1701" w:header="709" w:footer="306" w:gutter="0"/>
          <w:pgNumType w:start="5"/>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
        <w:gridCol w:w="3500"/>
        <w:gridCol w:w="462"/>
        <w:gridCol w:w="884"/>
        <w:gridCol w:w="898"/>
        <w:gridCol w:w="985"/>
        <w:gridCol w:w="783"/>
        <w:gridCol w:w="796"/>
        <w:gridCol w:w="883"/>
      </w:tblGrid>
      <w:tr w:rsidR="00D84834" w:rsidRPr="00FB38E1" w14:paraId="383FE16C" w14:textId="77777777" w:rsidTr="00CA7FAB">
        <w:trPr>
          <w:trHeight w:val="170"/>
        </w:trPr>
        <w:tc>
          <w:tcPr>
            <w:tcW w:w="232" w:type="pct"/>
            <w:shd w:val="clear" w:color="auto" w:fill="auto"/>
            <w:tcMar>
              <w:left w:w="57" w:type="dxa"/>
              <w:right w:w="57" w:type="dxa"/>
            </w:tcMar>
            <w:vAlign w:val="bottom"/>
          </w:tcPr>
          <w:p w14:paraId="67E32747" w14:textId="77777777" w:rsidR="00D84834" w:rsidRPr="00FB38E1"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1066D00C" w14:textId="48C41CAF" w:rsidR="00D84834" w:rsidRPr="00FB38E1" w:rsidRDefault="00D84834" w:rsidP="00D84834">
            <w:pPr>
              <w:jc w:val="center"/>
              <w:rPr>
                <w:rFonts w:ascii="Microsoft Sans Serif" w:hAnsi="Microsoft Sans Serif" w:cs="Microsoft Sans Serif"/>
                <w:sz w:val="12"/>
                <w:szCs w:val="12"/>
              </w:rPr>
            </w:pPr>
          </w:p>
        </w:tc>
        <w:tc>
          <w:tcPr>
            <w:tcW w:w="240" w:type="pct"/>
            <w:shd w:val="clear" w:color="auto" w:fill="auto"/>
            <w:tcMar>
              <w:left w:w="57" w:type="dxa"/>
              <w:right w:w="57" w:type="dxa"/>
            </w:tcMar>
            <w:vAlign w:val="bottom"/>
          </w:tcPr>
          <w:p w14:paraId="53481C7F" w14:textId="268D4D0D" w:rsidR="00D84834" w:rsidRPr="00FB38E1" w:rsidRDefault="00D84834" w:rsidP="00D84834">
            <w:pPr>
              <w:jc w:val="center"/>
              <w:rPr>
                <w:rFonts w:ascii="Microsoft Sans Serif" w:hAnsi="Microsoft Sans Serif" w:cs="Microsoft Sans Serif"/>
                <w:sz w:val="12"/>
                <w:szCs w:val="12"/>
              </w:rPr>
            </w:pPr>
          </w:p>
        </w:tc>
        <w:tc>
          <w:tcPr>
            <w:tcW w:w="1435" w:type="pct"/>
            <w:gridSpan w:val="3"/>
            <w:vAlign w:val="bottom"/>
          </w:tcPr>
          <w:p w14:paraId="695B711D" w14:textId="157A8945" w:rsidR="00D84834" w:rsidRPr="00FB38E1" w:rsidRDefault="00D2745C"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sz w:val="12"/>
                <w:szCs w:val="12"/>
              </w:rPr>
              <w:t>Bağımsız Denetimden Geçmiş</w:t>
            </w:r>
          </w:p>
        </w:tc>
        <w:tc>
          <w:tcPr>
            <w:tcW w:w="1277" w:type="pct"/>
            <w:gridSpan w:val="3"/>
            <w:shd w:val="clear" w:color="auto" w:fill="auto"/>
            <w:tcMar>
              <w:left w:w="57" w:type="dxa"/>
              <w:right w:w="57" w:type="dxa"/>
            </w:tcMar>
            <w:vAlign w:val="bottom"/>
          </w:tcPr>
          <w:p w14:paraId="107A2090" w14:textId="78238B3A" w:rsidR="00D84834" w:rsidRPr="00FB38E1" w:rsidRDefault="00CA7FAB"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sz w:val="12"/>
                <w:szCs w:val="12"/>
              </w:rPr>
              <w:t xml:space="preserve">Bağımsız </w:t>
            </w:r>
            <w:r w:rsidR="00D84834" w:rsidRPr="00FB38E1">
              <w:rPr>
                <w:rFonts w:ascii="Microsoft Sans Serif" w:hAnsi="Microsoft Sans Serif" w:cs="Microsoft Sans Serif"/>
                <w:b/>
                <w:sz w:val="12"/>
                <w:szCs w:val="12"/>
              </w:rPr>
              <w:t>Denetimden Geçmiş</w:t>
            </w:r>
          </w:p>
        </w:tc>
      </w:tr>
      <w:tr w:rsidR="00D84834" w:rsidRPr="00FB38E1" w14:paraId="4C252EFF" w14:textId="77777777" w:rsidTr="00CA7FAB">
        <w:trPr>
          <w:trHeight w:val="170"/>
        </w:trPr>
        <w:tc>
          <w:tcPr>
            <w:tcW w:w="232" w:type="pct"/>
            <w:shd w:val="clear" w:color="auto" w:fill="auto"/>
            <w:tcMar>
              <w:left w:w="57" w:type="dxa"/>
              <w:right w:w="57" w:type="dxa"/>
            </w:tcMar>
            <w:vAlign w:val="bottom"/>
          </w:tcPr>
          <w:p w14:paraId="62E35CCB" w14:textId="77777777" w:rsidR="00D84834" w:rsidRPr="00FB38E1"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476BBE8C" w14:textId="77777777" w:rsidR="00D84834" w:rsidRPr="00FB38E1" w:rsidRDefault="00D84834" w:rsidP="00D84834">
            <w:pPr>
              <w:jc w:val="center"/>
              <w:rPr>
                <w:rFonts w:ascii="Microsoft Sans Serif" w:hAnsi="Microsoft Sans Serif" w:cs="Microsoft Sans Serif"/>
                <w:sz w:val="12"/>
                <w:szCs w:val="12"/>
              </w:rPr>
            </w:pPr>
          </w:p>
        </w:tc>
        <w:tc>
          <w:tcPr>
            <w:tcW w:w="240" w:type="pct"/>
            <w:shd w:val="clear" w:color="auto" w:fill="auto"/>
            <w:tcMar>
              <w:left w:w="57" w:type="dxa"/>
              <w:right w:w="57" w:type="dxa"/>
            </w:tcMar>
            <w:vAlign w:val="bottom"/>
          </w:tcPr>
          <w:p w14:paraId="0B79E2CB" w14:textId="77777777" w:rsidR="00D84834" w:rsidRPr="00FB38E1" w:rsidRDefault="00D84834" w:rsidP="00D84834">
            <w:pPr>
              <w:jc w:val="center"/>
              <w:rPr>
                <w:rFonts w:ascii="Microsoft Sans Serif" w:hAnsi="Microsoft Sans Serif" w:cs="Microsoft Sans Serif"/>
                <w:sz w:val="12"/>
                <w:szCs w:val="12"/>
              </w:rPr>
            </w:pPr>
          </w:p>
        </w:tc>
        <w:tc>
          <w:tcPr>
            <w:tcW w:w="1435" w:type="pct"/>
            <w:gridSpan w:val="3"/>
            <w:vAlign w:val="bottom"/>
          </w:tcPr>
          <w:p w14:paraId="5DFE48BB" w14:textId="6880A064" w:rsidR="00D84834" w:rsidRPr="00FB38E1" w:rsidRDefault="00D84834" w:rsidP="0066348D">
            <w:pPr>
              <w:ind w:right="-60"/>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CARİ DÖNEM</w:t>
            </w:r>
          </w:p>
        </w:tc>
        <w:tc>
          <w:tcPr>
            <w:tcW w:w="1277" w:type="pct"/>
            <w:gridSpan w:val="3"/>
            <w:shd w:val="clear" w:color="auto" w:fill="auto"/>
            <w:tcMar>
              <w:left w:w="57" w:type="dxa"/>
              <w:right w:w="57" w:type="dxa"/>
            </w:tcMar>
            <w:vAlign w:val="bottom"/>
          </w:tcPr>
          <w:p w14:paraId="7F39169B" w14:textId="2995F977"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ÖNCEKİ DÖNEM</w:t>
            </w:r>
          </w:p>
        </w:tc>
      </w:tr>
      <w:tr w:rsidR="00D84834" w:rsidRPr="00FB38E1" w14:paraId="05CD6CB8" w14:textId="77777777" w:rsidTr="00CA7FAB">
        <w:trPr>
          <w:trHeight w:val="170"/>
        </w:trPr>
        <w:tc>
          <w:tcPr>
            <w:tcW w:w="232" w:type="pct"/>
            <w:shd w:val="clear" w:color="auto" w:fill="auto"/>
            <w:tcMar>
              <w:left w:w="57" w:type="dxa"/>
              <w:right w:w="57" w:type="dxa"/>
            </w:tcMar>
            <w:vAlign w:val="bottom"/>
          </w:tcPr>
          <w:p w14:paraId="05B7AD0D" w14:textId="2AB1E134" w:rsidR="00D84834" w:rsidRPr="00FB38E1" w:rsidRDefault="00D84834" w:rsidP="00D84834">
            <w:pPr>
              <w:jc w:val="center"/>
              <w:rPr>
                <w:rFonts w:ascii="Microsoft Sans Serif" w:hAnsi="Microsoft Sans Serif" w:cs="Microsoft Sans Serif"/>
                <w:sz w:val="12"/>
                <w:szCs w:val="12"/>
              </w:rPr>
            </w:pPr>
          </w:p>
        </w:tc>
        <w:tc>
          <w:tcPr>
            <w:tcW w:w="1816" w:type="pct"/>
            <w:shd w:val="clear" w:color="auto" w:fill="auto"/>
            <w:tcMar>
              <w:left w:w="57" w:type="dxa"/>
              <w:right w:w="57" w:type="dxa"/>
            </w:tcMar>
            <w:vAlign w:val="bottom"/>
          </w:tcPr>
          <w:p w14:paraId="727683C4" w14:textId="2660FEAF" w:rsidR="00D84834" w:rsidRPr="00FB38E1" w:rsidRDefault="00D84834" w:rsidP="00D84834">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YÜKÜMLÜLÜKLER</w:t>
            </w:r>
          </w:p>
        </w:tc>
        <w:tc>
          <w:tcPr>
            <w:tcW w:w="240" w:type="pct"/>
            <w:shd w:val="clear" w:color="auto" w:fill="auto"/>
            <w:tcMar>
              <w:left w:w="57" w:type="dxa"/>
              <w:right w:w="57" w:type="dxa"/>
            </w:tcMar>
            <w:vAlign w:val="bottom"/>
          </w:tcPr>
          <w:p w14:paraId="47A9F14F" w14:textId="77777777"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Dipnot</w:t>
            </w:r>
          </w:p>
        </w:tc>
        <w:tc>
          <w:tcPr>
            <w:tcW w:w="459" w:type="pct"/>
            <w:vAlign w:val="bottom"/>
          </w:tcPr>
          <w:p w14:paraId="3783C1DF" w14:textId="77777777" w:rsidR="00D84834" w:rsidRPr="00FB38E1" w:rsidRDefault="00D84834" w:rsidP="00D84834">
            <w:pPr>
              <w:jc w:val="center"/>
              <w:rPr>
                <w:rFonts w:ascii="Microsoft Sans Serif" w:hAnsi="Microsoft Sans Serif" w:cs="Microsoft Sans Serif"/>
                <w:b/>
                <w:bCs/>
                <w:sz w:val="12"/>
                <w:szCs w:val="12"/>
              </w:rPr>
            </w:pPr>
          </w:p>
        </w:tc>
        <w:tc>
          <w:tcPr>
            <w:tcW w:w="466" w:type="pct"/>
            <w:vAlign w:val="bottom"/>
          </w:tcPr>
          <w:p w14:paraId="70D141C2" w14:textId="46DF3B09" w:rsidR="00D84834" w:rsidRPr="00FB38E1" w:rsidRDefault="00D2745C" w:rsidP="0066348D">
            <w:pPr>
              <w:ind w:right="-199"/>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(31/12/2024)</w:t>
            </w:r>
          </w:p>
        </w:tc>
        <w:tc>
          <w:tcPr>
            <w:tcW w:w="511" w:type="pct"/>
            <w:vAlign w:val="bottom"/>
          </w:tcPr>
          <w:p w14:paraId="0A40DD8E" w14:textId="2D034094" w:rsidR="00D84834" w:rsidRPr="00FB38E1" w:rsidRDefault="00D84834" w:rsidP="00D84834">
            <w:pPr>
              <w:jc w:val="center"/>
              <w:rPr>
                <w:rFonts w:ascii="Microsoft Sans Serif" w:hAnsi="Microsoft Sans Serif" w:cs="Microsoft Sans Serif"/>
                <w:b/>
                <w:bCs/>
                <w:sz w:val="12"/>
                <w:szCs w:val="12"/>
              </w:rPr>
            </w:pPr>
          </w:p>
        </w:tc>
        <w:tc>
          <w:tcPr>
            <w:tcW w:w="406" w:type="pct"/>
            <w:shd w:val="clear" w:color="auto" w:fill="auto"/>
            <w:tcMar>
              <w:left w:w="57" w:type="dxa"/>
              <w:right w:w="57" w:type="dxa"/>
            </w:tcMar>
            <w:vAlign w:val="bottom"/>
          </w:tcPr>
          <w:p w14:paraId="5D9B4E52" w14:textId="05194D94" w:rsidR="00D84834" w:rsidRPr="00FB38E1" w:rsidRDefault="00D84834" w:rsidP="00D84834">
            <w:pPr>
              <w:jc w:val="center"/>
              <w:rPr>
                <w:rFonts w:ascii="Microsoft Sans Serif" w:hAnsi="Microsoft Sans Serif" w:cs="Microsoft Sans Serif"/>
                <w:b/>
                <w:bCs/>
                <w:sz w:val="12"/>
                <w:szCs w:val="12"/>
              </w:rPr>
            </w:pPr>
          </w:p>
        </w:tc>
        <w:tc>
          <w:tcPr>
            <w:tcW w:w="413" w:type="pct"/>
            <w:shd w:val="clear" w:color="auto" w:fill="auto"/>
            <w:tcMar>
              <w:left w:w="57" w:type="dxa"/>
              <w:right w:w="57" w:type="dxa"/>
            </w:tcMar>
            <w:vAlign w:val="bottom"/>
          </w:tcPr>
          <w:p w14:paraId="2A188BD6" w14:textId="51F25656" w:rsidR="00D84834" w:rsidRPr="00FB38E1" w:rsidRDefault="00BB494E"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(31/12/202</w:t>
            </w:r>
            <w:r w:rsidR="007A16CD" w:rsidRPr="00FB38E1">
              <w:rPr>
                <w:rFonts w:ascii="Microsoft Sans Serif" w:hAnsi="Microsoft Sans Serif" w:cs="Microsoft Sans Serif"/>
                <w:b/>
                <w:bCs/>
                <w:sz w:val="12"/>
                <w:szCs w:val="12"/>
              </w:rPr>
              <w:t>3</w:t>
            </w:r>
            <w:r w:rsidR="00D84834" w:rsidRPr="00FB38E1">
              <w:rPr>
                <w:rFonts w:ascii="Microsoft Sans Serif" w:hAnsi="Microsoft Sans Serif" w:cs="Microsoft Sans Serif"/>
                <w:b/>
                <w:bCs/>
                <w:sz w:val="12"/>
                <w:szCs w:val="12"/>
              </w:rPr>
              <w:t>)</w:t>
            </w:r>
          </w:p>
        </w:tc>
        <w:tc>
          <w:tcPr>
            <w:tcW w:w="458" w:type="pct"/>
            <w:shd w:val="clear" w:color="auto" w:fill="auto"/>
            <w:tcMar>
              <w:left w:w="57" w:type="dxa"/>
              <w:right w:w="57" w:type="dxa"/>
            </w:tcMar>
            <w:vAlign w:val="bottom"/>
          </w:tcPr>
          <w:p w14:paraId="0AB967BD" w14:textId="36C1D765" w:rsidR="00D84834" w:rsidRPr="00FB38E1" w:rsidRDefault="00D84834" w:rsidP="00D84834">
            <w:pPr>
              <w:jc w:val="center"/>
              <w:rPr>
                <w:rFonts w:ascii="Microsoft Sans Serif" w:hAnsi="Microsoft Sans Serif" w:cs="Microsoft Sans Serif"/>
                <w:b/>
                <w:bCs/>
                <w:sz w:val="12"/>
                <w:szCs w:val="12"/>
              </w:rPr>
            </w:pPr>
          </w:p>
        </w:tc>
      </w:tr>
      <w:tr w:rsidR="00D84834" w:rsidRPr="00FB38E1" w14:paraId="199A47B0" w14:textId="77777777" w:rsidTr="00CA7FAB">
        <w:trPr>
          <w:trHeight w:val="170"/>
        </w:trPr>
        <w:tc>
          <w:tcPr>
            <w:tcW w:w="232" w:type="pct"/>
            <w:tcBorders>
              <w:bottom w:val="single" w:sz="12" w:space="0" w:color="auto"/>
            </w:tcBorders>
            <w:shd w:val="clear" w:color="auto" w:fill="auto"/>
            <w:tcMar>
              <w:left w:w="57" w:type="dxa"/>
              <w:right w:w="57" w:type="dxa"/>
            </w:tcMar>
            <w:vAlign w:val="bottom"/>
          </w:tcPr>
          <w:p w14:paraId="34D08505" w14:textId="4571131C" w:rsidR="00D84834" w:rsidRPr="00FB38E1" w:rsidRDefault="00D84834" w:rsidP="00D84834">
            <w:pPr>
              <w:jc w:val="center"/>
              <w:rPr>
                <w:rFonts w:ascii="Microsoft Sans Serif" w:hAnsi="Microsoft Sans Serif" w:cs="Microsoft Sans Serif"/>
                <w:sz w:val="12"/>
                <w:szCs w:val="12"/>
              </w:rPr>
            </w:pPr>
          </w:p>
        </w:tc>
        <w:tc>
          <w:tcPr>
            <w:tcW w:w="1816" w:type="pct"/>
            <w:tcBorders>
              <w:bottom w:val="single" w:sz="12" w:space="0" w:color="auto"/>
            </w:tcBorders>
            <w:shd w:val="clear" w:color="auto" w:fill="auto"/>
            <w:tcMar>
              <w:left w:w="57" w:type="dxa"/>
              <w:right w:w="57" w:type="dxa"/>
            </w:tcMar>
            <w:vAlign w:val="bottom"/>
          </w:tcPr>
          <w:p w14:paraId="3E8BD0CE" w14:textId="1DF6F5B6" w:rsidR="00D84834" w:rsidRPr="00FB38E1" w:rsidRDefault="00D84834" w:rsidP="00D84834">
            <w:pPr>
              <w:jc w:val="center"/>
              <w:rPr>
                <w:rFonts w:ascii="Microsoft Sans Serif" w:hAnsi="Microsoft Sans Serif" w:cs="Microsoft Sans Serif"/>
                <w:sz w:val="12"/>
                <w:szCs w:val="12"/>
              </w:rPr>
            </w:pPr>
          </w:p>
        </w:tc>
        <w:tc>
          <w:tcPr>
            <w:tcW w:w="240" w:type="pct"/>
            <w:tcBorders>
              <w:bottom w:val="single" w:sz="12" w:space="0" w:color="auto"/>
            </w:tcBorders>
            <w:shd w:val="clear" w:color="auto" w:fill="auto"/>
            <w:tcMar>
              <w:left w:w="57" w:type="dxa"/>
              <w:right w:w="57" w:type="dxa"/>
            </w:tcMar>
            <w:vAlign w:val="bottom"/>
          </w:tcPr>
          <w:p w14:paraId="14D64D53" w14:textId="263D071C" w:rsidR="00D84834" w:rsidRPr="00FB38E1" w:rsidRDefault="00D84834" w:rsidP="00D84834">
            <w:pPr>
              <w:jc w:val="center"/>
              <w:rPr>
                <w:rFonts w:ascii="Microsoft Sans Serif" w:hAnsi="Microsoft Sans Serif" w:cs="Microsoft Sans Serif"/>
                <w:sz w:val="12"/>
                <w:szCs w:val="12"/>
              </w:rPr>
            </w:pPr>
          </w:p>
        </w:tc>
        <w:tc>
          <w:tcPr>
            <w:tcW w:w="459" w:type="pct"/>
            <w:tcBorders>
              <w:bottom w:val="single" w:sz="12" w:space="0" w:color="auto"/>
            </w:tcBorders>
            <w:vAlign w:val="bottom"/>
          </w:tcPr>
          <w:p w14:paraId="329F49E8" w14:textId="6665DC5E"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TP</w:t>
            </w:r>
          </w:p>
        </w:tc>
        <w:tc>
          <w:tcPr>
            <w:tcW w:w="466" w:type="pct"/>
            <w:tcBorders>
              <w:bottom w:val="single" w:sz="12" w:space="0" w:color="auto"/>
            </w:tcBorders>
            <w:vAlign w:val="bottom"/>
          </w:tcPr>
          <w:p w14:paraId="4633F11A" w14:textId="4D8E808F"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YP</w:t>
            </w:r>
          </w:p>
        </w:tc>
        <w:tc>
          <w:tcPr>
            <w:tcW w:w="511" w:type="pct"/>
            <w:tcBorders>
              <w:bottom w:val="single" w:sz="12" w:space="0" w:color="auto"/>
            </w:tcBorders>
            <w:vAlign w:val="bottom"/>
          </w:tcPr>
          <w:p w14:paraId="570A511A" w14:textId="6EE6C52A"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Toplam</w:t>
            </w:r>
          </w:p>
        </w:tc>
        <w:tc>
          <w:tcPr>
            <w:tcW w:w="406" w:type="pct"/>
            <w:tcBorders>
              <w:bottom w:val="single" w:sz="12" w:space="0" w:color="auto"/>
            </w:tcBorders>
            <w:shd w:val="clear" w:color="auto" w:fill="auto"/>
            <w:tcMar>
              <w:left w:w="57" w:type="dxa"/>
              <w:right w:w="57" w:type="dxa"/>
            </w:tcMar>
            <w:vAlign w:val="bottom"/>
          </w:tcPr>
          <w:p w14:paraId="7C611E7F" w14:textId="75805358"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TP</w:t>
            </w:r>
          </w:p>
        </w:tc>
        <w:tc>
          <w:tcPr>
            <w:tcW w:w="413" w:type="pct"/>
            <w:tcBorders>
              <w:bottom w:val="single" w:sz="12" w:space="0" w:color="auto"/>
            </w:tcBorders>
            <w:shd w:val="clear" w:color="auto" w:fill="auto"/>
            <w:tcMar>
              <w:left w:w="57" w:type="dxa"/>
              <w:right w:w="57" w:type="dxa"/>
            </w:tcMar>
            <w:vAlign w:val="bottom"/>
          </w:tcPr>
          <w:p w14:paraId="34DBFAEE" w14:textId="77777777"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YP</w:t>
            </w:r>
          </w:p>
        </w:tc>
        <w:tc>
          <w:tcPr>
            <w:tcW w:w="458" w:type="pct"/>
            <w:tcBorders>
              <w:bottom w:val="single" w:sz="12" w:space="0" w:color="auto"/>
            </w:tcBorders>
            <w:shd w:val="clear" w:color="auto" w:fill="auto"/>
            <w:tcMar>
              <w:left w:w="57" w:type="dxa"/>
              <w:right w:w="57" w:type="dxa"/>
            </w:tcMar>
            <w:vAlign w:val="bottom"/>
          </w:tcPr>
          <w:p w14:paraId="76363B9F" w14:textId="0E46754C"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Toplam</w:t>
            </w:r>
          </w:p>
        </w:tc>
      </w:tr>
      <w:tr w:rsidR="0027513D" w:rsidRPr="00FB38E1" w14:paraId="07C6F349" w14:textId="77777777" w:rsidTr="00D2745C">
        <w:trPr>
          <w:trHeight w:val="38"/>
        </w:trPr>
        <w:tc>
          <w:tcPr>
            <w:tcW w:w="232" w:type="pct"/>
            <w:tcBorders>
              <w:top w:val="single" w:sz="12" w:space="0" w:color="auto"/>
            </w:tcBorders>
            <w:tcMar>
              <w:left w:w="57" w:type="dxa"/>
              <w:right w:w="57" w:type="dxa"/>
            </w:tcMar>
            <w:vAlign w:val="bottom"/>
          </w:tcPr>
          <w:p w14:paraId="4EBCE767" w14:textId="4193E214"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w:t>
            </w:r>
          </w:p>
        </w:tc>
        <w:tc>
          <w:tcPr>
            <w:tcW w:w="1816" w:type="pct"/>
            <w:tcBorders>
              <w:top w:val="single" w:sz="12" w:space="0" w:color="auto"/>
            </w:tcBorders>
            <w:tcMar>
              <w:left w:w="57" w:type="dxa"/>
              <w:right w:w="57" w:type="dxa"/>
            </w:tcMar>
            <w:vAlign w:val="bottom"/>
          </w:tcPr>
          <w:p w14:paraId="40064AA9" w14:textId="1194F4C7"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xml:space="preserve">MEVDUAT  </w:t>
            </w:r>
          </w:p>
        </w:tc>
        <w:tc>
          <w:tcPr>
            <w:tcW w:w="240" w:type="pct"/>
            <w:tcBorders>
              <w:top w:val="single" w:sz="12" w:space="0" w:color="auto"/>
            </w:tcBorders>
            <w:shd w:val="clear" w:color="auto" w:fill="auto"/>
            <w:noWrap/>
            <w:tcMar>
              <w:left w:w="57" w:type="dxa"/>
              <w:right w:w="57" w:type="dxa"/>
            </w:tcMar>
            <w:vAlign w:val="bottom"/>
          </w:tcPr>
          <w:p w14:paraId="4C6B12FB" w14:textId="1CEB02E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(5.II.a)</w:t>
            </w:r>
          </w:p>
        </w:tc>
        <w:tc>
          <w:tcPr>
            <w:tcW w:w="459" w:type="pct"/>
            <w:tcBorders>
              <w:top w:val="single" w:sz="12" w:space="0" w:color="auto"/>
            </w:tcBorders>
            <w:vAlign w:val="bottom"/>
          </w:tcPr>
          <w:p w14:paraId="57CD9BB7" w14:textId="78655608"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561.093.144</w:t>
            </w:r>
          </w:p>
        </w:tc>
        <w:tc>
          <w:tcPr>
            <w:tcW w:w="466" w:type="pct"/>
            <w:tcBorders>
              <w:top w:val="single" w:sz="12" w:space="0" w:color="auto"/>
            </w:tcBorders>
            <w:vAlign w:val="bottom"/>
          </w:tcPr>
          <w:p w14:paraId="32DD8276" w14:textId="0BEE5B8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201.348.672</w:t>
            </w:r>
          </w:p>
        </w:tc>
        <w:tc>
          <w:tcPr>
            <w:tcW w:w="511" w:type="pct"/>
            <w:tcBorders>
              <w:top w:val="single" w:sz="12" w:space="0" w:color="auto"/>
            </w:tcBorders>
            <w:vAlign w:val="bottom"/>
          </w:tcPr>
          <w:p w14:paraId="50E0B905" w14:textId="15A00A6A"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762.441.816</w:t>
            </w:r>
          </w:p>
        </w:tc>
        <w:tc>
          <w:tcPr>
            <w:tcW w:w="406" w:type="pct"/>
            <w:tcBorders>
              <w:top w:val="single" w:sz="12" w:space="0" w:color="auto"/>
            </w:tcBorders>
            <w:tcMar>
              <w:left w:w="57" w:type="dxa"/>
              <w:right w:w="57" w:type="dxa"/>
            </w:tcMar>
            <w:vAlign w:val="bottom"/>
          </w:tcPr>
          <w:p w14:paraId="42C3FC01" w14:textId="4659D5E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399.165.266</w:t>
            </w:r>
          </w:p>
        </w:tc>
        <w:tc>
          <w:tcPr>
            <w:tcW w:w="413" w:type="pct"/>
            <w:tcBorders>
              <w:top w:val="single" w:sz="12" w:space="0" w:color="auto"/>
            </w:tcBorders>
            <w:tcMar>
              <w:left w:w="57" w:type="dxa"/>
              <w:right w:w="57" w:type="dxa"/>
            </w:tcMar>
            <w:vAlign w:val="bottom"/>
          </w:tcPr>
          <w:p w14:paraId="73A77D83" w14:textId="29028DA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203.827.371</w:t>
            </w:r>
          </w:p>
        </w:tc>
        <w:tc>
          <w:tcPr>
            <w:tcW w:w="458" w:type="pct"/>
            <w:tcBorders>
              <w:top w:val="single" w:sz="12" w:space="0" w:color="auto"/>
            </w:tcBorders>
            <w:tcMar>
              <w:left w:w="57" w:type="dxa"/>
              <w:right w:w="57" w:type="dxa"/>
            </w:tcMar>
            <w:vAlign w:val="bottom"/>
          </w:tcPr>
          <w:p w14:paraId="7B8711E8" w14:textId="06A01C3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602.992.637</w:t>
            </w:r>
          </w:p>
        </w:tc>
      </w:tr>
      <w:tr w:rsidR="0027513D" w:rsidRPr="00FB38E1" w14:paraId="0FBDCCCC" w14:textId="77777777" w:rsidTr="00CA7FAB">
        <w:trPr>
          <w:trHeight w:val="170"/>
        </w:trPr>
        <w:tc>
          <w:tcPr>
            <w:tcW w:w="232" w:type="pct"/>
            <w:tcMar>
              <w:left w:w="57" w:type="dxa"/>
              <w:right w:w="57" w:type="dxa"/>
            </w:tcMar>
            <w:vAlign w:val="bottom"/>
          </w:tcPr>
          <w:p w14:paraId="766FF0B0" w14:textId="508DEAC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II.</w:t>
            </w:r>
          </w:p>
        </w:tc>
        <w:tc>
          <w:tcPr>
            <w:tcW w:w="1816" w:type="pct"/>
            <w:tcMar>
              <w:left w:w="57" w:type="dxa"/>
              <w:right w:w="57" w:type="dxa"/>
            </w:tcMar>
            <w:vAlign w:val="bottom"/>
          </w:tcPr>
          <w:p w14:paraId="3F71807B" w14:textId="7BB6574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ALINAN KREDİLER</w:t>
            </w:r>
          </w:p>
        </w:tc>
        <w:tc>
          <w:tcPr>
            <w:tcW w:w="240" w:type="pct"/>
            <w:shd w:val="clear" w:color="auto" w:fill="auto"/>
            <w:noWrap/>
            <w:tcMar>
              <w:left w:w="57" w:type="dxa"/>
              <w:right w:w="57" w:type="dxa"/>
            </w:tcMar>
            <w:vAlign w:val="bottom"/>
          </w:tcPr>
          <w:p w14:paraId="005AC1EF" w14:textId="639F328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(5.II.c)</w:t>
            </w:r>
          </w:p>
        </w:tc>
        <w:tc>
          <w:tcPr>
            <w:tcW w:w="459" w:type="pct"/>
            <w:vAlign w:val="bottom"/>
          </w:tcPr>
          <w:p w14:paraId="54133B6D" w14:textId="4BB6A4F8"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817.837</w:t>
            </w:r>
          </w:p>
        </w:tc>
        <w:tc>
          <w:tcPr>
            <w:tcW w:w="466" w:type="pct"/>
            <w:vAlign w:val="bottom"/>
          </w:tcPr>
          <w:p w14:paraId="71A56A55" w14:textId="0C3A752B"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229.543.737</w:t>
            </w:r>
          </w:p>
        </w:tc>
        <w:tc>
          <w:tcPr>
            <w:tcW w:w="511" w:type="pct"/>
            <w:vAlign w:val="bottom"/>
          </w:tcPr>
          <w:p w14:paraId="620CA923" w14:textId="53C19629"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230.361.574</w:t>
            </w:r>
          </w:p>
        </w:tc>
        <w:tc>
          <w:tcPr>
            <w:tcW w:w="406" w:type="pct"/>
            <w:tcMar>
              <w:left w:w="57" w:type="dxa"/>
              <w:right w:w="57" w:type="dxa"/>
            </w:tcMar>
            <w:vAlign w:val="bottom"/>
          </w:tcPr>
          <w:p w14:paraId="34CE99BC" w14:textId="4271C44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998.809</w:t>
            </w:r>
          </w:p>
        </w:tc>
        <w:tc>
          <w:tcPr>
            <w:tcW w:w="413" w:type="pct"/>
            <w:tcMar>
              <w:left w:w="57" w:type="dxa"/>
              <w:right w:w="57" w:type="dxa"/>
            </w:tcMar>
            <w:vAlign w:val="bottom"/>
          </w:tcPr>
          <w:p w14:paraId="74EC85B4" w14:textId="3C96F62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141.407.777</w:t>
            </w:r>
          </w:p>
        </w:tc>
        <w:tc>
          <w:tcPr>
            <w:tcW w:w="458" w:type="pct"/>
            <w:tcMar>
              <w:left w:w="57" w:type="dxa"/>
              <w:right w:w="57" w:type="dxa"/>
            </w:tcMar>
            <w:vAlign w:val="bottom"/>
          </w:tcPr>
          <w:p w14:paraId="30D252C3" w14:textId="38A7D85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142.406.586</w:t>
            </w:r>
          </w:p>
        </w:tc>
      </w:tr>
      <w:tr w:rsidR="0027513D" w:rsidRPr="00FB38E1" w14:paraId="4E429D5A" w14:textId="77777777" w:rsidTr="00CA7FAB">
        <w:trPr>
          <w:trHeight w:val="170"/>
        </w:trPr>
        <w:tc>
          <w:tcPr>
            <w:tcW w:w="232" w:type="pct"/>
            <w:tcMar>
              <w:left w:w="57" w:type="dxa"/>
              <w:right w:w="57" w:type="dxa"/>
            </w:tcMar>
            <w:vAlign w:val="bottom"/>
          </w:tcPr>
          <w:p w14:paraId="7F666C4C" w14:textId="1A32CB9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III.</w:t>
            </w:r>
          </w:p>
        </w:tc>
        <w:tc>
          <w:tcPr>
            <w:tcW w:w="1816" w:type="pct"/>
            <w:tcMar>
              <w:left w:w="57" w:type="dxa"/>
              <w:right w:w="57" w:type="dxa"/>
            </w:tcMar>
            <w:vAlign w:val="bottom"/>
          </w:tcPr>
          <w:p w14:paraId="175596AC" w14:textId="29B4AA0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PARA PİYASALARINA BORÇLAR</w:t>
            </w:r>
          </w:p>
        </w:tc>
        <w:tc>
          <w:tcPr>
            <w:tcW w:w="240" w:type="pct"/>
            <w:shd w:val="clear" w:color="auto" w:fill="auto"/>
            <w:noWrap/>
            <w:tcMar>
              <w:left w:w="57" w:type="dxa"/>
              <w:right w:w="57" w:type="dxa"/>
            </w:tcMar>
            <w:vAlign w:val="bottom"/>
          </w:tcPr>
          <w:p w14:paraId="49821016" w14:textId="3A873DC2"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0517B7D4" w14:textId="5DFB4D63"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2.003</w:t>
            </w:r>
          </w:p>
        </w:tc>
        <w:tc>
          <w:tcPr>
            <w:tcW w:w="466" w:type="pct"/>
            <w:vAlign w:val="bottom"/>
          </w:tcPr>
          <w:p w14:paraId="33AB709F" w14:textId="56C9C815"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34.815.575</w:t>
            </w:r>
          </w:p>
        </w:tc>
        <w:tc>
          <w:tcPr>
            <w:tcW w:w="511" w:type="pct"/>
            <w:vAlign w:val="bottom"/>
          </w:tcPr>
          <w:p w14:paraId="0BC104D9" w14:textId="26DB4160"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34.817.578</w:t>
            </w:r>
          </w:p>
        </w:tc>
        <w:tc>
          <w:tcPr>
            <w:tcW w:w="406" w:type="pct"/>
            <w:tcMar>
              <w:left w:w="57" w:type="dxa"/>
              <w:right w:w="57" w:type="dxa"/>
            </w:tcMar>
            <w:vAlign w:val="bottom"/>
          </w:tcPr>
          <w:p w14:paraId="1DB00066" w14:textId="2F0A36D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100.358</w:t>
            </w:r>
          </w:p>
        </w:tc>
        <w:tc>
          <w:tcPr>
            <w:tcW w:w="413" w:type="pct"/>
            <w:tcMar>
              <w:left w:w="57" w:type="dxa"/>
              <w:right w:w="57" w:type="dxa"/>
            </w:tcMar>
            <w:vAlign w:val="bottom"/>
          </w:tcPr>
          <w:p w14:paraId="040C0BD2" w14:textId="02541E1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51.874.091</w:t>
            </w:r>
          </w:p>
        </w:tc>
        <w:tc>
          <w:tcPr>
            <w:tcW w:w="458" w:type="pct"/>
            <w:tcMar>
              <w:left w:w="57" w:type="dxa"/>
              <w:right w:w="57" w:type="dxa"/>
            </w:tcMar>
            <w:vAlign w:val="bottom"/>
          </w:tcPr>
          <w:p w14:paraId="5D2E24B2" w14:textId="550DBAF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51.974.449</w:t>
            </w:r>
          </w:p>
        </w:tc>
      </w:tr>
      <w:tr w:rsidR="0027513D" w:rsidRPr="00FB38E1" w14:paraId="678C0B4E" w14:textId="77777777" w:rsidTr="00CA7FAB">
        <w:trPr>
          <w:trHeight w:val="170"/>
        </w:trPr>
        <w:tc>
          <w:tcPr>
            <w:tcW w:w="232" w:type="pct"/>
            <w:tcMar>
              <w:left w:w="57" w:type="dxa"/>
              <w:right w:w="57" w:type="dxa"/>
            </w:tcMar>
            <w:vAlign w:val="bottom"/>
          </w:tcPr>
          <w:p w14:paraId="6C9B539E" w14:textId="785BDF69"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IV.</w:t>
            </w:r>
          </w:p>
        </w:tc>
        <w:tc>
          <w:tcPr>
            <w:tcW w:w="1816" w:type="pct"/>
            <w:tcMar>
              <w:left w:w="57" w:type="dxa"/>
              <w:right w:w="57" w:type="dxa"/>
            </w:tcMar>
            <w:vAlign w:val="bottom"/>
          </w:tcPr>
          <w:p w14:paraId="1DE3D102" w14:textId="6CFB2DDE"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xml:space="preserve">İHRAÇ EDİLEN MENKUL KIYMETLER (Net)  </w:t>
            </w:r>
          </w:p>
        </w:tc>
        <w:tc>
          <w:tcPr>
            <w:tcW w:w="240" w:type="pct"/>
            <w:shd w:val="clear" w:color="auto" w:fill="auto"/>
            <w:noWrap/>
            <w:tcMar>
              <w:left w:w="57" w:type="dxa"/>
              <w:right w:w="57" w:type="dxa"/>
            </w:tcMar>
            <w:vAlign w:val="bottom"/>
          </w:tcPr>
          <w:p w14:paraId="47D5EFE6" w14:textId="588122B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(5.II.d)</w:t>
            </w:r>
          </w:p>
        </w:tc>
        <w:tc>
          <w:tcPr>
            <w:tcW w:w="459" w:type="pct"/>
            <w:vAlign w:val="bottom"/>
          </w:tcPr>
          <w:p w14:paraId="1E3B8CAB" w14:textId="5EF2B4D5"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1A6A45E6" w14:textId="2940618A"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54.160.925</w:t>
            </w:r>
          </w:p>
        </w:tc>
        <w:tc>
          <w:tcPr>
            <w:tcW w:w="511" w:type="pct"/>
            <w:vAlign w:val="bottom"/>
          </w:tcPr>
          <w:p w14:paraId="681F5B51" w14:textId="399381A4"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54.160.925</w:t>
            </w:r>
          </w:p>
        </w:tc>
        <w:tc>
          <w:tcPr>
            <w:tcW w:w="406" w:type="pct"/>
            <w:tcMar>
              <w:left w:w="57" w:type="dxa"/>
              <w:right w:w="57" w:type="dxa"/>
            </w:tcMar>
            <w:vAlign w:val="bottom"/>
          </w:tcPr>
          <w:p w14:paraId="756130E7" w14:textId="77BC522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2C9E12C4" w14:textId="0683EEC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20.259.843</w:t>
            </w:r>
          </w:p>
        </w:tc>
        <w:tc>
          <w:tcPr>
            <w:tcW w:w="458" w:type="pct"/>
            <w:tcMar>
              <w:left w:w="57" w:type="dxa"/>
              <w:right w:w="57" w:type="dxa"/>
            </w:tcMar>
            <w:vAlign w:val="bottom"/>
          </w:tcPr>
          <w:p w14:paraId="4742C4FD" w14:textId="0E5F4C1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20.259.843</w:t>
            </w:r>
          </w:p>
        </w:tc>
      </w:tr>
      <w:tr w:rsidR="0027513D" w:rsidRPr="00FB38E1" w14:paraId="255F3B69" w14:textId="77777777" w:rsidTr="00CA7FAB">
        <w:trPr>
          <w:trHeight w:val="170"/>
        </w:trPr>
        <w:tc>
          <w:tcPr>
            <w:tcW w:w="232" w:type="pct"/>
            <w:tcMar>
              <w:left w:w="57" w:type="dxa"/>
              <w:right w:w="57" w:type="dxa"/>
            </w:tcMar>
            <w:vAlign w:val="bottom"/>
          </w:tcPr>
          <w:p w14:paraId="029A90AC" w14:textId="6B449FCE"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4.1</w:t>
            </w:r>
          </w:p>
        </w:tc>
        <w:tc>
          <w:tcPr>
            <w:tcW w:w="1816" w:type="pct"/>
            <w:tcMar>
              <w:left w:w="57" w:type="dxa"/>
              <w:right w:w="57" w:type="dxa"/>
            </w:tcMar>
            <w:vAlign w:val="bottom"/>
          </w:tcPr>
          <w:p w14:paraId="7EACC815" w14:textId="7E624223"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Bonolar</w:t>
            </w:r>
          </w:p>
        </w:tc>
        <w:tc>
          <w:tcPr>
            <w:tcW w:w="240" w:type="pct"/>
            <w:shd w:val="clear" w:color="auto" w:fill="auto"/>
            <w:noWrap/>
            <w:tcMar>
              <w:left w:w="57" w:type="dxa"/>
              <w:right w:w="57" w:type="dxa"/>
            </w:tcMar>
            <w:vAlign w:val="bottom"/>
          </w:tcPr>
          <w:p w14:paraId="4584D746" w14:textId="65F16CD0"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53DA2013" w14:textId="5D58BA6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2AD0FB1D" w14:textId="4F0EC8B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10.018.359</w:t>
            </w:r>
          </w:p>
        </w:tc>
        <w:tc>
          <w:tcPr>
            <w:tcW w:w="511" w:type="pct"/>
            <w:vAlign w:val="bottom"/>
          </w:tcPr>
          <w:p w14:paraId="77383F55" w14:textId="31545EE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10.018.359</w:t>
            </w:r>
          </w:p>
        </w:tc>
        <w:tc>
          <w:tcPr>
            <w:tcW w:w="406" w:type="pct"/>
            <w:tcMar>
              <w:left w:w="57" w:type="dxa"/>
              <w:right w:w="57" w:type="dxa"/>
            </w:tcMar>
            <w:vAlign w:val="bottom"/>
          </w:tcPr>
          <w:p w14:paraId="14437CC3" w14:textId="66CF6ED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7C1600A1" w14:textId="250B0345"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1.516.251</w:t>
            </w:r>
          </w:p>
        </w:tc>
        <w:tc>
          <w:tcPr>
            <w:tcW w:w="458" w:type="pct"/>
            <w:tcMar>
              <w:left w:w="57" w:type="dxa"/>
              <w:right w:w="57" w:type="dxa"/>
            </w:tcMar>
            <w:vAlign w:val="bottom"/>
          </w:tcPr>
          <w:p w14:paraId="73231EBD" w14:textId="570007C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1.516.251</w:t>
            </w:r>
          </w:p>
        </w:tc>
      </w:tr>
      <w:tr w:rsidR="0027513D" w:rsidRPr="00FB38E1" w14:paraId="13F5C214" w14:textId="77777777" w:rsidTr="00CA7FAB">
        <w:trPr>
          <w:trHeight w:val="170"/>
        </w:trPr>
        <w:tc>
          <w:tcPr>
            <w:tcW w:w="232" w:type="pct"/>
            <w:tcMar>
              <w:left w:w="57" w:type="dxa"/>
              <w:right w:w="57" w:type="dxa"/>
            </w:tcMar>
            <w:vAlign w:val="bottom"/>
          </w:tcPr>
          <w:p w14:paraId="517703A2" w14:textId="2A547C27"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4.2</w:t>
            </w:r>
          </w:p>
        </w:tc>
        <w:tc>
          <w:tcPr>
            <w:tcW w:w="1816" w:type="pct"/>
            <w:tcMar>
              <w:left w:w="57" w:type="dxa"/>
              <w:right w:w="57" w:type="dxa"/>
            </w:tcMar>
            <w:vAlign w:val="bottom"/>
          </w:tcPr>
          <w:p w14:paraId="5DD34B8C" w14:textId="5253FBE1"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Varlığa Dayalı Menkul Kıymetler</w:t>
            </w:r>
          </w:p>
        </w:tc>
        <w:tc>
          <w:tcPr>
            <w:tcW w:w="240" w:type="pct"/>
            <w:shd w:val="clear" w:color="auto" w:fill="auto"/>
            <w:noWrap/>
            <w:tcMar>
              <w:left w:w="57" w:type="dxa"/>
              <w:right w:w="57" w:type="dxa"/>
            </w:tcMar>
            <w:vAlign w:val="bottom"/>
          </w:tcPr>
          <w:p w14:paraId="0E0610B4" w14:textId="4C02F35E"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05F80002" w14:textId="0A2386D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2550A96B" w14:textId="67E25E0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6954C9AA" w14:textId="4E3D820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19BB90E0" w14:textId="219B2C0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4BB19FCA" w14:textId="554786D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784BEDFC" w14:textId="0B71426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1582D0B0" w14:textId="77777777" w:rsidTr="00CA7FAB">
        <w:trPr>
          <w:trHeight w:val="170"/>
        </w:trPr>
        <w:tc>
          <w:tcPr>
            <w:tcW w:w="232" w:type="pct"/>
            <w:tcMar>
              <w:left w:w="57" w:type="dxa"/>
              <w:right w:w="57" w:type="dxa"/>
            </w:tcMar>
            <w:vAlign w:val="bottom"/>
          </w:tcPr>
          <w:p w14:paraId="56233189" w14:textId="4E3D1AA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4.3</w:t>
            </w:r>
          </w:p>
        </w:tc>
        <w:tc>
          <w:tcPr>
            <w:tcW w:w="1816" w:type="pct"/>
            <w:tcMar>
              <w:left w:w="57" w:type="dxa"/>
              <w:right w:w="57" w:type="dxa"/>
            </w:tcMar>
            <w:vAlign w:val="bottom"/>
          </w:tcPr>
          <w:p w14:paraId="1F303E6C" w14:textId="076515D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Tahviller</w:t>
            </w:r>
          </w:p>
        </w:tc>
        <w:tc>
          <w:tcPr>
            <w:tcW w:w="240" w:type="pct"/>
            <w:shd w:val="clear" w:color="auto" w:fill="auto"/>
            <w:noWrap/>
            <w:tcMar>
              <w:left w:w="57" w:type="dxa"/>
              <w:right w:w="57" w:type="dxa"/>
            </w:tcMar>
            <w:vAlign w:val="bottom"/>
          </w:tcPr>
          <w:p w14:paraId="18D76D0F" w14:textId="283F3EDB"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2366297F" w14:textId="2F32CFAC"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2AD0CAE2" w14:textId="33A7CAB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44.142.566</w:t>
            </w:r>
          </w:p>
        </w:tc>
        <w:tc>
          <w:tcPr>
            <w:tcW w:w="511" w:type="pct"/>
            <w:vAlign w:val="bottom"/>
          </w:tcPr>
          <w:p w14:paraId="6FD96364" w14:textId="0D421F1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44.142.566</w:t>
            </w:r>
          </w:p>
        </w:tc>
        <w:tc>
          <w:tcPr>
            <w:tcW w:w="406" w:type="pct"/>
            <w:tcMar>
              <w:left w:w="57" w:type="dxa"/>
              <w:right w:w="57" w:type="dxa"/>
            </w:tcMar>
            <w:vAlign w:val="bottom"/>
          </w:tcPr>
          <w:p w14:paraId="1B7F984A" w14:textId="39098F1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09021F6F" w14:textId="785E60D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18.743.592</w:t>
            </w:r>
          </w:p>
        </w:tc>
        <w:tc>
          <w:tcPr>
            <w:tcW w:w="458" w:type="pct"/>
            <w:tcMar>
              <w:left w:w="57" w:type="dxa"/>
              <w:right w:w="57" w:type="dxa"/>
            </w:tcMar>
            <w:vAlign w:val="bottom"/>
          </w:tcPr>
          <w:p w14:paraId="317CA2EB" w14:textId="2250B2F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18.743.592</w:t>
            </w:r>
          </w:p>
        </w:tc>
      </w:tr>
      <w:tr w:rsidR="0027513D" w:rsidRPr="00FB38E1" w14:paraId="002EA477" w14:textId="77777777" w:rsidTr="00CA7FAB">
        <w:trPr>
          <w:trHeight w:val="170"/>
        </w:trPr>
        <w:tc>
          <w:tcPr>
            <w:tcW w:w="232" w:type="pct"/>
            <w:tcMar>
              <w:left w:w="57" w:type="dxa"/>
              <w:right w:w="57" w:type="dxa"/>
            </w:tcMar>
            <w:vAlign w:val="bottom"/>
          </w:tcPr>
          <w:p w14:paraId="568CB612" w14:textId="6830E9C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V.</w:t>
            </w:r>
          </w:p>
        </w:tc>
        <w:tc>
          <w:tcPr>
            <w:tcW w:w="1816" w:type="pct"/>
            <w:tcMar>
              <w:left w:w="57" w:type="dxa"/>
              <w:right w:w="57" w:type="dxa"/>
            </w:tcMar>
            <w:vAlign w:val="bottom"/>
          </w:tcPr>
          <w:p w14:paraId="6F31AAFA" w14:textId="78F1E69B"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FONLAR</w:t>
            </w:r>
          </w:p>
        </w:tc>
        <w:tc>
          <w:tcPr>
            <w:tcW w:w="240" w:type="pct"/>
            <w:shd w:val="clear" w:color="auto" w:fill="auto"/>
            <w:noWrap/>
            <w:tcMar>
              <w:left w:w="57" w:type="dxa"/>
              <w:right w:w="57" w:type="dxa"/>
            </w:tcMar>
            <w:vAlign w:val="bottom"/>
          </w:tcPr>
          <w:p w14:paraId="5F791BE0" w14:textId="1D5B2C01"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7E1B8856" w14:textId="3FC3135B"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5F4DB34C" w14:textId="26A6265D"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47FAFFD8" w14:textId="475D87A5"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442F3F4F" w14:textId="4C1A6FF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639C98DB" w14:textId="7CF2527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09A0FDA0" w14:textId="3D051A3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r>
      <w:tr w:rsidR="0027513D" w:rsidRPr="00FB38E1" w14:paraId="39A2D3C2" w14:textId="77777777" w:rsidTr="00CA7FAB">
        <w:trPr>
          <w:trHeight w:val="170"/>
        </w:trPr>
        <w:tc>
          <w:tcPr>
            <w:tcW w:w="232" w:type="pct"/>
            <w:tcMar>
              <w:left w:w="57" w:type="dxa"/>
              <w:right w:w="57" w:type="dxa"/>
            </w:tcMar>
            <w:vAlign w:val="bottom"/>
          </w:tcPr>
          <w:p w14:paraId="18682BB2" w14:textId="7C2E778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5.1</w:t>
            </w:r>
          </w:p>
        </w:tc>
        <w:tc>
          <w:tcPr>
            <w:tcW w:w="1816" w:type="pct"/>
            <w:tcMar>
              <w:left w:w="57" w:type="dxa"/>
              <w:right w:w="57" w:type="dxa"/>
            </w:tcMar>
            <w:vAlign w:val="bottom"/>
          </w:tcPr>
          <w:p w14:paraId="6F61038F" w14:textId="79E57BC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Müstakrizlerin Fonları</w:t>
            </w:r>
          </w:p>
        </w:tc>
        <w:tc>
          <w:tcPr>
            <w:tcW w:w="240" w:type="pct"/>
            <w:shd w:val="clear" w:color="auto" w:fill="auto"/>
            <w:noWrap/>
            <w:tcMar>
              <w:left w:w="57" w:type="dxa"/>
              <w:right w:w="57" w:type="dxa"/>
            </w:tcMar>
            <w:vAlign w:val="bottom"/>
          </w:tcPr>
          <w:p w14:paraId="77D2807C" w14:textId="4DB3F10A"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19293294" w14:textId="5B4F9E3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4AA6FB80" w14:textId="799D71E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4392F53A" w14:textId="025B6B2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61980AE8" w14:textId="1953C26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20E75BD9" w14:textId="07AA501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66BB4715" w14:textId="38CF252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r>
      <w:tr w:rsidR="0027513D" w:rsidRPr="00FB38E1" w14:paraId="205D93CB" w14:textId="77777777" w:rsidTr="00CA7FAB">
        <w:trPr>
          <w:trHeight w:val="170"/>
        </w:trPr>
        <w:tc>
          <w:tcPr>
            <w:tcW w:w="232" w:type="pct"/>
            <w:tcMar>
              <w:left w:w="57" w:type="dxa"/>
              <w:right w:w="57" w:type="dxa"/>
            </w:tcMar>
            <w:vAlign w:val="bottom"/>
          </w:tcPr>
          <w:p w14:paraId="36A29F3B" w14:textId="4A866224"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5.2</w:t>
            </w:r>
          </w:p>
        </w:tc>
        <w:tc>
          <w:tcPr>
            <w:tcW w:w="1816" w:type="pct"/>
            <w:tcMar>
              <w:left w:w="57" w:type="dxa"/>
              <w:right w:w="57" w:type="dxa"/>
            </w:tcMar>
            <w:vAlign w:val="bottom"/>
          </w:tcPr>
          <w:p w14:paraId="17C3678A" w14:textId="7D6E8636"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Diğer</w:t>
            </w:r>
          </w:p>
        </w:tc>
        <w:tc>
          <w:tcPr>
            <w:tcW w:w="240" w:type="pct"/>
            <w:shd w:val="clear" w:color="auto" w:fill="auto"/>
            <w:noWrap/>
            <w:tcMar>
              <w:left w:w="57" w:type="dxa"/>
              <w:right w:w="57" w:type="dxa"/>
            </w:tcMar>
            <w:vAlign w:val="bottom"/>
          </w:tcPr>
          <w:p w14:paraId="3E67C916" w14:textId="2710C328"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203026C1" w14:textId="4E32E6F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609BD32C" w14:textId="5196628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7F51B4D4" w14:textId="2A6B9358"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2E9A346C" w14:textId="4475BFDB"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6CD9EE7F" w14:textId="70BC3A09"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7F9F611D" w14:textId="4F9464C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3E5CCCFF" w14:textId="77777777" w:rsidTr="00CA7FAB">
        <w:trPr>
          <w:trHeight w:val="170"/>
        </w:trPr>
        <w:tc>
          <w:tcPr>
            <w:tcW w:w="232" w:type="pct"/>
            <w:tcMar>
              <w:left w:w="57" w:type="dxa"/>
              <w:right w:w="57" w:type="dxa"/>
            </w:tcMar>
          </w:tcPr>
          <w:p w14:paraId="40FB88C5" w14:textId="2398882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VI.</w:t>
            </w:r>
          </w:p>
        </w:tc>
        <w:tc>
          <w:tcPr>
            <w:tcW w:w="1816" w:type="pct"/>
            <w:tcMar>
              <w:left w:w="57" w:type="dxa"/>
              <w:right w:w="57" w:type="dxa"/>
            </w:tcMar>
            <w:vAlign w:val="bottom"/>
          </w:tcPr>
          <w:p w14:paraId="0CBAC5FC" w14:textId="413A503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GERÇEĞE UYGUN DEĞER FARKI KAR ZARARA YANSITILAN FİNANSAL YÜKÜMLÜLÜKLER</w:t>
            </w:r>
          </w:p>
        </w:tc>
        <w:tc>
          <w:tcPr>
            <w:tcW w:w="240" w:type="pct"/>
            <w:shd w:val="clear" w:color="auto" w:fill="auto"/>
            <w:noWrap/>
            <w:tcMar>
              <w:left w:w="57" w:type="dxa"/>
              <w:right w:w="57" w:type="dxa"/>
            </w:tcMar>
            <w:vAlign w:val="bottom"/>
          </w:tcPr>
          <w:p w14:paraId="744A14E8" w14:textId="0B32DBD6"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5789340C" w14:textId="382E044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287DE42C" w14:textId="0AEA2B7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362249C3" w14:textId="66E4432C"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5911099B" w14:textId="225E561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7DAA6CED" w14:textId="439906A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0E21B656" w14:textId="004855D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r>
      <w:tr w:rsidR="0027513D" w:rsidRPr="00FB38E1" w14:paraId="672C6353" w14:textId="77777777" w:rsidTr="00CA7FAB">
        <w:trPr>
          <w:trHeight w:val="170"/>
        </w:trPr>
        <w:tc>
          <w:tcPr>
            <w:tcW w:w="232" w:type="pct"/>
            <w:tcMar>
              <w:left w:w="57" w:type="dxa"/>
              <w:right w:w="57" w:type="dxa"/>
            </w:tcMar>
            <w:vAlign w:val="bottom"/>
          </w:tcPr>
          <w:p w14:paraId="09311E9E" w14:textId="6BBB5020"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VII.</w:t>
            </w:r>
          </w:p>
        </w:tc>
        <w:tc>
          <w:tcPr>
            <w:tcW w:w="1816" w:type="pct"/>
            <w:tcMar>
              <w:left w:w="57" w:type="dxa"/>
              <w:right w:w="57" w:type="dxa"/>
            </w:tcMar>
            <w:vAlign w:val="bottom"/>
          </w:tcPr>
          <w:p w14:paraId="3C704DEB" w14:textId="239F748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TÜREV FİNANSAL YÜKÜMLÜLÜKLER</w:t>
            </w:r>
          </w:p>
        </w:tc>
        <w:tc>
          <w:tcPr>
            <w:tcW w:w="240" w:type="pct"/>
            <w:shd w:val="clear" w:color="auto" w:fill="auto"/>
            <w:noWrap/>
            <w:tcMar>
              <w:left w:w="57" w:type="dxa"/>
              <w:right w:w="57" w:type="dxa"/>
            </w:tcMar>
            <w:vAlign w:val="bottom"/>
          </w:tcPr>
          <w:p w14:paraId="3B6A04E4" w14:textId="392853FE"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6D9E9E68" w14:textId="254F57AA"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313</w:t>
            </w:r>
          </w:p>
        </w:tc>
        <w:tc>
          <w:tcPr>
            <w:tcW w:w="466" w:type="pct"/>
            <w:vAlign w:val="bottom"/>
          </w:tcPr>
          <w:p w14:paraId="278B56BD" w14:textId="6BC0A51A"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5.115.168</w:t>
            </w:r>
          </w:p>
        </w:tc>
        <w:tc>
          <w:tcPr>
            <w:tcW w:w="511" w:type="pct"/>
            <w:vAlign w:val="bottom"/>
          </w:tcPr>
          <w:p w14:paraId="7EA40E9F" w14:textId="5FD281A3"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5.115.481</w:t>
            </w:r>
          </w:p>
        </w:tc>
        <w:tc>
          <w:tcPr>
            <w:tcW w:w="406" w:type="pct"/>
            <w:tcMar>
              <w:left w:w="57" w:type="dxa"/>
              <w:right w:w="57" w:type="dxa"/>
            </w:tcMar>
            <w:vAlign w:val="bottom"/>
          </w:tcPr>
          <w:p w14:paraId="6D4A7478" w14:textId="6431910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400.598</w:t>
            </w:r>
          </w:p>
        </w:tc>
        <w:tc>
          <w:tcPr>
            <w:tcW w:w="413" w:type="pct"/>
            <w:tcMar>
              <w:left w:w="57" w:type="dxa"/>
              <w:right w:w="57" w:type="dxa"/>
            </w:tcMar>
            <w:vAlign w:val="bottom"/>
          </w:tcPr>
          <w:p w14:paraId="5C631109" w14:textId="0AAFC37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2.445.767</w:t>
            </w:r>
          </w:p>
        </w:tc>
        <w:tc>
          <w:tcPr>
            <w:tcW w:w="458" w:type="pct"/>
            <w:tcMar>
              <w:left w:w="57" w:type="dxa"/>
              <w:right w:w="57" w:type="dxa"/>
            </w:tcMar>
            <w:vAlign w:val="bottom"/>
          </w:tcPr>
          <w:p w14:paraId="5F916068" w14:textId="3CE8F79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2.846.365</w:t>
            </w:r>
          </w:p>
        </w:tc>
      </w:tr>
      <w:tr w:rsidR="0027513D" w:rsidRPr="00FB38E1" w14:paraId="3D4C4102" w14:textId="77777777" w:rsidTr="00CA7FAB">
        <w:trPr>
          <w:trHeight w:val="170"/>
        </w:trPr>
        <w:tc>
          <w:tcPr>
            <w:tcW w:w="232" w:type="pct"/>
            <w:tcMar>
              <w:left w:w="57" w:type="dxa"/>
              <w:right w:w="57" w:type="dxa"/>
            </w:tcMar>
          </w:tcPr>
          <w:p w14:paraId="2CEB566C" w14:textId="7BE6D98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7.1</w:t>
            </w:r>
          </w:p>
        </w:tc>
        <w:tc>
          <w:tcPr>
            <w:tcW w:w="1816" w:type="pct"/>
            <w:tcMar>
              <w:left w:w="57" w:type="dxa"/>
              <w:right w:w="57" w:type="dxa"/>
            </w:tcMar>
            <w:vAlign w:val="bottom"/>
          </w:tcPr>
          <w:p w14:paraId="5B5F3CF5" w14:textId="6BFF3474"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Türev Finansal Yükümlülüklerin Gerçeğe Uygun Değer Farkı Kar Zarara Yansıtılan Kısmı</w:t>
            </w:r>
          </w:p>
        </w:tc>
        <w:tc>
          <w:tcPr>
            <w:tcW w:w="240" w:type="pct"/>
            <w:shd w:val="clear" w:color="auto" w:fill="auto"/>
            <w:noWrap/>
            <w:tcMar>
              <w:left w:w="57" w:type="dxa"/>
              <w:right w:w="57" w:type="dxa"/>
            </w:tcMar>
            <w:vAlign w:val="bottom"/>
          </w:tcPr>
          <w:p w14:paraId="6FB26708" w14:textId="0C66D24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(5.II.b)</w:t>
            </w:r>
          </w:p>
        </w:tc>
        <w:tc>
          <w:tcPr>
            <w:tcW w:w="459" w:type="pct"/>
            <w:vAlign w:val="bottom"/>
          </w:tcPr>
          <w:p w14:paraId="3BF7BCF0" w14:textId="6922EB28"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313</w:t>
            </w:r>
          </w:p>
        </w:tc>
        <w:tc>
          <w:tcPr>
            <w:tcW w:w="466" w:type="pct"/>
            <w:vAlign w:val="bottom"/>
          </w:tcPr>
          <w:p w14:paraId="26CA187B" w14:textId="66A7E0C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5.115.168</w:t>
            </w:r>
          </w:p>
        </w:tc>
        <w:tc>
          <w:tcPr>
            <w:tcW w:w="511" w:type="pct"/>
            <w:vAlign w:val="bottom"/>
          </w:tcPr>
          <w:p w14:paraId="6F626AF5" w14:textId="7954C58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5.115.481</w:t>
            </w:r>
          </w:p>
        </w:tc>
        <w:tc>
          <w:tcPr>
            <w:tcW w:w="406" w:type="pct"/>
            <w:tcMar>
              <w:left w:w="57" w:type="dxa"/>
              <w:right w:w="57" w:type="dxa"/>
            </w:tcMar>
            <w:vAlign w:val="bottom"/>
          </w:tcPr>
          <w:p w14:paraId="2A278A8E" w14:textId="6F7A2C8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400.598</w:t>
            </w:r>
          </w:p>
        </w:tc>
        <w:tc>
          <w:tcPr>
            <w:tcW w:w="413" w:type="pct"/>
            <w:tcMar>
              <w:left w:w="57" w:type="dxa"/>
              <w:right w:w="57" w:type="dxa"/>
            </w:tcMar>
            <w:vAlign w:val="bottom"/>
          </w:tcPr>
          <w:p w14:paraId="49FB2BBF" w14:textId="13D79B8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2.445.767</w:t>
            </w:r>
          </w:p>
        </w:tc>
        <w:tc>
          <w:tcPr>
            <w:tcW w:w="458" w:type="pct"/>
            <w:tcMar>
              <w:left w:w="57" w:type="dxa"/>
              <w:right w:w="57" w:type="dxa"/>
            </w:tcMar>
            <w:vAlign w:val="bottom"/>
          </w:tcPr>
          <w:p w14:paraId="43CA2723" w14:textId="3C4EB51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2.846.365</w:t>
            </w:r>
          </w:p>
        </w:tc>
      </w:tr>
      <w:tr w:rsidR="0027513D" w:rsidRPr="00FB38E1" w14:paraId="76F5A9AB" w14:textId="77777777" w:rsidTr="00CA7FAB">
        <w:trPr>
          <w:trHeight w:val="440"/>
        </w:trPr>
        <w:tc>
          <w:tcPr>
            <w:tcW w:w="232" w:type="pct"/>
            <w:tcMar>
              <w:left w:w="57" w:type="dxa"/>
              <w:right w:w="57" w:type="dxa"/>
            </w:tcMar>
          </w:tcPr>
          <w:p w14:paraId="3166B4A8" w14:textId="52FEE576"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7.2</w:t>
            </w:r>
          </w:p>
        </w:tc>
        <w:tc>
          <w:tcPr>
            <w:tcW w:w="1816" w:type="pct"/>
            <w:tcMar>
              <w:left w:w="57" w:type="dxa"/>
              <w:right w:w="57" w:type="dxa"/>
            </w:tcMar>
            <w:vAlign w:val="bottom"/>
          </w:tcPr>
          <w:p w14:paraId="4C2D5D15" w14:textId="32A7BAA9"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Türev Finansal Yükümlülüklerin Gerçeğe Uygun Değer Farkı Diğer Kapsamlı Gelire Yansıtılan Kısmı</w:t>
            </w:r>
          </w:p>
        </w:tc>
        <w:tc>
          <w:tcPr>
            <w:tcW w:w="240" w:type="pct"/>
            <w:shd w:val="clear" w:color="auto" w:fill="auto"/>
            <w:noWrap/>
            <w:tcMar>
              <w:left w:w="57" w:type="dxa"/>
              <w:right w:w="57" w:type="dxa"/>
            </w:tcMar>
            <w:vAlign w:val="bottom"/>
          </w:tcPr>
          <w:p w14:paraId="0358D67C" w14:textId="51E9B7C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(5.II.g)</w:t>
            </w:r>
          </w:p>
        </w:tc>
        <w:tc>
          <w:tcPr>
            <w:tcW w:w="459" w:type="pct"/>
            <w:vAlign w:val="bottom"/>
          </w:tcPr>
          <w:p w14:paraId="7B661878" w14:textId="13E2492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2A271B34" w14:textId="57A69DFF"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0BB3A799" w14:textId="0A05152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0228FD16" w14:textId="4B10F88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7981E4A5" w14:textId="39A4954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072D7BDE" w14:textId="3E4CF0E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12BEBA6B" w14:textId="77777777" w:rsidTr="00CA7FAB">
        <w:trPr>
          <w:trHeight w:val="170"/>
        </w:trPr>
        <w:tc>
          <w:tcPr>
            <w:tcW w:w="232" w:type="pct"/>
            <w:tcMar>
              <w:left w:w="57" w:type="dxa"/>
              <w:right w:w="57" w:type="dxa"/>
            </w:tcMar>
            <w:vAlign w:val="bottom"/>
          </w:tcPr>
          <w:p w14:paraId="497B03E6" w14:textId="2F599635"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VIII.</w:t>
            </w:r>
          </w:p>
        </w:tc>
        <w:tc>
          <w:tcPr>
            <w:tcW w:w="1816" w:type="pct"/>
            <w:tcMar>
              <w:left w:w="57" w:type="dxa"/>
              <w:right w:w="57" w:type="dxa"/>
            </w:tcMar>
            <w:vAlign w:val="bottom"/>
          </w:tcPr>
          <w:p w14:paraId="0F517549" w14:textId="42C96FE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FAKTORİNG YÜKÜMLÜLÜKLERİ</w:t>
            </w:r>
          </w:p>
        </w:tc>
        <w:tc>
          <w:tcPr>
            <w:tcW w:w="240" w:type="pct"/>
            <w:shd w:val="clear" w:color="auto" w:fill="auto"/>
            <w:noWrap/>
            <w:tcMar>
              <w:left w:w="57" w:type="dxa"/>
              <w:right w:w="57" w:type="dxa"/>
            </w:tcMar>
            <w:vAlign w:val="bottom"/>
          </w:tcPr>
          <w:p w14:paraId="430D261F" w14:textId="7605B015"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3813FBEE" w14:textId="5B69B389"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1BDC2E9E" w14:textId="486175E0"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2A87E0E9" w14:textId="71C55699"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6A7C3A5E" w14:textId="4DB4C20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AD81073" w14:textId="51DA8E8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0DFBDFA0" w14:textId="6A2B5BE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r>
      <w:tr w:rsidR="0027513D" w:rsidRPr="00FB38E1" w14:paraId="1C19ACF8" w14:textId="77777777" w:rsidTr="00CA7FAB">
        <w:trPr>
          <w:trHeight w:val="170"/>
        </w:trPr>
        <w:tc>
          <w:tcPr>
            <w:tcW w:w="232" w:type="pct"/>
            <w:tcMar>
              <w:left w:w="57" w:type="dxa"/>
              <w:right w:w="57" w:type="dxa"/>
            </w:tcMar>
            <w:vAlign w:val="bottom"/>
          </w:tcPr>
          <w:p w14:paraId="3A0264AD" w14:textId="0754284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IX.</w:t>
            </w:r>
          </w:p>
        </w:tc>
        <w:tc>
          <w:tcPr>
            <w:tcW w:w="1816" w:type="pct"/>
            <w:tcMar>
              <w:left w:w="57" w:type="dxa"/>
              <w:right w:w="57" w:type="dxa"/>
            </w:tcMar>
            <w:vAlign w:val="bottom"/>
          </w:tcPr>
          <w:p w14:paraId="08DD1778" w14:textId="0D18349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KİRALAMA İŞLEMLERİNDEN YÜKÜMLÜLÜKLER (Net)</w:t>
            </w:r>
          </w:p>
        </w:tc>
        <w:tc>
          <w:tcPr>
            <w:tcW w:w="240" w:type="pct"/>
            <w:shd w:val="clear" w:color="auto" w:fill="auto"/>
            <w:noWrap/>
            <w:tcMar>
              <w:left w:w="57" w:type="dxa"/>
              <w:right w:w="57" w:type="dxa"/>
            </w:tcMar>
            <w:vAlign w:val="bottom"/>
          </w:tcPr>
          <w:p w14:paraId="24DA092C" w14:textId="369EBF0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(5.II.f)</w:t>
            </w:r>
          </w:p>
        </w:tc>
        <w:tc>
          <w:tcPr>
            <w:tcW w:w="459" w:type="pct"/>
            <w:vAlign w:val="bottom"/>
          </w:tcPr>
          <w:p w14:paraId="38922DB6" w14:textId="77175AE7"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1.250.961</w:t>
            </w:r>
          </w:p>
        </w:tc>
        <w:tc>
          <w:tcPr>
            <w:tcW w:w="466" w:type="pct"/>
            <w:vAlign w:val="bottom"/>
          </w:tcPr>
          <w:p w14:paraId="1DEB7C01" w14:textId="724E9EEF"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368.931</w:t>
            </w:r>
          </w:p>
        </w:tc>
        <w:tc>
          <w:tcPr>
            <w:tcW w:w="511" w:type="pct"/>
            <w:vAlign w:val="bottom"/>
          </w:tcPr>
          <w:p w14:paraId="645080DE" w14:textId="64CB94E9"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1.619.892</w:t>
            </w:r>
          </w:p>
        </w:tc>
        <w:tc>
          <w:tcPr>
            <w:tcW w:w="406" w:type="pct"/>
            <w:tcMar>
              <w:left w:w="57" w:type="dxa"/>
              <w:right w:w="57" w:type="dxa"/>
            </w:tcMar>
            <w:vAlign w:val="bottom"/>
          </w:tcPr>
          <w:p w14:paraId="5B9EA7C3" w14:textId="0757489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944.993</w:t>
            </w:r>
          </w:p>
        </w:tc>
        <w:tc>
          <w:tcPr>
            <w:tcW w:w="413" w:type="pct"/>
            <w:tcMar>
              <w:left w:w="57" w:type="dxa"/>
              <w:right w:w="57" w:type="dxa"/>
            </w:tcMar>
            <w:vAlign w:val="bottom"/>
          </w:tcPr>
          <w:p w14:paraId="7096C851" w14:textId="4F0BE93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4.283</w:t>
            </w:r>
          </w:p>
        </w:tc>
        <w:tc>
          <w:tcPr>
            <w:tcW w:w="458" w:type="pct"/>
            <w:tcMar>
              <w:left w:w="57" w:type="dxa"/>
              <w:right w:w="57" w:type="dxa"/>
            </w:tcMar>
            <w:vAlign w:val="bottom"/>
          </w:tcPr>
          <w:p w14:paraId="638FBB84" w14:textId="4D275F2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949.276</w:t>
            </w:r>
          </w:p>
        </w:tc>
      </w:tr>
      <w:tr w:rsidR="0027513D" w:rsidRPr="00FB38E1" w14:paraId="333DAE39" w14:textId="77777777" w:rsidTr="00CA7FAB">
        <w:trPr>
          <w:trHeight w:val="170"/>
        </w:trPr>
        <w:tc>
          <w:tcPr>
            <w:tcW w:w="232" w:type="pct"/>
            <w:tcMar>
              <w:left w:w="57" w:type="dxa"/>
              <w:right w:w="57" w:type="dxa"/>
            </w:tcMar>
            <w:vAlign w:val="bottom"/>
          </w:tcPr>
          <w:p w14:paraId="200D5CCB" w14:textId="1995137F"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xml:space="preserve">X. </w:t>
            </w:r>
          </w:p>
        </w:tc>
        <w:tc>
          <w:tcPr>
            <w:tcW w:w="1816" w:type="pct"/>
            <w:tcMar>
              <w:left w:w="57" w:type="dxa"/>
              <w:right w:w="57" w:type="dxa"/>
            </w:tcMar>
            <w:vAlign w:val="bottom"/>
          </w:tcPr>
          <w:p w14:paraId="3BADA227" w14:textId="7E8E668C"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KARŞILIKLAR</w:t>
            </w:r>
          </w:p>
        </w:tc>
        <w:tc>
          <w:tcPr>
            <w:tcW w:w="240" w:type="pct"/>
            <w:shd w:val="clear" w:color="auto" w:fill="auto"/>
            <w:noWrap/>
            <w:tcMar>
              <w:left w:w="57" w:type="dxa"/>
              <w:right w:w="57" w:type="dxa"/>
            </w:tcMar>
            <w:vAlign w:val="bottom"/>
          </w:tcPr>
          <w:p w14:paraId="0F3273CF" w14:textId="259FD1BD"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(5.II.h)</w:t>
            </w:r>
          </w:p>
        </w:tc>
        <w:tc>
          <w:tcPr>
            <w:tcW w:w="459" w:type="pct"/>
            <w:vAlign w:val="bottom"/>
          </w:tcPr>
          <w:p w14:paraId="54FE7074" w14:textId="7002DF5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17.807.104</w:t>
            </w:r>
          </w:p>
        </w:tc>
        <w:tc>
          <w:tcPr>
            <w:tcW w:w="466" w:type="pct"/>
            <w:vAlign w:val="bottom"/>
          </w:tcPr>
          <w:p w14:paraId="3815E5E2" w14:textId="2D0CEE1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4.156.300</w:t>
            </w:r>
          </w:p>
        </w:tc>
        <w:tc>
          <w:tcPr>
            <w:tcW w:w="511" w:type="pct"/>
            <w:vAlign w:val="bottom"/>
          </w:tcPr>
          <w:p w14:paraId="08EE6636" w14:textId="626533C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21.963.404</w:t>
            </w:r>
          </w:p>
        </w:tc>
        <w:tc>
          <w:tcPr>
            <w:tcW w:w="406" w:type="pct"/>
            <w:tcMar>
              <w:left w:w="57" w:type="dxa"/>
              <w:right w:w="57" w:type="dxa"/>
            </w:tcMar>
            <w:vAlign w:val="bottom"/>
          </w:tcPr>
          <w:p w14:paraId="1D91842C" w14:textId="749394B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12.630.909</w:t>
            </w:r>
          </w:p>
        </w:tc>
        <w:tc>
          <w:tcPr>
            <w:tcW w:w="413" w:type="pct"/>
            <w:tcMar>
              <w:left w:w="57" w:type="dxa"/>
              <w:right w:w="57" w:type="dxa"/>
            </w:tcMar>
            <w:vAlign w:val="bottom"/>
          </w:tcPr>
          <w:p w14:paraId="728859C2" w14:textId="3BD127A6"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3.189.227</w:t>
            </w:r>
          </w:p>
        </w:tc>
        <w:tc>
          <w:tcPr>
            <w:tcW w:w="458" w:type="pct"/>
            <w:tcMar>
              <w:left w:w="57" w:type="dxa"/>
              <w:right w:w="57" w:type="dxa"/>
            </w:tcMar>
            <w:vAlign w:val="bottom"/>
          </w:tcPr>
          <w:p w14:paraId="73E85625" w14:textId="0B1DB15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color w:val="000000"/>
                <w:sz w:val="12"/>
                <w:szCs w:val="12"/>
              </w:rPr>
              <w:t>15.820.136</w:t>
            </w:r>
          </w:p>
        </w:tc>
      </w:tr>
      <w:tr w:rsidR="0027513D" w:rsidRPr="00FB38E1" w14:paraId="0967293E" w14:textId="77777777" w:rsidTr="00CA7FAB">
        <w:trPr>
          <w:trHeight w:val="170"/>
        </w:trPr>
        <w:tc>
          <w:tcPr>
            <w:tcW w:w="232" w:type="pct"/>
            <w:tcMar>
              <w:left w:w="57" w:type="dxa"/>
              <w:right w:w="57" w:type="dxa"/>
            </w:tcMar>
            <w:vAlign w:val="bottom"/>
          </w:tcPr>
          <w:p w14:paraId="60518005" w14:textId="2B0BC773"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10.1</w:t>
            </w:r>
          </w:p>
        </w:tc>
        <w:tc>
          <w:tcPr>
            <w:tcW w:w="1816" w:type="pct"/>
            <w:tcMar>
              <w:left w:w="57" w:type="dxa"/>
              <w:right w:w="57" w:type="dxa"/>
            </w:tcMar>
            <w:vAlign w:val="bottom"/>
          </w:tcPr>
          <w:p w14:paraId="31A92C50" w14:textId="621B4D6C"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Yeniden Yapılanma Karşılığı</w:t>
            </w:r>
          </w:p>
        </w:tc>
        <w:tc>
          <w:tcPr>
            <w:tcW w:w="240" w:type="pct"/>
            <w:shd w:val="clear" w:color="auto" w:fill="auto"/>
            <w:noWrap/>
            <w:tcMar>
              <w:left w:w="57" w:type="dxa"/>
              <w:right w:w="57" w:type="dxa"/>
            </w:tcMar>
            <w:vAlign w:val="bottom"/>
          </w:tcPr>
          <w:p w14:paraId="4215D380" w14:textId="51C16A0D"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16EFC7A7" w14:textId="3CB61FB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78E5B399" w14:textId="21BB12E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24989246" w14:textId="63A3404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5A5FB88E" w14:textId="66BE37DB"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2537FE5F" w14:textId="67370FA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702653BB" w14:textId="624BF2E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5EBD2E4D" w14:textId="77777777" w:rsidTr="00CA7FAB">
        <w:trPr>
          <w:trHeight w:val="170"/>
        </w:trPr>
        <w:tc>
          <w:tcPr>
            <w:tcW w:w="232" w:type="pct"/>
            <w:tcMar>
              <w:left w:w="57" w:type="dxa"/>
              <w:right w:w="57" w:type="dxa"/>
            </w:tcMar>
            <w:vAlign w:val="bottom"/>
          </w:tcPr>
          <w:p w14:paraId="55A5F030" w14:textId="6B7BA80C"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10.2</w:t>
            </w:r>
          </w:p>
        </w:tc>
        <w:tc>
          <w:tcPr>
            <w:tcW w:w="1816" w:type="pct"/>
            <w:tcMar>
              <w:left w:w="57" w:type="dxa"/>
              <w:right w:w="57" w:type="dxa"/>
            </w:tcMar>
            <w:vAlign w:val="bottom"/>
          </w:tcPr>
          <w:p w14:paraId="59FC31E9" w14:textId="2745BCF1"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Çalışan Hakları Karşılığı</w:t>
            </w:r>
          </w:p>
        </w:tc>
        <w:tc>
          <w:tcPr>
            <w:tcW w:w="240" w:type="pct"/>
            <w:shd w:val="clear" w:color="auto" w:fill="auto"/>
            <w:noWrap/>
            <w:tcMar>
              <w:left w:w="57" w:type="dxa"/>
              <w:right w:w="57" w:type="dxa"/>
            </w:tcMar>
            <w:vAlign w:val="bottom"/>
          </w:tcPr>
          <w:p w14:paraId="3B1394A2" w14:textId="750A813F"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1199F93D" w14:textId="1313152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2.845.995</w:t>
            </w:r>
          </w:p>
        </w:tc>
        <w:tc>
          <w:tcPr>
            <w:tcW w:w="466" w:type="pct"/>
            <w:vAlign w:val="bottom"/>
          </w:tcPr>
          <w:p w14:paraId="5AC9D60F" w14:textId="6002BD3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352D7B77" w14:textId="27C2883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2.845.995</w:t>
            </w:r>
          </w:p>
        </w:tc>
        <w:tc>
          <w:tcPr>
            <w:tcW w:w="406" w:type="pct"/>
            <w:tcMar>
              <w:left w:w="57" w:type="dxa"/>
              <w:right w:w="57" w:type="dxa"/>
            </w:tcMar>
            <w:vAlign w:val="bottom"/>
          </w:tcPr>
          <w:p w14:paraId="7939CE49" w14:textId="3450090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1.580.130</w:t>
            </w:r>
          </w:p>
        </w:tc>
        <w:tc>
          <w:tcPr>
            <w:tcW w:w="413" w:type="pct"/>
            <w:tcMar>
              <w:left w:w="57" w:type="dxa"/>
              <w:right w:w="57" w:type="dxa"/>
            </w:tcMar>
            <w:vAlign w:val="bottom"/>
          </w:tcPr>
          <w:p w14:paraId="39ABB2A4" w14:textId="4916C5A4"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0AF11B9E" w14:textId="33B95A9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1.580.130</w:t>
            </w:r>
          </w:p>
        </w:tc>
      </w:tr>
      <w:tr w:rsidR="0027513D" w:rsidRPr="00FB38E1" w14:paraId="2C441B6B" w14:textId="77777777" w:rsidTr="00CA7FAB">
        <w:trPr>
          <w:trHeight w:val="170"/>
        </w:trPr>
        <w:tc>
          <w:tcPr>
            <w:tcW w:w="232" w:type="pct"/>
            <w:tcMar>
              <w:left w:w="57" w:type="dxa"/>
              <w:right w:w="57" w:type="dxa"/>
            </w:tcMar>
            <w:vAlign w:val="bottom"/>
          </w:tcPr>
          <w:p w14:paraId="1AA618C4" w14:textId="5544A5B4"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10.3</w:t>
            </w:r>
          </w:p>
        </w:tc>
        <w:tc>
          <w:tcPr>
            <w:tcW w:w="1816" w:type="pct"/>
            <w:tcMar>
              <w:left w:w="57" w:type="dxa"/>
              <w:right w:w="57" w:type="dxa"/>
            </w:tcMar>
            <w:vAlign w:val="bottom"/>
          </w:tcPr>
          <w:p w14:paraId="7110D40B" w14:textId="1C7C29C8"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Sigorta Teknik Karşılıkları (Net)</w:t>
            </w:r>
          </w:p>
        </w:tc>
        <w:tc>
          <w:tcPr>
            <w:tcW w:w="240" w:type="pct"/>
            <w:shd w:val="clear" w:color="auto" w:fill="auto"/>
            <w:noWrap/>
            <w:tcMar>
              <w:left w:w="57" w:type="dxa"/>
              <w:right w:w="57" w:type="dxa"/>
            </w:tcMar>
            <w:vAlign w:val="bottom"/>
          </w:tcPr>
          <w:p w14:paraId="2DA396B8" w14:textId="6E36B836"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77054BE2" w14:textId="6BFB130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24285364" w14:textId="32F019D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1CE767E3" w14:textId="2ADFB14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77D9D9E5" w14:textId="400F948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7B892A36" w14:textId="1EB196D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58255BEB" w14:textId="264926F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7E8C40C1" w14:textId="77777777" w:rsidTr="00CA7FAB">
        <w:trPr>
          <w:trHeight w:val="170"/>
        </w:trPr>
        <w:tc>
          <w:tcPr>
            <w:tcW w:w="232" w:type="pct"/>
            <w:tcMar>
              <w:left w:w="57" w:type="dxa"/>
              <w:right w:w="57" w:type="dxa"/>
            </w:tcMar>
            <w:vAlign w:val="bottom"/>
          </w:tcPr>
          <w:p w14:paraId="4BDC9191" w14:textId="70D274E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10.4</w:t>
            </w:r>
          </w:p>
        </w:tc>
        <w:tc>
          <w:tcPr>
            <w:tcW w:w="1816" w:type="pct"/>
            <w:tcMar>
              <w:left w:w="57" w:type="dxa"/>
              <w:right w:w="57" w:type="dxa"/>
            </w:tcMar>
            <w:vAlign w:val="bottom"/>
          </w:tcPr>
          <w:p w14:paraId="67C93C45" w14:textId="691256D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Diğer Karşılıklar</w:t>
            </w:r>
          </w:p>
        </w:tc>
        <w:tc>
          <w:tcPr>
            <w:tcW w:w="240" w:type="pct"/>
            <w:shd w:val="clear" w:color="auto" w:fill="auto"/>
            <w:noWrap/>
            <w:tcMar>
              <w:left w:w="57" w:type="dxa"/>
              <w:right w:w="57" w:type="dxa"/>
            </w:tcMar>
            <w:vAlign w:val="bottom"/>
          </w:tcPr>
          <w:p w14:paraId="2E19FFAE" w14:textId="260BCA49"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3DE26A61" w14:textId="59E18C65"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14.961.109</w:t>
            </w:r>
          </w:p>
        </w:tc>
        <w:tc>
          <w:tcPr>
            <w:tcW w:w="466" w:type="pct"/>
            <w:vAlign w:val="bottom"/>
          </w:tcPr>
          <w:p w14:paraId="295D6965" w14:textId="25C20F9B"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4.156.300</w:t>
            </w:r>
          </w:p>
        </w:tc>
        <w:tc>
          <w:tcPr>
            <w:tcW w:w="511" w:type="pct"/>
            <w:vAlign w:val="bottom"/>
          </w:tcPr>
          <w:p w14:paraId="4C5EC59A" w14:textId="6C23BF28"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19.117.409</w:t>
            </w:r>
          </w:p>
        </w:tc>
        <w:tc>
          <w:tcPr>
            <w:tcW w:w="406" w:type="pct"/>
            <w:tcMar>
              <w:left w:w="57" w:type="dxa"/>
              <w:right w:w="57" w:type="dxa"/>
            </w:tcMar>
            <w:vAlign w:val="bottom"/>
          </w:tcPr>
          <w:p w14:paraId="36727D2B" w14:textId="3FFB2AA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11.050.779</w:t>
            </w:r>
          </w:p>
        </w:tc>
        <w:tc>
          <w:tcPr>
            <w:tcW w:w="413" w:type="pct"/>
            <w:tcMar>
              <w:left w:w="57" w:type="dxa"/>
              <w:right w:w="57" w:type="dxa"/>
            </w:tcMar>
            <w:vAlign w:val="bottom"/>
          </w:tcPr>
          <w:p w14:paraId="6138B4FC" w14:textId="6EB8BAC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3.189.227</w:t>
            </w:r>
          </w:p>
        </w:tc>
        <w:tc>
          <w:tcPr>
            <w:tcW w:w="458" w:type="pct"/>
            <w:tcMar>
              <w:left w:w="57" w:type="dxa"/>
              <w:right w:w="57" w:type="dxa"/>
            </w:tcMar>
            <w:vAlign w:val="bottom"/>
          </w:tcPr>
          <w:p w14:paraId="578403A2" w14:textId="05E3FA9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14.240.006</w:t>
            </w:r>
          </w:p>
        </w:tc>
      </w:tr>
      <w:tr w:rsidR="0027513D" w:rsidRPr="00FB38E1" w14:paraId="74EF5C86" w14:textId="77777777" w:rsidTr="00CA7FAB">
        <w:trPr>
          <w:trHeight w:val="170"/>
        </w:trPr>
        <w:tc>
          <w:tcPr>
            <w:tcW w:w="232" w:type="pct"/>
            <w:tcMar>
              <w:left w:w="57" w:type="dxa"/>
              <w:right w:w="57" w:type="dxa"/>
            </w:tcMar>
            <w:vAlign w:val="bottom"/>
          </w:tcPr>
          <w:p w14:paraId="659D2352" w14:textId="098DB2AD"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XI.</w:t>
            </w:r>
          </w:p>
        </w:tc>
        <w:tc>
          <w:tcPr>
            <w:tcW w:w="1816" w:type="pct"/>
            <w:tcMar>
              <w:left w:w="57" w:type="dxa"/>
              <w:right w:w="57" w:type="dxa"/>
            </w:tcMar>
            <w:vAlign w:val="bottom"/>
          </w:tcPr>
          <w:p w14:paraId="586100B1" w14:textId="1F0A9E2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CARİ VERGİ BORCU</w:t>
            </w:r>
          </w:p>
        </w:tc>
        <w:tc>
          <w:tcPr>
            <w:tcW w:w="240" w:type="pct"/>
            <w:shd w:val="clear" w:color="auto" w:fill="auto"/>
            <w:noWrap/>
            <w:tcMar>
              <w:left w:w="57" w:type="dxa"/>
              <w:right w:w="57" w:type="dxa"/>
            </w:tcMar>
            <w:vAlign w:val="bottom"/>
          </w:tcPr>
          <w:p w14:paraId="1C646277" w14:textId="06CDAC95"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(5.II.i)</w:t>
            </w:r>
          </w:p>
        </w:tc>
        <w:tc>
          <w:tcPr>
            <w:tcW w:w="459" w:type="pct"/>
            <w:vAlign w:val="bottom"/>
          </w:tcPr>
          <w:p w14:paraId="5AB056F2" w14:textId="0EF4253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5.359.358</w:t>
            </w:r>
          </w:p>
        </w:tc>
        <w:tc>
          <w:tcPr>
            <w:tcW w:w="466" w:type="pct"/>
            <w:vAlign w:val="bottom"/>
          </w:tcPr>
          <w:p w14:paraId="5EB947D1" w14:textId="7FFE444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92</w:t>
            </w:r>
          </w:p>
        </w:tc>
        <w:tc>
          <w:tcPr>
            <w:tcW w:w="511" w:type="pct"/>
            <w:vAlign w:val="bottom"/>
          </w:tcPr>
          <w:p w14:paraId="3528B7BA" w14:textId="3EEADA7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5.359.450</w:t>
            </w:r>
          </w:p>
        </w:tc>
        <w:tc>
          <w:tcPr>
            <w:tcW w:w="406" w:type="pct"/>
            <w:tcMar>
              <w:left w:w="57" w:type="dxa"/>
              <w:right w:w="57" w:type="dxa"/>
            </w:tcMar>
            <w:vAlign w:val="bottom"/>
          </w:tcPr>
          <w:p w14:paraId="522232BD" w14:textId="2B687E1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1.821.303</w:t>
            </w:r>
          </w:p>
        </w:tc>
        <w:tc>
          <w:tcPr>
            <w:tcW w:w="413" w:type="pct"/>
            <w:tcMar>
              <w:left w:w="57" w:type="dxa"/>
              <w:right w:w="57" w:type="dxa"/>
            </w:tcMar>
            <w:vAlign w:val="bottom"/>
          </w:tcPr>
          <w:p w14:paraId="05016FC1" w14:textId="6C4EE98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2328F297" w14:textId="179FCD6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1.821.303</w:t>
            </w:r>
          </w:p>
        </w:tc>
      </w:tr>
      <w:tr w:rsidR="0027513D" w:rsidRPr="00FB38E1" w14:paraId="7F60004B" w14:textId="77777777" w:rsidTr="00CA7FAB">
        <w:trPr>
          <w:trHeight w:val="170"/>
        </w:trPr>
        <w:tc>
          <w:tcPr>
            <w:tcW w:w="232" w:type="pct"/>
            <w:tcMar>
              <w:left w:w="57" w:type="dxa"/>
              <w:right w:w="57" w:type="dxa"/>
            </w:tcMar>
            <w:vAlign w:val="bottom"/>
          </w:tcPr>
          <w:p w14:paraId="1DBD806F" w14:textId="644F37B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XII.</w:t>
            </w:r>
          </w:p>
        </w:tc>
        <w:tc>
          <w:tcPr>
            <w:tcW w:w="1816" w:type="pct"/>
            <w:tcMar>
              <w:left w:w="57" w:type="dxa"/>
              <w:right w:w="57" w:type="dxa"/>
            </w:tcMar>
            <w:vAlign w:val="bottom"/>
          </w:tcPr>
          <w:p w14:paraId="09F4F0A1" w14:textId="4D139BD5"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ERTELENMİŞ VERGİ BORCU</w:t>
            </w:r>
          </w:p>
        </w:tc>
        <w:tc>
          <w:tcPr>
            <w:tcW w:w="240" w:type="pct"/>
            <w:shd w:val="clear" w:color="auto" w:fill="auto"/>
            <w:noWrap/>
            <w:tcMar>
              <w:left w:w="57" w:type="dxa"/>
              <w:right w:w="57" w:type="dxa"/>
            </w:tcMar>
            <w:vAlign w:val="bottom"/>
          </w:tcPr>
          <w:p w14:paraId="14BFFCD9" w14:textId="2ECF926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(5.II.i)</w:t>
            </w:r>
          </w:p>
        </w:tc>
        <w:tc>
          <w:tcPr>
            <w:tcW w:w="459" w:type="pct"/>
            <w:vAlign w:val="bottom"/>
          </w:tcPr>
          <w:p w14:paraId="536EF63A" w14:textId="51E7D8E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2C24FBBC" w14:textId="28DA93E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5895FBA5" w14:textId="39334F7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2453D8B1" w14:textId="173191B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3FACB932" w14:textId="4C0581D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58" w:type="pct"/>
            <w:tcMar>
              <w:left w:w="57" w:type="dxa"/>
              <w:right w:w="57" w:type="dxa"/>
            </w:tcMar>
            <w:vAlign w:val="bottom"/>
          </w:tcPr>
          <w:p w14:paraId="60498429" w14:textId="41CCC0E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r>
      <w:tr w:rsidR="0027513D" w:rsidRPr="00FB38E1" w14:paraId="3211AB1D" w14:textId="77777777" w:rsidTr="00CA7FAB">
        <w:trPr>
          <w:trHeight w:val="170"/>
        </w:trPr>
        <w:tc>
          <w:tcPr>
            <w:tcW w:w="232" w:type="pct"/>
            <w:tcMar>
              <w:left w:w="57" w:type="dxa"/>
              <w:right w:w="57" w:type="dxa"/>
            </w:tcMar>
          </w:tcPr>
          <w:p w14:paraId="20F83090" w14:textId="67EB844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XIII.</w:t>
            </w:r>
          </w:p>
        </w:tc>
        <w:tc>
          <w:tcPr>
            <w:tcW w:w="1816" w:type="pct"/>
            <w:tcMar>
              <w:left w:w="57" w:type="dxa"/>
              <w:right w:w="57" w:type="dxa"/>
            </w:tcMar>
            <w:vAlign w:val="bottom"/>
          </w:tcPr>
          <w:p w14:paraId="6C6BCCC4" w14:textId="0EA135F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SATIŞ AMAÇLI ELDE TUTULAN VE DURDURULAN FAALİYETLERE İLİŞKİN DURAN VARLIK BORÇLARI (Net)</w:t>
            </w:r>
          </w:p>
        </w:tc>
        <w:tc>
          <w:tcPr>
            <w:tcW w:w="240" w:type="pct"/>
            <w:shd w:val="clear" w:color="auto" w:fill="auto"/>
            <w:noWrap/>
            <w:tcMar>
              <w:left w:w="57" w:type="dxa"/>
              <w:right w:w="57" w:type="dxa"/>
            </w:tcMar>
            <w:vAlign w:val="bottom"/>
          </w:tcPr>
          <w:p w14:paraId="7E9B6DD7" w14:textId="38D3FF95"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(5.II.j)</w:t>
            </w:r>
          </w:p>
        </w:tc>
        <w:tc>
          <w:tcPr>
            <w:tcW w:w="459" w:type="pct"/>
            <w:vAlign w:val="bottom"/>
          </w:tcPr>
          <w:p w14:paraId="1B41EF92" w14:textId="353CEC4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4BB98B70" w14:textId="3B60A4E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511" w:type="pct"/>
            <w:vAlign w:val="bottom"/>
          </w:tcPr>
          <w:p w14:paraId="199A39FC" w14:textId="56105C4F"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406" w:type="pct"/>
            <w:tcMar>
              <w:left w:w="57" w:type="dxa"/>
              <w:right w:w="57" w:type="dxa"/>
            </w:tcMar>
            <w:vAlign w:val="bottom"/>
          </w:tcPr>
          <w:p w14:paraId="2BD1CE03" w14:textId="26D16CE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2AD91B23" w14:textId="0DC965F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102.945</w:t>
            </w:r>
          </w:p>
        </w:tc>
        <w:tc>
          <w:tcPr>
            <w:tcW w:w="458" w:type="pct"/>
            <w:tcMar>
              <w:left w:w="57" w:type="dxa"/>
              <w:right w:w="57" w:type="dxa"/>
            </w:tcMar>
            <w:vAlign w:val="bottom"/>
          </w:tcPr>
          <w:p w14:paraId="65F2E395" w14:textId="20CD58A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102.945</w:t>
            </w:r>
          </w:p>
        </w:tc>
      </w:tr>
      <w:tr w:rsidR="0027513D" w:rsidRPr="00FB38E1" w14:paraId="303DC904" w14:textId="77777777" w:rsidTr="00CA7FAB">
        <w:trPr>
          <w:trHeight w:val="170"/>
        </w:trPr>
        <w:tc>
          <w:tcPr>
            <w:tcW w:w="232" w:type="pct"/>
            <w:tcMar>
              <w:left w:w="57" w:type="dxa"/>
              <w:right w:w="57" w:type="dxa"/>
            </w:tcMar>
            <w:vAlign w:val="bottom"/>
          </w:tcPr>
          <w:p w14:paraId="6ADE4529" w14:textId="54028CC4"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13.1</w:t>
            </w:r>
          </w:p>
        </w:tc>
        <w:tc>
          <w:tcPr>
            <w:tcW w:w="1816" w:type="pct"/>
            <w:tcMar>
              <w:left w:w="57" w:type="dxa"/>
              <w:right w:w="57" w:type="dxa"/>
            </w:tcMar>
            <w:vAlign w:val="bottom"/>
          </w:tcPr>
          <w:p w14:paraId="6C1016A0" w14:textId="0873A177"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 xml:space="preserve">Satış Amaçlı </w:t>
            </w:r>
          </w:p>
        </w:tc>
        <w:tc>
          <w:tcPr>
            <w:tcW w:w="240" w:type="pct"/>
            <w:shd w:val="clear" w:color="auto" w:fill="auto"/>
            <w:noWrap/>
            <w:tcMar>
              <w:left w:w="57" w:type="dxa"/>
              <w:right w:w="57" w:type="dxa"/>
            </w:tcMar>
            <w:vAlign w:val="bottom"/>
          </w:tcPr>
          <w:p w14:paraId="4040E525" w14:textId="3B26177F"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7FCB8E82" w14:textId="6AAF8CC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0083069D" w14:textId="113CCAF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797D59B9" w14:textId="7AE0724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14A3A15F" w14:textId="3CD07BA9"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647286B0" w14:textId="13AB89C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18A5EB3A" w14:textId="753F548C"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77D1BB6C" w14:textId="77777777" w:rsidTr="00CA7FAB">
        <w:trPr>
          <w:trHeight w:val="170"/>
        </w:trPr>
        <w:tc>
          <w:tcPr>
            <w:tcW w:w="232" w:type="pct"/>
            <w:tcMar>
              <w:left w:w="57" w:type="dxa"/>
              <w:right w:w="57" w:type="dxa"/>
            </w:tcMar>
            <w:vAlign w:val="bottom"/>
          </w:tcPr>
          <w:p w14:paraId="4D557A17" w14:textId="1EC4FA8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13.2</w:t>
            </w:r>
          </w:p>
        </w:tc>
        <w:tc>
          <w:tcPr>
            <w:tcW w:w="1816" w:type="pct"/>
            <w:tcMar>
              <w:left w:w="57" w:type="dxa"/>
              <w:right w:w="57" w:type="dxa"/>
            </w:tcMar>
            <w:vAlign w:val="bottom"/>
          </w:tcPr>
          <w:p w14:paraId="6339A3D0" w14:textId="7BDDCCD4"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Durdurulan Faaliyetlere İlişkin</w:t>
            </w:r>
          </w:p>
        </w:tc>
        <w:tc>
          <w:tcPr>
            <w:tcW w:w="240" w:type="pct"/>
            <w:shd w:val="clear" w:color="auto" w:fill="auto"/>
            <w:noWrap/>
            <w:tcMar>
              <w:left w:w="57" w:type="dxa"/>
              <w:right w:w="57" w:type="dxa"/>
            </w:tcMar>
            <w:vAlign w:val="bottom"/>
          </w:tcPr>
          <w:p w14:paraId="354E4C23" w14:textId="1DC3191B"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56A3F3DA" w14:textId="590D3858"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768EE01A" w14:textId="49CC500C"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5B2710C0" w14:textId="15DE84AF"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17CBB1EF" w14:textId="15EFCF3B" w:rsidR="0027513D" w:rsidRPr="00FB38E1" w:rsidRDefault="0027513D" w:rsidP="0027513D">
            <w:pPr>
              <w:jc w:val="right"/>
              <w:rPr>
                <w:rFonts w:ascii="Microsoft Sans Serif" w:hAnsi="Microsoft Sans Serif" w:cs="Microsoft Sans Serif"/>
                <w:b/>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7C75E1C8" w14:textId="5A3C8995" w:rsidR="0027513D" w:rsidRPr="00FB38E1" w:rsidRDefault="0027513D" w:rsidP="0027513D">
            <w:pPr>
              <w:jc w:val="right"/>
              <w:rPr>
                <w:rFonts w:ascii="Microsoft Sans Serif" w:hAnsi="Microsoft Sans Serif" w:cs="Microsoft Sans Serif"/>
                <w:b/>
                <w:sz w:val="12"/>
                <w:szCs w:val="12"/>
              </w:rPr>
            </w:pPr>
            <w:r w:rsidRPr="00FB38E1">
              <w:rPr>
                <w:rFonts w:ascii="Microsoft Sans Serif" w:hAnsi="Microsoft Sans Serif" w:cs="Microsoft Sans Serif"/>
                <w:color w:val="000000"/>
                <w:sz w:val="12"/>
                <w:szCs w:val="12"/>
              </w:rPr>
              <w:t>102.945</w:t>
            </w:r>
          </w:p>
        </w:tc>
        <w:tc>
          <w:tcPr>
            <w:tcW w:w="458" w:type="pct"/>
            <w:tcMar>
              <w:left w:w="57" w:type="dxa"/>
              <w:right w:w="57" w:type="dxa"/>
            </w:tcMar>
            <w:vAlign w:val="bottom"/>
          </w:tcPr>
          <w:p w14:paraId="5163AC31" w14:textId="7464A27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102.945</w:t>
            </w:r>
          </w:p>
        </w:tc>
      </w:tr>
      <w:tr w:rsidR="0027513D" w:rsidRPr="00FB38E1" w14:paraId="7CC9D798" w14:textId="77777777" w:rsidTr="00CA7FAB">
        <w:trPr>
          <w:trHeight w:val="170"/>
        </w:trPr>
        <w:tc>
          <w:tcPr>
            <w:tcW w:w="232" w:type="pct"/>
            <w:tcMar>
              <w:left w:w="57" w:type="dxa"/>
              <w:right w:w="57" w:type="dxa"/>
            </w:tcMar>
            <w:vAlign w:val="bottom"/>
          </w:tcPr>
          <w:p w14:paraId="44102674" w14:textId="53DC5893"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XIV.</w:t>
            </w:r>
          </w:p>
        </w:tc>
        <w:tc>
          <w:tcPr>
            <w:tcW w:w="1816" w:type="pct"/>
            <w:tcMar>
              <w:left w:w="57" w:type="dxa"/>
              <w:right w:w="57" w:type="dxa"/>
            </w:tcMar>
            <w:vAlign w:val="bottom"/>
          </w:tcPr>
          <w:p w14:paraId="3AA012AC" w14:textId="549EE8F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SERMAYE BENZERİ BORÇLANMA ARAÇLARI</w:t>
            </w:r>
          </w:p>
        </w:tc>
        <w:tc>
          <w:tcPr>
            <w:tcW w:w="240" w:type="pct"/>
            <w:shd w:val="clear" w:color="auto" w:fill="auto"/>
            <w:noWrap/>
            <w:tcMar>
              <w:left w:w="57" w:type="dxa"/>
              <w:right w:w="57" w:type="dxa"/>
            </w:tcMar>
            <w:vAlign w:val="bottom"/>
          </w:tcPr>
          <w:p w14:paraId="29F924DB" w14:textId="4BED4C1C"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1A176B36" w14:textId="2F1A3AE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w:t>
            </w:r>
          </w:p>
        </w:tc>
        <w:tc>
          <w:tcPr>
            <w:tcW w:w="466" w:type="pct"/>
            <w:vAlign w:val="bottom"/>
          </w:tcPr>
          <w:p w14:paraId="224534F4" w14:textId="4B8672F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12.137.102</w:t>
            </w:r>
          </w:p>
        </w:tc>
        <w:tc>
          <w:tcPr>
            <w:tcW w:w="511" w:type="pct"/>
            <w:vAlign w:val="bottom"/>
          </w:tcPr>
          <w:p w14:paraId="00E7538E" w14:textId="2844EB5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12.137.102</w:t>
            </w:r>
          </w:p>
        </w:tc>
        <w:tc>
          <w:tcPr>
            <w:tcW w:w="406" w:type="pct"/>
            <w:tcMar>
              <w:left w:w="57" w:type="dxa"/>
              <w:right w:w="57" w:type="dxa"/>
            </w:tcMar>
            <w:vAlign w:val="bottom"/>
          </w:tcPr>
          <w:p w14:paraId="5607AD44" w14:textId="01ACC5DF" w:rsidR="0027513D" w:rsidRPr="00FB38E1" w:rsidRDefault="0027513D" w:rsidP="0027513D">
            <w:pPr>
              <w:jc w:val="right"/>
              <w:rPr>
                <w:rFonts w:ascii="Microsoft Sans Serif" w:hAnsi="Microsoft Sans Serif" w:cs="Microsoft Sans Serif"/>
                <w:b/>
                <w:sz w:val="12"/>
                <w:szCs w:val="12"/>
              </w:rPr>
            </w:pPr>
            <w:r w:rsidRPr="00FB38E1">
              <w:rPr>
                <w:rFonts w:ascii="Microsoft Sans Serif" w:hAnsi="Microsoft Sans Serif" w:cs="Microsoft Sans Serif"/>
                <w:b/>
                <w:bCs/>
                <w:color w:val="000000"/>
                <w:sz w:val="12"/>
                <w:szCs w:val="12"/>
              </w:rPr>
              <w:t>-</w:t>
            </w:r>
          </w:p>
        </w:tc>
        <w:tc>
          <w:tcPr>
            <w:tcW w:w="413" w:type="pct"/>
            <w:tcMar>
              <w:left w:w="57" w:type="dxa"/>
              <w:right w:w="57" w:type="dxa"/>
            </w:tcMar>
            <w:vAlign w:val="bottom"/>
          </w:tcPr>
          <w:p w14:paraId="7F8EDD05" w14:textId="29F69C69" w:rsidR="0027513D" w:rsidRPr="00FB38E1" w:rsidRDefault="0027513D" w:rsidP="0027513D">
            <w:pPr>
              <w:jc w:val="right"/>
              <w:rPr>
                <w:rFonts w:ascii="Microsoft Sans Serif" w:hAnsi="Microsoft Sans Serif" w:cs="Microsoft Sans Serif"/>
                <w:b/>
                <w:sz w:val="12"/>
                <w:szCs w:val="12"/>
              </w:rPr>
            </w:pPr>
            <w:r w:rsidRPr="00FB38E1">
              <w:rPr>
                <w:rFonts w:ascii="Microsoft Sans Serif" w:hAnsi="Microsoft Sans Serif" w:cs="Microsoft Sans Serif"/>
                <w:b/>
                <w:bCs/>
                <w:color w:val="000000"/>
                <w:sz w:val="12"/>
                <w:szCs w:val="12"/>
              </w:rPr>
              <w:t>23.066.679</w:t>
            </w:r>
          </w:p>
        </w:tc>
        <w:tc>
          <w:tcPr>
            <w:tcW w:w="458" w:type="pct"/>
            <w:tcMar>
              <w:left w:w="57" w:type="dxa"/>
              <w:right w:w="57" w:type="dxa"/>
            </w:tcMar>
            <w:vAlign w:val="bottom"/>
          </w:tcPr>
          <w:p w14:paraId="26C2086C" w14:textId="15662CF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23.066.679</w:t>
            </w:r>
          </w:p>
        </w:tc>
      </w:tr>
      <w:tr w:rsidR="0027513D" w:rsidRPr="00FB38E1" w14:paraId="5C60ACEC" w14:textId="77777777" w:rsidTr="00CA7FAB">
        <w:trPr>
          <w:trHeight w:val="170"/>
        </w:trPr>
        <w:tc>
          <w:tcPr>
            <w:tcW w:w="232" w:type="pct"/>
            <w:tcMar>
              <w:left w:w="57" w:type="dxa"/>
              <w:right w:w="57" w:type="dxa"/>
            </w:tcMar>
            <w:vAlign w:val="bottom"/>
          </w:tcPr>
          <w:p w14:paraId="6660E38B" w14:textId="4BEF58D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14.1</w:t>
            </w:r>
          </w:p>
        </w:tc>
        <w:tc>
          <w:tcPr>
            <w:tcW w:w="1816" w:type="pct"/>
            <w:tcMar>
              <w:left w:w="57" w:type="dxa"/>
              <w:right w:w="57" w:type="dxa"/>
            </w:tcMar>
            <w:vAlign w:val="bottom"/>
          </w:tcPr>
          <w:p w14:paraId="2E06391E" w14:textId="5476C32D"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Krediler</w:t>
            </w:r>
          </w:p>
        </w:tc>
        <w:tc>
          <w:tcPr>
            <w:tcW w:w="240" w:type="pct"/>
            <w:shd w:val="clear" w:color="auto" w:fill="auto"/>
            <w:noWrap/>
            <w:tcMar>
              <w:left w:w="57" w:type="dxa"/>
              <w:right w:w="57" w:type="dxa"/>
            </w:tcMar>
            <w:vAlign w:val="bottom"/>
          </w:tcPr>
          <w:p w14:paraId="3FCA03C6" w14:textId="3800CC7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(5.II.k)</w:t>
            </w:r>
          </w:p>
        </w:tc>
        <w:tc>
          <w:tcPr>
            <w:tcW w:w="459" w:type="pct"/>
            <w:vAlign w:val="bottom"/>
          </w:tcPr>
          <w:p w14:paraId="2635C8F5" w14:textId="40296CA1"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1D12BBA9" w14:textId="7BB29F88"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12.137.102</w:t>
            </w:r>
          </w:p>
        </w:tc>
        <w:tc>
          <w:tcPr>
            <w:tcW w:w="511" w:type="pct"/>
            <w:vAlign w:val="bottom"/>
          </w:tcPr>
          <w:p w14:paraId="6CE3EDBC" w14:textId="0A8B8394"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12.137.102</w:t>
            </w:r>
          </w:p>
        </w:tc>
        <w:tc>
          <w:tcPr>
            <w:tcW w:w="406" w:type="pct"/>
            <w:tcMar>
              <w:left w:w="57" w:type="dxa"/>
              <w:right w:w="57" w:type="dxa"/>
            </w:tcMar>
            <w:vAlign w:val="bottom"/>
          </w:tcPr>
          <w:p w14:paraId="43FF8E88" w14:textId="451BC91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3E0BDBD0" w14:textId="7E9EE6C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23.066.679</w:t>
            </w:r>
          </w:p>
        </w:tc>
        <w:tc>
          <w:tcPr>
            <w:tcW w:w="458" w:type="pct"/>
            <w:tcMar>
              <w:left w:w="57" w:type="dxa"/>
              <w:right w:w="57" w:type="dxa"/>
            </w:tcMar>
            <w:vAlign w:val="bottom"/>
          </w:tcPr>
          <w:p w14:paraId="67FC7D52" w14:textId="48F80E7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23.066.679</w:t>
            </w:r>
          </w:p>
        </w:tc>
      </w:tr>
      <w:tr w:rsidR="0027513D" w:rsidRPr="00FB38E1" w14:paraId="32258779" w14:textId="77777777" w:rsidTr="00CA7FAB">
        <w:trPr>
          <w:trHeight w:val="170"/>
        </w:trPr>
        <w:tc>
          <w:tcPr>
            <w:tcW w:w="232" w:type="pct"/>
            <w:tcMar>
              <w:left w:w="57" w:type="dxa"/>
              <w:right w:w="57" w:type="dxa"/>
            </w:tcMar>
            <w:vAlign w:val="bottom"/>
          </w:tcPr>
          <w:p w14:paraId="03D6B66D" w14:textId="577984C7"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14.2</w:t>
            </w:r>
          </w:p>
        </w:tc>
        <w:tc>
          <w:tcPr>
            <w:tcW w:w="1816" w:type="pct"/>
            <w:tcMar>
              <w:left w:w="57" w:type="dxa"/>
              <w:right w:w="57" w:type="dxa"/>
            </w:tcMar>
            <w:vAlign w:val="bottom"/>
          </w:tcPr>
          <w:p w14:paraId="5F211B29" w14:textId="3360E2B6"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Diğer Borçlanma Araçları</w:t>
            </w:r>
          </w:p>
        </w:tc>
        <w:tc>
          <w:tcPr>
            <w:tcW w:w="240" w:type="pct"/>
            <w:shd w:val="clear" w:color="auto" w:fill="auto"/>
            <w:noWrap/>
            <w:tcMar>
              <w:left w:w="57" w:type="dxa"/>
              <w:right w:w="57" w:type="dxa"/>
            </w:tcMar>
            <w:vAlign w:val="bottom"/>
          </w:tcPr>
          <w:p w14:paraId="141BCA24" w14:textId="062C2A52"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1E125A1" w14:textId="274C210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4BE803B0" w14:textId="030600B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28C84815" w14:textId="61B7EEA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09267D2E" w14:textId="12F3B0F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249D06BC" w14:textId="20083BF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3718168A" w14:textId="21C5B234"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345BEE2F" w14:textId="77777777" w:rsidTr="00CA7FAB">
        <w:trPr>
          <w:trHeight w:val="170"/>
        </w:trPr>
        <w:tc>
          <w:tcPr>
            <w:tcW w:w="232" w:type="pct"/>
            <w:tcMar>
              <w:left w:w="57" w:type="dxa"/>
              <w:right w:w="57" w:type="dxa"/>
            </w:tcMar>
            <w:vAlign w:val="bottom"/>
          </w:tcPr>
          <w:p w14:paraId="64CAF08A" w14:textId="6578E9A5"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XV.</w:t>
            </w:r>
          </w:p>
        </w:tc>
        <w:tc>
          <w:tcPr>
            <w:tcW w:w="1816" w:type="pct"/>
            <w:tcMar>
              <w:left w:w="57" w:type="dxa"/>
              <w:right w:w="57" w:type="dxa"/>
            </w:tcMar>
            <w:vAlign w:val="bottom"/>
          </w:tcPr>
          <w:p w14:paraId="587AD831" w14:textId="5588407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DİĞER YÜKÜMLÜLÜKLER</w:t>
            </w:r>
          </w:p>
        </w:tc>
        <w:tc>
          <w:tcPr>
            <w:tcW w:w="240" w:type="pct"/>
            <w:shd w:val="clear" w:color="auto" w:fill="auto"/>
            <w:noWrap/>
            <w:tcMar>
              <w:left w:w="57" w:type="dxa"/>
              <w:right w:w="57" w:type="dxa"/>
            </w:tcMar>
            <w:vAlign w:val="bottom"/>
          </w:tcPr>
          <w:p w14:paraId="7BC4A584" w14:textId="5146E62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(5.II.e)</w:t>
            </w:r>
          </w:p>
        </w:tc>
        <w:tc>
          <w:tcPr>
            <w:tcW w:w="459" w:type="pct"/>
            <w:vAlign w:val="bottom"/>
          </w:tcPr>
          <w:p w14:paraId="7EC46953" w14:textId="43F6C56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59.534.708</w:t>
            </w:r>
          </w:p>
        </w:tc>
        <w:tc>
          <w:tcPr>
            <w:tcW w:w="466" w:type="pct"/>
            <w:vAlign w:val="bottom"/>
          </w:tcPr>
          <w:p w14:paraId="6D8C1994" w14:textId="2D22F62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32.408.384</w:t>
            </w:r>
          </w:p>
        </w:tc>
        <w:tc>
          <w:tcPr>
            <w:tcW w:w="511" w:type="pct"/>
            <w:vAlign w:val="bottom"/>
          </w:tcPr>
          <w:p w14:paraId="68930AE3" w14:textId="64B8B7E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91.943.092</w:t>
            </w:r>
          </w:p>
        </w:tc>
        <w:tc>
          <w:tcPr>
            <w:tcW w:w="406" w:type="pct"/>
            <w:tcMar>
              <w:left w:w="57" w:type="dxa"/>
              <w:right w:w="57" w:type="dxa"/>
            </w:tcMar>
            <w:vAlign w:val="bottom"/>
          </w:tcPr>
          <w:p w14:paraId="420EB15D" w14:textId="440E9B0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32.840.317</w:t>
            </w:r>
          </w:p>
        </w:tc>
        <w:tc>
          <w:tcPr>
            <w:tcW w:w="413" w:type="pct"/>
            <w:tcMar>
              <w:left w:w="57" w:type="dxa"/>
              <w:right w:w="57" w:type="dxa"/>
            </w:tcMar>
            <w:vAlign w:val="bottom"/>
          </w:tcPr>
          <w:p w14:paraId="48B712BA" w14:textId="04B30FC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22.785.124</w:t>
            </w:r>
          </w:p>
        </w:tc>
        <w:tc>
          <w:tcPr>
            <w:tcW w:w="458" w:type="pct"/>
            <w:tcMar>
              <w:left w:w="57" w:type="dxa"/>
              <w:right w:w="57" w:type="dxa"/>
            </w:tcMar>
            <w:vAlign w:val="bottom"/>
          </w:tcPr>
          <w:p w14:paraId="32565086" w14:textId="7CBFC1C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55.625.441</w:t>
            </w:r>
          </w:p>
        </w:tc>
      </w:tr>
      <w:tr w:rsidR="0027513D" w:rsidRPr="00FB38E1" w14:paraId="220CE261" w14:textId="77777777" w:rsidTr="00CA7FAB">
        <w:trPr>
          <w:trHeight w:val="170"/>
        </w:trPr>
        <w:tc>
          <w:tcPr>
            <w:tcW w:w="232" w:type="pct"/>
            <w:tcMar>
              <w:left w:w="57" w:type="dxa"/>
              <w:right w:w="57" w:type="dxa"/>
            </w:tcMar>
            <w:vAlign w:val="bottom"/>
          </w:tcPr>
          <w:p w14:paraId="45CD622E" w14:textId="1D63DFA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XVI.</w:t>
            </w:r>
          </w:p>
        </w:tc>
        <w:tc>
          <w:tcPr>
            <w:tcW w:w="1816" w:type="pct"/>
            <w:tcMar>
              <w:left w:w="57" w:type="dxa"/>
              <w:right w:w="57" w:type="dxa"/>
            </w:tcMar>
            <w:vAlign w:val="bottom"/>
          </w:tcPr>
          <w:p w14:paraId="733C6822" w14:textId="414D87A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b/>
                <w:bCs/>
                <w:sz w:val="12"/>
                <w:szCs w:val="12"/>
              </w:rPr>
              <w:t>ÖZKAYNAKLAR</w:t>
            </w:r>
          </w:p>
        </w:tc>
        <w:tc>
          <w:tcPr>
            <w:tcW w:w="240" w:type="pct"/>
            <w:shd w:val="clear" w:color="auto" w:fill="auto"/>
            <w:noWrap/>
            <w:tcMar>
              <w:left w:w="57" w:type="dxa"/>
              <w:right w:w="57" w:type="dxa"/>
            </w:tcMar>
            <w:vAlign w:val="bottom"/>
          </w:tcPr>
          <w:p w14:paraId="6F73CFFE" w14:textId="7A603706"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(5.II.l)</w:t>
            </w:r>
          </w:p>
        </w:tc>
        <w:tc>
          <w:tcPr>
            <w:tcW w:w="459" w:type="pct"/>
            <w:vAlign w:val="bottom"/>
          </w:tcPr>
          <w:p w14:paraId="1CB8FE87" w14:textId="1F38D6FE"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151.074.270</w:t>
            </w:r>
          </w:p>
        </w:tc>
        <w:tc>
          <w:tcPr>
            <w:tcW w:w="466" w:type="pct"/>
            <w:vAlign w:val="bottom"/>
          </w:tcPr>
          <w:p w14:paraId="488930ED" w14:textId="2C38513F"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(373.552)</w:t>
            </w:r>
          </w:p>
        </w:tc>
        <w:tc>
          <w:tcPr>
            <w:tcW w:w="511" w:type="pct"/>
            <w:vAlign w:val="bottom"/>
          </w:tcPr>
          <w:p w14:paraId="1288A3C0" w14:textId="7AEEFB80"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150.700.718</w:t>
            </w:r>
          </w:p>
        </w:tc>
        <w:tc>
          <w:tcPr>
            <w:tcW w:w="406" w:type="pct"/>
            <w:tcMar>
              <w:left w:w="57" w:type="dxa"/>
              <w:right w:w="57" w:type="dxa"/>
            </w:tcMar>
            <w:vAlign w:val="bottom"/>
          </w:tcPr>
          <w:p w14:paraId="48FF35FD" w14:textId="41A7BC8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89.463.141</w:t>
            </w:r>
          </w:p>
        </w:tc>
        <w:tc>
          <w:tcPr>
            <w:tcW w:w="413" w:type="pct"/>
            <w:tcMar>
              <w:left w:w="57" w:type="dxa"/>
              <w:right w:w="57" w:type="dxa"/>
            </w:tcMar>
            <w:vAlign w:val="bottom"/>
          </w:tcPr>
          <w:p w14:paraId="01C7085A" w14:textId="0BF9071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380.260</w:t>
            </w:r>
          </w:p>
        </w:tc>
        <w:tc>
          <w:tcPr>
            <w:tcW w:w="458" w:type="pct"/>
            <w:tcMar>
              <w:left w:w="57" w:type="dxa"/>
              <w:right w:w="57" w:type="dxa"/>
            </w:tcMar>
            <w:vAlign w:val="bottom"/>
          </w:tcPr>
          <w:p w14:paraId="4B980537" w14:textId="5885C1F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b/>
                <w:bCs/>
                <w:color w:val="000000"/>
                <w:sz w:val="12"/>
                <w:szCs w:val="12"/>
              </w:rPr>
              <w:t>89.843.401</w:t>
            </w:r>
          </w:p>
        </w:tc>
      </w:tr>
      <w:tr w:rsidR="0027513D" w:rsidRPr="00FB38E1" w14:paraId="0E766CAB" w14:textId="77777777" w:rsidTr="00CA7FAB">
        <w:trPr>
          <w:trHeight w:val="170"/>
        </w:trPr>
        <w:tc>
          <w:tcPr>
            <w:tcW w:w="232" w:type="pct"/>
            <w:tcMar>
              <w:left w:w="57" w:type="dxa"/>
              <w:right w:w="57" w:type="dxa"/>
            </w:tcMar>
            <w:vAlign w:val="bottom"/>
          </w:tcPr>
          <w:p w14:paraId="63557416" w14:textId="1848196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16.1</w:t>
            </w:r>
          </w:p>
        </w:tc>
        <w:tc>
          <w:tcPr>
            <w:tcW w:w="1816" w:type="pct"/>
            <w:tcMar>
              <w:left w:w="57" w:type="dxa"/>
              <w:right w:w="57" w:type="dxa"/>
            </w:tcMar>
            <w:vAlign w:val="bottom"/>
          </w:tcPr>
          <w:p w14:paraId="60534974" w14:textId="7A35015C"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Ödenmiş Sermaye</w:t>
            </w:r>
          </w:p>
        </w:tc>
        <w:tc>
          <w:tcPr>
            <w:tcW w:w="240" w:type="pct"/>
            <w:shd w:val="clear" w:color="auto" w:fill="auto"/>
            <w:noWrap/>
            <w:tcMar>
              <w:left w:w="57" w:type="dxa"/>
              <w:right w:w="57" w:type="dxa"/>
            </w:tcMar>
            <w:vAlign w:val="bottom"/>
          </w:tcPr>
          <w:p w14:paraId="7635E2B2" w14:textId="0095E81C"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00FC0CC5" w14:textId="74B02A6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19.638.600</w:t>
            </w:r>
          </w:p>
        </w:tc>
        <w:tc>
          <w:tcPr>
            <w:tcW w:w="466" w:type="pct"/>
            <w:vAlign w:val="bottom"/>
          </w:tcPr>
          <w:p w14:paraId="36389C0A" w14:textId="0BBF374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2AE0FC93" w14:textId="618A9BE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19.638.600</w:t>
            </w:r>
          </w:p>
        </w:tc>
        <w:tc>
          <w:tcPr>
            <w:tcW w:w="406" w:type="pct"/>
            <w:tcMar>
              <w:left w:w="57" w:type="dxa"/>
              <w:right w:w="57" w:type="dxa"/>
            </w:tcMar>
            <w:vAlign w:val="bottom"/>
          </w:tcPr>
          <w:p w14:paraId="0C46B4AA" w14:textId="6C2FD82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5.696.100</w:t>
            </w:r>
          </w:p>
        </w:tc>
        <w:tc>
          <w:tcPr>
            <w:tcW w:w="413" w:type="pct"/>
            <w:tcMar>
              <w:left w:w="57" w:type="dxa"/>
              <w:right w:w="57" w:type="dxa"/>
            </w:tcMar>
            <w:vAlign w:val="bottom"/>
          </w:tcPr>
          <w:p w14:paraId="0F8D83C0" w14:textId="38C8B90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430413BF" w14:textId="678CCF7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5.696.100</w:t>
            </w:r>
          </w:p>
        </w:tc>
      </w:tr>
      <w:tr w:rsidR="0027513D" w:rsidRPr="00FB38E1" w14:paraId="2B25D0A4" w14:textId="77777777" w:rsidTr="00CA7FAB">
        <w:trPr>
          <w:trHeight w:val="170"/>
        </w:trPr>
        <w:tc>
          <w:tcPr>
            <w:tcW w:w="232" w:type="pct"/>
            <w:tcMar>
              <w:left w:w="57" w:type="dxa"/>
              <w:right w:w="57" w:type="dxa"/>
            </w:tcMar>
            <w:vAlign w:val="bottom"/>
          </w:tcPr>
          <w:p w14:paraId="70338D45" w14:textId="42BD121D"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16.2</w:t>
            </w:r>
          </w:p>
        </w:tc>
        <w:tc>
          <w:tcPr>
            <w:tcW w:w="1816" w:type="pct"/>
            <w:tcMar>
              <w:left w:w="57" w:type="dxa"/>
              <w:right w:w="57" w:type="dxa"/>
            </w:tcMar>
            <w:vAlign w:val="bottom"/>
          </w:tcPr>
          <w:p w14:paraId="04BF9644" w14:textId="66EE32C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Sermaye Yedekleri</w:t>
            </w:r>
          </w:p>
        </w:tc>
        <w:tc>
          <w:tcPr>
            <w:tcW w:w="240" w:type="pct"/>
            <w:shd w:val="clear" w:color="auto" w:fill="auto"/>
            <w:noWrap/>
            <w:tcMar>
              <w:left w:w="57" w:type="dxa"/>
              <w:right w:w="57" w:type="dxa"/>
            </w:tcMar>
            <w:vAlign w:val="bottom"/>
          </w:tcPr>
          <w:p w14:paraId="44F46E78" w14:textId="2B1F52FE"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0D4BFE70" w14:textId="00DFA94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24.604</w:t>
            </w:r>
          </w:p>
        </w:tc>
        <w:tc>
          <w:tcPr>
            <w:tcW w:w="466" w:type="pct"/>
            <w:vAlign w:val="bottom"/>
          </w:tcPr>
          <w:p w14:paraId="530CDA69" w14:textId="686AF9E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67FA2D52" w14:textId="45F1388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24.604</w:t>
            </w:r>
          </w:p>
        </w:tc>
        <w:tc>
          <w:tcPr>
            <w:tcW w:w="406" w:type="pct"/>
            <w:tcMar>
              <w:left w:w="57" w:type="dxa"/>
              <w:right w:w="57" w:type="dxa"/>
            </w:tcMar>
            <w:vAlign w:val="bottom"/>
          </w:tcPr>
          <w:p w14:paraId="703EBB2C" w14:textId="3ED2F56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2.925</w:t>
            </w:r>
          </w:p>
        </w:tc>
        <w:tc>
          <w:tcPr>
            <w:tcW w:w="413" w:type="pct"/>
            <w:tcMar>
              <w:left w:w="57" w:type="dxa"/>
              <w:right w:w="57" w:type="dxa"/>
            </w:tcMar>
            <w:vAlign w:val="bottom"/>
          </w:tcPr>
          <w:p w14:paraId="319F6F10" w14:textId="19E3E3B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4C7477D4" w14:textId="07601D4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2.925</w:t>
            </w:r>
          </w:p>
        </w:tc>
      </w:tr>
      <w:tr w:rsidR="0027513D" w:rsidRPr="00FB38E1" w14:paraId="73D045EC" w14:textId="77777777" w:rsidTr="00CA7FAB">
        <w:trPr>
          <w:trHeight w:val="170"/>
        </w:trPr>
        <w:tc>
          <w:tcPr>
            <w:tcW w:w="232" w:type="pct"/>
            <w:tcMar>
              <w:left w:w="57" w:type="dxa"/>
              <w:right w:w="57" w:type="dxa"/>
            </w:tcMar>
            <w:vAlign w:val="bottom"/>
          </w:tcPr>
          <w:p w14:paraId="64C1E823" w14:textId="4F8FBCE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16.2.1</w:t>
            </w:r>
          </w:p>
        </w:tc>
        <w:tc>
          <w:tcPr>
            <w:tcW w:w="1816" w:type="pct"/>
            <w:tcMar>
              <w:left w:w="57" w:type="dxa"/>
              <w:right w:w="57" w:type="dxa"/>
            </w:tcMar>
            <w:vAlign w:val="bottom"/>
          </w:tcPr>
          <w:p w14:paraId="7DF36845" w14:textId="474A001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Hisse Senedi İhraç Primleri</w:t>
            </w:r>
          </w:p>
        </w:tc>
        <w:tc>
          <w:tcPr>
            <w:tcW w:w="240" w:type="pct"/>
            <w:shd w:val="clear" w:color="auto" w:fill="auto"/>
            <w:noWrap/>
            <w:tcMar>
              <w:left w:w="57" w:type="dxa"/>
              <w:right w:w="57" w:type="dxa"/>
            </w:tcMar>
            <w:vAlign w:val="bottom"/>
          </w:tcPr>
          <w:p w14:paraId="7DF40BEF" w14:textId="0F0664B5"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62533793" w14:textId="0CDE2332"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15</w:t>
            </w:r>
          </w:p>
        </w:tc>
        <w:tc>
          <w:tcPr>
            <w:tcW w:w="466" w:type="pct"/>
            <w:vAlign w:val="bottom"/>
          </w:tcPr>
          <w:p w14:paraId="0D9E9EFC" w14:textId="260D83C1"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1B9FD5D0" w14:textId="4217638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15</w:t>
            </w:r>
          </w:p>
        </w:tc>
        <w:tc>
          <w:tcPr>
            <w:tcW w:w="406" w:type="pct"/>
            <w:tcMar>
              <w:left w:w="57" w:type="dxa"/>
              <w:right w:w="57" w:type="dxa"/>
            </w:tcMar>
            <w:vAlign w:val="bottom"/>
          </w:tcPr>
          <w:p w14:paraId="167ACD2F" w14:textId="71BB1C5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15</w:t>
            </w:r>
          </w:p>
        </w:tc>
        <w:tc>
          <w:tcPr>
            <w:tcW w:w="413" w:type="pct"/>
            <w:tcMar>
              <w:left w:w="57" w:type="dxa"/>
              <w:right w:w="57" w:type="dxa"/>
            </w:tcMar>
            <w:vAlign w:val="bottom"/>
          </w:tcPr>
          <w:p w14:paraId="001E3335" w14:textId="11FDFDB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219F3566" w14:textId="3C49E86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15</w:t>
            </w:r>
          </w:p>
        </w:tc>
      </w:tr>
      <w:tr w:rsidR="0027513D" w:rsidRPr="00FB38E1" w14:paraId="603A7C6B" w14:textId="77777777" w:rsidTr="00CA7FAB">
        <w:trPr>
          <w:trHeight w:val="170"/>
        </w:trPr>
        <w:tc>
          <w:tcPr>
            <w:tcW w:w="232" w:type="pct"/>
            <w:tcMar>
              <w:left w:w="57" w:type="dxa"/>
              <w:right w:w="57" w:type="dxa"/>
            </w:tcMar>
            <w:vAlign w:val="bottom"/>
          </w:tcPr>
          <w:p w14:paraId="18175BFC" w14:textId="5B5B031F"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16.2.2</w:t>
            </w:r>
          </w:p>
        </w:tc>
        <w:tc>
          <w:tcPr>
            <w:tcW w:w="1816" w:type="pct"/>
            <w:tcMar>
              <w:left w:w="57" w:type="dxa"/>
              <w:right w:w="57" w:type="dxa"/>
            </w:tcMar>
            <w:vAlign w:val="bottom"/>
          </w:tcPr>
          <w:p w14:paraId="53307FBA" w14:textId="35229064"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Hisse Senedi İptal Kârları</w:t>
            </w:r>
          </w:p>
        </w:tc>
        <w:tc>
          <w:tcPr>
            <w:tcW w:w="240" w:type="pct"/>
            <w:shd w:val="clear" w:color="auto" w:fill="auto"/>
            <w:noWrap/>
            <w:tcMar>
              <w:left w:w="57" w:type="dxa"/>
              <w:right w:w="57" w:type="dxa"/>
            </w:tcMar>
            <w:vAlign w:val="bottom"/>
          </w:tcPr>
          <w:p w14:paraId="06A0F0B8" w14:textId="569EA75D"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531E4568" w14:textId="5CA00ADA"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2A6D87A2" w14:textId="1616F6A6"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1B8F3203" w14:textId="613CEED9" w:rsidR="0027513D" w:rsidRPr="00FB38E1" w:rsidRDefault="0027513D" w:rsidP="0027513D">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673F76C4" w14:textId="268FC6E6"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08BC38B0" w14:textId="2734D96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37D7789A" w14:textId="073B1D1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4030CE73" w14:textId="77777777" w:rsidTr="00CA7FAB">
        <w:trPr>
          <w:trHeight w:val="170"/>
        </w:trPr>
        <w:tc>
          <w:tcPr>
            <w:tcW w:w="232" w:type="pct"/>
            <w:tcMar>
              <w:left w:w="57" w:type="dxa"/>
              <w:right w:w="57" w:type="dxa"/>
            </w:tcMar>
            <w:vAlign w:val="bottom"/>
          </w:tcPr>
          <w:p w14:paraId="3EC3F1DC" w14:textId="3F6A73B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16.2.3</w:t>
            </w:r>
          </w:p>
        </w:tc>
        <w:tc>
          <w:tcPr>
            <w:tcW w:w="1816" w:type="pct"/>
            <w:tcMar>
              <w:left w:w="57" w:type="dxa"/>
              <w:right w:w="57" w:type="dxa"/>
            </w:tcMar>
            <w:vAlign w:val="bottom"/>
          </w:tcPr>
          <w:p w14:paraId="7E22485B" w14:textId="02573C8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Diğer Sermaye Yedekleri</w:t>
            </w:r>
          </w:p>
        </w:tc>
        <w:tc>
          <w:tcPr>
            <w:tcW w:w="240" w:type="pct"/>
            <w:shd w:val="clear" w:color="auto" w:fill="auto"/>
            <w:noWrap/>
            <w:tcMar>
              <w:left w:w="57" w:type="dxa"/>
              <w:right w:w="57" w:type="dxa"/>
            </w:tcMar>
            <w:vAlign w:val="bottom"/>
          </w:tcPr>
          <w:p w14:paraId="043EB72F" w14:textId="33485B66"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42F3F5B" w14:textId="1E2DF02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24.589</w:t>
            </w:r>
          </w:p>
        </w:tc>
        <w:tc>
          <w:tcPr>
            <w:tcW w:w="466" w:type="pct"/>
            <w:vAlign w:val="bottom"/>
          </w:tcPr>
          <w:p w14:paraId="604A5441" w14:textId="4106C5B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0BDA1CDE" w14:textId="5390C6B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24.589</w:t>
            </w:r>
          </w:p>
        </w:tc>
        <w:tc>
          <w:tcPr>
            <w:tcW w:w="406" w:type="pct"/>
            <w:tcMar>
              <w:left w:w="57" w:type="dxa"/>
              <w:right w:w="57" w:type="dxa"/>
            </w:tcMar>
            <w:vAlign w:val="bottom"/>
          </w:tcPr>
          <w:p w14:paraId="75063DBE" w14:textId="0E4F465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2.910</w:t>
            </w:r>
          </w:p>
        </w:tc>
        <w:tc>
          <w:tcPr>
            <w:tcW w:w="413" w:type="pct"/>
            <w:tcMar>
              <w:left w:w="57" w:type="dxa"/>
              <w:right w:w="57" w:type="dxa"/>
            </w:tcMar>
            <w:vAlign w:val="bottom"/>
          </w:tcPr>
          <w:p w14:paraId="0B7BA0A8" w14:textId="183CD2C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20CEFF9C" w14:textId="02F85E4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2.910</w:t>
            </w:r>
          </w:p>
        </w:tc>
      </w:tr>
      <w:tr w:rsidR="0027513D" w:rsidRPr="00FB38E1" w14:paraId="7F7F009B" w14:textId="77777777" w:rsidTr="00CA7FAB">
        <w:trPr>
          <w:trHeight w:val="170"/>
        </w:trPr>
        <w:tc>
          <w:tcPr>
            <w:tcW w:w="232" w:type="pct"/>
            <w:tcMar>
              <w:left w:w="57" w:type="dxa"/>
              <w:right w:w="57" w:type="dxa"/>
            </w:tcMar>
          </w:tcPr>
          <w:p w14:paraId="2B6CF642" w14:textId="3EC7197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16.3</w:t>
            </w:r>
          </w:p>
        </w:tc>
        <w:tc>
          <w:tcPr>
            <w:tcW w:w="1816" w:type="pct"/>
            <w:tcMar>
              <w:left w:w="57" w:type="dxa"/>
              <w:right w:w="57" w:type="dxa"/>
            </w:tcMar>
            <w:vAlign w:val="bottom"/>
          </w:tcPr>
          <w:p w14:paraId="0E300BB6" w14:textId="52CDFF1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Kâr veya Zararda Yeniden Sınıflandırılmayacak Birikmiş Diğer Kapsamlı Gelirler veya Giderler</w:t>
            </w:r>
          </w:p>
        </w:tc>
        <w:tc>
          <w:tcPr>
            <w:tcW w:w="240" w:type="pct"/>
            <w:shd w:val="clear" w:color="auto" w:fill="auto"/>
            <w:noWrap/>
            <w:tcMar>
              <w:left w:w="57" w:type="dxa"/>
              <w:right w:w="57" w:type="dxa"/>
            </w:tcMar>
            <w:vAlign w:val="bottom"/>
          </w:tcPr>
          <w:p w14:paraId="643DEE67" w14:textId="79E72FCB"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D78B03C" w14:textId="5219C84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12.371.023</w:t>
            </w:r>
          </w:p>
        </w:tc>
        <w:tc>
          <w:tcPr>
            <w:tcW w:w="466" w:type="pct"/>
            <w:vAlign w:val="bottom"/>
          </w:tcPr>
          <w:p w14:paraId="7752F250" w14:textId="1BB6018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08E7D5A0" w14:textId="4E30CB9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12.371.023</w:t>
            </w:r>
          </w:p>
        </w:tc>
        <w:tc>
          <w:tcPr>
            <w:tcW w:w="406" w:type="pct"/>
            <w:tcMar>
              <w:left w:w="57" w:type="dxa"/>
              <w:right w:w="57" w:type="dxa"/>
            </w:tcMar>
            <w:vAlign w:val="bottom"/>
          </w:tcPr>
          <w:p w14:paraId="36EFC27B" w14:textId="22A0375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8.238.726</w:t>
            </w:r>
          </w:p>
        </w:tc>
        <w:tc>
          <w:tcPr>
            <w:tcW w:w="413" w:type="pct"/>
            <w:tcMar>
              <w:left w:w="57" w:type="dxa"/>
              <w:right w:w="57" w:type="dxa"/>
            </w:tcMar>
            <w:vAlign w:val="bottom"/>
          </w:tcPr>
          <w:p w14:paraId="2704B317" w14:textId="742F455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7A573AFD" w14:textId="67C96E3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8.238.726</w:t>
            </w:r>
          </w:p>
        </w:tc>
      </w:tr>
      <w:tr w:rsidR="0027513D" w:rsidRPr="00FB38E1" w14:paraId="0DCF593C" w14:textId="77777777" w:rsidTr="00CA7FAB">
        <w:trPr>
          <w:trHeight w:val="170"/>
        </w:trPr>
        <w:tc>
          <w:tcPr>
            <w:tcW w:w="232" w:type="pct"/>
            <w:tcMar>
              <w:left w:w="57" w:type="dxa"/>
              <w:right w:w="57" w:type="dxa"/>
            </w:tcMar>
          </w:tcPr>
          <w:p w14:paraId="46472E86" w14:textId="35C69D26"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16.4</w:t>
            </w:r>
          </w:p>
        </w:tc>
        <w:tc>
          <w:tcPr>
            <w:tcW w:w="1816" w:type="pct"/>
            <w:tcMar>
              <w:left w:w="57" w:type="dxa"/>
              <w:right w:w="57" w:type="dxa"/>
            </w:tcMar>
            <w:vAlign w:val="bottom"/>
          </w:tcPr>
          <w:p w14:paraId="33D09A08" w14:textId="2B1FC080"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Kâr veya Zararda Yeniden Sınıflandırılacak Birikmiş Diğer Kapsamlı Gelirler veya Giderler</w:t>
            </w:r>
          </w:p>
        </w:tc>
        <w:tc>
          <w:tcPr>
            <w:tcW w:w="240" w:type="pct"/>
            <w:shd w:val="clear" w:color="auto" w:fill="auto"/>
            <w:noWrap/>
            <w:tcMar>
              <w:left w:w="57" w:type="dxa"/>
              <w:right w:w="57" w:type="dxa"/>
            </w:tcMar>
            <w:vAlign w:val="bottom"/>
          </w:tcPr>
          <w:p w14:paraId="64B1E618" w14:textId="3521737C"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6F8514CE" w14:textId="24CC3AC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11.098.282</w:t>
            </w:r>
          </w:p>
        </w:tc>
        <w:tc>
          <w:tcPr>
            <w:tcW w:w="466" w:type="pct"/>
            <w:vAlign w:val="bottom"/>
          </w:tcPr>
          <w:p w14:paraId="21D0E0E8" w14:textId="67C6690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(373.552)</w:t>
            </w:r>
          </w:p>
        </w:tc>
        <w:tc>
          <w:tcPr>
            <w:tcW w:w="511" w:type="pct"/>
            <w:vAlign w:val="bottom"/>
          </w:tcPr>
          <w:p w14:paraId="7A6BFB9D" w14:textId="754AAB98"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10.724.730</w:t>
            </w:r>
          </w:p>
        </w:tc>
        <w:tc>
          <w:tcPr>
            <w:tcW w:w="406" w:type="pct"/>
            <w:tcMar>
              <w:left w:w="57" w:type="dxa"/>
              <w:right w:w="57" w:type="dxa"/>
            </w:tcMar>
            <w:vAlign w:val="bottom"/>
          </w:tcPr>
          <w:p w14:paraId="17D5019C" w14:textId="6E5BCA97"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12.534.147</w:t>
            </w:r>
          </w:p>
        </w:tc>
        <w:tc>
          <w:tcPr>
            <w:tcW w:w="413" w:type="pct"/>
            <w:tcMar>
              <w:left w:w="57" w:type="dxa"/>
              <w:right w:w="57" w:type="dxa"/>
            </w:tcMar>
            <w:vAlign w:val="bottom"/>
          </w:tcPr>
          <w:p w14:paraId="61AB7DCF" w14:textId="61146874"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380.260</w:t>
            </w:r>
          </w:p>
        </w:tc>
        <w:tc>
          <w:tcPr>
            <w:tcW w:w="458" w:type="pct"/>
            <w:tcMar>
              <w:left w:w="57" w:type="dxa"/>
              <w:right w:w="57" w:type="dxa"/>
            </w:tcMar>
            <w:vAlign w:val="bottom"/>
          </w:tcPr>
          <w:p w14:paraId="0B065AA0" w14:textId="55F3CC6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12.914.407</w:t>
            </w:r>
          </w:p>
        </w:tc>
      </w:tr>
      <w:tr w:rsidR="0027513D" w:rsidRPr="00FB38E1" w14:paraId="088B70DB" w14:textId="77777777" w:rsidTr="00CA7FAB">
        <w:trPr>
          <w:trHeight w:val="170"/>
        </w:trPr>
        <w:tc>
          <w:tcPr>
            <w:tcW w:w="232" w:type="pct"/>
            <w:tcMar>
              <w:left w:w="57" w:type="dxa"/>
              <w:right w:w="57" w:type="dxa"/>
            </w:tcMar>
            <w:vAlign w:val="bottom"/>
          </w:tcPr>
          <w:p w14:paraId="669F139C" w14:textId="41449E2D"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16.5</w:t>
            </w:r>
          </w:p>
        </w:tc>
        <w:tc>
          <w:tcPr>
            <w:tcW w:w="1816" w:type="pct"/>
            <w:tcMar>
              <w:left w:w="57" w:type="dxa"/>
              <w:right w:w="57" w:type="dxa"/>
            </w:tcMar>
            <w:vAlign w:val="bottom"/>
          </w:tcPr>
          <w:p w14:paraId="7FC02614" w14:textId="2536B2D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Kâr Yedekleri</w:t>
            </w:r>
          </w:p>
        </w:tc>
        <w:tc>
          <w:tcPr>
            <w:tcW w:w="240" w:type="pct"/>
            <w:shd w:val="clear" w:color="auto" w:fill="auto"/>
            <w:noWrap/>
            <w:tcMar>
              <w:left w:w="57" w:type="dxa"/>
              <w:right w:w="57" w:type="dxa"/>
            </w:tcMar>
            <w:vAlign w:val="bottom"/>
          </w:tcPr>
          <w:p w14:paraId="0981C860" w14:textId="5F5835E2"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35598AD6" w14:textId="11BF636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61.726.992</w:t>
            </w:r>
          </w:p>
        </w:tc>
        <w:tc>
          <w:tcPr>
            <w:tcW w:w="466" w:type="pct"/>
            <w:vAlign w:val="bottom"/>
          </w:tcPr>
          <w:p w14:paraId="6AA5914F" w14:textId="51A0059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7F6AD4AE" w14:textId="0918030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61.726.992</w:t>
            </w:r>
          </w:p>
        </w:tc>
        <w:tc>
          <w:tcPr>
            <w:tcW w:w="406" w:type="pct"/>
            <w:tcMar>
              <w:left w:w="57" w:type="dxa"/>
              <w:right w:w="57" w:type="dxa"/>
            </w:tcMar>
            <w:vAlign w:val="bottom"/>
          </w:tcPr>
          <w:p w14:paraId="52F0CF22" w14:textId="374F7BA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33.868.186</w:t>
            </w:r>
          </w:p>
        </w:tc>
        <w:tc>
          <w:tcPr>
            <w:tcW w:w="413" w:type="pct"/>
            <w:tcMar>
              <w:left w:w="57" w:type="dxa"/>
              <w:right w:w="57" w:type="dxa"/>
            </w:tcMar>
            <w:vAlign w:val="bottom"/>
          </w:tcPr>
          <w:p w14:paraId="7B473765" w14:textId="13AAB9B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76251B0B" w14:textId="18A4B88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33.868.186</w:t>
            </w:r>
          </w:p>
        </w:tc>
      </w:tr>
      <w:tr w:rsidR="0027513D" w:rsidRPr="00FB38E1" w14:paraId="57DF6A7B" w14:textId="77777777" w:rsidTr="00CA7FAB">
        <w:trPr>
          <w:trHeight w:val="170"/>
        </w:trPr>
        <w:tc>
          <w:tcPr>
            <w:tcW w:w="232" w:type="pct"/>
            <w:tcMar>
              <w:left w:w="57" w:type="dxa"/>
              <w:right w:w="57" w:type="dxa"/>
            </w:tcMar>
            <w:vAlign w:val="bottom"/>
          </w:tcPr>
          <w:p w14:paraId="68753EC6" w14:textId="37E1A0EA"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16.5.1</w:t>
            </w:r>
          </w:p>
        </w:tc>
        <w:tc>
          <w:tcPr>
            <w:tcW w:w="1816" w:type="pct"/>
            <w:tcMar>
              <w:left w:w="57" w:type="dxa"/>
              <w:right w:w="57" w:type="dxa"/>
            </w:tcMar>
            <w:vAlign w:val="bottom"/>
          </w:tcPr>
          <w:p w14:paraId="74F61B20" w14:textId="6CE289A1"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Yasal Yedekler</w:t>
            </w:r>
          </w:p>
        </w:tc>
        <w:tc>
          <w:tcPr>
            <w:tcW w:w="240" w:type="pct"/>
            <w:shd w:val="clear" w:color="auto" w:fill="auto"/>
            <w:noWrap/>
            <w:tcMar>
              <w:left w:w="57" w:type="dxa"/>
              <w:right w:w="57" w:type="dxa"/>
            </w:tcMar>
            <w:vAlign w:val="bottom"/>
          </w:tcPr>
          <w:p w14:paraId="207B9BBB" w14:textId="56181723"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17A014A9" w14:textId="025BD5C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1.139.220</w:t>
            </w:r>
          </w:p>
        </w:tc>
        <w:tc>
          <w:tcPr>
            <w:tcW w:w="466" w:type="pct"/>
            <w:vAlign w:val="bottom"/>
          </w:tcPr>
          <w:p w14:paraId="471C8816" w14:textId="4F58E81E"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5973FB77" w14:textId="0D54108C"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1.139.220</w:t>
            </w:r>
          </w:p>
        </w:tc>
        <w:tc>
          <w:tcPr>
            <w:tcW w:w="406" w:type="pct"/>
            <w:tcMar>
              <w:left w:w="57" w:type="dxa"/>
              <w:right w:w="57" w:type="dxa"/>
            </w:tcMar>
            <w:vAlign w:val="bottom"/>
          </w:tcPr>
          <w:p w14:paraId="41120736" w14:textId="4112F8A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1.139.220</w:t>
            </w:r>
          </w:p>
        </w:tc>
        <w:tc>
          <w:tcPr>
            <w:tcW w:w="413" w:type="pct"/>
            <w:tcMar>
              <w:left w:w="57" w:type="dxa"/>
              <w:right w:w="57" w:type="dxa"/>
            </w:tcMar>
            <w:vAlign w:val="bottom"/>
          </w:tcPr>
          <w:p w14:paraId="6BAB77E2" w14:textId="4FEA72D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2C230E11" w14:textId="276683C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1.139.220</w:t>
            </w:r>
          </w:p>
        </w:tc>
      </w:tr>
      <w:tr w:rsidR="0027513D" w:rsidRPr="00FB38E1" w14:paraId="103685CE" w14:textId="77777777" w:rsidTr="00CA7FAB">
        <w:trPr>
          <w:trHeight w:val="170"/>
        </w:trPr>
        <w:tc>
          <w:tcPr>
            <w:tcW w:w="232" w:type="pct"/>
            <w:tcMar>
              <w:left w:w="57" w:type="dxa"/>
              <w:right w:w="57" w:type="dxa"/>
            </w:tcMar>
            <w:vAlign w:val="bottom"/>
          </w:tcPr>
          <w:p w14:paraId="3104D563" w14:textId="6C4D0127"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16.5.2</w:t>
            </w:r>
          </w:p>
        </w:tc>
        <w:tc>
          <w:tcPr>
            <w:tcW w:w="1816" w:type="pct"/>
            <w:tcMar>
              <w:left w:w="57" w:type="dxa"/>
              <w:right w:w="57" w:type="dxa"/>
            </w:tcMar>
            <w:vAlign w:val="bottom"/>
          </w:tcPr>
          <w:p w14:paraId="217B159A" w14:textId="5EA66A4A"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Statü Yedekleri</w:t>
            </w:r>
          </w:p>
        </w:tc>
        <w:tc>
          <w:tcPr>
            <w:tcW w:w="240" w:type="pct"/>
            <w:shd w:val="clear" w:color="auto" w:fill="auto"/>
            <w:noWrap/>
            <w:tcMar>
              <w:left w:w="57" w:type="dxa"/>
              <w:right w:w="57" w:type="dxa"/>
            </w:tcMar>
            <w:vAlign w:val="bottom"/>
          </w:tcPr>
          <w:p w14:paraId="09F8783C" w14:textId="5F2CAAF8"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4527F53E" w14:textId="7027F65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32430278" w14:textId="405B6C9C"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25AABD69" w14:textId="70D9C33C"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1C294D9F" w14:textId="6756C86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77938C99" w14:textId="3BE35727"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7285C07E" w14:textId="7ED2A25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r>
      <w:tr w:rsidR="0027513D" w:rsidRPr="00FB38E1" w14:paraId="4D7661FB" w14:textId="77777777" w:rsidTr="00CA7FAB">
        <w:trPr>
          <w:trHeight w:val="170"/>
        </w:trPr>
        <w:tc>
          <w:tcPr>
            <w:tcW w:w="232" w:type="pct"/>
            <w:tcMar>
              <w:left w:w="57" w:type="dxa"/>
              <w:right w:w="57" w:type="dxa"/>
            </w:tcMar>
            <w:vAlign w:val="bottom"/>
          </w:tcPr>
          <w:p w14:paraId="16B7F632" w14:textId="44548A25"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16.5.3</w:t>
            </w:r>
          </w:p>
        </w:tc>
        <w:tc>
          <w:tcPr>
            <w:tcW w:w="1816" w:type="pct"/>
            <w:tcMar>
              <w:left w:w="57" w:type="dxa"/>
              <w:right w:w="57" w:type="dxa"/>
            </w:tcMar>
            <w:vAlign w:val="bottom"/>
          </w:tcPr>
          <w:p w14:paraId="2A6CA525" w14:textId="3271020B"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sz w:val="12"/>
                <w:szCs w:val="12"/>
              </w:rPr>
              <w:t>Olağanüstü Yedekler</w:t>
            </w:r>
          </w:p>
        </w:tc>
        <w:tc>
          <w:tcPr>
            <w:tcW w:w="240" w:type="pct"/>
            <w:shd w:val="clear" w:color="auto" w:fill="auto"/>
            <w:noWrap/>
            <w:tcMar>
              <w:left w:w="57" w:type="dxa"/>
              <w:right w:w="57" w:type="dxa"/>
            </w:tcMar>
            <w:vAlign w:val="bottom"/>
          </w:tcPr>
          <w:p w14:paraId="25085323" w14:textId="4FA7D584"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5398A8A1" w14:textId="12395821"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60.587.772</w:t>
            </w:r>
          </w:p>
        </w:tc>
        <w:tc>
          <w:tcPr>
            <w:tcW w:w="466" w:type="pct"/>
            <w:vAlign w:val="bottom"/>
          </w:tcPr>
          <w:p w14:paraId="7200554B" w14:textId="5A9F3FF0"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5292A606" w14:textId="76216DC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60.587.772</w:t>
            </w:r>
          </w:p>
        </w:tc>
        <w:tc>
          <w:tcPr>
            <w:tcW w:w="406" w:type="pct"/>
            <w:tcMar>
              <w:left w:w="57" w:type="dxa"/>
              <w:right w:w="57" w:type="dxa"/>
            </w:tcMar>
            <w:vAlign w:val="bottom"/>
          </w:tcPr>
          <w:p w14:paraId="4B6A1F42" w14:textId="4151F33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32.728.966</w:t>
            </w:r>
          </w:p>
        </w:tc>
        <w:tc>
          <w:tcPr>
            <w:tcW w:w="413" w:type="pct"/>
            <w:tcMar>
              <w:left w:w="57" w:type="dxa"/>
              <w:right w:w="57" w:type="dxa"/>
            </w:tcMar>
            <w:vAlign w:val="bottom"/>
          </w:tcPr>
          <w:p w14:paraId="413E13FF" w14:textId="109E143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0592027E" w14:textId="6146DB3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color w:val="000000"/>
                <w:sz w:val="12"/>
                <w:szCs w:val="12"/>
              </w:rPr>
              <w:t>32.728.966</w:t>
            </w:r>
          </w:p>
        </w:tc>
      </w:tr>
      <w:tr w:rsidR="0027513D" w:rsidRPr="00FB38E1" w14:paraId="64684C6E" w14:textId="77777777" w:rsidTr="00CA7FAB">
        <w:trPr>
          <w:trHeight w:val="170"/>
        </w:trPr>
        <w:tc>
          <w:tcPr>
            <w:tcW w:w="232" w:type="pct"/>
            <w:tcMar>
              <w:left w:w="57" w:type="dxa"/>
              <w:right w:w="57" w:type="dxa"/>
            </w:tcMar>
            <w:vAlign w:val="bottom"/>
          </w:tcPr>
          <w:p w14:paraId="5199BB97" w14:textId="1D96976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16.5.4</w:t>
            </w:r>
          </w:p>
        </w:tc>
        <w:tc>
          <w:tcPr>
            <w:tcW w:w="1816" w:type="pct"/>
            <w:tcMar>
              <w:left w:w="57" w:type="dxa"/>
              <w:right w:w="57" w:type="dxa"/>
            </w:tcMar>
            <w:vAlign w:val="bottom"/>
          </w:tcPr>
          <w:p w14:paraId="11BE6ECB" w14:textId="172A0E6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Diğer Kâr Yedekleri</w:t>
            </w:r>
          </w:p>
        </w:tc>
        <w:tc>
          <w:tcPr>
            <w:tcW w:w="240" w:type="pct"/>
            <w:shd w:val="clear" w:color="auto" w:fill="auto"/>
            <w:noWrap/>
            <w:tcMar>
              <w:left w:w="57" w:type="dxa"/>
              <w:right w:w="57" w:type="dxa"/>
            </w:tcMar>
            <w:vAlign w:val="bottom"/>
          </w:tcPr>
          <w:p w14:paraId="51AD1A8A" w14:textId="753C731A"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22856DD4" w14:textId="15A8B7D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34CD9841" w14:textId="51F45877"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7060A367" w14:textId="67DAFC6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78E01432" w14:textId="4F75B5B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4773A9DD" w14:textId="347BA92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3B486C1C" w14:textId="67DA1C9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r>
      <w:tr w:rsidR="0027513D" w:rsidRPr="00FB38E1" w14:paraId="0DD3DD1E" w14:textId="77777777" w:rsidTr="00CA7FAB">
        <w:trPr>
          <w:trHeight w:val="170"/>
        </w:trPr>
        <w:tc>
          <w:tcPr>
            <w:tcW w:w="232" w:type="pct"/>
            <w:tcMar>
              <w:left w:w="57" w:type="dxa"/>
              <w:right w:w="57" w:type="dxa"/>
            </w:tcMar>
            <w:vAlign w:val="bottom"/>
          </w:tcPr>
          <w:p w14:paraId="10490522" w14:textId="54F8BF5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16.6</w:t>
            </w:r>
          </w:p>
        </w:tc>
        <w:tc>
          <w:tcPr>
            <w:tcW w:w="1816" w:type="pct"/>
            <w:tcMar>
              <w:left w:w="57" w:type="dxa"/>
              <w:right w:w="57" w:type="dxa"/>
            </w:tcMar>
            <w:vAlign w:val="bottom"/>
          </w:tcPr>
          <w:p w14:paraId="5C56B5C7" w14:textId="59D35D5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Kâr veya Zarar</w:t>
            </w:r>
          </w:p>
        </w:tc>
        <w:tc>
          <w:tcPr>
            <w:tcW w:w="240" w:type="pct"/>
            <w:shd w:val="clear" w:color="auto" w:fill="auto"/>
            <w:noWrap/>
            <w:tcMar>
              <w:left w:w="57" w:type="dxa"/>
              <w:right w:w="57" w:type="dxa"/>
            </w:tcMar>
            <w:vAlign w:val="bottom"/>
          </w:tcPr>
          <w:p w14:paraId="058877A0" w14:textId="2B18A109"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0718B4FF" w14:textId="61DE9A4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46.214.769</w:t>
            </w:r>
          </w:p>
        </w:tc>
        <w:tc>
          <w:tcPr>
            <w:tcW w:w="466" w:type="pct"/>
            <w:vAlign w:val="bottom"/>
          </w:tcPr>
          <w:p w14:paraId="71871C26" w14:textId="792F303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5E43D245" w14:textId="5B2789C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46.214.769</w:t>
            </w:r>
          </w:p>
        </w:tc>
        <w:tc>
          <w:tcPr>
            <w:tcW w:w="406" w:type="pct"/>
            <w:tcMar>
              <w:left w:w="57" w:type="dxa"/>
              <w:right w:w="57" w:type="dxa"/>
            </w:tcMar>
            <w:vAlign w:val="bottom"/>
          </w:tcPr>
          <w:p w14:paraId="5F61F0EB" w14:textId="4A468F8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29.123.057</w:t>
            </w:r>
          </w:p>
        </w:tc>
        <w:tc>
          <w:tcPr>
            <w:tcW w:w="413" w:type="pct"/>
            <w:tcMar>
              <w:left w:w="57" w:type="dxa"/>
              <w:right w:w="57" w:type="dxa"/>
            </w:tcMar>
            <w:vAlign w:val="bottom"/>
          </w:tcPr>
          <w:p w14:paraId="4B643F43" w14:textId="5A04214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5FDBC9A6" w14:textId="353880F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29.123.057</w:t>
            </w:r>
          </w:p>
        </w:tc>
      </w:tr>
      <w:tr w:rsidR="0027513D" w:rsidRPr="00FB38E1" w14:paraId="0A8FE194" w14:textId="77777777" w:rsidTr="00CA7FAB">
        <w:trPr>
          <w:trHeight w:val="170"/>
        </w:trPr>
        <w:tc>
          <w:tcPr>
            <w:tcW w:w="232" w:type="pct"/>
            <w:tcMar>
              <w:left w:w="57" w:type="dxa"/>
              <w:right w:w="57" w:type="dxa"/>
            </w:tcMar>
            <w:vAlign w:val="bottom"/>
          </w:tcPr>
          <w:p w14:paraId="13D68C63" w14:textId="48EA05F9"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16.6.1</w:t>
            </w:r>
          </w:p>
        </w:tc>
        <w:tc>
          <w:tcPr>
            <w:tcW w:w="1816" w:type="pct"/>
            <w:tcMar>
              <w:left w:w="57" w:type="dxa"/>
              <w:right w:w="57" w:type="dxa"/>
            </w:tcMar>
            <w:vAlign w:val="bottom"/>
          </w:tcPr>
          <w:p w14:paraId="28D46631" w14:textId="2CF13BD2"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Geçmiş Yıllar Kâr veya Zararı</w:t>
            </w:r>
          </w:p>
        </w:tc>
        <w:tc>
          <w:tcPr>
            <w:tcW w:w="240" w:type="pct"/>
            <w:shd w:val="clear" w:color="auto" w:fill="auto"/>
            <w:noWrap/>
            <w:tcMar>
              <w:left w:w="57" w:type="dxa"/>
              <w:right w:w="57" w:type="dxa"/>
            </w:tcMar>
            <w:vAlign w:val="bottom"/>
          </w:tcPr>
          <w:p w14:paraId="7761306D" w14:textId="6AE6A205"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260006EF" w14:textId="6AC589D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1.245.272</w:t>
            </w:r>
          </w:p>
        </w:tc>
        <w:tc>
          <w:tcPr>
            <w:tcW w:w="466" w:type="pct"/>
            <w:vAlign w:val="bottom"/>
          </w:tcPr>
          <w:p w14:paraId="7C5E3768" w14:textId="305F1FF6"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27258688" w14:textId="314B472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1.245.272</w:t>
            </w:r>
          </w:p>
        </w:tc>
        <w:tc>
          <w:tcPr>
            <w:tcW w:w="406" w:type="pct"/>
            <w:tcMar>
              <w:left w:w="57" w:type="dxa"/>
              <w:right w:w="57" w:type="dxa"/>
            </w:tcMar>
            <w:vAlign w:val="bottom"/>
          </w:tcPr>
          <w:p w14:paraId="668BC280" w14:textId="3E1F198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1.245.272</w:t>
            </w:r>
          </w:p>
        </w:tc>
        <w:tc>
          <w:tcPr>
            <w:tcW w:w="413" w:type="pct"/>
            <w:tcMar>
              <w:left w:w="57" w:type="dxa"/>
              <w:right w:w="57" w:type="dxa"/>
            </w:tcMar>
            <w:vAlign w:val="bottom"/>
          </w:tcPr>
          <w:p w14:paraId="1AB1A0EA" w14:textId="5EB24AB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2B76E084" w14:textId="3F9B227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1.245.272</w:t>
            </w:r>
          </w:p>
        </w:tc>
      </w:tr>
      <w:tr w:rsidR="0027513D" w:rsidRPr="00FB38E1" w14:paraId="7E32BF45" w14:textId="77777777" w:rsidTr="00CA7FAB">
        <w:trPr>
          <w:trHeight w:val="170"/>
        </w:trPr>
        <w:tc>
          <w:tcPr>
            <w:tcW w:w="232" w:type="pct"/>
            <w:tcMar>
              <w:left w:w="57" w:type="dxa"/>
              <w:right w:w="57" w:type="dxa"/>
            </w:tcMar>
            <w:vAlign w:val="bottom"/>
          </w:tcPr>
          <w:p w14:paraId="4CCD9207" w14:textId="72A77F2E"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16.6.2</w:t>
            </w:r>
          </w:p>
        </w:tc>
        <w:tc>
          <w:tcPr>
            <w:tcW w:w="1816" w:type="pct"/>
            <w:tcMar>
              <w:left w:w="57" w:type="dxa"/>
              <w:right w:w="57" w:type="dxa"/>
            </w:tcMar>
            <w:vAlign w:val="bottom"/>
          </w:tcPr>
          <w:p w14:paraId="0567F747" w14:textId="50BBD977"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Dönem Net Kâr veya Zararı</w:t>
            </w:r>
          </w:p>
        </w:tc>
        <w:tc>
          <w:tcPr>
            <w:tcW w:w="240" w:type="pct"/>
            <w:shd w:val="clear" w:color="auto" w:fill="auto"/>
            <w:noWrap/>
            <w:tcMar>
              <w:left w:w="57" w:type="dxa"/>
              <w:right w:w="57" w:type="dxa"/>
            </w:tcMar>
            <w:vAlign w:val="bottom"/>
          </w:tcPr>
          <w:p w14:paraId="00862561" w14:textId="2CE28C29"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07101FA0" w14:textId="040F5A0D"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44.969.497</w:t>
            </w:r>
          </w:p>
        </w:tc>
        <w:tc>
          <w:tcPr>
            <w:tcW w:w="466" w:type="pct"/>
            <w:vAlign w:val="bottom"/>
          </w:tcPr>
          <w:p w14:paraId="6F0213FB" w14:textId="451AAA43"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4E35343B" w14:textId="2165D099"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44.969.497</w:t>
            </w:r>
          </w:p>
        </w:tc>
        <w:tc>
          <w:tcPr>
            <w:tcW w:w="406" w:type="pct"/>
            <w:tcMar>
              <w:left w:w="57" w:type="dxa"/>
              <w:right w:w="57" w:type="dxa"/>
            </w:tcMar>
            <w:vAlign w:val="bottom"/>
          </w:tcPr>
          <w:p w14:paraId="3554B1C3" w14:textId="0BF228B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27.877.785</w:t>
            </w:r>
          </w:p>
        </w:tc>
        <w:tc>
          <w:tcPr>
            <w:tcW w:w="413" w:type="pct"/>
            <w:tcMar>
              <w:left w:w="57" w:type="dxa"/>
              <w:right w:w="57" w:type="dxa"/>
            </w:tcMar>
            <w:vAlign w:val="bottom"/>
          </w:tcPr>
          <w:p w14:paraId="0D34502C" w14:textId="45D582A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2AF46E28" w14:textId="1975557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27.877.785</w:t>
            </w:r>
          </w:p>
        </w:tc>
      </w:tr>
      <w:tr w:rsidR="0027513D" w:rsidRPr="00FB38E1" w14:paraId="69FA5C1F" w14:textId="77777777" w:rsidTr="00CA7FAB">
        <w:trPr>
          <w:trHeight w:val="170"/>
        </w:trPr>
        <w:tc>
          <w:tcPr>
            <w:tcW w:w="232" w:type="pct"/>
            <w:tcMar>
              <w:left w:w="57" w:type="dxa"/>
              <w:right w:w="57" w:type="dxa"/>
            </w:tcMar>
            <w:vAlign w:val="bottom"/>
          </w:tcPr>
          <w:p w14:paraId="7BE0AE3D" w14:textId="7FA1B886"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16.7</w:t>
            </w:r>
          </w:p>
        </w:tc>
        <w:tc>
          <w:tcPr>
            <w:tcW w:w="1816" w:type="pct"/>
            <w:tcMar>
              <w:left w:w="57" w:type="dxa"/>
              <w:right w:w="57" w:type="dxa"/>
            </w:tcMar>
            <w:vAlign w:val="bottom"/>
          </w:tcPr>
          <w:p w14:paraId="75895F9B" w14:textId="4016A1C8"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Azınlık Payları</w:t>
            </w:r>
          </w:p>
        </w:tc>
        <w:tc>
          <w:tcPr>
            <w:tcW w:w="240" w:type="pct"/>
            <w:shd w:val="clear" w:color="auto" w:fill="auto"/>
            <w:noWrap/>
            <w:tcMar>
              <w:left w:w="57" w:type="dxa"/>
              <w:right w:w="57" w:type="dxa"/>
            </w:tcMar>
            <w:vAlign w:val="bottom"/>
          </w:tcPr>
          <w:p w14:paraId="3225AA7B" w14:textId="61846B4A" w:rsidR="0027513D" w:rsidRPr="00FB38E1" w:rsidRDefault="0027513D" w:rsidP="0027513D">
            <w:pPr>
              <w:jc w:val="left"/>
              <w:rPr>
                <w:rFonts w:ascii="Microsoft Sans Serif" w:hAnsi="Microsoft Sans Serif" w:cs="Microsoft Sans Serif"/>
                <w:sz w:val="12"/>
                <w:szCs w:val="12"/>
              </w:rPr>
            </w:pPr>
          </w:p>
        </w:tc>
        <w:tc>
          <w:tcPr>
            <w:tcW w:w="459" w:type="pct"/>
            <w:vAlign w:val="bottom"/>
          </w:tcPr>
          <w:p w14:paraId="7F05FAB7" w14:textId="57945985"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66" w:type="pct"/>
            <w:vAlign w:val="bottom"/>
          </w:tcPr>
          <w:p w14:paraId="5A865D8A" w14:textId="073B9248"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511" w:type="pct"/>
            <w:vAlign w:val="bottom"/>
          </w:tcPr>
          <w:p w14:paraId="285F4DF6" w14:textId="03D13A4A"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406" w:type="pct"/>
            <w:tcMar>
              <w:left w:w="57" w:type="dxa"/>
              <w:right w:w="57" w:type="dxa"/>
            </w:tcMar>
            <w:vAlign w:val="bottom"/>
          </w:tcPr>
          <w:p w14:paraId="6A09FD2F" w14:textId="63B8CCF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13" w:type="pct"/>
            <w:tcMar>
              <w:left w:w="57" w:type="dxa"/>
              <w:right w:w="57" w:type="dxa"/>
            </w:tcMar>
            <w:vAlign w:val="bottom"/>
          </w:tcPr>
          <w:p w14:paraId="1C42DF60" w14:textId="2D49CBC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c>
          <w:tcPr>
            <w:tcW w:w="458" w:type="pct"/>
            <w:tcMar>
              <w:left w:w="57" w:type="dxa"/>
              <w:right w:w="57" w:type="dxa"/>
            </w:tcMar>
            <w:vAlign w:val="bottom"/>
          </w:tcPr>
          <w:p w14:paraId="4C801D8C" w14:textId="364F98D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w:t>
            </w:r>
          </w:p>
        </w:tc>
      </w:tr>
      <w:tr w:rsidR="0027513D" w:rsidRPr="00FB38E1" w14:paraId="00A5B5CF" w14:textId="77777777" w:rsidTr="00CA7FAB">
        <w:trPr>
          <w:trHeight w:val="170"/>
        </w:trPr>
        <w:tc>
          <w:tcPr>
            <w:tcW w:w="232" w:type="pct"/>
            <w:tcBorders>
              <w:bottom w:val="single" w:sz="4" w:space="0" w:color="auto"/>
            </w:tcBorders>
            <w:tcMar>
              <w:left w:w="57" w:type="dxa"/>
              <w:right w:w="57" w:type="dxa"/>
            </w:tcMar>
            <w:vAlign w:val="bottom"/>
          </w:tcPr>
          <w:p w14:paraId="27B93328" w14:textId="63857E24"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1816" w:type="pct"/>
            <w:tcBorders>
              <w:bottom w:val="single" w:sz="4" w:space="0" w:color="auto"/>
            </w:tcBorders>
            <w:tcMar>
              <w:left w:w="57" w:type="dxa"/>
              <w:right w:w="57" w:type="dxa"/>
            </w:tcMar>
            <w:vAlign w:val="bottom"/>
          </w:tcPr>
          <w:p w14:paraId="06EC5868" w14:textId="13450E10"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40" w:type="pct"/>
            <w:tcBorders>
              <w:bottom w:val="single" w:sz="4" w:space="0" w:color="auto"/>
            </w:tcBorders>
            <w:noWrap/>
            <w:tcMar>
              <w:left w:w="57" w:type="dxa"/>
              <w:right w:w="57" w:type="dxa"/>
            </w:tcMar>
            <w:vAlign w:val="bottom"/>
          </w:tcPr>
          <w:p w14:paraId="34083D36" w14:textId="5B392D44"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459" w:type="pct"/>
            <w:tcBorders>
              <w:bottom w:val="single" w:sz="4" w:space="0" w:color="auto"/>
            </w:tcBorders>
            <w:vAlign w:val="bottom"/>
          </w:tcPr>
          <w:p w14:paraId="61ED22E9" w14:textId="37384E14"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 </w:t>
            </w:r>
          </w:p>
        </w:tc>
        <w:tc>
          <w:tcPr>
            <w:tcW w:w="466" w:type="pct"/>
            <w:tcBorders>
              <w:bottom w:val="single" w:sz="4" w:space="0" w:color="auto"/>
            </w:tcBorders>
            <w:vAlign w:val="bottom"/>
          </w:tcPr>
          <w:p w14:paraId="7BFAC153" w14:textId="679D7E72"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 </w:t>
            </w:r>
          </w:p>
        </w:tc>
        <w:tc>
          <w:tcPr>
            <w:tcW w:w="511" w:type="pct"/>
            <w:tcBorders>
              <w:bottom w:val="single" w:sz="4" w:space="0" w:color="auto"/>
            </w:tcBorders>
            <w:vAlign w:val="bottom"/>
          </w:tcPr>
          <w:p w14:paraId="66EB45C4" w14:textId="0C82693B" w:rsidR="0027513D" w:rsidRPr="00FB38E1" w:rsidRDefault="0027513D" w:rsidP="0027513D">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 </w:t>
            </w:r>
          </w:p>
        </w:tc>
        <w:tc>
          <w:tcPr>
            <w:tcW w:w="406" w:type="pct"/>
            <w:tcBorders>
              <w:bottom w:val="single" w:sz="4" w:space="0" w:color="auto"/>
            </w:tcBorders>
            <w:tcMar>
              <w:left w:w="57" w:type="dxa"/>
              <w:right w:w="57" w:type="dxa"/>
            </w:tcMar>
            <w:vAlign w:val="bottom"/>
          </w:tcPr>
          <w:p w14:paraId="3B2119A2" w14:textId="2E81A49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 </w:t>
            </w:r>
          </w:p>
        </w:tc>
        <w:tc>
          <w:tcPr>
            <w:tcW w:w="413" w:type="pct"/>
            <w:tcBorders>
              <w:bottom w:val="single" w:sz="4" w:space="0" w:color="auto"/>
            </w:tcBorders>
            <w:tcMar>
              <w:left w:w="57" w:type="dxa"/>
              <w:right w:w="57" w:type="dxa"/>
            </w:tcMar>
            <w:vAlign w:val="bottom"/>
          </w:tcPr>
          <w:p w14:paraId="7FE12D98" w14:textId="4ADD5B3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 </w:t>
            </w:r>
          </w:p>
        </w:tc>
        <w:tc>
          <w:tcPr>
            <w:tcW w:w="458" w:type="pct"/>
            <w:tcBorders>
              <w:bottom w:val="single" w:sz="4" w:space="0" w:color="auto"/>
            </w:tcBorders>
            <w:tcMar>
              <w:left w:w="57" w:type="dxa"/>
              <w:right w:w="57" w:type="dxa"/>
            </w:tcMar>
            <w:vAlign w:val="bottom"/>
          </w:tcPr>
          <w:p w14:paraId="7C9F26F0" w14:textId="1FE6E5F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 </w:t>
            </w:r>
          </w:p>
        </w:tc>
      </w:tr>
      <w:tr w:rsidR="0027513D" w:rsidRPr="00FB38E1" w14:paraId="1D19DD5E" w14:textId="77777777" w:rsidTr="00CA7FAB">
        <w:trPr>
          <w:trHeight w:val="170"/>
        </w:trPr>
        <w:tc>
          <w:tcPr>
            <w:tcW w:w="232" w:type="pct"/>
            <w:tcBorders>
              <w:top w:val="single" w:sz="4" w:space="0" w:color="auto"/>
              <w:bottom w:val="single" w:sz="12" w:space="0" w:color="auto"/>
            </w:tcBorders>
            <w:tcMar>
              <w:left w:w="57" w:type="dxa"/>
              <w:right w:w="57" w:type="dxa"/>
            </w:tcMar>
            <w:vAlign w:val="bottom"/>
          </w:tcPr>
          <w:p w14:paraId="703C79F9" w14:textId="3B8A5F0C"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1816" w:type="pct"/>
            <w:tcBorders>
              <w:top w:val="single" w:sz="4" w:space="0" w:color="auto"/>
              <w:bottom w:val="single" w:sz="12" w:space="0" w:color="auto"/>
            </w:tcBorders>
            <w:tcMar>
              <w:left w:w="57" w:type="dxa"/>
              <w:right w:w="57" w:type="dxa"/>
            </w:tcMar>
            <w:vAlign w:val="bottom"/>
          </w:tcPr>
          <w:p w14:paraId="5B203301" w14:textId="642E8292" w:rsidR="0027513D" w:rsidRPr="00FB38E1" w:rsidRDefault="0027513D" w:rsidP="0027513D">
            <w:pPr>
              <w:jc w:val="lef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YÜKÜMLÜLÜKLER TOPLAMI</w:t>
            </w:r>
          </w:p>
        </w:tc>
        <w:tc>
          <w:tcPr>
            <w:tcW w:w="240" w:type="pct"/>
            <w:tcBorders>
              <w:top w:val="single" w:sz="4" w:space="0" w:color="auto"/>
              <w:bottom w:val="single" w:sz="12" w:space="0" w:color="auto"/>
            </w:tcBorders>
            <w:tcMar>
              <w:left w:w="57" w:type="dxa"/>
              <w:right w:w="57" w:type="dxa"/>
            </w:tcMar>
            <w:vAlign w:val="bottom"/>
          </w:tcPr>
          <w:p w14:paraId="7D5181CE" w14:textId="6753F926"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459" w:type="pct"/>
            <w:tcBorders>
              <w:top w:val="single" w:sz="4" w:space="0" w:color="auto"/>
              <w:bottom w:val="single" w:sz="12" w:space="0" w:color="auto"/>
            </w:tcBorders>
            <w:vAlign w:val="bottom"/>
          </w:tcPr>
          <w:p w14:paraId="67035F65" w14:textId="188D2B1C"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796.939.698</w:t>
            </w:r>
          </w:p>
        </w:tc>
        <w:tc>
          <w:tcPr>
            <w:tcW w:w="466" w:type="pct"/>
            <w:tcBorders>
              <w:top w:val="single" w:sz="4" w:space="0" w:color="auto"/>
              <w:bottom w:val="single" w:sz="12" w:space="0" w:color="auto"/>
            </w:tcBorders>
            <w:vAlign w:val="bottom"/>
          </w:tcPr>
          <w:p w14:paraId="2E9C2D28" w14:textId="065882E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573.681.334</w:t>
            </w:r>
          </w:p>
        </w:tc>
        <w:tc>
          <w:tcPr>
            <w:tcW w:w="511" w:type="pct"/>
            <w:tcBorders>
              <w:top w:val="single" w:sz="4" w:space="0" w:color="auto"/>
              <w:bottom w:val="single" w:sz="12" w:space="0" w:color="auto"/>
            </w:tcBorders>
            <w:vAlign w:val="bottom"/>
          </w:tcPr>
          <w:p w14:paraId="3F0B9A0A" w14:textId="7F07F5D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1.370.621.032</w:t>
            </w:r>
          </w:p>
        </w:tc>
        <w:tc>
          <w:tcPr>
            <w:tcW w:w="406" w:type="pct"/>
            <w:tcBorders>
              <w:top w:val="single" w:sz="4" w:space="0" w:color="auto"/>
              <w:bottom w:val="single" w:sz="12" w:space="0" w:color="auto"/>
            </w:tcBorders>
            <w:tcMar>
              <w:left w:w="57" w:type="dxa"/>
              <w:right w:w="57" w:type="dxa"/>
            </w:tcMar>
            <w:vAlign w:val="bottom"/>
          </w:tcPr>
          <w:p w14:paraId="3AEDB0E0" w14:textId="31527D07"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538.365.694</w:t>
            </w:r>
          </w:p>
        </w:tc>
        <w:tc>
          <w:tcPr>
            <w:tcW w:w="413" w:type="pct"/>
            <w:tcBorders>
              <w:top w:val="single" w:sz="4" w:space="0" w:color="auto"/>
              <w:bottom w:val="single" w:sz="12" w:space="0" w:color="auto"/>
            </w:tcBorders>
            <w:tcMar>
              <w:left w:w="57" w:type="dxa"/>
              <w:right w:w="57" w:type="dxa"/>
            </w:tcMar>
            <w:vAlign w:val="bottom"/>
          </w:tcPr>
          <w:p w14:paraId="4BA750B9" w14:textId="61EBF93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469.343.367</w:t>
            </w:r>
          </w:p>
        </w:tc>
        <w:tc>
          <w:tcPr>
            <w:tcW w:w="458" w:type="pct"/>
            <w:tcBorders>
              <w:top w:val="single" w:sz="4" w:space="0" w:color="auto"/>
              <w:bottom w:val="single" w:sz="12" w:space="0" w:color="auto"/>
            </w:tcBorders>
            <w:tcMar>
              <w:left w:w="57" w:type="dxa"/>
              <w:right w:w="57" w:type="dxa"/>
            </w:tcMar>
            <w:vAlign w:val="bottom"/>
          </w:tcPr>
          <w:p w14:paraId="6CD0B0C1" w14:textId="4B8470C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1.007.709.061</w:t>
            </w:r>
          </w:p>
        </w:tc>
      </w:tr>
    </w:tbl>
    <w:p w14:paraId="2559D7DD"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6BFD8138"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3037FC08"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76D3D9D5"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0AAB30F0"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3B881EFE"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565D0D13"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24C0D991"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557B9AE2"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146A03E1"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13EBD2D6"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47A17073"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39C8A527"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52248D77" w14:textId="7777777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2C67E553" w14:textId="77777777" w:rsidR="00CE6877" w:rsidRPr="00FB38E1" w:rsidRDefault="00CE6877" w:rsidP="00CB1278">
      <w:pPr>
        <w:pStyle w:val="ListParagraph"/>
        <w:spacing w:before="240"/>
        <w:ind w:left="0"/>
        <w:jc w:val="center"/>
        <w:rPr>
          <w:rFonts w:ascii="Microsoft Sans Serif" w:hAnsi="Microsoft Sans Serif" w:cs="Microsoft Sans Serif"/>
          <w:bCs/>
          <w:sz w:val="18"/>
          <w:szCs w:val="18"/>
        </w:rPr>
      </w:pPr>
    </w:p>
    <w:p w14:paraId="213E51D8" w14:textId="77777777" w:rsidR="00CE6877" w:rsidRPr="00FB38E1" w:rsidRDefault="00CE6877" w:rsidP="00CB1278">
      <w:pPr>
        <w:pStyle w:val="ListParagraph"/>
        <w:spacing w:before="240"/>
        <w:ind w:left="0"/>
        <w:jc w:val="center"/>
        <w:rPr>
          <w:rFonts w:ascii="Microsoft Sans Serif" w:hAnsi="Microsoft Sans Serif" w:cs="Microsoft Sans Serif"/>
          <w:bCs/>
          <w:sz w:val="18"/>
          <w:szCs w:val="18"/>
        </w:rPr>
      </w:pPr>
    </w:p>
    <w:p w14:paraId="73E6B83B" w14:textId="77777777" w:rsidR="00CE6877" w:rsidRPr="00FB38E1" w:rsidRDefault="00CE6877" w:rsidP="00CB1278">
      <w:pPr>
        <w:pStyle w:val="ListParagraph"/>
        <w:spacing w:before="240"/>
        <w:ind w:left="0"/>
        <w:jc w:val="center"/>
        <w:rPr>
          <w:rFonts w:ascii="Microsoft Sans Serif" w:hAnsi="Microsoft Sans Serif" w:cs="Microsoft Sans Serif"/>
          <w:bCs/>
          <w:sz w:val="18"/>
          <w:szCs w:val="18"/>
        </w:rPr>
      </w:pPr>
    </w:p>
    <w:p w14:paraId="6C472F44" w14:textId="09E00DA7" w:rsidR="00814157" w:rsidRPr="00FB38E1" w:rsidRDefault="00814157" w:rsidP="00CB1278">
      <w:pPr>
        <w:pStyle w:val="ListParagraph"/>
        <w:spacing w:before="240"/>
        <w:ind w:left="0"/>
        <w:jc w:val="center"/>
        <w:rPr>
          <w:rFonts w:ascii="Microsoft Sans Serif" w:hAnsi="Microsoft Sans Serif" w:cs="Microsoft Sans Serif"/>
          <w:bCs/>
          <w:sz w:val="18"/>
          <w:szCs w:val="18"/>
        </w:rPr>
      </w:pPr>
    </w:p>
    <w:p w14:paraId="776CD1E6" w14:textId="77777777" w:rsidR="00814157" w:rsidRPr="00FB38E1" w:rsidRDefault="00814157" w:rsidP="00CB1278">
      <w:pPr>
        <w:pStyle w:val="ListParagraph"/>
        <w:spacing w:before="240"/>
        <w:ind w:left="0"/>
        <w:jc w:val="center"/>
        <w:rPr>
          <w:rFonts w:ascii="Microsoft Sans Serif" w:hAnsi="Microsoft Sans Serif" w:cs="Microsoft Sans Serif"/>
          <w:b/>
          <w:sz w:val="32"/>
          <w:szCs w:val="32"/>
        </w:rPr>
        <w:sectPr w:rsidR="00814157" w:rsidRPr="00FB38E1" w:rsidSect="005B03B1">
          <w:headerReference w:type="default" r:id="rId37"/>
          <w:pgSz w:w="11906" w:h="16838"/>
          <w:pgMar w:top="-1985" w:right="567" w:bottom="-862" w:left="1701" w:header="709" w:footer="306"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2818"/>
        <w:gridCol w:w="515"/>
        <w:gridCol w:w="1016"/>
        <w:gridCol w:w="1016"/>
        <w:gridCol w:w="1016"/>
        <w:gridCol w:w="912"/>
        <w:gridCol w:w="912"/>
        <w:gridCol w:w="906"/>
      </w:tblGrid>
      <w:tr w:rsidR="00D84834" w:rsidRPr="00FB38E1" w14:paraId="302827A8" w14:textId="77777777" w:rsidTr="0027513D">
        <w:trPr>
          <w:trHeight w:val="131"/>
        </w:trPr>
        <w:tc>
          <w:tcPr>
            <w:tcW w:w="274" w:type="pct"/>
            <w:shd w:val="clear" w:color="auto" w:fill="auto"/>
            <w:tcMar>
              <w:left w:w="57" w:type="dxa"/>
              <w:right w:w="57" w:type="dxa"/>
            </w:tcMar>
            <w:vAlign w:val="bottom"/>
          </w:tcPr>
          <w:p w14:paraId="523F80DD" w14:textId="77777777" w:rsidR="00D84834" w:rsidRPr="00FB38E1" w:rsidRDefault="00D84834" w:rsidP="00D84834">
            <w:pPr>
              <w:rPr>
                <w:rFonts w:ascii="Microsoft Sans Serif" w:hAnsi="Microsoft Sans Serif" w:cs="Microsoft Sans Serif"/>
                <w:sz w:val="12"/>
                <w:szCs w:val="12"/>
              </w:rPr>
            </w:pPr>
          </w:p>
        </w:tc>
        <w:tc>
          <w:tcPr>
            <w:tcW w:w="1462" w:type="pct"/>
            <w:shd w:val="clear" w:color="auto" w:fill="auto"/>
            <w:tcMar>
              <w:left w:w="57" w:type="dxa"/>
              <w:right w:w="57" w:type="dxa"/>
            </w:tcMar>
            <w:vAlign w:val="bottom"/>
          </w:tcPr>
          <w:p w14:paraId="693F737A" w14:textId="77777777" w:rsidR="00D84834" w:rsidRPr="00FB38E1" w:rsidRDefault="00D84834" w:rsidP="00D84834">
            <w:pPr>
              <w:rPr>
                <w:rFonts w:ascii="Microsoft Sans Serif" w:hAnsi="Microsoft Sans Serif" w:cs="Microsoft Sans Serif"/>
                <w:sz w:val="12"/>
                <w:szCs w:val="12"/>
              </w:rPr>
            </w:pPr>
          </w:p>
        </w:tc>
        <w:tc>
          <w:tcPr>
            <w:tcW w:w="267" w:type="pct"/>
            <w:shd w:val="clear" w:color="auto" w:fill="auto"/>
            <w:tcMar>
              <w:left w:w="57" w:type="dxa"/>
              <w:right w:w="57" w:type="dxa"/>
            </w:tcMar>
            <w:vAlign w:val="bottom"/>
          </w:tcPr>
          <w:p w14:paraId="423DFD51" w14:textId="77777777" w:rsidR="00D84834" w:rsidRPr="00FB38E1" w:rsidRDefault="00D84834" w:rsidP="00D84834">
            <w:pPr>
              <w:jc w:val="center"/>
              <w:rPr>
                <w:rFonts w:ascii="Microsoft Sans Serif" w:hAnsi="Microsoft Sans Serif" w:cs="Microsoft Sans Serif"/>
                <w:sz w:val="12"/>
                <w:szCs w:val="12"/>
              </w:rPr>
            </w:pPr>
          </w:p>
        </w:tc>
        <w:tc>
          <w:tcPr>
            <w:tcW w:w="1581" w:type="pct"/>
            <w:gridSpan w:val="3"/>
            <w:vAlign w:val="bottom"/>
          </w:tcPr>
          <w:p w14:paraId="52D87460" w14:textId="68AA60ED" w:rsidR="00D84834" w:rsidRPr="00FB38E1" w:rsidRDefault="00D2745C"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sz w:val="12"/>
                <w:szCs w:val="12"/>
              </w:rPr>
              <w:t>Bağımsız Denetimden Geçmiş</w:t>
            </w:r>
          </w:p>
        </w:tc>
        <w:tc>
          <w:tcPr>
            <w:tcW w:w="1416" w:type="pct"/>
            <w:gridSpan w:val="3"/>
            <w:shd w:val="clear" w:color="auto" w:fill="auto"/>
            <w:tcMar>
              <w:left w:w="57" w:type="dxa"/>
              <w:right w:w="57" w:type="dxa"/>
            </w:tcMar>
            <w:vAlign w:val="bottom"/>
          </w:tcPr>
          <w:p w14:paraId="5F2BD8C7" w14:textId="43DAE486"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sz w:val="12"/>
                <w:szCs w:val="12"/>
              </w:rPr>
              <w:t>Bağımsız Denetimden Geçmiş</w:t>
            </w:r>
          </w:p>
        </w:tc>
      </w:tr>
      <w:tr w:rsidR="00D84834" w:rsidRPr="00FB38E1" w14:paraId="6A86470C" w14:textId="77777777" w:rsidTr="0027513D">
        <w:trPr>
          <w:trHeight w:val="67"/>
        </w:trPr>
        <w:tc>
          <w:tcPr>
            <w:tcW w:w="274" w:type="pct"/>
            <w:shd w:val="clear" w:color="auto" w:fill="auto"/>
            <w:tcMar>
              <w:left w:w="57" w:type="dxa"/>
              <w:right w:w="57" w:type="dxa"/>
            </w:tcMar>
            <w:vAlign w:val="bottom"/>
          </w:tcPr>
          <w:p w14:paraId="2EFE384D" w14:textId="77777777" w:rsidR="00D84834" w:rsidRPr="00FB38E1" w:rsidRDefault="00D84834" w:rsidP="00D84834">
            <w:pPr>
              <w:rPr>
                <w:rFonts w:ascii="Microsoft Sans Serif" w:hAnsi="Microsoft Sans Serif" w:cs="Microsoft Sans Serif"/>
                <w:sz w:val="12"/>
                <w:szCs w:val="12"/>
              </w:rPr>
            </w:pPr>
          </w:p>
        </w:tc>
        <w:tc>
          <w:tcPr>
            <w:tcW w:w="1462" w:type="pct"/>
            <w:shd w:val="clear" w:color="auto" w:fill="auto"/>
            <w:tcMar>
              <w:left w:w="57" w:type="dxa"/>
              <w:right w:w="57" w:type="dxa"/>
            </w:tcMar>
            <w:vAlign w:val="bottom"/>
          </w:tcPr>
          <w:p w14:paraId="69C2B6A4" w14:textId="77777777" w:rsidR="00D84834" w:rsidRPr="00FB38E1" w:rsidRDefault="00D84834" w:rsidP="00D84834">
            <w:pPr>
              <w:rPr>
                <w:rFonts w:ascii="Microsoft Sans Serif" w:hAnsi="Microsoft Sans Serif" w:cs="Microsoft Sans Serif"/>
                <w:sz w:val="12"/>
                <w:szCs w:val="12"/>
              </w:rPr>
            </w:pPr>
          </w:p>
        </w:tc>
        <w:tc>
          <w:tcPr>
            <w:tcW w:w="267" w:type="pct"/>
            <w:shd w:val="clear" w:color="auto" w:fill="auto"/>
            <w:tcMar>
              <w:left w:w="57" w:type="dxa"/>
              <w:right w:w="57" w:type="dxa"/>
            </w:tcMar>
            <w:vAlign w:val="bottom"/>
          </w:tcPr>
          <w:p w14:paraId="6DE59528" w14:textId="77777777" w:rsidR="00D84834" w:rsidRPr="00FB38E1" w:rsidRDefault="00D84834" w:rsidP="00D84834">
            <w:pPr>
              <w:jc w:val="center"/>
              <w:rPr>
                <w:rFonts w:ascii="Microsoft Sans Serif" w:hAnsi="Microsoft Sans Serif" w:cs="Microsoft Sans Serif"/>
                <w:sz w:val="12"/>
                <w:szCs w:val="12"/>
              </w:rPr>
            </w:pPr>
          </w:p>
        </w:tc>
        <w:tc>
          <w:tcPr>
            <w:tcW w:w="1581" w:type="pct"/>
            <w:gridSpan w:val="3"/>
            <w:vAlign w:val="bottom"/>
          </w:tcPr>
          <w:p w14:paraId="1B9808BC" w14:textId="3F7DC358" w:rsidR="00D84834" w:rsidRPr="00FB38E1" w:rsidRDefault="00D84834" w:rsidP="0066348D">
            <w:pPr>
              <w:ind w:right="-146"/>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CARİ DÖNEM</w:t>
            </w:r>
          </w:p>
        </w:tc>
        <w:tc>
          <w:tcPr>
            <w:tcW w:w="1416" w:type="pct"/>
            <w:gridSpan w:val="3"/>
            <w:shd w:val="clear" w:color="auto" w:fill="auto"/>
            <w:tcMar>
              <w:left w:w="57" w:type="dxa"/>
              <w:right w:w="57" w:type="dxa"/>
            </w:tcMar>
            <w:vAlign w:val="bottom"/>
          </w:tcPr>
          <w:p w14:paraId="3293C8AC" w14:textId="56BBD891" w:rsidR="00D84834" w:rsidRPr="00FB38E1" w:rsidRDefault="00D84834" w:rsidP="00D8483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ÖNCEKİ DÖNEM</w:t>
            </w:r>
          </w:p>
        </w:tc>
      </w:tr>
      <w:tr w:rsidR="00B20BEF" w:rsidRPr="00FB38E1" w14:paraId="7B426194" w14:textId="77777777" w:rsidTr="0027513D">
        <w:trPr>
          <w:trHeight w:val="146"/>
        </w:trPr>
        <w:tc>
          <w:tcPr>
            <w:tcW w:w="274" w:type="pct"/>
            <w:shd w:val="clear" w:color="auto" w:fill="auto"/>
            <w:tcMar>
              <w:left w:w="57" w:type="dxa"/>
              <w:right w:w="57" w:type="dxa"/>
            </w:tcMar>
            <w:vAlign w:val="bottom"/>
          </w:tcPr>
          <w:p w14:paraId="0F8617F3" w14:textId="77777777" w:rsidR="00C94124" w:rsidRPr="00FB38E1" w:rsidRDefault="00C94124" w:rsidP="00C94124">
            <w:pPr>
              <w:rPr>
                <w:rFonts w:ascii="Microsoft Sans Serif" w:hAnsi="Microsoft Sans Serif" w:cs="Microsoft Sans Serif"/>
                <w:sz w:val="12"/>
                <w:szCs w:val="12"/>
              </w:rPr>
            </w:pPr>
          </w:p>
        </w:tc>
        <w:tc>
          <w:tcPr>
            <w:tcW w:w="1462" w:type="pct"/>
            <w:shd w:val="clear" w:color="auto" w:fill="auto"/>
            <w:tcMar>
              <w:left w:w="57" w:type="dxa"/>
              <w:right w:w="57" w:type="dxa"/>
            </w:tcMar>
            <w:vAlign w:val="bottom"/>
          </w:tcPr>
          <w:p w14:paraId="2651766F" w14:textId="77777777" w:rsidR="00C94124" w:rsidRPr="00FB38E1" w:rsidRDefault="00C94124" w:rsidP="00C94124">
            <w:pPr>
              <w:rPr>
                <w:rFonts w:ascii="Microsoft Sans Serif" w:hAnsi="Microsoft Sans Serif" w:cs="Microsoft Sans Serif"/>
                <w:b/>
                <w:bCs/>
                <w:sz w:val="12"/>
                <w:szCs w:val="12"/>
              </w:rPr>
            </w:pPr>
          </w:p>
        </w:tc>
        <w:tc>
          <w:tcPr>
            <w:tcW w:w="267" w:type="pct"/>
            <w:shd w:val="clear" w:color="auto" w:fill="auto"/>
            <w:tcMar>
              <w:left w:w="57" w:type="dxa"/>
              <w:right w:w="57" w:type="dxa"/>
            </w:tcMar>
            <w:vAlign w:val="bottom"/>
          </w:tcPr>
          <w:p w14:paraId="1E3939CC" w14:textId="77777777" w:rsidR="00C94124" w:rsidRPr="00FB38E1" w:rsidRDefault="00C94124" w:rsidP="00C9412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Dipnot</w:t>
            </w:r>
          </w:p>
        </w:tc>
        <w:tc>
          <w:tcPr>
            <w:tcW w:w="527" w:type="pct"/>
            <w:vAlign w:val="bottom"/>
          </w:tcPr>
          <w:p w14:paraId="09EB9DA3" w14:textId="77777777" w:rsidR="00C94124" w:rsidRPr="00FB38E1" w:rsidRDefault="00C94124" w:rsidP="00C94124">
            <w:pPr>
              <w:jc w:val="right"/>
              <w:rPr>
                <w:rFonts w:ascii="Microsoft Sans Serif" w:hAnsi="Microsoft Sans Serif" w:cs="Microsoft Sans Serif"/>
                <w:b/>
                <w:bCs/>
                <w:sz w:val="12"/>
                <w:szCs w:val="12"/>
              </w:rPr>
            </w:pPr>
          </w:p>
        </w:tc>
        <w:tc>
          <w:tcPr>
            <w:tcW w:w="527" w:type="pct"/>
            <w:vAlign w:val="bottom"/>
          </w:tcPr>
          <w:p w14:paraId="29A5250D" w14:textId="02E50641" w:rsidR="00C94124" w:rsidRPr="00FB38E1" w:rsidRDefault="00D2745C" w:rsidP="005863EE">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(31/12/2024)</w:t>
            </w:r>
          </w:p>
        </w:tc>
        <w:tc>
          <w:tcPr>
            <w:tcW w:w="527" w:type="pct"/>
            <w:vAlign w:val="bottom"/>
          </w:tcPr>
          <w:p w14:paraId="67EA775A" w14:textId="4C53104D" w:rsidR="00C94124" w:rsidRPr="00FB38E1" w:rsidRDefault="00C94124" w:rsidP="00C94124">
            <w:pPr>
              <w:jc w:val="right"/>
              <w:rPr>
                <w:rFonts w:ascii="Microsoft Sans Serif" w:hAnsi="Microsoft Sans Serif" w:cs="Microsoft Sans Serif"/>
                <w:b/>
                <w:bCs/>
                <w:sz w:val="12"/>
                <w:szCs w:val="12"/>
              </w:rPr>
            </w:pPr>
          </w:p>
        </w:tc>
        <w:tc>
          <w:tcPr>
            <w:tcW w:w="473" w:type="pct"/>
            <w:shd w:val="clear" w:color="auto" w:fill="auto"/>
            <w:tcMar>
              <w:left w:w="57" w:type="dxa"/>
              <w:right w:w="57" w:type="dxa"/>
            </w:tcMar>
            <w:vAlign w:val="bottom"/>
          </w:tcPr>
          <w:p w14:paraId="146B06CD" w14:textId="54F57731" w:rsidR="00C94124" w:rsidRPr="00FB38E1" w:rsidRDefault="00C94124" w:rsidP="00C94124">
            <w:pPr>
              <w:jc w:val="center"/>
              <w:rPr>
                <w:rFonts w:ascii="Microsoft Sans Serif" w:hAnsi="Microsoft Sans Serif" w:cs="Microsoft Sans Serif"/>
                <w:b/>
                <w:bCs/>
                <w:sz w:val="12"/>
                <w:szCs w:val="12"/>
              </w:rPr>
            </w:pPr>
          </w:p>
        </w:tc>
        <w:tc>
          <w:tcPr>
            <w:tcW w:w="473" w:type="pct"/>
            <w:shd w:val="clear" w:color="auto" w:fill="auto"/>
            <w:tcMar>
              <w:left w:w="57" w:type="dxa"/>
              <w:right w:w="57" w:type="dxa"/>
            </w:tcMar>
            <w:vAlign w:val="bottom"/>
          </w:tcPr>
          <w:p w14:paraId="68F0A915" w14:textId="2F5AADA4" w:rsidR="00C94124" w:rsidRPr="00FB38E1" w:rsidRDefault="005835D2" w:rsidP="00BB494E">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(31/</w:t>
            </w:r>
            <w:r w:rsidR="00112CDB" w:rsidRPr="00FB38E1">
              <w:rPr>
                <w:rFonts w:ascii="Microsoft Sans Serif" w:hAnsi="Microsoft Sans Serif" w:cs="Microsoft Sans Serif"/>
                <w:b/>
                <w:bCs/>
                <w:sz w:val="12"/>
                <w:szCs w:val="12"/>
              </w:rPr>
              <w:t>12</w:t>
            </w:r>
            <w:r w:rsidRPr="00FB38E1">
              <w:rPr>
                <w:rFonts w:ascii="Microsoft Sans Serif" w:hAnsi="Microsoft Sans Serif" w:cs="Microsoft Sans Serif"/>
                <w:b/>
                <w:bCs/>
                <w:sz w:val="12"/>
                <w:szCs w:val="12"/>
              </w:rPr>
              <w:t>/202</w:t>
            </w:r>
            <w:r w:rsidR="007A16CD" w:rsidRPr="00FB38E1">
              <w:rPr>
                <w:rFonts w:ascii="Microsoft Sans Serif" w:hAnsi="Microsoft Sans Serif" w:cs="Microsoft Sans Serif"/>
                <w:b/>
                <w:bCs/>
                <w:sz w:val="12"/>
                <w:szCs w:val="12"/>
              </w:rPr>
              <w:t>3</w:t>
            </w:r>
            <w:r w:rsidR="00C94124" w:rsidRPr="00FB38E1">
              <w:rPr>
                <w:rFonts w:ascii="Microsoft Sans Serif" w:hAnsi="Microsoft Sans Serif" w:cs="Microsoft Sans Serif"/>
                <w:b/>
                <w:bCs/>
                <w:sz w:val="12"/>
                <w:szCs w:val="12"/>
              </w:rPr>
              <w:t>)</w:t>
            </w:r>
          </w:p>
        </w:tc>
        <w:tc>
          <w:tcPr>
            <w:tcW w:w="470" w:type="pct"/>
            <w:shd w:val="clear" w:color="auto" w:fill="auto"/>
            <w:tcMar>
              <w:left w:w="57" w:type="dxa"/>
              <w:right w:w="57" w:type="dxa"/>
            </w:tcMar>
            <w:vAlign w:val="bottom"/>
          </w:tcPr>
          <w:p w14:paraId="739376D3" w14:textId="77777777" w:rsidR="00C94124" w:rsidRPr="00FB38E1" w:rsidRDefault="00C94124" w:rsidP="00C94124">
            <w:pPr>
              <w:jc w:val="center"/>
              <w:rPr>
                <w:rFonts w:ascii="Microsoft Sans Serif" w:hAnsi="Microsoft Sans Serif" w:cs="Microsoft Sans Serif"/>
                <w:b/>
                <w:bCs/>
                <w:sz w:val="12"/>
                <w:szCs w:val="12"/>
              </w:rPr>
            </w:pPr>
          </w:p>
        </w:tc>
      </w:tr>
      <w:tr w:rsidR="00B20BEF" w:rsidRPr="00FB38E1" w14:paraId="049D236D" w14:textId="77777777" w:rsidTr="0027513D">
        <w:trPr>
          <w:trHeight w:val="61"/>
        </w:trPr>
        <w:tc>
          <w:tcPr>
            <w:tcW w:w="274" w:type="pct"/>
            <w:tcBorders>
              <w:bottom w:val="single" w:sz="12" w:space="0" w:color="auto"/>
            </w:tcBorders>
            <w:shd w:val="clear" w:color="auto" w:fill="auto"/>
            <w:tcMar>
              <w:left w:w="57" w:type="dxa"/>
              <w:right w:w="57" w:type="dxa"/>
            </w:tcMar>
            <w:vAlign w:val="bottom"/>
          </w:tcPr>
          <w:p w14:paraId="3CA65E61" w14:textId="77777777" w:rsidR="00C94124" w:rsidRPr="00FB38E1" w:rsidRDefault="00C94124" w:rsidP="00C94124">
            <w:pPr>
              <w:rPr>
                <w:rFonts w:ascii="Microsoft Sans Serif" w:hAnsi="Microsoft Sans Serif" w:cs="Microsoft Sans Serif"/>
                <w:sz w:val="12"/>
                <w:szCs w:val="12"/>
              </w:rPr>
            </w:pPr>
          </w:p>
        </w:tc>
        <w:tc>
          <w:tcPr>
            <w:tcW w:w="1462" w:type="pct"/>
            <w:tcBorders>
              <w:bottom w:val="single" w:sz="12" w:space="0" w:color="auto"/>
            </w:tcBorders>
            <w:shd w:val="clear" w:color="auto" w:fill="auto"/>
            <w:tcMar>
              <w:left w:w="57" w:type="dxa"/>
              <w:right w:w="57" w:type="dxa"/>
            </w:tcMar>
            <w:vAlign w:val="bottom"/>
          </w:tcPr>
          <w:p w14:paraId="557F9391" w14:textId="77777777" w:rsidR="00C94124" w:rsidRPr="00FB38E1" w:rsidRDefault="00C94124" w:rsidP="00C94124">
            <w:pPr>
              <w:rPr>
                <w:rFonts w:ascii="Microsoft Sans Serif" w:hAnsi="Microsoft Sans Serif" w:cs="Microsoft Sans Serif"/>
                <w:sz w:val="12"/>
                <w:szCs w:val="12"/>
              </w:rPr>
            </w:pPr>
          </w:p>
        </w:tc>
        <w:tc>
          <w:tcPr>
            <w:tcW w:w="267" w:type="pct"/>
            <w:tcBorders>
              <w:bottom w:val="single" w:sz="12" w:space="0" w:color="auto"/>
            </w:tcBorders>
            <w:shd w:val="clear" w:color="auto" w:fill="auto"/>
            <w:tcMar>
              <w:left w:w="57" w:type="dxa"/>
              <w:right w:w="57" w:type="dxa"/>
            </w:tcMar>
            <w:vAlign w:val="bottom"/>
          </w:tcPr>
          <w:p w14:paraId="1A4D03D6" w14:textId="77777777" w:rsidR="00C94124" w:rsidRPr="00FB38E1" w:rsidRDefault="00C94124" w:rsidP="00C94124">
            <w:pPr>
              <w:jc w:val="center"/>
              <w:rPr>
                <w:rFonts w:ascii="Microsoft Sans Serif" w:hAnsi="Microsoft Sans Serif" w:cs="Microsoft Sans Serif"/>
                <w:sz w:val="12"/>
                <w:szCs w:val="12"/>
              </w:rPr>
            </w:pPr>
          </w:p>
        </w:tc>
        <w:tc>
          <w:tcPr>
            <w:tcW w:w="527" w:type="pct"/>
            <w:tcBorders>
              <w:bottom w:val="single" w:sz="12" w:space="0" w:color="auto"/>
            </w:tcBorders>
            <w:vAlign w:val="bottom"/>
          </w:tcPr>
          <w:p w14:paraId="58AA6FB9" w14:textId="5505B1B4" w:rsidR="00C94124" w:rsidRPr="00FB38E1" w:rsidRDefault="00C94124" w:rsidP="00C9412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TP</w:t>
            </w:r>
          </w:p>
        </w:tc>
        <w:tc>
          <w:tcPr>
            <w:tcW w:w="527" w:type="pct"/>
            <w:tcBorders>
              <w:bottom w:val="single" w:sz="12" w:space="0" w:color="auto"/>
            </w:tcBorders>
            <w:vAlign w:val="bottom"/>
          </w:tcPr>
          <w:p w14:paraId="5BCB4EB9" w14:textId="567F39DB" w:rsidR="00C94124" w:rsidRPr="00FB38E1" w:rsidRDefault="00C94124" w:rsidP="00C9412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YP</w:t>
            </w:r>
          </w:p>
        </w:tc>
        <w:tc>
          <w:tcPr>
            <w:tcW w:w="527" w:type="pct"/>
            <w:tcBorders>
              <w:bottom w:val="single" w:sz="12" w:space="0" w:color="auto"/>
            </w:tcBorders>
            <w:vAlign w:val="bottom"/>
          </w:tcPr>
          <w:p w14:paraId="5ACA1401" w14:textId="69DB5CE0" w:rsidR="00C94124" w:rsidRPr="00FB38E1" w:rsidRDefault="00C94124" w:rsidP="00C9412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Toplam</w:t>
            </w:r>
          </w:p>
        </w:tc>
        <w:tc>
          <w:tcPr>
            <w:tcW w:w="473" w:type="pct"/>
            <w:tcBorders>
              <w:bottom w:val="single" w:sz="12" w:space="0" w:color="auto"/>
            </w:tcBorders>
            <w:shd w:val="clear" w:color="auto" w:fill="auto"/>
            <w:tcMar>
              <w:left w:w="57" w:type="dxa"/>
              <w:right w:w="57" w:type="dxa"/>
            </w:tcMar>
            <w:vAlign w:val="bottom"/>
          </w:tcPr>
          <w:p w14:paraId="1798DA46" w14:textId="28F1AEC2" w:rsidR="00C94124" w:rsidRPr="00FB38E1" w:rsidRDefault="00C94124" w:rsidP="00C9412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TP</w:t>
            </w:r>
          </w:p>
        </w:tc>
        <w:tc>
          <w:tcPr>
            <w:tcW w:w="473" w:type="pct"/>
            <w:tcBorders>
              <w:bottom w:val="single" w:sz="12" w:space="0" w:color="auto"/>
            </w:tcBorders>
            <w:shd w:val="clear" w:color="auto" w:fill="auto"/>
            <w:tcMar>
              <w:left w:w="57" w:type="dxa"/>
              <w:right w:w="57" w:type="dxa"/>
            </w:tcMar>
            <w:vAlign w:val="bottom"/>
          </w:tcPr>
          <w:p w14:paraId="5DFA6560" w14:textId="77777777" w:rsidR="00C94124" w:rsidRPr="00FB38E1" w:rsidRDefault="00C94124" w:rsidP="00C9412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YP</w:t>
            </w:r>
          </w:p>
        </w:tc>
        <w:tc>
          <w:tcPr>
            <w:tcW w:w="470" w:type="pct"/>
            <w:tcBorders>
              <w:bottom w:val="single" w:sz="12" w:space="0" w:color="auto"/>
            </w:tcBorders>
            <w:shd w:val="clear" w:color="auto" w:fill="auto"/>
            <w:tcMar>
              <w:left w:w="57" w:type="dxa"/>
              <w:right w:w="57" w:type="dxa"/>
            </w:tcMar>
            <w:vAlign w:val="bottom"/>
          </w:tcPr>
          <w:p w14:paraId="6A100BAF" w14:textId="77777777" w:rsidR="00C94124" w:rsidRPr="00FB38E1" w:rsidRDefault="00C94124" w:rsidP="00C94124">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Toplam</w:t>
            </w:r>
          </w:p>
        </w:tc>
      </w:tr>
      <w:tr w:rsidR="0027513D" w:rsidRPr="00FB38E1" w14:paraId="6E0ACFF4" w14:textId="77777777" w:rsidTr="0027513D">
        <w:trPr>
          <w:trHeight w:val="65"/>
        </w:trPr>
        <w:tc>
          <w:tcPr>
            <w:tcW w:w="1736" w:type="pct"/>
            <w:gridSpan w:val="2"/>
            <w:tcBorders>
              <w:top w:val="single" w:sz="12" w:space="0" w:color="auto"/>
            </w:tcBorders>
            <w:shd w:val="clear" w:color="auto" w:fill="auto"/>
            <w:tcMar>
              <w:left w:w="57" w:type="dxa"/>
              <w:right w:w="57" w:type="dxa"/>
            </w:tcMar>
            <w:vAlign w:val="bottom"/>
          </w:tcPr>
          <w:p w14:paraId="1B64C0D3" w14:textId="77777777"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A. BİLANÇO DIŞI YÜKÜMLÜLÜKLER (I+II+III)</w:t>
            </w:r>
          </w:p>
        </w:tc>
        <w:tc>
          <w:tcPr>
            <w:tcW w:w="267" w:type="pct"/>
            <w:tcBorders>
              <w:top w:val="single" w:sz="12" w:space="0" w:color="auto"/>
            </w:tcBorders>
            <w:shd w:val="clear" w:color="auto" w:fill="auto"/>
            <w:tcMar>
              <w:left w:w="57" w:type="dxa"/>
              <w:right w:w="57" w:type="dxa"/>
            </w:tcMar>
            <w:vAlign w:val="bottom"/>
          </w:tcPr>
          <w:p w14:paraId="03462949" w14:textId="77777777" w:rsidR="0027513D" w:rsidRPr="00FB38E1" w:rsidRDefault="0027513D" w:rsidP="0027513D">
            <w:pPr>
              <w:jc w:val="center"/>
              <w:rPr>
                <w:rFonts w:ascii="Microsoft Sans Serif" w:hAnsi="Microsoft Sans Serif" w:cs="Microsoft Sans Serif"/>
                <w:sz w:val="12"/>
                <w:szCs w:val="12"/>
              </w:rPr>
            </w:pPr>
          </w:p>
        </w:tc>
        <w:tc>
          <w:tcPr>
            <w:tcW w:w="527" w:type="pct"/>
            <w:tcBorders>
              <w:top w:val="single" w:sz="12" w:space="0" w:color="auto"/>
            </w:tcBorders>
            <w:vAlign w:val="bottom"/>
          </w:tcPr>
          <w:p w14:paraId="44A0E6A8" w14:textId="559B279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689.549.383</w:t>
            </w:r>
          </w:p>
        </w:tc>
        <w:tc>
          <w:tcPr>
            <w:tcW w:w="527" w:type="pct"/>
            <w:tcBorders>
              <w:top w:val="single" w:sz="12" w:space="0" w:color="auto"/>
            </w:tcBorders>
            <w:vAlign w:val="bottom"/>
          </w:tcPr>
          <w:p w14:paraId="60468FD1" w14:textId="6D296E7C"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813.171.343</w:t>
            </w:r>
          </w:p>
        </w:tc>
        <w:tc>
          <w:tcPr>
            <w:tcW w:w="527" w:type="pct"/>
            <w:tcBorders>
              <w:top w:val="single" w:sz="12" w:space="0" w:color="auto"/>
            </w:tcBorders>
            <w:vAlign w:val="bottom"/>
          </w:tcPr>
          <w:p w14:paraId="42C54A5B" w14:textId="0356C8D5"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1.502.720.726</w:t>
            </w:r>
          </w:p>
        </w:tc>
        <w:tc>
          <w:tcPr>
            <w:tcW w:w="473" w:type="pct"/>
            <w:tcBorders>
              <w:top w:val="single" w:sz="12" w:space="0" w:color="auto"/>
            </w:tcBorders>
            <w:shd w:val="clear" w:color="auto" w:fill="auto"/>
            <w:tcMar>
              <w:left w:w="57" w:type="dxa"/>
              <w:right w:w="57" w:type="dxa"/>
            </w:tcMar>
            <w:vAlign w:val="bottom"/>
          </w:tcPr>
          <w:p w14:paraId="35AA85B3" w14:textId="63AA369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544.842.756</w:t>
            </w:r>
          </w:p>
        </w:tc>
        <w:tc>
          <w:tcPr>
            <w:tcW w:w="473" w:type="pct"/>
            <w:tcBorders>
              <w:top w:val="single" w:sz="12" w:space="0" w:color="auto"/>
            </w:tcBorders>
            <w:shd w:val="clear" w:color="auto" w:fill="auto"/>
            <w:tcMar>
              <w:left w:w="57" w:type="dxa"/>
              <w:right w:w="57" w:type="dxa"/>
            </w:tcMar>
            <w:vAlign w:val="bottom"/>
          </w:tcPr>
          <w:p w14:paraId="69D7F600" w14:textId="47E3C06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630.374.596</w:t>
            </w:r>
          </w:p>
        </w:tc>
        <w:tc>
          <w:tcPr>
            <w:tcW w:w="470" w:type="pct"/>
            <w:tcBorders>
              <w:top w:val="single" w:sz="12" w:space="0" w:color="auto"/>
            </w:tcBorders>
            <w:shd w:val="clear" w:color="auto" w:fill="auto"/>
            <w:tcMar>
              <w:left w:w="57" w:type="dxa"/>
              <w:right w:w="57" w:type="dxa"/>
            </w:tcMar>
            <w:vAlign w:val="bottom"/>
          </w:tcPr>
          <w:p w14:paraId="1D0543E8" w14:textId="064218E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1.175.217.352</w:t>
            </w:r>
          </w:p>
        </w:tc>
      </w:tr>
      <w:tr w:rsidR="0027513D" w:rsidRPr="00FB38E1" w14:paraId="6B686446" w14:textId="77777777" w:rsidTr="0027513D">
        <w:trPr>
          <w:trHeight w:val="146"/>
        </w:trPr>
        <w:tc>
          <w:tcPr>
            <w:tcW w:w="274" w:type="pct"/>
            <w:shd w:val="clear" w:color="auto" w:fill="auto"/>
            <w:tcMar>
              <w:left w:w="57" w:type="dxa"/>
              <w:right w:w="57" w:type="dxa"/>
            </w:tcMar>
            <w:vAlign w:val="bottom"/>
          </w:tcPr>
          <w:p w14:paraId="2FD8B815" w14:textId="7C017CB3"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w:t>
            </w:r>
          </w:p>
        </w:tc>
        <w:tc>
          <w:tcPr>
            <w:tcW w:w="1462" w:type="pct"/>
            <w:shd w:val="clear" w:color="auto" w:fill="auto"/>
            <w:tcMar>
              <w:left w:w="57" w:type="dxa"/>
              <w:right w:w="57" w:type="dxa"/>
            </w:tcMar>
            <w:vAlign w:val="bottom"/>
          </w:tcPr>
          <w:p w14:paraId="281ABB99" w14:textId="58AA4DCE"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GARANTİ ve KEFALETLER</w:t>
            </w:r>
          </w:p>
        </w:tc>
        <w:tc>
          <w:tcPr>
            <w:tcW w:w="267" w:type="pct"/>
            <w:shd w:val="clear" w:color="auto" w:fill="auto"/>
            <w:tcMar>
              <w:left w:w="57" w:type="dxa"/>
              <w:right w:w="57" w:type="dxa"/>
            </w:tcMar>
            <w:vAlign w:val="bottom"/>
          </w:tcPr>
          <w:p w14:paraId="249B9860" w14:textId="5EFC9D64" w:rsidR="0027513D" w:rsidRPr="00FB38E1" w:rsidRDefault="0027513D" w:rsidP="0027513D">
            <w:pPr>
              <w:jc w:val="center"/>
              <w:rPr>
                <w:rFonts w:ascii="Microsoft Sans Serif" w:hAnsi="Microsoft Sans Serif" w:cs="Microsoft Sans Serif"/>
                <w:sz w:val="12"/>
                <w:szCs w:val="12"/>
              </w:rPr>
            </w:pPr>
            <w:r w:rsidRPr="00FB38E1">
              <w:rPr>
                <w:rFonts w:ascii="Microsoft Sans Serif" w:hAnsi="Microsoft Sans Serif" w:cs="Microsoft Sans Serif"/>
                <w:sz w:val="12"/>
                <w:szCs w:val="12"/>
                <w:lang w:val="en-US"/>
              </w:rPr>
              <w:t>(5.III.a)</w:t>
            </w:r>
          </w:p>
        </w:tc>
        <w:tc>
          <w:tcPr>
            <w:tcW w:w="527" w:type="pct"/>
            <w:vAlign w:val="bottom"/>
          </w:tcPr>
          <w:p w14:paraId="62B1A46F" w14:textId="41450CC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102.965.174</w:t>
            </w:r>
          </w:p>
        </w:tc>
        <w:tc>
          <w:tcPr>
            <w:tcW w:w="527" w:type="pct"/>
            <w:vAlign w:val="bottom"/>
          </w:tcPr>
          <w:p w14:paraId="6B263921" w14:textId="0076E0A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101.127.907</w:t>
            </w:r>
          </w:p>
        </w:tc>
        <w:tc>
          <w:tcPr>
            <w:tcW w:w="527" w:type="pct"/>
            <w:vAlign w:val="bottom"/>
          </w:tcPr>
          <w:p w14:paraId="2BC83A5A" w14:textId="2995A1B9"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204.093.081</w:t>
            </w:r>
          </w:p>
        </w:tc>
        <w:tc>
          <w:tcPr>
            <w:tcW w:w="473" w:type="pct"/>
            <w:shd w:val="clear" w:color="auto" w:fill="auto"/>
            <w:tcMar>
              <w:left w:w="57" w:type="dxa"/>
              <w:right w:w="57" w:type="dxa"/>
            </w:tcMar>
            <w:vAlign w:val="bottom"/>
          </w:tcPr>
          <w:p w14:paraId="003172C5" w14:textId="49222BDB"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71.108.020</w:t>
            </w:r>
          </w:p>
        </w:tc>
        <w:tc>
          <w:tcPr>
            <w:tcW w:w="473" w:type="pct"/>
            <w:shd w:val="clear" w:color="auto" w:fill="auto"/>
            <w:tcMar>
              <w:left w:w="57" w:type="dxa"/>
              <w:right w:w="57" w:type="dxa"/>
            </w:tcMar>
            <w:vAlign w:val="bottom"/>
          </w:tcPr>
          <w:p w14:paraId="040CA585" w14:textId="7F8ABB7C"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82.052.993</w:t>
            </w:r>
          </w:p>
        </w:tc>
        <w:tc>
          <w:tcPr>
            <w:tcW w:w="470" w:type="pct"/>
            <w:shd w:val="clear" w:color="auto" w:fill="auto"/>
            <w:tcMar>
              <w:left w:w="57" w:type="dxa"/>
              <w:right w:w="57" w:type="dxa"/>
            </w:tcMar>
            <w:vAlign w:val="bottom"/>
          </w:tcPr>
          <w:p w14:paraId="74368A66" w14:textId="3CD9E3DB"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153.161.013</w:t>
            </w:r>
          </w:p>
        </w:tc>
      </w:tr>
      <w:tr w:rsidR="0027513D" w:rsidRPr="00FB38E1" w14:paraId="7429ACAC" w14:textId="77777777" w:rsidTr="0027513D">
        <w:trPr>
          <w:trHeight w:val="121"/>
        </w:trPr>
        <w:tc>
          <w:tcPr>
            <w:tcW w:w="274" w:type="pct"/>
            <w:shd w:val="clear" w:color="auto" w:fill="auto"/>
            <w:tcMar>
              <w:left w:w="57" w:type="dxa"/>
              <w:right w:w="57" w:type="dxa"/>
            </w:tcMar>
            <w:vAlign w:val="bottom"/>
          </w:tcPr>
          <w:p w14:paraId="1EDBB6CF" w14:textId="437AA4E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1.1.</w:t>
            </w:r>
          </w:p>
        </w:tc>
        <w:tc>
          <w:tcPr>
            <w:tcW w:w="1462" w:type="pct"/>
            <w:shd w:val="clear" w:color="auto" w:fill="auto"/>
            <w:tcMar>
              <w:left w:w="57" w:type="dxa"/>
              <w:right w:w="57" w:type="dxa"/>
            </w:tcMar>
            <w:vAlign w:val="bottom"/>
          </w:tcPr>
          <w:p w14:paraId="6E00F3E5" w14:textId="091DD65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Teminat Mektupları</w:t>
            </w:r>
          </w:p>
        </w:tc>
        <w:tc>
          <w:tcPr>
            <w:tcW w:w="267" w:type="pct"/>
            <w:shd w:val="clear" w:color="auto" w:fill="auto"/>
            <w:tcMar>
              <w:left w:w="57" w:type="dxa"/>
              <w:right w:w="57" w:type="dxa"/>
            </w:tcMar>
            <w:vAlign w:val="bottom"/>
          </w:tcPr>
          <w:p w14:paraId="35998A15"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555A25F2" w14:textId="3B32F6D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88.033.183</w:t>
            </w:r>
          </w:p>
        </w:tc>
        <w:tc>
          <w:tcPr>
            <w:tcW w:w="527" w:type="pct"/>
            <w:vAlign w:val="bottom"/>
          </w:tcPr>
          <w:p w14:paraId="767B0423" w14:textId="3A6D5DC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68.062.114</w:t>
            </w:r>
          </w:p>
        </w:tc>
        <w:tc>
          <w:tcPr>
            <w:tcW w:w="527" w:type="pct"/>
            <w:vAlign w:val="bottom"/>
          </w:tcPr>
          <w:p w14:paraId="510BD4A7" w14:textId="5EEC7AE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156.095.297</w:t>
            </w:r>
          </w:p>
        </w:tc>
        <w:tc>
          <w:tcPr>
            <w:tcW w:w="473" w:type="pct"/>
            <w:shd w:val="clear" w:color="auto" w:fill="auto"/>
            <w:tcMar>
              <w:left w:w="57" w:type="dxa"/>
              <w:right w:w="57" w:type="dxa"/>
            </w:tcMar>
            <w:vAlign w:val="bottom"/>
          </w:tcPr>
          <w:p w14:paraId="5E532510" w14:textId="4F76743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63.222.313</w:t>
            </w:r>
          </w:p>
        </w:tc>
        <w:tc>
          <w:tcPr>
            <w:tcW w:w="473" w:type="pct"/>
            <w:shd w:val="clear" w:color="auto" w:fill="auto"/>
            <w:tcMar>
              <w:left w:w="57" w:type="dxa"/>
              <w:right w:w="57" w:type="dxa"/>
            </w:tcMar>
            <w:vAlign w:val="bottom"/>
          </w:tcPr>
          <w:p w14:paraId="36C1C40F" w14:textId="080A137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55.508.915</w:t>
            </w:r>
          </w:p>
        </w:tc>
        <w:tc>
          <w:tcPr>
            <w:tcW w:w="470" w:type="pct"/>
            <w:shd w:val="clear" w:color="auto" w:fill="auto"/>
            <w:tcMar>
              <w:left w:w="57" w:type="dxa"/>
              <w:right w:w="57" w:type="dxa"/>
            </w:tcMar>
            <w:vAlign w:val="bottom"/>
          </w:tcPr>
          <w:p w14:paraId="428B46D8" w14:textId="06DBDC5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118.731.228</w:t>
            </w:r>
          </w:p>
        </w:tc>
      </w:tr>
      <w:tr w:rsidR="0027513D" w:rsidRPr="00FB38E1" w14:paraId="4568B7A0" w14:textId="77777777" w:rsidTr="0027513D">
        <w:trPr>
          <w:trHeight w:val="121"/>
        </w:trPr>
        <w:tc>
          <w:tcPr>
            <w:tcW w:w="274" w:type="pct"/>
            <w:shd w:val="clear" w:color="auto" w:fill="auto"/>
            <w:tcMar>
              <w:left w:w="57" w:type="dxa"/>
              <w:right w:w="57" w:type="dxa"/>
            </w:tcMar>
            <w:vAlign w:val="bottom"/>
          </w:tcPr>
          <w:p w14:paraId="7DD24B60" w14:textId="079BD266"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1.1.1.</w:t>
            </w:r>
          </w:p>
        </w:tc>
        <w:tc>
          <w:tcPr>
            <w:tcW w:w="1462" w:type="pct"/>
            <w:shd w:val="clear" w:color="auto" w:fill="auto"/>
            <w:tcMar>
              <w:left w:w="57" w:type="dxa"/>
              <w:right w:w="57" w:type="dxa"/>
            </w:tcMar>
            <w:vAlign w:val="bottom"/>
          </w:tcPr>
          <w:p w14:paraId="07A29CB0" w14:textId="4B3596A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Devlet İhale Kanunu Kapsamına Girenler</w:t>
            </w:r>
          </w:p>
        </w:tc>
        <w:tc>
          <w:tcPr>
            <w:tcW w:w="267" w:type="pct"/>
            <w:shd w:val="clear" w:color="auto" w:fill="auto"/>
            <w:tcMar>
              <w:left w:w="57" w:type="dxa"/>
              <w:right w:w="57" w:type="dxa"/>
            </w:tcMar>
            <w:vAlign w:val="bottom"/>
          </w:tcPr>
          <w:p w14:paraId="0461B454"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737B475E" w14:textId="0C39C97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78D6E6FA" w14:textId="0CB0540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3F83DFC" w14:textId="7634487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34FAA52" w14:textId="4321BA2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245E149" w14:textId="3496356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DE06AAA" w14:textId="7C47E07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6A7B7874" w14:textId="77777777" w:rsidTr="0027513D">
        <w:trPr>
          <w:trHeight w:val="121"/>
        </w:trPr>
        <w:tc>
          <w:tcPr>
            <w:tcW w:w="274" w:type="pct"/>
            <w:shd w:val="clear" w:color="auto" w:fill="auto"/>
            <w:tcMar>
              <w:left w:w="57" w:type="dxa"/>
              <w:right w:w="57" w:type="dxa"/>
            </w:tcMar>
            <w:vAlign w:val="bottom"/>
          </w:tcPr>
          <w:p w14:paraId="5D5953FC" w14:textId="400A6A44"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1.1.2.</w:t>
            </w:r>
          </w:p>
        </w:tc>
        <w:tc>
          <w:tcPr>
            <w:tcW w:w="1462" w:type="pct"/>
            <w:shd w:val="clear" w:color="auto" w:fill="auto"/>
            <w:tcMar>
              <w:left w:w="57" w:type="dxa"/>
              <w:right w:w="57" w:type="dxa"/>
            </w:tcMar>
            <w:vAlign w:val="bottom"/>
          </w:tcPr>
          <w:p w14:paraId="46F7C2BD" w14:textId="6B96CBBC"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Dış Ticaret İşlemleri Dolayısıyla Verilenler</w:t>
            </w:r>
          </w:p>
        </w:tc>
        <w:tc>
          <w:tcPr>
            <w:tcW w:w="267" w:type="pct"/>
            <w:shd w:val="clear" w:color="auto" w:fill="auto"/>
            <w:tcMar>
              <w:left w:w="57" w:type="dxa"/>
              <w:right w:w="57" w:type="dxa"/>
            </w:tcMar>
            <w:vAlign w:val="bottom"/>
          </w:tcPr>
          <w:p w14:paraId="29F69E7C"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1F93A0A7" w14:textId="1EA695D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79.021</w:t>
            </w:r>
          </w:p>
        </w:tc>
        <w:tc>
          <w:tcPr>
            <w:tcW w:w="527" w:type="pct"/>
            <w:vAlign w:val="bottom"/>
          </w:tcPr>
          <w:p w14:paraId="1B5C371A" w14:textId="0283B34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530.056</w:t>
            </w:r>
          </w:p>
        </w:tc>
        <w:tc>
          <w:tcPr>
            <w:tcW w:w="527" w:type="pct"/>
            <w:vAlign w:val="bottom"/>
          </w:tcPr>
          <w:p w14:paraId="7FE6D8E2" w14:textId="2D3DB56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609.077</w:t>
            </w:r>
          </w:p>
        </w:tc>
        <w:tc>
          <w:tcPr>
            <w:tcW w:w="473" w:type="pct"/>
            <w:shd w:val="clear" w:color="auto" w:fill="auto"/>
            <w:tcMar>
              <w:left w:w="57" w:type="dxa"/>
              <w:right w:w="57" w:type="dxa"/>
            </w:tcMar>
            <w:vAlign w:val="bottom"/>
          </w:tcPr>
          <w:p w14:paraId="752ABC02" w14:textId="7955892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79.021</w:t>
            </w:r>
          </w:p>
        </w:tc>
        <w:tc>
          <w:tcPr>
            <w:tcW w:w="473" w:type="pct"/>
            <w:shd w:val="clear" w:color="auto" w:fill="auto"/>
            <w:tcMar>
              <w:left w:w="57" w:type="dxa"/>
              <w:right w:w="57" w:type="dxa"/>
            </w:tcMar>
            <w:vAlign w:val="bottom"/>
          </w:tcPr>
          <w:p w14:paraId="037B8514" w14:textId="625BE8B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458.580</w:t>
            </w:r>
          </w:p>
        </w:tc>
        <w:tc>
          <w:tcPr>
            <w:tcW w:w="470" w:type="pct"/>
            <w:shd w:val="clear" w:color="auto" w:fill="auto"/>
            <w:tcMar>
              <w:left w:w="57" w:type="dxa"/>
              <w:right w:w="57" w:type="dxa"/>
            </w:tcMar>
            <w:vAlign w:val="bottom"/>
          </w:tcPr>
          <w:p w14:paraId="34ACF68E" w14:textId="0B6DB95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537.601</w:t>
            </w:r>
          </w:p>
        </w:tc>
      </w:tr>
      <w:tr w:rsidR="0027513D" w:rsidRPr="00FB38E1" w14:paraId="19327280" w14:textId="77777777" w:rsidTr="0027513D">
        <w:trPr>
          <w:trHeight w:val="121"/>
        </w:trPr>
        <w:tc>
          <w:tcPr>
            <w:tcW w:w="274" w:type="pct"/>
            <w:shd w:val="clear" w:color="auto" w:fill="auto"/>
            <w:tcMar>
              <w:left w:w="57" w:type="dxa"/>
              <w:right w:w="57" w:type="dxa"/>
            </w:tcMar>
            <w:vAlign w:val="bottom"/>
          </w:tcPr>
          <w:p w14:paraId="1DC8F64D" w14:textId="5785636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1.1.3.</w:t>
            </w:r>
          </w:p>
        </w:tc>
        <w:tc>
          <w:tcPr>
            <w:tcW w:w="1462" w:type="pct"/>
            <w:shd w:val="clear" w:color="auto" w:fill="auto"/>
            <w:tcMar>
              <w:left w:w="57" w:type="dxa"/>
              <w:right w:w="57" w:type="dxa"/>
            </w:tcMar>
            <w:vAlign w:val="bottom"/>
          </w:tcPr>
          <w:p w14:paraId="419D9AA0" w14:textId="1CC4388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Teminat Mektupları</w:t>
            </w:r>
          </w:p>
        </w:tc>
        <w:tc>
          <w:tcPr>
            <w:tcW w:w="267" w:type="pct"/>
            <w:shd w:val="clear" w:color="auto" w:fill="auto"/>
            <w:tcMar>
              <w:left w:w="57" w:type="dxa"/>
              <w:right w:w="57" w:type="dxa"/>
            </w:tcMar>
            <w:vAlign w:val="bottom"/>
          </w:tcPr>
          <w:p w14:paraId="5641BDDF"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DF1FAFF" w14:textId="3818DAF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87.954.162</w:t>
            </w:r>
          </w:p>
        </w:tc>
        <w:tc>
          <w:tcPr>
            <w:tcW w:w="527" w:type="pct"/>
            <w:vAlign w:val="bottom"/>
          </w:tcPr>
          <w:p w14:paraId="0022B267" w14:textId="0E104EC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67.532.058</w:t>
            </w:r>
          </w:p>
        </w:tc>
        <w:tc>
          <w:tcPr>
            <w:tcW w:w="527" w:type="pct"/>
            <w:vAlign w:val="bottom"/>
          </w:tcPr>
          <w:p w14:paraId="70EA8A2B" w14:textId="2FC6D54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155.486.220</w:t>
            </w:r>
          </w:p>
        </w:tc>
        <w:tc>
          <w:tcPr>
            <w:tcW w:w="473" w:type="pct"/>
            <w:shd w:val="clear" w:color="auto" w:fill="auto"/>
            <w:tcMar>
              <w:left w:w="57" w:type="dxa"/>
              <w:right w:w="57" w:type="dxa"/>
            </w:tcMar>
            <w:vAlign w:val="bottom"/>
          </w:tcPr>
          <w:p w14:paraId="331DF45F" w14:textId="475C791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63.143.292</w:t>
            </w:r>
          </w:p>
        </w:tc>
        <w:tc>
          <w:tcPr>
            <w:tcW w:w="473" w:type="pct"/>
            <w:shd w:val="clear" w:color="auto" w:fill="auto"/>
            <w:tcMar>
              <w:left w:w="57" w:type="dxa"/>
              <w:right w:w="57" w:type="dxa"/>
            </w:tcMar>
            <w:vAlign w:val="bottom"/>
          </w:tcPr>
          <w:p w14:paraId="1F34AA9E" w14:textId="182B353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55.050.335</w:t>
            </w:r>
          </w:p>
        </w:tc>
        <w:tc>
          <w:tcPr>
            <w:tcW w:w="470" w:type="pct"/>
            <w:shd w:val="clear" w:color="auto" w:fill="auto"/>
            <w:tcMar>
              <w:left w:w="57" w:type="dxa"/>
              <w:right w:w="57" w:type="dxa"/>
            </w:tcMar>
            <w:vAlign w:val="bottom"/>
          </w:tcPr>
          <w:p w14:paraId="42823B87" w14:textId="5194251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118.193.627</w:t>
            </w:r>
          </w:p>
        </w:tc>
      </w:tr>
      <w:tr w:rsidR="0027513D" w:rsidRPr="00FB38E1" w14:paraId="1E9306CA" w14:textId="77777777" w:rsidTr="0027513D">
        <w:trPr>
          <w:trHeight w:val="121"/>
        </w:trPr>
        <w:tc>
          <w:tcPr>
            <w:tcW w:w="274" w:type="pct"/>
            <w:shd w:val="clear" w:color="auto" w:fill="auto"/>
            <w:tcMar>
              <w:left w:w="57" w:type="dxa"/>
              <w:right w:w="57" w:type="dxa"/>
            </w:tcMar>
            <w:vAlign w:val="bottom"/>
          </w:tcPr>
          <w:p w14:paraId="3F5F64C7" w14:textId="75AA74D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1.2.</w:t>
            </w:r>
          </w:p>
        </w:tc>
        <w:tc>
          <w:tcPr>
            <w:tcW w:w="1462" w:type="pct"/>
            <w:shd w:val="clear" w:color="auto" w:fill="auto"/>
            <w:tcMar>
              <w:left w:w="57" w:type="dxa"/>
              <w:right w:w="57" w:type="dxa"/>
            </w:tcMar>
            <w:vAlign w:val="bottom"/>
          </w:tcPr>
          <w:p w14:paraId="49A9FCAF" w14:textId="1A4921AC"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Banka Kredileri</w:t>
            </w:r>
          </w:p>
        </w:tc>
        <w:tc>
          <w:tcPr>
            <w:tcW w:w="267" w:type="pct"/>
            <w:shd w:val="clear" w:color="auto" w:fill="auto"/>
            <w:tcMar>
              <w:left w:w="57" w:type="dxa"/>
              <w:right w:w="57" w:type="dxa"/>
            </w:tcMar>
            <w:vAlign w:val="bottom"/>
          </w:tcPr>
          <w:p w14:paraId="194FAFFA"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5DE087E8" w14:textId="200E40F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3.635</w:t>
            </w:r>
          </w:p>
        </w:tc>
        <w:tc>
          <w:tcPr>
            <w:tcW w:w="527" w:type="pct"/>
            <w:vAlign w:val="bottom"/>
          </w:tcPr>
          <w:p w14:paraId="26243580" w14:textId="2F7E9A5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776.555</w:t>
            </w:r>
          </w:p>
        </w:tc>
        <w:tc>
          <w:tcPr>
            <w:tcW w:w="527" w:type="pct"/>
            <w:vAlign w:val="bottom"/>
          </w:tcPr>
          <w:p w14:paraId="1772D534" w14:textId="6444756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780.190</w:t>
            </w:r>
          </w:p>
        </w:tc>
        <w:tc>
          <w:tcPr>
            <w:tcW w:w="473" w:type="pct"/>
            <w:shd w:val="clear" w:color="auto" w:fill="auto"/>
            <w:tcMar>
              <w:left w:w="57" w:type="dxa"/>
              <w:right w:w="57" w:type="dxa"/>
            </w:tcMar>
            <w:vAlign w:val="bottom"/>
          </w:tcPr>
          <w:p w14:paraId="211EBA9A" w14:textId="111417D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2E962F0" w14:textId="0AAA843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717.588</w:t>
            </w:r>
          </w:p>
        </w:tc>
        <w:tc>
          <w:tcPr>
            <w:tcW w:w="470" w:type="pct"/>
            <w:shd w:val="clear" w:color="auto" w:fill="auto"/>
            <w:tcMar>
              <w:left w:w="57" w:type="dxa"/>
              <w:right w:w="57" w:type="dxa"/>
            </w:tcMar>
            <w:vAlign w:val="bottom"/>
          </w:tcPr>
          <w:p w14:paraId="3E85657B" w14:textId="61B53AC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717.588</w:t>
            </w:r>
          </w:p>
        </w:tc>
      </w:tr>
      <w:tr w:rsidR="0027513D" w:rsidRPr="00FB38E1" w14:paraId="55D58EC9" w14:textId="77777777" w:rsidTr="0027513D">
        <w:trPr>
          <w:trHeight w:val="121"/>
        </w:trPr>
        <w:tc>
          <w:tcPr>
            <w:tcW w:w="274" w:type="pct"/>
            <w:shd w:val="clear" w:color="auto" w:fill="auto"/>
            <w:tcMar>
              <w:left w:w="57" w:type="dxa"/>
              <w:right w:w="57" w:type="dxa"/>
            </w:tcMar>
            <w:vAlign w:val="bottom"/>
          </w:tcPr>
          <w:p w14:paraId="09782477" w14:textId="721F7C8A"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1.2.1.</w:t>
            </w:r>
          </w:p>
        </w:tc>
        <w:tc>
          <w:tcPr>
            <w:tcW w:w="1462" w:type="pct"/>
            <w:shd w:val="clear" w:color="auto" w:fill="auto"/>
            <w:tcMar>
              <w:left w:w="57" w:type="dxa"/>
              <w:right w:w="57" w:type="dxa"/>
            </w:tcMar>
            <w:vAlign w:val="bottom"/>
          </w:tcPr>
          <w:p w14:paraId="611B9BBB" w14:textId="51BC518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İthalat Kabul Kredileri</w:t>
            </w:r>
          </w:p>
        </w:tc>
        <w:tc>
          <w:tcPr>
            <w:tcW w:w="267" w:type="pct"/>
            <w:shd w:val="clear" w:color="auto" w:fill="auto"/>
            <w:tcMar>
              <w:left w:w="57" w:type="dxa"/>
              <w:right w:w="57" w:type="dxa"/>
            </w:tcMar>
            <w:vAlign w:val="bottom"/>
          </w:tcPr>
          <w:p w14:paraId="7B323F1B"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1D4B8C2" w14:textId="1933A71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3.635</w:t>
            </w:r>
          </w:p>
        </w:tc>
        <w:tc>
          <w:tcPr>
            <w:tcW w:w="527" w:type="pct"/>
            <w:vAlign w:val="bottom"/>
          </w:tcPr>
          <w:p w14:paraId="6AAA37C1" w14:textId="0C0E10E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776.555</w:t>
            </w:r>
          </w:p>
        </w:tc>
        <w:tc>
          <w:tcPr>
            <w:tcW w:w="527" w:type="pct"/>
            <w:vAlign w:val="bottom"/>
          </w:tcPr>
          <w:p w14:paraId="168B77C1" w14:textId="5FC7788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780.190</w:t>
            </w:r>
          </w:p>
        </w:tc>
        <w:tc>
          <w:tcPr>
            <w:tcW w:w="473" w:type="pct"/>
            <w:shd w:val="clear" w:color="auto" w:fill="auto"/>
            <w:tcMar>
              <w:left w:w="57" w:type="dxa"/>
              <w:right w:w="57" w:type="dxa"/>
            </w:tcMar>
            <w:vAlign w:val="bottom"/>
          </w:tcPr>
          <w:p w14:paraId="51ABD768" w14:textId="5BE48D9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873A080" w14:textId="7E5477C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717.588</w:t>
            </w:r>
          </w:p>
        </w:tc>
        <w:tc>
          <w:tcPr>
            <w:tcW w:w="470" w:type="pct"/>
            <w:shd w:val="clear" w:color="auto" w:fill="auto"/>
            <w:tcMar>
              <w:left w:w="57" w:type="dxa"/>
              <w:right w:w="57" w:type="dxa"/>
            </w:tcMar>
            <w:vAlign w:val="bottom"/>
          </w:tcPr>
          <w:p w14:paraId="16E121AC" w14:textId="043B063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717.588</w:t>
            </w:r>
          </w:p>
        </w:tc>
      </w:tr>
      <w:tr w:rsidR="0027513D" w:rsidRPr="00FB38E1" w14:paraId="45CF5248" w14:textId="77777777" w:rsidTr="0027513D">
        <w:trPr>
          <w:trHeight w:val="121"/>
        </w:trPr>
        <w:tc>
          <w:tcPr>
            <w:tcW w:w="274" w:type="pct"/>
            <w:shd w:val="clear" w:color="auto" w:fill="auto"/>
            <w:tcMar>
              <w:left w:w="57" w:type="dxa"/>
              <w:right w:w="57" w:type="dxa"/>
            </w:tcMar>
            <w:vAlign w:val="bottom"/>
          </w:tcPr>
          <w:p w14:paraId="7CD3A3E9" w14:textId="783726FC"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1.2.2.</w:t>
            </w:r>
          </w:p>
        </w:tc>
        <w:tc>
          <w:tcPr>
            <w:tcW w:w="1462" w:type="pct"/>
            <w:shd w:val="clear" w:color="auto" w:fill="auto"/>
            <w:tcMar>
              <w:left w:w="57" w:type="dxa"/>
              <w:right w:w="57" w:type="dxa"/>
            </w:tcMar>
            <w:vAlign w:val="bottom"/>
          </w:tcPr>
          <w:p w14:paraId="5E441B40" w14:textId="770A4566"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Banka Kabulleri</w:t>
            </w:r>
          </w:p>
        </w:tc>
        <w:tc>
          <w:tcPr>
            <w:tcW w:w="267" w:type="pct"/>
            <w:shd w:val="clear" w:color="auto" w:fill="auto"/>
            <w:tcMar>
              <w:left w:w="57" w:type="dxa"/>
              <w:right w:w="57" w:type="dxa"/>
            </w:tcMar>
            <w:vAlign w:val="bottom"/>
          </w:tcPr>
          <w:p w14:paraId="75D65EF5"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4E4F85C" w14:textId="716590B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6063B51" w14:textId="4A84FA8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E6AB429" w14:textId="7108B22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C05CEBF" w14:textId="52ABB14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5D94509" w14:textId="05F5EAC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B3A4755" w14:textId="2F141D3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007DD358" w14:textId="77777777" w:rsidTr="0027513D">
        <w:trPr>
          <w:trHeight w:val="121"/>
        </w:trPr>
        <w:tc>
          <w:tcPr>
            <w:tcW w:w="274" w:type="pct"/>
            <w:shd w:val="clear" w:color="auto" w:fill="auto"/>
            <w:tcMar>
              <w:left w:w="57" w:type="dxa"/>
              <w:right w:w="57" w:type="dxa"/>
            </w:tcMar>
            <w:vAlign w:val="bottom"/>
          </w:tcPr>
          <w:p w14:paraId="3D947C28" w14:textId="2AA8109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1.3.</w:t>
            </w:r>
          </w:p>
        </w:tc>
        <w:tc>
          <w:tcPr>
            <w:tcW w:w="1462" w:type="pct"/>
            <w:shd w:val="clear" w:color="auto" w:fill="auto"/>
            <w:tcMar>
              <w:left w:w="57" w:type="dxa"/>
              <w:right w:w="57" w:type="dxa"/>
            </w:tcMar>
            <w:vAlign w:val="bottom"/>
          </w:tcPr>
          <w:p w14:paraId="046BE8DF" w14:textId="3D94F8B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Akreditifler</w:t>
            </w:r>
          </w:p>
        </w:tc>
        <w:tc>
          <w:tcPr>
            <w:tcW w:w="267" w:type="pct"/>
            <w:shd w:val="clear" w:color="auto" w:fill="auto"/>
            <w:tcMar>
              <w:left w:w="57" w:type="dxa"/>
              <w:right w:w="57" w:type="dxa"/>
            </w:tcMar>
            <w:vAlign w:val="bottom"/>
          </w:tcPr>
          <w:p w14:paraId="3AD15A6D"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00E66143" w14:textId="5267A41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26.444</w:t>
            </w:r>
          </w:p>
        </w:tc>
        <w:tc>
          <w:tcPr>
            <w:tcW w:w="527" w:type="pct"/>
            <w:vAlign w:val="bottom"/>
          </w:tcPr>
          <w:p w14:paraId="1C809FB0" w14:textId="117F1F7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29.607.927</w:t>
            </w:r>
          </w:p>
        </w:tc>
        <w:tc>
          <w:tcPr>
            <w:tcW w:w="527" w:type="pct"/>
            <w:vAlign w:val="bottom"/>
          </w:tcPr>
          <w:p w14:paraId="365AA463" w14:textId="1AC4601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29.634.371</w:t>
            </w:r>
          </w:p>
        </w:tc>
        <w:tc>
          <w:tcPr>
            <w:tcW w:w="473" w:type="pct"/>
            <w:shd w:val="clear" w:color="auto" w:fill="auto"/>
            <w:tcMar>
              <w:left w:w="57" w:type="dxa"/>
              <w:right w:w="57" w:type="dxa"/>
            </w:tcMar>
            <w:vAlign w:val="bottom"/>
          </w:tcPr>
          <w:p w14:paraId="0C86CFE8" w14:textId="44213F9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20.096</w:t>
            </w:r>
          </w:p>
        </w:tc>
        <w:tc>
          <w:tcPr>
            <w:tcW w:w="473" w:type="pct"/>
            <w:shd w:val="clear" w:color="auto" w:fill="auto"/>
            <w:tcMar>
              <w:left w:w="57" w:type="dxa"/>
              <w:right w:w="57" w:type="dxa"/>
            </w:tcMar>
            <w:vAlign w:val="bottom"/>
          </w:tcPr>
          <w:p w14:paraId="2AE2B5A0" w14:textId="206315D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23.645.540</w:t>
            </w:r>
          </w:p>
        </w:tc>
        <w:tc>
          <w:tcPr>
            <w:tcW w:w="470" w:type="pct"/>
            <w:shd w:val="clear" w:color="auto" w:fill="auto"/>
            <w:tcMar>
              <w:left w:w="57" w:type="dxa"/>
              <w:right w:w="57" w:type="dxa"/>
            </w:tcMar>
            <w:vAlign w:val="bottom"/>
          </w:tcPr>
          <w:p w14:paraId="565E7365" w14:textId="0A8E2D1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23.665.636</w:t>
            </w:r>
          </w:p>
        </w:tc>
      </w:tr>
      <w:tr w:rsidR="0027513D" w:rsidRPr="00FB38E1" w14:paraId="025A8E70" w14:textId="77777777" w:rsidTr="0027513D">
        <w:trPr>
          <w:trHeight w:val="121"/>
        </w:trPr>
        <w:tc>
          <w:tcPr>
            <w:tcW w:w="274" w:type="pct"/>
            <w:shd w:val="clear" w:color="auto" w:fill="auto"/>
            <w:tcMar>
              <w:left w:w="57" w:type="dxa"/>
              <w:right w:w="57" w:type="dxa"/>
            </w:tcMar>
            <w:vAlign w:val="bottom"/>
          </w:tcPr>
          <w:p w14:paraId="76218ECA" w14:textId="42AB3D0A"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1.3.1.</w:t>
            </w:r>
          </w:p>
        </w:tc>
        <w:tc>
          <w:tcPr>
            <w:tcW w:w="1462" w:type="pct"/>
            <w:shd w:val="clear" w:color="auto" w:fill="auto"/>
            <w:tcMar>
              <w:left w:w="57" w:type="dxa"/>
              <w:right w:w="57" w:type="dxa"/>
            </w:tcMar>
            <w:vAlign w:val="bottom"/>
          </w:tcPr>
          <w:p w14:paraId="006FC197" w14:textId="59463F46"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Belgeli Akreditifler</w:t>
            </w:r>
          </w:p>
        </w:tc>
        <w:tc>
          <w:tcPr>
            <w:tcW w:w="267" w:type="pct"/>
            <w:shd w:val="clear" w:color="auto" w:fill="auto"/>
            <w:tcMar>
              <w:left w:w="57" w:type="dxa"/>
              <w:right w:w="57" w:type="dxa"/>
            </w:tcMar>
            <w:vAlign w:val="bottom"/>
          </w:tcPr>
          <w:p w14:paraId="5A627394"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78E85908" w14:textId="7014020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DDC4288" w14:textId="54B7CF5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22.263.850</w:t>
            </w:r>
          </w:p>
        </w:tc>
        <w:tc>
          <w:tcPr>
            <w:tcW w:w="527" w:type="pct"/>
            <w:vAlign w:val="bottom"/>
          </w:tcPr>
          <w:p w14:paraId="0073B58D" w14:textId="5BBC20B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22.263.850</w:t>
            </w:r>
          </w:p>
        </w:tc>
        <w:tc>
          <w:tcPr>
            <w:tcW w:w="473" w:type="pct"/>
            <w:shd w:val="clear" w:color="auto" w:fill="auto"/>
            <w:tcMar>
              <w:left w:w="57" w:type="dxa"/>
              <w:right w:w="57" w:type="dxa"/>
            </w:tcMar>
            <w:vAlign w:val="bottom"/>
          </w:tcPr>
          <w:p w14:paraId="0DF8D7AD" w14:textId="6F1BC2E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E76BDCC" w14:textId="6F25D47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17.125.499</w:t>
            </w:r>
          </w:p>
        </w:tc>
        <w:tc>
          <w:tcPr>
            <w:tcW w:w="470" w:type="pct"/>
            <w:shd w:val="clear" w:color="auto" w:fill="auto"/>
            <w:tcMar>
              <w:left w:w="57" w:type="dxa"/>
              <w:right w:w="57" w:type="dxa"/>
            </w:tcMar>
            <w:vAlign w:val="bottom"/>
          </w:tcPr>
          <w:p w14:paraId="4C5C0C8E" w14:textId="4CFF965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17.125.499</w:t>
            </w:r>
          </w:p>
        </w:tc>
      </w:tr>
      <w:tr w:rsidR="0027513D" w:rsidRPr="00FB38E1" w14:paraId="1A3BA058" w14:textId="77777777" w:rsidTr="0027513D">
        <w:trPr>
          <w:trHeight w:val="121"/>
        </w:trPr>
        <w:tc>
          <w:tcPr>
            <w:tcW w:w="274" w:type="pct"/>
            <w:shd w:val="clear" w:color="auto" w:fill="auto"/>
            <w:tcMar>
              <w:left w:w="57" w:type="dxa"/>
              <w:right w:w="57" w:type="dxa"/>
            </w:tcMar>
            <w:vAlign w:val="bottom"/>
          </w:tcPr>
          <w:p w14:paraId="671712E9" w14:textId="5F85167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1.3.2.</w:t>
            </w:r>
          </w:p>
        </w:tc>
        <w:tc>
          <w:tcPr>
            <w:tcW w:w="1462" w:type="pct"/>
            <w:shd w:val="clear" w:color="auto" w:fill="auto"/>
            <w:tcMar>
              <w:left w:w="57" w:type="dxa"/>
              <w:right w:w="57" w:type="dxa"/>
            </w:tcMar>
            <w:vAlign w:val="bottom"/>
          </w:tcPr>
          <w:p w14:paraId="7B3D65A3" w14:textId="363A7D8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Akreditifler</w:t>
            </w:r>
          </w:p>
        </w:tc>
        <w:tc>
          <w:tcPr>
            <w:tcW w:w="267" w:type="pct"/>
            <w:shd w:val="clear" w:color="auto" w:fill="auto"/>
            <w:tcMar>
              <w:left w:w="57" w:type="dxa"/>
              <w:right w:w="57" w:type="dxa"/>
            </w:tcMar>
            <w:vAlign w:val="bottom"/>
          </w:tcPr>
          <w:p w14:paraId="7D710BC2"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6854CE62" w14:textId="23F3AF2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26.444</w:t>
            </w:r>
          </w:p>
        </w:tc>
        <w:tc>
          <w:tcPr>
            <w:tcW w:w="527" w:type="pct"/>
            <w:vAlign w:val="bottom"/>
          </w:tcPr>
          <w:p w14:paraId="51862434" w14:textId="75F74EB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7.344.077</w:t>
            </w:r>
          </w:p>
        </w:tc>
        <w:tc>
          <w:tcPr>
            <w:tcW w:w="527" w:type="pct"/>
            <w:vAlign w:val="bottom"/>
          </w:tcPr>
          <w:p w14:paraId="4FB6F670" w14:textId="5F38DE6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7.370.521</w:t>
            </w:r>
          </w:p>
        </w:tc>
        <w:tc>
          <w:tcPr>
            <w:tcW w:w="473" w:type="pct"/>
            <w:shd w:val="clear" w:color="auto" w:fill="auto"/>
            <w:tcMar>
              <w:left w:w="57" w:type="dxa"/>
              <w:right w:w="57" w:type="dxa"/>
            </w:tcMar>
            <w:vAlign w:val="bottom"/>
          </w:tcPr>
          <w:p w14:paraId="74DD00E4" w14:textId="7750AE5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20.096</w:t>
            </w:r>
          </w:p>
        </w:tc>
        <w:tc>
          <w:tcPr>
            <w:tcW w:w="473" w:type="pct"/>
            <w:shd w:val="clear" w:color="auto" w:fill="auto"/>
            <w:tcMar>
              <w:left w:w="57" w:type="dxa"/>
              <w:right w:w="57" w:type="dxa"/>
            </w:tcMar>
            <w:vAlign w:val="bottom"/>
          </w:tcPr>
          <w:p w14:paraId="5D782EED" w14:textId="52274DC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6.520.041</w:t>
            </w:r>
          </w:p>
        </w:tc>
        <w:tc>
          <w:tcPr>
            <w:tcW w:w="470" w:type="pct"/>
            <w:shd w:val="clear" w:color="auto" w:fill="auto"/>
            <w:tcMar>
              <w:left w:w="57" w:type="dxa"/>
              <w:right w:w="57" w:type="dxa"/>
            </w:tcMar>
            <w:vAlign w:val="bottom"/>
          </w:tcPr>
          <w:p w14:paraId="66AD1CED" w14:textId="3231487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6.540.137</w:t>
            </w:r>
          </w:p>
        </w:tc>
      </w:tr>
      <w:tr w:rsidR="0027513D" w:rsidRPr="00FB38E1" w14:paraId="73B565F8" w14:textId="77777777" w:rsidTr="0027513D">
        <w:trPr>
          <w:trHeight w:val="121"/>
        </w:trPr>
        <w:tc>
          <w:tcPr>
            <w:tcW w:w="274" w:type="pct"/>
            <w:shd w:val="clear" w:color="auto" w:fill="auto"/>
            <w:tcMar>
              <w:left w:w="57" w:type="dxa"/>
              <w:right w:w="57" w:type="dxa"/>
            </w:tcMar>
            <w:vAlign w:val="bottom"/>
          </w:tcPr>
          <w:p w14:paraId="7C830730" w14:textId="4A7B8300"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1.4.</w:t>
            </w:r>
          </w:p>
        </w:tc>
        <w:tc>
          <w:tcPr>
            <w:tcW w:w="1462" w:type="pct"/>
            <w:shd w:val="clear" w:color="auto" w:fill="auto"/>
            <w:tcMar>
              <w:left w:w="57" w:type="dxa"/>
              <w:right w:w="57" w:type="dxa"/>
            </w:tcMar>
            <w:vAlign w:val="bottom"/>
          </w:tcPr>
          <w:p w14:paraId="49B7B79F" w14:textId="3D09CD6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Garanti Verilen Prefinansmanlar</w:t>
            </w:r>
          </w:p>
        </w:tc>
        <w:tc>
          <w:tcPr>
            <w:tcW w:w="267" w:type="pct"/>
            <w:shd w:val="clear" w:color="auto" w:fill="auto"/>
            <w:tcMar>
              <w:left w:w="57" w:type="dxa"/>
              <w:right w:w="57" w:type="dxa"/>
            </w:tcMar>
            <w:vAlign w:val="bottom"/>
          </w:tcPr>
          <w:p w14:paraId="280C19EB"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664BE17" w14:textId="79325BC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6BEBECD0" w14:textId="773D8F0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2BCA41C" w14:textId="6EE1F3D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34B06F6" w14:textId="6B8E4DD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0570D38" w14:textId="101F6AA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6A2EEF1" w14:textId="0066539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4BEA6634" w14:textId="77777777" w:rsidTr="0027513D">
        <w:trPr>
          <w:trHeight w:val="121"/>
        </w:trPr>
        <w:tc>
          <w:tcPr>
            <w:tcW w:w="274" w:type="pct"/>
            <w:shd w:val="clear" w:color="auto" w:fill="auto"/>
            <w:tcMar>
              <w:left w:w="57" w:type="dxa"/>
              <w:right w:w="57" w:type="dxa"/>
            </w:tcMar>
            <w:vAlign w:val="bottom"/>
          </w:tcPr>
          <w:p w14:paraId="1115D3CE" w14:textId="731388B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1.5.</w:t>
            </w:r>
          </w:p>
        </w:tc>
        <w:tc>
          <w:tcPr>
            <w:tcW w:w="1462" w:type="pct"/>
            <w:shd w:val="clear" w:color="auto" w:fill="auto"/>
            <w:tcMar>
              <w:left w:w="57" w:type="dxa"/>
              <w:right w:w="57" w:type="dxa"/>
            </w:tcMar>
            <w:vAlign w:val="bottom"/>
          </w:tcPr>
          <w:p w14:paraId="0D6B514B" w14:textId="38BE36C0"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Cirolar</w:t>
            </w:r>
          </w:p>
        </w:tc>
        <w:tc>
          <w:tcPr>
            <w:tcW w:w="267" w:type="pct"/>
            <w:shd w:val="clear" w:color="auto" w:fill="auto"/>
            <w:tcMar>
              <w:left w:w="57" w:type="dxa"/>
              <w:right w:w="57" w:type="dxa"/>
            </w:tcMar>
            <w:vAlign w:val="bottom"/>
          </w:tcPr>
          <w:p w14:paraId="691A5A59"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1178BD0" w14:textId="51AF754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069735F3" w14:textId="427C7BD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4AF315E8" w14:textId="17E77CB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308F9B3" w14:textId="3DF8979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A601B0B" w14:textId="7FAE673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3FA7F17" w14:textId="71A63C8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5EC38E9B" w14:textId="77777777" w:rsidTr="0027513D">
        <w:trPr>
          <w:trHeight w:val="121"/>
        </w:trPr>
        <w:tc>
          <w:tcPr>
            <w:tcW w:w="274" w:type="pct"/>
            <w:shd w:val="clear" w:color="auto" w:fill="auto"/>
            <w:tcMar>
              <w:left w:w="57" w:type="dxa"/>
              <w:right w:w="57" w:type="dxa"/>
            </w:tcMar>
            <w:vAlign w:val="bottom"/>
          </w:tcPr>
          <w:p w14:paraId="7A5FB25A" w14:textId="6AB10B6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1.5.1.</w:t>
            </w:r>
          </w:p>
        </w:tc>
        <w:tc>
          <w:tcPr>
            <w:tcW w:w="1462" w:type="pct"/>
            <w:shd w:val="clear" w:color="auto" w:fill="auto"/>
            <w:tcMar>
              <w:left w:w="57" w:type="dxa"/>
              <w:right w:w="57" w:type="dxa"/>
            </w:tcMar>
            <w:vAlign w:val="bottom"/>
          </w:tcPr>
          <w:p w14:paraId="444A2241" w14:textId="057CBE7C"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T.C. Merkez Bankasına Cirolar</w:t>
            </w:r>
          </w:p>
        </w:tc>
        <w:tc>
          <w:tcPr>
            <w:tcW w:w="267" w:type="pct"/>
            <w:shd w:val="clear" w:color="auto" w:fill="auto"/>
            <w:tcMar>
              <w:left w:w="57" w:type="dxa"/>
              <w:right w:w="57" w:type="dxa"/>
            </w:tcMar>
            <w:vAlign w:val="bottom"/>
          </w:tcPr>
          <w:p w14:paraId="6B10DF51"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47D5A65" w14:textId="2E015FF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1E66FBE" w14:textId="1500387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0614A69D" w14:textId="659E1A5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154201D" w14:textId="57B752B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360AB6A" w14:textId="691661F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7E9CC1CB" w14:textId="5394B91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777C0643" w14:textId="77777777" w:rsidTr="0027513D">
        <w:trPr>
          <w:trHeight w:val="121"/>
        </w:trPr>
        <w:tc>
          <w:tcPr>
            <w:tcW w:w="274" w:type="pct"/>
            <w:shd w:val="clear" w:color="auto" w:fill="auto"/>
            <w:tcMar>
              <w:left w:w="57" w:type="dxa"/>
              <w:right w:w="57" w:type="dxa"/>
            </w:tcMar>
            <w:vAlign w:val="bottom"/>
          </w:tcPr>
          <w:p w14:paraId="0F42AA4D" w14:textId="4257088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1.5.2.</w:t>
            </w:r>
          </w:p>
        </w:tc>
        <w:tc>
          <w:tcPr>
            <w:tcW w:w="1462" w:type="pct"/>
            <w:shd w:val="clear" w:color="auto" w:fill="auto"/>
            <w:tcMar>
              <w:left w:w="57" w:type="dxa"/>
              <w:right w:w="57" w:type="dxa"/>
            </w:tcMar>
            <w:vAlign w:val="bottom"/>
          </w:tcPr>
          <w:p w14:paraId="0B8C0539" w14:textId="12280129"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Cirolar</w:t>
            </w:r>
          </w:p>
        </w:tc>
        <w:tc>
          <w:tcPr>
            <w:tcW w:w="267" w:type="pct"/>
            <w:shd w:val="clear" w:color="auto" w:fill="auto"/>
            <w:tcMar>
              <w:left w:w="57" w:type="dxa"/>
              <w:right w:w="57" w:type="dxa"/>
            </w:tcMar>
            <w:vAlign w:val="bottom"/>
          </w:tcPr>
          <w:p w14:paraId="15B1067E"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0013714D" w14:textId="595754C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6714CAC" w14:textId="1645815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3E0FB56" w14:textId="54FB7E9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352DEBF" w14:textId="239334A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D383075" w14:textId="057E175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FA7E7FF" w14:textId="322DE58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00F51687" w14:textId="77777777" w:rsidTr="0027513D">
        <w:trPr>
          <w:trHeight w:val="121"/>
        </w:trPr>
        <w:tc>
          <w:tcPr>
            <w:tcW w:w="274" w:type="pct"/>
            <w:shd w:val="clear" w:color="auto" w:fill="auto"/>
            <w:tcMar>
              <w:left w:w="57" w:type="dxa"/>
              <w:right w:w="57" w:type="dxa"/>
            </w:tcMar>
            <w:vAlign w:val="bottom"/>
          </w:tcPr>
          <w:p w14:paraId="6C09365E" w14:textId="47AA7DDB"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1.6.</w:t>
            </w:r>
          </w:p>
        </w:tc>
        <w:tc>
          <w:tcPr>
            <w:tcW w:w="1462" w:type="pct"/>
            <w:shd w:val="clear" w:color="auto" w:fill="auto"/>
            <w:tcMar>
              <w:left w:w="57" w:type="dxa"/>
              <w:right w:w="57" w:type="dxa"/>
            </w:tcMar>
            <w:vAlign w:val="bottom"/>
          </w:tcPr>
          <w:p w14:paraId="3877A212" w14:textId="25E479A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 xml:space="preserve">Menkul Kıy. İh. Satın Alma Garantilerimizden </w:t>
            </w:r>
          </w:p>
        </w:tc>
        <w:tc>
          <w:tcPr>
            <w:tcW w:w="267" w:type="pct"/>
            <w:shd w:val="clear" w:color="auto" w:fill="auto"/>
            <w:tcMar>
              <w:left w:w="57" w:type="dxa"/>
              <w:right w:w="57" w:type="dxa"/>
            </w:tcMar>
            <w:vAlign w:val="bottom"/>
          </w:tcPr>
          <w:p w14:paraId="609151FF"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6F27533" w14:textId="53BA08E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7E73C62" w14:textId="32BD459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5D498BDF" w14:textId="2DA934C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2038C16" w14:textId="7C956C6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D2209C7" w14:textId="5EDC144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DDDCC58" w14:textId="78FB06A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4C2663BB" w14:textId="77777777" w:rsidTr="0027513D">
        <w:trPr>
          <w:trHeight w:val="121"/>
        </w:trPr>
        <w:tc>
          <w:tcPr>
            <w:tcW w:w="274" w:type="pct"/>
            <w:shd w:val="clear" w:color="auto" w:fill="auto"/>
            <w:tcMar>
              <w:left w:w="57" w:type="dxa"/>
              <w:right w:w="57" w:type="dxa"/>
            </w:tcMar>
            <w:vAlign w:val="bottom"/>
          </w:tcPr>
          <w:p w14:paraId="556DE241" w14:textId="258AE729"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1.7.</w:t>
            </w:r>
          </w:p>
        </w:tc>
        <w:tc>
          <w:tcPr>
            <w:tcW w:w="1462" w:type="pct"/>
            <w:shd w:val="clear" w:color="auto" w:fill="auto"/>
            <w:tcMar>
              <w:left w:w="57" w:type="dxa"/>
              <w:right w:w="57" w:type="dxa"/>
            </w:tcMar>
            <w:vAlign w:val="bottom"/>
          </w:tcPr>
          <w:p w14:paraId="738DADB4" w14:textId="1F8F034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 xml:space="preserve">Faktoring Garantilerinden </w:t>
            </w:r>
          </w:p>
        </w:tc>
        <w:tc>
          <w:tcPr>
            <w:tcW w:w="267" w:type="pct"/>
            <w:shd w:val="clear" w:color="auto" w:fill="auto"/>
            <w:tcMar>
              <w:left w:w="57" w:type="dxa"/>
              <w:right w:w="57" w:type="dxa"/>
            </w:tcMar>
            <w:vAlign w:val="bottom"/>
          </w:tcPr>
          <w:p w14:paraId="1D4DD2BF"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7957016B" w14:textId="3BE59DD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685A7839" w14:textId="35F1AA1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ABBB97D" w14:textId="6E89C1E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D9AA2B5" w14:textId="1B0A690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060D1DF" w14:textId="2691D09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D6022DD" w14:textId="4789B74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605D5ABD" w14:textId="77777777" w:rsidTr="0027513D">
        <w:trPr>
          <w:trHeight w:val="121"/>
        </w:trPr>
        <w:tc>
          <w:tcPr>
            <w:tcW w:w="274" w:type="pct"/>
            <w:shd w:val="clear" w:color="auto" w:fill="auto"/>
            <w:tcMar>
              <w:left w:w="57" w:type="dxa"/>
              <w:right w:w="57" w:type="dxa"/>
            </w:tcMar>
            <w:vAlign w:val="bottom"/>
          </w:tcPr>
          <w:p w14:paraId="77CCE8E7" w14:textId="2A54599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1.8.</w:t>
            </w:r>
          </w:p>
        </w:tc>
        <w:tc>
          <w:tcPr>
            <w:tcW w:w="1462" w:type="pct"/>
            <w:shd w:val="clear" w:color="auto" w:fill="auto"/>
            <w:tcMar>
              <w:left w:w="57" w:type="dxa"/>
              <w:right w:w="57" w:type="dxa"/>
            </w:tcMar>
            <w:vAlign w:val="bottom"/>
          </w:tcPr>
          <w:p w14:paraId="0B0FDC4F" w14:textId="162F117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Garantilerimizden</w:t>
            </w:r>
          </w:p>
        </w:tc>
        <w:tc>
          <w:tcPr>
            <w:tcW w:w="267" w:type="pct"/>
            <w:shd w:val="clear" w:color="auto" w:fill="auto"/>
            <w:tcMar>
              <w:left w:w="57" w:type="dxa"/>
              <w:right w:w="57" w:type="dxa"/>
            </w:tcMar>
            <w:vAlign w:val="bottom"/>
          </w:tcPr>
          <w:p w14:paraId="7A8375DF"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0066E20A" w14:textId="17AE824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14.901.912</w:t>
            </w:r>
          </w:p>
        </w:tc>
        <w:tc>
          <w:tcPr>
            <w:tcW w:w="527" w:type="pct"/>
            <w:vAlign w:val="bottom"/>
          </w:tcPr>
          <w:p w14:paraId="6447AB86" w14:textId="61F925C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2.681.311</w:t>
            </w:r>
          </w:p>
        </w:tc>
        <w:tc>
          <w:tcPr>
            <w:tcW w:w="527" w:type="pct"/>
            <w:vAlign w:val="bottom"/>
          </w:tcPr>
          <w:p w14:paraId="3C544839" w14:textId="663DABA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17.583.223</w:t>
            </w:r>
          </w:p>
        </w:tc>
        <w:tc>
          <w:tcPr>
            <w:tcW w:w="473" w:type="pct"/>
            <w:shd w:val="clear" w:color="auto" w:fill="auto"/>
            <w:tcMar>
              <w:left w:w="57" w:type="dxa"/>
              <w:right w:w="57" w:type="dxa"/>
            </w:tcMar>
            <w:vAlign w:val="bottom"/>
          </w:tcPr>
          <w:p w14:paraId="204DEE8A" w14:textId="59B5BF7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7.865.611</w:t>
            </w:r>
          </w:p>
        </w:tc>
        <w:tc>
          <w:tcPr>
            <w:tcW w:w="473" w:type="pct"/>
            <w:shd w:val="clear" w:color="auto" w:fill="auto"/>
            <w:tcMar>
              <w:left w:w="57" w:type="dxa"/>
              <w:right w:w="57" w:type="dxa"/>
            </w:tcMar>
            <w:vAlign w:val="bottom"/>
          </w:tcPr>
          <w:p w14:paraId="68C4E7CA" w14:textId="175707C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2.180.950</w:t>
            </w:r>
          </w:p>
        </w:tc>
        <w:tc>
          <w:tcPr>
            <w:tcW w:w="470" w:type="pct"/>
            <w:shd w:val="clear" w:color="auto" w:fill="auto"/>
            <w:tcMar>
              <w:left w:w="57" w:type="dxa"/>
              <w:right w:w="57" w:type="dxa"/>
            </w:tcMar>
            <w:vAlign w:val="bottom"/>
          </w:tcPr>
          <w:p w14:paraId="64FD3168" w14:textId="1B66275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10.046.561</w:t>
            </w:r>
          </w:p>
        </w:tc>
      </w:tr>
      <w:tr w:rsidR="0027513D" w:rsidRPr="00FB38E1" w14:paraId="330999E8" w14:textId="77777777" w:rsidTr="0027513D">
        <w:trPr>
          <w:trHeight w:val="55"/>
        </w:trPr>
        <w:tc>
          <w:tcPr>
            <w:tcW w:w="274" w:type="pct"/>
            <w:shd w:val="clear" w:color="auto" w:fill="auto"/>
            <w:tcMar>
              <w:left w:w="57" w:type="dxa"/>
              <w:right w:w="57" w:type="dxa"/>
            </w:tcMar>
            <w:vAlign w:val="bottom"/>
          </w:tcPr>
          <w:p w14:paraId="786EFD71" w14:textId="3A0F8A8E"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1.9.</w:t>
            </w:r>
          </w:p>
        </w:tc>
        <w:tc>
          <w:tcPr>
            <w:tcW w:w="1462" w:type="pct"/>
            <w:shd w:val="clear" w:color="auto" w:fill="auto"/>
            <w:tcMar>
              <w:left w:w="57" w:type="dxa"/>
              <w:right w:w="57" w:type="dxa"/>
            </w:tcMar>
            <w:vAlign w:val="bottom"/>
          </w:tcPr>
          <w:p w14:paraId="54FDD0C2" w14:textId="0A88E4E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Kefaletlerimizden</w:t>
            </w:r>
          </w:p>
        </w:tc>
        <w:tc>
          <w:tcPr>
            <w:tcW w:w="267" w:type="pct"/>
            <w:shd w:val="clear" w:color="auto" w:fill="auto"/>
            <w:tcMar>
              <w:left w:w="57" w:type="dxa"/>
              <w:right w:w="57" w:type="dxa"/>
            </w:tcMar>
            <w:vAlign w:val="bottom"/>
          </w:tcPr>
          <w:p w14:paraId="283E944B"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6BCF3AFA" w14:textId="543800C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77050A4" w14:textId="21DF327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6D89AEBD" w14:textId="47A1388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3CBD7B8" w14:textId="52BF25F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E1F527C" w14:textId="24BDED1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2AC3211" w14:textId="12116AA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57452353" w14:textId="77777777" w:rsidTr="0027513D">
        <w:trPr>
          <w:trHeight w:val="146"/>
        </w:trPr>
        <w:tc>
          <w:tcPr>
            <w:tcW w:w="274" w:type="pct"/>
            <w:shd w:val="clear" w:color="auto" w:fill="auto"/>
            <w:tcMar>
              <w:left w:w="57" w:type="dxa"/>
              <w:right w:w="57" w:type="dxa"/>
            </w:tcMar>
            <w:vAlign w:val="bottom"/>
          </w:tcPr>
          <w:p w14:paraId="12622A0F" w14:textId="4FA049CB"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II.</w:t>
            </w:r>
          </w:p>
        </w:tc>
        <w:tc>
          <w:tcPr>
            <w:tcW w:w="1462" w:type="pct"/>
            <w:shd w:val="clear" w:color="auto" w:fill="auto"/>
            <w:tcMar>
              <w:left w:w="57" w:type="dxa"/>
              <w:right w:w="57" w:type="dxa"/>
            </w:tcMar>
            <w:vAlign w:val="bottom"/>
          </w:tcPr>
          <w:p w14:paraId="5AF42D95" w14:textId="702C2F66"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xml:space="preserve">TAAHHÜTLER                                                                                                        </w:t>
            </w:r>
          </w:p>
        </w:tc>
        <w:tc>
          <w:tcPr>
            <w:tcW w:w="267" w:type="pct"/>
            <w:shd w:val="clear" w:color="auto" w:fill="auto"/>
            <w:tcMar>
              <w:left w:w="57" w:type="dxa"/>
              <w:right w:w="57" w:type="dxa"/>
            </w:tcMar>
            <w:vAlign w:val="bottom"/>
          </w:tcPr>
          <w:p w14:paraId="64858671" w14:textId="4E061CDA" w:rsidR="0027513D" w:rsidRPr="00FB38E1" w:rsidRDefault="0027513D" w:rsidP="0027513D">
            <w:pPr>
              <w:jc w:val="center"/>
              <w:rPr>
                <w:rFonts w:ascii="Microsoft Sans Serif" w:hAnsi="Microsoft Sans Serif" w:cs="Microsoft Sans Serif"/>
                <w:sz w:val="12"/>
                <w:szCs w:val="12"/>
              </w:rPr>
            </w:pPr>
            <w:r w:rsidRPr="00FB38E1">
              <w:rPr>
                <w:rFonts w:ascii="Microsoft Sans Serif" w:hAnsi="Microsoft Sans Serif" w:cs="Microsoft Sans Serif"/>
                <w:sz w:val="12"/>
                <w:szCs w:val="12"/>
              </w:rPr>
              <w:t>(5.III.a)</w:t>
            </w:r>
          </w:p>
        </w:tc>
        <w:tc>
          <w:tcPr>
            <w:tcW w:w="527" w:type="pct"/>
            <w:vAlign w:val="bottom"/>
          </w:tcPr>
          <w:p w14:paraId="6014FB34" w14:textId="41726B7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486.848.240</w:t>
            </w:r>
          </w:p>
        </w:tc>
        <w:tc>
          <w:tcPr>
            <w:tcW w:w="527" w:type="pct"/>
            <w:vAlign w:val="bottom"/>
          </w:tcPr>
          <w:p w14:paraId="051A2677" w14:textId="13E9EBF5"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46.728.891</w:t>
            </w:r>
          </w:p>
        </w:tc>
        <w:tc>
          <w:tcPr>
            <w:tcW w:w="527" w:type="pct"/>
            <w:vAlign w:val="bottom"/>
          </w:tcPr>
          <w:p w14:paraId="0F0150AE" w14:textId="7C955E3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533.577.131</w:t>
            </w:r>
          </w:p>
        </w:tc>
        <w:tc>
          <w:tcPr>
            <w:tcW w:w="473" w:type="pct"/>
            <w:shd w:val="clear" w:color="auto" w:fill="auto"/>
            <w:tcMar>
              <w:left w:w="57" w:type="dxa"/>
              <w:right w:w="57" w:type="dxa"/>
            </w:tcMar>
            <w:vAlign w:val="bottom"/>
          </w:tcPr>
          <w:p w14:paraId="71838AAB" w14:textId="006C8BD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360.707.664</w:t>
            </w:r>
          </w:p>
        </w:tc>
        <w:tc>
          <w:tcPr>
            <w:tcW w:w="473" w:type="pct"/>
            <w:shd w:val="clear" w:color="auto" w:fill="auto"/>
            <w:tcMar>
              <w:left w:w="57" w:type="dxa"/>
              <w:right w:w="57" w:type="dxa"/>
            </w:tcMar>
            <w:vAlign w:val="bottom"/>
          </w:tcPr>
          <w:p w14:paraId="5E6BB85B" w14:textId="2A049667"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25.546.851</w:t>
            </w:r>
          </w:p>
        </w:tc>
        <w:tc>
          <w:tcPr>
            <w:tcW w:w="470" w:type="pct"/>
            <w:shd w:val="clear" w:color="auto" w:fill="auto"/>
            <w:tcMar>
              <w:left w:w="57" w:type="dxa"/>
              <w:right w:w="57" w:type="dxa"/>
            </w:tcMar>
            <w:vAlign w:val="bottom"/>
          </w:tcPr>
          <w:p w14:paraId="658C6D2C" w14:textId="6EDEDF6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386.254.515</w:t>
            </w:r>
          </w:p>
        </w:tc>
      </w:tr>
      <w:tr w:rsidR="0027513D" w:rsidRPr="00FB38E1" w14:paraId="68304BAE" w14:textId="77777777" w:rsidTr="0027513D">
        <w:trPr>
          <w:trHeight w:val="121"/>
        </w:trPr>
        <w:tc>
          <w:tcPr>
            <w:tcW w:w="274" w:type="pct"/>
            <w:shd w:val="clear" w:color="auto" w:fill="auto"/>
            <w:tcMar>
              <w:left w:w="57" w:type="dxa"/>
              <w:right w:w="57" w:type="dxa"/>
            </w:tcMar>
            <w:vAlign w:val="bottom"/>
          </w:tcPr>
          <w:p w14:paraId="1269080A" w14:textId="6CE9546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w:t>
            </w:r>
          </w:p>
        </w:tc>
        <w:tc>
          <w:tcPr>
            <w:tcW w:w="1462" w:type="pct"/>
            <w:shd w:val="clear" w:color="auto" w:fill="auto"/>
            <w:tcMar>
              <w:left w:w="57" w:type="dxa"/>
              <w:right w:w="57" w:type="dxa"/>
            </w:tcMar>
            <w:vAlign w:val="bottom"/>
          </w:tcPr>
          <w:p w14:paraId="626615C9" w14:textId="7C07A13E"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Cayılamaz Taahhütler</w:t>
            </w:r>
          </w:p>
        </w:tc>
        <w:tc>
          <w:tcPr>
            <w:tcW w:w="267" w:type="pct"/>
            <w:shd w:val="clear" w:color="auto" w:fill="auto"/>
            <w:tcMar>
              <w:left w:w="57" w:type="dxa"/>
              <w:right w:w="57" w:type="dxa"/>
            </w:tcMar>
            <w:vAlign w:val="bottom"/>
          </w:tcPr>
          <w:p w14:paraId="015EBC08"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5CE12D6" w14:textId="75A07E2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476.981.280</w:t>
            </w:r>
          </w:p>
        </w:tc>
        <w:tc>
          <w:tcPr>
            <w:tcW w:w="527" w:type="pct"/>
            <w:vAlign w:val="bottom"/>
          </w:tcPr>
          <w:p w14:paraId="26F9AFF2" w14:textId="14A82FE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46.728.891</w:t>
            </w:r>
          </w:p>
        </w:tc>
        <w:tc>
          <w:tcPr>
            <w:tcW w:w="527" w:type="pct"/>
            <w:vAlign w:val="bottom"/>
          </w:tcPr>
          <w:p w14:paraId="2AFDC0FF" w14:textId="59A9A40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523.710.171</w:t>
            </w:r>
          </w:p>
        </w:tc>
        <w:tc>
          <w:tcPr>
            <w:tcW w:w="473" w:type="pct"/>
            <w:shd w:val="clear" w:color="auto" w:fill="auto"/>
            <w:tcMar>
              <w:left w:w="57" w:type="dxa"/>
              <w:right w:w="57" w:type="dxa"/>
            </w:tcMar>
            <w:vAlign w:val="bottom"/>
          </w:tcPr>
          <w:p w14:paraId="2A60239F" w14:textId="5012A10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357.792.904</w:t>
            </w:r>
          </w:p>
        </w:tc>
        <w:tc>
          <w:tcPr>
            <w:tcW w:w="473" w:type="pct"/>
            <w:shd w:val="clear" w:color="auto" w:fill="auto"/>
            <w:tcMar>
              <w:left w:w="57" w:type="dxa"/>
              <w:right w:w="57" w:type="dxa"/>
            </w:tcMar>
            <w:vAlign w:val="bottom"/>
          </w:tcPr>
          <w:p w14:paraId="454364C0" w14:textId="69BF1DF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25.546.851</w:t>
            </w:r>
          </w:p>
        </w:tc>
        <w:tc>
          <w:tcPr>
            <w:tcW w:w="470" w:type="pct"/>
            <w:shd w:val="clear" w:color="auto" w:fill="auto"/>
            <w:tcMar>
              <w:left w:w="57" w:type="dxa"/>
              <w:right w:w="57" w:type="dxa"/>
            </w:tcMar>
            <w:vAlign w:val="bottom"/>
          </w:tcPr>
          <w:p w14:paraId="457D04DC" w14:textId="2243263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383.339.755</w:t>
            </w:r>
          </w:p>
        </w:tc>
      </w:tr>
      <w:tr w:rsidR="0027513D" w:rsidRPr="00FB38E1" w14:paraId="11C37055" w14:textId="77777777" w:rsidTr="0027513D">
        <w:trPr>
          <w:trHeight w:val="121"/>
        </w:trPr>
        <w:tc>
          <w:tcPr>
            <w:tcW w:w="274" w:type="pct"/>
            <w:shd w:val="clear" w:color="auto" w:fill="auto"/>
            <w:tcMar>
              <w:left w:w="57" w:type="dxa"/>
              <w:right w:w="57" w:type="dxa"/>
            </w:tcMar>
            <w:vAlign w:val="bottom"/>
          </w:tcPr>
          <w:p w14:paraId="1FD4314C" w14:textId="6112BF2E"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2.1.1.</w:t>
            </w:r>
          </w:p>
        </w:tc>
        <w:tc>
          <w:tcPr>
            <w:tcW w:w="1462" w:type="pct"/>
            <w:shd w:val="clear" w:color="auto" w:fill="auto"/>
            <w:tcMar>
              <w:left w:w="57" w:type="dxa"/>
              <w:right w:w="57" w:type="dxa"/>
            </w:tcMar>
            <w:vAlign w:val="bottom"/>
          </w:tcPr>
          <w:p w14:paraId="2A73F758" w14:textId="70A9FF7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Vadeli Aktif Değerler Alım Satım Taahhütleri</w:t>
            </w:r>
          </w:p>
        </w:tc>
        <w:tc>
          <w:tcPr>
            <w:tcW w:w="267" w:type="pct"/>
            <w:shd w:val="clear" w:color="auto" w:fill="auto"/>
            <w:tcMar>
              <w:left w:w="57" w:type="dxa"/>
              <w:right w:w="57" w:type="dxa"/>
            </w:tcMar>
            <w:vAlign w:val="bottom"/>
          </w:tcPr>
          <w:p w14:paraId="3DE4B06D"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76A5F8B4" w14:textId="1D7E5A9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1.423.530</w:t>
            </w:r>
          </w:p>
        </w:tc>
        <w:tc>
          <w:tcPr>
            <w:tcW w:w="527" w:type="pct"/>
            <w:vAlign w:val="bottom"/>
          </w:tcPr>
          <w:p w14:paraId="44341453" w14:textId="7E1F1BE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25.220.811</w:t>
            </w:r>
          </w:p>
        </w:tc>
        <w:tc>
          <w:tcPr>
            <w:tcW w:w="527" w:type="pct"/>
            <w:vAlign w:val="bottom"/>
          </w:tcPr>
          <w:p w14:paraId="682A53F3" w14:textId="1265BB6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26.644.341</w:t>
            </w:r>
          </w:p>
        </w:tc>
        <w:tc>
          <w:tcPr>
            <w:tcW w:w="473" w:type="pct"/>
            <w:shd w:val="clear" w:color="auto" w:fill="auto"/>
            <w:tcMar>
              <w:left w:w="57" w:type="dxa"/>
              <w:right w:w="57" w:type="dxa"/>
            </w:tcMar>
            <w:vAlign w:val="bottom"/>
          </w:tcPr>
          <w:p w14:paraId="09512E0D" w14:textId="6529748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1.178.580</w:t>
            </w:r>
          </w:p>
        </w:tc>
        <w:tc>
          <w:tcPr>
            <w:tcW w:w="473" w:type="pct"/>
            <w:shd w:val="clear" w:color="auto" w:fill="auto"/>
            <w:tcMar>
              <w:left w:w="57" w:type="dxa"/>
              <w:right w:w="57" w:type="dxa"/>
            </w:tcMar>
            <w:vAlign w:val="bottom"/>
          </w:tcPr>
          <w:p w14:paraId="0A606425" w14:textId="766604B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12.898.449</w:t>
            </w:r>
          </w:p>
        </w:tc>
        <w:tc>
          <w:tcPr>
            <w:tcW w:w="470" w:type="pct"/>
            <w:shd w:val="clear" w:color="auto" w:fill="auto"/>
            <w:tcMar>
              <w:left w:w="57" w:type="dxa"/>
              <w:right w:w="57" w:type="dxa"/>
            </w:tcMar>
            <w:vAlign w:val="bottom"/>
          </w:tcPr>
          <w:p w14:paraId="2EEE947E" w14:textId="46B5E60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14.077.029</w:t>
            </w:r>
          </w:p>
        </w:tc>
      </w:tr>
      <w:tr w:rsidR="0027513D" w:rsidRPr="00FB38E1" w14:paraId="46630BB7" w14:textId="77777777" w:rsidTr="0027513D">
        <w:trPr>
          <w:trHeight w:val="121"/>
        </w:trPr>
        <w:tc>
          <w:tcPr>
            <w:tcW w:w="274" w:type="pct"/>
            <w:shd w:val="clear" w:color="auto" w:fill="auto"/>
            <w:tcMar>
              <w:left w:w="57" w:type="dxa"/>
              <w:right w:w="57" w:type="dxa"/>
            </w:tcMar>
            <w:vAlign w:val="bottom"/>
          </w:tcPr>
          <w:p w14:paraId="11B91618" w14:textId="42A7D51B"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2.1.2.</w:t>
            </w:r>
          </w:p>
        </w:tc>
        <w:tc>
          <w:tcPr>
            <w:tcW w:w="1462" w:type="pct"/>
            <w:shd w:val="clear" w:color="auto" w:fill="auto"/>
            <w:tcMar>
              <w:left w:w="57" w:type="dxa"/>
              <w:right w:w="57" w:type="dxa"/>
            </w:tcMar>
            <w:vAlign w:val="bottom"/>
          </w:tcPr>
          <w:p w14:paraId="04914674" w14:textId="1B28C1A9"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Vadeli Mevduat Alım Satım Taahhütleri</w:t>
            </w:r>
          </w:p>
        </w:tc>
        <w:tc>
          <w:tcPr>
            <w:tcW w:w="267" w:type="pct"/>
            <w:shd w:val="clear" w:color="auto" w:fill="auto"/>
            <w:tcMar>
              <w:left w:w="57" w:type="dxa"/>
              <w:right w:w="57" w:type="dxa"/>
            </w:tcMar>
            <w:vAlign w:val="bottom"/>
          </w:tcPr>
          <w:p w14:paraId="5448784D"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1BE215C4" w14:textId="2F6B9D8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FE01AF3" w14:textId="1ECBE58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430F7E5F" w14:textId="428B700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B3C0998" w14:textId="4BFD10A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9491470" w14:textId="1F5AD4B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3A1EF39" w14:textId="7425AE7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6965C7DF" w14:textId="77777777" w:rsidTr="0027513D">
        <w:trPr>
          <w:trHeight w:val="121"/>
        </w:trPr>
        <w:tc>
          <w:tcPr>
            <w:tcW w:w="274" w:type="pct"/>
            <w:shd w:val="clear" w:color="auto" w:fill="auto"/>
            <w:tcMar>
              <w:left w:w="57" w:type="dxa"/>
              <w:right w:w="57" w:type="dxa"/>
            </w:tcMar>
            <w:vAlign w:val="bottom"/>
          </w:tcPr>
          <w:p w14:paraId="60C5332F" w14:textId="07953A36"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2.1.3.</w:t>
            </w:r>
          </w:p>
        </w:tc>
        <w:tc>
          <w:tcPr>
            <w:tcW w:w="1462" w:type="pct"/>
            <w:shd w:val="clear" w:color="auto" w:fill="auto"/>
            <w:tcMar>
              <w:left w:w="57" w:type="dxa"/>
              <w:right w:w="57" w:type="dxa"/>
            </w:tcMar>
            <w:vAlign w:val="bottom"/>
          </w:tcPr>
          <w:p w14:paraId="08498BC3" w14:textId="6CBCDEE6"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 xml:space="preserve">İştir. ve Bağ. Ort. Ser. İşt. Taahhütleri </w:t>
            </w:r>
          </w:p>
        </w:tc>
        <w:tc>
          <w:tcPr>
            <w:tcW w:w="267" w:type="pct"/>
            <w:shd w:val="clear" w:color="auto" w:fill="auto"/>
            <w:tcMar>
              <w:left w:w="57" w:type="dxa"/>
              <w:right w:w="57" w:type="dxa"/>
            </w:tcMar>
            <w:vAlign w:val="bottom"/>
          </w:tcPr>
          <w:p w14:paraId="08836AB8"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1108C88" w14:textId="4BA8DE5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6647190" w14:textId="7A52F58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0AD6E28" w14:textId="0B3307B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4A1D522" w14:textId="59FFDEA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F7A4D59" w14:textId="79F431C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1F61A8F" w14:textId="5EA45F8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3ABCAD8B" w14:textId="77777777" w:rsidTr="0027513D">
        <w:trPr>
          <w:trHeight w:val="121"/>
        </w:trPr>
        <w:tc>
          <w:tcPr>
            <w:tcW w:w="274" w:type="pct"/>
            <w:shd w:val="clear" w:color="auto" w:fill="auto"/>
            <w:tcMar>
              <w:left w:w="57" w:type="dxa"/>
              <w:right w:w="57" w:type="dxa"/>
            </w:tcMar>
            <w:vAlign w:val="bottom"/>
          </w:tcPr>
          <w:p w14:paraId="00B1B3BF" w14:textId="76AA8219"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2.1.4.</w:t>
            </w:r>
          </w:p>
        </w:tc>
        <w:tc>
          <w:tcPr>
            <w:tcW w:w="1462" w:type="pct"/>
            <w:shd w:val="clear" w:color="auto" w:fill="auto"/>
            <w:tcMar>
              <w:left w:w="57" w:type="dxa"/>
              <w:right w:w="57" w:type="dxa"/>
            </w:tcMar>
            <w:vAlign w:val="bottom"/>
          </w:tcPr>
          <w:p w14:paraId="3C4951EC" w14:textId="76EE680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Kul. Gar. Kredi Tahsis Taahhütleri</w:t>
            </w:r>
          </w:p>
        </w:tc>
        <w:tc>
          <w:tcPr>
            <w:tcW w:w="267" w:type="pct"/>
            <w:shd w:val="clear" w:color="auto" w:fill="auto"/>
            <w:tcMar>
              <w:left w:w="57" w:type="dxa"/>
              <w:right w:w="57" w:type="dxa"/>
            </w:tcMar>
            <w:vAlign w:val="bottom"/>
          </w:tcPr>
          <w:p w14:paraId="63D892AA"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138A1CFD" w14:textId="3A16E29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71.214.681</w:t>
            </w:r>
          </w:p>
        </w:tc>
        <w:tc>
          <w:tcPr>
            <w:tcW w:w="527" w:type="pct"/>
            <w:vAlign w:val="bottom"/>
          </w:tcPr>
          <w:p w14:paraId="2C15F128" w14:textId="459CCCC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6E14EA55" w14:textId="1498337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71.214.681</w:t>
            </w:r>
          </w:p>
        </w:tc>
        <w:tc>
          <w:tcPr>
            <w:tcW w:w="473" w:type="pct"/>
            <w:shd w:val="clear" w:color="auto" w:fill="auto"/>
            <w:tcMar>
              <w:left w:w="57" w:type="dxa"/>
              <w:right w:w="57" w:type="dxa"/>
            </w:tcMar>
            <w:vAlign w:val="bottom"/>
          </w:tcPr>
          <w:p w14:paraId="067F7773" w14:textId="16DD67B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48.403.121</w:t>
            </w:r>
          </w:p>
        </w:tc>
        <w:tc>
          <w:tcPr>
            <w:tcW w:w="473" w:type="pct"/>
            <w:shd w:val="clear" w:color="auto" w:fill="auto"/>
            <w:tcMar>
              <w:left w:w="57" w:type="dxa"/>
              <w:right w:w="57" w:type="dxa"/>
            </w:tcMar>
            <w:vAlign w:val="bottom"/>
          </w:tcPr>
          <w:p w14:paraId="63163BA2" w14:textId="13B487E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6FAB348" w14:textId="0ED1D90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48.403.121</w:t>
            </w:r>
          </w:p>
        </w:tc>
      </w:tr>
      <w:tr w:rsidR="0027513D" w:rsidRPr="00FB38E1" w14:paraId="3CB10448" w14:textId="77777777" w:rsidTr="0027513D">
        <w:trPr>
          <w:trHeight w:val="121"/>
        </w:trPr>
        <w:tc>
          <w:tcPr>
            <w:tcW w:w="274" w:type="pct"/>
            <w:shd w:val="clear" w:color="auto" w:fill="auto"/>
            <w:tcMar>
              <w:left w:w="57" w:type="dxa"/>
              <w:right w:w="57" w:type="dxa"/>
            </w:tcMar>
            <w:vAlign w:val="bottom"/>
          </w:tcPr>
          <w:p w14:paraId="735A85E9" w14:textId="76B78BCC"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2.1.5.</w:t>
            </w:r>
          </w:p>
        </w:tc>
        <w:tc>
          <w:tcPr>
            <w:tcW w:w="1462" w:type="pct"/>
            <w:shd w:val="clear" w:color="auto" w:fill="auto"/>
            <w:tcMar>
              <w:left w:w="57" w:type="dxa"/>
              <w:right w:w="57" w:type="dxa"/>
            </w:tcMar>
            <w:vAlign w:val="bottom"/>
          </w:tcPr>
          <w:p w14:paraId="72D0225E" w14:textId="5D82255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Men. Kıy. İhr. Aracılık Taahhütleri</w:t>
            </w:r>
          </w:p>
        </w:tc>
        <w:tc>
          <w:tcPr>
            <w:tcW w:w="267" w:type="pct"/>
            <w:shd w:val="clear" w:color="auto" w:fill="auto"/>
            <w:tcMar>
              <w:left w:w="57" w:type="dxa"/>
              <w:right w:w="57" w:type="dxa"/>
            </w:tcMar>
            <w:vAlign w:val="bottom"/>
          </w:tcPr>
          <w:p w14:paraId="35C3718D"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26FC68F" w14:textId="13EF806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577EF4FB" w14:textId="34C6A86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8CB0FCA" w14:textId="34BA85A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5E7FC60" w14:textId="21680C2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FC9B3A9" w14:textId="388BE07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7FE2A7F" w14:textId="66F050D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0BF01B0E" w14:textId="77777777" w:rsidTr="0027513D">
        <w:trPr>
          <w:trHeight w:val="121"/>
        </w:trPr>
        <w:tc>
          <w:tcPr>
            <w:tcW w:w="274" w:type="pct"/>
            <w:shd w:val="clear" w:color="auto" w:fill="auto"/>
            <w:tcMar>
              <w:left w:w="57" w:type="dxa"/>
              <w:right w:w="57" w:type="dxa"/>
            </w:tcMar>
            <w:vAlign w:val="bottom"/>
          </w:tcPr>
          <w:p w14:paraId="6DFE1632" w14:textId="50D7E70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2.1.6.</w:t>
            </w:r>
          </w:p>
        </w:tc>
        <w:tc>
          <w:tcPr>
            <w:tcW w:w="1462" w:type="pct"/>
            <w:shd w:val="clear" w:color="auto" w:fill="auto"/>
            <w:tcMar>
              <w:left w:w="57" w:type="dxa"/>
              <w:right w:w="57" w:type="dxa"/>
            </w:tcMar>
            <w:vAlign w:val="bottom"/>
          </w:tcPr>
          <w:p w14:paraId="47A6666A" w14:textId="21C6A6D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Zorunlu Karşılık Ödeme Taahhüdü</w:t>
            </w:r>
          </w:p>
        </w:tc>
        <w:tc>
          <w:tcPr>
            <w:tcW w:w="267" w:type="pct"/>
            <w:shd w:val="clear" w:color="auto" w:fill="auto"/>
            <w:tcMar>
              <w:left w:w="57" w:type="dxa"/>
              <w:right w:w="57" w:type="dxa"/>
            </w:tcMar>
            <w:vAlign w:val="bottom"/>
          </w:tcPr>
          <w:p w14:paraId="55B3B9DD"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65C03C10" w14:textId="07C742E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76C11A1A" w14:textId="4C301AA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34B8157" w14:textId="61EE378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6AEE2674" w14:textId="450FEAE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D4621CE" w14:textId="19A5B2D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68BCACF" w14:textId="19F0E86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6FAF0115" w14:textId="77777777" w:rsidTr="0027513D">
        <w:trPr>
          <w:trHeight w:val="121"/>
        </w:trPr>
        <w:tc>
          <w:tcPr>
            <w:tcW w:w="274" w:type="pct"/>
            <w:shd w:val="clear" w:color="auto" w:fill="auto"/>
            <w:tcMar>
              <w:left w:w="57" w:type="dxa"/>
              <w:right w:w="57" w:type="dxa"/>
            </w:tcMar>
            <w:vAlign w:val="bottom"/>
          </w:tcPr>
          <w:p w14:paraId="154A8FE0" w14:textId="2F77BCCC"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2.1.7.</w:t>
            </w:r>
          </w:p>
        </w:tc>
        <w:tc>
          <w:tcPr>
            <w:tcW w:w="1462" w:type="pct"/>
            <w:shd w:val="clear" w:color="auto" w:fill="auto"/>
            <w:tcMar>
              <w:left w:w="57" w:type="dxa"/>
              <w:right w:w="57" w:type="dxa"/>
            </w:tcMar>
            <w:vAlign w:val="bottom"/>
          </w:tcPr>
          <w:p w14:paraId="687E4928" w14:textId="5B09728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Çekler İçin Ödeme Taahhütleri</w:t>
            </w:r>
          </w:p>
        </w:tc>
        <w:tc>
          <w:tcPr>
            <w:tcW w:w="267" w:type="pct"/>
            <w:shd w:val="clear" w:color="auto" w:fill="auto"/>
            <w:tcMar>
              <w:left w:w="57" w:type="dxa"/>
              <w:right w:w="57" w:type="dxa"/>
            </w:tcMar>
            <w:vAlign w:val="bottom"/>
          </w:tcPr>
          <w:p w14:paraId="4FC979FE"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49196242" w14:textId="4EF7025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18.889.839</w:t>
            </w:r>
          </w:p>
        </w:tc>
        <w:tc>
          <w:tcPr>
            <w:tcW w:w="527" w:type="pct"/>
            <w:vAlign w:val="bottom"/>
          </w:tcPr>
          <w:p w14:paraId="250DD8F4" w14:textId="2BE5E7E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67D4D69F" w14:textId="30232FF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18.889.839</w:t>
            </w:r>
          </w:p>
        </w:tc>
        <w:tc>
          <w:tcPr>
            <w:tcW w:w="473" w:type="pct"/>
            <w:shd w:val="clear" w:color="auto" w:fill="auto"/>
            <w:tcMar>
              <w:left w:w="57" w:type="dxa"/>
              <w:right w:w="57" w:type="dxa"/>
            </w:tcMar>
            <w:vAlign w:val="bottom"/>
          </w:tcPr>
          <w:p w14:paraId="7F59E5C7" w14:textId="492ECF6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12.311.768</w:t>
            </w:r>
          </w:p>
        </w:tc>
        <w:tc>
          <w:tcPr>
            <w:tcW w:w="473" w:type="pct"/>
            <w:shd w:val="clear" w:color="auto" w:fill="auto"/>
            <w:tcMar>
              <w:left w:w="57" w:type="dxa"/>
              <w:right w:w="57" w:type="dxa"/>
            </w:tcMar>
            <w:vAlign w:val="bottom"/>
          </w:tcPr>
          <w:p w14:paraId="36D101B3" w14:textId="3F5503B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B3AF3FE" w14:textId="01E595D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12.311.768</w:t>
            </w:r>
          </w:p>
        </w:tc>
      </w:tr>
      <w:tr w:rsidR="0027513D" w:rsidRPr="00FB38E1" w14:paraId="0B63D8E0" w14:textId="77777777" w:rsidTr="0027513D">
        <w:trPr>
          <w:trHeight w:val="121"/>
        </w:trPr>
        <w:tc>
          <w:tcPr>
            <w:tcW w:w="274" w:type="pct"/>
            <w:shd w:val="clear" w:color="auto" w:fill="auto"/>
            <w:tcMar>
              <w:left w:w="57" w:type="dxa"/>
              <w:right w:w="57" w:type="dxa"/>
            </w:tcMar>
          </w:tcPr>
          <w:p w14:paraId="27C96A1B" w14:textId="052C523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2.1.8.</w:t>
            </w:r>
          </w:p>
        </w:tc>
        <w:tc>
          <w:tcPr>
            <w:tcW w:w="1462" w:type="pct"/>
            <w:shd w:val="clear" w:color="auto" w:fill="auto"/>
            <w:tcMar>
              <w:left w:w="57" w:type="dxa"/>
              <w:right w:w="57" w:type="dxa"/>
            </w:tcMar>
            <w:vAlign w:val="bottom"/>
          </w:tcPr>
          <w:p w14:paraId="74F861CD" w14:textId="2F0597CA"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İhracat Taahhütlerinden Kaynaklanan Vergi ve Fon Yükümlülükleri</w:t>
            </w:r>
          </w:p>
        </w:tc>
        <w:tc>
          <w:tcPr>
            <w:tcW w:w="267" w:type="pct"/>
            <w:shd w:val="clear" w:color="auto" w:fill="auto"/>
            <w:tcMar>
              <w:left w:w="57" w:type="dxa"/>
              <w:right w:w="57" w:type="dxa"/>
            </w:tcMar>
            <w:vAlign w:val="bottom"/>
          </w:tcPr>
          <w:p w14:paraId="77CCE710"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1584FEEA" w14:textId="417C455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1.757</w:t>
            </w:r>
          </w:p>
        </w:tc>
        <w:tc>
          <w:tcPr>
            <w:tcW w:w="527" w:type="pct"/>
            <w:vAlign w:val="bottom"/>
          </w:tcPr>
          <w:p w14:paraId="44B33914" w14:textId="6C7330D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B8C6120" w14:textId="398196B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1.757</w:t>
            </w:r>
          </w:p>
        </w:tc>
        <w:tc>
          <w:tcPr>
            <w:tcW w:w="473" w:type="pct"/>
            <w:shd w:val="clear" w:color="auto" w:fill="auto"/>
            <w:tcMar>
              <w:left w:w="57" w:type="dxa"/>
              <w:right w:w="57" w:type="dxa"/>
            </w:tcMar>
            <w:vAlign w:val="bottom"/>
          </w:tcPr>
          <w:p w14:paraId="0AC938BE" w14:textId="6DC9C56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1.643</w:t>
            </w:r>
          </w:p>
        </w:tc>
        <w:tc>
          <w:tcPr>
            <w:tcW w:w="473" w:type="pct"/>
            <w:shd w:val="clear" w:color="auto" w:fill="auto"/>
            <w:tcMar>
              <w:left w:w="57" w:type="dxa"/>
              <w:right w:w="57" w:type="dxa"/>
            </w:tcMar>
            <w:vAlign w:val="bottom"/>
          </w:tcPr>
          <w:p w14:paraId="64928219" w14:textId="7AF3CBA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395F84F" w14:textId="1B7EA77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1.643</w:t>
            </w:r>
          </w:p>
        </w:tc>
      </w:tr>
      <w:tr w:rsidR="0027513D" w:rsidRPr="00FB38E1" w14:paraId="5E5B77F6" w14:textId="77777777" w:rsidTr="0027513D">
        <w:trPr>
          <w:trHeight w:val="121"/>
        </w:trPr>
        <w:tc>
          <w:tcPr>
            <w:tcW w:w="274" w:type="pct"/>
            <w:shd w:val="clear" w:color="auto" w:fill="auto"/>
            <w:tcMar>
              <w:left w:w="57" w:type="dxa"/>
              <w:right w:w="57" w:type="dxa"/>
            </w:tcMar>
            <w:vAlign w:val="bottom"/>
          </w:tcPr>
          <w:p w14:paraId="1083CB9D" w14:textId="145238BA"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2.1.9.</w:t>
            </w:r>
          </w:p>
        </w:tc>
        <w:tc>
          <w:tcPr>
            <w:tcW w:w="1462" w:type="pct"/>
            <w:shd w:val="clear" w:color="auto" w:fill="auto"/>
            <w:tcMar>
              <w:left w:w="57" w:type="dxa"/>
              <w:right w:w="57" w:type="dxa"/>
            </w:tcMar>
            <w:vAlign w:val="bottom"/>
          </w:tcPr>
          <w:p w14:paraId="2B270F64" w14:textId="71DC967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Kredi Kartı Harcama Limit Taahhütleri</w:t>
            </w:r>
          </w:p>
        </w:tc>
        <w:tc>
          <w:tcPr>
            <w:tcW w:w="267" w:type="pct"/>
            <w:shd w:val="clear" w:color="auto" w:fill="auto"/>
            <w:tcMar>
              <w:left w:w="57" w:type="dxa"/>
              <w:right w:w="57" w:type="dxa"/>
            </w:tcMar>
            <w:vAlign w:val="bottom"/>
          </w:tcPr>
          <w:p w14:paraId="14864280"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2D5FDC3B" w14:textId="10AC13C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383.878.523</w:t>
            </w:r>
          </w:p>
        </w:tc>
        <w:tc>
          <w:tcPr>
            <w:tcW w:w="527" w:type="pct"/>
            <w:vAlign w:val="bottom"/>
          </w:tcPr>
          <w:p w14:paraId="1356CDAA" w14:textId="7A5F029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535EFAF4" w14:textId="640AE5A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383.878.523</w:t>
            </w:r>
          </w:p>
        </w:tc>
        <w:tc>
          <w:tcPr>
            <w:tcW w:w="473" w:type="pct"/>
            <w:shd w:val="clear" w:color="auto" w:fill="auto"/>
            <w:tcMar>
              <w:left w:w="57" w:type="dxa"/>
              <w:right w:w="57" w:type="dxa"/>
            </w:tcMar>
            <w:vAlign w:val="bottom"/>
          </w:tcPr>
          <w:p w14:paraId="7DB1F3CD" w14:textId="56DF19B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293.746.486</w:t>
            </w:r>
          </w:p>
        </w:tc>
        <w:tc>
          <w:tcPr>
            <w:tcW w:w="473" w:type="pct"/>
            <w:shd w:val="clear" w:color="auto" w:fill="auto"/>
            <w:tcMar>
              <w:left w:w="57" w:type="dxa"/>
              <w:right w:w="57" w:type="dxa"/>
            </w:tcMar>
            <w:vAlign w:val="bottom"/>
          </w:tcPr>
          <w:p w14:paraId="2EE2EE5E" w14:textId="3306D56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2DF5F65" w14:textId="0C72780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293.746.486</w:t>
            </w:r>
          </w:p>
        </w:tc>
      </w:tr>
      <w:tr w:rsidR="0027513D" w:rsidRPr="00FB38E1" w14:paraId="429D6254" w14:textId="77777777" w:rsidTr="0027513D">
        <w:trPr>
          <w:trHeight w:val="121"/>
        </w:trPr>
        <w:tc>
          <w:tcPr>
            <w:tcW w:w="274" w:type="pct"/>
            <w:shd w:val="clear" w:color="auto" w:fill="auto"/>
            <w:tcMar>
              <w:left w:w="57" w:type="dxa"/>
              <w:right w:w="57" w:type="dxa"/>
            </w:tcMar>
          </w:tcPr>
          <w:p w14:paraId="76160323" w14:textId="563A8F5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2.1.10.</w:t>
            </w:r>
          </w:p>
        </w:tc>
        <w:tc>
          <w:tcPr>
            <w:tcW w:w="1462" w:type="pct"/>
            <w:shd w:val="clear" w:color="auto" w:fill="auto"/>
            <w:tcMar>
              <w:left w:w="57" w:type="dxa"/>
              <w:right w:w="57" w:type="dxa"/>
            </w:tcMar>
            <w:vAlign w:val="bottom"/>
          </w:tcPr>
          <w:p w14:paraId="45834FB3" w14:textId="62E8AB1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Kredi Kartları ve Bankacılık Hizmetlerine İlişkin Promosyon Uyg. Taah.</w:t>
            </w:r>
          </w:p>
        </w:tc>
        <w:tc>
          <w:tcPr>
            <w:tcW w:w="267" w:type="pct"/>
            <w:shd w:val="clear" w:color="auto" w:fill="auto"/>
            <w:tcMar>
              <w:left w:w="57" w:type="dxa"/>
              <w:right w:w="57" w:type="dxa"/>
            </w:tcMar>
            <w:vAlign w:val="bottom"/>
          </w:tcPr>
          <w:p w14:paraId="599554C7"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342215C6" w14:textId="2A4EA2F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29.694</w:t>
            </w:r>
          </w:p>
        </w:tc>
        <w:tc>
          <w:tcPr>
            <w:tcW w:w="527" w:type="pct"/>
            <w:vAlign w:val="bottom"/>
          </w:tcPr>
          <w:p w14:paraId="5B053340" w14:textId="20AE5EF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6C380940" w14:textId="60D04C2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29.694</w:t>
            </w:r>
          </w:p>
        </w:tc>
        <w:tc>
          <w:tcPr>
            <w:tcW w:w="473" w:type="pct"/>
            <w:shd w:val="clear" w:color="auto" w:fill="auto"/>
            <w:tcMar>
              <w:left w:w="57" w:type="dxa"/>
              <w:right w:w="57" w:type="dxa"/>
            </w:tcMar>
            <w:vAlign w:val="bottom"/>
          </w:tcPr>
          <w:p w14:paraId="50E22C76" w14:textId="044C3BE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33.541</w:t>
            </w:r>
          </w:p>
        </w:tc>
        <w:tc>
          <w:tcPr>
            <w:tcW w:w="473" w:type="pct"/>
            <w:shd w:val="clear" w:color="auto" w:fill="auto"/>
            <w:tcMar>
              <w:left w:w="57" w:type="dxa"/>
              <w:right w:w="57" w:type="dxa"/>
            </w:tcMar>
            <w:vAlign w:val="bottom"/>
          </w:tcPr>
          <w:p w14:paraId="0FD0805D" w14:textId="087D015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CD92CED" w14:textId="7A2094D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33.541</w:t>
            </w:r>
          </w:p>
        </w:tc>
      </w:tr>
      <w:tr w:rsidR="0027513D" w:rsidRPr="00FB38E1" w14:paraId="1E7B053A" w14:textId="77777777" w:rsidTr="0027513D">
        <w:trPr>
          <w:trHeight w:val="121"/>
        </w:trPr>
        <w:tc>
          <w:tcPr>
            <w:tcW w:w="274" w:type="pct"/>
            <w:shd w:val="clear" w:color="auto" w:fill="auto"/>
            <w:tcMar>
              <w:left w:w="57" w:type="dxa"/>
              <w:right w:w="57" w:type="dxa"/>
            </w:tcMar>
            <w:vAlign w:val="bottom"/>
          </w:tcPr>
          <w:p w14:paraId="2AD20F60" w14:textId="117A4BD9"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2.1.11.</w:t>
            </w:r>
          </w:p>
        </w:tc>
        <w:tc>
          <w:tcPr>
            <w:tcW w:w="1462" w:type="pct"/>
            <w:shd w:val="clear" w:color="auto" w:fill="auto"/>
            <w:tcMar>
              <w:left w:w="57" w:type="dxa"/>
              <w:right w:w="57" w:type="dxa"/>
            </w:tcMar>
            <w:vAlign w:val="bottom"/>
          </w:tcPr>
          <w:p w14:paraId="57A4AE11" w14:textId="2892FF5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Açığa Menkul Kıymet Satış Taahhütlerinden Alacaklar</w:t>
            </w:r>
          </w:p>
        </w:tc>
        <w:tc>
          <w:tcPr>
            <w:tcW w:w="267" w:type="pct"/>
            <w:shd w:val="clear" w:color="auto" w:fill="auto"/>
            <w:tcMar>
              <w:left w:w="57" w:type="dxa"/>
              <w:right w:w="57" w:type="dxa"/>
            </w:tcMar>
            <w:vAlign w:val="bottom"/>
          </w:tcPr>
          <w:p w14:paraId="63B693FF"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0CEEA19F" w14:textId="12E8F32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49C1ACB" w14:textId="4FE3975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5702C6AF" w14:textId="5CC77BE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6E5884F6" w14:textId="26935C2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4F1BDB6" w14:textId="6486074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907E222" w14:textId="06ED142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7F997A93" w14:textId="77777777" w:rsidTr="0027513D">
        <w:trPr>
          <w:trHeight w:val="121"/>
        </w:trPr>
        <w:tc>
          <w:tcPr>
            <w:tcW w:w="274" w:type="pct"/>
            <w:shd w:val="clear" w:color="auto" w:fill="auto"/>
            <w:tcMar>
              <w:left w:w="57" w:type="dxa"/>
              <w:right w:w="57" w:type="dxa"/>
            </w:tcMar>
            <w:vAlign w:val="bottom"/>
          </w:tcPr>
          <w:p w14:paraId="7084317F" w14:textId="0E6BFE6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2.1.12.</w:t>
            </w:r>
          </w:p>
        </w:tc>
        <w:tc>
          <w:tcPr>
            <w:tcW w:w="1462" w:type="pct"/>
            <w:shd w:val="clear" w:color="auto" w:fill="auto"/>
            <w:tcMar>
              <w:left w:w="57" w:type="dxa"/>
              <w:right w:w="57" w:type="dxa"/>
            </w:tcMar>
            <w:vAlign w:val="bottom"/>
          </w:tcPr>
          <w:p w14:paraId="1A6BD484" w14:textId="5D88873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Açığa Menkul Kıymet Satış Taahhütlerinden Borçlar</w:t>
            </w:r>
          </w:p>
        </w:tc>
        <w:tc>
          <w:tcPr>
            <w:tcW w:w="267" w:type="pct"/>
            <w:shd w:val="clear" w:color="auto" w:fill="auto"/>
            <w:tcMar>
              <w:left w:w="57" w:type="dxa"/>
              <w:right w:w="57" w:type="dxa"/>
            </w:tcMar>
            <w:vAlign w:val="bottom"/>
          </w:tcPr>
          <w:p w14:paraId="35C49DB3"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5681AB20" w14:textId="6827ED2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464F7008" w14:textId="709DF2E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5EC396ED" w14:textId="7E56FF6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2E2BC62" w14:textId="5DC1538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F61EC11" w14:textId="1105B08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4AAA3AAA" w14:textId="521ECE2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1F51623E" w14:textId="77777777" w:rsidTr="0027513D">
        <w:trPr>
          <w:trHeight w:val="121"/>
        </w:trPr>
        <w:tc>
          <w:tcPr>
            <w:tcW w:w="274" w:type="pct"/>
            <w:shd w:val="clear" w:color="auto" w:fill="auto"/>
            <w:tcMar>
              <w:left w:w="57" w:type="dxa"/>
              <w:right w:w="57" w:type="dxa"/>
            </w:tcMar>
            <w:vAlign w:val="bottom"/>
          </w:tcPr>
          <w:p w14:paraId="3E004C0B" w14:textId="2E9D488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2.1.13.</w:t>
            </w:r>
          </w:p>
        </w:tc>
        <w:tc>
          <w:tcPr>
            <w:tcW w:w="1462" w:type="pct"/>
            <w:shd w:val="clear" w:color="auto" w:fill="auto"/>
            <w:tcMar>
              <w:left w:w="57" w:type="dxa"/>
              <w:right w:w="57" w:type="dxa"/>
            </w:tcMar>
            <w:vAlign w:val="bottom"/>
          </w:tcPr>
          <w:p w14:paraId="2C72188A" w14:textId="2A3E40F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Cayılamaz Taahhütler</w:t>
            </w:r>
          </w:p>
        </w:tc>
        <w:tc>
          <w:tcPr>
            <w:tcW w:w="267" w:type="pct"/>
            <w:shd w:val="clear" w:color="auto" w:fill="auto"/>
            <w:tcMar>
              <w:left w:w="57" w:type="dxa"/>
              <w:right w:w="57" w:type="dxa"/>
            </w:tcMar>
            <w:vAlign w:val="bottom"/>
          </w:tcPr>
          <w:p w14:paraId="3024381B"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B6FD6C3" w14:textId="08E9992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1.543.256</w:t>
            </w:r>
          </w:p>
        </w:tc>
        <w:tc>
          <w:tcPr>
            <w:tcW w:w="527" w:type="pct"/>
            <w:vAlign w:val="bottom"/>
          </w:tcPr>
          <w:p w14:paraId="6EB90174" w14:textId="38A0C06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21.508.080</w:t>
            </w:r>
          </w:p>
        </w:tc>
        <w:tc>
          <w:tcPr>
            <w:tcW w:w="527" w:type="pct"/>
            <w:vAlign w:val="bottom"/>
          </w:tcPr>
          <w:p w14:paraId="61EAABD5" w14:textId="2F99B6F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23.051.336</w:t>
            </w:r>
          </w:p>
        </w:tc>
        <w:tc>
          <w:tcPr>
            <w:tcW w:w="473" w:type="pct"/>
            <w:shd w:val="clear" w:color="auto" w:fill="auto"/>
            <w:tcMar>
              <w:left w:w="57" w:type="dxa"/>
              <w:right w:w="57" w:type="dxa"/>
            </w:tcMar>
            <w:vAlign w:val="bottom"/>
          </w:tcPr>
          <w:p w14:paraId="788932B4" w14:textId="2D8CAEB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2.117.765</w:t>
            </w:r>
          </w:p>
        </w:tc>
        <w:tc>
          <w:tcPr>
            <w:tcW w:w="473" w:type="pct"/>
            <w:shd w:val="clear" w:color="auto" w:fill="auto"/>
            <w:tcMar>
              <w:left w:w="57" w:type="dxa"/>
              <w:right w:w="57" w:type="dxa"/>
            </w:tcMar>
            <w:vAlign w:val="bottom"/>
          </w:tcPr>
          <w:p w14:paraId="426B2DDC" w14:textId="3C3B3D6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12.648.402</w:t>
            </w:r>
          </w:p>
        </w:tc>
        <w:tc>
          <w:tcPr>
            <w:tcW w:w="470" w:type="pct"/>
            <w:shd w:val="clear" w:color="auto" w:fill="auto"/>
            <w:tcMar>
              <w:left w:w="57" w:type="dxa"/>
              <w:right w:w="57" w:type="dxa"/>
            </w:tcMar>
            <w:vAlign w:val="bottom"/>
          </w:tcPr>
          <w:p w14:paraId="24CB1E2D" w14:textId="5B0E385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14.766.167</w:t>
            </w:r>
          </w:p>
        </w:tc>
      </w:tr>
      <w:tr w:rsidR="0027513D" w:rsidRPr="00FB38E1" w14:paraId="14F7EB88" w14:textId="77777777" w:rsidTr="0027513D">
        <w:trPr>
          <w:trHeight w:val="121"/>
        </w:trPr>
        <w:tc>
          <w:tcPr>
            <w:tcW w:w="274" w:type="pct"/>
            <w:shd w:val="clear" w:color="auto" w:fill="auto"/>
            <w:tcMar>
              <w:left w:w="57" w:type="dxa"/>
              <w:right w:w="57" w:type="dxa"/>
            </w:tcMar>
            <w:vAlign w:val="bottom"/>
          </w:tcPr>
          <w:p w14:paraId="1032995A" w14:textId="64E0979A"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2.2.</w:t>
            </w:r>
          </w:p>
        </w:tc>
        <w:tc>
          <w:tcPr>
            <w:tcW w:w="1462" w:type="pct"/>
            <w:shd w:val="clear" w:color="auto" w:fill="auto"/>
            <w:tcMar>
              <w:left w:w="57" w:type="dxa"/>
              <w:right w:w="57" w:type="dxa"/>
            </w:tcMar>
            <w:vAlign w:val="bottom"/>
          </w:tcPr>
          <w:p w14:paraId="0031C759" w14:textId="7CC10FF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Cayılabilir Taahhütler</w:t>
            </w:r>
          </w:p>
        </w:tc>
        <w:tc>
          <w:tcPr>
            <w:tcW w:w="267" w:type="pct"/>
            <w:shd w:val="clear" w:color="auto" w:fill="auto"/>
            <w:tcMar>
              <w:left w:w="57" w:type="dxa"/>
              <w:right w:w="57" w:type="dxa"/>
            </w:tcMar>
            <w:vAlign w:val="bottom"/>
          </w:tcPr>
          <w:p w14:paraId="10B956E9"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113106A" w14:textId="272D9BD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9.866.960</w:t>
            </w:r>
          </w:p>
        </w:tc>
        <w:tc>
          <w:tcPr>
            <w:tcW w:w="527" w:type="pct"/>
            <w:vAlign w:val="bottom"/>
          </w:tcPr>
          <w:p w14:paraId="399D7C83" w14:textId="6525168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56132A25" w14:textId="75A93D4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9.866.960</w:t>
            </w:r>
          </w:p>
        </w:tc>
        <w:tc>
          <w:tcPr>
            <w:tcW w:w="473" w:type="pct"/>
            <w:shd w:val="clear" w:color="auto" w:fill="auto"/>
            <w:tcMar>
              <w:left w:w="57" w:type="dxa"/>
              <w:right w:w="57" w:type="dxa"/>
            </w:tcMar>
            <w:vAlign w:val="bottom"/>
          </w:tcPr>
          <w:p w14:paraId="3147D741" w14:textId="721FEE3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2.914.760</w:t>
            </w:r>
          </w:p>
        </w:tc>
        <w:tc>
          <w:tcPr>
            <w:tcW w:w="473" w:type="pct"/>
            <w:shd w:val="clear" w:color="auto" w:fill="auto"/>
            <w:tcMar>
              <w:left w:w="57" w:type="dxa"/>
              <w:right w:w="57" w:type="dxa"/>
            </w:tcMar>
            <w:vAlign w:val="bottom"/>
          </w:tcPr>
          <w:p w14:paraId="2C1999B5" w14:textId="0544007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D2A908A" w14:textId="291425C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2.914.760</w:t>
            </w:r>
          </w:p>
        </w:tc>
      </w:tr>
      <w:tr w:rsidR="0027513D" w:rsidRPr="00FB38E1" w14:paraId="726608C2" w14:textId="77777777" w:rsidTr="0027513D">
        <w:trPr>
          <w:trHeight w:val="121"/>
        </w:trPr>
        <w:tc>
          <w:tcPr>
            <w:tcW w:w="274" w:type="pct"/>
            <w:shd w:val="clear" w:color="auto" w:fill="auto"/>
            <w:tcMar>
              <w:left w:w="57" w:type="dxa"/>
              <w:right w:w="57" w:type="dxa"/>
            </w:tcMar>
            <w:vAlign w:val="bottom"/>
          </w:tcPr>
          <w:p w14:paraId="06137B61" w14:textId="7F53DF6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2.2.1.</w:t>
            </w:r>
          </w:p>
        </w:tc>
        <w:tc>
          <w:tcPr>
            <w:tcW w:w="1462" w:type="pct"/>
            <w:shd w:val="clear" w:color="auto" w:fill="auto"/>
            <w:tcMar>
              <w:left w:w="57" w:type="dxa"/>
              <w:right w:w="57" w:type="dxa"/>
            </w:tcMar>
            <w:vAlign w:val="bottom"/>
          </w:tcPr>
          <w:p w14:paraId="3470E9D8" w14:textId="654FC6C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Cayılabilir Kredi Tahsis Taahhütleri</w:t>
            </w:r>
          </w:p>
        </w:tc>
        <w:tc>
          <w:tcPr>
            <w:tcW w:w="267" w:type="pct"/>
            <w:shd w:val="clear" w:color="auto" w:fill="auto"/>
            <w:tcMar>
              <w:left w:w="57" w:type="dxa"/>
              <w:right w:w="57" w:type="dxa"/>
            </w:tcMar>
            <w:vAlign w:val="bottom"/>
          </w:tcPr>
          <w:p w14:paraId="6AC7C062"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179982E" w14:textId="5910EC9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9.866.401</w:t>
            </w:r>
          </w:p>
        </w:tc>
        <w:tc>
          <w:tcPr>
            <w:tcW w:w="527" w:type="pct"/>
            <w:vAlign w:val="bottom"/>
          </w:tcPr>
          <w:p w14:paraId="4CFF7CE6" w14:textId="5853D24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D5F377F" w14:textId="74F9A24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9.866.401</w:t>
            </w:r>
          </w:p>
        </w:tc>
        <w:tc>
          <w:tcPr>
            <w:tcW w:w="473" w:type="pct"/>
            <w:shd w:val="clear" w:color="auto" w:fill="auto"/>
            <w:tcMar>
              <w:left w:w="57" w:type="dxa"/>
              <w:right w:w="57" w:type="dxa"/>
            </w:tcMar>
            <w:vAlign w:val="bottom"/>
          </w:tcPr>
          <w:p w14:paraId="0C2C634B" w14:textId="34FAA70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2.914.201</w:t>
            </w:r>
          </w:p>
        </w:tc>
        <w:tc>
          <w:tcPr>
            <w:tcW w:w="473" w:type="pct"/>
            <w:shd w:val="clear" w:color="auto" w:fill="auto"/>
            <w:tcMar>
              <w:left w:w="57" w:type="dxa"/>
              <w:right w:w="57" w:type="dxa"/>
            </w:tcMar>
            <w:vAlign w:val="bottom"/>
          </w:tcPr>
          <w:p w14:paraId="1DE9F91C" w14:textId="4DB4FDD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40657E0" w14:textId="40A3F71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2.914.201</w:t>
            </w:r>
          </w:p>
        </w:tc>
      </w:tr>
      <w:tr w:rsidR="0027513D" w:rsidRPr="00FB38E1" w14:paraId="1ACEA04F" w14:textId="77777777" w:rsidTr="0027513D">
        <w:trPr>
          <w:trHeight w:val="121"/>
        </w:trPr>
        <w:tc>
          <w:tcPr>
            <w:tcW w:w="274" w:type="pct"/>
            <w:shd w:val="clear" w:color="auto" w:fill="auto"/>
            <w:tcMar>
              <w:left w:w="57" w:type="dxa"/>
              <w:right w:w="57" w:type="dxa"/>
            </w:tcMar>
            <w:vAlign w:val="bottom"/>
          </w:tcPr>
          <w:p w14:paraId="4F6AF941" w14:textId="6841477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2.2.2.</w:t>
            </w:r>
          </w:p>
        </w:tc>
        <w:tc>
          <w:tcPr>
            <w:tcW w:w="1462" w:type="pct"/>
            <w:shd w:val="clear" w:color="auto" w:fill="auto"/>
            <w:tcMar>
              <w:left w:w="57" w:type="dxa"/>
              <w:right w:w="57" w:type="dxa"/>
            </w:tcMar>
            <w:vAlign w:val="bottom"/>
          </w:tcPr>
          <w:p w14:paraId="55E91957" w14:textId="7764FF4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Cayılabilir Taahhütler</w:t>
            </w:r>
          </w:p>
        </w:tc>
        <w:tc>
          <w:tcPr>
            <w:tcW w:w="267" w:type="pct"/>
            <w:shd w:val="clear" w:color="auto" w:fill="auto"/>
            <w:tcMar>
              <w:left w:w="57" w:type="dxa"/>
              <w:right w:w="57" w:type="dxa"/>
            </w:tcMar>
            <w:vAlign w:val="bottom"/>
          </w:tcPr>
          <w:p w14:paraId="6A7DF991"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73BCA1B4" w14:textId="72B5E98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559</w:t>
            </w:r>
          </w:p>
        </w:tc>
        <w:tc>
          <w:tcPr>
            <w:tcW w:w="527" w:type="pct"/>
            <w:vAlign w:val="bottom"/>
          </w:tcPr>
          <w:p w14:paraId="1B877A0F" w14:textId="7BD15B7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2991660" w14:textId="3844483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559</w:t>
            </w:r>
          </w:p>
        </w:tc>
        <w:tc>
          <w:tcPr>
            <w:tcW w:w="473" w:type="pct"/>
            <w:shd w:val="clear" w:color="auto" w:fill="auto"/>
            <w:tcMar>
              <w:left w:w="57" w:type="dxa"/>
              <w:right w:w="57" w:type="dxa"/>
            </w:tcMar>
            <w:vAlign w:val="bottom"/>
          </w:tcPr>
          <w:p w14:paraId="7DDC1D24" w14:textId="60A07E6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559</w:t>
            </w:r>
          </w:p>
        </w:tc>
        <w:tc>
          <w:tcPr>
            <w:tcW w:w="473" w:type="pct"/>
            <w:shd w:val="clear" w:color="auto" w:fill="auto"/>
            <w:tcMar>
              <w:left w:w="57" w:type="dxa"/>
              <w:right w:w="57" w:type="dxa"/>
            </w:tcMar>
            <w:vAlign w:val="bottom"/>
          </w:tcPr>
          <w:p w14:paraId="0056FCBF" w14:textId="7B4EEF7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242AD8DF" w14:textId="681806D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559</w:t>
            </w:r>
          </w:p>
        </w:tc>
      </w:tr>
      <w:tr w:rsidR="0027513D" w:rsidRPr="00FB38E1" w14:paraId="4968B33E" w14:textId="77777777" w:rsidTr="0027513D">
        <w:trPr>
          <w:trHeight w:val="146"/>
        </w:trPr>
        <w:tc>
          <w:tcPr>
            <w:tcW w:w="274" w:type="pct"/>
            <w:shd w:val="clear" w:color="auto" w:fill="auto"/>
            <w:tcMar>
              <w:left w:w="57" w:type="dxa"/>
              <w:right w:w="57" w:type="dxa"/>
            </w:tcMar>
            <w:vAlign w:val="bottom"/>
          </w:tcPr>
          <w:p w14:paraId="03E8A888" w14:textId="32B382CD"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III.</w:t>
            </w:r>
          </w:p>
        </w:tc>
        <w:tc>
          <w:tcPr>
            <w:tcW w:w="1462" w:type="pct"/>
            <w:shd w:val="clear" w:color="auto" w:fill="auto"/>
            <w:tcMar>
              <w:left w:w="57" w:type="dxa"/>
              <w:right w:w="57" w:type="dxa"/>
            </w:tcMar>
            <w:vAlign w:val="bottom"/>
          </w:tcPr>
          <w:p w14:paraId="0F9614DE" w14:textId="44087BCE"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TÜREV FİNANSAL ARAÇLAR</w:t>
            </w:r>
          </w:p>
        </w:tc>
        <w:tc>
          <w:tcPr>
            <w:tcW w:w="267" w:type="pct"/>
            <w:shd w:val="clear" w:color="auto" w:fill="auto"/>
            <w:tcMar>
              <w:left w:w="57" w:type="dxa"/>
              <w:right w:w="57" w:type="dxa"/>
            </w:tcMar>
            <w:vAlign w:val="bottom"/>
          </w:tcPr>
          <w:p w14:paraId="0BAB499D" w14:textId="5B8DB6A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(5.III.b)</w:t>
            </w:r>
          </w:p>
        </w:tc>
        <w:tc>
          <w:tcPr>
            <w:tcW w:w="527" w:type="pct"/>
            <w:vAlign w:val="bottom"/>
          </w:tcPr>
          <w:p w14:paraId="28517A12" w14:textId="4FB99FA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99.735.969</w:t>
            </w:r>
          </w:p>
        </w:tc>
        <w:tc>
          <w:tcPr>
            <w:tcW w:w="527" w:type="pct"/>
            <w:vAlign w:val="bottom"/>
          </w:tcPr>
          <w:p w14:paraId="53C98C50" w14:textId="3E653065"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665.314.545</w:t>
            </w:r>
          </w:p>
        </w:tc>
        <w:tc>
          <w:tcPr>
            <w:tcW w:w="527" w:type="pct"/>
            <w:vAlign w:val="bottom"/>
          </w:tcPr>
          <w:p w14:paraId="2928C75C" w14:textId="1E9083D4"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765.050.514</w:t>
            </w:r>
          </w:p>
        </w:tc>
        <w:tc>
          <w:tcPr>
            <w:tcW w:w="473" w:type="pct"/>
            <w:shd w:val="clear" w:color="auto" w:fill="auto"/>
            <w:tcMar>
              <w:left w:w="57" w:type="dxa"/>
              <w:right w:w="57" w:type="dxa"/>
            </w:tcMar>
            <w:vAlign w:val="bottom"/>
          </w:tcPr>
          <w:p w14:paraId="4533D205" w14:textId="7138FF0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113.027.072</w:t>
            </w:r>
          </w:p>
        </w:tc>
        <w:tc>
          <w:tcPr>
            <w:tcW w:w="473" w:type="pct"/>
            <w:shd w:val="clear" w:color="auto" w:fill="auto"/>
            <w:tcMar>
              <w:left w:w="57" w:type="dxa"/>
              <w:right w:w="57" w:type="dxa"/>
            </w:tcMar>
            <w:vAlign w:val="bottom"/>
          </w:tcPr>
          <w:p w14:paraId="700CD651" w14:textId="61C15FF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522.774.752</w:t>
            </w:r>
          </w:p>
        </w:tc>
        <w:tc>
          <w:tcPr>
            <w:tcW w:w="470" w:type="pct"/>
            <w:shd w:val="clear" w:color="auto" w:fill="auto"/>
            <w:tcMar>
              <w:left w:w="57" w:type="dxa"/>
              <w:right w:w="57" w:type="dxa"/>
            </w:tcMar>
            <w:vAlign w:val="bottom"/>
          </w:tcPr>
          <w:p w14:paraId="3786CCB9" w14:textId="348F12D5"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635.801.824</w:t>
            </w:r>
          </w:p>
        </w:tc>
      </w:tr>
      <w:tr w:rsidR="0027513D" w:rsidRPr="00FB38E1" w14:paraId="0AF91116" w14:textId="77777777" w:rsidTr="0027513D">
        <w:trPr>
          <w:trHeight w:val="61"/>
        </w:trPr>
        <w:tc>
          <w:tcPr>
            <w:tcW w:w="274" w:type="pct"/>
            <w:shd w:val="clear" w:color="auto" w:fill="auto"/>
            <w:tcMar>
              <w:left w:w="57" w:type="dxa"/>
              <w:right w:w="57" w:type="dxa"/>
            </w:tcMar>
            <w:vAlign w:val="bottom"/>
          </w:tcPr>
          <w:p w14:paraId="50B129CA" w14:textId="6AC75E6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3.1.</w:t>
            </w:r>
          </w:p>
        </w:tc>
        <w:tc>
          <w:tcPr>
            <w:tcW w:w="1462" w:type="pct"/>
            <w:shd w:val="clear" w:color="auto" w:fill="auto"/>
            <w:tcMar>
              <w:left w:w="57" w:type="dxa"/>
              <w:right w:w="57" w:type="dxa"/>
            </w:tcMar>
            <w:vAlign w:val="bottom"/>
          </w:tcPr>
          <w:p w14:paraId="379D032C" w14:textId="48F25B7E"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Riskten Korunma Amaçlı Türev Finansal Araçlar</w:t>
            </w:r>
          </w:p>
        </w:tc>
        <w:tc>
          <w:tcPr>
            <w:tcW w:w="267" w:type="pct"/>
            <w:shd w:val="clear" w:color="auto" w:fill="auto"/>
            <w:tcMar>
              <w:left w:w="57" w:type="dxa"/>
              <w:right w:w="57" w:type="dxa"/>
            </w:tcMar>
            <w:vAlign w:val="bottom"/>
          </w:tcPr>
          <w:p w14:paraId="1D8F9231"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12213199" w14:textId="04F6DBE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F265BFA" w14:textId="09CB0BC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4B13A6F6" w14:textId="12A0D0E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7E82829" w14:textId="072B963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05975E1" w14:textId="3DB1B22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530BE911" w14:textId="4DC7228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5715BAAB" w14:textId="77777777" w:rsidTr="0027513D">
        <w:trPr>
          <w:trHeight w:val="121"/>
        </w:trPr>
        <w:tc>
          <w:tcPr>
            <w:tcW w:w="274" w:type="pct"/>
            <w:shd w:val="clear" w:color="auto" w:fill="auto"/>
            <w:tcMar>
              <w:left w:w="57" w:type="dxa"/>
              <w:right w:w="57" w:type="dxa"/>
            </w:tcMar>
            <w:vAlign w:val="bottom"/>
          </w:tcPr>
          <w:p w14:paraId="10113FA7" w14:textId="4372BFE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3.1.1.</w:t>
            </w:r>
          </w:p>
        </w:tc>
        <w:tc>
          <w:tcPr>
            <w:tcW w:w="1462" w:type="pct"/>
            <w:shd w:val="clear" w:color="auto" w:fill="auto"/>
            <w:tcMar>
              <w:left w:w="57" w:type="dxa"/>
              <w:right w:w="57" w:type="dxa"/>
            </w:tcMar>
            <w:vAlign w:val="bottom"/>
          </w:tcPr>
          <w:p w14:paraId="00C3A82A" w14:textId="1352508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Gerçeğe Uygun Değer Riskinden Korunma Amaçlı İşlemler</w:t>
            </w:r>
          </w:p>
        </w:tc>
        <w:tc>
          <w:tcPr>
            <w:tcW w:w="267" w:type="pct"/>
            <w:shd w:val="clear" w:color="auto" w:fill="auto"/>
            <w:tcMar>
              <w:left w:w="57" w:type="dxa"/>
              <w:right w:w="57" w:type="dxa"/>
            </w:tcMar>
            <w:vAlign w:val="bottom"/>
          </w:tcPr>
          <w:p w14:paraId="6D16F31A"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0C3FF157" w14:textId="6454907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C18D06B" w14:textId="07627D9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D887A10" w14:textId="1D5D4BF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4790DDB" w14:textId="597CB9C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3154EAB" w14:textId="3B91A64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7377D43A" w14:textId="0D4E9D4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2F67B781" w14:textId="77777777" w:rsidTr="0027513D">
        <w:trPr>
          <w:trHeight w:val="121"/>
        </w:trPr>
        <w:tc>
          <w:tcPr>
            <w:tcW w:w="274" w:type="pct"/>
            <w:shd w:val="clear" w:color="auto" w:fill="auto"/>
            <w:tcMar>
              <w:left w:w="57" w:type="dxa"/>
              <w:right w:w="57" w:type="dxa"/>
            </w:tcMar>
            <w:vAlign w:val="bottom"/>
          </w:tcPr>
          <w:p w14:paraId="77A706DD" w14:textId="29DA6019"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3.1.2.</w:t>
            </w:r>
          </w:p>
        </w:tc>
        <w:tc>
          <w:tcPr>
            <w:tcW w:w="1462" w:type="pct"/>
            <w:shd w:val="clear" w:color="auto" w:fill="auto"/>
            <w:tcMar>
              <w:left w:w="57" w:type="dxa"/>
              <w:right w:w="57" w:type="dxa"/>
            </w:tcMar>
            <w:vAlign w:val="bottom"/>
          </w:tcPr>
          <w:p w14:paraId="5DBF36D5" w14:textId="17B03A5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Nakit Akış Riskinden Korunma Amaçlı İşlemler</w:t>
            </w:r>
          </w:p>
        </w:tc>
        <w:tc>
          <w:tcPr>
            <w:tcW w:w="267" w:type="pct"/>
            <w:shd w:val="clear" w:color="auto" w:fill="auto"/>
            <w:tcMar>
              <w:left w:w="57" w:type="dxa"/>
              <w:right w:w="57" w:type="dxa"/>
            </w:tcMar>
            <w:vAlign w:val="bottom"/>
          </w:tcPr>
          <w:p w14:paraId="0BA76E9C"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6A5359DF" w14:textId="2664B28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5C692261" w14:textId="22E5238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8696630" w14:textId="62144A8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14B195C" w14:textId="651E251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918AB3A" w14:textId="128AA8D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26D8A84" w14:textId="6493ADF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15541AAC" w14:textId="77777777" w:rsidTr="0027513D">
        <w:trPr>
          <w:trHeight w:val="121"/>
        </w:trPr>
        <w:tc>
          <w:tcPr>
            <w:tcW w:w="274" w:type="pct"/>
            <w:shd w:val="clear" w:color="auto" w:fill="auto"/>
            <w:tcMar>
              <w:left w:w="57" w:type="dxa"/>
              <w:right w:w="57" w:type="dxa"/>
            </w:tcMar>
            <w:vAlign w:val="bottom"/>
          </w:tcPr>
          <w:p w14:paraId="38F7A9A1" w14:textId="63F1885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3.1.3.</w:t>
            </w:r>
          </w:p>
        </w:tc>
        <w:tc>
          <w:tcPr>
            <w:tcW w:w="1462" w:type="pct"/>
            <w:shd w:val="clear" w:color="auto" w:fill="auto"/>
            <w:tcMar>
              <w:left w:w="57" w:type="dxa"/>
              <w:right w:w="57" w:type="dxa"/>
            </w:tcMar>
            <w:vAlign w:val="bottom"/>
          </w:tcPr>
          <w:p w14:paraId="10335032" w14:textId="132DC57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Yurtdışındaki Net Yatırım Riskinden Korunma Amaçlı İşlemler</w:t>
            </w:r>
          </w:p>
        </w:tc>
        <w:tc>
          <w:tcPr>
            <w:tcW w:w="267" w:type="pct"/>
            <w:shd w:val="clear" w:color="auto" w:fill="auto"/>
            <w:tcMar>
              <w:left w:w="57" w:type="dxa"/>
              <w:right w:w="57" w:type="dxa"/>
            </w:tcMar>
            <w:vAlign w:val="bottom"/>
          </w:tcPr>
          <w:p w14:paraId="1B984550"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49503748" w14:textId="211FFC7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0FB0B610" w14:textId="2A71240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1A2F85D" w14:textId="17B1CCF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BA7DBEA" w14:textId="71B6383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1AC6F48" w14:textId="10D6467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F35FDBD" w14:textId="453D321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0AFE5CE2" w14:textId="77777777" w:rsidTr="0027513D">
        <w:trPr>
          <w:trHeight w:val="121"/>
        </w:trPr>
        <w:tc>
          <w:tcPr>
            <w:tcW w:w="274" w:type="pct"/>
            <w:shd w:val="clear" w:color="auto" w:fill="auto"/>
            <w:tcMar>
              <w:left w:w="57" w:type="dxa"/>
              <w:right w:w="57" w:type="dxa"/>
            </w:tcMar>
            <w:vAlign w:val="bottom"/>
          </w:tcPr>
          <w:p w14:paraId="568FF83F" w14:textId="60B3C92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w:t>
            </w:r>
          </w:p>
        </w:tc>
        <w:tc>
          <w:tcPr>
            <w:tcW w:w="1462" w:type="pct"/>
            <w:shd w:val="clear" w:color="auto" w:fill="auto"/>
            <w:tcMar>
              <w:left w:w="57" w:type="dxa"/>
              <w:right w:w="57" w:type="dxa"/>
            </w:tcMar>
            <w:vAlign w:val="bottom"/>
          </w:tcPr>
          <w:p w14:paraId="6C3378D4" w14:textId="40D8367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Alım Satım Amaçlı İşlemler</w:t>
            </w:r>
          </w:p>
        </w:tc>
        <w:tc>
          <w:tcPr>
            <w:tcW w:w="267" w:type="pct"/>
            <w:shd w:val="clear" w:color="auto" w:fill="auto"/>
            <w:tcMar>
              <w:left w:w="57" w:type="dxa"/>
              <w:right w:w="57" w:type="dxa"/>
            </w:tcMar>
            <w:vAlign w:val="bottom"/>
          </w:tcPr>
          <w:p w14:paraId="0DAF4518"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487178B6" w14:textId="703E418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99.735.969</w:t>
            </w:r>
          </w:p>
        </w:tc>
        <w:tc>
          <w:tcPr>
            <w:tcW w:w="527" w:type="pct"/>
            <w:vAlign w:val="bottom"/>
          </w:tcPr>
          <w:p w14:paraId="3E0DF313" w14:textId="699220F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665.314.545</w:t>
            </w:r>
          </w:p>
        </w:tc>
        <w:tc>
          <w:tcPr>
            <w:tcW w:w="527" w:type="pct"/>
            <w:vAlign w:val="bottom"/>
          </w:tcPr>
          <w:p w14:paraId="29B80E60" w14:textId="089439C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765.050.514</w:t>
            </w:r>
          </w:p>
        </w:tc>
        <w:tc>
          <w:tcPr>
            <w:tcW w:w="473" w:type="pct"/>
            <w:shd w:val="clear" w:color="auto" w:fill="auto"/>
            <w:tcMar>
              <w:left w:w="57" w:type="dxa"/>
              <w:right w:w="57" w:type="dxa"/>
            </w:tcMar>
            <w:vAlign w:val="bottom"/>
          </w:tcPr>
          <w:p w14:paraId="17FA68BC" w14:textId="26A61B7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113.027.072</w:t>
            </w:r>
          </w:p>
        </w:tc>
        <w:tc>
          <w:tcPr>
            <w:tcW w:w="473" w:type="pct"/>
            <w:shd w:val="clear" w:color="auto" w:fill="auto"/>
            <w:tcMar>
              <w:left w:w="57" w:type="dxa"/>
              <w:right w:w="57" w:type="dxa"/>
            </w:tcMar>
            <w:vAlign w:val="bottom"/>
          </w:tcPr>
          <w:p w14:paraId="7C90C4EB" w14:textId="4A1B027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522.774.752</w:t>
            </w:r>
          </w:p>
        </w:tc>
        <w:tc>
          <w:tcPr>
            <w:tcW w:w="470" w:type="pct"/>
            <w:shd w:val="clear" w:color="auto" w:fill="auto"/>
            <w:tcMar>
              <w:left w:w="57" w:type="dxa"/>
              <w:right w:w="57" w:type="dxa"/>
            </w:tcMar>
            <w:vAlign w:val="bottom"/>
          </w:tcPr>
          <w:p w14:paraId="58DF564B" w14:textId="235BCC8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635.801.824</w:t>
            </w:r>
          </w:p>
        </w:tc>
      </w:tr>
      <w:tr w:rsidR="0027513D" w:rsidRPr="00FB38E1" w14:paraId="4C6D3236" w14:textId="77777777" w:rsidTr="0027513D">
        <w:trPr>
          <w:trHeight w:val="121"/>
        </w:trPr>
        <w:tc>
          <w:tcPr>
            <w:tcW w:w="274" w:type="pct"/>
            <w:shd w:val="clear" w:color="auto" w:fill="auto"/>
            <w:tcMar>
              <w:left w:w="57" w:type="dxa"/>
              <w:right w:w="57" w:type="dxa"/>
            </w:tcMar>
            <w:vAlign w:val="bottom"/>
          </w:tcPr>
          <w:p w14:paraId="5B3DF136" w14:textId="7A8A21B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3.2.1.</w:t>
            </w:r>
          </w:p>
        </w:tc>
        <w:tc>
          <w:tcPr>
            <w:tcW w:w="1462" w:type="pct"/>
            <w:shd w:val="clear" w:color="auto" w:fill="auto"/>
            <w:tcMar>
              <w:left w:w="57" w:type="dxa"/>
              <w:right w:w="57" w:type="dxa"/>
            </w:tcMar>
            <w:vAlign w:val="bottom"/>
          </w:tcPr>
          <w:p w14:paraId="725B9DC6" w14:textId="272DB23B"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Vadeli Döviz Alım-Satım İşlemleri</w:t>
            </w:r>
          </w:p>
        </w:tc>
        <w:tc>
          <w:tcPr>
            <w:tcW w:w="267" w:type="pct"/>
            <w:shd w:val="clear" w:color="auto" w:fill="auto"/>
            <w:tcMar>
              <w:left w:w="57" w:type="dxa"/>
              <w:right w:w="57" w:type="dxa"/>
            </w:tcMar>
            <w:vAlign w:val="bottom"/>
          </w:tcPr>
          <w:p w14:paraId="3FC0AA1E"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1C55E072" w14:textId="773B727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22.362.538</w:t>
            </w:r>
          </w:p>
        </w:tc>
        <w:tc>
          <w:tcPr>
            <w:tcW w:w="527" w:type="pct"/>
            <w:vAlign w:val="bottom"/>
          </w:tcPr>
          <w:p w14:paraId="15F187B7" w14:textId="3BBC58E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92.238.215</w:t>
            </w:r>
          </w:p>
        </w:tc>
        <w:tc>
          <w:tcPr>
            <w:tcW w:w="527" w:type="pct"/>
            <w:vAlign w:val="bottom"/>
          </w:tcPr>
          <w:p w14:paraId="138C16A4" w14:textId="35C57E0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114.600.753</w:t>
            </w:r>
          </w:p>
        </w:tc>
        <w:tc>
          <w:tcPr>
            <w:tcW w:w="473" w:type="pct"/>
            <w:shd w:val="clear" w:color="auto" w:fill="auto"/>
            <w:tcMar>
              <w:left w:w="57" w:type="dxa"/>
              <w:right w:w="57" w:type="dxa"/>
            </w:tcMar>
            <w:vAlign w:val="bottom"/>
          </w:tcPr>
          <w:p w14:paraId="5D4B1E08" w14:textId="1305B8B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25.450.172</w:t>
            </w:r>
          </w:p>
        </w:tc>
        <w:tc>
          <w:tcPr>
            <w:tcW w:w="473" w:type="pct"/>
            <w:shd w:val="clear" w:color="auto" w:fill="auto"/>
            <w:tcMar>
              <w:left w:w="57" w:type="dxa"/>
              <w:right w:w="57" w:type="dxa"/>
            </w:tcMar>
            <w:vAlign w:val="bottom"/>
          </w:tcPr>
          <w:p w14:paraId="25CC10A5" w14:textId="50887B6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52.435.531</w:t>
            </w:r>
          </w:p>
        </w:tc>
        <w:tc>
          <w:tcPr>
            <w:tcW w:w="470" w:type="pct"/>
            <w:shd w:val="clear" w:color="auto" w:fill="auto"/>
            <w:tcMar>
              <w:left w:w="57" w:type="dxa"/>
              <w:right w:w="57" w:type="dxa"/>
            </w:tcMar>
            <w:vAlign w:val="bottom"/>
          </w:tcPr>
          <w:p w14:paraId="20A74776" w14:textId="41E3FD8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77.885.703</w:t>
            </w:r>
          </w:p>
        </w:tc>
      </w:tr>
      <w:tr w:rsidR="0027513D" w:rsidRPr="00FB38E1" w14:paraId="1470AFB9" w14:textId="77777777" w:rsidTr="0027513D">
        <w:trPr>
          <w:trHeight w:val="121"/>
        </w:trPr>
        <w:tc>
          <w:tcPr>
            <w:tcW w:w="274" w:type="pct"/>
            <w:shd w:val="clear" w:color="auto" w:fill="auto"/>
            <w:tcMar>
              <w:left w:w="57" w:type="dxa"/>
              <w:right w:w="57" w:type="dxa"/>
            </w:tcMar>
            <w:vAlign w:val="bottom"/>
          </w:tcPr>
          <w:p w14:paraId="142C323D" w14:textId="75E890DA"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3.2.1.1.</w:t>
            </w:r>
          </w:p>
        </w:tc>
        <w:tc>
          <w:tcPr>
            <w:tcW w:w="1462" w:type="pct"/>
            <w:shd w:val="clear" w:color="auto" w:fill="auto"/>
            <w:tcMar>
              <w:left w:w="57" w:type="dxa"/>
              <w:right w:w="57" w:type="dxa"/>
            </w:tcMar>
            <w:vAlign w:val="bottom"/>
          </w:tcPr>
          <w:p w14:paraId="7E9001DB" w14:textId="757D4690"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Vadeli Döviz Alım İşlemleri</w:t>
            </w:r>
          </w:p>
        </w:tc>
        <w:tc>
          <w:tcPr>
            <w:tcW w:w="267" w:type="pct"/>
            <w:shd w:val="clear" w:color="auto" w:fill="auto"/>
            <w:tcMar>
              <w:left w:w="57" w:type="dxa"/>
              <w:right w:w="57" w:type="dxa"/>
            </w:tcMar>
            <w:vAlign w:val="bottom"/>
          </w:tcPr>
          <w:p w14:paraId="75A43B7F"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283B1075" w14:textId="6E3DFED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1.253.999</w:t>
            </w:r>
          </w:p>
        </w:tc>
        <w:tc>
          <w:tcPr>
            <w:tcW w:w="527" w:type="pct"/>
            <w:vAlign w:val="bottom"/>
          </w:tcPr>
          <w:p w14:paraId="35671FBE" w14:textId="77B4937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55.527.787</w:t>
            </w:r>
          </w:p>
        </w:tc>
        <w:tc>
          <w:tcPr>
            <w:tcW w:w="527" w:type="pct"/>
            <w:vAlign w:val="bottom"/>
          </w:tcPr>
          <w:p w14:paraId="2F7BBA77" w14:textId="7EDF127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56.781.786</w:t>
            </w:r>
          </w:p>
        </w:tc>
        <w:tc>
          <w:tcPr>
            <w:tcW w:w="473" w:type="pct"/>
            <w:shd w:val="clear" w:color="auto" w:fill="auto"/>
            <w:tcMar>
              <w:left w:w="57" w:type="dxa"/>
              <w:right w:w="57" w:type="dxa"/>
            </w:tcMar>
            <w:vAlign w:val="bottom"/>
          </w:tcPr>
          <w:p w14:paraId="388B6A9A" w14:textId="54D6F5A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24.643.470</w:t>
            </w:r>
          </w:p>
        </w:tc>
        <w:tc>
          <w:tcPr>
            <w:tcW w:w="473" w:type="pct"/>
            <w:shd w:val="clear" w:color="auto" w:fill="auto"/>
            <w:tcMar>
              <w:left w:w="57" w:type="dxa"/>
              <w:right w:w="57" w:type="dxa"/>
            </w:tcMar>
            <w:vAlign w:val="bottom"/>
          </w:tcPr>
          <w:p w14:paraId="57856C56" w14:textId="2D75EBB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16.181.693</w:t>
            </w:r>
          </w:p>
        </w:tc>
        <w:tc>
          <w:tcPr>
            <w:tcW w:w="470" w:type="pct"/>
            <w:shd w:val="clear" w:color="auto" w:fill="auto"/>
            <w:tcMar>
              <w:left w:w="57" w:type="dxa"/>
              <w:right w:w="57" w:type="dxa"/>
            </w:tcMar>
            <w:vAlign w:val="bottom"/>
          </w:tcPr>
          <w:p w14:paraId="349A09A4" w14:textId="09F9380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40.825.163</w:t>
            </w:r>
          </w:p>
        </w:tc>
      </w:tr>
      <w:tr w:rsidR="0027513D" w:rsidRPr="00FB38E1" w14:paraId="188983F4" w14:textId="77777777" w:rsidTr="0027513D">
        <w:trPr>
          <w:trHeight w:val="121"/>
        </w:trPr>
        <w:tc>
          <w:tcPr>
            <w:tcW w:w="274" w:type="pct"/>
            <w:shd w:val="clear" w:color="auto" w:fill="auto"/>
            <w:tcMar>
              <w:left w:w="57" w:type="dxa"/>
              <w:right w:w="57" w:type="dxa"/>
            </w:tcMar>
            <w:vAlign w:val="bottom"/>
          </w:tcPr>
          <w:p w14:paraId="42120933" w14:textId="0E61D75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3.2.1.2.</w:t>
            </w:r>
          </w:p>
        </w:tc>
        <w:tc>
          <w:tcPr>
            <w:tcW w:w="1462" w:type="pct"/>
            <w:shd w:val="clear" w:color="auto" w:fill="auto"/>
            <w:tcMar>
              <w:left w:w="57" w:type="dxa"/>
              <w:right w:w="57" w:type="dxa"/>
            </w:tcMar>
            <w:vAlign w:val="bottom"/>
          </w:tcPr>
          <w:p w14:paraId="48F7BDD2" w14:textId="1F0B0C6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Vadeli Döviz Satım İşlemleri</w:t>
            </w:r>
          </w:p>
        </w:tc>
        <w:tc>
          <w:tcPr>
            <w:tcW w:w="267" w:type="pct"/>
            <w:shd w:val="clear" w:color="auto" w:fill="auto"/>
            <w:tcMar>
              <w:left w:w="57" w:type="dxa"/>
              <w:right w:w="57" w:type="dxa"/>
            </w:tcMar>
            <w:vAlign w:val="bottom"/>
          </w:tcPr>
          <w:p w14:paraId="633A0863"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1510B77C" w14:textId="2E2B16D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21.108.539</w:t>
            </w:r>
          </w:p>
        </w:tc>
        <w:tc>
          <w:tcPr>
            <w:tcW w:w="527" w:type="pct"/>
            <w:vAlign w:val="bottom"/>
          </w:tcPr>
          <w:p w14:paraId="485A3D72" w14:textId="0B9443A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36.710.428</w:t>
            </w:r>
          </w:p>
        </w:tc>
        <w:tc>
          <w:tcPr>
            <w:tcW w:w="527" w:type="pct"/>
            <w:vAlign w:val="bottom"/>
          </w:tcPr>
          <w:p w14:paraId="6927B549" w14:textId="4A06CF7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57.818.967</w:t>
            </w:r>
          </w:p>
        </w:tc>
        <w:tc>
          <w:tcPr>
            <w:tcW w:w="473" w:type="pct"/>
            <w:shd w:val="clear" w:color="auto" w:fill="auto"/>
            <w:tcMar>
              <w:left w:w="57" w:type="dxa"/>
              <w:right w:w="57" w:type="dxa"/>
            </w:tcMar>
            <w:vAlign w:val="bottom"/>
          </w:tcPr>
          <w:p w14:paraId="4460BBC5" w14:textId="690EC4F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806.702</w:t>
            </w:r>
          </w:p>
        </w:tc>
        <w:tc>
          <w:tcPr>
            <w:tcW w:w="473" w:type="pct"/>
            <w:shd w:val="clear" w:color="auto" w:fill="auto"/>
            <w:tcMar>
              <w:left w:w="57" w:type="dxa"/>
              <w:right w:w="57" w:type="dxa"/>
            </w:tcMar>
            <w:vAlign w:val="bottom"/>
          </w:tcPr>
          <w:p w14:paraId="4E104D6E" w14:textId="1CA5FC4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36.253.838</w:t>
            </w:r>
          </w:p>
        </w:tc>
        <w:tc>
          <w:tcPr>
            <w:tcW w:w="470" w:type="pct"/>
            <w:shd w:val="clear" w:color="auto" w:fill="auto"/>
            <w:tcMar>
              <w:left w:w="57" w:type="dxa"/>
              <w:right w:w="57" w:type="dxa"/>
            </w:tcMar>
            <w:vAlign w:val="bottom"/>
          </w:tcPr>
          <w:p w14:paraId="62775F22" w14:textId="14BE877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37.060.540</w:t>
            </w:r>
          </w:p>
        </w:tc>
      </w:tr>
      <w:tr w:rsidR="0027513D" w:rsidRPr="00FB38E1" w14:paraId="0A32AA05" w14:textId="77777777" w:rsidTr="0027513D">
        <w:trPr>
          <w:trHeight w:val="121"/>
        </w:trPr>
        <w:tc>
          <w:tcPr>
            <w:tcW w:w="274" w:type="pct"/>
            <w:shd w:val="clear" w:color="auto" w:fill="auto"/>
            <w:tcMar>
              <w:left w:w="57" w:type="dxa"/>
              <w:right w:w="57" w:type="dxa"/>
            </w:tcMar>
            <w:vAlign w:val="bottom"/>
          </w:tcPr>
          <w:p w14:paraId="6E97F0FE" w14:textId="12B5BF3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3.2.2.</w:t>
            </w:r>
          </w:p>
        </w:tc>
        <w:tc>
          <w:tcPr>
            <w:tcW w:w="1462" w:type="pct"/>
            <w:shd w:val="clear" w:color="auto" w:fill="auto"/>
            <w:tcMar>
              <w:left w:w="57" w:type="dxa"/>
              <w:right w:w="57" w:type="dxa"/>
            </w:tcMar>
            <w:vAlign w:val="bottom"/>
          </w:tcPr>
          <w:p w14:paraId="560539CE" w14:textId="57D1F48A"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Para ve Faiz Swap İşlemleri</w:t>
            </w:r>
          </w:p>
        </w:tc>
        <w:tc>
          <w:tcPr>
            <w:tcW w:w="267" w:type="pct"/>
            <w:shd w:val="clear" w:color="auto" w:fill="auto"/>
            <w:tcMar>
              <w:left w:w="57" w:type="dxa"/>
              <w:right w:w="57" w:type="dxa"/>
            </w:tcMar>
            <w:vAlign w:val="bottom"/>
          </w:tcPr>
          <w:p w14:paraId="218785A7"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06BEA275" w14:textId="236A55D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33.687.842</w:t>
            </w:r>
          </w:p>
        </w:tc>
        <w:tc>
          <w:tcPr>
            <w:tcW w:w="527" w:type="pct"/>
            <w:vAlign w:val="bottom"/>
          </w:tcPr>
          <w:p w14:paraId="56FD0B2A" w14:textId="6CCBA09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480.392.443</w:t>
            </w:r>
          </w:p>
        </w:tc>
        <w:tc>
          <w:tcPr>
            <w:tcW w:w="527" w:type="pct"/>
            <w:vAlign w:val="bottom"/>
          </w:tcPr>
          <w:p w14:paraId="69ED3309" w14:textId="58395DA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514.080.285</w:t>
            </w:r>
          </w:p>
        </w:tc>
        <w:tc>
          <w:tcPr>
            <w:tcW w:w="473" w:type="pct"/>
            <w:shd w:val="clear" w:color="auto" w:fill="auto"/>
            <w:tcMar>
              <w:left w:w="57" w:type="dxa"/>
              <w:right w:w="57" w:type="dxa"/>
            </w:tcMar>
            <w:vAlign w:val="bottom"/>
          </w:tcPr>
          <w:p w14:paraId="671F2E22" w14:textId="2EE4DEC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76.512.586</w:t>
            </w:r>
          </w:p>
        </w:tc>
        <w:tc>
          <w:tcPr>
            <w:tcW w:w="473" w:type="pct"/>
            <w:shd w:val="clear" w:color="auto" w:fill="auto"/>
            <w:tcMar>
              <w:left w:w="57" w:type="dxa"/>
              <w:right w:w="57" w:type="dxa"/>
            </w:tcMar>
            <w:vAlign w:val="bottom"/>
          </w:tcPr>
          <w:p w14:paraId="3239BFB8" w14:textId="33B104B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409.653.229</w:t>
            </w:r>
          </w:p>
        </w:tc>
        <w:tc>
          <w:tcPr>
            <w:tcW w:w="470" w:type="pct"/>
            <w:shd w:val="clear" w:color="auto" w:fill="auto"/>
            <w:tcMar>
              <w:left w:w="57" w:type="dxa"/>
              <w:right w:w="57" w:type="dxa"/>
            </w:tcMar>
            <w:vAlign w:val="bottom"/>
          </w:tcPr>
          <w:p w14:paraId="6C7CC8DD" w14:textId="40AAE7B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486.165.815</w:t>
            </w:r>
          </w:p>
        </w:tc>
      </w:tr>
      <w:tr w:rsidR="0027513D" w:rsidRPr="00FB38E1" w14:paraId="2EAB1A09" w14:textId="77777777" w:rsidTr="0027513D">
        <w:trPr>
          <w:trHeight w:val="121"/>
        </w:trPr>
        <w:tc>
          <w:tcPr>
            <w:tcW w:w="274" w:type="pct"/>
            <w:shd w:val="clear" w:color="auto" w:fill="auto"/>
            <w:tcMar>
              <w:left w:w="57" w:type="dxa"/>
              <w:right w:w="57" w:type="dxa"/>
            </w:tcMar>
            <w:vAlign w:val="bottom"/>
          </w:tcPr>
          <w:p w14:paraId="54B12C4D" w14:textId="7501779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3.2.2.1.</w:t>
            </w:r>
          </w:p>
        </w:tc>
        <w:tc>
          <w:tcPr>
            <w:tcW w:w="1462" w:type="pct"/>
            <w:shd w:val="clear" w:color="auto" w:fill="auto"/>
            <w:tcMar>
              <w:left w:w="57" w:type="dxa"/>
              <w:right w:w="57" w:type="dxa"/>
            </w:tcMar>
            <w:vAlign w:val="bottom"/>
          </w:tcPr>
          <w:p w14:paraId="2BFD5F70" w14:textId="1C8F30B4"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Swap Para Alım İşlemleri</w:t>
            </w:r>
          </w:p>
        </w:tc>
        <w:tc>
          <w:tcPr>
            <w:tcW w:w="267" w:type="pct"/>
            <w:shd w:val="clear" w:color="auto" w:fill="auto"/>
            <w:tcMar>
              <w:left w:w="57" w:type="dxa"/>
              <w:right w:w="57" w:type="dxa"/>
            </w:tcMar>
            <w:vAlign w:val="bottom"/>
          </w:tcPr>
          <w:p w14:paraId="324320E2"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572BE764" w14:textId="39FE140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11.611.717</w:t>
            </w:r>
          </w:p>
        </w:tc>
        <w:tc>
          <w:tcPr>
            <w:tcW w:w="527" w:type="pct"/>
            <w:vAlign w:val="bottom"/>
          </w:tcPr>
          <w:p w14:paraId="1C8616CA" w14:textId="5EFF41E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150.309.262</w:t>
            </w:r>
          </w:p>
        </w:tc>
        <w:tc>
          <w:tcPr>
            <w:tcW w:w="527" w:type="pct"/>
            <w:vAlign w:val="bottom"/>
          </w:tcPr>
          <w:p w14:paraId="64D471A1" w14:textId="186C211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161.920.979</w:t>
            </w:r>
          </w:p>
        </w:tc>
        <w:tc>
          <w:tcPr>
            <w:tcW w:w="473" w:type="pct"/>
            <w:shd w:val="clear" w:color="auto" w:fill="auto"/>
            <w:tcMar>
              <w:left w:w="57" w:type="dxa"/>
              <w:right w:w="57" w:type="dxa"/>
            </w:tcMar>
            <w:vAlign w:val="bottom"/>
          </w:tcPr>
          <w:p w14:paraId="545145BB" w14:textId="429396C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2.410.956</w:t>
            </w:r>
          </w:p>
        </w:tc>
        <w:tc>
          <w:tcPr>
            <w:tcW w:w="473" w:type="pct"/>
            <w:shd w:val="clear" w:color="auto" w:fill="auto"/>
            <w:tcMar>
              <w:left w:w="57" w:type="dxa"/>
              <w:right w:w="57" w:type="dxa"/>
            </w:tcMar>
            <w:vAlign w:val="bottom"/>
          </w:tcPr>
          <w:p w14:paraId="4CED09A6" w14:textId="6723088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153.849.343</w:t>
            </w:r>
          </w:p>
        </w:tc>
        <w:tc>
          <w:tcPr>
            <w:tcW w:w="470" w:type="pct"/>
            <w:shd w:val="clear" w:color="auto" w:fill="auto"/>
            <w:tcMar>
              <w:left w:w="57" w:type="dxa"/>
              <w:right w:w="57" w:type="dxa"/>
            </w:tcMar>
            <w:vAlign w:val="bottom"/>
          </w:tcPr>
          <w:p w14:paraId="3C9802AA" w14:textId="11A788E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156.260.299</w:t>
            </w:r>
          </w:p>
        </w:tc>
      </w:tr>
      <w:tr w:rsidR="0027513D" w:rsidRPr="00FB38E1" w14:paraId="77757A8F" w14:textId="77777777" w:rsidTr="0027513D">
        <w:trPr>
          <w:trHeight w:val="121"/>
        </w:trPr>
        <w:tc>
          <w:tcPr>
            <w:tcW w:w="274" w:type="pct"/>
            <w:shd w:val="clear" w:color="auto" w:fill="auto"/>
            <w:tcMar>
              <w:left w:w="57" w:type="dxa"/>
              <w:right w:w="57" w:type="dxa"/>
            </w:tcMar>
            <w:vAlign w:val="bottom"/>
          </w:tcPr>
          <w:p w14:paraId="7512A2C8" w14:textId="52073F46"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3.2.2.2.</w:t>
            </w:r>
          </w:p>
        </w:tc>
        <w:tc>
          <w:tcPr>
            <w:tcW w:w="1462" w:type="pct"/>
            <w:shd w:val="clear" w:color="auto" w:fill="auto"/>
            <w:tcMar>
              <w:left w:w="57" w:type="dxa"/>
              <w:right w:w="57" w:type="dxa"/>
            </w:tcMar>
            <w:vAlign w:val="bottom"/>
          </w:tcPr>
          <w:p w14:paraId="66FBD8DA" w14:textId="2AFA22E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Swap Para Satım İşlemleri</w:t>
            </w:r>
          </w:p>
        </w:tc>
        <w:tc>
          <w:tcPr>
            <w:tcW w:w="267" w:type="pct"/>
            <w:shd w:val="clear" w:color="auto" w:fill="auto"/>
            <w:tcMar>
              <w:left w:w="57" w:type="dxa"/>
              <w:right w:w="57" w:type="dxa"/>
            </w:tcMar>
            <w:vAlign w:val="bottom"/>
          </w:tcPr>
          <w:p w14:paraId="66BB0952"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4D10BC99" w14:textId="66B0F07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17.466.125</w:t>
            </w:r>
          </w:p>
        </w:tc>
        <w:tc>
          <w:tcPr>
            <w:tcW w:w="527" w:type="pct"/>
            <w:vAlign w:val="bottom"/>
          </w:tcPr>
          <w:p w14:paraId="2A584DFD" w14:textId="02706F3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160.459.713</w:t>
            </w:r>
          </w:p>
        </w:tc>
        <w:tc>
          <w:tcPr>
            <w:tcW w:w="527" w:type="pct"/>
            <w:vAlign w:val="bottom"/>
          </w:tcPr>
          <w:p w14:paraId="4B1976EC" w14:textId="5645093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177.925.838</w:t>
            </w:r>
          </w:p>
        </w:tc>
        <w:tc>
          <w:tcPr>
            <w:tcW w:w="473" w:type="pct"/>
            <w:shd w:val="clear" w:color="auto" w:fill="auto"/>
            <w:tcMar>
              <w:left w:w="57" w:type="dxa"/>
              <w:right w:w="57" w:type="dxa"/>
            </w:tcMar>
            <w:vAlign w:val="bottom"/>
          </w:tcPr>
          <w:p w14:paraId="30617EBC" w14:textId="5224A00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67.141.630</w:t>
            </w:r>
          </w:p>
        </w:tc>
        <w:tc>
          <w:tcPr>
            <w:tcW w:w="473" w:type="pct"/>
            <w:shd w:val="clear" w:color="auto" w:fill="auto"/>
            <w:tcMar>
              <w:left w:w="57" w:type="dxa"/>
              <w:right w:w="57" w:type="dxa"/>
            </w:tcMar>
            <w:vAlign w:val="bottom"/>
          </w:tcPr>
          <w:p w14:paraId="2747B403" w14:textId="6D1E765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104.881.670</w:t>
            </w:r>
          </w:p>
        </w:tc>
        <w:tc>
          <w:tcPr>
            <w:tcW w:w="470" w:type="pct"/>
            <w:shd w:val="clear" w:color="auto" w:fill="auto"/>
            <w:tcMar>
              <w:left w:w="57" w:type="dxa"/>
              <w:right w:w="57" w:type="dxa"/>
            </w:tcMar>
            <w:vAlign w:val="bottom"/>
          </w:tcPr>
          <w:p w14:paraId="04D19609" w14:textId="2BA5C4C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172.023.300</w:t>
            </w:r>
          </w:p>
        </w:tc>
      </w:tr>
      <w:tr w:rsidR="0027513D" w:rsidRPr="00FB38E1" w14:paraId="2518F5DE" w14:textId="77777777" w:rsidTr="0027513D">
        <w:trPr>
          <w:trHeight w:val="121"/>
        </w:trPr>
        <w:tc>
          <w:tcPr>
            <w:tcW w:w="274" w:type="pct"/>
            <w:shd w:val="clear" w:color="auto" w:fill="auto"/>
            <w:tcMar>
              <w:left w:w="57" w:type="dxa"/>
              <w:right w:w="57" w:type="dxa"/>
            </w:tcMar>
            <w:vAlign w:val="bottom"/>
          </w:tcPr>
          <w:p w14:paraId="70EBAEFE" w14:textId="362D6A0C"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3.2.2.3.</w:t>
            </w:r>
          </w:p>
        </w:tc>
        <w:tc>
          <w:tcPr>
            <w:tcW w:w="1462" w:type="pct"/>
            <w:shd w:val="clear" w:color="auto" w:fill="auto"/>
            <w:tcMar>
              <w:left w:w="57" w:type="dxa"/>
              <w:right w:w="57" w:type="dxa"/>
            </w:tcMar>
            <w:vAlign w:val="bottom"/>
          </w:tcPr>
          <w:p w14:paraId="1CA5279C" w14:textId="3EFB6BFB"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Swap Faiz Alım İşlemleri</w:t>
            </w:r>
          </w:p>
        </w:tc>
        <w:tc>
          <w:tcPr>
            <w:tcW w:w="267" w:type="pct"/>
            <w:shd w:val="clear" w:color="auto" w:fill="auto"/>
            <w:tcMar>
              <w:left w:w="57" w:type="dxa"/>
              <w:right w:w="57" w:type="dxa"/>
            </w:tcMar>
            <w:vAlign w:val="bottom"/>
          </w:tcPr>
          <w:p w14:paraId="06ED3D5A"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698A1167" w14:textId="160082A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2.305.000</w:t>
            </w:r>
          </w:p>
        </w:tc>
        <w:tc>
          <w:tcPr>
            <w:tcW w:w="527" w:type="pct"/>
            <w:vAlign w:val="bottom"/>
          </w:tcPr>
          <w:p w14:paraId="671BF60B" w14:textId="14EB1B6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84.811.734</w:t>
            </w:r>
          </w:p>
        </w:tc>
        <w:tc>
          <w:tcPr>
            <w:tcW w:w="527" w:type="pct"/>
            <w:vAlign w:val="bottom"/>
          </w:tcPr>
          <w:p w14:paraId="7084FEBA" w14:textId="3B9D873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87.116.734</w:t>
            </w:r>
          </w:p>
        </w:tc>
        <w:tc>
          <w:tcPr>
            <w:tcW w:w="473" w:type="pct"/>
            <w:shd w:val="clear" w:color="auto" w:fill="auto"/>
            <w:tcMar>
              <w:left w:w="57" w:type="dxa"/>
              <w:right w:w="57" w:type="dxa"/>
            </w:tcMar>
            <w:vAlign w:val="bottom"/>
          </w:tcPr>
          <w:p w14:paraId="56576994" w14:textId="382CB3C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3.480.000</w:t>
            </w:r>
          </w:p>
        </w:tc>
        <w:tc>
          <w:tcPr>
            <w:tcW w:w="473" w:type="pct"/>
            <w:shd w:val="clear" w:color="auto" w:fill="auto"/>
            <w:tcMar>
              <w:left w:w="57" w:type="dxa"/>
              <w:right w:w="57" w:type="dxa"/>
            </w:tcMar>
            <w:vAlign w:val="bottom"/>
          </w:tcPr>
          <w:p w14:paraId="727A4255" w14:textId="2480490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75.461.110</w:t>
            </w:r>
          </w:p>
        </w:tc>
        <w:tc>
          <w:tcPr>
            <w:tcW w:w="470" w:type="pct"/>
            <w:shd w:val="clear" w:color="auto" w:fill="auto"/>
            <w:tcMar>
              <w:left w:w="57" w:type="dxa"/>
              <w:right w:w="57" w:type="dxa"/>
            </w:tcMar>
            <w:vAlign w:val="bottom"/>
          </w:tcPr>
          <w:p w14:paraId="574FA27A" w14:textId="32AE0A9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78.941.110</w:t>
            </w:r>
          </w:p>
        </w:tc>
      </w:tr>
      <w:tr w:rsidR="0027513D" w:rsidRPr="00FB38E1" w14:paraId="1F28C63B" w14:textId="77777777" w:rsidTr="0027513D">
        <w:trPr>
          <w:trHeight w:val="121"/>
        </w:trPr>
        <w:tc>
          <w:tcPr>
            <w:tcW w:w="274" w:type="pct"/>
            <w:shd w:val="clear" w:color="auto" w:fill="auto"/>
            <w:tcMar>
              <w:left w:w="57" w:type="dxa"/>
              <w:right w:w="57" w:type="dxa"/>
            </w:tcMar>
            <w:vAlign w:val="bottom"/>
          </w:tcPr>
          <w:p w14:paraId="499D0D6E" w14:textId="6089F4D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3.2.2.4.</w:t>
            </w:r>
          </w:p>
        </w:tc>
        <w:tc>
          <w:tcPr>
            <w:tcW w:w="1462" w:type="pct"/>
            <w:shd w:val="clear" w:color="auto" w:fill="auto"/>
            <w:tcMar>
              <w:left w:w="57" w:type="dxa"/>
              <w:right w:w="57" w:type="dxa"/>
            </w:tcMar>
            <w:vAlign w:val="bottom"/>
          </w:tcPr>
          <w:p w14:paraId="29190F40" w14:textId="3ACA1B5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Swap Faiz Satım İşlemleri</w:t>
            </w:r>
          </w:p>
        </w:tc>
        <w:tc>
          <w:tcPr>
            <w:tcW w:w="267" w:type="pct"/>
            <w:shd w:val="clear" w:color="auto" w:fill="auto"/>
            <w:tcMar>
              <w:left w:w="57" w:type="dxa"/>
              <w:right w:w="57" w:type="dxa"/>
            </w:tcMar>
            <w:vAlign w:val="bottom"/>
          </w:tcPr>
          <w:p w14:paraId="416ADF5E"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23DC7FFE" w14:textId="7F64B1E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2.305.000</w:t>
            </w:r>
          </w:p>
        </w:tc>
        <w:tc>
          <w:tcPr>
            <w:tcW w:w="527" w:type="pct"/>
            <w:vAlign w:val="bottom"/>
          </w:tcPr>
          <w:p w14:paraId="3C7DCE27" w14:textId="0BE0D75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84.811.734</w:t>
            </w:r>
          </w:p>
        </w:tc>
        <w:tc>
          <w:tcPr>
            <w:tcW w:w="527" w:type="pct"/>
            <w:vAlign w:val="bottom"/>
          </w:tcPr>
          <w:p w14:paraId="133A3840" w14:textId="29A3382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87.116.734</w:t>
            </w:r>
          </w:p>
        </w:tc>
        <w:tc>
          <w:tcPr>
            <w:tcW w:w="473" w:type="pct"/>
            <w:shd w:val="clear" w:color="auto" w:fill="auto"/>
            <w:tcMar>
              <w:left w:w="57" w:type="dxa"/>
              <w:right w:w="57" w:type="dxa"/>
            </w:tcMar>
            <w:vAlign w:val="bottom"/>
          </w:tcPr>
          <w:p w14:paraId="3C08002D" w14:textId="314C83A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3.480.000</w:t>
            </w:r>
          </w:p>
        </w:tc>
        <w:tc>
          <w:tcPr>
            <w:tcW w:w="473" w:type="pct"/>
            <w:shd w:val="clear" w:color="auto" w:fill="auto"/>
            <w:tcMar>
              <w:left w:w="57" w:type="dxa"/>
              <w:right w:w="57" w:type="dxa"/>
            </w:tcMar>
            <w:vAlign w:val="bottom"/>
          </w:tcPr>
          <w:p w14:paraId="19FB8ED3" w14:textId="34BC4CB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75.461.106</w:t>
            </w:r>
          </w:p>
        </w:tc>
        <w:tc>
          <w:tcPr>
            <w:tcW w:w="470" w:type="pct"/>
            <w:shd w:val="clear" w:color="auto" w:fill="auto"/>
            <w:tcMar>
              <w:left w:w="57" w:type="dxa"/>
              <w:right w:w="57" w:type="dxa"/>
            </w:tcMar>
            <w:vAlign w:val="bottom"/>
          </w:tcPr>
          <w:p w14:paraId="62A2EB46" w14:textId="36683E7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78.941.106</w:t>
            </w:r>
          </w:p>
        </w:tc>
      </w:tr>
      <w:tr w:rsidR="0027513D" w:rsidRPr="00FB38E1" w14:paraId="1AE5B585" w14:textId="77777777" w:rsidTr="0027513D">
        <w:trPr>
          <w:trHeight w:val="121"/>
        </w:trPr>
        <w:tc>
          <w:tcPr>
            <w:tcW w:w="274" w:type="pct"/>
            <w:shd w:val="clear" w:color="auto" w:fill="auto"/>
            <w:tcMar>
              <w:left w:w="57" w:type="dxa"/>
              <w:right w:w="57" w:type="dxa"/>
            </w:tcMar>
            <w:vAlign w:val="bottom"/>
          </w:tcPr>
          <w:p w14:paraId="7A498B30" w14:textId="4E4017C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3.2.3.</w:t>
            </w:r>
          </w:p>
        </w:tc>
        <w:tc>
          <w:tcPr>
            <w:tcW w:w="1462" w:type="pct"/>
            <w:shd w:val="clear" w:color="auto" w:fill="auto"/>
            <w:tcMar>
              <w:left w:w="57" w:type="dxa"/>
              <w:right w:w="57" w:type="dxa"/>
            </w:tcMar>
            <w:vAlign w:val="bottom"/>
          </w:tcPr>
          <w:p w14:paraId="726DB4C2" w14:textId="6AB83D06"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Para, Faiz ve Menkul Değer Opsiyonları</w:t>
            </w:r>
          </w:p>
        </w:tc>
        <w:tc>
          <w:tcPr>
            <w:tcW w:w="267" w:type="pct"/>
            <w:shd w:val="clear" w:color="auto" w:fill="auto"/>
            <w:tcMar>
              <w:left w:w="57" w:type="dxa"/>
              <w:right w:w="57" w:type="dxa"/>
            </w:tcMar>
            <w:vAlign w:val="bottom"/>
          </w:tcPr>
          <w:p w14:paraId="75BC6E49"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3C407974" w14:textId="45BF2EB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43.685.589</w:t>
            </w:r>
          </w:p>
        </w:tc>
        <w:tc>
          <w:tcPr>
            <w:tcW w:w="527" w:type="pct"/>
            <w:vAlign w:val="bottom"/>
          </w:tcPr>
          <w:p w14:paraId="4846103A" w14:textId="0633687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62.545.928</w:t>
            </w:r>
          </w:p>
        </w:tc>
        <w:tc>
          <w:tcPr>
            <w:tcW w:w="527" w:type="pct"/>
            <w:vAlign w:val="bottom"/>
          </w:tcPr>
          <w:p w14:paraId="1DFAE35B" w14:textId="0413793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106.231.517</w:t>
            </w:r>
          </w:p>
        </w:tc>
        <w:tc>
          <w:tcPr>
            <w:tcW w:w="473" w:type="pct"/>
            <w:shd w:val="clear" w:color="auto" w:fill="auto"/>
            <w:tcMar>
              <w:left w:w="57" w:type="dxa"/>
              <w:right w:w="57" w:type="dxa"/>
            </w:tcMar>
            <w:vAlign w:val="bottom"/>
          </w:tcPr>
          <w:p w14:paraId="58DFD171" w14:textId="59BC9CE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10.894.618</w:t>
            </w:r>
          </w:p>
        </w:tc>
        <w:tc>
          <w:tcPr>
            <w:tcW w:w="473" w:type="pct"/>
            <w:shd w:val="clear" w:color="auto" w:fill="auto"/>
            <w:tcMar>
              <w:left w:w="57" w:type="dxa"/>
              <w:right w:w="57" w:type="dxa"/>
            </w:tcMar>
            <w:vAlign w:val="bottom"/>
          </w:tcPr>
          <w:p w14:paraId="1D72BDAF" w14:textId="392AD19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37.363.926</w:t>
            </w:r>
          </w:p>
        </w:tc>
        <w:tc>
          <w:tcPr>
            <w:tcW w:w="470" w:type="pct"/>
            <w:shd w:val="clear" w:color="auto" w:fill="auto"/>
            <w:tcMar>
              <w:left w:w="57" w:type="dxa"/>
              <w:right w:w="57" w:type="dxa"/>
            </w:tcMar>
            <w:vAlign w:val="bottom"/>
          </w:tcPr>
          <w:p w14:paraId="55E3B00D" w14:textId="0B3C60F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48.258.544</w:t>
            </w:r>
          </w:p>
        </w:tc>
      </w:tr>
      <w:tr w:rsidR="0027513D" w:rsidRPr="00FB38E1" w14:paraId="42DB4DB0" w14:textId="77777777" w:rsidTr="0027513D">
        <w:trPr>
          <w:trHeight w:val="121"/>
        </w:trPr>
        <w:tc>
          <w:tcPr>
            <w:tcW w:w="274" w:type="pct"/>
            <w:shd w:val="clear" w:color="auto" w:fill="auto"/>
            <w:tcMar>
              <w:left w:w="57" w:type="dxa"/>
              <w:right w:w="57" w:type="dxa"/>
            </w:tcMar>
            <w:vAlign w:val="bottom"/>
          </w:tcPr>
          <w:p w14:paraId="79717E23" w14:textId="4D56E9D0"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3.2.3.1.</w:t>
            </w:r>
          </w:p>
        </w:tc>
        <w:tc>
          <w:tcPr>
            <w:tcW w:w="1462" w:type="pct"/>
            <w:shd w:val="clear" w:color="auto" w:fill="auto"/>
            <w:tcMar>
              <w:left w:w="57" w:type="dxa"/>
              <w:right w:w="57" w:type="dxa"/>
            </w:tcMar>
            <w:vAlign w:val="bottom"/>
          </w:tcPr>
          <w:p w14:paraId="12010838" w14:textId="3FC0649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Para Alım Opsiyonları</w:t>
            </w:r>
          </w:p>
        </w:tc>
        <w:tc>
          <w:tcPr>
            <w:tcW w:w="267" w:type="pct"/>
            <w:shd w:val="clear" w:color="auto" w:fill="auto"/>
            <w:tcMar>
              <w:left w:w="57" w:type="dxa"/>
              <w:right w:w="57" w:type="dxa"/>
            </w:tcMar>
            <w:vAlign w:val="bottom"/>
          </w:tcPr>
          <w:p w14:paraId="4CA4F76D"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1DD0424B" w14:textId="532559C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22.938.119</w:t>
            </w:r>
          </w:p>
        </w:tc>
        <w:tc>
          <w:tcPr>
            <w:tcW w:w="527" w:type="pct"/>
            <w:vAlign w:val="bottom"/>
          </w:tcPr>
          <w:p w14:paraId="0E31A43B" w14:textId="7269A8D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28.026.518</w:t>
            </w:r>
          </w:p>
        </w:tc>
        <w:tc>
          <w:tcPr>
            <w:tcW w:w="527" w:type="pct"/>
            <w:vAlign w:val="bottom"/>
          </w:tcPr>
          <w:p w14:paraId="7F8AD599" w14:textId="7536A69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50.964.637</w:t>
            </w:r>
          </w:p>
        </w:tc>
        <w:tc>
          <w:tcPr>
            <w:tcW w:w="473" w:type="pct"/>
            <w:shd w:val="clear" w:color="auto" w:fill="auto"/>
            <w:tcMar>
              <w:left w:w="57" w:type="dxa"/>
              <w:right w:w="57" w:type="dxa"/>
            </w:tcMar>
            <w:vAlign w:val="bottom"/>
          </w:tcPr>
          <w:p w14:paraId="6FB4FB71" w14:textId="1149DC5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7.645.352</w:t>
            </w:r>
          </w:p>
        </w:tc>
        <w:tc>
          <w:tcPr>
            <w:tcW w:w="473" w:type="pct"/>
            <w:shd w:val="clear" w:color="auto" w:fill="auto"/>
            <w:tcMar>
              <w:left w:w="57" w:type="dxa"/>
              <w:right w:w="57" w:type="dxa"/>
            </w:tcMar>
            <w:vAlign w:val="bottom"/>
          </w:tcPr>
          <w:p w14:paraId="0D1F1F01" w14:textId="6F1E6B6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13.503.512</w:t>
            </w:r>
          </w:p>
        </w:tc>
        <w:tc>
          <w:tcPr>
            <w:tcW w:w="470" w:type="pct"/>
            <w:shd w:val="clear" w:color="auto" w:fill="auto"/>
            <w:tcMar>
              <w:left w:w="57" w:type="dxa"/>
              <w:right w:w="57" w:type="dxa"/>
            </w:tcMar>
            <w:vAlign w:val="bottom"/>
          </w:tcPr>
          <w:p w14:paraId="7DF53410" w14:textId="5056AA1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21.148.864</w:t>
            </w:r>
          </w:p>
        </w:tc>
      </w:tr>
      <w:tr w:rsidR="0027513D" w:rsidRPr="00FB38E1" w14:paraId="130643B5" w14:textId="77777777" w:rsidTr="0027513D">
        <w:trPr>
          <w:trHeight w:val="121"/>
        </w:trPr>
        <w:tc>
          <w:tcPr>
            <w:tcW w:w="274" w:type="pct"/>
            <w:shd w:val="clear" w:color="auto" w:fill="auto"/>
            <w:tcMar>
              <w:left w:w="57" w:type="dxa"/>
              <w:right w:w="57" w:type="dxa"/>
            </w:tcMar>
            <w:vAlign w:val="bottom"/>
          </w:tcPr>
          <w:p w14:paraId="724026C9" w14:textId="5033F77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3.2.3.2.</w:t>
            </w:r>
          </w:p>
        </w:tc>
        <w:tc>
          <w:tcPr>
            <w:tcW w:w="1462" w:type="pct"/>
            <w:shd w:val="clear" w:color="auto" w:fill="auto"/>
            <w:tcMar>
              <w:left w:w="57" w:type="dxa"/>
              <w:right w:w="57" w:type="dxa"/>
            </w:tcMar>
            <w:vAlign w:val="bottom"/>
          </w:tcPr>
          <w:p w14:paraId="221CE2A9" w14:textId="2229084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Para Satım Opsiyonları</w:t>
            </w:r>
          </w:p>
        </w:tc>
        <w:tc>
          <w:tcPr>
            <w:tcW w:w="267" w:type="pct"/>
            <w:shd w:val="clear" w:color="auto" w:fill="auto"/>
            <w:tcMar>
              <w:left w:w="57" w:type="dxa"/>
              <w:right w:w="57" w:type="dxa"/>
            </w:tcMar>
            <w:vAlign w:val="bottom"/>
          </w:tcPr>
          <w:p w14:paraId="493027C3"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6A2570F1" w14:textId="58B3535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20.747.470</w:t>
            </w:r>
          </w:p>
        </w:tc>
        <w:tc>
          <w:tcPr>
            <w:tcW w:w="527" w:type="pct"/>
            <w:vAlign w:val="bottom"/>
          </w:tcPr>
          <w:p w14:paraId="4F0D79F7" w14:textId="503C7CF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28.961.318</w:t>
            </w:r>
          </w:p>
        </w:tc>
        <w:tc>
          <w:tcPr>
            <w:tcW w:w="527" w:type="pct"/>
            <w:vAlign w:val="bottom"/>
          </w:tcPr>
          <w:p w14:paraId="5AD9247E" w14:textId="7CE95D9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49.708.788</w:t>
            </w:r>
          </w:p>
        </w:tc>
        <w:tc>
          <w:tcPr>
            <w:tcW w:w="473" w:type="pct"/>
            <w:shd w:val="clear" w:color="auto" w:fill="auto"/>
            <w:tcMar>
              <w:left w:w="57" w:type="dxa"/>
              <w:right w:w="57" w:type="dxa"/>
            </w:tcMar>
            <w:vAlign w:val="bottom"/>
          </w:tcPr>
          <w:p w14:paraId="577250C9" w14:textId="6B98C3E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3.249.266</w:t>
            </w:r>
          </w:p>
        </w:tc>
        <w:tc>
          <w:tcPr>
            <w:tcW w:w="473" w:type="pct"/>
            <w:shd w:val="clear" w:color="auto" w:fill="auto"/>
            <w:tcMar>
              <w:left w:w="57" w:type="dxa"/>
              <w:right w:w="57" w:type="dxa"/>
            </w:tcMar>
            <w:vAlign w:val="bottom"/>
          </w:tcPr>
          <w:p w14:paraId="57920CE7" w14:textId="21DE05B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19.005.858</w:t>
            </w:r>
          </w:p>
        </w:tc>
        <w:tc>
          <w:tcPr>
            <w:tcW w:w="470" w:type="pct"/>
            <w:shd w:val="clear" w:color="auto" w:fill="auto"/>
            <w:tcMar>
              <w:left w:w="57" w:type="dxa"/>
              <w:right w:w="57" w:type="dxa"/>
            </w:tcMar>
            <w:vAlign w:val="bottom"/>
          </w:tcPr>
          <w:p w14:paraId="1905EA9D" w14:textId="3711BB0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22.255.124</w:t>
            </w:r>
          </w:p>
        </w:tc>
      </w:tr>
      <w:tr w:rsidR="0027513D" w:rsidRPr="00FB38E1" w14:paraId="426D9157" w14:textId="77777777" w:rsidTr="0027513D">
        <w:trPr>
          <w:trHeight w:val="121"/>
        </w:trPr>
        <w:tc>
          <w:tcPr>
            <w:tcW w:w="274" w:type="pct"/>
            <w:shd w:val="clear" w:color="auto" w:fill="auto"/>
            <w:tcMar>
              <w:left w:w="57" w:type="dxa"/>
              <w:right w:w="57" w:type="dxa"/>
            </w:tcMar>
            <w:vAlign w:val="bottom"/>
          </w:tcPr>
          <w:p w14:paraId="726032D8" w14:textId="08711A74"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3.2.3.3.</w:t>
            </w:r>
          </w:p>
        </w:tc>
        <w:tc>
          <w:tcPr>
            <w:tcW w:w="1462" w:type="pct"/>
            <w:shd w:val="clear" w:color="auto" w:fill="auto"/>
            <w:tcMar>
              <w:left w:w="57" w:type="dxa"/>
              <w:right w:w="57" w:type="dxa"/>
            </w:tcMar>
            <w:vAlign w:val="bottom"/>
          </w:tcPr>
          <w:p w14:paraId="6F8B7C3B" w14:textId="7288D19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Faiz Alım Opsiyonları</w:t>
            </w:r>
          </w:p>
        </w:tc>
        <w:tc>
          <w:tcPr>
            <w:tcW w:w="267" w:type="pct"/>
            <w:shd w:val="clear" w:color="auto" w:fill="auto"/>
            <w:tcMar>
              <w:left w:w="57" w:type="dxa"/>
              <w:right w:w="57" w:type="dxa"/>
            </w:tcMar>
            <w:vAlign w:val="bottom"/>
          </w:tcPr>
          <w:p w14:paraId="5529D5B3"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50280503" w14:textId="6BC4854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0AE9D6A" w14:textId="763BF45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2.779.046</w:t>
            </w:r>
          </w:p>
        </w:tc>
        <w:tc>
          <w:tcPr>
            <w:tcW w:w="527" w:type="pct"/>
            <w:vAlign w:val="bottom"/>
          </w:tcPr>
          <w:p w14:paraId="2C6D20F9" w14:textId="0592732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2.779.046</w:t>
            </w:r>
          </w:p>
        </w:tc>
        <w:tc>
          <w:tcPr>
            <w:tcW w:w="473" w:type="pct"/>
            <w:shd w:val="clear" w:color="auto" w:fill="auto"/>
            <w:tcMar>
              <w:left w:w="57" w:type="dxa"/>
              <w:right w:w="57" w:type="dxa"/>
            </w:tcMar>
            <w:vAlign w:val="bottom"/>
          </w:tcPr>
          <w:p w14:paraId="40F80E04" w14:textId="7714F5C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73E8F11" w14:textId="02641BF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2.427.278</w:t>
            </w:r>
          </w:p>
        </w:tc>
        <w:tc>
          <w:tcPr>
            <w:tcW w:w="470" w:type="pct"/>
            <w:shd w:val="clear" w:color="auto" w:fill="auto"/>
            <w:tcMar>
              <w:left w:w="57" w:type="dxa"/>
              <w:right w:w="57" w:type="dxa"/>
            </w:tcMar>
            <w:vAlign w:val="bottom"/>
          </w:tcPr>
          <w:p w14:paraId="060329F7" w14:textId="66C62F2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2.427.278</w:t>
            </w:r>
          </w:p>
        </w:tc>
      </w:tr>
      <w:tr w:rsidR="0027513D" w:rsidRPr="00FB38E1" w14:paraId="6E04EE1C" w14:textId="77777777" w:rsidTr="0027513D">
        <w:trPr>
          <w:trHeight w:val="121"/>
        </w:trPr>
        <w:tc>
          <w:tcPr>
            <w:tcW w:w="274" w:type="pct"/>
            <w:shd w:val="clear" w:color="auto" w:fill="auto"/>
            <w:tcMar>
              <w:left w:w="57" w:type="dxa"/>
              <w:right w:w="57" w:type="dxa"/>
            </w:tcMar>
            <w:vAlign w:val="bottom"/>
          </w:tcPr>
          <w:p w14:paraId="006DA1AF" w14:textId="7E6325F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3.2.3.4.</w:t>
            </w:r>
          </w:p>
        </w:tc>
        <w:tc>
          <w:tcPr>
            <w:tcW w:w="1462" w:type="pct"/>
            <w:shd w:val="clear" w:color="auto" w:fill="auto"/>
            <w:tcMar>
              <w:left w:w="57" w:type="dxa"/>
              <w:right w:w="57" w:type="dxa"/>
            </w:tcMar>
            <w:vAlign w:val="bottom"/>
          </w:tcPr>
          <w:p w14:paraId="08E05958" w14:textId="20C0CBB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Faiz Satım Opsiyonları</w:t>
            </w:r>
          </w:p>
        </w:tc>
        <w:tc>
          <w:tcPr>
            <w:tcW w:w="267" w:type="pct"/>
            <w:shd w:val="clear" w:color="auto" w:fill="auto"/>
            <w:tcMar>
              <w:left w:w="57" w:type="dxa"/>
              <w:right w:w="57" w:type="dxa"/>
            </w:tcMar>
            <w:vAlign w:val="bottom"/>
          </w:tcPr>
          <w:p w14:paraId="21D0433D"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1D4A9211" w14:textId="62970A7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7E693985" w14:textId="449A9C9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2.779.046</w:t>
            </w:r>
          </w:p>
        </w:tc>
        <w:tc>
          <w:tcPr>
            <w:tcW w:w="527" w:type="pct"/>
            <w:vAlign w:val="bottom"/>
          </w:tcPr>
          <w:p w14:paraId="4145F27F" w14:textId="490F872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2.779.046</w:t>
            </w:r>
          </w:p>
        </w:tc>
        <w:tc>
          <w:tcPr>
            <w:tcW w:w="473" w:type="pct"/>
            <w:shd w:val="clear" w:color="auto" w:fill="auto"/>
            <w:tcMar>
              <w:left w:w="57" w:type="dxa"/>
              <w:right w:w="57" w:type="dxa"/>
            </w:tcMar>
            <w:vAlign w:val="bottom"/>
          </w:tcPr>
          <w:p w14:paraId="4DB037F7" w14:textId="31C55FB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C5FD4C8" w14:textId="1ADAF2C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2.427.278</w:t>
            </w:r>
          </w:p>
        </w:tc>
        <w:tc>
          <w:tcPr>
            <w:tcW w:w="470" w:type="pct"/>
            <w:shd w:val="clear" w:color="auto" w:fill="auto"/>
            <w:tcMar>
              <w:left w:w="57" w:type="dxa"/>
              <w:right w:w="57" w:type="dxa"/>
            </w:tcMar>
            <w:vAlign w:val="bottom"/>
          </w:tcPr>
          <w:p w14:paraId="03730149" w14:textId="0AE53B3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2.427.278</w:t>
            </w:r>
          </w:p>
        </w:tc>
      </w:tr>
      <w:tr w:rsidR="0027513D" w:rsidRPr="00FB38E1" w14:paraId="5DCCAA67" w14:textId="77777777" w:rsidTr="0027513D">
        <w:trPr>
          <w:trHeight w:val="121"/>
        </w:trPr>
        <w:tc>
          <w:tcPr>
            <w:tcW w:w="274" w:type="pct"/>
            <w:shd w:val="clear" w:color="auto" w:fill="auto"/>
            <w:tcMar>
              <w:left w:w="57" w:type="dxa"/>
              <w:right w:w="57" w:type="dxa"/>
            </w:tcMar>
            <w:vAlign w:val="bottom"/>
          </w:tcPr>
          <w:p w14:paraId="4E2FA8E6" w14:textId="21C58CFB"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3.2.3.5.</w:t>
            </w:r>
          </w:p>
        </w:tc>
        <w:tc>
          <w:tcPr>
            <w:tcW w:w="1462" w:type="pct"/>
            <w:shd w:val="clear" w:color="auto" w:fill="auto"/>
            <w:tcMar>
              <w:left w:w="57" w:type="dxa"/>
              <w:right w:w="57" w:type="dxa"/>
            </w:tcMar>
            <w:vAlign w:val="bottom"/>
          </w:tcPr>
          <w:p w14:paraId="156F5BCB" w14:textId="458A782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Menkul Değerler Alım Opsiyonları</w:t>
            </w:r>
          </w:p>
        </w:tc>
        <w:tc>
          <w:tcPr>
            <w:tcW w:w="267" w:type="pct"/>
            <w:shd w:val="clear" w:color="auto" w:fill="auto"/>
            <w:tcMar>
              <w:left w:w="57" w:type="dxa"/>
              <w:right w:w="57" w:type="dxa"/>
            </w:tcMar>
            <w:vAlign w:val="bottom"/>
          </w:tcPr>
          <w:p w14:paraId="6C214539"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32936CF9" w14:textId="69FC934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4CC55D9A" w14:textId="7E76A81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2D90676" w14:textId="348650D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3698AAD" w14:textId="58C249B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2F9E924" w14:textId="798EDE4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871B8D6" w14:textId="6326F14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4D4AA75B" w14:textId="77777777" w:rsidTr="0027513D">
        <w:trPr>
          <w:trHeight w:val="121"/>
        </w:trPr>
        <w:tc>
          <w:tcPr>
            <w:tcW w:w="274" w:type="pct"/>
            <w:shd w:val="clear" w:color="auto" w:fill="auto"/>
            <w:tcMar>
              <w:left w:w="57" w:type="dxa"/>
              <w:right w:w="57" w:type="dxa"/>
            </w:tcMar>
            <w:vAlign w:val="bottom"/>
          </w:tcPr>
          <w:p w14:paraId="0FB22842" w14:textId="05A4C0E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3.2.3.6.</w:t>
            </w:r>
          </w:p>
        </w:tc>
        <w:tc>
          <w:tcPr>
            <w:tcW w:w="1462" w:type="pct"/>
            <w:shd w:val="clear" w:color="auto" w:fill="auto"/>
            <w:tcMar>
              <w:left w:w="57" w:type="dxa"/>
              <w:right w:w="57" w:type="dxa"/>
            </w:tcMar>
            <w:vAlign w:val="bottom"/>
          </w:tcPr>
          <w:p w14:paraId="40BF2299" w14:textId="47A851E0"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Menkul Değerler Satım Opsiyonları</w:t>
            </w:r>
          </w:p>
        </w:tc>
        <w:tc>
          <w:tcPr>
            <w:tcW w:w="267" w:type="pct"/>
            <w:shd w:val="clear" w:color="auto" w:fill="auto"/>
            <w:tcMar>
              <w:left w:w="57" w:type="dxa"/>
              <w:right w:w="57" w:type="dxa"/>
            </w:tcMar>
            <w:vAlign w:val="bottom"/>
          </w:tcPr>
          <w:p w14:paraId="7F9F3161"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0DF54FB3" w14:textId="579FF4F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D1062AA" w14:textId="65F352F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0841091C" w14:textId="2D339D9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936425D" w14:textId="3C1E070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19CA175" w14:textId="7527549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0EADDC6" w14:textId="5BE07EA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414A9DB3" w14:textId="77777777" w:rsidTr="0027513D">
        <w:trPr>
          <w:trHeight w:val="121"/>
        </w:trPr>
        <w:tc>
          <w:tcPr>
            <w:tcW w:w="274" w:type="pct"/>
            <w:shd w:val="clear" w:color="auto" w:fill="auto"/>
            <w:tcMar>
              <w:left w:w="57" w:type="dxa"/>
              <w:right w:w="57" w:type="dxa"/>
            </w:tcMar>
            <w:vAlign w:val="bottom"/>
          </w:tcPr>
          <w:p w14:paraId="44033144" w14:textId="5757EA2A"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3.2.4.</w:t>
            </w:r>
          </w:p>
        </w:tc>
        <w:tc>
          <w:tcPr>
            <w:tcW w:w="1462" w:type="pct"/>
            <w:shd w:val="clear" w:color="auto" w:fill="auto"/>
            <w:tcMar>
              <w:left w:w="57" w:type="dxa"/>
              <w:right w:w="57" w:type="dxa"/>
            </w:tcMar>
            <w:vAlign w:val="bottom"/>
          </w:tcPr>
          <w:p w14:paraId="4985CF86" w14:textId="5D25DAE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Futures Para İşlemleri</w:t>
            </w:r>
          </w:p>
        </w:tc>
        <w:tc>
          <w:tcPr>
            <w:tcW w:w="267" w:type="pct"/>
            <w:shd w:val="clear" w:color="auto" w:fill="auto"/>
            <w:tcMar>
              <w:left w:w="57" w:type="dxa"/>
              <w:right w:w="57" w:type="dxa"/>
            </w:tcMar>
            <w:vAlign w:val="bottom"/>
          </w:tcPr>
          <w:p w14:paraId="2D772F02"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5A08879E" w14:textId="5F38427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4095F862" w14:textId="0A65E82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7667AB4" w14:textId="059FB87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05325B5" w14:textId="2B5AC65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169.696</w:t>
            </w:r>
          </w:p>
        </w:tc>
        <w:tc>
          <w:tcPr>
            <w:tcW w:w="473" w:type="pct"/>
            <w:shd w:val="clear" w:color="auto" w:fill="auto"/>
            <w:tcMar>
              <w:left w:w="57" w:type="dxa"/>
              <w:right w:w="57" w:type="dxa"/>
            </w:tcMar>
            <w:vAlign w:val="bottom"/>
          </w:tcPr>
          <w:p w14:paraId="20DA839F" w14:textId="21B3F26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121.020</w:t>
            </w:r>
          </w:p>
        </w:tc>
        <w:tc>
          <w:tcPr>
            <w:tcW w:w="470" w:type="pct"/>
            <w:shd w:val="clear" w:color="auto" w:fill="auto"/>
            <w:tcMar>
              <w:left w:w="57" w:type="dxa"/>
              <w:right w:w="57" w:type="dxa"/>
            </w:tcMar>
            <w:vAlign w:val="bottom"/>
          </w:tcPr>
          <w:p w14:paraId="79F82FB1" w14:textId="2BBB004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290.716</w:t>
            </w:r>
          </w:p>
        </w:tc>
      </w:tr>
      <w:tr w:rsidR="0027513D" w:rsidRPr="00FB38E1" w14:paraId="0A7307B6" w14:textId="77777777" w:rsidTr="0027513D">
        <w:trPr>
          <w:trHeight w:val="121"/>
        </w:trPr>
        <w:tc>
          <w:tcPr>
            <w:tcW w:w="274" w:type="pct"/>
            <w:shd w:val="clear" w:color="auto" w:fill="auto"/>
            <w:tcMar>
              <w:left w:w="57" w:type="dxa"/>
              <w:right w:w="57" w:type="dxa"/>
            </w:tcMar>
            <w:vAlign w:val="bottom"/>
          </w:tcPr>
          <w:p w14:paraId="6690B45E" w14:textId="45C71A9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3.2.4.1.</w:t>
            </w:r>
          </w:p>
        </w:tc>
        <w:tc>
          <w:tcPr>
            <w:tcW w:w="1462" w:type="pct"/>
            <w:shd w:val="clear" w:color="auto" w:fill="auto"/>
            <w:tcMar>
              <w:left w:w="57" w:type="dxa"/>
              <w:right w:w="57" w:type="dxa"/>
            </w:tcMar>
            <w:vAlign w:val="bottom"/>
          </w:tcPr>
          <w:p w14:paraId="586459E8" w14:textId="6A7DE56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Futures Para Alım İşlemleri</w:t>
            </w:r>
          </w:p>
        </w:tc>
        <w:tc>
          <w:tcPr>
            <w:tcW w:w="267" w:type="pct"/>
            <w:shd w:val="clear" w:color="auto" w:fill="auto"/>
            <w:tcMar>
              <w:left w:w="57" w:type="dxa"/>
              <w:right w:w="57" w:type="dxa"/>
            </w:tcMar>
            <w:vAlign w:val="bottom"/>
          </w:tcPr>
          <w:p w14:paraId="1CD9F85E"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1B516259" w14:textId="4637530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00D91764" w14:textId="5F91448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7CF4764C" w14:textId="44A93A2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119F4E1" w14:textId="1F9DB39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169.696</w:t>
            </w:r>
          </w:p>
        </w:tc>
        <w:tc>
          <w:tcPr>
            <w:tcW w:w="473" w:type="pct"/>
            <w:shd w:val="clear" w:color="auto" w:fill="auto"/>
            <w:tcMar>
              <w:left w:w="57" w:type="dxa"/>
              <w:right w:w="57" w:type="dxa"/>
            </w:tcMar>
            <w:vAlign w:val="bottom"/>
          </w:tcPr>
          <w:p w14:paraId="0BD44790" w14:textId="1B63FD6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9CA2179" w14:textId="4CBD7DC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169.696</w:t>
            </w:r>
          </w:p>
        </w:tc>
      </w:tr>
      <w:tr w:rsidR="0027513D" w:rsidRPr="00FB38E1" w14:paraId="1B54F5D7" w14:textId="77777777" w:rsidTr="0027513D">
        <w:trPr>
          <w:trHeight w:val="121"/>
        </w:trPr>
        <w:tc>
          <w:tcPr>
            <w:tcW w:w="274" w:type="pct"/>
            <w:shd w:val="clear" w:color="auto" w:fill="auto"/>
            <w:tcMar>
              <w:left w:w="57" w:type="dxa"/>
              <w:right w:w="57" w:type="dxa"/>
            </w:tcMar>
            <w:vAlign w:val="bottom"/>
          </w:tcPr>
          <w:p w14:paraId="79FB820B" w14:textId="77BCC2E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3.2.4.2.</w:t>
            </w:r>
          </w:p>
        </w:tc>
        <w:tc>
          <w:tcPr>
            <w:tcW w:w="1462" w:type="pct"/>
            <w:shd w:val="clear" w:color="auto" w:fill="auto"/>
            <w:tcMar>
              <w:left w:w="57" w:type="dxa"/>
              <w:right w:w="57" w:type="dxa"/>
            </w:tcMar>
            <w:vAlign w:val="bottom"/>
          </w:tcPr>
          <w:p w14:paraId="40B8D14A" w14:textId="49070104"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Futures Para Satım İşlemleri</w:t>
            </w:r>
          </w:p>
        </w:tc>
        <w:tc>
          <w:tcPr>
            <w:tcW w:w="267" w:type="pct"/>
            <w:shd w:val="clear" w:color="auto" w:fill="auto"/>
            <w:tcMar>
              <w:left w:w="57" w:type="dxa"/>
              <w:right w:w="57" w:type="dxa"/>
            </w:tcMar>
            <w:vAlign w:val="bottom"/>
          </w:tcPr>
          <w:p w14:paraId="0D41CFF0"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7A112D05" w14:textId="2F934C6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80D04BF" w14:textId="23D9CA9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F5EC1A0" w14:textId="580D94A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30D2EBAD" w14:textId="314914E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6A81C3F" w14:textId="05EF5F9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121.020</w:t>
            </w:r>
          </w:p>
        </w:tc>
        <w:tc>
          <w:tcPr>
            <w:tcW w:w="470" w:type="pct"/>
            <w:shd w:val="clear" w:color="auto" w:fill="auto"/>
            <w:tcMar>
              <w:left w:w="57" w:type="dxa"/>
              <w:right w:w="57" w:type="dxa"/>
            </w:tcMar>
            <w:vAlign w:val="bottom"/>
          </w:tcPr>
          <w:p w14:paraId="1A5072E8" w14:textId="7A3EF53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121.020</w:t>
            </w:r>
          </w:p>
        </w:tc>
      </w:tr>
      <w:tr w:rsidR="0027513D" w:rsidRPr="00FB38E1" w14:paraId="50FA97C9" w14:textId="77777777" w:rsidTr="0027513D">
        <w:trPr>
          <w:trHeight w:val="121"/>
        </w:trPr>
        <w:tc>
          <w:tcPr>
            <w:tcW w:w="274" w:type="pct"/>
            <w:shd w:val="clear" w:color="auto" w:fill="auto"/>
            <w:tcMar>
              <w:left w:w="57" w:type="dxa"/>
              <w:right w:w="57" w:type="dxa"/>
            </w:tcMar>
            <w:vAlign w:val="bottom"/>
          </w:tcPr>
          <w:p w14:paraId="2567FE7E" w14:textId="303DF3E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3.2.5.</w:t>
            </w:r>
          </w:p>
        </w:tc>
        <w:tc>
          <w:tcPr>
            <w:tcW w:w="1462" w:type="pct"/>
            <w:shd w:val="clear" w:color="auto" w:fill="auto"/>
            <w:tcMar>
              <w:left w:w="57" w:type="dxa"/>
              <w:right w:w="57" w:type="dxa"/>
            </w:tcMar>
            <w:vAlign w:val="bottom"/>
          </w:tcPr>
          <w:p w14:paraId="219AE2E5" w14:textId="12C9864E"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Futures Faiz Alım-Satım İşlemleri</w:t>
            </w:r>
          </w:p>
        </w:tc>
        <w:tc>
          <w:tcPr>
            <w:tcW w:w="267" w:type="pct"/>
            <w:shd w:val="clear" w:color="auto" w:fill="auto"/>
            <w:tcMar>
              <w:left w:w="57" w:type="dxa"/>
              <w:right w:w="57" w:type="dxa"/>
            </w:tcMar>
            <w:vAlign w:val="bottom"/>
          </w:tcPr>
          <w:p w14:paraId="4DFF2ABB"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108CBA39" w14:textId="1C7A146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808712F" w14:textId="105528B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2C730EA" w14:textId="65C8F73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11722F9" w14:textId="1660465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FA57887" w14:textId="2BB2C61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A0DDD97" w14:textId="0B4AB8B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584D9DE7" w14:textId="77777777" w:rsidTr="0027513D">
        <w:trPr>
          <w:trHeight w:val="121"/>
        </w:trPr>
        <w:tc>
          <w:tcPr>
            <w:tcW w:w="274" w:type="pct"/>
            <w:shd w:val="clear" w:color="auto" w:fill="auto"/>
            <w:tcMar>
              <w:left w:w="57" w:type="dxa"/>
              <w:right w:w="57" w:type="dxa"/>
            </w:tcMar>
            <w:vAlign w:val="bottom"/>
          </w:tcPr>
          <w:p w14:paraId="389DE11F" w14:textId="12E8157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3.2.5.1.</w:t>
            </w:r>
          </w:p>
        </w:tc>
        <w:tc>
          <w:tcPr>
            <w:tcW w:w="1462" w:type="pct"/>
            <w:shd w:val="clear" w:color="auto" w:fill="auto"/>
            <w:tcMar>
              <w:left w:w="57" w:type="dxa"/>
              <w:right w:w="57" w:type="dxa"/>
            </w:tcMar>
            <w:vAlign w:val="bottom"/>
          </w:tcPr>
          <w:p w14:paraId="1BD239B5" w14:textId="7C92D30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Futures Faiz Alım İşlemleri</w:t>
            </w:r>
          </w:p>
        </w:tc>
        <w:tc>
          <w:tcPr>
            <w:tcW w:w="267" w:type="pct"/>
            <w:shd w:val="clear" w:color="auto" w:fill="auto"/>
            <w:tcMar>
              <w:left w:w="57" w:type="dxa"/>
              <w:right w:w="57" w:type="dxa"/>
            </w:tcMar>
            <w:vAlign w:val="bottom"/>
          </w:tcPr>
          <w:p w14:paraId="6AFC8741"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45AF4BA3" w14:textId="27C038C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5BEF7B08" w14:textId="5B55344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28E0661" w14:textId="60503BC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4DDB2C9" w14:textId="46DD0CA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820B1B1" w14:textId="0F6B3D1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94DCA11" w14:textId="2904A87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76A132F2" w14:textId="77777777" w:rsidTr="0027513D">
        <w:trPr>
          <w:trHeight w:val="121"/>
        </w:trPr>
        <w:tc>
          <w:tcPr>
            <w:tcW w:w="274" w:type="pct"/>
            <w:shd w:val="clear" w:color="auto" w:fill="auto"/>
            <w:tcMar>
              <w:left w:w="57" w:type="dxa"/>
              <w:right w:w="57" w:type="dxa"/>
            </w:tcMar>
            <w:vAlign w:val="bottom"/>
          </w:tcPr>
          <w:p w14:paraId="34AF9BCF" w14:textId="196D55A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3.2.5.2.</w:t>
            </w:r>
          </w:p>
        </w:tc>
        <w:tc>
          <w:tcPr>
            <w:tcW w:w="1462" w:type="pct"/>
            <w:shd w:val="clear" w:color="auto" w:fill="auto"/>
            <w:tcMar>
              <w:left w:w="57" w:type="dxa"/>
              <w:right w:w="57" w:type="dxa"/>
            </w:tcMar>
            <w:vAlign w:val="bottom"/>
          </w:tcPr>
          <w:p w14:paraId="4FF91576" w14:textId="30C9C94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Futures Faiz Satım İşlemleri</w:t>
            </w:r>
          </w:p>
        </w:tc>
        <w:tc>
          <w:tcPr>
            <w:tcW w:w="267" w:type="pct"/>
            <w:shd w:val="clear" w:color="auto" w:fill="auto"/>
            <w:tcMar>
              <w:left w:w="57" w:type="dxa"/>
              <w:right w:w="57" w:type="dxa"/>
            </w:tcMar>
            <w:vAlign w:val="bottom"/>
          </w:tcPr>
          <w:p w14:paraId="21B931BA"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18F34F6F" w14:textId="25AC207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4815F238" w14:textId="2745BC8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09860AE0" w14:textId="19CE049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58B56896" w14:textId="12CDF89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27A2F4A" w14:textId="1801DC5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6474F9D4" w14:textId="7A1862E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2FDD6368" w14:textId="77777777" w:rsidTr="0027513D">
        <w:trPr>
          <w:trHeight w:val="121"/>
        </w:trPr>
        <w:tc>
          <w:tcPr>
            <w:tcW w:w="274" w:type="pct"/>
            <w:shd w:val="clear" w:color="auto" w:fill="auto"/>
            <w:tcMar>
              <w:left w:w="57" w:type="dxa"/>
              <w:right w:w="57" w:type="dxa"/>
            </w:tcMar>
            <w:vAlign w:val="bottom"/>
          </w:tcPr>
          <w:p w14:paraId="212C7490" w14:textId="0869242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3.2.6.</w:t>
            </w:r>
          </w:p>
        </w:tc>
        <w:tc>
          <w:tcPr>
            <w:tcW w:w="1462" w:type="pct"/>
            <w:shd w:val="clear" w:color="auto" w:fill="auto"/>
            <w:tcMar>
              <w:left w:w="57" w:type="dxa"/>
              <w:right w:w="57" w:type="dxa"/>
            </w:tcMar>
            <w:vAlign w:val="bottom"/>
          </w:tcPr>
          <w:p w14:paraId="41807B86" w14:textId="4E64E0E3"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w:t>
            </w:r>
          </w:p>
        </w:tc>
        <w:tc>
          <w:tcPr>
            <w:tcW w:w="267" w:type="pct"/>
            <w:shd w:val="clear" w:color="auto" w:fill="auto"/>
            <w:tcMar>
              <w:left w:w="57" w:type="dxa"/>
              <w:right w:w="57" w:type="dxa"/>
            </w:tcMar>
            <w:vAlign w:val="bottom"/>
          </w:tcPr>
          <w:p w14:paraId="790F9AE5"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7837F8DE" w14:textId="309A7DC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76BBA406" w14:textId="23E6DE3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30.137.959</w:t>
            </w:r>
          </w:p>
        </w:tc>
        <w:tc>
          <w:tcPr>
            <w:tcW w:w="527" w:type="pct"/>
            <w:vAlign w:val="bottom"/>
          </w:tcPr>
          <w:p w14:paraId="3D275CB7" w14:textId="48D3FAF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30.137.959</w:t>
            </w:r>
          </w:p>
        </w:tc>
        <w:tc>
          <w:tcPr>
            <w:tcW w:w="473" w:type="pct"/>
            <w:shd w:val="clear" w:color="auto" w:fill="auto"/>
            <w:tcMar>
              <w:left w:w="57" w:type="dxa"/>
              <w:right w:w="57" w:type="dxa"/>
            </w:tcMar>
            <w:vAlign w:val="bottom"/>
          </w:tcPr>
          <w:p w14:paraId="66B62D83" w14:textId="0CB04B9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5FCF133" w14:textId="531AF7D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23.201.046</w:t>
            </w:r>
          </w:p>
        </w:tc>
        <w:tc>
          <w:tcPr>
            <w:tcW w:w="470" w:type="pct"/>
            <w:shd w:val="clear" w:color="auto" w:fill="auto"/>
            <w:tcMar>
              <w:left w:w="57" w:type="dxa"/>
              <w:right w:w="57" w:type="dxa"/>
            </w:tcMar>
            <w:vAlign w:val="bottom"/>
          </w:tcPr>
          <w:p w14:paraId="03BE1FFA" w14:textId="25AA095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23.201.046</w:t>
            </w:r>
          </w:p>
        </w:tc>
      </w:tr>
      <w:tr w:rsidR="0027513D" w:rsidRPr="00FB38E1" w14:paraId="23096048" w14:textId="77777777" w:rsidTr="0027513D">
        <w:trPr>
          <w:trHeight w:val="55"/>
        </w:trPr>
        <w:tc>
          <w:tcPr>
            <w:tcW w:w="1736" w:type="pct"/>
            <w:gridSpan w:val="2"/>
            <w:shd w:val="clear" w:color="auto" w:fill="auto"/>
            <w:tcMar>
              <w:left w:w="57" w:type="dxa"/>
              <w:right w:w="57" w:type="dxa"/>
            </w:tcMar>
            <w:vAlign w:val="bottom"/>
          </w:tcPr>
          <w:p w14:paraId="5B3B5F5A" w14:textId="77777777" w:rsidR="0027513D" w:rsidRPr="00FB38E1" w:rsidRDefault="0027513D" w:rsidP="0027513D">
            <w:pPr>
              <w:rPr>
                <w:rFonts w:ascii="Microsoft Sans Serif" w:hAnsi="Microsoft Sans Serif" w:cs="Microsoft Sans Serif"/>
                <w:b/>
                <w:sz w:val="12"/>
                <w:szCs w:val="12"/>
              </w:rPr>
            </w:pPr>
            <w:r w:rsidRPr="00FB38E1">
              <w:rPr>
                <w:rFonts w:ascii="Microsoft Sans Serif" w:hAnsi="Microsoft Sans Serif" w:cs="Microsoft Sans Serif"/>
                <w:b/>
                <w:sz w:val="12"/>
                <w:szCs w:val="12"/>
              </w:rPr>
              <w:t>B. EMANET VE REHİNLİ KIYMETLER (IV+V+VI)</w:t>
            </w:r>
          </w:p>
        </w:tc>
        <w:tc>
          <w:tcPr>
            <w:tcW w:w="267" w:type="pct"/>
            <w:shd w:val="clear" w:color="auto" w:fill="auto"/>
            <w:tcMar>
              <w:left w:w="57" w:type="dxa"/>
              <w:right w:w="57" w:type="dxa"/>
            </w:tcMar>
            <w:vAlign w:val="bottom"/>
          </w:tcPr>
          <w:p w14:paraId="0FC5DFFB" w14:textId="77777777" w:rsidR="0027513D" w:rsidRPr="00FB38E1" w:rsidRDefault="0027513D" w:rsidP="0027513D">
            <w:pPr>
              <w:jc w:val="center"/>
              <w:rPr>
                <w:rFonts w:ascii="Microsoft Sans Serif" w:hAnsi="Microsoft Sans Serif" w:cs="Microsoft Sans Serif"/>
                <w:sz w:val="12"/>
                <w:szCs w:val="12"/>
              </w:rPr>
            </w:pPr>
          </w:p>
        </w:tc>
        <w:tc>
          <w:tcPr>
            <w:tcW w:w="527" w:type="pct"/>
            <w:vAlign w:val="bottom"/>
          </w:tcPr>
          <w:p w14:paraId="14AB4523" w14:textId="4E22F19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4.935.685.964</w:t>
            </w:r>
          </w:p>
        </w:tc>
        <w:tc>
          <w:tcPr>
            <w:tcW w:w="527" w:type="pct"/>
            <w:vAlign w:val="bottom"/>
          </w:tcPr>
          <w:p w14:paraId="1B9CFFF8" w14:textId="5ACF16A7"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2.271.731.141</w:t>
            </w:r>
          </w:p>
        </w:tc>
        <w:tc>
          <w:tcPr>
            <w:tcW w:w="527" w:type="pct"/>
            <w:vAlign w:val="bottom"/>
          </w:tcPr>
          <w:p w14:paraId="28DDD1E1" w14:textId="35657FF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7.207.417.105</w:t>
            </w:r>
          </w:p>
        </w:tc>
        <w:tc>
          <w:tcPr>
            <w:tcW w:w="473" w:type="pct"/>
            <w:shd w:val="clear" w:color="auto" w:fill="auto"/>
            <w:tcMar>
              <w:left w:w="57" w:type="dxa"/>
              <w:right w:w="57" w:type="dxa"/>
            </w:tcMar>
            <w:vAlign w:val="bottom"/>
          </w:tcPr>
          <w:p w14:paraId="352E6352" w14:textId="55133FF6"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2.431.934.831</w:t>
            </w:r>
          </w:p>
        </w:tc>
        <w:tc>
          <w:tcPr>
            <w:tcW w:w="473" w:type="pct"/>
            <w:shd w:val="clear" w:color="auto" w:fill="auto"/>
            <w:tcMar>
              <w:left w:w="57" w:type="dxa"/>
              <w:right w:w="57" w:type="dxa"/>
            </w:tcMar>
            <w:vAlign w:val="bottom"/>
          </w:tcPr>
          <w:p w14:paraId="4FA51109" w14:textId="6191620B"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1.559.121.281</w:t>
            </w:r>
          </w:p>
        </w:tc>
        <w:tc>
          <w:tcPr>
            <w:tcW w:w="470" w:type="pct"/>
            <w:shd w:val="clear" w:color="auto" w:fill="auto"/>
            <w:tcMar>
              <w:left w:w="57" w:type="dxa"/>
              <w:right w:w="57" w:type="dxa"/>
            </w:tcMar>
            <w:vAlign w:val="bottom"/>
          </w:tcPr>
          <w:p w14:paraId="0A8B74B8" w14:textId="268B643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3.991.056.112</w:t>
            </w:r>
          </w:p>
        </w:tc>
      </w:tr>
      <w:tr w:rsidR="0027513D" w:rsidRPr="00FB38E1" w14:paraId="085FF88A" w14:textId="77777777" w:rsidTr="0027513D">
        <w:trPr>
          <w:trHeight w:val="146"/>
        </w:trPr>
        <w:tc>
          <w:tcPr>
            <w:tcW w:w="274" w:type="pct"/>
            <w:shd w:val="clear" w:color="auto" w:fill="auto"/>
            <w:tcMar>
              <w:left w:w="57" w:type="dxa"/>
              <w:right w:w="57" w:type="dxa"/>
            </w:tcMar>
            <w:vAlign w:val="bottom"/>
          </w:tcPr>
          <w:p w14:paraId="39BF6ECB" w14:textId="5D585775"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IV.</w:t>
            </w:r>
          </w:p>
        </w:tc>
        <w:tc>
          <w:tcPr>
            <w:tcW w:w="1462" w:type="pct"/>
            <w:shd w:val="clear" w:color="auto" w:fill="auto"/>
            <w:tcMar>
              <w:left w:w="57" w:type="dxa"/>
              <w:right w:w="57" w:type="dxa"/>
            </w:tcMar>
            <w:vAlign w:val="bottom"/>
          </w:tcPr>
          <w:p w14:paraId="000A23E9" w14:textId="65943020"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EMANET KIYMETLER</w:t>
            </w:r>
          </w:p>
        </w:tc>
        <w:tc>
          <w:tcPr>
            <w:tcW w:w="267" w:type="pct"/>
            <w:shd w:val="clear" w:color="auto" w:fill="auto"/>
            <w:tcMar>
              <w:left w:w="57" w:type="dxa"/>
              <w:right w:w="57" w:type="dxa"/>
            </w:tcMar>
            <w:vAlign w:val="bottom"/>
          </w:tcPr>
          <w:p w14:paraId="20106409"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550798C" w14:textId="4846792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323.373.244</w:t>
            </w:r>
          </w:p>
        </w:tc>
        <w:tc>
          <w:tcPr>
            <w:tcW w:w="527" w:type="pct"/>
            <w:vAlign w:val="bottom"/>
          </w:tcPr>
          <w:p w14:paraId="3F049FA1" w14:textId="1DA10E0B"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411.462.896</w:t>
            </w:r>
          </w:p>
        </w:tc>
        <w:tc>
          <w:tcPr>
            <w:tcW w:w="527" w:type="pct"/>
            <w:vAlign w:val="bottom"/>
          </w:tcPr>
          <w:p w14:paraId="2904B3BD" w14:textId="2D2188F5"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734.836.140</w:t>
            </w:r>
          </w:p>
        </w:tc>
        <w:tc>
          <w:tcPr>
            <w:tcW w:w="473" w:type="pct"/>
            <w:shd w:val="clear" w:color="auto" w:fill="auto"/>
            <w:tcMar>
              <w:left w:w="57" w:type="dxa"/>
              <w:right w:w="57" w:type="dxa"/>
            </w:tcMar>
            <w:vAlign w:val="bottom"/>
          </w:tcPr>
          <w:p w14:paraId="2FDA5E33" w14:textId="2324BF8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83.859.770</w:t>
            </w:r>
          </w:p>
        </w:tc>
        <w:tc>
          <w:tcPr>
            <w:tcW w:w="473" w:type="pct"/>
            <w:shd w:val="clear" w:color="auto" w:fill="auto"/>
            <w:tcMar>
              <w:left w:w="57" w:type="dxa"/>
              <w:right w:w="57" w:type="dxa"/>
            </w:tcMar>
            <w:vAlign w:val="bottom"/>
          </w:tcPr>
          <w:p w14:paraId="675CA317" w14:textId="78CE1DE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157.806.553</w:t>
            </w:r>
          </w:p>
        </w:tc>
        <w:tc>
          <w:tcPr>
            <w:tcW w:w="470" w:type="pct"/>
            <w:shd w:val="clear" w:color="auto" w:fill="auto"/>
            <w:tcMar>
              <w:left w:w="57" w:type="dxa"/>
              <w:right w:w="57" w:type="dxa"/>
            </w:tcMar>
            <w:vAlign w:val="bottom"/>
          </w:tcPr>
          <w:p w14:paraId="67E99E04" w14:textId="64B6FD26"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241.666.323</w:t>
            </w:r>
          </w:p>
        </w:tc>
      </w:tr>
      <w:tr w:rsidR="0027513D" w:rsidRPr="00FB38E1" w14:paraId="0AE3D27F" w14:textId="77777777" w:rsidTr="0027513D">
        <w:trPr>
          <w:trHeight w:val="121"/>
        </w:trPr>
        <w:tc>
          <w:tcPr>
            <w:tcW w:w="274" w:type="pct"/>
            <w:shd w:val="clear" w:color="auto" w:fill="auto"/>
            <w:tcMar>
              <w:left w:w="57" w:type="dxa"/>
              <w:right w:w="57" w:type="dxa"/>
            </w:tcMar>
            <w:vAlign w:val="bottom"/>
          </w:tcPr>
          <w:p w14:paraId="64CE8DFD" w14:textId="0D5E27E4"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4.1.</w:t>
            </w:r>
          </w:p>
        </w:tc>
        <w:tc>
          <w:tcPr>
            <w:tcW w:w="1462" w:type="pct"/>
            <w:shd w:val="clear" w:color="auto" w:fill="auto"/>
            <w:tcMar>
              <w:left w:w="57" w:type="dxa"/>
              <w:right w:w="57" w:type="dxa"/>
            </w:tcMar>
            <w:vAlign w:val="bottom"/>
          </w:tcPr>
          <w:p w14:paraId="632A042A" w14:textId="09B9BEC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Müşteri Fon ve Portföy Mevcutları</w:t>
            </w:r>
          </w:p>
        </w:tc>
        <w:tc>
          <w:tcPr>
            <w:tcW w:w="267" w:type="pct"/>
            <w:shd w:val="clear" w:color="auto" w:fill="auto"/>
            <w:tcMar>
              <w:left w:w="57" w:type="dxa"/>
              <w:right w:w="57" w:type="dxa"/>
            </w:tcMar>
            <w:vAlign w:val="bottom"/>
          </w:tcPr>
          <w:p w14:paraId="5DEEB69E"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1670E098" w14:textId="7FD74D4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771E6E69" w14:textId="6B870F86"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4C442BE6" w14:textId="2F18A21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9E0B2CD" w14:textId="5AAA620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2C382F6D" w14:textId="20BED5E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28030FC" w14:textId="382955D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3C3F091E" w14:textId="77777777" w:rsidTr="0027513D">
        <w:trPr>
          <w:trHeight w:val="121"/>
        </w:trPr>
        <w:tc>
          <w:tcPr>
            <w:tcW w:w="274" w:type="pct"/>
            <w:shd w:val="clear" w:color="auto" w:fill="auto"/>
            <w:tcMar>
              <w:left w:w="57" w:type="dxa"/>
              <w:right w:w="57" w:type="dxa"/>
            </w:tcMar>
            <w:vAlign w:val="bottom"/>
          </w:tcPr>
          <w:p w14:paraId="610F064A" w14:textId="6F8864E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4.2.</w:t>
            </w:r>
          </w:p>
        </w:tc>
        <w:tc>
          <w:tcPr>
            <w:tcW w:w="1462" w:type="pct"/>
            <w:shd w:val="clear" w:color="auto" w:fill="auto"/>
            <w:tcMar>
              <w:left w:w="57" w:type="dxa"/>
              <w:right w:w="57" w:type="dxa"/>
            </w:tcMar>
            <w:vAlign w:val="bottom"/>
          </w:tcPr>
          <w:p w14:paraId="18711F8A" w14:textId="4B57A1A0"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Emanete Alınan Menkul Değerler</w:t>
            </w:r>
          </w:p>
        </w:tc>
        <w:tc>
          <w:tcPr>
            <w:tcW w:w="267" w:type="pct"/>
            <w:shd w:val="clear" w:color="auto" w:fill="auto"/>
            <w:tcMar>
              <w:left w:w="57" w:type="dxa"/>
              <w:right w:w="57" w:type="dxa"/>
            </w:tcMar>
            <w:vAlign w:val="bottom"/>
          </w:tcPr>
          <w:p w14:paraId="46D3B372"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F299035" w14:textId="633BFDB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320.375.504</w:t>
            </w:r>
          </w:p>
        </w:tc>
        <w:tc>
          <w:tcPr>
            <w:tcW w:w="527" w:type="pct"/>
            <w:vAlign w:val="bottom"/>
          </w:tcPr>
          <w:p w14:paraId="4A13C07D" w14:textId="5DD25AC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398.667.571</w:t>
            </w:r>
          </w:p>
        </w:tc>
        <w:tc>
          <w:tcPr>
            <w:tcW w:w="527" w:type="pct"/>
            <w:vAlign w:val="bottom"/>
          </w:tcPr>
          <w:p w14:paraId="4E714384" w14:textId="6ED14C3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719.043.075</w:t>
            </w:r>
          </w:p>
        </w:tc>
        <w:tc>
          <w:tcPr>
            <w:tcW w:w="473" w:type="pct"/>
            <w:shd w:val="clear" w:color="auto" w:fill="auto"/>
            <w:tcMar>
              <w:left w:w="57" w:type="dxa"/>
              <w:right w:w="57" w:type="dxa"/>
            </w:tcMar>
            <w:vAlign w:val="bottom"/>
          </w:tcPr>
          <w:p w14:paraId="4297ECBD" w14:textId="34C9B72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78.166.015</w:t>
            </w:r>
          </w:p>
        </w:tc>
        <w:tc>
          <w:tcPr>
            <w:tcW w:w="473" w:type="pct"/>
            <w:shd w:val="clear" w:color="auto" w:fill="auto"/>
            <w:tcMar>
              <w:left w:w="57" w:type="dxa"/>
              <w:right w:w="57" w:type="dxa"/>
            </w:tcMar>
            <w:vAlign w:val="bottom"/>
          </w:tcPr>
          <w:p w14:paraId="5961DDB5" w14:textId="1200EA3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149.180.256</w:t>
            </w:r>
          </w:p>
        </w:tc>
        <w:tc>
          <w:tcPr>
            <w:tcW w:w="470" w:type="pct"/>
            <w:shd w:val="clear" w:color="auto" w:fill="auto"/>
            <w:tcMar>
              <w:left w:w="57" w:type="dxa"/>
              <w:right w:w="57" w:type="dxa"/>
            </w:tcMar>
            <w:vAlign w:val="bottom"/>
          </w:tcPr>
          <w:p w14:paraId="1A835ACC" w14:textId="4A3A168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227.346.271</w:t>
            </w:r>
          </w:p>
        </w:tc>
      </w:tr>
      <w:tr w:rsidR="0027513D" w:rsidRPr="00FB38E1" w14:paraId="26D5EDB9" w14:textId="77777777" w:rsidTr="0027513D">
        <w:trPr>
          <w:trHeight w:val="121"/>
        </w:trPr>
        <w:tc>
          <w:tcPr>
            <w:tcW w:w="274" w:type="pct"/>
            <w:shd w:val="clear" w:color="auto" w:fill="auto"/>
            <w:tcMar>
              <w:left w:w="57" w:type="dxa"/>
              <w:right w:w="57" w:type="dxa"/>
            </w:tcMar>
            <w:vAlign w:val="bottom"/>
          </w:tcPr>
          <w:p w14:paraId="594DA8E7" w14:textId="6580DD1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4.3.</w:t>
            </w:r>
          </w:p>
        </w:tc>
        <w:tc>
          <w:tcPr>
            <w:tcW w:w="1462" w:type="pct"/>
            <w:shd w:val="clear" w:color="auto" w:fill="auto"/>
            <w:tcMar>
              <w:left w:w="57" w:type="dxa"/>
              <w:right w:w="57" w:type="dxa"/>
            </w:tcMar>
            <w:vAlign w:val="bottom"/>
          </w:tcPr>
          <w:p w14:paraId="13557A11" w14:textId="74DA5330"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Tahsile Alınan Çekler</w:t>
            </w:r>
          </w:p>
        </w:tc>
        <w:tc>
          <w:tcPr>
            <w:tcW w:w="267" w:type="pct"/>
            <w:shd w:val="clear" w:color="auto" w:fill="auto"/>
            <w:tcMar>
              <w:left w:w="57" w:type="dxa"/>
              <w:right w:w="57" w:type="dxa"/>
            </w:tcMar>
            <w:vAlign w:val="bottom"/>
          </w:tcPr>
          <w:p w14:paraId="513890FA"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E02E147" w14:textId="39076A9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287.897</w:t>
            </w:r>
          </w:p>
        </w:tc>
        <w:tc>
          <w:tcPr>
            <w:tcW w:w="527" w:type="pct"/>
            <w:vAlign w:val="bottom"/>
          </w:tcPr>
          <w:p w14:paraId="272844CF" w14:textId="03432B3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3.281.102</w:t>
            </w:r>
          </w:p>
        </w:tc>
        <w:tc>
          <w:tcPr>
            <w:tcW w:w="527" w:type="pct"/>
            <w:vAlign w:val="bottom"/>
          </w:tcPr>
          <w:p w14:paraId="7E9B6912" w14:textId="52533E9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3.568.999</w:t>
            </w:r>
          </w:p>
        </w:tc>
        <w:tc>
          <w:tcPr>
            <w:tcW w:w="473" w:type="pct"/>
            <w:shd w:val="clear" w:color="auto" w:fill="auto"/>
            <w:tcMar>
              <w:left w:w="57" w:type="dxa"/>
              <w:right w:w="57" w:type="dxa"/>
            </w:tcMar>
            <w:vAlign w:val="bottom"/>
          </w:tcPr>
          <w:p w14:paraId="021EA682" w14:textId="3C7563B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3.713.074</w:t>
            </w:r>
          </w:p>
        </w:tc>
        <w:tc>
          <w:tcPr>
            <w:tcW w:w="473" w:type="pct"/>
            <w:shd w:val="clear" w:color="auto" w:fill="auto"/>
            <w:tcMar>
              <w:left w:w="57" w:type="dxa"/>
              <w:right w:w="57" w:type="dxa"/>
            </w:tcMar>
            <w:vAlign w:val="bottom"/>
          </w:tcPr>
          <w:p w14:paraId="6CE67AFA" w14:textId="1BACA8C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2.682.751</w:t>
            </w:r>
          </w:p>
        </w:tc>
        <w:tc>
          <w:tcPr>
            <w:tcW w:w="470" w:type="pct"/>
            <w:shd w:val="clear" w:color="auto" w:fill="auto"/>
            <w:tcMar>
              <w:left w:w="57" w:type="dxa"/>
              <w:right w:w="57" w:type="dxa"/>
            </w:tcMar>
            <w:vAlign w:val="bottom"/>
          </w:tcPr>
          <w:p w14:paraId="6108BA0A" w14:textId="7B8FC7F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6.395.825</w:t>
            </w:r>
          </w:p>
        </w:tc>
      </w:tr>
      <w:tr w:rsidR="0027513D" w:rsidRPr="00FB38E1" w14:paraId="7D1DF064" w14:textId="77777777" w:rsidTr="0027513D">
        <w:trPr>
          <w:trHeight w:val="121"/>
        </w:trPr>
        <w:tc>
          <w:tcPr>
            <w:tcW w:w="274" w:type="pct"/>
            <w:shd w:val="clear" w:color="auto" w:fill="auto"/>
            <w:tcMar>
              <w:left w:w="57" w:type="dxa"/>
              <w:right w:w="57" w:type="dxa"/>
            </w:tcMar>
            <w:vAlign w:val="bottom"/>
          </w:tcPr>
          <w:p w14:paraId="780D8EBF" w14:textId="4890CA1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4.4.</w:t>
            </w:r>
          </w:p>
        </w:tc>
        <w:tc>
          <w:tcPr>
            <w:tcW w:w="1462" w:type="pct"/>
            <w:shd w:val="clear" w:color="auto" w:fill="auto"/>
            <w:tcMar>
              <w:left w:w="57" w:type="dxa"/>
              <w:right w:w="57" w:type="dxa"/>
            </w:tcMar>
            <w:vAlign w:val="bottom"/>
          </w:tcPr>
          <w:p w14:paraId="3B2A2C99" w14:textId="554DFA6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Tahsile Alınan Ticari Senetler</w:t>
            </w:r>
          </w:p>
        </w:tc>
        <w:tc>
          <w:tcPr>
            <w:tcW w:w="267" w:type="pct"/>
            <w:shd w:val="clear" w:color="auto" w:fill="auto"/>
            <w:tcMar>
              <w:left w:w="57" w:type="dxa"/>
              <w:right w:w="57" w:type="dxa"/>
            </w:tcMar>
            <w:vAlign w:val="bottom"/>
          </w:tcPr>
          <w:p w14:paraId="5BFDC31F"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1B766B4" w14:textId="054296E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2.709.843</w:t>
            </w:r>
          </w:p>
        </w:tc>
        <w:tc>
          <w:tcPr>
            <w:tcW w:w="527" w:type="pct"/>
            <w:vAlign w:val="bottom"/>
          </w:tcPr>
          <w:p w14:paraId="2D15AFEB" w14:textId="1FF43DB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1.037.168</w:t>
            </w:r>
          </w:p>
        </w:tc>
        <w:tc>
          <w:tcPr>
            <w:tcW w:w="527" w:type="pct"/>
            <w:vAlign w:val="bottom"/>
          </w:tcPr>
          <w:p w14:paraId="41A510D2" w14:textId="72C55E4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3.747.011</w:t>
            </w:r>
          </w:p>
        </w:tc>
        <w:tc>
          <w:tcPr>
            <w:tcW w:w="473" w:type="pct"/>
            <w:shd w:val="clear" w:color="auto" w:fill="auto"/>
            <w:tcMar>
              <w:left w:w="57" w:type="dxa"/>
              <w:right w:w="57" w:type="dxa"/>
            </w:tcMar>
            <w:vAlign w:val="bottom"/>
          </w:tcPr>
          <w:p w14:paraId="3133586D" w14:textId="4A49837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1.980.681</w:t>
            </w:r>
          </w:p>
        </w:tc>
        <w:tc>
          <w:tcPr>
            <w:tcW w:w="473" w:type="pct"/>
            <w:shd w:val="clear" w:color="auto" w:fill="auto"/>
            <w:tcMar>
              <w:left w:w="57" w:type="dxa"/>
              <w:right w:w="57" w:type="dxa"/>
            </w:tcMar>
            <w:vAlign w:val="bottom"/>
          </w:tcPr>
          <w:p w14:paraId="19D4111C" w14:textId="64EF6FD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601.610</w:t>
            </w:r>
          </w:p>
        </w:tc>
        <w:tc>
          <w:tcPr>
            <w:tcW w:w="470" w:type="pct"/>
            <w:shd w:val="clear" w:color="auto" w:fill="auto"/>
            <w:tcMar>
              <w:left w:w="57" w:type="dxa"/>
              <w:right w:w="57" w:type="dxa"/>
            </w:tcMar>
            <w:vAlign w:val="bottom"/>
          </w:tcPr>
          <w:p w14:paraId="77A12BE5" w14:textId="109781C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2.582.291</w:t>
            </w:r>
          </w:p>
        </w:tc>
      </w:tr>
      <w:tr w:rsidR="0027513D" w:rsidRPr="00FB38E1" w14:paraId="30864343" w14:textId="77777777" w:rsidTr="0027513D">
        <w:trPr>
          <w:trHeight w:val="121"/>
        </w:trPr>
        <w:tc>
          <w:tcPr>
            <w:tcW w:w="274" w:type="pct"/>
            <w:shd w:val="clear" w:color="auto" w:fill="auto"/>
            <w:tcMar>
              <w:left w:w="57" w:type="dxa"/>
              <w:right w:w="57" w:type="dxa"/>
            </w:tcMar>
            <w:vAlign w:val="bottom"/>
          </w:tcPr>
          <w:p w14:paraId="009C2471" w14:textId="40732EC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4.5.</w:t>
            </w:r>
          </w:p>
        </w:tc>
        <w:tc>
          <w:tcPr>
            <w:tcW w:w="1462" w:type="pct"/>
            <w:shd w:val="clear" w:color="auto" w:fill="auto"/>
            <w:tcMar>
              <w:left w:w="57" w:type="dxa"/>
              <w:right w:w="57" w:type="dxa"/>
            </w:tcMar>
            <w:vAlign w:val="bottom"/>
          </w:tcPr>
          <w:p w14:paraId="012EBD20" w14:textId="428B5A8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Tahsile Alınan Diğer Kıymetler</w:t>
            </w:r>
          </w:p>
        </w:tc>
        <w:tc>
          <w:tcPr>
            <w:tcW w:w="267" w:type="pct"/>
            <w:shd w:val="clear" w:color="auto" w:fill="auto"/>
            <w:tcMar>
              <w:left w:w="57" w:type="dxa"/>
              <w:right w:w="57" w:type="dxa"/>
            </w:tcMar>
            <w:vAlign w:val="bottom"/>
          </w:tcPr>
          <w:p w14:paraId="791A1F55"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66C2B8EE" w14:textId="0A0220B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293339C" w14:textId="13CD4B4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646B0D0C" w14:textId="79C0159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A30F9BF" w14:textId="1E12010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3E9FB43" w14:textId="281176E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02592252" w14:textId="7237F0D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47729DD5" w14:textId="77777777" w:rsidTr="0027513D">
        <w:trPr>
          <w:trHeight w:val="121"/>
        </w:trPr>
        <w:tc>
          <w:tcPr>
            <w:tcW w:w="274" w:type="pct"/>
            <w:shd w:val="clear" w:color="auto" w:fill="auto"/>
            <w:tcMar>
              <w:left w:w="57" w:type="dxa"/>
              <w:right w:w="57" w:type="dxa"/>
            </w:tcMar>
            <w:vAlign w:val="bottom"/>
          </w:tcPr>
          <w:p w14:paraId="29CF1FE9" w14:textId="242F32FC"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4.6.</w:t>
            </w:r>
          </w:p>
        </w:tc>
        <w:tc>
          <w:tcPr>
            <w:tcW w:w="1462" w:type="pct"/>
            <w:shd w:val="clear" w:color="auto" w:fill="auto"/>
            <w:tcMar>
              <w:left w:w="57" w:type="dxa"/>
              <w:right w:w="57" w:type="dxa"/>
            </w:tcMar>
            <w:vAlign w:val="bottom"/>
          </w:tcPr>
          <w:p w14:paraId="0A07EB77" w14:textId="0C860C8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İhracına Aracı Olunan Kıymetler</w:t>
            </w:r>
          </w:p>
        </w:tc>
        <w:tc>
          <w:tcPr>
            <w:tcW w:w="267" w:type="pct"/>
            <w:shd w:val="clear" w:color="auto" w:fill="auto"/>
            <w:tcMar>
              <w:left w:w="57" w:type="dxa"/>
              <w:right w:w="57" w:type="dxa"/>
            </w:tcMar>
            <w:vAlign w:val="bottom"/>
          </w:tcPr>
          <w:p w14:paraId="6CE0E216"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69389A10" w14:textId="6C2E0BC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1FB0B7F" w14:textId="758D849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42345FD" w14:textId="6670A09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A4E4621" w14:textId="30963AB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7E51542" w14:textId="5A14C1F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2A6D8ACD" w14:textId="5D638DA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1D9F030A" w14:textId="77777777" w:rsidTr="0027513D">
        <w:trPr>
          <w:trHeight w:val="121"/>
        </w:trPr>
        <w:tc>
          <w:tcPr>
            <w:tcW w:w="274" w:type="pct"/>
            <w:shd w:val="clear" w:color="auto" w:fill="auto"/>
            <w:tcMar>
              <w:left w:w="57" w:type="dxa"/>
              <w:right w:w="57" w:type="dxa"/>
            </w:tcMar>
            <w:vAlign w:val="bottom"/>
          </w:tcPr>
          <w:p w14:paraId="131DD989" w14:textId="79BFCFFA"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4.7.</w:t>
            </w:r>
          </w:p>
        </w:tc>
        <w:tc>
          <w:tcPr>
            <w:tcW w:w="1462" w:type="pct"/>
            <w:shd w:val="clear" w:color="auto" w:fill="auto"/>
            <w:tcMar>
              <w:left w:w="57" w:type="dxa"/>
              <w:right w:w="57" w:type="dxa"/>
            </w:tcMar>
            <w:vAlign w:val="bottom"/>
          </w:tcPr>
          <w:p w14:paraId="7B2F187C" w14:textId="1E6DFA7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Emanet Kıymetler</w:t>
            </w:r>
          </w:p>
        </w:tc>
        <w:tc>
          <w:tcPr>
            <w:tcW w:w="267" w:type="pct"/>
            <w:shd w:val="clear" w:color="auto" w:fill="auto"/>
            <w:tcMar>
              <w:left w:w="57" w:type="dxa"/>
              <w:right w:w="57" w:type="dxa"/>
            </w:tcMar>
            <w:vAlign w:val="bottom"/>
          </w:tcPr>
          <w:p w14:paraId="58CB4455"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04401666" w14:textId="1EABD48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66BBDE4A" w14:textId="758B0D7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8.477.055</w:t>
            </w:r>
          </w:p>
        </w:tc>
        <w:tc>
          <w:tcPr>
            <w:tcW w:w="527" w:type="pct"/>
            <w:vAlign w:val="bottom"/>
          </w:tcPr>
          <w:p w14:paraId="7709BFA1" w14:textId="3F506AE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8.477.055</w:t>
            </w:r>
          </w:p>
        </w:tc>
        <w:tc>
          <w:tcPr>
            <w:tcW w:w="473" w:type="pct"/>
            <w:shd w:val="clear" w:color="auto" w:fill="auto"/>
            <w:tcMar>
              <w:left w:w="57" w:type="dxa"/>
              <w:right w:w="57" w:type="dxa"/>
            </w:tcMar>
            <w:vAlign w:val="bottom"/>
          </w:tcPr>
          <w:p w14:paraId="09095151" w14:textId="5748E2E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5813B23" w14:textId="13B441D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5.341.936</w:t>
            </w:r>
          </w:p>
        </w:tc>
        <w:tc>
          <w:tcPr>
            <w:tcW w:w="470" w:type="pct"/>
            <w:shd w:val="clear" w:color="auto" w:fill="auto"/>
            <w:tcMar>
              <w:left w:w="57" w:type="dxa"/>
              <w:right w:w="57" w:type="dxa"/>
            </w:tcMar>
            <w:vAlign w:val="bottom"/>
          </w:tcPr>
          <w:p w14:paraId="09C675B9" w14:textId="1D67EDC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5.341.936</w:t>
            </w:r>
          </w:p>
        </w:tc>
      </w:tr>
      <w:tr w:rsidR="0027513D" w:rsidRPr="00FB38E1" w14:paraId="52D42FDC" w14:textId="77777777" w:rsidTr="0027513D">
        <w:trPr>
          <w:trHeight w:val="121"/>
        </w:trPr>
        <w:tc>
          <w:tcPr>
            <w:tcW w:w="274" w:type="pct"/>
            <w:shd w:val="clear" w:color="auto" w:fill="auto"/>
            <w:tcMar>
              <w:left w:w="57" w:type="dxa"/>
              <w:right w:w="57" w:type="dxa"/>
            </w:tcMar>
            <w:vAlign w:val="bottom"/>
          </w:tcPr>
          <w:p w14:paraId="78445F63" w14:textId="000E66C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4.8.</w:t>
            </w:r>
          </w:p>
        </w:tc>
        <w:tc>
          <w:tcPr>
            <w:tcW w:w="1462" w:type="pct"/>
            <w:shd w:val="clear" w:color="auto" w:fill="auto"/>
            <w:tcMar>
              <w:left w:w="57" w:type="dxa"/>
              <w:right w:w="57" w:type="dxa"/>
            </w:tcMar>
            <w:vAlign w:val="bottom"/>
          </w:tcPr>
          <w:p w14:paraId="720C411D" w14:textId="3286702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Emanet Kıymet Alanlar</w:t>
            </w:r>
          </w:p>
        </w:tc>
        <w:tc>
          <w:tcPr>
            <w:tcW w:w="267" w:type="pct"/>
            <w:shd w:val="clear" w:color="auto" w:fill="auto"/>
            <w:tcMar>
              <w:left w:w="57" w:type="dxa"/>
              <w:right w:w="57" w:type="dxa"/>
            </w:tcMar>
            <w:vAlign w:val="bottom"/>
          </w:tcPr>
          <w:p w14:paraId="5B2AE1F4"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2C3A6578" w14:textId="0636CB5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02C49C23" w14:textId="6B95DF5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246FAAA7" w14:textId="405FEA1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72B478D" w14:textId="46A3160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7264B400" w14:textId="39FD266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1C5A64A8" w14:textId="48BCBE0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06C0B8D7" w14:textId="77777777" w:rsidTr="0027513D">
        <w:trPr>
          <w:trHeight w:val="146"/>
        </w:trPr>
        <w:tc>
          <w:tcPr>
            <w:tcW w:w="274" w:type="pct"/>
            <w:shd w:val="clear" w:color="auto" w:fill="auto"/>
            <w:tcMar>
              <w:left w:w="57" w:type="dxa"/>
              <w:right w:w="57" w:type="dxa"/>
            </w:tcMar>
            <w:vAlign w:val="bottom"/>
          </w:tcPr>
          <w:p w14:paraId="313CF8EB" w14:textId="6C26580F"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V.</w:t>
            </w:r>
          </w:p>
        </w:tc>
        <w:tc>
          <w:tcPr>
            <w:tcW w:w="1462" w:type="pct"/>
            <w:shd w:val="clear" w:color="auto" w:fill="auto"/>
            <w:tcMar>
              <w:left w:w="57" w:type="dxa"/>
              <w:right w:w="57" w:type="dxa"/>
            </w:tcMar>
            <w:vAlign w:val="bottom"/>
          </w:tcPr>
          <w:p w14:paraId="0B261BBA" w14:textId="0FB6061D"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REHİNLİ KIYMETLER</w:t>
            </w:r>
          </w:p>
        </w:tc>
        <w:tc>
          <w:tcPr>
            <w:tcW w:w="267" w:type="pct"/>
            <w:shd w:val="clear" w:color="auto" w:fill="auto"/>
            <w:tcMar>
              <w:left w:w="57" w:type="dxa"/>
              <w:right w:w="57" w:type="dxa"/>
            </w:tcMar>
            <w:vAlign w:val="bottom"/>
          </w:tcPr>
          <w:p w14:paraId="50026591"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6626FA6" w14:textId="3137DE4A"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4.602.679.724</w:t>
            </w:r>
          </w:p>
        </w:tc>
        <w:tc>
          <w:tcPr>
            <w:tcW w:w="527" w:type="pct"/>
            <w:vAlign w:val="bottom"/>
          </w:tcPr>
          <w:p w14:paraId="51071B5F" w14:textId="037AE8B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1.857.264.503</w:t>
            </w:r>
          </w:p>
        </w:tc>
        <w:tc>
          <w:tcPr>
            <w:tcW w:w="527" w:type="pct"/>
            <w:vAlign w:val="bottom"/>
          </w:tcPr>
          <w:p w14:paraId="768B26D7" w14:textId="63C9A355"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6.459.944.227</w:t>
            </w:r>
          </w:p>
        </w:tc>
        <w:tc>
          <w:tcPr>
            <w:tcW w:w="473" w:type="pct"/>
            <w:shd w:val="clear" w:color="auto" w:fill="auto"/>
            <w:tcMar>
              <w:left w:w="57" w:type="dxa"/>
              <w:right w:w="57" w:type="dxa"/>
            </w:tcMar>
            <w:vAlign w:val="bottom"/>
          </w:tcPr>
          <w:p w14:paraId="06FF51F5" w14:textId="076C7F6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2.344.736.043</w:t>
            </w:r>
          </w:p>
        </w:tc>
        <w:tc>
          <w:tcPr>
            <w:tcW w:w="473" w:type="pct"/>
            <w:shd w:val="clear" w:color="auto" w:fill="auto"/>
            <w:tcMar>
              <w:left w:w="57" w:type="dxa"/>
              <w:right w:w="57" w:type="dxa"/>
            </w:tcMar>
            <w:vAlign w:val="bottom"/>
          </w:tcPr>
          <w:p w14:paraId="0BF7D529" w14:textId="7F4737E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1.396.190.844</w:t>
            </w:r>
          </w:p>
        </w:tc>
        <w:tc>
          <w:tcPr>
            <w:tcW w:w="470" w:type="pct"/>
            <w:shd w:val="clear" w:color="auto" w:fill="auto"/>
            <w:tcMar>
              <w:left w:w="57" w:type="dxa"/>
              <w:right w:w="57" w:type="dxa"/>
            </w:tcMar>
            <w:vAlign w:val="bottom"/>
          </w:tcPr>
          <w:p w14:paraId="3DB93F5D" w14:textId="37F87FA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3.740.926.887</w:t>
            </w:r>
          </w:p>
        </w:tc>
      </w:tr>
      <w:tr w:rsidR="0027513D" w:rsidRPr="00FB38E1" w14:paraId="17FED100" w14:textId="77777777" w:rsidTr="0027513D">
        <w:trPr>
          <w:trHeight w:val="121"/>
        </w:trPr>
        <w:tc>
          <w:tcPr>
            <w:tcW w:w="274" w:type="pct"/>
            <w:shd w:val="clear" w:color="auto" w:fill="auto"/>
            <w:tcMar>
              <w:left w:w="57" w:type="dxa"/>
              <w:right w:w="57" w:type="dxa"/>
            </w:tcMar>
            <w:vAlign w:val="bottom"/>
          </w:tcPr>
          <w:p w14:paraId="2A7FD2B8" w14:textId="2BFA6445"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5.1.</w:t>
            </w:r>
          </w:p>
        </w:tc>
        <w:tc>
          <w:tcPr>
            <w:tcW w:w="1462" w:type="pct"/>
            <w:shd w:val="clear" w:color="auto" w:fill="auto"/>
            <w:tcMar>
              <w:left w:w="57" w:type="dxa"/>
              <w:right w:w="57" w:type="dxa"/>
            </w:tcMar>
            <w:vAlign w:val="bottom"/>
          </w:tcPr>
          <w:p w14:paraId="04C3A2AE" w14:textId="610382A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Menkul Kıymetler</w:t>
            </w:r>
          </w:p>
        </w:tc>
        <w:tc>
          <w:tcPr>
            <w:tcW w:w="267" w:type="pct"/>
            <w:shd w:val="clear" w:color="auto" w:fill="auto"/>
            <w:tcMar>
              <w:left w:w="57" w:type="dxa"/>
              <w:right w:w="57" w:type="dxa"/>
            </w:tcMar>
            <w:vAlign w:val="bottom"/>
          </w:tcPr>
          <w:p w14:paraId="6044ABC6"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117FC31" w14:textId="149C0F4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18.425.544</w:t>
            </w:r>
          </w:p>
        </w:tc>
        <w:tc>
          <w:tcPr>
            <w:tcW w:w="527" w:type="pct"/>
            <w:vAlign w:val="bottom"/>
          </w:tcPr>
          <w:p w14:paraId="7E6D4032" w14:textId="1812768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6.732.715</w:t>
            </w:r>
          </w:p>
        </w:tc>
        <w:tc>
          <w:tcPr>
            <w:tcW w:w="527" w:type="pct"/>
            <w:vAlign w:val="bottom"/>
          </w:tcPr>
          <w:p w14:paraId="56677600" w14:textId="45DD480F"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25.158.259</w:t>
            </w:r>
          </w:p>
        </w:tc>
        <w:tc>
          <w:tcPr>
            <w:tcW w:w="473" w:type="pct"/>
            <w:shd w:val="clear" w:color="auto" w:fill="auto"/>
            <w:tcMar>
              <w:left w:w="57" w:type="dxa"/>
              <w:right w:w="57" w:type="dxa"/>
            </w:tcMar>
            <w:vAlign w:val="bottom"/>
          </w:tcPr>
          <w:p w14:paraId="457EBE78" w14:textId="0EE5880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14.042.517</w:t>
            </w:r>
          </w:p>
        </w:tc>
        <w:tc>
          <w:tcPr>
            <w:tcW w:w="473" w:type="pct"/>
            <w:shd w:val="clear" w:color="auto" w:fill="auto"/>
            <w:tcMar>
              <w:left w:w="57" w:type="dxa"/>
              <w:right w:w="57" w:type="dxa"/>
            </w:tcMar>
            <w:vAlign w:val="bottom"/>
          </w:tcPr>
          <w:p w14:paraId="2A5DDEE2" w14:textId="371E6094"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5.189.215</w:t>
            </w:r>
          </w:p>
        </w:tc>
        <w:tc>
          <w:tcPr>
            <w:tcW w:w="470" w:type="pct"/>
            <w:shd w:val="clear" w:color="auto" w:fill="auto"/>
            <w:tcMar>
              <w:left w:w="57" w:type="dxa"/>
              <w:right w:w="57" w:type="dxa"/>
            </w:tcMar>
            <w:vAlign w:val="bottom"/>
          </w:tcPr>
          <w:p w14:paraId="6E3C3D0B" w14:textId="7AB8787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19.231.732</w:t>
            </w:r>
          </w:p>
        </w:tc>
      </w:tr>
      <w:tr w:rsidR="0027513D" w:rsidRPr="00FB38E1" w14:paraId="3CD4DFE6" w14:textId="77777777" w:rsidTr="0027513D">
        <w:trPr>
          <w:trHeight w:val="121"/>
        </w:trPr>
        <w:tc>
          <w:tcPr>
            <w:tcW w:w="274" w:type="pct"/>
            <w:shd w:val="clear" w:color="auto" w:fill="auto"/>
            <w:tcMar>
              <w:left w:w="57" w:type="dxa"/>
              <w:right w:w="57" w:type="dxa"/>
            </w:tcMar>
            <w:vAlign w:val="bottom"/>
          </w:tcPr>
          <w:p w14:paraId="25A4A62C" w14:textId="5AC63D6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5.2.</w:t>
            </w:r>
          </w:p>
        </w:tc>
        <w:tc>
          <w:tcPr>
            <w:tcW w:w="1462" w:type="pct"/>
            <w:shd w:val="clear" w:color="auto" w:fill="auto"/>
            <w:tcMar>
              <w:left w:w="57" w:type="dxa"/>
              <w:right w:w="57" w:type="dxa"/>
            </w:tcMar>
            <w:vAlign w:val="bottom"/>
          </w:tcPr>
          <w:p w14:paraId="3887B02A" w14:textId="4BD674A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Teminat Senetleri</w:t>
            </w:r>
          </w:p>
        </w:tc>
        <w:tc>
          <w:tcPr>
            <w:tcW w:w="267" w:type="pct"/>
            <w:shd w:val="clear" w:color="auto" w:fill="auto"/>
            <w:tcMar>
              <w:left w:w="57" w:type="dxa"/>
              <w:right w:w="57" w:type="dxa"/>
            </w:tcMar>
            <w:vAlign w:val="bottom"/>
          </w:tcPr>
          <w:p w14:paraId="487E0E5A"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5DB8BAA" w14:textId="1BA0230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3.492.388.879</w:t>
            </w:r>
          </w:p>
        </w:tc>
        <w:tc>
          <w:tcPr>
            <w:tcW w:w="527" w:type="pct"/>
            <w:vAlign w:val="bottom"/>
          </w:tcPr>
          <w:p w14:paraId="28DA8760" w14:textId="1AE0E3D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626.775.085</w:t>
            </w:r>
          </w:p>
        </w:tc>
        <w:tc>
          <w:tcPr>
            <w:tcW w:w="527" w:type="pct"/>
            <w:vAlign w:val="bottom"/>
          </w:tcPr>
          <w:p w14:paraId="1C980B90" w14:textId="053D27D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4.119.163.964</w:t>
            </w:r>
          </w:p>
        </w:tc>
        <w:tc>
          <w:tcPr>
            <w:tcW w:w="473" w:type="pct"/>
            <w:shd w:val="clear" w:color="auto" w:fill="auto"/>
            <w:tcMar>
              <w:left w:w="57" w:type="dxa"/>
              <w:right w:w="57" w:type="dxa"/>
            </w:tcMar>
            <w:vAlign w:val="bottom"/>
          </w:tcPr>
          <w:p w14:paraId="26F97D65" w14:textId="6505148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1.559.666.872</w:t>
            </w:r>
          </w:p>
        </w:tc>
        <w:tc>
          <w:tcPr>
            <w:tcW w:w="473" w:type="pct"/>
            <w:shd w:val="clear" w:color="auto" w:fill="auto"/>
            <w:tcMar>
              <w:left w:w="57" w:type="dxa"/>
              <w:right w:w="57" w:type="dxa"/>
            </w:tcMar>
            <w:vAlign w:val="bottom"/>
          </w:tcPr>
          <w:p w14:paraId="4C4C5858" w14:textId="6A22C40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484.942.734</w:t>
            </w:r>
          </w:p>
        </w:tc>
        <w:tc>
          <w:tcPr>
            <w:tcW w:w="470" w:type="pct"/>
            <w:shd w:val="clear" w:color="auto" w:fill="auto"/>
            <w:tcMar>
              <w:left w:w="57" w:type="dxa"/>
              <w:right w:w="57" w:type="dxa"/>
            </w:tcMar>
            <w:vAlign w:val="bottom"/>
          </w:tcPr>
          <w:p w14:paraId="27E5FAD7" w14:textId="57FF28B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2.044.609.606</w:t>
            </w:r>
          </w:p>
        </w:tc>
      </w:tr>
      <w:tr w:rsidR="0027513D" w:rsidRPr="00FB38E1" w14:paraId="6F701468" w14:textId="77777777" w:rsidTr="0027513D">
        <w:trPr>
          <w:trHeight w:val="121"/>
        </w:trPr>
        <w:tc>
          <w:tcPr>
            <w:tcW w:w="274" w:type="pct"/>
            <w:shd w:val="clear" w:color="auto" w:fill="auto"/>
            <w:tcMar>
              <w:left w:w="57" w:type="dxa"/>
              <w:right w:w="57" w:type="dxa"/>
            </w:tcMar>
            <w:vAlign w:val="bottom"/>
          </w:tcPr>
          <w:p w14:paraId="4D9E5392" w14:textId="0715BF22"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5.3.</w:t>
            </w:r>
          </w:p>
        </w:tc>
        <w:tc>
          <w:tcPr>
            <w:tcW w:w="1462" w:type="pct"/>
            <w:shd w:val="clear" w:color="auto" w:fill="auto"/>
            <w:tcMar>
              <w:left w:w="57" w:type="dxa"/>
              <w:right w:w="57" w:type="dxa"/>
            </w:tcMar>
            <w:vAlign w:val="bottom"/>
          </w:tcPr>
          <w:p w14:paraId="4DF8D9C9" w14:textId="3185679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Emtia</w:t>
            </w:r>
          </w:p>
        </w:tc>
        <w:tc>
          <w:tcPr>
            <w:tcW w:w="267" w:type="pct"/>
            <w:shd w:val="clear" w:color="auto" w:fill="auto"/>
            <w:tcMar>
              <w:left w:w="57" w:type="dxa"/>
              <w:right w:w="57" w:type="dxa"/>
            </w:tcMar>
            <w:vAlign w:val="bottom"/>
          </w:tcPr>
          <w:p w14:paraId="5EC7D460"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4B7553DC" w14:textId="0CEF5C0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86.779.625</w:t>
            </w:r>
          </w:p>
        </w:tc>
        <w:tc>
          <w:tcPr>
            <w:tcW w:w="527" w:type="pct"/>
            <w:vAlign w:val="bottom"/>
          </w:tcPr>
          <w:p w14:paraId="20793190" w14:textId="6688096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83.043.243</w:t>
            </w:r>
          </w:p>
        </w:tc>
        <w:tc>
          <w:tcPr>
            <w:tcW w:w="527" w:type="pct"/>
            <w:vAlign w:val="bottom"/>
          </w:tcPr>
          <w:p w14:paraId="75E4E256" w14:textId="6050B4B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169.822.868</w:t>
            </w:r>
          </w:p>
        </w:tc>
        <w:tc>
          <w:tcPr>
            <w:tcW w:w="473" w:type="pct"/>
            <w:shd w:val="clear" w:color="auto" w:fill="auto"/>
            <w:tcMar>
              <w:left w:w="57" w:type="dxa"/>
              <w:right w:w="57" w:type="dxa"/>
            </w:tcMar>
            <w:vAlign w:val="bottom"/>
          </w:tcPr>
          <w:p w14:paraId="332B5758" w14:textId="1543F5AE"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46.639.573</w:t>
            </w:r>
          </w:p>
        </w:tc>
        <w:tc>
          <w:tcPr>
            <w:tcW w:w="473" w:type="pct"/>
            <w:shd w:val="clear" w:color="auto" w:fill="auto"/>
            <w:tcMar>
              <w:left w:w="57" w:type="dxa"/>
              <w:right w:w="57" w:type="dxa"/>
            </w:tcMar>
            <w:vAlign w:val="bottom"/>
          </w:tcPr>
          <w:p w14:paraId="20C29719" w14:textId="63EBB07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66.824.496</w:t>
            </w:r>
          </w:p>
        </w:tc>
        <w:tc>
          <w:tcPr>
            <w:tcW w:w="470" w:type="pct"/>
            <w:shd w:val="clear" w:color="auto" w:fill="auto"/>
            <w:tcMar>
              <w:left w:w="57" w:type="dxa"/>
              <w:right w:w="57" w:type="dxa"/>
            </w:tcMar>
            <w:vAlign w:val="bottom"/>
          </w:tcPr>
          <w:p w14:paraId="642B6289" w14:textId="364C151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113.464.069</w:t>
            </w:r>
          </w:p>
        </w:tc>
      </w:tr>
      <w:tr w:rsidR="0027513D" w:rsidRPr="00FB38E1" w14:paraId="1AB6378D" w14:textId="77777777" w:rsidTr="0027513D">
        <w:trPr>
          <w:trHeight w:val="121"/>
        </w:trPr>
        <w:tc>
          <w:tcPr>
            <w:tcW w:w="274" w:type="pct"/>
            <w:shd w:val="clear" w:color="auto" w:fill="auto"/>
            <w:tcMar>
              <w:left w:w="57" w:type="dxa"/>
              <w:right w:w="57" w:type="dxa"/>
            </w:tcMar>
            <w:vAlign w:val="bottom"/>
          </w:tcPr>
          <w:p w14:paraId="39CBD68A" w14:textId="6F189B90"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5.4.</w:t>
            </w:r>
          </w:p>
        </w:tc>
        <w:tc>
          <w:tcPr>
            <w:tcW w:w="1462" w:type="pct"/>
            <w:shd w:val="clear" w:color="auto" w:fill="auto"/>
            <w:tcMar>
              <w:left w:w="57" w:type="dxa"/>
              <w:right w:w="57" w:type="dxa"/>
            </w:tcMar>
            <w:vAlign w:val="bottom"/>
          </w:tcPr>
          <w:p w14:paraId="5BF2303E" w14:textId="20D6A2C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Varant</w:t>
            </w:r>
          </w:p>
        </w:tc>
        <w:tc>
          <w:tcPr>
            <w:tcW w:w="267" w:type="pct"/>
            <w:shd w:val="clear" w:color="auto" w:fill="auto"/>
            <w:tcMar>
              <w:left w:w="57" w:type="dxa"/>
              <w:right w:w="57" w:type="dxa"/>
            </w:tcMar>
            <w:vAlign w:val="bottom"/>
          </w:tcPr>
          <w:p w14:paraId="753198A1"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110F2FF7" w14:textId="6A7B43E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14523CFF" w14:textId="08B37E9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733D01F3" w14:textId="34C7DD0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AB95E17" w14:textId="2E2E1B9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045B46BD" w14:textId="4C0455DC"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3CB584D8" w14:textId="175E191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0C3D836E" w14:textId="77777777" w:rsidTr="0027513D">
        <w:trPr>
          <w:trHeight w:val="121"/>
        </w:trPr>
        <w:tc>
          <w:tcPr>
            <w:tcW w:w="274" w:type="pct"/>
            <w:shd w:val="clear" w:color="auto" w:fill="auto"/>
            <w:tcMar>
              <w:left w:w="57" w:type="dxa"/>
              <w:right w:w="57" w:type="dxa"/>
            </w:tcMar>
            <w:vAlign w:val="bottom"/>
          </w:tcPr>
          <w:p w14:paraId="5B7DD0F9" w14:textId="14AB5AAF"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5.5.</w:t>
            </w:r>
          </w:p>
        </w:tc>
        <w:tc>
          <w:tcPr>
            <w:tcW w:w="1462" w:type="pct"/>
            <w:shd w:val="clear" w:color="auto" w:fill="auto"/>
            <w:tcMar>
              <w:left w:w="57" w:type="dxa"/>
              <w:right w:w="57" w:type="dxa"/>
            </w:tcMar>
            <w:vAlign w:val="bottom"/>
          </w:tcPr>
          <w:p w14:paraId="04C6B581" w14:textId="2433C6AD"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Gayrimenkul</w:t>
            </w:r>
          </w:p>
        </w:tc>
        <w:tc>
          <w:tcPr>
            <w:tcW w:w="267" w:type="pct"/>
            <w:shd w:val="clear" w:color="auto" w:fill="auto"/>
            <w:tcMar>
              <w:left w:w="57" w:type="dxa"/>
              <w:right w:w="57" w:type="dxa"/>
            </w:tcMar>
            <w:vAlign w:val="bottom"/>
          </w:tcPr>
          <w:p w14:paraId="562DCF8F"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09DE9A11" w14:textId="5313790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843.846.264</w:t>
            </w:r>
          </w:p>
        </w:tc>
        <w:tc>
          <w:tcPr>
            <w:tcW w:w="527" w:type="pct"/>
            <w:vAlign w:val="bottom"/>
          </w:tcPr>
          <w:p w14:paraId="7D9BC080" w14:textId="6B84963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913.497.516</w:t>
            </w:r>
          </w:p>
        </w:tc>
        <w:tc>
          <w:tcPr>
            <w:tcW w:w="527" w:type="pct"/>
            <w:vAlign w:val="bottom"/>
          </w:tcPr>
          <w:p w14:paraId="15D626FB" w14:textId="2631D40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1.757.343.780</w:t>
            </w:r>
          </w:p>
        </w:tc>
        <w:tc>
          <w:tcPr>
            <w:tcW w:w="473" w:type="pct"/>
            <w:shd w:val="clear" w:color="auto" w:fill="auto"/>
            <w:tcMar>
              <w:left w:w="57" w:type="dxa"/>
              <w:right w:w="57" w:type="dxa"/>
            </w:tcMar>
            <w:vAlign w:val="bottom"/>
          </w:tcPr>
          <w:p w14:paraId="3680758B" w14:textId="63C41AD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614.983.795</w:t>
            </w:r>
          </w:p>
        </w:tc>
        <w:tc>
          <w:tcPr>
            <w:tcW w:w="473" w:type="pct"/>
            <w:shd w:val="clear" w:color="auto" w:fill="auto"/>
            <w:tcMar>
              <w:left w:w="57" w:type="dxa"/>
              <w:right w:w="57" w:type="dxa"/>
            </w:tcMar>
            <w:vAlign w:val="bottom"/>
          </w:tcPr>
          <w:p w14:paraId="792A321B" w14:textId="18723C3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658.284.287</w:t>
            </w:r>
          </w:p>
        </w:tc>
        <w:tc>
          <w:tcPr>
            <w:tcW w:w="470" w:type="pct"/>
            <w:shd w:val="clear" w:color="auto" w:fill="auto"/>
            <w:tcMar>
              <w:left w:w="57" w:type="dxa"/>
              <w:right w:w="57" w:type="dxa"/>
            </w:tcMar>
            <w:vAlign w:val="bottom"/>
          </w:tcPr>
          <w:p w14:paraId="62D12321" w14:textId="70BB377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1.273.268.082</w:t>
            </w:r>
          </w:p>
        </w:tc>
      </w:tr>
      <w:tr w:rsidR="0027513D" w:rsidRPr="00FB38E1" w14:paraId="0E908866" w14:textId="77777777" w:rsidTr="0027513D">
        <w:trPr>
          <w:trHeight w:val="121"/>
        </w:trPr>
        <w:tc>
          <w:tcPr>
            <w:tcW w:w="274" w:type="pct"/>
            <w:shd w:val="clear" w:color="auto" w:fill="auto"/>
            <w:tcMar>
              <w:left w:w="57" w:type="dxa"/>
              <w:right w:w="57" w:type="dxa"/>
            </w:tcMar>
            <w:vAlign w:val="bottom"/>
          </w:tcPr>
          <w:p w14:paraId="2EE7CFA7" w14:textId="185EC22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5.6.</w:t>
            </w:r>
          </w:p>
        </w:tc>
        <w:tc>
          <w:tcPr>
            <w:tcW w:w="1462" w:type="pct"/>
            <w:shd w:val="clear" w:color="auto" w:fill="auto"/>
            <w:tcMar>
              <w:left w:w="57" w:type="dxa"/>
              <w:right w:w="57" w:type="dxa"/>
            </w:tcMar>
            <w:vAlign w:val="bottom"/>
          </w:tcPr>
          <w:p w14:paraId="0E161875" w14:textId="0F3FBF3E"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Rehinli Kıymetler</w:t>
            </w:r>
          </w:p>
        </w:tc>
        <w:tc>
          <w:tcPr>
            <w:tcW w:w="267" w:type="pct"/>
            <w:shd w:val="clear" w:color="auto" w:fill="auto"/>
            <w:tcMar>
              <w:left w:w="57" w:type="dxa"/>
              <w:right w:w="57" w:type="dxa"/>
            </w:tcMar>
            <w:vAlign w:val="bottom"/>
          </w:tcPr>
          <w:p w14:paraId="00B4EB5E"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04EE7AB" w14:textId="4A9A284D"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161.239.412</w:t>
            </w:r>
          </w:p>
        </w:tc>
        <w:tc>
          <w:tcPr>
            <w:tcW w:w="527" w:type="pct"/>
            <w:vAlign w:val="bottom"/>
          </w:tcPr>
          <w:p w14:paraId="18C4A06B" w14:textId="4DF1E939"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227.215.944</w:t>
            </w:r>
          </w:p>
        </w:tc>
        <w:tc>
          <w:tcPr>
            <w:tcW w:w="527" w:type="pct"/>
            <w:vAlign w:val="bottom"/>
          </w:tcPr>
          <w:p w14:paraId="10E603E2" w14:textId="42D6647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388.455.356</w:t>
            </w:r>
          </w:p>
        </w:tc>
        <w:tc>
          <w:tcPr>
            <w:tcW w:w="473" w:type="pct"/>
            <w:shd w:val="clear" w:color="auto" w:fill="auto"/>
            <w:tcMar>
              <w:left w:w="57" w:type="dxa"/>
              <w:right w:w="57" w:type="dxa"/>
            </w:tcMar>
            <w:vAlign w:val="bottom"/>
          </w:tcPr>
          <w:p w14:paraId="37B624BB" w14:textId="62F3D64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109.403.286</w:t>
            </w:r>
          </w:p>
        </w:tc>
        <w:tc>
          <w:tcPr>
            <w:tcW w:w="473" w:type="pct"/>
            <w:shd w:val="clear" w:color="auto" w:fill="auto"/>
            <w:tcMar>
              <w:left w:w="57" w:type="dxa"/>
              <w:right w:w="57" w:type="dxa"/>
            </w:tcMar>
            <w:vAlign w:val="bottom"/>
          </w:tcPr>
          <w:p w14:paraId="61ABDA85" w14:textId="3CDDC025"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180.950.112</w:t>
            </w:r>
          </w:p>
        </w:tc>
        <w:tc>
          <w:tcPr>
            <w:tcW w:w="470" w:type="pct"/>
            <w:shd w:val="clear" w:color="auto" w:fill="auto"/>
            <w:tcMar>
              <w:left w:w="57" w:type="dxa"/>
              <w:right w:w="57" w:type="dxa"/>
            </w:tcMar>
            <w:vAlign w:val="bottom"/>
          </w:tcPr>
          <w:p w14:paraId="18EB1BA7" w14:textId="6C2A3221"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290.353.398</w:t>
            </w:r>
          </w:p>
        </w:tc>
      </w:tr>
      <w:tr w:rsidR="0027513D" w:rsidRPr="00FB38E1" w14:paraId="37011736" w14:textId="77777777" w:rsidTr="0027513D">
        <w:trPr>
          <w:trHeight w:val="121"/>
        </w:trPr>
        <w:tc>
          <w:tcPr>
            <w:tcW w:w="274" w:type="pct"/>
            <w:shd w:val="clear" w:color="auto" w:fill="auto"/>
            <w:tcMar>
              <w:left w:w="57" w:type="dxa"/>
              <w:right w:w="57" w:type="dxa"/>
            </w:tcMar>
            <w:vAlign w:val="bottom"/>
          </w:tcPr>
          <w:p w14:paraId="59CD6368" w14:textId="42467238"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5.7.</w:t>
            </w:r>
          </w:p>
        </w:tc>
        <w:tc>
          <w:tcPr>
            <w:tcW w:w="1462" w:type="pct"/>
            <w:shd w:val="clear" w:color="auto" w:fill="auto"/>
            <w:tcMar>
              <w:left w:w="57" w:type="dxa"/>
              <w:right w:w="57" w:type="dxa"/>
            </w:tcMar>
            <w:vAlign w:val="bottom"/>
          </w:tcPr>
          <w:p w14:paraId="376B6905" w14:textId="34840D36"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Rehinli Kıymet Alanlar</w:t>
            </w:r>
          </w:p>
        </w:tc>
        <w:tc>
          <w:tcPr>
            <w:tcW w:w="267" w:type="pct"/>
            <w:shd w:val="clear" w:color="auto" w:fill="auto"/>
            <w:tcMar>
              <w:left w:w="57" w:type="dxa"/>
              <w:right w:w="57" w:type="dxa"/>
            </w:tcMar>
            <w:vAlign w:val="bottom"/>
          </w:tcPr>
          <w:p w14:paraId="2EA8AF4C"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352D0837" w14:textId="67E36FD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78C1621" w14:textId="5071012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527" w:type="pct"/>
            <w:vAlign w:val="bottom"/>
          </w:tcPr>
          <w:p w14:paraId="38E9CA57" w14:textId="1EA36320"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1859BF38" w14:textId="6D9917F2"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3" w:type="pct"/>
            <w:shd w:val="clear" w:color="auto" w:fill="auto"/>
            <w:tcMar>
              <w:left w:w="57" w:type="dxa"/>
              <w:right w:w="57" w:type="dxa"/>
            </w:tcMar>
            <w:vAlign w:val="bottom"/>
          </w:tcPr>
          <w:p w14:paraId="46097B32" w14:textId="07BE9957"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470" w:type="pct"/>
            <w:shd w:val="clear" w:color="auto" w:fill="auto"/>
            <w:tcMar>
              <w:left w:w="57" w:type="dxa"/>
              <w:right w:w="57" w:type="dxa"/>
            </w:tcMar>
            <w:vAlign w:val="bottom"/>
          </w:tcPr>
          <w:p w14:paraId="74C7FB50" w14:textId="377A6828"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r>
      <w:tr w:rsidR="0027513D" w:rsidRPr="00FB38E1" w14:paraId="51A67BE6" w14:textId="77777777" w:rsidTr="0027513D">
        <w:trPr>
          <w:trHeight w:val="146"/>
        </w:trPr>
        <w:tc>
          <w:tcPr>
            <w:tcW w:w="274" w:type="pct"/>
            <w:shd w:val="clear" w:color="auto" w:fill="auto"/>
            <w:tcMar>
              <w:left w:w="57" w:type="dxa"/>
              <w:right w:w="57" w:type="dxa"/>
            </w:tcMar>
            <w:vAlign w:val="bottom"/>
          </w:tcPr>
          <w:p w14:paraId="3FE442DE" w14:textId="768B416B"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VI.</w:t>
            </w:r>
          </w:p>
        </w:tc>
        <w:tc>
          <w:tcPr>
            <w:tcW w:w="1462" w:type="pct"/>
            <w:shd w:val="clear" w:color="auto" w:fill="auto"/>
            <w:tcMar>
              <w:left w:w="57" w:type="dxa"/>
              <w:right w:w="57" w:type="dxa"/>
            </w:tcMar>
            <w:vAlign w:val="bottom"/>
          </w:tcPr>
          <w:p w14:paraId="32E606BB" w14:textId="24D7BD91"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KABUL EDİLEN AVALLER VE KEFALETLER</w:t>
            </w:r>
          </w:p>
        </w:tc>
        <w:tc>
          <w:tcPr>
            <w:tcW w:w="267" w:type="pct"/>
            <w:shd w:val="clear" w:color="auto" w:fill="auto"/>
            <w:tcMar>
              <w:left w:w="57" w:type="dxa"/>
              <w:right w:w="57" w:type="dxa"/>
            </w:tcMar>
            <w:vAlign w:val="bottom"/>
          </w:tcPr>
          <w:p w14:paraId="3D9D03BC" w14:textId="77777777" w:rsidR="0027513D" w:rsidRPr="00FB38E1" w:rsidRDefault="0027513D" w:rsidP="0027513D">
            <w:pPr>
              <w:rPr>
                <w:rFonts w:ascii="Microsoft Sans Serif" w:hAnsi="Microsoft Sans Serif" w:cs="Microsoft Sans Serif"/>
                <w:sz w:val="12"/>
                <w:szCs w:val="12"/>
              </w:rPr>
            </w:pPr>
          </w:p>
        </w:tc>
        <w:tc>
          <w:tcPr>
            <w:tcW w:w="527" w:type="pct"/>
            <w:vAlign w:val="bottom"/>
          </w:tcPr>
          <w:p w14:paraId="0666DC4C" w14:textId="1862CA0E"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9.632.996</w:t>
            </w:r>
          </w:p>
        </w:tc>
        <w:tc>
          <w:tcPr>
            <w:tcW w:w="527" w:type="pct"/>
            <w:vAlign w:val="bottom"/>
          </w:tcPr>
          <w:p w14:paraId="0900702E" w14:textId="6DBF0D7F"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3.003.742</w:t>
            </w:r>
          </w:p>
        </w:tc>
        <w:tc>
          <w:tcPr>
            <w:tcW w:w="527" w:type="pct"/>
            <w:vAlign w:val="bottom"/>
          </w:tcPr>
          <w:p w14:paraId="49DDA41D" w14:textId="2147BB3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12.636.738</w:t>
            </w:r>
          </w:p>
        </w:tc>
        <w:tc>
          <w:tcPr>
            <w:tcW w:w="473" w:type="pct"/>
            <w:shd w:val="clear" w:color="auto" w:fill="auto"/>
            <w:tcMar>
              <w:left w:w="57" w:type="dxa"/>
              <w:right w:w="57" w:type="dxa"/>
            </w:tcMar>
            <w:vAlign w:val="bottom"/>
          </w:tcPr>
          <w:p w14:paraId="4BA507EE" w14:textId="5958CB12"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3.339.018</w:t>
            </w:r>
          </w:p>
        </w:tc>
        <w:tc>
          <w:tcPr>
            <w:tcW w:w="473" w:type="pct"/>
            <w:shd w:val="clear" w:color="auto" w:fill="auto"/>
            <w:tcMar>
              <w:left w:w="57" w:type="dxa"/>
              <w:right w:w="57" w:type="dxa"/>
            </w:tcMar>
            <w:vAlign w:val="bottom"/>
          </w:tcPr>
          <w:p w14:paraId="152E1DFD" w14:textId="6C0ACCC6"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5.123.884</w:t>
            </w:r>
          </w:p>
        </w:tc>
        <w:tc>
          <w:tcPr>
            <w:tcW w:w="470" w:type="pct"/>
            <w:shd w:val="clear" w:color="auto" w:fill="auto"/>
            <w:tcMar>
              <w:left w:w="57" w:type="dxa"/>
              <w:right w:w="57" w:type="dxa"/>
            </w:tcMar>
            <w:vAlign w:val="bottom"/>
          </w:tcPr>
          <w:p w14:paraId="2541354C" w14:textId="4D4DD369"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8.462.902</w:t>
            </w:r>
          </w:p>
        </w:tc>
      </w:tr>
      <w:tr w:rsidR="0027513D" w:rsidRPr="00FB38E1" w14:paraId="20A9E9D3" w14:textId="77777777" w:rsidTr="0027513D">
        <w:trPr>
          <w:trHeight w:val="121"/>
        </w:trPr>
        <w:tc>
          <w:tcPr>
            <w:tcW w:w="274" w:type="pct"/>
            <w:tcBorders>
              <w:bottom w:val="single" w:sz="4" w:space="0" w:color="auto"/>
            </w:tcBorders>
            <w:shd w:val="clear" w:color="auto" w:fill="auto"/>
            <w:tcMar>
              <w:left w:w="57" w:type="dxa"/>
              <w:right w:w="57" w:type="dxa"/>
            </w:tcMar>
            <w:vAlign w:val="bottom"/>
          </w:tcPr>
          <w:p w14:paraId="7AEC17D8" w14:textId="77777777" w:rsidR="0027513D" w:rsidRPr="00FB38E1" w:rsidRDefault="0027513D" w:rsidP="0027513D">
            <w:pPr>
              <w:rPr>
                <w:rFonts w:ascii="Microsoft Sans Serif" w:hAnsi="Microsoft Sans Serif" w:cs="Microsoft Sans Serif"/>
                <w:sz w:val="12"/>
                <w:szCs w:val="12"/>
              </w:rPr>
            </w:pPr>
          </w:p>
        </w:tc>
        <w:tc>
          <w:tcPr>
            <w:tcW w:w="1462" w:type="pct"/>
            <w:tcBorders>
              <w:bottom w:val="single" w:sz="4" w:space="0" w:color="auto"/>
            </w:tcBorders>
            <w:shd w:val="clear" w:color="auto" w:fill="auto"/>
            <w:tcMar>
              <w:left w:w="57" w:type="dxa"/>
              <w:right w:w="57" w:type="dxa"/>
            </w:tcMar>
            <w:vAlign w:val="bottom"/>
          </w:tcPr>
          <w:p w14:paraId="4E5BABE2" w14:textId="77777777" w:rsidR="0027513D" w:rsidRPr="00FB38E1" w:rsidRDefault="0027513D" w:rsidP="0027513D">
            <w:pPr>
              <w:rPr>
                <w:rFonts w:ascii="Microsoft Sans Serif" w:hAnsi="Microsoft Sans Serif" w:cs="Microsoft Sans Serif"/>
                <w:sz w:val="12"/>
                <w:szCs w:val="12"/>
              </w:rPr>
            </w:pPr>
          </w:p>
        </w:tc>
        <w:tc>
          <w:tcPr>
            <w:tcW w:w="267" w:type="pct"/>
            <w:tcBorders>
              <w:bottom w:val="single" w:sz="4" w:space="0" w:color="auto"/>
            </w:tcBorders>
            <w:shd w:val="clear" w:color="auto" w:fill="auto"/>
            <w:tcMar>
              <w:left w:w="57" w:type="dxa"/>
              <w:right w:w="57" w:type="dxa"/>
            </w:tcMar>
            <w:vAlign w:val="bottom"/>
          </w:tcPr>
          <w:p w14:paraId="2DDDE507" w14:textId="77777777" w:rsidR="0027513D" w:rsidRPr="00FB38E1" w:rsidRDefault="0027513D" w:rsidP="0027513D">
            <w:pPr>
              <w:jc w:val="center"/>
              <w:rPr>
                <w:rFonts w:ascii="Microsoft Sans Serif" w:hAnsi="Microsoft Sans Serif" w:cs="Microsoft Sans Serif"/>
                <w:sz w:val="12"/>
                <w:szCs w:val="12"/>
              </w:rPr>
            </w:pPr>
          </w:p>
        </w:tc>
        <w:tc>
          <w:tcPr>
            <w:tcW w:w="527" w:type="pct"/>
            <w:tcBorders>
              <w:bottom w:val="single" w:sz="4" w:space="0" w:color="auto"/>
            </w:tcBorders>
            <w:vAlign w:val="bottom"/>
          </w:tcPr>
          <w:p w14:paraId="2329A07E" w14:textId="14F27FBB"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527" w:type="pct"/>
            <w:tcBorders>
              <w:bottom w:val="single" w:sz="4" w:space="0" w:color="auto"/>
            </w:tcBorders>
            <w:vAlign w:val="bottom"/>
          </w:tcPr>
          <w:p w14:paraId="503FAEC9" w14:textId="4354EDFA"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527" w:type="pct"/>
            <w:tcBorders>
              <w:bottom w:val="single" w:sz="4" w:space="0" w:color="auto"/>
            </w:tcBorders>
            <w:vAlign w:val="bottom"/>
          </w:tcPr>
          <w:p w14:paraId="7AC363D6" w14:textId="557EC663" w:rsidR="0027513D" w:rsidRPr="00FB38E1" w:rsidRDefault="0027513D" w:rsidP="0027513D">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473" w:type="pct"/>
            <w:tcBorders>
              <w:bottom w:val="single" w:sz="4" w:space="0" w:color="auto"/>
            </w:tcBorders>
            <w:shd w:val="clear" w:color="auto" w:fill="auto"/>
            <w:tcMar>
              <w:left w:w="57" w:type="dxa"/>
              <w:right w:w="57" w:type="dxa"/>
            </w:tcMar>
            <w:vAlign w:val="bottom"/>
          </w:tcPr>
          <w:p w14:paraId="34A814E9" w14:textId="05516F9F" w:rsidR="0027513D" w:rsidRPr="00FB38E1" w:rsidRDefault="0027513D" w:rsidP="0027513D">
            <w:pPr>
              <w:jc w:val="lef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473" w:type="pct"/>
            <w:tcBorders>
              <w:bottom w:val="single" w:sz="4" w:space="0" w:color="auto"/>
            </w:tcBorders>
            <w:shd w:val="clear" w:color="auto" w:fill="auto"/>
            <w:tcMar>
              <w:left w:w="57" w:type="dxa"/>
              <w:right w:w="57" w:type="dxa"/>
            </w:tcMar>
            <w:vAlign w:val="bottom"/>
          </w:tcPr>
          <w:p w14:paraId="2F37008B" w14:textId="7DFDC236"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470" w:type="pct"/>
            <w:tcBorders>
              <w:bottom w:val="single" w:sz="4" w:space="0" w:color="auto"/>
            </w:tcBorders>
            <w:shd w:val="clear" w:color="auto" w:fill="auto"/>
            <w:tcMar>
              <w:left w:w="57" w:type="dxa"/>
              <w:right w:w="57" w:type="dxa"/>
            </w:tcMar>
            <w:vAlign w:val="bottom"/>
          </w:tcPr>
          <w:p w14:paraId="6C1C9C6D" w14:textId="15273D81"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r>
      <w:tr w:rsidR="0027513D" w:rsidRPr="00FB38E1" w14:paraId="64B97F2F" w14:textId="77777777" w:rsidTr="0027513D">
        <w:trPr>
          <w:trHeight w:val="53"/>
        </w:trPr>
        <w:tc>
          <w:tcPr>
            <w:tcW w:w="274" w:type="pct"/>
            <w:tcBorders>
              <w:top w:val="single" w:sz="4" w:space="0" w:color="auto"/>
              <w:bottom w:val="single" w:sz="12" w:space="0" w:color="auto"/>
            </w:tcBorders>
            <w:shd w:val="clear" w:color="auto" w:fill="auto"/>
            <w:tcMar>
              <w:left w:w="57" w:type="dxa"/>
              <w:right w:w="57" w:type="dxa"/>
            </w:tcMar>
            <w:vAlign w:val="bottom"/>
          </w:tcPr>
          <w:p w14:paraId="317C109B" w14:textId="7777777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1462" w:type="pct"/>
            <w:tcBorders>
              <w:top w:val="single" w:sz="4" w:space="0" w:color="auto"/>
              <w:bottom w:val="single" w:sz="12" w:space="0" w:color="auto"/>
            </w:tcBorders>
            <w:shd w:val="clear" w:color="auto" w:fill="auto"/>
            <w:tcMar>
              <w:left w:w="57" w:type="dxa"/>
              <w:right w:w="57" w:type="dxa"/>
            </w:tcMar>
            <w:vAlign w:val="bottom"/>
          </w:tcPr>
          <w:p w14:paraId="7F95D2B0" w14:textId="4C140BC4" w:rsidR="0027513D" w:rsidRPr="00FB38E1" w:rsidRDefault="0027513D" w:rsidP="0027513D">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BİLANÇO DIŞI HESAPLAR TOPLAMI (A+B)</w:t>
            </w:r>
          </w:p>
        </w:tc>
        <w:tc>
          <w:tcPr>
            <w:tcW w:w="267" w:type="pct"/>
            <w:tcBorders>
              <w:top w:val="single" w:sz="4" w:space="0" w:color="auto"/>
              <w:bottom w:val="single" w:sz="12" w:space="0" w:color="auto"/>
            </w:tcBorders>
            <w:shd w:val="clear" w:color="auto" w:fill="auto"/>
            <w:tcMar>
              <w:left w:w="57" w:type="dxa"/>
              <w:right w:w="57" w:type="dxa"/>
            </w:tcMar>
            <w:vAlign w:val="bottom"/>
          </w:tcPr>
          <w:p w14:paraId="31C0959C" w14:textId="77777777" w:rsidR="0027513D" w:rsidRPr="00FB38E1" w:rsidRDefault="0027513D" w:rsidP="0027513D">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527" w:type="pct"/>
            <w:tcBorders>
              <w:top w:val="single" w:sz="4" w:space="0" w:color="auto"/>
              <w:bottom w:val="single" w:sz="12" w:space="0" w:color="auto"/>
            </w:tcBorders>
            <w:vAlign w:val="bottom"/>
          </w:tcPr>
          <w:p w14:paraId="5DCF5AA9" w14:textId="05DFB78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5.625.235.347</w:t>
            </w:r>
          </w:p>
        </w:tc>
        <w:tc>
          <w:tcPr>
            <w:tcW w:w="527" w:type="pct"/>
            <w:tcBorders>
              <w:top w:val="single" w:sz="4" w:space="0" w:color="auto"/>
              <w:bottom w:val="single" w:sz="12" w:space="0" w:color="auto"/>
            </w:tcBorders>
            <w:vAlign w:val="bottom"/>
          </w:tcPr>
          <w:p w14:paraId="34BBA0D1" w14:textId="7F6D85D1"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3.084.902.484</w:t>
            </w:r>
          </w:p>
        </w:tc>
        <w:tc>
          <w:tcPr>
            <w:tcW w:w="527" w:type="pct"/>
            <w:tcBorders>
              <w:top w:val="single" w:sz="4" w:space="0" w:color="auto"/>
              <w:bottom w:val="single" w:sz="12" w:space="0" w:color="auto"/>
            </w:tcBorders>
            <w:vAlign w:val="bottom"/>
          </w:tcPr>
          <w:p w14:paraId="2BF1F986" w14:textId="33B96163"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8.710.137.831</w:t>
            </w:r>
          </w:p>
        </w:tc>
        <w:tc>
          <w:tcPr>
            <w:tcW w:w="473" w:type="pct"/>
            <w:tcBorders>
              <w:top w:val="single" w:sz="4" w:space="0" w:color="auto"/>
              <w:bottom w:val="single" w:sz="12" w:space="0" w:color="auto"/>
            </w:tcBorders>
            <w:shd w:val="clear" w:color="auto" w:fill="auto"/>
            <w:tcMar>
              <w:left w:w="57" w:type="dxa"/>
              <w:right w:w="57" w:type="dxa"/>
            </w:tcMar>
            <w:vAlign w:val="bottom"/>
          </w:tcPr>
          <w:p w14:paraId="44385C43" w14:textId="66BF2E3D"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2.976.777.587</w:t>
            </w:r>
          </w:p>
        </w:tc>
        <w:tc>
          <w:tcPr>
            <w:tcW w:w="473" w:type="pct"/>
            <w:tcBorders>
              <w:top w:val="single" w:sz="4" w:space="0" w:color="auto"/>
              <w:bottom w:val="single" w:sz="12" w:space="0" w:color="auto"/>
            </w:tcBorders>
            <w:shd w:val="clear" w:color="auto" w:fill="auto"/>
            <w:tcMar>
              <w:left w:w="57" w:type="dxa"/>
              <w:right w:w="57" w:type="dxa"/>
            </w:tcMar>
            <w:vAlign w:val="bottom"/>
          </w:tcPr>
          <w:p w14:paraId="413840F8" w14:textId="5E8653D8"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2.189.495.877</w:t>
            </w:r>
          </w:p>
        </w:tc>
        <w:tc>
          <w:tcPr>
            <w:tcW w:w="470" w:type="pct"/>
            <w:tcBorders>
              <w:top w:val="single" w:sz="4" w:space="0" w:color="auto"/>
              <w:bottom w:val="single" w:sz="12" w:space="0" w:color="auto"/>
            </w:tcBorders>
            <w:shd w:val="clear" w:color="auto" w:fill="auto"/>
            <w:tcMar>
              <w:left w:w="57" w:type="dxa"/>
              <w:right w:w="57" w:type="dxa"/>
            </w:tcMar>
            <w:vAlign w:val="bottom"/>
          </w:tcPr>
          <w:p w14:paraId="262140A3" w14:textId="025D36D0" w:rsidR="0027513D" w:rsidRPr="00FB38E1" w:rsidRDefault="0027513D" w:rsidP="0027513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5.166.273.464</w:t>
            </w:r>
          </w:p>
        </w:tc>
      </w:tr>
    </w:tbl>
    <w:p w14:paraId="540A88D0" w14:textId="6BD1373D" w:rsidR="005859F4" w:rsidRPr="00FB38E1" w:rsidRDefault="005859F4" w:rsidP="00F664FF">
      <w:pPr>
        <w:tabs>
          <w:tab w:val="left" w:pos="3120"/>
          <w:tab w:val="center" w:pos="4819"/>
        </w:tabs>
        <w:spacing w:before="240"/>
        <w:jc w:val="left"/>
        <w:rPr>
          <w:rFonts w:ascii="Microsoft Sans Serif" w:hAnsi="Microsoft Sans Serif" w:cs="Microsoft Sans Serif"/>
          <w:bCs/>
          <w:sz w:val="18"/>
          <w:szCs w:val="18"/>
        </w:rPr>
      </w:pPr>
      <w:r w:rsidRPr="00FB38E1">
        <w:rPr>
          <w:rFonts w:ascii="Microsoft Sans Serif" w:hAnsi="Microsoft Sans Serif" w:cs="Microsoft Sans Serif"/>
          <w:bCs/>
          <w:sz w:val="18"/>
          <w:szCs w:val="18"/>
        </w:rPr>
        <w:tab/>
      </w:r>
    </w:p>
    <w:p w14:paraId="7405DE93" w14:textId="77777777" w:rsidR="00422346" w:rsidRPr="00FB38E1" w:rsidRDefault="00422346" w:rsidP="00F664FF">
      <w:pPr>
        <w:rPr>
          <w:rFonts w:ascii="Microsoft Sans Serif" w:hAnsi="Microsoft Sans Serif" w:cs="Microsoft Sans Serif"/>
          <w:sz w:val="18"/>
          <w:szCs w:val="18"/>
        </w:rPr>
        <w:sectPr w:rsidR="00422346" w:rsidRPr="00FB38E1" w:rsidSect="005B03B1">
          <w:headerReference w:type="default" r:id="rId38"/>
          <w:pgSz w:w="11906" w:h="16838"/>
          <w:pgMar w:top="-1985" w:right="567" w:bottom="-862" w:left="1701" w:header="709" w:footer="306" w:gutter="0"/>
          <w:cols w:space="708"/>
          <w:docGrid w:linePitch="360"/>
        </w:sectPr>
      </w:pPr>
    </w:p>
    <w:p w14:paraId="1BE01C1B" w14:textId="77777777" w:rsidR="00667432" w:rsidRPr="00FB38E1" w:rsidRDefault="00667432" w:rsidP="00667432">
      <w:pPr>
        <w:spacing w:before="240"/>
        <w:jc w:val="center"/>
        <w:rPr>
          <w:rFonts w:ascii="Microsoft Sans Serif" w:hAnsi="Microsoft Sans Serif" w:cs="Microsoft Sans Serif"/>
          <w:bCs/>
          <w:sz w:val="18"/>
          <w:szCs w:val="18"/>
        </w:rPr>
      </w:pPr>
    </w:p>
    <w:tbl>
      <w:tblPr>
        <w:tblW w:w="9726" w:type="dxa"/>
        <w:tblInd w:w="55" w:type="dxa"/>
        <w:tblCellMar>
          <w:left w:w="70" w:type="dxa"/>
          <w:right w:w="70" w:type="dxa"/>
        </w:tblCellMar>
        <w:tblLook w:val="04A0" w:firstRow="1" w:lastRow="0" w:firstColumn="1" w:lastColumn="0" w:noHBand="0" w:noVBand="1"/>
      </w:tblPr>
      <w:tblGrid>
        <w:gridCol w:w="651"/>
        <w:gridCol w:w="5106"/>
        <w:gridCol w:w="710"/>
        <w:gridCol w:w="1700"/>
        <w:gridCol w:w="1559"/>
      </w:tblGrid>
      <w:tr w:rsidR="00D2745C" w:rsidRPr="00FB38E1" w14:paraId="223E88AB" w14:textId="77777777" w:rsidTr="00836EF2">
        <w:trPr>
          <w:trHeight w:val="167"/>
        </w:trPr>
        <w:tc>
          <w:tcPr>
            <w:tcW w:w="651" w:type="dxa"/>
            <w:tcBorders>
              <w:top w:val="nil"/>
              <w:left w:val="nil"/>
              <w:right w:val="nil"/>
            </w:tcBorders>
            <w:shd w:val="clear" w:color="auto" w:fill="auto"/>
            <w:noWrap/>
            <w:vAlign w:val="bottom"/>
            <w:hideMark/>
          </w:tcPr>
          <w:p w14:paraId="7DC0002C" w14:textId="77777777" w:rsidR="00D2745C" w:rsidRPr="00FB38E1" w:rsidRDefault="00D2745C" w:rsidP="00836EF2">
            <w:pPr>
              <w:spacing w:after="0"/>
              <w:jc w:val="left"/>
              <w:rPr>
                <w:rFonts w:ascii="Microsoft Sans Serif" w:eastAsia="Times New Roman" w:hAnsi="Microsoft Sans Serif" w:cs="Microsoft Sans Serif"/>
                <w:b/>
                <w:bCs/>
                <w:sz w:val="12"/>
                <w:szCs w:val="12"/>
                <w:lang w:eastAsia="tr-TR"/>
              </w:rPr>
            </w:pPr>
          </w:p>
        </w:tc>
        <w:tc>
          <w:tcPr>
            <w:tcW w:w="5106" w:type="dxa"/>
            <w:tcBorders>
              <w:top w:val="nil"/>
              <w:left w:val="nil"/>
              <w:right w:val="nil"/>
            </w:tcBorders>
            <w:shd w:val="clear" w:color="auto" w:fill="auto"/>
            <w:noWrap/>
            <w:vAlign w:val="bottom"/>
            <w:hideMark/>
          </w:tcPr>
          <w:p w14:paraId="49D38A79" w14:textId="77777777" w:rsidR="00D2745C" w:rsidRPr="00FB38E1" w:rsidRDefault="00D2745C" w:rsidP="00836EF2">
            <w:pPr>
              <w:spacing w:after="0"/>
              <w:jc w:val="left"/>
              <w:rPr>
                <w:rFonts w:ascii="Microsoft Sans Serif" w:eastAsia="Times New Roman" w:hAnsi="Microsoft Sans Serif" w:cs="Microsoft Sans Serif"/>
                <w:b/>
                <w:bCs/>
                <w:sz w:val="12"/>
                <w:szCs w:val="12"/>
                <w:lang w:eastAsia="tr-TR"/>
              </w:rPr>
            </w:pPr>
          </w:p>
        </w:tc>
        <w:tc>
          <w:tcPr>
            <w:tcW w:w="710" w:type="dxa"/>
            <w:tcBorders>
              <w:top w:val="nil"/>
              <w:left w:val="nil"/>
              <w:right w:val="nil"/>
            </w:tcBorders>
            <w:shd w:val="clear" w:color="auto" w:fill="auto"/>
            <w:noWrap/>
            <w:vAlign w:val="bottom"/>
            <w:hideMark/>
          </w:tcPr>
          <w:p w14:paraId="537432C6" w14:textId="77777777" w:rsidR="00D2745C" w:rsidRPr="00FB38E1" w:rsidRDefault="00D2745C" w:rsidP="00836EF2">
            <w:pPr>
              <w:spacing w:after="0"/>
              <w:jc w:val="center"/>
              <w:rPr>
                <w:rFonts w:ascii="Microsoft Sans Serif" w:eastAsia="Times New Roman" w:hAnsi="Microsoft Sans Serif" w:cs="Microsoft Sans Serif"/>
                <w:b/>
                <w:bCs/>
                <w:sz w:val="12"/>
                <w:szCs w:val="12"/>
                <w:lang w:eastAsia="tr-TR"/>
              </w:rPr>
            </w:pPr>
          </w:p>
        </w:tc>
        <w:tc>
          <w:tcPr>
            <w:tcW w:w="1700" w:type="dxa"/>
            <w:tcBorders>
              <w:top w:val="nil"/>
              <w:left w:val="nil"/>
              <w:right w:val="nil"/>
            </w:tcBorders>
            <w:vAlign w:val="bottom"/>
          </w:tcPr>
          <w:p w14:paraId="2BCCC892" w14:textId="77777777" w:rsidR="00D2745C" w:rsidRPr="00FB38E1" w:rsidRDefault="00D2745C" w:rsidP="00836EF2">
            <w:pPr>
              <w:spacing w:after="0"/>
              <w:jc w:val="right"/>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Bağımsız</w:t>
            </w:r>
          </w:p>
          <w:p w14:paraId="6A375F6E" w14:textId="77777777" w:rsidR="00D2745C" w:rsidRPr="00FB38E1" w:rsidRDefault="00D2745C" w:rsidP="00836EF2">
            <w:pPr>
              <w:spacing w:after="0"/>
              <w:jc w:val="right"/>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Denetimden Geçmiş</w:t>
            </w:r>
          </w:p>
        </w:tc>
        <w:tc>
          <w:tcPr>
            <w:tcW w:w="1559" w:type="dxa"/>
            <w:tcBorders>
              <w:top w:val="nil"/>
              <w:left w:val="nil"/>
              <w:right w:val="nil"/>
            </w:tcBorders>
            <w:vAlign w:val="bottom"/>
          </w:tcPr>
          <w:p w14:paraId="6954E95B" w14:textId="77777777" w:rsidR="00D2745C" w:rsidRPr="00FB38E1" w:rsidRDefault="00D2745C" w:rsidP="00836EF2">
            <w:pPr>
              <w:spacing w:after="0"/>
              <w:jc w:val="right"/>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Bağımsız</w:t>
            </w:r>
          </w:p>
          <w:p w14:paraId="7989458F" w14:textId="77777777" w:rsidR="00D2745C" w:rsidRPr="00FB38E1" w:rsidRDefault="00D2745C" w:rsidP="00836EF2">
            <w:pPr>
              <w:spacing w:after="0"/>
              <w:jc w:val="right"/>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Denetimden Geçmiş</w:t>
            </w:r>
          </w:p>
        </w:tc>
      </w:tr>
      <w:tr w:rsidR="00D2745C" w:rsidRPr="00FB38E1" w14:paraId="0E97FC7D" w14:textId="77777777" w:rsidTr="00836EF2">
        <w:trPr>
          <w:trHeight w:val="167"/>
        </w:trPr>
        <w:tc>
          <w:tcPr>
            <w:tcW w:w="651" w:type="dxa"/>
            <w:tcBorders>
              <w:top w:val="nil"/>
              <w:left w:val="nil"/>
              <w:right w:val="nil"/>
            </w:tcBorders>
            <w:shd w:val="clear" w:color="auto" w:fill="auto"/>
            <w:noWrap/>
            <w:vAlign w:val="bottom"/>
          </w:tcPr>
          <w:p w14:paraId="540DDC90" w14:textId="77777777" w:rsidR="00D2745C" w:rsidRPr="00FB38E1" w:rsidRDefault="00D2745C" w:rsidP="00836EF2">
            <w:pPr>
              <w:spacing w:after="0"/>
              <w:jc w:val="left"/>
              <w:rPr>
                <w:rFonts w:ascii="Microsoft Sans Serif" w:eastAsia="Times New Roman" w:hAnsi="Microsoft Sans Serif" w:cs="Microsoft Sans Serif"/>
                <w:b/>
                <w:bCs/>
                <w:sz w:val="12"/>
                <w:szCs w:val="12"/>
                <w:lang w:eastAsia="tr-TR"/>
              </w:rPr>
            </w:pPr>
          </w:p>
        </w:tc>
        <w:tc>
          <w:tcPr>
            <w:tcW w:w="5106" w:type="dxa"/>
            <w:tcBorders>
              <w:top w:val="nil"/>
              <w:left w:val="nil"/>
              <w:right w:val="nil"/>
            </w:tcBorders>
            <w:shd w:val="clear" w:color="auto" w:fill="auto"/>
            <w:noWrap/>
            <w:vAlign w:val="bottom"/>
          </w:tcPr>
          <w:p w14:paraId="32D3755A" w14:textId="77777777" w:rsidR="00D2745C" w:rsidRPr="00FB38E1" w:rsidRDefault="00D2745C" w:rsidP="00836EF2">
            <w:pPr>
              <w:spacing w:after="0"/>
              <w:jc w:val="left"/>
              <w:rPr>
                <w:rFonts w:ascii="Microsoft Sans Serif" w:eastAsia="Times New Roman" w:hAnsi="Microsoft Sans Serif" w:cs="Microsoft Sans Serif"/>
                <w:b/>
                <w:bCs/>
                <w:sz w:val="12"/>
                <w:szCs w:val="12"/>
                <w:lang w:eastAsia="tr-TR"/>
              </w:rPr>
            </w:pPr>
          </w:p>
        </w:tc>
        <w:tc>
          <w:tcPr>
            <w:tcW w:w="710" w:type="dxa"/>
            <w:tcBorders>
              <w:top w:val="nil"/>
              <w:left w:val="nil"/>
              <w:right w:val="nil"/>
            </w:tcBorders>
            <w:shd w:val="clear" w:color="auto" w:fill="auto"/>
            <w:noWrap/>
            <w:vAlign w:val="bottom"/>
          </w:tcPr>
          <w:p w14:paraId="7549CCE4" w14:textId="77777777" w:rsidR="00D2745C" w:rsidRPr="00FB38E1" w:rsidRDefault="00D2745C" w:rsidP="00836EF2">
            <w:pPr>
              <w:spacing w:after="0"/>
              <w:jc w:val="center"/>
              <w:rPr>
                <w:rFonts w:ascii="Microsoft Sans Serif" w:eastAsia="Times New Roman" w:hAnsi="Microsoft Sans Serif" w:cs="Microsoft Sans Serif"/>
                <w:b/>
                <w:bCs/>
                <w:sz w:val="12"/>
                <w:szCs w:val="12"/>
                <w:lang w:eastAsia="tr-TR"/>
              </w:rPr>
            </w:pPr>
          </w:p>
        </w:tc>
        <w:tc>
          <w:tcPr>
            <w:tcW w:w="1700" w:type="dxa"/>
            <w:tcBorders>
              <w:top w:val="nil"/>
              <w:left w:val="nil"/>
              <w:right w:val="nil"/>
            </w:tcBorders>
            <w:vAlign w:val="bottom"/>
          </w:tcPr>
          <w:p w14:paraId="2B4646CF" w14:textId="77777777" w:rsidR="00D2745C" w:rsidRPr="00FB38E1" w:rsidRDefault="00D2745C" w:rsidP="00836EF2">
            <w:pPr>
              <w:spacing w:after="0"/>
              <w:jc w:val="right"/>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CARİ DÖNEM</w:t>
            </w:r>
          </w:p>
        </w:tc>
        <w:tc>
          <w:tcPr>
            <w:tcW w:w="1559" w:type="dxa"/>
            <w:tcBorders>
              <w:top w:val="nil"/>
              <w:left w:val="nil"/>
              <w:right w:val="nil"/>
            </w:tcBorders>
            <w:vAlign w:val="bottom"/>
          </w:tcPr>
          <w:p w14:paraId="42172FF7" w14:textId="77777777" w:rsidR="00D2745C" w:rsidRPr="00FB38E1" w:rsidRDefault="00D2745C" w:rsidP="00836EF2">
            <w:pPr>
              <w:spacing w:after="0"/>
              <w:jc w:val="right"/>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ÖNCEKİ DÖNEM</w:t>
            </w:r>
          </w:p>
        </w:tc>
      </w:tr>
      <w:tr w:rsidR="00D2745C" w:rsidRPr="00FB38E1" w14:paraId="01707272" w14:textId="77777777" w:rsidTr="00836EF2">
        <w:trPr>
          <w:trHeight w:val="167"/>
        </w:trPr>
        <w:tc>
          <w:tcPr>
            <w:tcW w:w="5757" w:type="dxa"/>
            <w:gridSpan w:val="2"/>
            <w:tcBorders>
              <w:top w:val="nil"/>
              <w:left w:val="nil"/>
              <w:bottom w:val="single" w:sz="12" w:space="0" w:color="auto"/>
              <w:right w:val="nil"/>
            </w:tcBorders>
            <w:shd w:val="clear" w:color="auto" w:fill="auto"/>
            <w:noWrap/>
            <w:vAlign w:val="bottom"/>
            <w:hideMark/>
          </w:tcPr>
          <w:p w14:paraId="77BDEE25" w14:textId="77777777" w:rsidR="00D2745C" w:rsidRPr="00FB38E1" w:rsidRDefault="00D2745C" w:rsidP="00836EF2">
            <w:pPr>
              <w:spacing w:after="0"/>
              <w:jc w:val="left"/>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GELİR VE GİDER KALEMLERİ</w:t>
            </w:r>
          </w:p>
        </w:tc>
        <w:tc>
          <w:tcPr>
            <w:tcW w:w="710" w:type="dxa"/>
            <w:tcBorders>
              <w:top w:val="nil"/>
              <w:left w:val="nil"/>
              <w:bottom w:val="single" w:sz="12" w:space="0" w:color="auto"/>
              <w:right w:val="nil"/>
            </w:tcBorders>
            <w:shd w:val="clear" w:color="auto" w:fill="auto"/>
            <w:noWrap/>
            <w:vAlign w:val="bottom"/>
            <w:hideMark/>
          </w:tcPr>
          <w:p w14:paraId="4C65FE1F" w14:textId="77777777" w:rsidR="00D2745C" w:rsidRPr="00FB38E1" w:rsidRDefault="00D2745C" w:rsidP="00836EF2">
            <w:pPr>
              <w:spacing w:after="0"/>
              <w:jc w:val="center"/>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Dipnot</w:t>
            </w:r>
          </w:p>
        </w:tc>
        <w:tc>
          <w:tcPr>
            <w:tcW w:w="1700" w:type="dxa"/>
            <w:tcBorders>
              <w:top w:val="nil"/>
              <w:left w:val="nil"/>
              <w:bottom w:val="single" w:sz="12" w:space="0" w:color="auto"/>
              <w:right w:val="nil"/>
            </w:tcBorders>
            <w:vAlign w:val="bottom"/>
          </w:tcPr>
          <w:p w14:paraId="7FD2CEB0" w14:textId="45A81B50" w:rsidR="00D2745C" w:rsidRPr="00FB38E1" w:rsidRDefault="00D2745C" w:rsidP="00836EF2">
            <w:pPr>
              <w:spacing w:after="0"/>
              <w:jc w:val="right"/>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(01/01-31/12/2024)</w:t>
            </w:r>
          </w:p>
        </w:tc>
        <w:tc>
          <w:tcPr>
            <w:tcW w:w="1559" w:type="dxa"/>
            <w:tcBorders>
              <w:top w:val="nil"/>
              <w:left w:val="nil"/>
              <w:bottom w:val="single" w:sz="12" w:space="0" w:color="auto"/>
              <w:right w:val="nil"/>
            </w:tcBorders>
            <w:vAlign w:val="bottom"/>
          </w:tcPr>
          <w:p w14:paraId="55503790" w14:textId="51F47045" w:rsidR="00D2745C" w:rsidRPr="00FB38E1" w:rsidRDefault="00D2745C" w:rsidP="00836EF2">
            <w:pPr>
              <w:spacing w:after="0"/>
              <w:jc w:val="right"/>
              <w:rPr>
                <w:rFonts w:ascii="Microsoft Sans Serif" w:eastAsia="Times New Roman" w:hAnsi="Microsoft Sans Serif" w:cs="Microsoft Sans Serif"/>
                <w:b/>
                <w:bCs/>
                <w:sz w:val="12"/>
                <w:szCs w:val="12"/>
                <w:lang w:eastAsia="tr-TR"/>
              </w:rPr>
            </w:pPr>
            <w:r w:rsidRPr="00FB38E1">
              <w:rPr>
                <w:rFonts w:ascii="Microsoft Sans Serif" w:eastAsia="Times New Roman" w:hAnsi="Microsoft Sans Serif" w:cs="Microsoft Sans Serif"/>
                <w:b/>
                <w:bCs/>
                <w:sz w:val="12"/>
                <w:szCs w:val="12"/>
                <w:lang w:eastAsia="tr-TR"/>
              </w:rPr>
              <w:t>(01/01-31/12/2023)</w:t>
            </w:r>
          </w:p>
        </w:tc>
      </w:tr>
      <w:tr w:rsidR="0027513D" w:rsidRPr="00FB38E1" w14:paraId="7128FF3A" w14:textId="77777777" w:rsidTr="00D2745C">
        <w:trPr>
          <w:trHeight w:val="38"/>
        </w:trPr>
        <w:tc>
          <w:tcPr>
            <w:tcW w:w="651" w:type="dxa"/>
            <w:tcBorders>
              <w:top w:val="single" w:sz="12" w:space="0" w:color="auto"/>
              <w:left w:val="nil"/>
              <w:bottom w:val="nil"/>
              <w:right w:val="nil"/>
            </w:tcBorders>
            <w:shd w:val="clear" w:color="auto" w:fill="auto"/>
            <w:noWrap/>
            <w:vAlign w:val="bottom"/>
            <w:hideMark/>
          </w:tcPr>
          <w:p w14:paraId="51E33ECD"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I.</w:t>
            </w:r>
          </w:p>
        </w:tc>
        <w:tc>
          <w:tcPr>
            <w:tcW w:w="5106" w:type="dxa"/>
            <w:tcBorders>
              <w:top w:val="single" w:sz="12" w:space="0" w:color="auto"/>
              <w:left w:val="nil"/>
              <w:bottom w:val="nil"/>
              <w:right w:val="nil"/>
            </w:tcBorders>
            <w:shd w:val="clear" w:color="auto" w:fill="auto"/>
            <w:noWrap/>
            <w:vAlign w:val="bottom"/>
            <w:hideMark/>
          </w:tcPr>
          <w:p w14:paraId="15ED31F1"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 xml:space="preserve">FAİZ GELİRLERİ  </w:t>
            </w:r>
          </w:p>
        </w:tc>
        <w:tc>
          <w:tcPr>
            <w:tcW w:w="710" w:type="dxa"/>
            <w:tcBorders>
              <w:top w:val="single" w:sz="12" w:space="0" w:color="auto"/>
              <w:left w:val="nil"/>
              <w:bottom w:val="nil"/>
              <w:right w:val="nil"/>
            </w:tcBorders>
            <w:shd w:val="clear" w:color="auto" w:fill="auto"/>
            <w:noWrap/>
            <w:vAlign w:val="bottom"/>
          </w:tcPr>
          <w:p w14:paraId="47A1A5F8" w14:textId="1167DC4B"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sz w:val="12"/>
                <w:szCs w:val="12"/>
              </w:rPr>
              <w:t>(5.IV.a)</w:t>
            </w:r>
          </w:p>
        </w:tc>
        <w:tc>
          <w:tcPr>
            <w:tcW w:w="1700" w:type="dxa"/>
            <w:tcBorders>
              <w:top w:val="single" w:sz="12" w:space="0" w:color="auto"/>
              <w:left w:val="nil"/>
              <w:bottom w:val="nil"/>
              <w:right w:val="nil"/>
            </w:tcBorders>
            <w:vAlign w:val="bottom"/>
          </w:tcPr>
          <w:p w14:paraId="1F68F682" w14:textId="78C80613"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260.072.258</w:t>
            </w:r>
          </w:p>
        </w:tc>
        <w:tc>
          <w:tcPr>
            <w:tcW w:w="1559" w:type="dxa"/>
            <w:tcBorders>
              <w:top w:val="single" w:sz="12" w:space="0" w:color="auto"/>
              <w:left w:val="nil"/>
              <w:bottom w:val="nil"/>
              <w:right w:val="nil"/>
            </w:tcBorders>
            <w:vAlign w:val="bottom"/>
          </w:tcPr>
          <w:p w14:paraId="18C5A3C8" w14:textId="10363CCA"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108.168.976</w:t>
            </w:r>
          </w:p>
        </w:tc>
      </w:tr>
      <w:tr w:rsidR="0027513D" w:rsidRPr="00FB38E1" w14:paraId="5C0D27DB" w14:textId="77777777" w:rsidTr="00836EF2">
        <w:trPr>
          <w:trHeight w:val="167"/>
        </w:trPr>
        <w:tc>
          <w:tcPr>
            <w:tcW w:w="651" w:type="dxa"/>
            <w:tcBorders>
              <w:top w:val="nil"/>
              <w:left w:val="nil"/>
              <w:bottom w:val="nil"/>
              <w:right w:val="nil"/>
            </w:tcBorders>
            <w:shd w:val="clear" w:color="auto" w:fill="auto"/>
            <w:noWrap/>
            <w:vAlign w:val="bottom"/>
            <w:hideMark/>
          </w:tcPr>
          <w:p w14:paraId="4CD45087"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1.1</w:t>
            </w:r>
          </w:p>
        </w:tc>
        <w:tc>
          <w:tcPr>
            <w:tcW w:w="5106" w:type="dxa"/>
            <w:tcBorders>
              <w:top w:val="nil"/>
              <w:left w:val="nil"/>
              <w:bottom w:val="nil"/>
              <w:right w:val="nil"/>
            </w:tcBorders>
            <w:shd w:val="clear" w:color="auto" w:fill="auto"/>
            <w:noWrap/>
            <w:vAlign w:val="bottom"/>
            <w:hideMark/>
          </w:tcPr>
          <w:p w14:paraId="082219A5"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Kredilerden Alınan Faizler</w:t>
            </w:r>
          </w:p>
        </w:tc>
        <w:tc>
          <w:tcPr>
            <w:tcW w:w="710" w:type="dxa"/>
            <w:tcBorders>
              <w:top w:val="nil"/>
              <w:left w:val="nil"/>
              <w:bottom w:val="nil"/>
              <w:right w:val="nil"/>
            </w:tcBorders>
            <w:shd w:val="clear" w:color="auto" w:fill="auto"/>
            <w:noWrap/>
            <w:vAlign w:val="bottom"/>
          </w:tcPr>
          <w:p w14:paraId="1F3E972D"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F3A50B8" w14:textId="422DAF0A"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168.304.127</w:t>
            </w:r>
          </w:p>
        </w:tc>
        <w:tc>
          <w:tcPr>
            <w:tcW w:w="1559" w:type="dxa"/>
            <w:tcBorders>
              <w:top w:val="nil"/>
              <w:left w:val="nil"/>
              <w:bottom w:val="nil"/>
              <w:right w:val="nil"/>
            </w:tcBorders>
            <w:vAlign w:val="bottom"/>
          </w:tcPr>
          <w:p w14:paraId="3B37859A" w14:textId="65F920E2"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68.797.304</w:t>
            </w:r>
          </w:p>
        </w:tc>
      </w:tr>
      <w:tr w:rsidR="0027513D" w:rsidRPr="00FB38E1" w14:paraId="1B0D1AD1" w14:textId="77777777" w:rsidTr="00836EF2">
        <w:trPr>
          <w:trHeight w:val="167"/>
        </w:trPr>
        <w:tc>
          <w:tcPr>
            <w:tcW w:w="651" w:type="dxa"/>
            <w:tcBorders>
              <w:top w:val="nil"/>
              <w:left w:val="nil"/>
              <w:bottom w:val="nil"/>
              <w:right w:val="nil"/>
            </w:tcBorders>
            <w:shd w:val="clear" w:color="auto" w:fill="auto"/>
            <w:noWrap/>
            <w:vAlign w:val="bottom"/>
            <w:hideMark/>
          </w:tcPr>
          <w:p w14:paraId="7FBEDE43"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1.2</w:t>
            </w:r>
          </w:p>
        </w:tc>
        <w:tc>
          <w:tcPr>
            <w:tcW w:w="5106" w:type="dxa"/>
            <w:tcBorders>
              <w:top w:val="nil"/>
              <w:left w:val="nil"/>
              <w:bottom w:val="nil"/>
              <w:right w:val="nil"/>
            </w:tcBorders>
            <w:shd w:val="clear" w:color="auto" w:fill="auto"/>
            <w:noWrap/>
            <w:vAlign w:val="bottom"/>
            <w:hideMark/>
          </w:tcPr>
          <w:p w14:paraId="5861AB25"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Zorunlu Karşılıklardan Alınan Faizler</w:t>
            </w:r>
          </w:p>
        </w:tc>
        <w:tc>
          <w:tcPr>
            <w:tcW w:w="710" w:type="dxa"/>
            <w:tcBorders>
              <w:top w:val="nil"/>
              <w:left w:val="nil"/>
              <w:bottom w:val="nil"/>
              <w:right w:val="nil"/>
            </w:tcBorders>
            <w:shd w:val="clear" w:color="auto" w:fill="auto"/>
            <w:noWrap/>
            <w:vAlign w:val="bottom"/>
          </w:tcPr>
          <w:p w14:paraId="35EF9F8E"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4C8E0C1" w14:textId="53153EB0"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18.360.470</w:t>
            </w:r>
          </w:p>
        </w:tc>
        <w:tc>
          <w:tcPr>
            <w:tcW w:w="1559" w:type="dxa"/>
            <w:tcBorders>
              <w:top w:val="nil"/>
              <w:left w:val="nil"/>
              <w:bottom w:val="nil"/>
              <w:right w:val="nil"/>
            </w:tcBorders>
            <w:vAlign w:val="bottom"/>
          </w:tcPr>
          <w:p w14:paraId="6963219B" w14:textId="485C80E9"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216.357</w:t>
            </w:r>
          </w:p>
        </w:tc>
      </w:tr>
      <w:tr w:rsidR="0027513D" w:rsidRPr="00FB38E1" w14:paraId="243B68E2" w14:textId="77777777" w:rsidTr="00836EF2">
        <w:trPr>
          <w:trHeight w:val="167"/>
        </w:trPr>
        <w:tc>
          <w:tcPr>
            <w:tcW w:w="651" w:type="dxa"/>
            <w:tcBorders>
              <w:top w:val="nil"/>
              <w:left w:val="nil"/>
              <w:bottom w:val="nil"/>
              <w:right w:val="nil"/>
            </w:tcBorders>
            <w:shd w:val="clear" w:color="auto" w:fill="auto"/>
            <w:noWrap/>
            <w:vAlign w:val="bottom"/>
            <w:hideMark/>
          </w:tcPr>
          <w:p w14:paraId="60CA7FCB"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1.3</w:t>
            </w:r>
          </w:p>
        </w:tc>
        <w:tc>
          <w:tcPr>
            <w:tcW w:w="5106" w:type="dxa"/>
            <w:tcBorders>
              <w:top w:val="nil"/>
              <w:left w:val="nil"/>
              <w:bottom w:val="nil"/>
              <w:right w:val="nil"/>
            </w:tcBorders>
            <w:shd w:val="clear" w:color="auto" w:fill="auto"/>
            <w:noWrap/>
            <w:vAlign w:val="bottom"/>
            <w:hideMark/>
          </w:tcPr>
          <w:p w14:paraId="53956D9B"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Bankalardan Alınan Faizler</w:t>
            </w:r>
          </w:p>
        </w:tc>
        <w:tc>
          <w:tcPr>
            <w:tcW w:w="710" w:type="dxa"/>
            <w:tcBorders>
              <w:top w:val="nil"/>
              <w:left w:val="nil"/>
              <w:bottom w:val="nil"/>
              <w:right w:val="nil"/>
            </w:tcBorders>
            <w:shd w:val="clear" w:color="auto" w:fill="auto"/>
            <w:noWrap/>
            <w:vAlign w:val="bottom"/>
          </w:tcPr>
          <w:p w14:paraId="269AAB80"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6B21F53" w14:textId="76DB4C65"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20.071.632</w:t>
            </w:r>
          </w:p>
        </w:tc>
        <w:tc>
          <w:tcPr>
            <w:tcW w:w="1559" w:type="dxa"/>
            <w:tcBorders>
              <w:top w:val="nil"/>
              <w:left w:val="nil"/>
              <w:bottom w:val="nil"/>
              <w:right w:val="nil"/>
            </w:tcBorders>
            <w:vAlign w:val="bottom"/>
          </w:tcPr>
          <w:p w14:paraId="4A68741D" w14:textId="2F27C9E8"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4.009.836</w:t>
            </w:r>
          </w:p>
        </w:tc>
      </w:tr>
      <w:tr w:rsidR="0027513D" w:rsidRPr="00FB38E1" w14:paraId="0CB1DDDA" w14:textId="77777777" w:rsidTr="00836EF2">
        <w:trPr>
          <w:trHeight w:val="167"/>
        </w:trPr>
        <w:tc>
          <w:tcPr>
            <w:tcW w:w="651" w:type="dxa"/>
            <w:tcBorders>
              <w:top w:val="nil"/>
              <w:left w:val="nil"/>
              <w:bottom w:val="nil"/>
              <w:right w:val="nil"/>
            </w:tcBorders>
            <w:shd w:val="clear" w:color="auto" w:fill="auto"/>
            <w:noWrap/>
            <w:vAlign w:val="bottom"/>
            <w:hideMark/>
          </w:tcPr>
          <w:p w14:paraId="1633729B"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1.4</w:t>
            </w:r>
          </w:p>
        </w:tc>
        <w:tc>
          <w:tcPr>
            <w:tcW w:w="5106" w:type="dxa"/>
            <w:tcBorders>
              <w:top w:val="nil"/>
              <w:left w:val="nil"/>
              <w:bottom w:val="nil"/>
              <w:right w:val="nil"/>
            </w:tcBorders>
            <w:shd w:val="clear" w:color="auto" w:fill="auto"/>
            <w:noWrap/>
            <w:vAlign w:val="bottom"/>
            <w:hideMark/>
          </w:tcPr>
          <w:p w14:paraId="4EC0693E"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Para Piyasası İşlemlerinden Alınan Faizler</w:t>
            </w:r>
          </w:p>
        </w:tc>
        <w:tc>
          <w:tcPr>
            <w:tcW w:w="710" w:type="dxa"/>
            <w:tcBorders>
              <w:top w:val="nil"/>
              <w:left w:val="nil"/>
              <w:bottom w:val="nil"/>
              <w:right w:val="nil"/>
            </w:tcBorders>
            <w:shd w:val="clear" w:color="auto" w:fill="auto"/>
            <w:noWrap/>
            <w:vAlign w:val="bottom"/>
          </w:tcPr>
          <w:p w14:paraId="46924D8F"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5B63F36" w14:textId="0BDE4A0D"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15.041.721</w:t>
            </w:r>
          </w:p>
        </w:tc>
        <w:tc>
          <w:tcPr>
            <w:tcW w:w="1559" w:type="dxa"/>
            <w:tcBorders>
              <w:top w:val="nil"/>
              <w:left w:val="nil"/>
              <w:bottom w:val="nil"/>
              <w:right w:val="nil"/>
            </w:tcBorders>
            <w:vAlign w:val="bottom"/>
          </w:tcPr>
          <w:p w14:paraId="6BA3F9C5" w14:textId="69962C61"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11.049.539</w:t>
            </w:r>
          </w:p>
        </w:tc>
      </w:tr>
      <w:tr w:rsidR="0027513D" w:rsidRPr="00FB38E1" w14:paraId="7C6A33C5" w14:textId="77777777" w:rsidTr="00836EF2">
        <w:trPr>
          <w:trHeight w:val="167"/>
        </w:trPr>
        <w:tc>
          <w:tcPr>
            <w:tcW w:w="651" w:type="dxa"/>
            <w:tcBorders>
              <w:top w:val="nil"/>
              <w:left w:val="nil"/>
              <w:bottom w:val="nil"/>
              <w:right w:val="nil"/>
            </w:tcBorders>
            <w:shd w:val="clear" w:color="auto" w:fill="auto"/>
            <w:noWrap/>
            <w:vAlign w:val="bottom"/>
            <w:hideMark/>
          </w:tcPr>
          <w:p w14:paraId="1E989B3C"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1.5</w:t>
            </w:r>
          </w:p>
        </w:tc>
        <w:tc>
          <w:tcPr>
            <w:tcW w:w="5106" w:type="dxa"/>
            <w:tcBorders>
              <w:top w:val="nil"/>
              <w:left w:val="nil"/>
              <w:bottom w:val="nil"/>
              <w:right w:val="nil"/>
            </w:tcBorders>
            <w:shd w:val="clear" w:color="auto" w:fill="auto"/>
            <w:noWrap/>
            <w:vAlign w:val="bottom"/>
            <w:hideMark/>
          </w:tcPr>
          <w:p w14:paraId="5F88189F"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Menkul Değerlerden Alınan Faizler</w:t>
            </w:r>
          </w:p>
        </w:tc>
        <w:tc>
          <w:tcPr>
            <w:tcW w:w="710" w:type="dxa"/>
            <w:tcBorders>
              <w:top w:val="nil"/>
              <w:left w:val="nil"/>
              <w:bottom w:val="nil"/>
              <w:right w:val="nil"/>
            </w:tcBorders>
            <w:shd w:val="clear" w:color="auto" w:fill="auto"/>
            <w:noWrap/>
            <w:vAlign w:val="bottom"/>
          </w:tcPr>
          <w:p w14:paraId="03258513"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16EE04D" w14:textId="3E4F140E" w:rsidR="0027513D" w:rsidRPr="00FB38E1" w:rsidRDefault="0027513D" w:rsidP="0027513D">
            <w:pPr>
              <w:spacing w:after="0"/>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36.005.955</w:t>
            </w:r>
          </w:p>
        </w:tc>
        <w:tc>
          <w:tcPr>
            <w:tcW w:w="1559" w:type="dxa"/>
            <w:tcBorders>
              <w:top w:val="nil"/>
              <w:left w:val="nil"/>
              <w:bottom w:val="nil"/>
              <w:right w:val="nil"/>
            </w:tcBorders>
            <w:vAlign w:val="bottom"/>
          </w:tcPr>
          <w:p w14:paraId="259FBEDF" w14:textId="221E65A4" w:rsidR="0027513D" w:rsidRPr="00FB38E1" w:rsidRDefault="0027513D" w:rsidP="0027513D">
            <w:pPr>
              <w:spacing w:after="0"/>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23.548.472</w:t>
            </w:r>
          </w:p>
        </w:tc>
      </w:tr>
      <w:tr w:rsidR="0027513D" w:rsidRPr="00FB38E1" w14:paraId="1F1ECA7C" w14:textId="77777777" w:rsidTr="00836EF2">
        <w:trPr>
          <w:trHeight w:val="167"/>
        </w:trPr>
        <w:tc>
          <w:tcPr>
            <w:tcW w:w="651" w:type="dxa"/>
            <w:tcBorders>
              <w:top w:val="nil"/>
              <w:left w:val="nil"/>
              <w:bottom w:val="nil"/>
              <w:right w:val="nil"/>
            </w:tcBorders>
            <w:shd w:val="clear" w:color="auto" w:fill="auto"/>
            <w:noWrap/>
            <w:vAlign w:val="bottom"/>
            <w:hideMark/>
          </w:tcPr>
          <w:p w14:paraId="115106B4"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1.5.1</w:t>
            </w:r>
          </w:p>
        </w:tc>
        <w:tc>
          <w:tcPr>
            <w:tcW w:w="5106" w:type="dxa"/>
            <w:tcBorders>
              <w:top w:val="nil"/>
              <w:left w:val="nil"/>
              <w:bottom w:val="nil"/>
              <w:right w:val="nil"/>
            </w:tcBorders>
            <w:shd w:val="clear" w:color="auto" w:fill="auto"/>
            <w:noWrap/>
            <w:vAlign w:val="bottom"/>
            <w:hideMark/>
          </w:tcPr>
          <w:p w14:paraId="6C7ADDDC"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Gerçeğe Uygun Değer Farkı Kar Zarara Yansıtılanlar</w:t>
            </w:r>
          </w:p>
        </w:tc>
        <w:tc>
          <w:tcPr>
            <w:tcW w:w="710" w:type="dxa"/>
            <w:tcBorders>
              <w:top w:val="nil"/>
              <w:left w:val="nil"/>
              <w:bottom w:val="nil"/>
              <w:right w:val="nil"/>
            </w:tcBorders>
            <w:shd w:val="clear" w:color="auto" w:fill="auto"/>
            <w:noWrap/>
            <w:vAlign w:val="bottom"/>
          </w:tcPr>
          <w:p w14:paraId="409E4326"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282D6F5" w14:textId="6236CA54"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511.900</w:t>
            </w:r>
          </w:p>
        </w:tc>
        <w:tc>
          <w:tcPr>
            <w:tcW w:w="1559" w:type="dxa"/>
            <w:tcBorders>
              <w:top w:val="nil"/>
              <w:left w:val="nil"/>
              <w:bottom w:val="nil"/>
              <w:right w:val="nil"/>
            </w:tcBorders>
            <w:vAlign w:val="bottom"/>
          </w:tcPr>
          <w:p w14:paraId="407D39CA" w14:textId="189FDF95"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431.629</w:t>
            </w:r>
          </w:p>
        </w:tc>
      </w:tr>
      <w:tr w:rsidR="0027513D" w:rsidRPr="00FB38E1" w14:paraId="60ED17B2" w14:textId="77777777" w:rsidTr="00836EF2">
        <w:trPr>
          <w:trHeight w:val="167"/>
        </w:trPr>
        <w:tc>
          <w:tcPr>
            <w:tcW w:w="651" w:type="dxa"/>
            <w:tcBorders>
              <w:top w:val="nil"/>
              <w:left w:val="nil"/>
              <w:bottom w:val="nil"/>
              <w:right w:val="nil"/>
            </w:tcBorders>
            <w:shd w:val="clear" w:color="auto" w:fill="auto"/>
            <w:noWrap/>
            <w:vAlign w:val="bottom"/>
            <w:hideMark/>
          </w:tcPr>
          <w:p w14:paraId="7B4AB130"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1.5.2</w:t>
            </w:r>
          </w:p>
        </w:tc>
        <w:tc>
          <w:tcPr>
            <w:tcW w:w="5106" w:type="dxa"/>
            <w:tcBorders>
              <w:top w:val="nil"/>
              <w:left w:val="nil"/>
              <w:bottom w:val="nil"/>
              <w:right w:val="nil"/>
            </w:tcBorders>
            <w:shd w:val="clear" w:color="auto" w:fill="auto"/>
            <w:noWrap/>
            <w:vAlign w:val="bottom"/>
            <w:hideMark/>
          </w:tcPr>
          <w:p w14:paraId="7B7C7CD7"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Gerçeğe Uygun Değer Farkı Diğer Kapsamlı Gelire Yansıtılanlar</w:t>
            </w:r>
          </w:p>
        </w:tc>
        <w:tc>
          <w:tcPr>
            <w:tcW w:w="710" w:type="dxa"/>
            <w:tcBorders>
              <w:top w:val="nil"/>
              <w:left w:val="nil"/>
              <w:bottom w:val="nil"/>
              <w:right w:val="nil"/>
            </w:tcBorders>
            <w:shd w:val="clear" w:color="auto" w:fill="auto"/>
            <w:noWrap/>
            <w:vAlign w:val="bottom"/>
          </w:tcPr>
          <w:p w14:paraId="71CE2E6D"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0DD80236" w14:textId="00F934E8"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19.216.422</w:t>
            </w:r>
          </w:p>
        </w:tc>
        <w:tc>
          <w:tcPr>
            <w:tcW w:w="1559" w:type="dxa"/>
            <w:tcBorders>
              <w:top w:val="nil"/>
              <w:left w:val="nil"/>
              <w:bottom w:val="nil"/>
              <w:right w:val="nil"/>
            </w:tcBorders>
            <w:vAlign w:val="bottom"/>
          </w:tcPr>
          <w:p w14:paraId="32D999C6" w14:textId="6C7D5207"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12.059.846</w:t>
            </w:r>
          </w:p>
        </w:tc>
      </w:tr>
      <w:tr w:rsidR="0027513D" w:rsidRPr="00FB38E1" w14:paraId="3531EB96" w14:textId="77777777" w:rsidTr="00836EF2">
        <w:trPr>
          <w:trHeight w:val="167"/>
        </w:trPr>
        <w:tc>
          <w:tcPr>
            <w:tcW w:w="651" w:type="dxa"/>
            <w:tcBorders>
              <w:top w:val="nil"/>
              <w:left w:val="nil"/>
              <w:bottom w:val="nil"/>
              <w:right w:val="nil"/>
            </w:tcBorders>
            <w:shd w:val="clear" w:color="auto" w:fill="auto"/>
            <w:noWrap/>
            <w:vAlign w:val="bottom"/>
            <w:hideMark/>
          </w:tcPr>
          <w:p w14:paraId="02B2EE8B"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1.5.3</w:t>
            </w:r>
          </w:p>
        </w:tc>
        <w:tc>
          <w:tcPr>
            <w:tcW w:w="5106" w:type="dxa"/>
            <w:tcBorders>
              <w:top w:val="nil"/>
              <w:left w:val="nil"/>
              <w:bottom w:val="nil"/>
              <w:right w:val="nil"/>
            </w:tcBorders>
            <w:shd w:val="clear" w:color="auto" w:fill="auto"/>
            <w:noWrap/>
            <w:vAlign w:val="bottom"/>
            <w:hideMark/>
          </w:tcPr>
          <w:p w14:paraId="25760D09"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İtfa Edilmiş Maliyeti İle Ölçülenler</w:t>
            </w:r>
          </w:p>
        </w:tc>
        <w:tc>
          <w:tcPr>
            <w:tcW w:w="710" w:type="dxa"/>
            <w:tcBorders>
              <w:top w:val="nil"/>
              <w:left w:val="nil"/>
              <w:bottom w:val="nil"/>
              <w:right w:val="nil"/>
            </w:tcBorders>
            <w:shd w:val="clear" w:color="auto" w:fill="auto"/>
            <w:noWrap/>
            <w:vAlign w:val="bottom"/>
          </w:tcPr>
          <w:p w14:paraId="3CDED123"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B0A0567" w14:textId="1122FE89"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16.277.633</w:t>
            </w:r>
          </w:p>
        </w:tc>
        <w:tc>
          <w:tcPr>
            <w:tcW w:w="1559" w:type="dxa"/>
            <w:tcBorders>
              <w:top w:val="nil"/>
              <w:left w:val="nil"/>
              <w:bottom w:val="nil"/>
              <w:right w:val="nil"/>
            </w:tcBorders>
            <w:vAlign w:val="bottom"/>
          </w:tcPr>
          <w:p w14:paraId="5A7E2A84" w14:textId="63B0F519"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11.056.997</w:t>
            </w:r>
          </w:p>
        </w:tc>
      </w:tr>
      <w:tr w:rsidR="0027513D" w:rsidRPr="00FB38E1" w14:paraId="03AF2702" w14:textId="77777777" w:rsidTr="00836EF2">
        <w:trPr>
          <w:trHeight w:val="167"/>
        </w:trPr>
        <w:tc>
          <w:tcPr>
            <w:tcW w:w="651" w:type="dxa"/>
            <w:tcBorders>
              <w:top w:val="nil"/>
              <w:left w:val="nil"/>
              <w:bottom w:val="nil"/>
              <w:right w:val="nil"/>
            </w:tcBorders>
            <w:shd w:val="clear" w:color="auto" w:fill="auto"/>
            <w:noWrap/>
            <w:vAlign w:val="bottom"/>
            <w:hideMark/>
          </w:tcPr>
          <w:p w14:paraId="5727A6F8"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1.6</w:t>
            </w:r>
          </w:p>
        </w:tc>
        <w:tc>
          <w:tcPr>
            <w:tcW w:w="5106" w:type="dxa"/>
            <w:tcBorders>
              <w:top w:val="nil"/>
              <w:left w:val="nil"/>
              <w:bottom w:val="nil"/>
              <w:right w:val="nil"/>
            </w:tcBorders>
            <w:shd w:val="clear" w:color="auto" w:fill="auto"/>
            <w:noWrap/>
            <w:vAlign w:val="bottom"/>
            <w:hideMark/>
          </w:tcPr>
          <w:p w14:paraId="273D4AE4"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Finansal Kiralama Gelirleri</w:t>
            </w:r>
          </w:p>
        </w:tc>
        <w:tc>
          <w:tcPr>
            <w:tcW w:w="710" w:type="dxa"/>
            <w:tcBorders>
              <w:top w:val="nil"/>
              <w:left w:val="nil"/>
              <w:bottom w:val="nil"/>
              <w:right w:val="nil"/>
            </w:tcBorders>
            <w:shd w:val="clear" w:color="auto" w:fill="auto"/>
            <w:noWrap/>
            <w:vAlign w:val="bottom"/>
          </w:tcPr>
          <w:p w14:paraId="756EDBA6"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8ED72CE" w14:textId="2F6EB0A2"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085A1A49" w14:textId="2158ADB4"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27513D" w:rsidRPr="00FB38E1" w14:paraId="0EACC137" w14:textId="77777777" w:rsidTr="00836EF2">
        <w:trPr>
          <w:trHeight w:val="167"/>
        </w:trPr>
        <w:tc>
          <w:tcPr>
            <w:tcW w:w="651" w:type="dxa"/>
            <w:tcBorders>
              <w:top w:val="nil"/>
              <w:left w:val="nil"/>
              <w:bottom w:val="nil"/>
              <w:right w:val="nil"/>
            </w:tcBorders>
            <w:shd w:val="clear" w:color="auto" w:fill="auto"/>
            <w:noWrap/>
            <w:vAlign w:val="bottom"/>
            <w:hideMark/>
          </w:tcPr>
          <w:p w14:paraId="71782BF3"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1.7</w:t>
            </w:r>
          </w:p>
        </w:tc>
        <w:tc>
          <w:tcPr>
            <w:tcW w:w="5106" w:type="dxa"/>
            <w:tcBorders>
              <w:top w:val="nil"/>
              <w:left w:val="nil"/>
              <w:bottom w:val="nil"/>
              <w:right w:val="nil"/>
            </w:tcBorders>
            <w:shd w:val="clear" w:color="auto" w:fill="auto"/>
            <w:noWrap/>
            <w:vAlign w:val="bottom"/>
            <w:hideMark/>
          </w:tcPr>
          <w:p w14:paraId="2A3AFA45"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 xml:space="preserve">Diğer Faiz Gelirleri  </w:t>
            </w:r>
          </w:p>
        </w:tc>
        <w:tc>
          <w:tcPr>
            <w:tcW w:w="710" w:type="dxa"/>
            <w:tcBorders>
              <w:top w:val="nil"/>
              <w:left w:val="nil"/>
              <w:bottom w:val="nil"/>
              <w:right w:val="nil"/>
            </w:tcBorders>
            <w:shd w:val="clear" w:color="auto" w:fill="auto"/>
            <w:noWrap/>
            <w:vAlign w:val="bottom"/>
          </w:tcPr>
          <w:p w14:paraId="339FFF9C"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C1DD5A5" w14:textId="3B739F11"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2.288.353</w:t>
            </w:r>
          </w:p>
        </w:tc>
        <w:tc>
          <w:tcPr>
            <w:tcW w:w="1559" w:type="dxa"/>
            <w:tcBorders>
              <w:top w:val="nil"/>
              <w:left w:val="nil"/>
              <w:bottom w:val="nil"/>
              <w:right w:val="nil"/>
            </w:tcBorders>
            <w:vAlign w:val="bottom"/>
          </w:tcPr>
          <w:p w14:paraId="3F99E9D7" w14:textId="18A022FC"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547.468</w:t>
            </w:r>
          </w:p>
        </w:tc>
      </w:tr>
      <w:tr w:rsidR="0027513D" w:rsidRPr="00FB38E1" w14:paraId="312A5B0A" w14:textId="77777777" w:rsidTr="00836EF2">
        <w:trPr>
          <w:trHeight w:val="167"/>
        </w:trPr>
        <w:tc>
          <w:tcPr>
            <w:tcW w:w="651" w:type="dxa"/>
            <w:tcBorders>
              <w:top w:val="nil"/>
              <w:left w:val="nil"/>
              <w:bottom w:val="nil"/>
              <w:right w:val="nil"/>
            </w:tcBorders>
            <w:shd w:val="clear" w:color="auto" w:fill="auto"/>
            <w:noWrap/>
            <w:vAlign w:val="bottom"/>
            <w:hideMark/>
          </w:tcPr>
          <w:p w14:paraId="147D01DF"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II.</w:t>
            </w:r>
          </w:p>
        </w:tc>
        <w:tc>
          <w:tcPr>
            <w:tcW w:w="5106" w:type="dxa"/>
            <w:tcBorders>
              <w:top w:val="nil"/>
              <w:left w:val="nil"/>
              <w:bottom w:val="nil"/>
              <w:right w:val="nil"/>
            </w:tcBorders>
            <w:shd w:val="clear" w:color="auto" w:fill="auto"/>
            <w:noWrap/>
            <w:vAlign w:val="bottom"/>
            <w:hideMark/>
          </w:tcPr>
          <w:p w14:paraId="1ABD85E8"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 xml:space="preserve">FAİZ GİDERLERİ (-)  </w:t>
            </w:r>
          </w:p>
        </w:tc>
        <w:tc>
          <w:tcPr>
            <w:tcW w:w="710" w:type="dxa"/>
            <w:tcBorders>
              <w:top w:val="nil"/>
              <w:left w:val="nil"/>
              <w:bottom w:val="nil"/>
              <w:right w:val="nil"/>
            </w:tcBorders>
            <w:shd w:val="clear" w:color="auto" w:fill="auto"/>
            <w:noWrap/>
            <w:vAlign w:val="bottom"/>
          </w:tcPr>
          <w:p w14:paraId="73C6CA1A" w14:textId="7D752B3C"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sz w:val="12"/>
                <w:szCs w:val="12"/>
              </w:rPr>
              <w:t>(5.IV.b)</w:t>
            </w:r>
          </w:p>
        </w:tc>
        <w:tc>
          <w:tcPr>
            <w:tcW w:w="1700" w:type="dxa"/>
            <w:tcBorders>
              <w:top w:val="nil"/>
              <w:left w:val="nil"/>
              <w:bottom w:val="nil"/>
              <w:right w:val="nil"/>
            </w:tcBorders>
            <w:vAlign w:val="bottom"/>
          </w:tcPr>
          <w:p w14:paraId="2C4449D2" w14:textId="628460AD"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215.115.813</w:t>
            </w:r>
          </w:p>
        </w:tc>
        <w:tc>
          <w:tcPr>
            <w:tcW w:w="1559" w:type="dxa"/>
            <w:tcBorders>
              <w:top w:val="nil"/>
              <w:left w:val="nil"/>
              <w:bottom w:val="nil"/>
              <w:right w:val="nil"/>
            </w:tcBorders>
            <w:vAlign w:val="bottom"/>
          </w:tcPr>
          <w:p w14:paraId="52D0D93A" w14:textId="65BF51E9"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76.702.821</w:t>
            </w:r>
          </w:p>
        </w:tc>
      </w:tr>
      <w:tr w:rsidR="0027513D" w:rsidRPr="00FB38E1" w14:paraId="26ABEC09" w14:textId="77777777" w:rsidTr="00836EF2">
        <w:trPr>
          <w:trHeight w:val="167"/>
        </w:trPr>
        <w:tc>
          <w:tcPr>
            <w:tcW w:w="651" w:type="dxa"/>
            <w:tcBorders>
              <w:top w:val="nil"/>
              <w:left w:val="nil"/>
              <w:bottom w:val="nil"/>
              <w:right w:val="nil"/>
            </w:tcBorders>
            <w:shd w:val="clear" w:color="auto" w:fill="auto"/>
            <w:noWrap/>
            <w:vAlign w:val="bottom"/>
            <w:hideMark/>
          </w:tcPr>
          <w:p w14:paraId="40F367B9"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2.1</w:t>
            </w:r>
          </w:p>
        </w:tc>
        <w:tc>
          <w:tcPr>
            <w:tcW w:w="5106" w:type="dxa"/>
            <w:tcBorders>
              <w:top w:val="nil"/>
              <w:left w:val="nil"/>
              <w:bottom w:val="nil"/>
              <w:right w:val="nil"/>
            </w:tcBorders>
            <w:shd w:val="clear" w:color="auto" w:fill="auto"/>
            <w:noWrap/>
            <w:vAlign w:val="bottom"/>
            <w:hideMark/>
          </w:tcPr>
          <w:p w14:paraId="54DEFCEC"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Mevduata Verilen Faizler</w:t>
            </w:r>
          </w:p>
        </w:tc>
        <w:tc>
          <w:tcPr>
            <w:tcW w:w="710" w:type="dxa"/>
            <w:tcBorders>
              <w:top w:val="nil"/>
              <w:left w:val="nil"/>
              <w:bottom w:val="nil"/>
              <w:right w:val="nil"/>
            </w:tcBorders>
            <w:shd w:val="clear" w:color="auto" w:fill="auto"/>
            <w:noWrap/>
            <w:vAlign w:val="bottom"/>
          </w:tcPr>
          <w:p w14:paraId="0999C5FA"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6B4CABEF" w14:textId="72AF0EB9"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190.454.611</w:t>
            </w:r>
          </w:p>
        </w:tc>
        <w:tc>
          <w:tcPr>
            <w:tcW w:w="1559" w:type="dxa"/>
            <w:tcBorders>
              <w:top w:val="nil"/>
              <w:left w:val="nil"/>
              <w:bottom w:val="nil"/>
              <w:right w:val="nil"/>
            </w:tcBorders>
            <w:vAlign w:val="bottom"/>
          </w:tcPr>
          <w:p w14:paraId="776CDECA" w14:textId="28665C3D"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63.580.547</w:t>
            </w:r>
          </w:p>
        </w:tc>
      </w:tr>
      <w:tr w:rsidR="0027513D" w:rsidRPr="00FB38E1" w14:paraId="39D7ADBA" w14:textId="77777777" w:rsidTr="00836EF2">
        <w:trPr>
          <w:trHeight w:val="167"/>
        </w:trPr>
        <w:tc>
          <w:tcPr>
            <w:tcW w:w="651" w:type="dxa"/>
            <w:tcBorders>
              <w:top w:val="nil"/>
              <w:left w:val="nil"/>
              <w:bottom w:val="nil"/>
              <w:right w:val="nil"/>
            </w:tcBorders>
            <w:shd w:val="clear" w:color="auto" w:fill="auto"/>
            <w:noWrap/>
            <w:vAlign w:val="bottom"/>
            <w:hideMark/>
          </w:tcPr>
          <w:p w14:paraId="2C8AEA77"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2.2</w:t>
            </w:r>
          </w:p>
        </w:tc>
        <w:tc>
          <w:tcPr>
            <w:tcW w:w="5106" w:type="dxa"/>
            <w:tcBorders>
              <w:top w:val="nil"/>
              <w:left w:val="nil"/>
              <w:bottom w:val="nil"/>
              <w:right w:val="nil"/>
            </w:tcBorders>
            <w:shd w:val="clear" w:color="auto" w:fill="auto"/>
            <w:noWrap/>
            <w:vAlign w:val="bottom"/>
            <w:hideMark/>
          </w:tcPr>
          <w:p w14:paraId="68519EDC"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 xml:space="preserve">Kullanılan Kredilere Verilen Faizler </w:t>
            </w:r>
          </w:p>
        </w:tc>
        <w:tc>
          <w:tcPr>
            <w:tcW w:w="710" w:type="dxa"/>
            <w:tcBorders>
              <w:top w:val="nil"/>
              <w:left w:val="nil"/>
              <w:bottom w:val="nil"/>
              <w:right w:val="nil"/>
            </w:tcBorders>
            <w:shd w:val="clear" w:color="auto" w:fill="auto"/>
            <w:noWrap/>
            <w:vAlign w:val="bottom"/>
          </w:tcPr>
          <w:p w14:paraId="1E4850A4"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74A5A93" w14:textId="3B9969C2"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16.651.017</w:t>
            </w:r>
          </w:p>
        </w:tc>
        <w:tc>
          <w:tcPr>
            <w:tcW w:w="1559" w:type="dxa"/>
            <w:tcBorders>
              <w:top w:val="nil"/>
              <w:left w:val="nil"/>
              <w:bottom w:val="nil"/>
              <w:right w:val="nil"/>
            </w:tcBorders>
            <w:vAlign w:val="bottom"/>
          </w:tcPr>
          <w:p w14:paraId="5A819FAE" w14:textId="237E59E2"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9.659.389</w:t>
            </w:r>
          </w:p>
        </w:tc>
      </w:tr>
      <w:tr w:rsidR="0027513D" w:rsidRPr="00FB38E1" w14:paraId="7C2B84B9" w14:textId="77777777" w:rsidTr="00836EF2">
        <w:trPr>
          <w:trHeight w:val="167"/>
        </w:trPr>
        <w:tc>
          <w:tcPr>
            <w:tcW w:w="651" w:type="dxa"/>
            <w:tcBorders>
              <w:top w:val="nil"/>
              <w:left w:val="nil"/>
              <w:bottom w:val="nil"/>
              <w:right w:val="nil"/>
            </w:tcBorders>
            <w:shd w:val="clear" w:color="auto" w:fill="auto"/>
            <w:noWrap/>
            <w:vAlign w:val="bottom"/>
            <w:hideMark/>
          </w:tcPr>
          <w:p w14:paraId="22309868"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2.3</w:t>
            </w:r>
          </w:p>
        </w:tc>
        <w:tc>
          <w:tcPr>
            <w:tcW w:w="5106" w:type="dxa"/>
            <w:tcBorders>
              <w:top w:val="nil"/>
              <w:left w:val="nil"/>
              <w:bottom w:val="nil"/>
              <w:right w:val="nil"/>
            </w:tcBorders>
            <w:shd w:val="clear" w:color="auto" w:fill="auto"/>
            <w:noWrap/>
            <w:vAlign w:val="bottom"/>
            <w:hideMark/>
          </w:tcPr>
          <w:p w14:paraId="3D538D79"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 xml:space="preserve">Para Piyasası İşlemlerine Verilen Faizler </w:t>
            </w:r>
          </w:p>
        </w:tc>
        <w:tc>
          <w:tcPr>
            <w:tcW w:w="710" w:type="dxa"/>
            <w:tcBorders>
              <w:top w:val="nil"/>
              <w:left w:val="nil"/>
              <w:bottom w:val="nil"/>
              <w:right w:val="nil"/>
            </w:tcBorders>
            <w:shd w:val="clear" w:color="auto" w:fill="auto"/>
            <w:noWrap/>
            <w:vAlign w:val="bottom"/>
          </w:tcPr>
          <w:p w14:paraId="49671D91"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3E62FE0" w14:textId="17FDBA78"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3.386.562</w:t>
            </w:r>
          </w:p>
        </w:tc>
        <w:tc>
          <w:tcPr>
            <w:tcW w:w="1559" w:type="dxa"/>
            <w:tcBorders>
              <w:top w:val="nil"/>
              <w:left w:val="nil"/>
              <w:bottom w:val="nil"/>
              <w:right w:val="nil"/>
            </w:tcBorders>
            <w:vAlign w:val="bottom"/>
          </w:tcPr>
          <w:p w14:paraId="00C762F2" w14:textId="7257039B"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2.304.982</w:t>
            </w:r>
          </w:p>
        </w:tc>
      </w:tr>
      <w:tr w:rsidR="0027513D" w:rsidRPr="00FB38E1" w14:paraId="2DD9071B" w14:textId="77777777" w:rsidTr="00836EF2">
        <w:trPr>
          <w:trHeight w:val="167"/>
        </w:trPr>
        <w:tc>
          <w:tcPr>
            <w:tcW w:w="651" w:type="dxa"/>
            <w:tcBorders>
              <w:top w:val="nil"/>
              <w:left w:val="nil"/>
              <w:bottom w:val="nil"/>
              <w:right w:val="nil"/>
            </w:tcBorders>
            <w:shd w:val="clear" w:color="auto" w:fill="auto"/>
            <w:noWrap/>
            <w:vAlign w:val="bottom"/>
            <w:hideMark/>
          </w:tcPr>
          <w:p w14:paraId="2C8FB0DC"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2.4</w:t>
            </w:r>
          </w:p>
        </w:tc>
        <w:tc>
          <w:tcPr>
            <w:tcW w:w="5106" w:type="dxa"/>
            <w:tcBorders>
              <w:top w:val="nil"/>
              <w:left w:val="nil"/>
              <w:bottom w:val="nil"/>
              <w:right w:val="nil"/>
            </w:tcBorders>
            <w:shd w:val="clear" w:color="auto" w:fill="auto"/>
            <w:noWrap/>
            <w:vAlign w:val="bottom"/>
            <w:hideMark/>
          </w:tcPr>
          <w:p w14:paraId="1F80AC7C"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İhraç Edilen Menkul Kıymetlere Verilen Faizler</w:t>
            </w:r>
          </w:p>
        </w:tc>
        <w:tc>
          <w:tcPr>
            <w:tcW w:w="710" w:type="dxa"/>
            <w:tcBorders>
              <w:top w:val="nil"/>
              <w:left w:val="nil"/>
              <w:bottom w:val="nil"/>
              <w:right w:val="nil"/>
            </w:tcBorders>
            <w:shd w:val="clear" w:color="auto" w:fill="auto"/>
            <w:noWrap/>
            <w:vAlign w:val="bottom"/>
          </w:tcPr>
          <w:p w14:paraId="2665CC3E"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A592D08" w14:textId="75755624"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3.181.848</w:t>
            </w:r>
          </w:p>
        </w:tc>
        <w:tc>
          <w:tcPr>
            <w:tcW w:w="1559" w:type="dxa"/>
            <w:tcBorders>
              <w:top w:val="nil"/>
              <w:left w:val="nil"/>
              <w:bottom w:val="nil"/>
              <w:right w:val="nil"/>
            </w:tcBorders>
            <w:vAlign w:val="bottom"/>
          </w:tcPr>
          <w:p w14:paraId="3A2162D3" w14:textId="176B2BFB"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738.681</w:t>
            </w:r>
          </w:p>
        </w:tc>
      </w:tr>
      <w:tr w:rsidR="0027513D" w:rsidRPr="00FB38E1" w14:paraId="777C8647" w14:textId="77777777" w:rsidTr="00836EF2">
        <w:trPr>
          <w:trHeight w:val="167"/>
        </w:trPr>
        <w:tc>
          <w:tcPr>
            <w:tcW w:w="651" w:type="dxa"/>
            <w:tcBorders>
              <w:top w:val="nil"/>
              <w:left w:val="nil"/>
              <w:bottom w:val="nil"/>
              <w:right w:val="nil"/>
            </w:tcBorders>
            <w:shd w:val="clear" w:color="auto" w:fill="auto"/>
            <w:noWrap/>
            <w:vAlign w:val="bottom"/>
            <w:hideMark/>
          </w:tcPr>
          <w:p w14:paraId="79F25119"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2.5</w:t>
            </w:r>
          </w:p>
        </w:tc>
        <w:tc>
          <w:tcPr>
            <w:tcW w:w="5106" w:type="dxa"/>
            <w:tcBorders>
              <w:top w:val="nil"/>
              <w:left w:val="nil"/>
              <w:bottom w:val="nil"/>
              <w:right w:val="nil"/>
            </w:tcBorders>
            <w:shd w:val="clear" w:color="auto" w:fill="auto"/>
            <w:noWrap/>
            <w:vAlign w:val="bottom"/>
            <w:hideMark/>
          </w:tcPr>
          <w:p w14:paraId="601E386C"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Kiralama Faiz Giderleri</w:t>
            </w:r>
          </w:p>
        </w:tc>
        <w:tc>
          <w:tcPr>
            <w:tcW w:w="710" w:type="dxa"/>
            <w:tcBorders>
              <w:top w:val="nil"/>
              <w:left w:val="nil"/>
              <w:bottom w:val="nil"/>
              <w:right w:val="nil"/>
            </w:tcBorders>
            <w:shd w:val="clear" w:color="auto" w:fill="auto"/>
            <w:noWrap/>
            <w:vAlign w:val="bottom"/>
          </w:tcPr>
          <w:p w14:paraId="02676952"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4401959" w14:textId="30A4C46B"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421.610</w:t>
            </w:r>
          </w:p>
        </w:tc>
        <w:tc>
          <w:tcPr>
            <w:tcW w:w="1559" w:type="dxa"/>
            <w:tcBorders>
              <w:top w:val="nil"/>
              <w:left w:val="nil"/>
              <w:bottom w:val="nil"/>
              <w:right w:val="nil"/>
            </w:tcBorders>
            <w:vAlign w:val="bottom"/>
          </w:tcPr>
          <w:p w14:paraId="3A194BC5" w14:textId="0A4262CE"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258.144</w:t>
            </w:r>
          </w:p>
        </w:tc>
      </w:tr>
      <w:tr w:rsidR="0027513D" w:rsidRPr="00FB38E1" w14:paraId="76ED9EDE" w14:textId="77777777" w:rsidTr="00836EF2">
        <w:trPr>
          <w:trHeight w:val="167"/>
        </w:trPr>
        <w:tc>
          <w:tcPr>
            <w:tcW w:w="651" w:type="dxa"/>
            <w:tcBorders>
              <w:top w:val="nil"/>
              <w:left w:val="nil"/>
              <w:bottom w:val="nil"/>
              <w:right w:val="nil"/>
            </w:tcBorders>
            <w:shd w:val="clear" w:color="auto" w:fill="auto"/>
            <w:noWrap/>
            <w:vAlign w:val="bottom"/>
            <w:hideMark/>
          </w:tcPr>
          <w:p w14:paraId="7F383718"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2.6</w:t>
            </w:r>
          </w:p>
        </w:tc>
        <w:tc>
          <w:tcPr>
            <w:tcW w:w="5106" w:type="dxa"/>
            <w:tcBorders>
              <w:top w:val="nil"/>
              <w:left w:val="nil"/>
              <w:bottom w:val="nil"/>
              <w:right w:val="nil"/>
            </w:tcBorders>
            <w:shd w:val="clear" w:color="auto" w:fill="auto"/>
            <w:noWrap/>
            <w:vAlign w:val="bottom"/>
            <w:hideMark/>
          </w:tcPr>
          <w:p w14:paraId="2AA683BD"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Diğer Faiz Giderleri</w:t>
            </w:r>
          </w:p>
        </w:tc>
        <w:tc>
          <w:tcPr>
            <w:tcW w:w="710" w:type="dxa"/>
            <w:tcBorders>
              <w:top w:val="nil"/>
              <w:left w:val="nil"/>
              <w:bottom w:val="nil"/>
              <w:right w:val="nil"/>
            </w:tcBorders>
            <w:shd w:val="clear" w:color="auto" w:fill="auto"/>
            <w:noWrap/>
            <w:vAlign w:val="bottom"/>
          </w:tcPr>
          <w:p w14:paraId="5118B26A"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B8174A9" w14:textId="51102C9B"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1.020.165</w:t>
            </w:r>
          </w:p>
        </w:tc>
        <w:tc>
          <w:tcPr>
            <w:tcW w:w="1559" w:type="dxa"/>
            <w:tcBorders>
              <w:top w:val="nil"/>
              <w:left w:val="nil"/>
              <w:bottom w:val="nil"/>
              <w:right w:val="nil"/>
            </w:tcBorders>
            <w:vAlign w:val="bottom"/>
          </w:tcPr>
          <w:p w14:paraId="70653D4D" w14:textId="1F84F113"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161.078</w:t>
            </w:r>
          </w:p>
        </w:tc>
      </w:tr>
      <w:tr w:rsidR="0027513D" w:rsidRPr="00FB38E1" w14:paraId="18A88527" w14:textId="77777777" w:rsidTr="00836EF2">
        <w:trPr>
          <w:trHeight w:val="167"/>
        </w:trPr>
        <w:tc>
          <w:tcPr>
            <w:tcW w:w="651" w:type="dxa"/>
            <w:tcBorders>
              <w:top w:val="nil"/>
              <w:left w:val="nil"/>
              <w:bottom w:val="nil"/>
              <w:right w:val="nil"/>
            </w:tcBorders>
            <w:shd w:val="clear" w:color="auto" w:fill="auto"/>
            <w:noWrap/>
            <w:vAlign w:val="bottom"/>
            <w:hideMark/>
          </w:tcPr>
          <w:p w14:paraId="14F49A12"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III.</w:t>
            </w:r>
          </w:p>
        </w:tc>
        <w:tc>
          <w:tcPr>
            <w:tcW w:w="5106" w:type="dxa"/>
            <w:tcBorders>
              <w:top w:val="nil"/>
              <w:left w:val="nil"/>
              <w:bottom w:val="nil"/>
              <w:right w:val="nil"/>
            </w:tcBorders>
            <w:shd w:val="clear" w:color="auto" w:fill="auto"/>
            <w:noWrap/>
            <w:vAlign w:val="bottom"/>
            <w:hideMark/>
          </w:tcPr>
          <w:p w14:paraId="06C75BEA"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NET FAİZ GELİRİ/GİDERİ (I - II)</w:t>
            </w:r>
          </w:p>
        </w:tc>
        <w:tc>
          <w:tcPr>
            <w:tcW w:w="710" w:type="dxa"/>
            <w:tcBorders>
              <w:top w:val="nil"/>
              <w:left w:val="nil"/>
              <w:bottom w:val="nil"/>
              <w:right w:val="nil"/>
            </w:tcBorders>
            <w:shd w:val="clear" w:color="auto" w:fill="auto"/>
            <w:noWrap/>
            <w:vAlign w:val="bottom"/>
          </w:tcPr>
          <w:p w14:paraId="291DDC67"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99D1E53" w14:textId="3E681B8D"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44.956.445</w:t>
            </w:r>
          </w:p>
        </w:tc>
        <w:tc>
          <w:tcPr>
            <w:tcW w:w="1559" w:type="dxa"/>
            <w:tcBorders>
              <w:top w:val="nil"/>
              <w:left w:val="nil"/>
              <w:bottom w:val="nil"/>
              <w:right w:val="nil"/>
            </w:tcBorders>
            <w:vAlign w:val="bottom"/>
          </w:tcPr>
          <w:p w14:paraId="1BA15E3A" w14:textId="744A3F39"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31.466.155</w:t>
            </w:r>
          </w:p>
        </w:tc>
      </w:tr>
      <w:tr w:rsidR="0027513D" w:rsidRPr="00FB38E1" w14:paraId="71C044F2" w14:textId="77777777" w:rsidTr="00836EF2">
        <w:trPr>
          <w:trHeight w:val="167"/>
        </w:trPr>
        <w:tc>
          <w:tcPr>
            <w:tcW w:w="651" w:type="dxa"/>
            <w:tcBorders>
              <w:top w:val="nil"/>
              <w:left w:val="nil"/>
              <w:bottom w:val="nil"/>
              <w:right w:val="nil"/>
            </w:tcBorders>
            <w:shd w:val="clear" w:color="auto" w:fill="auto"/>
            <w:noWrap/>
            <w:vAlign w:val="bottom"/>
            <w:hideMark/>
          </w:tcPr>
          <w:p w14:paraId="1408F7D8"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IV.</w:t>
            </w:r>
          </w:p>
        </w:tc>
        <w:tc>
          <w:tcPr>
            <w:tcW w:w="5106" w:type="dxa"/>
            <w:tcBorders>
              <w:top w:val="nil"/>
              <w:left w:val="nil"/>
              <w:bottom w:val="nil"/>
              <w:right w:val="nil"/>
            </w:tcBorders>
            <w:shd w:val="clear" w:color="auto" w:fill="auto"/>
            <w:noWrap/>
            <w:vAlign w:val="bottom"/>
            <w:hideMark/>
          </w:tcPr>
          <w:p w14:paraId="3718E8AB"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NET ÜCRET VE KOMİSYON GELİRLERİ/GİDERLERİ</w:t>
            </w:r>
          </w:p>
        </w:tc>
        <w:tc>
          <w:tcPr>
            <w:tcW w:w="710" w:type="dxa"/>
            <w:tcBorders>
              <w:top w:val="nil"/>
              <w:left w:val="nil"/>
              <w:bottom w:val="nil"/>
              <w:right w:val="nil"/>
            </w:tcBorders>
            <w:shd w:val="clear" w:color="auto" w:fill="auto"/>
            <w:noWrap/>
            <w:vAlign w:val="bottom"/>
          </w:tcPr>
          <w:p w14:paraId="51A2C1BC"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6BEF2C6D" w14:textId="030211BB"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28.962.471</w:t>
            </w:r>
          </w:p>
        </w:tc>
        <w:tc>
          <w:tcPr>
            <w:tcW w:w="1559" w:type="dxa"/>
            <w:tcBorders>
              <w:top w:val="nil"/>
              <w:left w:val="nil"/>
              <w:bottom w:val="nil"/>
              <w:right w:val="nil"/>
            </w:tcBorders>
            <w:vAlign w:val="bottom"/>
          </w:tcPr>
          <w:p w14:paraId="51883759" w14:textId="450DECCD"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13.626.396</w:t>
            </w:r>
          </w:p>
        </w:tc>
      </w:tr>
      <w:tr w:rsidR="0027513D" w:rsidRPr="00FB38E1" w14:paraId="5CF7339D" w14:textId="77777777" w:rsidTr="00836EF2">
        <w:trPr>
          <w:trHeight w:val="167"/>
        </w:trPr>
        <w:tc>
          <w:tcPr>
            <w:tcW w:w="651" w:type="dxa"/>
            <w:tcBorders>
              <w:top w:val="nil"/>
              <w:left w:val="nil"/>
              <w:bottom w:val="nil"/>
              <w:right w:val="nil"/>
            </w:tcBorders>
            <w:shd w:val="clear" w:color="auto" w:fill="auto"/>
            <w:noWrap/>
            <w:vAlign w:val="bottom"/>
            <w:hideMark/>
          </w:tcPr>
          <w:p w14:paraId="7821DC2A"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4.1</w:t>
            </w:r>
          </w:p>
        </w:tc>
        <w:tc>
          <w:tcPr>
            <w:tcW w:w="5106" w:type="dxa"/>
            <w:tcBorders>
              <w:top w:val="nil"/>
              <w:left w:val="nil"/>
              <w:bottom w:val="nil"/>
              <w:right w:val="nil"/>
            </w:tcBorders>
            <w:shd w:val="clear" w:color="auto" w:fill="auto"/>
            <w:noWrap/>
            <w:vAlign w:val="bottom"/>
            <w:hideMark/>
          </w:tcPr>
          <w:p w14:paraId="460838F5"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Alınan Ücret ve Komisyonlar</w:t>
            </w:r>
          </w:p>
        </w:tc>
        <w:tc>
          <w:tcPr>
            <w:tcW w:w="710" w:type="dxa"/>
            <w:tcBorders>
              <w:top w:val="nil"/>
              <w:left w:val="nil"/>
              <w:bottom w:val="nil"/>
              <w:right w:val="nil"/>
            </w:tcBorders>
            <w:shd w:val="clear" w:color="auto" w:fill="auto"/>
            <w:noWrap/>
            <w:vAlign w:val="bottom"/>
          </w:tcPr>
          <w:p w14:paraId="447DF907"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FC75C35" w14:textId="13E97A15" w:rsidR="0027513D" w:rsidRPr="00FB38E1" w:rsidRDefault="0027513D" w:rsidP="0027513D">
            <w:pPr>
              <w:spacing w:after="0"/>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51.337.926</w:t>
            </w:r>
          </w:p>
        </w:tc>
        <w:tc>
          <w:tcPr>
            <w:tcW w:w="1559" w:type="dxa"/>
            <w:tcBorders>
              <w:top w:val="nil"/>
              <w:left w:val="nil"/>
              <w:bottom w:val="nil"/>
              <w:right w:val="nil"/>
            </w:tcBorders>
            <w:vAlign w:val="bottom"/>
          </w:tcPr>
          <w:p w14:paraId="0E292EDB" w14:textId="05A63A85" w:rsidR="0027513D" w:rsidRPr="00FB38E1" w:rsidRDefault="0027513D" w:rsidP="0027513D">
            <w:pPr>
              <w:spacing w:after="0"/>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19.858.661</w:t>
            </w:r>
          </w:p>
        </w:tc>
      </w:tr>
      <w:tr w:rsidR="0027513D" w:rsidRPr="00FB38E1" w14:paraId="4CDC36B9" w14:textId="77777777" w:rsidTr="00836EF2">
        <w:trPr>
          <w:trHeight w:val="167"/>
        </w:trPr>
        <w:tc>
          <w:tcPr>
            <w:tcW w:w="651" w:type="dxa"/>
            <w:tcBorders>
              <w:top w:val="nil"/>
              <w:left w:val="nil"/>
              <w:bottom w:val="nil"/>
              <w:right w:val="nil"/>
            </w:tcBorders>
            <w:shd w:val="clear" w:color="auto" w:fill="auto"/>
            <w:noWrap/>
            <w:vAlign w:val="bottom"/>
            <w:hideMark/>
          </w:tcPr>
          <w:p w14:paraId="128406BF"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4.1.1</w:t>
            </w:r>
          </w:p>
        </w:tc>
        <w:tc>
          <w:tcPr>
            <w:tcW w:w="5106" w:type="dxa"/>
            <w:tcBorders>
              <w:top w:val="nil"/>
              <w:left w:val="nil"/>
              <w:bottom w:val="nil"/>
              <w:right w:val="nil"/>
            </w:tcBorders>
            <w:shd w:val="clear" w:color="auto" w:fill="auto"/>
            <w:noWrap/>
            <w:vAlign w:val="bottom"/>
            <w:hideMark/>
          </w:tcPr>
          <w:p w14:paraId="6E0398C3"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Gayri Nakdi Kredilerden</w:t>
            </w:r>
          </w:p>
        </w:tc>
        <w:tc>
          <w:tcPr>
            <w:tcW w:w="710" w:type="dxa"/>
            <w:tcBorders>
              <w:top w:val="nil"/>
              <w:left w:val="nil"/>
              <w:bottom w:val="nil"/>
              <w:right w:val="nil"/>
            </w:tcBorders>
            <w:shd w:val="clear" w:color="auto" w:fill="auto"/>
            <w:noWrap/>
            <w:vAlign w:val="bottom"/>
          </w:tcPr>
          <w:p w14:paraId="1B0866B4"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C58D697" w14:textId="5595B303"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1.634.907</w:t>
            </w:r>
          </w:p>
        </w:tc>
        <w:tc>
          <w:tcPr>
            <w:tcW w:w="1559" w:type="dxa"/>
            <w:tcBorders>
              <w:top w:val="nil"/>
              <w:left w:val="nil"/>
              <w:bottom w:val="nil"/>
              <w:right w:val="nil"/>
            </w:tcBorders>
            <w:vAlign w:val="bottom"/>
          </w:tcPr>
          <w:p w14:paraId="672D3878" w14:textId="3F24032E"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1.105.670</w:t>
            </w:r>
          </w:p>
        </w:tc>
      </w:tr>
      <w:tr w:rsidR="0027513D" w:rsidRPr="00FB38E1" w14:paraId="3EF5BB63" w14:textId="77777777" w:rsidTr="00836EF2">
        <w:trPr>
          <w:trHeight w:val="167"/>
        </w:trPr>
        <w:tc>
          <w:tcPr>
            <w:tcW w:w="651" w:type="dxa"/>
            <w:tcBorders>
              <w:top w:val="nil"/>
              <w:left w:val="nil"/>
              <w:bottom w:val="nil"/>
              <w:right w:val="nil"/>
            </w:tcBorders>
            <w:shd w:val="clear" w:color="auto" w:fill="auto"/>
            <w:noWrap/>
            <w:vAlign w:val="bottom"/>
            <w:hideMark/>
          </w:tcPr>
          <w:p w14:paraId="372C3CF6"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4.1.2</w:t>
            </w:r>
          </w:p>
        </w:tc>
        <w:tc>
          <w:tcPr>
            <w:tcW w:w="5106" w:type="dxa"/>
            <w:tcBorders>
              <w:top w:val="nil"/>
              <w:left w:val="nil"/>
              <w:bottom w:val="nil"/>
              <w:right w:val="nil"/>
            </w:tcBorders>
            <w:shd w:val="clear" w:color="auto" w:fill="auto"/>
            <w:noWrap/>
            <w:vAlign w:val="bottom"/>
            <w:hideMark/>
          </w:tcPr>
          <w:p w14:paraId="372B7678"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Diğer</w:t>
            </w:r>
          </w:p>
        </w:tc>
        <w:tc>
          <w:tcPr>
            <w:tcW w:w="710" w:type="dxa"/>
            <w:tcBorders>
              <w:top w:val="nil"/>
              <w:left w:val="nil"/>
              <w:bottom w:val="nil"/>
              <w:right w:val="nil"/>
            </w:tcBorders>
            <w:shd w:val="clear" w:color="auto" w:fill="auto"/>
            <w:noWrap/>
            <w:vAlign w:val="bottom"/>
          </w:tcPr>
          <w:p w14:paraId="196CAFEA" w14:textId="4E534589"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(5.IV.m)</w:t>
            </w:r>
          </w:p>
        </w:tc>
        <w:tc>
          <w:tcPr>
            <w:tcW w:w="1700" w:type="dxa"/>
            <w:tcBorders>
              <w:top w:val="nil"/>
              <w:left w:val="nil"/>
              <w:bottom w:val="nil"/>
              <w:right w:val="nil"/>
            </w:tcBorders>
            <w:vAlign w:val="bottom"/>
          </w:tcPr>
          <w:p w14:paraId="79A56112" w14:textId="2D202195"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49.703.019</w:t>
            </w:r>
          </w:p>
        </w:tc>
        <w:tc>
          <w:tcPr>
            <w:tcW w:w="1559" w:type="dxa"/>
            <w:tcBorders>
              <w:top w:val="nil"/>
              <w:left w:val="nil"/>
              <w:bottom w:val="nil"/>
              <w:right w:val="nil"/>
            </w:tcBorders>
            <w:vAlign w:val="bottom"/>
          </w:tcPr>
          <w:p w14:paraId="5889F12A" w14:textId="482FDAAD"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18.752.991</w:t>
            </w:r>
          </w:p>
        </w:tc>
      </w:tr>
      <w:tr w:rsidR="0027513D" w:rsidRPr="00FB38E1" w14:paraId="752289EE" w14:textId="77777777" w:rsidTr="00836EF2">
        <w:trPr>
          <w:trHeight w:val="167"/>
        </w:trPr>
        <w:tc>
          <w:tcPr>
            <w:tcW w:w="651" w:type="dxa"/>
            <w:tcBorders>
              <w:top w:val="nil"/>
              <w:left w:val="nil"/>
              <w:bottom w:val="nil"/>
              <w:right w:val="nil"/>
            </w:tcBorders>
            <w:shd w:val="clear" w:color="auto" w:fill="auto"/>
            <w:noWrap/>
            <w:vAlign w:val="bottom"/>
            <w:hideMark/>
          </w:tcPr>
          <w:p w14:paraId="7422AAB7"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4.2</w:t>
            </w:r>
          </w:p>
        </w:tc>
        <w:tc>
          <w:tcPr>
            <w:tcW w:w="5106" w:type="dxa"/>
            <w:tcBorders>
              <w:top w:val="nil"/>
              <w:left w:val="nil"/>
              <w:bottom w:val="nil"/>
              <w:right w:val="nil"/>
            </w:tcBorders>
            <w:shd w:val="clear" w:color="auto" w:fill="auto"/>
            <w:noWrap/>
            <w:vAlign w:val="bottom"/>
            <w:hideMark/>
          </w:tcPr>
          <w:p w14:paraId="70FC21F1"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Verilen Ücret ve Komisyonlar (-)</w:t>
            </w:r>
          </w:p>
        </w:tc>
        <w:tc>
          <w:tcPr>
            <w:tcW w:w="710" w:type="dxa"/>
            <w:tcBorders>
              <w:top w:val="nil"/>
              <w:left w:val="nil"/>
              <w:bottom w:val="nil"/>
              <w:right w:val="nil"/>
            </w:tcBorders>
            <w:shd w:val="clear" w:color="auto" w:fill="auto"/>
            <w:noWrap/>
            <w:vAlign w:val="bottom"/>
          </w:tcPr>
          <w:p w14:paraId="13AF174F"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F1DF5CF" w14:textId="7389516C" w:rsidR="0027513D" w:rsidRPr="00FB38E1" w:rsidRDefault="0027513D" w:rsidP="0027513D">
            <w:pPr>
              <w:spacing w:after="0"/>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22.375.455</w:t>
            </w:r>
          </w:p>
        </w:tc>
        <w:tc>
          <w:tcPr>
            <w:tcW w:w="1559" w:type="dxa"/>
            <w:tcBorders>
              <w:top w:val="nil"/>
              <w:left w:val="nil"/>
              <w:bottom w:val="nil"/>
              <w:right w:val="nil"/>
            </w:tcBorders>
            <w:vAlign w:val="bottom"/>
          </w:tcPr>
          <w:p w14:paraId="7B6BE44E" w14:textId="6161A6E4" w:rsidR="0027513D" w:rsidRPr="00FB38E1" w:rsidRDefault="0027513D" w:rsidP="0027513D">
            <w:pPr>
              <w:spacing w:after="0"/>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6.232.265</w:t>
            </w:r>
          </w:p>
        </w:tc>
      </w:tr>
      <w:tr w:rsidR="0027513D" w:rsidRPr="00FB38E1" w14:paraId="68713F1E" w14:textId="77777777" w:rsidTr="00836EF2">
        <w:trPr>
          <w:trHeight w:val="167"/>
        </w:trPr>
        <w:tc>
          <w:tcPr>
            <w:tcW w:w="651" w:type="dxa"/>
            <w:tcBorders>
              <w:top w:val="nil"/>
              <w:left w:val="nil"/>
              <w:bottom w:val="nil"/>
              <w:right w:val="nil"/>
            </w:tcBorders>
            <w:shd w:val="clear" w:color="auto" w:fill="auto"/>
            <w:noWrap/>
            <w:vAlign w:val="bottom"/>
            <w:hideMark/>
          </w:tcPr>
          <w:p w14:paraId="49126A91"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4.2.1</w:t>
            </w:r>
          </w:p>
        </w:tc>
        <w:tc>
          <w:tcPr>
            <w:tcW w:w="5106" w:type="dxa"/>
            <w:tcBorders>
              <w:top w:val="nil"/>
              <w:left w:val="nil"/>
              <w:bottom w:val="nil"/>
              <w:right w:val="nil"/>
            </w:tcBorders>
            <w:shd w:val="clear" w:color="auto" w:fill="auto"/>
            <w:noWrap/>
            <w:vAlign w:val="bottom"/>
            <w:hideMark/>
          </w:tcPr>
          <w:p w14:paraId="628F274C"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Gayri Nakdi Kredilere</w:t>
            </w:r>
          </w:p>
        </w:tc>
        <w:tc>
          <w:tcPr>
            <w:tcW w:w="710" w:type="dxa"/>
            <w:tcBorders>
              <w:top w:val="nil"/>
              <w:left w:val="nil"/>
              <w:bottom w:val="nil"/>
              <w:right w:val="nil"/>
            </w:tcBorders>
            <w:shd w:val="clear" w:color="auto" w:fill="auto"/>
            <w:noWrap/>
            <w:vAlign w:val="bottom"/>
          </w:tcPr>
          <w:p w14:paraId="28E37AA8"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9E55606" w14:textId="4C6133B3"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4.853</w:t>
            </w:r>
          </w:p>
        </w:tc>
        <w:tc>
          <w:tcPr>
            <w:tcW w:w="1559" w:type="dxa"/>
            <w:tcBorders>
              <w:top w:val="nil"/>
              <w:left w:val="nil"/>
              <w:bottom w:val="nil"/>
              <w:right w:val="nil"/>
            </w:tcBorders>
            <w:vAlign w:val="bottom"/>
          </w:tcPr>
          <w:p w14:paraId="2E21F999" w14:textId="61450B2A"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3.217</w:t>
            </w:r>
          </w:p>
        </w:tc>
      </w:tr>
      <w:tr w:rsidR="0027513D" w:rsidRPr="00FB38E1" w14:paraId="2300B45B" w14:textId="77777777" w:rsidTr="00836EF2">
        <w:trPr>
          <w:trHeight w:val="167"/>
        </w:trPr>
        <w:tc>
          <w:tcPr>
            <w:tcW w:w="651" w:type="dxa"/>
            <w:tcBorders>
              <w:top w:val="nil"/>
              <w:left w:val="nil"/>
              <w:bottom w:val="nil"/>
              <w:right w:val="nil"/>
            </w:tcBorders>
            <w:shd w:val="clear" w:color="auto" w:fill="auto"/>
            <w:noWrap/>
            <w:vAlign w:val="bottom"/>
            <w:hideMark/>
          </w:tcPr>
          <w:p w14:paraId="5B8F4840"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4.2.2</w:t>
            </w:r>
          </w:p>
        </w:tc>
        <w:tc>
          <w:tcPr>
            <w:tcW w:w="5106" w:type="dxa"/>
            <w:tcBorders>
              <w:top w:val="nil"/>
              <w:left w:val="nil"/>
              <w:bottom w:val="nil"/>
              <w:right w:val="nil"/>
            </w:tcBorders>
            <w:shd w:val="clear" w:color="auto" w:fill="auto"/>
            <w:noWrap/>
            <w:vAlign w:val="bottom"/>
            <w:hideMark/>
          </w:tcPr>
          <w:p w14:paraId="22D39DBD"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Diğer</w:t>
            </w:r>
          </w:p>
        </w:tc>
        <w:tc>
          <w:tcPr>
            <w:tcW w:w="710" w:type="dxa"/>
            <w:tcBorders>
              <w:top w:val="nil"/>
              <w:left w:val="nil"/>
              <w:bottom w:val="nil"/>
              <w:right w:val="nil"/>
            </w:tcBorders>
            <w:shd w:val="clear" w:color="auto" w:fill="auto"/>
            <w:noWrap/>
            <w:vAlign w:val="bottom"/>
          </w:tcPr>
          <w:p w14:paraId="2B571103" w14:textId="622A17BE"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(5.IV.m)</w:t>
            </w:r>
          </w:p>
        </w:tc>
        <w:tc>
          <w:tcPr>
            <w:tcW w:w="1700" w:type="dxa"/>
            <w:tcBorders>
              <w:top w:val="nil"/>
              <w:left w:val="nil"/>
              <w:bottom w:val="nil"/>
              <w:right w:val="nil"/>
            </w:tcBorders>
            <w:vAlign w:val="bottom"/>
          </w:tcPr>
          <w:p w14:paraId="46346027" w14:textId="22C46C95"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22.370.602</w:t>
            </w:r>
          </w:p>
        </w:tc>
        <w:tc>
          <w:tcPr>
            <w:tcW w:w="1559" w:type="dxa"/>
            <w:tcBorders>
              <w:top w:val="nil"/>
              <w:left w:val="nil"/>
              <w:bottom w:val="nil"/>
              <w:right w:val="nil"/>
            </w:tcBorders>
            <w:vAlign w:val="bottom"/>
          </w:tcPr>
          <w:p w14:paraId="62599D9E" w14:textId="594CFCEC"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6.229.048</w:t>
            </w:r>
          </w:p>
        </w:tc>
      </w:tr>
      <w:tr w:rsidR="0027513D" w:rsidRPr="00FB38E1" w14:paraId="5821C8DA" w14:textId="77777777" w:rsidTr="00836EF2">
        <w:trPr>
          <w:trHeight w:val="167"/>
        </w:trPr>
        <w:tc>
          <w:tcPr>
            <w:tcW w:w="651" w:type="dxa"/>
            <w:tcBorders>
              <w:top w:val="nil"/>
              <w:left w:val="nil"/>
              <w:bottom w:val="nil"/>
              <w:right w:val="nil"/>
            </w:tcBorders>
            <w:shd w:val="clear" w:color="auto" w:fill="auto"/>
            <w:noWrap/>
            <w:vAlign w:val="bottom"/>
            <w:hideMark/>
          </w:tcPr>
          <w:p w14:paraId="6D13C77F"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V</w:t>
            </w:r>
          </w:p>
        </w:tc>
        <w:tc>
          <w:tcPr>
            <w:tcW w:w="5106" w:type="dxa"/>
            <w:tcBorders>
              <w:top w:val="nil"/>
              <w:left w:val="nil"/>
              <w:bottom w:val="nil"/>
              <w:right w:val="nil"/>
            </w:tcBorders>
            <w:shd w:val="clear" w:color="auto" w:fill="auto"/>
            <w:noWrap/>
            <w:vAlign w:val="bottom"/>
            <w:hideMark/>
          </w:tcPr>
          <w:p w14:paraId="2AD93512"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TEMETTÜ GELİRLERİ</w:t>
            </w:r>
          </w:p>
        </w:tc>
        <w:tc>
          <w:tcPr>
            <w:tcW w:w="710" w:type="dxa"/>
            <w:tcBorders>
              <w:top w:val="nil"/>
              <w:left w:val="nil"/>
              <w:bottom w:val="nil"/>
              <w:right w:val="nil"/>
            </w:tcBorders>
            <w:shd w:val="clear" w:color="auto" w:fill="auto"/>
            <w:noWrap/>
            <w:vAlign w:val="bottom"/>
          </w:tcPr>
          <w:p w14:paraId="69D5B699" w14:textId="6DC7E1E6"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(5.IV.c)</w:t>
            </w:r>
          </w:p>
        </w:tc>
        <w:tc>
          <w:tcPr>
            <w:tcW w:w="1700" w:type="dxa"/>
            <w:tcBorders>
              <w:top w:val="nil"/>
              <w:left w:val="nil"/>
              <w:bottom w:val="nil"/>
              <w:right w:val="nil"/>
            </w:tcBorders>
            <w:vAlign w:val="bottom"/>
          </w:tcPr>
          <w:p w14:paraId="46CAFB3A" w14:textId="11ADB703"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10.574</w:t>
            </w:r>
          </w:p>
        </w:tc>
        <w:tc>
          <w:tcPr>
            <w:tcW w:w="1559" w:type="dxa"/>
            <w:tcBorders>
              <w:top w:val="nil"/>
              <w:left w:val="nil"/>
              <w:bottom w:val="nil"/>
              <w:right w:val="nil"/>
            </w:tcBorders>
            <w:vAlign w:val="bottom"/>
          </w:tcPr>
          <w:p w14:paraId="7414AC45" w14:textId="1ABEF68B"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7.371</w:t>
            </w:r>
          </w:p>
        </w:tc>
      </w:tr>
      <w:tr w:rsidR="0027513D" w:rsidRPr="00FB38E1" w14:paraId="2D5D6484" w14:textId="77777777" w:rsidTr="00836EF2">
        <w:trPr>
          <w:trHeight w:val="167"/>
        </w:trPr>
        <w:tc>
          <w:tcPr>
            <w:tcW w:w="651" w:type="dxa"/>
            <w:tcBorders>
              <w:top w:val="nil"/>
              <w:left w:val="nil"/>
              <w:bottom w:val="nil"/>
              <w:right w:val="nil"/>
            </w:tcBorders>
            <w:shd w:val="clear" w:color="auto" w:fill="auto"/>
            <w:noWrap/>
            <w:vAlign w:val="bottom"/>
            <w:hideMark/>
          </w:tcPr>
          <w:p w14:paraId="232341B7"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VI.</w:t>
            </w:r>
          </w:p>
        </w:tc>
        <w:tc>
          <w:tcPr>
            <w:tcW w:w="5106" w:type="dxa"/>
            <w:tcBorders>
              <w:top w:val="nil"/>
              <w:left w:val="nil"/>
              <w:bottom w:val="nil"/>
              <w:right w:val="nil"/>
            </w:tcBorders>
            <w:shd w:val="clear" w:color="auto" w:fill="auto"/>
            <w:noWrap/>
            <w:vAlign w:val="bottom"/>
            <w:hideMark/>
          </w:tcPr>
          <w:p w14:paraId="1A9CE040"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TİCARİ KAR/ZARAR (Net)</w:t>
            </w:r>
          </w:p>
        </w:tc>
        <w:tc>
          <w:tcPr>
            <w:tcW w:w="710" w:type="dxa"/>
            <w:tcBorders>
              <w:top w:val="nil"/>
              <w:left w:val="nil"/>
              <w:bottom w:val="nil"/>
              <w:right w:val="nil"/>
            </w:tcBorders>
            <w:shd w:val="clear" w:color="auto" w:fill="auto"/>
            <w:noWrap/>
            <w:vAlign w:val="bottom"/>
          </w:tcPr>
          <w:p w14:paraId="0F53B7C4" w14:textId="2683E63B"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(5.IV.d)</w:t>
            </w:r>
          </w:p>
        </w:tc>
        <w:tc>
          <w:tcPr>
            <w:tcW w:w="1700" w:type="dxa"/>
            <w:tcBorders>
              <w:top w:val="nil"/>
              <w:left w:val="nil"/>
              <w:bottom w:val="nil"/>
              <w:right w:val="nil"/>
            </w:tcBorders>
            <w:vAlign w:val="bottom"/>
          </w:tcPr>
          <w:p w14:paraId="19BD9CBE" w14:textId="0FB92A92"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3.448.163</w:t>
            </w:r>
          </w:p>
        </w:tc>
        <w:tc>
          <w:tcPr>
            <w:tcW w:w="1559" w:type="dxa"/>
            <w:tcBorders>
              <w:top w:val="nil"/>
              <w:left w:val="nil"/>
              <w:bottom w:val="nil"/>
              <w:right w:val="nil"/>
            </w:tcBorders>
            <w:vAlign w:val="bottom"/>
          </w:tcPr>
          <w:p w14:paraId="1A32E3E4" w14:textId="78083B54"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2.636.448</w:t>
            </w:r>
          </w:p>
        </w:tc>
      </w:tr>
      <w:tr w:rsidR="0027513D" w:rsidRPr="00FB38E1" w14:paraId="7080861B" w14:textId="77777777" w:rsidTr="00836EF2">
        <w:trPr>
          <w:trHeight w:val="167"/>
        </w:trPr>
        <w:tc>
          <w:tcPr>
            <w:tcW w:w="651" w:type="dxa"/>
            <w:tcBorders>
              <w:top w:val="nil"/>
              <w:left w:val="nil"/>
              <w:bottom w:val="nil"/>
              <w:right w:val="nil"/>
            </w:tcBorders>
            <w:shd w:val="clear" w:color="auto" w:fill="auto"/>
            <w:noWrap/>
            <w:vAlign w:val="bottom"/>
            <w:hideMark/>
          </w:tcPr>
          <w:p w14:paraId="72E5E8C0"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6.1</w:t>
            </w:r>
          </w:p>
        </w:tc>
        <w:tc>
          <w:tcPr>
            <w:tcW w:w="5106" w:type="dxa"/>
            <w:tcBorders>
              <w:top w:val="nil"/>
              <w:left w:val="nil"/>
              <w:bottom w:val="nil"/>
              <w:right w:val="nil"/>
            </w:tcBorders>
            <w:shd w:val="clear" w:color="auto" w:fill="auto"/>
            <w:noWrap/>
            <w:vAlign w:val="bottom"/>
            <w:hideMark/>
          </w:tcPr>
          <w:p w14:paraId="791F14EB"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 xml:space="preserve">Sermaye Piyasası İşlemleri Kârı/Zararı </w:t>
            </w:r>
          </w:p>
        </w:tc>
        <w:tc>
          <w:tcPr>
            <w:tcW w:w="710" w:type="dxa"/>
            <w:tcBorders>
              <w:top w:val="nil"/>
              <w:left w:val="nil"/>
              <w:bottom w:val="nil"/>
              <w:right w:val="nil"/>
            </w:tcBorders>
            <w:shd w:val="clear" w:color="auto" w:fill="auto"/>
            <w:noWrap/>
            <w:vAlign w:val="bottom"/>
          </w:tcPr>
          <w:p w14:paraId="38726F49"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9241D5C" w14:textId="7D793BB0"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4.893.612</w:t>
            </w:r>
          </w:p>
        </w:tc>
        <w:tc>
          <w:tcPr>
            <w:tcW w:w="1559" w:type="dxa"/>
            <w:tcBorders>
              <w:top w:val="nil"/>
              <w:left w:val="nil"/>
              <w:bottom w:val="nil"/>
              <w:right w:val="nil"/>
            </w:tcBorders>
            <w:vAlign w:val="bottom"/>
          </w:tcPr>
          <w:p w14:paraId="19872419" w14:textId="1804E6DA"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2.068.189</w:t>
            </w:r>
          </w:p>
        </w:tc>
      </w:tr>
      <w:tr w:rsidR="0027513D" w:rsidRPr="00FB38E1" w14:paraId="0F85BB28" w14:textId="77777777" w:rsidTr="00836EF2">
        <w:trPr>
          <w:trHeight w:val="167"/>
        </w:trPr>
        <w:tc>
          <w:tcPr>
            <w:tcW w:w="651" w:type="dxa"/>
            <w:tcBorders>
              <w:top w:val="nil"/>
              <w:left w:val="nil"/>
              <w:bottom w:val="nil"/>
              <w:right w:val="nil"/>
            </w:tcBorders>
            <w:shd w:val="clear" w:color="auto" w:fill="auto"/>
            <w:noWrap/>
            <w:vAlign w:val="bottom"/>
            <w:hideMark/>
          </w:tcPr>
          <w:p w14:paraId="0DA5AE67"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6.2</w:t>
            </w:r>
          </w:p>
        </w:tc>
        <w:tc>
          <w:tcPr>
            <w:tcW w:w="5106" w:type="dxa"/>
            <w:tcBorders>
              <w:top w:val="nil"/>
              <w:left w:val="nil"/>
              <w:bottom w:val="nil"/>
              <w:right w:val="nil"/>
            </w:tcBorders>
            <w:shd w:val="clear" w:color="auto" w:fill="auto"/>
            <w:noWrap/>
            <w:vAlign w:val="bottom"/>
            <w:hideMark/>
          </w:tcPr>
          <w:p w14:paraId="28204ACF"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Türev Finansal İşlemlerden Kâr/Zarar</w:t>
            </w:r>
          </w:p>
        </w:tc>
        <w:tc>
          <w:tcPr>
            <w:tcW w:w="710" w:type="dxa"/>
            <w:tcBorders>
              <w:top w:val="nil"/>
              <w:left w:val="nil"/>
              <w:bottom w:val="nil"/>
              <w:right w:val="nil"/>
            </w:tcBorders>
            <w:shd w:val="clear" w:color="auto" w:fill="auto"/>
            <w:noWrap/>
            <w:vAlign w:val="bottom"/>
          </w:tcPr>
          <w:p w14:paraId="79E2B32C"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0900A63C" w14:textId="5922380D"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6.676.120</w:t>
            </w:r>
          </w:p>
        </w:tc>
        <w:tc>
          <w:tcPr>
            <w:tcW w:w="1559" w:type="dxa"/>
            <w:tcBorders>
              <w:top w:val="nil"/>
              <w:left w:val="nil"/>
              <w:bottom w:val="nil"/>
              <w:right w:val="nil"/>
            </w:tcBorders>
            <w:vAlign w:val="bottom"/>
          </w:tcPr>
          <w:p w14:paraId="78F5FA06" w14:textId="49CF1912"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10.335.472</w:t>
            </w:r>
          </w:p>
        </w:tc>
      </w:tr>
      <w:tr w:rsidR="0027513D" w:rsidRPr="00FB38E1" w14:paraId="029B6F9C" w14:textId="77777777" w:rsidTr="00836EF2">
        <w:trPr>
          <w:trHeight w:val="167"/>
        </w:trPr>
        <w:tc>
          <w:tcPr>
            <w:tcW w:w="651" w:type="dxa"/>
            <w:tcBorders>
              <w:top w:val="nil"/>
              <w:left w:val="nil"/>
              <w:bottom w:val="nil"/>
              <w:right w:val="nil"/>
            </w:tcBorders>
            <w:shd w:val="clear" w:color="auto" w:fill="auto"/>
            <w:noWrap/>
            <w:vAlign w:val="bottom"/>
            <w:hideMark/>
          </w:tcPr>
          <w:p w14:paraId="1869B47E"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6.3</w:t>
            </w:r>
          </w:p>
        </w:tc>
        <w:tc>
          <w:tcPr>
            <w:tcW w:w="5106" w:type="dxa"/>
            <w:tcBorders>
              <w:top w:val="nil"/>
              <w:left w:val="nil"/>
              <w:bottom w:val="nil"/>
              <w:right w:val="nil"/>
            </w:tcBorders>
            <w:shd w:val="clear" w:color="auto" w:fill="auto"/>
            <w:noWrap/>
            <w:vAlign w:val="bottom"/>
            <w:hideMark/>
          </w:tcPr>
          <w:p w14:paraId="2A3DF9C6"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 xml:space="preserve">Kambiyo İşlemleri Kârı/Zararı </w:t>
            </w:r>
          </w:p>
        </w:tc>
        <w:tc>
          <w:tcPr>
            <w:tcW w:w="710" w:type="dxa"/>
            <w:tcBorders>
              <w:top w:val="nil"/>
              <w:left w:val="nil"/>
              <w:bottom w:val="nil"/>
              <w:right w:val="nil"/>
            </w:tcBorders>
            <w:shd w:val="clear" w:color="auto" w:fill="auto"/>
            <w:noWrap/>
            <w:vAlign w:val="bottom"/>
          </w:tcPr>
          <w:p w14:paraId="26A3FD05"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C2E655B" w14:textId="28EC5AE4"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(8.121.569)</w:t>
            </w:r>
          </w:p>
        </w:tc>
        <w:tc>
          <w:tcPr>
            <w:tcW w:w="1559" w:type="dxa"/>
            <w:tcBorders>
              <w:top w:val="nil"/>
              <w:left w:val="nil"/>
              <w:bottom w:val="nil"/>
              <w:right w:val="nil"/>
            </w:tcBorders>
            <w:vAlign w:val="bottom"/>
          </w:tcPr>
          <w:p w14:paraId="1AF34B46" w14:textId="3F005341"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(9.767.213)</w:t>
            </w:r>
          </w:p>
        </w:tc>
      </w:tr>
      <w:tr w:rsidR="0027513D" w:rsidRPr="00FB38E1" w14:paraId="31ED0D6D" w14:textId="77777777" w:rsidTr="00836EF2">
        <w:trPr>
          <w:trHeight w:val="167"/>
        </w:trPr>
        <w:tc>
          <w:tcPr>
            <w:tcW w:w="651" w:type="dxa"/>
            <w:tcBorders>
              <w:top w:val="nil"/>
              <w:left w:val="nil"/>
              <w:bottom w:val="nil"/>
              <w:right w:val="nil"/>
            </w:tcBorders>
            <w:shd w:val="clear" w:color="auto" w:fill="auto"/>
            <w:noWrap/>
            <w:vAlign w:val="bottom"/>
            <w:hideMark/>
          </w:tcPr>
          <w:p w14:paraId="20156979"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VII.</w:t>
            </w:r>
          </w:p>
        </w:tc>
        <w:tc>
          <w:tcPr>
            <w:tcW w:w="5106" w:type="dxa"/>
            <w:tcBorders>
              <w:top w:val="nil"/>
              <w:left w:val="nil"/>
              <w:bottom w:val="nil"/>
              <w:right w:val="nil"/>
            </w:tcBorders>
            <w:shd w:val="clear" w:color="auto" w:fill="auto"/>
            <w:noWrap/>
            <w:vAlign w:val="bottom"/>
            <w:hideMark/>
          </w:tcPr>
          <w:p w14:paraId="707C0A78"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DİĞER FAALİYET GELİRLERİ</w:t>
            </w:r>
          </w:p>
        </w:tc>
        <w:tc>
          <w:tcPr>
            <w:tcW w:w="710" w:type="dxa"/>
            <w:tcBorders>
              <w:top w:val="nil"/>
              <w:left w:val="nil"/>
              <w:bottom w:val="nil"/>
              <w:right w:val="nil"/>
            </w:tcBorders>
            <w:shd w:val="clear" w:color="auto" w:fill="auto"/>
            <w:noWrap/>
            <w:vAlign w:val="bottom"/>
          </w:tcPr>
          <w:p w14:paraId="61AA8152" w14:textId="5D638E3D"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(5.IV.e)</w:t>
            </w:r>
          </w:p>
        </w:tc>
        <w:tc>
          <w:tcPr>
            <w:tcW w:w="1700" w:type="dxa"/>
            <w:tcBorders>
              <w:top w:val="nil"/>
              <w:left w:val="nil"/>
              <w:bottom w:val="nil"/>
              <w:right w:val="nil"/>
            </w:tcBorders>
            <w:vAlign w:val="bottom"/>
          </w:tcPr>
          <w:p w14:paraId="65301DFF" w14:textId="3A5940FE"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4.466.285</w:t>
            </w:r>
          </w:p>
        </w:tc>
        <w:tc>
          <w:tcPr>
            <w:tcW w:w="1559" w:type="dxa"/>
            <w:tcBorders>
              <w:top w:val="nil"/>
              <w:left w:val="nil"/>
              <w:bottom w:val="nil"/>
              <w:right w:val="nil"/>
            </w:tcBorders>
            <w:vAlign w:val="bottom"/>
          </w:tcPr>
          <w:p w14:paraId="01FBBF78" w14:textId="6EF771CB"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4.208.441</w:t>
            </w:r>
          </w:p>
        </w:tc>
      </w:tr>
      <w:tr w:rsidR="0027513D" w:rsidRPr="00FB38E1" w14:paraId="107C88DC" w14:textId="77777777" w:rsidTr="00836EF2">
        <w:trPr>
          <w:trHeight w:val="192"/>
        </w:trPr>
        <w:tc>
          <w:tcPr>
            <w:tcW w:w="651" w:type="dxa"/>
            <w:tcBorders>
              <w:top w:val="nil"/>
              <w:left w:val="nil"/>
              <w:bottom w:val="nil"/>
              <w:right w:val="nil"/>
            </w:tcBorders>
            <w:shd w:val="clear" w:color="auto" w:fill="auto"/>
            <w:noWrap/>
            <w:vAlign w:val="bottom"/>
            <w:hideMark/>
          </w:tcPr>
          <w:p w14:paraId="6E28D63B"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VIII.</w:t>
            </w:r>
          </w:p>
        </w:tc>
        <w:tc>
          <w:tcPr>
            <w:tcW w:w="5106" w:type="dxa"/>
            <w:tcBorders>
              <w:top w:val="nil"/>
              <w:left w:val="nil"/>
              <w:bottom w:val="nil"/>
              <w:right w:val="nil"/>
            </w:tcBorders>
            <w:shd w:val="clear" w:color="auto" w:fill="auto"/>
            <w:noWrap/>
            <w:vAlign w:val="bottom"/>
            <w:hideMark/>
          </w:tcPr>
          <w:p w14:paraId="2FAF78CA"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 xml:space="preserve">FAALİYET BRÜT KÂRI (III+IV+V+VI+VII) </w:t>
            </w:r>
          </w:p>
        </w:tc>
        <w:tc>
          <w:tcPr>
            <w:tcW w:w="710" w:type="dxa"/>
            <w:tcBorders>
              <w:top w:val="nil"/>
              <w:left w:val="nil"/>
              <w:bottom w:val="nil"/>
              <w:right w:val="nil"/>
            </w:tcBorders>
            <w:shd w:val="clear" w:color="auto" w:fill="auto"/>
            <w:noWrap/>
            <w:vAlign w:val="bottom"/>
          </w:tcPr>
          <w:p w14:paraId="79B9B1D3"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63E7E0B0" w14:textId="0134B9FA"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81.843.938</w:t>
            </w:r>
          </w:p>
        </w:tc>
        <w:tc>
          <w:tcPr>
            <w:tcW w:w="1559" w:type="dxa"/>
            <w:tcBorders>
              <w:top w:val="nil"/>
              <w:left w:val="nil"/>
              <w:bottom w:val="nil"/>
              <w:right w:val="nil"/>
            </w:tcBorders>
            <w:vAlign w:val="bottom"/>
          </w:tcPr>
          <w:p w14:paraId="51A3B5A6" w14:textId="05B10084"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51.944.811</w:t>
            </w:r>
          </w:p>
        </w:tc>
      </w:tr>
      <w:tr w:rsidR="0027513D" w:rsidRPr="00FB38E1" w14:paraId="5E1D3ADD" w14:textId="77777777" w:rsidTr="00836EF2">
        <w:trPr>
          <w:trHeight w:val="167"/>
        </w:trPr>
        <w:tc>
          <w:tcPr>
            <w:tcW w:w="651" w:type="dxa"/>
            <w:tcBorders>
              <w:top w:val="nil"/>
              <w:left w:val="nil"/>
              <w:bottom w:val="nil"/>
              <w:right w:val="nil"/>
            </w:tcBorders>
            <w:shd w:val="clear" w:color="auto" w:fill="auto"/>
            <w:noWrap/>
            <w:vAlign w:val="bottom"/>
            <w:hideMark/>
          </w:tcPr>
          <w:p w14:paraId="149B1473"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IX.</w:t>
            </w:r>
          </w:p>
        </w:tc>
        <w:tc>
          <w:tcPr>
            <w:tcW w:w="5106" w:type="dxa"/>
            <w:tcBorders>
              <w:top w:val="nil"/>
              <w:left w:val="nil"/>
              <w:bottom w:val="nil"/>
              <w:right w:val="nil"/>
            </w:tcBorders>
            <w:shd w:val="clear" w:color="auto" w:fill="auto"/>
            <w:noWrap/>
            <w:vAlign w:val="bottom"/>
            <w:hideMark/>
          </w:tcPr>
          <w:p w14:paraId="1C6C3FEB"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BEKLENEN ZARAR KARŞILIKLARI GİDERLERİ (-)</w:t>
            </w:r>
          </w:p>
        </w:tc>
        <w:tc>
          <w:tcPr>
            <w:tcW w:w="710" w:type="dxa"/>
            <w:tcBorders>
              <w:top w:val="nil"/>
              <w:left w:val="nil"/>
              <w:bottom w:val="nil"/>
              <w:right w:val="nil"/>
            </w:tcBorders>
            <w:shd w:val="clear" w:color="auto" w:fill="auto"/>
            <w:noWrap/>
            <w:vAlign w:val="bottom"/>
          </w:tcPr>
          <w:p w14:paraId="7FDCE06D" w14:textId="7A6579AD"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(5.IV.f)</w:t>
            </w:r>
          </w:p>
        </w:tc>
        <w:tc>
          <w:tcPr>
            <w:tcW w:w="1700" w:type="dxa"/>
            <w:tcBorders>
              <w:top w:val="nil"/>
              <w:left w:val="nil"/>
              <w:bottom w:val="nil"/>
              <w:right w:val="nil"/>
            </w:tcBorders>
            <w:vAlign w:val="bottom"/>
          </w:tcPr>
          <w:p w14:paraId="579AAF6E" w14:textId="539EE2C2"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3.759.203</w:t>
            </w:r>
          </w:p>
        </w:tc>
        <w:tc>
          <w:tcPr>
            <w:tcW w:w="1559" w:type="dxa"/>
            <w:tcBorders>
              <w:top w:val="nil"/>
              <w:left w:val="nil"/>
              <w:bottom w:val="nil"/>
              <w:right w:val="nil"/>
            </w:tcBorders>
            <w:vAlign w:val="bottom"/>
          </w:tcPr>
          <w:p w14:paraId="6448F649" w14:textId="6DDA147C"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1.802.649</w:t>
            </w:r>
          </w:p>
        </w:tc>
      </w:tr>
      <w:tr w:rsidR="0027513D" w:rsidRPr="00FB38E1" w14:paraId="16481F75" w14:textId="77777777" w:rsidTr="00836EF2">
        <w:trPr>
          <w:trHeight w:val="167"/>
        </w:trPr>
        <w:tc>
          <w:tcPr>
            <w:tcW w:w="651" w:type="dxa"/>
            <w:tcBorders>
              <w:top w:val="nil"/>
              <w:left w:val="nil"/>
              <w:bottom w:val="nil"/>
              <w:right w:val="nil"/>
            </w:tcBorders>
            <w:shd w:val="clear" w:color="auto" w:fill="auto"/>
            <w:noWrap/>
            <w:vAlign w:val="bottom"/>
            <w:hideMark/>
          </w:tcPr>
          <w:p w14:paraId="22682327"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X.</w:t>
            </w:r>
          </w:p>
        </w:tc>
        <w:tc>
          <w:tcPr>
            <w:tcW w:w="5106" w:type="dxa"/>
            <w:tcBorders>
              <w:top w:val="nil"/>
              <w:left w:val="nil"/>
              <w:bottom w:val="nil"/>
              <w:right w:val="nil"/>
            </w:tcBorders>
            <w:shd w:val="clear" w:color="auto" w:fill="auto"/>
            <w:noWrap/>
            <w:vAlign w:val="bottom"/>
            <w:hideMark/>
          </w:tcPr>
          <w:p w14:paraId="1019541B"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DİĞER KARŞILIK GİDERLERİ (-)</w:t>
            </w:r>
          </w:p>
        </w:tc>
        <w:tc>
          <w:tcPr>
            <w:tcW w:w="710" w:type="dxa"/>
            <w:tcBorders>
              <w:top w:val="nil"/>
              <w:left w:val="nil"/>
              <w:bottom w:val="nil"/>
              <w:right w:val="nil"/>
            </w:tcBorders>
            <w:shd w:val="clear" w:color="auto" w:fill="auto"/>
            <w:noWrap/>
            <w:vAlign w:val="bottom"/>
          </w:tcPr>
          <w:p w14:paraId="36BC477B" w14:textId="0C366978"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(5.IV.f)</w:t>
            </w:r>
          </w:p>
        </w:tc>
        <w:tc>
          <w:tcPr>
            <w:tcW w:w="1700" w:type="dxa"/>
            <w:tcBorders>
              <w:top w:val="nil"/>
              <w:left w:val="nil"/>
              <w:bottom w:val="nil"/>
              <w:right w:val="nil"/>
            </w:tcBorders>
            <w:vAlign w:val="bottom"/>
          </w:tcPr>
          <w:p w14:paraId="700F11F2" w14:textId="44E3E3E0"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3.637.727</w:t>
            </w:r>
          </w:p>
        </w:tc>
        <w:tc>
          <w:tcPr>
            <w:tcW w:w="1559" w:type="dxa"/>
            <w:tcBorders>
              <w:top w:val="nil"/>
              <w:left w:val="nil"/>
              <w:bottom w:val="nil"/>
              <w:right w:val="nil"/>
            </w:tcBorders>
            <w:vAlign w:val="bottom"/>
          </w:tcPr>
          <w:p w14:paraId="0D307012" w14:textId="4E333178"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4.202.510</w:t>
            </w:r>
          </w:p>
        </w:tc>
      </w:tr>
      <w:tr w:rsidR="0027513D" w:rsidRPr="00FB38E1" w14:paraId="1F0B021A" w14:textId="77777777" w:rsidTr="00836EF2">
        <w:trPr>
          <w:trHeight w:val="167"/>
        </w:trPr>
        <w:tc>
          <w:tcPr>
            <w:tcW w:w="651" w:type="dxa"/>
            <w:tcBorders>
              <w:top w:val="nil"/>
              <w:left w:val="nil"/>
              <w:bottom w:val="nil"/>
              <w:right w:val="nil"/>
            </w:tcBorders>
            <w:shd w:val="clear" w:color="auto" w:fill="auto"/>
            <w:noWrap/>
            <w:vAlign w:val="bottom"/>
            <w:hideMark/>
          </w:tcPr>
          <w:p w14:paraId="67EB98D4"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XI.</w:t>
            </w:r>
          </w:p>
        </w:tc>
        <w:tc>
          <w:tcPr>
            <w:tcW w:w="5106" w:type="dxa"/>
            <w:tcBorders>
              <w:top w:val="nil"/>
              <w:left w:val="nil"/>
              <w:bottom w:val="nil"/>
              <w:right w:val="nil"/>
            </w:tcBorders>
            <w:shd w:val="clear" w:color="auto" w:fill="auto"/>
            <w:noWrap/>
            <w:vAlign w:val="bottom"/>
            <w:hideMark/>
          </w:tcPr>
          <w:p w14:paraId="5452E83D"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PERSONEL GİDERLERİ (-)</w:t>
            </w:r>
          </w:p>
        </w:tc>
        <w:tc>
          <w:tcPr>
            <w:tcW w:w="710" w:type="dxa"/>
            <w:tcBorders>
              <w:top w:val="nil"/>
              <w:left w:val="nil"/>
              <w:bottom w:val="nil"/>
              <w:right w:val="nil"/>
            </w:tcBorders>
            <w:shd w:val="clear" w:color="auto" w:fill="auto"/>
            <w:noWrap/>
            <w:vAlign w:val="bottom"/>
          </w:tcPr>
          <w:p w14:paraId="0BA4433B" w14:textId="1B83B2B0"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(5.IV.g)</w:t>
            </w:r>
          </w:p>
        </w:tc>
        <w:tc>
          <w:tcPr>
            <w:tcW w:w="1700" w:type="dxa"/>
            <w:tcBorders>
              <w:top w:val="nil"/>
              <w:left w:val="nil"/>
              <w:bottom w:val="nil"/>
              <w:right w:val="nil"/>
            </w:tcBorders>
            <w:vAlign w:val="bottom"/>
          </w:tcPr>
          <w:p w14:paraId="37B3E475" w14:textId="0F3BC1F8"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17.185.003</w:t>
            </w:r>
          </w:p>
        </w:tc>
        <w:tc>
          <w:tcPr>
            <w:tcW w:w="1559" w:type="dxa"/>
            <w:tcBorders>
              <w:top w:val="nil"/>
              <w:left w:val="nil"/>
              <w:bottom w:val="nil"/>
              <w:right w:val="nil"/>
            </w:tcBorders>
            <w:vAlign w:val="bottom"/>
          </w:tcPr>
          <w:p w14:paraId="0B5034EC" w14:textId="48DD330A"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9.000.295</w:t>
            </w:r>
          </w:p>
        </w:tc>
      </w:tr>
      <w:tr w:rsidR="0027513D" w:rsidRPr="00FB38E1" w14:paraId="3A1FF516" w14:textId="77777777" w:rsidTr="00836EF2">
        <w:trPr>
          <w:trHeight w:val="167"/>
        </w:trPr>
        <w:tc>
          <w:tcPr>
            <w:tcW w:w="651" w:type="dxa"/>
            <w:tcBorders>
              <w:top w:val="nil"/>
              <w:left w:val="nil"/>
              <w:bottom w:val="nil"/>
              <w:right w:val="nil"/>
            </w:tcBorders>
            <w:shd w:val="clear" w:color="auto" w:fill="auto"/>
            <w:noWrap/>
            <w:vAlign w:val="bottom"/>
            <w:hideMark/>
          </w:tcPr>
          <w:p w14:paraId="045C540D"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XII.</w:t>
            </w:r>
          </w:p>
        </w:tc>
        <w:tc>
          <w:tcPr>
            <w:tcW w:w="5106" w:type="dxa"/>
            <w:tcBorders>
              <w:top w:val="nil"/>
              <w:left w:val="nil"/>
              <w:bottom w:val="nil"/>
              <w:right w:val="nil"/>
            </w:tcBorders>
            <w:shd w:val="clear" w:color="auto" w:fill="auto"/>
            <w:vAlign w:val="bottom"/>
            <w:hideMark/>
          </w:tcPr>
          <w:p w14:paraId="65111777"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DİĞER FAALİYET GİDERLERİ (-)</w:t>
            </w:r>
          </w:p>
        </w:tc>
        <w:tc>
          <w:tcPr>
            <w:tcW w:w="710" w:type="dxa"/>
            <w:tcBorders>
              <w:top w:val="nil"/>
              <w:left w:val="nil"/>
              <w:bottom w:val="nil"/>
              <w:right w:val="nil"/>
            </w:tcBorders>
            <w:shd w:val="clear" w:color="auto" w:fill="auto"/>
            <w:noWrap/>
            <w:vAlign w:val="bottom"/>
          </w:tcPr>
          <w:p w14:paraId="5BBE1887" w14:textId="6BE80F86"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(5.IV.g)</w:t>
            </w:r>
          </w:p>
        </w:tc>
        <w:tc>
          <w:tcPr>
            <w:tcW w:w="1700" w:type="dxa"/>
            <w:tcBorders>
              <w:top w:val="nil"/>
              <w:left w:val="nil"/>
              <w:bottom w:val="nil"/>
              <w:right w:val="nil"/>
            </w:tcBorders>
            <w:vAlign w:val="bottom"/>
          </w:tcPr>
          <w:p w14:paraId="26BFED41" w14:textId="7689784B"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20.972.900</w:t>
            </w:r>
          </w:p>
        </w:tc>
        <w:tc>
          <w:tcPr>
            <w:tcW w:w="1559" w:type="dxa"/>
            <w:tcBorders>
              <w:top w:val="nil"/>
              <w:left w:val="nil"/>
              <w:bottom w:val="nil"/>
              <w:right w:val="nil"/>
            </w:tcBorders>
            <w:vAlign w:val="bottom"/>
          </w:tcPr>
          <w:p w14:paraId="2BFD93E8" w14:textId="22E4E7DD"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11.473.090</w:t>
            </w:r>
          </w:p>
        </w:tc>
      </w:tr>
      <w:tr w:rsidR="0027513D" w:rsidRPr="00FB38E1" w14:paraId="5A2B676C" w14:textId="77777777" w:rsidTr="00836EF2">
        <w:trPr>
          <w:trHeight w:val="167"/>
        </w:trPr>
        <w:tc>
          <w:tcPr>
            <w:tcW w:w="651" w:type="dxa"/>
            <w:tcBorders>
              <w:top w:val="nil"/>
              <w:left w:val="nil"/>
              <w:bottom w:val="nil"/>
              <w:right w:val="nil"/>
            </w:tcBorders>
            <w:shd w:val="clear" w:color="auto" w:fill="auto"/>
            <w:noWrap/>
            <w:vAlign w:val="bottom"/>
            <w:hideMark/>
          </w:tcPr>
          <w:p w14:paraId="770A239B"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XIII.</w:t>
            </w:r>
          </w:p>
        </w:tc>
        <w:tc>
          <w:tcPr>
            <w:tcW w:w="5106" w:type="dxa"/>
            <w:tcBorders>
              <w:top w:val="nil"/>
              <w:left w:val="nil"/>
              <w:bottom w:val="nil"/>
              <w:right w:val="nil"/>
            </w:tcBorders>
            <w:shd w:val="clear" w:color="auto" w:fill="auto"/>
            <w:vAlign w:val="bottom"/>
            <w:hideMark/>
          </w:tcPr>
          <w:p w14:paraId="5B04F09C"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NET FAALİYET KÂRI/ZARARI (VIII-IX-X-XI-XII)</w:t>
            </w:r>
          </w:p>
        </w:tc>
        <w:tc>
          <w:tcPr>
            <w:tcW w:w="710" w:type="dxa"/>
            <w:tcBorders>
              <w:top w:val="nil"/>
              <w:left w:val="nil"/>
              <w:bottom w:val="nil"/>
              <w:right w:val="nil"/>
            </w:tcBorders>
            <w:shd w:val="clear" w:color="auto" w:fill="auto"/>
            <w:noWrap/>
            <w:vAlign w:val="bottom"/>
          </w:tcPr>
          <w:p w14:paraId="678F81E3"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0776CCEA" w14:textId="21A45AEC"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36.289.105</w:t>
            </w:r>
          </w:p>
        </w:tc>
        <w:tc>
          <w:tcPr>
            <w:tcW w:w="1559" w:type="dxa"/>
            <w:tcBorders>
              <w:top w:val="nil"/>
              <w:left w:val="nil"/>
              <w:bottom w:val="nil"/>
              <w:right w:val="nil"/>
            </w:tcBorders>
            <w:vAlign w:val="bottom"/>
          </w:tcPr>
          <w:p w14:paraId="739FF29D" w14:textId="0652A86B"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25.466.267</w:t>
            </w:r>
          </w:p>
        </w:tc>
      </w:tr>
      <w:tr w:rsidR="0027513D" w:rsidRPr="00FB38E1" w14:paraId="296BBCDC" w14:textId="77777777" w:rsidTr="00836EF2">
        <w:trPr>
          <w:trHeight w:val="167"/>
        </w:trPr>
        <w:tc>
          <w:tcPr>
            <w:tcW w:w="651" w:type="dxa"/>
            <w:tcBorders>
              <w:top w:val="nil"/>
              <w:left w:val="nil"/>
              <w:bottom w:val="nil"/>
              <w:right w:val="nil"/>
            </w:tcBorders>
            <w:shd w:val="clear" w:color="auto" w:fill="auto"/>
            <w:noWrap/>
            <w:vAlign w:val="bottom"/>
            <w:hideMark/>
          </w:tcPr>
          <w:p w14:paraId="4E2B73C6"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XIV.</w:t>
            </w:r>
          </w:p>
        </w:tc>
        <w:tc>
          <w:tcPr>
            <w:tcW w:w="5106" w:type="dxa"/>
            <w:tcBorders>
              <w:top w:val="nil"/>
              <w:left w:val="nil"/>
              <w:bottom w:val="nil"/>
              <w:right w:val="nil"/>
            </w:tcBorders>
            <w:shd w:val="clear" w:color="auto" w:fill="auto"/>
            <w:noWrap/>
            <w:vAlign w:val="bottom"/>
            <w:hideMark/>
          </w:tcPr>
          <w:p w14:paraId="74054F17"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BİRLEŞME İŞLEMİ SONRASINDA GELİR OLARAK KAYDEDİLEN FAZLALIK TUTARI</w:t>
            </w:r>
          </w:p>
        </w:tc>
        <w:tc>
          <w:tcPr>
            <w:tcW w:w="710" w:type="dxa"/>
            <w:tcBorders>
              <w:top w:val="nil"/>
              <w:left w:val="nil"/>
              <w:bottom w:val="nil"/>
              <w:right w:val="nil"/>
            </w:tcBorders>
            <w:shd w:val="clear" w:color="auto" w:fill="auto"/>
            <w:noWrap/>
            <w:vAlign w:val="bottom"/>
          </w:tcPr>
          <w:p w14:paraId="0AB80F3C"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22D173C" w14:textId="07E939A0"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26E1399B" w14:textId="0EFB6983"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r>
      <w:tr w:rsidR="0027513D" w:rsidRPr="00FB38E1" w14:paraId="3A3B73A0" w14:textId="77777777" w:rsidTr="00836EF2">
        <w:trPr>
          <w:trHeight w:val="167"/>
        </w:trPr>
        <w:tc>
          <w:tcPr>
            <w:tcW w:w="651" w:type="dxa"/>
            <w:tcBorders>
              <w:top w:val="nil"/>
              <w:left w:val="nil"/>
              <w:bottom w:val="nil"/>
              <w:right w:val="nil"/>
            </w:tcBorders>
            <w:shd w:val="clear" w:color="auto" w:fill="auto"/>
            <w:noWrap/>
            <w:vAlign w:val="bottom"/>
            <w:hideMark/>
          </w:tcPr>
          <w:p w14:paraId="25391DB0"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XV.</w:t>
            </w:r>
          </w:p>
        </w:tc>
        <w:tc>
          <w:tcPr>
            <w:tcW w:w="5106" w:type="dxa"/>
            <w:tcBorders>
              <w:top w:val="nil"/>
              <w:left w:val="nil"/>
              <w:bottom w:val="nil"/>
              <w:right w:val="nil"/>
            </w:tcBorders>
            <w:shd w:val="clear" w:color="auto" w:fill="auto"/>
            <w:vAlign w:val="bottom"/>
            <w:hideMark/>
          </w:tcPr>
          <w:p w14:paraId="1B34B3A5"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ÖZKAYNAK YÖNTEMİ UYGULANAN ORTAKLIKLARDAN KÂR/ZARAR</w:t>
            </w:r>
          </w:p>
        </w:tc>
        <w:tc>
          <w:tcPr>
            <w:tcW w:w="710" w:type="dxa"/>
            <w:tcBorders>
              <w:top w:val="nil"/>
              <w:left w:val="nil"/>
              <w:bottom w:val="nil"/>
              <w:right w:val="nil"/>
            </w:tcBorders>
            <w:shd w:val="clear" w:color="auto" w:fill="auto"/>
            <w:noWrap/>
            <w:vAlign w:val="bottom"/>
          </w:tcPr>
          <w:p w14:paraId="4FDC7817"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7F7D834" w14:textId="5496E848"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15.593.952</w:t>
            </w:r>
          </w:p>
        </w:tc>
        <w:tc>
          <w:tcPr>
            <w:tcW w:w="1559" w:type="dxa"/>
            <w:tcBorders>
              <w:top w:val="nil"/>
              <w:left w:val="nil"/>
              <w:bottom w:val="nil"/>
              <w:right w:val="nil"/>
            </w:tcBorders>
            <w:vAlign w:val="bottom"/>
          </w:tcPr>
          <w:p w14:paraId="5A2E3887" w14:textId="7CF16655"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9.326.429</w:t>
            </w:r>
          </w:p>
        </w:tc>
      </w:tr>
      <w:tr w:rsidR="0027513D" w:rsidRPr="00FB38E1" w14:paraId="12CDD838" w14:textId="77777777" w:rsidTr="00836EF2">
        <w:trPr>
          <w:trHeight w:val="167"/>
        </w:trPr>
        <w:tc>
          <w:tcPr>
            <w:tcW w:w="651" w:type="dxa"/>
            <w:tcBorders>
              <w:top w:val="nil"/>
              <w:left w:val="nil"/>
              <w:bottom w:val="nil"/>
              <w:right w:val="nil"/>
            </w:tcBorders>
            <w:shd w:val="clear" w:color="auto" w:fill="auto"/>
            <w:noWrap/>
            <w:vAlign w:val="bottom"/>
            <w:hideMark/>
          </w:tcPr>
          <w:p w14:paraId="15CFA023"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XVI.</w:t>
            </w:r>
          </w:p>
        </w:tc>
        <w:tc>
          <w:tcPr>
            <w:tcW w:w="5106" w:type="dxa"/>
            <w:tcBorders>
              <w:top w:val="nil"/>
              <w:left w:val="nil"/>
              <w:bottom w:val="nil"/>
              <w:right w:val="nil"/>
            </w:tcBorders>
            <w:shd w:val="clear" w:color="auto" w:fill="auto"/>
            <w:noWrap/>
            <w:vAlign w:val="bottom"/>
            <w:hideMark/>
          </w:tcPr>
          <w:p w14:paraId="593F1E7A"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NET PARASAL POZİSYON KÂRI/ZARARI</w:t>
            </w:r>
          </w:p>
        </w:tc>
        <w:tc>
          <w:tcPr>
            <w:tcW w:w="710" w:type="dxa"/>
            <w:tcBorders>
              <w:top w:val="nil"/>
              <w:left w:val="nil"/>
              <w:bottom w:val="nil"/>
              <w:right w:val="nil"/>
            </w:tcBorders>
            <w:shd w:val="clear" w:color="auto" w:fill="auto"/>
            <w:noWrap/>
            <w:vAlign w:val="bottom"/>
          </w:tcPr>
          <w:p w14:paraId="65811E43"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572D86B" w14:textId="61D07B05"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41E53FD0" w14:textId="2E77772C"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r>
      <w:tr w:rsidR="0027513D" w:rsidRPr="00FB38E1" w14:paraId="38560309" w14:textId="77777777" w:rsidTr="00836EF2">
        <w:trPr>
          <w:trHeight w:val="167"/>
        </w:trPr>
        <w:tc>
          <w:tcPr>
            <w:tcW w:w="651" w:type="dxa"/>
            <w:tcBorders>
              <w:top w:val="nil"/>
              <w:left w:val="nil"/>
              <w:bottom w:val="nil"/>
              <w:right w:val="nil"/>
            </w:tcBorders>
            <w:shd w:val="clear" w:color="auto" w:fill="auto"/>
            <w:noWrap/>
            <w:vAlign w:val="bottom"/>
            <w:hideMark/>
          </w:tcPr>
          <w:p w14:paraId="7DECA505"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XVII.</w:t>
            </w:r>
          </w:p>
        </w:tc>
        <w:tc>
          <w:tcPr>
            <w:tcW w:w="5106" w:type="dxa"/>
            <w:tcBorders>
              <w:top w:val="nil"/>
              <w:left w:val="nil"/>
              <w:bottom w:val="nil"/>
              <w:right w:val="nil"/>
            </w:tcBorders>
            <w:shd w:val="clear" w:color="auto" w:fill="auto"/>
            <w:noWrap/>
            <w:vAlign w:val="bottom"/>
            <w:hideMark/>
          </w:tcPr>
          <w:p w14:paraId="7A83B85C"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SÜRDÜRÜLEN FAALİYETLER VERGİ ÖNCESİ K/Z (XIII+...+XVI)</w:t>
            </w:r>
          </w:p>
        </w:tc>
        <w:tc>
          <w:tcPr>
            <w:tcW w:w="710" w:type="dxa"/>
            <w:tcBorders>
              <w:top w:val="nil"/>
              <w:left w:val="nil"/>
              <w:bottom w:val="nil"/>
              <w:right w:val="nil"/>
            </w:tcBorders>
            <w:shd w:val="clear" w:color="auto" w:fill="auto"/>
            <w:noWrap/>
            <w:vAlign w:val="bottom"/>
            <w:hideMark/>
          </w:tcPr>
          <w:p w14:paraId="2A4491E4" w14:textId="1CD65666"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(5.IV.i)</w:t>
            </w:r>
          </w:p>
        </w:tc>
        <w:tc>
          <w:tcPr>
            <w:tcW w:w="1700" w:type="dxa"/>
            <w:tcBorders>
              <w:top w:val="nil"/>
              <w:left w:val="nil"/>
              <w:bottom w:val="nil"/>
              <w:right w:val="nil"/>
            </w:tcBorders>
            <w:vAlign w:val="bottom"/>
          </w:tcPr>
          <w:p w14:paraId="239DA408" w14:textId="74CCD2D7"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51.883.057</w:t>
            </w:r>
          </w:p>
        </w:tc>
        <w:tc>
          <w:tcPr>
            <w:tcW w:w="1559" w:type="dxa"/>
            <w:tcBorders>
              <w:top w:val="nil"/>
              <w:left w:val="nil"/>
              <w:bottom w:val="nil"/>
              <w:right w:val="nil"/>
            </w:tcBorders>
            <w:vAlign w:val="bottom"/>
          </w:tcPr>
          <w:p w14:paraId="71AA9654" w14:textId="48F52B7E"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34.792.696</w:t>
            </w:r>
          </w:p>
        </w:tc>
      </w:tr>
      <w:tr w:rsidR="0027513D" w:rsidRPr="00FB38E1" w14:paraId="556024F7" w14:textId="77777777" w:rsidTr="00836EF2">
        <w:trPr>
          <w:trHeight w:val="167"/>
        </w:trPr>
        <w:tc>
          <w:tcPr>
            <w:tcW w:w="651" w:type="dxa"/>
            <w:tcBorders>
              <w:top w:val="nil"/>
              <w:left w:val="nil"/>
              <w:bottom w:val="nil"/>
              <w:right w:val="nil"/>
            </w:tcBorders>
            <w:shd w:val="clear" w:color="auto" w:fill="auto"/>
            <w:noWrap/>
            <w:vAlign w:val="bottom"/>
            <w:hideMark/>
          </w:tcPr>
          <w:p w14:paraId="56BF471C"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XVIII.</w:t>
            </w:r>
          </w:p>
        </w:tc>
        <w:tc>
          <w:tcPr>
            <w:tcW w:w="5106" w:type="dxa"/>
            <w:tcBorders>
              <w:top w:val="nil"/>
              <w:left w:val="nil"/>
              <w:bottom w:val="nil"/>
              <w:right w:val="nil"/>
            </w:tcBorders>
            <w:shd w:val="clear" w:color="auto" w:fill="auto"/>
            <w:noWrap/>
            <w:vAlign w:val="bottom"/>
            <w:hideMark/>
          </w:tcPr>
          <w:p w14:paraId="0317EB05"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SÜRDÜRÜLEN FAALİYETLER VERGİ KARŞILIĞI (±)</w:t>
            </w:r>
          </w:p>
        </w:tc>
        <w:tc>
          <w:tcPr>
            <w:tcW w:w="710" w:type="dxa"/>
            <w:tcBorders>
              <w:top w:val="nil"/>
              <w:left w:val="nil"/>
              <w:bottom w:val="nil"/>
              <w:right w:val="nil"/>
            </w:tcBorders>
            <w:shd w:val="clear" w:color="auto" w:fill="auto"/>
            <w:noWrap/>
            <w:vAlign w:val="bottom"/>
            <w:hideMark/>
          </w:tcPr>
          <w:p w14:paraId="479FDD3B" w14:textId="2AE23DE5"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(5.IV.j)</w:t>
            </w:r>
          </w:p>
        </w:tc>
        <w:tc>
          <w:tcPr>
            <w:tcW w:w="1700" w:type="dxa"/>
            <w:tcBorders>
              <w:top w:val="nil"/>
              <w:left w:val="nil"/>
              <w:bottom w:val="nil"/>
              <w:right w:val="nil"/>
            </w:tcBorders>
            <w:vAlign w:val="bottom"/>
          </w:tcPr>
          <w:p w14:paraId="5AF7060A" w14:textId="4A2F8857"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(6.913.560)</w:t>
            </w:r>
          </w:p>
        </w:tc>
        <w:tc>
          <w:tcPr>
            <w:tcW w:w="1559" w:type="dxa"/>
            <w:tcBorders>
              <w:top w:val="nil"/>
              <w:left w:val="nil"/>
              <w:bottom w:val="nil"/>
              <w:right w:val="nil"/>
            </w:tcBorders>
            <w:vAlign w:val="bottom"/>
          </w:tcPr>
          <w:p w14:paraId="51AF83CD" w14:textId="08F5F2DC"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(6.766.241)</w:t>
            </w:r>
          </w:p>
        </w:tc>
      </w:tr>
      <w:tr w:rsidR="0027513D" w:rsidRPr="00FB38E1" w14:paraId="77A48819" w14:textId="77777777" w:rsidTr="00836EF2">
        <w:trPr>
          <w:trHeight w:val="167"/>
        </w:trPr>
        <w:tc>
          <w:tcPr>
            <w:tcW w:w="651" w:type="dxa"/>
            <w:tcBorders>
              <w:top w:val="nil"/>
              <w:left w:val="nil"/>
              <w:bottom w:val="nil"/>
              <w:right w:val="nil"/>
            </w:tcBorders>
            <w:shd w:val="clear" w:color="auto" w:fill="auto"/>
            <w:noWrap/>
            <w:vAlign w:val="bottom"/>
            <w:hideMark/>
          </w:tcPr>
          <w:p w14:paraId="6476FB3C"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18.1</w:t>
            </w:r>
          </w:p>
        </w:tc>
        <w:tc>
          <w:tcPr>
            <w:tcW w:w="5106" w:type="dxa"/>
            <w:tcBorders>
              <w:top w:val="nil"/>
              <w:left w:val="nil"/>
              <w:bottom w:val="nil"/>
              <w:right w:val="nil"/>
            </w:tcBorders>
            <w:shd w:val="clear" w:color="auto" w:fill="auto"/>
            <w:noWrap/>
            <w:vAlign w:val="bottom"/>
            <w:hideMark/>
          </w:tcPr>
          <w:p w14:paraId="43910F07"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Cari Vergi Karşılığı</w:t>
            </w:r>
          </w:p>
        </w:tc>
        <w:tc>
          <w:tcPr>
            <w:tcW w:w="710" w:type="dxa"/>
            <w:tcBorders>
              <w:top w:val="nil"/>
              <w:left w:val="nil"/>
              <w:bottom w:val="nil"/>
              <w:right w:val="nil"/>
            </w:tcBorders>
            <w:shd w:val="clear" w:color="auto" w:fill="auto"/>
            <w:noWrap/>
            <w:vAlign w:val="bottom"/>
          </w:tcPr>
          <w:p w14:paraId="2EFA5E67"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6046D9C" w14:textId="1B0519AC"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(6.724.275)</w:t>
            </w:r>
          </w:p>
        </w:tc>
        <w:tc>
          <w:tcPr>
            <w:tcW w:w="1559" w:type="dxa"/>
            <w:tcBorders>
              <w:top w:val="nil"/>
              <w:left w:val="nil"/>
              <w:bottom w:val="nil"/>
              <w:right w:val="nil"/>
            </w:tcBorders>
            <w:vAlign w:val="bottom"/>
          </w:tcPr>
          <w:p w14:paraId="02EDCB7F" w14:textId="6B72F764"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(326.714)</w:t>
            </w:r>
          </w:p>
        </w:tc>
      </w:tr>
      <w:tr w:rsidR="0027513D" w:rsidRPr="00FB38E1" w14:paraId="557A1B3B" w14:textId="77777777" w:rsidTr="00836EF2">
        <w:trPr>
          <w:trHeight w:val="111"/>
        </w:trPr>
        <w:tc>
          <w:tcPr>
            <w:tcW w:w="651" w:type="dxa"/>
            <w:tcBorders>
              <w:top w:val="nil"/>
              <w:left w:val="nil"/>
              <w:bottom w:val="nil"/>
              <w:right w:val="nil"/>
            </w:tcBorders>
            <w:shd w:val="clear" w:color="auto" w:fill="auto"/>
            <w:noWrap/>
            <w:vAlign w:val="bottom"/>
            <w:hideMark/>
          </w:tcPr>
          <w:p w14:paraId="7E06136D"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18.2</w:t>
            </w:r>
          </w:p>
        </w:tc>
        <w:tc>
          <w:tcPr>
            <w:tcW w:w="5106" w:type="dxa"/>
            <w:tcBorders>
              <w:top w:val="nil"/>
              <w:left w:val="nil"/>
              <w:bottom w:val="nil"/>
              <w:right w:val="nil"/>
            </w:tcBorders>
            <w:shd w:val="clear" w:color="auto" w:fill="auto"/>
            <w:noWrap/>
            <w:vAlign w:val="bottom"/>
            <w:hideMark/>
          </w:tcPr>
          <w:p w14:paraId="4A24468A"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Ertelenmiş Vergi Gider Etkisi (+)</w:t>
            </w:r>
          </w:p>
        </w:tc>
        <w:tc>
          <w:tcPr>
            <w:tcW w:w="710" w:type="dxa"/>
            <w:tcBorders>
              <w:top w:val="nil"/>
              <w:left w:val="nil"/>
              <w:bottom w:val="nil"/>
              <w:right w:val="nil"/>
            </w:tcBorders>
            <w:shd w:val="clear" w:color="auto" w:fill="auto"/>
            <w:noWrap/>
            <w:vAlign w:val="bottom"/>
          </w:tcPr>
          <w:p w14:paraId="6CB30568"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AE3487D" w14:textId="5379D84B"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(16.237.636)</w:t>
            </w:r>
          </w:p>
        </w:tc>
        <w:tc>
          <w:tcPr>
            <w:tcW w:w="1559" w:type="dxa"/>
            <w:tcBorders>
              <w:top w:val="nil"/>
              <w:left w:val="nil"/>
              <w:bottom w:val="nil"/>
              <w:right w:val="nil"/>
            </w:tcBorders>
            <w:vAlign w:val="bottom"/>
          </w:tcPr>
          <w:p w14:paraId="6C60B7DA" w14:textId="212A9B67"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(25.050.261)</w:t>
            </w:r>
          </w:p>
        </w:tc>
      </w:tr>
      <w:tr w:rsidR="0027513D" w:rsidRPr="00FB38E1" w14:paraId="6CAA5701" w14:textId="77777777" w:rsidTr="00836EF2">
        <w:trPr>
          <w:trHeight w:val="167"/>
        </w:trPr>
        <w:tc>
          <w:tcPr>
            <w:tcW w:w="651" w:type="dxa"/>
            <w:tcBorders>
              <w:top w:val="nil"/>
              <w:left w:val="nil"/>
              <w:bottom w:val="nil"/>
              <w:right w:val="nil"/>
            </w:tcBorders>
            <w:shd w:val="clear" w:color="auto" w:fill="auto"/>
            <w:noWrap/>
            <w:vAlign w:val="bottom"/>
            <w:hideMark/>
          </w:tcPr>
          <w:p w14:paraId="48739C25"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18.3</w:t>
            </w:r>
          </w:p>
        </w:tc>
        <w:tc>
          <w:tcPr>
            <w:tcW w:w="5106" w:type="dxa"/>
            <w:tcBorders>
              <w:top w:val="nil"/>
              <w:left w:val="nil"/>
              <w:bottom w:val="nil"/>
              <w:right w:val="nil"/>
            </w:tcBorders>
            <w:shd w:val="clear" w:color="auto" w:fill="auto"/>
            <w:noWrap/>
            <w:vAlign w:val="bottom"/>
            <w:hideMark/>
          </w:tcPr>
          <w:p w14:paraId="163A1EFF"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Ertelenmiş Vergi Gelir Etkisi (-)</w:t>
            </w:r>
          </w:p>
        </w:tc>
        <w:tc>
          <w:tcPr>
            <w:tcW w:w="710" w:type="dxa"/>
            <w:tcBorders>
              <w:top w:val="nil"/>
              <w:left w:val="nil"/>
              <w:bottom w:val="nil"/>
              <w:right w:val="nil"/>
            </w:tcBorders>
            <w:shd w:val="clear" w:color="auto" w:fill="auto"/>
            <w:noWrap/>
            <w:vAlign w:val="bottom"/>
            <w:hideMark/>
          </w:tcPr>
          <w:p w14:paraId="4EC3D129" w14:textId="77777777" w:rsidR="0027513D" w:rsidRPr="00FB38E1" w:rsidRDefault="0027513D" w:rsidP="0027513D">
            <w:pPr>
              <w:spacing w:after="0"/>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93BF865" w14:textId="2C549C90"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16.048.351</w:t>
            </w:r>
          </w:p>
        </w:tc>
        <w:tc>
          <w:tcPr>
            <w:tcW w:w="1559" w:type="dxa"/>
            <w:tcBorders>
              <w:top w:val="nil"/>
              <w:left w:val="nil"/>
              <w:bottom w:val="nil"/>
              <w:right w:val="nil"/>
            </w:tcBorders>
            <w:vAlign w:val="bottom"/>
          </w:tcPr>
          <w:p w14:paraId="1CB5271D" w14:textId="45A3CC5F"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18.610.734</w:t>
            </w:r>
          </w:p>
        </w:tc>
      </w:tr>
      <w:tr w:rsidR="0027513D" w:rsidRPr="00FB38E1" w14:paraId="5FF410CE" w14:textId="77777777" w:rsidTr="00836EF2">
        <w:trPr>
          <w:trHeight w:val="167"/>
        </w:trPr>
        <w:tc>
          <w:tcPr>
            <w:tcW w:w="651" w:type="dxa"/>
            <w:tcBorders>
              <w:top w:val="nil"/>
              <w:left w:val="nil"/>
              <w:bottom w:val="nil"/>
              <w:right w:val="nil"/>
            </w:tcBorders>
            <w:shd w:val="clear" w:color="auto" w:fill="auto"/>
            <w:noWrap/>
            <w:vAlign w:val="bottom"/>
            <w:hideMark/>
          </w:tcPr>
          <w:p w14:paraId="5DD8A88A"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XIX.</w:t>
            </w:r>
          </w:p>
        </w:tc>
        <w:tc>
          <w:tcPr>
            <w:tcW w:w="5106" w:type="dxa"/>
            <w:tcBorders>
              <w:top w:val="nil"/>
              <w:left w:val="nil"/>
              <w:bottom w:val="nil"/>
              <w:right w:val="nil"/>
            </w:tcBorders>
            <w:shd w:val="clear" w:color="auto" w:fill="auto"/>
            <w:noWrap/>
            <w:vAlign w:val="bottom"/>
            <w:hideMark/>
          </w:tcPr>
          <w:p w14:paraId="5BC6949E"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SÜRDÜRÜLEN FAALİYETLER DÖNEM NET K/Z (XVII±XVIII)</w:t>
            </w:r>
          </w:p>
        </w:tc>
        <w:tc>
          <w:tcPr>
            <w:tcW w:w="710" w:type="dxa"/>
            <w:tcBorders>
              <w:top w:val="nil"/>
              <w:left w:val="nil"/>
              <w:bottom w:val="nil"/>
              <w:right w:val="nil"/>
            </w:tcBorders>
            <w:shd w:val="clear" w:color="auto" w:fill="auto"/>
            <w:noWrap/>
            <w:vAlign w:val="bottom"/>
            <w:hideMark/>
          </w:tcPr>
          <w:p w14:paraId="6C404D1C" w14:textId="2E048DB2"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(5.IV.k)</w:t>
            </w:r>
          </w:p>
        </w:tc>
        <w:tc>
          <w:tcPr>
            <w:tcW w:w="1700" w:type="dxa"/>
            <w:tcBorders>
              <w:top w:val="nil"/>
              <w:left w:val="nil"/>
              <w:bottom w:val="nil"/>
              <w:right w:val="nil"/>
            </w:tcBorders>
            <w:vAlign w:val="bottom"/>
          </w:tcPr>
          <w:p w14:paraId="79DB1198" w14:textId="3BC56460"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44.969.497</w:t>
            </w:r>
          </w:p>
        </w:tc>
        <w:tc>
          <w:tcPr>
            <w:tcW w:w="1559" w:type="dxa"/>
            <w:tcBorders>
              <w:top w:val="nil"/>
              <w:left w:val="nil"/>
              <w:bottom w:val="nil"/>
              <w:right w:val="nil"/>
            </w:tcBorders>
            <w:vAlign w:val="bottom"/>
          </w:tcPr>
          <w:p w14:paraId="643F001C" w14:textId="48F0B26B"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28.026.455</w:t>
            </w:r>
          </w:p>
        </w:tc>
      </w:tr>
      <w:tr w:rsidR="0027513D" w:rsidRPr="00FB38E1" w14:paraId="3B29AE6D" w14:textId="77777777" w:rsidTr="00836EF2">
        <w:trPr>
          <w:trHeight w:val="167"/>
        </w:trPr>
        <w:tc>
          <w:tcPr>
            <w:tcW w:w="651" w:type="dxa"/>
            <w:tcBorders>
              <w:top w:val="nil"/>
              <w:left w:val="nil"/>
              <w:bottom w:val="nil"/>
              <w:right w:val="nil"/>
            </w:tcBorders>
            <w:shd w:val="clear" w:color="auto" w:fill="auto"/>
            <w:noWrap/>
            <w:vAlign w:val="bottom"/>
            <w:hideMark/>
          </w:tcPr>
          <w:p w14:paraId="3135987C"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XX.</w:t>
            </w:r>
          </w:p>
        </w:tc>
        <w:tc>
          <w:tcPr>
            <w:tcW w:w="5106" w:type="dxa"/>
            <w:tcBorders>
              <w:top w:val="nil"/>
              <w:left w:val="nil"/>
              <w:bottom w:val="nil"/>
              <w:right w:val="nil"/>
            </w:tcBorders>
            <w:shd w:val="clear" w:color="auto" w:fill="auto"/>
            <w:noWrap/>
            <w:vAlign w:val="bottom"/>
            <w:hideMark/>
          </w:tcPr>
          <w:p w14:paraId="7027AB3B"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DURDURULAN FAALİYETLERDEN GELİRLER</w:t>
            </w:r>
          </w:p>
        </w:tc>
        <w:tc>
          <w:tcPr>
            <w:tcW w:w="710" w:type="dxa"/>
            <w:tcBorders>
              <w:top w:val="nil"/>
              <w:left w:val="nil"/>
              <w:bottom w:val="nil"/>
              <w:right w:val="nil"/>
            </w:tcBorders>
            <w:shd w:val="clear" w:color="auto" w:fill="auto"/>
            <w:noWrap/>
            <w:vAlign w:val="bottom"/>
            <w:hideMark/>
          </w:tcPr>
          <w:p w14:paraId="3CE0DCA3"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97D29C4" w14:textId="443788FB"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71B801CB" w14:textId="04DCF0B0"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r>
      <w:tr w:rsidR="0027513D" w:rsidRPr="00FB38E1" w14:paraId="0620A449" w14:textId="77777777" w:rsidTr="00836EF2">
        <w:trPr>
          <w:trHeight w:val="167"/>
        </w:trPr>
        <w:tc>
          <w:tcPr>
            <w:tcW w:w="651" w:type="dxa"/>
            <w:tcBorders>
              <w:top w:val="nil"/>
              <w:left w:val="nil"/>
              <w:bottom w:val="nil"/>
              <w:right w:val="nil"/>
            </w:tcBorders>
            <w:shd w:val="clear" w:color="auto" w:fill="auto"/>
            <w:noWrap/>
            <w:vAlign w:val="bottom"/>
            <w:hideMark/>
          </w:tcPr>
          <w:p w14:paraId="491551CE"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20.1</w:t>
            </w:r>
          </w:p>
        </w:tc>
        <w:tc>
          <w:tcPr>
            <w:tcW w:w="5106" w:type="dxa"/>
            <w:tcBorders>
              <w:top w:val="nil"/>
              <w:left w:val="nil"/>
              <w:bottom w:val="nil"/>
              <w:right w:val="nil"/>
            </w:tcBorders>
            <w:shd w:val="clear" w:color="auto" w:fill="auto"/>
            <w:noWrap/>
            <w:vAlign w:val="bottom"/>
            <w:hideMark/>
          </w:tcPr>
          <w:p w14:paraId="51F02D3E"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Satış Amaçlı Elde Tutulan Duran Varlık Gelirleri</w:t>
            </w:r>
          </w:p>
        </w:tc>
        <w:tc>
          <w:tcPr>
            <w:tcW w:w="710" w:type="dxa"/>
            <w:tcBorders>
              <w:top w:val="nil"/>
              <w:left w:val="nil"/>
              <w:bottom w:val="nil"/>
              <w:right w:val="nil"/>
            </w:tcBorders>
            <w:shd w:val="clear" w:color="auto" w:fill="auto"/>
            <w:noWrap/>
            <w:vAlign w:val="bottom"/>
            <w:hideMark/>
          </w:tcPr>
          <w:p w14:paraId="06048276"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60DA1A9" w14:textId="7F488F48"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03FFC476" w14:textId="4624B005"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27513D" w:rsidRPr="00FB38E1" w14:paraId="67F4D391" w14:textId="77777777" w:rsidTr="00836EF2">
        <w:trPr>
          <w:trHeight w:val="167"/>
        </w:trPr>
        <w:tc>
          <w:tcPr>
            <w:tcW w:w="651" w:type="dxa"/>
            <w:tcBorders>
              <w:top w:val="nil"/>
              <w:left w:val="nil"/>
              <w:bottom w:val="nil"/>
              <w:right w:val="nil"/>
            </w:tcBorders>
            <w:shd w:val="clear" w:color="auto" w:fill="auto"/>
            <w:noWrap/>
            <w:vAlign w:val="bottom"/>
            <w:hideMark/>
          </w:tcPr>
          <w:p w14:paraId="2D4B2796"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20.2</w:t>
            </w:r>
          </w:p>
        </w:tc>
        <w:tc>
          <w:tcPr>
            <w:tcW w:w="5106" w:type="dxa"/>
            <w:tcBorders>
              <w:top w:val="nil"/>
              <w:left w:val="nil"/>
              <w:bottom w:val="nil"/>
              <w:right w:val="nil"/>
            </w:tcBorders>
            <w:shd w:val="clear" w:color="auto" w:fill="auto"/>
            <w:noWrap/>
            <w:vAlign w:val="bottom"/>
            <w:hideMark/>
          </w:tcPr>
          <w:p w14:paraId="373A7FA2"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İştirak, Bağlı Ortaklık ve Birlikte Kontrol Edilen Ortaklıklar (İş Ort.) Satış Karları</w:t>
            </w:r>
          </w:p>
        </w:tc>
        <w:tc>
          <w:tcPr>
            <w:tcW w:w="710" w:type="dxa"/>
            <w:tcBorders>
              <w:top w:val="nil"/>
              <w:left w:val="nil"/>
              <w:bottom w:val="nil"/>
              <w:right w:val="nil"/>
            </w:tcBorders>
            <w:shd w:val="clear" w:color="auto" w:fill="auto"/>
            <w:noWrap/>
            <w:vAlign w:val="bottom"/>
            <w:hideMark/>
          </w:tcPr>
          <w:p w14:paraId="5A3F3108"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548EF2D" w14:textId="2D0CC6C2"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1A0C6113" w14:textId="6F032740"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27513D" w:rsidRPr="00FB38E1" w14:paraId="04C497E1" w14:textId="77777777" w:rsidTr="00836EF2">
        <w:trPr>
          <w:trHeight w:val="167"/>
        </w:trPr>
        <w:tc>
          <w:tcPr>
            <w:tcW w:w="651" w:type="dxa"/>
            <w:tcBorders>
              <w:top w:val="nil"/>
              <w:left w:val="nil"/>
              <w:bottom w:val="nil"/>
              <w:right w:val="nil"/>
            </w:tcBorders>
            <w:shd w:val="clear" w:color="auto" w:fill="auto"/>
            <w:noWrap/>
            <w:vAlign w:val="bottom"/>
            <w:hideMark/>
          </w:tcPr>
          <w:p w14:paraId="36654E53"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20.3</w:t>
            </w:r>
          </w:p>
        </w:tc>
        <w:tc>
          <w:tcPr>
            <w:tcW w:w="5106" w:type="dxa"/>
            <w:tcBorders>
              <w:top w:val="nil"/>
              <w:left w:val="nil"/>
              <w:bottom w:val="nil"/>
              <w:right w:val="nil"/>
            </w:tcBorders>
            <w:shd w:val="clear" w:color="auto" w:fill="auto"/>
            <w:noWrap/>
            <w:vAlign w:val="bottom"/>
            <w:hideMark/>
          </w:tcPr>
          <w:p w14:paraId="677A8829"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Diğer Durdurulan Faaliyet Gelirleri</w:t>
            </w:r>
          </w:p>
        </w:tc>
        <w:tc>
          <w:tcPr>
            <w:tcW w:w="710" w:type="dxa"/>
            <w:tcBorders>
              <w:top w:val="nil"/>
              <w:left w:val="nil"/>
              <w:bottom w:val="nil"/>
              <w:right w:val="nil"/>
            </w:tcBorders>
            <w:shd w:val="clear" w:color="auto" w:fill="auto"/>
            <w:noWrap/>
            <w:vAlign w:val="bottom"/>
            <w:hideMark/>
          </w:tcPr>
          <w:p w14:paraId="62C68E12"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76452812" w14:textId="35A5F43C"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561F2B15" w14:textId="5F4D1890"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27513D" w:rsidRPr="00FB38E1" w14:paraId="08FDF460" w14:textId="77777777" w:rsidTr="00836EF2">
        <w:trPr>
          <w:trHeight w:val="167"/>
        </w:trPr>
        <w:tc>
          <w:tcPr>
            <w:tcW w:w="651" w:type="dxa"/>
            <w:tcBorders>
              <w:top w:val="nil"/>
              <w:left w:val="nil"/>
              <w:bottom w:val="nil"/>
              <w:right w:val="nil"/>
            </w:tcBorders>
            <w:shd w:val="clear" w:color="auto" w:fill="auto"/>
            <w:noWrap/>
            <w:vAlign w:val="bottom"/>
            <w:hideMark/>
          </w:tcPr>
          <w:p w14:paraId="05033EA6"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XXI.</w:t>
            </w:r>
          </w:p>
        </w:tc>
        <w:tc>
          <w:tcPr>
            <w:tcW w:w="5106" w:type="dxa"/>
            <w:tcBorders>
              <w:top w:val="nil"/>
              <w:left w:val="nil"/>
              <w:bottom w:val="nil"/>
              <w:right w:val="nil"/>
            </w:tcBorders>
            <w:shd w:val="clear" w:color="auto" w:fill="auto"/>
            <w:noWrap/>
            <w:vAlign w:val="bottom"/>
            <w:hideMark/>
          </w:tcPr>
          <w:p w14:paraId="68872AB6"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DURDURULAN FAALİYETLERDEN GİDERLER (-)</w:t>
            </w:r>
          </w:p>
        </w:tc>
        <w:tc>
          <w:tcPr>
            <w:tcW w:w="710" w:type="dxa"/>
            <w:tcBorders>
              <w:top w:val="nil"/>
              <w:left w:val="nil"/>
              <w:bottom w:val="nil"/>
              <w:right w:val="nil"/>
            </w:tcBorders>
            <w:shd w:val="clear" w:color="auto" w:fill="auto"/>
            <w:noWrap/>
            <w:vAlign w:val="bottom"/>
            <w:hideMark/>
          </w:tcPr>
          <w:p w14:paraId="247E821A"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2451EE32" w14:textId="5D6F706A"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762BCA54" w14:textId="3CB7AED8"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208.074</w:t>
            </w:r>
          </w:p>
        </w:tc>
      </w:tr>
      <w:tr w:rsidR="0027513D" w:rsidRPr="00FB38E1" w14:paraId="24008C2A" w14:textId="77777777" w:rsidTr="00836EF2">
        <w:trPr>
          <w:trHeight w:val="167"/>
        </w:trPr>
        <w:tc>
          <w:tcPr>
            <w:tcW w:w="651" w:type="dxa"/>
            <w:tcBorders>
              <w:top w:val="nil"/>
              <w:left w:val="nil"/>
              <w:bottom w:val="nil"/>
              <w:right w:val="nil"/>
            </w:tcBorders>
            <w:shd w:val="clear" w:color="auto" w:fill="auto"/>
            <w:noWrap/>
            <w:vAlign w:val="bottom"/>
            <w:hideMark/>
          </w:tcPr>
          <w:p w14:paraId="1194C418"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21.1</w:t>
            </w:r>
          </w:p>
        </w:tc>
        <w:tc>
          <w:tcPr>
            <w:tcW w:w="5106" w:type="dxa"/>
            <w:tcBorders>
              <w:top w:val="nil"/>
              <w:left w:val="nil"/>
              <w:bottom w:val="nil"/>
              <w:right w:val="nil"/>
            </w:tcBorders>
            <w:shd w:val="clear" w:color="auto" w:fill="auto"/>
            <w:noWrap/>
            <w:vAlign w:val="bottom"/>
            <w:hideMark/>
          </w:tcPr>
          <w:p w14:paraId="13338F8F"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Satış Amaçlı Elde Tutulan Duran Varlık Giderleri</w:t>
            </w:r>
          </w:p>
        </w:tc>
        <w:tc>
          <w:tcPr>
            <w:tcW w:w="710" w:type="dxa"/>
            <w:tcBorders>
              <w:top w:val="nil"/>
              <w:left w:val="nil"/>
              <w:bottom w:val="nil"/>
              <w:right w:val="nil"/>
            </w:tcBorders>
            <w:shd w:val="clear" w:color="auto" w:fill="auto"/>
            <w:noWrap/>
            <w:vAlign w:val="bottom"/>
            <w:hideMark/>
          </w:tcPr>
          <w:p w14:paraId="3C171553"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C99E9B7" w14:textId="6E7B57A5"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17A80626" w14:textId="4A24C2A3"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27513D" w:rsidRPr="00FB38E1" w14:paraId="5F409B9A" w14:textId="77777777" w:rsidTr="00836EF2">
        <w:trPr>
          <w:trHeight w:val="167"/>
        </w:trPr>
        <w:tc>
          <w:tcPr>
            <w:tcW w:w="651" w:type="dxa"/>
            <w:tcBorders>
              <w:top w:val="nil"/>
              <w:left w:val="nil"/>
              <w:bottom w:val="nil"/>
              <w:right w:val="nil"/>
            </w:tcBorders>
            <w:shd w:val="clear" w:color="auto" w:fill="auto"/>
            <w:noWrap/>
            <w:vAlign w:val="bottom"/>
            <w:hideMark/>
          </w:tcPr>
          <w:p w14:paraId="440DEF1D"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21.2</w:t>
            </w:r>
          </w:p>
        </w:tc>
        <w:tc>
          <w:tcPr>
            <w:tcW w:w="5106" w:type="dxa"/>
            <w:tcBorders>
              <w:top w:val="nil"/>
              <w:left w:val="nil"/>
              <w:bottom w:val="nil"/>
              <w:right w:val="nil"/>
            </w:tcBorders>
            <w:shd w:val="clear" w:color="auto" w:fill="auto"/>
            <w:noWrap/>
            <w:vAlign w:val="bottom"/>
            <w:hideMark/>
          </w:tcPr>
          <w:p w14:paraId="659B0CCA"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İştirak, Bağlı Ortaklık ve Birlikte Kontrol Edilen Ortaklıklar (İş Ort.) Satış Zararları</w:t>
            </w:r>
          </w:p>
        </w:tc>
        <w:tc>
          <w:tcPr>
            <w:tcW w:w="710" w:type="dxa"/>
            <w:tcBorders>
              <w:top w:val="nil"/>
              <w:left w:val="nil"/>
              <w:bottom w:val="nil"/>
              <w:right w:val="nil"/>
            </w:tcBorders>
            <w:shd w:val="clear" w:color="auto" w:fill="auto"/>
            <w:noWrap/>
            <w:vAlign w:val="bottom"/>
            <w:hideMark/>
          </w:tcPr>
          <w:p w14:paraId="084698BF"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75E986D" w14:textId="438756E3"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230A5A8D" w14:textId="1B4DA453"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27513D" w:rsidRPr="00FB38E1" w14:paraId="177474B7" w14:textId="77777777" w:rsidTr="00836EF2">
        <w:trPr>
          <w:trHeight w:val="167"/>
        </w:trPr>
        <w:tc>
          <w:tcPr>
            <w:tcW w:w="651" w:type="dxa"/>
            <w:tcBorders>
              <w:top w:val="nil"/>
              <w:left w:val="nil"/>
              <w:bottom w:val="nil"/>
              <w:right w:val="nil"/>
            </w:tcBorders>
            <w:shd w:val="clear" w:color="auto" w:fill="auto"/>
            <w:noWrap/>
            <w:vAlign w:val="bottom"/>
            <w:hideMark/>
          </w:tcPr>
          <w:p w14:paraId="4C9E4E9E"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21.3</w:t>
            </w:r>
          </w:p>
        </w:tc>
        <w:tc>
          <w:tcPr>
            <w:tcW w:w="5106" w:type="dxa"/>
            <w:tcBorders>
              <w:top w:val="nil"/>
              <w:left w:val="nil"/>
              <w:bottom w:val="nil"/>
              <w:right w:val="nil"/>
            </w:tcBorders>
            <w:shd w:val="clear" w:color="auto" w:fill="auto"/>
            <w:noWrap/>
            <w:vAlign w:val="bottom"/>
            <w:hideMark/>
          </w:tcPr>
          <w:p w14:paraId="703ADDE9"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Diğer Durdurulan Faaliyet Giderleri</w:t>
            </w:r>
          </w:p>
        </w:tc>
        <w:tc>
          <w:tcPr>
            <w:tcW w:w="710" w:type="dxa"/>
            <w:tcBorders>
              <w:top w:val="nil"/>
              <w:left w:val="nil"/>
              <w:bottom w:val="nil"/>
              <w:right w:val="nil"/>
            </w:tcBorders>
            <w:shd w:val="clear" w:color="auto" w:fill="auto"/>
            <w:noWrap/>
            <w:vAlign w:val="bottom"/>
          </w:tcPr>
          <w:p w14:paraId="1D601DAC"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0B5F03DD" w14:textId="0AAB4450"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5723E77C" w14:textId="4FB2C86E"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208.074</w:t>
            </w:r>
          </w:p>
        </w:tc>
      </w:tr>
      <w:tr w:rsidR="0027513D" w:rsidRPr="00FB38E1" w14:paraId="352BF6B6" w14:textId="77777777" w:rsidTr="00836EF2">
        <w:trPr>
          <w:trHeight w:val="167"/>
        </w:trPr>
        <w:tc>
          <w:tcPr>
            <w:tcW w:w="651" w:type="dxa"/>
            <w:tcBorders>
              <w:top w:val="nil"/>
              <w:left w:val="nil"/>
              <w:bottom w:val="nil"/>
              <w:right w:val="nil"/>
            </w:tcBorders>
            <w:shd w:val="clear" w:color="auto" w:fill="auto"/>
            <w:noWrap/>
            <w:vAlign w:val="bottom"/>
            <w:hideMark/>
          </w:tcPr>
          <w:p w14:paraId="69AE3CD6"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XXII.</w:t>
            </w:r>
          </w:p>
        </w:tc>
        <w:tc>
          <w:tcPr>
            <w:tcW w:w="5106" w:type="dxa"/>
            <w:tcBorders>
              <w:top w:val="nil"/>
              <w:left w:val="nil"/>
              <w:bottom w:val="nil"/>
              <w:right w:val="nil"/>
            </w:tcBorders>
            <w:shd w:val="clear" w:color="auto" w:fill="auto"/>
            <w:noWrap/>
            <w:vAlign w:val="bottom"/>
            <w:hideMark/>
          </w:tcPr>
          <w:p w14:paraId="5C60CBF6"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b/>
                <w:bCs/>
                <w:color w:val="000000"/>
                <w:sz w:val="12"/>
                <w:szCs w:val="12"/>
              </w:rPr>
              <w:t>DURDURULAN FAALİYETLER VERGİ ÖNCESİ K/Z (XX-XXI)</w:t>
            </w:r>
          </w:p>
        </w:tc>
        <w:tc>
          <w:tcPr>
            <w:tcW w:w="710" w:type="dxa"/>
            <w:tcBorders>
              <w:top w:val="nil"/>
              <w:left w:val="nil"/>
              <w:bottom w:val="nil"/>
              <w:right w:val="nil"/>
            </w:tcBorders>
            <w:shd w:val="clear" w:color="auto" w:fill="auto"/>
            <w:noWrap/>
            <w:vAlign w:val="bottom"/>
          </w:tcPr>
          <w:p w14:paraId="087D7DA1"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5149341F" w14:textId="2A813855"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006170AB" w14:textId="1B3B9355"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(208.074)</w:t>
            </w:r>
          </w:p>
        </w:tc>
      </w:tr>
      <w:tr w:rsidR="0027513D" w:rsidRPr="00FB38E1" w14:paraId="34856EAC" w14:textId="77777777" w:rsidTr="00836EF2">
        <w:trPr>
          <w:trHeight w:val="167"/>
        </w:trPr>
        <w:tc>
          <w:tcPr>
            <w:tcW w:w="651" w:type="dxa"/>
            <w:tcBorders>
              <w:top w:val="nil"/>
              <w:left w:val="nil"/>
              <w:bottom w:val="nil"/>
              <w:right w:val="nil"/>
            </w:tcBorders>
            <w:shd w:val="clear" w:color="auto" w:fill="auto"/>
            <w:noWrap/>
            <w:vAlign w:val="bottom"/>
            <w:hideMark/>
          </w:tcPr>
          <w:p w14:paraId="72A46C7F"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XXIII.</w:t>
            </w:r>
          </w:p>
        </w:tc>
        <w:tc>
          <w:tcPr>
            <w:tcW w:w="5106" w:type="dxa"/>
            <w:tcBorders>
              <w:top w:val="nil"/>
              <w:left w:val="nil"/>
              <w:bottom w:val="nil"/>
              <w:right w:val="nil"/>
            </w:tcBorders>
            <w:shd w:val="clear" w:color="auto" w:fill="auto"/>
            <w:noWrap/>
            <w:vAlign w:val="bottom"/>
            <w:hideMark/>
          </w:tcPr>
          <w:p w14:paraId="28E33E32"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b/>
                <w:bCs/>
                <w:color w:val="000000"/>
                <w:sz w:val="12"/>
                <w:szCs w:val="12"/>
              </w:rPr>
              <w:t>DURDURULAN FAALİYETLER VERGİ KARŞILIĞI (±)</w:t>
            </w:r>
          </w:p>
        </w:tc>
        <w:tc>
          <w:tcPr>
            <w:tcW w:w="710" w:type="dxa"/>
            <w:tcBorders>
              <w:top w:val="nil"/>
              <w:left w:val="nil"/>
              <w:bottom w:val="nil"/>
              <w:right w:val="nil"/>
            </w:tcBorders>
            <w:shd w:val="clear" w:color="auto" w:fill="auto"/>
            <w:noWrap/>
            <w:vAlign w:val="bottom"/>
          </w:tcPr>
          <w:p w14:paraId="30D5D9F5"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7176506" w14:textId="4C120B33"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778B428F" w14:textId="47816A7C"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59.404</w:t>
            </w:r>
          </w:p>
        </w:tc>
      </w:tr>
      <w:tr w:rsidR="0027513D" w:rsidRPr="00FB38E1" w14:paraId="50A1D002" w14:textId="77777777" w:rsidTr="00836EF2">
        <w:trPr>
          <w:trHeight w:val="167"/>
        </w:trPr>
        <w:tc>
          <w:tcPr>
            <w:tcW w:w="651" w:type="dxa"/>
            <w:tcBorders>
              <w:top w:val="nil"/>
              <w:left w:val="nil"/>
              <w:bottom w:val="nil"/>
              <w:right w:val="nil"/>
            </w:tcBorders>
            <w:shd w:val="clear" w:color="auto" w:fill="auto"/>
            <w:noWrap/>
            <w:vAlign w:val="bottom"/>
            <w:hideMark/>
          </w:tcPr>
          <w:p w14:paraId="7DF386BC" w14:textId="77777777" w:rsidR="0027513D" w:rsidRPr="00FB38E1" w:rsidRDefault="0027513D" w:rsidP="0027513D">
            <w:pPr>
              <w:spacing w:after="0"/>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23.1</w:t>
            </w:r>
          </w:p>
        </w:tc>
        <w:tc>
          <w:tcPr>
            <w:tcW w:w="5106" w:type="dxa"/>
            <w:tcBorders>
              <w:top w:val="nil"/>
              <w:left w:val="nil"/>
              <w:bottom w:val="nil"/>
              <w:right w:val="nil"/>
            </w:tcBorders>
            <w:shd w:val="clear" w:color="auto" w:fill="auto"/>
            <w:noWrap/>
            <w:vAlign w:val="bottom"/>
            <w:hideMark/>
          </w:tcPr>
          <w:p w14:paraId="0284DABA" w14:textId="77777777" w:rsidR="0027513D" w:rsidRPr="00FB38E1" w:rsidRDefault="0027513D" w:rsidP="0027513D">
            <w:pPr>
              <w:spacing w:after="0"/>
              <w:jc w:val="left"/>
              <w:rPr>
                <w:rFonts w:ascii="Microsoft Sans Serif" w:eastAsia="Times New Roman" w:hAnsi="Microsoft Sans Serif" w:cs="Microsoft Sans Serif"/>
                <w:b/>
                <w:bCs/>
                <w:sz w:val="12"/>
                <w:szCs w:val="12"/>
                <w:lang w:eastAsia="tr-TR"/>
              </w:rPr>
            </w:pPr>
            <w:r w:rsidRPr="00FB38E1">
              <w:rPr>
                <w:rFonts w:ascii="Microsoft Sans Serif" w:hAnsi="Microsoft Sans Serif" w:cs="Microsoft Sans Serif"/>
                <w:color w:val="000000"/>
                <w:sz w:val="12"/>
                <w:szCs w:val="12"/>
              </w:rPr>
              <w:t>Cari Vergi Karşılığı</w:t>
            </w:r>
          </w:p>
        </w:tc>
        <w:tc>
          <w:tcPr>
            <w:tcW w:w="710" w:type="dxa"/>
            <w:tcBorders>
              <w:top w:val="nil"/>
              <w:left w:val="nil"/>
              <w:bottom w:val="nil"/>
              <w:right w:val="nil"/>
            </w:tcBorders>
            <w:shd w:val="clear" w:color="auto" w:fill="auto"/>
            <w:noWrap/>
            <w:vAlign w:val="bottom"/>
          </w:tcPr>
          <w:p w14:paraId="3DC7D1EF"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35CD98CA" w14:textId="3CA73B0A"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2B6B5B7F" w14:textId="6616C2C6"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27513D" w:rsidRPr="00FB38E1" w14:paraId="7DA66CB2" w14:textId="77777777" w:rsidTr="00836EF2">
        <w:trPr>
          <w:trHeight w:val="167"/>
        </w:trPr>
        <w:tc>
          <w:tcPr>
            <w:tcW w:w="651" w:type="dxa"/>
            <w:tcBorders>
              <w:top w:val="nil"/>
              <w:left w:val="nil"/>
              <w:bottom w:val="nil"/>
              <w:right w:val="nil"/>
            </w:tcBorders>
            <w:shd w:val="clear" w:color="auto" w:fill="auto"/>
            <w:noWrap/>
            <w:vAlign w:val="bottom"/>
            <w:hideMark/>
          </w:tcPr>
          <w:p w14:paraId="6AB5B165"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23.2</w:t>
            </w:r>
          </w:p>
        </w:tc>
        <w:tc>
          <w:tcPr>
            <w:tcW w:w="5106" w:type="dxa"/>
            <w:tcBorders>
              <w:top w:val="nil"/>
              <w:left w:val="nil"/>
              <w:bottom w:val="nil"/>
              <w:right w:val="nil"/>
            </w:tcBorders>
            <w:shd w:val="clear" w:color="auto" w:fill="auto"/>
            <w:noWrap/>
            <w:vAlign w:val="bottom"/>
            <w:hideMark/>
          </w:tcPr>
          <w:p w14:paraId="57635345"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Ertelenmiş Vergi Gider Etkisi (+)</w:t>
            </w:r>
          </w:p>
        </w:tc>
        <w:tc>
          <w:tcPr>
            <w:tcW w:w="710" w:type="dxa"/>
            <w:tcBorders>
              <w:top w:val="nil"/>
              <w:left w:val="nil"/>
              <w:bottom w:val="nil"/>
              <w:right w:val="nil"/>
            </w:tcBorders>
            <w:shd w:val="clear" w:color="auto" w:fill="auto"/>
            <w:noWrap/>
            <w:vAlign w:val="bottom"/>
          </w:tcPr>
          <w:p w14:paraId="187E6745"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444C7671" w14:textId="28653E4A"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4468A59E" w14:textId="7D926D4D"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27513D" w:rsidRPr="00FB38E1" w14:paraId="2D8E7883" w14:textId="77777777" w:rsidTr="00836EF2">
        <w:trPr>
          <w:trHeight w:val="167"/>
        </w:trPr>
        <w:tc>
          <w:tcPr>
            <w:tcW w:w="651" w:type="dxa"/>
            <w:tcBorders>
              <w:top w:val="nil"/>
              <w:left w:val="nil"/>
              <w:bottom w:val="nil"/>
              <w:right w:val="nil"/>
            </w:tcBorders>
            <w:shd w:val="clear" w:color="auto" w:fill="auto"/>
            <w:noWrap/>
            <w:vAlign w:val="bottom"/>
            <w:hideMark/>
          </w:tcPr>
          <w:p w14:paraId="74A4E1BF"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23.3</w:t>
            </w:r>
          </w:p>
        </w:tc>
        <w:tc>
          <w:tcPr>
            <w:tcW w:w="5106" w:type="dxa"/>
            <w:tcBorders>
              <w:top w:val="nil"/>
              <w:left w:val="nil"/>
              <w:bottom w:val="nil"/>
              <w:right w:val="nil"/>
            </w:tcBorders>
            <w:shd w:val="clear" w:color="auto" w:fill="auto"/>
            <w:noWrap/>
            <w:vAlign w:val="bottom"/>
            <w:hideMark/>
          </w:tcPr>
          <w:p w14:paraId="74754A9A"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Ertelenmiş Vergi Gelir Etkisi (-)</w:t>
            </w:r>
          </w:p>
        </w:tc>
        <w:tc>
          <w:tcPr>
            <w:tcW w:w="710" w:type="dxa"/>
            <w:tcBorders>
              <w:top w:val="nil"/>
              <w:left w:val="nil"/>
              <w:bottom w:val="nil"/>
              <w:right w:val="nil"/>
            </w:tcBorders>
            <w:shd w:val="clear" w:color="auto" w:fill="auto"/>
            <w:noWrap/>
            <w:vAlign w:val="bottom"/>
          </w:tcPr>
          <w:p w14:paraId="52BBFDA4" w14:textId="77777777" w:rsidR="0027513D" w:rsidRPr="00FB38E1" w:rsidRDefault="0027513D" w:rsidP="0027513D">
            <w:pPr>
              <w:spacing w:after="0"/>
              <w:jc w:val="center"/>
              <w:rPr>
                <w:rFonts w:ascii="Microsoft Sans Serif" w:eastAsia="Times New Roman" w:hAnsi="Microsoft Sans Serif" w:cs="Microsoft Sans Serif"/>
                <w:sz w:val="12"/>
                <w:szCs w:val="12"/>
                <w:lang w:eastAsia="tr-TR"/>
              </w:rPr>
            </w:pPr>
          </w:p>
        </w:tc>
        <w:tc>
          <w:tcPr>
            <w:tcW w:w="1700" w:type="dxa"/>
            <w:tcBorders>
              <w:top w:val="nil"/>
              <w:left w:val="nil"/>
              <w:bottom w:val="nil"/>
              <w:right w:val="nil"/>
            </w:tcBorders>
            <w:vAlign w:val="bottom"/>
          </w:tcPr>
          <w:p w14:paraId="10FE549F" w14:textId="377C775D"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c>
          <w:tcPr>
            <w:tcW w:w="1559" w:type="dxa"/>
            <w:tcBorders>
              <w:top w:val="nil"/>
              <w:left w:val="nil"/>
              <w:bottom w:val="nil"/>
              <w:right w:val="nil"/>
            </w:tcBorders>
            <w:vAlign w:val="bottom"/>
          </w:tcPr>
          <w:p w14:paraId="08011BA7" w14:textId="1E5476CD"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59.404</w:t>
            </w:r>
          </w:p>
        </w:tc>
      </w:tr>
      <w:tr w:rsidR="0027513D" w:rsidRPr="00FB38E1" w14:paraId="6E69BA70" w14:textId="77777777" w:rsidTr="00836EF2">
        <w:trPr>
          <w:trHeight w:val="167"/>
        </w:trPr>
        <w:tc>
          <w:tcPr>
            <w:tcW w:w="651" w:type="dxa"/>
            <w:tcBorders>
              <w:top w:val="nil"/>
              <w:left w:val="nil"/>
              <w:bottom w:val="nil"/>
              <w:right w:val="nil"/>
            </w:tcBorders>
            <w:shd w:val="clear" w:color="auto" w:fill="auto"/>
            <w:noWrap/>
            <w:vAlign w:val="bottom"/>
          </w:tcPr>
          <w:p w14:paraId="4DB1FED3" w14:textId="77777777" w:rsidR="0027513D" w:rsidRPr="00FB38E1" w:rsidRDefault="0027513D" w:rsidP="0027513D">
            <w:pPr>
              <w:spacing w:after="0"/>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XXIV.</w:t>
            </w:r>
          </w:p>
        </w:tc>
        <w:tc>
          <w:tcPr>
            <w:tcW w:w="5106" w:type="dxa"/>
            <w:tcBorders>
              <w:top w:val="nil"/>
              <w:left w:val="nil"/>
              <w:bottom w:val="nil"/>
              <w:right w:val="nil"/>
            </w:tcBorders>
            <w:shd w:val="clear" w:color="auto" w:fill="auto"/>
            <w:noWrap/>
            <w:vAlign w:val="bottom"/>
          </w:tcPr>
          <w:p w14:paraId="4089B833" w14:textId="77777777" w:rsidR="0027513D" w:rsidRPr="00FB38E1" w:rsidRDefault="0027513D" w:rsidP="0027513D">
            <w:pPr>
              <w:spacing w:after="0"/>
              <w:jc w:val="lef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DURDURULAN FAALİYETLER DÖNEM NET K/Z (XXII±XXIII)</w:t>
            </w:r>
          </w:p>
        </w:tc>
        <w:tc>
          <w:tcPr>
            <w:tcW w:w="710" w:type="dxa"/>
            <w:tcBorders>
              <w:top w:val="nil"/>
              <w:left w:val="nil"/>
              <w:bottom w:val="nil"/>
              <w:right w:val="nil"/>
            </w:tcBorders>
            <w:shd w:val="clear" w:color="auto" w:fill="auto"/>
            <w:noWrap/>
            <w:vAlign w:val="bottom"/>
          </w:tcPr>
          <w:p w14:paraId="7E6C444E" w14:textId="77777777" w:rsidR="0027513D" w:rsidRPr="00FB38E1" w:rsidRDefault="0027513D" w:rsidP="0027513D">
            <w:pPr>
              <w:spacing w:after="0"/>
              <w:jc w:val="center"/>
              <w:rPr>
                <w:rFonts w:ascii="Microsoft Sans Serif" w:hAnsi="Microsoft Sans Serif" w:cs="Microsoft Sans Serif"/>
                <w:sz w:val="12"/>
                <w:szCs w:val="12"/>
              </w:rPr>
            </w:pPr>
          </w:p>
        </w:tc>
        <w:tc>
          <w:tcPr>
            <w:tcW w:w="1700" w:type="dxa"/>
            <w:tcBorders>
              <w:top w:val="nil"/>
              <w:left w:val="nil"/>
              <w:bottom w:val="nil"/>
              <w:right w:val="nil"/>
            </w:tcBorders>
            <w:vAlign w:val="bottom"/>
          </w:tcPr>
          <w:p w14:paraId="1A8564FE" w14:textId="2B66FE81"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559" w:type="dxa"/>
            <w:tcBorders>
              <w:top w:val="nil"/>
              <w:left w:val="nil"/>
              <w:bottom w:val="nil"/>
              <w:right w:val="nil"/>
            </w:tcBorders>
            <w:vAlign w:val="bottom"/>
          </w:tcPr>
          <w:p w14:paraId="0A80131B" w14:textId="24F0D6CA"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(148.670)</w:t>
            </w:r>
          </w:p>
        </w:tc>
      </w:tr>
      <w:tr w:rsidR="0027513D" w:rsidRPr="00FB38E1" w14:paraId="369E363D" w14:textId="77777777" w:rsidTr="00836EF2">
        <w:trPr>
          <w:trHeight w:val="167"/>
        </w:trPr>
        <w:tc>
          <w:tcPr>
            <w:tcW w:w="651" w:type="dxa"/>
            <w:tcBorders>
              <w:top w:val="nil"/>
              <w:left w:val="nil"/>
              <w:right w:val="nil"/>
            </w:tcBorders>
            <w:shd w:val="clear" w:color="auto" w:fill="auto"/>
            <w:noWrap/>
            <w:vAlign w:val="bottom"/>
          </w:tcPr>
          <w:p w14:paraId="69224D67" w14:textId="77777777" w:rsidR="0027513D" w:rsidRPr="00FB38E1" w:rsidRDefault="0027513D" w:rsidP="0027513D">
            <w:pPr>
              <w:spacing w:after="0"/>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XXV.</w:t>
            </w:r>
          </w:p>
        </w:tc>
        <w:tc>
          <w:tcPr>
            <w:tcW w:w="5106" w:type="dxa"/>
            <w:tcBorders>
              <w:top w:val="nil"/>
              <w:left w:val="nil"/>
              <w:right w:val="nil"/>
            </w:tcBorders>
            <w:shd w:val="clear" w:color="auto" w:fill="auto"/>
            <w:noWrap/>
            <w:vAlign w:val="bottom"/>
          </w:tcPr>
          <w:p w14:paraId="640045DA" w14:textId="77777777" w:rsidR="0027513D" w:rsidRPr="00FB38E1" w:rsidRDefault="0027513D" w:rsidP="0027513D">
            <w:pPr>
              <w:spacing w:after="0"/>
              <w:jc w:val="left"/>
              <w:rPr>
                <w:rFonts w:ascii="Microsoft Sans Serif" w:hAnsi="Microsoft Sans Serif" w:cs="Microsoft Sans Serif"/>
                <w:color w:val="000000"/>
                <w:sz w:val="12"/>
                <w:szCs w:val="12"/>
              </w:rPr>
            </w:pPr>
            <w:r w:rsidRPr="00FB38E1">
              <w:rPr>
                <w:rFonts w:ascii="Microsoft Sans Serif" w:hAnsi="Microsoft Sans Serif" w:cs="Microsoft Sans Serif"/>
                <w:b/>
                <w:bCs/>
                <w:color w:val="000000"/>
                <w:sz w:val="12"/>
                <w:szCs w:val="12"/>
              </w:rPr>
              <w:t>DÖNEM NET KARI/ZARARI (XIX+XXIV)</w:t>
            </w:r>
          </w:p>
        </w:tc>
        <w:tc>
          <w:tcPr>
            <w:tcW w:w="710" w:type="dxa"/>
            <w:tcBorders>
              <w:top w:val="nil"/>
              <w:left w:val="nil"/>
              <w:right w:val="nil"/>
            </w:tcBorders>
            <w:shd w:val="clear" w:color="auto" w:fill="auto"/>
            <w:noWrap/>
            <w:vAlign w:val="bottom"/>
          </w:tcPr>
          <w:p w14:paraId="7984A970" w14:textId="17642708" w:rsidR="0027513D" w:rsidRPr="00FB38E1" w:rsidRDefault="0027513D" w:rsidP="0027513D">
            <w:pPr>
              <w:spacing w:after="0"/>
              <w:jc w:val="center"/>
              <w:rPr>
                <w:rFonts w:ascii="Microsoft Sans Serif" w:hAnsi="Microsoft Sans Serif" w:cs="Microsoft Sans Serif"/>
                <w:sz w:val="12"/>
                <w:szCs w:val="12"/>
              </w:rPr>
            </w:pPr>
            <w:r w:rsidRPr="00FB38E1">
              <w:rPr>
                <w:rFonts w:ascii="Microsoft Sans Serif" w:hAnsi="Microsoft Sans Serif" w:cs="Microsoft Sans Serif"/>
                <w:color w:val="000000"/>
                <w:sz w:val="12"/>
                <w:szCs w:val="12"/>
              </w:rPr>
              <w:t>(5.IV.l)</w:t>
            </w:r>
          </w:p>
        </w:tc>
        <w:tc>
          <w:tcPr>
            <w:tcW w:w="1700" w:type="dxa"/>
            <w:tcBorders>
              <w:top w:val="nil"/>
              <w:left w:val="nil"/>
              <w:right w:val="nil"/>
            </w:tcBorders>
            <w:vAlign w:val="bottom"/>
          </w:tcPr>
          <w:p w14:paraId="71652771" w14:textId="5B9174C0"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44.969.497</w:t>
            </w:r>
          </w:p>
        </w:tc>
        <w:tc>
          <w:tcPr>
            <w:tcW w:w="1559" w:type="dxa"/>
            <w:tcBorders>
              <w:top w:val="nil"/>
              <w:left w:val="nil"/>
              <w:right w:val="nil"/>
            </w:tcBorders>
            <w:vAlign w:val="bottom"/>
          </w:tcPr>
          <w:p w14:paraId="50A720B2" w14:textId="5941A772" w:rsidR="0027513D" w:rsidRPr="00FB38E1" w:rsidRDefault="0027513D" w:rsidP="0027513D">
            <w:pPr>
              <w:spacing w:after="0"/>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27.877.785</w:t>
            </w:r>
          </w:p>
        </w:tc>
      </w:tr>
      <w:tr w:rsidR="0027513D" w:rsidRPr="00FB38E1" w14:paraId="47EA4B4C" w14:textId="77777777" w:rsidTr="00836EF2">
        <w:trPr>
          <w:trHeight w:val="57"/>
        </w:trPr>
        <w:tc>
          <w:tcPr>
            <w:tcW w:w="651" w:type="dxa"/>
            <w:tcBorders>
              <w:top w:val="nil"/>
              <w:left w:val="nil"/>
              <w:bottom w:val="single" w:sz="12" w:space="0" w:color="auto"/>
              <w:right w:val="nil"/>
            </w:tcBorders>
            <w:shd w:val="clear" w:color="auto" w:fill="auto"/>
            <w:noWrap/>
            <w:vAlign w:val="bottom"/>
          </w:tcPr>
          <w:p w14:paraId="6E939960" w14:textId="77777777" w:rsidR="0027513D" w:rsidRPr="00FB38E1" w:rsidRDefault="0027513D" w:rsidP="0027513D">
            <w:pPr>
              <w:spacing w:after="0"/>
              <w:rPr>
                <w:rFonts w:ascii="Microsoft Sans Serif" w:eastAsia="Times New Roman" w:hAnsi="Microsoft Sans Serif" w:cs="Microsoft Sans Serif"/>
                <w:sz w:val="12"/>
                <w:szCs w:val="12"/>
                <w:lang w:eastAsia="tr-TR"/>
              </w:rPr>
            </w:pPr>
          </w:p>
        </w:tc>
        <w:tc>
          <w:tcPr>
            <w:tcW w:w="5106" w:type="dxa"/>
            <w:tcBorders>
              <w:top w:val="nil"/>
              <w:left w:val="nil"/>
              <w:bottom w:val="single" w:sz="12" w:space="0" w:color="auto"/>
              <w:right w:val="nil"/>
            </w:tcBorders>
            <w:shd w:val="clear" w:color="auto" w:fill="auto"/>
            <w:noWrap/>
            <w:vAlign w:val="bottom"/>
          </w:tcPr>
          <w:p w14:paraId="2F6FE233"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r w:rsidRPr="00FB38E1">
              <w:rPr>
                <w:rFonts w:ascii="Microsoft Sans Serif" w:hAnsi="Microsoft Sans Serif" w:cs="Microsoft Sans Serif"/>
                <w:color w:val="000000"/>
                <w:sz w:val="12"/>
                <w:szCs w:val="12"/>
              </w:rPr>
              <w:t>Hisse Başına Kâr/Zarar</w:t>
            </w:r>
          </w:p>
        </w:tc>
        <w:tc>
          <w:tcPr>
            <w:tcW w:w="710" w:type="dxa"/>
            <w:tcBorders>
              <w:top w:val="nil"/>
              <w:left w:val="nil"/>
              <w:bottom w:val="single" w:sz="12" w:space="0" w:color="auto"/>
              <w:right w:val="nil"/>
            </w:tcBorders>
            <w:shd w:val="clear" w:color="auto" w:fill="auto"/>
            <w:noWrap/>
            <w:vAlign w:val="bottom"/>
          </w:tcPr>
          <w:p w14:paraId="72458EC6" w14:textId="77777777" w:rsidR="0027513D" w:rsidRPr="00FB38E1" w:rsidRDefault="0027513D" w:rsidP="0027513D">
            <w:pPr>
              <w:spacing w:after="0"/>
              <w:jc w:val="left"/>
              <w:rPr>
                <w:rFonts w:ascii="Microsoft Sans Serif" w:eastAsia="Times New Roman" w:hAnsi="Microsoft Sans Serif" w:cs="Microsoft Sans Serif"/>
                <w:sz w:val="12"/>
                <w:szCs w:val="12"/>
                <w:lang w:eastAsia="tr-TR"/>
              </w:rPr>
            </w:pPr>
          </w:p>
        </w:tc>
        <w:tc>
          <w:tcPr>
            <w:tcW w:w="1700" w:type="dxa"/>
            <w:tcBorders>
              <w:top w:val="nil"/>
              <w:left w:val="nil"/>
              <w:bottom w:val="single" w:sz="12" w:space="0" w:color="auto"/>
              <w:right w:val="nil"/>
            </w:tcBorders>
            <w:vAlign w:val="bottom"/>
          </w:tcPr>
          <w:p w14:paraId="7183305F" w14:textId="7ED05A31"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2,29</w:t>
            </w:r>
          </w:p>
        </w:tc>
        <w:tc>
          <w:tcPr>
            <w:tcW w:w="1559" w:type="dxa"/>
            <w:tcBorders>
              <w:top w:val="nil"/>
              <w:left w:val="nil"/>
              <w:bottom w:val="single" w:sz="12" w:space="0" w:color="auto"/>
              <w:right w:val="nil"/>
            </w:tcBorders>
            <w:vAlign w:val="bottom"/>
          </w:tcPr>
          <w:p w14:paraId="50E3A2D3" w14:textId="10581279" w:rsidR="0027513D" w:rsidRPr="00FB38E1" w:rsidRDefault="0027513D" w:rsidP="0027513D">
            <w:pPr>
              <w:spacing w:after="0"/>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4,89</w:t>
            </w:r>
          </w:p>
        </w:tc>
      </w:tr>
    </w:tbl>
    <w:p w14:paraId="741ACFFB" w14:textId="77777777" w:rsidR="00667432" w:rsidRPr="00FB38E1" w:rsidRDefault="00667432" w:rsidP="00667432">
      <w:pPr>
        <w:spacing w:before="240"/>
        <w:jc w:val="center"/>
        <w:rPr>
          <w:rFonts w:ascii="Microsoft Sans Serif" w:hAnsi="Microsoft Sans Serif" w:cs="Microsoft Sans Serif"/>
          <w:bCs/>
          <w:sz w:val="18"/>
          <w:szCs w:val="18"/>
        </w:rPr>
      </w:pPr>
    </w:p>
    <w:p w14:paraId="555E5AA9" w14:textId="77777777" w:rsidR="00667432" w:rsidRPr="00FB38E1" w:rsidRDefault="00667432" w:rsidP="00667432">
      <w:pPr>
        <w:spacing w:before="240"/>
        <w:jc w:val="center"/>
        <w:rPr>
          <w:rFonts w:ascii="Microsoft Sans Serif" w:hAnsi="Microsoft Sans Serif" w:cs="Microsoft Sans Serif"/>
          <w:bCs/>
          <w:sz w:val="18"/>
          <w:szCs w:val="18"/>
        </w:rPr>
      </w:pPr>
    </w:p>
    <w:p w14:paraId="37225EB0" w14:textId="77777777" w:rsidR="00667432" w:rsidRPr="00FB38E1" w:rsidRDefault="00667432" w:rsidP="00667432">
      <w:pPr>
        <w:spacing w:before="240"/>
        <w:jc w:val="center"/>
        <w:rPr>
          <w:rFonts w:ascii="Microsoft Sans Serif" w:hAnsi="Microsoft Sans Serif" w:cs="Microsoft Sans Serif"/>
          <w:bCs/>
          <w:sz w:val="18"/>
          <w:szCs w:val="18"/>
        </w:rPr>
      </w:pPr>
    </w:p>
    <w:p w14:paraId="5E266A39" w14:textId="77777777" w:rsidR="00B54B6E" w:rsidRPr="00FB38E1" w:rsidRDefault="00B54B6E" w:rsidP="00667432">
      <w:pPr>
        <w:spacing w:before="240"/>
        <w:jc w:val="center"/>
        <w:rPr>
          <w:rFonts w:ascii="Microsoft Sans Serif" w:hAnsi="Microsoft Sans Serif" w:cs="Microsoft Sans Serif"/>
          <w:bCs/>
          <w:sz w:val="18"/>
          <w:szCs w:val="18"/>
        </w:rPr>
      </w:pPr>
    </w:p>
    <w:p w14:paraId="66DE4425" w14:textId="77777777" w:rsidR="00F9216F" w:rsidRPr="00FB38E1" w:rsidRDefault="00F9216F" w:rsidP="00B56F55">
      <w:pPr>
        <w:spacing w:before="240"/>
        <w:jc w:val="center"/>
        <w:rPr>
          <w:rFonts w:ascii="Microsoft Sans Serif" w:hAnsi="Microsoft Sans Serif" w:cs="Microsoft Sans Serif"/>
          <w:bCs/>
          <w:sz w:val="20"/>
          <w:szCs w:val="20"/>
        </w:rPr>
        <w:sectPr w:rsidR="00F9216F" w:rsidRPr="00FB38E1" w:rsidSect="005B03B1">
          <w:headerReference w:type="default" r:id="rId39"/>
          <w:pgSz w:w="11907" w:h="16840" w:code="9"/>
          <w:pgMar w:top="-1985" w:right="567" w:bottom="-862" w:left="1701" w:header="578" w:footer="227"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
        <w:gridCol w:w="5334"/>
        <w:gridCol w:w="1986"/>
        <w:gridCol w:w="1841"/>
      </w:tblGrid>
      <w:tr w:rsidR="00D2745C" w:rsidRPr="00FB38E1" w14:paraId="2EF05D3D" w14:textId="77777777" w:rsidTr="005A5C6C">
        <w:trPr>
          <w:trHeight w:val="81"/>
        </w:trPr>
        <w:tc>
          <w:tcPr>
            <w:tcW w:w="248" w:type="pct"/>
            <w:tcMar>
              <w:left w:w="28" w:type="dxa"/>
              <w:right w:w="57" w:type="dxa"/>
            </w:tcMar>
            <w:vAlign w:val="bottom"/>
          </w:tcPr>
          <w:p w14:paraId="46C2027F" w14:textId="77777777" w:rsidR="00D2745C" w:rsidRPr="00FB38E1" w:rsidRDefault="00D2745C" w:rsidP="00D2745C">
            <w:pPr>
              <w:rPr>
                <w:rFonts w:ascii="Microsoft Sans Serif" w:hAnsi="Microsoft Sans Serif" w:cs="Microsoft Sans Serif"/>
                <w:b/>
                <w:bCs/>
                <w:sz w:val="14"/>
                <w:szCs w:val="14"/>
              </w:rPr>
            </w:pPr>
          </w:p>
        </w:tc>
        <w:tc>
          <w:tcPr>
            <w:tcW w:w="2767" w:type="pct"/>
            <w:tcMar>
              <w:left w:w="28" w:type="dxa"/>
              <w:right w:w="57" w:type="dxa"/>
            </w:tcMar>
            <w:vAlign w:val="bottom"/>
          </w:tcPr>
          <w:p w14:paraId="1BE69E14" w14:textId="06ED584E" w:rsidR="00D2745C" w:rsidRPr="00FB38E1" w:rsidRDefault="00D2745C" w:rsidP="00D2745C">
            <w:pPr>
              <w:rPr>
                <w:rFonts w:ascii="Microsoft Sans Serif" w:hAnsi="Microsoft Sans Serif" w:cs="Microsoft Sans Serif"/>
                <w:b/>
                <w:bCs/>
                <w:sz w:val="14"/>
                <w:szCs w:val="14"/>
              </w:rPr>
            </w:pPr>
          </w:p>
        </w:tc>
        <w:tc>
          <w:tcPr>
            <w:tcW w:w="1030" w:type="pct"/>
            <w:vAlign w:val="bottom"/>
          </w:tcPr>
          <w:p w14:paraId="1225A08A" w14:textId="77777777" w:rsidR="00D2745C" w:rsidRPr="00FB38E1" w:rsidRDefault="00D2745C" w:rsidP="00D2745C">
            <w:pPr>
              <w:jc w:val="right"/>
              <w:rPr>
                <w:rFonts w:ascii="Microsoft Sans Serif" w:hAnsi="Microsoft Sans Serif" w:cs="Microsoft Sans Serif"/>
                <w:b/>
                <w:sz w:val="14"/>
                <w:szCs w:val="12"/>
              </w:rPr>
            </w:pPr>
            <w:r w:rsidRPr="00FB38E1">
              <w:rPr>
                <w:rFonts w:ascii="Microsoft Sans Serif" w:hAnsi="Microsoft Sans Serif" w:cs="Microsoft Sans Serif"/>
                <w:b/>
                <w:sz w:val="14"/>
                <w:szCs w:val="12"/>
              </w:rPr>
              <w:t xml:space="preserve">Bağımsız </w:t>
            </w:r>
          </w:p>
          <w:p w14:paraId="31C1D684" w14:textId="488C79E4" w:rsidR="00D2745C" w:rsidRPr="00FB38E1" w:rsidRDefault="00D2745C" w:rsidP="00D2745C">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Denetimden Geçmiş</w:t>
            </w:r>
          </w:p>
        </w:tc>
        <w:tc>
          <w:tcPr>
            <w:tcW w:w="955" w:type="pct"/>
            <w:tcMar>
              <w:left w:w="28" w:type="dxa"/>
              <w:right w:w="57" w:type="dxa"/>
            </w:tcMar>
            <w:vAlign w:val="bottom"/>
          </w:tcPr>
          <w:p w14:paraId="68E5E19E" w14:textId="77777777" w:rsidR="00D2745C" w:rsidRPr="00FB38E1" w:rsidRDefault="00D2745C" w:rsidP="00D2745C">
            <w:pPr>
              <w:jc w:val="right"/>
              <w:rPr>
                <w:rFonts w:ascii="Microsoft Sans Serif" w:hAnsi="Microsoft Sans Serif" w:cs="Microsoft Sans Serif"/>
                <w:b/>
                <w:sz w:val="14"/>
                <w:szCs w:val="12"/>
              </w:rPr>
            </w:pPr>
            <w:r w:rsidRPr="00FB38E1">
              <w:rPr>
                <w:rFonts w:ascii="Microsoft Sans Serif" w:hAnsi="Microsoft Sans Serif" w:cs="Microsoft Sans Serif"/>
                <w:b/>
                <w:sz w:val="14"/>
                <w:szCs w:val="12"/>
              </w:rPr>
              <w:t xml:space="preserve">Bağımsız </w:t>
            </w:r>
          </w:p>
          <w:p w14:paraId="794B13DE" w14:textId="560D5EC3" w:rsidR="00D2745C" w:rsidRPr="00FB38E1" w:rsidRDefault="00D2745C" w:rsidP="00D2745C">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Denetimden Geçmiş</w:t>
            </w:r>
          </w:p>
        </w:tc>
      </w:tr>
      <w:tr w:rsidR="00D2745C" w:rsidRPr="00FB38E1" w14:paraId="5557C132" w14:textId="77777777" w:rsidTr="007F4716">
        <w:trPr>
          <w:trHeight w:val="63"/>
        </w:trPr>
        <w:tc>
          <w:tcPr>
            <w:tcW w:w="248" w:type="pct"/>
            <w:tcMar>
              <w:left w:w="28" w:type="dxa"/>
              <w:right w:w="57" w:type="dxa"/>
            </w:tcMar>
            <w:vAlign w:val="bottom"/>
          </w:tcPr>
          <w:p w14:paraId="41FFC8D3" w14:textId="77777777" w:rsidR="00D2745C" w:rsidRPr="00FB38E1" w:rsidRDefault="00D2745C" w:rsidP="00D2745C">
            <w:pPr>
              <w:rPr>
                <w:rFonts w:ascii="Microsoft Sans Serif" w:hAnsi="Microsoft Sans Serif" w:cs="Microsoft Sans Serif"/>
                <w:b/>
                <w:bCs/>
                <w:sz w:val="14"/>
                <w:szCs w:val="14"/>
              </w:rPr>
            </w:pPr>
          </w:p>
        </w:tc>
        <w:tc>
          <w:tcPr>
            <w:tcW w:w="2767" w:type="pct"/>
            <w:tcMar>
              <w:left w:w="28" w:type="dxa"/>
              <w:right w:w="57" w:type="dxa"/>
            </w:tcMar>
            <w:vAlign w:val="bottom"/>
          </w:tcPr>
          <w:p w14:paraId="0CC8278A" w14:textId="77777777" w:rsidR="00D2745C" w:rsidRPr="00FB38E1" w:rsidRDefault="00D2745C" w:rsidP="00D2745C">
            <w:pPr>
              <w:rPr>
                <w:rFonts w:ascii="Microsoft Sans Serif" w:hAnsi="Microsoft Sans Serif" w:cs="Microsoft Sans Serif"/>
                <w:b/>
                <w:bCs/>
                <w:sz w:val="14"/>
                <w:szCs w:val="14"/>
              </w:rPr>
            </w:pPr>
          </w:p>
        </w:tc>
        <w:tc>
          <w:tcPr>
            <w:tcW w:w="1030" w:type="pct"/>
            <w:vAlign w:val="bottom"/>
          </w:tcPr>
          <w:p w14:paraId="75A18749" w14:textId="49819710" w:rsidR="00D2745C" w:rsidRPr="00FB38E1" w:rsidRDefault="00D2745C" w:rsidP="00D2745C">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CARİ DÖNEM</w:t>
            </w:r>
          </w:p>
        </w:tc>
        <w:tc>
          <w:tcPr>
            <w:tcW w:w="955" w:type="pct"/>
            <w:tcMar>
              <w:left w:w="28" w:type="dxa"/>
              <w:right w:w="57" w:type="dxa"/>
            </w:tcMar>
            <w:vAlign w:val="bottom"/>
          </w:tcPr>
          <w:p w14:paraId="50CFF786" w14:textId="40276020" w:rsidR="00D2745C" w:rsidRPr="00FB38E1" w:rsidRDefault="00D2745C" w:rsidP="00D2745C">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ÖNCEKİ DÖNEM</w:t>
            </w:r>
          </w:p>
        </w:tc>
      </w:tr>
      <w:tr w:rsidR="00D2745C" w:rsidRPr="00FB38E1" w14:paraId="7AB4EB14" w14:textId="77777777" w:rsidTr="007F4716">
        <w:tc>
          <w:tcPr>
            <w:tcW w:w="248" w:type="pct"/>
            <w:tcBorders>
              <w:bottom w:val="single" w:sz="12" w:space="0" w:color="auto"/>
            </w:tcBorders>
            <w:tcMar>
              <w:left w:w="28" w:type="dxa"/>
              <w:right w:w="57" w:type="dxa"/>
            </w:tcMar>
            <w:vAlign w:val="bottom"/>
          </w:tcPr>
          <w:p w14:paraId="5635AA00" w14:textId="77777777" w:rsidR="00D2745C" w:rsidRPr="00FB38E1" w:rsidRDefault="00D2745C" w:rsidP="00D2745C">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2767" w:type="pct"/>
            <w:tcBorders>
              <w:bottom w:val="single" w:sz="12" w:space="0" w:color="auto"/>
            </w:tcBorders>
            <w:tcMar>
              <w:left w:w="28" w:type="dxa"/>
              <w:right w:w="57" w:type="dxa"/>
            </w:tcMar>
            <w:vAlign w:val="bottom"/>
          </w:tcPr>
          <w:p w14:paraId="63C7AEB8" w14:textId="77777777" w:rsidR="00D2745C" w:rsidRPr="00FB38E1" w:rsidRDefault="00D2745C" w:rsidP="00D2745C">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030" w:type="pct"/>
            <w:tcBorders>
              <w:bottom w:val="single" w:sz="12" w:space="0" w:color="auto"/>
            </w:tcBorders>
            <w:vAlign w:val="bottom"/>
          </w:tcPr>
          <w:p w14:paraId="2101641D" w14:textId="0CAD7A8E" w:rsidR="00D2745C" w:rsidRPr="00FB38E1" w:rsidRDefault="00D2745C" w:rsidP="00D2745C">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(01/01-31/12/2024)</w:t>
            </w:r>
          </w:p>
        </w:tc>
        <w:tc>
          <w:tcPr>
            <w:tcW w:w="955" w:type="pct"/>
            <w:tcBorders>
              <w:bottom w:val="single" w:sz="12" w:space="0" w:color="auto"/>
            </w:tcBorders>
            <w:tcMar>
              <w:left w:w="28" w:type="dxa"/>
              <w:right w:w="57" w:type="dxa"/>
            </w:tcMar>
            <w:vAlign w:val="bottom"/>
          </w:tcPr>
          <w:p w14:paraId="1154E022" w14:textId="7C1899C6" w:rsidR="00D2745C" w:rsidRPr="00FB38E1" w:rsidRDefault="00D2745C" w:rsidP="00D2745C">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(01/01-31/12/2023)</w:t>
            </w:r>
          </w:p>
        </w:tc>
      </w:tr>
      <w:tr w:rsidR="002A5A49" w:rsidRPr="00FB38E1" w14:paraId="219493C0" w14:textId="77777777" w:rsidTr="006B063A">
        <w:trPr>
          <w:trHeight w:val="27"/>
        </w:trPr>
        <w:tc>
          <w:tcPr>
            <w:tcW w:w="248" w:type="pct"/>
            <w:tcBorders>
              <w:top w:val="single" w:sz="12" w:space="0" w:color="auto"/>
            </w:tcBorders>
            <w:tcMar>
              <w:left w:w="28" w:type="dxa"/>
              <w:right w:w="57" w:type="dxa"/>
            </w:tcMar>
            <w:vAlign w:val="bottom"/>
          </w:tcPr>
          <w:p w14:paraId="09AB655E" w14:textId="77777777" w:rsidR="002A5A49" w:rsidRPr="00FB38E1" w:rsidRDefault="002A5A49" w:rsidP="00A31CEA">
            <w:pPr>
              <w:rPr>
                <w:rFonts w:ascii="Microsoft Sans Serif" w:hAnsi="Microsoft Sans Serif" w:cs="Microsoft Sans Serif"/>
                <w:b/>
                <w:bCs/>
                <w:sz w:val="14"/>
                <w:szCs w:val="14"/>
              </w:rPr>
            </w:pPr>
          </w:p>
        </w:tc>
        <w:tc>
          <w:tcPr>
            <w:tcW w:w="2767" w:type="pct"/>
            <w:tcBorders>
              <w:top w:val="single" w:sz="12" w:space="0" w:color="auto"/>
            </w:tcBorders>
            <w:tcMar>
              <w:left w:w="28" w:type="dxa"/>
              <w:right w:w="57" w:type="dxa"/>
            </w:tcMar>
            <w:vAlign w:val="bottom"/>
          </w:tcPr>
          <w:p w14:paraId="0F5C75D5" w14:textId="77777777" w:rsidR="002A5A49" w:rsidRPr="00FB38E1" w:rsidRDefault="002A5A49" w:rsidP="00A31CEA">
            <w:pPr>
              <w:rPr>
                <w:rFonts w:ascii="Microsoft Sans Serif" w:hAnsi="Microsoft Sans Serif" w:cs="Microsoft Sans Serif"/>
                <w:b/>
                <w:bCs/>
                <w:sz w:val="14"/>
                <w:szCs w:val="14"/>
              </w:rPr>
            </w:pPr>
          </w:p>
        </w:tc>
        <w:tc>
          <w:tcPr>
            <w:tcW w:w="1030" w:type="pct"/>
            <w:tcBorders>
              <w:top w:val="single" w:sz="12" w:space="0" w:color="auto"/>
            </w:tcBorders>
          </w:tcPr>
          <w:p w14:paraId="08A0FA59" w14:textId="77777777" w:rsidR="002A5A49" w:rsidRPr="00FB38E1" w:rsidRDefault="002A5A49" w:rsidP="00A31CEA">
            <w:pPr>
              <w:jc w:val="center"/>
              <w:rPr>
                <w:rFonts w:ascii="Microsoft Sans Serif" w:hAnsi="Microsoft Sans Serif" w:cs="Microsoft Sans Serif"/>
                <w:b/>
                <w:bCs/>
                <w:sz w:val="14"/>
                <w:szCs w:val="14"/>
              </w:rPr>
            </w:pPr>
          </w:p>
        </w:tc>
        <w:tc>
          <w:tcPr>
            <w:tcW w:w="955" w:type="pct"/>
            <w:tcBorders>
              <w:top w:val="single" w:sz="12" w:space="0" w:color="auto"/>
            </w:tcBorders>
            <w:tcMar>
              <w:left w:w="28" w:type="dxa"/>
              <w:right w:w="57" w:type="dxa"/>
            </w:tcMar>
            <w:vAlign w:val="bottom"/>
          </w:tcPr>
          <w:p w14:paraId="69212612" w14:textId="4D6A7896" w:rsidR="002A5A49" w:rsidRPr="00FB38E1" w:rsidRDefault="002A5A49" w:rsidP="00A31CEA">
            <w:pPr>
              <w:jc w:val="cente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r>
      <w:tr w:rsidR="0027513D" w:rsidRPr="00FB38E1" w14:paraId="09116FFE" w14:textId="77777777" w:rsidTr="00271A52">
        <w:trPr>
          <w:trHeight w:val="81"/>
        </w:trPr>
        <w:tc>
          <w:tcPr>
            <w:tcW w:w="248" w:type="pct"/>
            <w:tcMar>
              <w:left w:w="28" w:type="dxa"/>
              <w:right w:w="57" w:type="dxa"/>
            </w:tcMar>
            <w:vAlign w:val="bottom"/>
          </w:tcPr>
          <w:p w14:paraId="5BF4F3B5" w14:textId="427533FE"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color w:val="000000"/>
                <w:sz w:val="14"/>
                <w:szCs w:val="14"/>
              </w:rPr>
              <w:t>I.</w:t>
            </w:r>
          </w:p>
        </w:tc>
        <w:tc>
          <w:tcPr>
            <w:tcW w:w="2767" w:type="pct"/>
            <w:tcMar>
              <w:left w:w="28" w:type="dxa"/>
              <w:right w:w="57" w:type="dxa"/>
            </w:tcMar>
            <w:vAlign w:val="bottom"/>
          </w:tcPr>
          <w:p w14:paraId="5F36411E" w14:textId="4ABC30F1"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color w:val="000000"/>
                <w:sz w:val="14"/>
                <w:szCs w:val="14"/>
              </w:rPr>
              <w:t>DÖNEM KAR/ZARARI</w:t>
            </w:r>
          </w:p>
        </w:tc>
        <w:tc>
          <w:tcPr>
            <w:tcW w:w="1030" w:type="pct"/>
            <w:vAlign w:val="bottom"/>
          </w:tcPr>
          <w:p w14:paraId="7483362A" w14:textId="17838089" w:rsidR="0027513D" w:rsidRPr="00FB38E1" w:rsidRDefault="0027513D" w:rsidP="0027513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44.969.497</w:t>
            </w:r>
          </w:p>
        </w:tc>
        <w:tc>
          <w:tcPr>
            <w:tcW w:w="955" w:type="pct"/>
            <w:tcMar>
              <w:left w:w="28" w:type="dxa"/>
              <w:right w:w="57" w:type="dxa"/>
            </w:tcMar>
            <w:vAlign w:val="bottom"/>
          </w:tcPr>
          <w:p w14:paraId="3F6CF7FC" w14:textId="0F9F0806"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b/>
                <w:bCs/>
                <w:color w:val="000000"/>
                <w:sz w:val="14"/>
                <w:szCs w:val="14"/>
              </w:rPr>
              <w:t>27.877.785</w:t>
            </w:r>
          </w:p>
        </w:tc>
      </w:tr>
      <w:tr w:rsidR="0027513D" w:rsidRPr="00FB38E1" w14:paraId="0B52567F" w14:textId="77777777" w:rsidTr="007F4716">
        <w:tc>
          <w:tcPr>
            <w:tcW w:w="248" w:type="pct"/>
            <w:tcMar>
              <w:left w:w="28" w:type="dxa"/>
              <w:right w:w="57" w:type="dxa"/>
            </w:tcMar>
            <w:vAlign w:val="bottom"/>
          </w:tcPr>
          <w:p w14:paraId="7D02165F" w14:textId="2FDAC0D1"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color w:val="000000"/>
                <w:sz w:val="14"/>
                <w:szCs w:val="14"/>
              </w:rPr>
              <w:t>II.</w:t>
            </w:r>
          </w:p>
        </w:tc>
        <w:tc>
          <w:tcPr>
            <w:tcW w:w="2767" w:type="pct"/>
            <w:tcMar>
              <w:left w:w="28" w:type="dxa"/>
              <w:right w:w="57" w:type="dxa"/>
            </w:tcMar>
            <w:vAlign w:val="bottom"/>
          </w:tcPr>
          <w:p w14:paraId="54213611" w14:textId="5A85F678"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color w:val="000000"/>
                <w:sz w:val="14"/>
                <w:szCs w:val="14"/>
              </w:rPr>
              <w:t>DİĞER KAPSAMLI GELİRLER</w:t>
            </w:r>
          </w:p>
        </w:tc>
        <w:tc>
          <w:tcPr>
            <w:tcW w:w="1030" w:type="pct"/>
            <w:vAlign w:val="bottom"/>
          </w:tcPr>
          <w:p w14:paraId="6F68C52B" w14:textId="7527FDD3" w:rsidR="0027513D" w:rsidRPr="00FB38E1" w:rsidRDefault="0027513D" w:rsidP="0027513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1.942.620</w:t>
            </w:r>
          </w:p>
        </w:tc>
        <w:tc>
          <w:tcPr>
            <w:tcW w:w="955" w:type="pct"/>
            <w:tcMar>
              <w:left w:w="28" w:type="dxa"/>
              <w:right w:w="57" w:type="dxa"/>
            </w:tcMar>
            <w:vAlign w:val="bottom"/>
          </w:tcPr>
          <w:p w14:paraId="19241840" w14:textId="1BDEF5AF"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b/>
                <w:bCs/>
                <w:sz w:val="14"/>
                <w:szCs w:val="14"/>
              </w:rPr>
              <w:t>7.453.100</w:t>
            </w:r>
          </w:p>
        </w:tc>
      </w:tr>
      <w:tr w:rsidR="0027513D" w:rsidRPr="00FB38E1" w14:paraId="45F088DD" w14:textId="77777777" w:rsidTr="007F4716">
        <w:tc>
          <w:tcPr>
            <w:tcW w:w="248" w:type="pct"/>
            <w:tcMar>
              <w:left w:w="28" w:type="dxa"/>
              <w:right w:w="57" w:type="dxa"/>
            </w:tcMar>
          </w:tcPr>
          <w:p w14:paraId="70CD066C" w14:textId="0F6CDBF6"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2.1</w:t>
            </w:r>
          </w:p>
        </w:tc>
        <w:tc>
          <w:tcPr>
            <w:tcW w:w="2767" w:type="pct"/>
            <w:tcMar>
              <w:left w:w="28" w:type="dxa"/>
              <w:right w:w="57" w:type="dxa"/>
            </w:tcMar>
            <w:vAlign w:val="bottom"/>
          </w:tcPr>
          <w:p w14:paraId="047C5799" w14:textId="37E6256F"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Kar veya Zararda Yeniden Sınıflandırılımayacaklar</w:t>
            </w:r>
          </w:p>
        </w:tc>
        <w:tc>
          <w:tcPr>
            <w:tcW w:w="1030" w:type="pct"/>
            <w:vAlign w:val="bottom"/>
          </w:tcPr>
          <w:p w14:paraId="1E26F379" w14:textId="5F226D03" w:rsidR="0027513D" w:rsidRPr="00FB38E1" w:rsidRDefault="0027513D" w:rsidP="0027513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4.132.297</w:t>
            </w:r>
          </w:p>
        </w:tc>
        <w:tc>
          <w:tcPr>
            <w:tcW w:w="955" w:type="pct"/>
            <w:tcMar>
              <w:left w:w="28" w:type="dxa"/>
              <w:right w:w="57" w:type="dxa"/>
            </w:tcMar>
            <w:vAlign w:val="bottom"/>
          </w:tcPr>
          <w:p w14:paraId="31392D86" w14:textId="09A61F80" w:rsidR="0027513D" w:rsidRPr="00FB38E1" w:rsidRDefault="0027513D" w:rsidP="0027513D">
            <w:pPr>
              <w:jc w:val="right"/>
              <w:rPr>
                <w:rFonts w:ascii="Microsoft Sans Serif" w:hAnsi="Microsoft Sans Serif" w:cs="Microsoft Sans Serif"/>
                <w:color w:val="FF0000"/>
                <w:sz w:val="14"/>
                <w:szCs w:val="14"/>
              </w:rPr>
            </w:pPr>
            <w:r w:rsidRPr="00FB38E1">
              <w:rPr>
                <w:rFonts w:ascii="Microsoft Sans Serif" w:hAnsi="Microsoft Sans Serif" w:cs="Microsoft Sans Serif"/>
                <w:b/>
                <w:bCs/>
                <w:sz w:val="14"/>
                <w:szCs w:val="14"/>
              </w:rPr>
              <w:t>6.030.478</w:t>
            </w:r>
          </w:p>
        </w:tc>
      </w:tr>
      <w:tr w:rsidR="0027513D" w:rsidRPr="00FB38E1" w14:paraId="206A87ED" w14:textId="77777777" w:rsidTr="007F4716">
        <w:tc>
          <w:tcPr>
            <w:tcW w:w="248" w:type="pct"/>
            <w:tcMar>
              <w:left w:w="28" w:type="dxa"/>
              <w:right w:w="57" w:type="dxa"/>
            </w:tcMar>
            <w:vAlign w:val="bottom"/>
          </w:tcPr>
          <w:p w14:paraId="37BF58A2" w14:textId="3AEAD050"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2.1.1</w:t>
            </w:r>
          </w:p>
        </w:tc>
        <w:tc>
          <w:tcPr>
            <w:tcW w:w="2767" w:type="pct"/>
            <w:tcMar>
              <w:left w:w="28" w:type="dxa"/>
              <w:right w:w="57" w:type="dxa"/>
            </w:tcMar>
            <w:vAlign w:val="bottom"/>
          </w:tcPr>
          <w:p w14:paraId="42B80A3B" w14:textId="7056C40E"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Maddi Duran Varlıklar Yeniden Değerleme Artışları/Azalışları</w:t>
            </w:r>
          </w:p>
        </w:tc>
        <w:tc>
          <w:tcPr>
            <w:tcW w:w="1030" w:type="pct"/>
            <w:vAlign w:val="bottom"/>
          </w:tcPr>
          <w:p w14:paraId="463DA53A" w14:textId="585A86CB"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638.457</w:t>
            </w:r>
          </w:p>
        </w:tc>
        <w:tc>
          <w:tcPr>
            <w:tcW w:w="955" w:type="pct"/>
            <w:tcMar>
              <w:left w:w="28" w:type="dxa"/>
              <w:right w:w="57" w:type="dxa"/>
            </w:tcMar>
            <w:vAlign w:val="bottom"/>
          </w:tcPr>
          <w:p w14:paraId="296D48EF" w14:textId="08733408"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sz w:val="14"/>
                <w:szCs w:val="14"/>
              </w:rPr>
              <w:t>450.699</w:t>
            </w:r>
          </w:p>
        </w:tc>
      </w:tr>
      <w:tr w:rsidR="0027513D" w:rsidRPr="00FB38E1" w14:paraId="5F2764C2" w14:textId="77777777" w:rsidTr="007F4716">
        <w:tc>
          <w:tcPr>
            <w:tcW w:w="248" w:type="pct"/>
            <w:tcMar>
              <w:left w:w="28" w:type="dxa"/>
              <w:right w:w="57" w:type="dxa"/>
            </w:tcMar>
            <w:vAlign w:val="bottom"/>
          </w:tcPr>
          <w:p w14:paraId="31ED4FFD" w14:textId="286F0C0D"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2.1.2</w:t>
            </w:r>
          </w:p>
        </w:tc>
        <w:tc>
          <w:tcPr>
            <w:tcW w:w="2767" w:type="pct"/>
            <w:tcMar>
              <w:left w:w="28" w:type="dxa"/>
              <w:right w:w="57" w:type="dxa"/>
            </w:tcMar>
            <w:vAlign w:val="bottom"/>
          </w:tcPr>
          <w:p w14:paraId="78225BEC" w14:textId="4D6A356E"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Maddi Olmayan Duran Varlıklar Yeniden Değerleme Artışları/Azalışları</w:t>
            </w:r>
          </w:p>
        </w:tc>
        <w:tc>
          <w:tcPr>
            <w:tcW w:w="1030" w:type="pct"/>
            <w:vAlign w:val="bottom"/>
          </w:tcPr>
          <w:p w14:paraId="67495BBD" w14:textId="18450330"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955" w:type="pct"/>
            <w:tcMar>
              <w:left w:w="28" w:type="dxa"/>
              <w:right w:w="57" w:type="dxa"/>
            </w:tcMar>
            <w:vAlign w:val="bottom"/>
          </w:tcPr>
          <w:p w14:paraId="592D63B8" w14:textId="7E3D3F93"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sz w:val="14"/>
                <w:szCs w:val="14"/>
              </w:rPr>
              <w:t>--</w:t>
            </w:r>
          </w:p>
        </w:tc>
      </w:tr>
      <w:tr w:rsidR="0027513D" w:rsidRPr="00FB38E1" w14:paraId="06C017B5" w14:textId="77777777" w:rsidTr="007F4716">
        <w:tc>
          <w:tcPr>
            <w:tcW w:w="248" w:type="pct"/>
            <w:tcMar>
              <w:left w:w="28" w:type="dxa"/>
              <w:right w:w="57" w:type="dxa"/>
            </w:tcMar>
            <w:vAlign w:val="bottom"/>
          </w:tcPr>
          <w:p w14:paraId="0551535A" w14:textId="0A88F893"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2.1.3</w:t>
            </w:r>
          </w:p>
        </w:tc>
        <w:tc>
          <w:tcPr>
            <w:tcW w:w="2767" w:type="pct"/>
            <w:tcMar>
              <w:left w:w="28" w:type="dxa"/>
              <w:right w:w="57" w:type="dxa"/>
            </w:tcMar>
            <w:vAlign w:val="bottom"/>
          </w:tcPr>
          <w:p w14:paraId="1BF75440" w14:textId="08EE6BBA"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Tanımlanmış Fayda Planları Yeniden Ölçüm Kazançları/Kayıpları</w:t>
            </w:r>
          </w:p>
        </w:tc>
        <w:tc>
          <w:tcPr>
            <w:tcW w:w="1030" w:type="pct"/>
            <w:vAlign w:val="bottom"/>
          </w:tcPr>
          <w:p w14:paraId="3F04E566" w14:textId="246E68C2"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(655.497)</w:t>
            </w:r>
          </w:p>
        </w:tc>
        <w:tc>
          <w:tcPr>
            <w:tcW w:w="955" w:type="pct"/>
            <w:tcMar>
              <w:left w:w="28" w:type="dxa"/>
              <w:right w:w="57" w:type="dxa"/>
            </w:tcMar>
            <w:vAlign w:val="bottom"/>
          </w:tcPr>
          <w:p w14:paraId="7A67E9B2" w14:textId="0275378F"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sz w:val="14"/>
                <w:szCs w:val="14"/>
              </w:rPr>
              <w:t>64.530</w:t>
            </w:r>
          </w:p>
        </w:tc>
      </w:tr>
      <w:tr w:rsidR="0027513D" w:rsidRPr="00FB38E1" w14:paraId="39B8122A" w14:textId="77777777" w:rsidTr="007F4716">
        <w:tc>
          <w:tcPr>
            <w:tcW w:w="248" w:type="pct"/>
            <w:tcMar>
              <w:left w:w="28" w:type="dxa"/>
              <w:right w:w="57" w:type="dxa"/>
            </w:tcMar>
          </w:tcPr>
          <w:p w14:paraId="125A1E0C" w14:textId="5CDD3BE0"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2.1.4</w:t>
            </w:r>
          </w:p>
        </w:tc>
        <w:tc>
          <w:tcPr>
            <w:tcW w:w="2767" w:type="pct"/>
            <w:tcMar>
              <w:left w:w="28" w:type="dxa"/>
              <w:right w:w="57" w:type="dxa"/>
            </w:tcMar>
            <w:vAlign w:val="bottom"/>
          </w:tcPr>
          <w:p w14:paraId="263F7B0B" w14:textId="217548E6"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Diğer Kâr veya Zarar Olarak Yeniden Sınıflandırılmayacak Diğer Kapsamlı Gelir Unsurları</w:t>
            </w:r>
          </w:p>
        </w:tc>
        <w:tc>
          <w:tcPr>
            <w:tcW w:w="1030" w:type="pct"/>
            <w:vAlign w:val="bottom"/>
          </w:tcPr>
          <w:p w14:paraId="16089699" w14:textId="65639529"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4.071.809</w:t>
            </w:r>
          </w:p>
        </w:tc>
        <w:tc>
          <w:tcPr>
            <w:tcW w:w="955" w:type="pct"/>
            <w:tcMar>
              <w:left w:w="28" w:type="dxa"/>
              <w:right w:w="57" w:type="dxa"/>
            </w:tcMar>
            <w:vAlign w:val="bottom"/>
          </w:tcPr>
          <w:p w14:paraId="6C600FD0" w14:textId="050CD5CE"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sz w:val="14"/>
                <w:szCs w:val="14"/>
              </w:rPr>
              <w:t>5.592.952</w:t>
            </w:r>
          </w:p>
        </w:tc>
      </w:tr>
      <w:tr w:rsidR="0027513D" w:rsidRPr="00FB38E1" w14:paraId="39EE68DF" w14:textId="77777777" w:rsidTr="007F4716">
        <w:tc>
          <w:tcPr>
            <w:tcW w:w="248" w:type="pct"/>
            <w:tcMar>
              <w:left w:w="28" w:type="dxa"/>
              <w:right w:w="57" w:type="dxa"/>
            </w:tcMar>
          </w:tcPr>
          <w:p w14:paraId="659DA1D5" w14:textId="0ED5EB53"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2.1.5</w:t>
            </w:r>
          </w:p>
        </w:tc>
        <w:tc>
          <w:tcPr>
            <w:tcW w:w="2767" w:type="pct"/>
            <w:tcMar>
              <w:left w:w="28" w:type="dxa"/>
              <w:right w:w="57" w:type="dxa"/>
            </w:tcMar>
            <w:vAlign w:val="bottom"/>
          </w:tcPr>
          <w:p w14:paraId="6B565AA4" w14:textId="169FBB2A"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Kâr veya Zararda Yeniden Sınıflandırılmayacak Diğer Kapsamlı Gelire İlişkin Vergiler</w:t>
            </w:r>
          </w:p>
        </w:tc>
        <w:tc>
          <w:tcPr>
            <w:tcW w:w="1030" w:type="pct"/>
            <w:vAlign w:val="bottom"/>
          </w:tcPr>
          <w:p w14:paraId="4E487549" w14:textId="0FAC0D2F"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77.528</w:t>
            </w:r>
          </w:p>
        </w:tc>
        <w:tc>
          <w:tcPr>
            <w:tcW w:w="955" w:type="pct"/>
            <w:tcMar>
              <w:left w:w="28" w:type="dxa"/>
              <w:right w:w="57" w:type="dxa"/>
            </w:tcMar>
            <w:vAlign w:val="bottom"/>
          </w:tcPr>
          <w:p w14:paraId="6AE045DA" w14:textId="4E79C3E3"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sz w:val="14"/>
                <w:szCs w:val="14"/>
              </w:rPr>
              <w:t>(77.703)</w:t>
            </w:r>
          </w:p>
        </w:tc>
      </w:tr>
      <w:tr w:rsidR="0027513D" w:rsidRPr="00FB38E1" w14:paraId="53548EA4" w14:textId="77777777" w:rsidTr="007F4716">
        <w:tc>
          <w:tcPr>
            <w:tcW w:w="248" w:type="pct"/>
            <w:tcMar>
              <w:left w:w="28" w:type="dxa"/>
              <w:right w:w="57" w:type="dxa"/>
            </w:tcMar>
            <w:vAlign w:val="bottom"/>
          </w:tcPr>
          <w:p w14:paraId="0A3A0895" w14:textId="7AD13938"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2.2</w:t>
            </w:r>
          </w:p>
        </w:tc>
        <w:tc>
          <w:tcPr>
            <w:tcW w:w="2767" w:type="pct"/>
            <w:tcMar>
              <w:left w:w="28" w:type="dxa"/>
              <w:right w:w="57" w:type="dxa"/>
            </w:tcMar>
            <w:vAlign w:val="bottom"/>
          </w:tcPr>
          <w:p w14:paraId="6F68003C" w14:textId="0CB7CEFD"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Kâr veya Zararda Yeniden Sınıflandırılacaklar</w:t>
            </w:r>
          </w:p>
        </w:tc>
        <w:tc>
          <w:tcPr>
            <w:tcW w:w="1030" w:type="pct"/>
            <w:vAlign w:val="bottom"/>
          </w:tcPr>
          <w:p w14:paraId="3ABDBD12" w14:textId="695EA94B" w:rsidR="0027513D" w:rsidRPr="00FB38E1" w:rsidRDefault="0027513D" w:rsidP="0027513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(2.189.677)</w:t>
            </w:r>
          </w:p>
        </w:tc>
        <w:tc>
          <w:tcPr>
            <w:tcW w:w="955" w:type="pct"/>
            <w:tcMar>
              <w:left w:w="28" w:type="dxa"/>
              <w:right w:w="57" w:type="dxa"/>
            </w:tcMar>
            <w:vAlign w:val="bottom"/>
          </w:tcPr>
          <w:p w14:paraId="03DE0246" w14:textId="7095B824"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b/>
                <w:bCs/>
                <w:sz w:val="14"/>
                <w:szCs w:val="14"/>
              </w:rPr>
              <w:t>1.422.622</w:t>
            </w:r>
          </w:p>
        </w:tc>
      </w:tr>
      <w:tr w:rsidR="0027513D" w:rsidRPr="00FB38E1" w14:paraId="4CD4068B" w14:textId="77777777" w:rsidTr="007F4716">
        <w:tc>
          <w:tcPr>
            <w:tcW w:w="248" w:type="pct"/>
            <w:tcMar>
              <w:left w:w="28" w:type="dxa"/>
              <w:right w:w="57" w:type="dxa"/>
            </w:tcMar>
            <w:vAlign w:val="bottom"/>
          </w:tcPr>
          <w:p w14:paraId="6DF10D4E" w14:textId="5F7BA26C"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2.2.1</w:t>
            </w:r>
          </w:p>
        </w:tc>
        <w:tc>
          <w:tcPr>
            <w:tcW w:w="2767" w:type="pct"/>
            <w:tcMar>
              <w:left w:w="28" w:type="dxa"/>
              <w:right w:w="57" w:type="dxa"/>
            </w:tcMar>
            <w:vAlign w:val="bottom"/>
          </w:tcPr>
          <w:p w14:paraId="53986079" w14:textId="630DFC83"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Yabancı Para Çevirim Farkları</w:t>
            </w:r>
          </w:p>
        </w:tc>
        <w:tc>
          <w:tcPr>
            <w:tcW w:w="1030" w:type="pct"/>
            <w:vAlign w:val="bottom"/>
          </w:tcPr>
          <w:p w14:paraId="71EF5FBB" w14:textId="3EB362BD"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(826.838)</w:t>
            </w:r>
          </w:p>
        </w:tc>
        <w:tc>
          <w:tcPr>
            <w:tcW w:w="955" w:type="pct"/>
            <w:tcMar>
              <w:left w:w="28" w:type="dxa"/>
              <w:right w:w="57" w:type="dxa"/>
            </w:tcMar>
            <w:vAlign w:val="bottom"/>
          </w:tcPr>
          <w:p w14:paraId="17B9D49B" w14:textId="61F6073B"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sz w:val="14"/>
                <w:szCs w:val="14"/>
              </w:rPr>
              <w:t>13.513.264</w:t>
            </w:r>
          </w:p>
        </w:tc>
      </w:tr>
      <w:tr w:rsidR="0027513D" w:rsidRPr="00FB38E1" w14:paraId="0168BA6B" w14:textId="77777777" w:rsidTr="007F4716">
        <w:tc>
          <w:tcPr>
            <w:tcW w:w="248" w:type="pct"/>
            <w:tcMar>
              <w:left w:w="28" w:type="dxa"/>
              <w:right w:w="57" w:type="dxa"/>
            </w:tcMar>
          </w:tcPr>
          <w:p w14:paraId="7D0BD31E" w14:textId="67BC7B67"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2.2.2</w:t>
            </w:r>
          </w:p>
        </w:tc>
        <w:tc>
          <w:tcPr>
            <w:tcW w:w="2767" w:type="pct"/>
            <w:tcMar>
              <w:left w:w="28" w:type="dxa"/>
              <w:right w:w="57" w:type="dxa"/>
            </w:tcMar>
            <w:vAlign w:val="bottom"/>
          </w:tcPr>
          <w:p w14:paraId="49AF10D2" w14:textId="0A151E94"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Gerçeğe Uygun Değer Farkı Diğer Kapsamlı Gelire Yansıtılan Finansal Varlıkların Değerleme ve/veya Sınıflandırma Gelirleri/Giderleri</w:t>
            </w:r>
          </w:p>
        </w:tc>
        <w:tc>
          <w:tcPr>
            <w:tcW w:w="1030" w:type="pct"/>
            <w:vAlign w:val="bottom"/>
          </w:tcPr>
          <w:p w14:paraId="1D794655" w14:textId="5BD504EF"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(3.062.637)</w:t>
            </w:r>
          </w:p>
        </w:tc>
        <w:tc>
          <w:tcPr>
            <w:tcW w:w="955" w:type="pct"/>
            <w:tcMar>
              <w:left w:w="28" w:type="dxa"/>
              <w:right w:w="57" w:type="dxa"/>
            </w:tcMar>
            <w:vAlign w:val="bottom"/>
          </w:tcPr>
          <w:p w14:paraId="5C2529EB" w14:textId="712D743F"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sz w:val="14"/>
                <w:szCs w:val="14"/>
              </w:rPr>
              <w:t>(6.372.742)</w:t>
            </w:r>
          </w:p>
        </w:tc>
      </w:tr>
      <w:tr w:rsidR="0027513D" w:rsidRPr="00FB38E1" w14:paraId="55997765" w14:textId="77777777" w:rsidTr="007F4716">
        <w:tc>
          <w:tcPr>
            <w:tcW w:w="248" w:type="pct"/>
            <w:tcMar>
              <w:left w:w="28" w:type="dxa"/>
              <w:right w:w="57" w:type="dxa"/>
            </w:tcMar>
            <w:vAlign w:val="bottom"/>
          </w:tcPr>
          <w:p w14:paraId="29C44356" w14:textId="073BAEB3" w:rsidR="0027513D" w:rsidRPr="00FB38E1" w:rsidRDefault="0027513D" w:rsidP="0027513D">
            <w:pPr>
              <w:rPr>
                <w:rFonts w:ascii="Microsoft Sans Serif" w:hAnsi="Microsoft Sans Serif" w:cs="Microsoft Sans Serif"/>
                <w:sz w:val="14"/>
                <w:szCs w:val="14"/>
              </w:rPr>
            </w:pPr>
            <w:r w:rsidRPr="00FB38E1">
              <w:rPr>
                <w:rFonts w:ascii="Microsoft Sans Serif" w:hAnsi="Microsoft Sans Serif" w:cs="Microsoft Sans Serif"/>
                <w:sz w:val="14"/>
                <w:szCs w:val="14"/>
              </w:rPr>
              <w:t>2.2.3</w:t>
            </w:r>
          </w:p>
        </w:tc>
        <w:tc>
          <w:tcPr>
            <w:tcW w:w="2767" w:type="pct"/>
            <w:tcMar>
              <w:left w:w="28" w:type="dxa"/>
              <w:right w:w="57" w:type="dxa"/>
            </w:tcMar>
            <w:vAlign w:val="bottom"/>
          </w:tcPr>
          <w:p w14:paraId="6957F104" w14:textId="66F3640C" w:rsidR="0027513D" w:rsidRPr="00FB38E1" w:rsidRDefault="0027513D" w:rsidP="0027513D">
            <w:pPr>
              <w:rPr>
                <w:rFonts w:ascii="Microsoft Sans Serif" w:hAnsi="Microsoft Sans Serif" w:cs="Microsoft Sans Serif"/>
                <w:sz w:val="14"/>
                <w:szCs w:val="14"/>
              </w:rPr>
            </w:pPr>
            <w:r w:rsidRPr="00FB38E1">
              <w:rPr>
                <w:rFonts w:ascii="Microsoft Sans Serif" w:hAnsi="Microsoft Sans Serif" w:cs="Microsoft Sans Serif"/>
                <w:sz w:val="14"/>
                <w:szCs w:val="14"/>
              </w:rPr>
              <w:t>Nakit Akış Riskinden Korunma Gelirleri/Giderleri</w:t>
            </w:r>
          </w:p>
        </w:tc>
        <w:tc>
          <w:tcPr>
            <w:tcW w:w="1030" w:type="pct"/>
            <w:vAlign w:val="bottom"/>
          </w:tcPr>
          <w:p w14:paraId="213736B9" w14:textId="0EA90F6B"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955" w:type="pct"/>
            <w:tcMar>
              <w:left w:w="28" w:type="dxa"/>
              <w:right w:w="57" w:type="dxa"/>
            </w:tcMar>
            <w:vAlign w:val="bottom"/>
          </w:tcPr>
          <w:p w14:paraId="6DC60353" w14:textId="3A43B3DD" w:rsidR="0027513D" w:rsidRPr="00FB38E1" w:rsidRDefault="0027513D" w:rsidP="0027513D">
            <w:pPr>
              <w:jc w:val="right"/>
              <w:rPr>
                <w:rFonts w:ascii="Microsoft Sans Serif" w:hAnsi="Microsoft Sans Serif" w:cs="Microsoft Sans Serif"/>
                <w:color w:val="FF0000"/>
                <w:sz w:val="14"/>
                <w:szCs w:val="14"/>
              </w:rPr>
            </w:pPr>
            <w:r w:rsidRPr="00FB38E1">
              <w:rPr>
                <w:rFonts w:ascii="Microsoft Sans Serif" w:hAnsi="Microsoft Sans Serif" w:cs="Microsoft Sans Serif"/>
                <w:sz w:val="14"/>
                <w:szCs w:val="14"/>
              </w:rPr>
              <w:t>3.831</w:t>
            </w:r>
          </w:p>
        </w:tc>
      </w:tr>
      <w:tr w:rsidR="0027513D" w:rsidRPr="00FB38E1" w14:paraId="6E7F1DA0" w14:textId="77777777" w:rsidTr="007F4716">
        <w:tc>
          <w:tcPr>
            <w:tcW w:w="248" w:type="pct"/>
            <w:tcMar>
              <w:left w:w="28" w:type="dxa"/>
              <w:right w:w="57" w:type="dxa"/>
            </w:tcMar>
            <w:vAlign w:val="bottom"/>
          </w:tcPr>
          <w:p w14:paraId="7B865054" w14:textId="4378C8D4" w:rsidR="0027513D" w:rsidRPr="00FB38E1" w:rsidRDefault="0027513D" w:rsidP="0027513D">
            <w:pPr>
              <w:rPr>
                <w:rFonts w:ascii="Microsoft Sans Serif" w:hAnsi="Microsoft Sans Serif" w:cs="Microsoft Sans Serif"/>
                <w:sz w:val="14"/>
                <w:szCs w:val="14"/>
              </w:rPr>
            </w:pPr>
            <w:r w:rsidRPr="00FB38E1">
              <w:rPr>
                <w:rFonts w:ascii="Microsoft Sans Serif" w:hAnsi="Microsoft Sans Serif" w:cs="Microsoft Sans Serif"/>
                <w:sz w:val="14"/>
                <w:szCs w:val="14"/>
              </w:rPr>
              <w:t>2.2.4</w:t>
            </w:r>
          </w:p>
        </w:tc>
        <w:tc>
          <w:tcPr>
            <w:tcW w:w="2767" w:type="pct"/>
            <w:tcMar>
              <w:left w:w="28" w:type="dxa"/>
              <w:right w:w="57" w:type="dxa"/>
            </w:tcMar>
            <w:vAlign w:val="bottom"/>
          </w:tcPr>
          <w:p w14:paraId="6AC4A345" w14:textId="728613C8" w:rsidR="0027513D" w:rsidRPr="00FB38E1" w:rsidRDefault="0027513D" w:rsidP="0027513D">
            <w:pPr>
              <w:rPr>
                <w:rFonts w:ascii="Microsoft Sans Serif" w:hAnsi="Microsoft Sans Serif" w:cs="Microsoft Sans Serif"/>
                <w:sz w:val="14"/>
                <w:szCs w:val="14"/>
              </w:rPr>
            </w:pPr>
            <w:r w:rsidRPr="00FB38E1">
              <w:rPr>
                <w:rFonts w:ascii="Microsoft Sans Serif" w:hAnsi="Microsoft Sans Serif" w:cs="Microsoft Sans Serif"/>
                <w:sz w:val="14"/>
                <w:szCs w:val="14"/>
              </w:rPr>
              <w:t>Yurtdışındaki İşletmeye İlişkin Yatırım Riskinden Korunma Gelirleri/Giderleri</w:t>
            </w:r>
          </w:p>
        </w:tc>
        <w:tc>
          <w:tcPr>
            <w:tcW w:w="1030" w:type="pct"/>
            <w:vAlign w:val="bottom"/>
          </w:tcPr>
          <w:p w14:paraId="1DDE61AA" w14:textId="3F6FB668"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1.105.416</w:t>
            </w:r>
          </w:p>
        </w:tc>
        <w:tc>
          <w:tcPr>
            <w:tcW w:w="955" w:type="pct"/>
            <w:tcMar>
              <w:left w:w="28" w:type="dxa"/>
              <w:right w:w="57" w:type="dxa"/>
            </w:tcMar>
            <w:vAlign w:val="bottom"/>
          </w:tcPr>
          <w:p w14:paraId="14B8788B" w14:textId="15A6B781" w:rsidR="0027513D" w:rsidRPr="00FB38E1" w:rsidRDefault="0027513D" w:rsidP="0027513D">
            <w:pPr>
              <w:jc w:val="right"/>
              <w:rPr>
                <w:rFonts w:ascii="Microsoft Sans Serif" w:hAnsi="Microsoft Sans Serif" w:cs="Microsoft Sans Serif"/>
                <w:color w:val="FF0000"/>
                <w:sz w:val="14"/>
                <w:szCs w:val="14"/>
              </w:rPr>
            </w:pPr>
            <w:r w:rsidRPr="00FB38E1">
              <w:rPr>
                <w:rFonts w:ascii="Microsoft Sans Serif" w:hAnsi="Microsoft Sans Serif" w:cs="Microsoft Sans Serif"/>
                <w:sz w:val="14"/>
                <w:szCs w:val="14"/>
              </w:rPr>
              <w:t>(12.140.452)</w:t>
            </w:r>
          </w:p>
        </w:tc>
      </w:tr>
      <w:tr w:rsidR="0027513D" w:rsidRPr="00FB38E1" w14:paraId="271A50BA" w14:textId="77777777" w:rsidTr="007F4716">
        <w:tc>
          <w:tcPr>
            <w:tcW w:w="248" w:type="pct"/>
            <w:tcMar>
              <w:left w:w="28" w:type="dxa"/>
              <w:right w:w="57" w:type="dxa"/>
            </w:tcMar>
            <w:vAlign w:val="bottom"/>
          </w:tcPr>
          <w:p w14:paraId="1DA07A0A" w14:textId="6C641A73" w:rsidR="0027513D" w:rsidRPr="00FB38E1" w:rsidRDefault="0027513D" w:rsidP="0027513D">
            <w:pPr>
              <w:rPr>
                <w:rFonts w:ascii="Microsoft Sans Serif" w:hAnsi="Microsoft Sans Serif" w:cs="Microsoft Sans Serif"/>
                <w:sz w:val="14"/>
                <w:szCs w:val="14"/>
              </w:rPr>
            </w:pPr>
            <w:r w:rsidRPr="00FB38E1">
              <w:rPr>
                <w:rFonts w:ascii="Microsoft Sans Serif" w:hAnsi="Microsoft Sans Serif" w:cs="Microsoft Sans Serif"/>
                <w:sz w:val="14"/>
                <w:szCs w:val="14"/>
              </w:rPr>
              <w:t>2.2.5</w:t>
            </w:r>
          </w:p>
        </w:tc>
        <w:tc>
          <w:tcPr>
            <w:tcW w:w="2767" w:type="pct"/>
            <w:tcMar>
              <w:left w:w="28" w:type="dxa"/>
              <w:right w:w="57" w:type="dxa"/>
            </w:tcMar>
            <w:vAlign w:val="bottom"/>
          </w:tcPr>
          <w:p w14:paraId="30768F4D" w14:textId="55A9B6BF" w:rsidR="0027513D" w:rsidRPr="00FB38E1" w:rsidRDefault="0027513D" w:rsidP="0027513D">
            <w:pPr>
              <w:rPr>
                <w:rFonts w:ascii="Microsoft Sans Serif" w:hAnsi="Microsoft Sans Serif" w:cs="Microsoft Sans Serif"/>
                <w:sz w:val="14"/>
                <w:szCs w:val="14"/>
              </w:rPr>
            </w:pPr>
            <w:r w:rsidRPr="00FB38E1">
              <w:rPr>
                <w:rFonts w:ascii="Microsoft Sans Serif" w:hAnsi="Microsoft Sans Serif" w:cs="Microsoft Sans Serif"/>
                <w:sz w:val="14"/>
                <w:szCs w:val="14"/>
              </w:rPr>
              <w:t>Diğer Kâr veya Zarar Olarak Yeniden Sınıflandırılacak Diğer Kapsamlı Gelir Unsurları</w:t>
            </w:r>
          </w:p>
        </w:tc>
        <w:tc>
          <w:tcPr>
            <w:tcW w:w="1030" w:type="pct"/>
            <w:vAlign w:val="bottom"/>
          </w:tcPr>
          <w:p w14:paraId="275FBD5A" w14:textId="3CA859B9"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955" w:type="pct"/>
            <w:tcMar>
              <w:left w:w="28" w:type="dxa"/>
              <w:right w:w="57" w:type="dxa"/>
            </w:tcMar>
            <w:vAlign w:val="bottom"/>
          </w:tcPr>
          <w:p w14:paraId="4F644341" w14:textId="58DB8503" w:rsidR="0027513D" w:rsidRPr="00FB38E1" w:rsidRDefault="0027513D" w:rsidP="0027513D">
            <w:pPr>
              <w:jc w:val="right"/>
              <w:rPr>
                <w:rFonts w:ascii="Microsoft Sans Serif" w:hAnsi="Microsoft Sans Serif" w:cs="Microsoft Sans Serif"/>
                <w:color w:val="FF0000"/>
                <w:sz w:val="14"/>
                <w:szCs w:val="14"/>
              </w:rPr>
            </w:pPr>
            <w:r w:rsidRPr="00FB38E1">
              <w:rPr>
                <w:rFonts w:ascii="Microsoft Sans Serif" w:hAnsi="Microsoft Sans Serif" w:cs="Microsoft Sans Serif"/>
                <w:sz w:val="14"/>
                <w:szCs w:val="14"/>
              </w:rPr>
              <w:t>--</w:t>
            </w:r>
          </w:p>
        </w:tc>
      </w:tr>
      <w:tr w:rsidR="0027513D" w:rsidRPr="00FB38E1" w14:paraId="04FA2F8B" w14:textId="77777777" w:rsidTr="007F4716">
        <w:tc>
          <w:tcPr>
            <w:tcW w:w="248" w:type="pct"/>
            <w:tcBorders>
              <w:bottom w:val="single" w:sz="4" w:space="0" w:color="auto"/>
            </w:tcBorders>
            <w:tcMar>
              <w:left w:w="28" w:type="dxa"/>
              <w:right w:w="57" w:type="dxa"/>
            </w:tcMar>
          </w:tcPr>
          <w:p w14:paraId="3797A8BE" w14:textId="790DB9FD" w:rsidR="0027513D" w:rsidRPr="00FB38E1" w:rsidRDefault="0027513D" w:rsidP="0027513D">
            <w:pPr>
              <w:rPr>
                <w:rFonts w:ascii="Microsoft Sans Serif" w:hAnsi="Microsoft Sans Serif" w:cs="Microsoft Sans Serif"/>
                <w:sz w:val="14"/>
                <w:szCs w:val="14"/>
              </w:rPr>
            </w:pPr>
            <w:r w:rsidRPr="00FB38E1">
              <w:rPr>
                <w:rFonts w:ascii="Microsoft Sans Serif" w:hAnsi="Microsoft Sans Serif" w:cs="Microsoft Sans Serif"/>
                <w:sz w:val="14"/>
                <w:szCs w:val="14"/>
              </w:rPr>
              <w:t>2.2.6</w:t>
            </w:r>
          </w:p>
        </w:tc>
        <w:tc>
          <w:tcPr>
            <w:tcW w:w="2767" w:type="pct"/>
            <w:tcBorders>
              <w:bottom w:val="single" w:sz="4" w:space="0" w:color="auto"/>
            </w:tcBorders>
            <w:tcMar>
              <w:left w:w="28" w:type="dxa"/>
              <w:right w:w="57" w:type="dxa"/>
            </w:tcMar>
            <w:vAlign w:val="bottom"/>
          </w:tcPr>
          <w:p w14:paraId="50314B34" w14:textId="3EEF758F" w:rsidR="0027513D" w:rsidRPr="00FB38E1" w:rsidRDefault="0027513D" w:rsidP="0027513D">
            <w:pPr>
              <w:rPr>
                <w:rFonts w:ascii="Microsoft Sans Serif" w:hAnsi="Microsoft Sans Serif" w:cs="Microsoft Sans Serif"/>
                <w:sz w:val="14"/>
                <w:szCs w:val="14"/>
              </w:rPr>
            </w:pPr>
            <w:r w:rsidRPr="00FB38E1">
              <w:rPr>
                <w:rFonts w:ascii="Microsoft Sans Serif" w:hAnsi="Microsoft Sans Serif" w:cs="Microsoft Sans Serif"/>
                <w:sz w:val="14"/>
                <w:szCs w:val="14"/>
              </w:rPr>
              <w:t>Kâr veya Zararda Yeniden Sınıflandırılacak Diğer Kapsamlı Gelire İlişkin Vergiler</w:t>
            </w:r>
          </w:p>
        </w:tc>
        <w:tc>
          <w:tcPr>
            <w:tcW w:w="1030" w:type="pct"/>
            <w:tcBorders>
              <w:bottom w:val="single" w:sz="4" w:space="0" w:color="auto"/>
            </w:tcBorders>
            <w:vAlign w:val="bottom"/>
          </w:tcPr>
          <w:p w14:paraId="7670505B" w14:textId="4D841CEC" w:rsidR="0027513D" w:rsidRPr="00FB38E1" w:rsidRDefault="0027513D" w:rsidP="0027513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594.382</w:t>
            </w:r>
          </w:p>
        </w:tc>
        <w:tc>
          <w:tcPr>
            <w:tcW w:w="955" w:type="pct"/>
            <w:tcBorders>
              <w:bottom w:val="single" w:sz="4" w:space="0" w:color="auto"/>
            </w:tcBorders>
            <w:tcMar>
              <w:left w:w="28" w:type="dxa"/>
              <w:right w:w="57" w:type="dxa"/>
            </w:tcMar>
            <w:vAlign w:val="bottom"/>
          </w:tcPr>
          <w:p w14:paraId="0E1EDCFD" w14:textId="7B186B44" w:rsidR="0027513D" w:rsidRPr="00FB38E1" w:rsidRDefault="0027513D" w:rsidP="0027513D">
            <w:pPr>
              <w:jc w:val="right"/>
              <w:rPr>
                <w:rFonts w:ascii="Microsoft Sans Serif" w:hAnsi="Microsoft Sans Serif" w:cs="Microsoft Sans Serif"/>
                <w:color w:val="FF0000"/>
                <w:sz w:val="14"/>
                <w:szCs w:val="14"/>
              </w:rPr>
            </w:pPr>
            <w:r w:rsidRPr="00FB38E1">
              <w:rPr>
                <w:rFonts w:ascii="Microsoft Sans Serif" w:hAnsi="Microsoft Sans Serif" w:cs="Microsoft Sans Serif"/>
                <w:sz w:val="14"/>
                <w:szCs w:val="14"/>
              </w:rPr>
              <w:t>6.418.721</w:t>
            </w:r>
          </w:p>
        </w:tc>
      </w:tr>
      <w:tr w:rsidR="0027513D" w:rsidRPr="00FB38E1" w14:paraId="4F123319" w14:textId="77777777" w:rsidTr="007F4716">
        <w:tc>
          <w:tcPr>
            <w:tcW w:w="248" w:type="pct"/>
            <w:tcBorders>
              <w:top w:val="single" w:sz="4" w:space="0" w:color="auto"/>
              <w:bottom w:val="single" w:sz="12" w:space="0" w:color="auto"/>
            </w:tcBorders>
            <w:tcMar>
              <w:left w:w="28" w:type="dxa"/>
              <w:right w:w="57" w:type="dxa"/>
            </w:tcMar>
            <w:vAlign w:val="bottom"/>
          </w:tcPr>
          <w:p w14:paraId="1FFADB19" w14:textId="0BCEDC15"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III.</w:t>
            </w:r>
          </w:p>
        </w:tc>
        <w:tc>
          <w:tcPr>
            <w:tcW w:w="2767" w:type="pct"/>
            <w:tcBorders>
              <w:top w:val="single" w:sz="4" w:space="0" w:color="auto"/>
              <w:bottom w:val="single" w:sz="12" w:space="0" w:color="auto"/>
            </w:tcBorders>
            <w:tcMar>
              <w:left w:w="28" w:type="dxa"/>
              <w:right w:w="57" w:type="dxa"/>
            </w:tcMar>
            <w:vAlign w:val="bottom"/>
          </w:tcPr>
          <w:p w14:paraId="75B4163C" w14:textId="6ED92C35" w:rsidR="0027513D" w:rsidRPr="00FB38E1" w:rsidRDefault="0027513D" w:rsidP="0027513D">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TOPLAM KAPSAMLI GELİR (I+II)</w:t>
            </w:r>
          </w:p>
        </w:tc>
        <w:tc>
          <w:tcPr>
            <w:tcW w:w="1030" w:type="pct"/>
            <w:tcBorders>
              <w:top w:val="single" w:sz="4" w:space="0" w:color="auto"/>
              <w:bottom w:val="single" w:sz="12" w:space="0" w:color="auto"/>
            </w:tcBorders>
            <w:vAlign w:val="bottom"/>
          </w:tcPr>
          <w:p w14:paraId="1A144D4A" w14:textId="6D39AFF1" w:rsidR="0027513D" w:rsidRPr="00FB38E1" w:rsidRDefault="0027513D" w:rsidP="0027513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46.912.117</w:t>
            </w:r>
          </w:p>
        </w:tc>
        <w:tc>
          <w:tcPr>
            <w:tcW w:w="955" w:type="pct"/>
            <w:tcBorders>
              <w:top w:val="single" w:sz="4" w:space="0" w:color="auto"/>
              <w:bottom w:val="single" w:sz="12" w:space="0" w:color="auto"/>
            </w:tcBorders>
            <w:tcMar>
              <w:left w:w="28" w:type="dxa"/>
              <w:right w:w="57" w:type="dxa"/>
            </w:tcMar>
            <w:vAlign w:val="bottom"/>
          </w:tcPr>
          <w:p w14:paraId="18C5F8EE" w14:textId="6312A99E" w:rsidR="0027513D" w:rsidRPr="00FB38E1" w:rsidRDefault="0027513D" w:rsidP="0027513D">
            <w:pPr>
              <w:jc w:val="right"/>
              <w:rPr>
                <w:rFonts w:ascii="Microsoft Sans Serif" w:hAnsi="Microsoft Sans Serif" w:cs="Microsoft Sans Serif"/>
                <w:b/>
                <w:bCs/>
                <w:color w:val="FF0000"/>
                <w:sz w:val="14"/>
                <w:szCs w:val="14"/>
              </w:rPr>
            </w:pPr>
            <w:r w:rsidRPr="00FB38E1">
              <w:rPr>
                <w:rFonts w:ascii="Microsoft Sans Serif" w:hAnsi="Microsoft Sans Serif" w:cs="Microsoft Sans Serif"/>
                <w:b/>
                <w:bCs/>
                <w:sz w:val="14"/>
                <w:szCs w:val="14"/>
              </w:rPr>
              <w:t>35.330.885</w:t>
            </w:r>
          </w:p>
        </w:tc>
      </w:tr>
    </w:tbl>
    <w:p w14:paraId="083F2339" w14:textId="77777777" w:rsidR="00A97174" w:rsidRPr="00FB38E1" w:rsidRDefault="00A97174" w:rsidP="00A97174">
      <w:pPr>
        <w:spacing w:before="360"/>
        <w:rPr>
          <w:rFonts w:ascii="Microsoft Sans Serif" w:hAnsi="Microsoft Sans Serif" w:cs="Microsoft Sans Serif"/>
          <w:bCs/>
          <w:sz w:val="18"/>
          <w:szCs w:val="18"/>
        </w:rPr>
      </w:pPr>
    </w:p>
    <w:p w14:paraId="7936ECB6" w14:textId="77777777" w:rsidR="00A97174" w:rsidRPr="00FB38E1" w:rsidRDefault="00A97174" w:rsidP="00A97174">
      <w:pPr>
        <w:spacing w:before="360"/>
        <w:rPr>
          <w:rFonts w:ascii="Microsoft Sans Serif" w:hAnsi="Microsoft Sans Serif" w:cs="Microsoft Sans Serif"/>
          <w:bCs/>
          <w:sz w:val="18"/>
          <w:szCs w:val="18"/>
        </w:rPr>
      </w:pPr>
    </w:p>
    <w:p w14:paraId="4B240C5C" w14:textId="77777777" w:rsidR="00A97174" w:rsidRPr="00FB38E1" w:rsidRDefault="00A97174" w:rsidP="00A97174">
      <w:pPr>
        <w:spacing w:before="360"/>
        <w:rPr>
          <w:rFonts w:ascii="Microsoft Sans Serif" w:hAnsi="Microsoft Sans Serif" w:cs="Microsoft Sans Serif"/>
          <w:bCs/>
          <w:sz w:val="18"/>
          <w:szCs w:val="18"/>
        </w:rPr>
      </w:pPr>
    </w:p>
    <w:p w14:paraId="40FB0435" w14:textId="77777777" w:rsidR="00A97174" w:rsidRPr="00FB38E1" w:rsidRDefault="00A97174" w:rsidP="00A97174">
      <w:pPr>
        <w:spacing w:before="360"/>
        <w:rPr>
          <w:rFonts w:ascii="Microsoft Sans Serif" w:hAnsi="Microsoft Sans Serif" w:cs="Microsoft Sans Serif"/>
          <w:bCs/>
          <w:sz w:val="18"/>
          <w:szCs w:val="18"/>
        </w:rPr>
      </w:pPr>
    </w:p>
    <w:p w14:paraId="78DD3679" w14:textId="77777777" w:rsidR="00A97174" w:rsidRPr="00FB38E1" w:rsidRDefault="00A97174" w:rsidP="00A97174">
      <w:pPr>
        <w:spacing w:before="360"/>
        <w:rPr>
          <w:rFonts w:ascii="Microsoft Sans Serif" w:hAnsi="Microsoft Sans Serif" w:cs="Microsoft Sans Serif"/>
          <w:bCs/>
          <w:sz w:val="18"/>
          <w:szCs w:val="18"/>
        </w:rPr>
      </w:pPr>
    </w:p>
    <w:p w14:paraId="597FBC43" w14:textId="77777777" w:rsidR="00A97174" w:rsidRPr="00FB38E1" w:rsidRDefault="00A97174" w:rsidP="00A97174">
      <w:pPr>
        <w:spacing w:before="360"/>
        <w:rPr>
          <w:rFonts w:ascii="Microsoft Sans Serif" w:hAnsi="Microsoft Sans Serif" w:cs="Microsoft Sans Serif"/>
          <w:bCs/>
          <w:sz w:val="18"/>
          <w:szCs w:val="18"/>
        </w:rPr>
      </w:pPr>
    </w:p>
    <w:p w14:paraId="14663D5F" w14:textId="77777777" w:rsidR="00A97174" w:rsidRPr="00FB38E1" w:rsidRDefault="00A97174" w:rsidP="00A97174">
      <w:pPr>
        <w:spacing w:before="360"/>
        <w:rPr>
          <w:rFonts w:ascii="Microsoft Sans Serif" w:hAnsi="Microsoft Sans Serif" w:cs="Microsoft Sans Serif"/>
          <w:bCs/>
          <w:sz w:val="18"/>
          <w:szCs w:val="18"/>
        </w:rPr>
      </w:pPr>
    </w:p>
    <w:p w14:paraId="314D0F9F" w14:textId="77777777" w:rsidR="00A97174" w:rsidRPr="00FB38E1" w:rsidRDefault="00A97174" w:rsidP="00A97174">
      <w:pPr>
        <w:spacing w:before="360"/>
        <w:rPr>
          <w:rFonts w:ascii="Microsoft Sans Serif" w:hAnsi="Microsoft Sans Serif" w:cs="Microsoft Sans Serif"/>
          <w:bCs/>
          <w:sz w:val="18"/>
          <w:szCs w:val="18"/>
        </w:rPr>
      </w:pPr>
    </w:p>
    <w:p w14:paraId="745D23BF" w14:textId="77777777" w:rsidR="00A97174" w:rsidRPr="00FB38E1" w:rsidRDefault="00A97174" w:rsidP="00A97174">
      <w:pPr>
        <w:spacing w:before="360"/>
        <w:rPr>
          <w:rFonts w:ascii="Microsoft Sans Serif" w:hAnsi="Microsoft Sans Serif" w:cs="Microsoft Sans Serif"/>
          <w:bCs/>
          <w:sz w:val="18"/>
          <w:szCs w:val="18"/>
        </w:rPr>
      </w:pPr>
    </w:p>
    <w:p w14:paraId="34314030" w14:textId="77777777" w:rsidR="00A97174" w:rsidRPr="00FB38E1" w:rsidRDefault="00A97174" w:rsidP="00A97174">
      <w:pPr>
        <w:spacing w:before="360"/>
        <w:rPr>
          <w:rFonts w:ascii="Microsoft Sans Serif" w:hAnsi="Microsoft Sans Serif" w:cs="Microsoft Sans Serif"/>
          <w:bCs/>
          <w:sz w:val="18"/>
          <w:szCs w:val="18"/>
        </w:rPr>
      </w:pPr>
    </w:p>
    <w:p w14:paraId="60783732" w14:textId="77777777" w:rsidR="00A97174" w:rsidRPr="00FB38E1" w:rsidRDefault="00A97174" w:rsidP="00A97174">
      <w:pPr>
        <w:spacing w:before="360"/>
        <w:rPr>
          <w:rFonts w:ascii="Microsoft Sans Serif" w:hAnsi="Microsoft Sans Serif" w:cs="Microsoft Sans Serif"/>
          <w:bCs/>
          <w:sz w:val="18"/>
          <w:szCs w:val="18"/>
        </w:rPr>
      </w:pPr>
    </w:p>
    <w:p w14:paraId="7EEA571F" w14:textId="77777777" w:rsidR="00A97174" w:rsidRPr="00FB38E1" w:rsidRDefault="00A97174" w:rsidP="00A97174">
      <w:pPr>
        <w:spacing w:before="360"/>
        <w:rPr>
          <w:rFonts w:ascii="Microsoft Sans Serif" w:hAnsi="Microsoft Sans Serif" w:cs="Microsoft Sans Serif"/>
          <w:bCs/>
          <w:sz w:val="18"/>
          <w:szCs w:val="18"/>
        </w:rPr>
      </w:pPr>
    </w:p>
    <w:p w14:paraId="7F1D37EB" w14:textId="77777777" w:rsidR="00A97174" w:rsidRPr="00FB38E1" w:rsidRDefault="00A97174" w:rsidP="00A97174">
      <w:pPr>
        <w:spacing w:before="360"/>
        <w:rPr>
          <w:rFonts w:ascii="Microsoft Sans Serif" w:hAnsi="Microsoft Sans Serif" w:cs="Microsoft Sans Serif"/>
          <w:bCs/>
          <w:sz w:val="18"/>
          <w:szCs w:val="18"/>
        </w:rPr>
      </w:pPr>
    </w:p>
    <w:p w14:paraId="1EF735B9" w14:textId="77777777" w:rsidR="00C63508" w:rsidRPr="00FB38E1" w:rsidRDefault="00C63508" w:rsidP="00CB1278">
      <w:pPr>
        <w:jc w:val="center"/>
        <w:rPr>
          <w:rFonts w:ascii="Microsoft Sans Serif" w:hAnsi="Microsoft Sans Serif" w:cs="Microsoft Sans Serif"/>
          <w:bCs/>
          <w:sz w:val="18"/>
          <w:szCs w:val="18"/>
        </w:rPr>
      </w:pPr>
    </w:p>
    <w:p w14:paraId="0CD4BDB9" w14:textId="77777777" w:rsidR="000121B2" w:rsidRPr="00FB38E1" w:rsidRDefault="000121B2" w:rsidP="00CB1278">
      <w:pPr>
        <w:jc w:val="center"/>
        <w:rPr>
          <w:rFonts w:ascii="Microsoft Sans Serif" w:hAnsi="Microsoft Sans Serif" w:cs="Microsoft Sans Serif"/>
          <w:bCs/>
          <w:sz w:val="18"/>
          <w:szCs w:val="18"/>
        </w:rPr>
      </w:pPr>
    </w:p>
    <w:p w14:paraId="587F0892" w14:textId="77777777" w:rsidR="00705C4D" w:rsidRPr="00FB38E1" w:rsidRDefault="00705C4D" w:rsidP="00CB1278">
      <w:pPr>
        <w:jc w:val="center"/>
        <w:rPr>
          <w:rFonts w:ascii="Microsoft Sans Serif" w:hAnsi="Microsoft Sans Serif" w:cs="Microsoft Sans Serif"/>
          <w:bCs/>
          <w:sz w:val="18"/>
          <w:szCs w:val="18"/>
        </w:rPr>
      </w:pPr>
    </w:p>
    <w:p w14:paraId="3A631A64" w14:textId="77777777" w:rsidR="00854AE4" w:rsidRPr="00FB38E1" w:rsidRDefault="00854AE4" w:rsidP="00CB1278">
      <w:pPr>
        <w:jc w:val="center"/>
        <w:rPr>
          <w:rFonts w:ascii="Microsoft Sans Serif" w:hAnsi="Microsoft Sans Serif" w:cs="Microsoft Sans Serif"/>
          <w:bCs/>
          <w:sz w:val="18"/>
          <w:szCs w:val="18"/>
        </w:rPr>
      </w:pPr>
    </w:p>
    <w:p w14:paraId="5D3CA35F" w14:textId="77777777" w:rsidR="00CE6877" w:rsidRPr="00FB38E1" w:rsidRDefault="00CE6877" w:rsidP="00CB1278">
      <w:pPr>
        <w:jc w:val="center"/>
        <w:rPr>
          <w:rFonts w:ascii="Microsoft Sans Serif" w:hAnsi="Microsoft Sans Serif" w:cs="Microsoft Sans Serif"/>
          <w:bCs/>
          <w:sz w:val="18"/>
          <w:szCs w:val="18"/>
        </w:rPr>
      </w:pPr>
    </w:p>
    <w:p w14:paraId="1CB321F8" w14:textId="0A643234" w:rsidR="0000795B" w:rsidRPr="00FB38E1" w:rsidRDefault="0000795B" w:rsidP="00CB1278">
      <w:pPr>
        <w:jc w:val="center"/>
        <w:rPr>
          <w:rFonts w:ascii="Microsoft Sans Serif" w:hAnsi="Microsoft Sans Serif" w:cs="Microsoft Sans Serif"/>
          <w:bCs/>
          <w:sz w:val="20"/>
          <w:szCs w:val="20"/>
        </w:rPr>
        <w:sectPr w:rsidR="0000795B" w:rsidRPr="00FB38E1" w:rsidSect="005B03B1">
          <w:headerReference w:type="default" r:id="rId40"/>
          <w:pgSz w:w="11907" w:h="16840" w:code="9"/>
          <w:pgMar w:top="-1985" w:right="567" w:bottom="-862" w:left="1701" w:header="578" w:footer="227" w:gutter="0"/>
          <w:cols w:space="708"/>
          <w:docGrid w:linePitch="360"/>
        </w:sectPr>
      </w:pPr>
    </w:p>
    <w:tbl>
      <w:tblPr>
        <w:tblStyle w:val="TableGrid"/>
        <w:tblW w:w="154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
        <w:gridCol w:w="2515"/>
        <w:gridCol w:w="584"/>
        <w:gridCol w:w="584"/>
        <w:gridCol w:w="437"/>
        <w:gridCol w:w="437"/>
        <w:gridCol w:w="584"/>
        <w:gridCol w:w="584"/>
        <w:gridCol w:w="730"/>
        <w:gridCol w:w="1313"/>
        <w:gridCol w:w="584"/>
        <w:gridCol w:w="1167"/>
        <w:gridCol w:w="1460"/>
        <w:gridCol w:w="875"/>
        <w:gridCol w:w="729"/>
        <w:gridCol w:w="730"/>
        <w:gridCol w:w="730"/>
        <w:gridCol w:w="439"/>
        <w:gridCol w:w="569"/>
      </w:tblGrid>
      <w:tr w:rsidR="00794F20" w:rsidRPr="00FB38E1" w14:paraId="2936B819" w14:textId="77777777" w:rsidTr="005D5803">
        <w:tc>
          <w:tcPr>
            <w:tcW w:w="400" w:type="dxa"/>
            <w:tcBorders>
              <w:top w:val="single" w:sz="12" w:space="0" w:color="auto"/>
            </w:tcBorders>
            <w:tcMar>
              <w:left w:w="57" w:type="dxa"/>
              <w:right w:w="57" w:type="dxa"/>
            </w:tcMar>
            <w:vAlign w:val="bottom"/>
          </w:tcPr>
          <w:p w14:paraId="502966D7" w14:textId="77777777" w:rsidR="00794F20" w:rsidRPr="00FB38E1" w:rsidRDefault="00794F20" w:rsidP="00D220F4">
            <w:pPr>
              <w:rPr>
                <w:rFonts w:ascii="Microsoft Sans Serif" w:hAnsi="Microsoft Sans Serif" w:cs="Microsoft Sans Serif"/>
                <w:b/>
                <w:bCs/>
                <w:sz w:val="8"/>
                <w:szCs w:val="8"/>
              </w:rPr>
            </w:pPr>
          </w:p>
          <w:p w14:paraId="5F5B1A66" w14:textId="77777777" w:rsidR="00794F20" w:rsidRPr="00FB38E1" w:rsidRDefault="00794F20" w:rsidP="00D220F4">
            <w:pPr>
              <w:rPr>
                <w:rFonts w:ascii="Microsoft Sans Serif" w:hAnsi="Microsoft Sans Serif" w:cs="Microsoft Sans Serif"/>
                <w:b/>
                <w:bCs/>
                <w:sz w:val="8"/>
                <w:szCs w:val="8"/>
              </w:rPr>
            </w:pPr>
          </w:p>
        </w:tc>
        <w:tc>
          <w:tcPr>
            <w:tcW w:w="2515" w:type="dxa"/>
            <w:tcBorders>
              <w:top w:val="single" w:sz="12" w:space="0" w:color="auto"/>
            </w:tcBorders>
            <w:tcMar>
              <w:left w:w="57" w:type="dxa"/>
              <w:right w:w="57" w:type="dxa"/>
            </w:tcMar>
            <w:vAlign w:val="bottom"/>
          </w:tcPr>
          <w:p w14:paraId="4510A228" w14:textId="77777777" w:rsidR="00794F20" w:rsidRPr="00FB38E1" w:rsidRDefault="00794F20" w:rsidP="00D220F4">
            <w:pPr>
              <w:rPr>
                <w:rFonts w:ascii="Microsoft Sans Serif" w:hAnsi="Microsoft Sans Serif" w:cs="Microsoft Sans Serif"/>
                <w:b/>
                <w:bCs/>
                <w:sz w:val="8"/>
                <w:szCs w:val="8"/>
              </w:rPr>
            </w:pPr>
          </w:p>
        </w:tc>
        <w:tc>
          <w:tcPr>
            <w:tcW w:w="584" w:type="dxa"/>
            <w:tcBorders>
              <w:top w:val="single" w:sz="12" w:space="0" w:color="auto"/>
            </w:tcBorders>
          </w:tcPr>
          <w:p w14:paraId="2A29AFF9" w14:textId="77777777" w:rsidR="00794F20" w:rsidRPr="00FB38E1" w:rsidRDefault="00794F20" w:rsidP="00D220F4">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1C50BC53" w14:textId="77777777" w:rsidR="00794F20" w:rsidRPr="00FB38E1" w:rsidRDefault="00794F20" w:rsidP="00D220F4">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60557FF6" w14:textId="77777777" w:rsidR="00794F20" w:rsidRPr="00FB38E1" w:rsidRDefault="00794F20" w:rsidP="00D220F4">
            <w:pPr>
              <w:jc w:val="right"/>
              <w:rPr>
                <w:rFonts w:ascii="Microsoft Sans Serif" w:hAnsi="Microsoft Sans Serif" w:cs="Microsoft Sans Serif"/>
                <w:b/>
                <w:bCs/>
                <w:sz w:val="8"/>
                <w:szCs w:val="8"/>
              </w:rPr>
            </w:pPr>
          </w:p>
        </w:tc>
        <w:tc>
          <w:tcPr>
            <w:tcW w:w="437" w:type="dxa"/>
            <w:tcBorders>
              <w:top w:val="single" w:sz="12" w:space="0" w:color="auto"/>
            </w:tcBorders>
            <w:tcMar>
              <w:left w:w="57" w:type="dxa"/>
              <w:right w:w="57" w:type="dxa"/>
            </w:tcMar>
            <w:vAlign w:val="bottom"/>
          </w:tcPr>
          <w:p w14:paraId="4B1AE8F7" w14:textId="77777777" w:rsidR="00794F20" w:rsidRPr="00FB38E1" w:rsidRDefault="00794F20" w:rsidP="00D220F4">
            <w:pPr>
              <w:jc w:val="right"/>
              <w:rPr>
                <w:rFonts w:ascii="Microsoft Sans Serif" w:hAnsi="Microsoft Sans Serif" w:cs="Microsoft Sans Serif"/>
                <w:b/>
                <w:bCs/>
                <w:sz w:val="8"/>
                <w:szCs w:val="8"/>
              </w:rPr>
            </w:pPr>
          </w:p>
        </w:tc>
        <w:tc>
          <w:tcPr>
            <w:tcW w:w="584" w:type="dxa"/>
            <w:tcBorders>
              <w:top w:val="single" w:sz="12" w:space="0" w:color="auto"/>
            </w:tcBorders>
            <w:tcMar>
              <w:left w:w="57" w:type="dxa"/>
              <w:right w:w="57" w:type="dxa"/>
            </w:tcMar>
            <w:vAlign w:val="bottom"/>
          </w:tcPr>
          <w:p w14:paraId="62683B72" w14:textId="77777777" w:rsidR="00794F20" w:rsidRPr="00FB38E1" w:rsidRDefault="00794F20" w:rsidP="00D220F4">
            <w:pPr>
              <w:jc w:val="right"/>
              <w:rPr>
                <w:rFonts w:ascii="Microsoft Sans Serif" w:hAnsi="Microsoft Sans Serif" w:cs="Microsoft Sans Serif"/>
                <w:b/>
                <w:bCs/>
                <w:sz w:val="8"/>
                <w:szCs w:val="8"/>
              </w:rPr>
            </w:pPr>
          </w:p>
        </w:tc>
        <w:tc>
          <w:tcPr>
            <w:tcW w:w="2627" w:type="dxa"/>
            <w:gridSpan w:val="3"/>
            <w:tcBorders>
              <w:top w:val="single" w:sz="12" w:space="0" w:color="auto"/>
            </w:tcBorders>
            <w:tcMar>
              <w:left w:w="57" w:type="dxa"/>
              <w:right w:w="57" w:type="dxa"/>
            </w:tcMar>
            <w:vAlign w:val="bottom"/>
          </w:tcPr>
          <w:p w14:paraId="53BD7DF2" w14:textId="77777777" w:rsidR="00794F20" w:rsidRPr="00FB38E1" w:rsidRDefault="00794F20" w:rsidP="00D220F4">
            <w:pPr>
              <w:jc w:val="cente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Kar veya Zararda Yeniden Sınıflandırılmayacak</w:t>
            </w:r>
          </w:p>
          <w:p w14:paraId="27959E95" w14:textId="77777777" w:rsidR="00794F20" w:rsidRPr="00FB38E1" w:rsidRDefault="00794F20" w:rsidP="00D220F4">
            <w:pPr>
              <w:jc w:val="cente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Birikmiş Diğer Kapsamlı Gelirler ve Giderler</w:t>
            </w:r>
          </w:p>
        </w:tc>
        <w:tc>
          <w:tcPr>
            <w:tcW w:w="3211" w:type="dxa"/>
            <w:gridSpan w:val="3"/>
            <w:tcBorders>
              <w:top w:val="single" w:sz="12" w:space="0" w:color="auto"/>
            </w:tcBorders>
            <w:tcMar>
              <w:left w:w="57" w:type="dxa"/>
              <w:right w:w="57" w:type="dxa"/>
            </w:tcMar>
            <w:vAlign w:val="center"/>
          </w:tcPr>
          <w:p w14:paraId="31F182A9" w14:textId="77777777" w:rsidR="00794F20" w:rsidRPr="00FB38E1" w:rsidRDefault="00794F20" w:rsidP="00D220F4">
            <w:pPr>
              <w:jc w:val="cente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 xml:space="preserve">Kar veya Zararda Yeniden Sınıflandırılacak </w:t>
            </w:r>
          </w:p>
          <w:p w14:paraId="192E60A4" w14:textId="77777777" w:rsidR="00794F20" w:rsidRPr="00FB38E1" w:rsidRDefault="00794F20" w:rsidP="00D220F4">
            <w:pPr>
              <w:jc w:val="cente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Birikmiş Diğer Kapsamlı Gelirler ve Giderler</w:t>
            </w:r>
          </w:p>
        </w:tc>
        <w:tc>
          <w:tcPr>
            <w:tcW w:w="875" w:type="dxa"/>
            <w:tcBorders>
              <w:top w:val="single" w:sz="12" w:space="0" w:color="auto"/>
            </w:tcBorders>
            <w:tcMar>
              <w:left w:w="57" w:type="dxa"/>
              <w:right w:w="57" w:type="dxa"/>
            </w:tcMar>
            <w:vAlign w:val="bottom"/>
          </w:tcPr>
          <w:p w14:paraId="233E45DA" w14:textId="77777777" w:rsidR="00794F20" w:rsidRPr="00FB38E1" w:rsidRDefault="00794F20" w:rsidP="00D220F4">
            <w:pPr>
              <w:jc w:val="right"/>
              <w:rPr>
                <w:rFonts w:ascii="Microsoft Sans Serif" w:hAnsi="Microsoft Sans Serif" w:cs="Microsoft Sans Serif"/>
                <w:b/>
                <w:bCs/>
                <w:sz w:val="8"/>
                <w:szCs w:val="8"/>
              </w:rPr>
            </w:pPr>
          </w:p>
        </w:tc>
        <w:tc>
          <w:tcPr>
            <w:tcW w:w="729" w:type="dxa"/>
            <w:tcBorders>
              <w:top w:val="single" w:sz="12" w:space="0" w:color="auto"/>
            </w:tcBorders>
            <w:tcMar>
              <w:left w:w="57" w:type="dxa"/>
              <w:right w:w="57" w:type="dxa"/>
            </w:tcMar>
            <w:vAlign w:val="bottom"/>
          </w:tcPr>
          <w:p w14:paraId="270A809B" w14:textId="77777777" w:rsidR="00794F20" w:rsidRPr="00FB38E1" w:rsidRDefault="00794F20" w:rsidP="00D220F4">
            <w:pPr>
              <w:jc w:val="right"/>
              <w:rPr>
                <w:rFonts w:ascii="Microsoft Sans Serif" w:hAnsi="Microsoft Sans Serif" w:cs="Microsoft Sans Serif"/>
                <w:b/>
                <w:bCs/>
                <w:sz w:val="8"/>
                <w:szCs w:val="8"/>
              </w:rPr>
            </w:pPr>
          </w:p>
        </w:tc>
        <w:tc>
          <w:tcPr>
            <w:tcW w:w="730" w:type="dxa"/>
            <w:tcBorders>
              <w:top w:val="single" w:sz="12" w:space="0" w:color="auto"/>
            </w:tcBorders>
            <w:tcMar>
              <w:left w:w="57" w:type="dxa"/>
              <w:right w:w="57" w:type="dxa"/>
            </w:tcMar>
            <w:vAlign w:val="bottom"/>
          </w:tcPr>
          <w:p w14:paraId="58F48DED" w14:textId="77777777" w:rsidR="00794F20" w:rsidRPr="00FB38E1" w:rsidRDefault="00794F20" w:rsidP="00D220F4">
            <w:pPr>
              <w:jc w:val="right"/>
              <w:rPr>
                <w:rFonts w:ascii="Microsoft Sans Serif" w:hAnsi="Microsoft Sans Serif" w:cs="Microsoft Sans Serif"/>
                <w:b/>
                <w:bCs/>
                <w:sz w:val="8"/>
                <w:szCs w:val="8"/>
              </w:rPr>
            </w:pPr>
          </w:p>
        </w:tc>
        <w:tc>
          <w:tcPr>
            <w:tcW w:w="730" w:type="dxa"/>
            <w:tcBorders>
              <w:top w:val="single" w:sz="12" w:space="0" w:color="auto"/>
            </w:tcBorders>
            <w:tcMar>
              <w:left w:w="57" w:type="dxa"/>
              <w:right w:w="57" w:type="dxa"/>
            </w:tcMar>
            <w:vAlign w:val="bottom"/>
          </w:tcPr>
          <w:p w14:paraId="38F5B236" w14:textId="77777777" w:rsidR="00794F20" w:rsidRPr="00FB38E1" w:rsidRDefault="00794F20" w:rsidP="00D220F4">
            <w:pPr>
              <w:jc w:val="right"/>
              <w:rPr>
                <w:rFonts w:ascii="Microsoft Sans Serif" w:hAnsi="Microsoft Sans Serif" w:cs="Microsoft Sans Serif"/>
                <w:b/>
                <w:bCs/>
                <w:sz w:val="8"/>
                <w:szCs w:val="8"/>
              </w:rPr>
            </w:pPr>
          </w:p>
        </w:tc>
        <w:tc>
          <w:tcPr>
            <w:tcW w:w="439" w:type="dxa"/>
            <w:tcBorders>
              <w:top w:val="single" w:sz="12" w:space="0" w:color="auto"/>
            </w:tcBorders>
            <w:tcMar>
              <w:left w:w="57" w:type="dxa"/>
              <w:right w:w="57" w:type="dxa"/>
            </w:tcMar>
            <w:vAlign w:val="bottom"/>
          </w:tcPr>
          <w:p w14:paraId="44C297C9" w14:textId="77777777" w:rsidR="00794F20" w:rsidRPr="00FB38E1" w:rsidRDefault="00794F20" w:rsidP="00D220F4">
            <w:pPr>
              <w:jc w:val="right"/>
              <w:rPr>
                <w:rFonts w:ascii="Microsoft Sans Serif" w:hAnsi="Microsoft Sans Serif" w:cs="Microsoft Sans Serif"/>
                <w:b/>
                <w:bCs/>
                <w:sz w:val="8"/>
                <w:szCs w:val="8"/>
              </w:rPr>
            </w:pPr>
          </w:p>
        </w:tc>
        <w:tc>
          <w:tcPr>
            <w:tcW w:w="569" w:type="dxa"/>
            <w:tcBorders>
              <w:top w:val="single" w:sz="12" w:space="0" w:color="auto"/>
            </w:tcBorders>
            <w:tcMar>
              <w:left w:w="57" w:type="dxa"/>
              <w:right w:w="57" w:type="dxa"/>
            </w:tcMar>
            <w:vAlign w:val="bottom"/>
          </w:tcPr>
          <w:p w14:paraId="7845CF82" w14:textId="77777777" w:rsidR="00794F20" w:rsidRPr="00FB38E1" w:rsidRDefault="00794F20" w:rsidP="00D220F4">
            <w:pPr>
              <w:jc w:val="right"/>
              <w:rPr>
                <w:rFonts w:ascii="Microsoft Sans Serif" w:hAnsi="Microsoft Sans Serif" w:cs="Microsoft Sans Serif"/>
                <w:b/>
                <w:bCs/>
                <w:sz w:val="8"/>
                <w:szCs w:val="8"/>
              </w:rPr>
            </w:pPr>
          </w:p>
        </w:tc>
      </w:tr>
      <w:tr w:rsidR="00794F20" w:rsidRPr="00FB38E1" w14:paraId="1959DFE5" w14:textId="77777777" w:rsidTr="005D5803">
        <w:tc>
          <w:tcPr>
            <w:tcW w:w="400" w:type="dxa"/>
            <w:tcMar>
              <w:left w:w="57" w:type="dxa"/>
              <w:right w:w="57" w:type="dxa"/>
            </w:tcMar>
            <w:vAlign w:val="bottom"/>
          </w:tcPr>
          <w:p w14:paraId="334152F3" w14:textId="77777777" w:rsidR="00794F20" w:rsidRPr="00FB38E1" w:rsidRDefault="00794F20" w:rsidP="00D220F4">
            <w:pPr>
              <w:rPr>
                <w:rFonts w:ascii="Microsoft Sans Serif" w:hAnsi="Microsoft Sans Serif" w:cs="Microsoft Sans Serif"/>
                <w:b/>
                <w:bCs/>
                <w:sz w:val="8"/>
                <w:szCs w:val="8"/>
              </w:rPr>
            </w:pPr>
          </w:p>
        </w:tc>
        <w:tc>
          <w:tcPr>
            <w:tcW w:w="2515" w:type="dxa"/>
            <w:tcMar>
              <w:left w:w="57" w:type="dxa"/>
              <w:right w:w="57" w:type="dxa"/>
            </w:tcMar>
            <w:vAlign w:val="bottom"/>
          </w:tcPr>
          <w:p w14:paraId="6C181322" w14:textId="77777777" w:rsidR="00794F20" w:rsidRPr="00FB38E1" w:rsidRDefault="00794F20" w:rsidP="00D220F4">
            <w:pPr>
              <w:rPr>
                <w:rFonts w:ascii="Microsoft Sans Serif" w:hAnsi="Microsoft Sans Serif" w:cs="Microsoft Sans Serif"/>
                <w:b/>
                <w:bCs/>
                <w:sz w:val="8"/>
                <w:szCs w:val="8"/>
              </w:rPr>
            </w:pPr>
          </w:p>
        </w:tc>
        <w:tc>
          <w:tcPr>
            <w:tcW w:w="584" w:type="dxa"/>
          </w:tcPr>
          <w:p w14:paraId="72A2FDE7" w14:textId="77777777" w:rsidR="00794F20" w:rsidRPr="00FB38E1" w:rsidRDefault="00794F20" w:rsidP="00D220F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71F37F2D" w14:textId="77777777" w:rsidR="00794F20" w:rsidRPr="00FB38E1" w:rsidRDefault="00794F20" w:rsidP="00D220F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2562CFB8" w14:textId="77777777" w:rsidR="00794F20" w:rsidRPr="00FB38E1" w:rsidRDefault="00794F20" w:rsidP="00D220F4">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5AC78EBF" w14:textId="77777777" w:rsidR="00794F20" w:rsidRPr="00FB38E1" w:rsidRDefault="00794F20" w:rsidP="00D220F4">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4BC2B7A" w14:textId="77777777" w:rsidR="00794F20" w:rsidRPr="00FB38E1" w:rsidRDefault="00794F20" w:rsidP="00D220F4">
            <w:pPr>
              <w:jc w:val="right"/>
              <w:rPr>
                <w:rFonts w:ascii="Microsoft Sans Serif" w:hAnsi="Microsoft Sans Serif" w:cs="Microsoft Sans Serif"/>
                <w:b/>
                <w:bCs/>
                <w:sz w:val="8"/>
                <w:szCs w:val="8"/>
              </w:rPr>
            </w:pPr>
          </w:p>
        </w:tc>
        <w:tc>
          <w:tcPr>
            <w:tcW w:w="2627" w:type="dxa"/>
            <w:gridSpan w:val="3"/>
            <w:tcMar>
              <w:left w:w="57" w:type="dxa"/>
              <w:right w:w="57" w:type="dxa"/>
            </w:tcMar>
            <w:vAlign w:val="bottom"/>
          </w:tcPr>
          <w:p w14:paraId="31DCA4FD" w14:textId="77777777" w:rsidR="00794F20" w:rsidRPr="00FB38E1" w:rsidRDefault="00794F20" w:rsidP="00D220F4">
            <w:pPr>
              <w:jc w:val="center"/>
              <w:rPr>
                <w:rFonts w:ascii="Microsoft Sans Serif" w:hAnsi="Microsoft Sans Serif" w:cs="Microsoft Sans Serif"/>
                <w:b/>
                <w:bCs/>
                <w:sz w:val="8"/>
                <w:szCs w:val="8"/>
              </w:rPr>
            </w:pPr>
          </w:p>
        </w:tc>
        <w:tc>
          <w:tcPr>
            <w:tcW w:w="3211" w:type="dxa"/>
            <w:gridSpan w:val="3"/>
            <w:tcMar>
              <w:left w:w="57" w:type="dxa"/>
              <w:right w:w="57" w:type="dxa"/>
            </w:tcMar>
            <w:vAlign w:val="bottom"/>
          </w:tcPr>
          <w:p w14:paraId="78B24431" w14:textId="77777777" w:rsidR="00794F20" w:rsidRPr="00FB38E1" w:rsidRDefault="00794F20" w:rsidP="00D220F4">
            <w:pPr>
              <w:jc w:val="center"/>
              <w:rPr>
                <w:rFonts w:ascii="Microsoft Sans Serif" w:hAnsi="Microsoft Sans Serif" w:cs="Microsoft Sans Serif"/>
                <w:b/>
                <w:bCs/>
                <w:sz w:val="8"/>
                <w:szCs w:val="8"/>
              </w:rPr>
            </w:pPr>
          </w:p>
        </w:tc>
        <w:tc>
          <w:tcPr>
            <w:tcW w:w="875" w:type="dxa"/>
            <w:tcMar>
              <w:left w:w="57" w:type="dxa"/>
              <w:right w:w="57" w:type="dxa"/>
            </w:tcMar>
            <w:vAlign w:val="bottom"/>
          </w:tcPr>
          <w:p w14:paraId="69EEF42C" w14:textId="77777777" w:rsidR="00794F20" w:rsidRPr="00FB38E1" w:rsidRDefault="00794F20" w:rsidP="00D220F4">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0F1A3D3D" w14:textId="77777777" w:rsidR="00794F20" w:rsidRPr="00FB38E1" w:rsidRDefault="00794F20" w:rsidP="00D220F4">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7CAC0D4C" w14:textId="77777777" w:rsidR="00794F20" w:rsidRPr="00FB38E1" w:rsidRDefault="00794F20" w:rsidP="00D220F4">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6F870907" w14:textId="77777777" w:rsidR="00794F20" w:rsidRPr="00FB38E1" w:rsidRDefault="00794F20" w:rsidP="00D220F4">
            <w:pPr>
              <w:jc w:val="right"/>
              <w:rPr>
                <w:rFonts w:ascii="Microsoft Sans Serif" w:hAnsi="Microsoft Sans Serif" w:cs="Microsoft Sans Serif"/>
                <w:b/>
                <w:bCs/>
                <w:sz w:val="8"/>
                <w:szCs w:val="8"/>
              </w:rPr>
            </w:pPr>
          </w:p>
        </w:tc>
        <w:tc>
          <w:tcPr>
            <w:tcW w:w="439" w:type="dxa"/>
            <w:tcMar>
              <w:left w:w="57" w:type="dxa"/>
              <w:right w:w="57" w:type="dxa"/>
            </w:tcMar>
            <w:vAlign w:val="bottom"/>
          </w:tcPr>
          <w:p w14:paraId="2A724B74" w14:textId="77777777" w:rsidR="00794F20" w:rsidRPr="00FB38E1" w:rsidRDefault="00794F20" w:rsidP="00D220F4">
            <w:pPr>
              <w:jc w:val="right"/>
              <w:rPr>
                <w:rFonts w:ascii="Microsoft Sans Serif" w:hAnsi="Microsoft Sans Serif" w:cs="Microsoft Sans Serif"/>
                <w:b/>
                <w:bCs/>
                <w:sz w:val="8"/>
                <w:szCs w:val="8"/>
              </w:rPr>
            </w:pPr>
          </w:p>
        </w:tc>
        <w:tc>
          <w:tcPr>
            <w:tcW w:w="569" w:type="dxa"/>
            <w:tcMar>
              <w:left w:w="57" w:type="dxa"/>
              <w:right w:w="57" w:type="dxa"/>
            </w:tcMar>
            <w:vAlign w:val="bottom"/>
          </w:tcPr>
          <w:p w14:paraId="7DC568FE" w14:textId="77777777" w:rsidR="00794F20" w:rsidRPr="00FB38E1" w:rsidRDefault="00794F20" w:rsidP="00D220F4">
            <w:pPr>
              <w:jc w:val="right"/>
              <w:rPr>
                <w:rFonts w:ascii="Microsoft Sans Serif" w:hAnsi="Microsoft Sans Serif" w:cs="Microsoft Sans Serif"/>
                <w:b/>
                <w:bCs/>
                <w:sz w:val="8"/>
                <w:szCs w:val="8"/>
              </w:rPr>
            </w:pPr>
          </w:p>
        </w:tc>
      </w:tr>
      <w:tr w:rsidR="008E062C" w:rsidRPr="00FB38E1" w14:paraId="447930F1" w14:textId="77777777" w:rsidTr="005D5803">
        <w:tc>
          <w:tcPr>
            <w:tcW w:w="400" w:type="dxa"/>
            <w:tcBorders>
              <w:bottom w:val="single" w:sz="12" w:space="0" w:color="auto"/>
            </w:tcBorders>
            <w:tcMar>
              <w:left w:w="57" w:type="dxa"/>
              <w:right w:w="57" w:type="dxa"/>
            </w:tcMar>
            <w:vAlign w:val="bottom"/>
          </w:tcPr>
          <w:p w14:paraId="27EF2557"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 </w:t>
            </w:r>
          </w:p>
        </w:tc>
        <w:tc>
          <w:tcPr>
            <w:tcW w:w="2515" w:type="dxa"/>
            <w:tcBorders>
              <w:bottom w:val="single" w:sz="12" w:space="0" w:color="auto"/>
            </w:tcBorders>
            <w:tcMar>
              <w:left w:w="57" w:type="dxa"/>
              <w:right w:w="57" w:type="dxa"/>
            </w:tcMar>
            <w:vAlign w:val="bottom"/>
          </w:tcPr>
          <w:p w14:paraId="1C784995" w14:textId="1F703BDA"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Bağıımsız Denetimden Geçmiş</w:t>
            </w:r>
          </w:p>
          <w:p w14:paraId="4DAB9DD6"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ÖZKAYNAK KALEMLERİNDEKİ DEĞİŞİKLİKLER</w:t>
            </w:r>
          </w:p>
        </w:tc>
        <w:tc>
          <w:tcPr>
            <w:tcW w:w="584" w:type="dxa"/>
            <w:tcBorders>
              <w:bottom w:val="single" w:sz="12" w:space="0" w:color="auto"/>
            </w:tcBorders>
            <w:vAlign w:val="bottom"/>
          </w:tcPr>
          <w:p w14:paraId="4BD30A3C" w14:textId="248FB470" w:rsidR="008E062C" w:rsidRPr="00FB38E1" w:rsidRDefault="008E062C" w:rsidP="008E062C">
            <w:pPr>
              <w:jc w:val="center"/>
              <w:rPr>
                <w:rFonts w:ascii="Microsoft Sans Serif" w:hAnsi="Microsoft Sans Serif" w:cs="Microsoft Sans Serif"/>
                <w:b/>
                <w:bCs/>
                <w:sz w:val="8"/>
                <w:szCs w:val="8"/>
              </w:rPr>
            </w:pPr>
            <w:r w:rsidRPr="00FB38E1">
              <w:rPr>
                <w:rFonts w:ascii="Microsoft Sans Serif" w:hAnsi="Microsoft Sans Serif" w:cs="Microsoft Sans Serif"/>
                <w:b/>
                <w:bCs/>
                <w:sz w:val="12"/>
                <w:szCs w:val="12"/>
              </w:rPr>
              <w:t>Dipnot</w:t>
            </w:r>
          </w:p>
        </w:tc>
        <w:tc>
          <w:tcPr>
            <w:tcW w:w="584" w:type="dxa"/>
            <w:tcBorders>
              <w:bottom w:val="single" w:sz="12" w:space="0" w:color="auto"/>
            </w:tcBorders>
            <w:tcMar>
              <w:left w:w="57" w:type="dxa"/>
              <w:right w:w="57" w:type="dxa"/>
            </w:tcMar>
            <w:vAlign w:val="bottom"/>
          </w:tcPr>
          <w:p w14:paraId="7A3C846C"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Ödenmiş Sermaye</w:t>
            </w:r>
          </w:p>
        </w:tc>
        <w:tc>
          <w:tcPr>
            <w:tcW w:w="437" w:type="dxa"/>
            <w:tcBorders>
              <w:bottom w:val="single" w:sz="12" w:space="0" w:color="auto"/>
            </w:tcBorders>
            <w:tcMar>
              <w:left w:w="57" w:type="dxa"/>
              <w:right w:w="57" w:type="dxa"/>
            </w:tcMar>
            <w:vAlign w:val="bottom"/>
          </w:tcPr>
          <w:p w14:paraId="7EB12143"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Hisse Senedi İhraç Primleri</w:t>
            </w:r>
          </w:p>
        </w:tc>
        <w:tc>
          <w:tcPr>
            <w:tcW w:w="437" w:type="dxa"/>
            <w:tcBorders>
              <w:bottom w:val="single" w:sz="12" w:space="0" w:color="auto"/>
            </w:tcBorders>
            <w:tcMar>
              <w:left w:w="57" w:type="dxa"/>
              <w:right w:w="57" w:type="dxa"/>
            </w:tcMar>
            <w:vAlign w:val="bottom"/>
          </w:tcPr>
          <w:p w14:paraId="6C55F542"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Hisse Senedi İptal Kârları</w:t>
            </w:r>
          </w:p>
        </w:tc>
        <w:tc>
          <w:tcPr>
            <w:tcW w:w="584" w:type="dxa"/>
            <w:tcBorders>
              <w:bottom w:val="single" w:sz="12" w:space="0" w:color="auto"/>
            </w:tcBorders>
            <w:tcMar>
              <w:left w:w="57" w:type="dxa"/>
              <w:right w:w="57" w:type="dxa"/>
            </w:tcMar>
            <w:vAlign w:val="bottom"/>
          </w:tcPr>
          <w:p w14:paraId="38AED0CD"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Diğer Sermaye Yedekleri</w:t>
            </w:r>
          </w:p>
        </w:tc>
        <w:tc>
          <w:tcPr>
            <w:tcW w:w="584" w:type="dxa"/>
            <w:tcBorders>
              <w:bottom w:val="single" w:sz="12" w:space="0" w:color="auto"/>
            </w:tcBorders>
            <w:tcMar>
              <w:left w:w="57" w:type="dxa"/>
              <w:right w:w="57" w:type="dxa"/>
            </w:tcMar>
            <w:vAlign w:val="bottom"/>
          </w:tcPr>
          <w:p w14:paraId="258D0AA3"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Duran varlıklar birikmiş yeniden değerleme artışları/</w:t>
            </w:r>
          </w:p>
          <w:p w14:paraId="2EDDD19A"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azalışları</w:t>
            </w:r>
          </w:p>
        </w:tc>
        <w:tc>
          <w:tcPr>
            <w:tcW w:w="730" w:type="dxa"/>
            <w:tcBorders>
              <w:bottom w:val="single" w:sz="12" w:space="0" w:color="auto"/>
            </w:tcBorders>
            <w:tcMar>
              <w:left w:w="57" w:type="dxa"/>
              <w:right w:w="57" w:type="dxa"/>
            </w:tcMar>
            <w:vAlign w:val="bottom"/>
          </w:tcPr>
          <w:p w14:paraId="0EBED83D"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Tanımlanmış fayda planlarının birikmiş yeniden ölçüm kazançları/</w:t>
            </w:r>
          </w:p>
          <w:p w14:paraId="4A7A6717"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kayıpları</w:t>
            </w:r>
          </w:p>
        </w:tc>
        <w:tc>
          <w:tcPr>
            <w:tcW w:w="1313" w:type="dxa"/>
            <w:tcBorders>
              <w:bottom w:val="single" w:sz="12" w:space="0" w:color="auto"/>
            </w:tcBorders>
            <w:tcMar>
              <w:left w:w="57" w:type="dxa"/>
              <w:right w:w="57" w:type="dxa"/>
            </w:tcMar>
            <w:vAlign w:val="bottom"/>
          </w:tcPr>
          <w:p w14:paraId="54D1A968"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Diğer (Özkaynak yöntemiyle değerlenen yatırımların diğer kapsamlı gelirinden kâr/zararda sınıflandırılmayacak payları ile diğer kâr veya zarar olarak yeniden sınıflandırılmayacak diğer kapsamlı gelir unsurlarının birikmiş tutarları)</w:t>
            </w:r>
          </w:p>
        </w:tc>
        <w:tc>
          <w:tcPr>
            <w:tcW w:w="584" w:type="dxa"/>
            <w:tcBorders>
              <w:bottom w:val="single" w:sz="12" w:space="0" w:color="auto"/>
            </w:tcBorders>
            <w:tcMar>
              <w:left w:w="57" w:type="dxa"/>
              <w:right w:w="57" w:type="dxa"/>
            </w:tcMar>
            <w:vAlign w:val="bottom"/>
          </w:tcPr>
          <w:p w14:paraId="0A5CE2A3"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Yabancı para çevirim farkları</w:t>
            </w:r>
          </w:p>
        </w:tc>
        <w:tc>
          <w:tcPr>
            <w:tcW w:w="1167" w:type="dxa"/>
            <w:tcBorders>
              <w:bottom w:val="single" w:sz="12" w:space="0" w:color="auto"/>
            </w:tcBorders>
            <w:tcMar>
              <w:left w:w="57" w:type="dxa"/>
              <w:right w:w="57" w:type="dxa"/>
            </w:tcMar>
            <w:vAlign w:val="bottom"/>
          </w:tcPr>
          <w:p w14:paraId="286F3140"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Gerçeğe uygun değer farkı diğer kapsamlı gelire yansıtılan finansal varlıkların birikmiş yeniden değerleme ve/veya sınıflandırma kazançları/</w:t>
            </w:r>
          </w:p>
          <w:p w14:paraId="4CC13A44"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kayıpları</w:t>
            </w:r>
          </w:p>
        </w:tc>
        <w:tc>
          <w:tcPr>
            <w:tcW w:w="1460" w:type="dxa"/>
            <w:tcBorders>
              <w:bottom w:val="single" w:sz="12" w:space="0" w:color="auto"/>
            </w:tcBorders>
            <w:tcMar>
              <w:left w:w="57" w:type="dxa"/>
              <w:right w:w="57" w:type="dxa"/>
            </w:tcMar>
            <w:vAlign w:val="bottom"/>
          </w:tcPr>
          <w:p w14:paraId="2BE530A0"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p>
        </w:tc>
        <w:tc>
          <w:tcPr>
            <w:tcW w:w="875" w:type="dxa"/>
            <w:tcBorders>
              <w:bottom w:val="single" w:sz="12" w:space="0" w:color="auto"/>
            </w:tcBorders>
            <w:tcMar>
              <w:left w:w="57" w:type="dxa"/>
              <w:right w:w="57" w:type="dxa"/>
            </w:tcMar>
            <w:vAlign w:val="bottom"/>
          </w:tcPr>
          <w:p w14:paraId="12872F83"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Kar Yedekleri (*)</w:t>
            </w:r>
          </w:p>
        </w:tc>
        <w:tc>
          <w:tcPr>
            <w:tcW w:w="729" w:type="dxa"/>
            <w:tcBorders>
              <w:bottom w:val="single" w:sz="12" w:space="0" w:color="auto"/>
            </w:tcBorders>
            <w:tcMar>
              <w:left w:w="57" w:type="dxa"/>
              <w:right w:w="57" w:type="dxa"/>
            </w:tcMar>
            <w:vAlign w:val="bottom"/>
          </w:tcPr>
          <w:p w14:paraId="67366FB5"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Geçmiş Dönem Kârı/Zararı</w:t>
            </w:r>
          </w:p>
        </w:tc>
        <w:tc>
          <w:tcPr>
            <w:tcW w:w="730" w:type="dxa"/>
            <w:tcBorders>
              <w:bottom w:val="single" w:sz="12" w:space="0" w:color="auto"/>
            </w:tcBorders>
            <w:tcMar>
              <w:left w:w="57" w:type="dxa"/>
              <w:right w:w="57" w:type="dxa"/>
            </w:tcMar>
            <w:vAlign w:val="bottom"/>
          </w:tcPr>
          <w:p w14:paraId="2E6858A8"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Dönem Net Kar veya Zararı</w:t>
            </w:r>
          </w:p>
        </w:tc>
        <w:tc>
          <w:tcPr>
            <w:tcW w:w="730" w:type="dxa"/>
            <w:tcBorders>
              <w:bottom w:val="single" w:sz="12" w:space="0" w:color="auto"/>
            </w:tcBorders>
            <w:tcMar>
              <w:left w:w="57" w:type="dxa"/>
              <w:right w:w="57" w:type="dxa"/>
            </w:tcMar>
            <w:vAlign w:val="bottom"/>
          </w:tcPr>
          <w:p w14:paraId="741E0011"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Azınlık Payları Hariç Toplam Özkaynak</w:t>
            </w:r>
          </w:p>
        </w:tc>
        <w:tc>
          <w:tcPr>
            <w:tcW w:w="439" w:type="dxa"/>
            <w:tcBorders>
              <w:bottom w:val="single" w:sz="12" w:space="0" w:color="auto"/>
            </w:tcBorders>
            <w:tcMar>
              <w:left w:w="57" w:type="dxa"/>
              <w:right w:w="57" w:type="dxa"/>
            </w:tcMar>
            <w:vAlign w:val="bottom"/>
          </w:tcPr>
          <w:p w14:paraId="3DF5809D"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Azınlık Payları</w:t>
            </w:r>
          </w:p>
        </w:tc>
        <w:tc>
          <w:tcPr>
            <w:tcW w:w="569" w:type="dxa"/>
            <w:tcBorders>
              <w:bottom w:val="single" w:sz="12" w:space="0" w:color="auto"/>
            </w:tcBorders>
            <w:tcMar>
              <w:left w:w="57" w:type="dxa"/>
              <w:right w:w="57" w:type="dxa"/>
            </w:tcMar>
            <w:vAlign w:val="bottom"/>
          </w:tcPr>
          <w:p w14:paraId="0E53EB5E" w14:textId="77777777"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Toplam Özkaynak</w:t>
            </w:r>
          </w:p>
        </w:tc>
      </w:tr>
      <w:tr w:rsidR="008E062C" w:rsidRPr="00FB38E1" w14:paraId="0B8B8AC4" w14:textId="77777777" w:rsidTr="005D5803">
        <w:tc>
          <w:tcPr>
            <w:tcW w:w="400" w:type="dxa"/>
            <w:tcBorders>
              <w:top w:val="single" w:sz="12" w:space="0" w:color="auto"/>
            </w:tcBorders>
            <w:tcMar>
              <w:left w:w="57" w:type="dxa"/>
              <w:right w:w="57" w:type="dxa"/>
            </w:tcMar>
            <w:vAlign w:val="bottom"/>
          </w:tcPr>
          <w:p w14:paraId="78576570"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 </w:t>
            </w:r>
          </w:p>
        </w:tc>
        <w:tc>
          <w:tcPr>
            <w:tcW w:w="2515" w:type="dxa"/>
            <w:tcBorders>
              <w:top w:val="single" w:sz="12" w:space="0" w:color="auto"/>
            </w:tcBorders>
            <w:tcMar>
              <w:left w:w="57" w:type="dxa"/>
              <w:right w:w="57" w:type="dxa"/>
            </w:tcMar>
            <w:vAlign w:val="bottom"/>
          </w:tcPr>
          <w:p w14:paraId="4BDB7C5D"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 </w:t>
            </w:r>
          </w:p>
        </w:tc>
        <w:tc>
          <w:tcPr>
            <w:tcW w:w="584" w:type="dxa"/>
            <w:tcBorders>
              <w:top w:val="single" w:sz="12" w:space="0" w:color="auto"/>
            </w:tcBorders>
          </w:tcPr>
          <w:p w14:paraId="3E3ECD3C" w14:textId="77777777" w:rsidR="008E062C" w:rsidRPr="00FB38E1" w:rsidRDefault="008E062C"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0A543B49" w14:textId="77777777" w:rsidR="008E062C" w:rsidRPr="00FB38E1" w:rsidRDefault="008E062C" w:rsidP="008E062C">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5C7313BE" w14:textId="77777777" w:rsidR="008E062C" w:rsidRPr="00FB38E1" w:rsidRDefault="008E062C" w:rsidP="008E062C">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45C95104" w14:textId="77777777" w:rsidR="008E062C" w:rsidRPr="00FB38E1" w:rsidRDefault="008E062C"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5735DCFF" w14:textId="77777777" w:rsidR="008E062C" w:rsidRPr="00FB38E1" w:rsidRDefault="008E062C"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486BF49C" w14:textId="77777777" w:rsidR="008E062C" w:rsidRPr="00FB38E1" w:rsidRDefault="008E062C" w:rsidP="008E062C">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7093D392" w14:textId="77777777" w:rsidR="008E062C" w:rsidRPr="00FB38E1" w:rsidRDefault="008E062C" w:rsidP="008E062C">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72286C24" w14:textId="77777777" w:rsidR="008E062C" w:rsidRPr="00FB38E1" w:rsidRDefault="008E062C"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13C994B2" w14:textId="77777777" w:rsidR="008E062C" w:rsidRPr="00FB38E1" w:rsidRDefault="008E062C" w:rsidP="008E062C">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375A2EA1" w14:textId="77777777" w:rsidR="008E062C" w:rsidRPr="00FB38E1" w:rsidRDefault="008E062C" w:rsidP="008E062C">
            <w:pPr>
              <w:jc w:val="right"/>
              <w:rPr>
                <w:rFonts w:ascii="Microsoft Sans Serif" w:hAnsi="Microsoft Sans Serif" w:cs="Microsoft Sans Serif"/>
                <w:sz w:val="8"/>
                <w:szCs w:val="8"/>
              </w:rPr>
            </w:pPr>
          </w:p>
        </w:tc>
        <w:tc>
          <w:tcPr>
            <w:tcW w:w="1460" w:type="dxa"/>
            <w:tcBorders>
              <w:top w:val="single" w:sz="12" w:space="0" w:color="auto"/>
            </w:tcBorders>
            <w:tcMar>
              <w:left w:w="57" w:type="dxa"/>
              <w:right w:w="57" w:type="dxa"/>
            </w:tcMar>
            <w:vAlign w:val="bottom"/>
          </w:tcPr>
          <w:p w14:paraId="19BBB8A6" w14:textId="77777777" w:rsidR="008E062C" w:rsidRPr="00FB38E1" w:rsidRDefault="008E062C" w:rsidP="008E062C">
            <w:pPr>
              <w:jc w:val="right"/>
              <w:rPr>
                <w:rFonts w:ascii="Microsoft Sans Serif" w:hAnsi="Microsoft Sans Serif" w:cs="Microsoft Sans Serif"/>
                <w:sz w:val="8"/>
                <w:szCs w:val="8"/>
              </w:rPr>
            </w:pPr>
          </w:p>
        </w:tc>
        <w:tc>
          <w:tcPr>
            <w:tcW w:w="875" w:type="dxa"/>
            <w:tcBorders>
              <w:top w:val="single" w:sz="12" w:space="0" w:color="auto"/>
            </w:tcBorders>
            <w:tcMar>
              <w:left w:w="57" w:type="dxa"/>
              <w:right w:w="57" w:type="dxa"/>
            </w:tcMar>
            <w:vAlign w:val="bottom"/>
          </w:tcPr>
          <w:p w14:paraId="51A769D5" w14:textId="77777777" w:rsidR="008E062C" w:rsidRPr="00FB38E1" w:rsidRDefault="008E062C" w:rsidP="008E062C">
            <w:pPr>
              <w:jc w:val="right"/>
              <w:rPr>
                <w:rFonts w:ascii="Microsoft Sans Serif" w:hAnsi="Microsoft Sans Serif" w:cs="Microsoft Sans Serif"/>
                <w:sz w:val="8"/>
                <w:szCs w:val="8"/>
              </w:rPr>
            </w:pPr>
          </w:p>
        </w:tc>
        <w:tc>
          <w:tcPr>
            <w:tcW w:w="729" w:type="dxa"/>
            <w:tcBorders>
              <w:top w:val="single" w:sz="12" w:space="0" w:color="auto"/>
            </w:tcBorders>
            <w:tcMar>
              <w:left w:w="57" w:type="dxa"/>
              <w:right w:w="57" w:type="dxa"/>
            </w:tcMar>
            <w:vAlign w:val="bottom"/>
          </w:tcPr>
          <w:p w14:paraId="1E93ECB1" w14:textId="77777777" w:rsidR="008E062C" w:rsidRPr="00FB38E1" w:rsidRDefault="008E062C" w:rsidP="008E062C">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2BEC13C0" w14:textId="77777777" w:rsidR="008E062C" w:rsidRPr="00FB38E1" w:rsidRDefault="008E062C" w:rsidP="008E062C">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1ABE713D" w14:textId="77777777" w:rsidR="008E062C" w:rsidRPr="00FB38E1" w:rsidRDefault="008E062C" w:rsidP="008E062C">
            <w:pPr>
              <w:jc w:val="right"/>
              <w:rPr>
                <w:rFonts w:ascii="Microsoft Sans Serif" w:hAnsi="Microsoft Sans Serif" w:cs="Microsoft Sans Serif"/>
                <w:sz w:val="8"/>
                <w:szCs w:val="8"/>
              </w:rPr>
            </w:pPr>
          </w:p>
        </w:tc>
        <w:tc>
          <w:tcPr>
            <w:tcW w:w="439" w:type="dxa"/>
            <w:tcBorders>
              <w:top w:val="single" w:sz="12" w:space="0" w:color="auto"/>
            </w:tcBorders>
            <w:tcMar>
              <w:left w:w="57" w:type="dxa"/>
              <w:right w:w="57" w:type="dxa"/>
            </w:tcMar>
            <w:vAlign w:val="bottom"/>
          </w:tcPr>
          <w:p w14:paraId="170AE563" w14:textId="77777777" w:rsidR="008E062C" w:rsidRPr="00FB38E1" w:rsidRDefault="008E062C" w:rsidP="008E062C">
            <w:pPr>
              <w:jc w:val="right"/>
              <w:rPr>
                <w:rFonts w:ascii="Microsoft Sans Serif" w:hAnsi="Microsoft Sans Serif" w:cs="Microsoft Sans Serif"/>
                <w:sz w:val="8"/>
                <w:szCs w:val="8"/>
              </w:rPr>
            </w:pPr>
          </w:p>
        </w:tc>
        <w:tc>
          <w:tcPr>
            <w:tcW w:w="569" w:type="dxa"/>
            <w:tcBorders>
              <w:top w:val="single" w:sz="12" w:space="0" w:color="auto"/>
            </w:tcBorders>
            <w:tcMar>
              <w:left w:w="57" w:type="dxa"/>
              <w:right w:w="57" w:type="dxa"/>
            </w:tcMar>
            <w:vAlign w:val="bottom"/>
          </w:tcPr>
          <w:p w14:paraId="180ED199" w14:textId="77777777" w:rsidR="008E062C" w:rsidRPr="00FB38E1" w:rsidRDefault="008E062C" w:rsidP="008E062C">
            <w:pPr>
              <w:jc w:val="right"/>
              <w:rPr>
                <w:rFonts w:ascii="Microsoft Sans Serif" w:hAnsi="Microsoft Sans Serif" w:cs="Microsoft Sans Serif"/>
                <w:sz w:val="8"/>
                <w:szCs w:val="8"/>
              </w:rPr>
            </w:pPr>
          </w:p>
        </w:tc>
      </w:tr>
      <w:tr w:rsidR="008E062C" w:rsidRPr="00FB38E1" w14:paraId="01204677" w14:textId="77777777" w:rsidTr="005D5803">
        <w:tc>
          <w:tcPr>
            <w:tcW w:w="400" w:type="dxa"/>
            <w:shd w:val="clear" w:color="auto" w:fill="auto"/>
            <w:tcMar>
              <w:left w:w="57" w:type="dxa"/>
              <w:right w:w="57" w:type="dxa"/>
            </w:tcMar>
            <w:vAlign w:val="bottom"/>
          </w:tcPr>
          <w:p w14:paraId="03572CD1" w14:textId="77777777" w:rsidR="008E062C" w:rsidRPr="00FB38E1" w:rsidRDefault="008E062C" w:rsidP="008E062C">
            <w:pPr>
              <w:rPr>
                <w:rFonts w:ascii="Microsoft Sans Serif" w:hAnsi="Microsoft Sans Serif" w:cs="Microsoft Sans Serif"/>
                <w:b/>
                <w:bCs/>
                <w:sz w:val="8"/>
                <w:szCs w:val="8"/>
              </w:rPr>
            </w:pPr>
          </w:p>
        </w:tc>
        <w:tc>
          <w:tcPr>
            <w:tcW w:w="2515" w:type="dxa"/>
            <w:shd w:val="clear" w:color="auto" w:fill="auto"/>
            <w:tcMar>
              <w:left w:w="57" w:type="dxa"/>
              <w:right w:w="57" w:type="dxa"/>
            </w:tcMar>
            <w:vAlign w:val="bottom"/>
          </w:tcPr>
          <w:p w14:paraId="425EF676" w14:textId="2A6B06F0"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ÖNCEKİ DÖNEM</w:t>
            </w:r>
          </w:p>
        </w:tc>
        <w:tc>
          <w:tcPr>
            <w:tcW w:w="584" w:type="dxa"/>
          </w:tcPr>
          <w:p w14:paraId="5021F0F9"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41264DB5" w14:textId="77777777" w:rsidR="008E062C" w:rsidRPr="00FB38E1" w:rsidRDefault="008E062C" w:rsidP="008E062C">
            <w:pPr>
              <w:jc w:val="right"/>
              <w:rPr>
                <w:rFonts w:ascii="Microsoft Sans Serif" w:hAnsi="Microsoft Sans Serif" w:cs="Microsoft Sans Serif"/>
                <w:sz w:val="8"/>
                <w:szCs w:val="8"/>
              </w:rPr>
            </w:pPr>
          </w:p>
        </w:tc>
        <w:tc>
          <w:tcPr>
            <w:tcW w:w="437" w:type="dxa"/>
            <w:tcMar>
              <w:left w:w="57" w:type="dxa"/>
              <w:right w:w="57" w:type="dxa"/>
            </w:tcMar>
            <w:vAlign w:val="bottom"/>
          </w:tcPr>
          <w:p w14:paraId="757FFD01" w14:textId="77777777" w:rsidR="008E062C" w:rsidRPr="00FB38E1" w:rsidRDefault="008E062C" w:rsidP="008E062C">
            <w:pPr>
              <w:jc w:val="right"/>
              <w:rPr>
                <w:rFonts w:ascii="Microsoft Sans Serif" w:hAnsi="Microsoft Sans Serif" w:cs="Microsoft Sans Serif"/>
                <w:sz w:val="8"/>
                <w:szCs w:val="8"/>
              </w:rPr>
            </w:pPr>
          </w:p>
        </w:tc>
        <w:tc>
          <w:tcPr>
            <w:tcW w:w="437" w:type="dxa"/>
            <w:tcMar>
              <w:left w:w="57" w:type="dxa"/>
              <w:right w:w="57" w:type="dxa"/>
            </w:tcMar>
            <w:vAlign w:val="bottom"/>
          </w:tcPr>
          <w:p w14:paraId="4A1A10EA"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6507BD18"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74EE249F" w14:textId="77777777" w:rsidR="008E062C" w:rsidRPr="00FB38E1" w:rsidRDefault="008E062C" w:rsidP="008E062C">
            <w:pPr>
              <w:jc w:val="right"/>
              <w:rPr>
                <w:rFonts w:ascii="Microsoft Sans Serif" w:hAnsi="Microsoft Sans Serif" w:cs="Microsoft Sans Serif"/>
                <w:sz w:val="8"/>
                <w:szCs w:val="8"/>
              </w:rPr>
            </w:pPr>
          </w:p>
        </w:tc>
        <w:tc>
          <w:tcPr>
            <w:tcW w:w="730" w:type="dxa"/>
            <w:tcMar>
              <w:left w:w="57" w:type="dxa"/>
              <w:right w:w="57" w:type="dxa"/>
            </w:tcMar>
            <w:vAlign w:val="bottom"/>
          </w:tcPr>
          <w:p w14:paraId="6EFFDEF8" w14:textId="77777777" w:rsidR="008E062C" w:rsidRPr="00FB38E1" w:rsidRDefault="008E062C" w:rsidP="008E062C">
            <w:pPr>
              <w:jc w:val="right"/>
              <w:rPr>
                <w:rFonts w:ascii="Microsoft Sans Serif" w:hAnsi="Microsoft Sans Serif" w:cs="Microsoft Sans Serif"/>
                <w:sz w:val="8"/>
                <w:szCs w:val="8"/>
              </w:rPr>
            </w:pPr>
          </w:p>
        </w:tc>
        <w:tc>
          <w:tcPr>
            <w:tcW w:w="1313" w:type="dxa"/>
            <w:tcMar>
              <w:left w:w="57" w:type="dxa"/>
              <w:right w:w="57" w:type="dxa"/>
            </w:tcMar>
            <w:vAlign w:val="bottom"/>
          </w:tcPr>
          <w:p w14:paraId="6919CFFF"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1E4D45E0" w14:textId="77777777" w:rsidR="008E062C" w:rsidRPr="00FB38E1" w:rsidRDefault="008E062C" w:rsidP="008E062C">
            <w:pPr>
              <w:jc w:val="right"/>
              <w:rPr>
                <w:rFonts w:ascii="Microsoft Sans Serif" w:hAnsi="Microsoft Sans Serif" w:cs="Microsoft Sans Serif"/>
                <w:sz w:val="8"/>
                <w:szCs w:val="8"/>
              </w:rPr>
            </w:pPr>
          </w:p>
        </w:tc>
        <w:tc>
          <w:tcPr>
            <w:tcW w:w="1167" w:type="dxa"/>
            <w:tcMar>
              <w:left w:w="57" w:type="dxa"/>
              <w:right w:w="57" w:type="dxa"/>
            </w:tcMar>
            <w:vAlign w:val="bottom"/>
          </w:tcPr>
          <w:p w14:paraId="157E6CDB" w14:textId="77777777" w:rsidR="008E062C" w:rsidRPr="00FB38E1" w:rsidRDefault="008E062C" w:rsidP="008E062C">
            <w:pPr>
              <w:jc w:val="right"/>
              <w:rPr>
                <w:rFonts w:ascii="Microsoft Sans Serif" w:hAnsi="Microsoft Sans Serif" w:cs="Microsoft Sans Serif"/>
                <w:sz w:val="8"/>
                <w:szCs w:val="8"/>
              </w:rPr>
            </w:pPr>
          </w:p>
        </w:tc>
        <w:tc>
          <w:tcPr>
            <w:tcW w:w="1460" w:type="dxa"/>
            <w:tcMar>
              <w:left w:w="57" w:type="dxa"/>
              <w:right w:w="57" w:type="dxa"/>
            </w:tcMar>
            <w:vAlign w:val="bottom"/>
          </w:tcPr>
          <w:p w14:paraId="2E22D62A" w14:textId="77777777" w:rsidR="008E062C" w:rsidRPr="00FB38E1" w:rsidRDefault="008E062C" w:rsidP="008E062C">
            <w:pPr>
              <w:jc w:val="right"/>
              <w:rPr>
                <w:rFonts w:ascii="Microsoft Sans Serif" w:hAnsi="Microsoft Sans Serif" w:cs="Microsoft Sans Serif"/>
                <w:sz w:val="8"/>
                <w:szCs w:val="8"/>
              </w:rPr>
            </w:pPr>
          </w:p>
        </w:tc>
        <w:tc>
          <w:tcPr>
            <w:tcW w:w="875" w:type="dxa"/>
            <w:tcMar>
              <w:left w:w="57" w:type="dxa"/>
              <w:right w:w="57" w:type="dxa"/>
            </w:tcMar>
            <w:vAlign w:val="bottom"/>
          </w:tcPr>
          <w:p w14:paraId="097EE37A" w14:textId="77777777" w:rsidR="008E062C" w:rsidRPr="00FB38E1" w:rsidRDefault="008E062C" w:rsidP="008E062C">
            <w:pPr>
              <w:jc w:val="right"/>
              <w:rPr>
                <w:rFonts w:ascii="Microsoft Sans Serif" w:hAnsi="Microsoft Sans Serif" w:cs="Microsoft Sans Serif"/>
                <w:sz w:val="8"/>
                <w:szCs w:val="8"/>
              </w:rPr>
            </w:pPr>
          </w:p>
        </w:tc>
        <w:tc>
          <w:tcPr>
            <w:tcW w:w="729" w:type="dxa"/>
            <w:tcMar>
              <w:left w:w="57" w:type="dxa"/>
              <w:right w:w="57" w:type="dxa"/>
            </w:tcMar>
            <w:vAlign w:val="bottom"/>
          </w:tcPr>
          <w:p w14:paraId="63E9671B" w14:textId="77777777" w:rsidR="008E062C" w:rsidRPr="00FB38E1" w:rsidRDefault="008E062C" w:rsidP="008E062C">
            <w:pPr>
              <w:jc w:val="right"/>
              <w:rPr>
                <w:rFonts w:ascii="Microsoft Sans Serif" w:hAnsi="Microsoft Sans Serif" w:cs="Microsoft Sans Serif"/>
                <w:sz w:val="8"/>
                <w:szCs w:val="8"/>
              </w:rPr>
            </w:pPr>
          </w:p>
        </w:tc>
        <w:tc>
          <w:tcPr>
            <w:tcW w:w="730" w:type="dxa"/>
            <w:tcMar>
              <w:left w:w="57" w:type="dxa"/>
              <w:right w:w="57" w:type="dxa"/>
            </w:tcMar>
            <w:vAlign w:val="bottom"/>
          </w:tcPr>
          <w:p w14:paraId="0C2561F6" w14:textId="77777777" w:rsidR="008E062C" w:rsidRPr="00FB38E1" w:rsidRDefault="008E062C" w:rsidP="008E062C">
            <w:pPr>
              <w:jc w:val="right"/>
              <w:rPr>
                <w:rFonts w:ascii="Microsoft Sans Serif" w:hAnsi="Microsoft Sans Serif" w:cs="Microsoft Sans Serif"/>
                <w:sz w:val="8"/>
                <w:szCs w:val="8"/>
              </w:rPr>
            </w:pPr>
          </w:p>
        </w:tc>
        <w:tc>
          <w:tcPr>
            <w:tcW w:w="730" w:type="dxa"/>
            <w:tcMar>
              <w:left w:w="57" w:type="dxa"/>
              <w:right w:w="57" w:type="dxa"/>
            </w:tcMar>
            <w:vAlign w:val="bottom"/>
          </w:tcPr>
          <w:p w14:paraId="112BC41B" w14:textId="77777777" w:rsidR="008E062C" w:rsidRPr="00FB38E1" w:rsidRDefault="008E062C" w:rsidP="008E062C">
            <w:pPr>
              <w:jc w:val="right"/>
              <w:rPr>
                <w:rFonts w:ascii="Microsoft Sans Serif" w:hAnsi="Microsoft Sans Serif" w:cs="Microsoft Sans Serif"/>
                <w:sz w:val="8"/>
                <w:szCs w:val="8"/>
              </w:rPr>
            </w:pPr>
          </w:p>
        </w:tc>
        <w:tc>
          <w:tcPr>
            <w:tcW w:w="439" w:type="dxa"/>
            <w:tcMar>
              <w:left w:w="57" w:type="dxa"/>
              <w:right w:w="57" w:type="dxa"/>
            </w:tcMar>
            <w:vAlign w:val="bottom"/>
          </w:tcPr>
          <w:p w14:paraId="570EF9F4" w14:textId="77777777" w:rsidR="008E062C" w:rsidRPr="00FB38E1" w:rsidRDefault="008E062C" w:rsidP="008E062C">
            <w:pPr>
              <w:jc w:val="right"/>
              <w:rPr>
                <w:rFonts w:ascii="Microsoft Sans Serif" w:hAnsi="Microsoft Sans Serif" w:cs="Microsoft Sans Serif"/>
                <w:sz w:val="8"/>
                <w:szCs w:val="8"/>
              </w:rPr>
            </w:pPr>
          </w:p>
        </w:tc>
        <w:tc>
          <w:tcPr>
            <w:tcW w:w="569" w:type="dxa"/>
            <w:tcMar>
              <w:left w:w="57" w:type="dxa"/>
              <w:right w:w="57" w:type="dxa"/>
            </w:tcMar>
            <w:vAlign w:val="bottom"/>
          </w:tcPr>
          <w:p w14:paraId="7497DDAE" w14:textId="77777777" w:rsidR="008E062C" w:rsidRPr="00FB38E1" w:rsidRDefault="008E062C" w:rsidP="008E062C">
            <w:pPr>
              <w:jc w:val="right"/>
              <w:rPr>
                <w:rFonts w:ascii="Microsoft Sans Serif" w:hAnsi="Microsoft Sans Serif" w:cs="Microsoft Sans Serif"/>
                <w:sz w:val="8"/>
                <w:szCs w:val="8"/>
              </w:rPr>
            </w:pPr>
          </w:p>
        </w:tc>
      </w:tr>
      <w:tr w:rsidR="008E062C" w:rsidRPr="00FB38E1" w14:paraId="77109434" w14:textId="77777777" w:rsidTr="005D5803">
        <w:trPr>
          <w:trHeight w:val="54"/>
        </w:trPr>
        <w:tc>
          <w:tcPr>
            <w:tcW w:w="400" w:type="dxa"/>
            <w:shd w:val="clear" w:color="auto" w:fill="auto"/>
            <w:tcMar>
              <w:left w:w="57" w:type="dxa"/>
              <w:right w:w="57" w:type="dxa"/>
            </w:tcMar>
            <w:vAlign w:val="bottom"/>
          </w:tcPr>
          <w:p w14:paraId="4E3BE639" w14:textId="77777777" w:rsidR="008E062C" w:rsidRPr="00FB38E1" w:rsidRDefault="008E062C" w:rsidP="008E062C">
            <w:pPr>
              <w:rPr>
                <w:rFonts w:ascii="Microsoft Sans Serif" w:hAnsi="Microsoft Sans Serif" w:cs="Microsoft Sans Serif"/>
                <w:b/>
                <w:bCs/>
                <w:sz w:val="8"/>
                <w:szCs w:val="8"/>
              </w:rPr>
            </w:pPr>
          </w:p>
        </w:tc>
        <w:tc>
          <w:tcPr>
            <w:tcW w:w="2515" w:type="dxa"/>
            <w:shd w:val="clear" w:color="auto" w:fill="auto"/>
            <w:tcMar>
              <w:left w:w="57" w:type="dxa"/>
              <w:right w:w="57" w:type="dxa"/>
            </w:tcMar>
            <w:vAlign w:val="bottom"/>
          </w:tcPr>
          <w:p w14:paraId="6AFBEBE0" w14:textId="101B5AC6"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01/01-31/12/2023</w:t>
            </w:r>
          </w:p>
        </w:tc>
        <w:tc>
          <w:tcPr>
            <w:tcW w:w="584" w:type="dxa"/>
          </w:tcPr>
          <w:p w14:paraId="5D94ED81"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56854E4" w14:textId="77777777" w:rsidR="008E062C" w:rsidRPr="00FB38E1" w:rsidRDefault="008E062C" w:rsidP="008E062C">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7E8D7F4C" w14:textId="77777777" w:rsidR="008E062C" w:rsidRPr="00FB38E1" w:rsidRDefault="008E062C" w:rsidP="008E062C">
            <w:pPr>
              <w:jc w:val="right"/>
              <w:rPr>
                <w:rFonts w:ascii="Microsoft Sans Serif" w:hAnsi="Microsoft Sans Serif" w:cs="Microsoft Sans Serif"/>
                <w:b/>
                <w:bCs/>
                <w:sz w:val="8"/>
                <w:szCs w:val="8"/>
              </w:rPr>
            </w:pPr>
          </w:p>
        </w:tc>
        <w:tc>
          <w:tcPr>
            <w:tcW w:w="437" w:type="dxa"/>
            <w:tcMar>
              <w:left w:w="57" w:type="dxa"/>
              <w:right w:w="57" w:type="dxa"/>
            </w:tcMar>
            <w:vAlign w:val="bottom"/>
          </w:tcPr>
          <w:p w14:paraId="155989F6"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70E65E1"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6E673576" w14:textId="77777777" w:rsidR="008E062C" w:rsidRPr="00FB38E1" w:rsidRDefault="008E062C" w:rsidP="008E062C">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087AF013" w14:textId="77777777" w:rsidR="008E062C" w:rsidRPr="00FB38E1" w:rsidRDefault="008E062C" w:rsidP="008E062C">
            <w:pPr>
              <w:jc w:val="right"/>
              <w:rPr>
                <w:rFonts w:ascii="Microsoft Sans Serif" w:hAnsi="Microsoft Sans Serif" w:cs="Microsoft Sans Serif"/>
                <w:b/>
                <w:bCs/>
                <w:sz w:val="8"/>
                <w:szCs w:val="8"/>
              </w:rPr>
            </w:pPr>
          </w:p>
        </w:tc>
        <w:tc>
          <w:tcPr>
            <w:tcW w:w="1313" w:type="dxa"/>
            <w:tcMar>
              <w:left w:w="57" w:type="dxa"/>
              <w:right w:w="57" w:type="dxa"/>
            </w:tcMar>
            <w:vAlign w:val="bottom"/>
          </w:tcPr>
          <w:p w14:paraId="6F58B449"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390934E1" w14:textId="77777777" w:rsidR="008E062C" w:rsidRPr="00FB38E1" w:rsidRDefault="008E062C" w:rsidP="008E062C">
            <w:pPr>
              <w:jc w:val="right"/>
              <w:rPr>
                <w:rFonts w:ascii="Microsoft Sans Serif" w:hAnsi="Microsoft Sans Serif" w:cs="Microsoft Sans Serif"/>
                <w:b/>
                <w:bCs/>
                <w:sz w:val="8"/>
                <w:szCs w:val="8"/>
              </w:rPr>
            </w:pPr>
          </w:p>
        </w:tc>
        <w:tc>
          <w:tcPr>
            <w:tcW w:w="1167" w:type="dxa"/>
            <w:tcMar>
              <w:left w:w="57" w:type="dxa"/>
              <w:right w:w="57" w:type="dxa"/>
            </w:tcMar>
            <w:vAlign w:val="bottom"/>
          </w:tcPr>
          <w:p w14:paraId="313E65FE" w14:textId="77777777" w:rsidR="008E062C" w:rsidRPr="00FB38E1" w:rsidRDefault="008E062C" w:rsidP="008E062C">
            <w:pPr>
              <w:jc w:val="right"/>
              <w:rPr>
                <w:rFonts w:ascii="Microsoft Sans Serif" w:hAnsi="Microsoft Sans Serif" w:cs="Microsoft Sans Serif"/>
                <w:b/>
                <w:bCs/>
                <w:sz w:val="8"/>
                <w:szCs w:val="8"/>
              </w:rPr>
            </w:pPr>
          </w:p>
        </w:tc>
        <w:tc>
          <w:tcPr>
            <w:tcW w:w="1460" w:type="dxa"/>
            <w:tcMar>
              <w:left w:w="57" w:type="dxa"/>
              <w:right w:w="57" w:type="dxa"/>
            </w:tcMar>
            <w:vAlign w:val="bottom"/>
          </w:tcPr>
          <w:p w14:paraId="41DB9B56" w14:textId="77777777" w:rsidR="008E062C" w:rsidRPr="00FB38E1" w:rsidRDefault="008E062C" w:rsidP="008E062C">
            <w:pPr>
              <w:jc w:val="right"/>
              <w:rPr>
                <w:rFonts w:ascii="Microsoft Sans Serif" w:hAnsi="Microsoft Sans Serif" w:cs="Microsoft Sans Serif"/>
                <w:b/>
                <w:bCs/>
                <w:sz w:val="8"/>
                <w:szCs w:val="8"/>
              </w:rPr>
            </w:pPr>
          </w:p>
        </w:tc>
        <w:tc>
          <w:tcPr>
            <w:tcW w:w="875" w:type="dxa"/>
            <w:tcMar>
              <w:left w:w="57" w:type="dxa"/>
              <w:right w:w="57" w:type="dxa"/>
            </w:tcMar>
            <w:vAlign w:val="bottom"/>
          </w:tcPr>
          <w:p w14:paraId="20E318D2" w14:textId="77777777" w:rsidR="008E062C" w:rsidRPr="00FB38E1" w:rsidRDefault="008E062C" w:rsidP="008E062C">
            <w:pPr>
              <w:jc w:val="right"/>
              <w:rPr>
                <w:rFonts w:ascii="Microsoft Sans Serif" w:hAnsi="Microsoft Sans Serif" w:cs="Microsoft Sans Serif"/>
                <w:b/>
                <w:bCs/>
                <w:sz w:val="8"/>
                <w:szCs w:val="8"/>
              </w:rPr>
            </w:pPr>
          </w:p>
        </w:tc>
        <w:tc>
          <w:tcPr>
            <w:tcW w:w="729" w:type="dxa"/>
            <w:tcMar>
              <w:left w:w="57" w:type="dxa"/>
              <w:right w:w="57" w:type="dxa"/>
            </w:tcMar>
            <w:vAlign w:val="bottom"/>
          </w:tcPr>
          <w:p w14:paraId="433BFD51" w14:textId="77777777" w:rsidR="008E062C" w:rsidRPr="00FB38E1" w:rsidRDefault="008E062C" w:rsidP="008E062C">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6F71DBC6" w14:textId="77777777" w:rsidR="008E062C" w:rsidRPr="00FB38E1" w:rsidRDefault="008E062C" w:rsidP="008E062C">
            <w:pPr>
              <w:jc w:val="right"/>
              <w:rPr>
                <w:rFonts w:ascii="Microsoft Sans Serif" w:hAnsi="Microsoft Sans Serif" w:cs="Microsoft Sans Serif"/>
                <w:b/>
                <w:bCs/>
                <w:sz w:val="8"/>
                <w:szCs w:val="8"/>
              </w:rPr>
            </w:pPr>
          </w:p>
        </w:tc>
        <w:tc>
          <w:tcPr>
            <w:tcW w:w="730" w:type="dxa"/>
            <w:tcMar>
              <w:left w:w="57" w:type="dxa"/>
              <w:right w:w="57" w:type="dxa"/>
            </w:tcMar>
            <w:vAlign w:val="bottom"/>
          </w:tcPr>
          <w:p w14:paraId="7E09227A" w14:textId="77777777" w:rsidR="008E062C" w:rsidRPr="00FB38E1" w:rsidRDefault="008E062C" w:rsidP="008E062C">
            <w:pPr>
              <w:jc w:val="right"/>
              <w:rPr>
                <w:rFonts w:ascii="Microsoft Sans Serif" w:hAnsi="Microsoft Sans Serif" w:cs="Microsoft Sans Serif"/>
                <w:b/>
                <w:bCs/>
                <w:sz w:val="8"/>
                <w:szCs w:val="8"/>
              </w:rPr>
            </w:pPr>
          </w:p>
        </w:tc>
        <w:tc>
          <w:tcPr>
            <w:tcW w:w="439" w:type="dxa"/>
            <w:tcMar>
              <w:left w:w="57" w:type="dxa"/>
              <w:right w:w="57" w:type="dxa"/>
            </w:tcMar>
            <w:vAlign w:val="bottom"/>
          </w:tcPr>
          <w:p w14:paraId="3F7CA3B9" w14:textId="77777777" w:rsidR="008E062C" w:rsidRPr="00FB38E1" w:rsidRDefault="008E062C" w:rsidP="008E062C">
            <w:pPr>
              <w:jc w:val="right"/>
              <w:rPr>
                <w:rFonts w:ascii="Microsoft Sans Serif" w:hAnsi="Microsoft Sans Serif" w:cs="Microsoft Sans Serif"/>
                <w:b/>
                <w:bCs/>
                <w:sz w:val="8"/>
                <w:szCs w:val="8"/>
              </w:rPr>
            </w:pPr>
          </w:p>
        </w:tc>
        <w:tc>
          <w:tcPr>
            <w:tcW w:w="569" w:type="dxa"/>
            <w:tcMar>
              <w:left w:w="57" w:type="dxa"/>
              <w:right w:w="57" w:type="dxa"/>
            </w:tcMar>
            <w:vAlign w:val="bottom"/>
          </w:tcPr>
          <w:p w14:paraId="2BA1BE5C" w14:textId="77777777" w:rsidR="008E062C" w:rsidRPr="00FB38E1" w:rsidRDefault="008E062C" w:rsidP="008E062C">
            <w:pPr>
              <w:jc w:val="right"/>
              <w:rPr>
                <w:rFonts w:ascii="Microsoft Sans Serif" w:hAnsi="Microsoft Sans Serif" w:cs="Microsoft Sans Serif"/>
                <w:b/>
                <w:bCs/>
                <w:sz w:val="8"/>
                <w:szCs w:val="8"/>
              </w:rPr>
            </w:pPr>
          </w:p>
        </w:tc>
      </w:tr>
      <w:tr w:rsidR="008E062C" w:rsidRPr="00FB38E1" w14:paraId="3B48163B" w14:textId="77777777" w:rsidTr="00836EF2">
        <w:tc>
          <w:tcPr>
            <w:tcW w:w="400" w:type="dxa"/>
            <w:shd w:val="clear" w:color="auto" w:fill="auto"/>
            <w:tcMar>
              <w:left w:w="57" w:type="dxa"/>
              <w:right w:w="57" w:type="dxa"/>
            </w:tcMar>
            <w:vAlign w:val="bottom"/>
          </w:tcPr>
          <w:p w14:paraId="5212855A"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I.</w:t>
            </w:r>
          </w:p>
        </w:tc>
        <w:tc>
          <w:tcPr>
            <w:tcW w:w="2515" w:type="dxa"/>
            <w:shd w:val="clear" w:color="auto" w:fill="auto"/>
            <w:tcMar>
              <w:left w:w="57" w:type="dxa"/>
              <w:right w:w="57" w:type="dxa"/>
            </w:tcMar>
            <w:vAlign w:val="bottom"/>
          </w:tcPr>
          <w:p w14:paraId="2B92AE48" w14:textId="42CB3A54"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 xml:space="preserve">Önceki Dönem Sonu Bakiyesi </w:t>
            </w:r>
          </w:p>
        </w:tc>
        <w:tc>
          <w:tcPr>
            <w:tcW w:w="584" w:type="dxa"/>
          </w:tcPr>
          <w:p w14:paraId="3534B8CE"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42A2769A" w14:textId="7D041B96"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5.696.100</w:t>
            </w:r>
          </w:p>
        </w:tc>
        <w:tc>
          <w:tcPr>
            <w:tcW w:w="437" w:type="dxa"/>
            <w:tcMar>
              <w:left w:w="57" w:type="dxa"/>
              <w:right w:w="57" w:type="dxa"/>
            </w:tcMar>
            <w:vAlign w:val="bottom"/>
          </w:tcPr>
          <w:p w14:paraId="6DACBB86" w14:textId="10D33D77"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15</w:t>
            </w:r>
          </w:p>
        </w:tc>
        <w:tc>
          <w:tcPr>
            <w:tcW w:w="437" w:type="dxa"/>
            <w:tcMar>
              <w:left w:w="57" w:type="dxa"/>
              <w:right w:w="57" w:type="dxa"/>
            </w:tcMar>
            <w:vAlign w:val="bottom"/>
          </w:tcPr>
          <w:p w14:paraId="16A2EBC2" w14:textId="2BA38F4C"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033B307F" w14:textId="3DA2C3DC"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992</w:t>
            </w:r>
          </w:p>
        </w:tc>
        <w:tc>
          <w:tcPr>
            <w:tcW w:w="584" w:type="dxa"/>
            <w:tcMar>
              <w:left w:w="57" w:type="dxa"/>
              <w:right w:w="57" w:type="dxa"/>
            </w:tcMar>
            <w:vAlign w:val="bottom"/>
          </w:tcPr>
          <w:p w14:paraId="10C02266" w14:textId="52F8F9A0"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345.395</w:t>
            </w:r>
          </w:p>
        </w:tc>
        <w:tc>
          <w:tcPr>
            <w:tcW w:w="730" w:type="dxa"/>
            <w:tcMar>
              <w:left w:w="57" w:type="dxa"/>
              <w:right w:w="57" w:type="dxa"/>
            </w:tcMar>
            <w:vAlign w:val="bottom"/>
          </w:tcPr>
          <w:p w14:paraId="35F4679E" w14:textId="2A9CA442"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(437.394)</w:t>
            </w:r>
          </w:p>
        </w:tc>
        <w:tc>
          <w:tcPr>
            <w:tcW w:w="1313" w:type="dxa"/>
            <w:tcMar>
              <w:left w:w="57" w:type="dxa"/>
              <w:right w:w="57" w:type="dxa"/>
            </w:tcMar>
            <w:vAlign w:val="bottom"/>
          </w:tcPr>
          <w:p w14:paraId="7C37EA97" w14:textId="46B905AD"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2.300.247</w:t>
            </w:r>
          </w:p>
        </w:tc>
        <w:tc>
          <w:tcPr>
            <w:tcW w:w="584" w:type="dxa"/>
            <w:tcMar>
              <w:left w:w="57" w:type="dxa"/>
              <w:right w:w="57" w:type="dxa"/>
            </w:tcMar>
            <w:vAlign w:val="bottom"/>
          </w:tcPr>
          <w:p w14:paraId="082FAD07" w14:textId="17740BA2"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24.422.404</w:t>
            </w:r>
          </w:p>
        </w:tc>
        <w:tc>
          <w:tcPr>
            <w:tcW w:w="1167" w:type="dxa"/>
            <w:tcMar>
              <w:left w:w="57" w:type="dxa"/>
              <w:right w:w="57" w:type="dxa"/>
            </w:tcMar>
            <w:vAlign w:val="bottom"/>
          </w:tcPr>
          <w:p w14:paraId="280D96EC" w14:textId="434C95BE"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3.339.747</w:t>
            </w:r>
          </w:p>
        </w:tc>
        <w:tc>
          <w:tcPr>
            <w:tcW w:w="1460" w:type="dxa"/>
            <w:tcMar>
              <w:left w:w="57" w:type="dxa"/>
              <w:right w:w="57" w:type="dxa"/>
            </w:tcMar>
            <w:vAlign w:val="bottom"/>
          </w:tcPr>
          <w:p w14:paraId="2C63AA1C" w14:textId="28C94816"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(16.270.366)</w:t>
            </w:r>
          </w:p>
        </w:tc>
        <w:tc>
          <w:tcPr>
            <w:tcW w:w="875" w:type="dxa"/>
            <w:tcMar>
              <w:left w:w="57" w:type="dxa"/>
              <w:right w:w="57" w:type="dxa"/>
            </w:tcMar>
            <w:vAlign w:val="bottom"/>
          </w:tcPr>
          <w:p w14:paraId="0681CDDD" w14:textId="2BA30E1B"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16.695.172</w:t>
            </w:r>
          </w:p>
        </w:tc>
        <w:tc>
          <w:tcPr>
            <w:tcW w:w="729" w:type="dxa"/>
            <w:tcMar>
              <w:left w:w="57" w:type="dxa"/>
              <w:right w:w="57" w:type="dxa"/>
            </w:tcMar>
            <w:vAlign w:val="bottom"/>
          </w:tcPr>
          <w:p w14:paraId="3CC35B05" w14:textId="0874E30D"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1.245.272</w:t>
            </w:r>
          </w:p>
        </w:tc>
        <w:tc>
          <w:tcPr>
            <w:tcW w:w="730" w:type="dxa"/>
            <w:tcMar>
              <w:left w:w="57" w:type="dxa"/>
              <w:right w:w="57" w:type="dxa"/>
            </w:tcMar>
            <w:vAlign w:val="bottom"/>
          </w:tcPr>
          <w:p w14:paraId="2D87B073" w14:textId="66B8D299"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17.173.014</w:t>
            </w:r>
          </w:p>
        </w:tc>
        <w:tc>
          <w:tcPr>
            <w:tcW w:w="730" w:type="dxa"/>
            <w:tcMar>
              <w:left w:w="57" w:type="dxa"/>
              <w:right w:w="57" w:type="dxa"/>
            </w:tcMar>
            <w:vAlign w:val="bottom"/>
          </w:tcPr>
          <w:p w14:paraId="4988F941" w14:textId="0F62A72F"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54.510.598</w:t>
            </w:r>
          </w:p>
        </w:tc>
        <w:tc>
          <w:tcPr>
            <w:tcW w:w="439" w:type="dxa"/>
            <w:shd w:val="clear" w:color="auto" w:fill="auto"/>
            <w:tcMar>
              <w:left w:w="57" w:type="dxa"/>
              <w:right w:w="57" w:type="dxa"/>
            </w:tcMar>
            <w:vAlign w:val="bottom"/>
          </w:tcPr>
          <w:p w14:paraId="26CF0569" w14:textId="64923D40"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w:t>
            </w:r>
          </w:p>
        </w:tc>
        <w:tc>
          <w:tcPr>
            <w:tcW w:w="569" w:type="dxa"/>
            <w:tcMar>
              <w:left w:w="57" w:type="dxa"/>
              <w:right w:w="57" w:type="dxa"/>
            </w:tcMar>
            <w:vAlign w:val="bottom"/>
          </w:tcPr>
          <w:p w14:paraId="6F0F5BF7" w14:textId="3CC8FD20"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54.510.598</w:t>
            </w:r>
          </w:p>
        </w:tc>
      </w:tr>
      <w:tr w:rsidR="008E062C" w:rsidRPr="00FB38E1" w14:paraId="12AAB347" w14:textId="77777777" w:rsidTr="005D5803">
        <w:tc>
          <w:tcPr>
            <w:tcW w:w="400" w:type="dxa"/>
            <w:shd w:val="clear" w:color="auto" w:fill="auto"/>
            <w:tcMar>
              <w:left w:w="57" w:type="dxa"/>
              <w:right w:w="57" w:type="dxa"/>
            </w:tcMar>
            <w:vAlign w:val="bottom"/>
          </w:tcPr>
          <w:p w14:paraId="5789A6E1"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II.</w:t>
            </w:r>
          </w:p>
        </w:tc>
        <w:tc>
          <w:tcPr>
            <w:tcW w:w="2515" w:type="dxa"/>
            <w:shd w:val="clear" w:color="auto" w:fill="auto"/>
            <w:tcMar>
              <w:left w:w="57" w:type="dxa"/>
              <w:right w:w="57" w:type="dxa"/>
            </w:tcMar>
            <w:vAlign w:val="bottom"/>
          </w:tcPr>
          <w:p w14:paraId="56D3F096" w14:textId="6D050F44"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TMS 8 Uyarınca Yapılan Düzeltmeler</w:t>
            </w:r>
          </w:p>
        </w:tc>
        <w:tc>
          <w:tcPr>
            <w:tcW w:w="584" w:type="dxa"/>
          </w:tcPr>
          <w:p w14:paraId="1BC18515" w14:textId="6E3FB90C"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(5.V.c)</w:t>
            </w:r>
          </w:p>
        </w:tc>
        <w:tc>
          <w:tcPr>
            <w:tcW w:w="584" w:type="dxa"/>
            <w:tcMar>
              <w:left w:w="57" w:type="dxa"/>
              <w:right w:w="57" w:type="dxa"/>
            </w:tcMar>
            <w:vAlign w:val="bottom"/>
          </w:tcPr>
          <w:p w14:paraId="6A1B4141" w14:textId="0E58E86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32A35785" w14:textId="206FC60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3F615B4A" w14:textId="35FA684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14F7F4C9" w14:textId="1C479CB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077680C4" w14:textId="72ECD91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68368617" w14:textId="5485A81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1313" w:type="dxa"/>
            <w:tcMar>
              <w:left w:w="57" w:type="dxa"/>
              <w:right w:w="57" w:type="dxa"/>
            </w:tcMar>
            <w:vAlign w:val="bottom"/>
          </w:tcPr>
          <w:p w14:paraId="0EC3049D" w14:textId="6DF399F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6A94AFDB" w14:textId="243DAC7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1167" w:type="dxa"/>
            <w:tcMar>
              <w:left w:w="57" w:type="dxa"/>
              <w:right w:w="57" w:type="dxa"/>
            </w:tcMar>
            <w:vAlign w:val="bottom"/>
          </w:tcPr>
          <w:p w14:paraId="652B66EF" w14:textId="6E8CCCB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1460" w:type="dxa"/>
            <w:tcMar>
              <w:left w:w="57" w:type="dxa"/>
              <w:right w:w="57" w:type="dxa"/>
            </w:tcMar>
            <w:vAlign w:val="bottom"/>
          </w:tcPr>
          <w:p w14:paraId="4D18BAC3" w14:textId="4FAF39B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875" w:type="dxa"/>
            <w:tcMar>
              <w:left w:w="57" w:type="dxa"/>
              <w:right w:w="57" w:type="dxa"/>
            </w:tcMar>
            <w:vAlign w:val="bottom"/>
          </w:tcPr>
          <w:p w14:paraId="48C19FCF" w14:textId="0C03492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729" w:type="dxa"/>
            <w:tcMar>
              <w:left w:w="57" w:type="dxa"/>
              <w:right w:w="57" w:type="dxa"/>
            </w:tcMar>
            <w:vAlign w:val="bottom"/>
          </w:tcPr>
          <w:p w14:paraId="471CA14A" w14:textId="6370328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30646C99" w14:textId="17821AE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17A705D2" w14:textId="4521303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7D9713C4" w14:textId="059980C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69" w:type="dxa"/>
            <w:tcMar>
              <w:left w:w="57" w:type="dxa"/>
              <w:right w:w="57" w:type="dxa"/>
            </w:tcMar>
            <w:vAlign w:val="bottom"/>
          </w:tcPr>
          <w:p w14:paraId="27DE352C" w14:textId="7E9493F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3EB4E73C" w14:textId="77777777" w:rsidTr="005D5803">
        <w:tc>
          <w:tcPr>
            <w:tcW w:w="400" w:type="dxa"/>
            <w:shd w:val="clear" w:color="auto" w:fill="auto"/>
            <w:tcMar>
              <w:left w:w="57" w:type="dxa"/>
              <w:right w:w="57" w:type="dxa"/>
            </w:tcMar>
            <w:vAlign w:val="bottom"/>
          </w:tcPr>
          <w:p w14:paraId="39AC598D"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sz w:val="8"/>
                <w:szCs w:val="8"/>
              </w:rPr>
              <w:t>2.1</w:t>
            </w:r>
          </w:p>
        </w:tc>
        <w:tc>
          <w:tcPr>
            <w:tcW w:w="2515" w:type="dxa"/>
            <w:shd w:val="clear" w:color="auto" w:fill="auto"/>
            <w:tcMar>
              <w:left w:w="57" w:type="dxa"/>
              <w:right w:w="57" w:type="dxa"/>
            </w:tcMar>
            <w:vAlign w:val="bottom"/>
          </w:tcPr>
          <w:p w14:paraId="23F436E3" w14:textId="0DF25BFE"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sz w:val="8"/>
                <w:szCs w:val="8"/>
              </w:rPr>
              <w:t xml:space="preserve">Hataların Düzeltilmesinin Etkisi </w:t>
            </w:r>
          </w:p>
        </w:tc>
        <w:tc>
          <w:tcPr>
            <w:tcW w:w="584" w:type="dxa"/>
          </w:tcPr>
          <w:p w14:paraId="6AEA72EF"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3F483E2D" w14:textId="4A1C0BE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518607DB" w14:textId="18ACF8E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1DE84FA7" w14:textId="44DBE55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74446D24" w14:textId="04C0006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001BF61E" w14:textId="079E89E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BBD9013" w14:textId="5B118E6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424D0511" w14:textId="0F395F8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FC82F13" w14:textId="6B068D24"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5DC2B3D5" w14:textId="3A1F433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1179DA9B" w14:textId="4708C28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0AC43930" w14:textId="77CD31A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24D2A7DA" w14:textId="2A9D8B5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07E1FA0" w14:textId="6A42FA0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1901744" w14:textId="17F8DEF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4FD952E2" w14:textId="781703B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5F4D975E" w14:textId="764D313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04540CBD" w14:textId="77777777" w:rsidTr="005D5803">
        <w:tc>
          <w:tcPr>
            <w:tcW w:w="400" w:type="dxa"/>
            <w:shd w:val="clear" w:color="auto" w:fill="auto"/>
            <w:tcMar>
              <w:left w:w="57" w:type="dxa"/>
              <w:right w:w="57" w:type="dxa"/>
            </w:tcMar>
            <w:vAlign w:val="bottom"/>
          </w:tcPr>
          <w:p w14:paraId="3D17CCD4"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sz w:val="8"/>
                <w:szCs w:val="8"/>
              </w:rPr>
              <w:t>2.2</w:t>
            </w:r>
          </w:p>
        </w:tc>
        <w:tc>
          <w:tcPr>
            <w:tcW w:w="2515" w:type="dxa"/>
            <w:shd w:val="clear" w:color="auto" w:fill="auto"/>
            <w:tcMar>
              <w:left w:w="57" w:type="dxa"/>
              <w:right w:w="57" w:type="dxa"/>
            </w:tcMar>
            <w:vAlign w:val="bottom"/>
          </w:tcPr>
          <w:p w14:paraId="5519A74C" w14:textId="7A8AD438"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sz w:val="8"/>
                <w:szCs w:val="8"/>
              </w:rPr>
              <w:t>Muhasebe Politikasında Yapılan Değişikliklerin Etkisi</w:t>
            </w:r>
          </w:p>
        </w:tc>
        <w:tc>
          <w:tcPr>
            <w:tcW w:w="584" w:type="dxa"/>
          </w:tcPr>
          <w:p w14:paraId="5433F6FC"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6896FC5C" w14:textId="7E2FCC9A"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35C34F6" w14:textId="649384C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3686530" w14:textId="08DFB77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56FE8F2B" w14:textId="0BFF2D2B"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7EC74F51" w14:textId="298108F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3F3AC971" w14:textId="578A0D7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4D4EC6FF" w14:textId="0E7A345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62350165" w14:textId="2F45FE4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26837AF3" w14:textId="5BA22B5A"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1D108E67" w14:textId="1D5CCC6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1F33BBE5" w14:textId="74A6FF2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1EBBF5B1" w14:textId="0DAD682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2BCD554D" w14:textId="36DBAA2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F4E482E" w14:textId="47F713A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79340B69" w14:textId="4A6AB26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5CA6C157" w14:textId="0F251F6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5EA51BF2" w14:textId="77777777" w:rsidTr="005D5803">
        <w:tc>
          <w:tcPr>
            <w:tcW w:w="400" w:type="dxa"/>
            <w:shd w:val="clear" w:color="auto" w:fill="auto"/>
            <w:tcMar>
              <w:left w:w="57" w:type="dxa"/>
              <w:right w:w="57" w:type="dxa"/>
            </w:tcMar>
            <w:vAlign w:val="bottom"/>
          </w:tcPr>
          <w:p w14:paraId="277951E1"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III.</w:t>
            </w:r>
          </w:p>
        </w:tc>
        <w:tc>
          <w:tcPr>
            <w:tcW w:w="2515" w:type="dxa"/>
            <w:shd w:val="clear" w:color="auto" w:fill="auto"/>
            <w:tcMar>
              <w:left w:w="57" w:type="dxa"/>
              <w:right w:w="57" w:type="dxa"/>
            </w:tcMar>
            <w:vAlign w:val="bottom"/>
          </w:tcPr>
          <w:p w14:paraId="7446E673" w14:textId="68FB03CF"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Yeni Bakiye (I+II)</w:t>
            </w:r>
          </w:p>
        </w:tc>
        <w:tc>
          <w:tcPr>
            <w:tcW w:w="584" w:type="dxa"/>
          </w:tcPr>
          <w:p w14:paraId="5F03AF14"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B608249" w14:textId="7CDCBBD4"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5.696.100</w:t>
            </w:r>
          </w:p>
        </w:tc>
        <w:tc>
          <w:tcPr>
            <w:tcW w:w="437" w:type="dxa"/>
            <w:tcMar>
              <w:left w:w="57" w:type="dxa"/>
              <w:right w:w="57" w:type="dxa"/>
            </w:tcMar>
            <w:vAlign w:val="bottom"/>
          </w:tcPr>
          <w:p w14:paraId="3072F334" w14:textId="254D961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15</w:t>
            </w:r>
          </w:p>
        </w:tc>
        <w:tc>
          <w:tcPr>
            <w:tcW w:w="437" w:type="dxa"/>
            <w:tcMar>
              <w:left w:w="57" w:type="dxa"/>
              <w:right w:w="57" w:type="dxa"/>
            </w:tcMar>
            <w:vAlign w:val="bottom"/>
          </w:tcPr>
          <w:p w14:paraId="44E8CCB6" w14:textId="7522361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32022C26" w14:textId="4E83AFF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992</w:t>
            </w:r>
          </w:p>
        </w:tc>
        <w:tc>
          <w:tcPr>
            <w:tcW w:w="584" w:type="dxa"/>
            <w:tcMar>
              <w:left w:w="57" w:type="dxa"/>
              <w:right w:w="57" w:type="dxa"/>
            </w:tcMar>
            <w:vAlign w:val="bottom"/>
          </w:tcPr>
          <w:p w14:paraId="186472F7" w14:textId="5288787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345.395</w:t>
            </w:r>
          </w:p>
        </w:tc>
        <w:tc>
          <w:tcPr>
            <w:tcW w:w="730" w:type="dxa"/>
            <w:tcMar>
              <w:left w:w="57" w:type="dxa"/>
              <w:right w:w="57" w:type="dxa"/>
            </w:tcMar>
            <w:vAlign w:val="bottom"/>
          </w:tcPr>
          <w:p w14:paraId="609B3A4E" w14:textId="440E3E7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(437.394)</w:t>
            </w:r>
          </w:p>
        </w:tc>
        <w:tc>
          <w:tcPr>
            <w:tcW w:w="1313" w:type="dxa"/>
            <w:tcMar>
              <w:left w:w="57" w:type="dxa"/>
              <w:right w:w="57" w:type="dxa"/>
            </w:tcMar>
            <w:vAlign w:val="bottom"/>
          </w:tcPr>
          <w:p w14:paraId="3E18B49A" w14:textId="401409C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2.300.247</w:t>
            </w:r>
          </w:p>
        </w:tc>
        <w:tc>
          <w:tcPr>
            <w:tcW w:w="584" w:type="dxa"/>
            <w:tcMar>
              <w:left w:w="57" w:type="dxa"/>
              <w:right w:w="57" w:type="dxa"/>
            </w:tcMar>
            <w:vAlign w:val="bottom"/>
          </w:tcPr>
          <w:p w14:paraId="54D551DC" w14:textId="20B9B42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24.422.404</w:t>
            </w:r>
          </w:p>
        </w:tc>
        <w:tc>
          <w:tcPr>
            <w:tcW w:w="1167" w:type="dxa"/>
            <w:tcMar>
              <w:left w:w="57" w:type="dxa"/>
              <w:right w:w="57" w:type="dxa"/>
            </w:tcMar>
            <w:vAlign w:val="bottom"/>
          </w:tcPr>
          <w:p w14:paraId="16B23D91" w14:textId="750C65B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3.339.747</w:t>
            </w:r>
          </w:p>
        </w:tc>
        <w:tc>
          <w:tcPr>
            <w:tcW w:w="1460" w:type="dxa"/>
            <w:tcMar>
              <w:left w:w="57" w:type="dxa"/>
              <w:right w:w="57" w:type="dxa"/>
            </w:tcMar>
            <w:vAlign w:val="bottom"/>
          </w:tcPr>
          <w:p w14:paraId="4EF09295" w14:textId="6A70E97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(16.270.366)</w:t>
            </w:r>
          </w:p>
        </w:tc>
        <w:tc>
          <w:tcPr>
            <w:tcW w:w="875" w:type="dxa"/>
            <w:tcMar>
              <w:left w:w="57" w:type="dxa"/>
              <w:right w:w="57" w:type="dxa"/>
            </w:tcMar>
            <w:vAlign w:val="bottom"/>
          </w:tcPr>
          <w:p w14:paraId="7E342CBA" w14:textId="7962994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16.695.172</w:t>
            </w:r>
          </w:p>
        </w:tc>
        <w:tc>
          <w:tcPr>
            <w:tcW w:w="729" w:type="dxa"/>
            <w:tcMar>
              <w:left w:w="57" w:type="dxa"/>
              <w:right w:w="57" w:type="dxa"/>
            </w:tcMar>
            <w:vAlign w:val="bottom"/>
          </w:tcPr>
          <w:p w14:paraId="32A4CA2A" w14:textId="1CB1FC6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1.245.272</w:t>
            </w:r>
          </w:p>
        </w:tc>
        <w:tc>
          <w:tcPr>
            <w:tcW w:w="730" w:type="dxa"/>
            <w:tcMar>
              <w:left w:w="57" w:type="dxa"/>
              <w:right w:w="57" w:type="dxa"/>
            </w:tcMar>
            <w:vAlign w:val="bottom"/>
          </w:tcPr>
          <w:p w14:paraId="76EC8AFD" w14:textId="7DA3FD3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17.173.014</w:t>
            </w:r>
          </w:p>
        </w:tc>
        <w:tc>
          <w:tcPr>
            <w:tcW w:w="730" w:type="dxa"/>
            <w:tcMar>
              <w:left w:w="57" w:type="dxa"/>
              <w:right w:w="57" w:type="dxa"/>
            </w:tcMar>
            <w:vAlign w:val="bottom"/>
          </w:tcPr>
          <w:p w14:paraId="6B9D1507" w14:textId="725EC5D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54.510.598</w:t>
            </w:r>
          </w:p>
        </w:tc>
        <w:tc>
          <w:tcPr>
            <w:tcW w:w="439" w:type="dxa"/>
            <w:shd w:val="clear" w:color="auto" w:fill="auto"/>
            <w:tcMar>
              <w:left w:w="57" w:type="dxa"/>
              <w:right w:w="57" w:type="dxa"/>
            </w:tcMar>
            <w:vAlign w:val="bottom"/>
          </w:tcPr>
          <w:p w14:paraId="043C96F9" w14:textId="7846AA6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69" w:type="dxa"/>
            <w:tcMar>
              <w:left w:w="57" w:type="dxa"/>
              <w:right w:w="57" w:type="dxa"/>
            </w:tcMar>
            <w:vAlign w:val="bottom"/>
          </w:tcPr>
          <w:p w14:paraId="23787173" w14:textId="4AD78D6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54.510.598</w:t>
            </w:r>
          </w:p>
        </w:tc>
      </w:tr>
      <w:tr w:rsidR="008E062C" w:rsidRPr="00FB38E1" w14:paraId="27EBA062" w14:textId="77777777" w:rsidTr="005D5803">
        <w:tc>
          <w:tcPr>
            <w:tcW w:w="400" w:type="dxa"/>
            <w:shd w:val="clear" w:color="auto" w:fill="auto"/>
            <w:tcMar>
              <w:left w:w="57" w:type="dxa"/>
              <w:right w:w="57" w:type="dxa"/>
            </w:tcMar>
            <w:vAlign w:val="bottom"/>
          </w:tcPr>
          <w:p w14:paraId="7F2E0494" w14:textId="77777777"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b/>
                <w:bCs/>
                <w:sz w:val="8"/>
                <w:szCs w:val="8"/>
              </w:rPr>
              <w:t>IV.</w:t>
            </w:r>
          </w:p>
        </w:tc>
        <w:tc>
          <w:tcPr>
            <w:tcW w:w="2515" w:type="dxa"/>
            <w:shd w:val="clear" w:color="auto" w:fill="auto"/>
            <w:tcMar>
              <w:left w:w="57" w:type="dxa"/>
              <w:right w:w="57" w:type="dxa"/>
            </w:tcMar>
            <w:vAlign w:val="bottom"/>
          </w:tcPr>
          <w:p w14:paraId="237290A9" w14:textId="4AB91A59"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b/>
                <w:bCs/>
                <w:sz w:val="8"/>
                <w:szCs w:val="8"/>
              </w:rPr>
              <w:t>Toplam Kapsamlı Gelir</w:t>
            </w:r>
          </w:p>
        </w:tc>
        <w:tc>
          <w:tcPr>
            <w:tcW w:w="584" w:type="dxa"/>
          </w:tcPr>
          <w:p w14:paraId="7D2476A3" w14:textId="430ED294"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(5.V.e)</w:t>
            </w:r>
          </w:p>
        </w:tc>
        <w:tc>
          <w:tcPr>
            <w:tcW w:w="584" w:type="dxa"/>
            <w:tcMar>
              <w:left w:w="57" w:type="dxa"/>
              <w:right w:w="57" w:type="dxa"/>
            </w:tcMar>
            <w:vAlign w:val="bottom"/>
          </w:tcPr>
          <w:p w14:paraId="7AE843D9" w14:textId="041A4044"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3B7FC6C1" w14:textId="2F1C2CC9"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2FF8BBBF" w14:textId="75B08A8F"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74475BDC" w14:textId="46B1B68D"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709C0014" w14:textId="02BA1387"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363.013</w:t>
            </w:r>
          </w:p>
        </w:tc>
        <w:tc>
          <w:tcPr>
            <w:tcW w:w="730" w:type="dxa"/>
            <w:tcMar>
              <w:left w:w="57" w:type="dxa"/>
              <w:right w:w="57" w:type="dxa"/>
            </w:tcMar>
            <w:vAlign w:val="bottom"/>
          </w:tcPr>
          <w:p w14:paraId="2BBBF488" w14:textId="0C03B00D"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74.351</w:t>
            </w:r>
          </w:p>
        </w:tc>
        <w:tc>
          <w:tcPr>
            <w:tcW w:w="1313" w:type="dxa"/>
            <w:tcMar>
              <w:left w:w="57" w:type="dxa"/>
              <w:right w:w="57" w:type="dxa"/>
            </w:tcMar>
            <w:vAlign w:val="bottom"/>
          </w:tcPr>
          <w:p w14:paraId="64A0C338" w14:textId="16D6D20F"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5.593.114</w:t>
            </w:r>
          </w:p>
        </w:tc>
        <w:tc>
          <w:tcPr>
            <w:tcW w:w="584" w:type="dxa"/>
            <w:tcMar>
              <w:left w:w="57" w:type="dxa"/>
              <w:right w:w="57" w:type="dxa"/>
            </w:tcMar>
            <w:vAlign w:val="bottom"/>
          </w:tcPr>
          <w:p w14:paraId="066E35EE" w14:textId="60DCB820"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13.513.264</w:t>
            </w:r>
          </w:p>
        </w:tc>
        <w:tc>
          <w:tcPr>
            <w:tcW w:w="1167" w:type="dxa"/>
            <w:tcMar>
              <w:left w:w="57" w:type="dxa"/>
              <w:right w:w="57" w:type="dxa"/>
            </w:tcMar>
            <w:vAlign w:val="bottom"/>
          </w:tcPr>
          <w:p w14:paraId="4D17A53B" w14:textId="5A747585"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(4.679.939)</w:t>
            </w:r>
          </w:p>
        </w:tc>
        <w:tc>
          <w:tcPr>
            <w:tcW w:w="1460" w:type="dxa"/>
            <w:tcMar>
              <w:left w:w="57" w:type="dxa"/>
              <w:right w:w="57" w:type="dxa"/>
            </w:tcMar>
            <w:vAlign w:val="bottom"/>
          </w:tcPr>
          <w:p w14:paraId="1F2AA400" w14:textId="1EE9904B"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(7.410.703)</w:t>
            </w:r>
          </w:p>
        </w:tc>
        <w:tc>
          <w:tcPr>
            <w:tcW w:w="875" w:type="dxa"/>
            <w:tcMar>
              <w:left w:w="57" w:type="dxa"/>
              <w:right w:w="57" w:type="dxa"/>
            </w:tcMar>
            <w:vAlign w:val="bottom"/>
          </w:tcPr>
          <w:p w14:paraId="41E24621" w14:textId="24A2D117"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w:t>
            </w:r>
          </w:p>
        </w:tc>
        <w:tc>
          <w:tcPr>
            <w:tcW w:w="729" w:type="dxa"/>
            <w:tcMar>
              <w:left w:w="57" w:type="dxa"/>
              <w:right w:w="57" w:type="dxa"/>
            </w:tcMar>
            <w:vAlign w:val="bottom"/>
          </w:tcPr>
          <w:p w14:paraId="20A92752" w14:textId="3D8008FC"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14564BA2" w14:textId="43E6AF05" w:rsidR="008E062C" w:rsidRPr="00FB38E1" w:rsidRDefault="008E062C" w:rsidP="008E062C">
            <w:pPr>
              <w:jc w:val="right"/>
              <w:rPr>
                <w:rFonts w:ascii="Microsoft Sans Serif" w:hAnsi="Microsoft Sans Serif" w:cs="Microsoft Sans Serif"/>
                <w:b/>
                <w:color w:val="FF0000"/>
                <w:sz w:val="8"/>
                <w:szCs w:val="8"/>
              </w:rPr>
            </w:pPr>
            <w:r w:rsidRPr="00FB38E1">
              <w:rPr>
                <w:rFonts w:ascii="Microsoft Sans Serif" w:hAnsi="Microsoft Sans Serif" w:cs="Microsoft Sans Serif"/>
                <w:b/>
                <w:bCs/>
                <w:sz w:val="8"/>
                <w:szCs w:val="8"/>
              </w:rPr>
              <w:t>27.877.785</w:t>
            </w:r>
          </w:p>
        </w:tc>
        <w:tc>
          <w:tcPr>
            <w:tcW w:w="730" w:type="dxa"/>
            <w:tcMar>
              <w:left w:w="57" w:type="dxa"/>
              <w:right w:w="57" w:type="dxa"/>
            </w:tcMar>
            <w:vAlign w:val="bottom"/>
          </w:tcPr>
          <w:p w14:paraId="4DA04D55" w14:textId="23B77F5C"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35.330.885</w:t>
            </w:r>
          </w:p>
        </w:tc>
        <w:tc>
          <w:tcPr>
            <w:tcW w:w="439" w:type="dxa"/>
            <w:shd w:val="clear" w:color="auto" w:fill="auto"/>
            <w:tcMar>
              <w:left w:w="57" w:type="dxa"/>
              <w:right w:w="57" w:type="dxa"/>
            </w:tcMar>
            <w:vAlign w:val="bottom"/>
          </w:tcPr>
          <w:p w14:paraId="19C39AA9" w14:textId="2BF71395"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sz w:val="8"/>
                <w:szCs w:val="8"/>
              </w:rPr>
              <w:t>--</w:t>
            </w:r>
          </w:p>
        </w:tc>
        <w:tc>
          <w:tcPr>
            <w:tcW w:w="569" w:type="dxa"/>
            <w:tcMar>
              <w:left w:w="57" w:type="dxa"/>
              <w:right w:w="57" w:type="dxa"/>
            </w:tcMar>
            <w:vAlign w:val="bottom"/>
          </w:tcPr>
          <w:p w14:paraId="001104A3" w14:textId="4A5043E7"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35.330.885</w:t>
            </w:r>
          </w:p>
        </w:tc>
      </w:tr>
      <w:tr w:rsidR="008E062C" w:rsidRPr="00FB38E1" w14:paraId="56B98D7D" w14:textId="77777777" w:rsidTr="005D5803">
        <w:tc>
          <w:tcPr>
            <w:tcW w:w="400" w:type="dxa"/>
            <w:shd w:val="clear" w:color="auto" w:fill="auto"/>
            <w:tcMar>
              <w:left w:w="57" w:type="dxa"/>
              <w:right w:w="57" w:type="dxa"/>
            </w:tcMar>
            <w:vAlign w:val="bottom"/>
          </w:tcPr>
          <w:p w14:paraId="157487CD" w14:textId="77777777"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b/>
                <w:bCs/>
                <w:sz w:val="8"/>
                <w:szCs w:val="8"/>
              </w:rPr>
              <w:t>V.</w:t>
            </w:r>
          </w:p>
        </w:tc>
        <w:tc>
          <w:tcPr>
            <w:tcW w:w="2515" w:type="dxa"/>
            <w:shd w:val="clear" w:color="auto" w:fill="auto"/>
            <w:tcMar>
              <w:left w:w="57" w:type="dxa"/>
              <w:right w:w="57" w:type="dxa"/>
            </w:tcMar>
            <w:vAlign w:val="bottom"/>
          </w:tcPr>
          <w:p w14:paraId="328A8D6E" w14:textId="21005DF5"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b/>
                <w:bCs/>
                <w:sz w:val="8"/>
                <w:szCs w:val="8"/>
              </w:rPr>
              <w:t>Nakden Gerçekleştirilen Sermaye Artırımı</w:t>
            </w:r>
          </w:p>
        </w:tc>
        <w:tc>
          <w:tcPr>
            <w:tcW w:w="584" w:type="dxa"/>
          </w:tcPr>
          <w:p w14:paraId="08607328" w14:textId="6FED94F8"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(5.V.a)</w:t>
            </w:r>
          </w:p>
        </w:tc>
        <w:tc>
          <w:tcPr>
            <w:tcW w:w="584" w:type="dxa"/>
            <w:tcMar>
              <w:left w:w="57" w:type="dxa"/>
              <w:right w:w="57" w:type="dxa"/>
            </w:tcMar>
            <w:vAlign w:val="bottom"/>
          </w:tcPr>
          <w:p w14:paraId="772E6FDD" w14:textId="60FD8F85"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4B86632D" w14:textId="617B7ADC"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7D9792C8" w14:textId="057A0C3C"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3AE6EFE7" w14:textId="046159F4"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88E4476" w14:textId="011EF1FD"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14E55104" w14:textId="09BF95BA"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3C61BA61" w14:textId="4093E2E9"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0C37F05C" w14:textId="0FB23D6A"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590CBA15" w14:textId="20D88DC5"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584BAE77" w14:textId="1FAC6B9D"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6A70E837" w14:textId="56C30292"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08896FC8" w14:textId="357FDC15"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1B92116B" w14:textId="5842472A"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DB2ED78" w14:textId="7DE06AC4"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644CE5E4" w14:textId="5B7DCD8F"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sz w:val="8"/>
                <w:szCs w:val="8"/>
              </w:rPr>
              <w:t>--</w:t>
            </w:r>
          </w:p>
        </w:tc>
        <w:tc>
          <w:tcPr>
            <w:tcW w:w="569" w:type="dxa"/>
            <w:tcMar>
              <w:left w:w="57" w:type="dxa"/>
              <w:right w:w="57" w:type="dxa"/>
            </w:tcMar>
            <w:vAlign w:val="bottom"/>
          </w:tcPr>
          <w:p w14:paraId="751C38BC" w14:textId="3AD402AE"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w:t>
            </w:r>
          </w:p>
        </w:tc>
      </w:tr>
      <w:tr w:rsidR="008E062C" w:rsidRPr="00FB38E1" w14:paraId="58AE79A6" w14:textId="77777777" w:rsidTr="005D5803">
        <w:tc>
          <w:tcPr>
            <w:tcW w:w="400" w:type="dxa"/>
            <w:shd w:val="clear" w:color="auto" w:fill="auto"/>
            <w:tcMar>
              <w:left w:w="57" w:type="dxa"/>
              <w:right w:w="57" w:type="dxa"/>
            </w:tcMar>
            <w:vAlign w:val="bottom"/>
          </w:tcPr>
          <w:p w14:paraId="2775E4BB"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VI.</w:t>
            </w:r>
          </w:p>
        </w:tc>
        <w:tc>
          <w:tcPr>
            <w:tcW w:w="2515" w:type="dxa"/>
            <w:shd w:val="clear" w:color="auto" w:fill="auto"/>
            <w:tcMar>
              <w:left w:w="57" w:type="dxa"/>
              <w:right w:w="57" w:type="dxa"/>
            </w:tcMar>
            <w:vAlign w:val="bottom"/>
          </w:tcPr>
          <w:p w14:paraId="70D4981F" w14:textId="7056B1AA"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İç Kaynaklardan Gerçekleştirilen Sermaye Artırımı</w:t>
            </w:r>
          </w:p>
        </w:tc>
        <w:tc>
          <w:tcPr>
            <w:tcW w:w="584" w:type="dxa"/>
          </w:tcPr>
          <w:p w14:paraId="26DCD453" w14:textId="2063A1EA"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(5.V.a)</w:t>
            </w:r>
          </w:p>
        </w:tc>
        <w:tc>
          <w:tcPr>
            <w:tcW w:w="584" w:type="dxa"/>
            <w:tcMar>
              <w:left w:w="57" w:type="dxa"/>
              <w:right w:w="57" w:type="dxa"/>
            </w:tcMar>
            <w:vAlign w:val="bottom"/>
          </w:tcPr>
          <w:p w14:paraId="00CA3FC2" w14:textId="6A24444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69FCB384" w14:textId="5870272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1E7FB815" w14:textId="1213EE3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4C5B680" w14:textId="2D45964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FF7212B" w14:textId="2DF38C8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56C05233" w14:textId="11E87C9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2B1E57BA" w14:textId="6610388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618554F" w14:textId="3FFD514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2E8D9044" w14:textId="21BC113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07E44F02" w14:textId="1331AF1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5CB7AC15" w14:textId="426296A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0D518FDA" w14:textId="667F92F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0D085918" w14:textId="035EF1DB"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144E985B" w14:textId="4B181A8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26379C19" w14:textId="34BA46E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sz w:val="8"/>
                <w:szCs w:val="8"/>
              </w:rPr>
              <w:t>--</w:t>
            </w:r>
          </w:p>
        </w:tc>
        <w:tc>
          <w:tcPr>
            <w:tcW w:w="569" w:type="dxa"/>
            <w:tcMar>
              <w:left w:w="57" w:type="dxa"/>
              <w:right w:w="57" w:type="dxa"/>
            </w:tcMar>
            <w:vAlign w:val="bottom"/>
          </w:tcPr>
          <w:p w14:paraId="3E6C3809" w14:textId="0E81F46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796930AF" w14:textId="77777777" w:rsidTr="005D5803">
        <w:tc>
          <w:tcPr>
            <w:tcW w:w="400" w:type="dxa"/>
            <w:shd w:val="clear" w:color="auto" w:fill="auto"/>
            <w:tcMar>
              <w:left w:w="57" w:type="dxa"/>
              <w:right w:w="57" w:type="dxa"/>
            </w:tcMar>
            <w:vAlign w:val="bottom"/>
          </w:tcPr>
          <w:p w14:paraId="387DC0FA"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VII.</w:t>
            </w:r>
          </w:p>
        </w:tc>
        <w:tc>
          <w:tcPr>
            <w:tcW w:w="2515" w:type="dxa"/>
            <w:shd w:val="clear" w:color="auto" w:fill="auto"/>
            <w:tcMar>
              <w:left w:w="57" w:type="dxa"/>
              <w:right w:w="57" w:type="dxa"/>
            </w:tcMar>
          </w:tcPr>
          <w:p w14:paraId="4B611155" w14:textId="012A61AE"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Ödenmiş Sermaye Enflasyon Düzeltme Farkı</w:t>
            </w:r>
          </w:p>
        </w:tc>
        <w:tc>
          <w:tcPr>
            <w:tcW w:w="584" w:type="dxa"/>
          </w:tcPr>
          <w:p w14:paraId="65E2D3E7"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49E81F95" w14:textId="4C3F4BB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691068B9" w14:textId="7F69156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358E79FE" w14:textId="55C4483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35EAD79F" w14:textId="0596714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0D5EBA25" w14:textId="031A1FA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0617C695" w14:textId="5FDE43D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5929EAE4" w14:textId="6854088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3824FF7A" w14:textId="5020815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7E69AC34" w14:textId="52FF176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370052A2" w14:textId="53C9CC5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226EE18D" w14:textId="502B810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12CFA9C1" w14:textId="272B1F8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3B00830" w14:textId="6F51D2C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5336E052" w14:textId="4AFDD82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7B487D2E" w14:textId="0F1D2B04"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sz w:val="8"/>
                <w:szCs w:val="8"/>
              </w:rPr>
              <w:t>--</w:t>
            </w:r>
          </w:p>
        </w:tc>
        <w:tc>
          <w:tcPr>
            <w:tcW w:w="569" w:type="dxa"/>
            <w:tcMar>
              <w:left w:w="57" w:type="dxa"/>
              <w:right w:w="57" w:type="dxa"/>
            </w:tcMar>
            <w:vAlign w:val="bottom"/>
          </w:tcPr>
          <w:p w14:paraId="26F75449" w14:textId="6418397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33492798" w14:textId="77777777" w:rsidTr="005D5803">
        <w:tc>
          <w:tcPr>
            <w:tcW w:w="400" w:type="dxa"/>
            <w:shd w:val="clear" w:color="auto" w:fill="auto"/>
            <w:tcMar>
              <w:left w:w="57" w:type="dxa"/>
              <w:right w:w="57" w:type="dxa"/>
            </w:tcMar>
            <w:vAlign w:val="bottom"/>
          </w:tcPr>
          <w:p w14:paraId="537DA44E"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VIII.</w:t>
            </w:r>
          </w:p>
        </w:tc>
        <w:tc>
          <w:tcPr>
            <w:tcW w:w="2515" w:type="dxa"/>
            <w:shd w:val="clear" w:color="auto" w:fill="auto"/>
            <w:tcMar>
              <w:left w:w="57" w:type="dxa"/>
              <w:right w:w="57" w:type="dxa"/>
            </w:tcMar>
            <w:vAlign w:val="bottom"/>
          </w:tcPr>
          <w:p w14:paraId="1615328F" w14:textId="6FB3B9C1"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 xml:space="preserve">Hisse Senedine Dönüştürülebilir Tahviller </w:t>
            </w:r>
          </w:p>
        </w:tc>
        <w:tc>
          <w:tcPr>
            <w:tcW w:w="584" w:type="dxa"/>
          </w:tcPr>
          <w:p w14:paraId="464152D8"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313F977" w14:textId="1935DE6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405631A2" w14:textId="58DD6EBA"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45BAE0CE" w14:textId="56A5BE5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D4F0738" w14:textId="0F10A48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BD4B4A7" w14:textId="352D6C6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3A23452F" w14:textId="333ACD8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7621DFBB" w14:textId="21E67FFB"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0C9109F7" w14:textId="015A116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3337F41D" w14:textId="06270FA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049CDCE6" w14:textId="0FC1A74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10D3074C" w14:textId="581836A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0ACBBABD" w14:textId="6F10EFB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4C7AD1E" w14:textId="03097B5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3B49242D" w14:textId="19D5EBA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7FFDA8BD" w14:textId="4025070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sz w:val="8"/>
                <w:szCs w:val="8"/>
              </w:rPr>
              <w:t>--</w:t>
            </w:r>
          </w:p>
        </w:tc>
        <w:tc>
          <w:tcPr>
            <w:tcW w:w="569" w:type="dxa"/>
            <w:tcMar>
              <w:left w:w="57" w:type="dxa"/>
              <w:right w:w="57" w:type="dxa"/>
            </w:tcMar>
            <w:vAlign w:val="bottom"/>
          </w:tcPr>
          <w:p w14:paraId="413F450F" w14:textId="64B8BCC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70661989" w14:textId="77777777" w:rsidTr="005D5803">
        <w:tc>
          <w:tcPr>
            <w:tcW w:w="400" w:type="dxa"/>
            <w:shd w:val="clear" w:color="auto" w:fill="auto"/>
            <w:tcMar>
              <w:left w:w="57" w:type="dxa"/>
              <w:right w:w="57" w:type="dxa"/>
            </w:tcMar>
            <w:vAlign w:val="bottom"/>
          </w:tcPr>
          <w:p w14:paraId="1880AF37"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IX.</w:t>
            </w:r>
          </w:p>
        </w:tc>
        <w:tc>
          <w:tcPr>
            <w:tcW w:w="2515" w:type="dxa"/>
            <w:shd w:val="clear" w:color="auto" w:fill="auto"/>
            <w:tcMar>
              <w:left w:w="57" w:type="dxa"/>
              <w:right w:w="57" w:type="dxa"/>
            </w:tcMar>
            <w:vAlign w:val="bottom"/>
          </w:tcPr>
          <w:p w14:paraId="1BCE7EEA" w14:textId="064ED770"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Sermaye Benzeri Borçlanma Araçları</w:t>
            </w:r>
          </w:p>
        </w:tc>
        <w:tc>
          <w:tcPr>
            <w:tcW w:w="584" w:type="dxa"/>
          </w:tcPr>
          <w:p w14:paraId="5BE797BF"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5EB551D4" w14:textId="68DB408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6D110AE1" w14:textId="4932B41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41DB43E9" w14:textId="3D130CF4"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3C92A53" w14:textId="49BECCE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7695C1D" w14:textId="2B5DA63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0FFF9396" w14:textId="37E8E8D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5ACDAD2B" w14:textId="2620D8A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F7935FF" w14:textId="6AA9EFD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08193648" w14:textId="293682D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4A4415F0" w14:textId="26BE986B"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310A715A" w14:textId="47E74B9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78AB6960" w14:textId="75738E5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62F6865A" w14:textId="21D0AEE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268D1BEA" w14:textId="57D05D2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0E74A518" w14:textId="0083687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sz w:val="8"/>
                <w:szCs w:val="8"/>
              </w:rPr>
              <w:t>--</w:t>
            </w:r>
          </w:p>
        </w:tc>
        <w:tc>
          <w:tcPr>
            <w:tcW w:w="569" w:type="dxa"/>
            <w:tcMar>
              <w:left w:w="57" w:type="dxa"/>
              <w:right w:w="57" w:type="dxa"/>
            </w:tcMar>
            <w:vAlign w:val="bottom"/>
          </w:tcPr>
          <w:p w14:paraId="2BEE4F54" w14:textId="7D8FA20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24ED0F82" w14:textId="77777777" w:rsidTr="005D5803">
        <w:tc>
          <w:tcPr>
            <w:tcW w:w="400" w:type="dxa"/>
            <w:shd w:val="clear" w:color="auto" w:fill="auto"/>
            <w:tcMar>
              <w:left w:w="57" w:type="dxa"/>
              <w:right w:w="57" w:type="dxa"/>
            </w:tcMar>
            <w:vAlign w:val="bottom"/>
          </w:tcPr>
          <w:p w14:paraId="17EE9CAD"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X.</w:t>
            </w:r>
          </w:p>
        </w:tc>
        <w:tc>
          <w:tcPr>
            <w:tcW w:w="2515" w:type="dxa"/>
            <w:shd w:val="clear" w:color="auto" w:fill="auto"/>
            <w:tcMar>
              <w:left w:w="57" w:type="dxa"/>
              <w:right w:w="57" w:type="dxa"/>
            </w:tcMar>
            <w:vAlign w:val="bottom"/>
          </w:tcPr>
          <w:p w14:paraId="37FD4EB9" w14:textId="6E7B1066"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Diğer Değişiklikler Nedeniyle Artış /Azalış</w:t>
            </w:r>
          </w:p>
        </w:tc>
        <w:tc>
          <w:tcPr>
            <w:tcW w:w="584" w:type="dxa"/>
          </w:tcPr>
          <w:p w14:paraId="0BC1D9B0" w14:textId="77777777" w:rsidR="008E062C" w:rsidRPr="00FB38E1" w:rsidRDefault="008E062C" w:rsidP="008E062C">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6C8FD8B" w14:textId="2EDF7F1B"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7B397B7" w14:textId="7D0404D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FCFEF45" w14:textId="4534720B"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371AEEDA" w14:textId="3077C16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sz w:val="8"/>
                <w:szCs w:val="8"/>
              </w:rPr>
              <w:t>1.918</w:t>
            </w:r>
          </w:p>
        </w:tc>
        <w:tc>
          <w:tcPr>
            <w:tcW w:w="584" w:type="dxa"/>
            <w:tcMar>
              <w:left w:w="57" w:type="dxa"/>
              <w:right w:w="57" w:type="dxa"/>
            </w:tcMar>
            <w:vAlign w:val="bottom"/>
          </w:tcPr>
          <w:p w14:paraId="1F49F14C" w14:textId="73DD85A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2BAAAC0" w14:textId="4CC7072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7E358627" w14:textId="7F80C1E4"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6668707D" w14:textId="25D684B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4FB06205" w14:textId="5E43002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3CAD4843" w14:textId="08D175B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5EBA0223" w14:textId="3DA3C25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20F0E3B7" w14:textId="036CF99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545CA5A4" w14:textId="1B1FF4D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014B6D55" w14:textId="386B5BD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1.918</w:t>
            </w:r>
          </w:p>
        </w:tc>
        <w:tc>
          <w:tcPr>
            <w:tcW w:w="439" w:type="dxa"/>
            <w:shd w:val="clear" w:color="auto" w:fill="auto"/>
            <w:tcMar>
              <w:left w:w="57" w:type="dxa"/>
              <w:right w:w="57" w:type="dxa"/>
            </w:tcMar>
            <w:vAlign w:val="bottom"/>
          </w:tcPr>
          <w:p w14:paraId="45AE06CF" w14:textId="40FFC8F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sz w:val="8"/>
                <w:szCs w:val="8"/>
              </w:rPr>
              <w:t>--</w:t>
            </w:r>
          </w:p>
        </w:tc>
        <w:tc>
          <w:tcPr>
            <w:tcW w:w="569" w:type="dxa"/>
            <w:tcMar>
              <w:left w:w="57" w:type="dxa"/>
              <w:right w:w="57" w:type="dxa"/>
            </w:tcMar>
            <w:vAlign w:val="bottom"/>
          </w:tcPr>
          <w:p w14:paraId="4047FE21" w14:textId="5B10CE3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1.918</w:t>
            </w:r>
          </w:p>
        </w:tc>
      </w:tr>
      <w:tr w:rsidR="008E062C" w:rsidRPr="00FB38E1" w14:paraId="4CDED689" w14:textId="77777777" w:rsidTr="005D5803">
        <w:tc>
          <w:tcPr>
            <w:tcW w:w="400" w:type="dxa"/>
            <w:shd w:val="clear" w:color="auto" w:fill="auto"/>
            <w:tcMar>
              <w:left w:w="57" w:type="dxa"/>
              <w:right w:w="57" w:type="dxa"/>
            </w:tcMar>
            <w:vAlign w:val="bottom"/>
          </w:tcPr>
          <w:p w14:paraId="3578A7B3"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XI.</w:t>
            </w:r>
          </w:p>
        </w:tc>
        <w:tc>
          <w:tcPr>
            <w:tcW w:w="2515" w:type="dxa"/>
            <w:shd w:val="clear" w:color="auto" w:fill="auto"/>
            <w:tcMar>
              <w:left w:w="57" w:type="dxa"/>
              <w:right w:w="57" w:type="dxa"/>
            </w:tcMar>
            <w:vAlign w:val="bottom"/>
          </w:tcPr>
          <w:p w14:paraId="70C63DB7" w14:textId="284EBF19"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Kar Dağıtımı</w:t>
            </w:r>
          </w:p>
        </w:tc>
        <w:tc>
          <w:tcPr>
            <w:tcW w:w="584" w:type="dxa"/>
            <w:vAlign w:val="bottom"/>
          </w:tcPr>
          <w:p w14:paraId="003A7E76" w14:textId="322E6F9A" w:rsidR="008E062C" w:rsidRPr="00FB38E1" w:rsidRDefault="008E062C" w:rsidP="008E062C">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(5.V.d)</w:t>
            </w:r>
          </w:p>
        </w:tc>
        <w:tc>
          <w:tcPr>
            <w:tcW w:w="584" w:type="dxa"/>
            <w:tcMar>
              <w:left w:w="57" w:type="dxa"/>
              <w:right w:w="57" w:type="dxa"/>
            </w:tcMar>
            <w:vAlign w:val="bottom"/>
          </w:tcPr>
          <w:p w14:paraId="5F121469" w14:textId="6C11C2A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53A5EC0B" w14:textId="31DF43F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1F5D3971" w14:textId="665ED70A"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5671568D" w14:textId="614F5A03"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55124965" w14:textId="0D48C86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3996904B" w14:textId="01047E9A"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1313" w:type="dxa"/>
            <w:tcMar>
              <w:left w:w="57" w:type="dxa"/>
              <w:right w:w="57" w:type="dxa"/>
            </w:tcMar>
            <w:vAlign w:val="bottom"/>
          </w:tcPr>
          <w:p w14:paraId="602A5699" w14:textId="684CC1B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5349251D" w14:textId="0D8530B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1167" w:type="dxa"/>
            <w:tcMar>
              <w:left w:w="57" w:type="dxa"/>
              <w:right w:w="57" w:type="dxa"/>
            </w:tcMar>
            <w:vAlign w:val="bottom"/>
          </w:tcPr>
          <w:p w14:paraId="3821BB34" w14:textId="56F8F3A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1460" w:type="dxa"/>
            <w:tcMar>
              <w:left w:w="57" w:type="dxa"/>
              <w:right w:w="57" w:type="dxa"/>
            </w:tcMar>
            <w:vAlign w:val="bottom"/>
          </w:tcPr>
          <w:p w14:paraId="0117826D" w14:textId="17011E5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875" w:type="dxa"/>
            <w:tcMar>
              <w:left w:w="57" w:type="dxa"/>
              <w:right w:w="57" w:type="dxa"/>
            </w:tcMar>
            <w:vAlign w:val="bottom"/>
          </w:tcPr>
          <w:p w14:paraId="7DF33C7A" w14:textId="0FFEAEE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17.173.014</w:t>
            </w:r>
          </w:p>
        </w:tc>
        <w:tc>
          <w:tcPr>
            <w:tcW w:w="729" w:type="dxa"/>
            <w:tcMar>
              <w:left w:w="57" w:type="dxa"/>
              <w:right w:w="57" w:type="dxa"/>
            </w:tcMar>
            <w:vAlign w:val="bottom"/>
          </w:tcPr>
          <w:p w14:paraId="77640CF4" w14:textId="18C2565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5451E2F4" w14:textId="05896B9B"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(17.173.014)</w:t>
            </w:r>
          </w:p>
        </w:tc>
        <w:tc>
          <w:tcPr>
            <w:tcW w:w="730" w:type="dxa"/>
            <w:tcMar>
              <w:left w:w="57" w:type="dxa"/>
              <w:right w:w="57" w:type="dxa"/>
            </w:tcMar>
            <w:vAlign w:val="bottom"/>
          </w:tcPr>
          <w:p w14:paraId="647C7D49" w14:textId="6EEB057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16DF40C6" w14:textId="403FCEF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569" w:type="dxa"/>
            <w:tcMar>
              <w:left w:w="57" w:type="dxa"/>
              <w:right w:w="57" w:type="dxa"/>
            </w:tcMar>
            <w:vAlign w:val="bottom"/>
          </w:tcPr>
          <w:p w14:paraId="0DC4AAF3" w14:textId="14DD33B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6A719E31" w14:textId="77777777" w:rsidTr="005D5803">
        <w:tc>
          <w:tcPr>
            <w:tcW w:w="400" w:type="dxa"/>
            <w:shd w:val="clear" w:color="auto" w:fill="auto"/>
            <w:tcMar>
              <w:left w:w="57" w:type="dxa"/>
              <w:right w:w="57" w:type="dxa"/>
            </w:tcMar>
            <w:vAlign w:val="bottom"/>
          </w:tcPr>
          <w:p w14:paraId="1BD930B2"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sz w:val="8"/>
                <w:szCs w:val="8"/>
              </w:rPr>
              <w:t>11.1</w:t>
            </w:r>
          </w:p>
        </w:tc>
        <w:tc>
          <w:tcPr>
            <w:tcW w:w="2515" w:type="dxa"/>
            <w:shd w:val="clear" w:color="auto" w:fill="auto"/>
            <w:tcMar>
              <w:left w:w="57" w:type="dxa"/>
              <w:right w:w="57" w:type="dxa"/>
            </w:tcMar>
            <w:vAlign w:val="bottom"/>
          </w:tcPr>
          <w:p w14:paraId="762DD7DB" w14:textId="52898BD4"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sz w:val="8"/>
                <w:szCs w:val="8"/>
              </w:rPr>
              <w:t>Dağıtılan Temettü</w:t>
            </w:r>
          </w:p>
        </w:tc>
        <w:tc>
          <w:tcPr>
            <w:tcW w:w="584" w:type="dxa"/>
            <w:vAlign w:val="bottom"/>
          </w:tcPr>
          <w:p w14:paraId="57BED96E"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4FA827F4" w14:textId="279F75C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1119110" w14:textId="11D0D0E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19F6C8FD" w14:textId="366E121C"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B8951E7" w14:textId="63417F5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E17CE8A" w14:textId="599744D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025B6E7F" w14:textId="7718477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08AABE94" w14:textId="616C20A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95DEF57" w14:textId="3F72B6F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43B39039" w14:textId="122B67E0"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5AB0AB11" w14:textId="00A91614"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469F90EE" w14:textId="091DF12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7287C78F" w14:textId="2368FA6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5DFFB5A1" w14:textId="7726B334"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35E7C4EB" w14:textId="32558AF8"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177A46A3" w14:textId="0A0CFCA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48F497D5" w14:textId="3B6872D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1D6076BD" w14:textId="77777777" w:rsidTr="005D5803">
        <w:tc>
          <w:tcPr>
            <w:tcW w:w="400" w:type="dxa"/>
            <w:shd w:val="clear" w:color="auto" w:fill="auto"/>
            <w:tcMar>
              <w:left w:w="57" w:type="dxa"/>
              <w:right w:w="57" w:type="dxa"/>
            </w:tcMar>
            <w:vAlign w:val="bottom"/>
          </w:tcPr>
          <w:p w14:paraId="23CEB982" w14:textId="77777777"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sz w:val="8"/>
                <w:szCs w:val="8"/>
              </w:rPr>
              <w:t>11.2</w:t>
            </w:r>
          </w:p>
        </w:tc>
        <w:tc>
          <w:tcPr>
            <w:tcW w:w="2515" w:type="dxa"/>
            <w:shd w:val="clear" w:color="auto" w:fill="auto"/>
            <w:tcMar>
              <w:left w:w="57" w:type="dxa"/>
              <w:right w:w="57" w:type="dxa"/>
            </w:tcMar>
            <w:vAlign w:val="bottom"/>
          </w:tcPr>
          <w:p w14:paraId="4CAF85CB" w14:textId="291D08E9" w:rsidR="008E062C" w:rsidRPr="00FB38E1" w:rsidRDefault="008E062C" w:rsidP="008E062C">
            <w:pPr>
              <w:rPr>
                <w:rFonts w:ascii="Microsoft Sans Serif" w:hAnsi="Microsoft Sans Serif" w:cs="Microsoft Sans Serif"/>
                <w:b/>
                <w:bCs/>
                <w:sz w:val="8"/>
                <w:szCs w:val="8"/>
              </w:rPr>
            </w:pPr>
            <w:r w:rsidRPr="00FB38E1">
              <w:rPr>
                <w:rFonts w:ascii="Microsoft Sans Serif" w:hAnsi="Microsoft Sans Serif" w:cs="Microsoft Sans Serif"/>
                <w:sz w:val="8"/>
                <w:szCs w:val="8"/>
              </w:rPr>
              <w:t>Yedeklere Aktarılan Tutarlar</w:t>
            </w:r>
          </w:p>
        </w:tc>
        <w:tc>
          <w:tcPr>
            <w:tcW w:w="584" w:type="dxa"/>
            <w:vAlign w:val="bottom"/>
          </w:tcPr>
          <w:p w14:paraId="04ACA739" w14:textId="4A10A4BD" w:rsidR="008E062C" w:rsidRPr="00FB38E1" w:rsidRDefault="008E062C" w:rsidP="008E062C">
            <w:pPr>
              <w:jc w:val="right"/>
              <w:rPr>
                <w:rFonts w:ascii="Microsoft Sans Serif" w:hAnsi="Microsoft Sans Serif" w:cs="Microsoft Sans Serif"/>
                <w:sz w:val="8"/>
                <w:szCs w:val="8"/>
              </w:rPr>
            </w:pPr>
            <w:r w:rsidRPr="00FB38E1">
              <w:rPr>
                <w:rFonts w:ascii="Microsoft Sans Serif" w:hAnsi="Microsoft Sans Serif" w:cs="Microsoft Sans Serif"/>
                <w:bCs/>
                <w:sz w:val="8"/>
                <w:szCs w:val="8"/>
              </w:rPr>
              <w:t>(5.V.f)</w:t>
            </w:r>
          </w:p>
        </w:tc>
        <w:tc>
          <w:tcPr>
            <w:tcW w:w="584" w:type="dxa"/>
            <w:tcMar>
              <w:left w:w="57" w:type="dxa"/>
              <w:right w:w="57" w:type="dxa"/>
            </w:tcMar>
            <w:vAlign w:val="bottom"/>
          </w:tcPr>
          <w:p w14:paraId="6E97ED73" w14:textId="14D88C1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557D5A60" w14:textId="0888076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4500E99E" w14:textId="25A6C9F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F0F3CF2" w14:textId="0348B5BA"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6A1F4FF" w14:textId="4C9153C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5E408F62" w14:textId="51292E6F"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6DC99E02" w14:textId="4AB261F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6ABF92C8" w14:textId="78C1A069"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526EFDC3" w14:textId="5806FD34"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070A0C64" w14:textId="0D2BDAC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278A170C" w14:textId="03480A8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17.173.014</w:t>
            </w:r>
          </w:p>
        </w:tc>
        <w:tc>
          <w:tcPr>
            <w:tcW w:w="729" w:type="dxa"/>
            <w:tcMar>
              <w:left w:w="57" w:type="dxa"/>
              <w:right w:w="57" w:type="dxa"/>
            </w:tcMar>
            <w:vAlign w:val="bottom"/>
          </w:tcPr>
          <w:p w14:paraId="77A2DC1B" w14:textId="0D4CAA52"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3DE2F337" w14:textId="09A0230D"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(17.173.014)</w:t>
            </w:r>
          </w:p>
        </w:tc>
        <w:tc>
          <w:tcPr>
            <w:tcW w:w="730" w:type="dxa"/>
            <w:tcMar>
              <w:left w:w="57" w:type="dxa"/>
              <w:right w:w="57" w:type="dxa"/>
            </w:tcMar>
            <w:vAlign w:val="bottom"/>
          </w:tcPr>
          <w:p w14:paraId="4699651D" w14:textId="01EDBB95"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05C8E51A" w14:textId="3581AB4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0709C893" w14:textId="40587AE6"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54633346" w14:textId="77777777" w:rsidTr="005D5803">
        <w:tc>
          <w:tcPr>
            <w:tcW w:w="400" w:type="dxa"/>
            <w:shd w:val="clear" w:color="auto" w:fill="auto"/>
            <w:tcMar>
              <w:left w:w="57" w:type="dxa"/>
              <w:right w:w="57" w:type="dxa"/>
            </w:tcMar>
            <w:vAlign w:val="bottom"/>
          </w:tcPr>
          <w:p w14:paraId="18B7E124" w14:textId="77777777"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sz w:val="8"/>
                <w:szCs w:val="8"/>
              </w:rPr>
              <w:t>11.3</w:t>
            </w:r>
          </w:p>
        </w:tc>
        <w:tc>
          <w:tcPr>
            <w:tcW w:w="2515" w:type="dxa"/>
            <w:shd w:val="clear" w:color="auto" w:fill="auto"/>
            <w:tcMar>
              <w:left w:w="57" w:type="dxa"/>
              <w:right w:w="57" w:type="dxa"/>
            </w:tcMar>
            <w:vAlign w:val="bottom"/>
          </w:tcPr>
          <w:p w14:paraId="6144E98F" w14:textId="5C66A7AF"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sz w:val="8"/>
                <w:szCs w:val="8"/>
              </w:rPr>
              <w:t xml:space="preserve">Diğer </w:t>
            </w:r>
          </w:p>
        </w:tc>
        <w:tc>
          <w:tcPr>
            <w:tcW w:w="584" w:type="dxa"/>
          </w:tcPr>
          <w:p w14:paraId="2BC0F7BB"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24EC802D" w14:textId="36F8B82B"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1FFDFD84" w14:textId="5DDF28FF"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6DF36926" w14:textId="609EB166"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E15B97D" w14:textId="3B007915"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279AC6E" w14:textId="409C9260"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60D8BE64" w14:textId="3CBC8E09"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760CF8A3" w14:textId="6270800C"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6AAB7E26" w14:textId="78CD56EF"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5013583D" w14:textId="530579A3"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112CED3C" w14:textId="04B8893D"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0395DECF" w14:textId="5A099F3F"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27914DAB" w14:textId="3005D509"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0C5D61E1" w14:textId="7503317C"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580B686" w14:textId="6CEF1EE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c>
          <w:tcPr>
            <w:tcW w:w="439" w:type="dxa"/>
            <w:shd w:val="clear" w:color="auto" w:fill="auto"/>
            <w:tcMar>
              <w:left w:w="57" w:type="dxa"/>
              <w:right w:w="57" w:type="dxa"/>
            </w:tcMar>
            <w:vAlign w:val="bottom"/>
          </w:tcPr>
          <w:p w14:paraId="65E71EF3" w14:textId="2459E518"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6E9B3C3F" w14:textId="23B9219E"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w:t>
            </w:r>
          </w:p>
        </w:tc>
      </w:tr>
      <w:tr w:rsidR="008E062C" w:rsidRPr="00FB38E1" w14:paraId="001BE6E8" w14:textId="77777777" w:rsidTr="005D5803">
        <w:tc>
          <w:tcPr>
            <w:tcW w:w="400" w:type="dxa"/>
            <w:tcBorders>
              <w:bottom w:val="single" w:sz="4" w:space="0" w:color="auto"/>
            </w:tcBorders>
            <w:shd w:val="clear" w:color="auto" w:fill="auto"/>
            <w:tcMar>
              <w:left w:w="57" w:type="dxa"/>
              <w:right w:w="57" w:type="dxa"/>
            </w:tcMar>
            <w:vAlign w:val="bottom"/>
          </w:tcPr>
          <w:p w14:paraId="7CB2DDF7" w14:textId="77777777" w:rsidR="008E062C" w:rsidRPr="00FB38E1" w:rsidRDefault="008E062C" w:rsidP="008E062C">
            <w:pPr>
              <w:rPr>
                <w:rFonts w:ascii="Microsoft Sans Serif" w:hAnsi="Microsoft Sans Serif" w:cs="Microsoft Sans Serif"/>
                <w:sz w:val="8"/>
                <w:szCs w:val="8"/>
              </w:rPr>
            </w:pPr>
          </w:p>
        </w:tc>
        <w:tc>
          <w:tcPr>
            <w:tcW w:w="2515" w:type="dxa"/>
            <w:tcBorders>
              <w:bottom w:val="single" w:sz="4" w:space="0" w:color="auto"/>
            </w:tcBorders>
            <w:shd w:val="clear" w:color="auto" w:fill="auto"/>
            <w:tcMar>
              <w:left w:w="57" w:type="dxa"/>
              <w:right w:w="57" w:type="dxa"/>
            </w:tcMar>
            <w:vAlign w:val="bottom"/>
          </w:tcPr>
          <w:p w14:paraId="74FA4F41" w14:textId="77777777" w:rsidR="008E062C" w:rsidRPr="00FB38E1" w:rsidRDefault="008E062C" w:rsidP="008E062C">
            <w:pPr>
              <w:rPr>
                <w:rFonts w:ascii="Microsoft Sans Serif" w:hAnsi="Microsoft Sans Serif" w:cs="Microsoft Sans Serif"/>
                <w:sz w:val="8"/>
                <w:szCs w:val="8"/>
              </w:rPr>
            </w:pPr>
          </w:p>
        </w:tc>
        <w:tc>
          <w:tcPr>
            <w:tcW w:w="584" w:type="dxa"/>
            <w:tcBorders>
              <w:bottom w:val="single" w:sz="4" w:space="0" w:color="auto"/>
            </w:tcBorders>
          </w:tcPr>
          <w:p w14:paraId="41BF5AA3" w14:textId="77777777" w:rsidR="008E062C" w:rsidRPr="00FB38E1" w:rsidRDefault="008E062C" w:rsidP="008E062C">
            <w:pPr>
              <w:jc w:val="right"/>
              <w:rPr>
                <w:rFonts w:ascii="Microsoft Sans Serif" w:hAnsi="Microsoft Sans Serif" w:cs="Microsoft Sans Serif"/>
                <w:sz w:val="8"/>
                <w:szCs w:val="8"/>
              </w:rPr>
            </w:pPr>
          </w:p>
        </w:tc>
        <w:tc>
          <w:tcPr>
            <w:tcW w:w="584" w:type="dxa"/>
            <w:tcBorders>
              <w:bottom w:val="single" w:sz="4" w:space="0" w:color="auto"/>
            </w:tcBorders>
            <w:tcMar>
              <w:left w:w="57" w:type="dxa"/>
              <w:right w:w="57" w:type="dxa"/>
            </w:tcMar>
            <w:vAlign w:val="bottom"/>
          </w:tcPr>
          <w:p w14:paraId="6504F9F3" w14:textId="104B6273" w:rsidR="008E062C" w:rsidRPr="00FB38E1" w:rsidRDefault="008E062C" w:rsidP="008E062C">
            <w:pPr>
              <w:jc w:val="right"/>
              <w:rPr>
                <w:rFonts w:ascii="Microsoft Sans Serif" w:hAnsi="Microsoft Sans Serif" w:cs="Microsoft Sans Serif"/>
                <w:color w:val="FF0000"/>
                <w:sz w:val="8"/>
                <w:szCs w:val="8"/>
              </w:rPr>
            </w:pPr>
          </w:p>
        </w:tc>
        <w:tc>
          <w:tcPr>
            <w:tcW w:w="437" w:type="dxa"/>
            <w:tcBorders>
              <w:bottom w:val="single" w:sz="4" w:space="0" w:color="auto"/>
            </w:tcBorders>
            <w:tcMar>
              <w:left w:w="57" w:type="dxa"/>
              <w:right w:w="57" w:type="dxa"/>
            </w:tcMar>
            <w:vAlign w:val="bottom"/>
          </w:tcPr>
          <w:p w14:paraId="0AF5DE36" w14:textId="370C8429" w:rsidR="008E062C" w:rsidRPr="00FB38E1" w:rsidRDefault="008E062C" w:rsidP="008E062C">
            <w:pPr>
              <w:jc w:val="right"/>
              <w:rPr>
                <w:rFonts w:ascii="Microsoft Sans Serif" w:hAnsi="Microsoft Sans Serif" w:cs="Microsoft Sans Serif"/>
                <w:color w:val="FF0000"/>
                <w:sz w:val="8"/>
                <w:szCs w:val="8"/>
              </w:rPr>
            </w:pPr>
          </w:p>
        </w:tc>
        <w:tc>
          <w:tcPr>
            <w:tcW w:w="437" w:type="dxa"/>
            <w:tcBorders>
              <w:bottom w:val="single" w:sz="4" w:space="0" w:color="auto"/>
            </w:tcBorders>
            <w:tcMar>
              <w:left w:w="57" w:type="dxa"/>
              <w:right w:w="57" w:type="dxa"/>
            </w:tcMar>
            <w:vAlign w:val="bottom"/>
          </w:tcPr>
          <w:p w14:paraId="155A658F" w14:textId="7636DD14" w:rsidR="008E062C" w:rsidRPr="00FB38E1" w:rsidRDefault="008E062C" w:rsidP="008E062C">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47F6CB4E" w14:textId="31CC2D58" w:rsidR="008E062C" w:rsidRPr="00FB38E1" w:rsidRDefault="008E062C" w:rsidP="008E062C">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61E25D8E" w14:textId="00F46429" w:rsidR="008E062C" w:rsidRPr="00FB38E1" w:rsidRDefault="008E062C" w:rsidP="008E062C">
            <w:pPr>
              <w:jc w:val="right"/>
              <w:rPr>
                <w:rFonts w:ascii="Microsoft Sans Serif" w:hAnsi="Microsoft Sans Serif" w:cs="Microsoft Sans Serif"/>
                <w:color w:val="FF0000"/>
                <w:sz w:val="8"/>
                <w:szCs w:val="8"/>
              </w:rPr>
            </w:pPr>
          </w:p>
        </w:tc>
        <w:tc>
          <w:tcPr>
            <w:tcW w:w="730" w:type="dxa"/>
            <w:tcBorders>
              <w:bottom w:val="single" w:sz="4" w:space="0" w:color="auto"/>
            </w:tcBorders>
            <w:tcMar>
              <w:left w:w="57" w:type="dxa"/>
              <w:right w:w="57" w:type="dxa"/>
            </w:tcMar>
            <w:vAlign w:val="bottom"/>
          </w:tcPr>
          <w:p w14:paraId="442BF1D8" w14:textId="3AB32E8B" w:rsidR="008E062C" w:rsidRPr="00FB38E1" w:rsidRDefault="008E062C" w:rsidP="008E062C">
            <w:pPr>
              <w:jc w:val="right"/>
              <w:rPr>
                <w:rFonts w:ascii="Microsoft Sans Serif" w:hAnsi="Microsoft Sans Serif" w:cs="Microsoft Sans Serif"/>
                <w:color w:val="FF0000"/>
                <w:sz w:val="8"/>
                <w:szCs w:val="8"/>
              </w:rPr>
            </w:pPr>
          </w:p>
        </w:tc>
        <w:tc>
          <w:tcPr>
            <w:tcW w:w="1313" w:type="dxa"/>
            <w:tcBorders>
              <w:bottom w:val="single" w:sz="4" w:space="0" w:color="auto"/>
            </w:tcBorders>
            <w:tcMar>
              <w:left w:w="57" w:type="dxa"/>
              <w:right w:w="57" w:type="dxa"/>
            </w:tcMar>
            <w:vAlign w:val="bottom"/>
          </w:tcPr>
          <w:p w14:paraId="64E9BC77" w14:textId="070D6670" w:rsidR="008E062C" w:rsidRPr="00FB38E1" w:rsidRDefault="008E062C" w:rsidP="008E062C">
            <w:pPr>
              <w:jc w:val="right"/>
              <w:rPr>
                <w:rFonts w:ascii="Microsoft Sans Serif" w:hAnsi="Microsoft Sans Serif" w:cs="Microsoft Sans Serif"/>
                <w:color w:val="FF0000"/>
                <w:sz w:val="8"/>
                <w:szCs w:val="8"/>
              </w:rPr>
            </w:pPr>
          </w:p>
        </w:tc>
        <w:tc>
          <w:tcPr>
            <w:tcW w:w="584" w:type="dxa"/>
            <w:tcBorders>
              <w:bottom w:val="single" w:sz="4" w:space="0" w:color="auto"/>
            </w:tcBorders>
            <w:tcMar>
              <w:left w:w="57" w:type="dxa"/>
              <w:right w:w="57" w:type="dxa"/>
            </w:tcMar>
            <w:vAlign w:val="bottom"/>
          </w:tcPr>
          <w:p w14:paraId="75F008A1" w14:textId="281F90C2" w:rsidR="008E062C" w:rsidRPr="00FB38E1" w:rsidRDefault="008E062C" w:rsidP="008E062C">
            <w:pPr>
              <w:jc w:val="right"/>
              <w:rPr>
                <w:rFonts w:ascii="Microsoft Sans Serif" w:hAnsi="Microsoft Sans Serif" w:cs="Microsoft Sans Serif"/>
                <w:color w:val="FF0000"/>
                <w:sz w:val="8"/>
                <w:szCs w:val="8"/>
              </w:rPr>
            </w:pPr>
          </w:p>
        </w:tc>
        <w:tc>
          <w:tcPr>
            <w:tcW w:w="1167" w:type="dxa"/>
            <w:tcBorders>
              <w:bottom w:val="single" w:sz="4" w:space="0" w:color="auto"/>
            </w:tcBorders>
            <w:tcMar>
              <w:left w:w="57" w:type="dxa"/>
              <w:right w:w="57" w:type="dxa"/>
            </w:tcMar>
            <w:vAlign w:val="bottom"/>
          </w:tcPr>
          <w:p w14:paraId="1487FBCE" w14:textId="5E01338C" w:rsidR="008E062C" w:rsidRPr="00FB38E1" w:rsidRDefault="008E062C" w:rsidP="008E062C">
            <w:pPr>
              <w:jc w:val="right"/>
              <w:rPr>
                <w:rFonts w:ascii="Microsoft Sans Serif" w:hAnsi="Microsoft Sans Serif" w:cs="Microsoft Sans Serif"/>
                <w:color w:val="FF0000"/>
                <w:sz w:val="8"/>
                <w:szCs w:val="8"/>
              </w:rPr>
            </w:pPr>
          </w:p>
        </w:tc>
        <w:tc>
          <w:tcPr>
            <w:tcW w:w="1460" w:type="dxa"/>
            <w:tcBorders>
              <w:bottom w:val="single" w:sz="4" w:space="0" w:color="auto"/>
            </w:tcBorders>
            <w:tcMar>
              <w:left w:w="57" w:type="dxa"/>
              <w:right w:w="57" w:type="dxa"/>
            </w:tcMar>
            <w:vAlign w:val="bottom"/>
          </w:tcPr>
          <w:p w14:paraId="3FD3D64B" w14:textId="6F23703A" w:rsidR="008E062C" w:rsidRPr="00FB38E1" w:rsidRDefault="008E062C" w:rsidP="008E062C">
            <w:pPr>
              <w:jc w:val="right"/>
              <w:rPr>
                <w:rFonts w:ascii="Microsoft Sans Serif" w:hAnsi="Microsoft Sans Serif" w:cs="Microsoft Sans Serif"/>
                <w:color w:val="FF0000"/>
                <w:sz w:val="8"/>
                <w:szCs w:val="8"/>
              </w:rPr>
            </w:pPr>
          </w:p>
        </w:tc>
        <w:tc>
          <w:tcPr>
            <w:tcW w:w="875" w:type="dxa"/>
            <w:tcBorders>
              <w:bottom w:val="single" w:sz="4" w:space="0" w:color="auto"/>
            </w:tcBorders>
            <w:tcMar>
              <w:left w:w="57" w:type="dxa"/>
              <w:right w:w="57" w:type="dxa"/>
            </w:tcMar>
            <w:vAlign w:val="bottom"/>
          </w:tcPr>
          <w:p w14:paraId="3CD0C786" w14:textId="3D955044" w:rsidR="008E062C" w:rsidRPr="00FB38E1" w:rsidRDefault="008E062C" w:rsidP="008E062C">
            <w:pPr>
              <w:jc w:val="right"/>
              <w:rPr>
                <w:rFonts w:ascii="Microsoft Sans Serif" w:hAnsi="Microsoft Sans Serif" w:cs="Microsoft Sans Serif"/>
                <w:color w:val="FF0000"/>
                <w:sz w:val="8"/>
                <w:szCs w:val="8"/>
              </w:rPr>
            </w:pPr>
          </w:p>
        </w:tc>
        <w:tc>
          <w:tcPr>
            <w:tcW w:w="729" w:type="dxa"/>
            <w:tcBorders>
              <w:bottom w:val="single" w:sz="4" w:space="0" w:color="auto"/>
            </w:tcBorders>
            <w:tcMar>
              <w:left w:w="57" w:type="dxa"/>
              <w:right w:w="57" w:type="dxa"/>
            </w:tcMar>
            <w:vAlign w:val="bottom"/>
          </w:tcPr>
          <w:p w14:paraId="30833613" w14:textId="24350976" w:rsidR="008E062C" w:rsidRPr="00FB38E1" w:rsidRDefault="008E062C" w:rsidP="008E062C">
            <w:pPr>
              <w:jc w:val="right"/>
              <w:rPr>
                <w:rFonts w:ascii="Microsoft Sans Serif" w:hAnsi="Microsoft Sans Serif" w:cs="Microsoft Sans Serif"/>
                <w:color w:val="FF0000"/>
                <w:sz w:val="8"/>
                <w:szCs w:val="8"/>
              </w:rPr>
            </w:pPr>
          </w:p>
        </w:tc>
        <w:tc>
          <w:tcPr>
            <w:tcW w:w="730" w:type="dxa"/>
            <w:tcBorders>
              <w:bottom w:val="single" w:sz="4" w:space="0" w:color="auto"/>
            </w:tcBorders>
            <w:tcMar>
              <w:left w:w="57" w:type="dxa"/>
              <w:right w:w="57" w:type="dxa"/>
            </w:tcMar>
            <w:vAlign w:val="bottom"/>
          </w:tcPr>
          <w:p w14:paraId="34BE3AF0" w14:textId="21B8B5A8" w:rsidR="008E062C" w:rsidRPr="00FB38E1" w:rsidRDefault="008E062C" w:rsidP="008E062C">
            <w:pPr>
              <w:jc w:val="right"/>
              <w:rPr>
                <w:rFonts w:ascii="Microsoft Sans Serif" w:hAnsi="Microsoft Sans Serif" w:cs="Microsoft Sans Serif"/>
                <w:color w:val="FF0000"/>
                <w:sz w:val="8"/>
                <w:szCs w:val="8"/>
              </w:rPr>
            </w:pPr>
          </w:p>
        </w:tc>
        <w:tc>
          <w:tcPr>
            <w:tcW w:w="730" w:type="dxa"/>
            <w:tcBorders>
              <w:bottom w:val="single" w:sz="4" w:space="0" w:color="auto"/>
            </w:tcBorders>
            <w:tcMar>
              <w:left w:w="57" w:type="dxa"/>
              <w:right w:w="57" w:type="dxa"/>
            </w:tcMar>
            <w:vAlign w:val="bottom"/>
          </w:tcPr>
          <w:p w14:paraId="00E7E055" w14:textId="461DB3F0" w:rsidR="008E062C" w:rsidRPr="00FB38E1" w:rsidRDefault="008E062C" w:rsidP="008E062C">
            <w:pPr>
              <w:jc w:val="right"/>
              <w:rPr>
                <w:rFonts w:ascii="Microsoft Sans Serif" w:hAnsi="Microsoft Sans Serif" w:cs="Microsoft Sans Serif"/>
                <w:b/>
                <w:bCs/>
                <w:color w:val="FF0000"/>
                <w:sz w:val="8"/>
                <w:szCs w:val="8"/>
              </w:rPr>
            </w:pPr>
          </w:p>
        </w:tc>
        <w:tc>
          <w:tcPr>
            <w:tcW w:w="439" w:type="dxa"/>
            <w:tcBorders>
              <w:bottom w:val="single" w:sz="4" w:space="0" w:color="auto"/>
            </w:tcBorders>
            <w:shd w:val="clear" w:color="auto" w:fill="auto"/>
            <w:tcMar>
              <w:left w:w="57" w:type="dxa"/>
              <w:right w:w="57" w:type="dxa"/>
            </w:tcMar>
            <w:vAlign w:val="bottom"/>
          </w:tcPr>
          <w:p w14:paraId="5A95D9DF" w14:textId="7C8CEA15" w:rsidR="008E062C" w:rsidRPr="00FB38E1" w:rsidRDefault="008E062C" w:rsidP="008E062C">
            <w:pPr>
              <w:jc w:val="right"/>
              <w:rPr>
                <w:rFonts w:ascii="Microsoft Sans Serif" w:hAnsi="Microsoft Sans Serif" w:cs="Microsoft Sans Serif"/>
                <w:color w:val="FF0000"/>
                <w:sz w:val="8"/>
                <w:szCs w:val="8"/>
              </w:rPr>
            </w:pPr>
          </w:p>
        </w:tc>
        <w:tc>
          <w:tcPr>
            <w:tcW w:w="569" w:type="dxa"/>
            <w:tcBorders>
              <w:bottom w:val="single" w:sz="4" w:space="0" w:color="auto"/>
            </w:tcBorders>
            <w:tcMar>
              <w:left w:w="57" w:type="dxa"/>
              <w:right w:w="57" w:type="dxa"/>
            </w:tcMar>
            <w:vAlign w:val="bottom"/>
          </w:tcPr>
          <w:p w14:paraId="41D4144F" w14:textId="44FD170C" w:rsidR="008E062C" w:rsidRPr="00FB38E1" w:rsidRDefault="008E062C" w:rsidP="008E062C">
            <w:pPr>
              <w:jc w:val="right"/>
              <w:rPr>
                <w:rFonts w:ascii="Microsoft Sans Serif" w:hAnsi="Microsoft Sans Serif" w:cs="Microsoft Sans Serif"/>
                <w:b/>
                <w:bCs/>
                <w:color w:val="FF0000"/>
                <w:sz w:val="8"/>
                <w:szCs w:val="8"/>
              </w:rPr>
            </w:pPr>
          </w:p>
        </w:tc>
      </w:tr>
      <w:tr w:rsidR="008E062C" w:rsidRPr="00FB38E1" w14:paraId="4FE435B0" w14:textId="77777777" w:rsidTr="005D5803">
        <w:tc>
          <w:tcPr>
            <w:tcW w:w="400" w:type="dxa"/>
            <w:tcBorders>
              <w:top w:val="single" w:sz="4" w:space="0" w:color="auto"/>
              <w:bottom w:val="single" w:sz="12" w:space="0" w:color="auto"/>
            </w:tcBorders>
            <w:shd w:val="clear" w:color="auto" w:fill="auto"/>
            <w:tcMar>
              <w:left w:w="57" w:type="dxa"/>
              <w:right w:w="57" w:type="dxa"/>
            </w:tcMar>
            <w:vAlign w:val="bottom"/>
          </w:tcPr>
          <w:p w14:paraId="4975FB57" w14:textId="77777777"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b/>
                <w:bCs/>
                <w:sz w:val="8"/>
                <w:szCs w:val="8"/>
              </w:rPr>
              <w:t> </w:t>
            </w:r>
          </w:p>
        </w:tc>
        <w:tc>
          <w:tcPr>
            <w:tcW w:w="2515" w:type="dxa"/>
            <w:tcBorders>
              <w:top w:val="single" w:sz="4" w:space="0" w:color="auto"/>
              <w:bottom w:val="single" w:sz="12" w:space="0" w:color="auto"/>
            </w:tcBorders>
            <w:shd w:val="clear" w:color="auto" w:fill="auto"/>
            <w:tcMar>
              <w:left w:w="57" w:type="dxa"/>
              <w:right w:w="57" w:type="dxa"/>
            </w:tcMar>
            <w:vAlign w:val="bottom"/>
          </w:tcPr>
          <w:p w14:paraId="4E382720" w14:textId="4A524C79"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b/>
                <w:bCs/>
                <w:sz w:val="8"/>
                <w:szCs w:val="8"/>
              </w:rPr>
              <w:t>Dönem Sonu Bakiyesi  (III+IV+…...+X+XI)</w:t>
            </w:r>
          </w:p>
        </w:tc>
        <w:tc>
          <w:tcPr>
            <w:tcW w:w="584" w:type="dxa"/>
            <w:tcBorders>
              <w:top w:val="single" w:sz="4" w:space="0" w:color="auto"/>
              <w:bottom w:val="single" w:sz="12" w:space="0" w:color="auto"/>
            </w:tcBorders>
          </w:tcPr>
          <w:p w14:paraId="5B41DBC7" w14:textId="77777777" w:rsidR="008E062C" w:rsidRPr="00FB38E1" w:rsidRDefault="008E062C" w:rsidP="008E062C">
            <w:pPr>
              <w:jc w:val="right"/>
              <w:rPr>
                <w:rFonts w:ascii="Microsoft Sans Serif" w:hAnsi="Microsoft Sans Serif" w:cs="Microsoft Sans Serif"/>
                <w:b/>
                <w:bCs/>
                <w:sz w:val="8"/>
                <w:szCs w:val="8"/>
              </w:rPr>
            </w:pPr>
          </w:p>
        </w:tc>
        <w:tc>
          <w:tcPr>
            <w:tcW w:w="584" w:type="dxa"/>
            <w:tcBorders>
              <w:top w:val="single" w:sz="4" w:space="0" w:color="auto"/>
              <w:bottom w:val="single" w:sz="12" w:space="0" w:color="auto"/>
            </w:tcBorders>
            <w:tcMar>
              <w:left w:w="57" w:type="dxa"/>
              <w:right w:w="57" w:type="dxa"/>
            </w:tcMar>
            <w:vAlign w:val="bottom"/>
          </w:tcPr>
          <w:p w14:paraId="08994361" w14:textId="61B86423"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5.696.100</w:t>
            </w:r>
          </w:p>
        </w:tc>
        <w:tc>
          <w:tcPr>
            <w:tcW w:w="437" w:type="dxa"/>
            <w:tcBorders>
              <w:top w:val="single" w:sz="4" w:space="0" w:color="auto"/>
              <w:bottom w:val="single" w:sz="12" w:space="0" w:color="auto"/>
            </w:tcBorders>
            <w:tcMar>
              <w:left w:w="57" w:type="dxa"/>
              <w:right w:w="57" w:type="dxa"/>
            </w:tcMar>
            <w:vAlign w:val="bottom"/>
          </w:tcPr>
          <w:p w14:paraId="7ABA8ACB" w14:textId="1CD01C5B"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15</w:t>
            </w:r>
          </w:p>
        </w:tc>
        <w:tc>
          <w:tcPr>
            <w:tcW w:w="437" w:type="dxa"/>
            <w:tcBorders>
              <w:top w:val="single" w:sz="4" w:space="0" w:color="auto"/>
              <w:bottom w:val="single" w:sz="12" w:space="0" w:color="auto"/>
            </w:tcBorders>
            <w:tcMar>
              <w:left w:w="57" w:type="dxa"/>
              <w:right w:w="57" w:type="dxa"/>
            </w:tcMar>
            <w:vAlign w:val="bottom"/>
          </w:tcPr>
          <w:p w14:paraId="616B948A" w14:textId="08B5E356"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w:t>
            </w:r>
          </w:p>
        </w:tc>
        <w:tc>
          <w:tcPr>
            <w:tcW w:w="584" w:type="dxa"/>
            <w:tcBorders>
              <w:top w:val="single" w:sz="4" w:space="0" w:color="auto"/>
              <w:bottom w:val="single" w:sz="12" w:space="0" w:color="auto"/>
            </w:tcBorders>
            <w:tcMar>
              <w:left w:w="57" w:type="dxa"/>
              <w:right w:w="57" w:type="dxa"/>
            </w:tcMar>
            <w:vAlign w:val="bottom"/>
          </w:tcPr>
          <w:p w14:paraId="772E69A4" w14:textId="3C4C1B72"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2.910</w:t>
            </w:r>
          </w:p>
        </w:tc>
        <w:tc>
          <w:tcPr>
            <w:tcW w:w="584" w:type="dxa"/>
            <w:tcBorders>
              <w:top w:val="single" w:sz="4" w:space="0" w:color="auto"/>
              <w:bottom w:val="single" w:sz="12" w:space="0" w:color="auto"/>
            </w:tcBorders>
            <w:tcMar>
              <w:left w:w="57" w:type="dxa"/>
              <w:right w:w="57" w:type="dxa"/>
            </w:tcMar>
            <w:vAlign w:val="bottom"/>
          </w:tcPr>
          <w:p w14:paraId="4A97ADEA" w14:textId="14AD4371"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708.408</w:t>
            </w:r>
          </w:p>
        </w:tc>
        <w:tc>
          <w:tcPr>
            <w:tcW w:w="730" w:type="dxa"/>
            <w:tcBorders>
              <w:top w:val="single" w:sz="4" w:space="0" w:color="auto"/>
              <w:bottom w:val="single" w:sz="12" w:space="0" w:color="auto"/>
            </w:tcBorders>
            <w:tcMar>
              <w:left w:w="57" w:type="dxa"/>
              <w:right w:w="57" w:type="dxa"/>
            </w:tcMar>
            <w:vAlign w:val="bottom"/>
          </w:tcPr>
          <w:p w14:paraId="37F7D53B" w14:textId="7F62F6D9"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(363.043)</w:t>
            </w:r>
          </w:p>
        </w:tc>
        <w:tc>
          <w:tcPr>
            <w:tcW w:w="1313" w:type="dxa"/>
            <w:tcBorders>
              <w:top w:val="single" w:sz="4" w:space="0" w:color="auto"/>
              <w:bottom w:val="single" w:sz="12" w:space="0" w:color="auto"/>
            </w:tcBorders>
            <w:tcMar>
              <w:left w:w="57" w:type="dxa"/>
              <w:right w:w="57" w:type="dxa"/>
            </w:tcMar>
            <w:vAlign w:val="bottom"/>
          </w:tcPr>
          <w:p w14:paraId="39BC0F80" w14:textId="5A72E458"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7.893.361</w:t>
            </w:r>
          </w:p>
        </w:tc>
        <w:tc>
          <w:tcPr>
            <w:tcW w:w="584" w:type="dxa"/>
            <w:tcBorders>
              <w:top w:val="single" w:sz="4" w:space="0" w:color="auto"/>
              <w:bottom w:val="single" w:sz="12" w:space="0" w:color="auto"/>
            </w:tcBorders>
            <w:tcMar>
              <w:left w:w="57" w:type="dxa"/>
              <w:right w:w="57" w:type="dxa"/>
            </w:tcMar>
            <w:vAlign w:val="bottom"/>
          </w:tcPr>
          <w:p w14:paraId="7EAB7DE2" w14:textId="44187904"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37.935.668</w:t>
            </w:r>
          </w:p>
        </w:tc>
        <w:tc>
          <w:tcPr>
            <w:tcW w:w="1167" w:type="dxa"/>
            <w:tcBorders>
              <w:top w:val="single" w:sz="4" w:space="0" w:color="auto"/>
              <w:bottom w:val="single" w:sz="12" w:space="0" w:color="auto"/>
            </w:tcBorders>
            <w:tcMar>
              <w:left w:w="57" w:type="dxa"/>
              <w:right w:w="57" w:type="dxa"/>
            </w:tcMar>
            <w:vAlign w:val="bottom"/>
          </w:tcPr>
          <w:p w14:paraId="140945E2" w14:textId="3F4AE364"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(1.340.192)</w:t>
            </w:r>
          </w:p>
        </w:tc>
        <w:tc>
          <w:tcPr>
            <w:tcW w:w="1460" w:type="dxa"/>
            <w:tcBorders>
              <w:top w:val="single" w:sz="4" w:space="0" w:color="auto"/>
              <w:bottom w:val="single" w:sz="12" w:space="0" w:color="auto"/>
            </w:tcBorders>
            <w:tcMar>
              <w:left w:w="57" w:type="dxa"/>
              <w:right w:w="57" w:type="dxa"/>
            </w:tcMar>
            <w:vAlign w:val="bottom"/>
          </w:tcPr>
          <w:p w14:paraId="42CAAF77" w14:textId="6D040B8D"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(23.681.069)</w:t>
            </w:r>
          </w:p>
        </w:tc>
        <w:tc>
          <w:tcPr>
            <w:tcW w:w="875" w:type="dxa"/>
            <w:tcBorders>
              <w:top w:val="single" w:sz="4" w:space="0" w:color="auto"/>
              <w:bottom w:val="single" w:sz="12" w:space="0" w:color="auto"/>
            </w:tcBorders>
            <w:tcMar>
              <w:left w:w="57" w:type="dxa"/>
              <w:right w:w="57" w:type="dxa"/>
            </w:tcMar>
            <w:vAlign w:val="bottom"/>
          </w:tcPr>
          <w:p w14:paraId="74BA4331" w14:textId="4EC65D97"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33.868.186</w:t>
            </w:r>
          </w:p>
        </w:tc>
        <w:tc>
          <w:tcPr>
            <w:tcW w:w="729" w:type="dxa"/>
            <w:tcBorders>
              <w:top w:val="single" w:sz="4" w:space="0" w:color="auto"/>
              <w:bottom w:val="single" w:sz="12" w:space="0" w:color="auto"/>
            </w:tcBorders>
            <w:tcMar>
              <w:left w:w="57" w:type="dxa"/>
              <w:right w:w="57" w:type="dxa"/>
            </w:tcMar>
            <w:vAlign w:val="bottom"/>
          </w:tcPr>
          <w:p w14:paraId="28B09C46" w14:textId="68868CBE"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1.245.272</w:t>
            </w:r>
          </w:p>
        </w:tc>
        <w:tc>
          <w:tcPr>
            <w:tcW w:w="730" w:type="dxa"/>
            <w:tcBorders>
              <w:top w:val="single" w:sz="4" w:space="0" w:color="auto"/>
              <w:bottom w:val="single" w:sz="12" w:space="0" w:color="auto"/>
            </w:tcBorders>
            <w:tcMar>
              <w:left w:w="57" w:type="dxa"/>
              <w:right w:w="57" w:type="dxa"/>
            </w:tcMar>
            <w:vAlign w:val="bottom"/>
          </w:tcPr>
          <w:p w14:paraId="1A67EB72" w14:textId="78D7E95F"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27.877.785</w:t>
            </w:r>
          </w:p>
        </w:tc>
        <w:tc>
          <w:tcPr>
            <w:tcW w:w="730" w:type="dxa"/>
            <w:tcBorders>
              <w:top w:val="single" w:sz="4" w:space="0" w:color="auto"/>
              <w:bottom w:val="single" w:sz="12" w:space="0" w:color="auto"/>
            </w:tcBorders>
            <w:tcMar>
              <w:left w:w="57" w:type="dxa"/>
              <w:right w:w="57" w:type="dxa"/>
            </w:tcMar>
            <w:vAlign w:val="bottom"/>
          </w:tcPr>
          <w:p w14:paraId="1FC028DE" w14:textId="1FED0AE1"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89.843.401</w:t>
            </w:r>
          </w:p>
        </w:tc>
        <w:tc>
          <w:tcPr>
            <w:tcW w:w="439" w:type="dxa"/>
            <w:tcBorders>
              <w:top w:val="single" w:sz="4" w:space="0" w:color="auto"/>
              <w:bottom w:val="single" w:sz="12" w:space="0" w:color="auto"/>
            </w:tcBorders>
            <w:shd w:val="clear" w:color="auto" w:fill="auto"/>
            <w:tcMar>
              <w:left w:w="57" w:type="dxa"/>
              <w:right w:w="57" w:type="dxa"/>
            </w:tcMar>
            <w:vAlign w:val="bottom"/>
          </w:tcPr>
          <w:p w14:paraId="29EC85D2" w14:textId="6A6639B4" w:rsidR="008E062C" w:rsidRPr="00FB38E1" w:rsidRDefault="008E062C" w:rsidP="008E062C">
            <w:pPr>
              <w:jc w:val="right"/>
              <w:rPr>
                <w:rFonts w:ascii="Microsoft Sans Serif" w:hAnsi="Microsoft Sans Serif" w:cs="Microsoft Sans Serif"/>
                <w:color w:val="FF0000"/>
                <w:sz w:val="8"/>
                <w:szCs w:val="8"/>
              </w:rPr>
            </w:pPr>
            <w:r w:rsidRPr="00FB38E1">
              <w:rPr>
                <w:rFonts w:ascii="Microsoft Sans Serif" w:hAnsi="Microsoft Sans Serif" w:cs="Microsoft Sans Serif"/>
                <w:b/>
                <w:bCs/>
                <w:sz w:val="8"/>
                <w:szCs w:val="8"/>
              </w:rPr>
              <w:t>--</w:t>
            </w:r>
          </w:p>
        </w:tc>
        <w:tc>
          <w:tcPr>
            <w:tcW w:w="569" w:type="dxa"/>
            <w:tcBorders>
              <w:top w:val="single" w:sz="4" w:space="0" w:color="auto"/>
              <w:bottom w:val="single" w:sz="12" w:space="0" w:color="auto"/>
            </w:tcBorders>
            <w:tcMar>
              <w:left w:w="57" w:type="dxa"/>
              <w:right w:w="57" w:type="dxa"/>
            </w:tcMar>
            <w:vAlign w:val="bottom"/>
          </w:tcPr>
          <w:p w14:paraId="71D69377" w14:textId="70EE2F47" w:rsidR="008E062C" w:rsidRPr="00FB38E1" w:rsidRDefault="008E062C" w:rsidP="008E062C">
            <w:pPr>
              <w:jc w:val="right"/>
              <w:rPr>
                <w:rFonts w:ascii="Microsoft Sans Serif" w:hAnsi="Microsoft Sans Serif" w:cs="Microsoft Sans Serif"/>
                <w:b/>
                <w:bCs/>
                <w:color w:val="FF0000"/>
                <w:sz w:val="8"/>
                <w:szCs w:val="8"/>
              </w:rPr>
            </w:pPr>
            <w:r w:rsidRPr="00FB38E1">
              <w:rPr>
                <w:rFonts w:ascii="Microsoft Sans Serif" w:hAnsi="Microsoft Sans Serif" w:cs="Microsoft Sans Serif"/>
                <w:b/>
                <w:bCs/>
                <w:sz w:val="8"/>
                <w:szCs w:val="8"/>
              </w:rPr>
              <w:t>89.843.401</w:t>
            </w:r>
          </w:p>
        </w:tc>
      </w:tr>
      <w:tr w:rsidR="008E062C" w:rsidRPr="00FB38E1" w14:paraId="74BFD280" w14:textId="77777777" w:rsidTr="005D5803">
        <w:tc>
          <w:tcPr>
            <w:tcW w:w="400" w:type="dxa"/>
            <w:tcBorders>
              <w:top w:val="single" w:sz="12" w:space="0" w:color="auto"/>
            </w:tcBorders>
            <w:shd w:val="clear" w:color="auto" w:fill="auto"/>
            <w:tcMar>
              <w:left w:w="57" w:type="dxa"/>
              <w:right w:w="57" w:type="dxa"/>
            </w:tcMar>
            <w:vAlign w:val="bottom"/>
          </w:tcPr>
          <w:p w14:paraId="00EC8BB7" w14:textId="77777777" w:rsidR="008E062C" w:rsidRPr="00FB38E1" w:rsidRDefault="008E062C" w:rsidP="008E062C">
            <w:pPr>
              <w:rPr>
                <w:rFonts w:ascii="Microsoft Sans Serif" w:hAnsi="Microsoft Sans Serif" w:cs="Microsoft Sans Serif"/>
                <w:sz w:val="8"/>
                <w:szCs w:val="8"/>
              </w:rPr>
            </w:pPr>
          </w:p>
        </w:tc>
        <w:tc>
          <w:tcPr>
            <w:tcW w:w="2515" w:type="dxa"/>
            <w:tcBorders>
              <w:top w:val="single" w:sz="12" w:space="0" w:color="auto"/>
            </w:tcBorders>
            <w:shd w:val="clear" w:color="auto" w:fill="auto"/>
            <w:tcMar>
              <w:left w:w="57" w:type="dxa"/>
              <w:right w:w="57" w:type="dxa"/>
            </w:tcMar>
            <w:vAlign w:val="bottom"/>
          </w:tcPr>
          <w:p w14:paraId="0DB898BE" w14:textId="77777777" w:rsidR="008E062C" w:rsidRPr="00FB38E1" w:rsidRDefault="008E062C" w:rsidP="008E062C">
            <w:pPr>
              <w:rPr>
                <w:rFonts w:ascii="Microsoft Sans Serif" w:hAnsi="Microsoft Sans Serif" w:cs="Microsoft Sans Serif"/>
                <w:b/>
                <w:bCs/>
                <w:sz w:val="8"/>
                <w:szCs w:val="8"/>
              </w:rPr>
            </w:pPr>
          </w:p>
          <w:p w14:paraId="7DC85968" w14:textId="77777777"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b/>
                <w:bCs/>
                <w:sz w:val="8"/>
                <w:szCs w:val="8"/>
              </w:rPr>
              <w:t>CARİ DÖNEM</w:t>
            </w:r>
          </w:p>
        </w:tc>
        <w:tc>
          <w:tcPr>
            <w:tcW w:w="584" w:type="dxa"/>
            <w:tcBorders>
              <w:top w:val="single" w:sz="12" w:space="0" w:color="auto"/>
            </w:tcBorders>
          </w:tcPr>
          <w:p w14:paraId="0A1AF2D1" w14:textId="77777777" w:rsidR="008E062C" w:rsidRPr="00FB38E1" w:rsidRDefault="008E062C"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46E1F9BE" w14:textId="77777777" w:rsidR="008E062C" w:rsidRPr="00FB38E1" w:rsidRDefault="008E062C" w:rsidP="008E062C">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6636C23E" w14:textId="77777777" w:rsidR="008E062C" w:rsidRPr="00FB38E1" w:rsidRDefault="008E062C" w:rsidP="008E062C">
            <w:pPr>
              <w:jc w:val="right"/>
              <w:rPr>
                <w:rFonts w:ascii="Microsoft Sans Serif" w:hAnsi="Microsoft Sans Serif" w:cs="Microsoft Sans Serif"/>
                <w:sz w:val="8"/>
                <w:szCs w:val="8"/>
              </w:rPr>
            </w:pPr>
          </w:p>
        </w:tc>
        <w:tc>
          <w:tcPr>
            <w:tcW w:w="437" w:type="dxa"/>
            <w:tcBorders>
              <w:top w:val="single" w:sz="12" w:space="0" w:color="auto"/>
            </w:tcBorders>
            <w:tcMar>
              <w:left w:w="57" w:type="dxa"/>
              <w:right w:w="57" w:type="dxa"/>
            </w:tcMar>
            <w:vAlign w:val="bottom"/>
          </w:tcPr>
          <w:p w14:paraId="5DC6A4A8" w14:textId="77777777" w:rsidR="008E062C" w:rsidRPr="00FB38E1" w:rsidRDefault="008E062C"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28A79C98" w14:textId="77777777" w:rsidR="008E062C" w:rsidRPr="00FB38E1" w:rsidRDefault="008E062C"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412F4BB6" w14:textId="77777777" w:rsidR="008E062C" w:rsidRPr="00FB38E1" w:rsidRDefault="008E062C" w:rsidP="008E062C">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4E784C73" w14:textId="77777777" w:rsidR="008E062C" w:rsidRPr="00FB38E1" w:rsidRDefault="008E062C" w:rsidP="008E062C">
            <w:pPr>
              <w:jc w:val="right"/>
              <w:rPr>
                <w:rFonts w:ascii="Microsoft Sans Serif" w:hAnsi="Microsoft Sans Serif" w:cs="Microsoft Sans Serif"/>
                <w:sz w:val="8"/>
                <w:szCs w:val="8"/>
              </w:rPr>
            </w:pPr>
          </w:p>
        </w:tc>
        <w:tc>
          <w:tcPr>
            <w:tcW w:w="1313" w:type="dxa"/>
            <w:tcBorders>
              <w:top w:val="single" w:sz="12" w:space="0" w:color="auto"/>
            </w:tcBorders>
            <w:tcMar>
              <w:left w:w="57" w:type="dxa"/>
              <w:right w:w="57" w:type="dxa"/>
            </w:tcMar>
            <w:vAlign w:val="bottom"/>
          </w:tcPr>
          <w:p w14:paraId="7819AE9E" w14:textId="77777777" w:rsidR="008E062C" w:rsidRPr="00FB38E1" w:rsidRDefault="008E062C" w:rsidP="008E062C">
            <w:pPr>
              <w:jc w:val="right"/>
              <w:rPr>
                <w:rFonts w:ascii="Microsoft Sans Serif" w:hAnsi="Microsoft Sans Serif" w:cs="Microsoft Sans Serif"/>
                <w:sz w:val="8"/>
                <w:szCs w:val="8"/>
              </w:rPr>
            </w:pPr>
          </w:p>
        </w:tc>
        <w:tc>
          <w:tcPr>
            <w:tcW w:w="584" w:type="dxa"/>
            <w:tcBorders>
              <w:top w:val="single" w:sz="12" w:space="0" w:color="auto"/>
            </w:tcBorders>
            <w:tcMar>
              <w:left w:w="57" w:type="dxa"/>
              <w:right w:w="57" w:type="dxa"/>
            </w:tcMar>
            <w:vAlign w:val="bottom"/>
          </w:tcPr>
          <w:p w14:paraId="0C4CD13F" w14:textId="77777777" w:rsidR="008E062C" w:rsidRPr="00FB38E1" w:rsidRDefault="008E062C" w:rsidP="008E062C">
            <w:pPr>
              <w:jc w:val="right"/>
              <w:rPr>
                <w:rFonts w:ascii="Microsoft Sans Serif" w:hAnsi="Microsoft Sans Serif" w:cs="Microsoft Sans Serif"/>
                <w:sz w:val="8"/>
                <w:szCs w:val="8"/>
              </w:rPr>
            </w:pPr>
          </w:p>
        </w:tc>
        <w:tc>
          <w:tcPr>
            <w:tcW w:w="1167" w:type="dxa"/>
            <w:tcBorders>
              <w:top w:val="single" w:sz="12" w:space="0" w:color="auto"/>
            </w:tcBorders>
            <w:tcMar>
              <w:left w:w="57" w:type="dxa"/>
              <w:right w:w="57" w:type="dxa"/>
            </w:tcMar>
            <w:vAlign w:val="bottom"/>
          </w:tcPr>
          <w:p w14:paraId="7A041C73" w14:textId="77777777" w:rsidR="008E062C" w:rsidRPr="00FB38E1" w:rsidRDefault="008E062C" w:rsidP="008E062C">
            <w:pPr>
              <w:jc w:val="right"/>
              <w:rPr>
                <w:rFonts w:ascii="Microsoft Sans Serif" w:hAnsi="Microsoft Sans Serif" w:cs="Microsoft Sans Serif"/>
                <w:sz w:val="8"/>
                <w:szCs w:val="8"/>
              </w:rPr>
            </w:pPr>
          </w:p>
        </w:tc>
        <w:tc>
          <w:tcPr>
            <w:tcW w:w="1460" w:type="dxa"/>
            <w:tcBorders>
              <w:top w:val="single" w:sz="12" w:space="0" w:color="auto"/>
            </w:tcBorders>
            <w:tcMar>
              <w:left w:w="57" w:type="dxa"/>
              <w:right w:w="57" w:type="dxa"/>
            </w:tcMar>
            <w:vAlign w:val="bottom"/>
          </w:tcPr>
          <w:p w14:paraId="0AC45B52" w14:textId="77777777" w:rsidR="008E062C" w:rsidRPr="00FB38E1" w:rsidRDefault="008E062C" w:rsidP="008E062C">
            <w:pPr>
              <w:jc w:val="right"/>
              <w:rPr>
                <w:rFonts w:ascii="Microsoft Sans Serif" w:hAnsi="Microsoft Sans Serif" w:cs="Microsoft Sans Serif"/>
                <w:sz w:val="8"/>
                <w:szCs w:val="8"/>
              </w:rPr>
            </w:pPr>
          </w:p>
        </w:tc>
        <w:tc>
          <w:tcPr>
            <w:tcW w:w="875" w:type="dxa"/>
            <w:tcBorders>
              <w:top w:val="single" w:sz="12" w:space="0" w:color="auto"/>
            </w:tcBorders>
            <w:tcMar>
              <w:left w:w="57" w:type="dxa"/>
              <w:right w:w="57" w:type="dxa"/>
            </w:tcMar>
            <w:vAlign w:val="bottom"/>
          </w:tcPr>
          <w:p w14:paraId="29F00FDD" w14:textId="77777777" w:rsidR="008E062C" w:rsidRPr="00FB38E1" w:rsidRDefault="008E062C" w:rsidP="008E062C">
            <w:pPr>
              <w:jc w:val="right"/>
              <w:rPr>
                <w:rFonts w:ascii="Microsoft Sans Serif" w:hAnsi="Microsoft Sans Serif" w:cs="Microsoft Sans Serif"/>
                <w:sz w:val="8"/>
                <w:szCs w:val="8"/>
              </w:rPr>
            </w:pPr>
          </w:p>
        </w:tc>
        <w:tc>
          <w:tcPr>
            <w:tcW w:w="729" w:type="dxa"/>
            <w:tcBorders>
              <w:top w:val="single" w:sz="12" w:space="0" w:color="auto"/>
            </w:tcBorders>
            <w:tcMar>
              <w:left w:w="57" w:type="dxa"/>
              <w:right w:w="57" w:type="dxa"/>
            </w:tcMar>
            <w:vAlign w:val="bottom"/>
          </w:tcPr>
          <w:p w14:paraId="799D582A" w14:textId="77777777" w:rsidR="008E062C" w:rsidRPr="00FB38E1" w:rsidRDefault="008E062C" w:rsidP="008E062C">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244C3D05" w14:textId="77777777" w:rsidR="008E062C" w:rsidRPr="00FB38E1" w:rsidRDefault="008E062C" w:rsidP="008E062C">
            <w:pPr>
              <w:jc w:val="right"/>
              <w:rPr>
                <w:rFonts w:ascii="Microsoft Sans Serif" w:hAnsi="Microsoft Sans Serif" w:cs="Microsoft Sans Serif"/>
                <w:sz w:val="8"/>
                <w:szCs w:val="8"/>
              </w:rPr>
            </w:pPr>
          </w:p>
        </w:tc>
        <w:tc>
          <w:tcPr>
            <w:tcW w:w="730" w:type="dxa"/>
            <w:tcBorders>
              <w:top w:val="single" w:sz="12" w:space="0" w:color="auto"/>
            </w:tcBorders>
            <w:tcMar>
              <w:left w:w="57" w:type="dxa"/>
              <w:right w:w="57" w:type="dxa"/>
            </w:tcMar>
            <w:vAlign w:val="bottom"/>
          </w:tcPr>
          <w:p w14:paraId="1BCDA2BD" w14:textId="77777777" w:rsidR="008E062C" w:rsidRPr="00FB38E1" w:rsidRDefault="008E062C" w:rsidP="008E062C">
            <w:pPr>
              <w:jc w:val="right"/>
              <w:rPr>
                <w:rFonts w:ascii="Microsoft Sans Serif" w:hAnsi="Microsoft Sans Serif" w:cs="Microsoft Sans Serif"/>
                <w:b/>
                <w:bCs/>
                <w:sz w:val="8"/>
                <w:szCs w:val="8"/>
              </w:rPr>
            </w:pPr>
          </w:p>
        </w:tc>
        <w:tc>
          <w:tcPr>
            <w:tcW w:w="439" w:type="dxa"/>
            <w:tcBorders>
              <w:top w:val="single" w:sz="12" w:space="0" w:color="auto"/>
            </w:tcBorders>
            <w:tcMar>
              <w:left w:w="57" w:type="dxa"/>
              <w:right w:w="57" w:type="dxa"/>
            </w:tcMar>
            <w:vAlign w:val="bottom"/>
          </w:tcPr>
          <w:p w14:paraId="3AE8EFCC" w14:textId="77777777" w:rsidR="008E062C" w:rsidRPr="00FB38E1" w:rsidRDefault="008E062C" w:rsidP="008E062C">
            <w:pPr>
              <w:jc w:val="right"/>
              <w:rPr>
                <w:rFonts w:ascii="Microsoft Sans Serif" w:hAnsi="Microsoft Sans Serif" w:cs="Microsoft Sans Serif"/>
                <w:sz w:val="8"/>
                <w:szCs w:val="8"/>
              </w:rPr>
            </w:pPr>
          </w:p>
        </w:tc>
        <w:tc>
          <w:tcPr>
            <w:tcW w:w="569" w:type="dxa"/>
            <w:tcBorders>
              <w:top w:val="single" w:sz="12" w:space="0" w:color="auto"/>
            </w:tcBorders>
            <w:tcMar>
              <w:left w:w="57" w:type="dxa"/>
              <w:right w:w="57" w:type="dxa"/>
            </w:tcMar>
            <w:vAlign w:val="bottom"/>
          </w:tcPr>
          <w:p w14:paraId="1544355C" w14:textId="77777777" w:rsidR="008E062C" w:rsidRPr="00FB38E1" w:rsidRDefault="008E062C" w:rsidP="008E062C">
            <w:pPr>
              <w:jc w:val="right"/>
              <w:rPr>
                <w:rFonts w:ascii="Microsoft Sans Serif" w:hAnsi="Microsoft Sans Serif" w:cs="Microsoft Sans Serif"/>
                <w:b/>
                <w:bCs/>
                <w:sz w:val="8"/>
                <w:szCs w:val="8"/>
              </w:rPr>
            </w:pPr>
          </w:p>
        </w:tc>
      </w:tr>
      <w:tr w:rsidR="008E062C" w:rsidRPr="00FB38E1" w14:paraId="7AD5CF6A" w14:textId="77777777" w:rsidTr="005D5803">
        <w:tc>
          <w:tcPr>
            <w:tcW w:w="400" w:type="dxa"/>
            <w:shd w:val="clear" w:color="auto" w:fill="auto"/>
            <w:tcMar>
              <w:left w:w="57" w:type="dxa"/>
              <w:right w:w="57" w:type="dxa"/>
            </w:tcMar>
            <w:vAlign w:val="bottom"/>
          </w:tcPr>
          <w:p w14:paraId="7DFB6EA9" w14:textId="77777777" w:rsidR="008E062C" w:rsidRPr="00FB38E1" w:rsidRDefault="008E062C" w:rsidP="008E062C">
            <w:pPr>
              <w:rPr>
                <w:rFonts w:ascii="Microsoft Sans Serif" w:hAnsi="Microsoft Sans Serif" w:cs="Microsoft Sans Serif"/>
                <w:sz w:val="8"/>
                <w:szCs w:val="8"/>
              </w:rPr>
            </w:pPr>
          </w:p>
        </w:tc>
        <w:tc>
          <w:tcPr>
            <w:tcW w:w="2515" w:type="dxa"/>
            <w:shd w:val="clear" w:color="auto" w:fill="auto"/>
            <w:tcMar>
              <w:left w:w="57" w:type="dxa"/>
              <w:right w:w="57" w:type="dxa"/>
            </w:tcMar>
            <w:vAlign w:val="bottom"/>
          </w:tcPr>
          <w:p w14:paraId="31D13478" w14:textId="7AC3CB95" w:rsidR="008E062C" w:rsidRPr="00FB38E1" w:rsidRDefault="008E062C" w:rsidP="008E062C">
            <w:pPr>
              <w:rPr>
                <w:rFonts w:ascii="Microsoft Sans Serif" w:hAnsi="Microsoft Sans Serif" w:cs="Microsoft Sans Serif"/>
                <w:sz w:val="8"/>
                <w:szCs w:val="8"/>
              </w:rPr>
            </w:pPr>
            <w:r w:rsidRPr="00FB38E1">
              <w:rPr>
                <w:rFonts w:ascii="Microsoft Sans Serif" w:hAnsi="Microsoft Sans Serif" w:cs="Microsoft Sans Serif"/>
                <w:b/>
                <w:bCs/>
                <w:sz w:val="8"/>
                <w:szCs w:val="8"/>
              </w:rPr>
              <w:t>01/01-31/12/2024</w:t>
            </w:r>
          </w:p>
        </w:tc>
        <w:tc>
          <w:tcPr>
            <w:tcW w:w="584" w:type="dxa"/>
          </w:tcPr>
          <w:p w14:paraId="41D6A8CD"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631685B4" w14:textId="77777777" w:rsidR="008E062C" w:rsidRPr="00FB38E1" w:rsidRDefault="008E062C" w:rsidP="008E062C">
            <w:pPr>
              <w:jc w:val="right"/>
              <w:rPr>
                <w:rFonts w:ascii="Microsoft Sans Serif" w:hAnsi="Microsoft Sans Serif" w:cs="Microsoft Sans Serif"/>
                <w:sz w:val="8"/>
                <w:szCs w:val="8"/>
              </w:rPr>
            </w:pPr>
          </w:p>
        </w:tc>
        <w:tc>
          <w:tcPr>
            <w:tcW w:w="437" w:type="dxa"/>
            <w:tcMar>
              <w:left w:w="57" w:type="dxa"/>
              <w:right w:w="57" w:type="dxa"/>
            </w:tcMar>
            <w:vAlign w:val="bottom"/>
          </w:tcPr>
          <w:p w14:paraId="7214444C" w14:textId="77777777" w:rsidR="008E062C" w:rsidRPr="00FB38E1" w:rsidRDefault="008E062C" w:rsidP="008E062C">
            <w:pPr>
              <w:jc w:val="right"/>
              <w:rPr>
                <w:rFonts w:ascii="Microsoft Sans Serif" w:hAnsi="Microsoft Sans Serif" w:cs="Microsoft Sans Serif"/>
                <w:sz w:val="8"/>
                <w:szCs w:val="8"/>
              </w:rPr>
            </w:pPr>
          </w:p>
        </w:tc>
        <w:tc>
          <w:tcPr>
            <w:tcW w:w="437" w:type="dxa"/>
            <w:tcMar>
              <w:left w:w="57" w:type="dxa"/>
              <w:right w:w="57" w:type="dxa"/>
            </w:tcMar>
            <w:vAlign w:val="bottom"/>
          </w:tcPr>
          <w:p w14:paraId="0E8D05C2"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5322978D"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711CDF46" w14:textId="77777777" w:rsidR="008E062C" w:rsidRPr="00FB38E1" w:rsidRDefault="008E062C" w:rsidP="008E062C">
            <w:pPr>
              <w:jc w:val="right"/>
              <w:rPr>
                <w:rFonts w:ascii="Microsoft Sans Serif" w:hAnsi="Microsoft Sans Serif" w:cs="Microsoft Sans Serif"/>
                <w:sz w:val="8"/>
                <w:szCs w:val="8"/>
              </w:rPr>
            </w:pPr>
          </w:p>
        </w:tc>
        <w:tc>
          <w:tcPr>
            <w:tcW w:w="730" w:type="dxa"/>
            <w:tcMar>
              <w:left w:w="57" w:type="dxa"/>
              <w:right w:w="57" w:type="dxa"/>
            </w:tcMar>
            <w:vAlign w:val="bottom"/>
          </w:tcPr>
          <w:p w14:paraId="7BAE8593" w14:textId="77777777" w:rsidR="008E062C" w:rsidRPr="00FB38E1" w:rsidRDefault="008E062C" w:rsidP="008E062C">
            <w:pPr>
              <w:jc w:val="right"/>
              <w:rPr>
                <w:rFonts w:ascii="Microsoft Sans Serif" w:hAnsi="Microsoft Sans Serif" w:cs="Microsoft Sans Serif"/>
                <w:sz w:val="8"/>
                <w:szCs w:val="8"/>
              </w:rPr>
            </w:pPr>
          </w:p>
        </w:tc>
        <w:tc>
          <w:tcPr>
            <w:tcW w:w="1313" w:type="dxa"/>
            <w:tcMar>
              <w:left w:w="57" w:type="dxa"/>
              <w:right w:w="57" w:type="dxa"/>
            </w:tcMar>
            <w:vAlign w:val="bottom"/>
          </w:tcPr>
          <w:p w14:paraId="7147500F" w14:textId="77777777" w:rsidR="008E062C" w:rsidRPr="00FB38E1" w:rsidRDefault="008E062C" w:rsidP="008E062C">
            <w:pPr>
              <w:jc w:val="right"/>
              <w:rPr>
                <w:rFonts w:ascii="Microsoft Sans Serif" w:hAnsi="Microsoft Sans Serif" w:cs="Microsoft Sans Serif"/>
                <w:sz w:val="8"/>
                <w:szCs w:val="8"/>
              </w:rPr>
            </w:pPr>
          </w:p>
        </w:tc>
        <w:tc>
          <w:tcPr>
            <w:tcW w:w="584" w:type="dxa"/>
            <w:tcMar>
              <w:left w:w="57" w:type="dxa"/>
              <w:right w:w="57" w:type="dxa"/>
            </w:tcMar>
            <w:vAlign w:val="bottom"/>
          </w:tcPr>
          <w:p w14:paraId="57D752CC" w14:textId="77777777" w:rsidR="008E062C" w:rsidRPr="00FB38E1" w:rsidRDefault="008E062C" w:rsidP="008E062C">
            <w:pPr>
              <w:jc w:val="right"/>
              <w:rPr>
                <w:rFonts w:ascii="Microsoft Sans Serif" w:hAnsi="Microsoft Sans Serif" w:cs="Microsoft Sans Serif"/>
                <w:sz w:val="8"/>
                <w:szCs w:val="8"/>
              </w:rPr>
            </w:pPr>
          </w:p>
        </w:tc>
        <w:tc>
          <w:tcPr>
            <w:tcW w:w="1167" w:type="dxa"/>
            <w:tcMar>
              <w:left w:w="57" w:type="dxa"/>
              <w:right w:w="57" w:type="dxa"/>
            </w:tcMar>
            <w:vAlign w:val="bottom"/>
          </w:tcPr>
          <w:p w14:paraId="7A9045FB" w14:textId="77777777" w:rsidR="008E062C" w:rsidRPr="00FB38E1" w:rsidRDefault="008E062C" w:rsidP="008E062C">
            <w:pPr>
              <w:jc w:val="right"/>
              <w:rPr>
                <w:rFonts w:ascii="Microsoft Sans Serif" w:hAnsi="Microsoft Sans Serif" w:cs="Microsoft Sans Serif"/>
                <w:sz w:val="8"/>
                <w:szCs w:val="8"/>
              </w:rPr>
            </w:pPr>
          </w:p>
        </w:tc>
        <w:tc>
          <w:tcPr>
            <w:tcW w:w="1460" w:type="dxa"/>
            <w:tcMar>
              <w:left w:w="57" w:type="dxa"/>
              <w:right w:w="57" w:type="dxa"/>
            </w:tcMar>
            <w:vAlign w:val="bottom"/>
          </w:tcPr>
          <w:p w14:paraId="0BD9A147" w14:textId="77777777" w:rsidR="008E062C" w:rsidRPr="00FB38E1" w:rsidRDefault="008E062C" w:rsidP="008E062C">
            <w:pPr>
              <w:jc w:val="right"/>
              <w:rPr>
                <w:rFonts w:ascii="Microsoft Sans Serif" w:hAnsi="Microsoft Sans Serif" w:cs="Microsoft Sans Serif"/>
                <w:sz w:val="8"/>
                <w:szCs w:val="8"/>
              </w:rPr>
            </w:pPr>
          </w:p>
        </w:tc>
        <w:tc>
          <w:tcPr>
            <w:tcW w:w="875" w:type="dxa"/>
            <w:tcMar>
              <w:left w:w="57" w:type="dxa"/>
              <w:right w:w="57" w:type="dxa"/>
            </w:tcMar>
            <w:vAlign w:val="bottom"/>
          </w:tcPr>
          <w:p w14:paraId="370CD445" w14:textId="77777777" w:rsidR="008E062C" w:rsidRPr="00FB38E1" w:rsidRDefault="008E062C" w:rsidP="008E062C">
            <w:pPr>
              <w:jc w:val="right"/>
              <w:rPr>
                <w:rFonts w:ascii="Microsoft Sans Serif" w:hAnsi="Microsoft Sans Serif" w:cs="Microsoft Sans Serif"/>
                <w:sz w:val="8"/>
                <w:szCs w:val="8"/>
              </w:rPr>
            </w:pPr>
          </w:p>
        </w:tc>
        <w:tc>
          <w:tcPr>
            <w:tcW w:w="729" w:type="dxa"/>
            <w:tcMar>
              <w:left w:w="57" w:type="dxa"/>
              <w:right w:w="57" w:type="dxa"/>
            </w:tcMar>
            <w:vAlign w:val="bottom"/>
          </w:tcPr>
          <w:p w14:paraId="02382CBE" w14:textId="77777777" w:rsidR="008E062C" w:rsidRPr="00FB38E1" w:rsidRDefault="008E062C" w:rsidP="008E062C">
            <w:pPr>
              <w:jc w:val="right"/>
              <w:rPr>
                <w:rFonts w:ascii="Microsoft Sans Serif" w:hAnsi="Microsoft Sans Serif" w:cs="Microsoft Sans Serif"/>
                <w:sz w:val="8"/>
                <w:szCs w:val="8"/>
              </w:rPr>
            </w:pPr>
          </w:p>
        </w:tc>
        <w:tc>
          <w:tcPr>
            <w:tcW w:w="730" w:type="dxa"/>
            <w:tcMar>
              <w:left w:w="57" w:type="dxa"/>
              <w:right w:w="57" w:type="dxa"/>
            </w:tcMar>
            <w:vAlign w:val="bottom"/>
          </w:tcPr>
          <w:p w14:paraId="4019280D" w14:textId="77777777" w:rsidR="008E062C" w:rsidRPr="00FB38E1" w:rsidRDefault="008E062C" w:rsidP="008E062C">
            <w:pPr>
              <w:jc w:val="right"/>
              <w:rPr>
                <w:rFonts w:ascii="Microsoft Sans Serif" w:hAnsi="Microsoft Sans Serif" w:cs="Microsoft Sans Serif"/>
                <w:sz w:val="8"/>
                <w:szCs w:val="8"/>
              </w:rPr>
            </w:pPr>
          </w:p>
        </w:tc>
        <w:tc>
          <w:tcPr>
            <w:tcW w:w="730" w:type="dxa"/>
            <w:tcMar>
              <w:left w:w="57" w:type="dxa"/>
              <w:right w:w="57" w:type="dxa"/>
            </w:tcMar>
            <w:vAlign w:val="bottom"/>
          </w:tcPr>
          <w:p w14:paraId="202248F4" w14:textId="77777777" w:rsidR="008E062C" w:rsidRPr="00FB38E1" w:rsidRDefault="008E062C" w:rsidP="008E062C">
            <w:pPr>
              <w:jc w:val="right"/>
              <w:rPr>
                <w:rFonts w:ascii="Microsoft Sans Serif" w:hAnsi="Microsoft Sans Serif" w:cs="Microsoft Sans Serif"/>
                <w:b/>
                <w:bCs/>
                <w:sz w:val="8"/>
                <w:szCs w:val="8"/>
              </w:rPr>
            </w:pPr>
          </w:p>
        </w:tc>
        <w:tc>
          <w:tcPr>
            <w:tcW w:w="439" w:type="dxa"/>
            <w:tcMar>
              <w:left w:w="57" w:type="dxa"/>
              <w:right w:w="57" w:type="dxa"/>
            </w:tcMar>
            <w:vAlign w:val="bottom"/>
          </w:tcPr>
          <w:p w14:paraId="5E557508" w14:textId="77777777" w:rsidR="008E062C" w:rsidRPr="00FB38E1" w:rsidRDefault="008E062C" w:rsidP="008E062C">
            <w:pPr>
              <w:jc w:val="right"/>
              <w:rPr>
                <w:rFonts w:ascii="Microsoft Sans Serif" w:hAnsi="Microsoft Sans Serif" w:cs="Microsoft Sans Serif"/>
                <w:sz w:val="8"/>
                <w:szCs w:val="8"/>
              </w:rPr>
            </w:pPr>
          </w:p>
        </w:tc>
        <w:tc>
          <w:tcPr>
            <w:tcW w:w="569" w:type="dxa"/>
            <w:tcMar>
              <w:left w:w="57" w:type="dxa"/>
              <w:right w:w="57" w:type="dxa"/>
            </w:tcMar>
            <w:vAlign w:val="bottom"/>
          </w:tcPr>
          <w:p w14:paraId="0F779D2F" w14:textId="77777777" w:rsidR="008E062C" w:rsidRPr="00FB38E1" w:rsidRDefault="008E062C" w:rsidP="008E062C">
            <w:pPr>
              <w:jc w:val="right"/>
              <w:rPr>
                <w:rFonts w:ascii="Microsoft Sans Serif" w:hAnsi="Microsoft Sans Serif" w:cs="Microsoft Sans Serif"/>
                <w:b/>
                <w:bCs/>
                <w:sz w:val="8"/>
                <w:szCs w:val="8"/>
              </w:rPr>
            </w:pPr>
          </w:p>
        </w:tc>
      </w:tr>
      <w:tr w:rsidR="001D4463" w:rsidRPr="00FB38E1" w14:paraId="479C02CF" w14:textId="77777777" w:rsidTr="005D5803">
        <w:tc>
          <w:tcPr>
            <w:tcW w:w="400" w:type="dxa"/>
            <w:shd w:val="clear" w:color="auto" w:fill="auto"/>
            <w:tcMar>
              <w:left w:w="57" w:type="dxa"/>
              <w:right w:w="57" w:type="dxa"/>
            </w:tcMar>
            <w:vAlign w:val="bottom"/>
          </w:tcPr>
          <w:p w14:paraId="77831050"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I.</w:t>
            </w:r>
          </w:p>
        </w:tc>
        <w:tc>
          <w:tcPr>
            <w:tcW w:w="2515" w:type="dxa"/>
            <w:shd w:val="clear" w:color="auto" w:fill="auto"/>
            <w:tcMar>
              <w:left w:w="57" w:type="dxa"/>
              <w:right w:w="57" w:type="dxa"/>
            </w:tcMar>
            <w:vAlign w:val="bottom"/>
          </w:tcPr>
          <w:p w14:paraId="7A15C22C"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 xml:space="preserve">Önceki Dönem Sonu Bakiyesi </w:t>
            </w:r>
          </w:p>
        </w:tc>
        <w:tc>
          <w:tcPr>
            <w:tcW w:w="584" w:type="dxa"/>
            <w:vAlign w:val="bottom"/>
          </w:tcPr>
          <w:p w14:paraId="2FC70E97" w14:textId="77777777" w:rsidR="001D4463" w:rsidRPr="00FB38E1" w:rsidRDefault="001D4463" w:rsidP="001D4463">
            <w:pPr>
              <w:jc w:val="left"/>
              <w:rPr>
                <w:rFonts w:ascii="Microsoft Sans Serif" w:hAnsi="Microsoft Sans Serif" w:cs="Microsoft Sans Serif"/>
                <w:b/>
                <w:bCs/>
                <w:sz w:val="8"/>
                <w:szCs w:val="8"/>
              </w:rPr>
            </w:pPr>
          </w:p>
        </w:tc>
        <w:tc>
          <w:tcPr>
            <w:tcW w:w="584" w:type="dxa"/>
            <w:tcMar>
              <w:left w:w="57" w:type="dxa"/>
              <w:right w:w="57" w:type="dxa"/>
            </w:tcMar>
            <w:vAlign w:val="bottom"/>
          </w:tcPr>
          <w:p w14:paraId="02879365" w14:textId="7589672D"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5.696.100</w:t>
            </w:r>
          </w:p>
        </w:tc>
        <w:tc>
          <w:tcPr>
            <w:tcW w:w="437" w:type="dxa"/>
            <w:tcMar>
              <w:left w:w="57" w:type="dxa"/>
              <w:right w:w="57" w:type="dxa"/>
            </w:tcMar>
            <w:vAlign w:val="bottom"/>
          </w:tcPr>
          <w:p w14:paraId="262E49AF" w14:textId="57CC235C"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15</w:t>
            </w:r>
          </w:p>
        </w:tc>
        <w:tc>
          <w:tcPr>
            <w:tcW w:w="437" w:type="dxa"/>
            <w:tcMar>
              <w:left w:w="57" w:type="dxa"/>
              <w:right w:w="57" w:type="dxa"/>
            </w:tcMar>
            <w:vAlign w:val="bottom"/>
          </w:tcPr>
          <w:p w14:paraId="58CD76B2" w14:textId="3D785130"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5D4F7D61" w14:textId="6FDF7574"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2.910</w:t>
            </w:r>
          </w:p>
        </w:tc>
        <w:tc>
          <w:tcPr>
            <w:tcW w:w="584" w:type="dxa"/>
            <w:tcMar>
              <w:left w:w="57" w:type="dxa"/>
              <w:right w:w="57" w:type="dxa"/>
            </w:tcMar>
            <w:vAlign w:val="bottom"/>
          </w:tcPr>
          <w:p w14:paraId="4D89CF99" w14:textId="10922F2B"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708.408</w:t>
            </w:r>
          </w:p>
        </w:tc>
        <w:tc>
          <w:tcPr>
            <w:tcW w:w="730" w:type="dxa"/>
            <w:tcMar>
              <w:left w:w="57" w:type="dxa"/>
              <w:right w:w="57" w:type="dxa"/>
            </w:tcMar>
            <w:vAlign w:val="bottom"/>
          </w:tcPr>
          <w:p w14:paraId="3AEE06DC" w14:textId="489E0D05"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(363.043)</w:t>
            </w:r>
          </w:p>
        </w:tc>
        <w:tc>
          <w:tcPr>
            <w:tcW w:w="1313" w:type="dxa"/>
            <w:tcMar>
              <w:left w:w="57" w:type="dxa"/>
              <w:right w:w="57" w:type="dxa"/>
            </w:tcMar>
            <w:vAlign w:val="bottom"/>
          </w:tcPr>
          <w:p w14:paraId="5889FD70" w14:textId="079C801C"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7.893.361</w:t>
            </w:r>
          </w:p>
        </w:tc>
        <w:tc>
          <w:tcPr>
            <w:tcW w:w="584" w:type="dxa"/>
            <w:tcMar>
              <w:left w:w="57" w:type="dxa"/>
              <w:right w:w="57" w:type="dxa"/>
            </w:tcMar>
            <w:vAlign w:val="bottom"/>
          </w:tcPr>
          <w:p w14:paraId="40CC9185" w14:textId="5FF4782D"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37.935.668</w:t>
            </w:r>
          </w:p>
        </w:tc>
        <w:tc>
          <w:tcPr>
            <w:tcW w:w="1167" w:type="dxa"/>
            <w:tcMar>
              <w:left w:w="57" w:type="dxa"/>
              <w:right w:w="57" w:type="dxa"/>
            </w:tcMar>
            <w:vAlign w:val="bottom"/>
          </w:tcPr>
          <w:p w14:paraId="02F7815F" w14:textId="56D15917"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(1.340.192)</w:t>
            </w:r>
          </w:p>
        </w:tc>
        <w:tc>
          <w:tcPr>
            <w:tcW w:w="1460" w:type="dxa"/>
            <w:tcMar>
              <w:left w:w="57" w:type="dxa"/>
              <w:right w:w="57" w:type="dxa"/>
            </w:tcMar>
            <w:vAlign w:val="bottom"/>
          </w:tcPr>
          <w:p w14:paraId="6C2ADC1F" w14:textId="43C3C5E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(23.681.069)</w:t>
            </w:r>
          </w:p>
        </w:tc>
        <w:tc>
          <w:tcPr>
            <w:tcW w:w="875" w:type="dxa"/>
            <w:tcMar>
              <w:left w:w="57" w:type="dxa"/>
              <w:right w:w="57" w:type="dxa"/>
            </w:tcMar>
            <w:vAlign w:val="bottom"/>
          </w:tcPr>
          <w:p w14:paraId="434B7D76" w14:textId="3B4B3830"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33.868.186</w:t>
            </w:r>
          </w:p>
        </w:tc>
        <w:tc>
          <w:tcPr>
            <w:tcW w:w="729" w:type="dxa"/>
            <w:tcMar>
              <w:left w:w="57" w:type="dxa"/>
              <w:right w:w="57" w:type="dxa"/>
            </w:tcMar>
            <w:vAlign w:val="bottom"/>
          </w:tcPr>
          <w:p w14:paraId="4218ED83" w14:textId="7E225F19"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1.245.272</w:t>
            </w:r>
          </w:p>
        </w:tc>
        <w:tc>
          <w:tcPr>
            <w:tcW w:w="730" w:type="dxa"/>
            <w:tcMar>
              <w:left w:w="57" w:type="dxa"/>
              <w:right w:w="57" w:type="dxa"/>
            </w:tcMar>
            <w:vAlign w:val="bottom"/>
          </w:tcPr>
          <w:p w14:paraId="515C85AB" w14:textId="4ACFA826"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27.877.785</w:t>
            </w:r>
          </w:p>
        </w:tc>
        <w:tc>
          <w:tcPr>
            <w:tcW w:w="730" w:type="dxa"/>
            <w:tcMar>
              <w:left w:w="57" w:type="dxa"/>
              <w:right w:w="57" w:type="dxa"/>
            </w:tcMar>
            <w:vAlign w:val="bottom"/>
          </w:tcPr>
          <w:p w14:paraId="6580CB1C" w14:textId="1F5E89F0"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89.843.401</w:t>
            </w:r>
          </w:p>
        </w:tc>
        <w:tc>
          <w:tcPr>
            <w:tcW w:w="439" w:type="dxa"/>
            <w:tcMar>
              <w:left w:w="57" w:type="dxa"/>
              <w:right w:w="57" w:type="dxa"/>
            </w:tcMar>
            <w:vAlign w:val="bottom"/>
          </w:tcPr>
          <w:p w14:paraId="18FCD0C8" w14:textId="6E32E007"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569" w:type="dxa"/>
            <w:tcMar>
              <w:left w:w="57" w:type="dxa"/>
              <w:right w:w="57" w:type="dxa"/>
            </w:tcMar>
            <w:vAlign w:val="bottom"/>
          </w:tcPr>
          <w:p w14:paraId="35E259CE" w14:textId="1022CE2F"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89.843.401</w:t>
            </w:r>
          </w:p>
        </w:tc>
      </w:tr>
      <w:tr w:rsidR="001D4463" w:rsidRPr="00FB38E1" w14:paraId="2D6C990A" w14:textId="77777777" w:rsidTr="005D5803">
        <w:tc>
          <w:tcPr>
            <w:tcW w:w="400" w:type="dxa"/>
            <w:shd w:val="clear" w:color="auto" w:fill="auto"/>
            <w:tcMar>
              <w:left w:w="57" w:type="dxa"/>
              <w:right w:w="57" w:type="dxa"/>
            </w:tcMar>
            <w:vAlign w:val="bottom"/>
          </w:tcPr>
          <w:p w14:paraId="4724AA46"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10"/>
              </w:rPr>
              <w:t>II.</w:t>
            </w:r>
          </w:p>
        </w:tc>
        <w:tc>
          <w:tcPr>
            <w:tcW w:w="2515" w:type="dxa"/>
            <w:shd w:val="clear" w:color="auto" w:fill="auto"/>
            <w:tcMar>
              <w:left w:w="57" w:type="dxa"/>
              <w:right w:w="57" w:type="dxa"/>
            </w:tcMar>
            <w:vAlign w:val="bottom"/>
          </w:tcPr>
          <w:p w14:paraId="64A5088F"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TMS 8 Uyarınca Yapılan Düzeltmeler</w:t>
            </w:r>
          </w:p>
        </w:tc>
        <w:tc>
          <w:tcPr>
            <w:tcW w:w="584" w:type="dxa"/>
          </w:tcPr>
          <w:p w14:paraId="2A463A94" w14:textId="5FADF818"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(5.V.c)</w:t>
            </w:r>
          </w:p>
        </w:tc>
        <w:tc>
          <w:tcPr>
            <w:tcW w:w="584" w:type="dxa"/>
            <w:tcMar>
              <w:left w:w="57" w:type="dxa"/>
              <w:right w:w="57" w:type="dxa"/>
            </w:tcMar>
            <w:vAlign w:val="bottom"/>
          </w:tcPr>
          <w:p w14:paraId="6342176E" w14:textId="0DA6DF26"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7989C4BA" w14:textId="2E6A278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354D17BF" w14:textId="5E3930B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6994BDBF" w14:textId="1186B9D4"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0A402D8B" w14:textId="58533FD4"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5B1FE936" w14:textId="694F04E2"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1313" w:type="dxa"/>
            <w:tcMar>
              <w:left w:w="57" w:type="dxa"/>
              <w:right w:w="57" w:type="dxa"/>
            </w:tcMar>
            <w:vAlign w:val="bottom"/>
          </w:tcPr>
          <w:p w14:paraId="7242B3E6" w14:textId="703C9593"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03FC855B" w14:textId="2E1D9832"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1167" w:type="dxa"/>
            <w:tcMar>
              <w:left w:w="57" w:type="dxa"/>
              <w:right w:w="57" w:type="dxa"/>
            </w:tcMar>
            <w:vAlign w:val="bottom"/>
          </w:tcPr>
          <w:p w14:paraId="09949ED9" w14:textId="6AB38207"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1460" w:type="dxa"/>
            <w:tcMar>
              <w:left w:w="57" w:type="dxa"/>
              <w:right w:w="57" w:type="dxa"/>
            </w:tcMar>
            <w:vAlign w:val="bottom"/>
          </w:tcPr>
          <w:p w14:paraId="259E9372" w14:textId="4E8CDADD"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875" w:type="dxa"/>
            <w:tcMar>
              <w:left w:w="57" w:type="dxa"/>
              <w:right w:w="57" w:type="dxa"/>
            </w:tcMar>
            <w:vAlign w:val="bottom"/>
          </w:tcPr>
          <w:p w14:paraId="4F8B411F" w14:textId="1D9979BD"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729" w:type="dxa"/>
            <w:tcMar>
              <w:left w:w="57" w:type="dxa"/>
              <w:right w:w="57" w:type="dxa"/>
            </w:tcMar>
            <w:vAlign w:val="bottom"/>
          </w:tcPr>
          <w:p w14:paraId="2C4E31C2" w14:textId="64D186F1"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4ED79DBE" w14:textId="16F0B19C"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40CB59B1" w14:textId="186E8DBA"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543CA2B5" w14:textId="70278E8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w:t>
            </w:r>
          </w:p>
        </w:tc>
        <w:tc>
          <w:tcPr>
            <w:tcW w:w="569" w:type="dxa"/>
            <w:tcMar>
              <w:left w:w="57" w:type="dxa"/>
              <w:right w:w="57" w:type="dxa"/>
            </w:tcMar>
            <w:vAlign w:val="bottom"/>
          </w:tcPr>
          <w:p w14:paraId="353AD791" w14:textId="37455B47"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3FECAFBA" w14:textId="77777777" w:rsidTr="005D5803">
        <w:tc>
          <w:tcPr>
            <w:tcW w:w="400" w:type="dxa"/>
            <w:shd w:val="clear" w:color="auto" w:fill="auto"/>
            <w:tcMar>
              <w:left w:w="57" w:type="dxa"/>
              <w:right w:w="57" w:type="dxa"/>
            </w:tcMar>
            <w:vAlign w:val="bottom"/>
          </w:tcPr>
          <w:p w14:paraId="3A37D36C"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10"/>
              </w:rPr>
              <w:t>2.1</w:t>
            </w:r>
          </w:p>
        </w:tc>
        <w:tc>
          <w:tcPr>
            <w:tcW w:w="2515" w:type="dxa"/>
            <w:shd w:val="clear" w:color="auto" w:fill="auto"/>
            <w:tcMar>
              <w:left w:w="57" w:type="dxa"/>
              <w:right w:w="57" w:type="dxa"/>
            </w:tcMar>
            <w:vAlign w:val="bottom"/>
          </w:tcPr>
          <w:p w14:paraId="0AB6B852"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8"/>
              </w:rPr>
              <w:t xml:space="preserve">Hataların Düzeltilmesinin Etkisi </w:t>
            </w:r>
          </w:p>
        </w:tc>
        <w:tc>
          <w:tcPr>
            <w:tcW w:w="584" w:type="dxa"/>
          </w:tcPr>
          <w:p w14:paraId="1EC9CC5A"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3EB152C4" w14:textId="7A6061D0"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33C0FA47" w14:textId="725B8E72"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D4E3DCD" w14:textId="473B40B6"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0DA5AA4E" w14:textId="00E23EB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7833B18" w14:textId="189FB29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07EC981" w14:textId="706EF684"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4B054622" w14:textId="0EDED013"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4607253" w14:textId="1B720242"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230EAA2E" w14:textId="036CD8CC"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04A359E4" w14:textId="1BE9DF71"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09BC35A1" w14:textId="4FDDD899"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14622500" w14:textId="6C2A6575"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14323DBB" w14:textId="0E22165B"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6676E268" w14:textId="08FC4302"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79D8A7D0" w14:textId="1A9D8B5C"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07AAD652" w14:textId="6F15668E"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271AD75E" w14:textId="77777777" w:rsidTr="005D5803">
        <w:tc>
          <w:tcPr>
            <w:tcW w:w="400" w:type="dxa"/>
            <w:shd w:val="clear" w:color="auto" w:fill="auto"/>
            <w:tcMar>
              <w:left w:w="57" w:type="dxa"/>
              <w:right w:w="57" w:type="dxa"/>
            </w:tcMar>
            <w:vAlign w:val="bottom"/>
          </w:tcPr>
          <w:p w14:paraId="761E454A"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10"/>
              </w:rPr>
              <w:t>2.2</w:t>
            </w:r>
          </w:p>
        </w:tc>
        <w:tc>
          <w:tcPr>
            <w:tcW w:w="2515" w:type="dxa"/>
            <w:shd w:val="clear" w:color="auto" w:fill="auto"/>
            <w:tcMar>
              <w:left w:w="57" w:type="dxa"/>
              <w:right w:w="57" w:type="dxa"/>
            </w:tcMar>
            <w:vAlign w:val="bottom"/>
          </w:tcPr>
          <w:p w14:paraId="0255161B"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8"/>
              </w:rPr>
              <w:t>Muhasebe Politikasında Yapılan Değişikliklerin Etkisi</w:t>
            </w:r>
          </w:p>
        </w:tc>
        <w:tc>
          <w:tcPr>
            <w:tcW w:w="584" w:type="dxa"/>
          </w:tcPr>
          <w:p w14:paraId="153DC4C8"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7DB2DE42" w14:textId="235CEA56"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52058442" w14:textId="3E255286"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38AFC29A" w14:textId="5E6ADF9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9C953A1" w14:textId="2313718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B9A1E7B" w14:textId="3E6F96DC"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2902A19" w14:textId="19AB57F4"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1FAC03FC" w14:textId="5DF09B20"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5219A9D" w14:textId="1C4F3D83"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15353821" w14:textId="014FD0F8"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35B6FB38" w14:textId="0908B78A"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47D053C8" w14:textId="7DAAFB2A"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1E2B0197" w14:textId="787DA1D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2E8C0D7" w14:textId="577141D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663AE0C7" w14:textId="19F7FCA9"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7BCE290D" w14:textId="533DA693"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2F09D41B" w14:textId="27C3207B"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33A8F0F0" w14:textId="77777777" w:rsidTr="005D5803">
        <w:trPr>
          <w:trHeight w:val="107"/>
        </w:trPr>
        <w:tc>
          <w:tcPr>
            <w:tcW w:w="400" w:type="dxa"/>
            <w:shd w:val="clear" w:color="auto" w:fill="auto"/>
            <w:tcMar>
              <w:left w:w="57" w:type="dxa"/>
              <w:right w:w="57" w:type="dxa"/>
            </w:tcMar>
            <w:vAlign w:val="bottom"/>
          </w:tcPr>
          <w:p w14:paraId="4BC4F688"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10"/>
              </w:rPr>
              <w:t>III.</w:t>
            </w:r>
          </w:p>
        </w:tc>
        <w:tc>
          <w:tcPr>
            <w:tcW w:w="2515" w:type="dxa"/>
            <w:shd w:val="clear" w:color="auto" w:fill="auto"/>
            <w:tcMar>
              <w:left w:w="57" w:type="dxa"/>
              <w:right w:w="57" w:type="dxa"/>
            </w:tcMar>
            <w:vAlign w:val="bottom"/>
          </w:tcPr>
          <w:p w14:paraId="5E32A0E3"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Yeni Bakiye (I+II)</w:t>
            </w:r>
          </w:p>
        </w:tc>
        <w:tc>
          <w:tcPr>
            <w:tcW w:w="584" w:type="dxa"/>
          </w:tcPr>
          <w:p w14:paraId="57530A5E" w14:textId="77777777" w:rsidR="001D4463" w:rsidRPr="00FB38E1" w:rsidRDefault="001D4463" w:rsidP="001D4463">
            <w:pPr>
              <w:jc w:val="right"/>
              <w:rPr>
                <w:rFonts w:ascii="Microsoft Sans Serif" w:hAnsi="Microsoft Sans Serif" w:cs="Microsoft Sans Serif"/>
                <w:b/>
                <w:bCs/>
                <w:sz w:val="8"/>
                <w:szCs w:val="8"/>
              </w:rPr>
            </w:pPr>
          </w:p>
        </w:tc>
        <w:tc>
          <w:tcPr>
            <w:tcW w:w="584" w:type="dxa"/>
            <w:tcMar>
              <w:left w:w="57" w:type="dxa"/>
              <w:right w:w="57" w:type="dxa"/>
            </w:tcMar>
            <w:vAlign w:val="bottom"/>
          </w:tcPr>
          <w:p w14:paraId="27C19330" w14:textId="6FEDFBE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5.696.100</w:t>
            </w:r>
          </w:p>
        </w:tc>
        <w:tc>
          <w:tcPr>
            <w:tcW w:w="437" w:type="dxa"/>
            <w:tcMar>
              <w:left w:w="57" w:type="dxa"/>
              <w:right w:w="57" w:type="dxa"/>
            </w:tcMar>
            <w:vAlign w:val="bottom"/>
          </w:tcPr>
          <w:p w14:paraId="48386683" w14:textId="6181A9A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15</w:t>
            </w:r>
          </w:p>
        </w:tc>
        <w:tc>
          <w:tcPr>
            <w:tcW w:w="437" w:type="dxa"/>
            <w:tcMar>
              <w:left w:w="57" w:type="dxa"/>
              <w:right w:w="57" w:type="dxa"/>
            </w:tcMar>
            <w:vAlign w:val="bottom"/>
          </w:tcPr>
          <w:p w14:paraId="36C193C5" w14:textId="4CFFABAE"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3B4EC0C9" w14:textId="486A6499"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2.910</w:t>
            </w:r>
          </w:p>
        </w:tc>
        <w:tc>
          <w:tcPr>
            <w:tcW w:w="584" w:type="dxa"/>
            <w:tcMar>
              <w:left w:w="57" w:type="dxa"/>
              <w:right w:w="57" w:type="dxa"/>
            </w:tcMar>
            <w:vAlign w:val="bottom"/>
          </w:tcPr>
          <w:p w14:paraId="5746BF27" w14:textId="4B1F631A"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708.408</w:t>
            </w:r>
          </w:p>
        </w:tc>
        <w:tc>
          <w:tcPr>
            <w:tcW w:w="730" w:type="dxa"/>
            <w:tcMar>
              <w:left w:w="57" w:type="dxa"/>
              <w:right w:w="57" w:type="dxa"/>
            </w:tcMar>
            <w:vAlign w:val="bottom"/>
          </w:tcPr>
          <w:p w14:paraId="502016BB" w14:textId="734B28C8"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(363.043)</w:t>
            </w:r>
          </w:p>
        </w:tc>
        <w:tc>
          <w:tcPr>
            <w:tcW w:w="1313" w:type="dxa"/>
            <w:tcMar>
              <w:left w:w="57" w:type="dxa"/>
              <w:right w:w="57" w:type="dxa"/>
            </w:tcMar>
            <w:vAlign w:val="bottom"/>
          </w:tcPr>
          <w:p w14:paraId="7A14DC6C" w14:textId="174F7470"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7.893.361</w:t>
            </w:r>
          </w:p>
        </w:tc>
        <w:tc>
          <w:tcPr>
            <w:tcW w:w="584" w:type="dxa"/>
            <w:tcMar>
              <w:left w:w="57" w:type="dxa"/>
              <w:right w:w="57" w:type="dxa"/>
            </w:tcMar>
            <w:vAlign w:val="bottom"/>
          </w:tcPr>
          <w:p w14:paraId="0D5908EF" w14:textId="7D7810E1"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37.935.668</w:t>
            </w:r>
          </w:p>
        </w:tc>
        <w:tc>
          <w:tcPr>
            <w:tcW w:w="1167" w:type="dxa"/>
            <w:tcMar>
              <w:left w:w="57" w:type="dxa"/>
              <w:right w:w="57" w:type="dxa"/>
            </w:tcMar>
            <w:vAlign w:val="bottom"/>
          </w:tcPr>
          <w:p w14:paraId="2BB8694E" w14:textId="6ABC4488"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(1.340.192)</w:t>
            </w:r>
          </w:p>
        </w:tc>
        <w:tc>
          <w:tcPr>
            <w:tcW w:w="1460" w:type="dxa"/>
            <w:tcMar>
              <w:left w:w="57" w:type="dxa"/>
              <w:right w:w="57" w:type="dxa"/>
            </w:tcMar>
            <w:vAlign w:val="bottom"/>
          </w:tcPr>
          <w:p w14:paraId="5CAC9CD1" w14:textId="53A22C34"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(23.681.069)</w:t>
            </w:r>
          </w:p>
        </w:tc>
        <w:tc>
          <w:tcPr>
            <w:tcW w:w="875" w:type="dxa"/>
            <w:tcMar>
              <w:left w:w="57" w:type="dxa"/>
              <w:right w:w="57" w:type="dxa"/>
            </w:tcMar>
            <w:vAlign w:val="bottom"/>
          </w:tcPr>
          <w:p w14:paraId="6508E2B4" w14:textId="4BAA8B79"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33.868.186</w:t>
            </w:r>
          </w:p>
        </w:tc>
        <w:tc>
          <w:tcPr>
            <w:tcW w:w="729" w:type="dxa"/>
            <w:tcMar>
              <w:left w:w="57" w:type="dxa"/>
              <w:right w:w="57" w:type="dxa"/>
            </w:tcMar>
            <w:vAlign w:val="bottom"/>
          </w:tcPr>
          <w:p w14:paraId="20EDF8FF" w14:textId="53FDD77B"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1.245.272</w:t>
            </w:r>
          </w:p>
        </w:tc>
        <w:tc>
          <w:tcPr>
            <w:tcW w:w="730" w:type="dxa"/>
            <w:tcMar>
              <w:left w:w="57" w:type="dxa"/>
              <w:right w:w="57" w:type="dxa"/>
            </w:tcMar>
            <w:vAlign w:val="bottom"/>
          </w:tcPr>
          <w:p w14:paraId="64760DCD" w14:textId="2E5527D6"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27.877.785</w:t>
            </w:r>
          </w:p>
        </w:tc>
        <w:tc>
          <w:tcPr>
            <w:tcW w:w="730" w:type="dxa"/>
            <w:tcMar>
              <w:left w:w="57" w:type="dxa"/>
              <w:right w:w="57" w:type="dxa"/>
            </w:tcMar>
            <w:vAlign w:val="bottom"/>
          </w:tcPr>
          <w:p w14:paraId="1FFC5009" w14:textId="1977452D"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89.843.401</w:t>
            </w:r>
          </w:p>
        </w:tc>
        <w:tc>
          <w:tcPr>
            <w:tcW w:w="439" w:type="dxa"/>
            <w:tcMar>
              <w:left w:w="57" w:type="dxa"/>
              <w:right w:w="57" w:type="dxa"/>
            </w:tcMar>
            <w:vAlign w:val="bottom"/>
          </w:tcPr>
          <w:p w14:paraId="2D972597" w14:textId="51418DCA"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569" w:type="dxa"/>
            <w:tcMar>
              <w:left w:w="57" w:type="dxa"/>
              <w:right w:w="57" w:type="dxa"/>
            </w:tcMar>
            <w:vAlign w:val="bottom"/>
          </w:tcPr>
          <w:p w14:paraId="1A89CDCD" w14:textId="624183D7"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89.843.401</w:t>
            </w:r>
          </w:p>
        </w:tc>
      </w:tr>
      <w:tr w:rsidR="001D4463" w:rsidRPr="00FB38E1" w14:paraId="7BF68147" w14:textId="77777777" w:rsidTr="005D5803">
        <w:tc>
          <w:tcPr>
            <w:tcW w:w="400" w:type="dxa"/>
            <w:shd w:val="clear" w:color="auto" w:fill="auto"/>
            <w:tcMar>
              <w:left w:w="57" w:type="dxa"/>
              <w:right w:w="57" w:type="dxa"/>
            </w:tcMar>
            <w:vAlign w:val="bottom"/>
          </w:tcPr>
          <w:p w14:paraId="732FFB41" w14:textId="77777777" w:rsidR="001D4463" w:rsidRPr="00FB38E1" w:rsidRDefault="001D4463" w:rsidP="001D4463">
            <w:pPr>
              <w:rPr>
                <w:rFonts w:ascii="Microsoft Sans Serif" w:hAnsi="Microsoft Sans Serif" w:cs="Microsoft Sans Serif"/>
                <w:b/>
                <w:sz w:val="8"/>
                <w:szCs w:val="8"/>
              </w:rPr>
            </w:pPr>
            <w:r w:rsidRPr="00FB38E1">
              <w:rPr>
                <w:rFonts w:ascii="Microsoft Sans Serif" w:hAnsi="Microsoft Sans Serif" w:cs="Microsoft Sans Serif"/>
                <w:b/>
                <w:bCs/>
                <w:sz w:val="8"/>
                <w:szCs w:val="10"/>
              </w:rPr>
              <w:t>IV.</w:t>
            </w:r>
          </w:p>
        </w:tc>
        <w:tc>
          <w:tcPr>
            <w:tcW w:w="2515" w:type="dxa"/>
            <w:shd w:val="clear" w:color="auto" w:fill="auto"/>
            <w:tcMar>
              <w:left w:w="57" w:type="dxa"/>
              <w:right w:w="57" w:type="dxa"/>
            </w:tcMar>
            <w:vAlign w:val="bottom"/>
          </w:tcPr>
          <w:p w14:paraId="12C6E52D" w14:textId="77777777" w:rsidR="001D4463" w:rsidRPr="00FB38E1" w:rsidRDefault="001D4463" w:rsidP="001D4463">
            <w:pPr>
              <w:rPr>
                <w:rFonts w:ascii="Microsoft Sans Serif" w:hAnsi="Microsoft Sans Serif" w:cs="Microsoft Sans Serif"/>
                <w:b/>
                <w:sz w:val="8"/>
                <w:szCs w:val="8"/>
              </w:rPr>
            </w:pPr>
            <w:r w:rsidRPr="00FB38E1">
              <w:rPr>
                <w:rFonts w:ascii="Microsoft Sans Serif" w:hAnsi="Microsoft Sans Serif" w:cs="Microsoft Sans Serif"/>
                <w:b/>
                <w:bCs/>
                <w:sz w:val="8"/>
                <w:szCs w:val="8"/>
              </w:rPr>
              <w:t>Toplam Kapsamlı Gelir</w:t>
            </w:r>
          </w:p>
        </w:tc>
        <w:tc>
          <w:tcPr>
            <w:tcW w:w="584" w:type="dxa"/>
          </w:tcPr>
          <w:p w14:paraId="7352ACDC" w14:textId="7DADE87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(5.V.e)</w:t>
            </w:r>
          </w:p>
        </w:tc>
        <w:tc>
          <w:tcPr>
            <w:tcW w:w="584" w:type="dxa"/>
            <w:tcMar>
              <w:left w:w="57" w:type="dxa"/>
              <w:right w:w="57" w:type="dxa"/>
            </w:tcMar>
            <w:vAlign w:val="bottom"/>
          </w:tcPr>
          <w:p w14:paraId="45BE78FF" w14:textId="71E89A16"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373498E4" w14:textId="5A5584B4"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77DA3CE4" w14:textId="254DDE69"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0A5EDD69" w14:textId="6019C0F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7460ABE1" w14:textId="6DDAEDD6"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519.584</w:t>
            </w:r>
          </w:p>
        </w:tc>
        <w:tc>
          <w:tcPr>
            <w:tcW w:w="730" w:type="dxa"/>
            <w:tcMar>
              <w:left w:w="57" w:type="dxa"/>
              <w:right w:w="57" w:type="dxa"/>
            </w:tcMar>
            <w:vAlign w:val="bottom"/>
          </w:tcPr>
          <w:p w14:paraId="3BAED36B" w14:textId="5EFF02BA"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(459.096)</w:t>
            </w:r>
          </w:p>
        </w:tc>
        <w:tc>
          <w:tcPr>
            <w:tcW w:w="1313" w:type="dxa"/>
            <w:tcMar>
              <w:left w:w="57" w:type="dxa"/>
              <w:right w:w="57" w:type="dxa"/>
            </w:tcMar>
            <w:vAlign w:val="bottom"/>
          </w:tcPr>
          <w:p w14:paraId="3CF1934D" w14:textId="416EE32B"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4.071.809</w:t>
            </w:r>
          </w:p>
        </w:tc>
        <w:tc>
          <w:tcPr>
            <w:tcW w:w="584" w:type="dxa"/>
            <w:tcMar>
              <w:left w:w="57" w:type="dxa"/>
              <w:right w:w="57" w:type="dxa"/>
            </w:tcMar>
            <w:vAlign w:val="bottom"/>
          </w:tcPr>
          <w:p w14:paraId="1AACCC3D" w14:textId="68AABD62"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(826.838)</w:t>
            </w:r>
          </w:p>
        </w:tc>
        <w:tc>
          <w:tcPr>
            <w:tcW w:w="1167" w:type="dxa"/>
            <w:tcMar>
              <w:left w:w="57" w:type="dxa"/>
              <w:right w:w="57" w:type="dxa"/>
            </w:tcMar>
            <w:vAlign w:val="bottom"/>
          </w:tcPr>
          <w:p w14:paraId="7223FCC6" w14:textId="0C57A40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(2.136.630)</w:t>
            </w:r>
          </w:p>
        </w:tc>
        <w:tc>
          <w:tcPr>
            <w:tcW w:w="1460" w:type="dxa"/>
            <w:tcMar>
              <w:left w:w="57" w:type="dxa"/>
              <w:right w:w="57" w:type="dxa"/>
            </w:tcMar>
            <w:vAlign w:val="bottom"/>
          </w:tcPr>
          <w:p w14:paraId="69A5361B" w14:textId="5C590EEC"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773.791</w:t>
            </w:r>
          </w:p>
        </w:tc>
        <w:tc>
          <w:tcPr>
            <w:tcW w:w="875" w:type="dxa"/>
            <w:tcMar>
              <w:left w:w="57" w:type="dxa"/>
              <w:right w:w="57" w:type="dxa"/>
            </w:tcMar>
            <w:vAlign w:val="bottom"/>
          </w:tcPr>
          <w:p w14:paraId="0219A585" w14:textId="746D4ED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729" w:type="dxa"/>
            <w:tcMar>
              <w:left w:w="57" w:type="dxa"/>
              <w:right w:w="57" w:type="dxa"/>
            </w:tcMar>
            <w:vAlign w:val="bottom"/>
          </w:tcPr>
          <w:p w14:paraId="2CEF8E86" w14:textId="226089B6"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7D3B6ECA" w14:textId="7EACB315"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44.969.497</w:t>
            </w:r>
          </w:p>
        </w:tc>
        <w:tc>
          <w:tcPr>
            <w:tcW w:w="730" w:type="dxa"/>
            <w:tcMar>
              <w:left w:w="57" w:type="dxa"/>
              <w:right w:w="57" w:type="dxa"/>
            </w:tcMar>
            <w:vAlign w:val="bottom"/>
          </w:tcPr>
          <w:p w14:paraId="6C16307E" w14:textId="02A3E8C0"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46.912.117</w:t>
            </w:r>
          </w:p>
        </w:tc>
        <w:tc>
          <w:tcPr>
            <w:tcW w:w="439" w:type="dxa"/>
            <w:tcMar>
              <w:left w:w="57" w:type="dxa"/>
              <w:right w:w="57" w:type="dxa"/>
            </w:tcMar>
            <w:vAlign w:val="bottom"/>
          </w:tcPr>
          <w:p w14:paraId="2A4F4E61" w14:textId="4F8B61AA"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569" w:type="dxa"/>
            <w:tcMar>
              <w:left w:w="57" w:type="dxa"/>
              <w:right w:w="57" w:type="dxa"/>
            </w:tcMar>
            <w:vAlign w:val="bottom"/>
          </w:tcPr>
          <w:p w14:paraId="3F7EBBC6" w14:textId="56C32E87"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46.912.117</w:t>
            </w:r>
          </w:p>
        </w:tc>
      </w:tr>
      <w:tr w:rsidR="001D4463" w:rsidRPr="00FB38E1" w14:paraId="5D629DF4" w14:textId="77777777" w:rsidTr="005D5803">
        <w:tc>
          <w:tcPr>
            <w:tcW w:w="400" w:type="dxa"/>
            <w:shd w:val="clear" w:color="auto" w:fill="auto"/>
            <w:tcMar>
              <w:left w:w="57" w:type="dxa"/>
              <w:right w:w="57" w:type="dxa"/>
            </w:tcMar>
            <w:vAlign w:val="bottom"/>
          </w:tcPr>
          <w:p w14:paraId="3ACA85A4"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10"/>
              </w:rPr>
              <w:t>V.</w:t>
            </w:r>
          </w:p>
        </w:tc>
        <w:tc>
          <w:tcPr>
            <w:tcW w:w="2515" w:type="dxa"/>
            <w:shd w:val="clear" w:color="auto" w:fill="auto"/>
            <w:tcMar>
              <w:left w:w="57" w:type="dxa"/>
              <w:right w:w="57" w:type="dxa"/>
            </w:tcMar>
            <w:vAlign w:val="bottom"/>
          </w:tcPr>
          <w:p w14:paraId="0675C05E"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Nakden Gerçekleştirilen Sermaye Artırımı</w:t>
            </w:r>
          </w:p>
        </w:tc>
        <w:tc>
          <w:tcPr>
            <w:tcW w:w="584" w:type="dxa"/>
          </w:tcPr>
          <w:p w14:paraId="6E619D2E" w14:textId="246E2218"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(5.V.a)</w:t>
            </w:r>
          </w:p>
        </w:tc>
        <w:tc>
          <w:tcPr>
            <w:tcW w:w="584" w:type="dxa"/>
            <w:tcMar>
              <w:left w:w="57" w:type="dxa"/>
              <w:right w:w="57" w:type="dxa"/>
            </w:tcMar>
            <w:vAlign w:val="bottom"/>
          </w:tcPr>
          <w:p w14:paraId="31D7CF0B" w14:textId="7E3CBF99"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13.942.500</w:t>
            </w:r>
          </w:p>
        </w:tc>
        <w:tc>
          <w:tcPr>
            <w:tcW w:w="437" w:type="dxa"/>
            <w:tcMar>
              <w:left w:w="57" w:type="dxa"/>
              <w:right w:w="57" w:type="dxa"/>
            </w:tcMar>
            <w:vAlign w:val="bottom"/>
          </w:tcPr>
          <w:p w14:paraId="3F2EB10A" w14:textId="700476BF"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7D4A9084" w14:textId="7F7E5069"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30970786" w14:textId="5DF91F7A"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D0864FD" w14:textId="6E1237B7"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3617186D" w14:textId="5C6B287F"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2F10D142" w14:textId="3AB9D53C"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3338ABA4" w14:textId="6AA5E5AF"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201D842D" w14:textId="5A7A59C0"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276484C5" w14:textId="6E13BA5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56464BE9" w14:textId="06CE46D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61DB1B62" w14:textId="7457AC4A"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2DB67477" w14:textId="6C1DEF6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B9EC85B" w14:textId="7B7D17FC"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13.942.500</w:t>
            </w:r>
          </w:p>
        </w:tc>
        <w:tc>
          <w:tcPr>
            <w:tcW w:w="439" w:type="dxa"/>
            <w:tcMar>
              <w:left w:w="57" w:type="dxa"/>
              <w:right w:w="57" w:type="dxa"/>
            </w:tcMar>
            <w:vAlign w:val="bottom"/>
          </w:tcPr>
          <w:p w14:paraId="25791DB5" w14:textId="35DD60B4"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327569A5" w14:textId="6489B0CA"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13.942.500</w:t>
            </w:r>
          </w:p>
        </w:tc>
      </w:tr>
      <w:tr w:rsidR="001D4463" w:rsidRPr="00FB38E1" w14:paraId="047257B4" w14:textId="77777777" w:rsidTr="005D5803">
        <w:tc>
          <w:tcPr>
            <w:tcW w:w="400" w:type="dxa"/>
            <w:shd w:val="clear" w:color="auto" w:fill="auto"/>
            <w:tcMar>
              <w:left w:w="57" w:type="dxa"/>
              <w:right w:w="57" w:type="dxa"/>
            </w:tcMar>
            <w:vAlign w:val="bottom"/>
          </w:tcPr>
          <w:p w14:paraId="2B5290A1"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10"/>
              </w:rPr>
              <w:t>VI.</w:t>
            </w:r>
          </w:p>
        </w:tc>
        <w:tc>
          <w:tcPr>
            <w:tcW w:w="2515" w:type="dxa"/>
            <w:shd w:val="clear" w:color="auto" w:fill="auto"/>
            <w:tcMar>
              <w:left w:w="57" w:type="dxa"/>
              <w:right w:w="57" w:type="dxa"/>
            </w:tcMar>
            <w:vAlign w:val="bottom"/>
          </w:tcPr>
          <w:p w14:paraId="1983350D"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İç Kaynaklardan Gerçekleştirilen Sermaye Artırımı</w:t>
            </w:r>
          </w:p>
        </w:tc>
        <w:tc>
          <w:tcPr>
            <w:tcW w:w="584" w:type="dxa"/>
          </w:tcPr>
          <w:p w14:paraId="5996EEEA" w14:textId="243C2DE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
                <w:bCs/>
                <w:sz w:val="8"/>
                <w:szCs w:val="8"/>
              </w:rPr>
              <w:t>(5.V.a)</w:t>
            </w:r>
          </w:p>
        </w:tc>
        <w:tc>
          <w:tcPr>
            <w:tcW w:w="584" w:type="dxa"/>
            <w:tcMar>
              <w:left w:w="57" w:type="dxa"/>
              <w:right w:w="57" w:type="dxa"/>
            </w:tcMar>
            <w:vAlign w:val="bottom"/>
          </w:tcPr>
          <w:p w14:paraId="0E5873E2" w14:textId="3E56DBFB"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726255A7" w14:textId="6D3355C7"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417CDC7B" w14:textId="25E37B30"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6E233B6A" w14:textId="42466B1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58AB3E74" w14:textId="17067A1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3C87C62D" w14:textId="5E6A1A01"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3FCA849D" w14:textId="3C2265F9"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574E53D3" w14:textId="64A709B6"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72F2A8DB" w14:textId="0009BB93"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6244C647" w14:textId="572F9009"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03778137" w14:textId="0E06C0B1"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1AA4D248" w14:textId="0938011E"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023C995" w14:textId="5114D7B6"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37F92029" w14:textId="64DADF21"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6B53A639" w14:textId="14524038"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031CD70A" w14:textId="03C0B9A7"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7AF27489" w14:textId="77777777" w:rsidTr="005D5803">
        <w:tc>
          <w:tcPr>
            <w:tcW w:w="400" w:type="dxa"/>
            <w:shd w:val="clear" w:color="auto" w:fill="auto"/>
            <w:tcMar>
              <w:left w:w="57" w:type="dxa"/>
              <w:right w:w="57" w:type="dxa"/>
            </w:tcMar>
            <w:vAlign w:val="bottom"/>
          </w:tcPr>
          <w:p w14:paraId="319B494B"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10"/>
              </w:rPr>
              <w:t>VII.</w:t>
            </w:r>
          </w:p>
        </w:tc>
        <w:tc>
          <w:tcPr>
            <w:tcW w:w="2515" w:type="dxa"/>
            <w:shd w:val="clear" w:color="auto" w:fill="auto"/>
            <w:tcMar>
              <w:left w:w="57" w:type="dxa"/>
              <w:right w:w="57" w:type="dxa"/>
            </w:tcMar>
          </w:tcPr>
          <w:p w14:paraId="2D5795DC"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Ödenmiş Sermaye Enflasyon Düzeltme Farkı</w:t>
            </w:r>
          </w:p>
        </w:tc>
        <w:tc>
          <w:tcPr>
            <w:tcW w:w="584" w:type="dxa"/>
          </w:tcPr>
          <w:p w14:paraId="141CD86D"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31A791F9" w14:textId="6FFF509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497BA6A" w14:textId="61BDEE5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4BD73223" w14:textId="1E7D3DBE"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9AB3EB3" w14:textId="3CDF8593"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599109E1" w14:textId="304E20E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2C34E710" w14:textId="74257F1F"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049120FD" w14:textId="2F78B79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EAB4B06" w14:textId="079C2058"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1C69F91A" w14:textId="672D6C70"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28861EB5" w14:textId="7F951651"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3C54CB70" w14:textId="54BF5AEE"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1C0D5EAF" w14:textId="23A4294C"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7F60EA1" w14:textId="4B4F8A9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59C1306" w14:textId="6D42067B"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0F92B389" w14:textId="136202C7"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09FE46E5" w14:textId="542F25C4"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6A02AED5" w14:textId="77777777" w:rsidTr="005D5803">
        <w:tc>
          <w:tcPr>
            <w:tcW w:w="400" w:type="dxa"/>
            <w:shd w:val="clear" w:color="auto" w:fill="auto"/>
            <w:tcMar>
              <w:left w:w="57" w:type="dxa"/>
              <w:right w:w="57" w:type="dxa"/>
            </w:tcMar>
            <w:vAlign w:val="bottom"/>
          </w:tcPr>
          <w:p w14:paraId="426DB88F"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10"/>
              </w:rPr>
              <w:t>VIII.</w:t>
            </w:r>
          </w:p>
        </w:tc>
        <w:tc>
          <w:tcPr>
            <w:tcW w:w="2515" w:type="dxa"/>
            <w:shd w:val="clear" w:color="auto" w:fill="auto"/>
            <w:tcMar>
              <w:left w:w="57" w:type="dxa"/>
              <w:right w:w="57" w:type="dxa"/>
            </w:tcMar>
            <w:vAlign w:val="bottom"/>
          </w:tcPr>
          <w:p w14:paraId="064E2B7B"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 xml:space="preserve">Hisse Senedine Dönüştürülebilir Tahviller </w:t>
            </w:r>
          </w:p>
        </w:tc>
        <w:tc>
          <w:tcPr>
            <w:tcW w:w="584" w:type="dxa"/>
          </w:tcPr>
          <w:p w14:paraId="7FE6C5E0"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53422B6B" w14:textId="52600909"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2C888A41" w14:textId="4A84C9E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D2CA60D" w14:textId="19CCBFE8"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04EAEA50" w14:textId="1C69F94F"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32BAB45" w14:textId="6A1E978B"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D565659" w14:textId="0AF66863"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743B7DD4" w14:textId="27D117F1"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95724A1" w14:textId="07B05ACB"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0F24FCA6" w14:textId="4198B10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18FD1CB6" w14:textId="2EFD5DC0"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414332A1" w14:textId="7CBB174A"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49FA3363" w14:textId="3FD813C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1E924232" w14:textId="1591093E"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6C023AD9" w14:textId="71B2EC9B"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2C988A00" w14:textId="3518A356"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72F2DC84" w14:textId="4274DF8B"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46BDDBCA" w14:textId="77777777" w:rsidTr="005D5803">
        <w:tc>
          <w:tcPr>
            <w:tcW w:w="400" w:type="dxa"/>
            <w:shd w:val="clear" w:color="auto" w:fill="auto"/>
            <w:tcMar>
              <w:left w:w="57" w:type="dxa"/>
              <w:right w:w="57" w:type="dxa"/>
            </w:tcMar>
            <w:vAlign w:val="bottom"/>
          </w:tcPr>
          <w:p w14:paraId="03FA1D64"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10"/>
              </w:rPr>
              <w:t>IX.</w:t>
            </w:r>
          </w:p>
        </w:tc>
        <w:tc>
          <w:tcPr>
            <w:tcW w:w="2515" w:type="dxa"/>
            <w:shd w:val="clear" w:color="auto" w:fill="auto"/>
            <w:tcMar>
              <w:left w:w="57" w:type="dxa"/>
              <w:right w:w="57" w:type="dxa"/>
            </w:tcMar>
            <w:vAlign w:val="bottom"/>
          </w:tcPr>
          <w:p w14:paraId="2D462A0B"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Sermaye Benzeri Borçlanma Araçları</w:t>
            </w:r>
          </w:p>
        </w:tc>
        <w:tc>
          <w:tcPr>
            <w:tcW w:w="584" w:type="dxa"/>
          </w:tcPr>
          <w:p w14:paraId="77C7C1FB"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4569C028" w14:textId="5961131B"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4FD8FAF" w14:textId="6D110EA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0E7DD530" w14:textId="29D366C1"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0C685726" w14:textId="47C5668C"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9E415F0" w14:textId="2AFE4CAB"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5E2A5674" w14:textId="5F916AF0"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194377CF" w14:textId="372C6EF9"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C58079B" w14:textId="1CD7359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6828A31E" w14:textId="6ED8EA64"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7A069F9E" w14:textId="5C5E54D4"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6B267BEA" w14:textId="70D3D2C1"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3E6CA23D" w14:textId="549C6273"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6898DD18" w14:textId="708C0CF3"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B66C0E1" w14:textId="098903E2"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40024570" w14:textId="0B205AF6"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322EC164" w14:textId="4F396EC6"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0486450A" w14:textId="77777777" w:rsidTr="005D5803">
        <w:tc>
          <w:tcPr>
            <w:tcW w:w="400" w:type="dxa"/>
            <w:shd w:val="clear" w:color="auto" w:fill="auto"/>
            <w:tcMar>
              <w:left w:w="57" w:type="dxa"/>
              <w:right w:w="57" w:type="dxa"/>
            </w:tcMar>
            <w:vAlign w:val="bottom"/>
          </w:tcPr>
          <w:p w14:paraId="7CA5B2A4"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10"/>
              </w:rPr>
              <w:t>X.</w:t>
            </w:r>
          </w:p>
        </w:tc>
        <w:tc>
          <w:tcPr>
            <w:tcW w:w="2515" w:type="dxa"/>
            <w:shd w:val="clear" w:color="auto" w:fill="auto"/>
            <w:tcMar>
              <w:left w:w="57" w:type="dxa"/>
              <w:right w:w="57" w:type="dxa"/>
            </w:tcMar>
            <w:vAlign w:val="bottom"/>
          </w:tcPr>
          <w:p w14:paraId="7BC32ABF"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Diğer Değişiklikler Nedeniyle Artış /Azalış</w:t>
            </w:r>
          </w:p>
        </w:tc>
        <w:tc>
          <w:tcPr>
            <w:tcW w:w="584" w:type="dxa"/>
          </w:tcPr>
          <w:p w14:paraId="094BD441"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3D1A869F" w14:textId="78632404"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3DAB66C4" w14:textId="689F9820"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73924158" w14:textId="16E0914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4CE1CC7F" w14:textId="4AEE46A4"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2.700</w:t>
            </w:r>
          </w:p>
        </w:tc>
        <w:tc>
          <w:tcPr>
            <w:tcW w:w="584" w:type="dxa"/>
            <w:tcMar>
              <w:left w:w="57" w:type="dxa"/>
              <w:right w:w="57" w:type="dxa"/>
            </w:tcMar>
            <w:vAlign w:val="bottom"/>
          </w:tcPr>
          <w:p w14:paraId="0D6F03F9" w14:textId="5AB0344C"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6F82725" w14:textId="2383214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29029F6B" w14:textId="3061F93E"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64AA91C7" w14:textId="54EBCEB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7EA76B30" w14:textId="4FB9AE9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77C7FFDA" w14:textId="309EEA7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4EAF524B" w14:textId="3BDBFC6C"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36F4EA14" w14:textId="2F525B9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6CC4CB24" w14:textId="33842F5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54B22807" w14:textId="7F83BF95"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2.700</w:t>
            </w:r>
          </w:p>
        </w:tc>
        <w:tc>
          <w:tcPr>
            <w:tcW w:w="439" w:type="dxa"/>
            <w:tcMar>
              <w:left w:w="57" w:type="dxa"/>
              <w:right w:w="57" w:type="dxa"/>
            </w:tcMar>
            <w:vAlign w:val="bottom"/>
          </w:tcPr>
          <w:p w14:paraId="51B66970" w14:textId="59ADBF17"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5DF7BFCF" w14:textId="173A3C75"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2.700</w:t>
            </w:r>
          </w:p>
        </w:tc>
      </w:tr>
      <w:tr w:rsidR="001D4463" w:rsidRPr="00FB38E1" w14:paraId="5965EC0E" w14:textId="77777777" w:rsidTr="005D5803">
        <w:tc>
          <w:tcPr>
            <w:tcW w:w="400" w:type="dxa"/>
            <w:shd w:val="clear" w:color="auto" w:fill="auto"/>
            <w:tcMar>
              <w:left w:w="57" w:type="dxa"/>
              <w:right w:w="57" w:type="dxa"/>
            </w:tcMar>
            <w:vAlign w:val="bottom"/>
          </w:tcPr>
          <w:p w14:paraId="2E134622"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10"/>
              </w:rPr>
              <w:t>XI.</w:t>
            </w:r>
          </w:p>
        </w:tc>
        <w:tc>
          <w:tcPr>
            <w:tcW w:w="2515" w:type="dxa"/>
            <w:shd w:val="clear" w:color="auto" w:fill="auto"/>
            <w:tcMar>
              <w:left w:w="57" w:type="dxa"/>
              <w:right w:w="57" w:type="dxa"/>
            </w:tcMar>
            <w:vAlign w:val="bottom"/>
          </w:tcPr>
          <w:p w14:paraId="3476545A"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b/>
                <w:bCs/>
                <w:sz w:val="8"/>
                <w:szCs w:val="8"/>
              </w:rPr>
              <w:t>Kar Dağıtımı</w:t>
            </w:r>
          </w:p>
        </w:tc>
        <w:tc>
          <w:tcPr>
            <w:tcW w:w="584" w:type="dxa"/>
            <w:vAlign w:val="bottom"/>
          </w:tcPr>
          <w:p w14:paraId="3A8EDDE8" w14:textId="217E1385"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(5.V.d)</w:t>
            </w:r>
          </w:p>
        </w:tc>
        <w:tc>
          <w:tcPr>
            <w:tcW w:w="584" w:type="dxa"/>
            <w:tcMar>
              <w:left w:w="57" w:type="dxa"/>
              <w:right w:w="57" w:type="dxa"/>
            </w:tcMar>
            <w:vAlign w:val="bottom"/>
          </w:tcPr>
          <w:p w14:paraId="15E3E5A0" w14:textId="0599EA68"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62ECE485" w14:textId="701309D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437" w:type="dxa"/>
            <w:tcMar>
              <w:left w:w="57" w:type="dxa"/>
              <w:right w:w="57" w:type="dxa"/>
            </w:tcMar>
            <w:vAlign w:val="bottom"/>
          </w:tcPr>
          <w:p w14:paraId="3507A167" w14:textId="7F8BFD4B"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00C7B328" w14:textId="708D7E8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18.979</w:t>
            </w:r>
          </w:p>
        </w:tc>
        <w:tc>
          <w:tcPr>
            <w:tcW w:w="584" w:type="dxa"/>
            <w:tcMar>
              <w:left w:w="57" w:type="dxa"/>
              <w:right w:w="57" w:type="dxa"/>
            </w:tcMar>
            <w:vAlign w:val="bottom"/>
          </w:tcPr>
          <w:p w14:paraId="0830A4A1" w14:textId="434EBBD0"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4D287693" w14:textId="012ADFEC"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1313" w:type="dxa"/>
            <w:tcMar>
              <w:left w:w="57" w:type="dxa"/>
              <w:right w:w="57" w:type="dxa"/>
            </w:tcMar>
            <w:vAlign w:val="bottom"/>
          </w:tcPr>
          <w:p w14:paraId="2459D2B0" w14:textId="0E9701BA"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584" w:type="dxa"/>
            <w:tcMar>
              <w:left w:w="57" w:type="dxa"/>
              <w:right w:w="57" w:type="dxa"/>
            </w:tcMar>
            <w:vAlign w:val="bottom"/>
          </w:tcPr>
          <w:p w14:paraId="24F46DAD" w14:textId="2F691CD5"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1167" w:type="dxa"/>
            <w:tcMar>
              <w:left w:w="57" w:type="dxa"/>
              <w:right w:w="57" w:type="dxa"/>
            </w:tcMar>
            <w:vAlign w:val="bottom"/>
          </w:tcPr>
          <w:p w14:paraId="5020411E" w14:textId="5511F6C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1460" w:type="dxa"/>
            <w:tcMar>
              <w:left w:w="57" w:type="dxa"/>
              <w:right w:w="57" w:type="dxa"/>
            </w:tcMar>
            <w:vAlign w:val="bottom"/>
          </w:tcPr>
          <w:p w14:paraId="006EE961" w14:textId="0BC3A28B"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875" w:type="dxa"/>
            <w:tcMar>
              <w:left w:w="57" w:type="dxa"/>
              <w:right w:w="57" w:type="dxa"/>
            </w:tcMar>
            <w:vAlign w:val="bottom"/>
          </w:tcPr>
          <w:p w14:paraId="39FBDAAC" w14:textId="2D578D82"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27.858.806</w:t>
            </w:r>
          </w:p>
        </w:tc>
        <w:tc>
          <w:tcPr>
            <w:tcW w:w="729" w:type="dxa"/>
            <w:tcMar>
              <w:left w:w="57" w:type="dxa"/>
              <w:right w:w="57" w:type="dxa"/>
            </w:tcMar>
            <w:vAlign w:val="bottom"/>
          </w:tcPr>
          <w:p w14:paraId="0E00C750" w14:textId="2240E87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730" w:type="dxa"/>
            <w:tcMar>
              <w:left w:w="57" w:type="dxa"/>
              <w:right w:w="57" w:type="dxa"/>
            </w:tcMar>
            <w:vAlign w:val="bottom"/>
          </w:tcPr>
          <w:p w14:paraId="4EEB0A4C" w14:textId="78F0842D"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(27.877.785)</w:t>
            </w:r>
          </w:p>
        </w:tc>
        <w:tc>
          <w:tcPr>
            <w:tcW w:w="730" w:type="dxa"/>
            <w:tcMar>
              <w:left w:w="57" w:type="dxa"/>
              <w:right w:w="57" w:type="dxa"/>
            </w:tcMar>
            <w:vAlign w:val="bottom"/>
          </w:tcPr>
          <w:p w14:paraId="29F6F554" w14:textId="482DA88F"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022E6AB1" w14:textId="79918AC8" w:rsidR="001D4463" w:rsidRPr="00FB38E1" w:rsidRDefault="001D4463" w:rsidP="001D4463">
            <w:pPr>
              <w:jc w:val="right"/>
              <w:rPr>
                <w:rFonts w:ascii="Microsoft Sans Serif" w:hAnsi="Microsoft Sans Serif" w:cs="Microsoft Sans Serif"/>
                <w:b/>
                <w:sz w:val="8"/>
                <w:szCs w:val="8"/>
              </w:rPr>
            </w:pPr>
            <w:r w:rsidRPr="00FB38E1">
              <w:rPr>
                <w:rFonts w:ascii="Microsoft Sans Serif" w:hAnsi="Microsoft Sans Serif" w:cs="Microsoft Sans Serif"/>
                <w:b/>
                <w:bCs/>
                <w:sz w:val="8"/>
                <w:szCs w:val="8"/>
              </w:rPr>
              <w:t>--</w:t>
            </w:r>
          </w:p>
        </w:tc>
        <w:tc>
          <w:tcPr>
            <w:tcW w:w="569" w:type="dxa"/>
            <w:tcMar>
              <w:left w:w="57" w:type="dxa"/>
              <w:right w:w="57" w:type="dxa"/>
            </w:tcMar>
            <w:vAlign w:val="bottom"/>
          </w:tcPr>
          <w:p w14:paraId="49BFAD3D" w14:textId="34BDF7DA"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25A495F8" w14:textId="77777777" w:rsidTr="005D5803">
        <w:trPr>
          <w:trHeight w:val="76"/>
        </w:trPr>
        <w:tc>
          <w:tcPr>
            <w:tcW w:w="400" w:type="dxa"/>
            <w:shd w:val="clear" w:color="auto" w:fill="auto"/>
            <w:tcMar>
              <w:left w:w="57" w:type="dxa"/>
              <w:right w:w="57" w:type="dxa"/>
            </w:tcMar>
            <w:vAlign w:val="bottom"/>
          </w:tcPr>
          <w:p w14:paraId="361DBF56"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10"/>
              </w:rPr>
              <w:t>11.1</w:t>
            </w:r>
          </w:p>
        </w:tc>
        <w:tc>
          <w:tcPr>
            <w:tcW w:w="2515" w:type="dxa"/>
            <w:shd w:val="clear" w:color="auto" w:fill="auto"/>
            <w:tcMar>
              <w:left w:w="57" w:type="dxa"/>
              <w:right w:w="57" w:type="dxa"/>
            </w:tcMar>
            <w:vAlign w:val="bottom"/>
          </w:tcPr>
          <w:p w14:paraId="2E420F73"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8"/>
              </w:rPr>
              <w:t>Dağıtılan Temettü</w:t>
            </w:r>
          </w:p>
        </w:tc>
        <w:tc>
          <w:tcPr>
            <w:tcW w:w="584" w:type="dxa"/>
            <w:vAlign w:val="bottom"/>
          </w:tcPr>
          <w:p w14:paraId="37577403"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310A6AA3" w14:textId="42BA2C93"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77A9B6FE" w14:textId="57554074"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44DE2EED" w14:textId="3FD18136"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ABB0F4B" w14:textId="479C37F3"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54677E1" w14:textId="630676E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B71BF17" w14:textId="42FEC1EA"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65BCB2B7" w14:textId="45F0A036"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320FCC3" w14:textId="7D0F0CDD"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738D75FD" w14:textId="125D320B"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14F4711C" w14:textId="16C9F455"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00A3FEF1" w14:textId="43EED5C2"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2E7806C5" w14:textId="445BEE0B"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DA87547" w14:textId="306EA41A"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52A81599" w14:textId="7A7D7719"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155166DA" w14:textId="402AC2D4"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6EE36B9F" w14:textId="2B7EA5F9"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3AA2F625" w14:textId="77777777" w:rsidTr="005D5803">
        <w:tc>
          <w:tcPr>
            <w:tcW w:w="400" w:type="dxa"/>
            <w:shd w:val="clear" w:color="auto" w:fill="auto"/>
            <w:tcMar>
              <w:left w:w="57" w:type="dxa"/>
              <w:right w:w="57" w:type="dxa"/>
            </w:tcMar>
            <w:vAlign w:val="bottom"/>
          </w:tcPr>
          <w:p w14:paraId="361A1174"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10"/>
              </w:rPr>
              <w:t>11.2</w:t>
            </w:r>
          </w:p>
        </w:tc>
        <w:tc>
          <w:tcPr>
            <w:tcW w:w="2515" w:type="dxa"/>
            <w:shd w:val="clear" w:color="auto" w:fill="auto"/>
            <w:tcMar>
              <w:left w:w="57" w:type="dxa"/>
              <w:right w:w="57" w:type="dxa"/>
            </w:tcMar>
            <w:vAlign w:val="bottom"/>
          </w:tcPr>
          <w:p w14:paraId="211C581F"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8"/>
              </w:rPr>
              <w:t>Yedeklere Aktarılan Tutarlar</w:t>
            </w:r>
          </w:p>
        </w:tc>
        <w:tc>
          <w:tcPr>
            <w:tcW w:w="584" w:type="dxa"/>
            <w:vAlign w:val="bottom"/>
          </w:tcPr>
          <w:p w14:paraId="576D73F4" w14:textId="5CE6AEC9"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bCs/>
                <w:sz w:val="8"/>
                <w:szCs w:val="8"/>
              </w:rPr>
              <w:t>(5.V.f)</w:t>
            </w:r>
          </w:p>
        </w:tc>
        <w:tc>
          <w:tcPr>
            <w:tcW w:w="584" w:type="dxa"/>
            <w:tcMar>
              <w:left w:w="57" w:type="dxa"/>
              <w:right w:w="57" w:type="dxa"/>
            </w:tcMar>
            <w:vAlign w:val="bottom"/>
          </w:tcPr>
          <w:p w14:paraId="1D06378D" w14:textId="4E072E3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128DE2E2" w14:textId="35F3A8C7"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6845B697" w14:textId="25F07C12"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557AAB6D" w14:textId="63040F00"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18.979</w:t>
            </w:r>
          </w:p>
        </w:tc>
        <w:tc>
          <w:tcPr>
            <w:tcW w:w="584" w:type="dxa"/>
            <w:tcMar>
              <w:left w:w="57" w:type="dxa"/>
              <w:right w:w="57" w:type="dxa"/>
            </w:tcMar>
            <w:vAlign w:val="bottom"/>
          </w:tcPr>
          <w:p w14:paraId="5E0F5601" w14:textId="0FC0B796"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0D63434D" w14:textId="5D516C6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341999C5" w14:textId="462F2ABB"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552CE844" w14:textId="4B4A5012"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36D76068" w14:textId="67E992C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7F9A383D" w14:textId="718DFE94"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5A6C80C8" w14:textId="1FEADEC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27.858.806</w:t>
            </w:r>
          </w:p>
        </w:tc>
        <w:tc>
          <w:tcPr>
            <w:tcW w:w="729" w:type="dxa"/>
            <w:tcMar>
              <w:left w:w="57" w:type="dxa"/>
              <w:right w:w="57" w:type="dxa"/>
            </w:tcMar>
            <w:vAlign w:val="bottom"/>
          </w:tcPr>
          <w:p w14:paraId="0F9565FB" w14:textId="7AB89B02"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176022E" w14:textId="1FBE64AB"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(27.877.785)</w:t>
            </w:r>
          </w:p>
        </w:tc>
        <w:tc>
          <w:tcPr>
            <w:tcW w:w="730" w:type="dxa"/>
            <w:tcMar>
              <w:left w:w="57" w:type="dxa"/>
              <w:right w:w="57" w:type="dxa"/>
            </w:tcMar>
            <w:vAlign w:val="bottom"/>
          </w:tcPr>
          <w:p w14:paraId="573EA129" w14:textId="55175D15"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18B984E1" w14:textId="7CF09323"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202B5D31" w14:textId="2C97E945"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32AD09AB" w14:textId="77777777" w:rsidTr="005D5803">
        <w:tc>
          <w:tcPr>
            <w:tcW w:w="400" w:type="dxa"/>
            <w:shd w:val="clear" w:color="auto" w:fill="auto"/>
            <w:tcMar>
              <w:left w:w="57" w:type="dxa"/>
              <w:right w:w="57" w:type="dxa"/>
            </w:tcMar>
            <w:vAlign w:val="bottom"/>
          </w:tcPr>
          <w:p w14:paraId="18C9BF03"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10"/>
              </w:rPr>
              <w:t>11.3</w:t>
            </w:r>
          </w:p>
        </w:tc>
        <w:tc>
          <w:tcPr>
            <w:tcW w:w="2515" w:type="dxa"/>
            <w:shd w:val="clear" w:color="auto" w:fill="auto"/>
            <w:tcMar>
              <w:left w:w="57" w:type="dxa"/>
              <w:right w:w="57" w:type="dxa"/>
            </w:tcMar>
            <w:vAlign w:val="bottom"/>
          </w:tcPr>
          <w:p w14:paraId="0EB19A34" w14:textId="77777777" w:rsidR="001D4463" w:rsidRPr="00FB38E1" w:rsidRDefault="001D4463" w:rsidP="001D4463">
            <w:pPr>
              <w:rPr>
                <w:rFonts w:ascii="Microsoft Sans Serif" w:hAnsi="Microsoft Sans Serif" w:cs="Microsoft Sans Serif"/>
                <w:sz w:val="8"/>
                <w:szCs w:val="8"/>
              </w:rPr>
            </w:pPr>
            <w:r w:rsidRPr="00FB38E1">
              <w:rPr>
                <w:rFonts w:ascii="Microsoft Sans Serif" w:hAnsi="Microsoft Sans Serif" w:cs="Microsoft Sans Serif"/>
                <w:sz w:val="8"/>
                <w:szCs w:val="8"/>
              </w:rPr>
              <w:t xml:space="preserve">Diğer </w:t>
            </w:r>
          </w:p>
        </w:tc>
        <w:tc>
          <w:tcPr>
            <w:tcW w:w="584" w:type="dxa"/>
          </w:tcPr>
          <w:p w14:paraId="4E7574A3"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0B087074" w14:textId="26C20F9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5DCEC072" w14:textId="6374B06C"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437" w:type="dxa"/>
            <w:tcMar>
              <w:left w:w="57" w:type="dxa"/>
              <w:right w:w="57" w:type="dxa"/>
            </w:tcMar>
            <w:vAlign w:val="bottom"/>
          </w:tcPr>
          <w:p w14:paraId="5FB9B8FE" w14:textId="53F1AE66"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72FAD178" w14:textId="4489B595"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1B42E9B3" w14:textId="3384877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710C2A4D" w14:textId="2F5FC41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313" w:type="dxa"/>
            <w:tcMar>
              <w:left w:w="57" w:type="dxa"/>
              <w:right w:w="57" w:type="dxa"/>
            </w:tcMar>
            <w:vAlign w:val="bottom"/>
          </w:tcPr>
          <w:p w14:paraId="7ABFC79A" w14:textId="2A44C877"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84" w:type="dxa"/>
            <w:tcMar>
              <w:left w:w="57" w:type="dxa"/>
              <w:right w:w="57" w:type="dxa"/>
            </w:tcMar>
            <w:vAlign w:val="bottom"/>
          </w:tcPr>
          <w:p w14:paraId="2A59540F" w14:textId="3070FAE3"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167" w:type="dxa"/>
            <w:tcMar>
              <w:left w:w="57" w:type="dxa"/>
              <w:right w:w="57" w:type="dxa"/>
            </w:tcMar>
            <w:vAlign w:val="bottom"/>
          </w:tcPr>
          <w:p w14:paraId="3FFA99B1" w14:textId="6736F38F"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1460" w:type="dxa"/>
            <w:tcMar>
              <w:left w:w="57" w:type="dxa"/>
              <w:right w:w="57" w:type="dxa"/>
            </w:tcMar>
            <w:vAlign w:val="bottom"/>
          </w:tcPr>
          <w:p w14:paraId="0BE6F7C4" w14:textId="77529A6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875" w:type="dxa"/>
            <w:tcMar>
              <w:left w:w="57" w:type="dxa"/>
              <w:right w:w="57" w:type="dxa"/>
            </w:tcMar>
            <w:vAlign w:val="bottom"/>
          </w:tcPr>
          <w:p w14:paraId="36BBD339" w14:textId="63FAF2D1"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29" w:type="dxa"/>
            <w:tcMar>
              <w:left w:w="57" w:type="dxa"/>
              <w:right w:w="57" w:type="dxa"/>
            </w:tcMar>
            <w:vAlign w:val="bottom"/>
          </w:tcPr>
          <w:p w14:paraId="5EA31450" w14:textId="5EB68A6E"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314F1C67" w14:textId="67F05645"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730" w:type="dxa"/>
            <w:tcMar>
              <w:left w:w="57" w:type="dxa"/>
              <w:right w:w="57" w:type="dxa"/>
            </w:tcMar>
            <w:vAlign w:val="bottom"/>
          </w:tcPr>
          <w:p w14:paraId="43015F01" w14:textId="1C93C1ED"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439" w:type="dxa"/>
            <w:tcMar>
              <w:left w:w="57" w:type="dxa"/>
              <w:right w:w="57" w:type="dxa"/>
            </w:tcMar>
            <w:vAlign w:val="bottom"/>
          </w:tcPr>
          <w:p w14:paraId="26A67D0F" w14:textId="7210CBD8" w:rsidR="001D4463" w:rsidRPr="00FB38E1" w:rsidRDefault="001D4463" w:rsidP="001D4463">
            <w:pPr>
              <w:jc w:val="right"/>
              <w:rPr>
                <w:rFonts w:ascii="Microsoft Sans Serif" w:hAnsi="Microsoft Sans Serif" w:cs="Microsoft Sans Serif"/>
                <w:sz w:val="8"/>
                <w:szCs w:val="8"/>
              </w:rPr>
            </w:pPr>
            <w:r w:rsidRPr="00FB38E1">
              <w:rPr>
                <w:rFonts w:ascii="Microsoft Sans Serif" w:hAnsi="Microsoft Sans Serif" w:cs="Microsoft Sans Serif"/>
                <w:sz w:val="8"/>
                <w:szCs w:val="8"/>
              </w:rPr>
              <w:t>--</w:t>
            </w:r>
          </w:p>
        </w:tc>
        <w:tc>
          <w:tcPr>
            <w:tcW w:w="569" w:type="dxa"/>
            <w:tcMar>
              <w:left w:w="57" w:type="dxa"/>
              <w:right w:w="57" w:type="dxa"/>
            </w:tcMar>
            <w:vAlign w:val="bottom"/>
          </w:tcPr>
          <w:p w14:paraId="5C187E2A" w14:textId="635D8A17"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r>
      <w:tr w:rsidR="001D4463" w:rsidRPr="00FB38E1" w14:paraId="7BADE049" w14:textId="77777777" w:rsidTr="005D5803">
        <w:tc>
          <w:tcPr>
            <w:tcW w:w="400" w:type="dxa"/>
            <w:shd w:val="clear" w:color="auto" w:fill="auto"/>
            <w:tcMar>
              <w:left w:w="57" w:type="dxa"/>
              <w:right w:w="57" w:type="dxa"/>
            </w:tcMar>
            <w:vAlign w:val="bottom"/>
          </w:tcPr>
          <w:p w14:paraId="3358BAFD" w14:textId="77777777" w:rsidR="001D4463" w:rsidRPr="00FB38E1" w:rsidRDefault="001D4463" w:rsidP="001D4463">
            <w:pPr>
              <w:rPr>
                <w:rFonts w:ascii="Microsoft Sans Serif" w:hAnsi="Microsoft Sans Serif" w:cs="Microsoft Sans Serif"/>
                <w:sz w:val="8"/>
                <w:szCs w:val="10"/>
              </w:rPr>
            </w:pPr>
          </w:p>
        </w:tc>
        <w:tc>
          <w:tcPr>
            <w:tcW w:w="2515" w:type="dxa"/>
            <w:shd w:val="clear" w:color="auto" w:fill="auto"/>
            <w:tcMar>
              <w:left w:w="57" w:type="dxa"/>
              <w:right w:w="57" w:type="dxa"/>
            </w:tcMar>
            <w:vAlign w:val="bottom"/>
          </w:tcPr>
          <w:p w14:paraId="6E0A5BE4" w14:textId="77777777" w:rsidR="001D4463" w:rsidRPr="00FB38E1" w:rsidRDefault="001D4463" w:rsidP="001D4463">
            <w:pPr>
              <w:rPr>
                <w:rFonts w:ascii="Microsoft Sans Serif" w:hAnsi="Microsoft Sans Serif" w:cs="Microsoft Sans Serif"/>
                <w:sz w:val="8"/>
                <w:szCs w:val="8"/>
              </w:rPr>
            </w:pPr>
          </w:p>
        </w:tc>
        <w:tc>
          <w:tcPr>
            <w:tcW w:w="584" w:type="dxa"/>
          </w:tcPr>
          <w:p w14:paraId="1E742DD2"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6A0E8BA8" w14:textId="77777777" w:rsidR="001D4463" w:rsidRPr="00FB38E1" w:rsidRDefault="001D4463" w:rsidP="001D4463">
            <w:pPr>
              <w:jc w:val="right"/>
              <w:rPr>
                <w:rFonts w:ascii="Microsoft Sans Serif" w:hAnsi="Microsoft Sans Serif" w:cs="Microsoft Sans Serif"/>
                <w:sz w:val="8"/>
                <w:szCs w:val="8"/>
              </w:rPr>
            </w:pPr>
          </w:p>
        </w:tc>
        <w:tc>
          <w:tcPr>
            <w:tcW w:w="437" w:type="dxa"/>
            <w:tcMar>
              <w:left w:w="57" w:type="dxa"/>
              <w:right w:w="57" w:type="dxa"/>
            </w:tcMar>
            <w:vAlign w:val="bottom"/>
          </w:tcPr>
          <w:p w14:paraId="4B1098FA" w14:textId="77777777" w:rsidR="001D4463" w:rsidRPr="00FB38E1" w:rsidRDefault="001D4463" w:rsidP="001D4463">
            <w:pPr>
              <w:jc w:val="right"/>
              <w:rPr>
                <w:rFonts w:ascii="Microsoft Sans Serif" w:hAnsi="Microsoft Sans Serif" w:cs="Microsoft Sans Serif"/>
                <w:sz w:val="8"/>
                <w:szCs w:val="8"/>
              </w:rPr>
            </w:pPr>
          </w:p>
        </w:tc>
        <w:tc>
          <w:tcPr>
            <w:tcW w:w="437" w:type="dxa"/>
            <w:tcMar>
              <w:left w:w="57" w:type="dxa"/>
              <w:right w:w="57" w:type="dxa"/>
            </w:tcMar>
            <w:vAlign w:val="bottom"/>
          </w:tcPr>
          <w:p w14:paraId="56C98CB4"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0D27C616"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49E6F4A9" w14:textId="77777777" w:rsidR="001D4463" w:rsidRPr="00FB38E1" w:rsidRDefault="001D4463" w:rsidP="001D4463">
            <w:pPr>
              <w:jc w:val="right"/>
              <w:rPr>
                <w:rFonts w:ascii="Microsoft Sans Serif" w:hAnsi="Microsoft Sans Serif" w:cs="Microsoft Sans Serif"/>
                <w:sz w:val="8"/>
                <w:szCs w:val="8"/>
              </w:rPr>
            </w:pPr>
          </w:p>
        </w:tc>
        <w:tc>
          <w:tcPr>
            <w:tcW w:w="730" w:type="dxa"/>
            <w:tcMar>
              <w:left w:w="57" w:type="dxa"/>
              <w:right w:w="57" w:type="dxa"/>
            </w:tcMar>
            <w:vAlign w:val="bottom"/>
          </w:tcPr>
          <w:p w14:paraId="3C44D9DA" w14:textId="77777777" w:rsidR="001D4463" w:rsidRPr="00FB38E1" w:rsidRDefault="001D4463" w:rsidP="001D4463">
            <w:pPr>
              <w:jc w:val="right"/>
              <w:rPr>
                <w:rFonts w:ascii="Microsoft Sans Serif" w:hAnsi="Microsoft Sans Serif" w:cs="Microsoft Sans Serif"/>
                <w:sz w:val="8"/>
                <w:szCs w:val="8"/>
              </w:rPr>
            </w:pPr>
          </w:p>
        </w:tc>
        <w:tc>
          <w:tcPr>
            <w:tcW w:w="1313" w:type="dxa"/>
            <w:tcMar>
              <w:left w:w="57" w:type="dxa"/>
              <w:right w:w="57" w:type="dxa"/>
            </w:tcMar>
            <w:vAlign w:val="bottom"/>
          </w:tcPr>
          <w:p w14:paraId="38664D99" w14:textId="77777777" w:rsidR="001D4463" w:rsidRPr="00FB38E1" w:rsidRDefault="001D4463" w:rsidP="001D4463">
            <w:pPr>
              <w:jc w:val="right"/>
              <w:rPr>
                <w:rFonts w:ascii="Microsoft Sans Serif" w:hAnsi="Microsoft Sans Serif" w:cs="Microsoft Sans Serif"/>
                <w:sz w:val="8"/>
                <w:szCs w:val="8"/>
              </w:rPr>
            </w:pPr>
          </w:p>
        </w:tc>
        <w:tc>
          <w:tcPr>
            <w:tcW w:w="584" w:type="dxa"/>
            <w:tcMar>
              <w:left w:w="57" w:type="dxa"/>
              <w:right w:w="57" w:type="dxa"/>
            </w:tcMar>
            <w:vAlign w:val="bottom"/>
          </w:tcPr>
          <w:p w14:paraId="47BBB269" w14:textId="77777777" w:rsidR="001D4463" w:rsidRPr="00FB38E1" w:rsidRDefault="001D4463" w:rsidP="001D4463">
            <w:pPr>
              <w:jc w:val="right"/>
              <w:rPr>
                <w:rFonts w:ascii="Microsoft Sans Serif" w:hAnsi="Microsoft Sans Serif" w:cs="Microsoft Sans Serif"/>
                <w:sz w:val="8"/>
                <w:szCs w:val="8"/>
              </w:rPr>
            </w:pPr>
          </w:p>
        </w:tc>
        <w:tc>
          <w:tcPr>
            <w:tcW w:w="1167" w:type="dxa"/>
            <w:tcMar>
              <w:left w:w="57" w:type="dxa"/>
              <w:right w:w="57" w:type="dxa"/>
            </w:tcMar>
            <w:vAlign w:val="bottom"/>
          </w:tcPr>
          <w:p w14:paraId="06B83918" w14:textId="77777777" w:rsidR="001D4463" w:rsidRPr="00FB38E1" w:rsidRDefault="001D4463" w:rsidP="001D4463">
            <w:pPr>
              <w:jc w:val="right"/>
              <w:rPr>
                <w:rFonts w:ascii="Microsoft Sans Serif" w:hAnsi="Microsoft Sans Serif" w:cs="Microsoft Sans Serif"/>
                <w:sz w:val="8"/>
                <w:szCs w:val="8"/>
              </w:rPr>
            </w:pPr>
          </w:p>
        </w:tc>
        <w:tc>
          <w:tcPr>
            <w:tcW w:w="1460" w:type="dxa"/>
            <w:tcMar>
              <w:left w:w="57" w:type="dxa"/>
              <w:right w:w="57" w:type="dxa"/>
            </w:tcMar>
            <w:vAlign w:val="bottom"/>
          </w:tcPr>
          <w:p w14:paraId="6473041D" w14:textId="77777777" w:rsidR="001D4463" w:rsidRPr="00FB38E1" w:rsidRDefault="001D4463" w:rsidP="001D4463">
            <w:pPr>
              <w:jc w:val="right"/>
              <w:rPr>
                <w:rFonts w:ascii="Microsoft Sans Serif" w:hAnsi="Microsoft Sans Serif" w:cs="Microsoft Sans Serif"/>
                <w:sz w:val="8"/>
                <w:szCs w:val="8"/>
              </w:rPr>
            </w:pPr>
          </w:p>
        </w:tc>
        <w:tc>
          <w:tcPr>
            <w:tcW w:w="875" w:type="dxa"/>
            <w:tcMar>
              <w:left w:w="57" w:type="dxa"/>
              <w:right w:w="57" w:type="dxa"/>
            </w:tcMar>
            <w:vAlign w:val="bottom"/>
          </w:tcPr>
          <w:p w14:paraId="2B71C7CB" w14:textId="77777777" w:rsidR="001D4463" w:rsidRPr="00FB38E1" w:rsidRDefault="001D4463" w:rsidP="001D4463">
            <w:pPr>
              <w:jc w:val="right"/>
              <w:rPr>
                <w:rFonts w:ascii="Microsoft Sans Serif" w:hAnsi="Microsoft Sans Serif" w:cs="Microsoft Sans Serif"/>
                <w:sz w:val="8"/>
                <w:szCs w:val="8"/>
              </w:rPr>
            </w:pPr>
          </w:p>
        </w:tc>
        <w:tc>
          <w:tcPr>
            <w:tcW w:w="729" w:type="dxa"/>
            <w:tcMar>
              <w:left w:w="57" w:type="dxa"/>
              <w:right w:w="57" w:type="dxa"/>
            </w:tcMar>
            <w:vAlign w:val="bottom"/>
          </w:tcPr>
          <w:p w14:paraId="470A88DE" w14:textId="77777777" w:rsidR="001D4463" w:rsidRPr="00FB38E1" w:rsidRDefault="001D4463" w:rsidP="001D4463">
            <w:pPr>
              <w:jc w:val="right"/>
              <w:rPr>
                <w:rFonts w:ascii="Microsoft Sans Serif" w:hAnsi="Microsoft Sans Serif" w:cs="Microsoft Sans Serif"/>
                <w:sz w:val="8"/>
                <w:szCs w:val="8"/>
              </w:rPr>
            </w:pPr>
          </w:p>
        </w:tc>
        <w:tc>
          <w:tcPr>
            <w:tcW w:w="730" w:type="dxa"/>
            <w:tcMar>
              <w:left w:w="57" w:type="dxa"/>
              <w:right w:w="57" w:type="dxa"/>
            </w:tcMar>
            <w:vAlign w:val="bottom"/>
          </w:tcPr>
          <w:p w14:paraId="7A31897B" w14:textId="77777777" w:rsidR="001D4463" w:rsidRPr="00FB38E1" w:rsidRDefault="001D4463" w:rsidP="001D4463">
            <w:pPr>
              <w:jc w:val="right"/>
              <w:rPr>
                <w:rFonts w:ascii="Microsoft Sans Serif" w:hAnsi="Microsoft Sans Serif" w:cs="Microsoft Sans Serif"/>
                <w:sz w:val="8"/>
                <w:szCs w:val="8"/>
              </w:rPr>
            </w:pPr>
          </w:p>
        </w:tc>
        <w:tc>
          <w:tcPr>
            <w:tcW w:w="730" w:type="dxa"/>
            <w:tcMar>
              <w:left w:w="57" w:type="dxa"/>
              <w:right w:w="57" w:type="dxa"/>
            </w:tcMar>
            <w:vAlign w:val="bottom"/>
          </w:tcPr>
          <w:p w14:paraId="597435E8" w14:textId="77777777" w:rsidR="001D4463" w:rsidRPr="00FB38E1" w:rsidRDefault="001D4463" w:rsidP="001D4463">
            <w:pPr>
              <w:jc w:val="right"/>
              <w:rPr>
                <w:rFonts w:ascii="Microsoft Sans Serif" w:hAnsi="Microsoft Sans Serif" w:cs="Microsoft Sans Serif"/>
                <w:b/>
                <w:bCs/>
                <w:sz w:val="8"/>
                <w:szCs w:val="8"/>
              </w:rPr>
            </w:pPr>
          </w:p>
        </w:tc>
        <w:tc>
          <w:tcPr>
            <w:tcW w:w="439" w:type="dxa"/>
            <w:tcMar>
              <w:left w:w="57" w:type="dxa"/>
              <w:right w:w="57" w:type="dxa"/>
            </w:tcMar>
            <w:vAlign w:val="bottom"/>
          </w:tcPr>
          <w:p w14:paraId="5A44F9CB" w14:textId="77777777" w:rsidR="001D4463" w:rsidRPr="00FB38E1" w:rsidRDefault="001D4463" w:rsidP="001D4463">
            <w:pPr>
              <w:jc w:val="right"/>
              <w:rPr>
                <w:rFonts w:ascii="Microsoft Sans Serif" w:hAnsi="Microsoft Sans Serif" w:cs="Microsoft Sans Serif"/>
                <w:sz w:val="8"/>
                <w:szCs w:val="8"/>
              </w:rPr>
            </w:pPr>
          </w:p>
        </w:tc>
        <w:tc>
          <w:tcPr>
            <w:tcW w:w="569" w:type="dxa"/>
            <w:tcMar>
              <w:left w:w="57" w:type="dxa"/>
              <w:right w:w="57" w:type="dxa"/>
            </w:tcMar>
            <w:vAlign w:val="bottom"/>
          </w:tcPr>
          <w:p w14:paraId="232FCBE5" w14:textId="77777777" w:rsidR="001D4463" w:rsidRPr="00FB38E1" w:rsidRDefault="001D4463" w:rsidP="001D4463">
            <w:pPr>
              <w:jc w:val="right"/>
              <w:rPr>
                <w:rFonts w:ascii="Microsoft Sans Serif" w:hAnsi="Microsoft Sans Serif" w:cs="Microsoft Sans Serif"/>
                <w:b/>
                <w:bCs/>
                <w:sz w:val="8"/>
                <w:szCs w:val="8"/>
              </w:rPr>
            </w:pPr>
          </w:p>
        </w:tc>
      </w:tr>
      <w:tr w:rsidR="001D4463" w:rsidRPr="00FB38E1" w14:paraId="763A9177" w14:textId="77777777" w:rsidTr="005D5803">
        <w:tc>
          <w:tcPr>
            <w:tcW w:w="400" w:type="dxa"/>
            <w:tcBorders>
              <w:top w:val="single" w:sz="2" w:space="0" w:color="auto"/>
              <w:bottom w:val="single" w:sz="12" w:space="0" w:color="auto"/>
            </w:tcBorders>
            <w:shd w:val="clear" w:color="auto" w:fill="auto"/>
            <w:tcMar>
              <w:left w:w="57" w:type="dxa"/>
              <w:right w:w="57" w:type="dxa"/>
            </w:tcMar>
            <w:vAlign w:val="bottom"/>
          </w:tcPr>
          <w:p w14:paraId="58825764" w14:textId="77777777" w:rsidR="001D4463" w:rsidRPr="00FB38E1" w:rsidRDefault="001D4463" w:rsidP="001D4463">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 </w:t>
            </w:r>
          </w:p>
        </w:tc>
        <w:tc>
          <w:tcPr>
            <w:tcW w:w="2515" w:type="dxa"/>
            <w:tcBorders>
              <w:top w:val="single" w:sz="2" w:space="0" w:color="auto"/>
              <w:bottom w:val="single" w:sz="12" w:space="0" w:color="auto"/>
            </w:tcBorders>
            <w:shd w:val="clear" w:color="auto" w:fill="auto"/>
            <w:tcMar>
              <w:left w:w="57" w:type="dxa"/>
              <w:right w:w="57" w:type="dxa"/>
            </w:tcMar>
            <w:vAlign w:val="bottom"/>
          </w:tcPr>
          <w:p w14:paraId="1B5F6F5F" w14:textId="77777777" w:rsidR="001D4463" w:rsidRPr="00FB38E1" w:rsidRDefault="001D4463" w:rsidP="001D4463">
            <w:pPr>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Dönem Sonu Bakiyesi  (III+IV+…...+X+XI)</w:t>
            </w:r>
          </w:p>
        </w:tc>
        <w:tc>
          <w:tcPr>
            <w:tcW w:w="584" w:type="dxa"/>
            <w:tcBorders>
              <w:top w:val="single" w:sz="2" w:space="0" w:color="auto"/>
              <w:bottom w:val="single" w:sz="12" w:space="0" w:color="auto"/>
            </w:tcBorders>
          </w:tcPr>
          <w:p w14:paraId="37405366" w14:textId="77777777" w:rsidR="001D4463" w:rsidRPr="00FB38E1" w:rsidRDefault="001D4463" w:rsidP="001D4463">
            <w:pPr>
              <w:jc w:val="right"/>
              <w:rPr>
                <w:rFonts w:ascii="Microsoft Sans Serif" w:hAnsi="Microsoft Sans Serif" w:cs="Microsoft Sans Serif"/>
                <w:b/>
                <w:bCs/>
                <w:sz w:val="8"/>
                <w:szCs w:val="8"/>
              </w:rPr>
            </w:pPr>
          </w:p>
        </w:tc>
        <w:tc>
          <w:tcPr>
            <w:tcW w:w="584" w:type="dxa"/>
            <w:tcBorders>
              <w:top w:val="single" w:sz="2" w:space="0" w:color="auto"/>
              <w:bottom w:val="single" w:sz="12" w:space="0" w:color="auto"/>
            </w:tcBorders>
            <w:tcMar>
              <w:left w:w="57" w:type="dxa"/>
              <w:right w:w="57" w:type="dxa"/>
            </w:tcMar>
            <w:vAlign w:val="bottom"/>
          </w:tcPr>
          <w:p w14:paraId="39CC3943" w14:textId="0486A2C1"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19.638.600</w:t>
            </w:r>
          </w:p>
        </w:tc>
        <w:tc>
          <w:tcPr>
            <w:tcW w:w="437" w:type="dxa"/>
            <w:tcBorders>
              <w:top w:val="single" w:sz="2" w:space="0" w:color="auto"/>
              <w:bottom w:val="single" w:sz="12" w:space="0" w:color="auto"/>
            </w:tcBorders>
            <w:tcMar>
              <w:left w:w="57" w:type="dxa"/>
              <w:right w:w="57" w:type="dxa"/>
            </w:tcMar>
            <w:vAlign w:val="bottom"/>
          </w:tcPr>
          <w:p w14:paraId="6ABD8492" w14:textId="53BBFA54"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15</w:t>
            </w:r>
          </w:p>
        </w:tc>
        <w:tc>
          <w:tcPr>
            <w:tcW w:w="437" w:type="dxa"/>
            <w:tcBorders>
              <w:top w:val="single" w:sz="2" w:space="0" w:color="auto"/>
              <w:bottom w:val="single" w:sz="12" w:space="0" w:color="auto"/>
            </w:tcBorders>
            <w:tcMar>
              <w:left w:w="57" w:type="dxa"/>
              <w:right w:w="57" w:type="dxa"/>
            </w:tcMar>
            <w:vAlign w:val="bottom"/>
          </w:tcPr>
          <w:p w14:paraId="0393CEF4" w14:textId="7373996F"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584" w:type="dxa"/>
            <w:tcBorders>
              <w:top w:val="single" w:sz="2" w:space="0" w:color="auto"/>
              <w:bottom w:val="single" w:sz="12" w:space="0" w:color="auto"/>
            </w:tcBorders>
            <w:tcMar>
              <w:left w:w="57" w:type="dxa"/>
              <w:right w:w="57" w:type="dxa"/>
            </w:tcMar>
            <w:vAlign w:val="bottom"/>
          </w:tcPr>
          <w:p w14:paraId="5877080F" w14:textId="782887A7"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24.589</w:t>
            </w:r>
          </w:p>
        </w:tc>
        <w:tc>
          <w:tcPr>
            <w:tcW w:w="584" w:type="dxa"/>
            <w:tcBorders>
              <w:top w:val="single" w:sz="2" w:space="0" w:color="auto"/>
              <w:bottom w:val="single" w:sz="12" w:space="0" w:color="auto"/>
            </w:tcBorders>
            <w:tcMar>
              <w:left w:w="57" w:type="dxa"/>
              <w:right w:w="57" w:type="dxa"/>
            </w:tcMar>
            <w:vAlign w:val="bottom"/>
          </w:tcPr>
          <w:p w14:paraId="697D01BC" w14:textId="1A1926E5"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1.227.992</w:t>
            </w:r>
          </w:p>
        </w:tc>
        <w:tc>
          <w:tcPr>
            <w:tcW w:w="730" w:type="dxa"/>
            <w:tcBorders>
              <w:top w:val="single" w:sz="2" w:space="0" w:color="auto"/>
              <w:bottom w:val="single" w:sz="12" w:space="0" w:color="auto"/>
            </w:tcBorders>
            <w:tcMar>
              <w:left w:w="57" w:type="dxa"/>
              <w:right w:w="57" w:type="dxa"/>
            </w:tcMar>
            <w:vAlign w:val="bottom"/>
          </w:tcPr>
          <w:p w14:paraId="7BB884C6" w14:textId="5F6612DE"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(822.139)</w:t>
            </w:r>
          </w:p>
        </w:tc>
        <w:tc>
          <w:tcPr>
            <w:tcW w:w="1313" w:type="dxa"/>
            <w:tcBorders>
              <w:top w:val="single" w:sz="2" w:space="0" w:color="auto"/>
              <w:bottom w:val="single" w:sz="12" w:space="0" w:color="auto"/>
            </w:tcBorders>
            <w:tcMar>
              <w:left w:w="57" w:type="dxa"/>
              <w:right w:w="57" w:type="dxa"/>
            </w:tcMar>
            <w:vAlign w:val="bottom"/>
          </w:tcPr>
          <w:p w14:paraId="70CAAD51" w14:textId="636F99DB"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11.965.170</w:t>
            </w:r>
          </w:p>
        </w:tc>
        <w:tc>
          <w:tcPr>
            <w:tcW w:w="584" w:type="dxa"/>
            <w:tcBorders>
              <w:top w:val="single" w:sz="2" w:space="0" w:color="auto"/>
              <w:bottom w:val="single" w:sz="12" w:space="0" w:color="auto"/>
            </w:tcBorders>
            <w:tcMar>
              <w:left w:w="57" w:type="dxa"/>
              <w:right w:w="57" w:type="dxa"/>
            </w:tcMar>
            <w:vAlign w:val="bottom"/>
          </w:tcPr>
          <w:p w14:paraId="2A67F357" w14:textId="765F272D"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37.108.830</w:t>
            </w:r>
          </w:p>
        </w:tc>
        <w:tc>
          <w:tcPr>
            <w:tcW w:w="1167" w:type="dxa"/>
            <w:tcBorders>
              <w:top w:val="single" w:sz="2" w:space="0" w:color="auto"/>
              <w:bottom w:val="single" w:sz="12" w:space="0" w:color="auto"/>
            </w:tcBorders>
            <w:tcMar>
              <w:left w:w="57" w:type="dxa"/>
              <w:right w:w="57" w:type="dxa"/>
            </w:tcMar>
            <w:vAlign w:val="bottom"/>
          </w:tcPr>
          <w:p w14:paraId="70EF0E45" w14:textId="4C852FD3"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(3.476.822)</w:t>
            </w:r>
          </w:p>
        </w:tc>
        <w:tc>
          <w:tcPr>
            <w:tcW w:w="1460" w:type="dxa"/>
            <w:tcBorders>
              <w:top w:val="single" w:sz="2" w:space="0" w:color="auto"/>
              <w:bottom w:val="single" w:sz="12" w:space="0" w:color="auto"/>
            </w:tcBorders>
            <w:tcMar>
              <w:left w:w="57" w:type="dxa"/>
              <w:right w:w="57" w:type="dxa"/>
            </w:tcMar>
            <w:vAlign w:val="bottom"/>
          </w:tcPr>
          <w:p w14:paraId="1E0359B7" w14:textId="1CF94A5B"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(22.907.278)</w:t>
            </w:r>
          </w:p>
        </w:tc>
        <w:tc>
          <w:tcPr>
            <w:tcW w:w="875" w:type="dxa"/>
            <w:tcBorders>
              <w:top w:val="single" w:sz="2" w:space="0" w:color="auto"/>
              <w:bottom w:val="single" w:sz="12" w:space="0" w:color="auto"/>
            </w:tcBorders>
            <w:tcMar>
              <w:left w:w="57" w:type="dxa"/>
              <w:right w:w="57" w:type="dxa"/>
            </w:tcMar>
            <w:vAlign w:val="bottom"/>
          </w:tcPr>
          <w:p w14:paraId="019583A5" w14:textId="5A9D6DAB"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61.726.992</w:t>
            </w:r>
          </w:p>
        </w:tc>
        <w:tc>
          <w:tcPr>
            <w:tcW w:w="729" w:type="dxa"/>
            <w:tcBorders>
              <w:top w:val="single" w:sz="2" w:space="0" w:color="auto"/>
              <w:bottom w:val="single" w:sz="12" w:space="0" w:color="auto"/>
            </w:tcBorders>
            <w:tcMar>
              <w:left w:w="57" w:type="dxa"/>
              <w:right w:w="57" w:type="dxa"/>
            </w:tcMar>
            <w:vAlign w:val="bottom"/>
          </w:tcPr>
          <w:p w14:paraId="5FE81354" w14:textId="515610E0"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1.245.272</w:t>
            </w:r>
          </w:p>
        </w:tc>
        <w:tc>
          <w:tcPr>
            <w:tcW w:w="730" w:type="dxa"/>
            <w:tcBorders>
              <w:top w:val="single" w:sz="2" w:space="0" w:color="auto"/>
              <w:bottom w:val="single" w:sz="12" w:space="0" w:color="auto"/>
            </w:tcBorders>
            <w:tcMar>
              <w:left w:w="57" w:type="dxa"/>
              <w:right w:w="57" w:type="dxa"/>
            </w:tcMar>
            <w:vAlign w:val="bottom"/>
          </w:tcPr>
          <w:p w14:paraId="653A54CE" w14:textId="42D6C612"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44.969.497</w:t>
            </w:r>
          </w:p>
        </w:tc>
        <w:tc>
          <w:tcPr>
            <w:tcW w:w="730" w:type="dxa"/>
            <w:tcBorders>
              <w:top w:val="single" w:sz="2" w:space="0" w:color="auto"/>
              <w:bottom w:val="single" w:sz="12" w:space="0" w:color="auto"/>
            </w:tcBorders>
            <w:tcMar>
              <w:left w:w="57" w:type="dxa"/>
              <w:right w:w="57" w:type="dxa"/>
            </w:tcMar>
            <w:vAlign w:val="bottom"/>
          </w:tcPr>
          <w:p w14:paraId="09D45F98" w14:textId="04B407E7"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150.700.718</w:t>
            </w:r>
          </w:p>
        </w:tc>
        <w:tc>
          <w:tcPr>
            <w:tcW w:w="439" w:type="dxa"/>
            <w:tcBorders>
              <w:top w:val="single" w:sz="2" w:space="0" w:color="auto"/>
              <w:bottom w:val="single" w:sz="12" w:space="0" w:color="auto"/>
            </w:tcBorders>
            <w:tcMar>
              <w:left w:w="57" w:type="dxa"/>
              <w:right w:w="57" w:type="dxa"/>
            </w:tcMar>
            <w:vAlign w:val="bottom"/>
          </w:tcPr>
          <w:p w14:paraId="33640E41" w14:textId="386C6948"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w:t>
            </w:r>
          </w:p>
        </w:tc>
        <w:tc>
          <w:tcPr>
            <w:tcW w:w="569" w:type="dxa"/>
            <w:tcBorders>
              <w:top w:val="single" w:sz="2" w:space="0" w:color="auto"/>
              <w:bottom w:val="single" w:sz="12" w:space="0" w:color="auto"/>
            </w:tcBorders>
            <w:tcMar>
              <w:left w:w="57" w:type="dxa"/>
              <w:right w:w="57" w:type="dxa"/>
            </w:tcMar>
            <w:vAlign w:val="bottom"/>
          </w:tcPr>
          <w:p w14:paraId="2083AAC2" w14:textId="444A8036" w:rsidR="001D4463" w:rsidRPr="00FB38E1" w:rsidRDefault="001D4463" w:rsidP="001D4463">
            <w:pPr>
              <w:jc w:val="right"/>
              <w:rPr>
                <w:rFonts w:ascii="Microsoft Sans Serif" w:hAnsi="Microsoft Sans Serif" w:cs="Microsoft Sans Serif"/>
                <w:b/>
                <w:bCs/>
                <w:sz w:val="8"/>
                <w:szCs w:val="8"/>
              </w:rPr>
            </w:pPr>
            <w:r w:rsidRPr="00FB38E1">
              <w:rPr>
                <w:rFonts w:ascii="Microsoft Sans Serif" w:hAnsi="Microsoft Sans Serif" w:cs="Microsoft Sans Serif"/>
                <w:b/>
                <w:bCs/>
                <w:sz w:val="8"/>
                <w:szCs w:val="8"/>
              </w:rPr>
              <w:t>150.700.718</w:t>
            </w:r>
          </w:p>
        </w:tc>
      </w:tr>
    </w:tbl>
    <w:p w14:paraId="769175D1" w14:textId="66A07C27" w:rsidR="00E727AB" w:rsidRPr="00FB38E1" w:rsidRDefault="00E727AB" w:rsidP="00794F20">
      <w:pPr>
        <w:tabs>
          <w:tab w:val="left" w:pos="284"/>
        </w:tabs>
        <w:spacing w:before="120"/>
        <w:rPr>
          <w:rFonts w:ascii="Microsoft Sans Serif" w:hAnsi="Microsoft Sans Serif" w:cs="Microsoft Sans Serif"/>
          <w:color w:val="404040" w:themeColor="text1" w:themeTint="BF"/>
          <w:sz w:val="13"/>
          <w:szCs w:val="13"/>
          <w:lang w:eastAsia="en-GB"/>
        </w:rPr>
      </w:pPr>
      <w:r w:rsidRPr="00FB38E1">
        <w:rPr>
          <w:rFonts w:ascii="Microsoft Sans Serif" w:hAnsi="Microsoft Sans Serif" w:cs="Microsoft Sans Serif"/>
          <w:color w:val="404040" w:themeColor="text1" w:themeTint="BF"/>
          <w:sz w:val="13"/>
          <w:szCs w:val="13"/>
          <w:lang w:eastAsia="en-GB"/>
        </w:rPr>
        <w:t>(*) TMS 27 kapsamındaki iştirak ve bağlı ortaklıklar dolayısıyla muhasebeleştirilen tutarları içermektedir.</w:t>
      </w:r>
    </w:p>
    <w:p w14:paraId="1C67C090" w14:textId="77777777" w:rsidR="00E727AB" w:rsidRPr="00FB38E1" w:rsidRDefault="00E727AB" w:rsidP="00E727AB">
      <w:pPr>
        <w:tabs>
          <w:tab w:val="left" w:pos="284"/>
        </w:tabs>
        <w:spacing w:before="120"/>
        <w:ind w:left="284" w:hanging="284"/>
        <w:rPr>
          <w:rFonts w:ascii="Microsoft Sans Serif" w:hAnsi="Microsoft Sans Serif" w:cs="Microsoft Sans Serif"/>
          <w:sz w:val="13"/>
          <w:szCs w:val="13"/>
          <w:lang w:eastAsia="en-GB"/>
        </w:rPr>
      </w:pPr>
    </w:p>
    <w:p w14:paraId="3732D5F5" w14:textId="77777777" w:rsidR="007D6882" w:rsidRPr="00FB38E1" w:rsidRDefault="007D6882" w:rsidP="00E727AB">
      <w:pPr>
        <w:tabs>
          <w:tab w:val="left" w:pos="284"/>
        </w:tabs>
        <w:spacing w:before="120"/>
        <w:ind w:left="284" w:hanging="284"/>
        <w:rPr>
          <w:rFonts w:ascii="Microsoft Sans Serif" w:hAnsi="Microsoft Sans Serif" w:cs="Microsoft Sans Serif"/>
          <w:sz w:val="13"/>
          <w:szCs w:val="13"/>
          <w:lang w:eastAsia="en-GB"/>
        </w:rPr>
        <w:sectPr w:rsidR="007D6882" w:rsidRPr="00FB38E1" w:rsidSect="000F4461">
          <w:headerReference w:type="default" r:id="rId41"/>
          <w:pgSz w:w="16840" w:h="11907" w:orient="landscape" w:code="9"/>
          <w:pgMar w:top="2127" w:right="1179" w:bottom="-862" w:left="862" w:header="578" w:footer="227" w:gutter="0"/>
          <w:cols w:space="708"/>
          <w:docGrid w:linePitch="360"/>
        </w:sect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5367"/>
        <w:gridCol w:w="567"/>
        <w:gridCol w:w="1562"/>
        <w:gridCol w:w="1698"/>
      </w:tblGrid>
      <w:tr w:rsidR="005D5803" w:rsidRPr="00FB38E1" w14:paraId="1B538305" w14:textId="77777777" w:rsidTr="00C87F83">
        <w:trPr>
          <w:trHeight w:val="167"/>
        </w:trPr>
        <w:tc>
          <w:tcPr>
            <w:tcW w:w="231" w:type="pct"/>
            <w:tcMar>
              <w:left w:w="28" w:type="dxa"/>
              <w:right w:w="28" w:type="dxa"/>
            </w:tcMar>
            <w:vAlign w:val="bottom"/>
          </w:tcPr>
          <w:p w14:paraId="63FC68BA" w14:textId="77777777" w:rsidR="005D5803" w:rsidRPr="00FB38E1" w:rsidRDefault="005D5803" w:rsidP="005D5803">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784" w:type="pct"/>
            <w:tcMar>
              <w:left w:w="28" w:type="dxa"/>
              <w:right w:w="28" w:type="dxa"/>
            </w:tcMar>
            <w:vAlign w:val="bottom"/>
          </w:tcPr>
          <w:p w14:paraId="654AA419" w14:textId="77777777" w:rsidR="005D5803" w:rsidRPr="00FB38E1" w:rsidRDefault="005D5803" w:rsidP="005D5803">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94" w:type="pct"/>
            <w:tcMar>
              <w:left w:w="28" w:type="dxa"/>
              <w:right w:w="28" w:type="dxa"/>
            </w:tcMar>
            <w:vAlign w:val="bottom"/>
          </w:tcPr>
          <w:p w14:paraId="7B864EEF" w14:textId="3AEBCD8D" w:rsidR="005D5803" w:rsidRPr="00FB38E1" w:rsidRDefault="005D5803" w:rsidP="005D5803">
            <w:pPr>
              <w:rPr>
                <w:rFonts w:ascii="Microsoft Sans Serif" w:hAnsi="Microsoft Sans Serif" w:cs="Microsoft Sans Serif"/>
                <w:sz w:val="12"/>
                <w:szCs w:val="12"/>
              </w:rPr>
            </w:pPr>
          </w:p>
        </w:tc>
        <w:tc>
          <w:tcPr>
            <w:tcW w:w="810" w:type="pct"/>
            <w:tcMar>
              <w:left w:w="28" w:type="dxa"/>
              <w:right w:w="28" w:type="dxa"/>
            </w:tcMar>
            <w:vAlign w:val="bottom"/>
          </w:tcPr>
          <w:p w14:paraId="5EF1288E" w14:textId="77777777" w:rsidR="005D5803" w:rsidRPr="00FB38E1" w:rsidRDefault="005D5803" w:rsidP="005D5803">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Bağımsız</w:t>
            </w:r>
          </w:p>
          <w:p w14:paraId="124BD889" w14:textId="64ADBC9B" w:rsidR="005D5803" w:rsidRPr="00FB38E1" w:rsidRDefault="005D5803" w:rsidP="005D5803">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Denetimden Geçmiş</w:t>
            </w:r>
          </w:p>
        </w:tc>
        <w:tc>
          <w:tcPr>
            <w:tcW w:w="881" w:type="pct"/>
            <w:vAlign w:val="bottom"/>
          </w:tcPr>
          <w:p w14:paraId="6800F077" w14:textId="77777777" w:rsidR="005D5803" w:rsidRPr="00FB38E1" w:rsidRDefault="005D5803" w:rsidP="005D5803">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Bağımsız</w:t>
            </w:r>
          </w:p>
          <w:p w14:paraId="69AFE0E4" w14:textId="0715E6B7" w:rsidR="005D5803" w:rsidRPr="00FB38E1" w:rsidRDefault="005D5803" w:rsidP="005D5803">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Denetimden Geçmiş</w:t>
            </w:r>
          </w:p>
        </w:tc>
      </w:tr>
      <w:tr w:rsidR="005D5803" w:rsidRPr="00FB38E1" w14:paraId="375C57FB" w14:textId="77777777" w:rsidTr="00C87F83">
        <w:trPr>
          <w:trHeight w:val="167"/>
        </w:trPr>
        <w:tc>
          <w:tcPr>
            <w:tcW w:w="231" w:type="pct"/>
            <w:tcMar>
              <w:left w:w="28" w:type="dxa"/>
              <w:right w:w="28" w:type="dxa"/>
            </w:tcMar>
            <w:vAlign w:val="bottom"/>
          </w:tcPr>
          <w:p w14:paraId="6DD6086B" w14:textId="77777777" w:rsidR="005D5803" w:rsidRPr="00FB38E1" w:rsidRDefault="005D5803" w:rsidP="005D5803">
            <w:pPr>
              <w:rPr>
                <w:rFonts w:ascii="Microsoft Sans Serif" w:hAnsi="Microsoft Sans Serif" w:cs="Microsoft Sans Serif"/>
                <w:sz w:val="12"/>
                <w:szCs w:val="12"/>
              </w:rPr>
            </w:pPr>
          </w:p>
        </w:tc>
        <w:tc>
          <w:tcPr>
            <w:tcW w:w="2784" w:type="pct"/>
            <w:tcMar>
              <w:left w:w="28" w:type="dxa"/>
              <w:right w:w="28" w:type="dxa"/>
            </w:tcMar>
            <w:vAlign w:val="bottom"/>
          </w:tcPr>
          <w:p w14:paraId="470DD427" w14:textId="77777777" w:rsidR="005D5803" w:rsidRPr="00FB38E1" w:rsidRDefault="005D5803" w:rsidP="005D5803">
            <w:pPr>
              <w:rPr>
                <w:rFonts w:ascii="Microsoft Sans Serif" w:hAnsi="Microsoft Sans Serif" w:cs="Microsoft Sans Serif"/>
                <w:sz w:val="12"/>
                <w:szCs w:val="12"/>
              </w:rPr>
            </w:pPr>
          </w:p>
        </w:tc>
        <w:tc>
          <w:tcPr>
            <w:tcW w:w="294" w:type="pct"/>
            <w:tcMar>
              <w:left w:w="28" w:type="dxa"/>
              <w:right w:w="28" w:type="dxa"/>
            </w:tcMar>
            <w:vAlign w:val="bottom"/>
          </w:tcPr>
          <w:p w14:paraId="7890A991" w14:textId="77777777" w:rsidR="005D5803" w:rsidRPr="00FB38E1" w:rsidRDefault="005D5803" w:rsidP="005D5803">
            <w:pPr>
              <w:rPr>
                <w:rFonts w:ascii="Microsoft Sans Serif" w:hAnsi="Microsoft Sans Serif" w:cs="Microsoft Sans Serif"/>
                <w:sz w:val="12"/>
                <w:szCs w:val="12"/>
              </w:rPr>
            </w:pPr>
          </w:p>
        </w:tc>
        <w:tc>
          <w:tcPr>
            <w:tcW w:w="810" w:type="pct"/>
            <w:tcMar>
              <w:left w:w="28" w:type="dxa"/>
              <w:right w:w="28" w:type="dxa"/>
            </w:tcMar>
            <w:vAlign w:val="bottom"/>
          </w:tcPr>
          <w:p w14:paraId="60C611DD" w14:textId="442D2CDB" w:rsidR="005D5803" w:rsidRPr="00FB38E1" w:rsidRDefault="005D5803" w:rsidP="005D5803">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CARİ DÖNEM</w:t>
            </w:r>
          </w:p>
        </w:tc>
        <w:tc>
          <w:tcPr>
            <w:tcW w:w="881" w:type="pct"/>
            <w:vAlign w:val="bottom"/>
          </w:tcPr>
          <w:p w14:paraId="29A84499" w14:textId="754859E6" w:rsidR="005D5803" w:rsidRPr="00FB38E1" w:rsidRDefault="005D5803" w:rsidP="005D5803">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ÖNCEKİ DÖNEM</w:t>
            </w:r>
          </w:p>
        </w:tc>
      </w:tr>
      <w:tr w:rsidR="008E062C" w:rsidRPr="00FB38E1" w14:paraId="7DE7CCBB" w14:textId="77777777" w:rsidTr="00525E73">
        <w:trPr>
          <w:trHeight w:val="167"/>
        </w:trPr>
        <w:tc>
          <w:tcPr>
            <w:tcW w:w="231" w:type="pct"/>
            <w:tcBorders>
              <w:bottom w:val="single" w:sz="12" w:space="0" w:color="auto"/>
            </w:tcBorders>
            <w:tcMar>
              <w:left w:w="28" w:type="dxa"/>
              <w:right w:w="28" w:type="dxa"/>
            </w:tcMar>
            <w:vAlign w:val="bottom"/>
          </w:tcPr>
          <w:p w14:paraId="6CA80D13" w14:textId="77777777" w:rsidR="008E062C" w:rsidRPr="00FB38E1" w:rsidRDefault="008E062C" w:rsidP="008E062C">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784" w:type="pct"/>
            <w:tcBorders>
              <w:bottom w:val="single" w:sz="12" w:space="0" w:color="auto"/>
            </w:tcBorders>
            <w:tcMar>
              <w:left w:w="28" w:type="dxa"/>
              <w:right w:w="28" w:type="dxa"/>
            </w:tcMar>
            <w:vAlign w:val="bottom"/>
          </w:tcPr>
          <w:p w14:paraId="060A8A64" w14:textId="77777777" w:rsidR="008E062C" w:rsidRPr="00FB38E1" w:rsidRDefault="008E062C" w:rsidP="008E062C">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294" w:type="pct"/>
            <w:tcBorders>
              <w:bottom w:val="single" w:sz="12" w:space="0" w:color="auto"/>
            </w:tcBorders>
            <w:tcMar>
              <w:left w:w="28" w:type="dxa"/>
              <w:right w:w="28" w:type="dxa"/>
            </w:tcMar>
            <w:vAlign w:val="bottom"/>
          </w:tcPr>
          <w:p w14:paraId="5D6BD4CD" w14:textId="2F8F5C5A" w:rsidR="008E062C" w:rsidRPr="00FB38E1" w:rsidRDefault="008E062C" w:rsidP="008E062C">
            <w:pPr>
              <w:jc w:val="cente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Dipnot</w:t>
            </w:r>
          </w:p>
        </w:tc>
        <w:tc>
          <w:tcPr>
            <w:tcW w:w="810" w:type="pct"/>
            <w:tcBorders>
              <w:bottom w:val="single" w:sz="12" w:space="0" w:color="auto"/>
            </w:tcBorders>
            <w:tcMar>
              <w:left w:w="28" w:type="dxa"/>
              <w:right w:w="28" w:type="dxa"/>
            </w:tcMar>
            <w:vAlign w:val="bottom"/>
          </w:tcPr>
          <w:p w14:paraId="0CCF9857" w14:textId="38CDF5CB" w:rsidR="008E062C" w:rsidRPr="00FB38E1" w:rsidRDefault="008E062C" w:rsidP="008E062C">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(01/01-31/12/2024)</w:t>
            </w:r>
          </w:p>
        </w:tc>
        <w:tc>
          <w:tcPr>
            <w:tcW w:w="881" w:type="pct"/>
            <w:tcBorders>
              <w:bottom w:val="single" w:sz="12" w:space="0" w:color="auto"/>
            </w:tcBorders>
            <w:vAlign w:val="bottom"/>
          </w:tcPr>
          <w:p w14:paraId="1313E93F" w14:textId="42233861" w:rsidR="008E062C" w:rsidRPr="00FB38E1" w:rsidRDefault="008E062C" w:rsidP="008E062C">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(01/01-31/12/2023)</w:t>
            </w:r>
          </w:p>
        </w:tc>
      </w:tr>
      <w:tr w:rsidR="008E062C" w:rsidRPr="00FB38E1" w14:paraId="2DA8E0A6" w14:textId="77777777" w:rsidTr="00C87F83">
        <w:trPr>
          <w:trHeight w:val="167"/>
        </w:trPr>
        <w:tc>
          <w:tcPr>
            <w:tcW w:w="231" w:type="pct"/>
            <w:tcBorders>
              <w:top w:val="single" w:sz="12" w:space="0" w:color="auto"/>
            </w:tcBorders>
            <w:tcMar>
              <w:left w:w="28" w:type="dxa"/>
              <w:right w:w="28" w:type="dxa"/>
            </w:tcMar>
            <w:vAlign w:val="bottom"/>
          </w:tcPr>
          <w:p w14:paraId="40A620A3" w14:textId="77777777" w:rsidR="008E062C" w:rsidRPr="00FB38E1" w:rsidRDefault="008E062C" w:rsidP="008E062C">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784" w:type="pct"/>
            <w:tcBorders>
              <w:top w:val="single" w:sz="12" w:space="0" w:color="auto"/>
            </w:tcBorders>
            <w:tcMar>
              <w:left w:w="28" w:type="dxa"/>
              <w:right w:w="28" w:type="dxa"/>
            </w:tcMar>
            <w:vAlign w:val="bottom"/>
          </w:tcPr>
          <w:p w14:paraId="403EED0C" w14:textId="77777777" w:rsidR="008E062C" w:rsidRPr="00FB38E1" w:rsidRDefault="008E062C" w:rsidP="008E062C">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94" w:type="pct"/>
            <w:tcBorders>
              <w:top w:val="single" w:sz="12" w:space="0" w:color="auto"/>
            </w:tcBorders>
            <w:tcMar>
              <w:left w:w="28" w:type="dxa"/>
              <w:right w:w="28" w:type="dxa"/>
            </w:tcMar>
            <w:vAlign w:val="bottom"/>
          </w:tcPr>
          <w:p w14:paraId="4918CB69" w14:textId="77777777" w:rsidR="008E062C" w:rsidRPr="00FB38E1" w:rsidRDefault="008E062C" w:rsidP="008E062C">
            <w:pPr>
              <w:rPr>
                <w:rFonts w:ascii="Microsoft Sans Serif" w:hAnsi="Microsoft Sans Serif" w:cs="Microsoft Sans Serif"/>
                <w:sz w:val="12"/>
                <w:szCs w:val="12"/>
              </w:rPr>
            </w:pPr>
          </w:p>
        </w:tc>
        <w:tc>
          <w:tcPr>
            <w:tcW w:w="810" w:type="pct"/>
            <w:tcBorders>
              <w:top w:val="single" w:sz="12" w:space="0" w:color="auto"/>
            </w:tcBorders>
            <w:tcMar>
              <w:left w:w="28" w:type="dxa"/>
              <w:right w:w="28" w:type="dxa"/>
            </w:tcMar>
            <w:vAlign w:val="bottom"/>
          </w:tcPr>
          <w:p w14:paraId="5740641E" w14:textId="77777777" w:rsidR="008E062C" w:rsidRPr="00FB38E1" w:rsidRDefault="008E062C" w:rsidP="008E062C">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tcBorders>
              <w:top w:val="single" w:sz="12" w:space="0" w:color="auto"/>
            </w:tcBorders>
            <w:vAlign w:val="bottom"/>
          </w:tcPr>
          <w:p w14:paraId="5C4DBF18" w14:textId="77777777" w:rsidR="008E062C" w:rsidRPr="00FB38E1" w:rsidRDefault="008E062C" w:rsidP="008E062C">
            <w:pPr>
              <w:rPr>
                <w:rFonts w:ascii="Microsoft Sans Serif" w:hAnsi="Microsoft Sans Serif" w:cs="Microsoft Sans Serif"/>
                <w:sz w:val="12"/>
                <w:szCs w:val="12"/>
              </w:rPr>
            </w:pPr>
          </w:p>
        </w:tc>
      </w:tr>
      <w:tr w:rsidR="008E062C" w:rsidRPr="00FB38E1" w14:paraId="5E1E2A12" w14:textId="77777777" w:rsidTr="00C87F83">
        <w:trPr>
          <w:trHeight w:val="167"/>
        </w:trPr>
        <w:tc>
          <w:tcPr>
            <w:tcW w:w="231" w:type="pct"/>
            <w:tcMar>
              <w:left w:w="28" w:type="dxa"/>
              <w:right w:w="28" w:type="dxa"/>
            </w:tcMar>
            <w:vAlign w:val="bottom"/>
          </w:tcPr>
          <w:p w14:paraId="42BF0D7B" w14:textId="77777777" w:rsidR="008E062C" w:rsidRPr="00FB38E1" w:rsidRDefault="008E062C" w:rsidP="008E062C">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A.</w:t>
            </w:r>
          </w:p>
        </w:tc>
        <w:tc>
          <w:tcPr>
            <w:tcW w:w="2784" w:type="pct"/>
            <w:tcMar>
              <w:left w:w="28" w:type="dxa"/>
              <w:right w:w="28" w:type="dxa"/>
            </w:tcMar>
            <w:vAlign w:val="bottom"/>
          </w:tcPr>
          <w:p w14:paraId="367504F8" w14:textId="77777777" w:rsidR="008E062C" w:rsidRPr="00FB38E1" w:rsidRDefault="008E062C" w:rsidP="008E062C">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BANKACILIK FAALİYETLERİNE İLİŞKİN NAKİT AKIMLARI</w:t>
            </w:r>
          </w:p>
        </w:tc>
        <w:tc>
          <w:tcPr>
            <w:tcW w:w="294" w:type="pct"/>
            <w:tcMar>
              <w:left w:w="28" w:type="dxa"/>
              <w:right w:w="28" w:type="dxa"/>
            </w:tcMar>
            <w:vAlign w:val="bottom"/>
          </w:tcPr>
          <w:p w14:paraId="424C7D67" w14:textId="29D6A996" w:rsidR="008E062C" w:rsidRPr="00FB38E1" w:rsidRDefault="008E062C" w:rsidP="008E062C">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10" w:type="pct"/>
            <w:tcMar>
              <w:left w:w="28" w:type="dxa"/>
              <w:right w:w="28" w:type="dxa"/>
            </w:tcMar>
            <w:vAlign w:val="bottom"/>
          </w:tcPr>
          <w:p w14:paraId="0B73B40F" w14:textId="77777777" w:rsidR="008E062C" w:rsidRPr="00FB38E1" w:rsidRDefault="008E062C" w:rsidP="008E062C">
            <w:pPr>
              <w:jc w:val="cente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vAlign w:val="bottom"/>
          </w:tcPr>
          <w:p w14:paraId="70CF5C8B" w14:textId="77777777" w:rsidR="008E062C" w:rsidRPr="00FB38E1" w:rsidRDefault="008E062C" w:rsidP="008E062C">
            <w:pPr>
              <w:jc w:val="center"/>
              <w:rPr>
                <w:rFonts w:ascii="Microsoft Sans Serif" w:hAnsi="Microsoft Sans Serif" w:cs="Microsoft Sans Serif"/>
                <w:sz w:val="12"/>
                <w:szCs w:val="12"/>
              </w:rPr>
            </w:pPr>
          </w:p>
        </w:tc>
      </w:tr>
      <w:tr w:rsidR="008E062C" w:rsidRPr="00FB38E1" w14:paraId="48435DFC" w14:textId="77777777" w:rsidTr="00C87F83">
        <w:trPr>
          <w:trHeight w:val="167"/>
        </w:trPr>
        <w:tc>
          <w:tcPr>
            <w:tcW w:w="231" w:type="pct"/>
            <w:tcMar>
              <w:left w:w="28" w:type="dxa"/>
              <w:right w:w="28" w:type="dxa"/>
            </w:tcMar>
            <w:vAlign w:val="bottom"/>
          </w:tcPr>
          <w:p w14:paraId="4640CBD5" w14:textId="77777777" w:rsidR="008E062C" w:rsidRPr="00FB38E1" w:rsidRDefault="008E062C" w:rsidP="008E062C">
            <w:pPr>
              <w:rPr>
                <w:rFonts w:ascii="Microsoft Sans Serif" w:hAnsi="Microsoft Sans Serif" w:cs="Microsoft Sans Serif"/>
                <w:sz w:val="12"/>
                <w:szCs w:val="12"/>
              </w:rPr>
            </w:pPr>
          </w:p>
        </w:tc>
        <w:tc>
          <w:tcPr>
            <w:tcW w:w="2784" w:type="pct"/>
            <w:tcMar>
              <w:left w:w="28" w:type="dxa"/>
              <w:right w:w="28" w:type="dxa"/>
            </w:tcMar>
            <w:vAlign w:val="bottom"/>
          </w:tcPr>
          <w:p w14:paraId="3ED8754F" w14:textId="77777777" w:rsidR="008E062C" w:rsidRPr="00FB38E1" w:rsidRDefault="008E062C" w:rsidP="008E062C">
            <w:pPr>
              <w:rPr>
                <w:rFonts w:ascii="Microsoft Sans Serif" w:hAnsi="Microsoft Sans Serif" w:cs="Microsoft Sans Serif"/>
                <w:b/>
                <w:bCs/>
                <w:sz w:val="12"/>
                <w:szCs w:val="12"/>
              </w:rPr>
            </w:pPr>
          </w:p>
        </w:tc>
        <w:tc>
          <w:tcPr>
            <w:tcW w:w="294" w:type="pct"/>
            <w:tcMar>
              <w:left w:w="28" w:type="dxa"/>
              <w:right w:w="28" w:type="dxa"/>
            </w:tcMar>
            <w:vAlign w:val="bottom"/>
          </w:tcPr>
          <w:p w14:paraId="111923C1" w14:textId="2B349E82" w:rsidR="008E062C" w:rsidRPr="00FB38E1" w:rsidRDefault="008E062C" w:rsidP="008E062C">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10" w:type="pct"/>
            <w:tcMar>
              <w:left w:w="28" w:type="dxa"/>
              <w:right w:w="28" w:type="dxa"/>
            </w:tcMar>
            <w:vAlign w:val="bottom"/>
          </w:tcPr>
          <w:p w14:paraId="0C7D649B" w14:textId="77777777" w:rsidR="008E062C" w:rsidRPr="00FB38E1" w:rsidRDefault="008E062C" w:rsidP="008E062C">
            <w:pPr>
              <w:jc w:val="cente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vAlign w:val="bottom"/>
          </w:tcPr>
          <w:p w14:paraId="41893858" w14:textId="77777777" w:rsidR="008E062C" w:rsidRPr="00FB38E1" w:rsidRDefault="008E062C" w:rsidP="008E062C">
            <w:pPr>
              <w:jc w:val="center"/>
              <w:rPr>
                <w:rFonts w:ascii="Microsoft Sans Serif" w:hAnsi="Microsoft Sans Serif" w:cs="Microsoft Sans Serif"/>
                <w:sz w:val="12"/>
                <w:szCs w:val="12"/>
              </w:rPr>
            </w:pPr>
          </w:p>
        </w:tc>
      </w:tr>
      <w:tr w:rsidR="00B44E2B" w:rsidRPr="00FB38E1" w14:paraId="39487DA9" w14:textId="77777777" w:rsidTr="00140550">
        <w:trPr>
          <w:trHeight w:val="167"/>
        </w:trPr>
        <w:tc>
          <w:tcPr>
            <w:tcW w:w="231" w:type="pct"/>
            <w:tcMar>
              <w:left w:w="28" w:type="dxa"/>
              <w:right w:w="28" w:type="dxa"/>
            </w:tcMar>
            <w:vAlign w:val="bottom"/>
          </w:tcPr>
          <w:p w14:paraId="5B797A77"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1.1</w:t>
            </w:r>
          </w:p>
        </w:tc>
        <w:tc>
          <w:tcPr>
            <w:tcW w:w="2784" w:type="pct"/>
            <w:tcMar>
              <w:left w:w="28" w:type="dxa"/>
              <w:right w:w="28" w:type="dxa"/>
            </w:tcMar>
            <w:vAlign w:val="bottom"/>
          </w:tcPr>
          <w:p w14:paraId="5E5C12FA"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Bankacılık Faaliyet Konusu Varlık ve Yükümlülüklerdeki Değişim Öncesi Faaliyet Kârı (+)</w:t>
            </w:r>
          </w:p>
        </w:tc>
        <w:tc>
          <w:tcPr>
            <w:tcW w:w="294" w:type="pct"/>
            <w:tcMar>
              <w:left w:w="28" w:type="dxa"/>
              <w:right w:w="28" w:type="dxa"/>
            </w:tcMar>
            <w:vAlign w:val="bottom"/>
          </w:tcPr>
          <w:p w14:paraId="0D50E24E"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730689DF" w14:textId="408A699D"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38.034.436</w:t>
            </w:r>
          </w:p>
        </w:tc>
        <w:tc>
          <w:tcPr>
            <w:tcW w:w="881" w:type="pct"/>
            <w:shd w:val="clear" w:color="auto" w:fill="auto"/>
            <w:vAlign w:val="bottom"/>
          </w:tcPr>
          <w:p w14:paraId="5CE43169" w14:textId="17C20482"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49.400.002</w:t>
            </w:r>
          </w:p>
        </w:tc>
      </w:tr>
      <w:tr w:rsidR="00B44E2B" w:rsidRPr="00FB38E1" w14:paraId="7A1B89B6" w14:textId="77777777" w:rsidTr="00140550">
        <w:trPr>
          <w:trHeight w:val="167"/>
        </w:trPr>
        <w:tc>
          <w:tcPr>
            <w:tcW w:w="231" w:type="pct"/>
            <w:tcMar>
              <w:left w:w="28" w:type="dxa"/>
              <w:right w:w="28" w:type="dxa"/>
            </w:tcMar>
            <w:vAlign w:val="bottom"/>
          </w:tcPr>
          <w:p w14:paraId="2D09812E" w14:textId="77777777" w:rsidR="00B44E2B" w:rsidRPr="00FB38E1" w:rsidRDefault="00B44E2B" w:rsidP="00B44E2B">
            <w:pPr>
              <w:rPr>
                <w:rFonts w:ascii="Microsoft Sans Serif" w:hAnsi="Microsoft Sans Serif" w:cs="Microsoft Sans Serif"/>
                <w:sz w:val="12"/>
                <w:szCs w:val="12"/>
              </w:rPr>
            </w:pPr>
          </w:p>
        </w:tc>
        <w:tc>
          <w:tcPr>
            <w:tcW w:w="2784" w:type="pct"/>
            <w:tcMar>
              <w:left w:w="28" w:type="dxa"/>
              <w:right w:w="28" w:type="dxa"/>
            </w:tcMar>
            <w:vAlign w:val="bottom"/>
          </w:tcPr>
          <w:p w14:paraId="60AD91CF" w14:textId="77777777" w:rsidR="00B44E2B" w:rsidRPr="00FB38E1" w:rsidRDefault="00B44E2B" w:rsidP="00B44E2B">
            <w:pPr>
              <w:rPr>
                <w:rFonts w:ascii="Microsoft Sans Serif" w:hAnsi="Microsoft Sans Serif" w:cs="Microsoft Sans Serif"/>
                <w:sz w:val="12"/>
                <w:szCs w:val="12"/>
              </w:rPr>
            </w:pPr>
          </w:p>
        </w:tc>
        <w:tc>
          <w:tcPr>
            <w:tcW w:w="294" w:type="pct"/>
            <w:tcMar>
              <w:left w:w="28" w:type="dxa"/>
              <w:right w:w="28" w:type="dxa"/>
            </w:tcMar>
            <w:vAlign w:val="bottom"/>
          </w:tcPr>
          <w:p w14:paraId="7DBF92B4"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96C01CC" w14:textId="11D6888A"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shd w:val="clear" w:color="auto" w:fill="auto"/>
            <w:vAlign w:val="bottom"/>
          </w:tcPr>
          <w:p w14:paraId="7F8DB311" w14:textId="1C042FEE"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 </w:t>
            </w:r>
          </w:p>
        </w:tc>
      </w:tr>
      <w:tr w:rsidR="00B44E2B" w:rsidRPr="00FB38E1" w14:paraId="6FA3A5D8" w14:textId="77777777" w:rsidTr="00140550">
        <w:trPr>
          <w:trHeight w:val="167"/>
        </w:trPr>
        <w:tc>
          <w:tcPr>
            <w:tcW w:w="231" w:type="pct"/>
            <w:tcMar>
              <w:left w:w="28" w:type="dxa"/>
              <w:right w:w="28" w:type="dxa"/>
            </w:tcMar>
            <w:vAlign w:val="bottom"/>
          </w:tcPr>
          <w:p w14:paraId="0D7EF2BF"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1.1.1</w:t>
            </w:r>
          </w:p>
        </w:tc>
        <w:tc>
          <w:tcPr>
            <w:tcW w:w="2784" w:type="pct"/>
            <w:tcMar>
              <w:left w:w="28" w:type="dxa"/>
              <w:right w:w="28" w:type="dxa"/>
            </w:tcMar>
            <w:vAlign w:val="bottom"/>
          </w:tcPr>
          <w:p w14:paraId="5A3344F4"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Alınan Faizler (+)</w:t>
            </w:r>
          </w:p>
        </w:tc>
        <w:tc>
          <w:tcPr>
            <w:tcW w:w="294" w:type="pct"/>
            <w:tcMar>
              <w:left w:w="28" w:type="dxa"/>
              <w:right w:w="28" w:type="dxa"/>
            </w:tcMar>
            <w:vAlign w:val="bottom"/>
          </w:tcPr>
          <w:p w14:paraId="7BE92DFD"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B962B96" w14:textId="48F8BB05"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208.784.201</w:t>
            </w:r>
          </w:p>
        </w:tc>
        <w:tc>
          <w:tcPr>
            <w:tcW w:w="881" w:type="pct"/>
            <w:shd w:val="clear" w:color="auto" w:fill="auto"/>
            <w:vAlign w:val="bottom"/>
          </w:tcPr>
          <w:p w14:paraId="0B12E9E5" w14:textId="509DB815"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84.085.704</w:t>
            </w:r>
          </w:p>
        </w:tc>
      </w:tr>
      <w:tr w:rsidR="00B44E2B" w:rsidRPr="00FB38E1" w14:paraId="7B4B69A3" w14:textId="77777777" w:rsidTr="00140550">
        <w:trPr>
          <w:trHeight w:val="167"/>
        </w:trPr>
        <w:tc>
          <w:tcPr>
            <w:tcW w:w="231" w:type="pct"/>
            <w:tcMar>
              <w:left w:w="28" w:type="dxa"/>
              <w:right w:w="28" w:type="dxa"/>
            </w:tcMar>
            <w:vAlign w:val="bottom"/>
          </w:tcPr>
          <w:p w14:paraId="741E3D63"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1.1.2</w:t>
            </w:r>
          </w:p>
        </w:tc>
        <w:tc>
          <w:tcPr>
            <w:tcW w:w="2784" w:type="pct"/>
            <w:tcMar>
              <w:left w:w="28" w:type="dxa"/>
              <w:right w:w="28" w:type="dxa"/>
            </w:tcMar>
            <w:vAlign w:val="bottom"/>
          </w:tcPr>
          <w:p w14:paraId="4725EAC9"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Ödenen Faizler (-)</w:t>
            </w:r>
          </w:p>
        </w:tc>
        <w:tc>
          <w:tcPr>
            <w:tcW w:w="294" w:type="pct"/>
            <w:tcMar>
              <w:left w:w="28" w:type="dxa"/>
              <w:right w:w="28" w:type="dxa"/>
            </w:tcMar>
            <w:vAlign w:val="bottom"/>
          </w:tcPr>
          <w:p w14:paraId="14AD098C"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4D54023F" w14:textId="68D287EC"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198.959.167</w:t>
            </w:r>
          </w:p>
        </w:tc>
        <w:tc>
          <w:tcPr>
            <w:tcW w:w="881" w:type="pct"/>
            <w:shd w:val="clear" w:color="auto" w:fill="auto"/>
            <w:vAlign w:val="bottom"/>
          </w:tcPr>
          <w:p w14:paraId="2AE7022E" w14:textId="566FD181"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60.062.033</w:t>
            </w:r>
          </w:p>
        </w:tc>
      </w:tr>
      <w:tr w:rsidR="00B44E2B" w:rsidRPr="00FB38E1" w14:paraId="5EE4D6A5" w14:textId="77777777" w:rsidTr="00140550">
        <w:trPr>
          <w:trHeight w:val="167"/>
        </w:trPr>
        <w:tc>
          <w:tcPr>
            <w:tcW w:w="231" w:type="pct"/>
            <w:tcMar>
              <w:left w:w="28" w:type="dxa"/>
              <w:right w:w="28" w:type="dxa"/>
            </w:tcMar>
            <w:vAlign w:val="bottom"/>
          </w:tcPr>
          <w:p w14:paraId="172084A2"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1.1.3</w:t>
            </w:r>
          </w:p>
        </w:tc>
        <w:tc>
          <w:tcPr>
            <w:tcW w:w="2784" w:type="pct"/>
            <w:tcMar>
              <w:left w:w="28" w:type="dxa"/>
              <w:right w:w="28" w:type="dxa"/>
            </w:tcMar>
            <w:vAlign w:val="bottom"/>
          </w:tcPr>
          <w:p w14:paraId="558CFC6A"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Alınan Temettüler (+)</w:t>
            </w:r>
          </w:p>
        </w:tc>
        <w:tc>
          <w:tcPr>
            <w:tcW w:w="294" w:type="pct"/>
            <w:tcMar>
              <w:left w:w="28" w:type="dxa"/>
              <w:right w:w="28" w:type="dxa"/>
            </w:tcMar>
            <w:vAlign w:val="bottom"/>
          </w:tcPr>
          <w:p w14:paraId="1CBC45E0"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7DD17445" w14:textId="1A34B724"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10.574</w:t>
            </w:r>
          </w:p>
        </w:tc>
        <w:tc>
          <w:tcPr>
            <w:tcW w:w="881" w:type="pct"/>
            <w:shd w:val="clear" w:color="auto" w:fill="auto"/>
            <w:vAlign w:val="bottom"/>
          </w:tcPr>
          <w:p w14:paraId="6766695C" w14:textId="173D54A2"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7.371</w:t>
            </w:r>
          </w:p>
        </w:tc>
      </w:tr>
      <w:tr w:rsidR="00B44E2B" w:rsidRPr="00FB38E1" w14:paraId="11402473" w14:textId="77777777" w:rsidTr="00140550">
        <w:trPr>
          <w:trHeight w:val="167"/>
        </w:trPr>
        <w:tc>
          <w:tcPr>
            <w:tcW w:w="231" w:type="pct"/>
            <w:tcMar>
              <w:left w:w="28" w:type="dxa"/>
              <w:right w:w="28" w:type="dxa"/>
            </w:tcMar>
            <w:vAlign w:val="bottom"/>
          </w:tcPr>
          <w:p w14:paraId="0C0B6B2F"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1.1.4</w:t>
            </w:r>
          </w:p>
        </w:tc>
        <w:tc>
          <w:tcPr>
            <w:tcW w:w="2784" w:type="pct"/>
            <w:tcMar>
              <w:left w:w="28" w:type="dxa"/>
              <w:right w:w="28" w:type="dxa"/>
            </w:tcMar>
            <w:vAlign w:val="bottom"/>
          </w:tcPr>
          <w:p w14:paraId="2D1BAB7D"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Alınan Ücret ve Komisyonlar (+)</w:t>
            </w:r>
          </w:p>
        </w:tc>
        <w:tc>
          <w:tcPr>
            <w:tcW w:w="294" w:type="pct"/>
            <w:tcMar>
              <w:left w:w="28" w:type="dxa"/>
              <w:right w:w="28" w:type="dxa"/>
            </w:tcMar>
            <w:vAlign w:val="bottom"/>
          </w:tcPr>
          <w:p w14:paraId="198EA3D8"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1030493F" w14:textId="2C4CCC03"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51.337.926</w:t>
            </w:r>
          </w:p>
        </w:tc>
        <w:tc>
          <w:tcPr>
            <w:tcW w:w="881" w:type="pct"/>
            <w:shd w:val="clear" w:color="auto" w:fill="auto"/>
            <w:vAlign w:val="bottom"/>
          </w:tcPr>
          <w:p w14:paraId="2776BD12" w14:textId="298C8EA2"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19.858.661</w:t>
            </w:r>
          </w:p>
        </w:tc>
      </w:tr>
      <w:tr w:rsidR="00B44E2B" w:rsidRPr="00FB38E1" w14:paraId="658D4BAE" w14:textId="77777777" w:rsidTr="00140550">
        <w:trPr>
          <w:trHeight w:val="167"/>
        </w:trPr>
        <w:tc>
          <w:tcPr>
            <w:tcW w:w="231" w:type="pct"/>
            <w:tcMar>
              <w:left w:w="28" w:type="dxa"/>
              <w:right w:w="28" w:type="dxa"/>
            </w:tcMar>
            <w:vAlign w:val="bottom"/>
          </w:tcPr>
          <w:p w14:paraId="64C2F923"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1.1.5</w:t>
            </w:r>
          </w:p>
        </w:tc>
        <w:tc>
          <w:tcPr>
            <w:tcW w:w="2784" w:type="pct"/>
            <w:tcMar>
              <w:left w:w="28" w:type="dxa"/>
              <w:right w:w="28" w:type="dxa"/>
            </w:tcMar>
            <w:vAlign w:val="bottom"/>
          </w:tcPr>
          <w:p w14:paraId="26DC97BF"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Elde Edilen Diğer Kazançlar (+)</w:t>
            </w:r>
          </w:p>
        </w:tc>
        <w:tc>
          <w:tcPr>
            <w:tcW w:w="294" w:type="pct"/>
            <w:tcMar>
              <w:left w:w="28" w:type="dxa"/>
              <w:right w:w="28" w:type="dxa"/>
            </w:tcMar>
            <w:vAlign w:val="bottom"/>
          </w:tcPr>
          <w:p w14:paraId="77B640AB"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25DBC880" w14:textId="14DF5F09"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20.490.459</w:t>
            </w:r>
          </w:p>
        </w:tc>
        <w:tc>
          <w:tcPr>
            <w:tcW w:w="881" w:type="pct"/>
            <w:shd w:val="clear" w:color="auto" w:fill="auto"/>
            <w:vAlign w:val="bottom"/>
          </w:tcPr>
          <w:p w14:paraId="7BA78B05" w14:textId="4F4DC4B7"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26.766.316</w:t>
            </w:r>
          </w:p>
        </w:tc>
      </w:tr>
      <w:tr w:rsidR="00B44E2B" w:rsidRPr="00FB38E1" w14:paraId="5AB6BA3E" w14:textId="77777777" w:rsidTr="00140550">
        <w:trPr>
          <w:trHeight w:val="167"/>
        </w:trPr>
        <w:tc>
          <w:tcPr>
            <w:tcW w:w="231" w:type="pct"/>
            <w:tcMar>
              <w:left w:w="28" w:type="dxa"/>
              <w:right w:w="28" w:type="dxa"/>
            </w:tcMar>
            <w:vAlign w:val="bottom"/>
          </w:tcPr>
          <w:p w14:paraId="789D3EA1"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1.1.6</w:t>
            </w:r>
          </w:p>
        </w:tc>
        <w:tc>
          <w:tcPr>
            <w:tcW w:w="2784" w:type="pct"/>
            <w:tcMar>
              <w:left w:w="28" w:type="dxa"/>
              <w:right w:w="28" w:type="dxa"/>
            </w:tcMar>
            <w:vAlign w:val="bottom"/>
          </w:tcPr>
          <w:p w14:paraId="4378A052"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Zarar Olarak Muhasebeleştirilen Donuk Alacaklardan Tahsilatlar (+)</w:t>
            </w:r>
          </w:p>
        </w:tc>
        <w:tc>
          <w:tcPr>
            <w:tcW w:w="294" w:type="pct"/>
            <w:tcMar>
              <w:left w:w="28" w:type="dxa"/>
              <w:right w:w="28" w:type="dxa"/>
            </w:tcMar>
            <w:vAlign w:val="bottom"/>
          </w:tcPr>
          <w:p w14:paraId="05AB511E"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1853B1E2" w14:textId="34790E13"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16.443.005</w:t>
            </w:r>
          </w:p>
        </w:tc>
        <w:tc>
          <w:tcPr>
            <w:tcW w:w="881" w:type="pct"/>
            <w:shd w:val="clear" w:color="auto" w:fill="auto"/>
            <w:vAlign w:val="bottom"/>
          </w:tcPr>
          <w:p w14:paraId="5DDBF79A" w14:textId="5E3A5DF1"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4.522.975</w:t>
            </w:r>
          </w:p>
        </w:tc>
      </w:tr>
      <w:tr w:rsidR="00B44E2B" w:rsidRPr="00FB38E1" w14:paraId="531CB7DD" w14:textId="77777777" w:rsidTr="00140550">
        <w:trPr>
          <w:trHeight w:val="167"/>
        </w:trPr>
        <w:tc>
          <w:tcPr>
            <w:tcW w:w="231" w:type="pct"/>
            <w:tcMar>
              <w:left w:w="28" w:type="dxa"/>
              <w:right w:w="28" w:type="dxa"/>
            </w:tcMar>
            <w:vAlign w:val="bottom"/>
          </w:tcPr>
          <w:p w14:paraId="2F13BA8F"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1.1.7</w:t>
            </w:r>
          </w:p>
        </w:tc>
        <w:tc>
          <w:tcPr>
            <w:tcW w:w="2784" w:type="pct"/>
            <w:tcMar>
              <w:left w:w="28" w:type="dxa"/>
              <w:right w:w="28" w:type="dxa"/>
            </w:tcMar>
            <w:vAlign w:val="bottom"/>
          </w:tcPr>
          <w:p w14:paraId="22E8D838"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Personele ve Hizmet Tedarik Edenlere Yapılan Nakit Ödemeler (-)</w:t>
            </w:r>
          </w:p>
        </w:tc>
        <w:tc>
          <w:tcPr>
            <w:tcW w:w="294" w:type="pct"/>
            <w:tcMar>
              <w:left w:w="28" w:type="dxa"/>
              <w:right w:w="28" w:type="dxa"/>
            </w:tcMar>
            <w:vAlign w:val="bottom"/>
          </w:tcPr>
          <w:p w14:paraId="59BB8EC5"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0B60FEC6" w14:textId="471884CD"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16.545.184</w:t>
            </w:r>
          </w:p>
        </w:tc>
        <w:tc>
          <w:tcPr>
            <w:tcW w:w="881" w:type="pct"/>
            <w:shd w:val="clear" w:color="auto" w:fill="auto"/>
            <w:vAlign w:val="bottom"/>
          </w:tcPr>
          <w:p w14:paraId="231AB84A" w14:textId="36A10747"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8.823.633</w:t>
            </w:r>
          </w:p>
        </w:tc>
      </w:tr>
      <w:tr w:rsidR="00B44E2B" w:rsidRPr="00FB38E1" w14:paraId="33990F8F" w14:textId="77777777" w:rsidTr="00140550">
        <w:trPr>
          <w:trHeight w:val="167"/>
        </w:trPr>
        <w:tc>
          <w:tcPr>
            <w:tcW w:w="231" w:type="pct"/>
            <w:tcMar>
              <w:left w:w="28" w:type="dxa"/>
              <w:right w:w="28" w:type="dxa"/>
            </w:tcMar>
            <w:vAlign w:val="bottom"/>
          </w:tcPr>
          <w:p w14:paraId="0FC66FFB"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1.1.8</w:t>
            </w:r>
          </w:p>
        </w:tc>
        <w:tc>
          <w:tcPr>
            <w:tcW w:w="2784" w:type="pct"/>
            <w:tcMar>
              <w:left w:w="28" w:type="dxa"/>
              <w:right w:w="28" w:type="dxa"/>
            </w:tcMar>
            <w:vAlign w:val="bottom"/>
          </w:tcPr>
          <w:p w14:paraId="4AC2A9BA"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Ödenen Vergiler (-)</w:t>
            </w:r>
          </w:p>
        </w:tc>
        <w:tc>
          <w:tcPr>
            <w:tcW w:w="294" w:type="pct"/>
            <w:tcMar>
              <w:left w:w="28" w:type="dxa"/>
              <w:right w:w="28" w:type="dxa"/>
            </w:tcMar>
            <w:vAlign w:val="bottom"/>
          </w:tcPr>
          <w:p w14:paraId="28F63198"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07D952B6" w14:textId="5974BAEC"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7.516.377</w:t>
            </w:r>
          </w:p>
        </w:tc>
        <w:tc>
          <w:tcPr>
            <w:tcW w:w="881" w:type="pct"/>
            <w:shd w:val="clear" w:color="auto" w:fill="auto"/>
            <w:vAlign w:val="bottom"/>
          </w:tcPr>
          <w:p w14:paraId="3746D653" w14:textId="6B65767B"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3.701.335</w:t>
            </w:r>
          </w:p>
        </w:tc>
      </w:tr>
      <w:tr w:rsidR="00B44E2B" w:rsidRPr="00FB38E1" w14:paraId="2A68FFA7" w14:textId="77777777" w:rsidTr="00140550">
        <w:trPr>
          <w:trHeight w:val="167"/>
        </w:trPr>
        <w:tc>
          <w:tcPr>
            <w:tcW w:w="231" w:type="pct"/>
            <w:tcMar>
              <w:left w:w="28" w:type="dxa"/>
              <w:right w:w="28" w:type="dxa"/>
            </w:tcMar>
            <w:vAlign w:val="bottom"/>
          </w:tcPr>
          <w:p w14:paraId="11F6BFE3"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1.1.9</w:t>
            </w:r>
          </w:p>
        </w:tc>
        <w:tc>
          <w:tcPr>
            <w:tcW w:w="2784" w:type="pct"/>
            <w:tcMar>
              <w:left w:w="28" w:type="dxa"/>
              <w:right w:w="28" w:type="dxa"/>
            </w:tcMar>
            <w:vAlign w:val="bottom"/>
          </w:tcPr>
          <w:p w14:paraId="422C2043"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w:t>
            </w:r>
          </w:p>
        </w:tc>
        <w:tc>
          <w:tcPr>
            <w:tcW w:w="294" w:type="pct"/>
            <w:tcMar>
              <w:left w:w="28" w:type="dxa"/>
              <w:right w:w="28" w:type="dxa"/>
            </w:tcMar>
            <w:vAlign w:val="bottom"/>
          </w:tcPr>
          <w:p w14:paraId="31DE780B" w14:textId="1CB1B1DA"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(5.VI.c)</w:t>
            </w:r>
          </w:p>
        </w:tc>
        <w:tc>
          <w:tcPr>
            <w:tcW w:w="810" w:type="pct"/>
            <w:tcMar>
              <w:left w:w="28" w:type="dxa"/>
              <w:right w:w="28" w:type="dxa"/>
            </w:tcMar>
            <w:vAlign w:val="bottom"/>
          </w:tcPr>
          <w:p w14:paraId="3EAFFF55" w14:textId="5691BE00"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(36.011.001)</w:t>
            </w:r>
          </w:p>
        </w:tc>
        <w:tc>
          <w:tcPr>
            <w:tcW w:w="881" w:type="pct"/>
            <w:shd w:val="clear" w:color="auto" w:fill="auto"/>
            <w:vAlign w:val="bottom"/>
          </w:tcPr>
          <w:p w14:paraId="00E348B5" w14:textId="632E83CC"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(13.254.024)</w:t>
            </w:r>
          </w:p>
        </w:tc>
      </w:tr>
      <w:tr w:rsidR="00B44E2B" w:rsidRPr="00FB38E1" w14:paraId="7D127D53" w14:textId="77777777" w:rsidTr="00140550">
        <w:trPr>
          <w:trHeight w:val="167"/>
        </w:trPr>
        <w:tc>
          <w:tcPr>
            <w:tcW w:w="231" w:type="pct"/>
            <w:tcMar>
              <w:left w:w="28" w:type="dxa"/>
              <w:right w:w="28" w:type="dxa"/>
            </w:tcMar>
            <w:vAlign w:val="bottom"/>
          </w:tcPr>
          <w:p w14:paraId="1924707B"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784" w:type="pct"/>
            <w:tcMar>
              <w:left w:w="28" w:type="dxa"/>
              <w:right w:w="28" w:type="dxa"/>
            </w:tcMar>
            <w:vAlign w:val="bottom"/>
          </w:tcPr>
          <w:p w14:paraId="25FBD040"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94" w:type="pct"/>
            <w:tcMar>
              <w:left w:w="28" w:type="dxa"/>
              <w:right w:w="28" w:type="dxa"/>
            </w:tcMar>
            <w:vAlign w:val="bottom"/>
          </w:tcPr>
          <w:p w14:paraId="4870F3DD"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04847DB" w14:textId="2CC77580"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shd w:val="clear" w:color="auto" w:fill="auto"/>
            <w:vAlign w:val="bottom"/>
          </w:tcPr>
          <w:p w14:paraId="5FF96131" w14:textId="638FE259"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 </w:t>
            </w:r>
          </w:p>
        </w:tc>
      </w:tr>
      <w:tr w:rsidR="00B44E2B" w:rsidRPr="00FB38E1" w14:paraId="50DDE346" w14:textId="77777777" w:rsidTr="00140550">
        <w:trPr>
          <w:trHeight w:val="167"/>
        </w:trPr>
        <w:tc>
          <w:tcPr>
            <w:tcW w:w="231" w:type="pct"/>
            <w:tcMar>
              <w:left w:w="28" w:type="dxa"/>
              <w:right w:w="28" w:type="dxa"/>
            </w:tcMar>
            <w:vAlign w:val="bottom"/>
          </w:tcPr>
          <w:p w14:paraId="495EC1E7"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1.2</w:t>
            </w:r>
          </w:p>
        </w:tc>
        <w:tc>
          <w:tcPr>
            <w:tcW w:w="2784" w:type="pct"/>
            <w:tcMar>
              <w:left w:w="28" w:type="dxa"/>
              <w:right w:w="28" w:type="dxa"/>
            </w:tcMar>
            <w:vAlign w:val="bottom"/>
          </w:tcPr>
          <w:p w14:paraId="5341925C"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Bankacılık Faaliyetleri Konusu Varlık ve Yükümlülüklerdeki Değişim</w:t>
            </w:r>
          </w:p>
        </w:tc>
        <w:tc>
          <w:tcPr>
            <w:tcW w:w="294" w:type="pct"/>
            <w:tcMar>
              <w:left w:w="28" w:type="dxa"/>
              <w:right w:w="28" w:type="dxa"/>
            </w:tcMar>
            <w:vAlign w:val="bottom"/>
          </w:tcPr>
          <w:p w14:paraId="1598AC4A"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1D1656B2" w14:textId="69E8F74C"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(117.209.505)</w:t>
            </w:r>
          </w:p>
        </w:tc>
        <w:tc>
          <w:tcPr>
            <w:tcW w:w="881" w:type="pct"/>
            <w:shd w:val="clear" w:color="auto" w:fill="auto"/>
            <w:vAlign w:val="bottom"/>
          </w:tcPr>
          <w:p w14:paraId="7D08ACE6" w14:textId="5B442340"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79.985.398</w:t>
            </w:r>
          </w:p>
        </w:tc>
      </w:tr>
      <w:tr w:rsidR="00B44E2B" w:rsidRPr="00FB38E1" w14:paraId="2C813786" w14:textId="77777777" w:rsidTr="00140550">
        <w:trPr>
          <w:trHeight w:val="167"/>
        </w:trPr>
        <w:tc>
          <w:tcPr>
            <w:tcW w:w="231" w:type="pct"/>
            <w:tcMar>
              <w:left w:w="28" w:type="dxa"/>
              <w:right w:w="28" w:type="dxa"/>
            </w:tcMar>
            <w:vAlign w:val="bottom"/>
          </w:tcPr>
          <w:p w14:paraId="6B64C7AC" w14:textId="77777777" w:rsidR="00B44E2B" w:rsidRPr="00FB38E1" w:rsidRDefault="00B44E2B" w:rsidP="00B44E2B">
            <w:pPr>
              <w:rPr>
                <w:rFonts w:ascii="Microsoft Sans Serif" w:hAnsi="Microsoft Sans Serif" w:cs="Microsoft Sans Serif"/>
                <w:sz w:val="12"/>
                <w:szCs w:val="12"/>
              </w:rPr>
            </w:pPr>
          </w:p>
        </w:tc>
        <w:tc>
          <w:tcPr>
            <w:tcW w:w="2784" w:type="pct"/>
            <w:tcMar>
              <w:left w:w="28" w:type="dxa"/>
              <w:right w:w="28" w:type="dxa"/>
            </w:tcMar>
            <w:vAlign w:val="bottom"/>
          </w:tcPr>
          <w:p w14:paraId="144D0A1F" w14:textId="77777777" w:rsidR="00B44E2B" w:rsidRPr="00FB38E1" w:rsidRDefault="00B44E2B" w:rsidP="00B44E2B">
            <w:pPr>
              <w:rPr>
                <w:rFonts w:ascii="Microsoft Sans Serif" w:hAnsi="Microsoft Sans Serif" w:cs="Microsoft Sans Serif"/>
                <w:sz w:val="12"/>
                <w:szCs w:val="12"/>
              </w:rPr>
            </w:pPr>
          </w:p>
        </w:tc>
        <w:tc>
          <w:tcPr>
            <w:tcW w:w="294" w:type="pct"/>
            <w:tcMar>
              <w:left w:w="28" w:type="dxa"/>
              <w:right w:w="28" w:type="dxa"/>
            </w:tcMar>
            <w:vAlign w:val="bottom"/>
          </w:tcPr>
          <w:p w14:paraId="6A8A0BD2"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4CF458D8" w14:textId="7BE01E34"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shd w:val="clear" w:color="auto" w:fill="auto"/>
            <w:vAlign w:val="bottom"/>
          </w:tcPr>
          <w:p w14:paraId="55014357" w14:textId="5A5C6BA3"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 </w:t>
            </w:r>
          </w:p>
        </w:tc>
      </w:tr>
      <w:tr w:rsidR="00B44E2B" w:rsidRPr="00FB38E1" w14:paraId="7F97B7C2" w14:textId="77777777" w:rsidTr="00140550">
        <w:trPr>
          <w:trHeight w:val="167"/>
        </w:trPr>
        <w:tc>
          <w:tcPr>
            <w:tcW w:w="231" w:type="pct"/>
            <w:tcMar>
              <w:left w:w="28" w:type="dxa"/>
              <w:right w:w="28" w:type="dxa"/>
            </w:tcMar>
            <w:vAlign w:val="bottom"/>
          </w:tcPr>
          <w:p w14:paraId="743BDE20"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1.2.1</w:t>
            </w:r>
          </w:p>
        </w:tc>
        <w:tc>
          <w:tcPr>
            <w:tcW w:w="2784" w:type="pct"/>
            <w:tcMar>
              <w:left w:w="28" w:type="dxa"/>
              <w:right w:w="28" w:type="dxa"/>
            </w:tcMar>
            <w:vAlign w:val="bottom"/>
          </w:tcPr>
          <w:p w14:paraId="37C578A6"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Gerçeğe Uygun Değer Farkı K/Z'a Yansıtılan FV'larda Net (Artış) Azalış (+/-)</w:t>
            </w:r>
          </w:p>
        </w:tc>
        <w:tc>
          <w:tcPr>
            <w:tcW w:w="294" w:type="pct"/>
            <w:tcMar>
              <w:left w:w="28" w:type="dxa"/>
              <w:right w:w="28" w:type="dxa"/>
            </w:tcMar>
            <w:vAlign w:val="bottom"/>
          </w:tcPr>
          <w:p w14:paraId="2DB23812"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291DD41F" w14:textId="22B57947"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2.351.753</w:t>
            </w:r>
          </w:p>
        </w:tc>
        <w:tc>
          <w:tcPr>
            <w:tcW w:w="881" w:type="pct"/>
            <w:shd w:val="clear" w:color="auto" w:fill="auto"/>
            <w:vAlign w:val="bottom"/>
          </w:tcPr>
          <w:p w14:paraId="785F6AF9" w14:textId="0686ECA9"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(3.368.051)</w:t>
            </w:r>
          </w:p>
        </w:tc>
      </w:tr>
      <w:tr w:rsidR="00B44E2B" w:rsidRPr="00FB38E1" w14:paraId="78B704C2" w14:textId="77777777" w:rsidTr="00140550">
        <w:trPr>
          <w:trHeight w:val="167"/>
        </w:trPr>
        <w:tc>
          <w:tcPr>
            <w:tcW w:w="231" w:type="pct"/>
            <w:tcMar>
              <w:left w:w="28" w:type="dxa"/>
              <w:right w:w="28" w:type="dxa"/>
            </w:tcMar>
            <w:vAlign w:val="bottom"/>
          </w:tcPr>
          <w:p w14:paraId="7A717D7E"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1.2.2</w:t>
            </w:r>
          </w:p>
        </w:tc>
        <w:tc>
          <w:tcPr>
            <w:tcW w:w="2784" w:type="pct"/>
            <w:tcMar>
              <w:left w:w="28" w:type="dxa"/>
              <w:right w:w="28" w:type="dxa"/>
            </w:tcMar>
            <w:vAlign w:val="bottom"/>
          </w:tcPr>
          <w:p w14:paraId="6EE839E4"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Bankalar Hesabındaki Net (Artış) Azalış (+/-)</w:t>
            </w:r>
          </w:p>
        </w:tc>
        <w:tc>
          <w:tcPr>
            <w:tcW w:w="294" w:type="pct"/>
            <w:tcMar>
              <w:left w:w="28" w:type="dxa"/>
              <w:right w:w="28" w:type="dxa"/>
            </w:tcMar>
            <w:vAlign w:val="bottom"/>
          </w:tcPr>
          <w:p w14:paraId="5E01C80D"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05648E0B" w14:textId="6F2C781E"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(3.454.424)</w:t>
            </w:r>
          </w:p>
        </w:tc>
        <w:tc>
          <w:tcPr>
            <w:tcW w:w="881" w:type="pct"/>
            <w:shd w:val="clear" w:color="auto" w:fill="auto"/>
            <w:vAlign w:val="bottom"/>
          </w:tcPr>
          <w:p w14:paraId="7DA9DE03" w14:textId="6F1BBF04"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(1.154.978)</w:t>
            </w:r>
          </w:p>
        </w:tc>
      </w:tr>
      <w:tr w:rsidR="00B44E2B" w:rsidRPr="00FB38E1" w14:paraId="3509EC07" w14:textId="77777777" w:rsidTr="00140550">
        <w:trPr>
          <w:trHeight w:val="167"/>
        </w:trPr>
        <w:tc>
          <w:tcPr>
            <w:tcW w:w="231" w:type="pct"/>
            <w:tcMar>
              <w:left w:w="28" w:type="dxa"/>
              <w:right w:w="28" w:type="dxa"/>
            </w:tcMar>
            <w:vAlign w:val="bottom"/>
          </w:tcPr>
          <w:p w14:paraId="203E876E"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1.2.3</w:t>
            </w:r>
          </w:p>
        </w:tc>
        <w:tc>
          <w:tcPr>
            <w:tcW w:w="2784" w:type="pct"/>
            <w:tcMar>
              <w:left w:w="28" w:type="dxa"/>
              <w:right w:w="28" w:type="dxa"/>
            </w:tcMar>
            <w:vAlign w:val="bottom"/>
          </w:tcPr>
          <w:p w14:paraId="19DE51AB"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Kredilerdeki Net (Artış) Azalış (+/-)</w:t>
            </w:r>
          </w:p>
        </w:tc>
        <w:tc>
          <w:tcPr>
            <w:tcW w:w="294" w:type="pct"/>
            <w:tcMar>
              <w:left w:w="28" w:type="dxa"/>
              <w:right w:w="28" w:type="dxa"/>
            </w:tcMar>
            <w:vAlign w:val="bottom"/>
          </w:tcPr>
          <w:p w14:paraId="00EFC446"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094958EC" w14:textId="2F5DB70E"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(224.128.734)</w:t>
            </w:r>
          </w:p>
        </w:tc>
        <w:tc>
          <w:tcPr>
            <w:tcW w:w="881" w:type="pct"/>
            <w:shd w:val="clear" w:color="auto" w:fill="auto"/>
            <w:vAlign w:val="bottom"/>
          </w:tcPr>
          <w:p w14:paraId="5DE4FEA5" w14:textId="29BEA29A"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(168.593.098)</w:t>
            </w:r>
          </w:p>
        </w:tc>
      </w:tr>
      <w:tr w:rsidR="00B44E2B" w:rsidRPr="00FB38E1" w14:paraId="1613B3D8" w14:textId="77777777" w:rsidTr="00140550">
        <w:trPr>
          <w:trHeight w:val="167"/>
        </w:trPr>
        <w:tc>
          <w:tcPr>
            <w:tcW w:w="231" w:type="pct"/>
            <w:tcMar>
              <w:left w:w="28" w:type="dxa"/>
              <w:right w:w="28" w:type="dxa"/>
            </w:tcMar>
            <w:vAlign w:val="bottom"/>
          </w:tcPr>
          <w:p w14:paraId="58B08FE0"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1.2.4</w:t>
            </w:r>
          </w:p>
        </w:tc>
        <w:tc>
          <w:tcPr>
            <w:tcW w:w="2784" w:type="pct"/>
            <w:tcMar>
              <w:left w:w="28" w:type="dxa"/>
              <w:right w:w="28" w:type="dxa"/>
            </w:tcMar>
            <w:vAlign w:val="bottom"/>
          </w:tcPr>
          <w:p w14:paraId="088C5B38"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Varlıklarda Net (Artış) Azalış (+/-)</w:t>
            </w:r>
          </w:p>
        </w:tc>
        <w:tc>
          <w:tcPr>
            <w:tcW w:w="294" w:type="pct"/>
            <w:tcMar>
              <w:left w:w="28" w:type="dxa"/>
              <w:right w:w="28" w:type="dxa"/>
            </w:tcMar>
            <w:vAlign w:val="bottom"/>
          </w:tcPr>
          <w:p w14:paraId="0B943AD4"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50A1956E" w14:textId="0D5A3B64"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(30.955.452)</w:t>
            </w:r>
          </w:p>
        </w:tc>
        <w:tc>
          <w:tcPr>
            <w:tcW w:w="881" w:type="pct"/>
            <w:shd w:val="clear" w:color="auto" w:fill="auto"/>
            <w:vAlign w:val="bottom"/>
          </w:tcPr>
          <w:p w14:paraId="61EE8290" w14:textId="2D90A87F"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(26.531.610)</w:t>
            </w:r>
          </w:p>
        </w:tc>
      </w:tr>
      <w:tr w:rsidR="00B44E2B" w:rsidRPr="00FB38E1" w14:paraId="3D463C26" w14:textId="77777777" w:rsidTr="00140550">
        <w:trPr>
          <w:trHeight w:val="167"/>
        </w:trPr>
        <w:tc>
          <w:tcPr>
            <w:tcW w:w="231" w:type="pct"/>
            <w:tcMar>
              <w:left w:w="28" w:type="dxa"/>
              <w:right w:w="28" w:type="dxa"/>
            </w:tcMar>
            <w:vAlign w:val="bottom"/>
          </w:tcPr>
          <w:p w14:paraId="0CE71DAB"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1.2.5</w:t>
            </w:r>
          </w:p>
        </w:tc>
        <w:tc>
          <w:tcPr>
            <w:tcW w:w="2784" w:type="pct"/>
            <w:tcMar>
              <w:left w:w="28" w:type="dxa"/>
              <w:right w:w="28" w:type="dxa"/>
            </w:tcMar>
            <w:vAlign w:val="bottom"/>
          </w:tcPr>
          <w:p w14:paraId="1969E571"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Bankaların Mevduatlarında Net Artış (Azalış) (+/-)</w:t>
            </w:r>
          </w:p>
        </w:tc>
        <w:tc>
          <w:tcPr>
            <w:tcW w:w="294" w:type="pct"/>
            <w:tcMar>
              <w:left w:w="28" w:type="dxa"/>
              <w:right w:w="28" w:type="dxa"/>
            </w:tcMar>
            <w:vAlign w:val="bottom"/>
          </w:tcPr>
          <w:p w14:paraId="0E93DBFF"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596B851A" w14:textId="2EE37347"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(1.490.145)</w:t>
            </w:r>
          </w:p>
        </w:tc>
        <w:tc>
          <w:tcPr>
            <w:tcW w:w="881" w:type="pct"/>
            <w:shd w:val="clear" w:color="auto" w:fill="auto"/>
            <w:vAlign w:val="bottom"/>
          </w:tcPr>
          <w:p w14:paraId="0CDE0A85" w14:textId="199E2674"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(13.718.370)</w:t>
            </w:r>
          </w:p>
        </w:tc>
      </w:tr>
      <w:tr w:rsidR="00B44E2B" w:rsidRPr="00FB38E1" w14:paraId="0D83E69A" w14:textId="77777777" w:rsidTr="00140550">
        <w:trPr>
          <w:trHeight w:val="167"/>
        </w:trPr>
        <w:tc>
          <w:tcPr>
            <w:tcW w:w="231" w:type="pct"/>
            <w:tcMar>
              <w:left w:w="28" w:type="dxa"/>
              <w:right w:w="28" w:type="dxa"/>
            </w:tcMar>
            <w:vAlign w:val="bottom"/>
          </w:tcPr>
          <w:p w14:paraId="4A7E619C"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1.2.6</w:t>
            </w:r>
          </w:p>
        </w:tc>
        <w:tc>
          <w:tcPr>
            <w:tcW w:w="2784" w:type="pct"/>
            <w:tcMar>
              <w:left w:w="28" w:type="dxa"/>
              <w:right w:w="28" w:type="dxa"/>
            </w:tcMar>
            <w:vAlign w:val="bottom"/>
          </w:tcPr>
          <w:p w14:paraId="6D737569"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Mevduatlarda Net Artış (Azalış) (+/-)</w:t>
            </w:r>
          </w:p>
        </w:tc>
        <w:tc>
          <w:tcPr>
            <w:tcW w:w="294" w:type="pct"/>
            <w:tcMar>
              <w:left w:w="28" w:type="dxa"/>
              <w:right w:w="28" w:type="dxa"/>
            </w:tcMar>
            <w:vAlign w:val="bottom"/>
          </w:tcPr>
          <w:p w14:paraId="016C31E3"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2EC284F1" w14:textId="74B59AB1"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120.179.909</w:t>
            </w:r>
          </w:p>
        </w:tc>
        <w:tc>
          <w:tcPr>
            <w:tcW w:w="881" w:type="pct"/>
            <w:shd w:val="clear" w:color="auto" w:fill="auto"/>
            <w:vAlign w:val="bottom"/>
          </w:tcPr>
          <w:p w14:paraId="7772E339" w14:textId="298EA65A"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195.704.217</w:t>
            </w:r>
          </w:p>
        </w:tc>
      </w:tr>
      <w:tr w:rsidR="00B44E2B" w:rsidRPr="00FB38E1" w14:paraId="16E513CE" w14:textId="77777777" w:rsidTr="00140550">
        <w:trPr>
          <w:trHeight w:val="167"/>
        </w:trPr>
        <w:tc>
          <w:tcPr>
            <w:tcW w:w="231" w:type="pct"/>
            <w:tcMar>
              <w:left w:w="28" w:type="dxa"/>
              <w:right w:w="28" w:type="dxa"/>
            </w:tcMar>
            <w:vAlign w:val="bottom"/>
          </w:tcPr>
          <w:p w14:paraId="18325892"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1.2.7</w:t>
            </w:r>
          </w:p>
        </w:tc>
        <w:tc>
          <w:tcPr>
            <w:tcW w:w="2784" w:type="pct"/>
            <w:tcMar>
              <w:left w:w="28" w:type="dxa"/>
              <w:right w:w="28" w:type="dxa"/>
            </w:tcMar>
            <w:vAlign w:val="bottom"/>
          </w:tcPr>
          <w:p w14:paraId="5E7C9C79"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Gerçeğe Uygun Değer Farkı K/Z'a Yansıtılan FY'lerde Net Artış (Azalış) (+/-)</w:t>
            </w:r>
          </w:p>
        </w:tc>
        <w:tc>
          <w:tcPr>
            <w:tcW w:w="294" w:type="pct"/>
            <w:tcMar>
              <w:left w:w="28" w:type="dxa"/>
              <w:right w:w="28" w:type="dxa"/>
            </w:tcMar>
            <w:vAlign w:val="bottom"/>
          </w:tcPr>
          <w:p w14:paraId="6D8BBA13"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246E6F3A" w14:textId="6DD94A60"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881" w:type="pct"/>
            <w:shd w:val="clear" w:color="auto" w:fill="auto"/>
            <w:vAlign w:val="bottom"/>
          </w:tcPr>
          <w:p w14:paraId="3BADD585" w14:textId="2447B882"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w:t>
            </w:r>
          </w:p>
        </w:tc>
      </w:tr>
      <w:tr w:rsidR="00B44E2B" w:rsidRPr="00FB38E1" w14:paraId="555860DF" w14:textId="77777777" w:rsidTr="00140550">
        <w:trPr>
          <w:trHeight w:val="167"/>
        </w:trPr>
        <w:tc>
          <w:tcPr>
            <w:tcW w:w="231" w:type="pct"/>
            <w:tcMar>
              <w:left w:w="28" w:type="dxa"/>
              <w:right w:w="28" w:type="dxa"/>
            </w:tcMar>
            <w:vAlign w:val="bottom"/>
          </w:tcPr>
          <w:p w14:paraId="6D357A0F"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1.2.8</w:t>
            </w:r>
          </w:p>
        </w:tc>
        <w:tc>
          <w:tcPr>
            <w:tcW w:w="2784" w:type="pct"/>
            <w:tcMar>
              <w:left w:w="28" w:type="dxa"/>
              <w:right w:w="28" w:type="dxa"/>
            </w:tcMar>
            <w:vAlign w:val="bottom"/>
          </w:tcPr>
          <w:p w14:paraId="37988271"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Alınan Kredilerdeki Net Artış (Azalış) (+/-)</w:t>
            </w:r>
          </w:p>
        </w:tc>
        <w:tc>
          <w:tcPr>
            <w:tcW w:w="294" w:type="pct"/>
            <w:tcMar>
              <w:left w:w="28" w:type="dxa"/>
              <w:right w:w="28" w:type="dxa"/>
            </w:tcMar>
            <w:vAlign w:val="bottom"/>
          </w:tcPr>
          <w:p w14:paraId="70D0FF97"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1CEA3C31" w14:textId="62880953"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7.004.779</w:t>
            </w:r>
          </w:p>
        </w:tc>
        <w:tc>
          <w:tcPr>
            <w:tcW w:w="881" w:type="pct"/>
            <w:shd w:val="clear" w:color="auto" w:fill="auto"/>
            <w:vAlign w:val="bottom"/>
          </w:tcPr>
          <w:p w14:paraId="6113F2D9" w14:textId="783226C0"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30.747.655</w:t>
            </w:r>
          </w:p>
        </w:tc>
      </w:tr>
      <w:tr w:rsidR="00B44E2B" w:rsidRPr="00FB38E1" w14:paraId="590852EE" w14:textId="77777777" w:rsidTr="00140550">
        <w:trPr>
          <w:trHeight w:val="167"/>
        </w:trPr>
        <w:tc>
          <w:tcPr>
            <w:tcW w:w="231" w:type="pct"/>
            <w:tcMar>
              <w:left w:w="28" w:type="dxa"/>
              <w:right w:w="28" w:type="dxa"/>
            </w:tcMar>
            <w:vAlign w:val="bottom"/>
          </w:tcPr>
          <w:p w14:paraId="3A893662"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1.2.9</w:t>
            </w:r>
          </w:p>
        </w:tc>
        <w:tc>
          <w:tcPr>
            <w:tcW w:w="2784" w:type="pct"/>
            <w:tcMar>
              <w:left w:w="28" w:type="dxa"/>
              <w:right w:w="28" w:type="dxa"/>
            </w:tcMar>
            <w:vAlign w:val="bottom"/>
          </w:tcPr>
          <w:p w14:paraId="3CF8329B"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Vadesi Gelmiş Borçlarda Net Artış (Azalış) (+/-)</w:t>
            </w:r>
          </w:p>
        </w:tc>
        <w:tc>
          <w:tcPr>
            <w:tcW w:w="294" w:type="pct"/>
            <w:tcMar>
              <w:left w:w="28" w:type="dxa"/>
              <w:right w:w="28" w:type="dxa"/>
            </w:tcMar>
            <w:vAlign w:val="bottom"/>
          </w:tcPr>
          <w:p w14:paraId="18BA3875"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B14934E" w14:textId="3B6C613E"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881" w:type="pct"/>
            <w:shd w:val="clear" w:color="auto" w:fill="auto"/>
            <w:vAlign w:val="bottom"/>
          </w:tcPr>
          <w:p w14:paraId="1F63F706" w14:textId="6D34BBEF"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w:t>
            </w:r>
          </w:p>
        </w:tc>
      </w:tr>
      <w:tr w:rsidR="00B44E2B" w:rsidRPr="00FB38E1" w14:paraId="5D1FD2DC" w14:textId="77777777" w:rsidTr="00140550">
        <w:trPr>
          <w:trHeight w:val="167"/>
        </w:trPr>
        <w:tc>
          <w:tcPr>
            <w:tcW w:w="231" w:type="pct"/>
            <w:tcMar>
              <w:left w:w="28" w:type="dxa"/>
              <w:right w:w="28" w:type="dxa"/>
            </w:tcMar>
            <w:vAlign w:val="bottom"/>
          </w:tcPr>
          <w:p w14:paraId="2F6265AE"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1.2.10</w:t>
            </w:r>
          </w:p>
        </w:tc>
        <w:tc>
          <w:tcPr>
            <w:tcW w:w="2784" w:type="pct"/>
            <w:tcMar>
              <w:left w:w="28" w:type="dxa"/>
              <w:right w:w="28" w:type="dxa"/>
            </w:tcMar>
            <w:vAlign w:val="bottom"/>
          </w:tcPr>
          <w:p w14:paraId="6CE3894B"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Borçlarda Net Artış (Azalış) (+/-)</w:t>
            </w:r>
          </w:p>
        </w:tc>
        <w:tc>
          <w:tcPr>
            <w:tcW w:w="294" w:type="pct"/>
            <w:tcMar>
              <w:left w:w="28" w:type="dxa"/>
              <w:right w:w="28" w:type="dxa"/>
            </w:tcMar>
            <w:vAlign w:val="bottom"/>
          </w:tcPr>
          <w:p w14:paraId="7016EE37" w14:textId="6800BCC1"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(5.VI.c)</w:t>
            </w:r>
          </w:p>
        </w:tc>
        <w:tc>
          <w:tcPr>
            <w:tcW w:w="810" w:type="pct"/>
            <w:tcMar>
              <w:left w:w="28" w:type="dxa"/>
              <w:right w:w="28" w:type="dxa"/>
            </w:tcMar>
            <w:vAlign w:val="bottom"/>
          </w:tcPr>
          <w:p w14:paraId="3ABDAA71" w14:textId="439AFC55"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13.282.809</w:t>
            </w:r>
          </w:p>
        </w:tc>
        <w:tc>
          <w:tcPr>
            <w:tcW w:w="881" w:type="pct"/>
            <w:shd w:val="clear" w:color="auto" w:fill="auto"/>
            <w:vAlign w:val="bottom"/>
          </w:tcPr>
          <w:p w14:paraId="194091A3" w14:textId="6C42BE7E"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66.899.633</w:t>
            </w:r>
          </w:p>
        </w:tc>
      </w:tr>
      <w:tr w:rsidR="00B44E2B" w:rsidRPr="00FB38E1" w14:paraId="309AB931" w14:textId="77777777" w:rsidTr="00140550">
        <w:trPr>
          <w:trHeight w:val="167"/>
        </w:trPr>
        <w:tc>
          <w:tcPr>
            <w:tcW w:w="231" w:type="pct"/>
            <w:tcMar>
              <w:left w:w="28" w:type="dxa"/>
              <w:right w:w="28" w:type="dxa"/>
            </w:tcMar>
            <w:vAlign w:val="bottom"/>
          </w:tcPr>
          <w:p w14:paraId="28E9280D"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784" w:type="pct"/>
            <w:tcMar>
              <w:left w:w="28" w:type="dxa"/>
              <w:right w:w="28" w:type="dxa"/>
            </w:tcMar>
            <w:vAlign w:val="bottom"/>
          </w:tcPr>
          <w:p w14:paraId="13B2444E"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94" w:type="pct"/>
            <w:tcMar>
              <w:left w:w="28" w:type="dxa"/>
              <w:right w:w="28" w:type="dxa"/>
            </w:tcMar>
            <w:vAlign w:val="bottom"/>
          </w:tcPr>
          <w:p w14:paraId="38F3260C"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63077FA9" w14:textId="43516B94"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shd w:val="clear" w:color="auto" w:fill="auto"/>
            <w:vAlign w:val="bottom"/>
          </w:tcPr>
          <w:p w14:paraId="31B9666A" w14:textId="36BDF777"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 </w:t>
            </w:r>
          </w:p>
        </w:tc>
      </w:tr>
      <w:tr w:rsidR="00B44E2B" w:rsidRPr="00FB38E1" w14:paraId="220637A5" w14:textId="77777777" w:rsidTr="00140550">
        <w:trPr>
          <w:trHeight w:val="167"/>
        </w:trPr>
        <w:tc>
          <w:tcPr>
            <w:tcW w:w="231" w:type="pct"/>
            <w:tcMar>
              <w:left w:w="28" w:type="dxa"/>
              <w:right w:w="28" w:type="dxa"/>
            </w:tcMar>
            <w:vAlign w:val="bottom"/>
          </w:tcPr>
          <w:p w14:paraId="3ABF479F"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w:t>
            </w:r>
          </w:p>
        </w:tc>
        <w:tc>
          <w:tcPr>
            <w:tcW w:w="2784" w:type="pct"/>
            <w:tcMar>
              <w:left w:w="28" w:type="dxa"/>
              <w:right w:w="28" w:type="dxa"/>
            </w:tcMar>
            <w:vAlign w:val="bottom"/>
          </w:tcPr>
          <w:p w14:paraId="572B68CA"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Bankacılık Faaliyetlerinden Kaynaklanan Net Nakit Akımı (+/-)</w:t>
            </w:r>
          </w:p>
        </w:tc>
        <w:tc>
          <w:tcPr>
            <w:tcW w:w="294" w:type="pct"/>
            <w:tcMar>
              <w:left w:w="28" w:type="dxa"/>
              <w:right w:w="28" w:type="dxa"/>
            </w:tcMar>
            <w:vAlign w:val="bottom"/>
          </w:tcPr>
          <w:p w14:paraId="375FF8E8"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77DCA8DB" w14:textId="74E504B6"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(79.175.069)</w:t>
            </w:r>
          </w:p>
        </w:tc>
        <w:tc>
          <w:tcPr>
            <w:tcW w:w="881" w:type="pct"/>
            <w:shd w:val="clear" w:color="auto" w:fill="auto"/>
            <w:vAlign w:val="bottom"/>
          </w:tcPr>
          <w:p w14:paraId="6746CBD2" w14:textId="074F1F1A"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129.385.400</w:t>
            </w:r>
          </w:p>
        </w:tc>
      </w:tr>
      <w:tr w:rsidR="00B44E2B" w:rsidRPr="00FB38E1" w14:paraId="3E2453DC" w14:textId="77777777" w:rsidTr="00140550">
        <w:trPr>
          <w:trHeight w:val="167"/>
        </w:trPr>
        <w:tc>
          <w:tcPr>
            <w:tcW w:w="231" w:type="pct"/>
            <w:tcMar>
              <w:left w:w="28" w:type="dxa"/>
              <w:right w:w="28" w:type="dxa"/>
            </w:tcMar>
            <w:vAlign w:val="bottom"/>
          </w:tcPr>
          <w:p w14:paraId="63916E2F" w14:textId="77777777" w:rsidR="00B44E2B" w:rsidRPr="00FB38E1" w:rsidRDefault="00B44E2B" w:rsidP="00B44E2B">
            <w:pPr>
              <w:rPr>
                <w:rFonts w:ascii="Microsoft Sans Serif" w:hAnsi="Microsoft Sans Serif" w:cs="Microsoft Sans Serif"/>
                <w:b/>
                <w:bCs/>
                <w:sz w:val="12"/>
                <w:szCs w:val="12"/>
              </w:rPr>
            </w:pPr>
          </w:p>
        </w:tc>
        <w:tc>
          <w:tcPr>
            <w:tcW w:w="2784" w:type="pct"/>
            <w:tcMar>
              <w:left w:w="28" w:type="dxa"/>
              <w:right w:w="28" w:type="dxa"/>
            </w:tcMar>
            <w:vAlign w:val="bottom"/>
          </w:tcPr>
          <w:p w14:paraId="5D3CF895" w14:textId="77777777" w:rsidR="00B44E2B" w:rsidRPr="00FB38E1" w:rsidRDefault="00B44E2B" w:rsidP="00B44E2B">
            <w:pPr>
              <w:rPr>
                <w:rFonts w:ascii="Microsoft Sans Serif" w:hAnsi="Microsoft Sans Serif" w:cs="Microsoft Sans Serif"/>
                <w:b/>
                <w:bCs/>
                <w:sz w:val="12"/>
                <w:szCs w:val="12"/>
              </w:rPr>
            </w:pPr>
          </w:p>
        </w:tc>
        <w:tc>
          <w:tcPr>
            <w:tcW w:w="294" w:type="pct"/>
            <w:tcMar>
              <w:left w:w="28" w:type="dxa"/>
              <w:right w:w="28" w:type="dxa"/>
            </w:tcMar>
            <w:vAlign w:val="bottom"/>
          </w:tcPr>
          <w:p w14:paraId="07196178"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73BCFD4D" w14:textId="4A55D3F3"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81" w:type="pct"/>
            <w:shd w:val="clear" w:color="auto" w:fill="auto"/>
            <w:vAlign w:val="bottom"/>
          </w:tcPr>
          <w:p w14:paraId="344E6278" w14:textId="2F3F991B"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 </w:t>
            </w:r>
          </w:p>
        </w:tc>
      </w:tr>
      <w:tr w:rsidR="00B44E2B" w:rsidRPr="00FB38E1" w14:paraId="42C2E13F" w14:textId="77777777" w:rsidTr="00140550">
        <w:trPr>
          <w:trHeight w:val="167"/>
        </w:trPr>
        <w:tc>
          <w:tcPr>
            <w:tcW w:w="231" w:type="pct"/>
            <w:tcMar>
              <w:left w:w="28" w:type="dxa"/>
              <w:right w:w="28" w:type="dxa"/>
            </w:tcMar>
            <w:vAlign w:val="bottom"/>
          </w:tcPr>
          <w:p w14:paraId="12B1F697"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w:t>
            </w:r>
          </w:p>
        </w:tc>
        <w:tc>
          <w:tcPr>
            <w:tcW w:w="2784" w:type="pct"/>
            <w:tcMar>
              <w:left w:w="28" w:type="dxa"/>
              <w:right w:w="28" w:type="dxa"/>
            </w:tcMar>
            <w:vAlign w:val="bottom"/>
          </w:tcPr>
          <w:p w14:paraId="504DC643"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YATIRIM FAALİYETLERİNE İLİŞKİN NAKİT AKIMLARI</w:t>
            </w:r>
          </w:p>
        </w:tc>
        <w:tc>
          <w:tcPr>
            <w:tcW w:w="294" w:type="pct"/>
            <w:tcMar>
              <w:left w:w="28" w:type="dxa"/>
              <w:right w:w="28" w:type="dxa"/>
            </w:tcMar>
            <w:vAlign w:val="bottom"/>
          </w:tcPr>
          <w:p w14:paraId="52BBD626"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0B135988" w14:textId="7102690B"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81" w:type="pct"/>
            <w:shd w:val="clear" w:color="auto" w:fill="auto"/>
            <w:vAlign w:val="bottom"/>
          </w:tcPr>
          <w:p w14:paraId="005E7533" w14:textId="23C6CB07"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 </w:t>
            </w:r>
          </w:p>
        </w:tc>
      </w:tr>
      <w:tr w:rsidR="00B44E2B" w:rsidRPr="00FB38E1" w14:paraId="663C212E" w14:textId="77777777" w:rsidTr="00140550">
        <w:trPr>
          <w:trHeight w:val="167"/>
        </w:trPr>
        <w:tc>
          <w:tcPr>
            <w:tcW w:w="231" w:type="pct"/>
            <w:tcMar>
              <w:left w:w="28" w:type="dxa"/>
              <w:right w:w="28" w:type="dxa"/>
            </w:tcMar>
            <w:vAlign w:val="bottom"/>
          </w:tcPr>
          <w:p w14:paraId="4947FECF" w14:textId="77777777" w:rsidR="00B44E2B" w:rsidRPr="00FB38E1" w:rsidRDefault="00B44E2B" w:rsidP="00B44E2B">
            <w:pPr>
              <w:rPr>
                <w:rFonts w:ascii="Microsoft Sans Serif" w:hAnsi="Microsoft Sans Serif" w:cs="Microsoft Sans Serif"/>
                <w:b/>
                <w:bCs/>
                <w:sz w:val="12"/>
                <w:szCs w:val="12"/>
              </w:rPr>
            </w:pPr>
          </w:p>
        </w:tc>
        <w:tc>
          <w:tcPr>
            <w:tcW w:w="2784" w:type="pct"/>
            <w:tcMar>
              <w:left w:w="28" w:type="dxa"/>
              <w:right w:w="28" w:type="dxa"/>
            </w:tcMar>
            <w:vAlign w:val="bottom"/>
          </w:tcPr>
          <w:p w14:paraId="6A073A04" w14:textId="77777777" w:rsidR="00B44E2B" w:rsidRPr="00FB38E1" w:rsidRDefault="00B44E2B" w:rsidP="00B44E2B">
            <w:pPr>
              <w:rPr>
                <w:rFonts w:ascii="Microsoft Sans Serif" w:hAnsi="Microsoft Sans Serif" w:cs="Microsoft Sans Serif"/>
                <w:b/>
                <w:bCs/>
                <w:sz w:val="12"/>
                <w:szCs w:val="12"/>
              </w:rPr>
            </w:pPr>
          </w:p>
        </w:tc>
        <w:tc>
          <w:tcPr>
            <w:tcW w:w="294" w:type="pct"/>
            <w:tcMar>
              <w:left w:w="28" w:type="dxa"/>
              <w:right w:w="28" w:type="dxa"/>
            </w:tcMar>
            <w:vAlign w:val="bottom"/>
          </w:tcPr>
          <w:p w14:paraId="32499E18"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4D42D51C" w14:textId="76518B3D"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81" w:type="pct"/>
            <w:shd w:val="clear" w:color="auto" w:fill="auto"/>
            <w:vAlign w:val="bottom"/>
          </w:tcPr>
          <w:p w14:paraId="17F67D93" w14:textId="4AF383CE"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 </w:t>
            </w:r>
          </w:p>
        </w:tc>
      </w:tr>
      <w:tr w:rsidR="00B44E2B" w:rsidRPr="00FB38E1" w14:paraId="25D63388" w14:textId="77777777" w:rsidTr="00140550">
        <w:trPr>
          <w:trHeight w:val="167"/>
        </w:trPr>
        <w:tc>
          <w:tcPr>
            <w:tcW w:w="231" w:type="pct"/>
            <w:tcMar>
              <w:left w:w="28" w:type="dxa"/>
              <w:right w:w="28" w:type="dxa"/>
            </w:tcMar>
            <w:vAlign w:val="bottom"/>
          </w:tcPr>
          <w:p w14:paraId="2BD1C511"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II.</w:t>
            </w:r>
          </w:p>
        </w:tc>
        <w:tc>
          <w:tcPr>
            <w:tcW w:w="2784" w:type="pct"/>
            <w:tcMar>
              <w:left w:w="28" w:type="dxa"/>
              <w:right w:w="28" w:type="dxa"/>
            </w:tcMar>
            <w:vAlign w:val="bottom"/>
          </w:tcPr>
          <w:p w14:paraId="2981F179"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Yatırım Faaliyetlerinden Kaynaklanan Net Nakit Akımı (+/-)</w:t>
            </w:r>
          </w:p>
        </w:tc>
        <w:tc>
          <w:tcPr>
            <w:tcW w:w="294" w:type="pct"/>
            <w:tcMar>
              <w:left w:w="28" w:type="dxa"/>
              <w:right w:w="28" w:type="dxa"/>
            </w:tcMar>
            <w:vAlign w:val="bottom"/>
          </w:tcPr>
          <w:p w14:paraId="79196FB1"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5FDED71B" w14:textId="08822B5D"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(19.417.414)</w:t>
            </w:r>
          </w:p>
        </w:tc>
        <w:tc>
          <w:tcPr>
            <w:tcW w:w="881" w:type="pct"/>
            <w:shd w:val="clear" w:color="auto" w:fill="auto"/>
            <w:vAlign w:val="bottom"/>
          </w:tcPr>
          <w:p w14:paraId="02EEFFC1" w14:textId="560208DB"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(24.121.688)</w:t>
            </w:r>
          </w:p>
        </w:tc>
      </w:tr>
      <w:tr w:rsidR="00B44E2B" w:rsidRPr="00FB38E1" w14:paraId="2FE4A03B" w14:textId="77777777" w:rsidTr="00140550">
        <w:trPr>
          <w:trHeight w:val="167"/>
        </w:trPr>
        <w:tc>
          <w:tcPr>
            <w:tcW w:w="231" w:type="pct"/>
            <w:tcMar>
              <w:left w:w="28" w:type="dxa"/>
              <w:right w:w="28" w:type="dxa"/>
            </w:tcMar>
            <w:vAlign w:val="bottom"/>
          </w:tcPr>
          <w:p w14:paraId="2583A687" w14:textId="77777777" w:rsidR="00B44E2B" w:rsidRPr="00FB38E1" w:rsidRDefault="00B44E2B" w:rsidP="00B44E2B">
            <w:pPr>
              <w:rPr>
                <w:rFonts w:ascii="Microsoft Sans Serif" w:hAnsi="Microsoft Sans Serif" w:cs="Microsoft Sans Serif"/>
                <w:sz w:val="12"/>
                <w:szCs w:val="12"/>
              </w:rPr>
            </w:pPr>
          </w:p>
        </w:tc>
        <w:tc>
          <w:tcPr>
            <w:tcW w:w="2784" w:type="pct"/>
            <w:tcMar>
              <w:left w:w="28" w:type="dxa"/>
              <w:right w:w="28" w:type="dxa"/>
            </w:tcMar>
            <w:vAlign w:val="bottom"/>
          </w:tcPr>
          <w:p w14:paraId="46984369" w14:textId="77777777" w:rsidR="00B44E2B" w:rsidRPr="00FB38E1" w:rsidRDefault="00B44E2B" w:rsidP="00B44E2B">
            <w:pPr>
              <w:rPr>
                <w:rFonts w:ascii="Microsoft Sans Serif" w:hAnsi="Microsoft Sans Serif" w:cs="Microsoft Sans Serif"/>
                <w:sz w:val="12"/>
                <w:szCs w:val="12"/>
              </w:rPr>
            </w:pPr>
          </w:p>
        </w:tc>
        <w:tc>
          <w:tcPr>
            <w:tcW w:w="294" w:type="pct"/>
            <w:tcMar>
              <w:left w:w="28" w:type="dxa"/>
              <w:right w:w="28" w:type="dxa"/>
            </w:tcMar>
            <w:vAlign w:val="bottom"/>
          </w:tcPr>
          <w:p w14:paraId="5A5F0017"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0993503F" w14:textId="447E7ACC"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shd w:val="clear" w:color="auto" w:fill="auto"/>
            <w:vAlign w:val="bottom"/>
          </w:tcPr>
          <w:p w14:paraId="737A24D9" w14:textId="4064CF6F"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 </w:t>
            </w:r>
          </w:p>
        </w:tc>
      </w:tr>
      <w:tr w:rsidR="00B44E2B" w:rsidRPr="00FB38E1" w14:paraId="39F13C44" w14:textId="77777777" w:rsidTr="00140550">
        <w:trPr>
          <w:trHeight w:val="167"/>
        </w:trPr>
        <w:tc>
          <w:tcPr>
            <w:tcW w:w="231" w:type="pct"/>
            <w:tcMar>
              <w:left w:w="28" w:type="dxa"/>
              <w:right w:w="28" w:type="dxa"/>
            </w:tcMar>
            <w:vAlign w:val="bottom"/>
          </w:tcPr>
          <w:p w14:paraId="70E3B399"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2.1</w:t>
            </w:r>
          </w:p>
        </w:tc>
        <w:tc>
          <w:tcPr>
            <w:tcW w:w="2784" w:type="pct"/>
            <w:tcMar>
              <w:left w:w="28" w:type="dxa"/>
              <w:right w:w="28" w:type="dxa"/>
            </w:tcMar>
            <w:vAlign w:val="bottom"/>
          </w:tcPr>
          <w:p w14:paraId="6A6DEF50"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İktisap Edilen İştirakler, Bağlı Ortaklık ve Birlikte Kontrol Edilen Ortaklıklar (İş Ortaklıkları) (-)</w:t>
            </w:r>
          </w:p>
        </w:tc>
        <w:tc>
          <w:tcPr>
            <w:tcW w:w="294" w:type="pct"/>
            <w:tcMar>
              <w:left w:w="28" w:type="dxa"/>
              <w:right w:w="28" w:type="dxa"/>
            </w:tcMar>
            <w:vAlign w:val="bottom"/>
          </w:tcPr>
          <w:p w14:paraId="1682BE49"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0CAB16A" w14:textId="19024769"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1.701.956</w:t>
            </w:r>
          </w:p>
        </w:tc>
        <w:tc>
          <w:tcPr>
            <w:tcW w:w="881" w:type="pct"/>
            <w:shd w:val="clear" w:color="auto" w:fill="auto"/>
            <w:vAlign w:val="bottom"/>
          </w:tcPr>
          <w:p w14:paraId="6B050081" w14:textId="44529719"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4.073.000</w:t>
            </w:r>
          </w:p>
        </w:tc>
      </w:tr>
      <w:tr w:rsidR="00B44E2B" w:rsidRPr="00FB38E1" w14:paraId="0A1B5431" w14:textId="77777777" w:rsidTr="00140550">
        <w:trPr>
          <w:trHeight w:val="167"/>
        </w:trPr>
        <w:tc>
          <w:tcPr>
            <w:tcW w:w="231" w:type="pct"/>
            <w:tcMar>
              <w:left w:w="28" w:type="dxa"/>
              <w:right w:w="28" w:type="dxa"/>
            </w:tcMar>
            <w:vAlign w:val="bottom"/>
          </w:tcPr>
          <w:p w14:paraId="76A1C9A7"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2.2</w:t>
            </w:r>
          </w:p>
        </w:tc>
        <w:tc>
          <w:tcPr>
            <w:tcW w:w="2784" w:type="pct"/>
            <w:tcMar>
              <w:left w:w="28" w:type="dxa"/>
              <w:right w:w="28" w:type="dxa"/>
            </w:tcMar>
            <w:vAlign w:val="bottom"/>
          </w:tcPr>
          <w:p w14:paraId="37C1FA6A"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Elden Çıkarılan  İştirakler, Bağlı Ortaklık ve Birlikte Kontrol Edilen Ortaklıklar (İş ortaklıkları) (+)</w:t>
            </w:r>
          </w:p>
        </w:tc>
        <w:tc>
          <w:tcPr>
            <w:tcW w:w="294" w:type="pct"/>
            <w:tcMar>
              <w:left w:w="28" w:type="dxa"/>
              <w:right w:w="28" w:type="dxa"/>
            </w:tcMar>
            <w:vAlign w:val="bottom"/>
          </w:tcPr>
          <w:p w14:paraId="27B079F8"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843E12E" w14:textId="7752D57E"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46.897</w:t>
            </w:r>
          </w:p>
        </w:tc>
        <w:tc>
          <w:tcPr>
            <w:tcW w:w="881" w:type="pct"/>
            <w:shd w:val="clear" w:color="auto" w:fill="auto"/>
            <w:vAlign w:val="bottom"/>
          </w:tcPr>
          <w:p w14:paraId="1F22837F" w14:textId="30375E18"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29.500</w:t>
            </w:r>
          </w:p>
        </w:tc>
      </w:tr>
      <w:tr w:rsidR="00B44E2B" w:rsidRPr="00FB38E1" w14:paraId="7BE26CD1" w14:textId="77777777" w:rsidTr="00140550">
        <w:trPr>
          <w:trHeight w:val="167"/>
        </w:trPr>
        <w:tc>
          <w:tcPr>
            <w:tcW w:w="231" w:type="pct"/>
            <w:tcMar>
              <w:left w:w="28" w:type="dxa"/>
              <w:right w:w="28" w:type="dxa"/>
            </w:tcMar>
            <w:vAlign w:val="bottom"/>
          </w:tcPr>
          <w:p w14:paraId="55797FFD"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2.3</w:t>
            </w:r>
          </w:p>
        </w:tc>
        <w:tc>
          <w:tcPr>
            <w:tcW w:w="2784" w:type="pct"/>
            <w:tcMar>
              <w:left w:w="28" w:type="dxa"/>
              <w:right w:w="28" w:type="dxa"/>
            </w:tcMar>
            <w:vAlign w:val="bottom"/>
          </w:tcPr>
          <w:p w14:paraId="313002D9"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Satın Alınan Menkuller ve Gayrimenkuller (-)</w:t>
            </w:r>
          </w:p>
        </w:tc>
        <w:tc>
          <w:tcPr>
            <w:tcW w:w="294" w:type="pct"/>
            <w:tcMar>
              <w:left w:w="28" w:type="dxa"/>
              <w:right w:w="28" w:type="dxa"/>
            </w:tcMar>
            <w:vAlign w:val="bottom"/>
          </w:tcPr>
          <w:p w14:paraId="19EA14ED"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4431969F" w14:textId="6FE24BBF"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15.880.435</w:t>
            </w:r>
          </w:p>
        </w:tc>
        <w:tc>
          <w:tcPr>
            <w:tcW w:w="881" w:type="pct"/>
            <w:shd w:val="clear" w:color="auto" w:fill="auto"/>
            <w:vAlign w:val="bottom"/>
          </w:tcPr>
          <w:p w14:paraId="3D6C3963" w14:textId="3DB5C554"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530.021</w:t>
            </w:r>
          </w:p>
        </w:tc>
      </w:tr>
      <w:tr w:rsidR="00B44E2B" w:rsidRPr="00FB38E1" w14:paraId="36296842" w14:textId="77777777" w:rsidTr="00140550">
        <w:trPr>
          <w:trHeight w:val="167"/>
        </w:trPr>
        <w:tc>
          <w:tcPr>
            <w:tcW w:w="231" w:type="pct"/>
            <w:tcMar>
              <w:left w:w="28" w:type="dxa"/>
              <w:right w:w="28" w:type="dxa"/>
            </w:tcMar>
            <w:vAlign w:val="bottom"/>
          </w:tcPr>
          <w:p w14:paraId="387596AC"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2.4</w:t>
            </w:r>
          </w:p>
        </w:tc>
        <w:tc>
          <w:tcPr>
            <w:tcW w:w="2784" w:type="pct"/>
            <w:tcMar>
              <w:left w:w="28" w:type="dxa"/>
              <w:right w:w="28" w:type="dxa"/>
            </w:tcMar>
            <w:vAlign w:val="bottom"/>
          </w:tcPr>
          <w:p w14:paraId="12220AFF"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Elden Çıkarılan Menkul ve Gayrimenkuller (+)</w:t>
            </w:r>
          </w:p>
        </w:tc>
        <w:tc>
          <w:tcPr>
            <w:tcW w:w="294" w:type="pct"/>
            <w:tcMar>
              <w:left w:w="28" w:type="dxa"/>
              <w:right w:w="28" w:type="dxa"/>
            </w:tcMar>
            <w:vAlign w:val="bottom"/>
          </w:tcPr>
          <w:p w14:paraId="3F0C8931"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5EF7EB40" w14:textId="01A0E9F4"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2.342.007</w:t>
            </w:r>
          </w:p>
        </w:tc>
        <w:tc>
          <w:tcPr>
            <w:tcW w:w="881" w:type="pct"/>
            <w:shd w:val="clear" w:color="auto" w:fill="auto"/>
            <w:vAlign w:val="bottom"/>
          </w:tcPr>
          <w:p w14:paraId="6808D6E8" w14:textId="5D48B8E6"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2.643.762</w:t>
            </w:r>
          </w:p>
        </w:tc>
      </w:tr>
      <w:tr w:rsidR="00B44E2B" w:rsidRPr="00FB38E1" w14:paraId="073F2080" w14:textId="77777777" w:rsidTr="00140550">
        <w:trPr>
          <w:trHeight w:val="167"/>
        </w:trPr>
        <w:tc>
          <w:tcPr>
            <w:tcW w:w="231" w:type="pct"/>
            <w:tcMar>
              <w:left w:w="28" w:type="dxa"/>
              <w:right w:w="28" w:type="dxa"/>
            </w:tcMar>
            <w:vAlign w:val="bottom"/>
          </w:tcPr>
          <w:p w14:paraId="6D918DFB"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2.5</w:t>
            </w:r>
          </w:p>
        </w:tc>
        <w:tc>
          <w:tcPr>
            <w:tcW w:w="2784" w:type="pct"/>
            <w:tcMar>
              <w:left w:w="28" w:type="dxa"/>
              <w:right w:w="28" w:type="dxa"/>
            </w:tcMar>
            <w:vAlign w:val="bottom"/>
          </w:tcPr>
          <w:p w14:paraId="0400C681"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Elde Edilen Gerçeğe Uygun Değer Farkı Diğer Kapsamlı Gelire Yansıtılan Finansal Varlıklar (-)</w:t>
            </w:r>
          </w:p>
        </w:tc>
        <w:tc>
          <w:tcPr>
            <w:tcW w:w="294" w:type="pct"/>
            <w:tcMar>
              <w:left w:w="28" w:type="dxa"/>
              <w:right w:w="28" w:type="dxa"/>
            </w:tcMar>
            <w:vAlign w:val="bottom"/>
          </w:tcPr>
          <w:p w14:paraId="2CCC0121"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295426A8" w14:textId="38060314"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43.629.525</w:t>
            </w:r>
          </w:p>
        </w:tc>
        <w:tc>
          <w:tcPr>
            <w:tcW w:w="881" w:type="pct"/>
            <w:shd w:val="clear" w:color="auto" w:fill="auto"/>
            <w:vAlign w:val="bottom"/>
          </w:tcPr>
          <w:p w14:paraId="1C5BC271" w14:textId="39598CC6"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41.652.099</w:t>
            </w:r>
          </w:p>
        </w:tc>
      </w:tr>
      <w:tr w:rsidR="00B44E2B" w:rsidRPr="00FB38E1" w14:paraId="0999499E" w14:textId="77777777" w:rsidTr="00140550">
        <w:trPr>
          <w:trHeight w:val="167"/>
        </w:trPr>
        <w:tc>
          <w:tcPr>
            <w:tcW w:w="231" w:type="pct"/>
            <w:tcMar>
              <w:left w:w="28" w:type="dxa"/>
              <w:right w:w="28" w:type="dxa"/>
            </w:tcMar>
            <w:vAlign w:val="bottom"/>
          </w:tcPr>
          <w:p w14:paraId="1BCE91DD"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2.6</w:t>
            </w:r>
          </w:p>
        </w:tc>
        <w:tc>
          <w:tcPr>
            <w:tcW w:w="2784" w:type="pct"/>
            <w:tcMar>
              <w:left w:w="28" w:type="dxa"/>
              <w:right w:w="28" w:type="dxa"/>
            </w:tcMar>
            <w:vAlign w:val="bottom"/>
          </w:tcPr>
          <w:p w14:paraId="5EBE8A13"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Elden Çıkarılan Gerçeğe Uygun Değer Farkı Diğer Kapsamlı Gelire Yansıtılan Finansal Varlıklar (+)</w:t>
            </w:r>
          </w:p>
        </w:tc>
        <w:tc>
          <w:tcPr>
            <w:tcW w:w="294" w:type="pct"/>
            <w:tcMar>
              <w:left w:w="28" w:type="dxa"/>
              <w:right w:w="28" w:type="dxa"/>
            </w:tcMar>
            <w:vAlign w:val="bottom"/>
          </w:tcPr>
          <w:p w14:paraId="4EC3DCFC"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4B018078" w14:textId="738C424A"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30.240.377</w:t>
            </w:r>
          </w:p>
        </w:tc>
        <w:tc>
          <w:tcPr>
            <w:tcW w:w="881" w:type="pct"/>
            <w:shd w:val="clear" w:color="auto" w:fill="auto"/>
            <w:vAlign w:val="bottom"/>
          </w:tcPr>
          <w:p w14:paraId="13AA5C08" w14:textId="5FDD818F"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15.852.509</w:t>
            </w:r>
          </w:p>
        </w:tc>
      </w:tr>
      <w:tr w:rsidR="00B44E2B" w:rsidRPr="00FB38E1" w14:paraId="5329E1BE" w14:textId="77777777" w:rsidTr="00140550">
        <w:trPr>
          <w:trHeight w:val="167"/>
        </w:trPr>
        <w:tc>
          <w:tcPr>
            <w:tcW w:w="231" w:type="pct"/>
            <w:tcMar>
              <w:left w:w="28" w:type="dxa"/>
              <w:right w:w="28" w:type="dxa"/>
            </w:tcMar>
            <w:vAlign w:val="bottom"/>
          </w:tcPr>
          <w:p w14:paraId="58A9FA67"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2.7</w:t>
            </w:r>
          </w:p>
        </w:tc>
        <w:tc>
          <w:tcPr>
            <w:tcW w:w="2784" w:type="pct"/>
            <w:tcMar>
              <w:left w:w="28" w:type="dxa"/>
              <w:right w:w="28" w:type="dxa"/>
            </w:tcMar>
            <w:vAlign w:val="bottom"/>
          </w:tcPr>
          <w:p w14:paraId="0BF8309D"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Satın Alınan İtfa Edilmiş Maliyeti ile Ölçülen Finansal Varlıklar (-)</w:t>
            </w:r>
          </w:p>
        </w:tc>
        <w:tc>
          <w:tcPr>
            <w:tcW w:w="294" w:type="pct"/>
            <w:tcMar>
              <w:left w:w="28" w:type="dxa"/>
              <w:right w:w="28" w:type="dxa"/>
            </w:tcMar>
            <w:vAlign w:val="bottom"/>
          </w:tcPr>
          <w:p w14:paraId="4B6DBFCA"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4C639088" w14:textId="09A70FA8"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881" w:type="pct"/>
            <w:shd w:val="clear" w:color="auto" w:fill="auto"/>
            <w:vAlign w:val="bottom"/>
          </w:tcPr>
          <w:p w14:paraId="22AC9DAE" w14:textId="199DC791"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1.041.404</w:t>
            </w:r>
          </w:p>
        </w:tc>
      </w:tr>
      <w:tr w:rsidR="00B44E2B" w:rsidRPr="00FB38E1" w14:paraId="48A035A8" w14:textId="77777777" w:rsidTr="00140550">
        <w:trPr>
          <w:trHeight w:val="167"/>
        </w:trPr>
        <w:tc>
          <w:tcPr>
            <w:tcW w:w="231" w:type="pct"/>
            <w:tcMar>
              <w:left w:w="28" w:type="dxa"/>
              <w:right w:w="28" w:type="dxa"/>
            </w:tcMar>
            <w:vAlign w:val="bottom"/>
          </w:tcPr>
          <w:p w14:paraId="08C62572"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2.8</w:t>
            </w:r>
          </w:p>
        </w:tc>
        <w:tc>
          <w:tcPr>
            <w:tcW w:w="2784" w:type="pct"/>
            <w:tcMar>
              <w:left w:w="28" w:type="dxa"/>
              <w:right w:w="28" w:type="dxa"/>
            </w:tcMar>
            <w:vAlign w:val="bottom"/>
          </w:tcPr>
          <w:p w14:paraId="34973DB6"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Satılan İtfa Edilmiş Maliyeti ile Ölçülen Finansal Varlıklar  (+)</w:t>
            </w:r>
          </w:p>
        </w:tc>
        <w:tc>
          <w:tcPr>
            <w:tcW w:w="294" w:type="pct"/>
            <w:tcMar>
              <w:left w:w="28" w:type="dxa"/>
              <w:right w:w="28" w:type="dxa"/>
            </w:tcMar>
            <w:vAlign w:val="bottom"/>
          </w:tcPr>
          <w:p w14:paraId="29274AE8"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63716D50" w14:textId="33D34337"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1.740.561</w:t>
            </w:r>
          </w:p>
        </w:tc>
        <w:tc>
          <w:tcPr>
            <w:tcW w:w="881" w:type="pct"/>
            <w:shd w:val="clear" w:color="auto" w:fill="auto"/>
            <w:vAlign w:val="bottom"/>
          </w:tcPr>
          <w:p w14:paraId="117B7766" w14:textId="25363906"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1.100.070</w:t>
            </w:r>
          </w:p>
        </w:tc>
      </w:tr>
      <w:tr w:rsidR="00B44E2B" w:rsidRPr="00FB38E1" w14:paraId="137E9A8F" w14:textId="77777777" w:rsidTr="00140550">
        <w:trPr>
          <w:trHeight w:val="167"/>
        </w:trPr>
        <w:tc>
          <w:tcPr>
            <w:tcW w:w="231" w:type="pct"/>
            <w:tcMar>
              <w:left w:w="28" w:type="dxa"/>
              <w:right w:w="28" w:type="dxa"/>
            </w:tcMar>
            <w:vAlign w:val="bottom"/>
          </w:tcPr>
          <w:p w14:paraId="45375150"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2.9</w:t>
            </w:r>
          </w:p>
        </w:tc>
        <w:tc>
          <w:tcPr>
            <w:tcW w:w="2784" w:type="pct"/>
            <w:tcMar>
              <w:left w:w="28" w:type="dxa"/>
              <w:right w:w="28" w:type="dxa"/>
            </w:tcMar>
            <w:vAlign w:val="bottom"/>
          </w:tcPr>
          <w:p w14:paraId="76373763"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w:t>
            </w:r>
          </w:p>
        </w:tc>
        <w:tc>
          <w:tcPr>
            <w:tcW w:w="294" w:type="pct"/>
            <w:tcMar>
              <w:left w:w="28" w:type="dxa"/>
              <w:right w:w="28" w:type="dxa"/>
            </w:tcMar>
            <w:vAlign w:val="bottom"/>
          </w:tcPr>
          <w:p w14:paraId="3F54BC30"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0C45495" w14:textId="3A56D74C"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7.424.660</w:t>
            </w:r>
          </w:p>
        </w:tc>
        <w:tc>
          <w:tcPr>
            <w:tcW w:w="881" w:type="pct"/>
            <w:shd w:val="clear" w:color="auto" w:fill="auto"/>
            <w:vAlign w:val="bottom"/>
          </w:tcPr>
          <w:p w14:paraId="76ED951E" w14:textId="3B576A7D"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3.548.995</w:t>
            </w:r>
          </w:p>
        </w:tc>
      </w:tr>
      <w:tr w:rsidR="00B44E2B" w:rsidRPr="00FB38E1" w14:paraId="0F2E8244" w14:textId="77777777" w:rsidTr="00140550">
        <w:trPr>
          <w:trHeight w:val="167"/>
        </w:trPr>
        <w:tc>
          <w:tcPr>
            <w:tcW w:w="231" w:type="pct"/>
            <w:tcMar>
              <w:left w:w="28" w:type="dxa"/>
              <w:right w:w="28" w:type="dxa"/>
            </w:tcMar>
            <w:vAlign w:val="bottom"/>
          </w:tcPr>
          <w:p w14:paraId="7AFC20C2"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784" w:type="pct"/>
            <w:tcMar>
              <w:left w:w="28" w:type="dxa"/>
              <w:right w:w="28" w:type="dxa"/>
            </w:tcMar>
            <w:vAlign w:val="bottom"/>
          </w:tcPr>
          <w:p w14:paraId="3581B740"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94" w:type="pct"/>
            <w:tcMar>
              <w:left w:w="28" w:type="dxa"/>
              <w:right w:w="28" w:type="dxa"/>
            </w:tcMar>
            <w:vAlign w:val="bottom"/>
          </w:tcPr>
          <w:p w14:paraId="4C5FE6FE"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162D88D3" w14:textId="5EB07349"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shd w:val="clear" w:color="auto" w:fill="auto"/>
            <w:vAlign w:val="bottom"/>
          </w:tcPr>
          <w:p w14:paraId="6BE6C55D" w14:textId="59B4C4E6"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 </w:t>
            </w:r>
          </w:p>
        </w:tc>
      </w:tr>
      <w:tr w:rsidR="00B44E2B" w:rsidRPr="00FB38E1" w14:paraId="3BFCF395" w14:textId="77777777" w:rsidTr="00140550">
        <w:trPr>
          <w:trHeight w:val="167"/>
        </w:trPr>
        <w:tc>
          <w:tcPr>
            <w:tcW w:w="231" w:type="pct"/>
            <w:tcMar>
              <w:left w:w="28" w:type="dxa"/>
              <w:right w:w="28" w:type="dxa"/>
            </w:tcMar>
            <w:vAlign w:val="bottom"/>
          </w:tcPr>
          <w:p w14:paraId="06481963"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C.</w:t>
            </w:r>
          </w:p>
        </w:tc>
        <w:tc>
          <w:tcPr>
            <w:tcW w:w="2784" w:type="pct"/>
            <w:tcMar>
              <w:left w:w="28" w:type="dxa"/>
              <w:right w:w="28" w:type="dxa"/>
            </w:tcMar>
            <w:vAlign w:val="bottom"/>
          </w:tcPr>
          <w:p w14:paraId="1702A4AA"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FİNANSMAN FAALİYETLERİNE İLİŞKİN NAKİT AKIMLARI</w:t>
            </w:r>
          </w:p>
        </w:tc>
        <w:tc>
          <w:tcPr>
            <w:tcW w:w="294" w:type="pct"/>
            <w:tcMar>
              <w:left w:w="28" w:type="dxa"/>
              <w:right w:w="28" w:type="dxa"/>
            </w:tcMar>
            <w:vAlign w:val="bottom"/>
          </w:tcPr>
          <w:p w14:paraId="5B73BBFD"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01FFB587" w14:textId="67F24826"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81" w:type="pct"/>
            <w:shd w:val="clear" w:color="auto" w:fill="auto"/>
            <w:vAlign w:val="bottom"/>
          </w:tcPr>
          <w:p w14:paraId="49E39CA3" w14:textId="2324CC26"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 </w:t>
            </w:r>
          </w:p>
        </w:tc>
      </w:tr>
      <w:tr w:rsidR="00B44E2B" w:rsidRPr="00FB38E1" w14:paraId="2ECDB1EB" w14:textId="77777777" w:rsidTr="00140550">
        <w:trPr>
          <w:trHeight w:val="167"/>
        </w:trPr>
        <w:tc>
          <w:tcPr>
            <w:tcW w:w="231" w:type="pct"/>
            <w:tcMar>
              <w:left w:w="28" w:type="dxa"/>
              <w:right w:w="28" w:type="dxa"/>
            </w:tcMar>
            <w:vAlign w:val="bottom"/>
          </w:tcPr>
          <w:p w14:paraId="721967DA" w14:textId="77777777" w:rsidR="00B44E2B" w:rsidRPr="00FB38E1" w:rsidRDefault="00B44E2B" w:rsidP="00B44E2B">
            <w:pPr>
              <w:rPr>
                <w:rFonts w:ascii="Microsoft Sans Serif" w:hAnsi="Microsoft Sans Serif" w:cs="Microsoft Sans Serif"/>
                <w:b/>
                <w:bCs/>
                <w:sz w:val="12"/>
                <w:szCs w:val="12"/>
              </w:rPr>
            </w:pPr>
          </w:p>
        </w:tc>
        <w:tc>
          <w:tcPr>
            <w:tcW w:w="2784" w:type="pct"/>
            <w:tcMar>
              <w:left w:w="28" w:type="dxa"/>
              <w:right w:w="28" w:type="dxa"/>
            </w:tcMar>
            <w:vAlign w:val="bottom"/>
          </w:tcPr>
          <w:p w14:paraId="53B21666" w14:textId="77777777" w:rsidR="00B44E2B" w:rsidRPr="00FB38E1" w:rsidRDefault="00B44E2B" w:rsidP="00B44E2B">
            <w:pPr>
              <w:rPr>
                <w:rFonts w:ascii="Microsoft Sans Serif" w:hAnsi="Microsoft Sans Serif" w:cs="Microsoft Sans Serif"/>
                <w:b/>
                <w:bCs/>
                <w:sz w:val="12"/>
                <w:szCs w:val="12"/>
              </w:rPr>
            </w:pPr>
          </w:p>
        </w:tc>
        <w:tc>
          <w:tcPr>
            <w:tcW w:w="294" w:type="pct"/>
            <w:tcMar>
              <w:left w:w="28" w:type="dxa"/>
              <w:right w:w="28" w:type="dxa"/>
            </w:tcMar>
            <w:vAlign w:val="bottom"/>
          </w:tcPr>
          <w:p w14:paraId="721218CC"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3B4E50D5" w14:textId="6884547A"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81" w:type="pct"/>
            <w:shd w:val="clear" w:color="auto" w:fill="auto"/>
            <w:vAlign w:val="bottom"/>
          </w:tcPr>
          <w:p w14:paraId="467FC5A2" w14:textId="2280D61D"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 </w:t>
            </w:r>
          </w:p>
        </w:tc>
      </w:tr>
      <w:tr w:rsidR="00B44E2B" w:rsidRPr="00FB38E1" w14:paraId="2C7C72FF" w14:textId="77777777" w:rsidTr="00140550">
        <w:trPr>
          <w:trHeight w:val="167"/>
        </w:trPr>
        <w:tc>
          <w:tcPr>
            <w:tcW w:w="231" w:type="pct"/>
            <w:tcMar>
              <w:left w:w="28" w:type="dxa"/>
              <w:right w:w="28" w:type="dxa"/>
            </w:tcMar>
            <w:vAlign w:val="bottom"/>
          </w:tcPr>
          <w:p w14:paraId="242F4496"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III.</w:t>
            </w:r>
          </w:p>
        </w:tc>
        <w:tc>
          <w:tcPr>
            <w:tcW w:w="2784" w:type="pct"/>
            <w:tcMar>
              <w:left w:w="28" w:type="dxa"/>
              <w:right w:w="28" w:type="dxa"/>
            </w:tcMar>
            <w:vAlign w:val="bottom"/>
          </w:tcPr>
          <w:p w14:paraId="4466FB85"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Finansman Faaliyetlerinden Sağlanan Net Nakit (+/-)</w:t>
            </w:r>
          </w:p>
        </w:tc>
        <w:tc>
          <w:tcPr>
            <w:tcW w:w="294" w:type="pct"/>
            <w:tcMar>
              <w:left w:w="28" w:type="dxa"/>
              <w:right w:w="28" w:type="dxa"/>
            </w:tcMar>
            <w:vAlign w:val="bottom"/>
          </w:tcPr>
          <w:p w14:paraId="3DCBECAA"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53431D4F" w14:textId="07DBA512"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92.094.537</w:t>
            </w:r>
          </w:p>
        </w:tc>
        <w:tc>
          <w:tcPr>
            <w:tcW w:w="881" w:type="pct"/>
            <w:shd w:val="clear" w:color="auto" w:fill="auto"/>
            <w:vAlign w:val="bottom"/>
          </w:tcPr>
          <w:p w14:paraId="50C83A96" w14:textId="5B629643"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50.836.677</w:t>
            </w:r>
          </w:p>
        </w:tc>
      </w:tr>
      <w:tr w:rsidR="00B44E2B" w:rsidRPr="00FB38E1" w14:paraId="3DF9F0A6" w14:textId="77777777" w:rsidTr="00140550">
        <w:trPr>
          <w:trHeight w:val="167"/>
        </w:trPr>
        <w:tc>
          <w:tcPr>
            <w:tcW w:w="231" w:type="pct"/>
            <w:tcMar>
              <w:left w:w="28" w:type="dxa"/>
              <w:right w:w="28" w:type="dxa"/>
            </w:tcMar>
            <w:vAlign w:val="bottom"/>
          </w:tcPr>
          <w:p w14:paraId="3D5466B2" w14:textId="77777777" w:rsidR="00B44E2B" w:rsidRPr="00FB38E1" w:rsidRDefault="00B44E2B" w:rsidP="00B44E2B">
            <w:pPr>
              <w:rPr>
                <w:rFonts w:ascii="Microsoft Sans Serif" w:hAnsi="Microsoft Sans Serif" w:cs="Microsoft Sans Serif"/>
                <w:sz w:val="12"/>
                <w:szCs w:val="12"/>
              </w:rPr>
            </w:pPr>
          </w:p>
        </w:tc>
        <w:tc>
          <w:tcPr>
            <w:tcW w:w="2784" w:type="pct"/>
            <w:tcMar>
              <w:left w:w="28" w:type="dxa"/>
              <w:right w:w="28" w:type="dxa"/>
            </w:tcMar>
            <w:vAlign w:val="bottom"/>
          </w:tcPr>
          <w:p w14:paraId="69F48E22" w14:textId="77777777" w:rsidR="00B44E2B" w:rsidRPr="00FB38E1" w:rsidRDefault="00B44E2B" w:rsidP="00B44E2B">
            <w:pPr>
              <w:rPr>
                <w:rFonts w:ascii="Microsoft Sans Serif" w:hAnsi="Microsoft Sans Serif" w:cs="Microsoft Sans Serif"/>
                <w:sz w:val="12"/>
                <w:szCs w:val="12"/>
              </w:rPr>
            </w:pPr>
          </w:p>
        </w:tc>
        <w:tc>
          <w:tcPr>
            <w:tcW w:w="294" w:type="pct"/>
            <w:tcMar>
              <w:left w:w="28" w:type="dxa"/>
              <w:right w:w="28" w:type="dxa"/>
            </w:tcMar>
            <w:vAlign w:val="bottom"/>
          </w:tcPr>
          <w:p w14:paraId="65FD9587"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4C5E3A74" w14:textId="297655F6"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shd w:val="clear" w:color="auto" w:fill="auto"/>
            <w:vAlign w:val="bottom"/>
          </w:tcPr>
          <w:p w14:paraId="55F548E2" w14:textId="4F7001B2"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 </w:t>
            </w:r>
          </w:p>
        </w:tc>
      </w:tr>
      <w:tr w:rsidR="00B44E2B" w:rsidRPr="00FB38E1" w14:paraId="5A76303A" w14:textId="77777777" w:rsidTr="00140550">
        <w:trPr>
          <w:trHeight w:val="167"/>
        </w:trPr>
        <w:tc>
          <w:tcPr>
            <w:tcW w:w="231" w:type="pct"/>
            <w:tcMar>
              <w:left w:w="28" w:type="dxa"/>
              <w:right w:w="28" w:type="dxa"/>
            </w:tcMar>
            <w:vAlign w:val="bottom"/>
          </w:tcPr>
          <w:p w14:paraId="3891F562"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3.1</w:t>
            </w:r>
          </w:p>
        </w:tc>
        <w:tc>
          <w:tcPr>
            <w:tcW w:w="2784" w:type="pct"/>
            <w:tcMar>
              <w:left w:w="28" w:type="dxa"/>
              <w:right w:w="28" w:type="dxa"/>
            </w:tcMar>
            <w:vAlign w:val="bottom"/>
          </w:tcPr>
          <w:p w14:paraId="527F8BB7"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Krediler ve İhraç Edilen Menkul Değerlerden Sağlanan Nakit (+)</w:t>
            </w:r>
          </w:p>
        </w:tc>
        <w:tc>
          <w:tcPr>
            <w:tcW w:w="294" w:type="pct"/>
            <w:tcMar>
              <w:left w:w="28" w:type="dxa"/>
              <w:right w:w="28" w:type="dxa"/>
            </w:tcMar>
            <w:vAlign w:val="bottom"/>
          </w:tcPr>
          <w:p w14:paraId="021FC087"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1729B4BE" w14:textId="30713806"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195.651.717</w:t>
            </w:r>
          </w:p>
        </w:tc>
        <w:tc>
          <w:tcPr>
            <w:tcW w:w="881" w:type="pct"/>
            <w:shd w:val="clear" w:color="auto" w:fill="auto"/>
            <w:vAlign w:val="bottom"/>
          </w:tcPr>
          <w:p w14:paraId="36078B42" w14:textId="26440F92"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107.171.330</w:t>
            </w:r>
          </w:p>
        </w:tc>
      </w:tr>
      <w:tr w:rsidR="00B44E2B" w:rsidRPr="00FB38E1" w14:paraId="3030AB24" w14:textId="77777777" w:rsidTr="00140550">
        <w:trPr>
          <w:trHeight w:val="167"/>
        </w:trPr>
        <w:tc>
          <w:tcPr>
            <w:tcW w:w="231" w:type="pct"/>
            <w:tcMar>
              <w:left w:w="28" w:type="dxa"/>
              <w:right w:w="28" w:type="dxa"/>
            </w:tcMar>
            <w:vAlign w:val="bottom"/>
          </w:tcPr>
          <w:p w14:paraId="03250554"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3.2</w:t>
            </w:r>
          </w:p>
        </w:tc>
        <w:tc>
          <w:tcPr>
            <w:tcW w:w="2784" w:type="pct"/>
            <w:tcMar>
              <w:left w:w="28" w:type="dxa"/>
              <w:right w:w="28" w:type="dxa"/>
            </w:tcMar>
            <w:vAlign w:val="bottom"/>
          </w:tcPr>
          <w:p w14:paraId="3E4A1C57"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Krediler ve İhraç Edilen Menkul Değerlerden Kaynaklanan Nakit Çıkışı (-)</w:t>
            </w:r>
          </w:p>
        </w:tc>
        <w:tc>
          <w:tcPr>
            <w:tcW w:w="294" w:type="pct"/>
            <w:tcMar>
              <w:left w:w="28" w:type="dxa"/>
              <w:right w:w="28" w:type="dxa"/>
            </w:tcMar>
            <w:vAlign w:val="bottom"/>
          </w:tcPr>
          <w:p w14:paraId="3C2E119F"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4E66CD56" w14:textId="61B21F03"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116.316.163</w:t>
            </w:r>
          </w:p>
        </w:tc>
        <w:tc>
          <w:tcPr>
            <w:tcW w:w="881" w:type="pct"/>
            <w:shd w:val="clear" w:color="auto" w:fill="auto"/>
            <w:vAlign w:val="bottom"/>
          </w:tcPr>
          <w:p w14:paraId="58E04E82" w14:textId="16644B05"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55.533.062</w:t>
            </w:r>
          </w:p>
        </w:tc>
      </w:tr>
      <w:tr w:rsidR="00B44E2B" w:rsidRPr="00FB38E1" w14:paraId="40C1B6F3" w14:textId="77777777" w:rsidTr="00140550">
        <w:trPr>
          <w:trHeight w:val="167"/>
        </w:trPr>
        <w:tc>
          <w:tcPr>
            <w:tcW w:w="231" w:type="pct"/>
            <w:tcMar>
              <w:left w:w="28" w:type="dxa"/>
              <w:right w:w="28" w:type="dxa"/>
            </w:tcMar>
            <w:vAlign w:val="bottom"/>
          </w:tcPr>
          <w:p w14:paraId="56225CB8"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3.3</w:t>
            </w:r>
          </w:p>
        </w:tc>
        <w:tc>
          <w:tcPr>
            <w:tcW w:w="2784" w:type="pct"/>
            <w:tcMar>
              <w:left w:w="28" w:type="dxa"/>
              <w:right w:w="28" w:type="dxa"/>
            </w:tcMar>
            <w:vAlign w:val="bottom"/>
          </w:tcPr>
          <w:p w14:paraId="7F4BD41C"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İhraç Edilen Sermaye Araçları (+)</w:t>
            </w:r>
          </w:p>
        </w:tc>
        <w:tc>
          <w:tcPr>
            <w:tcW w:w="294" w:type="pct"/>
            <w:tcMar>
              <w:left w:w="28" w:type="dxa"/>
              <w:right w:w="28" w:type="dxa"/>
            </w:tcMar>
            <w:vAlign w:val="bottom"/>
          </w:tcPr>
          <w:p w14:paraId="1B152B23"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1624A606" w14:textId="40B11320"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13.942.500</w:t>
            </w:r>
          </w:p>
        </w:tc>
        <w:tc>
          <w:tcPr>
            <w:tcW w:w="881" w:type="pct"/>
            <w:shd w:val="clear" w:color="auto" w:fill="auto"/>
            <w:vAlign w:val="bottom"/>
          </w:tcPr>
          <w:p w14:paraId="1701F286" w14:textId="074C8954"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w:t>
            </w:r>
          </w:p>
        </w:tc>
      </w:tr>
      <w:tr w:rsidR="00B44E2B" w:rsidRPr="00FB38E1" w14:paraId="1378D7E9" w14:textId="77777777" w:rsidTr="00140550">
        <w:trPr>
          <w:trHeight w:val="167"/>
        </w:trPr>
        <w:tc>
          <w:tcPr>
            <w:tcW w:w="231" w:type="pct"/>
            <w:tcMar>
              <w:left w:w="28" w:type="dxa"/>
              <w:right w:w="28" w:type="dxa"/>
            </w:tcMar>
            <w:vAlign w:val="bottom"/>
          </w:tcPr>
          <w:p w14:paraId="629471ED"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3.4</w:t>
            </w:r>
          </w:p>
        </w:tc>
        <w:tc>
          <w:tcPr>
            <w:tcW w:w="2784" w:type="pct"/>
            <w:tcMar>
              <w:left w:w="28" w:type="dxa"/>
              <w:right w:w="28" w:type="dxa"/>
            </w:tcMar>
            <w:vAlign w:val="bottom"/>
          </w:tcPr>
          <w:p w14:paraId="73E36F48"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Temettü Ödemeleri</w:t>
            </w:r>
            <w:r w:rsidRPr="00FB38E1">
              <w:rPr>
                <w:rFonts w:ascii="Microsoft Sans Serif" w:hAnsi="Microsoft Sans Serif" w:cs="Microsoft Sans Serif"/>
                <w:sz w:val="12"/>
                <w:szCs w:val="12"/>
                <w:vertAlign w:val="superscript"/>
              </w:rPr>
              <w:t xml:space="preserve"> </w:t>
            </w:r>
            <w:r w:rsidRPr="00FB38E1">
              <w:rPr>
                <w:rFonts w:ascii="Microsoft Sans Serif" w:hAnsi="Microsoft Sans Serif" w:cs="Microsoft Sans Serif"/>
                <w:sz w:val="12"/>
                <w:szCs w:val="12"/>
              </w:rPr>
              <w:t>(-)</w:t>
            </w:r>
          </w:p>
        </w:tc>
        <w:tc>
          <w:tcPr>
            <w:tcW w:w="294" w:type="pct"/>
            <w:tcMar>
              <w:left w:w="28" w:type="dxa"/>
              <w:right w:w="28" w:type="dxa"/>
            </w:tcMar>
            <w:vAlign w:val="bottom"/>
          </w:tcPr>
          <w:p w14:paraId="7731035B"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2E5AB0F9" w14:textId="41DB057D"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881" w:type="pct"/>
            <w:shd w:val="clear" w:color="auto" w:fill="auto"/>
            <w:vAlign w:val="bottom"/>
          </w:tcPr>
          <w:p w14:paraId="6843FE1F" w14:textId="2A1599AF"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w:t>
            </w:r>
          </w:p>
        </w:tc>
      </w:tr>
      <w:tr w:rsidR="00B44E2B" w:rsidRPr="00FB38E1" w14:paraId="6CE71850" w14:textId="77777777" w:rsidTr="00140550">
        <w:trPr>
          <w:trHeight w:val="167"/>
        </w:trPr>
        <w:tc>
          <w:tcPr>
            <w:tcW w:w="231" w:type="pct"/>
            <w:tcMar>
              <w:left w:w="28" w:type="dxa"/>
              <w:right w:w="28" w:type="dxa"/>
            </w:tcMar>
            <w:vAlign w:val="bottom"/>
          </w:tcPr>
          <w:p w14:paraId="1DFFC7A9"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3.5</w:t>
            </w:r>
          </w:p>
        </w:tc>
        <w:tc>
          <w:tcPr>
            <w:tcW w:w="2784" w:type="pct"/>
            <w:tcMar>
              <w:left w:w="28" w:type="dxa"/>
              <w:right w:w="28" w:type="dxa"/>
            </w:tcMar>
            <w:vAlign w:val="bottom"/>
          </w:tcPr>
          <w:p w14:paraId="789B52D7"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Kiralamaya İlişkin Ödemeler (-)</w:t>
            </w:r>
          </w:p>
        </w:tc>
        <w:tc>
          <w:tcPr>
            <w:tcW w:w="294" w:type="pct"/>
            <w:tcMar>
              <w:left w:w="28" w:type="dxa"/>
              <w:right w:w="28" w:type="dxa"/>
            </w:tcMar>
            <w:vAlign w:val="bottom"/>
          </w:tcPr>
          <w:p w14:paraId="79C60800"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D2DD89E" w14:textId="491EADDE"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1.183.517</w:t>
            </w:r>
          </w:p>
        </w:tc>
        <w:tc>
          <w:tcPr>
            <w:tcW w:w="881" w:type="pct"/>
            <w:shd w:val="clear" w:color="auto" w:fill="auto"/>
            <w:vAlign w:val="bottom"/>
          </w:tcPr>
          <w:p w14:paraId="22DBFF8A" w14:textId="68304602"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801.591</w:t>
            </w:r>
          </w:p>
        </w:tc>
      </w:tr>
      <w:tr w:rsidR="00B44E2B" w:rsidRPr="00FB38E1" w14:paraId="336BCBAD" w14:textId="77777777" w:rsidTr="00140550">
        <w:trPr>
          <w:trHeight w:val="167"/>
        </w:trPr>
        <w:tc>
          <w:tcPr>
            <w:tcW w:w="231" w:type="pct"/>
            <w:tcMar>
              <w:left w:w="28" w:type="dxa"/>
              <w:right w:w="28" w:type="dxa"/>
            </w:tcMar>
            <w:vAlign w:val="bottom"/>
          </w:tcPr>
          <w:p w14:paraId="789CA454"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3.6</w:t>
            </w:r>
          </w:p>
        </w:tc>
        <w:tc>
          <w:tcPr>
            <w:tcW w:w="2784" w:type="pct"/>
            <w:tcMar>
              <w:left w:w="28" w:type="dxa"/>
              <w:right w:w="28" w:type="dxa"/>
            </w:tcMar>
            <w:vAlign w:val="bottom"/>
          </w:tcPr>
          <w:p w14:paraId="2C5920AE"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Diğer (+/-)</w:t>
            </w:r>
          </w:p>
        </w:tc>
        <w:tc>
          <w:tcPr>
            <w:tcW w:w="294" w:type="pct"/>
            <w:tcMar>
              <w:left w:w="28" w:type="dxa"/>
              <w:right w:w="28" w:type="dxa"/>
            </w:tcMar>
            <w:vAlign w:val="bottom"/>
          </w:tcPr>
          <w:p w14:paraId="724777EB"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AD061DD" w14:textId="77D5290A"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w:t>
            </w:r>
          </w:p>
        </w:tc>
        <w:tc>
          <w:tcPr>
            <w:tcW w:w="881" w:type="pct"/>
            <w:shd w:val="clear" w:color="auto" w:fill="auto"/>
            <w:vAlign w:val="bottom"/>
          </w:tcPr>
          <w:p w14:paraId="67473FE9" w14:textId="0F028643"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w:t>
            </w:r>
          </w:p>
        </w:tc>
      </w:tr>
      <w:tr w:rsidR="00B44E2B" w:rsidRPr="00FB38E1" w14:paraId="34FDADF5" w14:textId="77777777" w:rsidTr="00140550">
        <w:trPr>
          <w:trHeight w:val="167"/>
        </w:trPr>
        <w:tc>
          <w:tcPr>
            <w:tcW w:w="231" w:type="pct"/>
            <w:tcMar>
              <w:left w:w="28" w:type="dxa"/>
              <w:right w:w="28" w:type="dxa"/>
            </w:tcMar>
            <w:vAlign w:val="bottom"/>
          </w:tcPr>
          <w:p w14:paraId="49717341"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784" w:type="pct"/>
            <w:tcMar>
              <w:left w:w="28" w:type="dxa"/>
              <w:right w:w="28" w:type="dxa"/>
            </w:tcMar>
            <w:vAlign w:val="bottom"/>
          </w:tcPr>
          <w:p w14:paraId="205F626D" w14:textId="77777777"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294" w:type="pct"/>
            <w:tcMar>
              <w:left w:w="28" w:type="dxa"/>
              <w:right w:w="28" w:type="dxa"/>
            </w:tcMar>
            <w:vAlign w:val="bottom"/>
          </w:tcPr>
          <w:p w14:paraId="064FB2F6" w14:textId="77777777" w:rsidR="00B44E2B" w:rsidRPr="00FB38E1" w:rsidRDefault="00B44E2B" w:rsidP="00B44E2B">
            <w:pPr>
              <w:rPr>
                <w:rFonts w:ascii="Microsoft Sans Serif" w:hAnsi="Microsoft Sans Serif" w:cs="Microsoft Sans Serif"/>
                <w:sz w:val="12"/>
                <w:szCs w:val="12"/>
              </w:rPr>
            </w:pPr>
          </w:p>
        </w:tc>
        <w:tc>
          <w:tcPr>
            <w:tcW w:w="810" w:type="pct"/>
            <w:tcMar>
              <w:left w:w="28" w:type="dxa"/>
              <w:right w:w="28" w:type="dxa"/>
            </w:tcMar>
            <w:vAlign w:val="bottom"/>
          </w:tcPr>
          <w:p w14:paraId="3A914628" w14:textId="241DE9C8" w:rsidR="00B44E2B" w:rsidRPr="00FB38E1" w:rsidRDefault="00B44E2B" w:rsidP="00B44E2B">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 </w:t>
            </w:r>
          </w:p>
        </w:tc>
        <w:tc>
          <w:tcPr>
            <w:tcW w:w="881" w:type="pct"/>
            <w:shd w:val="clear" w:color="auto" w:fill="auto"/>
            <w:vAlign w:val="bottom"/>
          </w:tcPr>
          <w:p w14:paraId="723D4E9C" w14:textId="75E6DA3F" w:rsidR="00B44E2B" w:rsidRPr="00FB38E1" w:rsidRDefault="00B44E2B" w:rsidP="00B44E2B">
            <w:pPr>
              <w:jc w:val="right"/>
              <w:rPr>
                <w:rFonts w:ascii="Microsoft Sans Serif" w:hAnsi="Microsoft Sans Serif" w:cs="Microsoft Sans Serif"/>
                <w:color w:val="FF0000"/>
                <w:sz w:val="12"/>
                <w:szCs w:val="12"/>
              </w:rPr>
            </w:pPr>
            <w:r w:rsidRPr="00FB38E1">
              <w:rPr>
                <w:rFonts w:ascii="Microsoft Sans Serif" w:hAnsi="Microsoft Sans Serif" w:cs="Microsoft Sans Serif"/>
                <w:sz w:val="12"/>
                <w:szCs w:val="12"/>
              </w:rPr>
              <w:t> </w:t>
            </w:r>
          </w:p>
        </w:tc>
      </w:tr>
      <w:tr w:rsidR="00B44E2B" w:rsidRPr="00FB38E1" w14:paraId="075B8E2D" w14:textId="77777777" w:rsidTr="00140550">
        <w:trPr>
          <w:trHeight w:val="167"/>
        </w:trPr>
        <w:tc>
          <w:tcPr>
            <w:tcW w:w="231" w:type="pct"/>
            <w:tcMar>
              <w:left w:w="28" w:type="dxa"/>
              <w:right w:w="28" w:type="dxa"/>
            </w:tcMar>
            <w:vAlign w:val="bottom"/>
          </w:tcPr>
          <w:p w14:paraId="03077071"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IV.</w:t>
            </w:r>
          </w:p>
        </w:tc>
        <w:tc>
          <w:tcPr>
            <w:tcW w:w="2784" w:type="pct"/>
            <w:tcMar>
              <w:left w:w="28" w:type="dxa"/>
              <w:right w:w="28" w:type="dxa"/>
            </w:tcMar>
            <w:vAlign w:val="bottom"/>
          </w:tcPr>
          <w:p w14:paraId="4F7149C2"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Döviz Kurundaki Değişimin Nakit ve Nakde Eşdeğer Varlıklar Üzerindeki Etkisi (+/-)</w:t>
            </w:r>
          </w:p>
        </w:tc>
        <w:tc>
          <w:tcPr>
            <w:tcW w:w="294" w:type="pct"/>
            <w:tcMar>
              <w:left w:w="28" w:type="dxa"/>
              <w:right w:w="28" w:type="dxa"/>
            </w:tcMar>
            <w:vAlign w:val="bottom"/>
          </w:tcPr>
          <w:p w14:paraId="482785D9" w14:textId="7F5619AB"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(5.VI.c)</w:t>
            </w:r>
          </w:p>
        </w:tc>
        <w:tc>
          <w:tcPr>
            <w:tcW w:w="810" w:type="pct"/>
            <w:tcMar>
              <w:left w:w="28" w:type="dxa"/>
              <w:right w:w="28" w:type="dxa"/>
            </w:tcMar>
            <w:vAlign w:val="bottom"/>
          </w:tcPr>
          <w:p w14:paraId="2F46B5AB" w14:textId="1B1C032B"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12.917.691</w:t>
            </w:r>
          </w:p>
        </w:tc>
        <w:tc>
          <w:tcPr>
            <w:tcW w:w="881" w:type="pct"/>
            <w:shd w:val="clear" w:color="auto" w:fill="auto"/>
            <w:vAlign w:val="bottom"/>
          </w:tcPr>
          <w:p w14:paraId="46B420CF" w14:textId="6B2E1DC2"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9.559.208</w:t>
            </w:r>
          </w:p>
        </w:tc>
      </w:tr>
      <w:tr w:rsidR="00B44E2B" w:rsidRPr="00FB38E1" w14:paraId="518C2F6D" w14:textId="77777777" w:rsidTr="00140550">
        <w:trPr>
          <w:trHeight w:val="167"/>
        </w:trPr>
        <w:tc>
          <w:tcPr>
            <w:tcW w:w="231" w:type="pct"/>
            <w:tcMar>
              <w:left w:w="28" w:type="dxa"/>
              <w:right w:w="28" w:type="dxa"/>
            </w:tcMar>
            <w:vAlign w:val="bottom"/>
          </w:tcPr>
          <w:p w14:paraId="5E6A1A2E" w14:textId="77777777" w:rsidR="00B44E2B" w:rsidRPr="00FB38E1" w:rsidRDefault="00B44E2B" w:rsidP="00B44E2B">
            <w:pPr>
              <w:rPr>
                <w:rFonts w:ascii="Microsoft Sans Serif" w:hAnsi="Microsoft Sans Serif" w:cs="Microsoft Sans Serif"/>
                <w:b/>
                <w:bCs/>
                <w:sz w:val="12"/>
                <w:szCs w:val="12"/>
              </w:rPr>
            </w:pPr>
          </w:p>
        </w:tc>
        <w:tc>
          <w:tcPr>
            <w:tcW w:w="2784" w:type="pct"/>
            <w:tcMar>
              <w:left w:w="28" w:type="dxa"/>
              <w:right w:w="28" w:type="dxa"/>
            </w:tcMar>
            <w:vAlign w:val="bottom"/>
          </w:tcPr>
          <w:p w14:paraId="277B3BA4" w14:textId="77777777" w:rsidR="00B44E2B" w:rsidRPr="00FB38E1" w:rsidRDefault="00B44E2B" w:rsidP="00B44E2B">
            <w:pPr>
              <w:rPr>
                <w:rFonts w:ascii="Microsoft Sans Serif" w:hAnsi="Microsoft Sans Serif" w:cs="Microsoft Sans Serif"/>
                <w:b/>
                <w:bCs/>
                <w:sz w:val="12"/>
                <w:szCs w:val="12"/>
              </w:rPr>
            </w:pPr>
          </w:p>
        </w:tc>
        <w:tc>
          <w:tcPr>
            <w:tcW w:w="294" w:type="pct"/>
            <w:tcMar>
              <w:left w:w="28" w:type="dxa"/>
              <w:right w:w="28" w:type="dxa"/>
            </w:tcMar>
            <w:vAlign w:val="bottom"/>
          </w:tcPr>
          <w:p w14:paraId="3DABCFC1"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034DFC67" w14:textId="7C370292"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81" w:type="pct"/>
            <w:shd w:val="clear" w:color="auto" w:fill="auto"/>
            <w:vAlign w:val="bottom"/>
          </w:tcPr>
          <w:p w14:paraId="61D8B45D" w14:textId="0D7CD6C0"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 </w:t>
            </w:r>
          </w:p>
        </w:tc>
      </w:tr>
      <w:tr w:rsidR="00B44E2B" w:rsidRPr="00FB38E1" w14:paraId="1849BCDC" w14:textId="77777777" w:rsidTr="00140550">
        <w:trPr>
          <w:trHeight w:val="167"/>
        </w:trPr>
        <w:tc>
          <w:tcPr>
            <w:tcW w:w="231" w:type="pct"/>
            <w:tcMar>
              <w:left w:w="28" w:type="dxa"/>
              <w:right w:w="28" w:type="dxa"/>
            </w:tcMar>
            <w:vAlign w:val="bottom"/>
          </w:tcPr>
          <w:p w14:paraId="0A0438B3"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V.</w:t>
            </w:r>
          </w:p>
        </w:tc>
        <w:tc>
          <w:tcPr>
            <w:tcW w:w="2784" w:type="pct"/>
            <w:tcMar>
              <w:left w:w="28" w:type="dxa"/>
              <w:right w:w="28" w:type="dxa"/>
            </w:tcMar>
            <w:vAlign w:val="bottom"/>
          </w:tcPr>
          <w:p w14:paraId="5EFFE52C"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Nakit ve Nakde Eşdeğer Varlıklardaki Net Artış</w:t>
            </w:r>
          </w:p>
        </w:tc>
        <w:tc>
          <w:tcPr>
            <w:tcW w:w="294" w:type="pct"/>
            <w:tcMar>
              <w:left w:w="28" w:type="dxa"/>
              <w:right w:w="28" w:type="dxa"/>
            </w:tcMar>
            <w:vAlign w:val="bottom"/>
          </w:tcPr>
          <w:p w14:paraId="1A07A107" w14:textId="2523A1FE"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(5.VI.c)</w:t>
            </w:r>
          </w:p>
        </w:tc>
        <w:tc>
          <w:tcPr>
            <w:tcW w:w="810" w:type="pct"/>
            <w:tcMar>
              <w:left w:w="28" w:type="dxa"/>
              <w:right w:w="28" w:type="dxa"/>
            </w:tcMar>
            <w:vAlign w:val="bottom"/>
          </w:tcPr>
          <w:p w14:paraId="31B94D6E" w14:textId="44CCD6F7"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6.419.745</w:t>
            </w:r>
          </w:p>
        </w:tc>
        <w:tc>
          <w:tcPr>
            <w:tcW w:w="881" w:type="pct"/>
            <w:shd w:val="clear" w:color="auto" w:fill="auto"/>
            <w:vAlign w:val="bottom"/>
          </w:tcPr>
          <w:p w14:paraId="2CDC3E2B" w14:textId="0F9C7586"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165.659.597</w:t>
            </w:r>
          </w:p>
        </w:tc>
      </w:tr>
      <w:tr w:rsidR="00B44E2B" w:rsidRPr="00FB38E1" w14:paraId="283BF24C" w14:textId="77777777" w:rsidTr="00140550">
        <w:trPr>
          <w:trHeight w:val="167"/>
        </w:trPr>
        <w:tc>
          <w:tcPr>
            <w:tcW w:w="231" w:type="pct"/>
            <w:tcMar>
              <w:left w:w="28" w:type="dxa"/>
              <w:right w:w="28" w:type="dxa"/>
            </w:tcMar>
            <w:vAlign w:val="bottom"/>
          </w:tcPr>
          <w:p w14:paraId="5FDEF11A" w14:textId="77777777" w:rsidR="00B44E2B" w:rsidRPr="00FB38E1" w:rsidRDefault="00B44E2B" w:rsidP="00B44E2B">
            <w:pPr>
              <w:rPr>
                <w:rFonts w:ascii="Microsoft Sans Serif" w:hAnsi="Microsoft Sans Serif" w:cs="Microsoft Sans Serif"/>
                <w:b/>
                <w:bCs/>
                <w:sz w:val="12"/>
                <w:szCs w:val="12"/>
              </w:rPr>
            </w:pPr>
          </w:p>
        </w:tc>
        <w:tc>
          <w:tcPr>
            <w:tcW w:w="2784" w:type="pct"/>
            <w:tcMar>
              <w:left w:w="28" w:type="dxa"/>
              <w:right w:w="28" w:type="dxa"/>
            </w:tcMar>
            <w:vAlign w:val="bottom"/>
          </w:tcPr>
          <w:p w14:paraId="06D46098" w14:textId="77777777" w:rsidR="00B44E2B" w:rsidRPr="00FB38E1" w:rsidRDefault="00B44E2B" w:rsidP="00B44E2B">
            <w:pPr>
              <w:rPr>
                <w:rFonts w:ascii="Microsoft Sans Serif" w:hAnsi="Microsoft Sans Serif" w:cs="Microsoft Sans Serif"/>
                <w:b/>
                <w:bCs/>
                <w:sz w:val="12"/>
                <w:szCs w:val="12"/>
              </w:rPr>
            </w:pPr>
          </w:p>
        </w:tc>
        <w:tc>
          <w:tcPr>
            <w:tcW w:w="294" w:type="pct"/>
            <w:tcMar>
              <w:left w:w="28" w:type="dxa"/>
              <w:right w:w="28" w:type="dxa"/>
            </w:tcMar>
            <w:vAlign w:val="bottom"/>
          </w:tcPr>
          <w:p w14:paraId="1C8A5B26"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02D76F90" w14:textId="4A84315C"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81" w:type="pct"/>
            <w:shd w:val="clear" w:color="auto" w:fill="auto"/>
            <w:vAlign w:val="bottom"/>
          </w:tcPr>
          <w:p w14:paraId="1DDFA7FA" w14:textId="663A0ECB"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 </w:t>
            </w:r>
          </w:p>
        </w:tc>
      </w:tr>
      <w:tr w:rsidR="00B44E2B" w:rsidRPr="00FB38E1" w14:paraId="57050872" w14:textId="77777777" w:rsidTr="00140550">
        <w:trPr>
          <w:trHeight w:val="167"/>
        </w:trPr>
        <w:tc>
          <w:tcPr>
            <w:tcW w:w="231" w:type="pct"/>
            <w:tcMar>
              <w:left w:w="28" w:type="dxa"/>
              <w:right w:w="28" w:type="dxa"/>
            </w:tcMar>
            <w:vAlign w:val="bottom"/>
          </w:tcPr>
          <w:p w14:paraId="1ECB1B3D"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VI.</w:t>
            </w:r>
          </w:p>
        </w:tc>
        <w:tc>
          <w:tcPr>
            <w:tcW w:w="2784" w:type="pct"/>
            <w:tcMar>
              <w:left w:w="28" w:type="dxa"/>
              <w:right w:w="28" w:type="dxa"/>
            </w:tcMar>
            <w:vAlign w:val="bottom"/>
          </w:tcPr>
          <w:p w14:paraId="70E0AD87"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Dönem Başındaki Nakit ve Nakde Eşdeğer Varlıklar (+)</w:t>
            </w:r>
          </w:p>
        </w:tc>
        <w:tc>
          <w:tcPr>
            <w:tcW w:w="294" w:type="pct"/>
            <w:tcMar>
              <w:left w:w="28" w:type="dxa"/>
              <w:right w:w="28" w:type="dxa"/>
            </w:tcMar>
            <w:vAlign w:val="bottom"/>
          </w:tcPr>
          <w:p w14:paraId="766E00FC" w14:textId="630A6443"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(5.VI.a)</w:t>
            </w:r>
          </w:p>
        </w:tc>
        <w:tc>
          <w:tcPr>
            <w:tcW w:w="810" w:type="pct"/>
            <w:tcMar>
              <w:left w:w="28" w:type="dxa"/>
              <w:right w:w="28" w:type="dxa"/>
            </w:tcMar>
            <w:vAlign w:val="bottom"/>
          </w:tcPr>
          <w:p w14:paraId="7528C7F1" w14:textId="10D97862"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220.781.447</w:t>
            </w:r>
          </w:p>
        </w:tc>
        <w:tc>
          <w:tcPr>
            <w:tcW w:w="881" w:type="pct"/>
            <w:shd w:val="clear" w:color="auto" w:fill="auto"/>
            <w:vAlign w:val="bottom"/>
          </w:tcPr>
          <w:p w14:paraId="388B6741" w14:textId="788003FC"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55.121.850</w:t>
            </w:r>
          </w:p>
        </w:tc>
      </w:tr>
      <w:tr w:rsidR="00B44E2B" w:rsidRPr="00FB38E1" w14:paraId="6D5AE221" w14:textId="77777777" w:rsidTr="00140550">
        <w:trPr>
          <w:trHeight w:val="167"/>
        </w:trPr>
        <w:tc>
          <w:tcPr>
            <w:tcW w:w="231" w:type="pct"/>
            <w:tcMar>
              <w:left w:w="28" w:type="dxa"/>
              <w:right w:w="28" w:type="dxa"/>
            </w:tcMar>
            <w:vAlign w:val="bottom"/>
          </w:tcPr>
          <w:p w14:paraId="7721E377" w14:textId="77777777" w:rsidR="00B44E2B" w:rsidRPr="00FB38E1" w:rsidRDefault="00B44E2B" w:rsidP="00B44E2B">
            <w:pPr>
              <w:rPr>
                <w:rFonts w:ascii="Microsoft Sans Serif" w:hAnsi="Microsoft Sans Serif" w:cs="Microsoft Sans Serif"/>
                <w:b/>
                <w:bCs/>
                <w:sz w:val="12"/>
                <w:szCs w:val="12"/>
              </w:rPr>
            </w:pPr>
          </w:p>
        </w:tc>
        <w:tc>
          <w:tcPr>
            <w:tcW w:w="2784" w:type="pct"/>
            <w:tcMar>
              <w:left w:w="28" w:type="dxa"/>
              <w:right w:w="28" w:type="dxa"/>
            </w:tcMar>
            <w:vAlign w:val="bottom"/>
          </w:tcPr>
          <w:p w14:paraId="6A203534" w14:textId="77777777" w:rsidR="00B44E2B" w:rsidRPr="00FB38E1" w:rsidRDefault="00B44E2B" w:rsidP="00B44E2B">
            <w:pPr>
              <w:rPr>
                <w:rFonts w:ascii="Microsoft Sans Serif" w:hAnsi="Microsoft Sans Serif" w:cs="Microsoft Sans Serif"/>
                <w:b/>
                <w:bCs/>
                <w:sz w:val="12"/>
                <w:szCs w:val="12"/>
              </w:rPr>
            </w:pPr>
          </w:p>
        </w:tc>
        <w:tc>
          <w:tcPr>
            <w:tcW w:w="294" w:type="pct"/>
            <w:tcMar>
              <w:left w:w="28" w:type="dxa"/>
              <w:right w:w="28" w:type="dxa"/>
            </w:tcMar>
            <w:vAlign w:val="bottom"/>
          </w:tcPr>
          <w:p w14:paraId="70A5F829" w14:textId="77777777" w:rsidR="00B44E2B" w:rsidRPr="00FB38E1" w:rsidRDefault="00B44E2B" w:rsidP="00B44E2B">
            <w:pPr>
              <w:rPr>
                <w:rFonts w:ascii="Microsoft Sans Serif" w:hAnsi="Microsoft Sans Serif" w:cs="Microsoft Sans Serif"/>
                <w:b/>
                <w:bCs/>
                <w:sz w:val="12"/>
                <w:szCs w:val="12"/>
              </w:rPr>
            </w:pPr>
          </w:p>
        </w:tc>
        <w:tc>
          <w:tcPr>
            <w:tcW w:w="810" w:type="pct"/>
            <w:tcMar>
              <w:left w:w="28" w:type="dxa"/>
              <w:right w:w="28" w:type="dxa"/>
            </w:tcMar>
            <w:vAlign w:val="bottom"/>
          </w:tcPr>
          <w:p w14:paraId="2A2E28CB" w14:textId="5819DCC2"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w:t>
            </w:r>
          </w:p>
        </w:tc>
        <w:tc>
          <w:tcPr>
            <w:tcW w:w="881" w:type="pct"/>
            <w:shd w:val="clear" w:color="auto" w:fill="auto"/>
            <w:vAlign w:val="bottom"/>
          </w:tcPr>
          <w:p w14:paraId="47DFBCCD" w14:textId="62AD1941"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 </w:t>
            </w:r>
          </w:p>
        </w:tc>
      </w:tr>
      <w:tr w:rsidR="00B44E2B" w:rsidRPr="00FB38E1" w14:paraId="79A6DD4D" w14:textId="77777777" w:rsidTr="00140550">
        <w:trPr>
          <w:trHeight w:val="167"/>
        </w:trPr>
        <w:tc>
          <w:tcPr>
            <w:tcW w:w="231" w:type="pct"/>
            <w:tcBorders>
              <w:bottom w:val="single" w:sz="12" w:space="0" w:color="auto"/>
            </w:tcBorders>
            <w:tcMar>
              <w:left w:w="28" w:type="dxa"/>
              <w:right w:w="28" w:type="dxa"/>
            </w:tcMar>
            <w:vAlign w:val="bottom"/>
          </w:tcPr>
          <w:p w14:paraId="52A20E23"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VII.</w:t>
            </w:r>
          </w:p>
        </w:tc>
        <w:tc>
          <w:tcPr>
            <w:tcW w:w="2784" w:type="pct"/>
            <w:tcBorders>
              <w:bottom w:val="single" w:sz="12" w:space="0" w:color="auto"/>
            </w:tcBorders>
            <w:tcMar>
              <w:left w:w="28" w:type="dxa"/>
              <w:right w:w="28" w:type="dxa"/>
            </w:tcMar>
            <w:vAlign w:val="bottom"/>
          </w:tcPr>
          <w:p w14:paraId="2E054230" w14:textId="77777777" w:rsidR="00B44E2B" w:rsidRPr="00FB38E1" w:rsidRDefault="00B44E2B" w:rsidP="00B44E2B">
            <w:pPr>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 xml:space="preserve">Dönem Sonundaki Nakit ve Nakde Eşdeğer Varlıklar </w:t>
            </w:r>
          </w:p>
        </w:tc>
        <w:tc>
          <w:tcPr>
            <w:tcW w:w="294" w:type="pct"/>
            <w:tcBorders>
              <w:bottom w:val="single" w:sz="12" w:space="0" w:color="auto"/>
            </w:tcBorders>
            <w:tcMar>
              <w:left w:w="28" w:type="dxa"/>
              <w:right w:w="28" w:type="dxa"/>
            </w:tcMar>
            <w:vAlign w:val="bottom"/>
          </w:tcPr>
          <w:p w14:paraId="1AC8ED61" w14:textId="20B55A20" w:rsidR="00B44E2B" w:rsidRPr="00FB38E1" w:rsidRDefault="00B44E2B" w:rsidP="00B44E2B">
            <w:pPr>
              <w:rPr>
                <w:rFonts w:ascii="Microsoft Sans Serif" w:hAnsi="Microsoft Sans Serif" w:cs="Microsoft Sans Serif"/>
                <w:sz w:val="12"/>
                <w:szCs w:val="12"/>
              </w:rPr>
            </w:pPr>
            <w:r w:rsidRPr="00FB38E1">
              <w:rPr>
                <w:rFonts w:ascii="Microsoft Sans Serif" w:hAnsi="Microsoft Sans Serif" w:cs="Microsoft Sans Serif"/>
                <w:sz w:val="12"/>
                <w:szCs w:val="12"/>
              </w:rPr>
              <w:t>(5.VI.a)</w:t>
            </w:r>
          </w:p>
        </w:tc>
        <w:tc>
          <w:tcPr>
            <w:tcW w:w="810" w:type="pct"/>
            <w:tcBorders>
              <w:bottom w:val="single" w:sz="12" w:space="0" w:color="auto"/>
            </w:tcBorders>
            <w:tcMar>
              <w:left w:w="28" w:type="dxa"/>
              <w:right w:w="28" w:type="dxa"/>
            </w:tcMar>
            <w:vAlign w:val="bottom"/>
          </w:tcPr>
          <w:p w14:paraId="29474FB9" w14:textId="1E821126" w:rsidR="00B44E2B" w:rsidRPr="00FB38E1" w:rsidRDefault="00B44E2B" w:rsidP="00B44E2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227.201.192</w:t>
            </w:r>
          </w:p>
        </w:tc>
        <w:tc>
          <w:tcPr>
            <w:tcW w:w="881" w:type="pct"/>
            <w:tcBorders>
              <w:bottom w:val="single" w:sz="12" w:space="0" w:color="auto"/>
            </w:tcBorders>
            <w:shd w:val="clear" w:color="auto" w:fill="auto"/>
            <w:vAlign w:val="bottom"/>
          </w:tcPr>
          <w:p w14:paraId="2FCA2980" w14:textId="3C53AAB2" w:rsidR="00B44E2B" w:rsidRPr="00FB38E1" w:rsidRDefault="00B44E2B" w:rsidP="00B44E2B">
            <w:pPr>
              <w:jc w:val="right"/>
              <w:rPr>
                <w:rFonts w:ascii="Microsoft Sans Serif" w:hAnsi="Microsoft Sans Serif" w:cs="Microsoft Sans Serif"/>
                <w:b/>
                <w:bCs/>
                <w:color w:val="FF0000"/>
                <w:sz w:val="12"/>
                <w:szCs w:val="12"/>
              </w:rPr>
            </w:pPr>
            <w:r w:rsidRPr="00FB38E1">
              <w:rPr>
                <w:rFonts w:ascii="Microsoft Sans Serif" w:hAnsi="Microsoft Sans Serif" w:cs="Microsoft Sans Serif"/>
                <w:b/>
                <w:bCs/>
                <w:sz w:val="12"/>
                <w:szCs w:val="12"/>
              </w:rPr>
              <w:t>220.781.447</w:t>
            </w:r>
          </w:p>
        </w:tc>
      </w:tr>
    </w:tbl>
    <w:p w14:paraId="4561D753" w14:textId="35DCA7DA" w:rsidR="005E6DBC" w:rsidRPr="00FB38E1" w:rsidRDefault="005E6DBC" w:rsidP="005E6DBC">
      <w:pPr>
        <w:spacing w:before="120"/>
        <w:ind w:left="-851"/>
        <w:rPr>
          <w:rFonts w:ascii="Microsoft Sans Serif" w:hAnsi="Microsoft Sans Serif" w:cs="Microsoft Sans Serif"/>
          <w:sz w:val="13"/>
          <w:szCs w:val="13"/>
          <w:lang w:eastAsia="en-GB"/>
        </w:rPr>
      </w:pPr>
    </w:p>
    <w:p w14:paraId="45B259EE" w14:textId="77777777" w:rsidR="007D6882" w:rsidRPr="00FB38E1" w:rsidRDefault="007D6882" w:rsidP="005E6DBC">
      <w:pPr>
        <w:rPr>
          <w:rFonts w:ascii="Microsoft Sans Serif" w:hAnsi="Microsoft Sans Serif" w:cs="Microsoft Sans Serif"/>
          <w:sz w:val="13"/>
          <w:szCs w:val="13"/>
          <w:lang w:eastAsia="en-GB"/>
        </w:rPr>
      </w:pPr>
    </w:p>
    <w:p w14:paraId="7C240419" w14:textId="477CDA34" w:rsidR="005E6DBC" w:rsidRPr="00FB38E1" w:rsidRDefault="005E6DBC" w:rsidP="005E6DBC">
      <w:pPr>
        <w:rPr>
          <w:rFonts w:ascii="Microsoft Sans Serif" w:hAnsi="Microsoft Sans Serif" w:cs="Microsoft Sans Serif"/>
          <w:sz w:val="13"/>
          <w:szCs w:val="13"/>
          <w:lang w:eastAsia="en-GB"/>
        </w:rPr>
      </w:pPr>
    </w:p>
    <w:p w14:paraId="1BCBCF8A" w14:textId="77777777" w:rsidR="004145EA" w:rsidRPr="00FB38E1" w:rsidRDefault="004145EA" w:rsidP="005E6DBC">
      <w:pPr>
        <w:rPr>
          <w:rFonts w:ascii="Microsoft Sans Serif" w:hAnsi="Microsoft Sans Serif" w:cs="Microsoft Sans Serif"/>
          <w:sz w:val="13"/>
          <w:szCs w:val="13"/>
          <w:lang w:eastAsia="en-GB"/>
        </w:rPr>
      </w:pPr>
    </w:p>
    <w:p w14:paraId="754705EB" w14:textId="3689B63A" w:rsidR="005E6DBC" w:rsidRPr="00FB38E1" w:rsidRDefault="005E6DBC" w:rsidP="005E6DBC">
      <w:pPr>
        <w:rPr>
          <w:rFonts w:ascii="Microsoft Sans Serif" w:hAnsi="Microsoft Sans Serif" w:cs="Microsoft Sans Serif"/>
          <w:sz w:val="13"/>
          <w:szCs w:val="13"/>
          <w:lang w:eastAsia="en-GB"/>
        </w:rPr>
      </w:pPr>
    </w:p>
    <w:p w14:paraId="5C20ADB4" w14:textId="0520DEED" w:rsidR="007F2A05" w:rsidRPr="00FB38E1" w:rsidRDefault="007F2A05" w:rsidP="005E6DBC">
      <w:pPr>
        <w:rPr>
          <w:rFonts w:ascii="Microsoft Sans Serif" w:hAnsi="Microsoft Sans Serif" w:cs="Microsoft Sans Serif"/>
          <w:sz w:val="13"/>
          <w:szCs w:val="13"/>
          <w:lang w:eastAsia="en-GB"/>
        </w:rPr>
      </w:pPr>
    </w:p>
    <w:p w14:paraId="5914DBC6" w14:textId="20669FFE" w:rsidR="007F2A05" w:rsidRPr="00FB38E1" w:rsidRDefault="007F2A05" w:rsidP="005E6DBC">
      <w:pPr>
        <w:rPr>
          <w:rFonts w:ascii="Microsoft Sans Serif" w:hAnsi="Microsoft Sans Serif" w:cs="Microsoft Sans Serif"/>
          <w:sz w:val="13"/>
          <w:szCs w:val="13"/>
          <w:lang w:eastAsia="en-GB"/>
        </w:rPr>
      </w:pPr>
    </w:p>
    <w:p w14:paraId="1C14954A" w14:textId="4B025546" w:rsidR="007F2A05" w:rsidRPr="00FB38E1" w:rsidRDefault="007F2A05" w:rsidP="005E6DBC">
      <w:pPr>
        <w:rPr>
          <w:rFonts w:ascii="Microsoft Sans Serif" w:hAnsi="Microsoft Sans Serif" w:cs="Microsoft Sans Serif"/>
          <w:sz w:val="13"/>
          <w:szCs w:val="13"/>
          <w:lang w:eastAsia="en-GB"/>
        </w:rPr>
      </w:pPr>
    </w:p>
    <w:p w14:paraId="7F51214E" w14:textId="51142A52" w:rsidR="007F2A05" w:rsidRPr="00FB38E1" w:rsidRDefault="007F2A05" w:rsidP="005E6DBC">
      <w:pPr>
        <w:rPr>
          <w:rFonts w:ascii="Microsoft Sans Serif" w:hAnsi="Microsoft Sans Serif" w:cs="Microsoft Sans Serif"/>
          <w:sz w:val="13"/>
          <w:szCs w:val="13"/>
          <w:lang w:eastAsia="en-GB"/>
        </w:rPr>
      </w:pPr>
    </w:p>
    <w:tbl>
      <w:tblPr>
        <w:tblStyle w:val="TableGrid"/>
        <w:tblW w:w="492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
        <w:gridCol w:w="5649"/>
        <w:gridCol w:w="419"/>
        <w:gridCol w:w="1397"/>
        <w:gridCol w:w="1531"/>
      </w:tblGrid>
      <w:tr w:rsidR="004145EA" w:rsidRPr="00FB38E1" w14:paraId="28F69143" w14:textId="77777777" w:rsidTr="00836EF2">
        <w:trPr>
          <w:trHeight w:val="185"/>
        </w:trPr>
        <w:tc>
          <w:tcPr>
            <w:tcW w:w="259" w:type="pct"/>
            <w:tcMar>
              <w:left w:w="28" w:type="dxa"/>
              <w:right w:w="28" w:type="dxa"/>
            </w:tcMar>
            <w:vAlign w:val="bottom"/>
          </w:tcPr>
          <w:p w14:paraId="710A5951" w14:textId="77777777" w:rsidR="004145EA" w:rsidRPr="00FB38E1" w:rsidRDefault="004145EA" w:rsidP="00836EF2">
            <w:pP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2977" w:type="pct"/>
            <w:tcMar>
              <w:left w:w="28" w:type="dxa"/>
              <w:right w:w="28" w:type="dxa"/>
            </w:tcMar>
            <w:vAlign w:val="bottom"/>
          </w:tcPr>
          <w:p w14:paraId="35115F14" w14:textId="77777777" w:rsidR="004145EA" w:rsidRPr="00FB38E1" w:rsidRDefault="004145EA" w:rsidP="00836EF2">
            <w:pP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221" w:type="pct"/>
            <w:tcMar>
              <w:left w:w="28" w:type="dxa"/>
              <w:right w:w="28" w:type="dxa"/>
            </w:tcMar>
            <w:vAlign w:val="bottom"/>
          </w:tcPr>
          <w:p w14:paraId="76795668" w14:textId="77777777" w:rsidR="004145EA" w:rsidRPr="00FB38E1" w:rsidRDefault="004145EA" w:rsidP="00836EF2">
            <w:pP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736" w:type="pct"/>
            <w:tcMar>
              <w:left w:w="28" w:type="dxa"/>
              <w:right w:w="28" w:type="dxa"/>
            </w:tcMar>
            <w:vAlign w:val="bottom"/>
          </w:tcPr>
          <w:p w14:paraId="27F4D350" w14:textId="77777777" w:rsidR="004145EA" w:rsidRPr="00FB38E1" w:rsidRDefault="004145EA" w:rsidP="00836EF2">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Bağımsız</w:t>
            </w:r>
          </w:p>
          <w:p w14:paraId="765B5D88" w14:textId="77777777" w:rsidR="004145EA" w:rsidRPr="00FB38E1" w:rsidRDefault="004145EA" w:rsidP="00836EF2">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2"/>
                <w:szCs w:val="12"/>
              </w:rPr>
              <w:t>Denetimden Geçmiş</w:t>
            </w:r>
          </w:p>
        </w:tc>
        <w:tc>
          <w:tcPr>
            <w:tcW w:w="807" w:type="pct"/>
            <w:vAlign w:val="bottom"/>
          </w:tcPr>
          <w:p w14:paraId="2A201076" w14:textId="77777777" w:rsidR="004145EA" w:rsidRPr="00FB38E1" w:rsidRDefault="004145EA" w:rsidP="00836EF2">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Bağımsız</w:t>
            </w:r>
          </w:p>
          <w:p w14:paraId="2B2441A1" w14:textId="77777777" w:rsidR="004145EA" w:rsidRPr="00FB38E1" w:rsidRDefault="004145EA" w:rsidP="00836EF2">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2"/>
                <w:szCs w:val="12"/>
              </w:rPr>
              <w:t>Denetimden Geçmiş</w:t>
            </w:r>
          </w:p>
        </w:tc>
      </w:tr>
      <w:tr w:rsidR="004145EA" w:rsidRPr="00FB38E1" w14:paraId="23EF42F1" w14:textId="77777777" w:rsidTr="00836EF2">
        <w:trPr>
          <w:trHeight w:val="185"/>
        </w:trPr>
        <w:tc>
          <w:tcPr>
            <w:tcW w:w="259" w:type="pct"/>
            <w:tcMar>
              <w:left w:w="28" w:type="dxa"/>
              <w:right w:w="28" w:type="dxa"/>
            </w:tcMar>
            <w:vAlign w:val="bottom"/>
          </w:tcPr>
          <w:p w14:paraId="162F6DAA" w14:textId="77777777" w:rsidR="004145EA" w:rsidRPr="00FB38E1" w:rsidRDefault="004145EA" w:rsidP="00836EF2">
            <w:pPr>
              <w:rPr>
                <w:rFonts w:ascii="Microsoft Sans Serif" w:hAnsi="Microsoft Sans Serif" w:cs="Microsoft Sans Serif"/>
                <w:sz w:val="14"/>
                <w:szCs w:val="14"/>
              </w:rPr>
            </w:pPr>
          </w:p>
        </w:tc>
        <w:tc>
          <w:tcPr>
            <w:tcW w:w="2977" w:type="pct"/>
            <w:tcMar>
              <w:left w:w="28" w:type="dxa"/>
              <w:right w:w="28" w:type="dxa"/>
            </w:tcMar>
            <w:vAlign w:val="bottom"/>
          </w:tcPr>
          <w:p w14:paraId="348EE0AF" w14:textId="77777777" w:rsidR="004145EA" w:rsidRPr="00FB38E1" w:rsidRDefault="004145EA" w:rsidP="00836EF2">
            <w:pPr>
              <w:rPr>
                <w:rFonts w:ascii="Microsoft Sans Serif" w:hAnsi="Microsoft Sans Serif" w:cs="Microsoft Sans Serif"/>
                <w:sz w:val="14"/>
                <w:szCs w:val="14"/>
              </w:rPr>
            </w:pPr>
          </w:p>
        </w:tc>
        <w:tc>
          <w:tcPr>
            <w:tcW w:w="221" w:type="pct"/>
            <w:tcMar>
              <w:left w:w="28" w:type="dxa"/>
              <w:right w:w="28" w:type="dxa"/>
            </w:tcMar>
            <w:vAlign w:val="bottom"/>
          </w:tcPr>
          <w:p w14:paraId="684E6FD1" w14:textId="77777777" w:rsidR="004145EA" w:rsidRPr="00FB38E1" w:rsidRDefault="004145EA" w:rsidP="00836EF2">
            <w:pPr>
              <w:rPr>
                <w:rFonts w:ascii="Microsoft Sans Serif" w:hAnsi="Microsoft Sans Serif" w:cs="Microsoft Sans Serif"/>
                <w:sz w:val="14"/>
                <w:szCs w:val="14"/>
              </w:rPr>
            </w:pPr>
          </w:p>
        </w:tc>
        <w:tc>
          <w:tcPr>
            <w:tcW w:w="736" w:type="pct"/>
            <w:tcMar>
              <w:left w:w="28" w:type="dxa"/>
              <w:right w:w="28" w:type="dxa"/>
            </w:tcMar>
            <w:vAlign w:val="bottom"/>
          </w:tcPr>
          <w:p w14:paraId="24248164" w14:textId="77777777" w:rsidR="004145EA" w:rsidRPr="00FB38E1" w:rsidRDefault="004145EA" w:rsidP="00836EF2">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xml:space="preserve">CARİ DÖNEM </w:t>
            </w:r>
          </w:p>
        </w:tc>
        <w:tc>
          <w:tcPr>
            <w:tcW w:w="807" w:type="pct"/>
            <w:vAlign w:val="bottom"/>
          </w:tcPr>
          <w:p w14:paraId="2784925A" w14:textId="77777777" w:rsidR="004145EA" w:rsidRPr="00FB38E1" w:rsidRDefault="004145EA" w:rsidP="00836EF2">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xml:space="preserve">ÖNCEKİ DÖNEM </w:t>
            </w:r>
          </w:p>
        </w:tc>
      </w:tr>
      <w:tr w:rsidR="004145EA" w:rsidRPr="00FB38E1" w14:paraId="16CB489E" w14:textId="77777777" w:rsidTr="00836EF2">
        <w:trPr>
          <w:trHeight w:val="185"/>
        </w:trPr>
        <w:tc>
          <w:tcPr>
            <w:tcW w:w="259" w:type="pct"/>
            <w:tcBorders>
              <w:bottom w:val="single" w:sz="12" w:space="0" w:color="auto"/>
            </w:tcBorders>
            <w:tcMar>
              <w:left w:w="28" w:type="dxa"/>
              <w:right w:w="28" w:type="dxa"/>
            </w:tcMar>
            <w:vAlign w:val="bottom"/>
          </w:tcPr>
          <w:p w14:paraId="2CE7CC87" w14:textId="77777777" w:rsidR="004145EA" w:rsidRPr="00FB38E1" w:rsidRDefault="004145EA" w:rsidP="00836EF2">
            <w:pP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2977" w:type="pct"/>
            <w:tcBorders>
              <w:bottom w:val="single" w:sz="12" w:space="0" w:color="auto"/>
            </w:tcBorders>
            <w:tcMar>
              <w:left w:w="28" w:type="dxa"/>
              <w:right w:w="28" w:type="dxa"/>
            </w:tcMar>
            <w:vAlign w:val="bottom"/>
          </w:tcPr>
          <w:p w14:paraId="539E1AA1" w14:textId="77777777" w:rsidR="004145EA" w:rsidRPr="00FB38E1" w:rsidRDefault="004145EA" w:rsidP="00836EF2">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221" w:type="pct"/>
            <w:tcBorders>
              <w:bottom w:val="single" w:sz="12" w:space="0" w:color="auto"/>
            </w:tcBorders>
            <w:tcMar>
              <w:left w:w="28" w:type="dxa"/>
              <w:right w:w="28" w:type="dxa"/>
            </w:tcMar>
            <w:vAlign w:val="bottom"/>
          </w:tcPr>
          <w:p w14:paraId="7370662E" w14:textId="77777777" w:rsidR="004145EA" w:rsidRPr="00FB38E1" w:rsidRDefault="004145EA" w:rsidP="00836EF2">
            <w:pPr>
              <w:rPr>
                <w:rFonts w:ascii="Microsoft Sans Serif" w:hAnsi="Microsoft Sans Serif" w:cs="Microsoft Sans Serif"/>
                <w:b/>
                <w:bCs/>
                <w:sz w:val="14"/>
                <w:szCs w:val="14"/>
              </w:rPr>
            </w:pPr>
          </w:p>
        </w:tc>
        <w:tc>
          <w:tcPr>
            <w:tcW w:w="736" w:type="pct"/>
            <w:tcBorders>
              <w:bottom w:val="single" w:sz="12" w:space="0" w:color="auto"/>
            </w:tcBorders>
            <w:tcMar>
              <w:left w:w="28" w:type="dxa"/>
              <w:right w:w="28" w:type="dxa"/>
            </w:tcMar>
            <w:vAlign w:val="bottom"/>
          </w:tcPr>
          <w:p w14:paraId="3A0CEECB" w14:textId="4C22D299" w:rsidR="004145EA" w:rsidRPr="00FB38E1" w:rsidRDefault="004145EA" w:rsidP="004145EA">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(01/01-31/12/2024)</w:t>
            </w:r>
          </w:p>
        </w:tc>
        <w:tc>
          <w:tcPr>
            <w:tcW w:w="807" w:type="pct"/>
            <w:tcBorders>
              <w:bottom w:val="single" w:sz="12" w:space="0" w:color="auto"/>
            </w:tcBorders>
            <w:vAlign w:val="bottom"/>
          </w:tcPr>
          <w:p w14:paraId="1D31B3CC" w14:textId="0AE8BE2D" w:rsidR="004145EA" w:rsidRPr="00FB38E1" w:rsidRDefault="004145EA" w:rsidP="00836EF2">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(01/01-31/12/2023)</w:t>
            </w:r>
          </w:p>
        </w:tc>
      </w:tr>
      <w:tr w:rsidR="004145EA" w:rsidRPr="00FB38E1" w14:paraId="6A899AB5" w14:textId="77777777" w:rsidTr="00836EF2">
        <w:trPr>
          <w:trHeight w:val="185"/>
        </w:trPr>
        <w:tc>
          <w:tcPr>
            <w:tcW w:w="259" w:type="pct"/>
            <w:tcBorders>
              <w:top w:val="single" w:sz="12" w:space="0" w:color="auto"/>
            </w:tcBorders>
            <w:tcMar>
              <w:left w:w="28" w:type="dxa"/>
              <w:right w:w="28" w:type="dxa"/>
            </w:tcMar>
            <w:vAlign w:val="bottom"/>
          </w:tcPr>
          <w:p w14:paraId="0FAD8F06" w14:textId="77777777" w:rsidR="004145EA" w:rsidRPr="00FB38E1" w:rsidRDefault="004145EA" w:rsidP="00836EF2">
            <w:pP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2977" w:type="pct"/>
            <w:tcBorders>
              <w:top w:val="single" w:sz="12" w:space="0" w:color="auto"/>
            </w:tcBorders>
            <w:tcMar>
              <w:left w:w="28" w:type="dxa"/>
              <w:right w:w="28" w:type="dxa"/>
            </w:tcMar>
            <w:vAlign w:val="bottom"/>
          </w:tcPr>
          <w:p w14:paraId="10548072" w14:textId="77777777" w:rsidR="004145EA" w:rsidRPr="00FB38E1" w:rsidRDefault="004145EA" w:rsidP="00836EF2">
            <w:pP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221" w:type="pct"/>
            <w:tcBorders>
              <w:top w:val="single" w:sz="12" w:space="0" w:color="auto"/>
            </w:tcBorders>
            <w:tcMar>
              <w:left w:w="28" w:type="dxa"/>
              <w:right w:w="28" w:type="dxa"/>
            </w:tcMar>
            <w:vAlign w:val="bottom"/>
          </w:tcPr>
          <w:p w14:paraId="14D04FC9" w14:textId="77777777" w:rsidR="004145EA" w:rsidRPr="00FB38E1" w:rsidRDefault="004145EA" w:rsidP="00836EF2">
            <w:pPr>
              <w:rPr>
                <w:rFonts w:ascii="Microsoft Sans Serif" w:hAnsi="Microsoft Sans Serif" w:cs="Microsoft Sans Serif"/>
                <w:sz w:val="14"/>
                <w:szCs w:val="14"/>
              </w:rPr>
            </w:pPr>
          </w:p>
        </w:tc>
        <w:tc>
          <w:tcPr>
            <w:tcW w:w="736" w:type="pct"/>
            <w:tcBorders>
              <w:top w:val="single" w:sz="12" w:space="0" w:color="auto"/>
            </w:tcBorders>
            <w:tcMar>
              <w:left w:w="28" w:type="dxa"/>
              <w:right w:w="28" w:type="dxa"/>
            </w:tcMar>
            <w:vAlign w:val="bottom"/>
          </w:tcPr>
          <w:p w14:paraId="1691989B" w14:textId="77777777" w:rsidR="004145EA" w:rsidRPr="00FB38E1" w:rsidRDefault="004145EA" w:rsidP="00836EF2">
            <w:pP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807" w:type="pct"/>
            <w:tcBorders>
              <w:top w:val="single" w:sz="12" w:space="0" w:color="auto"/>
            </w:tcBorders>
            <w:vAlign w:val="bottom"/>
          </w:tcPr>
          <w:p w14:paraId="6A9829D4" w14:textId="77777777" w:rsidR="004145EA" w:rsidRPr="00FB38E1" w:rsidRDefault="004145EA" w:rsidP="00836EF2">
            <w:pPr>
              <w:rPr>
                <w:rFonts w:ascii="Microsoft Sans Serif" w:hAnsi="Microsoft Sans Serif" w:cs="Microsoft Sans Serif"/>
                <w:sz w:val="14"/>
                <w:szCs w:val="14"/>
              </w:rPr>
            </w:pPr>
          </w:p>
        </w:tc>
      </w:tr>
      <w:tr w:rsidR="004145EA" w:rsidRPr="00FB38E1" w14:paraId="76E2C7BD" w14:textId="77777777" w:rsidTr="00836EF2">
        <w:trPr>
          <w:trHeight w:val="185"/>
        </w:trPr>
        <w:tc>
          <w:tcPr>
            <w:tcW w:w="259" w:type="pct"/>
            <w:tcMar>
              <w:left w:w="28" w:type="dxa"/>
              <w:right w:w="28" w:type="dxa"/>
            </w:tcMar>
            <w:vAlign w:val="bottom"/>
          </w:tcPr>
          <w:p w14:paraId="3C00F2C9" w14:textId="77777777" w:rsidR="004145EA" w:rsidRPr="00FB38E1" w:rsidRDefault="004145EA" w:rsidP="00836EF2">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I.</w:t>
            </w:r>
          </w:p>
        </w:tc>
        <w:tc>
          <w:tcPr>
            <w:tcW w:w="2977" w:type="pct"/>
            <w:tcMar>
              <w:left w:w="28" w:type="dxa"/>
              <w:right w:w="28" w:type="dxa"/>
            </w:tcMar>
            <w:vAlign w:val="bottom"/>
          </w:tcPr>
          <w:p w14:paraId="0B6EEB7B" w14:textId="77777777" w:rsidR="004145EA" w:rsidRPr="00FB38E1" w:rsidRDefault="004145EA" w:rsidP="00836EF2">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xml:space="preserve">DÖNEM KÂRININ DAĞITIMI </w:t>
            </w:r>
          </w:p>
        </w:tc>
        <w:tc>
          <w:tcPr>
            <w:tcW w:w="221" w:type="pct"/>
            <w:tcMar>
              <w:left w:w="28" w:type="dxa"/>
              <w:right w:w="28" w:type="dxa"/>
            </w:tcMar>
            <w:vAlign w:val="bottom"/>
          </w:tcPr>
          <w:p w14:paraId="394C74B9" w14:textId="77777777" w:rsidR="004145EA" w:rsidRPr="00FB38E1" w:rsidRDefault="004145EA" w:rsidP="00836EF2">
            <w:pPr>
              <w:rPr>
                <w:rFonts w:ascii="Microsoft Sans Serif" w:hAnsi="Microsoft Sans Serif" w:cs="Microsoft Sans Serif"/>
                <w:b/>
                <w:bCs/>
                <w:sz w:val="14"/>
                <w:szCs w:val="14"/>
              </w:rPr>
            </w:pPr>
          </w:p>
        </w:tc>
        <w:tc>
          <w:tcPr>
            <w:tcW w:w="736" w:type="pct"/>
            <w:tcMar>
              <w:left w:w="28" w:type="dxa"/>
              <w:right w:w="28" w:type="dxa"/>
            </w:tcMar>
            <w:vAlign w:val="bottom"/>
          </w:tcPr>
          <w:p w14:paraId="4526A909" w14:textId="77777777" w:rsidR="004145EA" w:rsidRPr="00FB38E1" w:rsidRDefault="004145EA" w:rsidP="00836EF2">
            <w:pPr>
              <w:jc w:val="cente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807" w:type="pct"/>
            <w:vAlign w:val="bottom"/>
          </w:tcPr>
          <w:p w14:paraId="772F9136" w14:textId="77777777" w:rsidR="004145EA" w:rsidRPr="00FB38E1" w:rsidRDefault="004145EA" w:rsidP="00836EF2">
            <w:pPr>
              <w:jc w:val="center"/>
              <w:rPr>
                <w:rFonts w:ascii="Microsoft Sans Serif" w:hAnsi="Microsoft Sans Serif" w:cs="Microsoft Sans Serif"/>
                <w:sz w:val="14"/>
                <w:szCs w:val="14"/>
              </w:rPr>
            </w:pPr>
          </w:p>
        </w:tc>
      </w:tr>
      <w:tr w:rsidR="004145EA" w:rsidRPr="00FB38E1" w14:paraId="7BDFD429" w14:textId="77777777" w:rsidTr="00836EF2">
        <w:trPr>
          <w:trHeight w:val="185"/>
        </w:trPr>
        <w:tc>
          <w:tcPr>
            <w:tcW w:w="259" w:type="pct"/>
            <w:tcMar>
              <w:left w:w="28" w:type="dxa"/>
              <w:right w:w="28" w:type="dxa"/>
            </w:tcMar>
            <w:vAlign w:val="bottom"/>
          </w:tcPr>
          <w:p w14:paraId="75159910" w14:textId="77777777" w:rsidR="004145EA" w:rsidRPr="00FB38E1" w:rsidRDefault="004145EA" w:rsidP="00836EF2">
            <w:pP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2977" w:type="pct"/>
            <w:tcMar>
              <w:left w:w="28" w:type="dxa"/>
              <w:right w:w="28" w:type="dxa"/>
            </w:tcMar>
            <w:vAlign w:val="bottom"/>
          </w:tcPr>
          <w:p w14:paraId="589E014F" w14:textId="77777777" w:rsidR="004145EA" w:rsidRPr="00FB38E1" w:rsidRDefault="004145EA" w:rsidP="00836EF2">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221" w:type="pct"/>
            <w:tcMar>
              <w:left w:w="28" w:type="dxa"/>
              <w:right w:w="28" w:type="dxa"/>
            </w:tcMar>
            <w:vAlign w:val="bottom"/>
          </w:tcPr>
          <w:p w14:paraId="40A50F56" w14:textId="77777777" w:rsidR="004145EA" w:rsidRPr="00FB38E1" w:rsidRDefault="004145EA" w:rsidP="00836EF2">
            <w:pPr>
              <w:rPr>
                <w:rFonts w:ascii="Microsoft Sans Serif" w:hAnsi="Microsoft Sans Serif" w:cs="Microsoft Sans Serif"/>
                <w:b/>
                <w:bCs/>
                <w:sz w:val="14"/>
                <w:szCs w:val="14"/>
              </w:rPr>
            </w:pPr>
          </w:p>
        </w:tc>
        <w:tc>
          <w:tcPr>
            <w:tcW w:w="736" w:type="pct"/>
            <w:tcMar>
              <w:left w:w="28" w:type="dxa"/>
              <w:right w:w="28" w:type="dxa"/>
            </w:tcMar>
            <w:vAlign w:val="bottom"/>
          </w:tcPr>
          <w:p w14:paraId="174A35B4" w14:textId="77777777" w:rsidR="004145EA" w:rsidRPr="00FB38E1" w:rsidRDefault="004145EA" w:rsidP="00836EF2">
            <w:pPr>
              <w:jc w:val="center"/>
              <w:rPr>
                <w:rFonts w:ascii="Microsoft Sans Serif" w:hAnsi="Microsoft Sans Serif" w:cs="Microsoft Sans Serif"/>
                <w:sz w:val="14"/>
                <w:szCs w:val="14"/>
              </w:rPr>
            </w:pPr>
            <w:r w:rsidRPr="00FB38E1">
              <w:rPr>
                <w:rFonts w:ascii="Microsoft Sans Serif" w:hAnsi="Microsoft Sans Serif" w:cs="Microsoft Sans Serif"/>
                <w:sz w:val="14"/>
                <w:szCs w:val="14"/>
              </w:rPr>
              <w:t> </w:t>
            </w:r>
          </w:p>
        </w:tc>
        <w:tc>
          <w:tcPr>
            <w:tcW w:w="807" w:type="pct"/>
            <w:vAlign w:val="bottom"/>
          </w:tcPr>
          <w:p w14:paraId="14FAFD9B" w14:textId="77777777" w:rsidR="004145EA" w:rsidRPr="00FB38E1" w:rsidRDefault="004145EA" w:rsidP="00836EF2">
            <w:pPr>
              <w:jc w:val="center"/>
              <w:rPr>
                <w:rFonts w:ascii="Microsoft Sans Serif" w:hAnsi="Microsoft Sans Serif" w:cs="Microsoft Sans Serif"/>
                <w:sz w:val="14"/>
                <w:szCs w:val="14"/>
              </w:rPr>
            </w:pPr>
          </w:p>
        </w:tc>
      </w:tr>
      <w:tr w:rsidR="00581587" w:rsidRPr="00FB38E1" w14:paraId="74F6B7C4" w14:textId="77777777" w:rsidTr="00836EF2">
        <w:trPr>
          <w:trHeight w:val="185"/>
        </w:trPr>
        <w:tc>
          <w:tcPr>
            <w:tcW w:w="259" w:type="pct"/>
            <w:tcMar>
              <w:left w:w="28" w:type="dxa"/>
              <w:right w:w="28" w:type="dxa"/>
            </w:tcMar>
            <w:vAlign w:val="bottom"/>
          </w:tcPr>
          <w:p w14:paraId="54DB1338"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1.1</w:t>
            </w:r>
          </w:p>
        </w:tc>
        <w:tc>
          <w:tcPr>
            <w:tcW w:w="2977" w:type="pct"/>
            <w:tcMar>
              <w:left w:w="28" w:type="dxa"/>
              <w:right w:w="28" w:type="dxa"/>
            </w:tcMar>
            <w:vAlign w:val="bottom"/>
          </w:tcPr>
          <w:p w14:paraId="737D1B97"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DÖNEM KARI</w:t>
            </w:r>
          </w:p>
        </w:tc>
        <w:tc>
          <w:tcPr>
            <w:tcW w:w="221" w:type="pct"/>
            <w:tcMar>
              <w:left w:w="28" w:type="dxa"/>
              <w:right w:w="28" w:type="dxa"/>
            </w:tcMar>
            <w:vAlign w:val="bottom"/>
          </w:tcPr>
          <w:p w14:paraId="21985E4D"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6D667FEB" w14:textId="149E9466"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51.883.057</w:t>
            </w:r>
          </w:p>
        </w:tc>
        <w:tc>
          <w:tcPr>
            <w:tcW w:w="807" w:type="pct"/>
            <w:tcBorders>
              <w:top w:val="nil"/>
              <w:left w:val="nil"/>
              <w:bottom w:val="nil"/>
              <w:right w:val="nil"/>
            </w:tcBorders>
            <w:shd w:val="clear" w:color="000000" w:fill="FFFFFF"/>
          </w:tcPr>
          <w:p w14:paraId="1046534F" w14:textId="4B7FB2D2"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34.584.622</w:t>
            </w:r>
          </w:p>
        </w:tc>
      </w:tr>
      <w:tr w:rsidR="00581587" w:rsidRPr="00FB38E1" w14:paraId="4CA3A1F8" w14:textId="77777777" w:rsidTr="00836EF2">
        <w:trPr>
          <w:trHeight w:val="185"/>
        </w:trPr>
        <w:tc>
          <w:tcPr>
            <w:tcW w:w="259" w:type="pct"/>
            <w:tcMar>
              <w:left w:w="28" w:type="dxa"/>
              <w:right w:w="28" w:type="dxa"/>
            </w:tcMar>
            <w:vAlign w:val="bottom"/>
          </w:tcPr>
          <w:p w14:paraId="37F4D1A4"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1.2</w:t>
            </w:r>
          </w:p>
        </w:tc>
        <w:tc>
          <w:tcPr>
            <w:tcW w:w="2977" w:type="pct"/>
            <w:tcMar>
              <w:left w:w="28" w:type="dxa"/>
              <w:right w:w="28" w:type="dxa"/>
            </w:tcMar>
            <w:vAlign w:val="bottom"/>
          </w:tcPr>
          <w:p w14:paraId="461B48BC"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ÖDENECEK VERGİ VE YASAL YÜKÜMLÜLÜKLER (-)</w:t>
            </w:r>
          </w:p>
        </w:tc>
        <w:tc>
          <w:tcPr>
            <w:tcW w:w="221" w:type="pct"/>
            <w:tcMar>
              <w:left w:w="28" w:type="dxa"/>
              <w:right w:w="28" w:type="dxa"/>
            </w:tcMar>
            <w:vAlign w:val="bottom"/>
          </w:tcPr>
          <w:p w14:paraId="1FC22B11"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76FAEBB0" w14:textId="68B6DEA9"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(6.913.560)</w:t>
            </w:r>
          </w:p>
        </w:tc>
        <w:tc>
          <w:tcPr>
            <w:tcW w:w="807" w:type="pct"/>
            <w:tcBorders>
              <w:top w:val="nil"/>
              <w:left w:val="nil"/>
              <w:bottom w:val="nil"/>
              <w:right w:val="nil"/>
            </w:tcBorders>
            <w:shd w:val="clear" w:color="000000" w:fill="FFFFFF"/>
          </w:tcPr>
          <w:p w14:paraId="1330A7D7" w14:textId="00B75878"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(6.706.837)</w:t>
            </w:r>
          </w:p>
        </w:tc>
      </w:tr>
      <w:tr w:rsidR="00581587" w:rsidRPr="00FB38E1" w14:paraId="1DE0E447" w14:textId="77777777" w:rsidTr="00836EF2">
        <w:trPr>
          <w:trHeight w:val="185"/>
        </w:trPr>
        <w:tc>
          <w:tcPr>
            <w:tcW w:w="259" w:type="pct"/>
            <w:tcMar>
              <w:left w:w="28" w:type="dxa"/>
              <w:right w:w="28" w:type="dxa"/>
            </w:tcMar>
            <w:vAlign w:val="bottom"/>
          </w:tcPr>
          <w:p w14:paraId="3C899025"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1.2.1</w:t>
            </w:r>
          </w:p>
        </w:tc>
        <w:tc>
          <w:tcPr>
            <w:tcW w:w="2977" w:type="pct"/>
            <w:tcMar>
              <w:left w:w="28" w:type="dxa"/>
              <w:right w:w="28" w:type="dxa"/>
            </w:tcMar>
            <w:vAlign w:val="bottom"/>
          </w:tcPr>
          <w:p w14:paraId="046BA83F"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Kurumlar Vergisi (Gelir Vergisi)</w:t>
            </w:r>
          </w:p>
        </w:tc>
        <w:tc>
          <w:tcPr>
            <w:tcW w:w="221" w:type="pct"/>
            <w:tcMar>
              <w:left w:w="28" w:type="dxa"/>
              <w:right w:w="28" w:type="dxa"/>
            </w:tcMar>
            <w:vAlign w:val="bottom"/>
          </w:tcPr>
          <w:p w14:paraId="31223355"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0818116F" w14:textId="177CEAD1"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(6.724.275)</w:t>
            </w:r>
          </w:p>
        </w:tc>
        <w:tc>
          <w:tcPr>
            <w:tcW w:w="807" w:type="pct"/>
            <w:tcBorders>
              <w:top w:val="nil"/>
              <w:left w:val="nil"/>
              <w:bottom w:val="nil"/>
              <w:right w:val="nil"/>
            </w:tcBorders>
            <w:shd w:val="clear" w:color="000000" w:fill="FFFFFF"/>
          </w:tcPr>
          <w:p w14:paraId="1E6182BA" w14:textId="465571FF"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(326.714)</w:t>
            </w:r>
          </w:p>
        </w:tc>
      </w:tr>
      <w:tr w:rsidR="00581587" w:rsidRPr="00FB38E1" w14:paraId="5FBD7E4C" w14:textId="77777777" w:rsidTr="00836EF2">
        <w:trPr>
          <w:trHeight w:val="185"/>
        </w:trPr>
        <w:tc>
          <w:tcPr>
            <w:tcW w:w="259" w:type="pct"/>
            <w:tcMar>
              <w:left w:w="28" w:type="dxa"/>
              <w:right w:w="28" w:type="dxa"/>
            </w:tcMar>
            <w:vAlign w:val="bottom"/>
          </w:tcPr>
          <w:p w14:paraId="57A22EF0"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1.2.2</w:t>
            </w:r>
          </w:p>
        </w:tc>
        <w:tc>
          <w:tcPr>
            <w:tcW w:w="2977" w:type="pct"/>
            <w:tcMar>
              <w:left w:w="28" w:type="dxa"/>
              <w:right w:w="28" w:type="dxa"/>
            </w:tcMar>
            <w:vAlign w:val="bottom"/>
          </w:tcPr>
          <w:p w14:paraId="03EFA168"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Gelir Vergisi Kesintisi</w:t>
            </w:r>
          </w:p>
        </w:tc>
        <w:tc>
          <w:tcPr>
            <w:tcW w:w="221" w:type="pct"/>
            <w:tcMar>
              <w:left w:w="28" w:type="dxa"/>
              <w:right w:w="28" w:type="dxa"/>
            </w:tcMar>
            <w:vAlign w:val="bottom"/>
          </w:tcPr>
          <w:p w14:paraId="1B0FBBB2"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45A055E2" w14:textId="2ACFD2A7"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330B9E1D" w14:textId="4C92BA5A"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6AD293BD" w14:textId="77777777" w:rsidTr="00836EF2">
        <w:trPr>
          <w:trHeight w:val="185"/>
        </w:trPr>
        <w:tc>
          <w:tcPr>
            <w:tcW w:w="259" w:type="pct"/>
            <w:tcMar>
              <w:left w:w="28" w:type="dxa"/>
              <w:right w:w="28" w:type="dxa"/>
            </w:tcMar>
            <w:vAlign w:val="bottom"/>
          </w:tcPr>
          <w:p w14:paraId="03A3198E"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1.2.3</w:t>
            </w:r>
          </w:p>
        </w:tc>
        <w:tc>
          <w:tcPr>
            <w:tcW w:w="2977" w:type="pct"/>
            <w:tcMar>
              <w:left w:w="28" w:type="dxa"/>
              <w:right w:w="28" w:type="dxa"/>
            </w:tcMar>
            <w:vAlign w:val="bottom"/>
          </w:tcPr>
          <w:p w14:paraId="23181E4D"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 xml:space="preserve">Diğer Vergi ve Yasal Yükümlülükler </w:t>
            </w:r>
          </w:p>
        </w:tc>
        <w:tc>
          <w:tcPr>
            <w:tcW w:w="221" w:type="pct"/>
            <w:tcMar>
              <w:left w:w="28" w:type="dxa"/>
              <w:right w:w="28" w:type="dxa"/>
            </w:tcMar>
            <w:vAlign w:val="bottom"/>
          </w:tcPr>
          <w:p w14:paraId="6F4F2EE9"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4BC790A9" w14:textId="15757304"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(189.285)</w:t>
            </w:r>
          </w:p>
        </w:tc>
        <w:tc>
          <w:tcPr>
            <w:tcW w:w="807" w:type="pct"/>
            <w:tcBorders>
              <w:top w:val="nil"/>
              <w:left w:val="nil"/>
              <w:bottom w:val="nil"/>
              <w:right w:val="nil"/>
            </w:tcBorders>
            <w:shd w:val="clear" w:color="000000" w:fill="FFFFFF"/>
          </w:tcPr>
          <w:p w14:paraId="42059283" w14:textId="45CCF33A"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(6.380.123)</w:t>
            </w:r>
          </w:p>
        </w:tc>
      </w:tr>
      <w:tr w:rsidR="00581587" w:rsidRPr="00FB38E1" w14:paraId="7C1084BA" w14:textId="77777777" w:rsidTr="00836EF2">
        <w:trPr>
          <w:trHeight w:val="185"/>
        </w:trPr>
        <w:tc>
          <w:tcPr>
            <w:tcW w:w="259" w:type="pct"/>
            <w:tcMar>
              <w:left w:w="28" w:type="dxa"/>
              <w:right w:w="28" w:type="dxa"/>
            </w:tcMar>
            <w:vAlign w:val="bottom"/>
          </w:tcPr>
          <w:p w14:paraId="2B7AA5EF" w14:textId="77777777" w:rsidR="00581587" w:rsidRPr="00FB38E1" w:rsidRDefault="00581587" w:rsidP="00581587">
            <w:pPr>
              <w:rPr>
                <w:rFonts w:ascii="Microsoft Sans Serif" w:hAnsi="Microsoft Sans Serif" w:cs="Microsoft Sans Serif"/>
                <w:sz w:val="14"/>
                <w:szCs w:val="14"/>
              </w:rPr>
            </w:pPr>
          </w:p>
        </w:tc>
        <w:tc>
          <w:tcPr>
            <w:tcW w:w="2977" w:type="pct"/>
            <w:tcMar>
              <w:left w:w="28" w:type="dxa"/>
              <w:right w:w="28" w:type="dxa"/>
            </w:tcMar>
            <w:vAlign w:val="bottom"/>
          </w:tcPr>
          <w:p w14:paraId="1B3C876F" w14:textId="77777777" w:rsidR="00581587" w:rsidRPr="00FB38E1" w:rsidRDefault="00581587" w:rsidP="00581587">
            <w:pPr>
              <w:rPr>
                <w:rFonts w:ascii="Microsoft Sans Serif" w:hAnsi="Microsoft Sans Serif" w:cs="Microsoft Sans Serif"/>
                <w:sz w:val="14"/>
                <w:szCs w:val="14"/>
              </w:rPr>
            </w:pPr>
          </w:p>
        </w:tc>
        <w:tc>
          <w:tcPr>
            <w:tcW w:w="221" w:type="pct"/>
            <w:tcMar>
              <w:left w:w="28" w:type="dxa"/>
              <w:right w:w="28" w:type="dxa"/>
            </w:tcMar>
            <w:vAlign w:val="bottom"/>
          </w:tcPr>
          <w:p w14:paraId="7C247D58"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auto" w:fill="auto"/>
            <w:tcMar>
              <w:left w:w="28" w:type="dxa"/>
              <w:right w:w="28" w:type="dxa"/>
            </w:tcMar>
          </w:tcPr>
          <w:p w14:paraId="1EE998E0" w14:textId="77777777"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tcPr>
          <w:p w14:paraId="029A7F41" w14:textId="77777777" w:rsidR="00581587" w:rsidRPr="00FB38E1" w:rsidRDefault="00581587" w:rsidP="00581587">
            <w:pPr>
              <w:jc w:val="right"/>
              <w:rPr>
                <w:rFonts w:ascii="Microsoft Sans Serif" w:hAnsi="Microsoft Sans Serif" w:cs="Microsoft Sans Serif"/>
                <w:sz w:val="14"/>
                <w:szCs w:val="14"/>
              </w:rPr>
            </w:pPr>
          </w:p>
        </w:tc>
      </w:tr>
      <w:tr w:rsidR="00581587" w:rsidRPr="00FB38E1" w14:paraId="68FB951C" w14:textId="77777777" w:rsidTr="00836EF2">
        <w:trPr>
          <w:trHeight w:val="185"/>
        </w:trPr>
        <w:tc>
          <w:tcPr>
            <w:tcW w:w="259" w:type="pct"/>
            <w:tcMar>
              <w:left w:w="28" w:type="dxa"/>
              <w:right w:w="28" w:type="dxa"/>
            </w:tcMar>
            <w:vAlign w:val="bottom"/>
          </w:tcPr>
          <w:p w14:paraId="20C0C28B" w14:textId="77777777" w:rsidR="00581587" w:rsidRPr="00FB38E1" w:rsidRDefault="00581587" w:rsidP="00581587">
            <w:pPr>
              <w:rPr>
                <w:rFonts w:ascii="Microsoft Sans Serif" w:hAnsi="Microsoft Sans Serif" w:cs="Microsoft Sans Serif"/>
                <w:b/>
                <w:sz w:val="14"/>
                <w:szCs w:val="14"/>
              </w:rPr>
            </w:pPr>
            <w:r w:rsidRPr="00FB38E1">
              <w:rPr>
                <w:rFonts w:ascii="Microsoft Sans Serif" w:hAnsi="Microsoft Sans Serif" w:cs="Microsoft Sans Serif"/>
                <w:b/>
                <w:sz w:val="14"/>
                <w:szCs w:val="14"/>
              </w:rPr>
              <w:t>A.</w:t>
            </w:r>
          </w:p>
        </w:tc>
        <w:tc>
          <w:tcPr>
            <w:tcW w:w="2977" w:type="pct"/>
            <w:tcMar>
              <w:left w:w="28" w:type="dxa"/>
              <w:right w:w="28" w:type="dxa"/>
            </w:tcMar>
            <w:vAlign w:val="bottom"/>
          </w:tcPr>
          <w:p w14:paraId="1DF4195A" w14:textId="77777777" w:rsidR="00581587" w:rsidRPr="00FB38E1" w:rsidRDefault="00581587" w:rsidP="00581587">
            <w:pPr>
              <w:rPr>
                <w:rFonts w:ascii="Microsoft Sans Serif" w:hAnsi="Microsoft Sans Serif" w:cs="Microsoft Sans Serif"/>
                <w:b/>
                <w:sz w:val="14"/>
                <w:szCs w:val="14"/>
              </w:rPr>
            </w:pPr>
            <w:r w:rsidRPr="00FB38E1">
              <w:rPr>
                <w:rFonts w:ascii="Microsoft Sans Serif" w:hAnsi="Microsoft Sans Serif" w:cs="Microsoft Sans Serif"/>
                <w:b/>
                <w:sz w:val="14"/>
                <w:szCs w:val="14"/>
              </w:rPr>
              <w:t>NET DÖNEM KÂRI (1.1-1.2)</w:t>
            </w:r>
          </w:p>
        </w:tc>
        <w:tc>
          <w:tcPr>
            <w:tcW w:w="221" w:type="pct"/>
            <w:tcMar>
              <w:left w:w="28" w:type="dxa"/>
              <w:right w:w="28" w:type="dxa"/>
            </w:tcMar>
            <w:vAlign w:val="bottom"/>
          </w:tcPr>
          <w:p w14:paraId="387D56C8"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auto" w:fill="auto"/>
            <w:tcMar>
              <w:left w:w="28" w:type="dxa"/>
              <w:right w:w="28" w:type="dxa"/>
            </w:tcMar>
          </w:tcPr>
          <w:p w14:paraId="3B76FC44" w14:textId="0D861831" w:rsidR="00581587" w:rsidRPr="00FB38E1" w:rsidRDefault="00581587" w:rsidP="0058158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44.969.497</w:t>
            </w:r>
          </w:p>
        </w:tc>
        <w:tc>
          <w:tcPr>
            <w:tcW w:w="807" w:type="pct"/>
            <w:tcBorders>
              <w:top w:val="nil"/>
              <w:left w:val="nil"/>
              <w:bottom w:val="nil"/>
              <w:right w:val="nil"/>
            </w:tcBorders>
            <w:shd w:val="clear" w:color="000000" w:fill="FFFFFF"/>
          </w:tcPr>
          <w:p w14:paraId="5EB88CBA" w14:textId="72F955D4" w:rsidR="00581587" w:rsidRPr="00FB38E1" w:rsidRDefault="00581587" w:rsidP="00581587">
            <w:pPr>
              <w:jc w:val="right"/>
              <w:rPr>
                <w:rFonts w:ascii="Microsoft Sans Serif" w:hAnsi="Microsoft Sans Serif" w:cs="Microsoft Sans Serif"/>
                <w:b/>
                <w:sz w:val="14"/>
                <w:szCs w:val="14"/>
              </w:rPr>
            </w:pPr>
            <w:r w:rsidRPr="00FB38E1">
              <w:rPr>
                <w:rFonts w:ascii="Microsoft Sans Serif" w:hAnsi="Microsoft Sans Serif" w:cs="Microsoft Sans Serif"/>
                <w:b/>
                <w:bCs/>
                <w:color w:val="000000"/>
                <w:sz w:val="14"/>
                <w:szCs w:val="14"/>
              </w:rPr>
              <w:t>27.877.785</w:t>
            </w:r>
          </w:p>
        </w:tc>
      </w:tr>
      <w:tr w:rsidR="00581587" w:rsidRPr="00FB38E1" w14:paraId="3506CEC1" w14:textId="77777777" w:rsidTr="00836EF2">
        <w:trPr>
          <w:trHeight w:val="185"/>
        </w:trPr>
        <w:tc>
          <w:tcPr>
            <w:tcW w:w="259" w:type="pct"/>
            <w:tcMar>
              <w:left w:w="28" w:type="dxa"/>
              <w:right w:w="28" w:type="dxa"/>
            </w:tcMar>
            <w:vAlign w:val="bottom"/>
          </w:tcPr>
          <w:p w14:paraId="16942F56" w14:textId="77777777" w:rsidR="00581587" w:rsidRPr="00FB38E1" w:rsidRDefault="00581587" w:rsidP="00581587">
            <w:pPr>
              <w:rPr>
                <w:rFonts w:ascii="Microsoft Sans Serif" w:hAnsi="Microsoft Sans Serif" w:cs="Microsoft Sans Serif"/>
                <w:sz w:val="14"/>
                <w:szCs w:val="14"/>
              </w:rPr>
            </w:pPr>
          </w:p>
        </w:tc>
        <w:tc>
          <w:tcPr>
            <w:tcW w:w="2977" w:type="pct"/>
            <w:tcMar>
              <w:left w:w="28" w:type="dxa"/>
              <w:right w:w="28" w:type="dxa"/>
            </w:tcMar>
            <w:vAlign w:val="bottom"/>
          </w:tcPr>
          <w:p w14:paraId="4DE8B9C1" w14:textId="77777777" w:rsidR="00581587" w:rsidRPr="00FB38E1" w:rsidRDefault="00581587" w:rsidP="00581587">
            <w:pPr>
              <w:rPr>
                <w:rFonts w:ascii="Microsoft Sans Serif" w:hAnsi="Microsoft Sans Serif" w:cs="Microsoft Sans Serif"/>
                <w:sz w:val="14"/>
                <w:szCs w:val="14"/>
              </w:rPr>
            </w:pPr>
          </w:p>
        </w:tc>
        <w:tc>
          <w:tcPr>
            <w:tcW w:w="221" w:type="pct"/>
            <w:tcMar>
              <w:left w:w="28" w:type="dxa"/>
              <w:right w:w="28" w:type="dxa"/>
            </w:tcMar>
            <w:vAlign w:val="bottom"/>
          </w:tcPr>
          <w:p w14:paraId="742AEDD6"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2DF32AF2" w14:textId="77777777"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tcPr>
          <w:p w14:paraId="64C357A9" w14:textId="77777777" w:rsidR="00581587" w:rsidRPr="00FB38E1" w:rsidRDefault="00581587" w:rsidP="00581587">
            <w:pPr>
              <w:jc w:val="right"/>
              <w:rPr>
                <w:rFonts w:ascii="Microsoft Sans Serif" w:hAnsi="Microsoft Sans Serif" w:cs="Microsoft Sans Serif"/>
                <w:sz w:val="14"/>
                <w:szCs w:val="14"/>
              </w:rPr>
            </w:pPr>
          </w:p>
        </w:tc>
      </w:tr>
      <w:tr w:rsidR="00581587" w:rsidRPr="00FB38E1" w14:paraId="0766A38C" w14:textId="77777777" w:rsidTr="00836EF2">
        <w:trPr>
          <w:trHeight w:val="185"/>
        </w:trPr>
        <w:tc>
          <w:tcPr>
            <w:tcW w:w="259" w:type="pct"/>
            <w:tcMar>
              <w:left w:w="28" w:type="dxa"/>
              <w:right w:w="28" w:type="dxa"/>
            </w:tcMar>
            <w:vAlign w:val="bottom"/>
          </w:tcPr>
          <w:p w14:paraId="61368C37"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1.3</w:t>
            </w:r>
          </w:p>
        </w:tc>
        <w:tc>
          <w:tcPr>
            <w:tcW w:w="2977" w:type="pct"/>
            <w:tcMar>
              <w:left w:w="28" w:type="dxa"/>
              <w:right w:w="28" w:type="dxa"/>
            </w:tcMar>
            <w:vAlign w:val="bottom"/>
          </w:tcPr>
          <w:p w14:paraId="04AE0C7A"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GEÇMİŞ DÖNEMLER ZARARI (-)</w:t>
            </w:r>
          </w:p>
        </w:tc>
        <w:tc>
          <w:tcPr>
            <w:tcW w:w="221" w:type="pct"/>
            <w:tcMar>
              <w:left w:w="28" w:type="dxa"/>
              <w:right w:w="28" w:type="dxa"/>
            </w:tcMar>
            <w:vAlign w:val="bottom"/>
          </w:tcPr>
          <w:p w14:paraId="2421466A"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2B971CC9" w14:textId="6535376A"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5F382169" w14:textId="05875876"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2A1A04FE" w14:textId="77777777" w:rsidTr="00836EF2">
        <w:trPr>
          <w:trHeight w:val="185"/>
        </w:trPr>
        <w:tc>
          <w:tcPr>
            <w:tcW w:w="259" w:type="pct"/>
            <w:tcMar>
              <w:left w:w="28" w:type="dxa"/>
              <w:right w:w="28" w:type="dxa"/>
            </w:tcMar>
            <w:vAlign w:val="bottom"/>
          </w:tcPr>
          <w:p w14:paraId="079CE2A4"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1.4</w:t>
            </w:r>
          </w:p>
        </w:tc>
        <w:tc>
          <w:tcPr>
            <w:tcW w:w="2977" w:type="pct"/>
            <w:tcMar>
              <w:left w:w="28" w:type="dxa"/>
              <w:right w:w="28" w:type="dxa"/>
            </w:tcMar>
            <w:vAlign w:val="bottom"/>
          </w:tcPr>
          <w:p w14:paraId="28AF6A92"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BİRİNCİ TERTİP YASAL YEDEK AKÇE (-)</w:t>
            </w:r>
          </w:p>
        </w:tc>
        <w:tc>
          <w:tcPr>
            <w:tcW w:w="221" w:type="pct"/>
            <w:tcMar>
              <w:left w:w="28" w:type="dxa"/>
              <w:right w:w="28" w:type="dxa"/>
            </w:tcMar>
            <w:vAlign w:val="bottom"/>
          </w:tcPr>
          <w:p w14:paraId="6C983755"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268F9EFB" w14:textId="60E36B0C"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6ED2DA9F" w14:textId="6C140A9E"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2B48112C" w14:textId="77777777" w:rsidTr="00836EF2">
        <w:trPr>
          <w:trHeight w:val="185"/>
        </w:trPr>
        <w:tc>
          <w:tcPr>
            <w:tcW w:w="259" w:type="pct"/>
            <w:tcMar>
              <w:left w:w="28" w:type="dxa"/>
              <w:right w:w="28" w:type="dxa"/>
            </w:tcMar>
            <w:vAlign w:val="bottom"/>
          </w:tcPr>
          <w:p w14:paraId="433E483C"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1.5</w:t>
            </w:r>
          </w:p>
        </w:tc>
        <w:tc>
          <w:tcPr>
            <w:tcW w:w="2977" w:type="pct"/>
            <w:tcMar>
              <w:left w:w="28" w:type="dxa"/>
              <w:right w:w="28" w:type="dxa"/>
            </w:tcMar>
            <w:vAlign w:val="bottom"/>
          </w:tcPr>
          <w:p w14:paraId="4765F5F8"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BANKAYA BIRAKILMASI VE TASARRUFU ZORUNLU YASAL FONLAR (-)</w:t>
            </w:r>
          </w:p>
        </w:tc>
        <w:tc>
          <w:tcPr>
            <w:tcW w:w="221" w:type="pct"/>
            <w:tcMar>
              <w:left w:w="28" w:type="dxa"/>
              <w:right w:w="28" w:type="dxa"/>
            </w:tcMar>
            <w:vAlign w:val="bottom"/>
          </w:tcPr>
          <w:p w14:paraId="2D9A1292"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0AC73EF6" w14:textId="01EFEA90"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18C727A1" w14:textId="469D4F54"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18.979</w:t>
            </w:r>
          </w:p>
        </w:tc>
      </w:tr>
      <w:tr w:rsidR="00581587" w:rsidRPr="00FB38E1" w14:paraId="040903E7" w14:textId="77777777" w:rsidTr="00836EF2">
        <w:trPr>
          <w:trHeight w:val="185"/>
        </w:trPr>
        <w:tc>
          <w:tcPr>
            <w:tcW w:w="259" w:type="pct"/>
            <w:tcMar>
              <w:left w:w="28" w:type="dxa"/>
              <w:right w:w="28" w:type="dxa"/>
            </w:tcMar>
            <w:vAlign w:val="bottom"/>
          </w:tcPr>
          <w:p w14:paraId="06C79BFB" w14:textId="77777777" w:rsidR="00581587" w:rsidRPr="00FB38E1" w:rsidRDefault="00581587" w:rsidP="00581587">
            <w:pPr>
              <w:rPr>
                <w:rFonts w:ascii="Microsoft Sans Serif" w:hAnsi="Microsoft Sans Serif" w:cs="Microsoft Sans Serif"/>
                <w:sz w:val="14"/>
                <w:szCs w:val="14"/>
              </w:rPr>
            </w:pPr>
          </w:p>
        </w:tc>
        <w:tc>
          <w:tcPr>
            <w:tcW w:w="2977" w:type="pct"/>
            <w:tcMar>
              <w:left w:w="28" w:type="dxa"/>
              <w:right w:w="28" w:type="dxa"/>
            </w:tcMar>
            <w:vAlign w:val="bottom"/>
          </w:tcPr>
          <w:p w14:paraId="32B79B3D" w14:textId="77777777" w:rsidR="00581587" w:rsidRPr="00FB38E1" w:rsidRDefault="00581587" w:rsidP="00581587">
            <w:pPr>
              <w:rPr>
                <w:rFonts w:ascii="Microsoft Sans Serif" w:hAnsi="Microsoft Sans Serif" w:cs="Microsoft Sans Serif"/>
                <w:sz w:val="14"/>
                <w:szCs w:val="14"/>
              </w:rPr>
            </w:pPr>
          </w:p>
        </w:tc>
        <w:tc>
          <w:tcPr>
            <w:tcW w:w="221" w:type="pct"/>
            <w:tcMar>
              <w:left w:w="28" w:type="dxa"/>
              <w:right w:w="28" w:type="dxa"/>
            </w:tcMar>
            <w:vAlign w:val="bottom"/>
          </w:tcPr>
          <w:p w14:paraId="48CB4FB2"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vAlign w:val="bottom"/>
          </w:tcPr>
          <w:p w14:paraId="3ABD4604" w14:textId="77777777"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vAlign w:val="bottom"/>
          </w:tcPr>
          <w:p w14:paraId="0A33E5F1" w14:textId="77777777" w:rsidR="00581587" w:rsidRPr="00FB38E1" w:rsidRDefault="00581587" w:rsidP="00581587">
            <w:pPr>
              <w:jc w:val="right"/>
              <w:rPr>
                <w:rFonts w:ascii="Microsoft Sans Serif" w:hAnsi="Microsoft Sans Serif" w:cs="Microsoft Sans Serif"/>
                <w:sz w:val="14"/>
                <w:szCs w:val="14"/>
              </w:rPr>
            </w:pPr>
          </w:p>
        </w:tc>
      </w:tr>
      <w:tr w:rsidR="00581587" w:rsidRPr="00FB38E1" w14:paraId="0903AECB" w14:textId="77777777" w:rsidTr="00836EF2">
        <w:trPr>
          <w:trHeight w:val="185"/>
        </w:trPr>
        <w:tc>
          <w:tcPr>
            <w:tcW w:w="259" w:type="pct"/>
            <w:tcMar>
              <w:left w:w="28" w:type="dxa"/>
              <w:right w:w="28" w:type="dxa"/>
            </w:tcMar>
            <w:vAlign w:val="bottom"/>
          </w:tcPr>
          <w:p w14:paraId="68E774FB"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B.</w:t>
            </w:r>
          </w:p>
        </w:tc>
        <w:tc>
          <w:tcPr>
            <w:tcW w:w="2977" w:type="pct"/>
            <w:tcMar>
              <w:left w:w="28" w:type="dxa"/>
              <w:right w:w="28" w:type="dxa"/>
            </w:tcMar>
            <w:vAlign w:val="bottom"/>
          </w:tcPr>
          <w:p w14:paraId="127FA6A4"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DAĞITILABİLİR NET DÖNEM KÂRI [(A-(1.3+1.4+1.5)]</w:t>
            </w:r>
          </w:p>
        </w:tc>
        <w:tc>
          <w:tcPr>
            <w:tcW w:w="221" w:type="pct"/>
            <w:tcMar>
              <w:left w:w="28" w:type="dxa"/>
              <w:right w:w="28" w:type="dxa"/>
            </w:tcMar>
            <w:vAlign w:val="bottom"/>
          </w:tcPr>
          <w:p w14:paraId="462892CE"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1D94CFA4" w14:textId="3D7846A1" w:rsidR="00581587" w:rsidRPr="00FB38E1" w:rsidRDefault="00581587" w:rsidP="0058158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44.969.497</w:t>
            </w:r>
          </w:p>
        </w:tc>
        <w:tc>
          <w:tcPr>
            <w:tcW w:w="807" w:type="pct"/>
            <w:tcBorders>
              <w:top w:val="nil"/>
              <w:left w:val="nil"/>
              <w:bottom w:val="nil"/>
              <w:right w:val="nil"/>
            </w:tcBorders>
            <w:shd w:val="clear" w:color="000000" w:fill="FFFFFF"/>
          </w:tcPr>
          <w:p w14:paraId="70EE8225" w14:textId="3FA9DA34" w:rsidR="00581587" w:rsidRPr="00FB38E1" w:rsidRDefault="00581587" w:rsidP="00581587">
            <w:pPr>
              <w:jc w:val="right"/>
              <w:rPr>
                <w:rFonts w:ascii="Microsoft Sans Serif" w:hAnsi="Microsoft Sans Serif" w:cs="Microsoft Sans Serif"/>
                <w:b/>
                <w:bCs/>
                <w:sz w:val="14"/>
                <w:szCs w:val="14"/>
              </w:rPr>
            </w:pPr>
            <w:r w:rsidRPr="00FB38E1">
              <w:rPr>
                <w:rFonts w:ascii="Microsoft Sans Serif" w:hAnsi="Microsoft Sans Serif" w:cs="Microsoft Sans Serif"/>
                <w:b/>
                <w:bCs/>
                <w:color w:val="000000"/>
                <w:sz w:val="14"/>
                <w:szCs w:val="14"/>
              </w:rPr>
              <w:t>27.858.806</w:t>
            </w:r>
          </w:p>
        </w:tc>
      </w:tr>
      <w:tr w:rsidR="00581587" w:rsidRPr="00FB38E1" w14:paraId="2A73065C" w14:textId="77777777" w:rsidTr="00F95DA1">
        <w:trPr>
          <w:trHeight w:val="185"/>
        </w:trPr>
        <w:tc>
          <w:tcPr>
            <w:tcW w:w="259" w:type="pct"/>
            <w:tcMar>
              <w:left w:w="28" w:type="dxa"/>
              <w:right w:w="28" w:type="dxa"/>
            </w:tcMar>
            <w:vAlign w:val="bottom"/>
          </w:tcPr>
          <w:p w14:paraId="6D556434" w14:textId="77777777" w:rsidR="00581587" w:rsidRPr="00FB38E1" w:rsidRDefault="00581587" w:rsidP="00581587">
            <w:pPr>
              <w:rPr>
                <w:rFonts w:ascii="Microsoft Sans Serif" w:hAnsi="Microsoft Sans Serif" w:cs="Microsoft Sans Serif"/>
                <w:sz w:val="14"/>
                <w:szCs w:val="14"/>
              </w:rPr>
            </w:pPr>
          </w:p>
        </w:tc>
        <w:tc>
          <w:tcPr>
            <w:tcW w:w="2977" w:type="pct"/>
            <w:tcMar>
              <w:left w:w="28" w:type="dxa"/>
              <w:right w:w="28" w:type="dxa"/>
            </w:tcMar>
            <w:vAlign w:val="bottom"/>
          </w:tcPr>
          <w:p w14:paraId="7FF22383" w14:textId="77777777" w:rsidR="00581587" w:rsidRPr="00FB38E1" w:rsidRDefault="00581587" w:rsidP="00581587">
            <w:pPr>
              <w:rPr>
                <w:rFonts w:ascii="Microsoft Sans Serif" w:hAnsi="Microsoft Sans Serif" w:cs="Microsoft Sans Serif"/>
                <w:sz w:val="14"/>
                <w:szCs w:val="14"/>
              </w:rPr>
            </w:pPr>
          </w:p>
        </w:tc>
        <w:tc>
          <w:tcPr>
            <w:tcW w:w="221" w:type="pct"/>
            <w:tcMar>
              <w:left w:w="28" w:type="dxa"/>
              <w:right w:w="28" w:type="dxa"/>
            </w:tcMar>
            <w:vAlign w:val="bottom"/>
          </w:tcPr>
          <w:p w14:paraId="074945EA"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210BD616" w14:textId="77777777"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tcPr>
          <w:p w14:paraId="5E20C6AF" w14:textId="77777777" w:rsidR="00581587" w:rsidRPr="00FB38E1" w:rsidRDefault="00581587" w:rsidP="00581587">
            <w:pPr>
              <w:jc w:val="right"/>
              <w:rPr>
                <w:rFonts w:ascii="Microsoft Sans Serif" w:hAnsi="Microsoft Sans Serif" w:cs="Microsoft Sans Serif"/>
                <w:sz w:val="14"/>
                <w:szCs w:val="14"/>
              </w:rPr>
            </w:pPr>
          </w:p>
        </w:tc>
      </w:tr>
      <w:tr w:rsidR="00581587" w:rsidRPr="00FB38E1" w14:paraId="31A2B5AA" w14:textId="77777777" w:rsidTr="00F95DA1">
        <w:trPr>
          <w:trHeight w:val="185"/>
        </w:trPr>
        <w:tc>
          <w:tcPr>
            <w:tcW w:w="259" w:type="pct"/>
            <w:tcMar>
              <w:left w:w="28" w:type="dxa"/>
              <w:right w:w="28" w:type="dxa"/>
            </w:tcMar>
            <w:vAlign w:val="bottom"/>
          </w:tcPr>
          <w:p w14:paraId="19C7C8A6"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1.6</w:t>
            </w:r>
          </w:p>
        </w:tc>
        <w:tc>
          <w:tcPr>
            <w:tcW w:w="2977" w:type="pct"/>
            <w:tcMar>
              <w:left w:w="28" w:type="dxa"/>
              <w:right w:w="28" w:type="dxa"/>
            </w:tcMar>
            <w:vAlign w:val="bottom"/>
          </w:tcPr>
          <w:p w14:paraId="206937E3"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ORTAKLARA BİRİNCİ TEMETTÜ (-)</w:t>
            </w:r>
          </w:p>
        </w:tc>
        <w:tc>
          <w:tcPr>
            <w:tcW w:w="221" w:type="pct"/>
            <w:tcMar>
              <w:left w:w="28" w:type="dxa"/>
              <w:right w:w="28" w:type="dxa"/>
            </w:tcMar>
            <w:vAlign w:val="bottom"/>
          </w:tcPr>
          <w:p w14:paraId="7F91C00D"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1581A298" w14:textId="08BC27B7"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29475C0A" w14:textId="4B12689B"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56ED408C" w14:textId="77777777" w:rsidTr="00F95DA1">
        <w:trPr>
          <w:trHeight w:val="185"/>
        </w:trPr>
        <w:tc>
          <w:tcPr>
            <w:tcW w:w="259" w:type="pct"/>
            <w:tcMar>
              <w:left w:w="28" w:type="dxa"/>
              <w:right w:w="28" w:type="dxa"/>
            </w:tcMar>
            <w:vAlign w:val="bottom"/>
          </w:tcPr>
          <w:p w14:paraId="4A1FFFEB"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1.6.1</w:t>
            </w:r>
          </w:p>
        </w:tc>
        <w:tc>
          <w:tcPr>
            <w:tcW w:w="2977" w:type="pct"/>
            <w:tcMar>
              <w:left w:w="28" w:type="dxa"/>
              <w:right w:w="28" w:type="dxa"/>
            </w:tcMar>
            <w:vAlign w:val="bottom"/>
          </w:tcPr>
          <w:p w14:paraId="48A9A6F3"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Hisse Senedi Sahiplerine</w:t>
            </w:r>
          </w:p>
        </w:tc>
        <w:tc>
          <w:tcPr>
            <w:tcW w:w="221" w:type="pct"/>
            <w:tcMar>
              <w:left w:w="28" w:type="dxa"/>
              <w:right w:w="28" w:type="dxa"/>
            </w:tcMar>
            <w:vAlign w:val="bottom"/>
          </w:tcPr>
          <w:p w14:paraId="2F76842E"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70B9B29F" w14:textId="73EE1DA0"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1F067CC4" w14:textId="69F37466"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3AF1AD0E" w14:textId="77777777" w:rsidTr="00F95DA1">
        <w:trPr>
          <w:trHeight w:val="185"/>
        </w:trPr>
        <w:tc>
          <w:tcPr>
            <w:tcW w:w="259" w:type="pct"/>
            <w:tcMar>
              <w:left w:w="28" w:type="dxa"/>
              <w:right w:w="28" w:type="dxa"/>
            </w:tcMar>
            <w:vAlign w:val="bottom"/>
          </w:tcPr>
          <w:p w14:paraId="66D2106D"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1.6.2</w:t>
            </w:r>
          </w:p>
        </w:tc>
        <w:tc>
          <w:tcPr>
            <w:tcW w:w="2977" w:type="pct"/>
            <w:tcMar>
              <w:left w:w="28" w:type="dxa"/>
              <w:right w:w="28" w:type="dxa"/>
            </w:tcMar>
            <w:vAlign w:val="bottom"/>
          </w:tcPr>
          <w:p w14:paraId="23CD1013"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İmtiyazlı Hisse Senedi Sahiplerine</w:t>
            </w:r>
          </w:p>
        </w:tc>
        <w:tc>
          <w:tcPr>
            <w:tcW w:w="221" w:type="pct"/>
            <w:tcMar>
              <w:left w:w="28" w:type="dxa"/>
              <w:right w:w="28" w:type="dxa"/>
            </w:tcMar>
            <w:vAlign w:val="bottom"/>
          </w:tcPr>
          <w:p w14:paraId="0CEE60A7"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2FFE9F8A" w14:textId="1B15272B"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563B45CD" w14:textId="42850548"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37C362EB" w14:textId="77777777" w:rsidTr="00F95DA1">
        <w:trPr>
          <w:trHeight w:val="185"/>
        </w:trPr>
        <w:tc>
          <w:tcPr>
            <w:tcW w:w="259" w:type="pct"/>
            <w:tcMar>
              <w:left w:w="28" w:type="dxa"/>
              <w:right w:w="28" w:type="dxa"/>
            </w:tcMar>
            <w:vAlign w:val="bottom"/>
          </w:tcPr>
          <w:p w14:paraId="6488B4EC"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1.6.3</w:t>
            </w:r>
          </w:p>
        </w:tc>
        <w:tc>
          <w:tcPr>
            <w:tcW w:w="2977" w:type="pct"/>
            <w:tcMar>
              <w:left w:w="28" w:type="dxa"/>
              <w:right w:w="28" w:type="dxa"/>
            </w:tcMar>
            <w:vAlign w:val="bottom"/>
          </w:tcPr>
          <w:p w14:paraId="6B919C78"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Katılma İntifa Senetlerine</w:t>
            </w:r>
          </w:p>
        </w:tc>
        <w:tc>
          <w:tcPr>
            <w:tcW w:w="221" w:type="pct"/>
            <w:tcMar>
              <w:left w:w="28" w:type="dxa"/>
              <w:right w:w="28" w:type="dxa"/>
            </w:tcMar>
            <w:vAlign w:val="bottom"/>
          </w:tcPr>
          <w:p w14:paraId="4C2CA686"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67FD3121" w14:textId="1DAA5CFE"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77529FA5" w14:textId="3F17526D"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75DE9D85" w14:textId="77777777" w:rsidTr="00F95DA1">
        <w:trPr>
          <w:trHeight w:val="185"/>
        </w:trPr>
        <w:tc>
          <w:tcPr>
            <w:tcW w:w="259" w:type="pct"/>
            <w:tcMar>
              <w:left w:w="28" w:type="dxa"/>
              <w:right w:w="28" w:type="dxa"/>
            </w:tcMar>
            <w:vAlign w:val="bottom"/>
          </w:tcPr>
          <w:p w14:paraId="5DB6B373"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1.6.4</w:t>
            </w:r>
          </w:p>
        </w:tc>
        <w:tc>
          <w:tcPr>
            <w:tcW w:w="2977" w:type="pct"/>
            <w:tcMar>
              <w:left w:w="28" w:type="dxa"/>
              <w:right w:w="28" w:type="dxa"/>
            </w:tcMar>
            <w:vAlign w:val="bottom"/>
          </w:tcPr>
          <w:p w14:paraId="450F3A10"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Kâra İştirakli Tahvillere</w:t>
            </w:r>
          </w:p>
        </w:tc>
        <w:tc>
          <w:tcPr>
            <w:tcW w:w="221" w:type="pct"/>
            <w:tcMar>
              <w:left w:w="28" w:type="dxa"/>
              <w:right w:w="28" w:type="dxa"/>
            </w:tcMar>
            <w:vAlign w:val="bottom"/>
          </w:tcPr>
          <w:p w14:paraId="7433583E"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70CD39F5" w14:textId="3585D226"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0C355A87" w14:textId="30F9341E"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4765BDFF" w14:textId="77777777" w:rsidTr="00F95DA1">
        <w:trPr>
          <w:trHeight w:val="185"/>
        </w:trPr>
        <w:tc>
          <w:tcPr>
            <w:tcW w:w="259" w:type="pct"/>
            <w:tcMar>
              <w:left w:w="28" w:type="dxa"/>
              <w:right w:w="28" w:type="dxa"/>
            </w:tcMar>
            <w:vAlign w:val="bottom"/>
          </w:tcPr>
          <w:p w14:paraId="784DE528"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1.6.5</w:t>
            </w:r>
          </w:p>
        </w:tc>
        <w:tc>
          <w:tcPr>
            <w:tcW w:w="2977" w:type="pct"/>
            <w:tcMar>
              <w:left w:w="28" w:type="dxa"/>
              <w:right w:w="28" w:type="dxa"/>
            </w:tcMar>
            <w:vAlign w:val="bottom"/>
          </w:tcPr>
          <w:p w14:paraId="5F5D3AD2"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Kâr ve Zarar Ortaklığı Belgesi Sahiplerine</w:t>
            </w:r>
          </w:p>
        </w:tc>
        <w:tc>
          <w:tcPr>
            <w:tcW w:w="221" w:type="pct"/>
            <w:tcMar>
              <w:left w:w="28" w:type="dxa"/>
              <w:right w:w="28" w:type="dxa"/>
            </w:tcMar>
            <w:vAlign w:val="bottom"/>
          </w:tcPr>
          <w:p w14:paraId="16A67DE8"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0C38EB2D" w14:textId="3A162410"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7EA2D22B" w14:textId="02C0C230"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77569454" w14:textId="77777777" w:rsidTr="00F95DA1">
        <w:trPr>
          <w:trHeight w:val="185"/>
        </w:trPr>
        <w:tc>
          <w:tcPr>
            <w:tcW w:w="259" w:type="pct"/>
            <w:tcMar>
              <w:left w:w="28" w:type="dxa"/>
              <w:right w:w="28" w:type="dxa"/>
            </w:tcMar>
            <w:vAlign w:val="bottom"/>
          </w:tcPr>
          <w:p w14:paraId="2536BB93"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1.7</w:t>
            </w:r>
          </w:p>
        </w:tc>
        <w:tc>
          <w:tcPr>
            <w:tcW w:w="2977" w:type="pct"/>
            <w:tcMar>
              <w:left w:w="28" w:type="dxa"/>
              <w:right w:w="28" w:type="dxa"/>
            </w:tcMar>
            <w:vAlign w:val="bottom"/>
          </w:tcPr>
          <w:p w14:paraId="3FC6CB5F"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PERSONELE TEMETTÜ (-)</w:t>
            </w:r>
          </w:p>
        </w:tc>
        <w:tc>
          <w:tcPr>
            <w:tcW w:w="221" w:type="pct"/>
            <w:tcMar>
              <w:left w:w="28" w:type="dxa"/>
              <w:right w:w="28" w:type="dxa"/>
            </w:tcMar>
            <w:vAlign w:val="bottom"/>
          </w:tcPr>
          <w:p w14:paraId="4874D49A"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450CF0A9" w14:textId="1DD97168"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1C795FA2" w14:textId="6FCCC2F6"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4643AC2E" w14:textId="77777777" w:rsidTr="00F95DA1">
        <w:trPr>
          <w:trHeight w:val="185"/>
        </w:trPr>
        <w:tc>
          <w:tcPr>
            <w:tcW w:w="259" w:type="pct"/>
            <w:tcMar>
              <w:left w:w="28" w:type="dxa"/>
              <w:right w:w="28" w:type="dxa"/>
            </w:tcMar>
            <w:vAlign w:val="bottom"/>
          </w:tcPr>
          <w:p w14:paraId="4F85497C"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1.8</w:t>
            </w:r>
          </w:p>
        </w:tc>
        <w:tc>
          <w:tcPr>
            <w:tcW w:w="2977" w:type="pct"/>
            <w:tcMar>
              <w:left w:w="28" w:type="dxa"/>
              <w:right w:w="28" w:type="dxa"/>
            </w:tcMar>
            <w:vAlign w:val="bottom"/>
          </w:tcPr>
          <w:p w14:paraId="4760F456"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YÖNETİM KURULUNA TEMETTÜ (-)</w:t>
            </w:r>
          </w:p>
        </w:tc>
        <w:tc>
          <w:tcPr>
            <w:tcW w:w="221" w:type="pct"/>
            <w:tcMar>
              <w:left w:w="28" w:type="dxa"/>
              <w:right w:w="28" w:type="dxa"/>
            </w:tcMar>
            <w:vAlign w:val="bottom"/>
          </w:tcPr>
          <w:p w14:paraId="6D8A5C5C"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70061C72" w14:textId="14CCE533"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357E3854" w14:textId="6C54D2D1"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70084F0E" w14:textId="77777777" w:rsidTr="00F95DA1">
        <w:trPr>
          <w:trHeight w:val="185"/>
        </w:trPr>
        <w:tc>
          <w:tcPr>
            <w:tcW w:w="259" w:type="pct"/>
            <w:tcMar>
              <w:left w:w="28" w:type="dxa"/>
              <w:right w:w="28" w:type="dxa"/>
            </w:tcMar>
            <w:vAlign w:val="bottom"/>
          </w:tcPr>
          <w:p w14:paraId="2D314D5C"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1.9</w:t>
            </w:r>
          </w:p>
        </w:tc>
        <w:tc>
          <w:tcPr>
            <w:tcW w:w="2977" w:type="pct"/>
            <w:tcMar>
              <w:left w:w="28" w:type="dxa"/>
              <w:right w:w="28" w:type="dxa"/>
            </w:tcMar>
            <w:vAlign w:val="bottom"/>
          </w:tcPr>
          <w:p w14:paraId="5771846F"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ORTAKLARA İKİNCİ TEMETTÜ (-)</w:t>
            </w:r>
          </w:p>
        </w:tc>
        <w:tc>
          <w:tcPr>
            <w:tcW w:w="221" w:type="pct"/>
            <w:tcMar>
              <w:left w:w="28" w:type="dxa"/>
              <w:right w:w="28" w:type="dxa"/>
            </w:tcMar>
            <w:vAlign w:val="bottom"/>
          </w:tcPr>
          <w:p w14:paraId="38F27123"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47EB2B40" w14:textId="671D70A3"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23E7006E" w14:textId="44212C8A"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0C8F6B5E" w14:textId="77777777" w:rsidTr="00F95DA1">
        <w:trPr>
          <w:trHeight w:val="185"/>
        </w:trPr>
        <w:tc>
          <w:tcPr>
            <w:tcW w:w="259" w:type="pct"/>
            <w:tcMar>
              <w:left w:w="28" w:type="dxa"/>
              <w:right w:w="28" w:type="dxa"/>
            </w:tcMar>
            <w:vAlign w:val="bottom"/>
          </w:tcPr>
          <w:p w14:paraId="09CDB6CA"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1.9.1</w:t>
            </w:r>
          </w:p>
        </w:tc>
        <w:tc>
          <w:tcPr>
            <w:tcW w:w="2977" w:type="pct"/>
            <w:tcMar>
              <w:left w:w="28" w:type="dxa"/>
              <w:right w:w="28" w:type="dxa"/>
            </w:tcMar>
            <w:vAlign w:val="bottom"/>
          </w:tcPr>
          <w:p w14:paraId="33EA09AC"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Hisse Senedi Sahiplerine</w:t>
            </w:r>
          </w:p>
        </w:tc>
        <w:tc>
          <w:tcPr>
            <w:tcW w:w="221" w:type="pct"/>
            <w:tcMar>
              <w:left w:w="28" w:type="dxa"/>
              <w:right w:w="28" w:type="dxa"/>
            </w:tcMar>
            <w:vAlign w:val="bottom"/>
          </w:tcPr>
          <w:p w14:paraId="3481DE5B"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753C1ED9" w14:textId="4030F649"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1E786A36" w14:textId="0EA23BED"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456B16A4" w14:textId="77777777" w:rsidTr="00F95DA1">
        <w:trPr>
          <w:trHeight w:val="185"/>
        </w:trPr>
        <w:tc>
          <w:tcPr>
            <w:tcW w:w="259" w:type="pct"/>
            <w:tcMar>
              <w:left w:w="28" w:type="dxa"/>
              <w:right w:w="28" w:type="dxa"/>
            </w:tcMar>
            <w:vAlign w:val="bottom"/>
          </w:tcPr>
          <w:p w14:paraId="7516AF24"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1.9.2</w:t>
            </w:r>
          </w:p>
        </w:tc>
        <w:tc>
          <w:tcPr>
            <w:tcW w:w="2977" w:type="pct"/>
            <w:tcMar>
              <w:left w:w="28" w:type="dxa"/>
              <w:right w:w="28" w:type="dxa"/>
            </w:tcMar>
            <w:vAlign w:val="bottom"/>
          </w:tcPr>
          <w:p w14:paraId="0249E88D"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İmtiyazlı Hisse Senedi Sahiplerine</w:t>
            </w:r>
          </w:p>
        </w:tc>
        <w:tc>
          <w:tcPr>
            <w:tcW w:w="221" w:type="pct"/>
            <w:tcMar>
              <w:left w:w="28" w:type="dxa"/>
              <w:right w:w="28" w:type="dxa"/>
            </w:tcMar>
            <w:vAlign w:val="bottom"/>
          </w:tcPr>
          <w:p w14:paraId="686B0F0F"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6E2DA83D" w14:textId="6F46BE77"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689C0B51" w14:textId="5F7BBFC1"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5C1C0133" w14:textId="77777777" w:rsidTr="00F95DA1">
        <w:trPr>
          <w:trHeight w:val="185"/>
        </w:trPr>
        <w:tc>
          <w:tcPr>
            <w:tcW w:w="259" w:type="pct"/>
            <w:tcMar>
              <w:left w:w="28" w:type="dxa"/>
              <w:right w:w="28" w:type="dxa"/>
            </w:tcMar>
            <w:vAlign w:val="bottom"/>
          </w:tcPr>
          <w:p w14:paraId="385060DA"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1.9.3</w:t>
            </w:r>
          </w:p>
        </w:tc>
        <w:tc>
          <w:tcPr>
            <w:tcW w:w="2977" w:type="pct"/>
            <w:tcMar>
              <w:left w:w="28" w:type="dxa"/>
              <w:right w:w="28" w:type="dxa"/>
            </w:tcMar>
            <w:vAlign w:val="bottom"/>
          </w:tcPr>
          <w:p w14:paraId="7EA06BC6"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Katılma İntifa Senetlerine</w:t>
            </w:r>
          </w:p>
        </w:tc>
        <w:tc>
          <w:tcPr>
            <w:tcW w:w="221" w:type="pct"/>
            <w:tcMar>
              <w:left w:w="28" w:type="dxa"/>
              <w:right w:w="28" w:type="dxa"/>
            </w:tcMar>
            <w:vAlign w:val="bottom"/>
          </w:tcPr>
          <w:p w14:paraId="6B53904D"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7FD3C019" w14:textId="01914CC6"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797D6F19" w14:textId="77F6B483"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r>
      <w:tr w:rsidR="00581587" w:rsidRPr="00FB38E1" w14:paraId="4F444111" w14:textId="77777777" w:rsidTr="00F95DA1">
        <w:trPr>
          <w:trHeight w:val="185"/>
        </w:trPr>
        <w:tc>
          <w:tcPr>
            <w:tcW w:w="259" w:type="pct"/>
            <w:tcMar>
              <w:left w:w="28" w:type="dxa"/>
              <w:right w:w="28" w:type="dxa"/>
            </w:tcMar>
            <w:vAlign w:val="bottom"/>
          </w:tcPr>
          <w:p w14:paraId="3966E9C1"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1.9.4</w:t>
            </w:r>
          </w:p>
        </w:tc>
        <w:tc>
          <w:tcPr>
            <w:tcW w:w="2977" w:type="pct"/>
            <w:tcMar>
              <w:left w:w="28" w:type="dxa"/>
              <w:right w:w="28" w:type="dxa"/>
            </w:tcMar>
            <w:vAlign w:val="bottom"/>
          </w:tcPr>
          <w:p w14:paraId="3C225DFE"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Kâra İştirakli Tahvillere</w:t>
            </w:r>
          </w:p>
        </w:tc>
        <w:tc>
          <w:tcPr>
            <w:tcW w:w="221" w:type="pct"/>
            <w:tcMar>
              <w:left w:w="28" w:type="dxa"/>
              <w:right w:w="28" w:type="dxa"/>
            </w:tcMar>
            <w:vAlign w:val="bottom"/>
          </w:tcPr>
          <w:p w14:paraId="0D7C9AB0"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00471B5F" w14:textId="6BA5E3F5"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42F1BF4A" w14:textId="382758CC"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r>
      <w:tr w:rsidR="00581587" w:rsidRPr="00FB38E1" w14:paraId="6E2B8CA1" w14:textId="77777777" w:rsidTr="00F95DA1">
        <w:trPr>
          <w:trHeight w:val="185"/>
        </w:trPr>
        <w:tc>
          <w:tcPr>
            <w:tcW w:w="259" w:type="pct"/>
            <w:tcMar>
              <w:left w:w="28" w:type="dxa"/>
              <w:right w:w="28" w:type="dxa"/>
            </w:tcMar>
            <w:vAlign w:val="bottom"/>
          </w:tcPr>
          <w:p w14:paraId="08810079"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1.9.5</w:t>
            </w:r>
          </w:p>
        </w:tc>
        <w:tc>
          <w:tcPr>
            <w:tcW w:w="2977" w:type="pct"/>
            <w:tcMar>
              <w:left w:w="28" w:type="dxa"/>
              <w:right w:w="28" w:type="dxa"/>
            </w:tcMar>
            <w:vAlign w:val="bottom"/>
          </w:tcPr>
          <w:p w14:paraId="57FBC685"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Kâr ve Zarar Ortaklığı Belgesi Sahiplerine</w:t>
            </w:r>
          </w:p>
        </w:tc>
        <w:tc>
          <w:tcPr>
            <w:tcW w:w="221" w:type="pct"/>
            <w:tcMar>
              <w:left w:w="28" w:type="dxa"/>
              <w:right w:w="28" w:type="dxa"/>
            </w:tcMar>
            <w:vAlign w:val="bottom"/>
          </w:tcPr>
          <w:p w14:paraId="70FBCEBB"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0736C3CA" w14:textId="3605DAD7"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5B01C691" w14:textId="0AFCEAFB"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r>
      <w:tr w:rsidR="00581587" w:rsidRPr="00FB38E1" w14:paraId="3547134E" w14:textId="77777777" w:rsidTr="00F95DA1">
        <w:trPr>
          <w:trHeight w:val="185"/>
        </w:trPr>
        <w:tc>
          <w:tcPr>
            <w:tcW w:w="259" w:type="pct"/>
            <w:tcMar>
              <w:left w:w="28" w:type="dxa"/>
              <w:right w:w="28" w:type="dxa"/>
            </w:tcMar>
            <w:vAlign w:val="bottom"/>
          </w:tcPr>
          <w:p w14:paraId="17BEE22B"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1.10</w:t>
            </w:r>
          </w:p>
        </w:tc>
        <w:tc>
          <w:tcPr>
            <w:tcW w:w="2977" w:type="pct"/>
            <w:tcMar>
              <w:left w:w="28" w:type="dxa"/>
              <w:right w:w="28" w:type="dxa"/>
            </w:tcMar>
            <w:vAlign w:val="bottom"/>
          </w:tcPr>
          <w:p w14:paraId="10F751D5"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İKİNCİ TERTİP YASAL YEDEK AKÇE (-)</w:t>
            </w:r>
          </w:p>
        </w:tc>
        <w:tc>
          <w:tcPr>
            <w:tcW w:w="221" w:type="pct"/>
            <w:tcMar>
              <w:left w:w="28" w:type="dxa"/>
              <w:right w:w="28" w:type="dxa"/>
            </w:tcMar>
            <w:vAlign w:val="bottom"/>
          </w:tcPr>
          <w:p w14:paraId="7B0B136B"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72F4F52A" w14:textId="64F8FFAD"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3A6E51DB" w14:textId="17922908"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r>
      <w:tr w:rsidR="00581587" w:rsidRPr="00FB38E1" w14:paraId="2588FBE1" w14:textId="77777777" w:rsidTr="00F95DA1">
        <w:trPr>
          <w:trHeight w:val="185"/>
        </w:trPr>
        <w:tc>
          <w:tcPr>
            <w:tcW w:w="259" w:type="pct"/>
            <w:tcMar>
              <w:left w:w="28" w:type="dxa"/>
              <w:right w:w="28" w:type="dxa"/>
            </w:tcMar>
            <w:vAlign w:val="bottom"/>
          </w:tcPr>
          <w:p w14:paraId="02BC5B86"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1.11</w:t>
            </w:r>
          </w:p>
        </w:tc>
        <w:tc>
          <w:tcPr>
            <w:tcW w:w="2977" w:type="pct"/>
            <w:tcMar>
              <w:left w:w="28" w:type="dxa"/>
              <w:right w:w="28" w:type="dxa"/>
            </w:tcMar>
            <w:vAlign w:val="bottom"/>
          </w:tcPr>
          <w:p w14:paraId="0F0FE266"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STATÜ YEDEKLERİ (-)</w:t>
            </w:r>
          </w:p>
        </w:tc>
        <w:tc>
          <w:tcPr>
            <w:tcW w:w="221" w:type="pct"/>
            <w:tcMar>
              <w:left w:w="28" w:type="dxa"/>
              <w:right w:w="28" w:type="dxa"/>
            </w:tcMar>
            <w:vAlign w:val="bottom"/>
          </w:tcPr>
          <w:p w14:paraId="6F6D17CE"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473725E2" w14:textId="0466B155"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29B5263F" w14:textId="45816B97"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r>
      <w:tr w:rsidR="00581587" w:rsidRPr="00FB38E1" w14:paraId="30BA96F2" w14:textId="77777777" w:rsidTr="00F95DA1">
        <w:trPr>
          <w:trHeight w:val="185"/>
        </w:trPr>
        <w:tc>
          <w:tcPr>
            <w:tcW w:w="259" w:type="pct"/>
            <w:tcMar>
              <w:left w:w="28" w:type="dxa"/>
              <w:right w:w="28" w:type="dxa"/>
            </w:tcMar>
            <w:vAlign w:val="bottom"/>
          </w:tcPr>
          <w:p w14:paraId="1333BB09"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1.12</w:t>
            </w:r>
          </w:p>
        </w:tc>
        <w:tc>
          <w:tcPr>
            <w:tcW w:w="2977" w:type="pct"/>
            <w:tcMar>
              <w:left w:w="28" w:type="dxa"/>
              <w:right w:w="28" w:type="dxa"/>
            </w:tcMar>
            <w:vAlign w:val="bottom"/>
          </w:tcPr>
          <w:p w14:paraId="429B0902"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OLAĞANÜSTÜ YEDEKLER</w:t>
            </w:r>
          </w:p>
        </w:tc>
        <w:tc>
          <w:tcPr>
            <w:tcW w:w="221" w:type="pct"/>
            <w:tcMar>
              <w:left w:w="28" w:type="dxa"/>
              <w:right w:w="28" w:type="dxa"/>
            </w:tcMar>
            <w:vAlign w:val="bottom"/>
          </w:tcPr>
          <w:p w14:paraId="50B5692B"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5A906F7C" w14:textId="1B9FF5A4"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7211D238" w14:textId="4A8D09E1"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27.858.806</w:t>
            </w:r>
          </w:p>
        </w:tc>
      </w:tr>
      <w:tr w:rsidR="00581587" w:rsidRPr="00FB38E1" w14:paraId="074BECFC" w14:textId="77777777" w:rsidTr="00F95DA1">
        <w:trPr>
          <w:trHeight w:val="185"/>
        </w:trPr>
        <w:tc>
          <w:tcPr>
            <w:tcW w:w="259" w:type="pct"/>
            <w:tcMar>
              <w:left w:w="28" w:type="dxa"/>
              <w:right w:w="28" w:type="dxa"/>
            </w:tcMar>
            <w:vAlign w:val="bottom"/>
          </w:tcPr>
          <w:p w14:paraId="013D8B46"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1.13</w:t>
            </w:r>
          </w:p>
        </w:tc>
        <w:tc>
          <w:tcPr>
            <w:tcW w:w="2977" w:type="pct"/>
            <w:tcMar>
              <w:left w:w="28" w:type="dxa"/>
              <w:right w:w="28" w:type="dxa"/>
            </w:tcMar>
            <w:vAlign w:val="bottom"/>
          </w:tcPr>
          <w:p w14:paraId="3114A93D"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DİĞER YEDEKLER</w:t>
            </w:r>
          </w:p>
        </w:tc>
        <w:tc>
          <w:tcPr>
            <w:tcW w:w="221" w:type="pct"/>
            <w:tcMar>
              <w:left w:w="28" w:type="dxa"/>
              <w:right w:w="28" w:type="dxa"/>
            </w:tcMar>
            <w:vAlign w:val="bottom"/>
          </w:tcPr>
          <w:p w14:paraId="00AD5478"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148E2D44" w14:textId="07570703"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2D6B453C" w14:textId="1F07309A"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32A3B920" w14:textId="77777777" w:rsidTr="00F95DA1">
        <w:trPr>
          <w:trHeight w:val="185"/>
        </w:trPr>
        <w:tc>
          <w:tcPr>
            <w:tcW w:w="259" w:type="pct"/>
            <w:tcMar>
              <w:left w:w="28" w:type="dxa"/>
              <w:right w:w="28" w:type="dxa"/>
            </w:tcMar>
            <w:vAlign w:val="bottom"/>
          </w:tcPr>
          <w:p w14:paraId="06CF3F64"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1.14</w:t>
            </w:r>
          </w:p>
        </w:tc>
        <w:tc>
          <w:tcPr>
            <w:tcW w:w="2977" w:type="pct"/>
            <w:tcMar>
              <w:left w:w="28" w:type="dxa"/>
              <w:right w:w="28" w:type="dxa"/>
            </w:tcMar>
            <w:vAlign w:val="bottom"/>
          </w:tcPr>
          <w:p w14:paraId="57BF8983"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ÖZEL FONLAR</w:t>
            </w:r>
          </w:p>
        </w:tc>
        <w:tc>
          <w:tcPr>
            <w:tcW w:w="221" w:type="pct"/>
            <w:tcMar>
              <w:left w:w="28" w:type="dxa"/>
              <w:right w:w="28" w:type="dxa"/>
            </w:tcMar>
            <w:vAlign w:val="bottom"/>
          </w:tcPr>
          <w:p w14:paraId="6A0B4A8B"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4E379C2C" w14:textId="5C9DD130"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466F307B" w14:textId="2D6F1127"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w:t>
            </w:r>
          </w:p>
        </w:tc>
      </w:tr>
      <w:tr w:rsidR="00581587" w:rsidRPr="00FB38E1" w14:paraId="2200EEB8" w14:textId="77777777" w:rsidTr="00F95DA1">
        <w:trPr>
          <w:trHeight w:val="185"/>
        </w:trPr>
        <w:tc>
          <w:tcPr>
            <w:tcW w:w="259" w:type="pct"/>
            <w:tcMar>
              <w:left w:w="28" w:type="dxa"/>
              <w:right w:w="28" w:type="dxa"/>
            </w:tcMar>
            <w:vAlign w:val="bottom"/>
          </w:tcPr>
          <w:p w14:paraId="4E01BD51" w14:textId="77777777" w:rsidR="00581587" w:rsidRPr="00FB38E1" w:rsidRDefault="00581587" w:rsidP="00581587">
            <w:pPr>
              <w:rPr>
                <w:rFonts w:ascii="Microsoft Sans Serif" w:hAnsi="Microsoft Sans Serif" w:cs="Microsoft Sans Serif"/>
                <w:sz w:val="14"/>
                <w:szCs w:val="14"/>
              </w:rPr>
            </w:pPr>
          </w:p>
        </w:tc>
        <w:tc>
          <w:tcPr>
            <w:tcW w:w="2977" w:type="pct"/>
            <w:tcMar>
              <w:left w:w="28" w:type="dxa"/>
              <w:right w:w="28" w:type="dxa"/>
            </w:tcMar>
            <w:vAlign w:val="bottom"/>
          </w:tcPr>
          <w:p w14:paraId="33C8AB36" w14:textId="77777777" w:rsidR="00581587" w:rsidRPr="00FB38E1" w:rsidRDefault="00581587" w:rsidP="00581587">
            <w:pPr>
              <w:rPr>
                <w:rFonts w:ascii="Microsoft Sans Serif" w:hAnsi="Microsoft Sans Serif" w:cs="Microsoft Sans Serif"/>
                <w:sz w:val="14"/>
                <w:szCs w:val="14"/>
              </w:rPr>
            </w:pPr>
          </w:p>
        </w:tc>
        <w:tc>
          <w:tcPr>
            <w:tcW w:w="221" w:type="pct"/>
            <w:tcMar>
              <w:left w:w="28" w:type="dxa"/>
              <w:right w:w="28" w:type="dxa"/>
            </w:tcMar>
            <w:vAlign w:val="bottom"/>
          </w:tcPr>
          <w:p w14:paraId="345D07D7"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7002990C" w14:textId="77777777"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tcPr>
          <w:p w14:paraId="2EB64850" w14:textId="77777777" w:rsidR="00581587" w:rsidRPr="00FB38E1" w:rsidRDefault="00581587" w:rsidP="00581587">
            <w:pPr>
              <w:jc w:val="right"/>
              <w:rPr>
                <w:rFonts w:ascii="Microsoft Sans Serif" w:hAnsi="Microsoft Sans Serif" w:cs="Microsoft Sans Serif"/>
                <w:sz w:val="14"/>
                <w:szCs w:val="14"/>
              </w:rPr>
            </w:pPr>
          </w:p>
        </w:tc>
      </w:tr>
      <w:tr w:rsidR="00581587" w:rsidRPr="00FB38E1" w14:paraId="758B5B4F" w14:textId="77777777" w:rsidTr="00F95DA1">
        <w:trPr>
          <w:trHeight w:val="185"/>
        </w:trPr>
        <w:tc>
          <w:tcPr>
            <w:tcW w:w="259" w:type="pct"/>
            <w:tcMar>
              <w:left w:w="28" w:type="dxa"/>
              <w:right w:w="28" w:type="dxa"/>
            </w:tcMar>
            <w:vAlign w:val="bottom"/>
          </w:tcPr>
          <w:p w14:paraId="18D2D187" w14:textId="77777777" w:rsidR="00581587" w:rsidRPr="00FB38E1" w:rsidRDefault="00581587" w:rsidP="00581587">
            <w:pPr>
              <w:rPr>
                <w:rFonts w:ascii="Microsoft Sans Serif" w:hAnsi="Microsoft Sans Serif" w:cs="Microsoft Sans Serif"/>
                <w:b/>
                <w:sz w:val="14"/>
                <w:szCs w:val="14"/>
              </w:rPr>
            </w:pPr>
            <w:r w:rsidRPr="00FB38E1">
              <w:rPr>
                <w:rFonts w:ascii="Microsoft Sans Serif" w:hAnsi="Microsoft Sans Serif" w:cs="Microsoft Sans Serif"/>
                <w:b/>
                <w:sz w:val="14"/>
                <w:szCs w:val="14"/>
              </w:rPr>
              <w:t>II.</w:t>
            </w:r>
          </w:p>
        </w:tc>
        <w:tc>
          <w:tcPr>
            <w:tcW w:w="2977" w:type="pct"/>
            <w:tcMar>
              <w:left w:w="28" w:type="dxa"/>
              <w:right w:w="28" w:type="dxa"/>
            </w:tcMar>
            <w:vAlign w:val="bottom"/>
          </w:tcPr>
          <w:p w14:paraId="6ABCE2DC" w14:textId="77777777" w:rsidR="00581587" w:rsidRPr="00FB38E1" w:rsidRDefault="00581587" w:rsidP="00581587">
            <w:pPr>
              <w:rPr>
                <w:rFonts w:ascii="Microsoft Sans Serif" w:hAnsi="Microsoft Sans Serif" w:cs="Microsoft Sans Serif"/>
                <w:b/>
                <w:sz w:val="14"/>
                <w:szCs w:val="14"/>
              </w:rPr>
            </w:pPr>
            <w:r w:rsidRPr="00FB38E1">
              <w:rPr>
                <w:rFonts w:ascii="Microsoft Sans Serif" w:hAnsi="Microsoft Sans Serif" w:cs="Microsoft Sans Serif"/>
                <w:b/>
                <w:sz w:val="14"/>
                <w:szCs w:val="14"/>
              </w:rPr>
              <w:t>YEDEKLERDEN DAĞITIM</w:t>
            </w:r>
          </w:p>
        </w:tc>
        <w:tc>
          <w:tcPr>
            <w:tcW w:w="221" w:type="pct"/>
            <w:tcMar>
              <w:left w:w="28" w:type="dxa"/>
              <w:right w:w="28" w:type="dxa"/>
            </w:tcMar>
            <w:vAlign w:val="bottom"/>
          </w:tcPr>
          <w:p w14:paraId="6B580250"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2A5DA296" w14:textId="77777777"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tcPr>
          <w:p w14:paraId="65332124" w14:textId="77777777" w:rsidR="00581587" w:rsidRPr="00FB38E1" w:rsidRDefault="00581587" w:rsidP="00581587">
            <w:pPr>
              <w:jc w:val="right"/>
              <w:rPr>
                <w:rFonts w:ascii="Microsoft Sans Serif" w:hAnsi="Microsoft Sans Serif" w:cs="Microsoft Sans Serif"/>
                <w:sz w:val="14"/>
                <w:szCs w:val="14"/>
              </w:rPr>
            </w:pPr>
          </w:p>
        </w:tc>
      </w:tr>
      <w:tr w:rsidR="00581587" w:rsidRPr="00FB38E1" w14:paraId="29157A7C" w14:textId="77777777" w:rsidTr="00F95DA1">
        <w:trPr>
          <w:trHeight w:val="185"/>
        </w:trPr>
        <w:tc>
          <w:tcPr>
            <w:tcW w:w="259" w:type="pct"/>
            <w:tcMar>
              <w:left w:w="28" w:type="dxa"/>
              <w:right w:w="28" w:type="dxa"/>
            </w:tcMar>
            <w:vAlign w:val="bottom"/>
          </w:tcPr>
          <w:p w14:paraId="7E3AE1DA" w14:textId="77777777" w:rsidR="00581587" w:rsidRPr="00FB38E1" w:rsidRDefault="00581587" w:rsidP="00581587">
            <w:pPr>
              <w:rPr>
                <w:rFonts w:ascii="Microsoft Sans Serif" w:hAnsi="Microsoft Sans Serif" w:cs="Microsoft Sans Serif"/>
                <w:sz w:val="14"/>
                <w:szCs w:val="14"/>
              </w:rPr>
            </w:pPr>
          </w:p>
        </w:tc>
        <w:tc>
          <w:tcPr>
            <w:tcW w:w="2977" w:type="pct"/>
            <w:tcMar>
              <w:left w:w="28" w:type="dxa"/>
              <w:right w:w="28" w:type="dxa"/>
            </w:tcMar>
            <w:vAlign w:val="bottom"/>
          </w:tcPr>
          <w:p w14:paraId="33F767A6" w14:textId="77777777" w:rsidR="00581587" w:rsidRPr="00FB38E1" w:rsidRDefault="00581587" w:rsidP="00581587">
            <w:pPr>
              <w:rPr>
                <w:rFonts w:ascii="Microsoft Sans Serif" w:hAnsi="Microsoft Sans Serif" w:cs="Microsoft Sans Serif"/>
                <w:sz w:val="14"/>
                <w:szCs w:val="14"/>
              </w:rPr>
            </w:pPr>
          </w:p>
        </w:tc>
        <w:tc>
          <w:tcPr>
            <w:tcW w:w="221" w:type="pct"/>
            <w:tcMar>
              <w:left w:w="28" w:type="dxa"/>
              <w:right w:w="28" w:type="dxa"/>
            </w:tcMar>
            <w:vAlign w:val="bottom"/>
          </w:tcPr>
          <w:p w14:paraId="35502418"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5E858FEC" w14:textId="4E8C5FD6"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44EF3D75" w14:textId="7A4573BF"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r>
      <w:tr w:rsidR="00581587" w:rsidRPr="00FB38E1" w14:paraId="07A04117" w14:textId="77777777" w:rsidTr="00F95DA1">
        <w:trPr>
          <w:trHeight w:val="185"/>
        </w:trPr>
        <w:tc>
          <w:tcPr>
            <w:tcW w:w="259" w:type="pct"/>
            <w:tcMar>
              <w:left w:w="28" w:type="dxa"/>
              <w:right w:w="28" w:type="dxa"/>
            </w:tcMar>
            <w:vAlign w:val="bottom"/>
          </w:tcPr>
          <w:p w14:paraId="3808BDBD"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2.1</w:t>
            </w:r>
          </w:p>
        </w:tc>
        <w:tc>
          <w:tcPr>
            <w:tcW w:w="2977" w:type="pct"/>
            <w:tcMar>
              <w:left w:w="28" w:type="dxa"/>
              <w:right w:w="28" w:type="dxa"/>
            </w:tcMar>
            <w:vAlign w:val="bottom"/>
          </w:tcPr>
          <w:p w14:paraId="4263DB92"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DAĞITILAN YEDEKLER</w:t>
            </w:r>
          </w:p>
        </w:tc>
        <w:tc>
          <w:tcPr>
            <w:tcW w:w="221" w:type="pct"/>
            <w:tcMar>
              <w:left w:w="28" w:type="dxa"/>
              <w:right w:w="28" w:type="dxa"/>
            </w:tcMar>
            <w:vAlign w:val="bottom"/>
          </w:tcPr>
          <w:p w14:paraId="0BEB36B3"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599E2F84" w14:textId="3C21EB65"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2491C787" w14:textId="2F41FFB2"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r>
      <w:tr w:rsidR="00581587" w:rsidRPr="00FB38E1" w14:paraId="067D85D6" w14:textId="77777777" w:rsidTr="00F95DA1">
        <w:trPr>
          <w:trHeight w:val="185"/>
        </w:trPr>
        <w:tc>
          <w:tcPr>
            <w:tcW w:w="259" w:type="pct"/>
            <w:tcMar>
              <w:left w:w="28" w:type="dxa"/>
              <w:right w:w="28" w:type="dxa"/>
            </w:tcMar>
            <w:vAlign w:val="bottom"/>
          </w:tcPr>
          <w:p w14:paraId="29EDC7EE"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2.2</w:t>
            </w:r>
          </w:p>
        </w:tc>
        <w:tc>
          <w:tcPr>
            <w:tcW w:w="2977" w:type="pct"/>
            <w:tcMar>
              <w:left w:w="28" w:type="dxa"/>
              <w:right w:w="28" w:type="dxa"/>
            </w:tcMar>
            <w:vAlign w:val="bottom"/>
          </w:tcPr>
          <w:p w14:paraId="221BAE42"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İKİNCİ TERTİP YASAL YEDEKLER (-)</w:t>
            </w:r>
          </w:p>
        </w:tc>
        <w:tc>
          <w:tcPr>
            <w:tcW w:w="221" w:type="pct"/>
            <w:tcMar>
              <w:left w:w="28" w:type="dxa"/>
              <w:right w:w="28" w:type="dxa"/>
            </w:tcMar>
            <w:vAlign w:val="bottom"/>
          </w:tcPr>
          <w:p w14:paraId="1AF8E7AE"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59DCBF8C" w14:textId="691866B1"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04AD46B0" w14:textId="753B0889"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r>
      <w:tr w:rsidR="00581587" w:rsidRPr="00FB38E1" w14:paraId="591514B5" w14:textId="77777777" w:rsidTr="00F95DA1">
        <w:trPr>
          <w:trHeight w:val="185"/>
        </w:trPr>
        <w:tc>
          <w:tcPr>
            <w:tcW w:w="259" w:type="pct"/>
            <w:tcMar>
              <w:left w:w="28" w:type="dxa"/>
              <w:right w:w="28" w:type="dxa"/>
            </w:tcMar>
            <w:vAlign w:val="bottom"/>
          </w:tcPr>
          <w:p w14:paraId="1884298D"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2.3</w:t>
            </w:r>
          </w:p>
        </w:tc>
        <w:tc>
          <w:tcPr>
            <w:tcW w:w="2977" w:type="pct"/>
            <w:tcMar>
              <w:left w:w="28" w:type="dxa"/>
              <w:right w:w="28" w:type="dxa"/>
            </w:tcMar>
            <w:vAlign w:val="bottom"/>
          </w:tcPr>
          <w:p w14:paraId="213AD2A7"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ORTAKLARA PAY (-)</w:t>
            </w:r>
          </w:p>
        </w:tc>
        <w:tc>
          <w:tcPr>
            <w:tcW w:w="221" w:type="pct"/>
            <w:tcMar>
              <w:left w:w="28" w:type="dxa"/>
              <w:right w:w="28" w:type="dxa"/>
            </w:tcMar>
            <w:vAlign w:val="bottom"/>
          </w:tcPr>
          <w:p w14:paraId="68B00EA2"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452E3F02" w14:textId="08273B28"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1A34079F" w14:textId="1A46D3E6"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r>
      <w:tr w:rsidR="00581587" w:rsidRPr="00FB38E1" w14:paraId="7111254C" w14:textId="77777777" w:rsidTr="00F95DA1">
        <w:trPr>
          <w:trHeight w:val="185"/>
        </w:trPr>
        <w:tc>
          <w:tcPr>
            <w:tcW w:w="259" w:type="pct"/>
            <w:tcMar>
              <w:left w:w="28" w:type="dxa"/>
              <w:right w:w="28" w:type="dxa"/>
            </w:tcMar>
            <w:vAlign w:val="bottom"/>
          </w:tcPr>
          <w:p w14:paraId="18C85B91"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2.3.1</w:t>
            </w:r>
          </w:p>
        </w:tc>
        <w:tc>
          <w:tcPr>
            <w:tcW w:w="2977" w:type="pct"/>
            <w:tcMar>
              <w:left w:w="28" w:type="dxa"/>
              <w:right w:w="28" w:type="dxa"/>
            </w:tcMar>
            <w:vAlign w:val="bottom"/>
          </w:tcPr>
          <w:p w14:paraId="596D8E29"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Hisse Senedi Sahiplerine</w:t>
            </w:r>
          </w:p>
        </w:tc>
        <w:tc>
          <w:tcPr>
            <w:tcW w:w="221" w:type="pct"/>
            <w:tcMar>
              <w:left w:w="28" w:type="dxa"/>
              <w:right w:w="28" w:type="dxa"/>
            </w:tcMar>
            <w:vAlign w:val="bottom"/>
          </w:tcPr>
          <w:p w14:paraId="5AF3957B"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4DBA80AD" w14:textId="58509C66"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06E74365" w14:textId="61B0246E"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r>
      <w:tr w:rsidR="00581587" w:rsidRPr="00FB38E1" w14:paraId="71A86898" w14:textId="77777777" w:rsidTr="00F95DA1">
        <w:trPr>
          <w:trHeight w:val="185"/>
        </w:trPr>
        <w:tc>
          <w:tcPr>
            <w:tcW w:w="259" w:type="pct"/>
            <w:tcMar>
              <w:left w:w="28" w:type="dxa"/>
              <w:right w:w="28" w:type="dxa"/>
            </w:tcMar>
            <w:vAlign w:val="bottom"/>
          </w:tcPr>
          <w:p w14:paraId="39D0C9DF"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2.3.2</w:t>
            </w:r>
          </w:p>
        </w:tc>
        <w:tc>
          <w:tcPr>
            <w:tcW w:w="2977" w:type="pct"/>
            <w:tcMar>
              <w:left w:w="28" w:type="dxa"/>
              <w:right w:w="28" w:type="dxa"/>
            </w:tcMar>
            <w:vAlign w:val="bottom"/>
          </w:tcPr>
          <w:p w14:paraId="19DD5432"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İmtiyazlı Hisse Senedi Sahiplerine</w:t>
            </w:r>
          </w:p>
        </w:tc>
        <w:tc>
          <w:tcPr>
            <w:tcW w:w="221" w:type="pct"/>
            <w:tcMar>
              <w:left w:w="28" w:type="dxa"/>
              <w:right w:w="28" w:type="dxa"/>
            </w:tcMar>
            <w:vAlign w:val="bottom"/>
          </w:tcPr>
          <w:p w14:paraId="5AF3B005"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51B48FF3" w14:textId="6968AE1C"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170338D8" w14:textId="566AF63A"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r>
      <w:tr w:rsidR="00581587" w:rsidRPr="00FB38E1" w14:paraId="332B51E1" w14:textId="77777777" w:rsidTr="00F95DA1">
        <w:trPr>
          <w:trHeight w:val="185"/>
        </w:trPr>
        <w:tc>
          <w:tcPr>
            <w:tcW w:w="259" w:type="pct"/>
            <w:tcMar>
              <w:left w:w="28" w:type="dxa"/>
              <w:right w:w="28" w:type="dxa"/>
            </w:tcMar>
            <w:vAlign w:val="bottom"/>
          </w:tcPr>
          <w:p w14:paraId="64C17CE9"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2.3.3</w:t>
            </w:r>
          </w:p>
        </w:tc>
        <w:tc>
          <w:tcPr>
            <w:tcW w:w="2977" w:type="pct"/>
            <w:tcMar>
              <w:left w:w="28" w:type="dxa"/>
              <w:right w:w="28" w:type="dxa"/>
            </w:tcMar>
            <w:vAlign w:val="bottom"/>
          </w:tcPr>
          <w:p w14:paraId="6DE1F3D9"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Katılma İntifa Senetlerine</w:t>
            </w:r>
          </w:p>
        </w:tc>
        <w:tc>
          <w:tcPr>
            <w:tcW w:w="221" w:type="pct"/>
            <w:tcMar>
              <w:left w:w="28" w:type="dxa"/>
              <w:right w:w="28" w:type="dxa"/>
            </w:tcMar>
            <w:vAlign w:val="bottom"/>
          </w:tcPr>
          <w:p w14:paraId="1054B9AE"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1D6406C7" w14:textId="7F828B0A"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2164CD79" w14:textId="46F685AF"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b/>
                <w:bCs/>
                <w:color w:val="000000"/>
                <w:sz w:val="14"/>
                <w:szCs w:val="14"/>
              </w:rPr>
              <w:t>-</w:t>
            </w:r>
          </w:p>
        </w:tc>
      </w:tr>
      <w:tr w:rsidR="00581587" w:rsidRPr="00FB38E1" w14:paraId="08BA3C20" w14:textId="77777777" w:rsidTr="00F95DA1">
        <w:trPr>
          <w:trHeight w:val="185"/>
        </w:trPr>
        <w:tc>
          <w:tcPr>
            <w:tcW w:w="259" w:type="pct"/>
            <w:tcMar>
              <w:left w:w="28" w:type="dxa"/>
              <w:right w:w="28" w:type="dxa"/>
            </w:tcMar>
            <w:vAlign w:val="bottom"/>
          </w:tcPr>
          <w:p w14:paraId="1FF1040D"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2.3.4</w:t>
            </w:r>
          </w:p>
        </w:tc>
        <w:tc>
          <w:tcPr>
            <w:tcW w:w="2977" w:type="pct"/>
            <w:tcMar>
              <w:left w:w="28" w:type="dxa"/>
              <w:right w:w="28" w:type="dxa"/>
            </w:tcMar>
            <w:vAlign w:val="bottom"/>
          </w:tcPr>
          <w:p w14:paraId="7C351BFE"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Kâra İştirakli Tahvillere</w:t>
            </w:r>
          </w:p>
        </w:tc>
        <w:tc>
          <w:tcPr>
            <w:tcW w:w="221" w:type="pct"/>
            <w:tcMar>
              <w:left w:w="28" w:type="dxa"/>
              <w:right w:w="28" w:type="dxa"/>
            </w:tcMar>
            <w:vAlign w:val="bottom"/>
          </w:tcPr>
          <w:p w14:paraId="1C7FE519"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7184B371" w14:textId="35818378"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0AE4DB35" w14:textId="645BC6C1"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b/>
                <w:bCs/>
                <w:color w:val="000000"/>
                <w:sz w:val="14"/>
                <w:szCs w:val="14"/>
              </w:rPr>
              <w:t>-</w:t>
            </w:r>
          </w:p>
        </w:tc>
      </w:tr>
      <w:tr w:rsidR="00581587" w:rsidRPr="00FB38E1" w14:paraId="10916716" w14:textId="77777777" w:rsidTr="00F95DA1">
        <w:trPr>
          <w:trHeight w:val="185"/>
        </w:trPr>
        <w:tc>
          <w:tcPr>
            <w:tcW w:w="259" w:type="pct"/>
            <w:tcMar>
              <w:left w:w="28" w:type="dxa"/>
              <w:right w:w="28" w:type="dxa"/>
            </w:tcMar>
            <w:vAlign w:val="bottom"/>
          </w:tcPr>
          <w:p w14:paraId="6BA1501E"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2.3.5</w:t>
            </w:r>
          </w:p>
        </w:tc>
        <w:tc>
          <w:tcPr>
            <w:tcW w:w="2977" w:type="pct"/>
            <w:tcMar>
              <w:left w:w="28" w:type="dxa"/>
              <w:right w:w="28" w:type="dxa"/>
            </w:tcMar>
            <w:vAlign w:val="bottom"/>
          </w:tcPr>
          <w:p w14:paraId="268B8D74"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Kâr ve Zarar Ortaklığı Belgesi Sahiplerine</w:t>
            </w:r>
          </w:p>
        </w:tc>
        <w:tc>
          <w:tcPr>
            <w:tcW w:w="221" w:type="pct"/>
            <w:tcMar>
              <w:left w:w="28" w:type="dxa"/>
              <w:right w:w="28" w:type="dxa"/>
            </w:tcMar>
            <w:vAlign w:val="bottom"/>
          </w:tcPr>
          <w:p w14:paraId="52BE6D09"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6E69E090" w14:textId="78FCEE14"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6ED8DC89" w14:textId="1ADEDC4F"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b/>
                <w:bCs/>
                <w:color w:val="000000"/>
                <w:sz w:val="14"/>
                <w:szCs w:val="14"/>
              </w:rPr>
              <w:t>-</w:t>
            </w:r>
          </w:p>
        </w:tc>
      </w:tr>
      <w:tr w:rsidR="00581587" w:rsidRPr="00FB38E1" w14:paraId="3B13D3E7" w14:textId="77777777" w:rsidTr="00F95DA1">
        <w:trPr>
          <w:trHeight w:val="185"/>
        </w:trPr>
        <w:tc>
          <w:tcPr>
            <w:tcW w:w="259" w:type="pct"/>
            <w:tcMar>
              <w:left w:w="28" w:type="dxa"/>
              <w:right w:w="28" w:type="dxa"/>
            </w:tcMar>
            <w:vAlign w:val="bottom"/>
          </w:tcPr>
          <w:p w14:paraId="352C7F73"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2.4</w:t>
            </w:r>
          </w:p>
        </w:tc>
        <w:tc>
          <w:tcPr>
            <w:tcW w:w="2977" w:type="pct"/>
            <w:tcMar>
              <w:left w:w="28" w:type="dxa"/>
              <w:right w:w="28" w:type="dxa"/>
            </w:tcMar>
            <w:vAlign w:val="bottom"/>
          </w:tcPr>
          <w:p w14:paraId="07222B0F"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PERSONELE PAY (-)</w:t>
            </w:r>
          </w:p>
        </w:tc>
        <w:tc>
          <w:tcPr>
            <w:tcW w:w="221" w:type="pct"/>
            <w:tcMar>
              <w:left w:w="28" w:type="dxa"/>
              <w:right w:w="28" w:type="dxa"/>
            </w:tcMar>
            <w:vAlign w:val="bottom"/>
          </w:tcPr>
          <w:p w14:paraId="44DA8E7A"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0F98C8B9" w14:textId="7111E52D"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735911FC" w14:textId="5691F2FF"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r>
      <w:tr w:rsidR="00581587" w:rsidRPr="00FB38E1" w14:paraId="6D2A11C6" w14:textId="77777777" w:rsidTr="00F95DA1">
        <w:trPr>
          <w:trHeight w:val="185"/>
        </w:trPr>
        <w:tc>
          <w:tcPr>
            <w:tcW w:w="259" w:type="pct"/>
            <w:tcMar>
              <w:left w:w="28" w:type="dxa"/>
              <w:right w:w="28" w:type="dxa"/>
            </w:tcMar>
            <w:vAlign w:val="bottom"/>
          </w:tcPr>
          <w:p w14:paraId="02B5195E"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2.5</w:t>
            </w:r>
          </w:p>
        </w:tc>
        <w:tc>
          <w:tcPr>
            <w:tcW w:w="2977" w:type="pct"/>
            <w:tcMar>
              <w:left w:w="28" w:type="dxa"/>
              <w:right w:w="28" w:type="dxa"/>
            </w:tcMar>
            <w:vAlign w:val="bottom"/>
          </w:tcPr>
          <w:p w14:paraId="789AD375"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YÖNETİM KURULUNA PAY (-)</w:t>
            </w:r>
          </w:p>
        </w:tc>
        <w:tc>
          <w:tcPr>
            <w:tcW w:w="221" w:type="pct"/>
            <w:tcMar>
              <w:left w:w="28" w:type="dxa"/>
              <w:right w:w="28" w:type="dxa"/>
            </w:tcMar>
            <w:vAlign w:val="bottom"/>
          </w:tcPr>
          <w:p w14:paraId="66AF2511"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682DEDCA" w14:textId="38240005"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c>
          <w:tcPr>
            <w:tcW w:w="807" w:type="pct"/>
            <w:tcBorders>
              <w:top w:val="nil"/>
              <w:left w:val="nil"/>
              <w:bottom w:val="nil"/>
              <w:right w:val="nil"/>
            </w:tcBorders>
            <w:shd w:val="clear" w:color="000000" w:fill="FFFFFF"/>
          </w:tcPr>
          <w:p w14:paraId="45085ECF" w14:textId="5821A26C"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b/>
                <w:bCs/>
                <w:color w:val="000000"/>
                <w:sz w:val="14"/>
                <w:szCs w:val="14"/>
              </w:rPr>
              <w:t>-</w:t>
            </w:r>
          </w:p>
        </w:tc>
      </w:tr>
      <w:tr w:rsidR="00581587" w:rsidRPr="00FB38E1" w14:paraId="09703CEB" w14:textId="77777777" w:rsidTr="00F95DA1">
        <w:trPr>
          <w:trHeight w:val="185"/>
        </w:trPr>
        <w:tc>
          <w:tcPr>
            <w:tcW w:w="259" w:type="pct"/>
            <w:tcMar>
              <w:left w:w="28" w:type="dxa"/>
              <w:right w:w="28" w:type="dxa"/>
            </w:tcMar>
            <w:vAlign w:val="bottom"/>
          </w:tcPr>
          <w:p w14:paraId="01F8CC53" w14:textId="77777777" w:rsidR="00581587" w:rsidRPr="00FB38E1" w:rsidRDefault="00581587" w:rsidP="00581587">
            <w:pPr>
              <w:rPr>
                <w:rFonts w:ascii="Microsoft Sans Serif" w:hAnsi="Microsoft Sans Serif" w:cs="Microsoft Sans Serif"/>
                <w:sz w:val="14"/>
                <w:szCs w:val="14"/>
              </w:rPr>
            </w:pPr>
          </w:p>
        </w:tc>
        <w:tc>
          <w:tcPr>
            <w:tcW w:w="2977" w:type="pct"/>
            <w:tcMar>
              <w:left w:w="28" w:type="dxa"/>
              <w:right w:w="28" w:type="dxa"/>
            </w:tcMar>
            <w:vAlign w:val="bottom"/>
          </w:tcPr>
          <w:p w14:paraId="40C33523" w14:textId="77777777" w:rsidR="00581587" w:rsidRPr="00FB38E1" w:rsidRDefault="00581587" w:rsidP="00581587">
            <w:pPr>
              <w:rPr>
                <w:rFonts w:ascii="Microsoft Sans Serif" w:hAnsi="Microsoft Sans Serif" w:cs="Microsoft Sans Serif"/>
                <w:sz w:val="14"/>
                <w:szCs w:val="14"/>
              </w:rPr>
            </w:pPr>
          </w:p>
        </w:tc>
        <w:tc>
          <w:tcPr>
            <w:tcW w:w="221" w:type="pct"/>
            <w:tcMar>
              <w:left w:w="28" w:type="dxa"/>
              <w:right w:w="28" w:type="dxa"/>
            </w:tcMar>
            <w:vAlign w:val="bottom"/>
          </w:tcPr>
          <w:p w14:paraId="1BDA6745"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24B88D99" w14:textId="77777777"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tcPr>
          <w:p w14:paraId="571CDDA7" w14:textId="77777777" w:rsidR="00581587" w:rsidRPr="00FB38E1" w:rsidRDefault="00581587" w:rsidP="00581587">
            <w:pPr>
              <w:jc w:val="right"/>
              <w:rPr>
                <w:rFonts w:ascii="Microsoft Sans Serif" w:hAnsi="Microsoft Sans Serif" w:cs="Microsoft Sans Serif"/>
                <w:sz w:val="14"/>
                <w:szCs w:val="14"/>
              </w:rPr>
            </w:pPr>
          </w:p>
        </w:tc>
      </w:tr>
      <w:tr w:rsidR="00581587" w:rsidRPr="00FB38E1" w14:paraId="68091DF1" w14:textId="77777777" w:rsidTr="00F95DA1">
        <w:trPr>
          <w:trHeight w:val="185"/>
        </w:trPr>
        <w:tc>
          <w:tcPr>
            <w:tcW w:w="259" w:type="pct"/>
            <w:tcMar>
              <w:left w:w="28" w:type="dxa"/>
              <w:right w:w="28" w:type="dxa"/>
            </w:tcMar>
            <w:vAlign w:val="bottom"/>
          </w:tcPr>
          <w:p w14:paraId="31DDB067" w14:textId="77777777" w:rsidR="00581587" w:rsidRPr="00FB38E1" w:rsidRDefault="00581587" w:rsidP="00581587">
            <w:pPr>
              <w:rPr>
                <w:rFonts w:ascii="Microsoft Sans Serif" w:hAnsi="Microsoft Sans Serif" w:cs="Microsoft Sans Serif"/>
                <w:b/>
                <w:sz w:val="14"/>
                <w:szCs w:val="14"/>
              </w:rPr>
            </w:pPr>
            <w:r w:rsidRPr="00FB38E1">
              <w:rPr>
                <w:rFonts w:ascii="Microsoft Sans Serif" w:hAnsi="Microsoft Sans Serif" w:cs="Microsoft Sans Serif"/>
                <w:b/>
                <w:sz w:val="14"/>
                <w:szCs w:val="14"/>
              </w:rPr>
              <w:t>III.</w:t>
            </w:r>
          </w:p>
        </w:tc>
        <w:tc>
          <w:tcPr>
            <w:tcW w:w="2977" w:type="pct"/>
            <w:tcMar>
              <w:left w:w="28" w:type="dxa"/>
              <w:right w:w="28" w:type="dxa"/>
            </w:tcMar>
            <w:vAlign w:val="bottom"/>
          </w:tcPr>
          <w:p w14:paraId="20C53FA1" w14:textId="77777777" w:rsidR="00581587" w:rsidRPr="00FB38E1" w:rsidRDefault="00581587" w:rsidP="00581587">
            <w:pPr>
              <w:rPr>
                <w:rFonts w:ascii="Microsoft Sans Serif" w:hAnsi="Microsoft Sans Serif" w:cs="Microsoft Sans Serif"/>
                <w:b/>
                <w:sz w:val="14"/>
                <w:szCs w:val="14"/>
              </w:rPr>
            </w:pPr>
            <w:r w:rsidRPr="00FB38E1">
              <w:rPr>
                <w:rFonts w:ascii="Microsoft Sans Serif" w:hAnsi="Microsoft Sans Serif" w:cs="Microsoft Sans Serif"/>
                <w:b/>
                <w:sz w:val="14"/>
                <w:szCs w:val="14"/>
              </w:rPr>
              <w:t>HİSSE BAŞINA KÂR</w:t>
            </w:r>
          </w:p>
        </w:tc>
        <w:tc>
          <w:tcPr>
            <w:tcW w:w="221" w:type="pct"/>
            <w:tcMar>
              <w:left w:w="28" w:type="dxa"/>
              <w:right w:w="28" w:type="dxa"/>
            </w:tcMar>
            <w:vAlign w:val="bottom"/>
          </w:tcPr>
          <w:p w14:paraId="4A26BFA8"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4B936466" w14:textId="4C67C248"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tcPr>
          <w:p w14:paraId="707F8B1F" w14:textId="370EC351" w:rsidR="00581587" w:rsidRPr="00FB38E1" w:rsidRDefault="00581587" w:rsidP="00581587">
            <w:pPr>
              <w:jc w:val="right"/>
              <w:rPr>
                <w:rFonts w:ascii="Microsoft Sans Serif" w:hAnsi="Microsoft Sans Serif" w:cs="Microsoft Sans Serif"/>
                <w:sz w:val="14"/>
                <w:szCs w:val="14"/>
              </w:rPr>
            </w:pPr>
          </w:p>
        </w:tc>
      </w:tr>
      <w:tr w:rsidR="00581587" w:rsidRPr="00FB38E1" w14:paraId="341DFA81" w14:textId="77777777" w:rsidTr="00F95DA1">
        <w:trPr>
          <w:trHeight w:val="185"/>
        </w:trPr>
        <w:tc>
          <w:tcPr>
            <w:tcW w:w="259" w:type="pct"/>
            <w:tcMar>
              <w:left w:w="28" w:type="dxa"/>
              <w:right w:w="28" w:type="dxa"/>
            </w:tcMar>
            <w:vAlign w:val="bottom"/>
          </w:tcPr>
          <w:p w14:paraId="40CEA627" w14:textId="77777777" w:rsidR="00581587" w:rsidRPr="00FB38E1" w:rsidRDefault="00581587" w:rsidP="00581587">
            <w:pPr>
              <w:rPr>
                <w:rFonts w:ascii="Microsoft Sans Serif" w:hAnsi="Microsoft Sans Serif" w:cs="Microsoft Sans Serif"/>
                <w:sz w:val="14"/>
                <w:szCs w:val="14"/>
              </w:rPr>
            </w:pPr>
          </w:p>
        </w:tc>
        <w:tc>
          <w:tcPr>
            <w:tcW w:w="2977" w:type="pct"/>
            <w:tcMar>
              <w:left w:w="28" w:type="dxa"/>
              <w:right w:w="28" w:type="dxa"/>
            </w:tcMar>
            <w:vAlign w:val="bottom"/>
          </w:tcPr>
          <w:p w14:paraId="52C90CD2" w14:textId="77777777" w:rsidR="00581587" w:rsidRPr="00FB38E1" w:rsidRDefault="00581587" w:rsidP="00581587">
            <w:pPr>
              <w:rPr>
                <w:rFonts w:ascii="Microsoft Sans Serif" w:hAnsi="Microsoft Sans Serif" w:cs="Microsoft Sans Serif"/>
                <w:sz w:val="14"/>
                <w:szCs w:val="14"/>
              </w:rPr>
            </w:pPr>
          </w:p>
        </w:tc>
        <w:tc>
          <w:tcPr>
            <w:tcW w:w="221" w:type="pct"/>
            <w:tcMar>
              <w:left w:w="28" w:type="dxa"/>
              <w:right w:w="28" w:type="dxa"/>
            </w:tcMar>
            <w:vAlign w:val="bottom"/>
          </w:tcPr>
          <w:p w14:paraId="05FDA84A"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6F2DC3BF" w14:textId="4BC92481"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tcPr>
          <w:p w14:paraId="49BB5E50" w14:textId="4395256A" w:rsidR="00581587" w:rsidRPr="00FB38E1" w:rsidRDefault="00581587" w:rsidP="00581587">
            <w:pPr>
              <w:jc w:val="right"/>
              <w:rPr>
                <w:rFonts w:ascii="Microsoft Sans Serif" w:hAnsi="Microsoft Sans Serif" w:cs="Microsoft Sans Serif"/>
                <w:sz w:val="14"/>
                <w:szCs w:val="14"/>
              </w:rPr>
            </w:pPr>
          </w:p>
        </w:tc>
      </w:tr>
      <w:tr w:rsidR="00581587" w:rsidRPr="00FB38E1" w14:paraId="38F3B611" w14:textId="77777777" w:rsidTr="00836EF2">
        <w:trPr>
          <w:trHeight w:val="185"/>
        </w:trPr>
        <w:tc>
          <w:tcPr>
            <w:tcW w:w="259" w:type="pct"/>
            <w:tcMar>
              <w:left w:w="28" w:type="dxa"/>
              <w:right w:w="28" w:type="dxa"/>
            </w:tcMar>
            <w:vAlign w:val="bottom"/>
          </w:tcPr>
          <w:p w14:paraId="7D1FFFBA"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3.1</w:t>
            </w:r>
          </w:p>
        </w:tc>
        <w:tc>
          <w:tcPr>
            <w:tcW w:w="2977" w:type="pct"/>
            <w:tcMar>
              <w:left w:w="28" w:type="dxa"/>
              <w:right w:w="28" w:type="dxa"/>
            </w:tcMar>
            <w:vAlign w:val="bottom"/>
          </w:tcPr>
          <w:p w14:paraId="4FA26CBE"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HİSSE SENEDİ SAHİPLERİNE</w:t>
            </w:r>
          </w:p>
        </w:tc>
        <w:tc>
          <w:tcPr>
            <w:tcW w:w="221" w:type="pct"/>
            <w:tcMar>
              <w:left w:w="28" w:type="dxa"/>
              <w:right w:w="28" w:type="dxa"/>
            </w:tcMar>
            <w:vAlign w:val="bottom"/>
          </w:tcPr>
          <w:p w14:paraId="25329DB3"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21D8AC5A" w14:textId="19005507"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0,023</w:t>
            </w:r>
          </w:p>
        </w:tc>
        <w:tc>
          <w:tcPr>
            <w:tcW w:w="807" w:type="pct"/>
            <w:tcBorders>
              <w:top w:val="nil"/>
              <w:left w:val="nil"/>
              <w:bottom w:val="nil"/>
              <w:right w:val="nil"/>
            </w:tcBorders>
            <w:shd w:val="clear" w:color="000000" w:fill="FFFFFF"/>
          </w:tcPr>
          <w:p w14:paraId="1058C7BF" w14:textId="482AC4F9"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0,049</w:t>
            </w:r>
          </w:p>
        </w:tc>
      </w:tr>
      <w:tr w:rsidR="00581587" w:rsidRPr="00FB38E1" w14:paraId="16E074B8" w14:textId="77777777" w:rsidTr="00836EF2">
        <w:trPr>
          <w:trHeight w:val="185"/>
        </w:trPr>
        <w:tc>
          <w:tcPr>
            <w:tcW w:w="259" w:type="pct"/>
            <w:tcMar>
              <w:left w:w="28" w:type="dxa"/>
              <w:right w:w="28" w:type="dxa"/>
            </w:tcMar>
            <w:vAlign w:val="bottom"/>
          </w:tcPr>
          <w:p w14:paraId="789C6F2E"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3.2</w:t>
            </w:r>
          </w:p>
        </w:tc>
        <w:tc>
          <w:tcPr>
            <w:tcW w:w="2977" w:type="pct"/>
            <w:tcMar>
              <w:left w:w="28" w:type="dxa"/>
              <w:right w:w="28" w:type="dxa"/>
            </w:tcMar>
            <w:vAlign w:val="bottom"/>
          </w:tcPr>
          <w:p w14:paraId="24624314"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HİSSE SENEDİ SAHİPLERİNE (%)</w:t>
            </w:r>
          </w:p>
        </w:tc>
        <w:tc>
          <w:tcPr>
            <w:tcW w:w="221" w:type="pct"/>
            <w:tcMar>
              <w:left w:w="28" w:type="dxa"/>
              <w:right w:w="28" w:type="dxa"/>
            </w:tcMar>
            <w:vAlign w:val="bottom"/>
          </w:tcPr>
          <w:p w14:paraId="68B42A68"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62CBD74F" w14:textId="69BDD9C9"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2,29</w:t>
            </w:r>
          </w:p>
        </w:tc>
        <w:tc>
          <w:tcPr>
            <w:tcW w:w="807" w:type="pct"/>
            <w:tcBorders>
              <w:top w:val="nil"/>
              <w:left w:val="nil"/>
              <w:bottom w:val="nil"/>
              <w:right w:val="nil"/>
            </w:tcBorders>
            <w:shd w:val="clear" w:color="000000" w:fill="FFFFFF"/>
          </w:tcPr>
          <w:p w14:paraId="410FD162" w14:textId="71D29799" w:rsidR="00581587" w:rsidRPr="00FB38E1" w:rsidRDefault="00581587" w:rsidP="00581587">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4,89</w:t>
            </w:r>
          </w:p>
        </w:tc>
      </w:tr>
      <w:tr w:rsidR="00581587" w:rsidRPr="00FB38E1" w14:paraId="4DD225BA" w14:textId="77777777" w:rsidTr="00F95DA1">
        <w:trPr>
          <w:trHeight w:val="185"/>
        </w:trPr>
        <w:tc>
          <w:tcPr>
            <w:tcW w:w="259" w:type="pct"/>
            <w:tcMar>
              <w:left w:w="28" w:type="dxa"/>
              <w:right w:w="28" w:type="dxa"/>
            </w:tcMar>
            <w:vAlign w:val="bottom"/>
          </w:tcPr>
          <w:p w14:paraId="3BEA81B3"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3.3</w:t>
            </w:r>
          </w:p>
        </w:tc>
        <w:tc>
          <w:tcPr>
            <w:tcW w:w="2977" w:type="pct"/>
            <w:tcMar>
              <w:left w:w="28" w:type="dxa"/>
              <w:right w:w="28" w:type="dxa"/>
            </w:tcMar>
            <w:vAlign w:val="bottom"/>
          </w:tcPr>
          <w:p w14:paraId="2E7E751D" w14:textId="77777777" w:rsidR="00581587" w:rsidRPr="00FB38E1" w:rsidRDefault="00581587" w:rsidP="00581587">
            <w:pPr>
              <w:rPr>
                <w:rFonts w:ascii="Microsoft Sans Serif" w:hAnsi="Microsoft Sans Serif" w:cs="Microsoft Sans Serif"/>
                <w:sz w:val="14"/>
                <w:szCs w:val="14"/>
              </w:rPr>
            </w:pPr>
            <w:r w:rsidRPr="00FB38E1">
              <w:rPr>
                <w:rFonts w:ascii="Microsoft Sans Serif" w:hAnsi="Microsoft Sans Serif" w:cs="Microsoft Sans Serif"/>
                <w:sz w:val="14"/>
                <w:szCs w:val="14"/>
              </w:rPr>
              <w:t>İMTİYAZLI HİSSE SENEDİ SAHİPLERİNE</w:t>
            </w:r>
          </w:p>
        </w:tc>
        <w:tc>
          <w:tcPr>
            <w:tcW w:w="221" w:type="pct"/>
            <w:tcMar>
              <w:left w:w="28" w:type="dxa"/>
              <w:right w:w="28" w:type="dxa"/>
            </w:tcMar>
            <w:vAlign w:val="bottom"/>
          </w:tcPr>
          <w:p w14:paraId="445F9F25"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23691E78" w14:textId="6BD76BFA" w:rsidR="00581587" w:rsidRPr="00FB38E1" w:rsidRDefault="00581587" w:rsidP="00581587">
            <w:pPr>
              <w:jc w:val="right"/>
              <w:rPr>
                <w:rFonts w:ascii="Microsoft Sans Serif" w:hAnsi="Microsoft Sans Serif" w:cs="Microsoft Sans Serif"/>
                <w:sz w:val="14"/>
                <w:szCs w:val="14"/>
              </w:rPr>
            </w:pPr>
          </w:p>
        </w:tc>
        <w:tc>
          <w:tcPr>
            <w:tcW w:w="807" w:type="pct"/>
            <w:tcBorders>
              <w:top w:val="nil"/>
              <w:left w:val="nil"/>
              <w:bottom w:val="nil"/>
              <w:right w:val="nil"/>
            </w:tcBorders>
            <w:shd w:val="clear" w:color="000000" w:fill="FFFFFF"/>
          </w:tcPr>
          <w:p w14:paraId="12C294C6" w14:textId="4256362E" w:rsidR="00581587" w:rsidRPr="00FB38E1" w:rsidRDefault="00581587" w:rsidP="00581587">
            <w:pPr>
              <w:jc w:val="right"/>
              <w:rPr>
                <w:rFonts w:ascii="Microsoft Sans Serif" w:hAnsi="Microsoft Sans Serif" w:cs="Microsoft Sans Serif"/>
                <w:sz w:val="14"/>
                <w:szCs w:val="14"/>
              </w:rPr>
            </w:pPr>
          </w:p>
        </w:tc>
      </w:tr>
      <w:tr w:rsidR="00581587" w:rsidRPr="00FB38E1" w14:paraId="2EAE01EF" w14:textId="77777777" w:rsidTr="00F95DA1">
        <w:trPr>
          <w:trHeight w:val="185"/>
        </w:trPr>
        <w:tc>
          <w:tcPr>
            <w:tcW w:w="259" w:type="pct"/>
            <w:tcMar>
              <w:left w:w="28" w:type="dxa"/>
              <w:right w:w="28" w:type="dxa"/>
            </w:tcMar>
            <w:vAlign w:val="bottom"/>
          </w:tcPr>
          <w:p w14:paraId="11FE3A72"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3.4</w:t>
            </w:r>
          </w:p>
        </w:tc>
        <w:tc>
          <w:tcPr>
            <w:tcW w:w="2977" w:type="pct"/>
            <w:tcMar>
              <w:left w:w="28" w:type="dxa"/>
              <w:right w:w="28" w:type="dxa"/>
            </w:tcMar>
            <w:vAlign w:val="bottom"/>
          </w:tcPr>
          <w:p w14:paraId="6114F424"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İMTİYAZLI HİSSE SENEDİ SAHİPLERİNE (%)</w:t>
            </w:r>
          </w:p>
        </w:tc>
        <w:tc>
          <w:tcPr>
            <w:tcW w:w="221" w:type="pct"/>
            <w:tcMar>
              <w:left w:w="28" w:type="dxa"/>
              <w:right w:w="28" w:type="dxa"/>
            </w:tcMar>
            <w:vAlign w:val="bottom"/>
          </w:tcPr>
          <w:p w14:paraId="7BE6E2EA"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639C230B" w14:textId="00694CF8" w:rsidR="00581587" w:rsidRPr="00FB38E1" w:rsidRDefault="00581587" w:rsidP="00581587">
            <w:pPr>
              <w:jc w:val="right"/>
              <w:rPr>
                <w:rFonts w:ascii="Microsoft Sans Serif" w:hAnsi="Microsoft Sans Serif" w:cs="Microsoft Sans Serif"/>
                <w:bCs/>
                <w:sz w:val="14"/>
                <w:szCs w:val="14"/>
              </w:rPr>
            </w:pPr>
          </w:p>
        </w:tc>
        <w:tc>
          <w:tcPr>
            <w:tcW w:w="807" w:type="pct"/>
            <w:tcBorders>
              <w:top w:val="nil"/>
              <w:left w:val="nil"/>
              <w:bottom w:val="nil"/>
              <w:right w:val="nil"/>
            </w:tcBorders>
            <w:shd w:val="clear" w:color="000000" w:fill="FFFFFF"/>
          </w:tcPr>
          <w:p w14:paraId="77F93688" w14:textId="62BA79CB" w:rsidR="00581587" w:rsidRPr="00FB38E1" w:rsidRDefault="00581587" w:rsidP="00581587">
            <w:pPr>
              <w:jc w:val="right"/>
              <w:rPr>
                <w:rFonts w:ascii="Microsoft Sans Serif" w:hAnsi="Microsoft Sans Serif" w:cs="Microsoft Sans Serif"/>
                <w:bCs/>
                <w:sz w:val="14"/>
                <w:szCs w:val="14"/>
              </w:rPr>
            </w:pPr>
          </w:p>
        </w:tc>
      </w:tr>
      <w:tr w:rsidR="00581587" w:rsidRPr="00FB38E1" w14:paraId="2EDB8928" w14:textId="77777777" w:rsidTr="00F95DA1">
        <w:trPr>
          <w:trHeight w:val="185"/>
        </w:trPr>
        <w:tc>
          <w:tcPr>
            <w:tcW w:w="259" w:type="pct"/>
            <w:tcMar>
              <w:left w:w="28" w:type="dxa"/>
              <w:right w:w="28" w:type="dxa"/>
            </w:tcMar>
            <w:vAlign w:val="bottom"/>
          </w:tcPr>
          <w:p w14:paraId="648CF17C" w14:textId="77777777" w:rsidR="00581587" w:rsidRPr="00FB38E1" w:rsidRDefault="00581587" w:rsidP="00581587">
            <w:pPr>
              <w:rPr>
                <w:rFonts w:ascii="Microsoft Sans Serif" w:hAnsi="Microsoft Sans Serif" w:cs="Microsoft Sans Serif"/>
                <w:b/>
                <w:bCs/>
                <w:sz w:val="14"/>
                <w:szCs w:val="14"/>
              </w:rPr>
            </w:pPr>
          </w:p>
        </w:tc>
        <w:tc>
          <w:tcPr>
            <w:tcW w:w="2977" w:type="pct"/>
            <w:tcMar>
              <w:left w:w="28" w:type="dxa"/>
              <w:right w:w="28" w:type="dxa"/>
            </w:tcMar>
            <w:vAlign w:val="bottom"/>
          </w:tcPr>
          <w:p w14:paraId="0E18FCB7" w14:textId="77777777" w:rsidR="00581587" w:rsidRPr="00FB38E1" w:rsidRDefault="00581587" w:rsidP="00581587">
            <w:pPr>
              <w:rPr>
                <w:rFonts w:ascii="Microsoft Sans Serif" w:hAnsi="Microsoft Sans Serif" w:cs="Microsoft Sans Serif"/>
                <w:b/>
                <w:bCs/>
                <w:sz w:val="14"/>
                <w:szCs w:val="14"/>
              </w:rPr>
            </w:pPr>
          </w:p>
        </w:tc>
        <w:tc>
          <w:tcPr>
            <w:tcW w:w="221" w:type="pct"/>
            <w:tcMar>
              <w:left w:w="28" w:type="dxa"/>
              <w:right w:w="28" w:type="dxa"/>
            </w:tcMar>
            <w:vAlign w:val="bottom"/>
          </w:tcPr>
          <w:p w14:paraId="6FA3A3B6"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73CC75E6" w14:textId="77777777" w:rsidR="00581587" w:rsidRPr="00FB38E1" w:rsidRDefault="00581587" w:rsidP="00581587">
            <w:pPr>
              <w:jc w:val="right"/>
              <w:rPr>
                <w:rFonts w:ascii="Microsoft Sans Serif" w:hAnsi="Microsoft Sans Serif" w:cs="Microsoft Sans Serif"/>
                <w:bCs/>
                <w:sz w:val="14"/>
                <w:szCs w:val="14"/>
              </w:rPr>
            </w:pPr>
          </w:p>
        </w:tc>
        <w:tc>
          <w:tcPr>
            <w:tcW w:w="807" w:type="pct"/>
            <w:tcBorders>
              <w:top w:val="nil"/>
              <w:left w:val="nil"/>
              <w:bottom w:val="nil"/>
              <w:right w:val="nil"/>
            </w:tcBorders>
            <w:shd w:val="clear" w:color="000000" w:fill="FFFFFF"/>
          </w:tcPr>
          <w:p w14:paraId="05D3F145" w14:textId="77777777" w:rsidR="00581587" w:rsidRPr="00FB38E1" w:rsidRDefault="00581587" w:rsidP="00581587">
            <w:pPr>
              <w:jc w:val="right"/>
              <w:rPr>
                <w:rFonts w:ascii="Microsoft Sans Serif" w:hAnsi="Microsoft Sans Serif" w:cs="Microsoft Sans Serif"/>
                <w:bCs/>
                <w:sz w:val="14"/>
                <w:szCs w:val="14"/>
              </w:rPr>
            </w:pPr>
          </w:p>
        </w:tc>
      </w:tr>
      <w:tr w:rsidR="00581587" w:rsidRPr="00FB38E1" w14:paraId="5A0CA72A" w14:textId="77777777" w:rsidTr="00F95DA1">
        <w:trPr>
          <w:trHeight w:val="185"/>
        </w:trPr>
        <w:tc>
          <w:tcPr>
            <w:tcW w:w="259" w:type="pct"/>
            <w:tcMar>
              <w:left w:w="28" w:type="dxa"/>
              <w:right w:w="28" w:type="dxa"/>
            </w:tcMar>
            <w:vAlign w:val="bottom"/>
          </w:tcPr>
          <w:p w14:paraId="37299A00"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IV.</w:t>
            </w:r>
          </w:p>
        </w:tc>
        <w:tc>
          <w:tcPr>
            <w:tcW w:w="2977" w:type="pct"/>
            <w:tcMar>
              <w:left w:w="28" w:type="dxa"/>
              <w:right w:w="28" w:type="dxa"/>
            </w:tcMar>
            <w:vAlign w:val="bottom"/>
          </w:tcPr>
          <w:p w14:paraId="5205BD01"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HİSSE BAŞINA TEMETTÜ</w:t>
            </w:r>
          </w:p>
        </w:tc>
        <w:tc>
          <w:tcPr>
            <w:tcW w:w="221" w:type="pct"/>
            <w:tcMar>
              <w:left w:w="28" w:type="dxa"/>
              <w:right w:w="28" w:type="dxa"/>
            </w:tcMar>
            <w:vAlign w:val="bottom"/>
          </w:tcPr>
          <w:p w14:paraId="4130A262"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01D26D56" w14:textId="292D9EFD" w:rsidR="00581587" w:rsidRPr="00FB38E1" w:rsidRDefault="00581587" w:rsidP="00581587">
            <w:pPr>
              <w:jc w:val="right"/>
              <w:rPr>
                <w:rFonts w:ascii="Microsoft Sans Serif" w:hAnsi="Microsoft Sans Serif" w:cs="Microsoft Sans Serif"/>
                <w:bCs/>
                <w:sz w:val="14"/>
                <w:szCs w:val="14"/>
              </w:rPr>
            </w:pPr>
          </w:p>
        </w:tc>
        <w:tc>
          <w:tcPr>
            <w:tcW w:w="807" w:type="pct"/>
            <w:tcBorders>
              <w:top w:val="nil"/>
              <w:left w:val="nil"/>
              <w:bottom w:val="nil"/>
              <w:right w:val="nil"/>
            </w:tcBorders>
            <w:shd w:val="clear" w:color="000000" w:fill="FFFFFF"/>
          </w:tcPr>
          <w:p w14:paraId="00B926A8" w14:textId="1D60E493" w:rsidR="00581587" w:rsidRPr="00FB38E1" w:rsidRDefault="00581587" w:rsidP="00581587">
            <w:pPr>
              <w:jc w:val="right"/>
              <w:rPr>
                <w:rFonts w:ascii="Microsoft Sans Serif" w:hAnsi="Microsoft Sans Serif" w:cs="Microsoft Sans Serif"/>
                <w:bCs/>
                <w:sz w:val="14"/>
                <w:szCs w:val="14"/>
              </w:rPr>
            </w:pPr>
          </w:p>
        </w:tc>
      </w:tr>
      <w:tr w:rsidR="00581587" w:rsidRPr="00FB38E1" w14:paraId="3BBBEFD8" w14:textId="77777777" w:rsidTr="00F95DA1">
        <w:trPr>
          <w:trHeight w:val="185"/>
        </w:trPr>
        <w:tc>
          <w:tcPr>
            <w:tcW w:w="259" w:type="pct"/>
            <w:tcMar>
              <w:left w:w="28" w:type="dxa"/>
              <w:right w:w="28" w:type="dxa"/>
            </w:tcMar>
            <w:vAlign w:val="bottom"/>
          </w:tcPr>
          <w:p w14:paraId="3275E692" w14:textId="77777777" w:rsidR="00581587" w:rsidRPr="00FB38E1" w:rsidRDefault="00581587" w:rsidP="00581587">
            <w:pPr>
              <w:rPr>
                <w:rFonts w:ascii="Microsoft Sans Serif" w:hAnsi="Microsoft Sans Serif" w:cs="Microsoft Sans Serif"/>
                <w:b/>
                <w:bCs/>
                <w:sz w:val="14"/>
                <w:szCs w:val="14"/>
              </w:rPr>
            </w:pPr>
          </w:p>
        </w:tc>
        <w:tc>
          <w:tcPr>
            <w:tcW w:w="2977" w:type="pct"/>
            <w:tcMar>
              <w:left w:w="28" w:type="dxa"/>
              <w:right w:w="28" w:type="dxa"/>
            </w:tcMar>
            <w:vAlign w:val="bottom"/>
          </w:tcPr>
          <w:p w14:paraId="701B407C" w14:textId="77777777" w:rsidR="00581587" w:rsidRPr="00FB38E1" w:rsidRDefault="00581587" w:rsidP="00581587">
            <w:pPr>
              <w:rPr>
                <w:rFonts w:ascii="Microsoft Sans Serif" w:hAnsi="Microsoft Sans Serif" w:cs="Microsoft Sans Serif"/>
                <w:b/>
                <w:bCs/>
                <w:sz w:val="14"/>
                <w:szCs w:val="14"/>
              </w:rPr>
            </w:pPr>
          </w:p>
        </w:tc>
        <w:tc>
          <w:tcPr>
            <w:tcW w:w="221" w:type="pct"/>
            <w:tcMar>
              <w:left w:w="28" w:type="dxa"/>
              <w:right w:w="28" w:type="dxa"/>
            </w:tcMar>
            <w:vAlign w:val="bottom"/>
          </w:tcPr>
          <w:p w14:paraId="6085BFE5"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061F8EEF" w14:textId="6917C706" w:rsidR="00581587" w:rsidRPr="00FB38E1" w:rsidRDefault="00581587" w:rsidP="00581587">
            <w:pPr>
              <w:jc w:val="right"/>
              <w:rPr>
                <w:rFonts w:ascii="Microsoft Sans Serif" w:hAnsi="Microsoft Sans Serif" w:cs="Microsoft Sans Serif"/>
                <w:bCs/>
                <w:sz w:val="14"/>
                <w:szCs w:val="14"/>
              </w:rPr>
            </w:pPr>
          </w:p>
        </w:tc>
        <w:tc>
          <w:tcPr>
            <w:tcW w:w="807" w:type="pct"/>
            <w:tcBorders>
              <w:top w:val="nil"/>
              <w:left w:val="nil"/>
              <w:bottom w:val="nil"/>
              <w:right w:val="nil"/>
            </w:tcBorders>
            <w:shd w:val="clear" w:color="000000" w:fill="FFFFFF"/>
          </w:tcPr>
          <w:p w14:paraId="03BB1908" w14:textId="5639239B" w:rsidR="00581587" w:rsidRPr="00FB38E1" w:rsidRDefault="00581587" w:rsidP="00581587">
            <w:pPr>
              <w:jc w:val="right"/>
              <w:rPr>
                <w:rFonts w:ascii="Microsoft Sans Serif" w:hAnsi="Microsoft Sans Serif" w:cs="Microsoft Sans Serif"/>
                <w:bCs/>
                <w:sz w:val="14"/>
                <w:szCs w:val="14"/>
              </w:rPr>
            </w:pPr>
          </w:p>
        </w:tc>
      </w:tr>
      <w:tr w:rsidR="00581587" w:rsidRPr="00FB38E1" w14:paraId="64DC9D07" w14:textId="77777777" w:rsidTr="00F95DA1">
        <w:trPr>
          <w:trHeight w:val="185"/>
        </w:trPr>
        <w:tc>
          <w:tcPr>
            <w:tcW w:w="259" w:type="pct"/>
            <w:tcMar>
              <w:left w:w="28" w:type="dxa"/>
              <w:right w:w="28" w:type="dxa"/>
            </w:tcMar>
            <w:vAlign w:val="bottom"/>
          </w:tcPr>
          <w:p w14:paraId="33ED0431"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4.1</w:t>
            </w:r>
          </w:p>
        </w:tc>
        <w:tc>
          <w:tcPr>
            <w:tcW w:w="2977" w:type="pct"/>
            <w:tcMar>
              <w:left w:w="28" w:type="dxa"/>
              <w:right w:w="28" w:type="dxa"/>
            </w:tcMar>
            <w:vAlign w:val="bottom"/>
          </w:tcPr>
          <w:p w14:paraId="26C693A9"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HİSSE SENEDİ SAHİPLERİNE</w:t>
            </w:r>
          </w:p>
        </w:tc>
        <w:tc>
          <w:tcPr>
            <w:tcW w:w="221" w:type="pct"/>
            <w:tcMar>
              <w:left w:w="28" w:type="dxa"/>
              <w:right w:w="28" w:type="dxa"/>
            </w:tcMar>
            <w:vAlign w:val="bottom"/>
          </w:tcPr>
          <w:p w14:paraId="2B1B754A"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nil"/>
              <w:right w:val="nil"/>
            </w:tcBorders>
            <w:shd w:val="clear" w:color="000000" w:fill="FFFFFF"/>
            <w:tcMar>
              <w:left w:w="28" w:type="dxa"/>
              <w:right w:w="28" w:type="dxa"/>
            </w:tcMar>
          </w:tcPr>
          <w:p w14:paraId="576F68E1" w14:textId="3D894ED0"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68176723" w14:textId="664D384B"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r>
      <w:tr w:rsidR="00581587" w:rsidRPr="00FB38E1" w14:paraId="2BE0C5D5" w14:textId="77777777" w:rsidTr="00F95DA1">
        <w:trPr>
          <w:trHeight w:val="185"/>
        </w:trPr>
        <w:tc>
          <w:tcPr>
            <w:tcW w:w="259" w:type="pct"/>
            <w:tcMar>
              <w:left w:w="28" w:type="dxa"/>
              <w:right w:w="28" w:type="dxa"/>
            </w:tcMar>
            <w:vAlign w:val="bottom"/>
          </w:tcPr>
          <w:p w14:paraId="7E810449"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4.2</w:t>
            </w:r>
          </w:p>
        </w:tc>
        <w:tc>
          <w:tcPr>
            <w:tcW w:w="2977" w:type="pct"/>
            <w:tcMar>
              <w:left w:w="28" w:type="dxa"/>
              <w:right w:w="28" w:type="dxa"/>
            </w:tcMar>
            <w:vAlign w:val="bottom"/>
          </w:tcPr>
          <w:p w14:paraId="368E5031"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HİSSE SENEDİ SAHİPLERİNE (%)</w:t>
            </w:r>
          </w:p>
        </w:tc>
        <w:tc>
          <w:tcPr>
            <w:tcW w:w="221" w:type="pct"/>
            <w:tcMar>
              <w:left w:w="28" w:type="dxa"/>
              <w:right w:w="28" w:type="dxa"/>
            </w:tcMar>
            <w:vAlign w:val="bottom"/>
          </w:tcPr>
          <w:p w14:paraId="0CA74264"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07AAC0F6" w14:textId="247B21EC"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3CB94D8C" w14:textId="4D5F4E25"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r>
      <w:tr w:rsidR="00581587" w:rsidRPr="00FB38E1" w14:paraId="10AB2867" w14:textId="77777777" w:rsidTr="00F95DA1">
        <w:trPr>
          <w:trHeight w:val="185"/>
        </w:trPr>
        <w:tc>
          <w:tcPr>
            <w:tcW w:w="259" w:type="pct"/>
            <w:tcMar>
              <w:left w:w="28" w:type="dxa"/>
              <w:right w:w="28" w:type="dxa"/>
            </w:tcMar>
            <w:vAlign w:val="bottom"/>
          </w:tcPr>
          <w:p w14:paraId="69124B47"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4.3</w:t>
            </w:r>
          </w:p>
        </w:tc>
        <w:tc>
          <w:tcPr>
            <w:tcW w:w="2977" w:type="pct"/>
            <w:tcMar>
              <w:left w:w="28" w:type="dxa"/>
              <w:right w:w="28" w:type="dxa"/>
            </w:tcMar>
            <w:vAlign w:val="bottom"/>
          </w:tcPr>
          <w:p w14:paraId="7DDEC6E5"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İMTİYAZLI HİSSE SENEDİ SAHİPLERİNE</w:t>
            </w:r>
          </w:p>
        </w:tc>
        <w:tc>
          <w:tcPr>
            <w:tcW w:w="221" w:type="pct"/>
            <w:tcMar>
              <w:left w:w="28" w:type="dxa"/>
              <w:right w:w="28" w:type="dxa"/>
            </w:tcMar>
            <w:vAlign w:val="bottom"/>
          </w:tcPr>
          <w:p w14:paraId="668132CE" w14:textId="77777777" w:rsidR="00581587" w:rsidRPr="00FB38E1" w:rsidRDefault="00581587" w:rsidP="00581587">
            <w:pPr>
              <w:rPr>
                <w:rFonts w:ascii="Microsoft Sans Serif" w:hAnsi="Microsoft Sans Serif" w:cs="Microsoft Sans Serif"/>
                <w:b/>
                <w:bCs/>
                <w:sz w:val="14"/>
                <w:szCs w:val="14"/>
              </w:rPr>
            </w:pPr>
          </w:p>
        </w:tc>
        <w:tc>
          <w:tcPr>
            <w:tcW w:w="736" w:type="pct"/>
            <w:tcBorders>
              <w:top w:val="nil"/>
              <w:left w:val="nil"/>
              <w:bottom w:val="nil"/>
              <w:right w:val="nil"/>
            </w:tcBorders>
            <w:shd w:val="clear" w:color="000000" w:fill="FFFFFF"/>
            <w:tcMar>
              <w:left w:w="28" w:type="dxa"/>
              <w:right w:w="28" w:type="dxa"/>
            </w:tcMar>
          </w:tcPr>
          <w:p w14:paraId="0586ED2B" w14:textId="69C29015"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nil"/>
              <w:right w:val="nil"/>
            </w:tcBorders>
            <w:shd w:val="clear" w:color="000000" w:fill="FFFFFF"/>
          </w:tcPr>
          <w:p w14:paraId="2445466A" w14:textId="71C3D342"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r>
      <w:tr w:rsidR="00581587" w:rsidRPr="00FB38E1" w14:paraId="27A0CAB4" w14:textId="77777777" w:rsidTr="00F95DA1">
        <w:trPr>
          <w:trHeight w:val="185"/>
        </w:trPr>
        <w:tc>
          <w:tcPr>
            <w:tcW w:w="259" w:type="pct"/>
            <w:tcBorders>
              <w:bottom w:val="single" w:sz="12" w:space="0" w:color="auto"/>
            </w:tcBorders>
            <w:tcMar>
              <w:left w:w="28" w:type="dxa"/>
              <w:right w:w="28" w:type="dxa"/>
            </w:tcMar>
            <w:vAlign w:val="bottom"/>
          </w:tcPr>
          <w:p w14:paraId="1139AD5F" w14:textId="77777777" w:rsidR="00581587" w:rsidRPr="00FB38E1" w:rsidRDefault="00581587" w:rsidP="00581587">
            <w:pPr>
              <w:rPr>
                <w:rFonts w:ascii="Microsoft Sans Serif" w:hAnsi="Microsoft Sans Serif" w:cs="Microsoft Sans Serif"/>
                <w:bCs/>
                <w:sz w:val="14"/>
                <w:szCs w:val="14"/>
              </w:rPr>
            </w:pPr>
            <w:r w:rsidRPr="00FB38E1">
              <w:rPr>
                <w:rFonts w:ascii="Microsoft Sans Serif" w:hAnsi="Microsoft Sans Serif" w:cs="Microsoft Sans Serif"/>
                <w:bCs/>
                <w:sz w:val="14"/>
                <w:szCs w:val="14"/>
              </w:rPr>
              <w:t>4.4</w:t>
            </w:r>
          </w:p>
        </w:tc>
        <w:tc>
          <w:tcPr>
            <w:tcW w:w="2977" w:type="pct"/>
            <w:tcBorders>
              <w:bottom w:val="single" w:sz="12" w:space="0" w:color="auto"/>
            </w:tcBorders>
            <w:tcMar>
              <w:left w:w="28" w:type="dxa"/>
              <w:right w:w="28" w:type="dxa"/>
            </w:tcMar>
            <w:vAlign w:val="bottom"/>
          </w:tcPr>
          <w:p w14:paraId="6CBCC098" w14:textId="77777777" w:rsidR="00581587" w:rsidRPr="00FB38E1" w:rsidRDefault="00581587" w:rsidP="00581587">
            <w:pPr>
              <w:rPr>
                <w:rFonts w:ascii="Microsoft Sans Serif" w:hAnsi="Microsoft Sans Serif" w:cs="Microsoft Sans Serif"/>
                <w:b/>
                <w:bCs/>
                <w:sz w:val="14"/>
                <w:szCs w:val="14"/>
              </w:rPr>
            </w:pPr>
            <w:r w:rsidRPr="00FB38E1">
              <w:rPr>
                <w:rFonts w:ascii="Microsoft Sans Serif" w:hAnsi="Microsoft Sans Serif" w:cs="Microsoft Sans Serif"/>
                <w:sz w:val="14"/>
                <w:szCs w:val="14"/>
              </w:rPr>
              <w:t>İMTİYAZLI HİSSE SENEDİ SAHİPLERİNE (%)</w:t>
            </w:r>
          </w:p>
        </w:tc>
        <w:tc>
          <w:tcPr>
            <w:tcW w:w="221" w:type="pct"/>
            <w:tcBorders>
              <w:bottom w:val="single" w:sz="12" w:space="0" w:color="auto"/>
            </w:tcBorders>
            <w:tcMar>
              <w:left w:w="28" w:type="dxa"/>
              <w:right w:w="28" w:type="dxa"/>
            </w:tcMar>
            <w:vAlign w:val="bottom"/>
          </w:tcPr>
          <w:p w14:paraId="20357212" w14:textId="77777777" w:rsidR="00581587" w:rsidRPr="00FB38E1" w:rsidRDefault="00581587" w:rsidP="00581587">
            <w:pPr>
              <w:rPr>
                <w:rFonts w:ascii="Microsoft Sans Serif" w:hAnsi="Microsoft Sans Serif" w:cs="Microsoft Sans Serif"/>
                <w:sz w:val="14"/>
                <w:szCs w:val="14"/>
              </w:rPr>
            </w:pPr>
          </w:p>
        </w:tc>
        <w:tc>
          <w:tcPr>
            <w:tcW w:w="736" w:type="pct"/>
            <w:tcBorders>
              <w:top w:val="nil"/>
              <w:left w:val="nil"/>
              <w:bottom w:val="single" w:sz="12" w:space="0" w:color="000000"/>
              <w:right w:val="nil"/>
            </w:tcBorders>
            <w:shd w:val="clear" w:color="000000" w:fill="FFFFFF"/>
            <w:tcMar>
              <w:left w:w="28" w:type="dxa"/>
              <w:right w:w="28" w:type="dxa"/>
            </w:tcMar>
          </w:tcPr>
          <w:p w14:paraId="3D65D0EA" w14:textId="287F8F95"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c>
          <w:tcPr>
            <w:tcW w:w="807" w:type="pct"/>
            <w:tcBorders>
              <w:top w:val="nil"/>
              <w:left w:val="nil"/>
              <w:bottom w:val="single" w:sz="12" w:space="0" w:color="000000"/>
              <w:right w:val="nil"/>
            </w:tcBorders>
            <w:shd w:val="clear" w:color="000000" w:fill="FFFFFF"/>
          </w:tcPr>
          <w:p w14:paraId="060C7994" w14:textId="58A10FEE" w:rsidR="00581587" w:rsidRPr="00FB38E1" w:rsidRDefault="00581587" w:rsidP="00581587">
            <w:pPr>
              <w:jc w:val="right"/>
              <w:rPr>
                <w:rFonts w:ascii="Microsoft Sans Serif" w:hAnsi="Microsoft Sans Serif" w:cs="Microsoft Sans Serif"/>
                <w:bCs/>
                <w:sz w:val="14"/>
                <w:szCs w:val="14"/>
              </w:rPr>
            </w:pPr>
            <w:r w:rsidRPr="00FB38E1">
              <w:rPr>
                <w:rFonts w:ascii="Microsoft Sans Serif" w:hAnsi="Microsoft Sans Serif" w:cs="Microsoft Sans Serif"/>
                <w:color w:val="000000"/>
                <w:sz w:val="14"/>
                <w:szCs w:val="14"/>
              </w:rPr>
              <w:t>-</w:t>
            </w:r>
          </w:p>
        </w:tc>
      </w:tr>
    </w:tbl>
    <w:p w14:paraId="47D4C0B6" w14:textId="20C808E2" w:rsidR="00795769" w:rsidRPr="00FB38E1" w:rsidRDefault="00795769" w:rsidP="00FA2E00">
      <w:pPr>
        <w:tabs>
          <w:tab w:val="left" w:pos="284"/>
        </w:tabs>
        <w:spacing w:before="60" w:after="0"/>
        <w:rPr>
          <w:rFonts w:ascii="Microsoft Sans Serif" w:eastAsia="Times New Roman" w:hAnsi="Microsoft Sans Serif" w:cs="Microsoft Sans Serif"/>
          <w:color w:val="000000"/>
          <w:sz w:val="14"/>
          <w:szCs w:val="14"/>
          <w:lang w:eastAsia="tr-TR"/>
        </w:rPr>
        <w:sectPr w:rsidR="00795769" w:rsidRPr="00FB38E1" w:rsidSect="000E1629">
          <w:headerReference w:type="default" r:id="rId42"/>
          <w:footerReference w:type="default" r:id="rId43"/>
          <w:headerReference w:type="first" r:id="rId44"/>
          <w:pgSz w:w="11906" w:h="16838"/>
          <w:pgMar w:top="-1985" w:right="567" w:bottom="-862" w:left="1701" w:header="709" w:footer="306" w:gutter="0"/>
          <w:cols w:space="708"/>
          <w:titlePg/>
          <w:docGrid w:linePitch="360"/>
        </w:sectPr>
      </w:pPr>
    </w:p>
    <w:p w14:paraId="29929987" w14:textId="77777777" w:rsidR="004961C6" w:rsidRPr="00FB38E1" w:rsidRDefault="004961C6" w:rsidP="003E01A9">
      <w:pPr>
        <w:tabs>
          <w:tab w:val="left" w:pos="459"/>
        </w:tabs>
        <w:spacing w:before="120" w:after="0"/>
        <w:rPr>
          <w:rFonts w:ascii="Microsoft Sans Serif" w:hAnsi="Microsoft Sans Serif" w:cs="Microsoft Sans Serif"/>
          <w:b/>
          <w:bCs/>
          <w:sz w:val="28"/>
          <w:szCs w:val="28"/>
        </w:rPr>
      </w:pPr>
      <w:r w:rsidRPr="00FB38E1">
        <w:rPr>
          <w:rFonts w:ascii="Microsoft Sans Serif" w:hAnsi="Microsoft Sans Serif" w:cs="Microsoft Sans Serif"/>
          <w:b/>
          <w:bCs/>
          <w:sz w:val="28"/>
          <w:szCs w:val="28"/>
        </w:rPr>
        <w:t>ÜÇÜNCÜ BÖLÜM</w:t>
      </w:r>
    </w:p>
    <w:p w14:paraId="78188BAF" w14:textId="77777777" w:rsidR="004961C6" w:rsidRPr="00FB38E1" w:rsidRDefault="004961C6" w:rsidP="003E01A9">
      <w:pPr>
        <w:rPr>
          <w:rFonts w:ascii="Microsoft Sans Serif" w:hAnsi="Microsoft Sans Serif" w:cs="Microsoft Sans Serif"/>
          <w:b/>
          <w:bCs/>
          <w:sz w:val="28"/>
          <w:szCs w:val="28"/>
        </w:rPr>
      </w:pPr>
      <w:r w:rsidRPr="00FB38E1">
        <w:rPr>
          <w:rFonts w:ascii="Microsoft Sans Serif" w:hAnsi="Microsoft Sans Serif" w:cs="Microsoft Sans Serif"/>
          <w:b/>
          <w:bCs/>
          <w:sz w:val="28"/>
          <w:szCs w:val="28"/>
        </w:rPr>
        <w:t>MUHASEBE POLİTİKALARI</w:t>
      </w:r>
    </w:p>
    <w:p w14:paraId="60B3A8E4" w14:textId="77777777" w:rsidR="004961C6" w:rsidRPr="00FB38E1" w:rsidRDefault="004961C6" w:rsidP="003E01A9">
      <w:pPr>
        <w:pStyle w:val="BDDKbalk1"/>
        <w:numPr>
          <w:ilvl w:val="0"/>
          <w:numId w:val="41"/>
        </w:numPr>
        <w:spacing w:line="240" w:lineRule="exact"/>
        <w:ind w:left="0" w:hanging="851"/>
        <w:rPr>
          <w:rFonts w:ascii="Microsoft Sans Serif" w:hAnsi="Microsoft Sans Serif" w:cs="Microsoft Sans Serif"/>
        </w:rPr>
      </w:pPr>
      <w:r w:rsidRPr="00FB38E1">
        <w:rPr>
          <w:rFonts w:ascii="Microsoft Sans Serif" w:hAnsi="Microsoft Sans Serif" w:cs="Microsoft Sans Serif"/>
        </w:rPr>
        <w:t>Sunum esaslarına ilişkin açıklamalar</w:t>
      </w:r>
    </w:p>
    <w:p w14:paraId="67631774" w14:textId="5E4C8357" w:rsidR="002B556E" w:rsidRPr="00FB38E1" w:rsidRDefault="005D78AE" w:rsidP="003E01A9">
      <w:pPr>
        <w:pStyle w:val="ListParagraph"/>
        <w:numPr>
          <w:ilvl w:val="0"/>
          <w:numId w:val="7"/>
        </w:numPr>
        <w:spacing w:before="240" w:after="120" w:line="240" w:lineRule="exact"/>
        <w:ind w:left="0" w:hanging="567"/>
        <w:contextualSpacing w:val="0"/>
        <w:rPr>
          <w:rFonts w:ascii="Microsoft Sans Serif" w:hAnsi="Microsoft Sans Serif" w:cs="Microsoft Sans Serif"/>
          <w:b/>
          <w:bCs/>
          <w:sz w:val="28"/>
          <w:szCs w:val="28"/>
        </w:rPr>
      </w:pPr>
      <w:r w:rsidRPr="00FB38E1">
        <w:rPr>
          <w:rFonts w:ascii="Microsoft Sans Serif" w:hAnsi="Microsoft Sans Serif" w:cs="Microsoft Sans Serif"/>
          <w:b/>
          <w:bCs/>
          <w:sz w:val="20"/>
          <w:szCs w:val="20"/>
        </w:rPr>
        <w:t>F</w:t>
      </w:r>
      <w:r w:rsidR="002B556E" w:rsidRPr="00FB38E1">
        <w:rPr>
          <w:rFonts w:ascii="Microsoft Sans Serif" w:hAnsi="Microsoft Sans Serif" w:cs="Microsoft Sans Serif"/>
          <w:b/>
          <w:bCs/>
          <w:sz w:val="20"/>
          <w:szCs w:val="20"/>
        </w:rPr>
        <w:t>inansal tablolar ile bunlara ilişkin açıklama ve dipnotların Türkiye Muhasebe Standartları ve Bankaların Muhasebe Uygulamalarına ve Belgelerin Saklanmasına İlişkin Usul ve Esaslar Hakkında Yönetmeliğe uygun olarak hazırlanması</w:t>
      </w:r>
    </w:p>
    <w:p w14:paraId="5F87BB2B" w14:textId="77777777" w:rsidR="002B556E" w:rsidRPr="00FB38E1" w:rsidRDefault="00207F29" w:rsidP="003E01A9">
      <w:pPr>
        <w:pStyle w:val="BDDKmetin"/>
        <w:spacing w:line="220" w:lineRule="exact"/>
        <w:rPr>
          <w:rFonts w:ascii="Microsoft Sans Serif" w:hAnsi="Microsoft Sans Serif" w:cs="Microsoft Sans Serif"/>
          <w:color w:val="404040" w:themeColor="text1" w:themeTint="BF"/>
          <w:sz w:val="20"/>
          <w:szCs w:val="20"/>
          <w:lang w:val="tr-TR" w:eastAsia="en-US"/>
        </w:rPr>
      </w:pPr>
      <w:r w:rsidRPr="00FB38E1">
        <w:rPr>
          <w:rFonts w:ascii="Microsoft Sans Serif" w:hAnsi="Microsoft Sans Serif" w:cs="Microsoft Sans Serif"/>
          <w:color w:val="404040" w:themeColor="text1" w:themeTint="BF"/>
          <w:sz w:val="20"/>
          <w:szCs w:val="20"/>
          <w:lang w:val="tr-TR" w:eastAsia="en-US"/>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 tarafından muhasebe ve finansal raporlama esaslarına ilişkin yayımlanan diğer yönetmelik, tebliğ, açıklama ve genelgelere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Düzenlenen kamuya açıklanacak konsolide olmayan finansal tabloların biçim ve içerikleri ile bunların 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w:t>
      </w:r>
      <w:r w:rsidR="002A1B77" w:rsidRPr="00FB38E1">
        <w:rPr>
          <w:rFonts w:ascii="Microsoft Sans Serif" w:hAnsi="Microsoft Sans Serif" w:cs="Microsoft Sans Serif"/>
          <w:color w:val="404040" w:themeColor="text1" w:themeTint="BF"/>
          <w:sz w:val="20"/>
          <w:szCs w:val="20"/>
          <w:lang w:val="tr-TR" w:eastAsia="en-US"/>
        </w:rPr>
        <w:t xml:space="preserve"> Banka, muhasebe kayıtlarını Türk parası olarak, Bankacılık Kanunu, Türk Ticaret Kanunu ve Türk vergi mevzuatına uygun olarak tutmaktadır</w:t>
      </w:r>
      <w:r w:rsidR="002B556E" w:rsidRPr="00FB38E1">
        <w:rPr>
          <w:rFonts w:ascii="Microsoft Sans Serif" w:hAnsi="Microsoft Sans Serif" w:cs="Microsoft Sans Serif"/>
          <w:color w:val="404040" w:themeColor="text1" w:themeTint="BF"/>
          <w:sz w:val="20"/>
          <w:szCs w:val="20"/>
          <w:lang w:val="tr-TR" w:eastAsia="en-US"/>
        </w:rPr>
        <w:t>.</w:t>
      </w:r>
    </w:p>
    <w:p w14:paraId="75244E63" w14:textId="2DDF6455" w:rsidR="002B556E" w:rsidRPr="00FB38E1" w:rsidRDefault="002A1B77" w:rsidP="003E01A9">
      <w:pPr>
        <w:pStyle w:val="BDDKmetin"/>
        <w:spacing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lang w:val="tr-TR" w:eastAsia="en-US"/>
        </w:rPr>
        <w:t>Finansal tablolar, gerçeğe uygun değerleri ile gösterilen varlıklar ve yükümlülükler dışında, tarihi maliyet esası baz alınarak hazırlanmıştır</w:t>
      </w:r>
      <w:r w:rsidR="002B556E" w:rsidRPr="00FB38E1">
        <w:rPr>
          <w:rFonts w:ascii="Microsoft Sans Serif" w:hAnsi="Microsoft Sans Serif" w:cs="Microsoft Sans Serif"/>
          <w:color w:val="404040" w:themeColor="text1" w:themeTint="BF"/>
          <w:sz w:val="20"/>
          <w:szCs w:val="20"/>
        </w:rPr>
        <w:t>.</w:t>
      </w:r>
    </w:p>
    <w:p w14:paraId="0CE03024" w14:textId="77777777" w:rsidR="002B556E" w:rsidRPr="00FB38E1" w:rsidRDefault="002A1B77" w:rsidP="003E01A9">
      <w:pPr>
        <w:pStyle w:val="BDDKmetin"/>
        <w:spacing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lang w:val="tr-TR" w:eastAsia="en-US"/>
        </w:rPr>
        <w:t>Finansal tablolar ile bunlara ilişkin açıklama ve dipnotlarda yer alan tutarlar aksi belirtilmedikçe Bin Türk Lirası olarak ifade edilmiştir</w:t>
      </w:r>
      <w:r w:rsidR="002B556E" w:rsidRPr="00FB38E1">
        <w:rPr>
          <w:rFonts w:ascii="Microsoft Sans Serif" w:hAnsi="Microsoft Sans Serif" w:cs="Microsoft Sans Serif"/>
          <w:color w:val="404040" w:themeColor="text1" w:themeTint="BF"/>
          <w:sz w:val="20"/>
          <w:szCs w:val="20"/>
        </w:rPr>
        <w:t>.</w:t>
      </w:r>
    </w:p>
    <w:p w14:paraId="6CA3372F" w14:textId="1104D3E4" w:rsidR="00C31DC3" w:rsidRPr="00FB38E1" w:rsidRDefault="00C31DC3" w:rsidP="003E01A9">
      <w:pPr>
        <w:pStyle w:val="BDDKmetin"/>
        <w:spacing w:line="220" w:lineRule="exact"/>
        <w:rPr>
          <w:rFonts w:ascii="Microsoft Sans Serif" w:hAnsi="Microsoft Sans Serif" w:cs="Microsoft Sans Serif"/>
          <w:color w:val="404040" w:themeColor="text1" w:themeTint="BF"/>
          <w:sz w:val="20"/>
          <w:szCs w:val="20"/>
          <w:lang w:val="tr-TR" w:eastAsia="en-US"/>
        </w:rPr>
      </w:pPr>
      <w:r w:rsidRPr="00FB38E1">
        <w:rPr>
          <w:rFonts w:ascii="Microsoft Sans Serif" w:hAnsi="Microsoft Sans Serif" w:cs="Microsoft Sans Serif"/>
          <w:color w:val="404040" w:themeColor="text1" w:themeTint="BF"/>
          <w:sz w:val="20"/>
          <w:szCs w:val="20"/>
          <w:lang w:val="tr-TR" w:eastAsia="en-US"/>
        </w:rPr>
        <w:t>Finansal tabloların TMS’ye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w:t>
      </w:r>
      <w:r w:rsidR="00F74C83" w:rsidRPr="00FB38E1">
        <w:rPr>
          <w:rFonts w:ascii="Microsoft Sans Serif" w:hAnsi="Microsoft Sans Serif" w:cs="Microsoft Sans Serif"/>
          <w:color w:val="404040" w:themeColor="text1" w:themeTint="BF"/>
          <w:sz w:val="20"/>
          <w:szCs w:val="20"/>
          <w:lang w:val="tr-TR" w:eastAsia="en-US"/>
        </w:rPr>
        <w:t>li dipnotlarda açıklanmaktadır.</w:t>
      </w:r>
    </w:p>
    <w:p w14:paraId="574A415C" w14:textId="77777777" w:rsidR="002B556E" w:rsidRPr="00FB38E1" w:rsidRDefault="002B556E" w:rsidP="003E01A9">
      <w:pPr>
        <w:pStyle w:val="ListParagraph"/>
        <w:numPr>
          <w:ilvl w:val="0"/>
          <w:numId w:val="7"/>
        </w:numPr>
        <w:spacing w:before="240" w:after="120" w:line="240" w:lineRule="exact"/>
        <w:ind w:left="0" w:hanging="567"/>
        <w:rPr>
          <w:rFonts w:ascii="Microsoft Sans Serif" w:hAnsi="Microsoft Sans Serif" w:cs="Microsoft Sans Serif"/>
          <w:b/>
          <w:bCs/>
          <w:sz w:val="28"/>
          <w:szCs w:val="28"/>
        </w:rPr>
      </w:pPr>
      <w:r w:rsidRPr="00FB38E1">
        <w:rPr>
          <w:rFonts w:ascii="Microsoft Sans Serif" w:hAnsi="Microsoft Sans Serif" w:cs="Microsoft Sans Serif"/>
          <w:b/>
          <w:sz w:val="20"/>
          <w:szCs w:val="20"/>
        </w:rPr>
        <w:t>Muhasebe politikaları ve finansal tablo gösterimlerindeki değişikliklere ilişkin açıklamalar</w:t>
      </w:r>
      <w:r w:rsidRPr="00FB38E1">
        <w:rPr>
          <w:rFonts w:ascii="Microsoft Sans Serif" w:hAnsi="Microsoft Sans Serif" w:cs="Microsoft Sans Serif"/>
          <w:b/>
          <w:color w:val="404040" w:themeColor="text1" w:themeTint="BF"/>
          <w:sz w:val="20"/>
          <w:szCs w:val="20"/>
        </w:rPr>
        <w:tab/>
      </w:r>
    </w:p>
    <w:p w14:paraId="53EB341C" w14:textId="77777777" w:rsidR="001963E2" w:rsidRPr="00FB38E1" w:rsidRDefault="007A036B" w:rsidP="003E01A9">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w:t>
      </w:r>
      <w:r w:rsidR="00F6667C" w:rsidRPr="00FB38E1">
        <w:rPr>
          <w:rFonts w:ascii="Microsoft Sans Serif" w:hAnsi="Microsoft Sans Serif" w:cs="Microsoft Sans Serif"/>
          <w:color w:val="404040" w:themeColor="text1" w:themeTint="BF"/>
          <w:sz w:val="20"/>
          <w:szCs w:val="20"/>
        </w:rPr>
        <w:t>n esaslara göre belirlenmiştir.</w:t>
      </w:r>
    </w:p>
    <w:p w14:paraId="6E70CB71" w14:textId="061A3ED8" w:rsidR="00207AC2" w:rsidRPr="00FB38E1" w:rsidRDefault="00E05B7A" w:rsidP="003E01A9">
      <w:pPr>
        <w:spacing w:before="120" w:after="0" w:line="220" w:lineRule="exact"/>
        <w:rPr>
          <w:rFonts w:ascii="Microsoft Sans Serif" w:hAnsi="Microsoft Sans Serif" w:cs="Microsoft Sans Serif"/>
          <w:color w:val="404040"/>
          <w:sz w:val="20"/>
          <w:szCs w:val="20"/>
        </w:rPr>
      </w:pPr>
      <w:r w:rsidRPr="00FB38E1">
        <w:rPr>
          <w:rFonts w:ascii="Microsoft Sans Serif" w:hAnsi="Microsoft Sans Serif" w:cs="Microsoft Sans Serif"/>
          <w:color w:val="404040"/>
          <w:sz w:val="20"/>
          <w:szCs w:val="20"/>
        </w:rPr>
        <w:t xml:space="preserve">KGK, 23 Kasım 2023 tarihinde, Türkiye Finansal Raporlama Standartları ile Büyük ve Orta Boy İşletmeler İçin Finansal Raporlama Standardı (BOBİ FRS) uygulayan işletmelerin 31 Aralık 2023 tarihinde veya sonrasında sona eren yıllık raporlama dönemine ait finansal tablolarının “Türkiye Muhasebe Standardı 29 Yüksek Enflasyonlu Ekonomilerde Finansal Raporlama” ile “BOBİ FRS Bölüm 25 Yüksek Enflasyonlu Ekonomilerde Finansal Raporlama’da yer alan ilgili muhasebe ilkelerine uygun olarak enflasyon etkisine göre düzeltilerek sunulması gerektiğine; ancak kendi alanlarında düzenleme ve denetleme yapmakla yetkili olan kurum ya da kuruluşlar TMS 29 ya da BOBİ FRS’deki hükümlerin uygulanmasına yönelik olarak yukarıdaki öngörülenden farklı geçiş tarihleri belirleyebileceğine ilişkin duyuru yayınlamıştır. </w:t>
      </w:r>
      <w:r w:rsidR="00A234D5" w:rsidRPr="00FB38E1">
        <w:rPr>
          <w:rFonts w:ascii="Microsoft Sans Serif" w:hAnsi="Microsoft Sans Serif" w:cs="Microsoft Sans Serif"/>
          <w:bCs/>
          <w:color w:val="404040" w:themeColor="text1" w:themeTint="BF"/>
          <w:sz w:val="20"/>
          <w:szCs w:val="20"/>
          <w:lang w:val="pt-BR"/>
        </w:rPr>
        <w:t xml:space="preserve">Bu duyuruya istinaden BDDK 12 Aralık 2023 tarihli 10744 sayılı kararı uyarınca bankalar ile finansal kiralama, faktoring, finansman, tasarruf finansman ve varlık yönetim şirketlerinin 31 Aralık 2023 tarihli finansal tablolarının TMS 29 kapsamında yapılması gereken enflasyon düzeltmesine tabi tutulmamasına karar vermiş; müteakiben </w:t>
      </w:r>
      <w:r w:rsidR="00A234D5" w:rsidRPr="00FB38E1">
        <w:rPr>
          <w:rFonts w:ascii="Microsoft Sans Serif" w:hAnsi="Microsoft Sans Serif" w:cs="Microsoft Sans Serif"/>
          <w:color w:val="404040"/>
          <w:sz w:val="20"/>
          <w:szCs w:val="20"/>
        </w:rPr>
        <w:t>11 Ocak 2024 ve 10825 sayılı karar ile TMS 29 uygulamasına geçiş tarihini 1 Ocak 2025 olarak belirlemiş; daha sonra ise 5 Aralık 2024 tarihli 11021 sayılı karar ile 2025 yılında da TMS 29 uygulamamasına karar vermiştir. Bu çerçevede 31 Aralık 2024 tarihli finansal tablolar hazırlanırken TMS 29’a göre enflasyon düzeltmesi yapılmamıştır</w:t>
      </w:r>
      <w:r w:rsidR="00A234D5" w:rsidRPr="00FB38E1">
        <w:rPr>
          <w:rFonts w:ascii="Microsoft Sans Serif" w:hAnsi="Microsoft Sans Serif" w:cs="Microsoft Sans Serif"/>
          <w:bCs/>
          <w:color w:val="404040" w:themeColor="text1" w:themeTint="BF"/>
          <w:sz w:val="20"/>
          <w:szCs w:val="20"/>
          <w:lang w:val="pt-BR"/>
        </w:rPr>
        <w:t>.</w:t>
      </w:r>
    </w:p>
    <w:p w14:paraId="5F6152B5" w14:textId="7272CC1F" w:rsidR="00681A4A" w:rsidRPr="00FB38E1" w:rsidRDefault="00ED28CA" w:rsidP="003E01A9">
      <w:pPr>
        <w:spacing w:before="120" w:after="0" w:line="220" w:lineRule="exact"/>
        <w:rPr>
          <w:rFonts w:ascii="Microsoft Sans Serif" w:hAnsi="Microsoft Sans Serif" w:cs="Microsoft Sans Serif"/>
          <w:color w:val="404040" w:themeColor="text1" w:themeTint="BF"/>
          <w:sz w:val="20"/>
          <w:szCs w:val="20"/>
        </w:rPr>
      </w:pPr>
      <w:bookmarkStart w:id="14" w:name="_Hlk141272980"/>
      <w:r w:rsidRPr="00FB38E1">
        <w:rPr>
          <w:rFonts w:ascii="Microsoft Sans Serif" w:hAnsi="Microsoft Sans Serif" w:cs="Microsoft Sans Serif"/>
          <w:color w:val="404040"/>
          <w:sz w:val="20"/>
          <w:szCs w:val="20"/>
        </w:rPr>
        <w:t xml:space="preserve">Küresel bazda süren Gösterge Faiz Oranı Reform süreci kapsamında Bankanın kredi, menkul kıymet, borçlanma ve türev ürünleri işlemleri bulunmaktadır. Her bir ürün özelinde bankamızda gerekli altyapı geliştirmeleri tamamlanmıştır ve kullanılmaya başlanmıştır. EURIBOR geçişe konu değildir ve  kullanılmaya devam edilecektir. USD LIBOR oranlarına endeksli işlemlerin ise dönüşümü, işlem bazında takip edilmekte ve 30 </w:t>
      </w:r>
      <w:r w:rsidR="00D65FF4" w:rsidRPr="00FB38E1">
        <w:rPr>
          <w:rFonts w:ascii="Microsoft Sans Serif" w:hAnsi="Microsoft Sans Serif" w:cs="Microsoft Sans Serif"/>
          <w:color w:val="404040"/>
          <w:sz w:val="20"/>
          <w:szCs w:val="20"/>
        </w:rPr>
        <w:t>Haziran</w:t>
      </w:r>
      <w:r w:rsidR="009E3A80" w:rsidRPr="00FB38E1">
        <w:rPr>
          <w:rFonts w:ascii="Microsoft Sans Serif" w:hAnsi="Microsoft Sans Serif" w:cs="Microsoft Sans Serif"/>
          <w:color w:val="404040"/>
          <w:sz w:val="20"/>
          <w:szCs w:val="20"/>
        </w:rPr>
        <w:t xml:space="preserve"> </w:t>
      </w:r>
      <w:r w:rsidRPr="00FB38E1">
        <w:rPr>
          <w:rFonts w:ascii="Microsoft Sans Serif" w:hAnsi="Microsoft Sans Serif" w:cs="Microsoft Sans Serif"/>
          <w:color w:val="404040"/>
          <w:sz w:val="20"/>
          <w:szCs w:val="20"/>
        </w:rPr>
        <w:t>2023’ten sonraki her işlemin ilk yeniden fiyatlama tarihinde ilgili birimlerce dönüşüm yapılmaktadır</w:t>
      </w:r>
      <w:r w:rsidR="00681A4A" w:rsidRPr="00FB38E1">
        <w:rPr>
          <w:rFonts w:ascii="Microsoft Sans Serif" w:hAnsi="Microsoft Sans Serif" w:cs="Microsoft Sans Serif"/>
          <w:color w:val="404040" w:themeColor="text1" w:themeTint="BF"/>
          <w:sz w:val="20"/>
          <w:szCs w:val="20"/>
        </w:rPr>
        <w:t>.</w:t>
      </w:r>
    </w:p>
    <w:bookmarkEnd w:id="14"/>
    <w:p w14:paraId="010CCF66" w14:textId="5F52E59F" w:rsidR="00AC09F8" w:rsidRPr="00FB38E1" w:rsidRDefault="00ED28CA" w:rsidP="003E01A9">
      <w:pPr>
        <w:pStyle w:val="BDDKbalk1"/>
        <w:numPr>
          <w:ilvl w:val="0"/>
          <w:numId w:val="41"/>
        </w:numPr>
        <w:spacing w:line="240" w:lineRule="exact"/>
        <w:ind w:left="0" w:hanging="851"/>
        <w:rPr>
          <w:rFonts w:ascii="Microsoft Sans Serif" w:hAnsi="Microsoft Sans Serif" w:cs="Microsoft Sans Serif"/>
        </w:rPr>
      </w:pPr>
      <w:r w:rsidRPr="00FB38E1">
        <w:rPr>
          <w:rFonts w:ascii="Microsoft Sans Serif" w:hAnsi="Microsoft Sans Serif" w:cs="Microsoft Sans Serif"/>
          <w:bCs w:val="0"/>
          <w:color w:val="404040" w:themeColor="text1" w:themeTint="BF"/>
          <w:sz w:val="20"/>
          <w:szCs w:val="20"/>
          <w:lang w:eastAsia="en-US"/>
        </w:rPr>
        <w:br w:type="page"/>
      </w:r>
      <w:r w:rsidR="00AC09F8" w:rsidRPr="00FB38E1">
        <w:rPr>
          <w:rFonts w:ascii="Microsoft Sans Serif" w:hAnsi="Microsoft Sans Serif" w:cs="Microsoft Sans Serif"/>
        </w:rPr>
        <w:t>Finansal araçların kullanım stratejisi ve yabancı para cinsinden işleml</w:t>
      </w:r>
      <w:r w:rsidR="003B733C" w:rsidRPr="00FB38E1">
        <w:rPr>
          <w:rFonts w:ascii="Microsoft Sans Serif" w:hAnsi="Microsoft Sans Serif" w:cs="Microsoft Sans Serif"/>
        </w:rPr>
        <w:t>e</w:t>
      </w:r>
      <w:r w:rsidR="00AC09F8" w:rsidRPr="00FB38E1">
        <w:rPr>
          <w:rFonts w:ascii="Microsoft Sans Serif" w:hAnsi="Microsoft Sans Serif" w:cs="Microsoft Sans Serif"/>
        </w:rPr>
        <w:t>re ilişkin açıklamalar</w:t>
      </w:r>
    </w:p>
    <w:p w14:paraId="637D306D" w14:textId="77777777" w:rsidR="00AC09F8" w:rsidRPr="00FB38E1" w:rsidRDefault="00AC09F8" w:rsidP="003E01A9">
      <w:pPr>
        <w:pStyle w:val="BDDKbalk1"/>
        <w:numPr>
          <w:ilvl w:val="0"/>
          <w:numId w:val="8"/>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sz w:val="20"/>
          <w:szCs w:val="20"/>
        </w:rPr>
        <w:t>Finansal araçların kullanım stratejisi</w:t>
      </w:r>
    </w:p>
    <w:p w14:paraId="54B7C487" w14:textId="3067EF0B" w:rsidR="00AC09F8" w:rsidRPr="00FB38E1" w:rsidRDefault="00362E26" w:rsidP="003E01A9">
      <w:pPr>
        <w:pStyle w:val="BDDKmetin"/>
        <w:spacing w:line="220" w:lineRule="exact"/>
        <w:rPr>
          <w:rFonts w:ascii="Microsoft Sans Serif" w:hAnsi="Microsoft Sans Serif" w:cs="Microsoft Sans Serif"/>
          <w:bCs/>
          <w:noProof/>
          <w:color w:val="404040" w:themeColor="text1" w:themeTint="BF"/>
          <w:sz w:val="20"/>
          <w:szCs w:val="20"/>
          <w:lang w:val="tr-TR"/>
        </w:rPr>
      </w:pPr>
      <w:r w:rsidRPr="00FB38E1">
        <w:rPr>
          <w:rFonts w:ascii="Microsoft Sans Serif" w:hAnsi="Microsoft Sans Serif" w:cs="Microsoft Sans Serif"/>
          <w:bCs/>
          <w:noProof/>
          <w:color w:val="404040" w:themeColor="text1" w:themeTint="BF"/>
          <w:sz w:val="20"/>
          <w:szCs w:val="20"/>
          <w:lang w:val="tr-TR"/>
        </w:rPr>
        <w:t>Banka’nın</w:t>
      </w:r>
      <w:r w:rsidR="003D77C2" w:rsidRPr="00FB38E1">
        <w:rPr>
          <w:rFonts w:ascii="Microsoft Sans Serif" w:hAnsi="Microsoft Sans Serif" w:cs="Microsoft Sans Serif"/>
          <w:bCs/>
          <w:noProof/>
          <w:color w:val="404040" w:themeColor="text1" w:themeTint="BF"/>
          <w:sz w:val="20"/>
          <w:szCs w:val="20"/>
          <w:lang w:val="tr-TR"/>
        </w:rPr>
        <w:t xml:space="preserve"> kaynakları çeşitli vade dilimlerinde mevduat ve dış kaynaklı borçlardan oluşmaktadır. Sağlanan kaynaklar genelde sabit oranlı olup, yüksek getirisi olan finansal aktiflerde değerlendirilmektedir. Kaynakların önemli bir bölümü, seçici bir yaklaşımla kredilere tahsis edilmenin yanında aktifi çeşitlendirmek  ve likiditeyi desteklemek amacı ile yüksek getirili, sabit veya değişken faizli Türk Parası ve yabancı para devlet iç borçlanma senetleri ve eurobond gibi enstrümanlar ile değerlendirilmektedir. Vadesi gelmiş bütün yükümlülüklerin karşılanabilirliğini sağlayıcı likidite yapısı, fonlama kaynaklarını çeşitlendirerek, yeterli düzeyde nakit ve nakde dönüşebilir varlık bulundurarak oluşturulmaktadır. Kaynakların vade yapısı ile aktiflerin vade yapısı ve getirisi piyasa şartları elverdiğince dikkate alınmakta, uzun vadeli aktiflerde daha yüksek getiri ilkesi benimsenmektedir.</w:t>
      </w:r>
    </w:p>
    <w:p w14:paraId="666CE5D6" w14:textId="475CAC57" w:rsidR="00AC09F8" w:rsidRPr="00FB38E1" w:rsidRDefault="003D77C2" w:rsidP="003E01A9">
      <w:pPr>
        <w:pStyle w:val="BDDKmetin"/>
        <w:spacing w:line="220" w:lineRule="exact"/>
        <w:rPr>
          <w:rFonts w:ascii="Microsoft Sans Serif" w:hAnsi="Microsoft Sans Serif" w:cs="Microsoft Sans Serif"/>
          <w:bCs/>
          <w:noProof/>
          <w:color w:val="404040" w:themeColor="text1" w:themeTint="BF"/>
          <w:sz w:val="20"/>
          <w:szCs w:val="20"/>
          <w:lang w:val="tr-TR"/>
        </w:rPr>
      </w:pPr>
      <w:r w:rsidRPr="00FB38E1">
        <w:rPr>
          <w:rFonts w:ascii="Microsoft Sans Serif" w:hAnsi="Microsoft Sans Serif" w:cs="Microsoft Sans Serif"/>
          <w:bCs/>
          <w:noProof/>
          <w:color w:val="404040" w:themeColor="text1" w:themeTint="BF"/>
          <w:sz w:val="20"/>
          <w:szCs w:val="20"/>
          <w:lang w:val="tr-TR"/>
        </w:rPr>
        <w:t>Banka, para ve sermaye piyasalarındaki kısa vadeli kur, faiz ve fiyat hareketleri karşısında ve piyasa koşullarına göre risk limitleri dahilinde çeşitli riskler taşıyabilmektedir. Banka’nın Risk Yönetimi Sistemi’nde bu pozisyonlar sürekli olarak izlenmekte; aşım ya da piyasa verilerindeki değişimler sonucunda gerekli tedbirler alınmaktadır. Faiz riskinden korunmak için, sabit ve değişken faizli aktifler ile pasifler, vade yapıları da gözetilerek, takip edilmektedir. Gerek döviz cinsi gerekse vade yapıları gözetilerek bilançonun aktif-pasif dengesi günlük olarak izlenmektedir. Kısa süreli alınan pozisyon riskleri ise, vadeli işlem, swap ve opsiyon gibi türev ürünleri ile karşılanmaktadır.</w:t>
      </w:r>
    </w:p>
    <w:p w14:paraId="7ABA2352" w14:textId="77777777" w:rsidR="00AC09F8" w:rsidRPr="00FB38E1" w:rsidRDefault="00AC09F8" w:rsidP="003E01A9">
      <w:pPr>
        <w:pStyle w:val="BDDKbalk1"/>
        <w:numPr>
          <w:ilvl w:val="0"/>
          <w:numId w:val="8"/>
        </w:numPr>
        <w:spacing w:line="240" w:lineRule="exact"/>
        <w:ind w:left="0" w:hanging="567"/>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sz w:val="20"/>
          <w:szCs w:val="20"/>
        </w:rPr>
        <w:t>Yabancı para cinsi üzerinden işlemler</w:t>
      </w:r>
    </w:p>
    <w:p w14:paraId="51EA0629" w14:textId="77777777" w:rsidR="00AC09F8" w:rsidRPr="00FB38E1" w:rsidRDefault="00AC09F8" w:rsidP="003E01A9">
      <w:pPr>
        <w:pStyle w:val="BDDKbalk1"/>
        <w:spacing w:line="240" w:lineRule="exact"/>
        <w:ind w:left="0"/>
        <w:rPr>
          <w:rFonts w:ascii="Microsoft Sans Serif" w:hAnsi="Microsoft Sans Serif" w:cs="Microsoft Sans Serif"/>
          <w:sz w:val="20"/>
          <w:szCs w:val="20"/>
        </w:rPr>
      </w:pPr>
      <w:r w:rsidRPr="00FB38E1">
        <w:rPr>
          <w:rFonts w:ascii="Microsoft Sans Serif" w:hAnsi="Microsoft Sans Serif" w:cs="Microsoft Sans Serif"/>
          <w:sz w:val="20"/>
          <w:szCs w:val="20"/>
        </w:rPr>
        <w:t>Yabancı para işlemlerin dönüştürülmesinde ve bunların finansal tablolara yansıtılmasında kullanılan kur değerleri</w:t>
      </w:r>
    </w:p>
    <w:p w14:paraId="19FB3906" w14:textId="5D090527" w:rsidR="00AC09F8" w:rsidRPr="00FB38E1" w:rsidRDefault="0064352F" w:rsidP="003E01A9">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Banka’nın</w:t>
      </w:r>
      <w:r w:rsidR="00AC09F8" w:rsidRPr="00FB38E1">
        <w:rPr>
          <w:rFonts w:ascii="Microsoft Sans Serif" w:hAnsi="Microsoft Sans Serif" w:cs="Microsoft Sans Serif"/>
          <w:b w:val="0"/>
          <w:noProof/>
          <w:color w:val="404040" w:themeColor="text1" w:themeTint="BF"/>
          <w:sz w:val="20"/>
          <w:szCs w:val="20"/>
        </w:rPr>
        <w:t xml:space="preserve"> yabancı para ile yapmış olduğu işlemler, TMS 21 “Kur Değişiminin Etkileri” standardı esas alınarak muhasebeleştirilmiş olup, dönem sonu itibarıyla tamamlanan yabancı para işlemlerden doğan kur farkı gelirleri ve giderleri işlemin yapıldığı tarihteki geçerli kurlar üzerinden Türk Lirası’na çevrilmekte ve kayıtlara intikal ettirilmektedir. İlgili dönem sonlarında, yabancı para aktif ve pasif hesaplar</w:t>
      </w:r>
      <w:r w:rsidR="00DC1651" w:rsidRPr="00FB38E1">
        <w:rPr>
          <w:rFonts w:ascii="Microsoft Sans Serif" w:hAnsi="Microsoft Sans Serif" w:cs="Microsoft Sans Serif"/>
          <w:b w:val="0"/>
          <w:noProof/>
          <w:color w:val="404040" w:themeColor="text1" w:themeTint="BF"/>
          <w:sz w:val="20"/>
          <w:szCs w:val="20"/>
        </w:rPr>
        <w:t>ın bakiyeleri dönem sonu</w:t>
      </w:r>
      <w:r w:rsidR="00AC09F8" w:rsidRPr="00FB38E1">
        <w:rPr>
          <w:rFonts w:ascii="Microsoft Sans Serif" w:hAnsi="Microsoft Sans Serif" w:cs="Microsoft Sans Serif"/>
          <w:b w:val="0"/>
          <w:noProof/>
          <w:color w:val="404040" w:themeColor="text1" w:themeTint="BF"/>
          <w:sz w:val="20"/>
          <w:szCs w:val="20"/>
        </w:rPr>
        <w:t xml:space="preserve"> Banka kurlarından Türk Lirası’na çevrilmekte ve oluşan kur farkları kambiyo karı ve zararı olarak kayıtlara yansıtılmaktadır. İlgili dönem sonları itibarıyla değerlemeye esas </w:t>
      </w:r>
      <w:r w:rsidR="00DC1651" w:rsidRPr="00FB38E1">
        <w:rPr>
          <w:rFonts w:ascii="Microsoft Sans Serif" w:hAnsi="Microsoft Sans Serif" w:cs="Microsoft Sans Serif"/>
          <w:b w:val="0"/>
          <w:noProof/>
          <w:color w:val="404040" w:themeColor="text1" w:themeTint="BF"/>
          <w:sz w:val="20"/>
          <w:szCs w:val="20"/>
        </w:rPr>
        <w:t xml:space="preserve">alınan </w:t>
      </w:r>
      <w:r w:rsidR="00AC09F8" w:rsidRPr="00FB38E1">
        <w:rPr>
          <w:rFonts w:ascii="Microsoft Sans Serif" w:hAnsi="Microsoft Sans Serif" w:cs="Microsoft Sans Serif"/>
          <w:b w:val="0"/>
          <w:noProof/>
          <w:color w:val="404040" w:themeColor="text1" w:themeTint="BF"/>
          <w:sz w:val="20"/>
          <w:szCs w:val="20"/>
        </w:rPr>
        <w:t>Banka döviz alış kurları aşağıdaki gibidir.</w:t>
      </w:r>
    </w:p>
    <w:tbl>
      <w:tblPr>
        <w:tblStyle w:val="TableGrid"/>
        <w:tblW w:w="9576" w:type="dxa"/>
        <w:tblInd w:w="57" w:type="dxa"/>
        <w:tblBorders>
          <w:top w:val="thinThickSmallGap" w:sz="18" w:space="0" w:color="auto"/>
          <w:left w:val="none" w:sz="0" w:space="0" w:color="auto"/>
          <w:bottom w:val="thickThinSmallGap" w:sz="18" w:space="0" w:color="auto"/>
          <w:right w:val="none" w:sz="0" w:space="0" w:color="auto"/>
          <w:insideH w:val="none" w:sz="0" w:space="0" w:color="auto"/>
          <w:insideV w:val="none" w:sz="0" w:space="0" w:color="auto"/>
        </w:tblBorders>
        <w:tblLook w:val="04A0" w:firstRow="1" w:lastRow="0" w:firstColumn="1" w:lastColumn="0" w:noHBand="0" w:noVBand="1"/>
      </w:tblPr>
      <w:tblGrid>
        <w:gridCol w:w="3549"/>
        <w:gridCol w:w="2754"/>
        <w:gridCol w:w="3273"/>
      </w:tblGrid>
      <w:tr w:rsidR="003E01A9" w:rsidRPr="00FB38E1" w14:paraId="583B34DC" w14:textId="77777777" w:rsidTr="00F40382">
        <w:trPr>
          <w:trHeight w:val="201"/>
        </w:trPr>
        <w:tc>
          <w:tcPr>
            <w:tcW w:w="1853" w:type="pct"/>
            <w:tcBorders>
              <w:top w:val="thinThickSmallGap" w:sz="18" w:space="0" w:color="auto"/>
              <w:bottom w:val="single" w:sz="4" w:space="0" w:color="auto"/>
            </w:tcBorders>
            <w:tcMar>
              <w:left w:w="57" w:type="dxa"/>
              <w:right w:w="57" w:type="dxa"/>
            </w:tcMar>
            <w:vAlign w:val="center"/>
          </w:tcPr>
          <w:p w14:paraId="4AC30566" w14:textId="77777777" w:rsidR="003E01A9" w:rsidRPr="00FB38E1" w:rsidRDefault="003E01A9" w:rsidP="003E01A9">
            <w:pPr>
              <w:jc w:val="center"/>
              <w:rPr>
                <w:rFonts w:ascii="Microsoft Sans Serif" w:hAnsi="Microsoft Sans Serif" w:cs="Microsoft Sans Serif"/>
                <w:b/>
                <w:bCs/>
                <w:color w:val="000000"/>
                <w:sz w:val="16"/>
                <w:szCs w:val="16"/>
              </w:rPr>
            </w:pPr>
          </w:p>
        </w:tc>
        <w:tc>
          <w:tcPr>
            <w:tcW w:w="1438" w:type="pct"/>
            <w:tcBorders>
              <w:top w:val="thinThickSmallGap" w:sz="18" w:space="0" w:color="auto"/>
              <w:bottom w:val="single" w:sz="4" w:space="0" w:color="auto"/>
            </w:tcBorders>
          </w:tcPr>
          <w:p w14:paraId="36B2F8FD" w14:textId="49C0BD8F" w:rsidR="003E01A9" w:rsidRPr="00FB38E1" w:rsidRDefault="003E01A9" w:rsidP="003E01A9">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 Aralık 2024</w:t>
            </w:r>
          </w:p>
        </w:tc>
        <w:tc>
          <w:tcPr>
            <w:tcW w:w="1709" w:type="pct"/>
            <w:tcBorders>
              <w:top w:val="thinThickSmallGap" w:sz="18" w:space="0" w:color="auto"/>
              <w:bottom w:val="single" w:sz="4" w:space="0" w:color="auto"/>
            </w:tcBorders>
          </w:tcPr>
          <w:p w14:paraId="0B06E113" w14:textId="55147D46" w:rsidR="003E01A9" w:rsidRPr="00FB38E1" w:rsidRDefault="003E01A9" w:rsidP="003E01A9">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 Aralık 2023</w:t>
            </w:r>
          </w:p>
        </w:tc>
      </w:tr>
      <w:tr w:rsidR="003E01A9" w:rsidRPr="00FB38E1" w14:paraId="2D363D7B" w14:textId="77777777" w:rsidTr="00F40382">
        <w:trPr>
          <w:trHeight w:val="216"/>
        </w:trPr>
        <w:tc>
          <w:tcPr>
            <w:tcW w:w="1853" w:type="pct"/>
            <w:tcBorders>
              <w:top w:val="single" w:sz="4" w:space="0" w:color="auto"/>
            </w:tcBorders>
            <w:tcMar>
              <w:left w:w="57" w:type="dxa"/>
              <w:right w:w="57" w:type="dxa"/>
            </w:tcMar>
            <w:vAlign w:val="center"/>
          </w:tcPr>
          <w:p w14:paraId="7267C4BE" w14:textId="77777777" w:rsidR="003E01A9" w:rsidRPr="00FB38E1" w:rsidRDefault="003E01A9" w:rsidP="003E01A9">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ABD Doları</w:t>
            </w:r>
          </w:p>
        </w:tc>
        <w:tc>
          <w:tcPr>
            <w:tcW w:w="1438" w:type="pct"/>
            <w:tcBorders>
              <w:top w:val="single" w:sz="4" w:space="0" w:color="auto"/>
            </w:tcBorders>
          </w:tcPr>
          <w:p w14:paraId="11F3B1A6" w14:textId="7EB76E76" w:rsidR="003E01A9" w:rsidRPr="00FB38E1" w:rsidRDefault="00C3384E" w:rsidP="003E01A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35,2803</w:t>
            </w:r>
            <w:r w:rsidR="003E01A9" w:rsidRPr="00FB38E1">
              <w:rPr>
                <w:rFonts w:ascii="Microsoft Sans Serif" w:hAnsi="Microsoft Sans Serif" w:cs="Microsoft Sans Serif"/>
                <w:color w:val="404040"/>
                <w:sz w:val="16"/>
                <w:szCs w:val="16"/>
              </w:rPr>
              <w:t xml:space="preserve"> TL</w:t>
            </w:r>
          </w:p>
        </w:tc>
        <w:tc>
          <w:tcPr>
            <w:tcW w:w="1709" w:type="pct"/>
            <w:tcBorders>
              <w:top w:val="single" w:sz="4" w:space="0" w:color="auto"/>
            </w:tcBorders>
          </w:tcPr>
          <w:p w14:paraId="4CF2F443" w14:textId="04EAB92D" w:rsidR="003E01A9" w:rsidRPr="00FB38E1" w:rsidRDefault="003E01A9" w:rsidP="003E01A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29,4382 TL</w:t>
            </w:r>
          </w:p>
        </w:tc>
      </w:tr>
      <w:tr w:rsidR="003E01A9" w:rsidRPr="00FB38E1" w14:paraId="4525F5D2" w14:textId="77777777" w:rsidTr="00F40382">
        <w:trPr>
          <w:trHeight w:val="201"/>
        </w:trPr>
        <w:tc>
          <w:tcPr>
            <w:tcW w:w="1853" w:type="pct"/>
            <w:tcMar>
              <w:left w:w="57" w:type="dxa"/>
              <w:right w:w="57" w:type="dxa"/>
            </w:tcMar>
            <w:vAlign w:val="center"/>
          </w:tcPr>
          <w:p w14:paraId="14E1543B" w14:textId="77777777" w:rsidR="003E01A9" w:rsidRPr="00FB38E1" w:rsidRDefault="003E01A9" w:rsidP="003E01A9">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Avro</w:t>
            </w:r>
          </w:p>
        </w:tc>
        <w:tc>
          <w:tcPr>
            <w:tcW w:w="1438" w:type="pct"/>
          </w:tcPr>
          <w:p w14:paraId="236905EC" w14:textId="193E0743" w:rsidR="003E01A9" w:rsidRPr="00FB38E1" w:rsidRDefault="00C3384E" w:rsidP="003E01A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36,7362</w:t>
            </w:r>
            <w:r w:rsidR="003E01A9" w:rsidRPr="00FB38E1">
              <w:rPr>
                <w:rFonts w:ascii="Microsoft Sans Serif" w:hAnsi="Microsoft Sans Serif" w:cs="Microsoft Sans Serif"/>
                <w:color w:val="404040"/>
                <w:sz w:val="16"/>
                <w:szCs w:val="16"/>
              </w:rPr>
              <w:t xml:space="preserve"> TL</w:t>
            </w:r>
          </w:p>
        </w:tc>
        <w:tc>
          <w:tcPr>
            <w:tcW w:w="1709" w:type="pct"/>
          </w:tcPr>
          <w:p w14:paraId="0F14E1D7" w14:textId="013C05D4" w:rsidR="003E01A9" w:rsidRPr="00FB38E1" w:rsidRDefault="003E01A9" w:rsidP="003E01A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32,5739 TL</w:t>
            </w:r>
          </w:p>
        </w:tc>
      </w:tr>
    </w:tbl>
    <w:p w14:paraId="12F9D052" w14:textId="2850F950" w:rsidR="00AC09F8" w:rsidRPr="00FB38E1" w:rsidRDefault="000A3B9E" w:rsidP="003E01A9">
      <w:pPr>
        <w:pStyle w:val="BDDKbalk1"/>
        <w:spacing w:line="240" w:lineRule="exact"/>
        <w:ind w:left="0"/>
        <w:rPr>
          <w:rFonts w:ascii="Microsoft Sans Serif" w:hAnsi="Microsoft Sans Serif" w:cs="Microsoft Sans Serif"/>
          <w:sz w:val="20"/>
          <w:szCs w:val="20"/>
        </w:rPr>
      </w:pPr>
      <w:r w:rsidRPr="00FB38E1">
        <w:rPr>
          <w:rFonts w:ascii="Microsoft Sans Serif" w:hAnsi="Microsoft Sans Serif" w:cs="Microsoft Sans Serif"/>
          <w:sz w:val="20"/>
          <w:szCs w:val="20"/>
        </w:rPr>
        <w:t>Döneme ilişkin net kar ya da zarara dahil edilen toplam kur farkları</w:t>
      </w:r>
    </w:p>
    <w:p w14:paraId="14B98BC5" w14:textId="1FC66091" w:rsidR="000A3B9E" w:rsidRPr="00FB38E1" w:rsidRDefault="00AD2A6F"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 xml:space="preserve">31 Aralık 2024 </w:t>
      </w:r>
      <w:r w:rsidR="000A3B9E" w:rsidRPr="00FB38E1">
        <w:rPr>
          <w:rFonts w:ascii="Microsoft Sans Serif" w:hAnsi="Microsoft Sans Serif" w:cs="Microsoft Sans Serif"/>
          <w:b w:val="0"/>
          <w:noProof/>
          <w:color w:val="404040" w:themeColor="text1" w:themeTint="BF"/>
          <w:sz w:val="20"/>
          <w:szCs w:val="20"/>
        </w:rPr>
        <w:t xml:space="preserve">tarihi itibarıyla sona eren döneme ait net kar tutarına dahil edilen net kambiyo </w:t>
      </w:r>
      <w:r w:rsidR="0089225C" w:rsidRPr="00FB38E1">
        <w:rPr>
          <w:rFonts w:ascii="Microsoft Sans Serif" w:hAnsi="Microsoft Sans Serif" w:cs="Microsoft Sans Serif"/>
          <w:b w:val="0"/>
          <w:noProof/>
          <w:color w:val="404040" w:themeColor="text1" w:themeTint="BF"/>
          <w:sz w:val="20"/>
          <w:szCs w:val="20"/>
        </w:rPr>
        <w:t>zararı</w:t>
      </w:r>
      <w:r w:rsidR="000A3B9E" w:rsidRPr="00FB38E1">
        <w:rPr>
          <w:rFonts w:ascii="Microsoft Sans Serif" w:hAnsi="Microsoft Sans Serif" w:cs="Microsoft Sans Serif"/>
          <w:b w:val="0"/>
          <w:noProof/>
          <w:color w:val="404040" w:themeColor="text1" w:themeTint="BF"/>
          <w:sz w:val="20"/>
          <w:szCs w:val="20"/>
          <w:shd w:val="clear" w:color="auto" w:fill="FFFF00"/>
        </w:rPr>
        <w:t xml:space="preserve"> </w:t>
      </w:r>
      <w:r w:rsidR="002155F7" w:rsidRPr="00FB38E1">
        <w:rPr>
          <w:rFonts w:ascii="Microsoft Sans Serif" w:hAnsi="Microsoft Sans Serif" w:cs="Microsoft Sans Serif"/>
          <w:b w:val="0"/>
          <w:noProof/>
          <w:color w:val="404040" w:themeColor="text1" w:themeTint="BF"/>
          <w:sz w:val="20"/>
          <w:szCs w:val="20"/>
        </w:rPr>
        <w:br/>
      </w:r>
      <w:r w:rsidR="00B2671C" w:rsidRPr="00FB38E1">
        <w:rPr>
          <w:rFonts w:ascii="Microsoft Sans Serif" w:hAnsi="Microsoft Sans Serif" w:cs="Microsoft Sans Serif"/>
          <w:b w:val="0"/>
          <w:noProof/>
          <w:color w:val="404040" w:themeColor="text1" w:themeTint="BF"/>
          <w:sz w:val="20"/>
          <w:szCs w:val="20"/>
        </w:rPr>
        <w:t>8.121.569</w:t>
      </w:r>
      <w:r w:rsidR="00EC3ADC" w:rsidRPr="00FB38E1">
        <w:rPr>
          <w:rFonts w:ascii="Microsoft Sans Serif" w:hAnsi="Microsoft Sans Serif" w:cs="Microsoft Sans Serif"/>
          <w:b w:val="0"/>
          <w:noProof/>
          <w:color w:val="404040" w:themeColor="text1" w:themeTint="BF"/>
          <w:sz w:val="20"/>
          <w:szCs w:val="20"/>
        </w:rPr>
        <w:t xml:space="preserve"> TL’dir</w:t>
      </w:r>
      <w:r w:rsidR="004F36BF" w:rsidRPr="00FB38E1">
        <w:rPr>
          <w:rFonts w:ascii="Microsoft Sans Serif" w:hAnsi="Microsoft Sans Serif" w:cs="Microsoft Sans Serif"/>
          <w:b w:val="0"/>
          <w:noProof/>
          <w:color w:val="404040" w:themeColor="text1" w:themeTint="BF"/>
          <w:sz w:val="20"/>
          <w:szCs w:val="20"/>
        </w:rPr>
        <w:t xml:space="preserve"> (</w:t>
      </w:r>
      <w:r w:rsidR="004B392F" w:rsidRPr="00FB38E1">
        <w:rPr>
          <w:rFonts w:ascii="Microsoft Sans Serif" w:hAnsi="Microsoft Sans Serif" w:cs="Microsoft Sans Serif"/>
          <w:b w:val="0"/>
          <w:noProof/>
          <w:color w:val="404040" w:themeColor="text1" w:themeTint="BF"/>
          <w:sz w:val="20"/>
          <w:szCs w:val="20"/>
        </w:rPr>
        <w:t>1 Ocak – 31 Aralık 2023</w:t>
      </w:r>
      <w:r w:rsidR="004F36BF" w:rsidRPr="00FB38E1">
        <w:rPr>
          <w:rFonts w:ascii="Microsoft Sans Serif" w:hAnsi="Microsoft Sans Serif" w:cs="Microsoft Sans Serif"/>
          <w:b w:val="0"/>
          <w:noProof/>
          <w:color w:val="404040" w:themeColor="text1" w:themeTint="BF"/>
          <w:sz w:val="20"/>
          <w:szCs w:val="20"/>
        </w:rPr>
        <w:t>:</w:t>
      </w:r>
      <w:r w:rsidR="003940F0" w:rsidRPr="00FB38E1">
        <w:rPr>
          <w:rFonts w:ascii="Microsoft Sans Serif" w:hAnsi="Microsoft Sans Serif" w:cs="Microsoft Sans Serif"/>
          <w:b w:val="0"/>
          <w:noProof/>
          <w:color w:val="404040" w:themeColor="text1" w:themeTint="BF"/>
          <w:sz w:val="20"/>
          <w:szCs w:val="20"/>
        </w:rPr>
        <w:t xml:space="preserve"> </w:t>
      </w:r>
      <w:r w:rsidR="004B392F" w:rsidRPr="00FB38E1">
        <w:rPr>
          <w:rFonts w:ascii="Microsoft Sans Serif" w:hAnsi="Microsoft Sans Serif" w:cs="Microsoft Sans Serif"/>
          <w:b w:val="0"/>
          <w:noProof/>
          <w:color w:val="404040" w:themeColor="text1" w:themeTint="BF"/>
          <w:sz w:val="20"/>
          <w:szCs w:val="20"/>
        </w:rPr>
        <w:t xml:space="preserve">9.767.213 </w:t>
      </w:r>
      <w:r w:rsidR="004F36BF" w:rsidRPr="00FB38E1">
        <w:rPr>
          <w:rFonts w:ascii="Microsoft Sans Serif" w:hAnsi="Microsoft Sans Serif" w:cs="Microsoft Sans Serif"/>
          <w:b w:val="0"/>
          <w:noProof/>
          <w:color w:val="404040" w:themeColor="text1" w:themeTint="BF"/>
          <w:sz w:val="20"/>
          <w:szCs w:val="20"/>
        </w:rPr>
        <w:t>TL</w:t>
      </w:r>
      <w:r w:rsidR="004F36BF" w:rsidRPr="00FB38E1" w:rsidDel="001D10F3">
        <w:rPr>
          <w:rFonts w:ascii="Microsoft Sans Serif" w:hAnsi="Microsoft Sans Serif" w:cs="Microsoft Sans Serif"/>
          <w:b w:val="0"/>
          <w:noProof/>
          <w:color w:val="404040" w:themeColor="text1" w:themeTint="BF"/>
          <w:sz w:val="20"/>
          <w:szCs w:val="20"/>
        </w:rPr>
        <w:t xml:space="preserve"> </w:t>
      </w:r>
      <w:r w:rsidR="004F36BF" w:rsidRPr="00FB38E1">
        <w:rPr>
          <w:rFonts w:ascii="Microsoft Sans Serif" w:hAnsi="Microsoft Sans Serif" w:cs="Microsoft Sans Serif"/>
          <w:b w:val="0"/>
          <w:noProof/>
          <w:color w:val="404040" w:themeColor="text1" w:themeTint="BF"/>
          <w:sz w:val="20"/>
          <w:szCs w:val="20"/>
        </w:rPr>
        <w:t xml:space="preserve">net kambiyo </w:t>
      </w:r>
      <w:r w:rsidR="00C45F94" w:rsidRPr="00FB38E1">
        <w:rPr>
          <w:rFonts w:ascii="Microsoft Sans Serif" w:hAnsi="Microsoft Sans Serif" w:cs="Microsoft Sans Serif"/>
          <w:b w:val="0"/>
          <w:noProof/>
          <w:color w:val="404040" w:themeColor="text1" w:themeTint="BF"/>
          <w:sz w:val="20"/>
          <w:szCs w:val="20"/>
        </w:rPr>
        <w:t>zararı</w:t>
      </w:r>
      <w:r w:rsidR="004F36BF" w:rsidRPr="00FB38E1">
        <w:rPr>
          <w:rFonts w:ascii="Microsoft Sans Serif" w:hAnsi="Microsoft Sans Serif" w:cs="Microsoft Sans Serif"/>
          <w:b w:val="0"/>
          <w:noProof/>
          <w:color w:val="404040" w:themeColor="text1" w:themeTint="BF"/>
          <w:sz w:val="20"/>
          <w:szCs w:val="20"/>
        </w:rPr>
        <w:t>).</w:t>
      </w:r>
    </w:p>
    <w:p w14:paraId="2D33BDF7" w14:textId="34F9D644" w:rsidR="001666A9" w:rsidRPr="00FB38E1" w:rsidRDefault="001666A9" w:rsidP="003E01A9">
      <w:pPr>
        <w:pStyle w:val="BodyTextIndent"/>
        <w:spacing w:before="240" w:line="240" w:lineRule="exact"/>
        <w:ind w:left="0"/>
        <w:rPr>
          <w:rFonts w:ascii="Microsoft Sans Serif" w:hAnsi="Microsoft Sans Serif" w:cs="Microsoft Sans Serif"/>
          <w:b/>
          <w:iCs/>
          <w:sz w:val="20"/>
          <w:szCs w:val="20"/>
        </w:rPr>
      </w:pPr>
      <w:bookmarkStart w:id="15" w:name="_Hlk179991720"/>
      <w:r w:rsidRPr="00FB38E1">
        <w:rPr>
          <w:rFonts w:ascii="Microsoft Sans Serif" w:hAnsi="Microsoft Sans Serif" w:cs="Microsoft Sans Serif"/>
          <w:b/>
          <w:sz w:val="20"/>
          <w:szCs w:val="20"/>
        </w:rPr>
        <w:t>Kur farklarından doğan değerleme fonu hesabının toplam tutarı</w:t>
      </w:r>
    </w:p>
    <w:p w14:paraId="350B6574" w14:textId="66D2C8BE" w:rsidR="000A3B9E" w:rsidRPr="00FB38E1" w:rsidRDefault="00B178EF"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 xml:space="preserve">Banka’nın </w:t>
      </w:r>
      <w:r w:rsidR="00CC65DD" w:rsidRPr="00FB38E1">
        <w:rPr>
          <w:rFonts w:ascii="Microsoft Sans Serif" w:hAnsi="Microsoft Sans Serif" w:cs="Microsoft Sans Serif"/>
          <w:b w:val="0"/>
          <w:noProof/>
          <w:color w:val="404040" w:themeColor="text1" w:themeTint="BF"/>
          <w:sz w:val="20"/>
          <w:szCs w:val="20"/>
        </w:rPr>
        <w:t>yurt dışı</w:t>
      </w:r>
      <w:r w:rsidRPr="00FB38E1">
        <w:rPr>
          <w:rFonts w:ascii="Microsoft Sans Serif" w:hAnsi="Microsoft Sans Serif" w:cs="Microsoft Sans Serif"/>
          <w:b w:val="0"/>
          <w:noProof/>
          <w:color w:val="404040" w:themeColor="text1" w:themeTint="BF"/>
          <w:sz w:val="20"/>
          <w:szCs w:val="20"/>
        </w:rPr>
        <w:t xml:space="preserve">ndaki Bahreyn şubesi finansal tablolarının TMS 21 gereği Türk Lirası’na çevriminden </w:t>
      </w:r>
      <w:r w:rsidR="005048D3" w:rsidRPr="00FB38E1">
        <w:rPr>
          <w:rFonts w:ascii="Microsoft Sans Serif" w:hAnsi="Microsoft Sans Serif" w:cs="Microsoft Sans Serif"/>
          <w:b w:val="0"/>
          <w:noProof/>
          <w:color w:val="404040" w:themeColor="text1" w:themeTint="BF"/>
          <w:sz w:val="20"/>
          <w:szCs w:val="20"/>
        </w:rPr>
        <w:t xml:space="preserve">oluşan </w:t>
      </w:r>
      <w:r w:rsidR="00B2671C" w:rsidRPr="00FB38E1">
        <w:rPr>
          <w:rFonts w:ascii="Microsoft Sans Serif" w:hAnsi="Microsoft Sans Serif" w:cs="Microsoft Sans Serif"/>
          <w:b w:val="0"/>
          <w:noProof/>
          <w:color w:val="404040" w:themeColor="text1" w:themeTint="BF"/>
          <w:sz w:val="20"/>
          <w:szCs w:val="20"/>
        </w:rPr>
        <w:t>494.054</w:t>
      </w:r>
      <w:r w:rsidR="00B37A84" w:rsidRPr="00FB38E1">
        <w:rPr>
          <w:rFonts w:ascii="Microsoft Sans Serif" w:hAnsi="Microsoft Sans Serif" w:cs="Microsoft Sans Serif"/>
          <w:b w:val="0"/>
          <w:noProof/>
          <w:color w:val="404040" w:themeColor="text1" w:themeTint="BF"/>
          <w:sz w:val="20"/>
          <w:szCs w:val="20"/>
        </w:rPr>
        <w:t xml:space="preserve"> </w:t>
      </w:r>
      <w:r w:rsidR="00A9517A" w:rsidRPr="00FB38E1">
        <w:rPr>
          <w:rFonts w:ascii="Microsoft Sans Serif" w:hAnsi="Microsoft Sans Serif" w:cs="Microsoft Sans Serif"/>
          <w:b w:val="0"/>
          <w:noProof/>
          <w:color w:val="404040" w:themeColor="text1" w:themeTint="BF"/>
          <w:sz w:val="20"/>
          <w:szCs w:val="20"/>
        </w:rPr>
        <w:t>TL</w:t>
      </w:r>
      <w:bookmarkEnd w:id="15"/>
      <w:r w:rsidR="006C0AA8" w:rsidRPr="00FB38E1">
        <w:rPr>
          <w:rFonts w:ascii="Microsoft Sans Serif" w:hAnsi="Microsoft Sans Serif" w:cs="Microsoft Sans Serif"/>
          <w:b w:val="0"/>
          <w:noProof/>
          <w:color w:val="404040" w:themeColor="text1" w:themeTint="BF"/>
          <w:sz w:val="20"/>
          <w:szCs w:val="20"/>
        </w:rPr>
        <w:t xml:space="preserve"> </w:t>
      </w:r>
      <w:r w:rsidR="006E3504" w:rsidRPr="00FB38E1">
        <w:rPr>
          <w:rFonts w:ascii="Microsoft Sans Serif" w:hAnsi="Microsoft Sans Serif" w:cs="Microsoft Sans Serif"/>
          <w:b w:val="0"/>
          <w:noProof/>
          <w:color w:val="404040" w:themeColor="text1" w:themeTint="BF"/>
          <w:sz w:val="20"/>
          <w:szCs w:val="20"/>
        </w:rPr>
        <w:t>(31 Aralık 202</w:t>
      </w:r>
      <w:r w:rsidR="005C38E7" w:rsidRPr="00FB38E1">
        <w:rPr>
          <w:rFonts w:ascii="Microsoft Sans Serif" w:hAnsi="Microsoft Sans Serif" w:cs="Microsoft Sans Serif"/>
          <w:b w:val="0"/>
          <w:noProof/>
          <w:color w:val="404040" w:themeColor="text1" w:themeTint="BF"/>
          <w:sz w:val="20"/>
          <w:szCs w:val="20"/>
        </w:rPr>
        <w:t>3</w:t>
      </w:r>
      <w:r w:rsidR="00E94E81" w:rsidRPr="00FB38E1">
        <w:rPr>
          <w:rFonts w:ascii="Microsoft Sans Serif" w:hAnsi="Microsoft Sans Serif" w:cs="Microsoft Sans Serif"/>
          <w:b w:val="0"/>
          <w:noProof/>
          <w:color w:val="404040" w:themeColor="text1" w:themeTint="BF"/>
          <w:sz w:val="20"/>
          <w:szCs w:val="20"/>
        </w:rPr>
        <w:t>:</w:t>
      </w:r>
      <w:r w:rsidR="00C92C10" w:rsidRPr="00FB38E1">
        <w:rPr>
          <w:rFonts w:ascii="Microsoft Sans Serif" w:hAnsi="Microsoft Sans Serif" w:cs="Microsoft Sans Serif"/>
          <w:b w:val="0"/>
          <w:noProof/>
          <w:color w:val="404040" w:themeColor="text1" w:themeTint="BF"/>
          <w:sz w:val="20"/>
          <w:szCs w:val="20"/>
        </w:rPr>
        <w:t xml:space="preserve"> </w:t>
      </w:r>
      <w:r w:rsidR="005C38E7" w:rsidRPr="00FB38E1">
        <w:rPr>
          <w:rFonts w:ascii="Microsoft Sans Serif" w:hAnsi="Microsoft Sans Serif" w:cs="Microsoft Sans Serif"/>
          <w:b w:val="0"/>
          <w:noProof/>
          <w:color w:val="404040" w:themeColor="text1" w:themeTint="BF"/>
          <w:sz w:val="20"/>
          <w:szCs w:val="20"/>
        </w:rPr>
        <w:t>487.275</w:t>
      </w:r>
      <w:r w:rsidR="00E94E81" w:rsidRPr="00FB38E1">
        <w:rPr>
          <w:rFonts w:ascii="Microsoft Sans Serif" w:hAnsi="Microsoft Sans Serif" w:cs="Microsoft Sans Serif"/>
          <w:b w:val="0"/>
          <w:noProof/>
          <w:color w:val="404040" w:themeColor="text1" w:themeTint="BF"/>
          <w:sz w:val="20"/>
          <w:szCs w:val="20"/>
        </w:rPr>
        <w:t xml:space="preserve"> TL)</w:t>
      </w:r>
      <w:r w:rsidR="002155F7" w:rsidRPr="00FB38E1">
        <w:rPr>
          <w:rFonts w:ascii="Microsoft Sans Serif" w:hAnsi="Microsoft Sans Serif" w:cs="Microsoft Sans Serif"/>
          <w:b w:val="0"/>
          <w:noProof/>
          <w:color w:val="404040" w:themeColor="text1" w:themeTint="BF"/>
          <w:sz w:val="20"/>
          <w:szCs w:val="20"/>
        </w:rPr>
        <w:t xml:space="preserve"> </w:t>
      </w:r>
      <w:r w:rsidRPr="00FB38E1">
        <w:rPr>
          <w:rFonts w:ascii="Microsoft Sans Serif" w:hAnsi="Microsoft Sans Serif" w:cs="Microsoft Sans Serif"/>
          <w:b w:val="0"/>
          <w:noProof/>
          <w:color w:val="404040" w:themeColor="text1" w:themeTint="BF"/>
          <w:sz w:val="20"/>
          <w:szCs w:val="20"/>
        </w:rPr>
        <w:t xml:space="preserve">ve Banka’nın yabancı para </w:t>
      </w:r>
      <w:r w:rsidR="00D52381" w:rsidRPr="00FB38E1">
        <w:rPr>
          <w:rFonts w:ascii="Microsoft Sans Serif" w:hAnsi="Microsoft Sans Serif" w:cs="Microsoft Sans Serif"/>
          <w:b w:val="0"/>
          <w:noProof/>
          <w:color w:val="404040" w:themeColor="text1" w:themeTint="BF"/>
          <w:sz w:val="20"/>
          <w:szCs w:val="20"/>
        </w:rPr>
        <w:t xml:space="preserve">cinsinden </w:t>
      </w:r>
      <w:r w:rsidRPr="00FB38E1">
        <w:rPr>
          <w:rFonts w:ascii="Microsoft Sans Serif" w:hAnsi="Microsoft Sans Serif" w:cs="Microsoft Sans Serif"/>
          <w:b w:val="0"/>
          <w:noProof/>
          <w:color w:val="404040" w:themeColor="text1" w:themeTint="BF"/>
          <w:sz w:val="20"/>
          <w:szCs w:val="20"/>
        </w:rPr>
        <w:t xml:space="preserve">bağlı ortaklıkları </w:t>
      </w:r>
      <w:r w:rsidR="00D52381" w:rsidRPr="00FB38E1">
        <w:rPr>
          <w:rFonts w:ascii="Microsoft Sans Serif" w:hAnsi="Microsoft Sans Serif" w:cs="Microsoft Sans Serif"/>
          <w:b w:val="0"/>
          <w:noProof/>
          <w:color w:val="404040" w:themeColor="text1" w:themeTint="BF"/>
          <w:sz w:val="20"/>
          <w:szCs w:val="20"/>
        </w:rPr>
        <w:t xml:space="preserve">olan </w:t>
      </w:r>
      <w:r w:rsidRPr="00FB38E1">
        <w:rPr>
          <w:rFonts w:ascii="Microsoft Sans Serif" w:hAnsi="Microsoft Sans Serif" w:cs="Microsoft Sans Serif"/>
          <w:b w:val="0"/>
          <w:noProof/>
          <w:color w:val="404040" w:themeColor="text1" w:themeTint="BF"/>
          <w:sz w:val="20"/>
          <w:szCs w:val="20"/>
        </w:rPr>
        <w:t>Denizbank AG</w:t>
      </w:r>
      <w:r w:rsidR="00A94426" w:rsidRPr="00FB38E1">
        <w:rPr>
          <w:rFonts w:ascii="Microsoft Sans Serif" w:hAnsi="Microsoft Sans Serif" w:cs="Microsoft Sans Serif"/>
          <w:b w:val="0"/>
          <w:noProof/>
          <w:color w:val="404040" w:themeColor="text1" w:themeTint="BF"/>
          <w:sz w:val="20"/>
          <w:szCs w:val="20"/>
        </w:rPr>
        <w:t xml:space="preserve"> ve</w:t>
      </w:r>
      <w:r w:rsidRPr="00FB38E1">
        <w:rPr>
          <w:rFonts w:ascii="Microsoft Sans Serif" w:hAnsi="Microsoft Sans Serif" w:cs="Microsoft Sans Serif"/>
          <w:b w:val="0"/>
          <w:noProof/>
          <w:color w:val="404040" w:themeColor="text1" w:themeTint="BF"/>
          <w:sz w:val="20"/>
          <w:szCs w:val="20"/>
        </w:rPr>
        <w:t xml:space="preserve"> JSC Denizbank özkaynak yöntemi ile muhasebeleştir</w:t>
      </w:r>
      <w:r w:rsidR="00D52381" w:rsidRPr="00FB38E1">
        <w:rPr>
          <w:rFonts w:ascii="Microsoft Sans Serif" w:hAnsi="Microsoft Sans Serif" w:cs="Microsoft Sans Serif"/>
          <w:b w:val="0"/>
          <w:noProof/>
          <w:color w:val="404040" w:themeColor="text1" w:themeTint="BF"/>
          <w:sz w:val="20"/>
          <w:szCs w:val="20"/>
        </w:rPr>
        <w:t>ilmelerinden</w:t>
      </w:r>
      <w:r w:rsidRPr="00FB38E1">
        <w:rPr>
          <w:rFonts w:ascii="Microsoft Sans Serif" w:hAnsi="Microsoft Sans Serif" w:cs="Microsoft Sans Serif"/>
          <w:b w:val="0"/>
          <w:noProof/>
          <w:color w:val="404040" w:themeColor="text1" w:themeTint="BF"/>
          <w:sz w:val="20"/>
          <w:szCs w:val="20"/>
        </w:rPr>
        <w:t xml:space="preserve"> kaynaklanan </w:t>
      </w:r>
      <w:r w:rsidR="00B2671C" w:rsidRPr="00FB38E1">
        <w:rPr>
          <w:rFonts w:ascii="Microsoft Sans Serif" w:hAnsi="Microsoft Sans Serif" w:cs="Microsoft Sans Serif"/>
          <w:b w:val="0"/>
          <w:noProof/>
          <w:color w:val="404040" w:themeColor="text1" w:themeTint="BF"/>
          <w:sz w:val="20"/>
          <w:szCs w:val="20"/>
        </w:rPr>
        <w:t>36.614.776</w:t>
      </w:r>
      <w:r w:rsidR="00A9517A" w:rsidRPr="00FB38E1">
        <w:rPr>
          <w:rFonts w:ascii="Microsoft Sans Serif" w:hAnsi="Microsoft Sans Serif" w:cs="Microsoft Sans Serif"/>
          <w:b w:val="0"/>
          <w:noProof/>
          <w:color w:val="404040" w:themeColor="text1" w:themeTint="BF"/>
          <w:sz w:val="20"/>
          <w:szCs w:val="20"/>
        </w:rPr>
        <w:t xml:space="preserve"> TL</w:t>
      </w:r>
      <w:r w:rsidR="00E5497C" w:rsidRPr="00FB38E1">
        <w:rPr>
          <w:rFonts w:ascii="Microsoft Sans Serif" w:hAnsi="Microsoft Sans Serif" w:cs="Microsoft Sans Serif"/>
          <w:b w:val="0"/>
          <w:noProof/>
          <w:color w:val="404040" w:themeColor="text1" w:themeTint="BF"/>
          <w:sz w:val="20"/>
          <w:szCs w:val="20"/>
        </w:rPr>
        <w:t xml:space="preserve"> (31 Aralık 202</w:t>
      </w:r>
      <w:r w:rsidR="005C38E7" w:rsidRPr="00FB38E1">
        <w:rPr>
          <w:rFonts w:ascii="Microsoft Sans Serif" w:hAnsi="Microsoft Sans Serif" w:cs="Microsoft Sans Serif"/>
          <w:b w:val="0"/>
          <w:noProof/>
          <w:color w:val="404040" w:themeColor="text1" w:themeTint="BF"/>
          <w:sz w:val="20"/>
          <w:szCs w:val="20"/>
        </w:rPr>
        <w:t>3:</w:t>
      </w:r>
      <w:r w:rsidR="00441E33" w:rsidRPr="00FB38E1">
        <w:rPr>
          <w:rFonts w:ascii="Microsoft Sans Serif" w:hAnsi="Microsoft Sans Serif" w:cs="Microsoft Sans Serif"/>
          <w:b w:val="0"/>
          <w:noProof/>
          <w:color w:val="404040" w:themeColor="text1" w:themeTint="BF"/>
          <w:sz w:val="20"/>
          <w:szCs w:val="20"/>
        </w:rPr>
        <w:t xml:space="preserve"> </w:t>
      </w:r>
      <w:r w:rsidR="005C38E7" w:rsidRPr="00FB38E1">
        <w:rPr>
          <w:rFonts w:ascii="Microsoft Sans Serif" w:hAnsi="Microsoft Sans Serif" w:cs="Microsoft Sans Serif"/>
          <w:b w:val="0"/>
          <w:noProof/>
          <w:color w:val="404040" w:themeColor="text1" w:themeTint="BF"/>
          <w:sz w:val="20"/>
          <w:szCs w:val="20"/>
        </w:rPr>
        <w:t>37.448.393</w:t>
      </w:r>
      <w:r w:rsidR="00A3420D" w:rsidRPr="00FB38E1">
        <w:rPr>
          <w:rFonts w:ascii="Microsoft Sans Serif" w:hAnsi="Microsoft Sans Serif" w:cs="Microsoft Sans Serif"/>
          <w:b w:val="0"/>
          <w:noProof/>
          <w:color w:val="404040" w:themeColor="text1" w:themeTint="BF"/>
          <w:sz w:val="20"/>
          <w:szCs w:val="20"/>
        </w:rPr>
        <w:t xml:space="preserve"> </w:t>
      </w:r>
      <w:r w:rsidR="00E94E81" w:rsidRPr="00FB38E1">
        <w:rPr>
          <w:rFonts w:ascii="Microsoft Sans Serif" w:hAnsi="Microsoft Sans Serif" w:cs="Microsoft Sans Serif"/>
          <w:b w:val="0"/>
          <w:noProof/>
          <w:color w:val="404040" w:themeColor="text1" w:themeTint="BF"/>
          <w:sz w:val="20"/>
          <w:szCs w:val="20"/>
        </w:rPr>
        <w:t>TL)</w:t>
      </w:r>
      <w:r w:rsidRPr="00FB38E1">
        <w:rPr>
          <w:rFonts w:ascii="Microsoft Sans Serif" w:hAnsi="Microsoft Sans Serif" w:cs="Microsoft Sans Serif"/>
          <w:b w:val="0"/>
          <w:noProof/>
          <w:color w:val="404040" w:themeColor="text1" w:themeTint="BF"/>
          <w:sz w:val="20"/>
          <w:szCs w:val="20"/>
        </w:rPr>
        <w:t> tutarındaki kur farkları  “</w:t>
      </w:r>
      <w:r w:rsidR="00607936" w:rsidRPr="00FB38E1">
        <w:rPr>
          <w:rFonts w:ascii="Microsoft Sans Serif" w:hAnsi="Microsoft Sans Serif" w:cs="Microsoft Sans Serif"/>
          <w:b w:val="0"/>
          <w:noProof/>
          <w:color w:val="404040" w:themeColor="text1" w:themeTint="BF"/>
          <w:sz w:val="20"/>
          <w:szCs w:val="20"/>
        </w:rPr>
        <w:t>K</w:t>
      </w:r>
      <w:r w:rsidR="00E6441A" w:rsidRPr="00FB38E1">
        <w:rPr>
          <w:rFonts w:ascii="Microsoft Sans Serif" w:hAnsi="Microsoft Sans Serif" w:cs="Microsoft Sans Serif"/>
          <w:b w:val="0"/>
          <w:noProof/>
          <w:color w:val="404040" w:themeColor="text1" w:themeTint="BF"/>
          <w:sz w:val="20"/>
          <w:szCs w:val="20"/>
        </w:rPr>
        <w:t>a</w:t>
      </w:r>
      <w:r w:rsidR="00607936" w:rsidRPr="00FB38E1">
        <w:rPr>
          <w:rFonts w:ascii="Microsoft Sans Serif" w:hAnsi="Microsoft Sans Serif" w:cs="Microsoft Sans Serif"/>
          <w:b w:val="0"/>
          <w:noProof/>
          <w:color w:val="404040" w:themeColor="text1" w:themeTint="BF"/>
          <w:sz w:val="20"/>
          <w:szCs w:val="20"/>
        </w:rPr>
        <w:t>r veya Zararda Yeniden Sınıflandırılacak Birikmiş Diğer Kapsamlı Gelirler veya Giderler</w:t>
      </w:r>
      <w:r w:rsidRPr="00FB38E1">
        <w:rPr>
          <w:rFonts w:ascii="Microsoft Sans Serif" w:hAnsi="Microsoft Sans Serif" w:cs="Microsoft Sans Serif"/>
          <w:b w:val="0"/>
          <w:noProof/>
          <w:color w:val="404040" w:themeColor="text1" w:themeTint="BF"/>
          <w:sz w:val="20"/>
          <w:szCs w:val="20"/>
        </w:rPr>
        <w:t>” hesabına kaydedilmiştir</w:t>
      </w:r>
      <w:r w:rsidR="001666A9" w:rsidRPr="00FB38E1">
        <w:rPr>
          <w:rFonts w:ascii="Microsoft Sans Serif" w:hAnsi="Microsoft Sans Serif" w:cs="Microsoft Sans Serif"/>
          <w:b w:val="0"/>
          <w:noProof/>
          <w:color w:val="404040" w:themeColor="text1" w:themeTint="BF"/>
          <w:sz w:val="20"/>
          <w:szCs w:val="20"/>
        </w:rPr>
        <w:t>.</w:t>
      </w:r>
    </w:p>
    <w:p w14:paraId="113FD9E0" w14:textId="604B8481" w:rsidR="001666A9" w:rsidRPr="00FB38E1" w:rsidRDefault="00B178EF" w:rsidP="003E01A9">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Banka bağlı ortaklıkları</w:t>
      </w:r>
      <w:r w:rsidR="008D569E" w:rsidRPr="00FB38E1">
        <w:rPr>
          <w:rFonts w:ascii="Microsoft Sans Serif" w:hAnsi="Microsoft Sans Serif" w:cs="Microsoft Sans Serif"/>
          <w:b w:val="0"/>
          <w:noProof/>
          <w:color w:val="404040" w:themeColor="text1" w:themeTint="BF"/>
          <w:sz w:val="20"/>
          <w:szCs w:val="20"/>
        </w:rPr>
        <w:t>ndan olan Denizbank AG</w:t>
      </w:r>
      <w:r w:rsidRPr="00FB38E1">
        <w:rPr>
          <w:rFonts w:ascii="Microsoft Sans Serif" w:hAnsi="Microsoft Sans Serif" w:cs="Microsoft Sans Serif"/>
          <w:b w:val="0"/>
          <w:noProof/>
          <w:color w:val="404040" w:themeColor="text1" w:themeTint="BF"/>
          <w:sz w:val="20"/>
          <w:szCs w:val="20"/>
        </w:rPr>
        <w:t>’</w:t>
      </w:r>
      <w:r w:rsidR="008D569E" w:rsidRPr="00FB38E1">
        <w:rPr>
          <w:rFonts w:ascii="Microsoft Sans Serif" w:hAnsi="Microsoft Sans Serif" w:cs="Microsoft Sans Serif"/>
          <w:b w:val="0"/>
          <w:noProof/>
          <w:color w:val="404040" w:themeColor="text1" w:themeTint="BF"/>
          <w:sz w:val="20"/>
          <w:szCs w:val="20"/>
        </w:rPr>
        <w:t>y</w:t>
      </w:r>
      <w:r w:rsidRPr="00FB38E1">
        <w:rPr>
          <w:rFonts w:ascii="Microsoft Sans Serif" w:hAnsi="Microsoft Sans Serif" w:cs="Microsoft Sans Serif"/>
          <w:b w:val="0"/>
          <w:noProof/>
          <w:color w:val="404040" w:themeColor="text1" w:themeTint="BF"/>
          <w:sz w:val="20"/>
          <w:szCs w:val="20"/>
        </w:rPr>
        <w:t xml:space="preserve">e ait toplam </w:t>
      </w:r>
      <w:r w:rsidR="0022234B" w:rsidRPr="00FB38E1">
        <w:rPr>
          <w:rFonts w:ascii="Microsoft Sans Serif" w:hAnsi="Microsoft Sans Serif" w:cs="Microsoft Sans Serif"/>
          <w:b w:val="0"/>
          <w:noProof/>
          <w:color w:val="404040" w:themeColor="text1" w:themeTint="BF"/>
          <w:sz w:val="20"/>
          <w:szCs w:val="20"/>
        </w:rPr>
        <w:t>1.</w:t>
      </w:r>
      <w:r w:rsidR="00DB61C2" w:rsidRPr="00FB38E1">
        <w:rPr>
          <w:rFonts w:ascii="Microsoft Sans Serif" w:hAnsi="Microsoft Sans Serif" w:cs="Microsoft Sans Serif"/>
          <w:b w:val="0"/>
          <w:noProof/>
          <w:color w:val="404040" w:themeColor="text1" w:themeTint="BF"/>
          <w:sz w:val="20"/>
          <w:szCs w:val="20"/>
        </w:rPr>
        <w:t>180</w:t>
      </w:r>
      <w:r w:rsidRPr="00FB38E1">
        <w:rPr>
          <w:rFonts w:ascii="Microsoft Sans Serif" w:hAnsi="Microsoft Sans Serif" w:cs="Microsoft Sans Serif"/>
          <w:b w:val="0"/>
          <w:noProof/>
          <w:color w:val="404040" w:themeColor="text1" w:themeTint="BF"/>
          <w:sz w:val="20"/>
          <w:szCs w:val="20"/>
        </w:rPr>
        <w:t xml:space="preserve"> milyon Avro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hesabında muhasebeleştirilmiştir</w:t>
      </w:r>
      <w:r w:rsidR="001666A9" w:rsidRPr="00FB38E1">
        <w:rPr>
          <w:rFonts w:ascii="Microsoft Sans Serif" w:hAnsi="Microsoft Sans Serif" w:cs="Microsoft Sans Serif"/>
          <w:b w:val="0"/>
          <w:color w:val="404040" w:themeColor="text1" w:themeTint="BF"/>
          <w:sz w:val="20"/>
          <w:szCs w:val="20"/>
        </w:rPr>
        <w:t>.</w:t>
      </w:r>
    </w:p>
    <w:p w14:paraId="2A6F3C3A" w14:textId="732324BB" w:rsidR="005027C8" w:rsidRPr="00FB38E1" w:rsidRDefault="005027C8" w:rsidP="003E01A9">
      <w:pPr>
        <w:pStyle w:val="BDDKbalk1"/>
        <w:spacing w:line="240" w:lineRule="exact"/>
        <w:ind w:left="0"/>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bCs w:val="0"/>
          <w:color w:val="404040" w:themeColor="text1" w:themeTint="BF"/>
          <w:sz w:val="20"/>
          <w:szCs w:val="20"/>
          <w:lang w:eastAsia="en-US"/>
        </w:rPr>
        <w:br w:type="page"/>
      </w:r>
    </w:p>
    <w:p w14:paraId="59962BD5" w14:textId="04DCECA6" w:rsidR="001666A9" w:rsidRPr="00FB38E1" w:rsidRDefault="00B178EF" w:rsidP="003E01A9">
      <w:pPr>
        <w:pStyle w:val="BDDKbalk1"/>
        <w:numPr>
          <w:ilvl w:val="0"/>
          <w:numId w:val="4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rPr>
        <w:t>İştirak, bağlı ortaklıklar ve birlikte kontrol edilen ortaklıklara ilişkin açıklamalar</w:t>
      </w:r>
    </w:p>
    <w:p w14:paraId="65C0AC30" w14:textId="77777777" w:rsidR="00AC33BE" w:rsidRPr="00FB38E1" w:rsidRDefault="00AC33BE" w:rsidP="003E01A9">
      <w:pPr>
        <w:pStyle w:val="BDDKmetin"/>
        <w:spacing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noProof/>
          <w:color w:val="404040" w:themeColor="text1" w:themeTint="BF"/>
          <w:sz w:val="20"/>
          <w:szCs w:val="20"/>
          <w:lang w:val="tr-TR"/>
        </w:rPr>
        <w:t>Konsolide olmayan finansal tablolarda mali bağlı ortaklıklar TMS 27 Bireysel Finansal Tablolar Tebliğ’indeki değişikliğe istinaden TMS 28 İştiraklerdeki ve İş Ortaklıklarındaki Yatırımlar Tebliği çerçevesinde özkaynak yöntemine göre muhasebeleştirilmektedir.</w:t>
      </w:r>
      <w:r w:rsidRPr="00FB38E1">
        <w:rPr>
          <w:rFonts w:ascii="Microsoft Sans Serif" w:hAnsi="Microsoft Sans Serif" w:cs="Microsoft Sans Serif"/>
          <w:color w:val="404040" w:themeColor="text1" w:themeTint="BF"/>
          <w:sz w:val="20"/>
          <w:szCs w:val="20"/>
        </w:rPr>
        <w:t xml:space="preserve"> </w:t>
      </w:r>
    </w:p>
    <w:p w14:paraId="2B9A97D6" w14:textId="77777777" w:rsidR="00AC33BE" w:rsidRPr="00FB38E1" w:rsidRDefault="00AC33BE" w:rsidP="003E01A9">
      <w:pPr>
        <w:pStyle w:val="BDDKmetin"/>
        <w:spacing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rPr>
        <w:t>Özkaynak yöntemi, bağlı ortaklıktaki sermaye payının defter değerinin, iştirak edilen ortaklığın özkaynaklarında dönem içinde ortaya çıkan değişiklik tutarından, iştirak edene düşen pay kadar artırılıp azaltılmasını ve iştirak edilen ortaklıktan alınan kar paylarının, bağlı ortaklık tutarının bu şekilde değiştirilmiş değerinden düşülmesini öngören muhasebeleştirme yöntemidir</w:t>
      </w:r>
      <w:r w:rsidRPr="00FB38E1">
        <w:rPr>
          <w:rFonts w:ascii="Microsoft Sans Serif" w:hAnsi="Microsoft Sans Serif" w:cs="Microsoft Sans Serif"/>
          <w:color w:val="404040" w:themeColor="text1" w:themeTint="BF"/>
          <w:sz w:val="20"/>
          <w:szCs w:val="20"/>
          <w:lang w:val="tr-TR"/>
        </w:rPr>
        <w:t>.</w:t>
      </w:r>
    </w:p>
    <w:p w14:paraId="5673377E" w14:textId="53C12A72" w:rsidR="00AC33BE" w:rsidRPr="00FB38E1" w:rsidRDefault="00B178EF" w:rsidP="003E01A9">
      <w:pPr>
        <w:pStyle w:val="BDDKmetin"/>
        <w:spacing w:line="220" w:lineRule="exact"/>
        <w:rPr>
          <w:rFonts w:ascii="Microsoft Sans Serif" w:hAnsi="Microsoft Sans Serif" w:cs="Microsoft Sans Serif"/>
          <w:color w:val="404040" w:themeColor="text1" w:themeTint="BF"/>
          <w:sz w:val="20"/>
          <w:szCs w:val="20"/>
          <w:lang w:val="tr-TR" w:eastAsia="en-US"/>
        </w:rPr>
      </w:pPr>
      <w:r w:rsidRPr="00FB38E1">
        <w:rPr>
          <w:rFonts w:ascii="Microsoft Sans Serif" w:hAnsi="Microsoft Sans Serif" w:cs="Microsoft Sans Serif"/>
          <w:noProof/>
          <w:color w:val="404040" w:themeColor="text1" w:themeTint="BF"/>
          <w:sz w:val="20"/>
          <w:szCs w:val="20"/>
          <w:lang w:val="tr-TR"/>
        </w:rPr>
        <w:t xml:space="preserve">Konsolide olmayan finansal tablolarda iştirakler, birlikte kontrol edilen ortaklıklar ve mali olmayan bağlı ortaklıklar TMS 27 standardı </w:t>
      </w:r>
      <w:r w:rsidR="00AC33BE" w:rsidRPr="00FB38E1">
        <w:rPr>
          <w:rFonts w:ascii="Microsoft Sans Serif" w:hAnsi="Microsoft Sans Serif" w:cs="Microsoft Sans Serif"/>
          <w:noProof/>
          <w:color w:val="404040" w:themeColor="text1" w:themeTint="BF"/>
          <w:sz w:val="20"/>
          <w:szCs w:val="20"/>
          <w:lang w:val="tr-TR"/>
        </w:rPr>
        <w:t xml:space="preserve">kapsamında, varsa değer azalış için ayrılan karşılıklar düşüldükten sonra maliyet bedelleri ile </w:t>
      </w:r>
      <w:r w:rsidRPr="00FB38E1">
        <w:rPr>
          <w:rFonts w:ascii="Microsoft Sans Serif" w:hAnsi="Microsoft Sans Serif" w:cs="Microsoft Sans Serif"/>
          <w:noProof/>
          <w:color w:val="404040" w:themeColor="text1" w:themeTint="BF"/>
          <w:sz w:val="20"/>
          <w:szCs w:val="20"/>
          <w:lang w:val="tr-TR"/>
        </w:rPr>
        <w:t>muhasebeleştirilmektedir</w:t>
      </w:r>
      <w:r w:rsidR="001666A9" w:rsidRPr="00FB38E1">
        <w:rPr>
          <w:rFonts w:ascii="Microsoft Sans Serif" w:hAnsi="Microsoft Sans Serif" w:cs="Microsoft Sans Serif"/>
          <w:noProof/>
          <w:color w:val="404040" w:themeColor="text1" w:themeTint="BF"/>
          <w:sz w:val="20"/>
          <w:szCs w:val="20"/>
          <w:lang w:val="tr-TR"/>
        </w:rPr>
        <w:t>.</w:t>
      </w:r>
      <w:r w:rsidR="001666A9" w:rsidRPr="00FB38E1">
        <w:rPr>
          <w:rFonts w:ascii="Microsoft Sans Serif" w:hAnsi="Microsoft Sans Serif" w:cs="Microsoft Sans Serif"/>
          <w:color w:val="404040" w:themeColor="text1" w:themeTint="BF"/>
          <w:sz w:val="20"/>
          <w:szCs w:val="20"/>
        </w:rPr>
        <w:t xml:space="preserve"> </w:t>
      </w:r>
      <w:r w:rsidR="00AC33BE" w:rsidRPr="00FB38E1">
        <w:rPr>
          <w:rFonts w:ascii="Microsoft Sans Serif" w:hAnsi="Microsoft Sans Serif" w:cs="Microsoft Sans Serif"/>
          <w:noProof/>
          <w:color w:val="404040" w:themeColor="text1" w:themeTint="BF"/>
          <w:sz w:val="20"/>
          <w:szCs w:val="20"/>
          <w:lang w:val="tr-TR"/>
        </w:rPr>
        <w:t xml:space="preserve">Bununla birlikte, 1 </w:t>
      </w:r>
      <w:r w:rsidR="00AC33BE" w:rsidRPr="00FB38E1">
        <w:rPr>
          <w:rFonts w:ascii="Microsoft Sans Serif" w:hAnsi="Microsoft Sans Serif" w:cs="Microsoft Sans Serif"/>
          <w:color w:val="404040" w:themeColor="text1" w:themeTint="BF"/>
          <w:sz w:val="20"/>
          <w:szCs w:val="20"/>
          <w:lang w:val="tr-TR" w:eastAsia="en-US"/>
        </w:rPr>
        <w:t xml:space="preserve">Ocak 2018 tarihinden itibaren geçerli olan “TFRS 9 Finansal Araçlar” standardı (“TFRS 9”) uyarınca Banka, konsolide edilmeyen ve mali olmayan bağlı ortaklıklarından </w:t>
      </w:r>
      <w:r w:rsidR="00AE6A13" w:rsidRPr="00FB38E1">
        <w:rPr>
          <w:rFonts w:ascii="Microsoft Sans Serif" w:hAnsi="Microsoft Sans Serif" w:cs="Microsoft Sans Serif"/>
          <w:color w:val="404040" w:themeColor="text1" w:themeTint="BF"/>
          <w:sz w:val="20"/>
          <w:szCs w:val="20"/>
        </w:rPr>
        <w:t>Intertech Bilgi İşlem ve Pazarlama Ticaret A.Ş. (“</w:t>
      </w:r>
      <w:r w:rsidR="00AC33BE" w:rsidRPr="00FB38E1">
        <w:rPr>
          <w:rFonts w:ascii="Microsoft Sans Serif" w:hAnsi="Microsoft Sans Serif" w:cs="Microsoft Sans Serif"/>
          <w:color w:val="404040" w:themeColor="text1" w:themeTint="BF"/>
          <w:sz w:val="20"/>
          <w:szCs w:val="20"/>
          <w:lang w:val="tr-TR" w:eastAsia="en-US"/>
        </w:rPr>
        <w:t>Intertech</w:t>
      </w:r>
      <w:r w:rsidR="00AE6A13" w:rsidRPr="00FB38E1">
        <w:rPr>
          <w:rFonts w:ascii="Microsoft Sans Serif" w:hAnsi="Microsoft Sans Serif" w:cs="Microsoft Sans Serif"/>
          <w:color w:val="404040" w:themeColor="text1" w:themeTint="BF"/>
          <w:sz w:val="20"/>
          <w:szCs w:val="20"/>
          <w:lang w:val="tr-TR" w:eastAsia="en-US"/>
        </w:rPr>
        <w:t>”)</w:t>
      </w:r>
      <w:r w:rsidR="00AC33BE" w:rsidRPr="00FB38E1">
        <w:rPr>
          <w:rFonts w:ascii="Microsoft Sans Serif" w:hAnsi="Microsoft Sans Serif" w:cs="Microsoft Sans Serif"/>
          <w:color w:val="404040" w:themeColor="text1" w:themeTint="BF"/>
          <w:sz w:val="20"/>
          <w:szCs w:val="20"/>
          <w:lang w:val="tr-TR" w:eastAsia="en-US"/>
        </w:rPr>
        <w:t>’</w:t>
      </w:r>
      <w:r w:rsidR="00AE6A13" w:rsidRPr="00FB38E1">
        <w:rPr>
          <w:rFonts w:ascii="Microsoft Sans Serif" w:hAnsi="Microsoft Sans Serif" w:cs="Microsoft Sans Serif"/>
          <w:color w:val="404040" w:themeColor="text1" w:themeTint="BF"/>
          <w:sz w:val="20"/>
          <w:szCs w:val="20"/>
          <w:lang w:val="tr-TR" w:eastAsia="en-US"/>
        </w:rPr>
        <w:t>y</w:t>
      </w:r>
      <w:r w:rsidR="00AC33BE" w:rsidRPr="00FB38E1">
        <w:rPr>
          <w:rFonts w:ascii="Microsoft Sans Serif" w:hAnsi="Microsoft Sans Serif" w:cs="Microsoft Sans Serif"/>
          <w:color w:val="404040" w:themeColor="text1" w:themeTint="BF"/>
          <w:sz w:val="20"/>
          <w:szCs w:val="20"/>
          <w:lang w:val="tr-TR" w:eastAsia="en-US"/>
        </w:rPr>
        <w:t>i gerçeğe uygun değeri ile muhasebeleştirmeye başlamıştır.</w:t>
      </w:r>
    </w:p>
    <w:p w14:paraId="42A1FF35" w14:textId="77777777" w:rsidR="00181CB2" w:rsidRPr="00FB38E1" w:rsidRDefault="00181CB2" w:rsidP="003E01A9">
      <w:pPr>
        <w:pStyle w:val="BDDKbalk1"/>
        <w:numPr>
          <w:ilvl w:val="0"/>
          <w:numId w:val="41"/>
        </w:numPr>
        <w:spacing w:line="240" w:lineRule="exact"/>
        <w:ind w:left="0" w:hanging="851"/>
        <w:rPr>
          <w:rFonts w:ascii="Microsoft Sans Serif" w:hAnsi="Microsoft Sans Serif" w:cs="Microsoft Sans Serif"/>
          <w:sz w:val="20"/>
          <w:szCs w:val="20"/>
        </w:rPr>
      </w:pPr>
      <w:r w:rsidRPr="00FB38E1">
        <w:rPr>
          <w:rFonts w:ascii="Microsoft Sans Serif" w:hAnsi="Microsoft Sans Serif" w:cs="Microsoft Sans Serif"/>
        </w:rPr>
        <w:t>Vadeli işlem ve opsiyon sözleşmeleri ile türev ürünlere ilişkin açıklamalar</w:t>
      </w:r>
    </w:p>
    <w:p w14:paraId="5BC86DA4" w14:textId="77777777" w:rsidR="00181CB2" w:rsidRPr="00FB38E1" w:rsidRDefault="00BC23B3"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Banka’nın türev işlemlerini ağırlıklı olarak yabancı para ve faiz swapları, yabancı para opsiyonları ile vadeli döviz alım-satım sözleşmeleri oluşturmaktadır</w:t>
      </w:r>
      <w:r w:rsidR="00181CB2" w:rsidRPr="00FB38E1">
        <w:rPr>
          <w:rFonts w:ascii="Microsoft Sans Serif" w:hAnsi="Microsoft Sans Serif" w:cs="Microsoft Sans Serif"/>
          <w:noProof/>
          <w:color w:val="404040" w:themeColor="text1" w:themeTint="BF"/>
          <w:sz w:val="20"/>
          <w:szCs w:val="20"/>
          <w:lang w:val="tr-TR"/>
        </w:rPr>
        <w:t>.</w:t>
      </w:r>
    </w:p>
    <w:p w14:paraId="3323212B" w14:textId="5E5CEF95" w:rsidR="00181CB2" w:rsidRPr="00FB38E1" w:rsidRDefault="00920BD2"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TFRS 9</w:t>
      </w:r>
      <w:r w:rsidR="00BC23B3" w:rsidRPr="00FB38E1">
        <w:rPr>
          <w:rFonts w:ascii="Microsoft Sans Serif" w:hAnsi="Microsoft Sans Serif" w:cs="Microsoft Sans Serif"/>
          <w:noProof/>
          <w:color w:val="404040" w:themeColor="text1" w:themeTint="BF"/>
          <w:sz w:val="20"/>
          <w:szCs w:val="20"/>
          <w:lang w:val="tr-TR"/>
        </w:rPr>
        <w:t xml:space="preserve"> hükümleri uyarınca vadeli döviz alım-satım sözleşmeleri, swap, opsiyon ve futures işlemleri “</w:t>
      </w:r>
      <w:r w:rsidRPr="00FB38E1">
        <w:rPr>
          <w:rFonts w:ascii="Microsoft Sans Serif" w:hAnsi="Microsoft Sans Serif" w:cs="Microsoft Sans Serif"/>
          <w:noProof/>
          <w:color w:val="404040" w:themeColor="text1" w:themeTint="BF"/>
          <w:sz w:val="20"/>
          <w:szCs w:val="20"/>
          <w:lang w:val="tr-TR"/>
        </w:rPr>
        <w:t>Gerçeğe Uygun Değer Farkı Kar Zarara Yansıtılan</w:t>
      </w:r>
      <w:r w:rsidR="00BC23B3" w:rsidRPr="00FB38E1">
        <w:rPr>
          <w:rFonts w:ascii="Microsoft Sans Serif" w:hAnsi="Microsoft Sans Serif" w:cs="Microsoft Sans Serif"/>
          <w:noProof/>
          <w:color w:val="404040" w:themeColor="text1" w:themeTint="BF"/>
          <w:sz w:val="20"/>
          <w:szCs w:val="20"/>
          <w:lang w:val="tr-TR"/>
        </w:rPr>
        <w:t>” işlemler olarak sınıflandırılmaktadır. Türev işlemler, sözleşme tarihindeki gerçeğe uygun değerleri ile kayıt altına alınmaktadır. Ayrıca, türev işlemlerden doğan yükümlülük ve alacaklar sözleşme tutarları üzerinden nazım hesaplara kaydedilmektedir</w:t>
      </w:r>
      <w:r w:rsidR="00181CB2" w:rsidRPr="00FB38E1">
        <w:rPr>
          <w:rFonts w:ascii="Microsoft Sans Serif" w:hAnsi="Microsoft Sans Serif" w:cs="Microsoft Sans Serif"/>
          <w:noProof/>
          <w:color w:val="404040" w:themeColor="text1" w:themeTint="BF"/>
          <w:sz w:val="20"/>
          <w:szCs w:val="20"/>
          <w:lang w:val="tr-TR"/>
        </w:rPr>
        <w:t>.</w:t>
      </w:r>
    </w:p>
    <w:p w14:paraId="65BC3A5F" w14:textId="4B691917" w:rsidR="00181CB2" w:rsidRPr="00FB38E1" w:rsidRDefault="00BC23B3"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 xml:space="preserve">Türev işlemler kayda alınmalarını izleyen dönemlerde rayiç değer ile değerlenmekte ve rayiç değerin pozitif veya negatif olmasına göre </w:t>
      </w:r>
      <w:r w:rsidR="00920BD2" w:rsidRPr="00FB38E1">
        <w:rPr>
          <w:rFonts w:ascii="Microsoft Sans Serif" w:hAnsi="Microsoft Sans Serif" w:cs="Microsoft Sans Serif"/>
          <w:b w:val="0"/>
          <w:noProof/>
          <w:color w:val="404040" w:themeColor="text1" w:themeTint="BF"/>
          <w:sz w:val="20"/>
          <w:szCs w:val="20"/>
        </w:rPr>
        <w:t xml:space="preserve">konsolide </w:t>
      </w:r>
      <w:r w:rsidR="00484B1A" w:rsidRPr="00FB38E1">
        <w:rPr>
          <w:rFonts w:ascii="Microsoft Sans Serif" w:hAnsi="Microsoft Sans Serif" w:cs="Microsoft Sans Serif"/>
          <w:b w:val="0"/>
          <w:noProof/>
          <w:color w:val="404040" w:themeColor="text1" w:themeTint="BF"/>
          <w:sz w:val="20"/>
          <w:szCs w:val="20"/>
        </w:rPr>
        <w:t xml:space="preserve">olmayan </w:t>
      </w:r>
      <w:r w:rsidR="00920BD2" w:rsidRPr="00FB38E1">
        <w:rPr>
          <w:rFonts w:ascii="Microsoft Sans Serif" w:hAnsi="Microsoft Sans Serif" w:cs="Microsoft Sans Serif"/>
          <w:b w:val="0"/>
          <w:noProof/>
          <w:color w:val="404040" w:themeColor="text1" w:themeTint="BF"/>
          <w:sz w:val="20"/>
          <w:szCs w:val="20"/>
        </w:rPr>
        <w:t xml:space="preserve">bilançonun aktif veya pasif hesaplarında </w:t>
      </w:r>
      <w:r w:rsidRPr="00FB38E1">
        <w:rPr>
          <w:rFonts w:ascii="Microsoft Sans Serif" w:hAnsi="Microsoft Sans Serif" w:cs="Microsoft Sans Serif"/>
          <w:b w:val="0"/>
          <w:noProof/>
          <w:color w:val="404040" w:themeColor="text1" w:themeTint="BF"/>
          <w:sz w:val="20"/>
          <w:szCs w:val="20"/>
        </w:rPr>
        <w:t>“</w:t>
      </w:r>
      <w:r w:rsidR="00920BD2" w:rsidRPr="00FB38E1">
        <w:rPr>
          <w:rFonts w:ascii="Microsoft Sans Serif" w:hAnsi="Microsoft Sans Serif" w:cs="Microsoft Sans Serif"/>
          <w:b w:val="0"/>
          <w:noProof/>
          <w:color w:val="404040" w:themeColor="text1" w:themeTint="BF"/>
          <w:sz w:val="20"/>
          <w:szCs w:val="20"/>
        </w:rPr>
        <w:t>Türev Finansal Varlıkların Gerçeğe Uygun Değer Farkı Kar Zarara Yansıtılan Kısmı”</w:t>
      </w:r>
      <w:r w:rsidRPr="00FB38E1">
        <w:rPr>
          <w:rFonts w:ascii="Microsoft Sans Serif" w:hAnsi="Microsoft Sans Serif" w:cs="Microsoft Sans Serif"/>
          <w:b w:val="0"/>
          <w:noProof/>
          <w:color w:val="404040" w:themeColor="text1" w:themeTint="BF"/>
          <w:sz w:val="20"/>
          <w:szCs w:val="20"/>
        </w:rPr>
        <w:t xml:space="preserve"> </w:t>
      </w:r>
      <w:r w:rsidR="00920BD2" w:rsidRPr="00FB38E1">
        <w:rPr>
          <w:rFonts w:ascii="Microsoft Sans Serif" w:hAnsi="Microsoft Sans Serif" w:cs="Microsoft Sans Serif"/>
          <w:b w:val="0"/>
          <w:noProof/>
          <w:color w:val="404040" w:themeColor="text1" w:themeTint="BF"/>
          <w:sz w:val="20"/>
          <w:szCs w:val="20"/>
        </w:rPr>
        <w:t>satırlarında</w:t>
      </w:r>
      <w:r w:rsidRPr="00FB38E1">
        <w:rPr>
          <w:rFonts w:ascii="Microsoft Sans Serif" w:hAnsi="Microsoft Sans Serif" w:cs="Microsoft Sans Serif"/>
          <w:b w:val="0"/>
          <w:noProof/>
          <w:color w:val="404040" w:themeColor="text1" w:themeTint="BF"/>
          <w:sz w:val="20"/>
          <w:szCs w:val="20"/>
        </w:rPr>
        <w:t xml:space="preserve"> gösterilmektedir. Yapılan değerleme sonucu </w:t>
      </w:r>
      <w:r w:rsidR="00920BD2" w:rsidRPr="00FB38E1">
        <w:rPr>
          <w:rFonts w:ascii="Microsoft Sans Serif" w:hAnsi="Microsoft Sans Serif" w:cs="Microsoft Sans Serif"/>
          <w:b w:val="0"/>
          <w:noProof/>
          <w:color w:val="404040" w:themeColor="text1" w:themeTint="BF"/>
          <w:sz w:val="20"/>
          <w:szCs w:val="20"/>
        </w:rPr>
        <w:t>gerçeğe uygun</w:t>
      </w:r>
      <w:r w:rsidRPr="00FB38E1">
        <w:rPr>
          <w:rFonts w:ascii="Microsoft Sans Serif" w:hAnsi="Microsoft Sans Serif" w:cs="Microsoft Sans Serif"/>
          <w:b w:val="0"/>
          <w:noProof/>
          <w:color w:val="404040" w:themeColor="text1" w:themeTint="BF"/>
          <w:sz w:val="20"/>
          <w:szCs w:val="20"/>
        </w:rPr>
        <w:t xml:space="preserve"> değerde meydana gelen farklar gelir tablosuna yansıtılmaktadır.</w:t>
      </w:r>
      <w:r w:rsidR="00920BD2" w:rsidRPr="00FB38E1">
        <w:rPr>
          <w:rFonts w:ascii="Microsoft Sans Serif" w:hAnsi="Microsoft Sans Serif" w:cs="Microsoft Sans Serif"/>
          <w:b w:val="0"/>
          <w:noProof/>
          <w:color w:val="404040" w:themeColor="text1" w:themeTint="BF"/>
          <w:sz w:val="20"/>
          <w:szCs w:val="20"/>
        </w:rPr>
        <w:t xml:space="preserve"> </w:t>
      </w:r>
      <w:r w:rsidRPr="00FB38E1">
        <w:rPr>
          <w:rFonts w:ascii="Microsoft Sans Serif" w:hAnsi="Microsoft Sans Serif" w:cs="Microsoft Sans Serif"/>
          <w:b w:val="0"/>
          <w:noProof/>
          <w:color w:val="404040" w:themeColor="text1" w:themeTint="BF"/>
          <w:sz w:val="20"/>
          <w:szCs w:val="20"/>
        </w:rPr>
        <w:t>Türev araçların gerçeğe uygun değeri, piyasada oluşan rayiç değerleri dikkate alınarak veya indirgenmiş nakit akım modelinin kullanılması suretiyle hesaplanmaktadır</w:t>
      </w:r>
      <w:r w:rsidR="00181CB2" w:rsidRPr="00FB38E1">
        <w:rPr>
          <w:rFonts w:ascii="Microsoft Sans Serif" w:hAnsi="Microsoft Sans Serif" w:cs="Microsoft Sans Serif"/>
          <w:b w:val="0"/>
          <w:noProof/>
          <w:color w:val="404040" w:themeColor="text1" w:themeTint="BF"/>
          <w:sz w:val="20"/>
          <w:szCs w:val="20"/>
        </w:rPr>
        <w:t>.</w:t>
      </w:r>
    </w:p>
    <w:p w14:paraId="011840DB" w14:textId="77777777" w:rsidR="00181CB2" w:rsidRPr="00FB38E1" w:rsidRDefault="00181CB2" w:rsidP="003E01A9">
      <w:pPr>
        <w:pStyle w:val="BDDKbalk1"/>
        <w:numPr>
          <w:ilvl w:val="0"/>
          <w:numId w:val="41"/>
        </w:numPr>
        <w:spacing w:line="240" w:lineRule="exact"/>
        <w:ind w:left="0" w:hanging="851"/>
        <w:rPr>
          <w:rFonts w:ascii="Microsoft Sans Serif" w:hAnsi="Microsoft Sans Serif" w:cs="Microsoft Sans Serif"/>
          <w:sz w:val="20"/>
          <w:szCs w:val="20"/>
        </w:rPr>
      </w:pPr>
      <w:r w:rsidRPr="00FB38E1">
        <w:rPr>
          <w:rFonts w:ascii="Microsoft Sans Serif" w:hAnsi="Microsoft Sans Serif" w:cs="Microsoft Sans Serif"/>
        </w:rPr>
        <w:t>Faiz gelir ve giderlerine ilişkin açıklamalar</w:t>
      </w:r>
    </w:p>
    <w:p w14:paraId="6A5ABB67" w14:textId="4EC73D6B" w:rsidR="00804C10" w:rsidRPr="00FB38E1" w:rsidRDefault="00804C10"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 xml:space="preserve">Faiz gelir ve giderleri etkin faiz yöntemi uygulanarak muhasebeleştirilmektedir. Banka, </w:t>
      </w:r>
      <w:r w:rsidR="004301F2" w:rsidRPr="00FB38E1">
        <w:rPr>
          <w:rFonts w:ascii="Microsoft Sans Serif" w:hAnsi="Microsoft Sans Serif" w:cs="Microsoft Sans Serif"/>
          <w:b w:val="0"/>
          <w:noProof/>
          <w:color w:val="404040" w:themeColor="text1" w:themeTint="BF"/>
          <w:sz w:val="20"/>
          <w:szCs w:val="20"/>
        </w:rPr>
        <w:t>donuk alacak bakiyelerinin takip hesaplarına intikal ettiği ana kadar olan tahakkuk ve reeskontları Tek Düzen Hesap Planı (“THP”)’na uygun olarak kredi tahakkuk/reeskont hesaplarında takip edilmektedir. Krediler donuk alacak olarak sınıflandıktan sonra reeskont hesaplaması yapılmamaktadır</w:t>
      </w:r>
      <w:r w:rsidR="00090BE0" w:rsidRPr="00FB38E1">
        <w:rPr>
          <w:rFonts w:ascii="Microsoft Sans Serif" w:hAnsi="Microsoft Sans Serif" w:cs="Microsoft Sans Serif"/>
          <w:b w:val="0"/>
          <w:noProof/>
          <w:color w:val="404040" w:themeColor="text1" w:themeTint="BF"/>
          <w:sz w:val="20"/>
          <w:szCs w:val="20"/>
        </w:rPr>
        <w:t>.</w:t>
      </w:r>
    </w:p>
    <w:p w14:paraId="40ADEFC9" w14:textId="77777777" w:rsidR="00181CB2" w:rsidRPr="00FB38E1" w:rsidRDefault="00181CB2" w:rsidP="003E01A9">
      <w:pPr>
        <w:pStyle w:val="BDDKbalk1"/>
        <w:numPr>
          <w:ilvl w:val="0"/>
          <w:numId w:val="31"/>
        </w:numPr>
        <w:spacing w:line="240" w:lineRule="exact"/>
        <w:ind w:left="0" w:hanging="851"/>
        <w:rPr>
          <w:rFonts w:ascii="Microsoft Sans Serif" w:hAnsi="Microsoft Sans Serif" w:cs="Microsoft Sans Serif"/>
          <w:b w:val="0"/>
          <w:bCs w:val="0"/>
          <w:color w:val="404040" w:themeColor="text1" w:themeTint="BF"/>
          <w:sz w:val="20"/>
          <w:szCs w:val="20"/>
          <w:lang w:eastAsia="en-US"/>
        </w:rPr>
      </w:pPr>
      <w:r w:rsidRPr="00FB38E1">
        <w:rPr>
          <w:rFonts w:ascii="Microsoft Sans Serif" w:hAnsi="Microsoft Sans Serif" w:cs="Microsoft Sans Serif"/>
          <w:color w:val="000000" w:themeColor="text1"/>
        </w:rPr>
        <w:t>Ücret ve komisyon gelir ve giderlerine ilişkin açıklamalar</w:t>
      </w:r>
    </w:p>
    <w:p w14:paraId="5C409642" w14:textId="1C69E083" w:rsidR="00804C10" w:rsidRPr="00FB38E1" w:rsidRDefault="00804C10"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Tahsil edildikleri dönemde gelir kaydedilen bazı bankacılık işlemleriyle ilgili ücret gelirleri haricindeki ücret ve komisyon gelirleri ve giderleri ücret ve komisyon niteliğine göre tahakkuk esasına veya etkin faiz yöntemi ve TFRS 15 “Müşteri Sözleşmelerinden Hasılat Standardı”na göre muhasebeleştirilmektedir. Sözleşmeler yoluyla sağlanan ya da üçüncü bir gerçek veya tüzel kişi için varlık alımı veya satımı gibi işlemlere ilişkin hizmetler yoluyla sağlanan gelirler tahsil edildiği tarihlerde gelir olarak kaydedilmektedir.</w:t>
      </w:r>
    </w:p>
    <w:p w14:paraId="05EA7C65" w14:textId="4D2C0728" w:rsidR="000E7273" w:rsidRPr="00FB38E1" w:rsidRDefault="000E7273" w:rsidP="003E01A9">
      <w:pPr>
        <w:pStyle w:val="BDDKbalk1"/>
        <w:spacing w:line="240" w:lineRule="exact"/>
        <w:ind w:left="0"/>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bCs w:val="0"/>
          <w:color w:val="404040" w:themeColor="text1" w:themeTint="BF"/>
          <w:sz w:val="20"/>
          <w:szCs w:val="20"/>
          <w:lang w:eastAsia="en-US"/>
        </w:rPr>
        <w:br w:type="page"/>
      </w:r>
    </w:p>
    <w:p w14:paraId="5EB5CC05" w14:textId="48692CDA" w:rsidR="00181CB2" w:rsidRPr="00FB38E1" w:rsidRDefault="00181CB2" w:rsidP="003E01A9">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rPr>
        <w:t>Finansal varlıklara ilişkin açıklamalar</w:t>
      </w:r>
    </w:p>
    <w:p w14:paraId="5F7FA5B6" w14:textId="681C74E1" w:rsidR="00E6441A" w:rsidRPr="00FB38E1" w:rsidRDefault="00E6441A" w:rsidP="003E01A9">
      <w:pPr>
        <w:pStyle w:val="BDDKbalk1"/>
        <w:spacing w:before="120" w:after="0" w:line="220" w:lineRule="exact"/>
        <w:ind w:left="0" w:firstLine="1"/>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w:t>
      </w:r>
    </w:p>
    <w:p w14:paraId="1086BDC2" w14:textId="11CA060D" w:rsidR="00E6441A" w:rsidRPr="00FB38E1" w:rsidRDefault="00E6441A" w:rsidP="003E01A9">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faizler için herhangi bir düzeltme yapılmamaktadır.</w:t>
      </w:r>
    </w:p>
    <w:p w14:paraId="3FA6975B" w14:textId="28784EC9" w:rsidR="00181CB2" w:rsidRPr="00FB38E1" w:rsidRDefault="00181CB2" w:rsidP="003E01A9">
      <w:pPr>
        <w:pStyle w:val="BDDKbalk1"/>
        <w:keepNext/>
        <w:numPr>
          <w:ilvl w:val="0"/>
          <w:numId w:val="9"/>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FB38E1">
        <w:rPr>
          <w:rFonts w:ascii="Microsoft Sans Serif" w:hAnsi="Microsoft Sans Serif" w:cs="Microsoft Sans Serif"/>
          <w:sz w:val="20"/>
          <w:szCs w:val="20"/>
        </w:rPr>
        <w:t>Gerçeğe uygun değer farkı k</w:t>
      </w:r>
      <w:r w:rsidR="00E6441A" w:rsidRPr="00FB38E1">
        <w:rPr>
          <w:rFonts w:ascii="Microsoft Sans Serif" w:hAnsi="Microsoft Sans Serif" w:cs="Microsoft Sans Serif"/>
          <w:sz w:val="20"/>
          <w:szCs w:val="20"/>
        </w:rPr>
        <w:t>a</w:t>
      </w:r>
      <w:r w:rsidRPr="00FB38E1">
        <w:rPr>
          <w:rFonts w:ascii="Microsoft Sans Serif" w:hAnsi="Microsoft Sans Serif" w:cs="Microsoft Sans Serif"/>
          <w:sz w:val="20"/>
          <w:szCs w:val="20"/>
        </w:rPr>
        <w:t>r/zarara yansıtılan finansal varlıklar</w:t>
      </w:r>
    </w:p>
    <w:p w14:paraId="6CF3602B" w14:textId="37AB2BE8" w:rsidR="00E6441A" w:rsidRPr="00FB38E1" w:rsidRDefault="00E6441A" w:rsidP="003E01A9">
      <w:pPr>
        <w:pStyle w:val="BDDKmetin"/>
        <w:spacing w:line="220" w:lineRule="exact"/>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t>Gerçeğe uygun değer farkı kar/zarara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faiz ödemelerini içeren nakit akışlarına yol açmaması durumunda; piyasada kısa dönemde oluşan fiyat ve benzeri unsurlardaki dalgalanmalardan kar sağlamak amacıyla elde edilen, veya elde edilme nedeninden bağımsız olarak, kısa dönemde kar sağlamaya yönelik bir portföyün parçası olan finansal varlıklardır. Gerçeğe uygun değer farkı kar/zarara yansıtılan finansal varlıklar, gerçeğe uygun değerleri ile kayda alınmakta ve kayda alınmalarını takiben de gerçeğe uygun değerleri ile değerlemeye tabi tutulmaktadır. Yapılan değerleme sonucu oluşan kazanç ve kayıplar kar/zarar hesaplarına dahil edilmektedir.</w:t>
      </w:r>
    </w:p>
    <w:p w14:paraId="21D8B311" w14:textId="1D04B790" w:rsidR="00181CB2" w:rsidRPr="00FB38E1" w:rsidRDefault="00F23460" w:rsidP="003E01A9">
      <w:pPr>
        <w:pStyle w:val="BDDKbalk1"/>
        <w:numPr>
          <w:ilvl w:val="0"/>
          <w:numId w:val="9"/>
        </w:numPr>
        <w:spacing w:line="240" w:lineRule="exact"/>
        <w:ind w:left="0" w:hanging="567"/>
        <w:rPr>
          <w:rFonts w:ascii="Microsoft Sans Serif" w:hAnsi="Microsoft Sans Serif" w:cs="Microsoft Sans Serif"/>
          <w:b w:val="0"/>
          <w:bCs w:val="0"/>
          <w:color w:val="404040" w:themeColor="text1" w:themeTint="BF"/>
          <w:sz w:val="20"/>
          <w:szCs w:val="20"/>
          <w:lang w:eastAsia="en-US"/>
        </w:rPr>
      </w:pPr>
      <w:r w:rsidRPr="00FB38E1">
        <w:rPr>
          <w:rFonts w:ascii="Microsoft Sans Serif" w:hAnsi="Microsoft Sans Serif" w:cs="Microsoft Sans Serif"/>
          <w:sz w:val="20"/>
          <w:szCs w:val="20"/>
        </w:rPr>
        <w:t>Gerçeğe uygun değer farkı diğer kapsamlı gelire yansıtılan finansal varlık</w:t>
      </w:r>
      <w:r w:rsidR="00181CB2" w:rsidRPr="00FB38E1">
        <w:rPr>
          <w:rFonts w:ascii="Microsoft Sans Serif" w:hAnsi="Microsoft Sans Serif" w:cs="Microsoft Sans Serif"/>
          <w:sz w:val="20"/>
          <w:szCs w:val="20"/>
        </w:rPr>
        <w:t>lar</w:t>
      </w:r>
    </w:p>
    <w:p w14:paraId="235AC692" w14:textId="5EF96D64" w:rsidR="00E6441A" w:rsidRPr="00FB38E1"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faiz ödemelerini içeren nakit akışlarına yol açması durumlarında finansal varlık, gerçeğe uygun değer farkı diğer kapsamlı gelire yansıtılan olarak sınıflandırılmaktadır.</w:t>
      </w:r>
    </w:p>
    <w:p w14:paraId="7B553912" w14:textId="02629AEB" w:rsidR="00E6441A" w:rsidRPr="00FB38E1"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faiz yöntemi ile hesaplanan faiz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w:t>
      </w:r>
      <w:r w:rsidR="002534B6" w:rsidRPr="00FB38E1">
        <w:rPr>
          <w:rFonts w:ascii="Microsoft Sans Serif" w:hAnsi="Microsoft Sans Serif" w:cs="Microsoft Sans Serif"/>
          <w:color w:val="404040" w:themeColor="text1" w:themeTint="BF"/>
          <w:sz w:val="20"/>
          <w:szCs w:val="20"/>
        </w:rPr>
        <w:t>,</w:t>
      </w:r>
      <w:r w:rsidRPr="00FB38E1">
        <w:rPr>
          <w:rFonts w:ascii="Microsoft Sans Serif" w:hAnsi="Microsoft Sans Serif" w:cs="Microsoft Sans Serif"/>
          <w:color w:val="404040" w:themeColor="text1" w:themeTint="BF"/>
          <w:sz w:val="20"/>
          <w:szCs w:val="20"/>
        </w:rPr>
        <w:t xml:space="preserve"> ilgili finansal varlığa karşılık gelen değerin tahsili, varlığın satılması, elden çıkarılması veya zafiyete uğraması durumlarından birinin gerçekleşmesine kadar dönemin gelir tablosuna yansıtılmamakta ve özkaynaklar altındaki “Kar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46E50426" w14:textId="6505F3F5" w:rsidR="00E6441A" w:rsidRPr="00FB38E1"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w:t>
      </w:r>
    </w:p>
    <w:p w14:paraId="62AEB36A" w14:textId="15F64BDF" w:rsidR="00E6441A" w:rsidRPr="00FB38E1" w:rsidRDefault="00E6441A" w:rsidP="003E01A9">
      <w:pPr>
        <w:pStyle w:val="BodyTextIndent"/>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İlk defa finansal tablolara almada işletme, ticari amaçla elde tutulmayan bir özkaynak aracına yapılan yatırımın gerçeğe uygun değerindeki sonraki değişikliklerin diğer kapsamlı gelirde sunulması konusunda, geri dönülemeyecek bir tercihte bulunulabilir. Bu</w:t>
      </w:r>
      <w:r w:rsidR="002534B6" w:rsidRPr="00FB38E1">
        <w:rPr>
          <w:rFonts w:ascii="Microsoft Sans Serif" w:hAnsi="Microsoft Sans Serif" w:cs="Microsoft Sans Serif"/>
          <w:color w:val="404040" w:themeColor="text1" w:themeTint="BF"/>
          <w:sz w:val="20"/>
          <w:szCs w:val="20"/>
        </w:rPr>
        <w:t xml:space="preserve"> tercihin yapılması durumunda, söz konusu yatırımdan elde edilen temettüler, kar veya zarar olarak finansal tablolara alınır.</w:t>
      </w:r>
      <w:r w:rsidR="004E0843" w:rsidRPr="00FB38E1">
        <w:rPr>
          <w:rFonts w:ascii="Microsoft Sans Serif" w:hAnsi="Microsoft Sans Serif" w:cs="Microsoft Sans Serif"/>
          <w:color w:val="404040" w:themeColor="text1" w:themeTint="BF"/>
          <w:sz w:val="20"/>
          <w:szCs w:val="20"/>
        </w:rPr>
        <w:t xml:space="preserve"> Özkaynak aracına yapılacak olan yatırımın elden çıkart</w:t>
      </w:r>
      <w:r w:rsidR="00933F60" w:rsidRPr="00FB38E1">
        <w:rPr>
          <w:rFonts w:ascii="Microsoft Sans Serif" w:hAnsi="Microsoft Sans Serif" w:cs="Microsoft Sans Serif"/>
          <w:color w:val="404040" w:themeColor="text1" w:themeTint="BF"/>
          <w:sz w:val="20"/>
          <w:szCs w:val="20"/>
        </w:rPr>
        <w:t>ılması du</w:t>
      </w:r>
      <w:r w:rsidR="004E0843" w:rsidRPr="00FB38E1">
        <w:rPr>
          <w:rFonts w:ascii="Microsoft Sans Serif" w:hAnsi="Microsoft Sans Serif" w:cs="Microsoft Sans Serif"/>
          <w:color w:val="404040" w:themeColor="text1" w:themeTint="BF"/>
          <w:sz w:val="20"/>
          <w:szCs w:val="20"/>
        </w:rPr>
        <w:t xml:space="preserve">rumunda oluşacak kar veya zarar </w:t>
      </w:r>
      <w:r w:rsidR="00933F60" w:rsidRPr="00FB38E1">
        <w:rPr>
          <w:rFonts w:ascii="Microsoft Sans Serif" w:hAnsi="Microsoft Sans Serif" w:cs="Microsoft Sans Serif"/>
          <w:color w:val="404040" w:themeColor="text1" w:themeTint="BF"/>
          <w:sz w:val="20"/>
          <w:szCs w:val="20"/>
        </w:rPr>
        <w:t xml:space="preserve">diğer kapsamlı gelir </w:t>
      </w:r>
      <w:r w:rsidR="004E0843" w:rsidRPr="00FB38E1">
        <w:rPr>
          <w:rFonts w:ascii="Microsoft Sans Serif" w:hAnsi="Microsoft Sans Serif" w:cs="Microsoft Sans Serif"/>
          <w:color w:val="404040" w:themeColor="text1" w:themeTint="BF"/>
          <w:sz w:val="20"/>
          <w:szCs w:val="20"/>
        </w:rPr>
        <w:t>altında muhasebeleşecektir.</w:t>
      </w:r>
    </w:p>
    <w:p w14:paraId="487FF50C" w14:textId="0484EBE6" w:rsidR="00393EBE" w:rsidRPr="00FB38E1" w:rsidRDefault="00F23460" w:rsidP="003E01A9">
      <w:pPr>
        <w:pStyle w:val="BDDKbalk1"/>
        <w:numPr>
          <w:ilvl w:val="0"/>
          <w:numId w:val="9"/>
        </w:numPr>
        <w:spacing w:line="240" w:lineRule="exact"/>
        <w:ind w:left="0" w:hanging="567"/>
        <w:rPr>
          <w:rFonts w:ascii="Microsoft Sans Serif" w:hAnsi="Microsoft Sans Serif" w:cs="Microsoft Sans Serif"/>
          <w:sz w:val="20"/>
          <w:szCs w:val="20"/>
        </w:rPr>
      </w:pPr>
      <w:r w:rsidRPr="00FB38E1">
        <w:rPr>
          <w:rFonts w:ascii="Microsoft Sans Serif" w:hAnsi="Microsoft Sans Serif" w:cs="Microsoft Sans Serif"/>
          <w:sz w:val="20"/>
          <w:szCs w:val="20"/>
        </w:rPr>
        <w:t>İtfa edilmiş maliyeti ile ölçülen finansal varlıklar</w:t>
      </w:r>
    </w:p>
    <w:p w14:paraId="146A0D51" w14:textId="6398B502" w:rsidR="002534B6" w:rsidRPr="00FB38E1" w:rsidRDefault="002534B6"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FB38E1">
        <w:rPr>
          <w:rFonts w:ascii="Microsoft Sans Serif" w:eastAsia="Calibri" w:hAnsi="Microsoft Sans Serif" w:cs="Microsoft Sans Serif"/>
          <w:color w:val="404040" w:themeColor="text1" w:themeTint="BF"/>
          <w:sz w:val="20"/>
          <w:szCs w:val="20"/>
          <w:lang w:val="tr-TR" w:eastAsia="en-US"/>
        </w:rPr>
        <w:t>Finansal varlığın, sözleşmeye bağlı nakit akışlarının tahsil edilmesini amaçlayan bir iş modeli kapsamında elde tutulması ve finansal varlığa ilişkin sözleşme şartlarının, belirli tarihlerde sadece anapara ve anapara bakiyesinden kaynaklanan faiz ödemelerini içeren nakit akışlarına yol açması durumunda finansal varlık itfa edilmiş maliyeti ile ölçülen finansal varlık olarak sınıflandırılmaktadır.</w:t>
      </w:r>
    </w:p>
    <w:p w14:paraId="1B01F8AA" w14:textId="6D03303A" w:rsidR="002534B6" w:rsidRPr="00FB38E1" w:rsidRDefault="002534B6"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FB38E1">
        <w:rPr>
          <w:rFonts w:ascii="Microsoft Sans Serif" w:eastAsia="Calibri" w:hAnsi="Microsoft Sans Serif" w:cs="Microsoft Sans Serif"/>
          <w:color w:val="404040" w:themeColor="text1" w:themeTint="BF"/>
          <w:sz w:val="20"/>
          <w:szCs w:val="20"/>
          <w:lang w:val="tr-TR" w:eastAsia="en-US"/>
        </w:rPr>
        <w:t>İtfa edilmiş maliyeti ile ölçülen finansal varlıklar ilk olarak gerçeğe uygun değerlerini yansıtan elde etme maliyet bedellerine işlem maliyetlerinin eklenmesi ile kayda alınmakta ve kayda alınmalarını takiben “Etkin faiz (iç verim) oranı yöntemi” kullanılarak “İtfa edilmiş maliyeti” ile ölçülmektedir. İtfa edilmiş maliyeti ile ölçülen finansal varlıklar ile ilgili faiz gelirleri gelir tablosuna yansıtılmaktadır.</w:t>
      </w:r>
    </w:p>
    <w:p w14:paraId="14D9A747" w14:textId="2D8C360F" w:rsidR="00E0602B" w:rsidRPr="00FB38E1" w:rsidRDefault="007C3455" w:rsidP="003E01A9">
      <w:pPr>
        <w:pStyle w:val="BDDKmetin"/>
        <w:spacing w:line="220" w:lineRule="exact"/>
        <w:rPr>
          <w:rFonts w:ascii="Microsoft Sans Serif" w:eastAsia="Calibri" w:hAnsi="Microsoft Sans Serif" w:cs="Microsoft Sans Serif"/>
          <w:color w:val="404040" w:themeColor="text1" w:themeTint="BF"/>
          <w:sz w:val="20"/>
          <w:szCs w:val="20"/>
          <w:lang w:val="tr-TR" w:eastAsia="en-US"/>
        </w:rPr>
      </w:pPr>
      <w:r w:rsidRPr="00FB38E1">
        <w:rPr>
          <w:rFonts w:ascii="Microsoft Sans Serif" w:eastAsia="Calibri" w:hAnsi="Microsoft Sans Serif" w:cs="Microsoft Sans Serif"/>
          <w:color w:val="404040" w:themeColor="text1" w:themeTint="BF"/>
          <w:sz w:val="20"/>
          <w:szCs w:val="20"/>
          <w:lang w:val="tr-TR" w:eastAsia="en-US"/>
        </w:rPr>
        <w:t>Banka’nın gerçeğe uygun değer farkı diğer kapsamlı gelire yansıtılan finansal varlıklar ve itfa edilmiş maliyeti üzerinden değerlenen finansal varlıklar portföylerinde 6 aylık reel kupon oranları vade boyunca sabit kalan, 5-10 yıl vadeli ve TÜFE’ye endeksli devlet tahvilleri bulunmaktadır. Hazine Müsteşarlığı’nın TÜFE’ye Endeksli Tahviller Yatırımcı Kılavuzu’nda belirtildiği üzere, bu kıymetlerin fiili kupon ödeme tutarlarının hesaplamasında kullanılan referans endeksler iki ay öncesinin TÜFE’sine göre oluşturulmaktadır.</w:t>
      </w:r>
    </w:p>
    <w:p w14:paraId="12936DFF" w14:textId="60A5EE5B" w:rsidR="00393EBE" w:rsidRPr="00FB38E1" w:rsidRDefault="00AD5870" w:rsidP="003E01A9">
      <w:pPr>
        <w:pStyle w:val="BDDKbalk1"/>
        <w:numPr>
          <w:ilvl w:val="0"/>
          <w:numId w:val="31"/>
        </w:numPr>
        <w:spacing w:line="220" w:lineRule="exact"/>
        <w:ind w:left="0" w:hanging="851"/>
        <w:rPr>
          <w:rFonts w:ascii="Microsoft Sans Serif" w:hAnsi="Microsoft Sans Serif" w:cs="Microsoft Sans Serif"/>
          <w:noProof/>
          <w:color w:val="404040" w:themeColor="text1" w:themeTint="BF"/>
          <w:sz w:val="20"/>
          <w:szCs w:val="20"/>
        </w:rPr>
      </w:pPr>
      <w:bookmarkStart w:id="16" w:name="_Hlk133411020"/>
      <w:r w:rsidRPr="00FB38E1">
        <w:rPr>
          <w:rFonts w:ascii="Microsoft Sans Serif" w:hAnsi="Microsoft Sans Serif" w:cs="Microsoft Sans Serif"/>
        </w:rPr>
        <w:t xml:space="preserve">Beklenen kredi zararlarına </w:t>
      </w:r>
      <w:r w:rsidR="00393EBE" w:rsidRPr="00FB38E1">
        <w:rPr>
          <w:rFonts w:ascii="Microsoft Sans Serif" w:hAnsi="Microsoft Sans Serif" w:cs="Microsoft Sans Serif"/>
        </w:rPr>
        <w:t>ilişkin açıklamalar</w:t>
      </w:r>
    </w:p>
    <w:p w14:paraId="6083A4F2" w14:textId="77777777" w:rsidR="00AC1B08" w:rsidRPr="00FB38E1"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FB38E1">
        <w:rPr>
          <w:rFonts w:ascii="Microsoft Sans Serif" w:hAnsi="Microsoft Sans Serif" w:cs="Microsoft Sans Serif"/>
          <w:b w:val="0"/>
          <w:bCs w:val="0"/>
          <w:noProof/>
          <w:color w:val="404040" w:themeColor="text1" w:themeTint="BF"/>
          <w:sz w:val="20"/>
          <w:szCs w:val="20"/>
        </w:rPr>
        <w:t>1 Ocak 2018 tarihinden itibaren, TFRS 9 ‘Finansal Araçlar’ ve 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tüm finansal varlıklar ve krediler, ayrıca gerçeğe uygun değer değişimi kâr veya zarara yansıtılmayan kredi taahhütleri ve gayri nakdi kredileri için beklenen kredi zarar karşılığı ayrılmaktadır.</w:t>
      </w:r>
    </w:p>
    <w:p w14:paraId="355BAF35" w14:textId="65C8335B" w:rsidR="00AC1B08" w:rsidRPr="00FB38E1"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FB38E1">
        <w:rPr>
          <w:rFonts w:ascii="Microsoft Sans Serif" w:hAnsi="Microsoft Sans Serif" w:cs="Microsoft Sans Serif"/>
          <w:b w:val="0"/>
          <w:bCs w:val="0"/>
          <w:noProof/>
          <w:color w:val="404040" w:themeColor="text1" w:themeTint="BF"/>
          <w:sz w:val="20"/>
          <w:szCs w:val="20"/>
        </w:rPr>
        <w:t>Ayrılan beklenen kredi zarar karşılığı, mümkün sonuçlar dikkate alınarak belirlenen olasılıklara göre ağırlıklandırılmış ve tarafsız bir tutar olarak paranın zaman değerini, geçmiş olayları, mevcut şartları ve gelecekteki ekonomik şartlara ilişkin tahminler hakkında raporlama tarihi itibarıyla aşırı maliyet veya çabaya katlanılmadan elde edilebilen makul ve desteklenebilir bilgiyi yansıtmaktadır.</w:t>
      </w:r>
    </w:p>
    <w:p w14:paraId="195D4F2F" w14:textId="77777777" w:rsidR="00AC1B08" w:rsidRPr="00FB38E1" w:rsidRDefault="00AC1B08" w:rsidP="003E01A9">
      <w:pPr>
        <w:pStyle w:val="BDDKbalk1"/>
        <w:spacing w:before="120" w:after="0" w:line="220" w:lineRule="exact"/>
        <w:ind w:left="0"/>
        <w:rPr>
          <w:rFonts w:ascii="Microsoft Sans Serif" w:hAnsi="Microsoft Sans Serif" w:cs="Microsoft Sans Serif"/>
          <w:b w:val="0"/>
          <w:bCs w:val="0"/>
          <w:noProof/>
          <w:color w:val="404040" w:themeColor="text1" w:themeTint="BF"/>
          <w:sz w:val="20"/>
          <w:szCs w:val="20"/>
        </w:rPr>
      </w:pPr>
      <w:r w:rsidRPr="00FB38E1">
        <w:rPr>
          <w:rFonts w:ascii="Microsoft Sans Serif" w:hAnsi="Microsoft Sans Serif" w:cs="Microsoft Sans Serif"/>
          <w:b w:val="0"/>
          <w:bCs w:val="0"/>
          <w:noProof/>
          <w:color w:val="404040" w:themeColor="text1" w:themeTint="BF"/>
          <w:sz w:val="20"/>
          <w:szCs w:val="20"/>
        </w:rPr>
        <w:t xml:space="preserve">TFRS 9’a göre, değer düşüklüğü değerlendirilmesi gereken her finansal aracın ilk defa finansal tablolara alınmasından sonra her raporlama tarihinde kredi riskinde önemli derecede bir artış olup olmadığına bakılır. </w:t>
      </w:r>
    </w:p>
    <w:p w14:paraId="670AD65F" w14:textId="77777777"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Beklenen kredi zarar karşılığı hesaplaması, finansal aracın temerrüde düşmesi halinde oluşturacağı zararı tahmin etmek için yapılmaktadır.</w:t>
      </w:r>
    </w:p>
    <w:p w14:paraId="25CEFA0B" w14:textId="77777777"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İlk defa muhasebeleştirmeden itibaren kredi kalitesindeki bozulmaya bağlı olarak finansal araçlar aşağıdaki aşamalardan birine tahsis edilir:</w:t>
      </w:r>
    </w:p>
    <w:p w14:paraId="105B3152" w14:textId="77777777" w:rsidR="00E603B7" w:rsidRPr="00FB38E1" w:rsidRDefault="00E603B7" w:rsidP="003E01A9">
      <w:pPr>
        <w:pStyle w:val="BDDKmetin"/>
        <w:spacing w:line="220" w:lineRule="exact"/>
        <w:ind w:left="284" w:firstLine="3"/>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b/>
          <w:i/>
          <w:noProof/>
          <w:color w:val="404040" w:themeColor="text1" w:themeTint="BF"/>
          <w:sz w:val="20"/>
          <w:szCs w:val="20"/>
          <w:lang w:val="tr-TR"/>
        </w:rPr>
        <w:t>Aşama 1</w:t>
      </w:r>
      <w:r w:rsidRPr="00FB38E1">
        <w:rPr>
          <w:rFonts w:ascii="Microsoft Sans Serif" w:hAnsi="Microsoft Sans Serif" w:cs="Microsoft Sans Serif"/>
          <w:noProof/>
          <w:color w:val="404040" w:themeColor="text1" w:themeTint="BF"/>
          <w:sz w:val="20"/>
          <w:szCs w:val="20"/>
          <w:lang w:val="tr-TR"/>
        </w:rPr>
        <w:t xml:space="preserve">: 12 aylık beklenen kredi zarar karşılığının hesaplandığı, kredi riskinde önemli derecede bir artış tespit edilmeyen finansal araçlar; </w:t>
      </w:r>
    </w:p>
    <w:p w14:paraId="157FC88B" w14:textId="12B480AC" w:rsidR="00E603B7" w:rsidRPr="00FB38E1"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b/>
          <w:i/>
          <w:noProof/>
          <w:color w:val="404040" w:themeColor="text1" w:themeTint="BF"/>
          <w:sz w:val="20"/>
          <w:szCs w:val="20"/>
          <w:lang w:val="tr-TR"/>
        </w:rPr>
        <w:t>Aşama 2:</w:t>
      </w:r>
      <w:r w:rsidRPr="00FB38E1">
        <w:rPr>
          <w:rFonts w:ascii="Microsoft Sans Serif" w:hAnsi="Microsoft Sans Serif" w:cs="Microsoft Sans Serif"/>
          <w:noProof/>
          <w:color w:val="404040" w:themeColor="text1" w:themeTint="BF"/>
          <w:sz w:val="20"/>
          <w:szCs w:val="20"/>
          <w:lang w:val="tr-TR"/>
        </w:rPr>
        <w:t xml:space="preserve"> </w:t>
      </w:r>
      <w:r w:rsidR="009547C0" w:rsidRPr="00FB38E1">
        <w:rPr>
          <w:rFonts w:ascii="Microsoft Sans Serif" w:hAnsi="Microsoft Sans Serif" w:cs="Microsoft Sans Serif"/>
          <w:noProof/>
          <w:color w:val="404040" w:themeColor="text1" w:themeTint="BF"/>
          <w:sz w:val="20"/>
          <w:szCs w:val="20"/>
          <w:lang w:val="tr-TR"/>
        </w:rPr>
        <w:t>K</w:t>
      </w:r>
      <w:r w:rsidRPr="00FB38E1">
        <w:rPr>
          <w:rFonts w:ascii="Microsoft Sans Serif" w:hAnsi="Microsoft Sans Serif" w:cs="Microsoft Sans Serif"/>
          <w:noProof/>
          <w:color w:val="404040" w:themeColor="text1" w:themeTint="BF"/>
          <w:sz w:val="20"/>
          <w:szCs w:val="20"/>
          <w:lang w:val="tr-TR"/>
        </w:rPr>
        <w:t xml:space="preserve">redi riskinde önemli derecede bir artış olan ve beklenen kredi zarar karşılığının tüm ömür boyu için hesaplandığı finansal araçlar; </w:t>
      </w:r>
    </w:p>
    <w:p w14:paraId="623D4759" w14:textId="441AFA85" w:rsidR="00E603B7" w:rsidRPr="00FB38E1"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b/>
          <w:i/>
          <w:noProof/>
          <w:color w:val="404040" w:themeColor="text1" w:themeTint="BF"/>
          <w:sz w:val="20"/>
          <w:szCs w:val="20"/>
          <w:lang w:val="tr-TR"/>
        </w:rPr>
        <w:t>Aşama 3:</w:t>
      </w:r>
      <w:r w:rsidR="009547C0" w:rsidRPr="00FB38E1">
        <w:rPr>
          <w:rFonts w:ascii="Microsoft Sans Serif" w:hAnsi="Microsoft Sans Serif" w:cs="Microsoft Sans Serif"/>
          <w:noProof/>
          <w:color w:val="404040" w:themeColor="text1" w:themeTint="BF"/>
          <w:sz w:val="20"/>
          <w:szCs w:val="20"/>
          <w:lang w:val="tr-TR"/>
        </w:rPr>
        <w:t xml:space="preserve"> D</w:t>
      </w:r>
      <w:r w:rsidRPr="00FB38E1">
        <w:rPr>
          <w:rFonts w:ascii="Microsoft Sans Serif" w:hAnsi="Microsoft Sans Serif" w:cs="Microsoft Sans Serif"/>
          <w:noProof/>
          <w:color w:val="404040" w:themeColor="text1" w:themeTint="BF"/>
          <w:sz w:val="20"/>
          <w:szCs w:val="20"/>
          <w:lang w:val="tr-TR"/>
        </w:rPr>
        <w:t>eğer düşüklüğüne uğramış, donuk (temerrüt halinde olan) alacaklar.</w:t>
      </w:r>
    </w:p>
    <w:p w14:paraId="7077A9D6" w14:textId="77777777" w:rsidR="00E05B7A" w:rsidRPr="00FB38E1" w:rsidRDefault="00E05B7A" w:rsidP="003E01A9">
      <w:pPr>
        <w:pStyle w:val="BDDKmetin"/>
        <w:spacing w:after="120" w:line="220" w:lineRule="exact"/>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noProof/>
          <w:color w:val="404040" w:themeColor="text1" w:themeTint="BF"/>
          <w:sz w:val="20"/>
          <w:szCs w:val="20"/>
          <w:lang w:val="tr-TR"/>
        </w:rPr>
        <w:br w:type="page"/>
      </w:r>
    </w:p>
    <w:p w14:paraId="0DCE4857" w14:textId="77AE3016" w:rsidR="005D0179" w:rsidRPr="00FB38E1" w:rsidRDefault="005D0179" w:rsidP="003E01A9">
      <w:pPr>
        <w:pStyle w:val="BDDKmetin"/>
        <w:spacing w:after="120" w:line="220" w:lineRule="exact"/>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noProof/>
          <w:color w:val="404040" w:themeColor="text1" w:themeTint="BF"/>
          <w:sz w:val="20"/>
          <w:szCs w:val="20"/>
          <w:lang w:val="tr-TR"/>
        </w:rPr>
        <w:t>Kredi riskinde önemli artış</w:t>
      </w:r>
    </w:p>
    <w:p w14:paraId="3DB9DEDD" w14:textId="77777777" w:rsidR="005D0179" w:rsidRPr="00FB38E1"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Kredi riskinde önemli artışın belirlenmesinde nitel ve nicel değerlendirmeler yapılmaktadır.</w:t>
      </w:r>
    </w:p>
    <w:p w14:paraId="1EA7930A" w14:textId="77777777" w:rsidR="005D0179" w:rsidRPr="00FB38E1" w:rsidRDefault="005D0179" w:rsidP="003E01A9">
      <w:pPr>
        <w:pStyle w:val="BDDKmetin"/>
        <w:spacing w:line="220" w:lineRule="exact"/>
        <w:rPr>
          <w:rFonts w:ascii="Microsoft Sans Serif" w:hAnsi="Microsoft Sans Serif" w:cs="Microsoft Sans Serif"/>
          <w:i/>
          <w:noProof/>
          <w:color w:val="404040" w:themeColor="text1" w:themeTint="BF"/>
          <w:sz w:val="20"/>
          <w:szCs w:val="20"/>
          <w:lang w:val="tr-TR"/>
        </w:rPr>
      </w:pPr>
      <w:r w:rsidRPr="00FB38E1">
        <w:rPr>
          <w:rFonts w:ascii="Microsoft Sans Serif" w:hAnsi="Microsoft Sans Serif" w:cs="Microsoft Sans Serif"/>
          <w:i/>
          <w:noProof/>
          <w:color w:val="404040" w:themeColor="text1" w:themeTint="BF"/>
          <w:sz w:val="20"/>
          <w:szCs w:val="20"/>
          <w:lang w:val="tr-TR"/>
        </w:rPr>
        <w:t>Niteliksel değerlendirme:</w:t>
      </w:r>
    </w:p>
    <w:p w14:paraId="1DC09671" w14:textId="58D421A9" w:rsidR="005D0179" w:rsidRPr="00FB38E1"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Niteliksel değerlendirme sonucunda aşağıdaki koşullardan herhangi birinin sağlandığı durumda ilgili finansal varlık Aşama 2 (kredi riskinde önemli artış) olarak sınıflandırılır.</w:t>
      </w:r>
    </w:p>
    <w:p w14:paraId="00581C2F" w14:textId="77777777" w:rsidR="005D0179" w:rsidRPr="00FB38E1"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Raporlama tarihi itibarıyla,</w:t>
      </w:r>
    </w:p>
    <w:p w14:paraId="4F3DF437" w14:textId="4CC25A5A" w:rsidR="005D0179" w:rsidRPr="00FB38E1"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Ömür boyu beklenen kredi zararları, gecikmesi 30 güne ulaşan müşteriler için hesap bazında uygulanır. Banka bu tahmini ancak ve ancak müşterinin geri ödemesiyle ilgili pozitif yönde, makul ve desteklenebilir bilgiye sahip oldukça yürürlüğe koymaz.</w:t>
      </w:r>
    </w:p>
    <w:p w14:paraId="16CEC437" w14:textId="1CFC6C42" w:rsidR="005D0179" w:rsidRPr="00FB38E1"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Bir kredinin yeniden yapılandırılması durumunda, yapılandırma tarihinden itibaren ilgili yönetmeliklerde belirtilen izleme süresi boyunca Aşama 2’de izlenir. İzleme süresi sonunda, kredide önemli derecede bir bozulma oluşmazsa, işlem Aşama 1’e geri taşınabilir.</w:t>
      </w:r>
    </w:p>
    <w:p w14:paraId="154A38DE" w14:textId="10164F1D" w:rsidR="005D0179" w:rsidRPr="00FB38E1" w:rsidRDefault="005D0179" w:rsidP="00D1663E">
      <w:pPr>
        <w:pStyle w:val="BDDKmetin"/>
        <w:numPr>
          <w:ilvl w:val="0"/>
          <w:numId w:val="50"/>
        </w:numPr>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Tazmin olan gayrinakdi krediler önemli derecede risk artışı olarak değerlendirilir.</w:t>
      </w:r>
    </w:p>
    <w:p w14:paraId="5B7449AE" w14:textId="23A92A16" w:rsidR="005D0179" w:rsidRPr="00FB38E1" w:rsidRDefault="005D0179" w:rsidP="003E01A9">
      <w:pPr>
        <w:pStyle w:val="BDDKmetin"/>
        <w:spacing w:line="220" w:lineRule="exact"/>
        <w:rPr>
          <w:rFonts w:ascii="Microsoft Sans Serif" w:hAnsi="Microsoft Sans Serif" w:cs="Microsoft Sans Serif"/>
          <w:i/>
          <w:noProof/>
          <w:color w:val="404040" w:themeColor="text1" w:themeTint="BF"/>
          <w:sz w:val="20"/>
          <w:szCs w:val="20"/>
          <w:lang w:val="tr-TR"/>
        </w:rPr>
      </w:pPr>
      <w:r w:rsidRPr="00FB38E1">
        <w:rPr>
          <w:rFonts w:ascii="Microsoft Sans Serif" w:hAnsi="Microsoft Sans Serif" w:cs="Microsoft Sans Serif"/>
          <w:i/>
          <w:noProof/>
          <w:color w:val="404040" w:themeColor="text1" w:themeTint="BF"/>
          <w:sz w:val="20"/>
          <w:szCs w:val="20"/>
          <w:lang w:val="tr-TR"/>
        </w:rPr>
        <w:t>Niceliksel değerlendirme:</w:t>
      </w:r>
    </w:p>
    <w:p w14:paraId="173B786C" w14:textId="2E68235A" w:rsidR="005D0179" w:rsidRPr="00FB38E1" w:rsidRDefault="005D0179"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Kredi riskinde önemli artış niceliksel olarak kredinin açılış anında hesaplanmış temerrüt olasılığı ile aynı krediye raporlama tarihindeki temerrüt olasılığının kıyaslanmasına dayanmaktadır.</w:t>
      </w:r>
    </w:p>
    <w:p w14:paraId="31E21A44" w14:textId="17BF33DA"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Aşama 1’de yer alan finansal araçlar, finansal tablolara ilk alındıkları anda veya finansal tablolara ilk alındıkları andan sonra kredi riskinde önemli derecede bir artış olmayan finansal araçlardır. Bu araçlar için kredi riski değer düşüklüğü karşılığı raporlama tarihinden itibaren 12 aylık temerrüt riski üzerinden beklenen kredi zarar karşılığı kadar hesaplanmaktadır.</w:t>
      </w:r>
    </w:p>
    <w:p w14:paraId="51DB67C5" w14:textId="760EA91A" w:rsidR="00623889" w:rsidRPr="00FB38E1" w:rsidRDefault="00B901ED"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Finansal tablolara ilk alındıkları andan sonra kredi riskinde önemli derece artış gözlemlenen ve bunun sonucunda Aşama 2’de yer alan finansal araçlar için kredi riski değer düşüklüğü karşılığı raporlama tarihinden itibaren kalan ömürleri boyunca temerrüt riski üzerinden beklenen kredi zarar karşılığı kadar hesaplanmaktadır.</w:t>
      </w:r>
    </w:p>
    <w:p w14:paraId="5A3C231C" w14:textId="6A539514"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Aşama 3’te yer alan finansal araçlar ise, temerrütleri gerçekleşmiş, dolayısı ile değer düşüklüğüne uğramış olarak dikkate alınmaktadırlar. Bu tür finansal araçlar için de ömür boyu beklenen kredi zararına göre karşılık hesaplanmaktadır.</w:t>
      </w:r>
    </w:p>
    <w:p w14:paraId="6DF6AF73" w14:textId="77777777" w:rsidR="0038199B" w:rsidRPr="00FB38E1" w:rsidRDefault="0038199B"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“Finansal Yeniden Yapılandırma Çerçeve Anlaşması” kapsamına dahil olan müşterilere ait krediler, gecikme gün sayı kriteri dikkate alınmadan değerlendirilerek sınıflanmaktadır.</w:t>
      </w:r>
    </w:p>
    <w:p w14:paraId="501BC555" w14:textId="31DADBF4"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Beklenen kredi zarar karşılığı toplu (kolektif) veya münferit (bireysel) olarak hesaplanmaktadır.</w:t>
      </w:r>
    </w:p>
    <w:p w14:paraId="546E37C0" w14:textId="77777777"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Toplu olarak hesaplanan beklenen kredi zarar karşılıkları için ortak kredi riski özelliklerini taşıyan finansal araçlar gruplanır.</w:t>
      </w:r>
    </w:p>
    <w:p w14:paraId="235DB3D8" w14:textId="6050564E"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Banka’da kredi risklerinin ortak özeliklerine göre gruplandırılması ‘risk segmentlerine’ göre yapılmıştır. Kredi risklerinin risk segmentlerine göre ayrılmasına ilişkin standartlar, standart içsel derecelendirmeye dayalı yaklaşım (“İDD”) kapsamında kredi riski bazındaki sermaye yeterliliğinin değerlendirilmesine yönelik Basel II tavsiyelerine uygun olarak hazırlanmıştır. Kredi risklerinin risk segmentlerine göre sınıflandırılmasının amacı ilgili risk segmenti için kredi riskinin analiz edilmesi ve değerlendirilmesine ilişkin yaklaşımın belirlenmesidir.</w:t>
      </w:r>
    </w:p>
    <w:p w14:paraId="5CC918F1" w14:textId="050BEA59"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Kredi riskinin sınıflandırılması aşağıda belirtildiği şekilde yapılmaktadır:</w:t>
      </w:r>
    </w:p>
    <w:p w14:paraId="29CECD96" w14:textId="00A0240E" w:rsidR="00E603B7" w:rsidRPr="00FB38E1"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D5717D" w:rsidRPr="00FB38E1">
        <w:rPr>
          <w:rFonts w:ascii="Microsoft Sans Serif" w:hAnsi="Microsoft Sans Serif" w:cs="Microsoft Sans Serif"/>
          <w:noProof/>
          <w:color w:val="404040" w:themeColor="text1" w:themeTint="BF"/>
          <w:sz w:val="20"/>
          <w:szCs w:val="20"/>
          <w:lang w:val="tr-TR"/>
        </w:rPr>
        <w:t xml:space="preserve">Perakende olmayan krediler için segment sınıflandırması, karşı tarafın tüm riskleri ve karşı tarafın talep ettiği kredi ürünlerine dayalı olarak karşı taraf seviyesinde yapılır ve karşı tarafın tek bir risk segmentinde sınınıflandırılması sağlanır; </w:t>
      </w:r>
    </w:p>
    <w:p w14:paraId="7DB1CCE1" w14:textId="0B79B45D" w:rsidR="00E603B7" w:rsidRPr="00FB38E1" w:rsidRDefault="00E603B7" w:rsidP="003E01A9">
      <w:pPr>
        <w:pStyle w:val="BDDKmetin"/>
        <w:spacing w:line="220" w:lineRule="exact"/>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t>Perakende krediler için segment sınıflandırması hem ürün seviyesinde, hem de karşı taraf özelliklerine göre yapılır. Bu, karşı tarafın Kredi risklerinin farklı risk segmentlerine sınıflandırılabileceği anlamına gelmektedir.</w:t>
      </w:r>
    </w:p>
    <w:p w14:paraId="229CB60B" w14:textId="77777777" w:rsidR="00804F82" w:rsidRPr="00FB38E1" w:rsidRDefault="00804F82"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br w:type="page"/>
      </w:r>
    </w:p>
    <w:p w14:paraId="290DC854" w14:textId="1B9E4A7F"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Beklenen kredi zarar karşılığı hesaplaması için risk segmenti bazında yapılan esas gruplamalar aşağıdaki gibidir:</w:t>
      </w:r>
    </w:p>
    <w:p w14:paraId="10CB0A45" w14:textId="3529FD0C" w:rsidR="00E603B7" w:rsidRPr="00FB38E1" w:rsidRDefault="00E603B7" w:rsidP="003E01A9">
      <w:pPr>
        <w:pStyle w:val="BDDKmetin"/>
        <w:spacing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ab/>
        <w:t>Kurumsal/Ticari krediler</w:t>
      </w:r>
    </w:p>
    <w:p w14:paraId="5855C50B" w14:textId="26DD8F5A"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OBİ kredileri</w:t>
      </w:r>
    </w:p>
    <w:p w14:paraId="6D7517E0" w14:textId="1CD128F1"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KBİ krediler</w:t>
      </w:r>
      <w:r w:rsidR="00B117CE" w:rsidRPr="00FB38E1">
        <w:rPr>
          <w:rFonts w:ascii="Microsoft Sans Serif" w:hAnsi="Microsoft Sans Serif" w:cs="Microsoft Sans Serif"/>
          <w:noProof/>
          <w:color w:val="404040" w:themeColor="text1" w:themeTint="BF"/>
          <w:sz w:val="20"/>
          <w:szCs w:val="20"/>
          <w:lang w:val="tr-TR"/>
        </w:rPr>
        <w:t>i</w:t>
      </w:r>
    </w:p>
    <w:p w14:paraId="4021E742" w14:textId="1F1C76B3"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Tarım kredileri</w:t>
      </w:r>
    </w:p>
    <w:p w14:paraId="6FB1A49E" w14:textId="22028001"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İhtiyaç kredileri</w:t>
      </w:r>
    </w:p>
    <w:p w14:paraId="0D0532D8" w14:textId="54F56B12"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ab/>
        <w:t>Konut kredileri</w:t>
      </w:r>
    </w:p>
    <w:p w14:paraId="1B7C3C3F" w14:textId="66198108"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Taşıt kredileri</w:t>
      </w:r>
    </w:p>
    <w:p w14:paraId="08200413" w14:textId="7B77F488"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KMH</w:t>
      </w:r>
    </w:p>
    <w:p w14:paraId="4F48EF72" w14:textId="43ED0370"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Kredi kartları</w:t>
      </w:r>
    </w:p>
    <w:p w14:paraId="3C16B823" w14:textId="76A9A73E"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Yerel yönetimlere verilen krediler</w:t>
      </w:r>
    </w:p>
    <w:p w14:paraId="4EA2FABE" w14:textId="6581E145"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Proje finansmanı kredileri</w:t>
      </w:r>
    </w:p>
    <w:p w14:paraId="5D7A37AB" w14:textId="42ABF5B3"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Merkezi yönetimler</w:t>
      </w:r>
    </w:p>
    <w:p w14:paraId="58DF79F3" w14:textId="7229A4A8" w:rsidR="00E603B7" w:rsidRPr="00FB38E1" w:rsidRDefault="00E603B7" w:rsidP="003E01A9">
      <w:pPr>
        <w:pStyle w:val="BDDKmetin"/>
        <w:spacing w:before="0" w:line="240" w:lineRule="auto"/>
        <w:ind w:left="284"/>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ab/>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Bankalar</w:t>
      </w:r>
    </w:p>
    <w:p w14:paraId="5AE56233" w14:textId="256326FF"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Toplu olarak hesaplanan beklenen kredi zarar karşılıkları Temerrüt Tutarı (TT), Temerrüt Olasılığı (TO), Temerrüt Halinde Kayıp (THK), kredinin etkin faiz oranı gibi bileşenler kullanılarak hesaplanmaktadır.</w:t>
      </w:r>
    </w:p>
    <w:p w14:paraId="672AAE29" w14:textId="34F7AD03" w:rsidR="00E603B7" w:rsidRPr="00FB38E1" w:rsidRDefault="00E603B7" w:rsidP="003E01A9">
      <w:pPr>
        <w:pStyle w:val="BDDKbalk1"/>
        <w:spacing w:line="240" w:lineRule="exact"/>
        <w:ind w:left="0"/>
        <w:rPr>
          <w:rFonts w:ascii="Microsoft Sans Serif" w:hAnsi="Microsoft Sans Serif" w:cs="Microsoft Sans Serif"/>
          <w:b w:val="0"/>
          <w:sz w:val="20"/>
          <w:szCs w:val="20"/>
        </w:rPr>
      </w:pPr>
      <w:r w:rsidRPr="00FB38E1">
        <w:rPr>
          <w:rFonts w:ascii="Microsoft Sans Serif" w:hAnsi="Microsoft Sans Serif" w:cs="Microsoft Sans Serif"/>
          <w:sz w:val="20"/>
          <w:szCs w:val="20"/>
        </w:rPr>
        <w:t xml:space="preserve">Temerrüt </w:t>
      </w:r>
      <w:r w:rsidR="00B117CE" w:rsidRPr="00FB38E1">
        <w:rPr>
          <w:rFonts w:ascii="Microsoft Sans Serif" w:hAnsi="Microsoft Sans Serif" w:cs="Microsoft Sans Serif"/>
          <w:sz w:val="20"/>
          <w:szCs w:val="20"/>
        </w:rPr>
        <w:t>t</w:t>
      </w:r>
      <w:r w:rsidRPr="00FB38E1">
        <w:rPr>
          <w:rFonts w:ascii="Microsoft Sans Serif" w:hAnsi="Microsoft Sans Serif" w:cs="Microsoft Sans Serif"/>
          <w:sz w:val="20"/>
          <w:szCs w:val="20"/>
        </w:rPr>
        <w:t xml:space="preserve">utarı </w:t>
      </w:r>
    </w:p>
    <w:p w14:paraId="6B6848E3" w14:textId="77777777"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Temerrüt tutarı, temerrüt anında beklenen ekonomik alacak tutarıdır.</w:t>
      </w:r>
    </w:p>
    <w:p w14:paraId="2AAE6B66" w14:textId="55286C97" w:rsidR="006A09D9" w:rsidRPr="00FB38E1" w:rsidRDefault="00E603B7" w:rsidP="003E01A9">
      <w:pPr>
        <w:pStyle w:val="BDDKmetin"/>
        <w:spacing w:line="220" w:lineRule="exact"/>
        <w:rPr>
          <w:rFonts w:ascii="Microsoft Sans Serif" w:hAnsi="Microsoft Sans Serif" w:cs="Microsoft Sans Serif"/>
          <w:sz w:val="20"/>
          <w:szCs w:val="20"/>
        </w:rPr>
      </w:pPr>
      <w:r w:rsidRPr="00FB38E1">
        <w:rPr>
          <w:rFonts w:ascii="Microsoft Sans Serif" w:hAnsi="Microsoft Sans Serif" w:cs="Microsoft Sans Serif"/>
          <w:noProof/>
          <w:color w:val="404040" w:themeColor="text1" w:themeTint="BF"/>
          <w:sz w:val="20"/>
          <w:szCs w:val="20"/>
          <w:lang w:val="tr-TR"/>
        </w:rPr>
        <w:t>Beklenen kredi zarar karşılığının hesaplanması için, her bir kredinin TT değeri, beklenen anapara ve faiz geri ödemelerinin gelecekteki tarihlerden kredinin etkin faiz oranı kullanılarak raporlama tarihine indirgenmesi ile bulunmaktadır. TT değerine ayrıca kredi dönüşüm oranı da uygulanmaktadır.</w:t>
      </w:r>
    </w:p>
    <w:p w14:paraId="169049B1" w14:textId="4235F2BF" w:rsidR="00E603B7" w:rsidRPr="00FB38E1" w:rsidRDefault="00E603B7" w:rsidP="003E01A9">
      <w:pPr>
        <w:pStyle w:val="BDDKbalk1"/>
        <w:spacing w:line="240" w:lineRule="exact"/>
        <w:ind w:left="0"/>
        <w:rPr>
          <w:rFonts w:ascii="Microsoft Sans Serif" w:hAnsi="Microsoft Sans Serif" w:cs="Microsoft Sans Serif"/>
          <w:b w:val="0"/>
          <w:sz w:val="20"/>
          <w:szCs w:val="20"/>
        </w:rPr>
      </w:pPr>
      <w:r w:rsidRPr="00FB38E1">
        <w:rPr>
          <w:rFonts w:ascii="Microsoft Sans Serif" w:hAnsi="Microsoft Sans Serif" w:cs="Microsoft Sans Serif"/>
          <w:sz w:val="20"/>
          <w:szCs w:val="20"/>
        </w:rPr>
        <w:t xml:space="preserve">Temerrüt </w:t>
      </w:r>
      <w:r w:rsidR="00B117CE" w:rsidRPr="00FB38E1">
        <w:rPr>
          <w:rFonts w:ascii="Microsoft Sans Serif" w:hAnsi="Microsoft Sans Serif" w:cs="Microsoft Sans Serif"/>
          <w:sz w:val="20"/>
          <w:szCs w:val="20"/>
        </w:rPr>
        <w:t>o</w:t>
      </w:r>
      <w:r w:rsidRPr="00FB38E1">
        <w:rPr>
          <w:rFonts w:ascii="Microsoft Sans Serif" w:hAnsi="Microsoft Sans Serif" w:cs="Microsoft Sans Serif"/>
          <w:sz w:val="20"/>
          <w:szCs w:val="20"/>
        </w:rPr>
        <w:t>lasılığı</w:t>
      </w:r>
    </w:p>
    <w:p w14:paraId="3867B87C" w14:textId="77777777"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Temerrüt olasılığı, belirli bir zaman diliminde borçlunun temerrüde düşme olasılığını ifade etmektedir.</w:t>
      </w:r>
    </w:p>
    <w:p w14:paraId="7E1D34D3" w14:textId="7AD38970"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TFRS 9 taleplerine uygun olarak </w:t>
      </w:r>
      <w:r w:rsidR="00B117CE" w:rsidRPr="00FB38E1">
        <w:rPr>
          <w:rFonts w:ascii="Microsoft Sans Serif" w:hAnsi="Microsoft Sans Serif" w:cs="Microsoft Sans Serif"/>
          <w:noProof/>
          <w:color w:val="404040" w:themeColor="text1" w:themeTint="BF"/>
          <w:sz w:val="20"/>
          <w:szCs w:val="20"/>
          <w:lang w:val="tr-TR"/>
        </w:rPr>
        <w:t xml:space="preserve">iki </w:t>
      </w:r>
      <w:r w:rsidRPr="00FB38E1">
        <w:rPr>
          <w:rFonts w:ascii="Microsoft Sans Serif" w:hAnsi="Microsoft Sans Serif" w:cs="Microsoft Sans Serif"/>
          <w:noProof/>
          <w:color w:val="404040" w:themeColor="text1" w:themeTint="BF"/>
          <w:sz w:val="20"/>
          <w:szCs w:val="20"/>
          <w:lang w:val="tr-TR"/>
        </w:rPr>
        <w:t>tür TO değeri hesaplanmaktadır:</w:t>
      </w:r>
    </w:p>
    <w:p w14:paraId="4180834E" w14:textId="4ED65E3A" w:rsidR="00E603B7" w:rsidRPr="00FB38E1" w:rsidRDefault="00E603B7" w:rsidP="003E01A9">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12 aylık TO: </w:t>
      </w:r>
      <w:r w:rsidR="00B77BBA" w:rsidRPr="00FB38E1">
        <w:rPr>
          <w:rFonts w:ascii="Microsoft Sans Serif" w:hAnsi="Microsoft Sans Serif" w:cs="Microsoft Sans Serif"/>
          <w:noProof/>
          <w:color w:val="404040" w:themeColor="text1" w:themeTint="BF"/>
          <w:sz w:val="20"/>
          <w:szCs w:val="20"/>
          <w:lang w:val="tr-TR"/>
        </w:rPr>
        <w:t>F</w:t>
      </w:r>
      <w:r w:rsidRPr="00FB38E1">
        <w:rPr>
          <w:rFonts w:ascii="Microsoft Sans Serif" w:hAnsi="Microsoft Sans Serif" w:cs="Microsoft Sans Serif"/>
          <w:noProof/>
          <w:color w:val="404040" w:themeColor="text1" w:themeTint="BF"/>
          <w:sz w:val="20"/>
          <w:szCs w:val="20"/>
          <w:lang w:val="tr-TR"/>
        </w:rPr>
        <w:t>inansal aracın raporlama tarihinden sonraki 12 ay içerisinde temerrüde düşme olasılığının tahmini</w:t>
      </w:r>
    </w:p>
    <w:p w14:paraId="7A3A1C87" w14:textId="19139855" w:rsidR="00E603B7" w:rsidRPr="00FB38E1" w:rsidRDefault="00E603B7" w:rsidP="003E01A9">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Ömür boyu temerrüt olasılığı: </w:t>
      </w:r>
      <w:r w:rsidR="00B77BBA" w:rsidRPr="00FB38E1">
        <w:rPr>
          <w:rFonts w:ascii="Microsoft Sans Serif" w:hAnsi="Microsoft Sans Serif" w:cs="Microsoft Sans Serif"/>
          <w:noProof/>
          <w:color w:val="404040" w:themeColor="text1" w:themeTint="BF"/>
          <w:sz w:val="20"/>
          <w:szCs w:val="20"/>
          <w:lang w:val="tr-TR"/>
        </w:rPr>
        <w:t>F</w:t>
      </w:r>
      <w:r w:rsidRPr="00FB38E1">
        <w:rPr>
          <w:rFonts w:ascii="Microsoft Sans Serif" w:hAnsi="Microsoft Sans Serif" w:cs="Microsoft Sans Serif"/>
          <w:noProof/>
          <w:color w:val="404040" w:themeColor="text1" w:themeTint="BF"/>
          <w:sz w:val="20"/>
          <w:szCs w:val="20"/>
          <w:lang w:val="tr-TR"/>
        </w:rPr>
        <w:t>inansal aracın kalan ömrü boyunca temerrüde düşme olasılığının tahmini</w:t>
      </w:r>
    </w:p>
    <w:p w14:paraId="2265550A" w14:textId="0DC93932"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Banka’nın kredi tahsis süreçlerinde kullandığı içsel derecelendirme sistemlerinin çıktısı olan kredi dereceleri beklenen kredi zararı karşılığı hesaplamalarında müşterileri sınıflama amacı ile kullanılmıştır.</w:t>
      </w:r>
    </w:p>
    <w:p w14:paraId="4AD69CE8" w14:textId="6ECE70DA"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Bireysel olmayan müşteriler için kullanılan içsel derecelendirme sistemleri temelde Kurumsal/Ticari, OBİ, KBİ ve Tarım model gruplarına ayrılmaktadır. Kurumsal/Ticari ve OBİ model gruplarındaki içsel derecelendirmeler, müşterinin borçluluk, likidite, büyüklük gibi </w:t>
      </w:r>
      <w:r w:rsidR="00B117CE" w:rsidRPr="00FB38E1">
        <w:rPr>
          <w:rFonts w:ascii="Microsoft Sans Serif" w:hAnsi="Microsoft Sans Serif" w:cs="Microsoft Sans Serif"/>
          <w:noProof/>
          <w:color w:val="404040" w:themeColor="text1" w:themeTint="BF"/>
          <w:sz w:val="20"/>
          <w:szCs w:val="20"/>
          <w:lang w:val="tr-TR"/>
        </w:rPr>
        <w:t>niceliksel</w:t>
      </w:r>
      <w:r w:rsidRPr="00FB38E1">
        <w:rPr>
          <w:rFonts w:ascii="Microsoft Sans Serif" w:hAnsi="Microsoft Sans Serif" w:cs="Microsoft Sans Serif"/>
          <w:noProof/>
          <w:color w:val="404040" w:themeColor="text1" w:themeTint="BF"/>
          <w:sz w:val="20"/>
          <w:szCs w:val="20"/>
          <w:lang w:val="tr-TR"/>
        </w:rPr>
        <w:t xml:space="preserve"> özelliklerle birlikte </w:t>
      </w:r>
      <w:r w:rsidR="00B117CE" w:rsidRPr="00FB38E1">
        <w:rPr>
          <w:rFonts w:ascii="Microsoft Sans Serif" w:hAnsi="Microsoft Sans Serif" w:cs="Microsoft Sans Serif"/>
          <w:noProof/>
          <w:color w:val="404040" w:themeColor="text1" w:themeTint="BF"/>
          <w:sz w:val="20"/>
          <w:szCs w:val="20"/>
          <w:lang w:val="tr-TR"/>
        </w:rPr>
        <w:t xml:space="preserve">niteliksel </w:t>
      </w:r>
      <w:r w:rsidRPr="00FB38E1">
        <w:rPr>
          <w:rFonts w:ascii="Microsoft Sans Serif" w:hAnsi="Microsoft Sans Serif" w:cs="Microsoft Sans Serif"/>
          <w:noProof/>
          <w:color w:val="404040" w:themeColor="text1" w:themeTint="BF"/>
          <w:sz w:val="20"/>
          <w:szCs w:val="20"/>
          <w:lang w:val="tr-TR"/>
        </w:rPr>
        <w:t xml:space="preserve">değerlendirme unsurları da dikkate almaktadır. KBİ ve Tarım model gruplarındaki içsel derecelendirmeler, müşterinin bankacılık sektöründeki tüm limitin kullanım oranındaki trendi, </w:t>
      </w:r>
      <w:r w:rsidR="00B117CE" w:rsidRPr="00FB38E1">
        <w:rPr>
          <w:rFonts w:ascii="Microsoft Sans Serif" w:hAnsi="Microsoft Sans Serif" w:cs="Microsoft Sans Serif"/>
          <w:noProof/>
          <w:color w:val="404040" w:themeColor="text1" w:themeTint="BF"/>
          <w:sz w:val="20"/>
          <w:szCs w:val="20"/>
          <w:lang w:val="tr-TR"/>
        </w:rPr>
        <w:t>Banka’da</w:t>
      </w:r>
      <w:r w:rsidRPr="00FB38E1">
        <w:rPr>
          <w:rFonts w:ascii="Microsoft Sans Serif" w:hAnsi="Microsoft Sans Serif" w:cs="Microsoft Sans Serif"/>
          <w:noProof/>
          <w:color w:val="404040" w:themeColor="text1" w:themeTint="BF"/>
          <w:sz w:val="20"/>
          <w:szCs w:val="20"/>
          <w:lang w:val="tr-TR"/>
        </w:rPr>
        <w:t xml:space="preserve"> KMH ürünü kullanım süresi veya kredi ödemelerindeki gecikmelerin son dönemdeki sıklığı gibi  davranışsal bilgileri yansıtmaktadır.</w:t>
      </w:r>
    </w:p>
    <w:p w14:paraId="265B8378" w14:textId="404FAAE0"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Bireysel müşteriler için içsel derecelendirme sistemleri de Tüketici, Konut, Taşıt Kredileri, KMH ve Kredi Kartı ürün grupları seviyesinde farklılaşmaktadır. Bu skorların üretilmesi için müşterinin </w:t>
      </w:r>
      <w:r w:rsidR="00B117CE" w:rsidRPr="00FB38E1">
        <w:rPr>
          <w:rFonts w:ascii="Microsoft Sans Serif" w:hAnsi="Microsoft Sans Serif" w:cs="Microsoft Sans Serif"/>
          <w:noProof/>
          <w:color w:val="404040" w:themeColor="text1" w:themeTint="BF"/>
          <w:sz w:val="20"/>
          <w:szCs w:val="20"/>
          <w:lang w:val="tr-TR"/>
        </w:rPr>
        <w:t>Banka</w:t>
      </w:r>
      <w:r w:rsidRPr="00FB38E1">
        <w:rPr>
          <w:rFonts w:ascii="Microsoft Sans Serif" w:hAnsi="Microsoft Sans Serif" w:cs="Microsoft Sans Serif"/>
          <w:noProof/>
          <w:color w:val="404040" w:themeColor="text1" w:themeTint="BF"/>
          <w:sz w:val="20"/>
          <w:szCs w:val="20"/>
          <w:lang w:val="tr-TR"/>
        </w:rPr>
        <w:t xml:space="preserve"> ve sektördeki limit kullanım oranındaki trendi, güncel dönemlerdeki gecikmelerin sıklığı, müşterinin çapraz ürün sahipliği ve diğer ürünlere ait ödeme alışkanlıkları gibi davranışsal veriler kullanılmaktadır.</w:t>
      </w:r>
    </w:p>
    <w:p w14:paraId="6EA5E7DD" w14:textId="77777777"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İlk adımda, TFRS 9 uyarınca yapılan TO hesaplamaları için içsel derecelendirme sistemlerinin çıktıları kredi risklerinin ortak özelliklerine göre risk segmentleri bazında gruplandırılmıştır. Ortaya çıkan bu grupların geçmişe dönük tarihsel temerrüt verileri hazırlanmıştır. Makul ve geçerli birikmiş temerrüt oranlarının çıkarılması amacı ile elde edilen temerrüt verileri için sepet oluşturma analizi yapılmıştır.</w:t>
      </w:r>
    </w:p>
    <w:p w14:paraId="0B43EEDD" w14:textId="0EF9F552"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Oluşturulan sepetler için elde edilen verilerden uygun istatistiksel dağılım kullanılarak regresyon yöntemi ile TO eğrileri oluşturulmuştur.</w:t>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Elde edilen TO değerleri ‘yaşam döngüsü boyunca’ TO değerleri temsil ettiği için, TFRS 9 uyarınca ‘anlık’ TO değerlerine dönüştürülmüştür.</w:t>
      </w:r>
      <w:r w:rsidR="00B117CE" w:rsidRPr="00FB38E1">
        <w:rPr>
          <w:rFonts w:ascii="Microsoft Sans Serif" w:hAnsi="Microsoft Sans Serif" w:cs="Microsoft Sans Serif"/>
          <w:noProof/>
          <w:color w:val="404040" w:themeColor="text1" w:themeTint="BF"/>
          <w:sz w:val="20"/>
          <w:szCs w:val="20"/>
          <w:lang w:val="tr-TR"/>
        </w:rPr>
        <w:t xml:space="preserve"> </w:t>
      </w:r>
      <w:r w:rsidRPr="00FB38E1">
        <w:rPr>
          <w:rFonts w:ascii="Microsoft Sans Serif" w:hAnsi="Microsoft Sans Serif" w:cs="Microsoft Sans Serif"/>
          <w:noProof/>
          <w:color w:val="404040" w:themeColor="text1" w:themeTint="BF"/>
          <w:sz w:val="20"/>
          <w:szCs w:val="20"/>
          <w:lang w:val="tr-TR"/>
        </w:rPr>
        <w:t xml:space="preserve">Son adımda, TO değerine ileriye dönük makroekonomik beklentiler yansıtılmıştır. </w:t>
      </w:r>
    </w:p>
    <w:p w14:paraId="482F3DF2" w14:textId="77777777" w:rsidR="00E603B7" w:rsidRPr="00FB38E1" w:rsidRDefault="00E603B7"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Yeterli tarihsel temerrüt verisi bulunmayan kredi riski grupları için dış kaynaklı temerrüt istatistikleri veya Basel dokümantasyonlarında yer alan minimum TO oranları kullanılmıştır.</w:t>
      </w:r>
    </w:p>
    <w:p w14:paraId="59B75216" w14:textId="17C11965" w:rsidR="00D93989" w:rsidRPr="00FB38E1" w:rsidRDefault="00836EF2" w:rsidP="003E01A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rPr>
        <w:t>Yukarıda açıklanan sürecin içsel validasyonu 2024 yılının sonunda gerçekleştirilmiştir</w:t>
      </w:r>
      <w:r w:rsidR="003C12A6" w:rsidRPr="00FB38E1">
        <w:rPr>
          <w:rFonts w:ascii="Microsoft Sans Serif" w:hAnsi="Microsoft Sans Serif" w:cs="Microsoft Sans Serif"/>
          <w:noProof/>
          <w:color w:val="404040" w:themeColor="text1" w:themeTint="BF"/>
          <w:sz w:val="20"/>
          <w:szCs w:val="20"/>
          <w:lang w:val="tr-TR"/>
        </w:rPr>
        <w:t>.</w:t>
      </w:r>
    </w:p>
    <w:p w14:paraId="48D5EFD9" w14:textId="2360BDE0" w:rsidR="00E603B7" w:rsidRPr="00FB38E1" w:rsidRDefault="00E603B7" w:rsidP="00925A90">
      <w:pPr>
        <w:pStyle w:val="BDDKbalk1"/>
        <w:spacing w:line="240" w:lineRule="exact"/>
        <w:ind w:left="0"/>
        <w:rPr>
          <w:rFonts w:ascii="Microsoft Sans Serif" w:hAnsi="Microsoft Sans Serif" w:cs="Microsoft Sans Serif"/>
          <w:b w:val="0"/>
          <w:sz w:val="20"/>
          <w:szCs w:val="20"/>
        </w:rPr>
      </w:pPr>
      <w:r w:rsidRPr="00FB38E1">
        <w:rPr>
          <w:rFonts w:ascii="Microsoft Sans Serif" w:hAnsi="Microsoft Sans Serif" w:cs="Microsoft Sans Serif"/>
          <w:sz w:val="20"/>
          <w:szCs w:val="20"/>
        </w:rPr>
        <w:t xml:space="preserve">Temerrüt </w:t>
      </w:r>
      <w:r w:rsidR="00B117CE" w:rsidRPr="00FB38E1">
        <w:rPr>
          <w:rFonts w:ascii="Microsoft Sans Serif" w:hAnsi="Microsoft Sans Serif" w:cs="Microsoft Sans Serif"/>
          <w:sz w:val="20"/>
          <w:szCs w:val="20"/>
        </w:rPr>
        <w:t>h</w:t>
      </w:r>
      <w:r w:rsidRPr="00FB38E1">
        <w:rPr>
          <w:rFonts w:ascii="Microsoft Sans Serif" w:hAnsi="Microsoft Sans Serif" w:cs="Microsoft Sans Serif"/>
          <w:sz w:val="20"/>
          <w:szCs w:val="20"/>
        </w:rPr>
        <w:t xml:space="preserve">alinde </w:t>
      </w:r>
      <w:r w:rsidR="00B117CE" w:rsidRPr="00FB38E1">
        <w:rPr>
          <w:rFonts w:ascii="Microsoft Sans Serif" w:hAnsi="Microsoft Sans Serif" w:cs="Microsoft Sans Serif"/>
          <w:sz w:val="20"/>
          <w:szCs w:val="20"/>
        </w:rPr>
        <w:t>k</w:t>
      </w:r>
      <w:r w:rsidRPr="00FB38E1">
        <w:rPr>
          <w:rFonts w:ascii="Microsoft Sans Serif" w:hAnsi="Microsoft Sans Serif" w:cs="Microsoft Sans Serif"/>
          <w:sz w:val="20"/>
          <w:szCs w:val="20"/>
        </w:rPr>
        <w:t>ayıp</w:t>
      </w:r>
    </w:p>
    <w:p w14:paraId="525F248F" w14:textId="77777777" w:rsidR="00E603B7" w:rsidRPr="00FB38E1"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Temerrüt halinde kayıp, borçlunun temerrüde düşmesi durumunda neden olacağı ekonomik kaybı oransal olarak ifade etmektedir.</w:t>
      </w:r>
    </w:p>
    <w:p w14:paraId="270A5BCA" w14:textId="5160FC3C" w:rsidR="00E603B7" w:rsidRPr="00FB38E1"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Beklenen kredi zarar karşılığının hesaplanması amacı ile </w:t>
      </w:r>
      <w:r w:rsidR="00BB6DEC" w:rsidRPr="00FB38E1">
        <w:rPr>
          <w:rFonts w:ascii="Microsoft Sans Serif" w:hAnsi="Microsoft Sans Serif" w:cs="Microsoft Sans Serif"/>
          <w:noProof/>
          <w:color w:val="404040" w:themeColor="text1" w:themeTint="BF"/>
          <w:sz w:val="20"/>
          <w:szCs w:val="20"/>
          <w:lang w:val="tr-TR"/>
        </w:rPr>
        <w:t xml:space="preserve">iki </w:t>
      </w:r>
      <w:r w:rsidRPr="00FB38E1">
        <w:rPr>
          <w:rFonts w:ascii="Microsoft Sans Serif" w:hAnsi="Microsoft Sans Serif" w:cs="Microsoft Sans Serif"/>
          <w:noProof/>
          <w:color w:val="404040" w:themeColor="text1" w:themeTint="BF"/>
          <w:sz w:val="20"/>
          <w:szCs w:val="20"/>
          <w:lang w:val="tr-TR"/>
        </w:rPr>
        <w:t>tür THK oranı hesaplanır: teminatsız kredi riski için THK oranı ve teminatlı kredi riski için THK oranı.</w:t>
      </w:r>
    </w:p>
    <w:p w14:paraId="5370260E" w14:textId="10B97D0A" w:rsidR="00E603B7" w:rsidRPr="00FB38E1"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Teminatsız kredi riski için THK oranı Banka’nın geçmiş dönemlerdeki tahsilat verileri kullanılarak hesaplanmıştır ve kredi risklerinin ortak özelliklerine göre risk segmentleri bazında gruplandırılmıştır. </w:t>
      </w:r>
    </w:p>
    <w:p w14:paraId="1070C07B" w14:textId="77777777" w:rsidR="00E603B7" w:rsidRPr="00FB38E1"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Aşağıdaki TFRS 9 gereklilikleri teminatsız kredi riski için THK oranı hesaplaması için dikkate alınmıştır:</w:t>
      </w:r>
    </w:p>
    <w:p w14:paraId="5094D68B" w14:textId="36FEAA0C" w:rsidR="00E603B7" w:rsidRPr="00FB38E1"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Uzun vadeli THK kullanılır (gerileme etkisi hariç bırakılır)</w:t>
      </w:r>
    </w:p>
    <w:p w14:paraId="78F7849C" w14:textId="62CE57CA" w:rsidR="00E603B7" w:rsidRPr="00FB38E1"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Muhafazakâr yaklaşım varsa hariç bırakılır</w:t>
      </w:r>
    </w:p>
    <w:p w14:paraId="4AA74703" w14:textId="210ABA86" w:rsidR="00E603B7" w:rsidRPr="00FB38E1"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Dolaylı maliyetler varsa hariç bırakılır</w:t>
      </w:r>
    </w:p>
    <w:p w14:paraId="0E5C1F20" w14:textId="045D36B5" w:rsidR="00E603B7" w:rsidRPr="00FB38E1" w:rsidRDefault="00E603B7"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Elde edilen rakamlar etkin faiz oranı iskonto edilir</w:t>
      </w:r>
    </w:p>
    <w:p w14:paraId="7F22CAB7" w14:textId="4BBF3B86" w:rsidR="00E603B7" w:rsidRPr="00FB38E1"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Teminatlı kredi riski için THK oranı her bir kredi için teminat yapısı dikkate alınarak hesaplanmıştır. Bu oranın hesaplanmasında Banka’nın her teminat türü için belirlediği dikkate alınma oranları, nakde dönme süreleri ve teminatın ait olduğu kredinin etkin faiz oranı kullanılmıştır. İlgili dikkate alınma oranlarının ve nakde dönme sürelerin belirlenmesinde tarihsel veriler, yoksa en iyi tahminleri kullanılmıştır.</w:t>
      </w:r>
    </w:p>
    <w:p w14:paraId="74C7C23E" w14:textId="3C734F73" w:rsidR="00E603B7" w:rsidRPr="00FB38E1"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Yeterli tarihsel tahsilat verisi bulunmayan teminatsız kredi riski grupları için Basel dokümantasyonunda yer alan standart oran kullanılmıştır.</w:t>
      </w:r>
    </w:p>
    <w:p w14:paraId="0FD8C7A6" w14:textId="00EA3325" w:rsidR="00E0602B" w:rsidRPr="00FB38E1" w:rsidRDefault="0006331A" w:rsidP="00D9398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rPr>
        <w:t>Yukarıda açıklanan sürecin içsel validasyonu 2024 yılının sonunda gerçekleştirilmiştir</w:t>
      </w:r>
      <w:r w:rsidR="00E21D95" w:rsidRPr="00FB38E1">
        <w:rPr>
          <w:rFonts w:ascii="Microsoft Sans Serif" w:hAnsi="Microsoft Sans Serif" w:cs="Microsoft Sans Serif"/>
          <w:noProof/>
          <w:color w:val="404040" w:themeColor="text1" w:themeTint="BF"/>
          <w:sz w:val="20"/>
          <w:szCs w:val="20"/>
          <w:lang w:val="tr-TR"/>
        </w:rPr>
        <w:t>.</w:t>
      </w:r>
    </w:p>
    <w:p w14:paraId="10974520" w14:textId="5BFEEA60" w:rsidR="00E603B7" w:rsidRPr="00FB38E1" w:rsidRDefault="00E603B7" w:rsidP="00DF0EB1">
      <w:pPr>
        <w:pStyle w:val="BDDKbalk1"/>
        <w:spacing w:line="240" w:lineRule="exact"/>
        <w:ind w:left="0"/>
        <w:rPr>
          <w:rFonts w:ascii="Microsoft Sans Serif" w:hAnsi="Microsoft Sans Serif" w:cs="Microsoft Sans Serif"/>
          <w:b w:val="0"/>
          <w:sz w:val="20"/>
          <w:szCs w:val="20"/>
        </w:rPr>
      </w:pPr>
      <w:r w:rsidRPr="00FB38E1">
        <w:rPr>
          <w:rFonts w:ascii="Microsoft Sans Serif" w:hAnsi="Microsoft Sans Serif" w:cs="Microsoft Sans Serif"/>
          <w:sz w:val="20"/>
          <w:szCs w:val="20"/>
        </w:rPr>
        <w:t xml:space="preserve">Etkin </w:t>
      </w:r>
      <w:r w:rsidR="00BB6DEC" w:rsidRPr="00FB38E1">
        <w:rPr>
          <w:rFonts w:ascii="Microsoft Sans Serif" w:hAnsi="Microsoft Sans Serif" w:cs="Microsoft Sans Serif"/>
          <w:sz w:val="20"/>
          <w:szCs w:val="20"/>
        </w:rPr>
        <w:t>f</w:t>
      </w:r>
      <w:r w:rsidRPr="00FB38E1">
        <w:rPr>
          <w:rFonts w:ascii="Microsoft Sans Serif" w:hAnsi="Microsoft Sans Serif" w:cs="Microsoft Sans Serif"/>
          <w:sz w:val="20"/>
          <w:szCs w:val="20"/>
        </w:rPr>
        <w:t xml:space="preserve">aiz </w:t>
      </w:r>
      <w:r w:rsidR="00BB6DEC" w:rsidRPr="00FB38E1">
        <w:rPr>
          <w:rFonts w:ascii="Microsoft Sans Serif" w:hAnsi="Microsoft Sans Serif" w:cs="Microsoft Sans Serif"/>
          <w:sz w:val="20"/>
          <w:szCs w:val="20"/>
        </w:rPr>
        <w:t>o</w:t>
      </w:r>
      <w:r w:rsidRPr="00FB38E1">
        <w:rPr>
          <w:rFonts w:ascii="Microsoft Sans Serif" w:hAnsi="Microsoft Sans Serif" w:cs="Microsoft Sans Serif"/>
          <w:sz w:val="20"/>
          <w:szCs w:val="20"/>
        </w:rPr>
        <w:t>ranı</w:t>
      </w:r>
    </w:p>
    <w:p w14:paraId="16438769" w14:textId="66B7200D" w:rsidR="00E603B7" w:rsidRPr="00FB38E1" w:rsidRDefault="00E603B7" w:rsidP="00E603B7">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Etkin faiz oranı, finansal varlığın veya yükümlülüğün beklenen ömrü boyunca gerçekleşmesi tahmin edilen gelecekteki nakit ödeme ve tahsilatları finansal varlığın brüt defter değerine veya finansal yükümlülüğün itfa edilmiş maliyetine eşitleyen iskonto oranıdır.</w:t>
      </w:r>
    </w:p>
    <w:p w14:paraId="4774C93B" w14:textId="77777777" w:rsidR="001D0B68" w:rsidRPr="00FB38E1" w:rsidRDefault="001D0B68" w:rsidP="00DF0EB1">
      <w:pPr>
        <w:pStyle w:val="BDDKbalk1"/>
        <w:spacing w:line="240" w:lineRule="exact"/>
        <w:ind w:left="0"/>
        <w:rPr>
          <w:rFonts w:ascii="Microsoft Sans Serif" w:hAnsi="Microsoft Sans Serif" w:cs="Microsoft Sans Serif"/>
          <w:sz w:val="20"/>
          <w:szCs w:val="20"/>
        </w:rPr>
      </w:pPr>
      <w:bookmarkStart w:id="17" w:name="_Hlk127175690"/>
      <w:r w:rsidRPr="00FB38E1">
        <w:rPr>
          <w:rFonts w:ascii="Microsoft Sans Serif" w:hAnsi="Microsoft Sans Serif" w:cs="Microsoft Sans Serif"/>
          <w:sz w:val="20"/>
          <w:szCs w:val="20"/>
        </w:rPr>
        <w:t>Münferit (bireysel) değerlendirme</w:t>
      </w:r>
    </w:p>
    <w:p w14:paraId="6E566D79" w14:textId="211161D2" w:rsidR="00272499" w:rsidRPr="00FB38E1" w:rsidRDefault="00E603B7" w:rsidP="0027249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Toplu olarak hesaplanan beklenen kredi zarar karşılıklarından başka, belirli bir riskin üzerindeki veya Banka yönetimince belirlenecek bir kapsama giren finansal araçların münferit (bireysel) değerlendirmeye dayalı beklenen kredi zarar karşılıkları hesaplanmıştır. </w:t>
      </w:r>
      <w:r w:rsidR="00BB6DEC" w:rsidRPr="00FB38E1">
        <w:rPr>
          <w:rFonts w:ascii="Microsoft Sans Serif" w:hAnsi="Microsoft Sans Serif" w:cs="Microsoft Sans Serif"/>
          <w:noProof/>
          <w:color w:val="404040" w:themeColor="text1" w:themeTint="BF"/>
          <w:sz w:val="20"/>
          <w:szCs w:val="20"/>
          <w:lang w:val="tr-TR"/>
        </w:rPr>
        <w:t>Söz konusu</w:t>
      </w:r>
      <w:r w:rsidRPr="00FB38E1">
        <w:rPr>
          <w:rFonts w:ascii="Microsoft Sans Serif" w:hAnsi="Microsoft Sans Serif" w:cs="Microsoft Sans Serif"/>
          <w:noProof/>
          <w:color w:val="404040" w:themeColor="text1" w:themeTint="BF"/>
          <w:sz w:val="20"/>
          <w:szCs w:val="20"/>
          <w:lang w:val="tr-TR"/>
        </w:rPr>
        <w:t xml:space="preserve"> hesaplama 26</w:t>
      </w:r>
      <w:r w:rsidR="00BB6DEC" w:rsidRPr="00FB38E1">
        <w:rPr>
          <w:rFonts w:ascii="Microsoft Sans Serif" w:hAnsi="Microsoft Sans Serif" w:cs="Microsoft Sans Serif"/>
          <w:noProof/>
          <w:color w:val="404040" w:themeColor="text1" w:themeTint="BF"/>
          <w:sz w:val="20"/>
          <w:szCs w:val="20"/>
          <w:lang w:val="tr-TR"/>
        </w:rPr>
        <w:t xml:space="preserve"> Şubat </w:t>
      </w:r>
      <w:r w:rsidRPr="00FB38E1">
        <w:rPr>
          <w:rFonts w:ascii="Microsoft Sans Serif" w:hAnsi="Microsoft Sans Serif" w:cs="Microsoft Sans Serif"/>
          <w:noProof/>
          <w:color w:val="404040" w:themeColor="text1" w:themeTint="BF"/>
          <w:sz w:val="20"/>
          <w:szCs w:val="20"/>
          <w:lang w:val="tr-TR"/>
        </w:rPr>
        <w:t xml:space="preserve">2018 tarihinde BDDK tarafından bankalara duyurulan ‘TFRS 9 Uyarınca Beklenen Kredi Zararı Karşılığı Hesaplamasına İlişkin Rehber’ ve içsel politikalar uyarınca, iskonto edilmiş nakit akımları yöntemine göre her bir finansal araç için en az </w:t>
      </w:r>
      <w:r w:rsidR="00BB6DEC" w:rsidRPr="00FB38E1">
        <w:rPr>
          <w:rFonts w:ascii="Microsoft Sans Serif" w:hAnsi="Microsoft Sans Serif" w:cs="Microsoft Sans Serif"/>
          <w:noProof/>
          <w:color w:val="404040" w:themeColor="text1" w:themeTint="BF"/>
          <w:sz w:val="20"/>
          <w:szCs w:val="20"/>
          <w:lang w:val="tr-TR"/>
        </w:rPr>
        <w:t xml:space="preserve">iki </w:t>
      </w:r>
      <w:r w:rsidRPr="00FB38E1">
        <w:rPr>
          <w:rFonts w:ascii="Microsoft Sans Serif" w:hAnsi="Microsoft Sans Serif" w:cs="Microsoft Sans Serif"/>
          <w:noProof/>
          <w:color w:val="404040" w:themeColor="text1" w:themeTint="BF"/>
          <w:sz w:val="20"/>
          <w:szCs w:val="20"/>
          <w:lang w:val="tr-TR"/>
        </w:rPr>
        <w:t>senaryo kullanılarak yapılmıştır. Finansal aracın nihai beklenen kredi zararı karşılığı rakamı, ilgili senaryolar için hesaplanan beklenen kredi zarar karşılığı rakamlarının senaryoların gerçekleşme olasılıkları ile ağırlıklandırılması ile ortaya çıkmaktadır.</w:t>
      </w:r>
    </w:p>
    <w:p w14:paraId="32E268B1" w14:textId="0A642E5F" w:rsidR="004A3B68" w:rsidRPr="00FB38E1" w:rsidRDefault="00476CE6" w:rsidP="00272499">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Beklenen kredi zarar karşılıkları dışında Banka modelinin dikkate alma dönemlerinde yaşanmamış olağanüstü durumları göz ardı etmemek için etkilenen portföyler belirlenerek ilave beklenen kredi zarar karşılıkları hesaplanmaktadır</w:t>
      </w:r>
      <w:r w:rsidR="004A3B68" w:rsidRPr="00FB38E1">
        <w:rPr>
          <w:rFonts w:ascii="Microsoft Sans Serif" w:hAnsi="Microsoft Sans Serif" w:cs="Microsoft Sans Serif"/>
          <w:noProof/>
          <w:color w:val="404040" w:themeColor="text1" w:themeTint="BF"/>
          <w:sz w:val="20"/>
          <w:szCs w:val="20"/>
          <w:lang w:val="tr-TR"/>
        </w:rPr>
        <w:t>.</w:t>
      </w:r>
    </w:p>
    <w:bookmarkEnd w:id="17"/>
    <w:p w14:paraId="19BC37E8" w14:textId="72B03E64" w:rsidR="0011008B" w:rsidRPr="00FB38E1" w:rsidRDefault="0011008B" w:rsidP="00925A90">
      <w:pPr>
        <w:pStyle w:val="BDDKbalk1"/>
        <w:spacing w:line="240" w:lineRule="exact"/>
        <w:ind w:left="0"/>
        <w:rPr>
          <w:rFonts w:ascii="Microsoft Sans Serif" w:hAnsi="Microsoft Sans Serif" w:cs="Microsoft Sans Serif"/>
          <w:b w:val="0"/>
          <w:sz w:val="20"/>
          <w:szCs w:val="20"/>
        </w:rPr>
      </w:pPr>
      <w:r w:rsidRPr="00FB38E1">
        <w:rPr>
          <w:rFonts w:ascii="Microsoft Sans Serif" w:hAnsi="Microsoft Sans Serif" w:cs="Microsoft Sans Serif"/>
          <w:sz w:val="20"/>
          <w:szCs w:val="20"/>
        </w:rPr>
        <w:t>Düşük kredi riski</w:t>
      </w:r>
    </w:p>
    <w:p w14:paraId="64B96DBC" w14:textId="7FD2DC1B" w:rsidR="0011008B" w:rsidRPr="00FB38E1"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TFRS 9 </w:t>
      </w:r>
      <w:r w:rsidR="00BB6DEC" w:rsidRPr="00FB38E1">
        <w:rPr>
          <w:rFonts w:ascii="Microsoft Sans Serif" w:hAnsi="Microsoft Sans Serif" w:cs="Microsoft Sans Serif"/>
          <w:noProof/>
          <w:color w:val="404040" w:themeColor="text1" w:themeTint="BF"/>
          <w:sz w:val="20"/>
          <w:szCs w:val="20"/>
          <w:lang w:val="tr-TR"/>
        </w:rPr>
        <w:t>uyarınca</w:t>
      </w:r>
      <w:r w:rsidRPr="00FB38E1">
        <w:rPr>
          <w:rFonts w:ascii="Microsoft Sans Serif" w:hAnsi="Microsoft Sans Serif" w:cs="Microsoft Sans Serif"/>
          <w:noProof/>
          <w:color w:val="404040" w:themeColor="text1" w:themeTint="BF"/>
          <w:sz w:val="20"/>
          <w:szCs w:val="20"/>
          <w:lang w:val="tr-TR"/>
        </w:rPr>
        <w:t xml:space="preserve">, finansal aracın temerrüt riskinin düşük olması, borçlunun kısa vadede sözleşmeye bağlı nakit akış mükellefiyetlerini karşılayacak güçlü bir yapısının olması ve daha uzun dönemdeki ekonomik şartlardaki ve faaliyet şartlarındaki olumsuz değişikliklerin, borçlunun sözleşmeye bağlı nakit akış mükellefiyetlerini yerine getirme gücünü azaltması, ancak bunun büyük ölçüde olmaması durumda, söz konusu finansal aracın kredi riskinin düşük olduğu değerlendirilmiştir. </w:t>
      </w:r>
    </w:p>
    <w:p w14:paraId="38B3B6D0" w14:textId="77777777" w:rsidR="0011008B" w:rsidRPr="00FB38E1"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Yalnızca teminatın değerinden dolayı finansal araçların zarar riskinin düşük olarak değerlendirilmesi ve bu teminat olmadan ilgili finansal aracın kredi riskinin düşük olarak değerlendirilmemesi durumunda, finansal araçların düşük kredi riskine sahip olduğu sonucuna varılmamıştır.</w:t>
      </w:r>
    </w:p>
    <w:p w14:paraId="61792A85" w14:textId="77777777" w:rsidR="0011008B" w:rsidRPr="00FB38E1"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Ayrıca finansal araçların, sırf işletmenin diğer finansal araçlarına veya işletmenin faaliyet gösterdiği bölgenin kredi riskine göre daha az riski bulunması nedeniyle, düşük kredi riskine sahip olduğu değerlendirmesi yapılmamıştır.</w:t>
      </w:r>
    </w:p>
    <w:p w14:paraId="00610BCF" w14:textId="77777777" w:rsidR="0011008B" w:rsidRPr="00FB38E1"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Herhangi bir finansal aracın düşük riske sahip olduğunun belirlenmesi durumunda, kredi riskinin de ilk defa finansal tablolara alınmasından sonra önemli derecede artmadığı varsayılarak,  ilgili finansal araç Aşama 1’de değerlendirilmiştir.</w:t>
      </w:r>
    </w:p>
    <w:p w14:paraId="260EAF5C" w14:textId="3933B84F" w:rsidR="0011008B" w:rsidRPr="00FB38E1"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TFRS 9 kapsamında düşük kredi riski</w:t>
      </w:r>
      <w:r w:rsidR="00BB6DEC" w:rsidRPr="00FB38E1">
        <w:rPr>
          <w:rFonts w:ascii="Microsoft Sans Serif" w:hAnsi="Microsoft Sans Serif" w:cs="Microsoft Sans Serif"/>
          <w:noProof/>
          <w:color w:val="404040" w:themeColor="text1" w:themeTint="BF"/>
          <w:sz w:val="20"/>
          <w:szCs w:val="20"/>
          <w:lang w:val="tr-TR"/>
        </w:rPr>
        <w:t>ne sahip</w:t>
      </w:r>
      <w:r w:rsidRPr="00FB38E1">
        <w:rPr>
          <w:rFonts w:ascii="Microsoft Sans Serif" w:hAnsi="Microsoft Sans Serif" w:cs="Microsoft Sans Serif"/>
          <w:noProof/>
          <w:color w:val="404040" w:themeColor="text1" w:themeTint="BF"/>
          <w:sz w:val="20"/>
          <w:szCs w:val="20"/>
          <w:lang w:val="tr-TR"/>
        </w:rPr>
        <w:t xml:space="preserve"> olarak değerlendirilen finansal araçlar aşağıda sunulmuştur:</w:t>
      </w:r>
    </w:p>
    <w:p w14:paraId="1C6A27E1" w14:textId="5752E3DB" w:rsidR="0011008B" w:rsidRPr="00FB38E1" w:rsidRDefault="0011008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TCMB’den alacaklar</w:t>
      </w:r>
    </w:p>
    <w:p w14:paraId="2F88A13B" w14:textId="21FC1FB4" w:rsidR="0011008B" w:rsidRPr="00FB38E1" w:rsidRDefault="0011008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Karşı tarafın TC Hazinesi olduğu riskler</w:t>
      </w:r>
    </w:p>
    <w:p w14:paraId="279E1AA5" w14:textId="5063F8E5" w:rsidR="0011008B" w:rsidRPr="00FB38E1" w:rsidRDefault="0011008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Ana </w:t>
      </w:r>
      <w:r w:rsidR="00BB6DEC" w:rsidRPr="00FB38E1">
        <w:rPr>
          <w:rFonts w:ascii="Microsoft Sans Serif" w:hAnsi="Microsoft Sans Serif" w:cs="Microsoft Sans Serif"/>
          <w:noProof/>
          <w:color w:val="404040" w:themeColor="text1" w:themeTint="BF"/>
          <w:sz w:val="20"/>
          <w:szCs w:val="20"/>
          <w:lang w:val="tr-TR"/>
        </w:rPr>
        <w:t xml:space="preserve">hissedarın </w:t>
      </w:r>
      <w:r w:rsidRPr="00FB38E1">
        <w:rPr>
          <w:rFonts w:ascii="Microsoft Sans Serif" w:hAnsi="Microsoft Sans Serif" w:cs="Microsoft Sans Serif"/>
          <w:noProof/>
          <w:color w:val="404040" w:themeColor="text1" w:themeTint="BF"/>
          <w:sz w:val="20"/>
          <w:szCs w:val="20"/>
          <w:lang w:val="tr-TR"/>
        </w:rPr>
        <w:t>iştiraklerine verilen krediler</w:t>
      </w:r>
    </w:p>
    <w:p w14:paraId="7770E6FB" w14:textId="0CBA9174" w:rsidR="0011008B" w:rsidRPr="00FB38E1" w:rsidRDefault="0011008B" w:rsidP="00076C9E">
      <w:pPr>
        <w:pStyle w:val="BDDKmetin"/>
        <w:numPr>
          <w:ilvl w:val="1"/>
          <w:numId w:val="41"/>
        </w:numPr>
        <w:spacing w:line="220" w:lineRule="exact"/>
        <w:ind w:left="426" w:firstLine="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AAA derecelendirmeye sahip bankalar ile olan işlemler</w:t>
      </w:r>
    </w:p>
    <w:p w14:paraId="3E035546" w14:textId="413F3F28" w:rsidR="002D3493" w:rsidRPr="00FB38E1" w:rsidRDefault="002D3493" w:rsidP="00AD052C">
      <w:pPr>
        <w:pStyle w:val="BDDKbalk1"/>
        <w:spacing w:line="240" w:lineRule="exact"/>
        <w:ind w:left="0"/>
        <w:rPr>
          <w:rFonts w:ascii="Microsoft Sans Serif" w:hAnsi="Microsoft Sans Serif" w:cs="Microsoft Sans Serif"/>
          <w:bCs w:val="0"/>
          <w:sz w:val="20"/>
          <w:szCs w:val="20"/>
        </w:rPr>
      </w:pPr>
      <w:r w:rsidRPr="00FB38E1">
        <w:rPr>
          <w:rFonts w:ascii="Microsoft Sans Serif" w:hAnsi="Microsoft Sans Serif" w:cs="Microsoft Sans Serif"/>
          <w:bCs w:val="0"/>
          <w:sz w:val="20"/>
          <w:szCs w:val="20"/>
        </w:rPr>
        <w:t>İleriye yönelik makroekonomik bilgiler</w:t>
      </w:r>
    </w:p>
    <w:p w14:paraId="4C452381" w14:textId="443C4EF0" w:rsidR="002D3493" w:rsidRPr="00FB38E1" w:rsidRDefault="001374EA"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Banka, kredi riskinde önemli artış değerlendirmesinde ve beklenen kredi zararı hesaplamasında makroekonomik beklentileri yansıtmak üzere modeller kullanmaktadır. Söz konusu modeller risk segmentlerine ve ürünlere özgü olarak farklılaşmaktadır. İleriye dönük beklentilerde, baz, kötümser ve iyimser olmak üzere üç ayrı senaryo atanan gerçekleşme olasılıkları oranında dikkate alınmaktadır. Makroekonomik öngörü uzunluğunun ötesindeki dönemler için uzun vadeli temerrüt ortalaması hesaplamaya dâhil edilmektedir</w:t>
      </w:r>
      <w:r w:rsidR="002D3493" w:rsidRPr="00FB38E1">
        <w:rPr>
          <w:rFonts w:ascii="Microsoft Sans Serif" w:hAnsi="Microsoft Sans Serif" w:cs="Microsoft Sans Serif"/>
          <w:noProof/>
          <w:color w:val="404040" w:themeColor="text1" w:themeTint="BF"/>
          <w:sz w:val="20"/>
          <w:szCs w:val="20"/>
          <w:lang w:val="tr-TR"/>
        </w:rPr>
        <w:t>.</w:t>
      </w:r>
    </w:p>
    <w:p w14:paraId="136FFB83" w14:textId="6F70BA6F" w:rsidR="002D3493" w:rsidRPr="00FB38E1" w:rsidRDefault="001374EA"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Kullanılan modellerde dikkate alınan makroekonomik değişkenler; Gayri Safi Yurtiçi Hasıla (GSYH) büyüme oranı, </w:t>
      </w:r>
      <w:r w:rsidR="00162D99" w:rsidRPr="00FB38E1">
        <w:rPr>
          <w:rFonts w:ascii="Microsoft Sans Serif" w:hAnsi="Microsoft Sans Serif" w:cs="Microsoft Sans Serif"/>
          <w:noProof/>
          <w:color w:val="404040" w:themeColor="text1" w:themeTint="BF"/>
          <w:sz w:val="20"/>
          <w:szCs w:val="20"/>
          <w:lang w:val="tr-TR"/>
        </w:rPr>
        <w:t>i</w:t>
      </w:r>
      <w:r w:rsidRPr="00FB38E1">
        <w:rPr>
          <w:rFonts w:ascii="Microsoft Sans Serif" w:hAnsi="Microsoft Sans Serif" w:cs="Microsoft Sans Serif"/>
          <w:noProof/>
          <w:color w:val="404040" w:themeColor="text1" w:themeTint="BF"/>
          <w:sz w:val="20"/>
          <w:szCs w:val="20"/>
          <w:lang w:val="tr-TR"/>
        </w:rPr>
        <w:t xml:space="preserve">şsizlik </w:t>
      </w:r>
      <w:r w:rsidR="00162D99" w:rsidRPr="00FB38E1">
        <w:rPr>
          <w:rFonts w:ascii="Microsoft Sans Serif" w:hAnsi="Microsoft Sans Serif" w:cs="Microsoft Sans Serif"/>
          <w:noProof/>
          <w:color w:val="404040" w:themeColor="text1" w:themeTint="BF"/>
          <w:sz w:val="20"/>
          <w:szCs w:val="20"/>
          <w:lang w:val="tr-TR"/>
        </w:rPr>
        <w:t>o</w:t>
      </w:r>
      <w:r w:rsidRPr="00FB38E1">
        <w:rPr>
          <w:rFonts w:ascii="Microsoft Sans Serif" w:hAnsi="Microsoft Sans Serif" w:cs="Microsoft Sans Serif"/>
          <w:noProof/>
          <w:color w:val="404040" w:themeColor="text1" w:themeTint="BF"/>
          <w:sz w:val="20"/>
          <w:szCs w:val="20"/>
          <w:lang w:val="tr-TR"/>
        </w:rPr>
        <w:t>ranı, 3 aylık hazine bonosu getiri oranı, 5 yıllık CDS Primi, USDTRY ve EURTRY pariteleridir. Modeller yıllık olarak gözden geçirilmekte, gerekli görülen segmentler için yenilenmekte ve validasyon sürecine tabi tutulmaktadır</w:t>
      </w:r>
      <w:r w:rsidR="002D3493" w:rsidRPr="00FB38E1">
        <w:rPr>
          <w:rFonts w:ascii="Microsoft Sans Serif" w:hAnsi="Microsoft Sans Serif" w:cs="Microsoft Sans Serif"/>
          <w:noProof/>
          <w:color w:val="404040" w:themeColor="text1" w:themeTint="BF"/>
          <w:sz w:val="20"/>
          <w:szCs w:val="20"/>
          <w:lang w:val="tr-TR"/>
        </w:rPr>
        <w:t xml:space="preserve">. </w:t>
      </w:r>
    </w:p>
    <w:p w14:paraId="4C715254" w14:textId="5E266611" w:rsidR="002D3493" w:rsidRPr="00FB38E1" w:rsidRDefault="00295D9B" w:rsidP="002D3493">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Banka, </w:t>
      </w:r>
      <w:r w:rsidR="00821E74" w:rsidRPr="00FB38E1">
        <w:rPr>
          <w:rFonts w:ascii="Microsoft Sans Serif" w:hAnsi="Microsoft Sans Serif" w:cs="Microsoft Sans Serif"/>
          <w:noProof/>
          <w:color w:val="404040" w:themeColor="text1" w:themeTint="BF"/>
          <w:sz w:val="20"/>
          <w:szCs w:val="20"/>
          <w:lang w:val="tr-TR"/>
        </w:rPr>
        <w:t>mevcut ekonomik koşulları, olası farklı senaryoları ve yönetim değerlendirmesini dikkate alarak geleceğe ilişkin beklentilerini finansal tablolardaki beklenen kredi zararı hesaplamasına yansıtmıştır. Yürütülen çalışma ileriki dönemlerde periyodik olarak gözden geçirilecek ve beklentilere göre güncelleme yapılacaktır</w:t>
      </w:r>
      <w:r w:rsidR="002D3493" w:rsidRPr="00FB38E1">
        <w:rPr>
          <w:rFonts w:ascii="Microsoft Sans Serif" w:hAnsi="Microsoft Sans Serif" w:cs="Microsoft Sans Serif"/>
          <w:noProof/>
          <w:color w:val="404040" w:themeColor="text1" w:themeTint="BF"/>
          <w:sz w:val="20"/>
          <w:szCs w:val="20"/>
          <w:lang w:val="tr-TR"/>
        </w:rPr>
        <w:t>.</w:t>
      </w:r>
    </w:p>
    <w:p w14:paraId="3C02BDEB" w14:textId="0DBDDEC8" w:rsidR="0011008B" w:rsidRPr="00FB38E1" w:rsidRDefault="0011008B" w:rsidP="00AD052C">
      <w:pPr>
        <w:pStyle w:val="BDDKbalk1"/>
        <w:spacing w:line="240" w:lineRule="exact"/>
        <w:ind w:left="0"/>
        <w:rPr>
          <w:rFonts w:ascii="Microsoft Sans Serif" w:hAnsi="Microsoft Sans Serif" w:cs="Microsoft Sans Serif"/>
          <w:b w:val="0"/>
          <w:sz w:val="20"/>
          <w:szCs w:val="20"/>
        </w:rPr>
      </w:pPr>
      <w:r w:rsidRPr="00FB38E1">
        <w:rPr>
          <w:rFonts w:ascii="Microsoft Sans Serif" w:hAnsi="Microsoft Sans Serif" w:cs="Microsoft Sans Serif"/>
          <w:sz w:val="20"/>
          <w:szCs w:val="20"/>
        </w:rPr>
        <w:t>TFRS 9 süreçlerine üst düzey yönetimin katılması</w:t>
      </w:r>
    </w:p>
    <w:p w14:paraId="503CB50A" w14:textId="15FD4CCE" w:rsidR="0011008B" w:rsidRPr="00FB38E1"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5411 sayılı Bankacılık Kanunu uyarınca çıkarılmış olan iç sistemler, risk yönetimi, kurumsal yönetim ve kredilerin sınıflandırılmasına ilişkin düzenlemeler ve güvenilir kredi riski uygulamaları kapsamında 22</w:t>
      </w:r>
      <w:r w:rsidR="00BB6DEC" w:rsidRPr="00FB38E1">
        <w:rPr>
          <w:rFonts w:ascii="Microsoft Sans Serif" w:hAnsi="Microsoft Sans Serif" w:cs="Microsoft Sans Serif"/>
          <w:noProof/>
          <w:color w:val="404040" w:themeColor="text1" w:themeTint="BF"/>
          <w:sz w:val="20"/>
          <w:szCs w:val="20"/>
          <w:lang w:val="tr-TR"/>
        </w:rPr>
        <w:t xml:space="preserve"> Haziran 2016</w:t>
      </w:r>
      <w:r w:rsidRPr="00FB38E1">
        <w:rPr>
          <w:rFonts w:ascii="Microsoft Sans Serif" w:hAnsi="Microsoft Sans Serif" w:cs="Microsoft Sans Serif"/>
          <w:noProof/>
          <w:color w:val="404040" w:themeColor="text1" w:themeTint="BF"/>
          <w:sz w:val="20"/>
          <w:szCs w:val="20"/>
          <w:lang w:val="tr-TR"/>
        </w:rPr>
        <w:t xml:space="preserve"> tarih ve 29750 sayılı Resmi Gazete</w:t>
      </w:r>
      <w:r w:rsidR="00BB6DEC"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de yayımlanan ‘Kredilerin Sınıflandırılması ve Bunlar için Ayrılacak Karşılıklara İlişkin Usul ve Esaslar Hakkında Yönetmelik’in 20. Maddesine istinaden BDDK tarafından hazırlanan ‘TFRS 9 Uyarınca Beklenen Kredi Zararı Karşılığı Hesaplamasına İlişkin Rehber’ (‘İyi Uygulama Rehberi’) gereğince ‘TFRS 9 Yönetim Komitesi’ oluşturulmuştur.</w:t>
      </w:r>
    </w:p>
    <w:p w14:paraId="43FA2436" w14:textId="31783ECC" w:rsidR="0011008B" w:rsidRPr="00FB38E1"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Komite, TFRS 9’a uygun olarak, finansal araçların sınıflandırılmasının ve ölçümünün kontrolünden, iş modellerinin onaylanmasından ve beklenen kredi zararı karşılığının yeterli düzeyde hesaplanmasının kontrolünden sorumludur. Ayrıca Komite, </w:t>
      </w:r>
      <w:r w:rsidR="00BB6DEC" w:rsidRPr="00FB38E1">
        <w:rPr>
          <w:rFonts w:ascii="Microsoft Sans Serif" w:hAnsi="Microsoft Sans Serif" w:cs="Microsoft Sans Serif"/>
          <w:noProof/>
          <w:color w:val="404040" w:themeColor="text1" w:themeTint="BF"/>
          <w:sz w:val="20"/>
          <w:szCs w:val="20"/>
          <w:lang w:val="tr-TR"/>
        </w:rPr>
        <w:t>Banka’nın</w:t>
      </w:r>
      <w:r w:rsidRPr="00FB38E1">
        <w:rPr>
          <w:rFonts w:ascii="Microsoft Sans Serif" w:hAnsi="Microsoft Sans Serif" w:cs="Microsoft Sans Serif"/>
          <w:noProof/>
          <w:color w:val="404040" w:themeColor="text1" w:themeTint="BF"/>
          <w:sz w:val="20"/>
          <w:szCs w:val="20"/>
          <w:lang w:val="tr-TR"/>
        </w:rPr>
        <w:t xml:space="preserve"> mevcut politika ve süreçlerinin, TFRS 9 ve ilgili iyi uygulama rehberleri ile uyumlu olarak oluşturulmasının ve sürdürülmesinin kontrolünden </w:t>
      </w:r>
      <w:r w:rsidR="00BB6DEC" w:rsidRPr="00FB38E1">
        <w:rPr>
          <w:rFonts w:ascii="Microsoft Sans Serif" w:hAnsi="Microsoft Sans Serif" w:cs="Microsoft Sans Serif"/>
          <w:noProof/>
          <w:color w:val="404040" w:themeColor="text1" w:themeTint="BF"/>
          <w:sz w:val="20"/>
          <w:szCs w:val="20"/>
          <w:lang w:val="tr-TR"/>
        </w:rPr>
        <w:t xml:space="preserve">de </w:t>
      </w:r>
      <w:r w:rsidRPr="00FB38E1">
        <w:rPr>
          <w:rFonts w:ascii="Microsoft Sans Serif" w:hAnsi="Microsoft Sans Serif" w:cs="Microsoft Sans Serif"/>
          <w:noProof/>
          <w:color w:val="404040" w:themeColor="text1" w:themeTint="BF"/>
          <w:sz w:val="20"/>
          <w:szCs w:val="20"/>
          <w:lang w:val="tr-TR"/>
        </w:rPr>
        <w:t>sorumludur.</w:t>
      </w:r>
    </w:p>
    <w:p w14:paraId="6E4C14D0" w14:textId="77777777" w:rsidR="0011008B" w:rsidRPr="00FB38E1"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Komite, hesaplanan beklenen kredi zararı karşılıklarının güvenilir ve sağlam yöntemlere dayandırılmasının, bu yöntemlerin belgelenmesinin, geliştirilmesinin, zamanında güncellenmesinin ve gerektiği şekilde muhasebeleştirilmesinin sağlanmasından sorumludur.</w:t>
      </w:r>
    </w:p>
    <w:p w14:paraId="77C770A9" w14:textId="2541D595" w:rsidR="0011008B" w:rsidRPr="00FB38E1" w:rsidRDefault="0011008B" w:rsidP="0011008B">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Komitenin üyeleri arasında Banka’nın Kredilerden sorumlu Y</w:t>
      </w:r>
      <w:r w:rsidR="0096023D" w:rsidRPr="00FB38E1">
        <w:rPr>
          <w:rFonts w:ascii="Microsoft Sans Serif" w:hAnsi="Microsoft Sans Serif" w:cs="Microsoft Sans Serif"/>
          <w:noProof/>
          <w:color w:val="404040" w:themeColor="text1" w:themeTint="BF"/>
          <w:sz w:val="20"/>
          <w:szCs w:val="20"/>
          <w:lang w:val="tr-TR"/>
        </w:rPr>
        <w:t>önetim Kurulu üyesi, Mali İşler’</w:t>
      </w:r>
      <w:r w:rsidRPr="00FB38E1">
        <w:rPr>
          <w:rFonts w:ascii="Microsoft Sans Serif" w:hAnsi="Microsoft Sans Serif" w:cs="Microsoft Sans Serif"/>
          <w:noProof/>
          <w:color w:val="404040" w:themeColor="text1" w:themeTint="BF"/>
          <w:sz w:val="20"/>
          <w:szCs w:val="20"/>
          <w:lang w:val="tr-TR"/>
        </w:rPr>
        <w:t>den sorumlu Genel Müdür Yardımcısı, Kredilerden sorumlu Yönetim Kurulu üyesinin görev alanındaki sorumlulukları</w:t>
      </w:r>
      <w:r w:rsidR="001D3E2F" w:rsidRPr="00FB38E1">
        <w:rPr>
          <w:rFonts w:ascii="Microsoft Sans Serif" w:hAnsi="Microsoft Sans Serif" w:cs="Microsoft Sans Serif"/>
          <w:noProof/>
          <w:color w:val="404040" w:themeColor="text1" w:themeTint="BF"/>
          <w:sz w:val="20"/>
          <w:szCs w:val="20"/>
          <w:lang w:val="tr-TR"/>
        </w:rPr>
        <w:t>nı</w:t>
      </w:r>
      <w:r w:rsidRPr="00FB38E1">
        <w:rPr>
          <w:rFonts w:ascii="Microsoft Sans Serif" w:hAnsi="Microsoft Sans Serif" w:cs="Microsoft Sans Serif"/>
          <w:noProof/>
          <w:color w:val="404040" w:themeColor="text1" w:themeTint="BF"/>
          <w:sz w:val="20"/>
          <w:szCs w:val="20"/>
          <w:lang w:val="tr-TR"/>
        </w:rPr>
        <w:t xml:space="preserve"> üstlenen Genel Müdür Y</w:t>
      </w:r>
      <w:r w:rsidR="001D3E2F" w:rsidRPr="00FB38E1">
        <w:rPr>
          <w:rFonts w:ascii="Microsoft Sans Serif" w:hAnsi="Microsoft Sans Serif" w:cs="Microsoft Sans Serif"/>
          <w:noProof/>
          <w:color w:val="404040" w:themeColor="text1" w:themeTint="BF"/>
          <w:sz w:val="20"/>
          <w:szCs w:val="20"/>
          <w:lang w:val="tr-TR"/>
        </w:rPr>
        <w:t>ardımcıları ve</w:t>
      </w:r>
      <w:r w:rsidRPr="00FB38E1">
        <w:rPr>
          <w:rFonts w:ascii="Microsoft Sans Serif" w:hAnsi="Microsoft Sans Serif" w:cs="Microsoft Sans Serif"/>
          <w:noProof/>
          <w:color w:val="404040" w:themeColor="text1" w:themeTint="BF"/>
          <w:sz w:val="20"/>
          <w:szCs w:val="20"/>
          <w:lang w:val="tr-TR"/>
        </w:rPr>
        <w:t xml:space="preserve"> Risk Yönetiminden sorumlu Genel Müdür Yardımcısı vardır</w:t>
      </w:r>
      <w:bookmarkEnd w:id="16"/>
      <w:r w:rsidRPr="00FB38E1">
        <w:rPr>
          <w:rFonts w:ascii="Microsoft Sans Serif" w:hAnsi="Microsoft Sans Serif" w:cs="Microsoft Sans Serif"/>
          <w:noProof/>
          <w:color w:val="404040" w:themeColor="text1" w:themeTint="BF"/>
          <w:sz w:val="20"/>
          <w:szCs w:val="20"/>
          <w:lang w:val="tr-TR"/>
        </w:rPr>
        <w:t>.</w:t>
      </w:r>
    </w:p>
    <w:p w14:paraId="7AF862FC" w14:textId="46F1E51A" w:rsidR="00393EBE" w:rsidRPr="00FB38E1" w:rsidRDefault="00393EBE" w:rsidP="00076C9E">
      <w:pPr>
        <w:pStyle w:val="BDDKbalk1"/>
        <w:numPr>
          <w:ilvl w:val="0"/>
          <w:numId w:val="31"/>
        </w:numPr>
        <w:spacing w:line="240" w:lineRule="exact"/>
        <w:ind w:left="0" w:hanging="851"/>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rPr>
        <w:t>Finansal araçların netleştirilmesine ilişkin açıklamalar</w:t>
      </w:r>
    </w:p>
    <w:p w14:paraId="4613B539" w14:textId="7E7ACCA4" w:rsidR="00804F82" w:rsidRPr="00FB38E1" w:rsidRDefault="0054661A" w:rsidP="0004668E">
      <w:pPr>
        <w:pStyle w:val="BDDKbalk1"/>
        <w:spacing w:before="120" w:after="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Finansal varlıklar ve borçlar, Banka'nın netleştirmeye yönelik yasal bir hakka ve yaptırım gücüne sahip olması ve ilgili finansal aktif ve pasifi net tutarları üzerinden tahsil etme/ödeme veya ilgili finansal varlığı ve borcu eş</w:t>
      </w:r>
      <w:r w:rsidR="00C15723" w:rsidRPr="00FB38E1">
        <w:rPr>
          <w:rFonts w:ascii="Microsoft Sans Serif" w:hAnsi="Microsoft Sans Serif" w:cs="Microsoft Sans Serif"/>
          <w:b w:val="0"/>
          <w:noProof/>
          <w:color w:val="404040" w:themeColor="text1" w:themeTint="BF"/>
          <w:sz w:val="20"/>
          <w:szCs w:val="20"/>
        </w:rPr>
        <w:t xml:space="preserve"> </w:t>
      </w:r>
      <w:r w:rsidRPr="00FB38E1">
        <w:rPr>
          <w:rFonts w:ascii="Microsoft Sans Serif" w:hAnsi="Microsoft Sans Serif" w:cs="Microsoft Sans Serif"/>
          <w:b w:val="0"/>
          <w:noProof/>
          <w:color w:val="404040" w:themeColor="text1" w:themeTint="BF"/>
          <w:sz w:val="20"/>
          <w:szCs w:val="20"/>
        </w:rPr>
        <w:t>zamanlı olarak sonuçlandırma niyetinde  olması durumlarında bilançoda net tutarları üzerinden gösterilir</w:t>
      </w:r>
      <w:r w:rsidR="00393EBE" w:rsidRPr="00FB38E1">
        <w:rPr>
          <w:rFonts w:ascii="Microsoft Sans Serif" w:hAnsi="Microsoft Sans Serif" w:cs="Microsoft Sans Serif"/>
          <w:b w:val="0"/>
          <w:noProof/>
          <w:color w:val="404040" w:themeColor="text1" w:themeTint="BF"/>
          <w:sz w:val="20"/>
          <w:szCs w:val="20"/>
        </w:rPr>
        <w:t>.</w:t>
      </w:r>
      <w:r w:rsidR="00804F82" w:rsidRPr="00FB38E1">
        <w:rPr>
          <w:rFonts w:ascii="Microsoft Sans Serif" w:hAnsi="Microsoft Sans Serif" w:cs="Microsoft Sans Serif"/>
          <w:noProof/>
          <w:color w:val="404040" w:themeColor="text1" w:themeTint="BF"/>
          <w:sz w:val="20"/>
          <w:szCs w:val="20"/>
        </w:rPr>
        <w:br w:type="page"/>
      </w:r>
    </w:p>
    <w:p w14:paraId="0F8410BE" w14:textId="3B79ADF7" w:rsidR="003E4F6F" w:rsidRPr="00FB38E1" w:rsidRDefault="003E4F6F" w:rsidP="00076C9E">
      <w:pPr>
        <w:pStyle w:val="BDDKbalk1"/>
        <w:numPr>
          <w:ilvl w:val="0"/>
          <w:numId w:val="31"/>
        </w:numPr>
        <w:spacing w:line="240" w:lineRule="exact"/>
        <w:ind w:left="0" w:hanging="851"/>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rPr>
        <w:t>Satış ve geri alış anlaşmaları ve menkul değerlerin ödünç verilmesi işlemlerine ilişkin açıklamalar</w:t>
      </w:r>
    </w:p>
    <w:p w14:paraId="5882F408" w14:textId="64406055" w:rsidR="00393EBE" w:rsidRPr="00FB38E1" w:rsidRDefault="0054661A" w:rsidP="0068091D">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t>Repo anlaşması çerçevesinde geri alım taahhüdüyle müşterilere satılan devlet tahvili ve hazine bonoları ilişikteki bilançonun aktifinde portföyde tutuluş amaçlarına göre  “</w:t>
      </w:r>
      <w:r w:rsidR="00012178" w:rsidRPr="00FB38E1">
        <w:rPr>
          <w:rFonts w:ascii="Microsoft Sans Serif" w:hAnsi="Microsoft Sans Serif" w:cs="Microsoft Sans Serif"/>
          <w:color w:val="404040" w:themeColor="text1" w:themeTint="BF"/>
          <w:sz w:val="20"/>
          <w:szCs w:val="20"/>
        </w:rPr>
        <w:t>Gerçeğe Uygun Değer Farkı Kar</w:t>
      </w:r>
      <w:r w:rsidR="00796892" w:rsidRPr="00FB38E1">
        <w:rPr>
          <w:rFonts w:ascii="Microsoft Sans Serif" w:hAnsi="Microsoft Sans Serif" w:cs="Microsoft Sans Serif"/>
          <w:color w:val="404040" w:themeColor="text1" w:themeTint="BF"/>
          <w:sz w:val="20"/>
          <w:szCs w:val="20"/>
        </w:rPr>
        <w:t>/</w:t>
      </w:r>
      <w:r w:rsidR="00012178" w:rsidRPr="00FB38E1">
        <w:rPr>
          <w:rFonts w:ascii="Microsoft Sans Serif" w:hAnsi="Microsoft Sans Serif" w:cs="Microsoft Sans Serif"/>
          <w:color w:val="404040" w:themeColor="text1" w:themeTint="BF"/>
          <w:sz w:val="20"/>
          <w:szCs w:val="20"/>
        </w:rPr>
        <w:t>Zarara Yansıtılan Finansal Varlıklar”, “Gerçeğe Uygun Değer Farkı Diğer Kapsamlı Gelire Yansıtılan Finansal Varlıklar” ve “İtfa Edilmiş Maliyeti ile Ölçülen Finansal Varlıklar”</w:t>
      </w:r>
      <w:r w:rsidRPr="00FB38E1">
        <w:rPr>
          <w:rFonts w:ascii="Microsoft Sans Serif" w:hAnsi="Microsoft Sans Serif" w:cs="Microsoft Sans Serif"/>
          <w:noProof/>
          <w:color w:val="404040" w:themeColor="text1" w:themeTint="BF"/>
          <w:sz w:val="20"/>
          <w:szCs w:val="20"/>
        </w:rPr>
        <w:t xml:space="preserve"> içerisinde sınıflandırılmakta ve ilgili portföyün değerleme esaslarına göre değerlemeye tabi tutulmaktadır. Repo işlemlerinden elde edilen fonlar ise bilançonun pasifinde “</w:t>
      </w:r>
      <w:r w:rsidR="00D21C82" w:rsidRPr="00FB38E1">
        <w:rPr>
          <w:rFonts w:ascii="Microsoft Sans Serif" w:hAnsi="Microsoft Sans Serif" w:cs="Microsoft Sans Serif"/>
          <w:noProof/>
          <w:color w:val="404040" w:themeColor="text1" w:themeTint="BF"/>
          <w:sz w:val="20"/>
          <w:szCs w:val="20"/>
        </w:rPr>
        <w:t>Para Piyasalarına Borçlar</w:t>
      </w:r>
      <w:r w:rsidRPr="00FB38E1">
        <w:rPr>
          <w:rFonts w:ascii="Microsoft Sans Serif" w:hAnsi="Microsoft Sans Serif" w:cs="Microsoft Sans Serif"/>
          <w:noProof/>
          <w:color w:val="404040" w:themeColor="text1" w:themeTint="BF"/>
          <w:sz w:val="20"/>
          <w:szCs w:val="20"/>
        </w:rPr>
        <w:t>” içerisinde gösterilmektedir. İlgili repo anlaşmaları ile belirlenen satım ve geri alım fiyatları arasındaki farkın döneme isabet eden kısmı için gider reeskontu hesaplanmaktadır. Repo işlemlerinden elde edilen fonlar için, hesaplanan faiz gider reeskontları bilançonun pasifleri arasındaki “</w:t>
      </w:r>
      <w:r w:rsidR="00D21C82" w:rsidRPr="00FB38E1">
        <w:rPr>
          <w:rFonts w:ascii="Microsoft Sans Serif" w:hAnsi="Microsoft Sans Serif" w:cs="Microsoft Sans Serif"/>
          <w:noProof/>
          <w:color w:val="404040" w:themeColor="text1" w:themeTint="BF"/>
          <w:sz w:val="20"/>
          <w:szCs w:val="20"/>
        </w:rPr>
        <w:t>Para Piyasalarına Borçlar</w:t>
      </w:r>
      <w:r w:rsidRPr="00FB38E1">
        <w:rPr>
          <w:rFonts w:ascii="Microsoft Sans Serif" w:hAnsi="Microsoft Sans Serif" w:cs="Microsoft Sans Serif"/>
          <w:noProof/>
          <w:color w:val="404040" w:themeColor="text1" w:themeTint="BF"/>
          <w:sz w:val="20"/>
          <w:szCs w:val="20"/>
        </w:rPr>
        <w:t>” hesabında izlenmektedir</w:t>
      </w:r>
      <w:r w:rsidR="00393EBE" w:rsidRPr="00FB38E1">
        <w:rPr>
          <w:rFonts w:ascii="Microsoft Sans Serif" w:hAnsi="Microsoft Sans Serif" w:cs="Microsoft Sans Serif"/>
          <w:color w:val="404040" w:themeColor="text1" w:themeTint="BF"/>
          <w:sz w:val="20"/>
          <w:szCs w:val="20"/>
        </w:rPr>
        <w:t>.</w:t>
      </w:r>
    </w:p>
    <w:p w14:paraId="32D8BAC9" w14:textId="4D2C5881" w:rsidR="00393EBE" w:rsidRPr="00FB38E1" w:rsidRDefault="0054661A"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Geri satım taahhüdü ile alınmış menkul kıymetler bilançoda “</w:t>
      </w:r>
      <w:r w:rsidR="005A069C" w:rsidRPr="00FB38E1">
        <w:rPr>
          <w:rFonts w:ascii="Microsoft Sans Serif" w:hAnsi="Microsoft Sans Serif" w:cs="Microsoft Sans Serif"/>
          <w:b w:val="0"/>
          <w:noProof/>
          <w:color w:val="404040" w:themeColor="text1" w:themeTint="BF"/>
          <w:sz w:val="20"/>
          <w:szCs w:val="20"/>
        </w:rPr>
        <w:t>Para Piyasalarından</w:t>
      </w:r>
      <w:r w:rsidRPr="00FB38E1">
        <w:rPr>
          <w:rFonts w:ascii="Microsoft Sans Serif" w:hAnsi="Microsoft Sans Serif" w:cs="Microsoft Sans Serif"/>
          <w:b w:val="0"/>
          <w:noProof/>
          <w:color w:val="404040" w:themeColor="text1" w:themeTint="BF"/>
          <w:sz w:val="20"/>
          <w:szCs w:val="20"/>
        </w:rPr>
        <w:t xml:space="preserve"> Alacaklar” hesabında muhasebeleştirilmektedir. Ters repo anlaşmaları ile belirlenen alım ve geri satım fiyatları arasındaki farkın döneme isabet eden kısmı için iç verim yöntemine göre gelir reeskontu hesaplanmaktadır. Banka’nın herhangi bir şekilde ödünce konu edilmiş menkul değeri bulunmamaktadır</w:t>
      </w:r>
      <w:r w:rsidR="00393EBE" w:rsidRPr="00FB38E1">
        <w:rPr>
          <w:rFonts w:ascii="Microsoft Sans Serif" w:hAnsi="Microsoft Sans Serif" w:cs="Microsoft Sans Serif"/>
          <w:b w:val="0"/>
          <w:color w:val="404040" w:themeColor="text1" w:themeTint="BF"/>
          <w:sz w:val="20"/>
          <w:szCs w:val="20"/>
        </w:rPr>
        <w:t>.</w:t>
      </w:r>
    </w:p>
    <w:p w14:paraId="3F828FBB" w14:textId="286E915C" w:rsidR="00393EBE" w:rsidRPr="00FB38E1" w:rsidRDefault="00393EBE" w:rsidP="00076C9E">
      <w:pPr>
        <w:pStyle w:val="BDDKbalk1"/>
        <w:numPr>
          <w:ilvl w:val="0"/>
          <w:numId w:val="31"/>
        </w:numPr>
        <w:spacing w:before="120" w:line="240" w:lineRule="exact"/>
        <w:ind w:left="0" w:hanging="851"/>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rPr>
        <w:t>Satış amaçlı elde tutulan ve durdurulan faaliyetlere ilişkin duran varlıklar ile bu varlıklara ilişkin borçlar hakkında açıklamalar</w:t>
      </w:r>
    </w:p>
    <w:p w14:paraId="225C1707" w14:textId="753550EC" w:rsidR="0002200E" w:rsidRPr="00FB38E1" w:rsidRDefault="0002200E" w:rsidP="0002200E">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Satış amaçlı elde tutulan duran varlıklar, donuk alacaklardan dolayı edinilen maddi duran varlıklardan oluşmakta olup, finansal tablolarda “TFRS 5 Satış Amaçlı Elde Tutulan Duran Varlıklar ve Durdurulan Faaliyetlere İlişkin Türkiye Finansal Raporlama Standardı” hükümlerine uygun olarak muhasebeleştirilmektedir.</w:t>
      </w:r>
    </w:p>
    <w:p w14:paraId="29EA2F14" w14:textId="77777777" w:rsidR="00393EBE" w:rsidRPr="00FB38E1" w:rsidRDefault="0054661A" w:rsidP="0068091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Durdurulan bir faaliyet, bir bankanın elden çıkarılan veya satış amacıyla elde tutulan olarak sınıflandırılan bir kısmıdır. Ayrı bir ana iş kolunu veya faaliyetlerin coğrafi bölgesini ifade eder. Ayrı bir ana iş kolunun veya faaliyetlerin coğrafi bölgesinin tek başına koordine edilmiş bir plan çerçevesinde satışının bir parçasıdır veya sadece yeniden satış amacı ile elde edilen bir bağlı ortaklıktır</w:t>
      </w:r>
      <w:r w:rsidR="00393EBE" w:rsidRPr="00FB38E1">
        <w:rPr>
          <w:rFonts w:ascii="Microsoft Sans Serif" w:hAnsi="Microsoft Sans Serif" w:cs="Microsoft Sans Serif"/>
          <w:noProof/>
          <w:color w:val="404040" w:themeColor="text1" w:themeTint="BF"/>
          <w:sz w:val="20"/>
          <w:szCs w:val="20"/>
          <w:lang w:val="tr-TR"/>
        </w:rPr>
        <w:t>.</w:t>
      </w:r>
    </w:p>
    <w:p w14:paraId="5F47C58C" w14:textId="121ECE57" w:rsidR="005308DD" w:rsidRPr="00FB38E1" w:rsidRDefault="005308DD" w:rsidP="001F0C0D">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Banka’nın bağlı ortaklıklarından Eurodeniz International Banking Unit</w:t>
      </w:r>
      <w:r w:rsidR="00587FDA" w:rsidRPr="00FB38E1">
        <w:rPr>
          <w:rFonts w:ascii="Microsoft Sans Serif" w:hAnsi="Microsoft Sans Serif" w:cs="Microsoft Sans Serif"/>
          <w:b w:val="0"/>
          <w:noProof/>
          <w:color w:val="404040" w:themeColor="text1" w:themeTint="BF"/>
          <w:sz w:val="20"/>
          <w:szCs w:val="20"/>
        </w:rPr>
        <w:t xml:space="preserve"> Ltd</w:t>
      </w:r>
      <w:r w:rsidR="00485CFB" w:rsidRPr="00FB38E1">
        <w:rPr>
          <w:rFonts w:ascii="Microsoft Sans Serif" w:hAnsi="Microsoft Sans Serif" w:cs="Microsoft Sans Serif"/>
          <w:b w:val="0"/>
          <w:noProof/>
          <w:color w:val="404040" w:themeColor="text1" w:themeTint="BF"/>
          <w:sz w:val="20"/>
          <w:szCs w:val="20"/>
        </w:rPr>
        <w:t>. tasfiye sürecine girmiş</w:t>
      </w:r>
      <w:r w:rsidR="002B0E13" w:rsidRPr="00FB38E1">
        <w:rPr>
          <w:rFonts w:ascii="Microsoft Sans Serif" w:hAnsi="Microsoft Sans Serif" w:cs="Microsoft Sans Serif"/>
          <w:b w:val="0"/>
          <w:noProof/>
          <w:color w:val="404040" w:themeColor="text1" w:themeTint="BF"/>
          <w:sz w:val="20"/>
          <w:szCs w:val="20"/>
        </w:rPr>
        <w:t xml:space="preserve"> ve 26 Haziran 2024 tarihi itibarıyla </w:t>
      </w:r>
      <w:r w:rsidR="00D2205D" w:rsidRPr="00FB38E1">
        <w:rPr>
          <w:rFonts w:ascii="Microsoft Sans Serif" w:hAnsi="Microsoft Sans Serif" w:cs="Microsoft Sans Serif"/>
          <w:b w:val="0"/>
          <w:noProof/>
          <w:color w:val="404040" w:themeColor="text1" w:themeTint="BF"/>
          <w:sz w:val="20"/>
          <w:szCs w:val="20"/>
        </w:rPr>
        <w:t>süreç sonuçlanmıştır</w:t>
      </w:r>
      <w:r w:rsidR="007A5CA1" w:rsidRPr="00FB38E1">
        <w:rPr>
          <w:rFonts w:ascii="Microsoft Sans Serif" w:hAnsi="Microsoft Sans Serif" w:cs="Microsoft Sans Serif"/>
          <w:b w:val="0"/>
          <w:noProof/>
          <w:color w:val="404040" w:themeColor="text1" w:themeTint="BF"/>
          <w:sz w:val="20"/>
          <w:szCs w:val="20"/>
        </w:rPr>
        <w:t>.</w:t>
      </w:r>
    </w:p>
    <w:tbl>
      <w:tblPr>
        <w:tblW w:w="9639" w:type="dxa"/>
        <w:tblCellMar>
          <w:left w:w="70" w:type="dxa"/>
          <w:right w:w="70" w:type="dxa"/>
        </w:tblCellMar>
        <w:tblLook w:val="04A0" w:firstRow="1" w:lastRow="0" w:firstColumn="1" w:lastColumn="0" w:noHBand="0" w:noVBand="1"/>
      </w:tblPr>
      <w:tblGrid>
        <w:gridCol w:w="6033"/>
        <w:gridCol w:w="1803"/>
        <w:gridCol w:w="1803"/>
      </w:tblGrid>
      <w:tr w:rsidR="001F0C0D" w:rsidRPr="00FB38E1" w14:paraId="2F90D0CF" w14:textId="77777777" w:rsidTr="001F0C0D">
        <w:trPr>
          <w:trHeight w:val="153"/>
        </w:trPr>
        <w:tc>
          <w:tcPr>
            <w:tcW w:w="6033" w:type="dxa"/>
            <w:tcBorders>
              <w:top w:val="thinThickSmallGap" w:sz="24" w:space="0" w:color="auto"/>
              <w:left w:val="nil"/>
              <w:bottom w:val="single" w:sz="4" w:space="0" w:color="auto"/>
              <w:right w:val="nil"/>
            </w:tcBorders>
            <w:shd w:val="clear" w:color="auto" w:fill="auto"/>
            <w:noWrap/>
            <w:vAlign w:val="bottom"/>
            <w:hideMark/>
          </w:tcPr>
          <w:p w14:paraId="2ECF3767" w14:textId="77777777" w:rsidR="001F0C0D" w:rsidRPr="00FB38E1" w:rsidRDefault="001F0C0D" w:rsidP="001F0C0D">
            <w:pPr>
              <w:spacing w:after="0"/>
              <w:jc w:val="left"/>
              <w:rPr>
                <w:rFonts w:ascii="Times New Roman" w:eastAsia="Times New Roman" w:hAnsi="Times New Roman" w:cs="Times New Roman"/>
                <w:sz w:val="24"/>
                <w:szCs w:val="24"/>
                <w:lang w:eastAsia="tr-TR"/>
              </w:rPr>
            </w:pPr>
          </w:p>
        </w:tc>
        <w:tc>
          <w:tcPr>
            <w:tcW w:w="1803" w:type="dxa"/>
            <w:tcBorders>
              <w:top w:val="thinThickSmallGap" w:sz="24" w:space="0" w:color="auto"/>
              <w:left w:val="nil"/>
              <w:bottom w:val="single" w:sz="4" w:space="0" w:color="auto"/>
              <w:right w:val="nil"/>
            </w:tcBorders>
            <w:shd w:val="clear" w:color="auto" w:fill="auto"/>
            <w:noWrap/>
            <w:vAlign w:val="bottom"/>
            <w:hideMark/>
          </w:tcPr>
          <w:p w14:paraId="5E8D2CE1" w14:textId="77777777" w:rsidR="001F0C0D" w:rsidRPr="00FB38E1" w:rsidRDefault="001F0C0D" w:rsidP="001F0C0D">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Cari Dönem</w:t>
            </w:r>
          </w:p>
        </w:tc>
        <w:tc>
          <w:tcPr>
            <w:tcW w:w="1803" w:type="dxa"/>
            <w:tcBorders>
              <w:top w:val="thinThickSmallGap" w:sz="24" w:space="0" w:color="auto"/>
              <w:left w:val="nil"/>
              <w:bottom w:val="single" w:sz="4" w:space="0" w:color="auto"/>
              <w:right w:val="nil"/>
            </w:tcBorders>
            <w:shd w:val="clear" w:color="auto" w:fill="auto"/>
            <w:noWrap/>
            <w:vAlign w:val="bottom"/>
            <w:hideMark/>
          </w:tcPr>
          <w:p w14:paraId="68FF91FF" w14:textId="77777777" w:rsidR="001F0C0D" w:rsidRPr="00FB38E1" w:rsidRDefault="001F0C0D" w:rsidP="001F0C0D">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Önceki Dönem</w:t>
            </w:r>
          </w:p>
        </w:tc>
      </w:tr>
      <w:tr w:rsidR="001F0C0D" w:rsidRPr="00FB38E1" w14:paraId="3C1422A7" w14:textId="77777777" w:rsidTr="005308DD">
        <w:trPr>
          <w:trHeight w:val="300"/>
        </w:trPr>
        <w:tc>
          <w:tcPr>
            <w:tcW w:w="6033" w:type="dxa"/>
            <w:tcBorders>
              <w:top w:val="single" w:sz="4" w:space="0" w:color="auto"/>
              <w:left w:val="nil"/>
              <w:right w:val="nil"/>
            </w:tcBorders>
            <w:shd w:val="clear" w:color="auto" w:fill="auto"/>
            <w:noWrap/>
            <w:vAlign w:val="bottom"/>
            <w:hideMark/>
          </w:tcPr>
          <w:p w14:paraId="61A761A0" w14:textId="77777777" w:rsidR="001F0C0D" w:rsidRPr="00FB38E1" w:rsidRDefault="001F0C0D" w:rsidP="001F0C0D">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Durdurulan Faaliyetlere İlişkin Varlıklar/Borçlar</w:t>
            </w:r>
          </w:p>
        </w:tc>
        <w:tc>
          <w:tcPr>
            <w:tcW w:w="1803" w:type="dxa"/>
            <w:tcBorders>
              <w:top w:val="single" w:sz="4" w:space="0" w:color="auto"/>
              <w:left w:val="nil"/>
              <w:right w:val="nil"/>
            </w:tcBorders>
            <w:shd w:val="clear" w:color="auto" w:fill="auto"/>
            <w:noWrap/>
            <w:vAlign w:val="bottom"/>
            <w:hideMark/>
          </w:tcPr>
          <w:p w14:paraId="6D591B74" w14:textId="77777777" w:rsidR="001F0C0D" w:rsidRPr="00FB38E1" w:rsidRDefault="001F0C0D" w:rsidP="001F0C0D">
            <w:pPr>
              <w:spacing w:after="0"/>
              <w:jc w:val="left"/>
              <w:rPr>
                <w:rFonts w:ascii="Microsoft Sans Serif" w:eastAsia="Times New Roman" w:hAnsi="Microsoft Sans Serif" w:cs="Microsoft Sans Serif"/>
                <w:b/>
                <w:bCs/>
                <w:color w:val="000000"/>
                <w:sz w:val="16"/>
                <w:szCs w:val="16"/>
                <w:lang w:eastAsia="tr-TR"/>
              </w:rPr>
            </w:pPr>
          </w:p>
        </w:tc>
        <w:tc>
          <w:tcPr>
            <w:tcW w:w="1803" w:type="dxa"/>
            <w:tcBorders>
              <w:top w:val="single" w:sz="4" w:space="0" w:color="auto"/>
              <w:left w:val="nil"/>
              <w:right w:val="nil"/>
            </w:tcBorders>
            <w:shd w:val="clear" w:color="auto" w:fill="auto"/>
            <w:noWrap/>
            <w:vAlign w:val="bottom"/>
            <w:hideMark/>
          </w:tcPr>
          <w:p w14:paraId="0E7F134D" w14:textId="77777777" w:rsidR="001F0C0D" w:rsidRPr="00FB38E1" w:rsidRDefault="001F0C0D" w:rsidP="001F0C0D">
            <w:pPr>
              <w:spacing w:after="0"/>
              <w:jc w:val="left"/>
              <w:rPr>
                <w:rFonts w:ascii="Times New Roman" w:eastAsia="Times New Roman" w:hAnsi="Times New Roman" w:cs="Times New Roman"/>
                <w:sz w:val="20"/>
                <w:szCs w:val="20"/>
                <w:lang w:eastAsia="tr-TR"/>
              </w:rPr>
            </w:pPr>
          </w:p>
        </w:tc>
      </w:tr>
      <w:tr w:rsidR="00913E2A" w:rsidRPr="00FB38E1" w14:paraId="383F04AD" w14:textId="77777777" w:rsidTr="005308DD">
        <w:trPr>
          <w:trHeight w:val="70"/>
        </w:trPr>
        <w:tc>
          <w:tcPr>
            <w:tcW w:w="6033" w:type="dxa"/>
            <w:tcBorders>
              <w:top w:val="nil"/>
              <w:left w:val="nil"/>
              <w:right w:val="nil"/>
            </w:tcBorders>
            <w:shd w:val="clear" w:color="auto" w:fill="auto"/>
            <w:noWrap/>
            <w:vAlign w:val="bottom"/>
            <w:hideMark/>
          </w:tcPr>
          <w:p w14:paraId="6B82248D" w14:textId="77777777" w:rsidR="00913E2A" w:rsidRPr="00FB38E1" w:rsidRDefault="00913E2A" w:rsidP="00913E2A">
            <w:pPr>
              <w:spacing w:after="0"/>
              <w:jc w:val="lef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Ortaklıklar</w:t>
            </w:r>
          </w:p>
        </w:tc>
        <w:tc>
          <w:tcPr>
            <w:tcW w:w="1803" w:type="dxa"/>
            <w:tcBorders>
              <w:top w:val="nil"/>
              <w:left w:val="nil"/>
              <w:right w:val="nil"/>
            </w:tcBorders>
            <w:shd w:val="clear" w:color="auto" w:fill="auto"/>
            <w:noWrap/>
            <w:vAlign w:val="bottom"/>
            <w:hideMark/>
          </w:tcPr>
          <w:p w14:paraId="7AC124CA" w14:textId="0A9AF130" w:rsidR="00913E2A" w:rsidRPr="00FB38E1" w:rsidRDefault="00C47812" w:rsidP="00913E2A">
            <w:pPr>
              <w:spacing w:after="0"/>
              <w:jc w:val="righ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w:t>
            </w:r>
          </w:p>
        </w:tc>
        <w:tc>
          <w:tcPr>
            <w:tcW w:w="1803" w:type="dxa"/>
            <w:tcBorders>
              <w:top w:val="nil"/>
              <w:left w:val="nil"/>
              <w:right w:val="nil"/>
            </w:tcBorders>
            <w:shd w:val="clear" w:color="auto" w:fill="auto"/>
            <w:noWrap/>
            <w:vAlign w:val="bottom"/>
            <w:hideMark/>
          </w:tcPr>
          <w:p w14:paraId="5EAD450E" w14:textId="702F730D" w:rsidR="00913E2A" w:rsidRPr="00FB38E1" w:rsidRDefault="00913E2A" w:rsidP="00913E2A">
            <w:pPr>
              <w:spacing w:after="0"/>
              <w:jc w:val="right"/>
              <w:rPr>
                <w:rFonts w:ascii="Microsoft Sans Serif" w:eastAsia="Times New Roman" w:hAnsi="Microsoft Sans Serif" w:cs="Microsoft Sans Serif"/>
                <w:color w:val="000000" w:themeColor="text1"/>
                <w:sz w:val="16"/>
                <w:szCs w:val="16"/>
                <w:lang w:eastAsia="tr-TR"/>
              </w:rPr>
            </w:pPr>
            <w:r w:rsidRPr="00FB38E1">
              <w:rPr>
                <w:rFonts w:ascii="Microsoft Sans Serif" w:eastAsia="Times New Roman" w:hAnsi="Microsoft Sans Serif" w:cs="Microsoft Sans Serif"/>
                <w:color w:val="000000" w:themeColor="text1"/>
                <w:sz w:val="16"/>
                <w:szCs w:val="16"/>
                <w:lang w:eastAsia="tr-TR"/>
              </w:rPr>
              <w:t>7.118</w:t>
            </w:r>
          </w:p>
        </w:tc>
      </w:tr>
      <w:tr w:rsidR="00913E2A" w:rsidRPr="00FB38E1" w14:paraId="54C347E0" w14:textId="77777777" w:rsidTr="005308DD">
        <w:trPr>
          <w:trHeight w:val="60"/>
        </w:trPr>
        <w:tc>
          <w:tcPr>
            <w:tcW w:w="6033" w:type="dxa"/>
            <w:tcBorders>
              <w:left w:val="nil"/>
              <w:bottom w:val="single" w:sz="4" w:space="0" w:color="auto"/>
              <w:right w:val="nil"/>
            </w:tcBorders>
            <w:shd w:val="clear" w:color="auto" w:fill="auto"/>
            <w:noWrap/>
            <w:vAlign w:val="bottom"/>
            <w:hideMark/>
          </w:tcPr>
          <w:p w14:paraId="64A32B79" w14:textId="77777777" w:rsidR="00913E2A" w:rsidRPr="00FB38E1" w:rsidRDefault="00913E2A" w:rsidP="00913E2A">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Durdurulan Faaliyetlere İlişkin Varlıklar</w:t>
            </w:r>
          </w:p>
        </w:tc>
        <w:tc>
          <w:tcPr>
            <w:tcW w:w="1803" w:type="dxa"/>
            <w:tcBorders>
              <w:left w:val="nil"/>
              <w:bottom w:val="single" w:sz="4" w:space="0" w:color="auto"/>
              <w:right w:val="nil"/>
            </w:tcBorders>
            <w:shd w:val="clear" w:color="auto" w:fill="auto"/>
            <w:noWrap/>
            <w:vAlign w:val="bottom"/>
            <w:hideMark/>
          </w:tcPr>
          <w:p w14:paraId="62C7BDDC" w14:textId="0C60930A" w:rsidR="00913E2A" w:rsidRPr="00FB38E1" w:rsidRDefault="00C47812" w:rsidP="00913E2A">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w:t>
            </w:r>
          </w:p>
        </w:tc>
        <w:tc>
          <w:tcPr>
            <w:tcW w:w="1803" w:type="dxa"/>
            <w:tcBorders>
              <w:left w:val="nil"/>
              <w:bottom w:val="single" w:sz="4" w:space="0" w:color="auto"/>
              <w:right w:val="nil"/>
            </w:tcBorders>
            <w:shd w:val="clear" w:color="auto" w:fill="auto"/>
            <w:noWrap/>
            <w:vAlign w:val="bottom"/>
            <w:hideMark/>
          </w:tcPr>
          <w:p w14:paraId="23CB9942" w14:textId="115C4EBA" w:rsidR="00913E2A" w:rsidRPr="00FB38E1" w:rsidRDefault="00913E2A" w:rsidP="00913E2A">
            <w:pPr>
              <w:spacing w:after="0"/>
              <w:jc w:val="right"/>
              <w:rPr>
                <w:rFonts w:ascii="Microsoft Sans Serif" w:eastAsia="Times New Roman" w:hAnsi="Microsoft Sans Serif" w:cs="Microsoft Sans Serif"/>
                <w:b/>
                <w:bCs/>
                <w:color w:val="000000" w:themeColor="text1"/>
                <w:sz w:val="16"/>
                <w:szCs w:val="16"/>
                <w:lang w:eastAsia="tr-TR"/>
              </w:rPr>
            </w:pPr>
            <w:r w:rsidRPr="00FB38E1">
              <w:rPr>
                <w:rFonts w:ascii="Microsoft Sans Serif" w:eastAsia="Times New Roman" w:hAnsi="Microsoft Sans Serif" w:cs="Microsoft Sans Serif"/>
                <w:b/>
                <w:bCs/>
                <w:color w:val="000000" w:themeColor="text1"/>
                <w:sz w:val="16"/>
                <w:szCs w:val="16"/>
                <w:lang w:eastAsia="tr-TR"/>
              </w:rPr>
              <w:t>7.118</w:t>
            </w:r>
          </w:p>
        </w:tc>
      </w:tr>
      <w:tr w:rsidR="00913E2A" w:rsidRPr="00FB38E1" w14:paraId="7D022E73" w14:textId="77777777" w:rsidTr="005308DD">
        <w:trPr>
          <w:trHeight w:val="115"/>
        </w:trPr>
        <w:tc>
          <w:tcPr>
            <w:tcW w:w="6033" w:type="dxa"/>
            <w:tcBorders>
              <w:top w:val="single" w:sz="4" w:space="0" w:color="auto"/>
              <w:left w:val="nil"/>
              <w:right w:val="nil"/>
            </w:tcBorders>
            <w:shd w:val="clear" w:color="auto" w:fill="auto"/>
            <w:noWrap/>
            <w:vAlign w:val="bottom"/>
            <w:hideMark/>
          </w:tcPr>
          <w:p w14:paraId="62A9407A" w14:textId="77777777" w:rsidR="00913E2A" w:rsidRPr="00FB38E1" w:rsidRDefault="00913E2A" w:rsidP="00913E2A">
            <w:pPr>
              <w:spacing w:after="0"/>
              <w:jc w:val="lef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Diğer</w:t>
            </w:r>
          </w:p>
        </w:tc>
        <w:tc>
          <w:tcPr>
            <w:tcW w:w="1803" w:type="dxa"/>
            <w:tcBorders>
              <w:top w:val="single" w:sz="4" w:space="0" w:color="auto"/>
              <w:left w:val="nil"/>
              <w:right w:val="nil"/>
            </w:tcBorders>
            <w:shd w:val="clear" w:color="auto" w:fill="auto"/>
            <w:noWrap/>
            <w:vAlign w:val="bottom"/>
            <w:hideMark/>
          </w:tcPr>
          <w:p w14:paraId="121B7BF0" w14:textId="256F27B1" w:rsidR="00913E2A" w:rsidRPr="00FB38E1" w:rsidRDefault="00C47812" w:rsidP="00913E2A">
            <w:pPr>
              <w:spacing w:after="0"/>
              <w:jc w:val="righ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w:t>
            </w:r>
          </w:p>
        </w:tc>
        <w:tc>
          <w:tcPr>
            <w:tcW w:w="1803" w:type="dxa"/>
            <w:tcBorders>
              <w:top w:val="single" w:sz="4" w:space="0" w:color="auto"/>
              <w:left w:val="nil"/>
              <w:right w:val="nil"/>
            </w:tcBorders>
            <w:shd w:val="clear" w:color="auto" w:fill="auto"/>
            <w:noWrap/>
            <w:vAlign w:val="bottom"/>
            <w:hideMark/>
          </w:tcPr>
          <w:p w14:paraId="436E6414" w14:textId="79EF0909" w:rsidR="00913E2A" w:rsidRPr="00FB38E1" w:rsidRDefault="00913E2A" w:rsidP="00913E2A">
            <w:pPr>
              <w:spacing w:after="0"/>
              <w:jc w:val="right"/>
              <w:rPr>
                <w:rFonts w:ascii="Microsoft Sans Serif" w:eastAsia="Times New Roman" w:hAnsi="Microsoft Sans Serif" w:cs="Microsoft Sans Serif"/>
                <w:color w:val="000000" w:themeColor="text1"/>
                <w:sz w:val="16"/>
                <w:szCs w:val="16"/>
                <w:lang w:eastAsia="tr-TR"/>
              </w:rPr>
            </w:pPr>
            <w:r w:rsidRPr="00FB38E1">
              <w:rPr>
                <w:rFonts w:ascii="Microsoft Sans Serif" w:eastAsia="Times New Roman" w:hAnsi="Microsoft Sans Serif" w:cs="Microsoft Sans Serif"/>
                <w:color w:val="000000" w:themeColor="text1"/>
                <w:sz w:val="16"/>
                <w:szCs w:val="16"/>
                <w:lang w:eastAsia="tr-TR"/>
              </w:rPr>
              <w:t>102.945</w:t>
            </w:r>
          </w:p>
        </w:tc>
      </w:tr>
      <w:tr w:rsidR="00913E2A" w:rsidRPr="00FB38E1" w14:paraId="3F702362" w14:textId="77777777" w:rsidTr="005308DD">
        <w:trPr>
          <w:trHeight w:val="66"/>
        </w:trPr>
        <w:tc>
          <w:tcPr>
            <w:tcW w:w="6033" w:type="dxa"/>
            <w:tcBorders>
              <w:top w:val="nil"/>
              <w:left w:val="nil"/>
              <w:bottom w:val="single" w:sz="4" w:space="0" w:color="auto"/>
              <w:right w:val="nil"/>
            </w:tcBorders>
            <w:shd w:val="clear" w:color="auto" w:fill="auto"/>
            <w:noWrap/>
            <w:vAlign w:val="bottom"/>
            <w:hideMark/>
          </w:tcPr>
          <w:p w14:paraId="57BCF427" w14:textId="77777777" w:rsidR="00913E2A" w:rsidRPr="00FB38E1" w:rsidRDefault="00913E2A" w:rsidP="00913E2A">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Durdurulan Faaliyetlere İlişkin Borçlar</w:t>
            </w:r>
          </w:p>
        </w:tc>
        <w:tc>
          <w:tcPr>
            <w:tcW w:w="1803" w:type="dxa"/>
            <w:tcBorders>
              <w:left w:val="nil"/>
              <w:bottom w:val="single" w:sz="4" w:space="0" w:color="auto"/>
              <w:right w:val="nil"/>
            </w:tcBorders>
            <w:shd w:val="clear" w:color="auto" w:fill="auto"/>
            <w:noWrap/>
            <w:vAlign w:val="bottom"/>
            <w:hideMark/>
          </w:tcPr>
          <w:p w14:paraId="06EF581C" w14:textId="076A8C79" w:rsidR="00913E2A" w:rsidRPr="00FB38E1" w:rsidRDefault="00C47812" w:rsidP="00913E2A">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w:t>
            </w:r>
          </w:p>
        </w:tc>
        <w:tc>
          <w:tcPr>
            <w:tcW w:w="1803" w:type="dxa"/>
            <w:tcBorders>
              <w:left w:val="nil"/>
              <w:bottom w:val="single" w:sz="4" w:space="0" w:color="auto"/>
              <w:right w:val="nil"/>
            </w:tcBorders>
            <w:shd w:val="clear" w:color="auto" w:fill="auto"/>
            <w:noWrap/>
            <w:vAlign w:val="bottom"/>
            <w:hideMark/>
          </w:tcPr>
          <w:p w14:paraId="2713D8C7" w14:textId="7A6621BD" w:rsidR="00913E2A" w:rsidRPr="00FB38E1" w:rsidRDefault="00913E2A" w:rsidP="00913E2A">
            <w:pPr>
              <w:spacing w:after="0"/>
              <w:jc w:val="right"/>
              <w:rPr>
                <w:rFonts w:ascii="Microsoft Sans Serif" w:eastAsia="Times New Roman" w:hAnsi="Microsoft Sans Serif" w:cs="Microsoft Sans Serif"/>
                <w:b/>
                <w:bCs/>
                <w:color w:val="000000" w:themeColor="text1"/>
                <w:sz w:val="16"/>
                <w:szCs w:val="16"/>
                <w:lang w:eastAsia="tr-TR"/>
              </w:rPr>
            </w:pPr>
            <w:r w:rsidRPr="00FB38E1">
              <w:rPr>
                <w:rFonts w:ascii="Microsoft Sans Serif" w:eastAsia="Times New Roman" w:hAnsi="Microsoft Sans Serif" w:cs="Microsoft Sans Serif"/>
                <w:b/>
                <w:bCs/>
                <w:color w:val="000000" w:themeColor="text1"/>
                <w:sz w:val="16"/>
                <w:szCs w:val="16"/>
                <w:lang w:eastAsia="tr-TR"/>
              </w:rPr>
              <w:t>102.945</w:t>
            </w:r>
          </w:p>
        </w:tc>
      </w:tr>
      <w:tr w:rsidR="00913E2A" w:rsidRPr="00FB38E1" w14:paraId="0C6312C5" w14:textId="77777777" w:rsidTr="005308DD">
        <w:trPr>
          <w:trHeight w:val="195"/>
        </w:trPr>
        <w:tc>
          <w:tcPr>
            <w:tcW w:w="6033" w:type="dxa"/>
            <w:tcBorders>
              <w:top w:val="single" w:sz="4" w:space="0" w:color="auto"/>
              <w:left w:val="nil"/>
              <w:right w:val="nil"/>
            </w:tcBorders>
            <w:shd w:val="clear" w:color="auto" w:fill="auto"/>
            <w:noWrap/>
            <w:vAlign w:val="bottom"/>
            <w:hideMark/>
          </w:tcPr>
          <w:p w14:paraId="4C0A3F51" w14:textId="77777777" w:rsidR="00913E2A" w:rsidRPr="00FB38E1" w:rsidRDefault="00913E2A" w:rsidP="00913E2A">
            <w:pPr>
              <w:spacing w:after="0"/>
              <w:jc w:val="right"/>
              <w:rPr>
                <w:rFonts w:ascii="Microsoft Sans Serif" w:eastAsia="Times New Roman" w:hAnsi="Microsoft Sans Serif" w:cs="Microsoft Sans Serif"/>
                <w:b/>
                <w:bCs/>
                <w:color w:val="000000"/>
                <w:sz w:val="16"/>
                <w:szCs w:val="16"/>
                <w:lang w:eastAsia="tr-TR"/>
              </w:rPr>
            </w:pPr>
          </w:p>
        </w:tc>
        <w:tc>
          <w:tcPr>
            <w:tcW w:w="1803" w:type="dxa"/>
            <w:tcBorders>
              <w:top w:val="single" w:sz="4" w:space="0" w:color="auto"/>
              <w:left w:val="nil"/>
              <w:right w:val="nil"/>
            </w:tcBorders>
            <w:shd w:val="clear" w:color="auto" w:fill="auto"/>
            <w:noWrap/>
            <w:vAlign w:val="bottom"/>
            <w:hideMark/>
          </w:tcPr>
          <w:p w14:paraId="402BE2AA" w14:textId="77777777" w:rsidR="00913E2A" w:rsidRPr="00FB38E1" w:rsidRDefault="00913E2A" w:rsidP="00913E2A">
            <w:pPr>
              <w:spacing w:after="0"/>
              <w:jc w:val="left"/>
              <w:rPr>
                <w:rFonts w:ascii="Times New Roman" w:eastAsia="Times New Roman" w:hAnsi="Times New Roman" w:cs="Times New Roman"/>
                <w:sz w:val="20"/>
                <w:szCs w:val="20"/>
                <w:lang w:eastAsia="tr-TR"/>
              </w:rPr>
            </w:pPr>
          </w:p>
        </w:tc>
        <w:tc>
          <w:tcPr>
            <w:tcW w:w="1803" w:type="dxa"/>
            <w:tcBorders>
              <w:top w:val="single" w:sz="4" w:space="0" w:color="auto"/>
              <w:left w:val="nil"/>
              <w:right w:val="nil"/>
            </w:tcBorders>
            <w:shd w:val="clear" w:color="auto" w:fill="auto"/>
            <w:noWrap/>
            <w:vAlign w:val="bottom"/>
            <w:hideMark/>
          </w:tcPr>
          <w:p w14:paraId="6EA35E3C" w14:textId="77777777" w:rsidR="00913E2A" w:rsidRPr="00FB38E1" w:rsidRDefault="00913E2A" w:rsidP="00913E2A">
            <w:pPr>
              <w:spacing w:after="0"/>
              <w:jc w:val="left"/>
              <w:rPr>
                <w:rFonts w:ascii="Times New Roman" w:eastAsia="Times New Roman" w:hAnsi="Times New Roman" w:cs="Times New Roman"/>
                <w:color w:val="000000" w:themeColor="text1"/>
                <w:sz w:val="20"/>
                <w:szCs w:val="20"/>
                <w:lang w:eastAsia="tr-TR"/>
              </w:rPr>
            </w:pPr>
          </w:p>
        </w:tc>
      </w:tr>
      <w:tr w:rsidR="00913E2A" w:rsidRPr="00FB38E1" w14:paraId="4A5D9FD9" w14:textId="77777777" w:rsidTr="005308DD">
        <w:trPr>
          <w:trHeight w:val="121"/>
        </w:trPr>
        <w:tc>
          <w:tcPr>
            <w:tcW w:w="6033" w:type="dxa"/>
            <w:tcBorders>
              <w:top w:val="nil"/>
              <w:left w:val="nil"/>
              <w:bottom w:val="single" w:sz="4" w:space="0" w:color="auto"/>
              <w:right w:val="nil"/>
            </w:tcBorders>
            <w:shd w:val="clear" w:color="auto" w:fill="auto"/>
            <w:noWrap/>
            <w:vAlign w:val="bottom"/>
            <w:hideMark/>
          </w:tcPr>
          <w:p w14:paraId="165503E5" w14:textId="77777777" w:rsidR="00913E2A" w:rsidRPr="00FB38E1" w:rsidRDefault="00913E2A" w:rsidP="00913E2A">
            <w:pPr>
              <w:spacing w:after="0"/>
              <w:jc w:val="left"/>
              <w:rPr>
                <w:rFonts w:ascii="Times New Roman" w:eastAsia="Times New Roman" w:hAnsi="Times New Roman" w:cs="Times New Roman"/>
                <w:sz w:val="20"/>
                <w:szCs w:val="20"/>
                <w:lang w:eastAsia="tr-TR"/>
              </w:rPr>
            </w:pPr>
          </w:p>
        </w:tc>
        <w:tc>
          <w:tcPr>
            <w:tcW w:w="1803" w:type="dxa"/>
            <w:tcBorders>
              <w:top w:val="nil"/>
              <w:left w:val="nil"/>
              <w:bottom w:val="single" w:sz="4" w:space="0" w:color="auto"/>
              <w:right w:val="nil"/>
            </w:tcBorders>
            <w:shd w:val="clear" w:color="auto" w:fill="auto"/>
            <w:noWrap/>
            <w:vAlign w:val="bottom"/>
            <w:hideMark/>
          </w:tcPr>
          <w:p w14:paraId="56832BA0" w14:textId="77777777" w:rsidR="00913E2A" w:rsidRPr="00FB38E1" w:rsidRDefault="00913E2A" w:rsidP="00913E2A">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Cari Dönem</w:t>
            </w:r>
          </w:p>
        </w:tc>
        <w:tc>
          <w:tcPr>
            <w:tcW w:w="1803" w:type="dxa"/>
            <w:tcBorders>
              <w:top w:val="nil"/>
              <w:left w:val="nil"/>
              <w:bottom w:val="single" w:sz="4" w:space="0" w:color="auto"/>
              <w:right w:val="nil"/>
            </w:tcBorders>
            <w:shd w:val="clear" w:color="auto" w:fill="auto"/>
            <w:noWrap/>
            <w:vAlign w:val="bottom"/>
            <w:hideMark/>
          </w:tcPr>
          <w:p w14:paraId="012D8540" w14:textId="5C2AFE92" w:rsidR="00913E2A" w:rsidRPr="00FB38E1" w:rsidRDefault="00913E2A" w:rsidP="00913E2A">
            <w:pPr>
              <w:spacing w:after="0"/>
              <w:jc w:val="right"/>
              <w:rPr>
                <w:rFonts w:ascii="Microsoft Sans Serif" w:eastAsia="Times New Roman" w:hAnsi="Microsoft Sans Serif" w:cs="Microsoft Sans Serif"/>
                <w:b/>
                <w:bCs/>
                <w:color w:val="000000" w:themeColor="text1"/>
                <w:sz w:val="16"/>
                <w:szCs w:val="16"/>
                <w:lang w:eastAsia="tr-TR"/>
              </w:rPr>
            </w:pPr>
            <w:r w:rsidRPr="00FB38E1">
              <w:rPr>
                <w:rFonts w:ascii="Microsoft Sans Serif" w:eastAsia="Times New Roman" w:hAnsi="Microsoft Sans Serif" w:cs="Microsoft Sans Serif"/>
                <w:b/>
                <w:bCs/>
                <w:color w:val="000000" w:themeColor="text1"/>
                <w:sz w:val="16"/>
                <w:szCs w:val="16"/>
                <w:lang w:eastAsia="tr-TR"/>
              </w:rPr>
              <w:t>Önceki Dönem</w:t>
            </w:r>
          </w:p>
        </w:tc>
      </w:tr>
      <w:tr w:rsidR="00913E2A" w:rsidRPr="00FB38E1" w14:paraId="194BD61E" w14:textId="77777777" w:rsidTr="005A5C6C">
        <w:trPr>
          <w:trHeight w:val="71"/>
        </w:trPr>
        <w:tc>
          <w:tcPr>
            <w:tcW w:w="6033" w:type="dxa"/>
            <w:tcBorders>
              <w:top w:val="single" w:sz="4" w:space="0" w:color="auto"/>
              <w:left w:val="nil"/>
              <w:bottom w:val="nil"/>
              <w:right w:val="nil"/>
            </w:tcBorders>
            <w:shd w:val="clear" w:color="auto" w:fill="auto"/>
            <w:noWrap/>
            <w:vAlign w:val="bottom"/>
            <w:hideMark/>
          </w:tcPr>
          <w:p w14:paraId="04CA1922" w14:textId="77777777" w:rsidR="00913E2A" w:rsidRPr="00FB38E1" w:rsidRDefault="00913E2A" w:rsidP="00913E2A">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Durdurulan Faaliyetlerden Elde Edilen Gelir ve Giderler</w:t>
            </w:r>
          </w:p>
        </w:tc>
        <w:tc>
          <w:tcPr>
            <w:tcW w:w="1803" w:type="dxa"/>
            <w:tcBorders>
              <w:top w:val="single" w:sz="4" w:space="0" w:color="auto"/>
              <w:left w:val="nil"/>
              <w:bottom w:val="nil"/>
              <w:right w:val="nil"/>
            </w:tcBorders>
            <w:shd w:val="clear" w:color="auto" w:fill="auto"/>
            <w:noWrap/>
            <w:vAlign w:val="bottom"/>
            <w:hideMark/>
          </w:tcPr>
          <w:p w14:paraId="5832EF5D" w14:textId="77777777" w:rsidR="00913E2A" w:rsidRPr="00FB38E1" w:rsidRDefault="00913E2A" w:rsidP="00913E2A">
            <w:pPr>
              <w:spacing w:after="0"/>
              <w:jc w:val="left"/>
              <w:rPr>
                <w:rFonts w:ascii="Microsoft Sans Serif" w:eastAsia="Times New Roman" w:hAnsi="Microsoft Sans Serif" w:cs="Microsoft Sans Serif"/>
                <w:b/>
                <w:bCs/>
                <w:color w:val="000000"/>
                <w:sz w:val="16"/>
                <w:szCs w:val="16"/>
                <w:lang w:eastAsia="tr-TR"/>
              </w:rPr>
            </w:pPr>
          </w:p>
        </w:tc>
        <w:tc>
          <w:tcPr>
            <w:tcW w:w="1803" w:type="dxa"/>
            <w:tcBorders>
              <w:top w:val="single" w:sz="4" w:space="0" w:color="auto"/>
              <w:left w:val="nil"/>
              <w:bottom w:val="nil"/>
              <w:right w:val="nil"/>
            </w:tcBorders>
            <w:shd w:val="clear" w:color="auto" w:fill="auto"/>
            <w:noWrap/>
            <w:vAlign w:val="bottom"/>
            <w:hideMark/>
          </w:tcPr>
          <w:p w14:paraId="35159D99" w14:textId="77777777" w:rsidR="00913E2A" w:rsidRPr="00FB38E1" w:rsidRDefault="00913E2A" w:rsidP="00913E2A">
            <w:pPr>
              <w:spacing w:after="0"/>
              <w:jc w:val="left"/>
              <w:rPr>
                <w:rFonts w:ascii="Times New Roman" w:eastAsia="Times New Roman" w:hAnsi="Times New Roman" w:cs="Times New Roman"/>
                <w:color w:val="000000" w:themeColor="text1"/>
                <w:sz w:val="20"/>
                <w:szCs w:val="20"/>
                <w:lang w:eastAsia="tr-TR"/>
              </w:rPr>
            </w:pPr>
          </w:p>
        </w:tc>
      </w:tr>
      <w:tr w:rsidR="008B1EDF" w:rsidRPr="00FB38E1" w14:paraId="2354DAEA" w14:textId="77777777" w:rsidTr="001F0C0D">
        <w:trPr>
          <w:trHeight w:val="95"/>
        </w:trPr>
        <w:tc>
          <w:tcPr>
            <w:tcW w:w="6033" w:type="dxa"/>
            <w:tcBorders>
              <w:top w:val="nil"/>
              <w:left w:val="nil"/>
              <w:bottom w:val="nil"/>
              <w:right w:val="nil"/>
            </w:tcBorders>
            <w:shd w:val="clear" w:color="auto" w:fill="auto"/>
            <w:noWrap/>
            <w:vAlign w:val="bottom"/>
            <w:hideMark/>
          </w:tcPr>
          <w:p w14:paraId="0D620715" w14:textId="77777777" w:rsidR="008B1EDF" w:rsidRPr="00FB38E1" w:rsidRDefault="008B1EDF" w:rsidP="008B1EDF">
            <w:pPr>
              <w:spacing w:after="0"/>
              <w:jc w:val="lef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Ticari kar/zarar net</w:t>
            </w:r>
          </w:p>
        </w:tc>
        <w:tc>
          <w:tcPr>
            <w:tcW w:w="1803" w:type="dxa"/>
            <w:tcBorders>
              <w:top w:val="nil"/>
              <w:left w:val="nil"/>
              <w:bottom w:val="nil"/>
              <w:right w:val="nil"/>
            </w:tcBorders>
            <w:shd w:val="clear" w:color="auto" w:fill="auto"/>
            <w:noWrap/>
            <w:vAlign w:val="bottom"/>
            <w:hideMark/>
          </w:tcPr>
          <w:p w14:paraId="04B65D5D" w14:textId="12291BB1" w:rsidR="008B1EDF" w:rsidRPr="00FB38E1" w:rsidRDefault="008B1EDF" w:rsidP="008B1EDF">
            <w:pPr>
              <w:spacing w:after="0"/>
              <w:jc w:val="righ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w:t>
            </w:r>
          </w:p>
        </w:tc>
        <w:tc>
          <w:tcPr>
            <w:tcW w:w="1803" w:type="dxa"/>
            <w:tcBorders>
              <w:top w:val="nil"/>
              <w:left w:val="nil"/>
              <w:bottom w:val="nil"/>
              <w:right w:val="nil"/>
            </w:tcBorders>
            <w:shd w:val="clear" w:color="auto" w:fill="auto"/>
            <w:noWrap/>
            <w:vAlign w:val="bottom"/>
            <w:hideMark/>
          </w:tcPr>
          <w:p w14:paraId="63287D1E" w14:textId="466162DA" w:rsidR="008B1EDF" w:rsidRPr="00FB38E1" w:rsidRDefault="00FD6F98" w:rsidP="008B1EDF">
            <w:pPr>
              <w:spacing w:after="0"/>
              <w:jc w:val="right"/>
              <w:rPr>
                <w:rFonts w:ascii="Microsoft Sans Serif" w:eastAsia="Times New Roman" w:hAnsi="Microsoft Sans Serif" w:cs="Microsoft Sans Serif"/>
                <w:color w:val="000000" w:themeColor="text1"/>
                <w:sz w:val="16"/>
                <w:szCs w:val="16"/>
                <w:lang w:eastAsia="tr-TR"/>
              </w:rPr>
            </w:pPr>
            <w:r w:rsidRPr="00FB38E1">
              <w:rPr>
                <w:rFonts w:ascii="Microsoft Sans Serif" w:eastAsia="Times New Roman" w:hAnsi="Microsoft Sans Serif" w:cs="Microsoft Sans Serif"/>
                <w:color w:val="000000" w:themeColor="text1"/>
                <w:sz w:val="16"/>
                <w:szCs w:val="16"/>
                <w:lang w:eastAsia="tr-TR"/>
              </w:rPr>
              <w:t>(79.750)</w:t>
            </w:r>
          </w:p>
        </w:tc>
      </w:tr>
      <w:tr w:rsidR="008B1EDF" w:rsidRPr="00FB38E1" w14:paraId="13B430FC" w14:textId="77777777" w:rsidTr="005308DD">
        <w:trPr>
          <w:trHeight w:val="197"/>
        </w:trPr>
        <w:tc>
          <w:tcPr>
            <w:tcW w:w="6033" w:type="dxa"/>
            <w:tcBorders>
              <w:top w:val="nil"/>
              <w:left w:val="nil"/>
              <w:right w:val="nil"/>
            </w:tcBorders>
            <w:shd w:val="clear" w:color="auto" w:fill="auto"/>
            <w:noWrap/>
            <w:vAlign w:val="bottom"/>
            <w:hideMark/>
          </w:tcPr>
          <w:p w14:paraId="095F15E2" w14:textId="400F45E9" w:rsidR="008B1EDF" w:rsidRPr="00FB38E1" w:rsidRDefault="00FD6F98" w:rsidP="008B1EDF">
            <w:pPr>
              <w:spacing w:after="0"/>
              <w:jc w:val="lef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Diğer faaliyet gelirleri</w:t>
            </w:r>
          </w:p>
        </w:tc>
        <w:tc>
          <w:tcPr>
            <w:tcW w:w="1803" w:type="dxa"/>
            <w:tcBorders>
              <w:top w:val="nil"/>
              <w:left w:val="nil"/>
              <w:right w:val="nil"/>
            </w:tcBorders>
            <w:shd w:val="clear" w:color="auto" w:fill="auto"/>
            <w:noWrap/>
            <w:vAlign w:val="bottom"/>
            <w:hideMark/>
          </w:tcPr>
          <w:p w14:paraId="1FD72E89" w14:textId="22A56B9D" w:rsidR="008B1EDF" w:rsidRPr="00FB38E1" w:rsidRDefault="008B1EDF" w:rsidP="008B1EDF">
            <w:pPr>
              <w:spacing w:after="0"/>
              <w:jc w:val="righ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w:t>
            </w:r>
          </w:p>
        </w:tc>
        <w:tc>
          <w:tcPr>
            <w:tcW w:w="1803" w:type="dxa"/>
            <w:tcBorders>
              <w:top w:val="nil"/>
              <w:left w:val="nil"/>
              <w:right w:val="nil"/>
            </w:tcBorders>
            <w:shd w:val="clear" w:color="auto" w:fill="auto"/>
            <w:noWrap/>
            <w:vAlign w:val="bottom"/>
            <w:hideMark/>
          </w:tcPr>
          <w:p w14:paraId="1D20F06C" w14:textId="4A833012" w:rsidR="008B1EDF" w:rsidRPr="00FB38E1" w:rsidRDefault="00FD6F98" w:rsidP="008B1EDF">
            <w:pPr>
              <w:spacing w:after="0"/>
              <w:jc w:val="right"/>
              <w:rPr>
                <w:rFonts w:ascii="Microsoft Sans Serif" w:eastAsia="Times New Roman" w:hAnsi="Microsoft Sans Serif" w:cs="Microsoft Sans Serif"/>
                <w:color w:val="000000" w:themeColor="text1"/>
                <w:sz w:val="16"/>
                <w:szCs w:val="16"/>
                <w:lang w:eastAsia="tr-TR"/>
              </w:rPr>
            </w:pPr>
            <w:r w:rsidRPr="00FB38E1">
              <w:rPr>
                <w:rFonts w:ascii="Microsoft Sans Serif" w:eastAsia="Times New Roman" w:hAnsi="Microsoft Sans Serif" w:cs="Microsoft Sans Serif"/>
                <w:color w:val="000000" w:themeColor="text1"/>
                <w:sz w:val="16"/>
                <w:szCs w:val="16"/>
                <w:lang w:eastAsia="tr-TR"/>
              </w:rPr>
              <w:t>(128.324)</w:t>
            </w:r>
          </w:p>
        </w:tc>
      </w:tr>
      <w:tr w:rsidR="008B1EDF" w:rsidRPr="00FB38E1" w14:paraId="6172C75C" w14:textId="77777777" w:rsidTr="005308DD">
        <w:trPr>
          <w:trHeight w:val="133"/>
        </w:trPr>
        <w:tc>
          <w:tcPr>
            <w:tcW w:w="6033" w:type="dxa"/>
            <w:tcBorders>
              <w:top w:val="nil"/>
              <w:left w:val="nil"/>
              <w:bottom w:val="single" w:sz="4" w:space="0" w:color="auto"/>
              <w:right w:val="nil"/>
            </w:tcBorders>
            <w:shd w:val="clear" w:color="auto" w:fill="auto"/>
            <w:noWrap/>
            <w:vAlign w:val="bottom"/>
            <w:hideMark/>
          </w:tcPr>
          <w:p w14:paraId="02C7ED8C" w14:textId="77777777" w:rsidR="008B1EDF" w:rsidRPr="00FB38E1" w:rsidRDefault="008B1EDF" w:rsidP="008B1EDF">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Durdurulan faaliyetler vergi öncesi kar/zarar</w:t>
            </w:r>
          </w:p>
        </w:tc>
        <w:tc>
          <w:tcPr>
            <w:tcW w:w="1803" w:type="dxa"/>
            <w:tcBorders>
              <w:left w:val="nil"/>
              <w:bottom w:val="single" w:sz="4" w:space="0" w:color="auto"/>
              <w:right w:val="nil"/>
            </w:tcBorders>
            <w:shd w:val="clear" w:color="auto" w:fill="auto"/>
            <w:noWrap/>
            <w:vAlign w:val="bottom"/>
            <w:hideMark/>
          </w:tcPr>
          <w:p w14:paraId="4AF0B79A" w14:textId="7BA25910" w:rsidR="008B1EDF" w:rsidRPr="00FB38E1" w:rsidRDefault="008B1EDF" w:rsidP="008B1EDF">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w:t>
            </w:r>
          </w:p>
        </w:tc>
        <w:tc>
          <w:tcPr>
            <w:tcW w:w="1803" w:type="dxa"/>
            <w:tcBorders>
              <w:left w:val="nil"/>
              <w:bottom w:val="single" w:sz="4" w:space="0" w:color="auto"/>
              <w:right w:val="nil"/>
            </w:tcBorders>
            <w:shd w:val="clear" w:color="auto" w:fill="auto"/>
            <w:noWrap/>
            <w:vAlign w:val="bottom"/>
            <w:hideMark/>
          </w:tcPr>
          <w:p w14:paraId="0FC05B14" w14:textId="1D5C0791" w:rsidR="008B1EDF" w:rsidRPr="00FB38E1" w:rsidRDefault="00FD6F98" w:rsidP="008B1EDF">
            <w:pPr>
              <w:spacing w:after="0"/>
              <w:jc w:val="right"/>
              <w:rPr>
                <w:rFonts w:ascii="Microsoft Sans Serif" w:eastAsia="Times New Roman" w:hAnsi="Microsoft Sans Serif" w:cs="Microsoft Sans Serif"/>
                <w:b/>
                <w:bCs/>
                <w:color w:val="000000" w:themeColor="text1"/>
                <w:sz w:val="16"/>
                <w:szCs w:val="16"/>
                <w:lang w:eastAsia="tr-TR"/>
              </w:rPr>
            </w:pPr>
            <w:r w:rsidRPr="00FB38E1">
              <w:rPr>
                <w:rFonts w:ascii="Microsoft Sans Serif" w:eastAsia="Times New Roman" w:hAnsi="Microsoft Sans Serif" w:cs="Microsoft Sans Serif"/>
                <w:b/>
                <w:bCs/>
                <w:color w:val="000000" w:themeColor="text1"/>
                <w:sz w:val="16"/>
                <w:szCs w:val="16"/>
                <w:lang w:eastAsia="tr-TR"/>
              </w:rPr>
              <w:t>(208.074)</w:t>
            </w:r>
          </w:p>
        </w:tc>
      </w:tr>
      <w:tr w:rsidR="008B1EDF" w:rsidRPr="00FB38E1" w14:paraId="32D7057E" w14:textId="77777777" w:rsidTr="005308DD">
        <w:trPr>
          <w:trHeight w:val="89"/>
        </w:trPr>
        <w:tc>
          <w:tcPr>
            <w:tcW w:w="6033" w:type="dxa"/>
            <w:tcBorders>
              <w:top w:val="single" w:sz="4" w:space="0" w:color="auto"/>
              <w:left w:val="nil"/>
              <w:right w:val="nil"/>
            </w:tcBorders>
            <w:shd w:val="clear" w:color="auto" w:fill="auto"/>
            <w:noWrap/>
            <w:vAlign w:val="bottom"/>
            <w:hideMark/>
          </w:tcPr>
          <w:p w14:paraId="0B56FE00" w14:textId="77777777" w:rsidR="008B1EDF" w:rsidRPr="00FB38E1" w:rsidRDefault="008B1EDF" w:rsidP="008B1EDF">
            <w:pPr>
              <w:spacing w:after="0"/>
              <w:jc w:val="lef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Durdurulan faaliyet ertelenmiş vergi gideri</w:t>
            </w:r>
          </w:p>
        </w:tc>
        <w:tc>
          <w:tcPr>
            <w:tcW w:w="1803" w:type="dxa"/>
            <w:tcBorders>
              <w:top w:val="single" w:sz="4" w:space="0" w:color="auto"/>
              <w:left w:val="nil"/>
              <w:right w:val="nil"/>
            </w:tcBorders>
            <w:shd w:val="clear" w:color="auto" w:fill="auto"/>
            <w:noWrap/>
            <w:vAlign w:val="bottom"/>
            <w:hideMark/>
          </w:tcPr>
          <w:p w14:paraId="235AF6DB" w14:textId="0A3998E9" w:rsidR="008B1EDF" w:rsidRPr="00FB38E1" w:rsidRDefault="008B1EDF" w:rsidP="008B1EDF">
            <w:pPr>
              <w:spacing w:after="0"/>
              <w:jc w:val="right"/>
              <w:rPr>
                <w:rFonts w:ascii="Microsoft Sans Serif" w:eastAsia="Times New Roman" w:hAnsi="Microsoft Sans Serif" w:cs="Microsoft Sans Serif"/>
                <w:color w:val="000000"/>
                <w:sz w:val="16"/>
                <w:szCs w:val="16"/>
                <w:lang w:eastAsia="tr-TR"/>
              </w:rPr>
            </w:pPr>
            <w:r w:rsidRPr="00FB38E1">
              <w:rPr>
                <w:rFonts w:ascii="Microsoft Sans Serif" w:eastAsia="Times New Roman" w:hAnsi="Microsoft Sans Serif" w:cs="Microsoft Sans Serif"/>
                <w:color w:val="000000"/>
                <w:sz w:val="16"/>
                <w:szCs w:val="16"/>
                <w:lang w:eastAsia="tr-TR"/>
              </w:rPr>
              <w:t>--</w:t>
            </w:r>
          </w:p>
        </w:tc>
        <w:tc>
          <w:tcPr>
            <w:tcW w:w="1803" w:type="dxa"/>
            <w:tcBorders>
              <w:top w:val="single" w:sz="4" w:space="0" w:color="auto"/>
              <w:left w:val="nil"/>
              <w:right w:val="nil"/>
            </w:tcBorders>
            <w:shd w:val="clear" w:color="auto" w:fill="auto"/>
            <w:noWrap/>
            <w:vAlign w:val="bottom"/>
            <w:hideMark/>
          </w:tcPr>
          <w:p w14:paraId="73BCF384" w14:textId="1BD7A277" w:rsidR="008B1EDF" w:rsidRPr="00FB38E1" w:rsidRDefault="00FD6F98" w:rsidP="00F12288">
            <w:pPr>
              <w:spacing w:after="0"/>
              <w:jc w:val="right"/>
              <w:rPr>
                <w:rFonts w:ascii="Microsoft Sans Serif" w:eastAsia="Times New Roman" w:hAnsi="Microsoft Sans Serif" w:cs="Microsoft Sans Serif"/>
                <w:color w:val="000000" w:themeColor="text1"/>
                <w:sz w:val="16"/>
                <w:szCs w:val="16"/>
                <w:lang w:eastAsia="tr-TR"/>
              </w:rPr>
            </w:pPr>
            <w:r w:rsidRPr="00FB38E1">
              <w:rPr>
                <w:rFonts w:ascii="Microsoft Sans Serif" w:eastAsia="Times New Roman" w:hAnsi="Microsoft Sans Serif" w:cs="Microsoft Sans Serif"/>
                <w:color w:val="000000" w:themeColor="text1"/>
                <w:sz w:val="16"/>
                <w:szCs w:val="16"/>
                <w:lang w:eastAsia="tr-TR"/>
              </w:rPr>
              <w:t>59.404</w:t>
            </w:r>
          </w:p>
        </w:tc>
      </w:tr>
      <w:tr w:rsidR="008B1EDF" w:rsidRPr="00FB38E1" w14:paraId="11929FE7" w14:textId="77777777" w:rsidTr="001F0C0D">
        <w:trPr>
          <w:trHeight w:val="60"/>
        </w:trPr>
        <w:tc>
          <w:tcPr>
            <w:tcW w:w="6033" w:type="dxa"/>
            <w:tcBorders>
              <w:left w:val="nil"/>
              <w:bottom w:val="thickThinSmallGap" w:sz="24" w:space="0" w:color="auto"/>
              <w:right w:val="nil"/>
            </w:tcBorders>
            <w:shd w:val="clear" w:color="auto" w:fill="auto"/>
            <w:noWrap/>
            <w:vAlign w:val="bottom"/>
            <w:hideMark/>
          </w:tcPr>
          <w:p w14:paraId="7DFA7408" w14:textId="77777777" w:rsidR="008B1EDF" w:rsidRPr="00FB38E1" w:rsidRDefault="008B1EDF" w:rsidP="008B1EDF">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Durdurulan Faaliyetler Dönem Net Kar/Zarar</w:t>
            </w:r>
          </w:p>
        </w:tc>
        <w:tc>
          <w:tcPr>
            <w:tcW w:w="1803" w:type="dxa"/>
            <w:tcBorders>
              <w:left w:val="nil"/>
              <w:bottom w:val="thickThinSmallGap" w:sz="24" w:space="0" w:color="auto"/>
              <w:right w:val="nil"/>
            </w:tcBorders>
            <w:shd w:val="clear" w:color="auto" w:fill="auto"/>
            <w:noWrap/>
            <w:vAlign w:val="bottom"/>
            <w:hideMark/>
          </w:tcPr>
          <w:p w14:paraId="0C425F21" w14:textId="0E3FD195" w:rsidR="008B1EDF" w:rsidRPr="00FB38E1" w:rsidRDefault="008B1EDF" w:rsidP="008B1EDF">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w:t>
            </w:r>
          </w:p>
        </w:tc>
        <w:tc>
          <w:tcPr>
            <w:tcW w:w="1803" w:type="dxa"/>
            <w:tcBorders>
              <w:left w:val="nil"/>
              <w:bottom w:val="thickThinSmallGap" w:sz="24" w:space="0" w:color="auto"/>
              <w:right w:val="nil"/>
            </w:tcBorders>
            <w:shd w:val="clear" w:color="auto" w:fill="auto"/>
            <w:noWrap/>
            <w:vAlign w:val="bottom"/>
            <w:hideMark/>
          </w:tcPr>
          <w:p w14:paraId="69483127" w14:textId="0F46CEF4" w:rsidR="008B1EDF" w:rsidRPr="00FB38E1" w:rsidRDefault="00FD6F98" w:rsidP="008B1EDF">
            <w:pPr>
              <w:spacing w:after="0"/>
              <w:jc w:val="right"/>
              <w:rPr>
                <w:rFonts w:ascii="Microsoft Sans Serif" w:eastAsia="Times New Roman" w:hAnsi="Microsoft Sans Serif" w:cs="Microsoft Sans Serif"/>
                <w:b/>
                <w:bCs/>
                <w:color w:val="000000" w:themeColor="text1"/>
                <w:sz w:val="16"/>
                <w:szCs w:val="16"/>
                <w:lang w:eastAsia="tr-TR"/>
              </w:rPr>
            </w:pPr>
            <w:r w:rsidRPr="00FB38E1">
              <w:rPr>
                <w:rFonts w:ascii="Microsoft Sans Serif" w:eastAsia="Times New Roman" w:hAnsi="Microsoft Sans Serif" w:cs="Microsoft Sans Serif"/>
                <w:b/>
                <w:bCs/>
                <w:color w:val="000000" w:themeColor="text1"/>
                <w:sz w:val="16"/>
                <w:szCs w:val="16"/>
                <w:lang w:eastAsia="tr-TR"/>
              </w:rPr>
              <w:t>(148.670)</w:t>
            </w:r>
          </w:p>
        </w:tc>
      </w:tr>
    </w:tbl>
    <w:p w14:paraId="26B1EF78" w14:textId="184691A4" w:rsidR="00393EBE" w:rsidRPr="00FB38E1" w:rsidRDefault="00393EBE" w:rsidP="007A5CA1">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rPr>
        <w:t>Şerefiye ve diğer maddi olmayan duran varlıklara ilişkin açıklamalar</w:t>
      </w:r>
    </w:p>
    <w:p w14:paraId="133C8BAA" w14:textId="77777777" w:rsidR="00393EBE" w:rsidRPr="00FB38E1" w:rsidRDefault="000B4201" w:rsidP="00076C9E">
      <w:pPr>
        <w:pStyle w:val="BDDKbalk1"/>
        <w:numPr>
          <w:ilvl w:val="0"/>
          <w:numId w:val="10"/>
        </w:numPr>
        <w:spacing w:before="120" w:line="240" w:lineRule="exact"/>
        <w:ind w:left="0" w:hanging="567"/>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sz w:val="20"/>
          <w:szCs w:val="20"/>
        </w:rPr>
        <w:t>Şerefiye</w:t>
      </w:r>
    </w:p>
    <w:p w14:paraId="14C6ADA9" w14:textId="051DC07A" w:rsidR="000B4201" w:rsidRPr="00FB38E1" w:rsidRDefault="0054661A" w:rsidP="0068091D">
      <w:pPr>
        <w:pStyle w:val="PlainText"/>
        <w:spacing w:before="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Şerefiye, satın alma maliyeti ile, satın alınan işletmenin</w:t>
      </w:r>
      <w:r w:rsidRPr="00FB38E1">
        <w:rPr>
          <w:rFonts w:ascii="Microsoft Sans Serif" w:hAnsi="Microsoft Sans Serif" w:cs="Microsoft Sans Serif"/>
          <w:color w:val="404040" w:themeColor="text1" w:themeTint="BF"/>
          <w:sz w:val="20"/>
          <w:szCs w:val="20"/>
          <w:lang w:val="tr-TR"/>
        </w:rPr>
        <w:t>/operasyonun</w:t>
      </w:r>
      <w:r w:rsidRPr="00FB38E1">
        <w:rPr>
          <w:rFonts w:ascii="Microsoft Sans Serif" w:hAnsi="Microsoft Sans Serif" w:cs="Microsoft Sans Serif"/>
          <w:color w:val="404040" w:themeColor="text1" w:themeTint="BF"/>
          <w:sz w:val="20"/>
          <w:szCs w:val="20"/>
        </w:rPr>
        <w:t xml:space="preserve"> tanımlanabilir varlık, yükümlülük ve</w:t>
      </w:r>
      <w:r w:rsidRPr="00FB38E1">
        <w:rPr>
          <w:rFonts w:ascii="Microsoft Sans Serif" w:hAnsi="Microsoft Sans Serif" w:cs="Microsoft Sans Serif"/>
          <w:color w:val="404040" w:themeColor="text1" w:themeTint="BF"/>
          <w:sz w:val="20"/>
          <w:szCs w:val="20"/>
          <w:lang w:val="tr-TR"/>
        </w:rPr>
        <w:t xml:space="preserve"> </w:t>
      </w:r>
      <w:r w:rsidRPr="00FB38E1">
        <w:rPr>
          <w:rFonts w:ascii="Microsoft Sans Serif" w:hAnsi="Microsoft Sans Serif" w:cs="Microsoft Sans Serif"/>
          <w:color w:val="404040" w:themeColor="text1" w:themeTint="BF"/>
          <w:sz w:val="20"/>
          <w:szCs w:val="20"/>
        </w:rPr>
        <w:t>koşullu yükümlülüklerinin gerçeğe uygun değeri arasındaki farktır ve satın alan işletmenin tek</w:t>
      </w:r>
      <w:r w:rsidRPr="00FB38E1">
        <w:rPr>
          <w:rFonts w:ascii="Microsoft Sans Serif" w:hAnsi="Microsoft Sans Serif" w:cs="Microsoft Sans Serif"/>
          <w:color w:val="404040" w:themeColor="text1" w:themeTint="BF"/>
          <w:sz w:val="20"/>
          <w:szCs w:val="20"/>
          <w:lang w:val="tr-TR"/>
        </w:rPr>
        <w:t xml:space="preserve"> </w:t>
      </w:r>
      <w:r w:rsidRPr="00FB38E1">
        <w:rPr>
          <w:rFonts w:ascii="Microsoft Sans Serif" w:hAnsi="Microsoft Sans Serif" w:cs="Microsoft Sans Serif"/>
          <w:color w:val="404040" w:themeColor="text1" w:themeTint="BF"/>
          <w:sz w:val="20"/>
          <w:szCs w:val="20"/>
        </w:rPr>
        <w:t>başına tanımlanabilir ve ayrı ayrı muhasebeleştirilebilir olmayan varlıklardan gelecekte fayda</w:t>
      </w:r>
      <w:r w:rsidRPr="00FB38E1">
        <w:rPr>
          <w:rFonts w:ascii="Microsoft Sans Serif" w:hAnsi="Microsoft Sans Serif" w:cs="Microsoft Sans Serif"/>
          <w:color w:val="404040" w:themeColor="text1" w:themeTint="BF"/>
          <w:sz w:val="20"/>
          <w:szCs w:val="20"/>
          <w:lang w:val="tr-TR"/>
        </w:rPr>
        <w:t xml:space="preserve"> </w:t>
      </w:r>
      <w:r w:rsidRPr="00FB38E1">
        <w:rPr>
          <w:rFonts w:ascii="Microsoft Sans Serif" w:hAnsi="Microsoft Sans Serif" w:cs="Microsoft Sans Serif"/>
          <w:color w:val="404040" w:themeColor="text1" w:themeTint="BF"/>
          <w:sz w:val="20"/>
          <w:szCs w:val="20"/>
        </w:rPr>
        <w:t>elde etme beklentisi ile yaptığı ödemeyi temsil eder. İşletme birleşmelerinde satın alınan</w:t>
      </w:r>
      <w:r w:rsidRPr="00FB38E1">
        <w:rPr>
          <w:rFonts w:ascii="Microsoft Sans Serif" w:hAnsi="Microsoft Sans Serif" w:cs="Microsoft Sans Serif"/>
          <w:color w:val="404040" w:themeColor="text1" w:themeTint="BF"/>
          <w:sz w:val="20"/>
          <w:szCs w:val="20"/>
          <w:lang w:val="tr-TR"/>
        </w:rPr>
        <w:t xml:space="preserve"> </w:t>
      </w:r>
      <w:r w:rsidRPr="00FB38E1">
        <w:rPr>
          <w:rFonts w:ascii="Microsoft Sans Serif" w:hAnsi="Microsoft Sans Serif" w:cs="Microsoft Sans Serif"/>
          <w:color w:val="404040" w:themeColor="text1" w:themeTint="BF"/>
          <w:sz w:val="20"/>
          <w:szCs w:val="20"/>
        </w:rPr>
        <w:t>işletmenin finansal tablolarında yer almayan; ancak şerefiyenin içerisinden ayrılabilme özelliğine</w:t>
      </w:r>
      <w:r w:rsidRPr="00FB38E1">
        <w:rPr>
          <w:rFonts w:ascii="Microsoft Sans Serif" w:hAnsi="Microsoft Sans Serif" w:cs="Microsoft Sans Serif"/>
          <w:color w:val="404040" w:themeColor="text1" w:themeTint="BF"/>
          <w:sz w:val="20"/>
          <w:szCs w:val="20"/>
          <w:lang w:val="tr-TR"/>
        </w:rPr>
        <w:t xml:space="preserve"> </w:t>
      </w:r>
      <w:r w:rsidRPr="00FB38E1">
        <w:rPr>
          <w:rFonts w:ascii="Microsoft Sans Serif" w:hAnsi="Microsoft Sans Serif" w:cs="Microsoft Sans Serif"/>
          <w:color w:val="404040" w:themeColor="text1" w:themeTint="BF"/>
          <w:sz w:val="20"/>
          <w:szCs w:val="20"/>
        </w:rPr>
        <w:t>sahip varlıklar, maddi olmayan duran varlıklar (</w:t>
      </w:r>
      <w:r w:rsidR="00CB17A8" w:rsidRPr="00FB38E1">
        <w:rPr>
          <w:rFonts w:ascii="Microsoft Sans Serif" w:hAnsi="Microsoft Sans Serif" w:cs="Microsoft Sans Serif"/>
          <w:color w:val="404040" w:themeColor="text1" w:themeTint="BF"/>
          <w:sz w:val="20"/>
          <w:szCs w:val="20"/>
          <w:lang w:val="tr-TR"/>
        </w:rPr>
        <w:t>k</w:t>
      </w:r>
      <w:r w:rsidRPr="00FB38E1">
        <w:rPr>
          <w:rFonts w:ascii="Microsoft Sans Serif" w:hAnsi="Microsoft Sans Serif" w:cs="Microsoft Sans Serif"/>
          <w:color w:val="404040" w:themeColor="text1" w:themeTint="BF"/>
          <w:sz w:val="20"/>
          <w:szCs w:val="20"/>
        </w:rPr>
        <w:t>redi kartı marka değeri ve</w:t>
      </w:r>
      <w:r w:rsidRPr="00FB38E1">
        <w:rPr>
          <w:rFonts w:ascii="Microsoft Sans Serif" w:hAnsi="Microsoft Sans Serif" w:cs="Microsoft Sans Serif"/>
          <w:color w:val="404040" w:themeColor="text1" w:themeTint="BF"/>
          <w:sz w:val="20"/>
          <w:szCs w:val="20"/>
          <w:lang w:val="tr-TR"/>
        </w:rPr>
        <w:t xml:space="preserve"> </w:t>
      </w:r>
      <w:r w:rsidRPr="00FB38E1">
        <w:rPr>
          <w:rFonts w:ascii="Microsoft Sans Serif" w:hAnsi="Microsoft Sans Serif" w:cs="Microsoft Sans Serif"/>
          <w:color w:val="404040" w:themeColor="text1" w:themeTint="BF"/>
          <w:sz w:val="20"/>
          <w:szCs w:val="20"/>
        </w:rPr>
        <w:t>müşteri portföyü gibi) ve/veya şarta bağlı yükümlülükler makul değerleri ile finansal tablolara</w:t>
      </w:r>
      <w:r w:rsidRPr="00FB38E1">
        <w:rPr>
          <w:rFonts w:ascii="Microsoft Sans Serif" w:hAnsi="Microsoft Sans Serif" w:cs="Microsoft Sans Serif"/>
          <w:color w:val="404040" w:themeColor="text1" w:themeTint="BF"/>
          <w:sz w:val="20"/>
          <w:szCs w:val="20"/>
          <w:lang w:val="tr-TR"/>
        </w:rPr>
        <w:t xml:space="preserve"> </w:t>
      </w:r>
      <w:r w:rsidRPr="00FB38E1">
        <w:rPr>
          <w:rFonts w:ascii="Microsoft Sans Serif" w:hAnsi="Microsoft Sans Serif" w:cs="Microsoft Sans Serif"/>
          <w:color w:val="404040" w:themeColor="text1" w:themeTint="BF"/>
          <w:sz w:val="20"/>
          <w:szCs w:val="20"/>
        </w:rPr>
        <w:t>yansıtılır</w:t>
      </w:r>
      <w:r w:rsidR="000B4201" w:rsidRPr="00FB38E1">
        <w:rPr>
          <w:rFonts w:ascii="Microsoft Sans Serif" w:hAnsi="Microsoft Sans Serif" w:cs="Microsoft Sans Serif"/>
          <w:color w:val="404040" w:themeColor="text1" w:themeTint="BF"/>
          <w:sz w:val="20"/>
          <w:szCs w:val="20"/>
        </w:rPr>
        <w:t>.</w:t>
      </w:r>
    </w:p>
    <w:p w14:paraId="2500E903" w14:textId="073C03AF" w:rsidR="000B4201" w:rsidRPr="00FB38E1" w:rsidRDefault="000B4201"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“TFRS 3 - İşletme Birleşmelerine İlişkin Standart” uyarınca hesaplanan şerefiye, amortismana tabi tutulmaz, bunun yerine, yıllık olarak veya koşullardaki değişikliklerin değer düşüklüğü olabileceğini işaret ettiği durumlarda daha sık aralıklarla “TMS 36 - Varlıklarda Değer Düşüklüğü” standardına göre değer düşüklüğü testine tabi tutulur.</w:t>
      </w:r>
    </w:p>
    <w:p w14:paraId="3E07EAA3" w14:textId="034140A2" w:rsidR="00804F82" w:rsidRPr="00FB38E1" w:rsidRDefault="00804F82" w:rsidP="00804F82">
      <w:pPr>
        <w:pStyle w:val="BDDKbalk1"/>
        <w:spacing w:before="120" w:line="240" w:lineRule="exact"/>
        <w:ind w:left="0"/>
        <w:rPr>
          <w:rFonts w:ascii="Microsoft Sans Serif" w:hAnsi="Microsoft Sans Serif" w:cs="Microsoft Sans Serif"/>
          <w:b w:val="0"/>
          <w:bCs w:val="0"/>
          <w:color w:val="404040" w:themeColor="text1" w:themeTint="BF"/>
          <w:sz w:val="20"/>
          <w:szCs w:val="20"/>
          <w:lang w:eastAsia="en-US"/>
        </w:rPr>
      </w:pPr>
      <w:r w:rsidRPr="00FB38E1">
        <w:rPr>
          <w:rFonts w:ascii="Microsoft Sans Serif" w:hAnsi="Microsoft Sans Serif" w:cs="Microsoft Sans Serif"/>
          <w:b w:val="0"/>
          <w:bCs w:val="0"/>
          <w:color w:val="404040" w:themeColor="text1" w:themeTint="BF"/>
          <w:sz w:val="20"/>
          <w:szCs w:val="20"/>
          <w:lang w:eastAsia="en-US"/>
        </w:rPr>
        <w:br w:type="page"/>
      </w:r>
    </w:p>
    <w:p w14:paraId="2EF7EFE8" w14:textId="2BE9A912" w:rsidR="000B4201" w:rsidRPr="00FB38E1" w:rsidRDefault="000B4201" w:rsidP="00076C9E">
      <w:pPr>
        <w:pStyle w:val="BDDKbalk1"/>
        <w:numPr>
          <w:ilvl w:val="0"/>
          <w:numId w:val="10"/>
        </w:numPr>
        <w:spacing w:before="120" w:line="240" w:lineRule="exact"/>
        <w:ind w:left="0" w:hanging="567"/>
        <w:rPr>
          <w:rFonts w:ascii="Microsoft Sans Serif" w:hAnsi="Microsoft Sans Serif" w:cs="Microsoft Sans Serif"/>
          <w:b w:val="0"/>
          <w:bCs w:val="0"/>
          <w:color w:val="404040" w:themeColor="text1" w:themeTint="BF"/>
          <w:sz w:val="20"/>
          <w:szCs w:val="20"/>
          <w:lang w:eastAsia="en-US"/>
        </w:rPr>
      </w:pPr>
      <w:r w:rsidRPr="00FB38E1">
        <w:rPr>
          <w:rFonts w:ascii="Microsoft Sans Serif" w:hAnsi="Microsoft Sans Serif" w:cs="Microsoft Sans Serif"/>
          <w:sz w:val="20"/>
          <w:szCs w:val="20"/>
        </w:rPr>
        <w:t>Diğer maddi olmayan duran varlıklar</w:t>
      </w:r>
    </w:p>
    <w:p w14:paraId="78BB6C9F" w14:textId="77777777" w:rsidR="000B4201" w:rsidRPr="00FB38E1"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FB38E1">
        <w:rPr>
          <w:rFonts w:ascii="Microsoft Sans Serif" w:eastAsia="Calibri" w:hAnsi="Microsoft Sans Serif" w:cs="Microsoft Sans Serif"/>
          <w:color w:val="404040" w:themeColor="text1" w:themeTint="BF"/>
          <w:sz w:val="20"/>
          <w:szCs w:val="20"/>
          <w:lang w:val="x-none" w:eastAsia="en-US"/>
        </w:rPr>
        <w:t>Diğer maddi olmayan duran varlıkların ilk kayıtları TMS 38 “Maddi Olmayan Duran Varlıklar” standardı uyarınca, elde etme tutarları ve varlığın kullanılabilir hale getirilebilmesi için gerekli diğer doğrudan giderlerin ilavesi suretiyle bulunmuş maliyet bedeli üzerinden yapılmıştır. Maddi olmayan duran varlıklar, kayda alınmalarını izleyen dönemde maliyet bedelinden birikmiş amortismanların ve varsa birikmiş değer azalışlarının düşülmesinden sonra kalan tutarları üzerinden değerlenmiştir</w:t>
      </w:r>
      <w:r w:rsidR="000B4201" w:rsidRPr="00FB38E1">
        <w:rPr>
          <w:rFonts w:ascii="Microsoft Sans Serif" w:hAnsi="Microsoft Sans Serif" w:cs="Microsoft Sans Serif"/>
          <w:noProof/>
          <w:color w:val="404040" w:themeColor="text1" w:themeTint="BF"/>
          <w:sz w:val="20"/>
          <w:szCs w:val="20"/>
        </w:rPr>
        <w:t>.</w:t>
      </w:r>
    </w:p>
    <w:p w14:paraId="49430BB1" w14:textId="77777777" w:rsidR="000B4201" w:rsidRPr="00FB38E1"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FB38E1">
        <w:rPr>
          <w:rFonts w:ascii="Microsoft Sans Serif" w:eastAsia="Calibri" w:hAnsi="Microsoft Sans Serif" w:cs="Microsoft Sans Serif"/>
          <w:color w:val="404040" w:themeColor="text1" w:themeTint="BF"/>
          <w:sz w:val="20"/>
          <w:szCs w:val="20"/>
          <w:lang w:val="x-none" w:eastAsia="en-US"/>
        </w:rPr>
        <w:t>Maddi olmayan duran varlıklar; yazılım programları, lisans hakları</w:t>
      </w:r>
      <w:r w:rsidRPr="00FB38E1">
        <w:rPr>
          <w:rFonts w:ascii="Microsoft Sans Serif" w:eastAsia="Calibri" w:hAnsi="Microsoft Sans Serif" w:cs="Microsoft Sans Serif"/>
          <w:color w:val="404040" w:themeColor="text1" w:themeTint="BF"/>
          <w:sz w:val="20"/>
          <w:szCs w:val="20"/>
          <w:lang w:eastAsia="en-US"/>
        </w:rPr>
        <w:t>, data/telefon hattı,</w:t>
      </w:r>
      <w:r w:rsidRPr="00FB38E1">
        <w:rPr>
          <w:rFonts w:ascii="Microsoft Sans Serif" w:eastAsia="Calibri" w:hAnsi="Microsoft Sans Serif" w:cs="Microsoft Sans Serif"/>
          <w:color w:val="404040" w:themeColor="text1" w:themeTint="BF"/>
          <w:sz w:val="20"/>
          <w:szCs w:val="20"/>
          <w:lang w:val="x-none" w:eastAsia="en-US"/>
        </w:rPr>
        <w:t xml:space="preserve"> kredi kartları ile bireysel kredilere ait müşteri portföylerinin değerlerinden oluşmaktadır</w:t>
      </w:r>
      <w:r w:rsidR="000B4201" w:rsidRPr="00FB38E1">
        <w:rPr>
          <w:rFonts w:ascii="Microsoft Sans Serif" w:hAnsi="Microsoft Sans Serif" w:cs="Microsoft Sans Serif"/>
          <w:noProof/>
          <w:color w:val="404040" w:themeColor="text1" w:themeTint="BF"/>
          <w:sz w:val="20"/>
          <w:szCs w:val="20"/>
        </w:rPr>
        <w:t>.</w:t>
      </w:r>
    </w:p>
    <w:p w14:paraId="2C246FED" w14:textId="21CA9003" w:rsidR="000B4201" w:rsidRPr="00FB38E1" w:rsidRDefault="0054661A" w:rsidP="0068091D">
      <w:pPr>
        <w:pStyle w:val="BodyTextIndent"/>
        <w:tabs>
          <w:tab w:val="left" w:pos="900"/>
        </w:tabs>
        <w:spacing w:before="120" w:after="0" w:line="220" w:lineRule="exact"/>
        <w:ind w:left="0"/>
        <w:rPr>
          <w:rFonts w:ascii="Microsoft Sans Serif" w:hAnsi="Microsoft Sans Serif" w:cs="Microsoft Sans Serif"/>
          <w:noProof/>
          <w:color w:val="404040" w:themeColor="text1" w:themeTint="BF"/>
          <w:sz w:val="20"/>
          <w:szCs w:val="20"/>
        </w:rPr>
      </w:pPr>
      <w:r w:rsidRPr="00FB38E1">
        <w:rPr>
          <w:rFonts w:ascii="Microsoft Sans Serif" w:eastAsia="Calibri" w:hAnsi="Microsoft Sans Serif" w:cs="Microsoft Sans Serif"/>
          <w:color w:val="404040" w:themeColor="text1" w:themeTint="BF"/>
          <w:sz w:val="20"/>
          <w:szCs w:val="20"/>
          <w:lang w:val="x-none" w:eastAsia="en-US"/>
        </w:rPr>
        <w:t>Maddi olmayan duran varlıklardan, 1 Ocak 2003 tarihinden önce ve 31 Aralık 2006 tarihinden sonra alınanlar doğrusal amortisman yöntemine göre, bu tarihlerin arasında alınanlar ise azalan bakiyeler metoduna göre itfa edilmektedir. Varlıkların faydalı ömrünün tespiti, varlığın beklenen kullanım süresi, teknik, teknolojik veya diğer türdeki eskime ve varlıktan beklenen ekonomik faydayı elde etmek için gerekli olan bakım masrafları gibi hususların değerlendirilmesi suretiyle yapılmıştır</w:t>
      </w:r>
      <w:r w:rsidR="000B4201" w:rsidRPr="00FB38E1">
        <w:rPr>
          <w:rFonts w:ascii="Microsoft Sans Serif" w:hAnsi="Microsoft Sans Serif" w:cs="Microsoft Sans Serif"/>
          <w:noProof/>
          <w:color w:val="404040" w:themeColor="text1" w:themeTint="BF"/>
          <w:sz w:val="20"/>
          <w:szCs w:val="20"/>
        </w:rPr>
        <w:t>.</w:t>
      </w:r>
    </w:p>
    <w:p w14:paraId="0CE69CC9" w14:textId="046C74E6" w:rsidR="000B4201" w:rsidRPr="00FB38E1" w:rsidRDefault="000B4201" w:rsidP="0068091D">
      <w:pPr>
        <w:pStyle w:val="BDDKbalk1"/>
        <w:spacing w:before="120" w:after="0" w:line="220" w:lineRule="exact"/>
        <w:ind w:left="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Halihazırda kullanımda olan bilgisayar yazılımları ile ilgili bakım maliyetleri oluştukları dönemde giderleştirilmektedir.</w:t>
      </w:r>
    </w:p>
    <w:p w14:paraId="06197BA7" w14:textId="526222C5" w:rsidR="000B4201" w:rsidRPr="00FB38E1" w:rsidRDefault="000B4201" w:rsidP="00E96732">
      <w:pPr>
        <w:pStyle w:val="BDDKbalk1"/>
        <w:numPr>
          <w:ilvl w:val="0"/>
          <w:numId w:val="31"/>
        </w:numPr>
        <w:spacing w:line="240" w:lineRule="exact"/>
        <w:ind w:left="0" w:hanging="851"/>
        <w:rPr>
          <w:rFonts w:ascii="Microsoft Sans Serif" w:hAnsi="Microsoft Sans Serif" w:cs="Microsoft Sans Serif"/>
          <w:bCs w:val="0"/>
          <w:color w:val="404040" w:themeColor="text1" w:themeTint="BF"/>
          <w:sz w:val="20"/>
          <w:szCs w:val="20"/>
          <w:lang w:eastAsia="en-US"/>
        </w:rPr>
      </w:pPr>
      <w:r w:rsidRPr="00FB38E1">
        <w:rPr>
          <w:rFonts w:ascii="Microsoft Sans Serif" w:hAnsi="Microsoft Sans Serif" w:cs="Microsoft Sans Serif"/>
        </w:rPr>
        <w:t>Maddi duran varlıklara ilişkin açıklamalar</w:t>
      </w:r>
    </w:p>
    <w:p w14:paraId="1AA964BA" w14:textId="5EFE6A3D" w:rsidR="00C11465" w:rsidRPr="00FB38E1" w:rsidRDefault="00C11465" w:rsidP="00C0092A">
      <w:pPr>
        <w:pStyle w:val="BDDKbalk1"/>
        <w:spacing w:before="120" w:line="220" w:lineRule="exact"/>
        <w:ind w:left="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Banka tüm maddi duran varlıklarını TMS 16 “Maddi Duran Varlıklar” standardı uyarınca kayıtlar</w:t>
      </w:r>
      <w:r w:rsidR="00A66011" w:rsidRPr="00FB38E1">
        <w:rPr>
          <w:rFonts w:ascii="Microsoft Sans Serif" w:hAnsi="Microsoft Sans Serif" w:cs="Microsoft Sans Serif"/>
          <w:b w:val="0"/>
          <w:color w:val="404040" w:themeColor="text1" w:themeTint="BF"/>
          <w:sz w:val="20"/>
          <w:szCs w:val="20"/>
        </w:rPr>
        <w:t>ınd</w:t>
      </w:r>
      <w:r w:rsidRPr="00FB38E1">
        <w:rPr>
          <w:rFonts w:ascii="Microsoft Sans Serif" w:hAnsi="Microsoft Sans Serif" w:cs="Microsoft Sans Serif"/>
          <w:b w:val="0"/>
          <w:color w:val="404040" w:themeColor="text1" w:themeTint="BF"/>
          <w:sz w:val="20"/>
          <w:szCs w:val="20"/>
        </w:rPr>
        <w:t>a mali</w:t>
      </w:r>
      <w:r w:rsidR="00BF6768" w:rsidRPr="00FB38E1">
        <w:rPr>
          <w:rFonts w:ascii="Microsoft Sans Serif" w:hAnsi="Microsoft Sans Serif" w:cs="Microsoft Sans Serif"/>
          <w:b w:val="0"/>
          <w:color w:val="404040" w:themeColor="text1" w:themeTint="BF"/>
          <w:sz w:val="20"/>
          <w:szCs w:val="20"/>
        </w:rPr>
        <w:t>yet bedeli ile takip ederken, 3</w:t>
      </w:r>
      <w:r w:rsidR="00337FE4" w:rsidRPr="00FB38E1">
        <w:rPr>
          <w:rFonts w:ascii="Microsoft Sans Serif" w:hAnsi="Microsoft Sans Serif" w:cs="Microsoft Sans Serif"/>
          <w:b w:val="0"/>
          <w:color w:val="404040" w:themeColor="text1" w:themeTint="BF"/>
          <w:sz w:val="20"/>
          <w:szCs w:val="20"/>
        </w:rPr>
        <w:t>1</w:t>
      </w:r>
      <w:r w:rsidRPr="00FB38E1">
        <w:rPr>
          <w:rFonts w:ascii="Microsoft Sans Serif" w:hAnsi="Microsoft Sans Serif" w:cs="Microsoft Sans Serif"/>
          <w:b w:val="0"/>
          <w:color w:val="404040" w:themeColor="text1" w:themeTint="BF"/>
          <w:sz w:val="20"/>
          <w:szCs w:val="20"/>
        </w:rPr>
        <w:t xml:space="preserve"> </w:t>
      </w:r>
      <w:r w:rsidR="00337FE4" w:rsidRPr="00FB38E1">
        <w:rPr>
          <w:rFonts w:ascii="Microsoft Sans Serif" w:hAnsi="Microsoft Sans Serif" w:cs="Microsoft Sans Serif"/>
          <w:b w:val="0"/>
          <w:color w:val="404040" w:themeColor="text1" w:themeTint="BF"/>
          <w:sz w:val="20"/>
          <w:szCs w:val="20"/>
        </w:rPr>
        <w:t>Aralık</w:t>
      </w:r>
      <w:r w:rsidR="000C3297" w:rsidRPr="00FB38E1">
        <w:rPr>
          <w:rFonts w:ascii="Microsoft Sans Serif" w:hAnsi="Microsoft Sans Serif" w:cs="Microsoft Sans Serif"/>
          <w:b w:val="0"/>
          <w:color w:val="404040" w:themeColor="text1" w:themeTint="BF"/>
          <w:sz w:val="20"/>
          <w:szCs w:val="20"/>
        </w:rPr>
        <w:t xml:space="preserve"> 201</w:t>
      </w:r>
      <w:r w:rsidR="00461C7D" w:rsidRPr="00FB38E1">
        <w:rPr>
          <w:rFonts w:ascii="Microsoft Sans Serif" w:hAnsi="Microsoft Sans Serif" w:cs="Microsoft Sans Serif"/>
          <w:b w:val="0"/>
          <w:color w:val="404040" w:themeColor="text1" w:themeTint="BF"/>
          <w:sz w:val="20"/>
          <w:szCs w:val="20"/>
        </w:rPr>
        <w:t>6</w:t>
      </w:r>
      <w:r w:rsidRPr="00FB38E1">
        <w:rPr>
          <w:rFonts w:ascii="Microsoft Sans Serif" w:hAnsi="Microsoft Sans Serif" w:cs="Microsoft Sans Serif"/>
          <w:b w:val="0"/>
          <w:color w:val="404040" w:themeColor="text1" w:themeTint="BF"/>
          <w:sz w:val="20"/>
          <w:szCs w:val="20"/>
        </w:rPr>
        <w:t xml:space="preserve"> itibarıyla maddi duran varlıklar altında izlenen kullanımdaki gayrimenkullerin değerlemesinde yeniden değerleme modeline geçirmiştir. Lisanslı değerleme şirketleri tarafından hazırlanan ekpertiz raporlarındaki gayrimenkul değerleri ile ilgili gayrimenkullerin net defter değeri arasındaki olumlu fark özkaynak hesaplarında, </w:t>
      </w:r>
      <w:r w:rsidR="00A96502" w:rsidRPr="00FB38E1">
        <w:rPr>
          <w:rFonts w:ascii="Microsoft Sans Serif" w:hAnsi="Microsoft Sans Serif" w:cs="Microsoft Sans Serif"/>
          <w:b w:val="0"/>
          <w:color w:val="404040" w:themeColor="text1" w:themeTint="BF"/>
          <w:sz w:val="20"/>
          <w:szCs w:val="20"/>
        </w:rPr>
        <w:t>olumsuz farklar ise önceki raporlama dönemlerinde özkaynak altında muhasebeleştirilen olumlu farklarından indirilmekte</w:t>
      </w:r>
      <w:r w:rsidR="00CB7E3E" w:rsidRPr="00FB38E1">
        <w:rPr>
          <w:rFonts w:ascii="Microsoft Sans Serif" w:hAnsi="Microsoft Sans Serif" w:cs="Microsoft Sans Serif"/>
          <w:b w:val="0"/>
          <w:color w:val="404040" w:themeColor="text1" w:themeTint="BF"/>
          <w:sz w:val="20"/>
          <w:szCs w:val="20"/>
        </w:rPr>
        <w:t>,</w:t>
      </w:r>
      <w:r w:rsidR="00A96502" w:rsidRPr="00FB38E1">
        <w:rPr>
          <w:rFonts w:ascii="Microsoft Sans Serif" w:hAnsi="Microsoft Sans Serif" w:cs="Microsoft Sans Serif"/>
          <w:b w:val="0"/>
          <w:color w:val="404040" w:themeColor="text1" w:themeTint="BF"/>
          <w:sz w:val="20"/>
          <w:szCs w:val="20"/>
        </w:rPr>
        <w:t xml:space="preserve"> kalan olumsuz fark varsa gelir tablosunda takip edilmektedir.</w:t>
      </w:r>
    </w:p>
    <w:tbl>
      <w:tblPr>
        <w:tblStyle w:val="TableGrid"/>
        <w:tblW w:w="9639"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6"/>
        <w:gridCol w:w="3268"/>
        <w:gridCol w:w="3085"/>
      </w:tblGrid>
      <w:tr w:rsidR="00C11465" w:rsidRPr="00FB38E1" w14:paraId="360525E0" w14:textId="77777777" w:rsidTr="002105AC">
        <w:trPr>
          <w:trHeight w:val="49"/>
        </w:trPr>
        <w:tc>
          <w:tcPr>
            <w:tcW w:w="3286" w:type="dxa"/>
            <w:tcBorders>
              <w:top w:val="thinThickSmallGap" w:sz="18" w:space="0" w:color="auto"/>
              <w:bottom w:val="single" w:sz="4" w:space="0" w:color="auto"/>
            </w:tcBorders>
            <w:shd w:val="clear" w:color="auto" w:fill="auto"/>
            <w:tcMar>
              <w:left w:w="57" w:type="dxa"/>
              <w:right w:w="57" w:type="dxa"/>
            </w:tcMar>
            <w:vAlign w:val="center"/>
          </w:tcPr>
          <w:p w14:paraId="6F89E9BE" w14:textId="77777777" w:rsidR="00C11465" w:rsidRPr="00FB38E1" w:rsidRDefault="00C11465" w:rsidP="00E10D33">
            <w:pPr>
              <w:rPr>
                <w:rFonts w:ascii="Microsoft Sans Serif" w:hAnsi="Microsoft Sans Serif" w:cs="Microsoft Sans Serif"/>
                <w:b/>
                <w:bCs/>
                <w:color w:val="000000"/>
                <w:sz w:val="16"/>
                <w:szCs w:val="16"/>
              </w:rPr>
            </w:pPr>
          </w:p>
        </w:tc>
        <w:tc>
          <w:tcPr>
            <w:tcW w:w="3268" w:type="dxa"/>
            <w:tcBorders>
              <w:top w:val="thinThickSmallGap" w:sz="18" w:space="0" w:color="auto"/>
              <w:bottom w:val="single" w:sz="4" w:space="0" w:color="auto"/>
            </w:tcBorders>
            <w:shd w:val="clear" w:color="auto" w:fill="auto"/>
            <w:tcMar>
              <w:left w:w="57" w:type="dxa"/>
              <w:right w:w="57" w:type="dxa"/>
            </w:tcMar>
            <w:vAlign w:val="bottom"/>
          </w:tcPr>
          <w:p w14:paraId="18D90461" w14:textId="77777777" w:rsidR="00C11465" w:rsidRPr="00FB38E1" w:rsidRDefault="00C11465" w:rsidP="00E10D33">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Tahmini Ekonomik Ömür (Yıl)</w:t>
            </w:r>
          </w:p>
        </w:tc>
        <w:tc>
          <w:tcPr>
            <w:tcW w:w="3085" w:type="dxa"/>
            <w:tcBorders>
              <w:top w:val="thinThickSmallGap" w:sz="18" w:space="0" w:color="auto"/>
              <w:bottom w:val="single" w:sz="4" w:space="0" w:color="auto"/>
            </w:tcBorders>
            <w:shd w:val="clear" w:color="auto" w:fill="auto"/>
            <w:tcMar>
              <w:left w:w="57" w:type="dxa"/>
              <w:right w:w="57" w:type="dxa"/>
            </w:tcMar>
            <w:vAlign w:val="bottom"/>
          </w:tcPr>
          <w:p w14:paraId="5889B582" w14:textId="294E72F4" w:rsidR="00C11465" w:rsidRPr="00FB38E1" w:rsidRDefault="00C11465" w:rsidP="00E10D33">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Amortisman Oranı</w:t>
            </w:r>
            <w:r w:rsidR="0035181F" w:rsidRPr="00FB38E1">
              <w:rPr>
                <w:rFonts w:ascii="Microsoft Sans Serif" w:hAnsi="Microsoft Sans Serif" w:cs="Microsoft Sans Serif"/>
                <w:b/>
                <w:bCs/>
                <w:color w:val="000000"/>
                <w:sz w:val="16"/>
                <w:szCs w:val="16"/>
              </w:rPr>
              <w:t xml:space="preserve"> %</w:t>
            </w:r>
          </w:p>
        </w:tc>
      </w:tr>
      <w:tr w:rsidR="00C11465" w:rsidRPr="00FB38E1" w14:paraId="1F8DAC70" w14:textId="77777777" w:rsidTr="00C0092A">
        <w:tc>
          <w:tcPr>
            <w:tcW w:w="3286" w:type="dxa"/>
            <w:tcBorders>
              <w:top w:val="single" w:sz="4" w:space="0" w:color="auto"/>
            </w:tcBorders>
            <w:shd w:val="clear" w:color="auto" w:fill="auto"/>
            <w:tcMar>
              <w:left w:w="57" w:type="dxa"/>
              <w:right w:w="57" w:type="dxa"/>
            </w:tcMar>
            <w:vAlign w:val="center"/>
          </w:tcPr>
          <w:p w14:paraId="7E8AE08E" w14:textId="77777777" w:rsidR="00C11465" w:rsidRPr="00FB38E1" w:rsidRDefault="00C11465" w:rsidP="00E10D33">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Menkuller</w:t>
            </w:r>
          </w:p>
        </w:tc>
        <w:tc>
          <w:tcPr>
            <w:tcW w:w="3268" w:type="dxa"/>
            <w:tcBorders>
              <w:top w:val="single" w:sz="4" w:space="0" w:color="auto"/>
            </w:tcBorders>
            <w:shd w:val="clear" w:color="auto" w:fill="auto"/>
            <w:tcMar>
              <w:left w:w="57" w:type="dxa"/>
              <w:right w:w="57" w:type="dxa"/>
            </w:tcMar>
            <w:vAlign w:val="center"/>
          </w:tcPr>
          <w:p w14:paraId="30D5B427" w14:textId="77777777" w:rsidR="00C11465" w:rsidRPr="00FB38E1" w:rsidRDefault="00C11465" w:rsidP="00E10D33">
            <w:pPr>
              <w:jc w:val="center"/>
              <w:rPr>
                <w:rFonts w:ascii="Microsoft Sans Serif" w:hAnsi="Microsoft Sans Serif" w:cs="Microsoft Sans Serif"/>
                <w:color w:val="000000"/>
                <w:sz w:val="16"/>
                <w:szCs w:val="16"/>
              </w:rPr>
            </w:pPr>
          </w:p>
        </w:tc>
        <w:tc>
          <w:tcPr>
            <w:tcW w:w="3085" w:type="dxa"/>
            <w:tcBorders>
              <w:top w:val="single" w:sz="4" w:space="0" w:color="auto"/>
            </w:tcBorders>
            <w:shd w:val="clear" w:color="auto" w:fill="auto"/>
            <w:tcMar>
              <w:left w:w="57" w:type="dxa"/>
              <w:right w:w="57" w:type="dxa"/>
            </w:tcMar>
            <w:vAlign w:val="center"/>
          </w:tcPr>
          <w:p w14:paraId="116D0CB8" w14:textId="77777777" w:rsidR="00C11465" w:rsidRPr="00FB38E1" w:rsidRDefault="00C11465" w:rsidP="00E10D33">
            <w:pPr>
              <w:jc w:val="center"/>
              <w:rPr>
                <w:rFonts w:ascii="Microsoft Sans Serif" w:hAnsi="Microsoft Sans Serif" w:cs="Microsoft Sans Serif"/>
                <w:color w:val="000000"/>
                <w:sz w:val="16"/>
                <w:szCs w:val="16"/>
              </w:rPr>
            </w:pPr>
          </w:p>
        </w:tc>
      </w:tr>
      <w:tr w:rsidR="00C11465" w:rsidRPr="00FB38E1" w14:paraId="01566476" w14:textId="77777777" w:rsidTr="00C0092A">
        <w:tc>
          <w:tcPr>
            <w:tcW w:w="3286" w:type="dxa"/>
            <w:shd w:val="clear" w:color="auto" w:fill="auto"/>
            <w:tcMar>
              <w:left w:w="57" w:type="dxa"/>
              <w:right w:w="57" w:type="dxa"/>
            </w:tcMar>
            <w:vAlign w:val="center"/>
          </w:tcPr>
          <w:p w14:paraId="191D0401" w14:textId="77777777" w:rsidR="00C11465" w:rsidRPr="00FB38E1" w:rsidRDefault="00C11465" w:rsidP="00E10D33">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Büro makineleri</w:t>
            </w:r>
          </w:p>
        </w:tc>
        <w:tc>
          <w:tcPr>
            <w:tcW w:w="3268" w:type="dxa"/>
            <w:shd w:val="clear" w:color="auto" w:fill="auto"/>
            <w:tcMar>
              <w:left w:w="57" w:type="dxa"/>
              <w:right w:w="57" w:type="dxa"/>
            </w:tcMar>
            <w:vAlign w:val="center"/>
          </w:tcPr>
          <w:p w14:paraId="092F6080" w14:textId="616AC57C" w:rsidR="00C11465" w:rsidRPr="00FB38E1" w:rsidRDefault="00C11465" w:rsidP="005371A3">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w:t>
            </w:r>
          </w:p>
        </w:tc>
        <w:tc>
          <w:tcPr>
            <w:tcW w:w="3085" w:type="dxa"/>
            <w:shd w:val="clear" w:color="auto" w:fill="auto"/>
            <w:tcMar>
              <w:left w:w="57" w:type="dxa"/>
              <w:right w:w="57" w:type="dxa"/>
            </w:tcMar>
            <w:vAlign w:val="center"/>
          </w:tcPr>
          <w:p w14:paraId="7995C292" w14:textId="77EF9611" w:rsidR="00C11465" w:rsidRPr="00FB38E1" w:rsidRDefault="00C11465" w:rsidP="00925A9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 10 -  50</w:t>
            </w:r>
          </w:p>
        </w:tc>
      </w:tr>
      <w:tr w:rsidR="00C11465" w:rsidRPr="00FB38E1" w14:paraId="04E2A553" w14:textId="77777777" w:rsidTr="00C0092A">
        <w:tc>
          <w:tcPr>
            <w:tcW w:w="3286" w:type="dxa"/>
            <w:shd w:val="clear" w:color="auto" w:fill="auto"/>
            <w:tcMar>
              <w:left w:w="57" w:type="dxa"/>
              <w:right w:w="57" w:type="dxa"/>
            </w:tcMar>
            <w:vAlign w:val="center"/>
          </w:tcPr>
          <w:p w14:paraId="6A58BB70" w14:textId="77777777" w:rsidR="00C11465" w:rsidRPr="00FB38E1" w:rsidRDefault="00C11465" w:rsidP="00E10D33">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Mobilya/Mefruşat</w:t>
            </w:r>
          </w:p>
        </w:tc>
        <w:tc>
          <w:tcPr>
            <w:tcW w:w="3268" w:type="dxa"/>
            <w:shd w:val="clear" w:color="auto" w:fill="auto"/>
            <w:tcMar>
              <w:left w:w="57" w:type="dxa"/>
              <w:right w:w="57" w:type="dxa"/>
            </w:tcMar>
            <w:vAlign w:val="center"/>
          </w:tcPr>
          <w:p w14:paraId="691B96D8" w14:textId="0B9F9DAF" w:rsidR="00C11465" w:rsidRPr="00FB38E1" w:rsidRDefault="00C11465" w:rsidP="005371A3">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w:t>
            </w:r>
          </w:p>
        </w:tc>
        <w:tc>
          <w:tcPr>
            <w:tcW w:w="3085" w:type="dxa"/>
            <w:shd w:val="clear" w:color="auto" w:fill="auto"/>
            <w:tcMar>
              <w:left w:w="57" w:type="dxa"/>
              <w:right w:w="57" w:type="dxa"/>
            </w:tcMar>
            <w:vAlign w:val="center"/>
          </w:tcPr>
          <w:p w14:paraId="6276DBFF" w14:textId="2FDCFED0" w:rsidR="00C11465" w:rsidRPr="00FB38E1" w:rsidRDefault="00C11465" w:rsidP="00925A9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 10 -  50</w:t>
            </w:r>
          </w:p>
        </w:tc>
      </w:tr>
      <w:tr w:rsidR="00C11465" w:rsidRPr="00FB38E1" w14:paraId="6CC4363A" w14:textId="77777777" w:rsidTr="00C0092A">
        <w:tc>
          <w:tcPr>
            <w:tcW w:w="3286" w:type="dxa"/>
            <w:shd w:val="clear" w:color="auto" w:fill="auto"/>
            <w:tcMar>
              <w:left w:w="57" w:type="dxa"/>
              <w:right w:w="57" w:type="dxa"/>
            </w:tcMar>
            <w:vAlign w:val="center"/>
          </w:tcPr>
          <w:p w14:paraId="05ED12E9" w14:textId="77777777" w:rsidR="00C11465" w:rsidRPr="00FB38E1" w:rsidRDefault="00C11465" w:rsidP="00E10D33">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Nakil vasıtaları</w:t>
            </w:r>
          </w:p>
        </w:tc>
        <w:tc>
          <w:tcPr>
            <w:tcW w:w="3268" w:type="dxa"/>
            <w:shd w:val="clear" w:color="auto" w:fill="auto"/>
            <w:tcMar>
              <w:left w:w="57" w:type="dxa"/>
              <w:right w:w="57" w:type="dxa"/>
            </w:tcMar>
            <w:vAlign w:val="center"/>
          </w:tcPr>
          <w:p w14:paraId="72FB1922" w14:textId="0A02E810" w:rsidR="00C11465" w:rsidRPr="00FB38E1" w:rsidRDefault="00C11465" w:rsidP="005371A3">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w:t>
            </w:r>
          </w:p>
        </w:tc>
        <w:tc>
          <w:tcPr>
            <w:tcW w:w="3085" w:type="dxa"/>
            <w:shd w:val="clear" w:color="auto" w:fill="auto"/>
            <w:tcMar>
              <w:left w:w="57" w:type="dxa"/>
              <w:right w:w="57" w:type="dxa"/>
            </w:tcMar>
            <w:vAlign w:val="center"/>
          </w:tcPr>
          <w:p w14:paraId="260018CD" w14:textId="6AB70E5B" w:rsidR="00C11465" w:rsidRPr="00FB38E1" w:rsidRDefault="00C11465" w:rsidP="00925A9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 20 -  50</w:t>
            </w:r>
          </w:p>
        </w:tc>
      </w:tr>
      <w:tr w:rsidR="00C11465" w:rsidRPr="00FB38E1" w14:paraId="44A686E7" w14:textId="77777777" w:rsidTr="00C0092A">
        <w:tc>
          <w:tcPr>
            <w:tcW w:w="3286" w:type="dxa"/>
            <w:shd w:val="clear" w:color="auto" w:fill="auto"/>
            <w:tcMar>
              <w:left w:w="57" w:type="dxa"/>
              <w:right w:w="57" w:type="dxa"/>
            </w:tcMar>
            <w:vAlign w:val="center"/>
          </w:tcPr>
          <w:p w14:paraId="3E615365" w14:textId="77777777" w:rsidR="00C11465" w:rsidRPr="00FB38E1" w:rsidRDefault="00C11465" w:rsidP="00E10D33">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Diğer teçhizat</w:t>
            </w:r>
          </w:p>
        </w:tc>
        <w:tc>
          <w:tcPr>
            <w:tcW w:w="3268" w:type="dxa"/>
            <w:shd w:val="clear" w:color="auto" w:fill="auto"/>
            <w:tcMar>
              <w:left w:w="57" w:type="dxa"/>
              <w:right w:w="57" w:type="dxa"/>
            </w:tcMar>
            <w:vAlign w:val="center"/>
          </w:tcPr>
          <w:p w14:paraId="36C91B24" w14:textId="447EE678" w:rsidR="00C11465" w:rsidRPr="00FB38E1" w:rsidRDefault="005371A3" w:rsidP="005371A3">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w:t>
            </w:r>
          </w:p>
        </w:tc>
        <w:tc>
          <w:tcPr>
            <w:tcW w:w="3085" w:type="dxa"/>
            <w:shd w:val="clear" w:color="auto" w:fill="auto"/>
            <w:tcMar>
              <w:left w:w="57" w:type="dxa"/>
              <w:right w:w="57" w:type="dxa"/>
            </w:tcMar>
            <w:vAlign w:val="center"/>
          </w:tcPr>
          <w:p w14:paraId="5C22F890" w14:textId="7C9FA875" w:rsidR="00C11465" w:rsidRPr="00FB38E1" w:rsidRDefault="00C11465" w:rsidP="00925A9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 2,50 -  50</w:t>
            </w:r>
          </w:p>
        </w:tc>
      </w:tr>
      <w:tr w:rsidR="00C11465" w:rsidRPr="00FB38E1" w14:paraId="6EE9EF3A" w14:textId="77777777" w:rsidTr="00C0092A">
        <w:tc>
          <w:tcPr>
            <w:tcW w:w="3286" w:type="dxa"/>
            <w:tcBorders>
              <w:bottom w:val="thickThinSmallGap" w:sz="18" w:space="0" w:color="auto"/>
            </w:tcBorders>
            <w:shd w:val="clear" w:color="auto" w:fill="auto"/>
            <w:tcMar>
              <w:left w:w="57" w:type="dxa"/>
              <w:right w:w="57" w:type="dxa"/>
            </w:tcMar>
            <w:vAlign w:val="center"/>
          </w:tcPr>
          <w:p w14:paraId="4392168C" w14:textId="77777777" w:rsidR="00C11465" w:rsidRPr="00FB38E1" w:rsidRDefault="00C11465" w:rsidP="00E10D33">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Gayrimenkuller</w:t>
            </w:r>
          </w:p>
        </w:tc>
        <w:tc>
          <w:tcPr>
            <w:tcW w:w="3268" w:type="dxa"/>
            <w:tcBorders>
              <w:bottom w:val="thickThinSmallGap" w:sz="18" w:space="0" w:color="auto"/>
            </w:tcBorders>
            <w:shd w:val="clear" w:color="auto" w:fill="auto"/>
            <w:tcMar>
              <w:left w:w="57" w:type="dxa"/>
              <w:right w:w="57" w:type="dxa"/>
            </w:tcMar>
            <w:vAlign w:val="center"/>
          </w:tcPr>
          <w:p w14:paraId="5677CF67" w14:textId="0418503B" w:rsidR="00C11465" w:rsidRPr="00FB38E1" w:rsidRDefault="00C11465" w:rsidP="005371A3">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w:t>
            </w:r>
          </w:p>
        </w:tc>
        <w:tc>
          <w:tcPr>
            <w:tcW w:w="3085" w:type="dxa"/>
            <w:tcBorders>
              <w:bottom w:val="thickThinSmallGap" w:sz="18" w:space="0" w:color="auto"/>
            </w:tcBorders>
            <w:shd w:val="clear" w:color="auto" w:fill="auto"/>
            <w:tcMar>
              <w:left w:w="57" w:type="dxa"/>
              <w:right w:w="57" w:type="dxa"/>
            </w:tcMar>
            <w:vAlign w:val="center"/>
          </w:tcPr>
          <w:p w14:paraId="4D5C7464" w14:textId="2BD6DDB0" w:rsidR="00C11465" w:rsidRPr="00FB38E1" w:rsidRDefault="00C11465" w:rsidP="00925A9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 2 -  3,03</w:t>
            </w:r>
          </w:p>
        </w:tc>
      </w:tr>
    </w:tbl>
    <w:p w14:paraId="1F8B682D" w14:textId="77777777" w:rsidR="00C11465" w:rsidRPr="00FB38E1" w:rsidRDefault="00C11465" w:rsidP="00C11465">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w:t>
      </w:r>
    </w:p>
    <w:p w14:paraId="42285399" w14:textId="4E8F0225" w:rsidR="00C11465" w:rsidRPr="00FB38E1" w:rsidRDefault="00C11465" w:rsidP="00C11465">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Maddi duran varlıkların üzerinde rehin, ipotek ve diğer tedbirler veya bunların alımı için verilen taahhütler bulunmamaktadır.</w:t>
      </w:r>
    </w:p>
    <w:p w14:paraId="2779A33F" w14:textId="52ADA75B" w:rsidR="00272CAD" w:rsidRPr="00FB38E1" w:rsidRDefault="00272CAD" w:rsidP="00272CAD">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bookmarkStart w:id="18" w:name="_Hlk172279816"/>
      <w:r w:rsidRPr="00FB38E1">
        <w:rPr>
          <w:rFonts w:ascii="Microsoft Sans Serif" w:hAnsi="Microsoft Sans Serif" w:cs="Microsoft Sans Serif"/>
          <w:color w:val="404040" w:themeColor="text1" w:themeTint="BF"/>
          <w:sz w:val="20"/>
          <w:szCs w:val="20"/>
          <w:lang w:eastAsia="tr-TR"/>
        </w:rPr>
        <w:t>Banka tarafından halen Genel Müdürlük binası olarak kullanılan Büyükdere Caddesi 141 Esentepe, Şişli, İstanbul adresinde bulunan ve İstanbul ili, Şişli ilçesi, Mecidiyeköy Mahallesi, 2011 ada, 7 parsel'de kayıtlı bulunan toplam 11.099,39 m</w:t>
      </w:r>
      <w:r w:rsidRPr="00FB38E1">
        <w:rPr>
          <w:rFonts w:ascii="Microsoft Sans Serif" w:hAnsi="Microsoft Sans Serif" w:cs="Microsoft Sans Serif"/>
          <w:color w:val="404040" w:themeColor="text1" w:themeTint="BF"/>
          <w:sz w:val="20"/>
          <w:szCs w:val="20"/>
          <w:vertAlign w:val="superscript"/>
          <w:lang w:eastAsia="tr-TR"/>
        </w:rPr>
        <w:t>2</w:t>
      </w:r>
      <w:r w:rsidRPr="00FB38E1">
        <w:rPr>
          <w:rFonts w:ascii="Microsoft Sans Serif" w:hAnsi="Microsoft Sans Serif" w:cs="Microsoft Sans Serif"/>
          <w:color w:val="404040" w:themeColor="text1" w:themeTint="BF"/>
          <w:sz w:val="20"/>
          <w:szCs w:val="20"/>
          <w:lang w:eastAsia="tr-TR"/>
        </w:rPr>
        <w:t xml:space="preserve"> arsa üzerindeki bina ve tapuda kayıtlı olan ve olmayan tüm müştemilatları dahil, 6 bodrum katına ilave olarak 33 katlı ve böylece toplam 39 katlı 106.080 m</w:t>
      </w:r>
      <w:r w:rsidRPr="00FB38E1">
        <w:rPr>
          <w:rFonts w:ascii="Microsoft Sans Serif" w:hAnsi="Microsoft Sans Serif" w:cs="Microsoft Sans Serif"/>
          <w:color w:val="404040" w:themeColor="text1" w:themeTint="BF"/>
          <w:sz w:val="20"/>
          <w:szCs w:val="20"/>
          <w:vertAlign w:val="superscript"/>
          <w:lang w:eastAsia="tr-TR"/>
        </w:rPr>
        <w:t>2</w:t>
      </w:r>
      <w:r w:rsidRPr="00FB38E1">
        <w:rPr>
          <w:rFonts w:ascii="Microsoft Sans Serif" w:hAnsi="Microsoft Sans Serif" w:cs="Microsoft Sans Serif"/>
          <w:color w:val="404040" w:themeColor="text1" w:themeTint="BF"/>
          <w:sz w:val="20"/>
          <w:szCs w:val="20"/>
          <w:lang w:eastAsia="tr-TR"/>
        </w:rPr>
        <w:t xml:space="preserve"> kullanım alanı bulunan </w:t>
      </w:r>
      <w:r w:rsidR="00130F16" w:rsidRPr="00FB38E1">
        <w:rPr>
          <w:rFonts w:ascii="Microsoft Sans Serif" w:hAnsi="Microsoft Sans Serif" w:cs="Microsoft Sans Serif"/>
          <w:color w:val="404040" w:themeColor="text1" w:themeTint="BF"/>
          <w:sz w:val="20"/>
          <w:szCs w:val="20"/>
          <w:lang w:eastAsia="tr-TR"/>
        </w:rPr>
        <w:t>o</w:t>
      </w:r>
      <w:r w:rsidRPr="00FB38E1">
        <w:rPr>
          <w:rFonts w:ascii="Microsoft Sans Serif" w:hAnsi="Microsoft Sans Serif" w:cs="Microsoft Sans Serif"/>
          <w:color w:val="404040" w:themeColor="text1" w:themeTint="BF"/>
          <w:sz w:val="20"/>
          <w:szCs w:val="20"/>
          <w:lang w:eastAsia="tr-TR"/>
        </w:rPr>
        <w:t>fis binası, 11.584.75</w:t>
      </w:r>
      <w:r w:rsidR="00F032CC" w:rsidRPr="00FB38E1">
        <w:rPr>
          <w:rFonts w:ascii="Microsoft Sans Serif" w:hAnsi="Microsoft Sans Serif" w:cs="Microsoft Sans Serif"/>
          <w:color w:val="404040" w:themeColor="text1" w:themeTint="BF"/>
          <w:sz w:val="20"/>
          <w:szCs w:val="20"/>
          <w:lang w:eastAsia="tr-TR"/>
        </w:rPr>
        <w:t>2</w:t>
      </w:r>
      <w:r w:rsidR="00CE32BD" w:rsidRPr="00FB38E1">
        <w:rPr>
          <w:rFonts w:ascii="Microsoft Sans Serif" w:hAnsi="Microsoft Sans Serif" w:cs="Microsoft Sans Serif"/>
          <w:color w:val="404040" w:themeColor="text1" w:themeTint="BF"/>
          <w:sz w:val="20"/>
          <w:szCs w:val="20"/>
          <w:lang w:eastAsia="tr-TR"/>
        </w:rPr>
        <w:t xml:space="preserve"> </w:t>
      </w:r>
      <w:r w:rsidRPr="00FB38E1">
        <w:rPr>
          <w:rFonts w:ascii="Microsoft Sans Serif" w:hAnsi="Microsoft Sans Serif" w:cs="Microsoft Sans Serif"/>
          <w:color w:val="404040" w:themeColor="text1" w:themeTint="BF"/>
          <w:sz w:val="20"/>
          <w:szCs w:val="20"/>
          <w:lang w:eastAsia="tr-TR"/>
        </w:rPr>
        <w:t xml:space="preserve">TL +KDV  bedelle 17 Nisan 2024 tarihinde Banka tarafından satın alınmıştır. </w:t>
      </w:r>
    </w:p>
    <w:bookmarkEnd w:id="18"/>
    <w:p w14:paraId="201BF8D7" w14:textId="77777777" w:rsidR="000B4201" w:rsidRPr="00FB38E1" w:rsidRDefault="000B4201"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b/>
        </w:rPr>
        <w:t>Yatırım amaçlı gayrimenkullere ilişkin açıklamalar</w:t>
      </w:r>
    </w:p>
    <w:p w14:paraId="6C2604ED" w14:textId="3945E0DB" w:rsidR="00783AA4" w:rsidRPr="00FB38E1" w:rsidRDefault="0054661A" w:rsidP="0068091D">
      <w:pPr>
        <w:pStyle w:val="BDDKmetin"/>
        <w:spacing w:line="220" w:lineRule="exact"/>
        <w:rPr>
          <w:rFonts w:ascii="Microsoft Sans Serif" w:hAnsi="Microsoft Sans Serif" w:cs="Microsoft Sans Serif"/>
          <w:noProof/>
          <w:color w:val="404040" w:themeColor="text1" w:themeTint="BF"/>
          <w:sz w:val="20"/>
          <w:szCs w:val="20"/>
          <w:lang w:val="tr-TR" w:eastAsia="en-US"/>
        </w:rPr>
      </w:pPr>
      <w:r w:rsidRPr="00FB38E1">
        <w:rPr>
          <w:rFonts w:ascii="Microsoft Sans Serif" w:hAnsi="Microsoft Sans Serif" w:cs="Microsoft Sans Serif"/>
          <w:noProof/>
          <w:color w:val="404040" w:themeColor="text1" w:themeTint="BF"/>
          <w:sz w:val="20"/>
          <w:szCs w:val="20"/>
          <w:lang w:val="tr-TR" w:eastAsia="en-US"/>
        </w:rPr>
        <w:t>Bulunmamaktadır.</w:t>
      </w:r>
    </w:p>
    <w:p w14:paraId="0997FA7A" w14:textId="491090D2" w:rsidR="000B4201" w:rsidRPr="00FB38E1" w:rsidRDefault="004E5D64"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b/>
        </w:rPr>
        <w:t>Kiralama işlemlerine ilişkin açıklamalar</w:t>
      </w:r>
    </w:p>
    <w:p w14:paraId="2670CFE5" w14:textId="0D57B677" w:rsidR="004E5D64" w:rsidRPr="00FB38E1" w:rsidRDefault="0054661A" w:rsidP="0068091D">
      <w:pPr>
        <w:pStyle w:val="BDDKmetin"/>
        <w:spacing w:line="220" w:lineRule="exact"/>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t>Finansal kiralama sözleşmelerinin süresi çoğunlukla 4 yıldır. Finansal kiralama yoluyla edinilen sabit kıymetler maddi duran varlıklar içinde sınıflandırılmakta ve ilgili oldukları sabit kıymet grubuna göre amortismana tabi tutulmaktadır. Finansal kiralama sözleşmelerinden kaynaklanan borçlar pasifte “Finansal Kiralama Borçları” hesabında gösterilmektedir. Finansal kiralama ile ilgili faiz giderleri ve kur farkları gelir tablosuna yansıtılmaktadır.</w:t>
      </w:r>
    </w:p>
    <w:p w14:paraId="78FFAEDF" w14:textId="0334E6D8" w:rsidR="0040093A" w:rsidRPr="00FB38E1" w:rsidRDefault="0040093A" w:rsidP="0068091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1 Ocak 2019 tarihinden itibaren geçerli olan “TFRS 16 Kiralamalar” Standardı ile birlikte faaliyet kiralaması ile finansal kiralama arasındaki fark ortadan kalkmış olup, kiralama işlemleri “Kiralama İşlemlerinden Yükümlülükler” kalemi altında gösterilmeye başlanmıştır.</w:t>
      </w:r>
    </w:p>
    <w:p w14:paraId="3BD0F717" w14:textId="35E53954" w:rsidR="000C1F2E" w:rsidRPr="00FB38E1" w:rsidRDefault="000C1F2E" w:rsidP="000C1F2E">
      <w:pPr>
        <w:pStyle w:val="BDDKmetin"/>
        <w:spacing w:before="240" w:line="220" w:lineRule="exact"/>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br w:type="page"/>
      </w:r>
    </w:p>
    <w:p w14:paraId="42A56643" w14:textId="18ACE4C4" w:rsidR="004E5D64" w:rsidRPr="00FB38E1" w:rsidRDefault="00D63CF5" w:rsidP="00076C9E">
      <w:pPr>
        <w:pStyle w:val="BDDKmetin"/>
        <w:numPr>
          <w:ilvl w:val="0"/>
          <w:numId w:val="31"/>
        </w:numPr>
        <w:spacing w:before="240" w:line="220" w:lineRule="exact"/>
        <w:ind w:left="0" w:hanging="851"/>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b/>
        </w:rPr>
        <w:t>Karşılıklar ve koşullu yükümlülüklere ilişkin açıklamalar</w:t>
      </w:r>
    </w:p>
    <w:p w14:paraId="76B86232" w14:textId="04D127CF" w:rsidR="00E4663F" w:rsidRPr="00FB38E1" w:rsidRDefault="0054661A" w:rsidP="008B5301">
      <w:pPr>
        <w:pStyle w:val="BDDKmetin"/>
        <w:spacing w:line="220" w:lineRule="exact"/>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t>Krediler ve diğer alacaklar için ayrılan özel ve genel karşılıklar ile muhtemel riskler için ayrılan serbest karşılıklar dışında kalan karşılıklar ve şarta bağlı yükümlülükler, TMS 37 “Karşılıklar, Koşullu Borçlar ve Koşullu Varlıklar” standardı uyarınca; karşılıklar geçmiş olayların bir sonucu olarak ortaya çıktığı anda muhasebeleştirilmekte olup, bununla ilgili olarak Banka tarafından yükümlülük tutarının tahmini yapılarak finansal tablolara yansıtılmaktadır. Söz konusu yükümlülük tutarının tahmin edilemediği durumlarda “Şarta bağlı” olarak kabul edilmektedir. Şarta bağlı yükümlülükler için şartın gerçekleşme olasılığı şartın gerçekleşmeme olasılığından yüksek ise ve güvenilir olarak ölçülebiliyorsa karşılık ayrılmakta, güvenilir olarak ölçülemiyorsa ya da şartın gerçekleşme olasılığı yoksa veya şartın gerçekleşmeme olasılığından az ise bu yükümlülük dipnotlarda açıklanmaktadır</w:t>
      </w:r>
      <w:r w:rsidR="00D63CF5" w:rsidRPr="00FB38E1">
        <w:rPr>
          <w:rFonts w:ascii="Microsoft Sans Serif" w:hAnsi="Microsoft Sans Serif" w:cs="Microsoft Sans Serif"/>
          <w:noProof/>
          <w:color w:val="404040" w:themeColor="text1" w:themeTint="BF"/>
          <w:sz w:val="20"/>
          <w:szCs w:val="20"/>
        </w:rPr>
        <w:t>.</w:t>
      </w:r>
    </w:p>
    <w:p w14:paraId="054DE57F" w14:textId="5B9FD164" w:rsidR="004E5D64" w:rsidRPr="00FB38E1" w:rsidRDefault="00D63CF5" w:rsidP="00076C9E">
      <w:pPr>
        <w:pStyle w:val="BDDKmetin"/>
        <w:numPr>
          <w:ilvl w:val="0"/>
          <w:numId w:val="31"/>
        </w:numPr>
        <w:spacing w:before="240" w:after="120"/>
        <w:ind w:left="0" w:hanging="851"/>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b/>
        </w:rPr>
        <w:t>Çalışanların haklarına ilişkin yükümlülüklere ilişkin açıklamalar</w:t>
      </w:r>
    </w:p>
    <w:p w14:paraId="1869ECFD" w14:textId="77777777" w:rsidR="00D63CF5" w:rsidRPr="00FB38E1" w:rsidRDefault="0054661A" w:rsidP="00036E7D">
      <w:pPr>
        <w:pStyle w:val="BDDKmetin"/>
        <w:spacing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Banka çalışanların haklarına ilişkin yükümlülüklerini TMS 19 “Çalışanlara Sağlanan Faydalar” standardı uyarınca muhasebeleştirmektedir</w:t>
      </w:r>
      <w:r w:rsidR="00D63CF5" w:rsidRPr="00FB38E1">
        <w:rPr>
          <w:rFonts w:ascii="Microsoft Sans Serif" w:hAnsi="Microsoft Sans Serif" w:cs="Microsoft Sans Serif"/>
          <w:color w:val="404040" w:themeColor="text1" w:themeTint="BF"/>
          <w:sz w:val="20"/>
          <w:szCs w:val="20"/>
          <w:lang w:val="tr-TR"/>
        </w:rPr>
        <w:t>.</w:t>
      </w:r>
    </w:p>
    <w:p w14:paraId="32B57410" w14:textId="0596B197" w:rsidR="00D63CF5" w:rsidRPr="00FB38E1" w:rsidRDefault="0054661A" w:rsidP="00036E7D">
      <w:pPr>
        <w:pStyle w:val="BDDKmetin"/>
        <w:spacing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 xml:space="preserve">Banka, Türkiye’de geçerli mevcut kanunlar çerçevesinde çalışanlarının istifa etmesi veya kötü hal dışında görevine son vermesi durumları dışında görevine son verdiği çalışanlarına,  kıdem tazminatı ve ihbar süresi için ihbar tazminatı ödemekle yükümlüdür. Bu haller dışında  emekli olan, vefat eden, askerlik hizmeti nedeniyle işten ayrılan, evlenmelerini müteakip bir yıl içinde kendi arzusu ile işten ayrılan </w:t>
      </w:r>
      <w:r w:rsidR="007B00EA" w:rsidRPr="00FB38E1">
        <w:rPr>
          <w:rFonts w:ascii="Microsoft Sans Serif" w:hAnsi="Microsoft Sans Serif" w:cs="Microsoft Sans Serif"/>
          <w:color w:val="404040" w:themeColor="text1" w:themeTint="BF"/>
          <w:sz w:val="20"/>
          <w:szCs w:val="20"/>
          <w:lang w:val="tr-TR"/>
        </w:rPr>
        <w:t>kadın</w:t>
      </w:r>
      <w:r w:rsidRPr="00FB38E1">
        <w:rPr>
          <w:rFonts w:ascii="Microsoft Sans Serif" w:hAnsi="Microsoft Sans Serif" w:cs="Microsoft Sans Serif"/>
          <w:color w:val="404040" w:themeColor="text1" w:themeTint="BF"/>
          <w:sz w:val="20"/>
          <w:szCs w:val="20"/>
          <w:lang w:val="tr-TR"/>
        </w:rPr>
        <w:t xml:space="preserve"> çalışanlarına ise İş Kanunu 14. Maddesi gereği  kıdem tazminatı ödemekle yükümlüdür</w:t>
      </w:r>
      <w:r w:rsidR="00D63CF5" w:rsidRPr="00FB38E1">
        <w:rPr>
          <w:rFonts w:ascii="Microsoft Sans Serif" w:hAnsi="Microsoft Sans Serif" w:cs="Microsoft Sans Serif"/>
          <w:color w:val="404040" w:themeColor="text1" w:themeTint="BF"/>
          <w:sz w:val="20"/>
          <w:szCs w:val="20"/>
          <w:lang w:val="tr-TR"/>
        </w:rPr>
        <w:t>.</w:t>
      </w:r>
    </w:p>
    <w:p w14:paraId="76324E98" w14:textId="77777777" w:rsidR="00D63CF5" w:rsidRPr="00FB38E1" w:rsidRDefault="0054661A" w:rsidP="00036E7D">
      <w:pPr>
        <w:autoSpaceDE w:val="0"/>
        <w:autoSpaceDN w:val="0"/>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 TMS 19 standardı çerçevesinde kıdem tazminatına ilişkin gelecekteki muhtemel yükümlülüğün bugünkü değerinin tahmin edilmesi suretiyle karşılık kaydı gerçekleştirmektedir. 1 Ocak 2013 sonrasında oluşan aktüeryal kayıp ve kazançlar, revize edilen TMS 19 standardı uyarınca özkaynaklar altında muhasebeleştirilmektedir</w:t>
      </w:r>
      <w:r w:rsidR="00D63CF5" w:rsidRPr="00FB38E1">
        <w:rPr>
          <w:rFonts w:ascii="Microsoft Sans Serif" w:hAnsi="Microsoft Sans Serif" w:cs="Microsoft Sans Serif"/>
          <w:color w:val="404040" w:themeColor="text1" w:themeTint="BF"/>
          <w:sz w:val="20"/>
          <w:szCs w:val="20"/>
        </w:rPr>
        <w:t>.</w:t>
      </w:r>
    </w:p>
    <w:p w14:paraId="02FE13AF" w14:textId="18F1E8E3" w:rsidR="00D63CF5" w:rsidRPr="00FB38E1" w:rsidRDefault="0054661A" w:rsidP="00036E7D">
      <w:pPr>
        <w:pStyle w:val="BDDKmetin"/>
        <w:spacing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 çalışanlarının kullanmadığı izin günleri üzerinden hesaplanan izin yükümlülüğü tutarını karşılık ayırarak finansal tablolarına yansıtmıştır</w:t>
      </w:r>
      <w:r w:rsidR="00D63CF5" w:rsidRPr="00FB38E1">
        <w:rPr>
          <w:rFonts w:ascii="Microsoft Sans Serif" w:hAnsi="Microsoft Sans Serif" w:cs="Microsoft Sans Serif"/>
          <w:color w:val="404040" w:themeColor="text1" w:themeTint="BF"/>
          <w:sz w:val="20"/>
          <w:szCs w:val="20"/>
        </w:rPr>
        <w:t>.</w:t>
      </w:r>
    </w:p>
    <w:p w14:paraId="6845DACB" w14:textId="1132C3ED" w:rsidR="00D63CF5" w:rsidRPr="00FB38E1" w:rsidRDefault="00D63CF5" w:rsidP="00076C9E">
      <w:pPr>
        <w:pStyle w:val="BDDKmetin"/>
        <w:numPr>
          <w:ilvl w:val="0"/>
          <w:numId w:val="31"/>
        </w:numPr>
        <w:spacing w:before="240" w:after="120"/>
        <w:ind w:left="0" w:hanging="851"/>
        <w:rPr>
          <w:rFonts w:ascii="Microsoft Sans Serif" w:hAnsi="Microsoft Sans Serif" w:cs="Microsoft Sans Serif"/>
          <w:noProof/>
          <w:color w:val="404040" w:themeColor="text1" w:themeTint="BF"/>
          <w:sz w:val="20"/>
          <w:szCs w:val="20"/>
          <w:lang w:val="tr-TR"/>
        </w:rPr>
      </w:pPr>
      <w:bookmarkStart w:id="19" w:name="_Hlk133410620"/>
      <w:r w:rsidRPr="00FB38E1">
        <w:rPr>
          <w:rFonts w:ascii="Microsoft Sans Serif" w:hAnsi="Microsoft Sans Serif" w:cs="Microsoft Sans Serif"/>
          <w:b/>
        </w:rPr>
        <w:t>Vergi uygulamalarına ilişkin açıklamalar</w:t>
      </w:r>
    </w:p>
    <w:p w14:paraId="5AE77CC2" w14:textId="77777777" w:rsidR="00D63CF5" w:rsidRPr="00FB38E1" w:rsidRDefault="00D63CF5" w:rsidP="00076C9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sz w:val="20"/>
          <w:szCs w:val="20"/>
        </w:rPr>
        <w:t>Cari vergi</w:t>
      </w:r>
    </w:p>
    <w:p w14:paraId="794DF568" w14:textId="7AE79971" w:rsidR="007E1153" w:rsidRPr="00FB38E1" w:rsidRDefault="003F529C" w:rsidP="00B76E67">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rPr>
        <w:t>15 Temmuz 2023 tarihli Resmi Gazete’de yayımlanan “7456 sayılı 6</w:t>
      </w:r>
      <w:r w:rsidR="00F032CC" w:rsidRPr="00FB38E1">
        <w:rPr>
          <w:rFonts w:ascii="Microsoft Sans Serif" w:hAnsi="Microsoft Sans Serif" w:cs="Microsoft Sans Serif"/>
          <w:color w:val="404040" w:themeColor="text1" w:themeTint="BF"/>
          <w:sz w:val="20"/>
          <w:szCs w:val="20"/>
        </w:rPr>
        <w:t xml:space="preserve"> Şubat </w:t>
      </w:r>
      <w:r w:rsidRPr="00FB38E1">
        <w:rPr>
          <w:rFonts w:ascii="Microsoft Sans Serif" w:hAnsi="Microsoft Sans Serif" w:cs="Microsoft Sans Serif"/>
          <w:color w:val="404040" w:themeColor="text1" w:themeTint="BF"/>
          <w:sz w:val="20"/>
          <w:szCs w:val="20"/>
        </w:rPr>
        <w:t>2023 Tarihinde Meydana Gelen Depremlerin Yol Açtığı Ekonomik Kayıpların Telafisi İçin Ek Motorlu Taşıtlar Vergisi İhdası ile Bazı Kanunlarda ve 375 Sayılı Kanun Hükmünde Kararnamede Değişiklik Yapılması Hakkında Kanun” uyarınca; bankalar, finansal kiralama, faktoring, finansman ve tasarruf finansman şirketleri, elektronik ödeme ve para kuruluşları, yetkili döviz müesseseleri, varlık yönetim şirketleri, sermaye piyasası kurumları ile sigorta ve reasürans şirketleri ve emeklilik şirketleri için geçerli olan %25’lik kurumlar vergisi oranı %30’a, diğer şirketler için geçerli olan %20’lik kurumlar vergisi oranı ise %25’e çıkarılmıştır. Söz konusu vergi oranı değişikliği, şirketlerin 1</w:t>
      </w:r>
      <w:r w:rsidR="00F032CC" w:rsidRPr="00FB38E1">
        <w:rPr>
          <w:rFonts w:ascii="Microsoft Sans Serif" w:hAnsi="Microsoft Sans Serif" w:cs="Microsoft Sans Serif"/>
          <w:color w:val="404040" w:themeColor="text1" w:themeTint="BF"/>
          <w:sz w:val="20"/>
          <w:szCs w:val="20"/>
        </w:rPr>
        <w:t xml:space="preserve"> Ekim </w:t>
      </w:r>
      <w:r w:rsidRPr="00FB38E1">
        <w:rPr>
          <w:rFonts w:ascii="Microsoft Sans Serif" w:hAnsi="Microsoft Sans Serif" w:cs="Microsoft Sans Serif"/>
          <w:color w:val="404040" w:themeColor="text1" w:themeTint="BF"/>
          <w:sz w:val="20"/>
          <w:szCs w:val="20"/>
        </w:rPr>
        <w:t>2023 tarihinden itibaren verilmesi gereken beyannamelerden başlamak üzere, 2023 yılı ve izleyen vergilendirme dönemlerinde elde edilen kazançları için geçerli olacaktır</w:t>
      </w:r>
      <w:r w:rsidR="007E1153" w:rsidRPr="00FB38E1">
        <w:rPr>
          <w:rFonts w:ascii="Microsoft Sans Serif" w:hAnsi="Microsoft Sans Serif" w:cs="Microsoft Sans Serif"/>
          <w:noProof/>
          <w:color w:val="404040" w:themeColor="text1" w:themeTint="BF"/>
          <w:sz w:val="20"/>
          <w:szCs w:val="20"/>
        </w:rPr>
        <w:t>.</w:t>
      </w:r>
    </w:p>
    <w:p w14:paraId="7C323266" w14:textId="0FBEF82D" w:rsidR="00D63CF5" w:rsidRPr="00FB38E1" w:rsidRDefault="00965166"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Vergi Usul Kanunu Sirküleri/115 ile 1 Nisan 2019 tarihinden itibaren verilmesi gereken bazı vergi beyannamelerinin verilme süreleri yeni bir belirleme yapılıncaya kadar uzatılmıştır. Söz konusu sirküler ile Kurumlar vergisi beyannamesi, ilgili olduğu hesap döneminin kapandığı ayı izleyen dördüncü ayın birinci gününden son günü akşamına kadar beyan edilebilecektir.</w:t>
      </w:r>
    </w:p>
    <w:p w14:paraId="2CC45C08" w14:textId="77777777" w:rsidR="00D63CF5" w:rsidRPr="00FB38E1"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Dönem karı üzerinden hesaplanan kurumlar ve gelir vergisi karşılıkları pasifte “Cari Vergi Borcu” hesabına ve gider olarak da gelir tablosunda “Cari Vergi Karşılığı” hesabına kaydedilmektedir</w:t>
      </w:r>
      <w:r w:rsidR="00D63CF5" w:rsidRPr="00FB38E1">
        <w:rPr>
          <w:rFonts w:ascii="Microsoft Sans Serif" w:hAnsi="Microsoft Sans Serif" w:cs="Microsoft Sans Serif"/>
          <w:noProof/>
          <w:color w:val="404040" w:themeColor="text1" w:themeTint="BF"/>
          <w:sz w:val="20"/>
          <w:szCs w:val="20"/>
          <w:lang w:val="tr-TR"/>
        </w:rPr>
        <w:t>.</w:t>
      </w:r>
    </w:p>
    <w:p w14:paraId="207D7EB3" w14:textId="698BC779" w:rsidR="0040093A" w:rsidRPr="00FB38E1"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Kurumlar Vergisi Kanunu’na göre beyanname üzerinde gösterilen mali zararlar 5 yılı aşmamak kaydıyla dönemin kurumlar vergisi matrahından indirilebilir. Beyanlar ve ilgili muhasebe kayıtları vergi dairesince beş yıl içerisinde incelenebilmekte ve vergi hesapları kontrol edilebilmektedir</w:t>
      </w:r>
      <w:r w:rsidR="00D63CF5" w:rsidRPr="00FB38E1">
        <w:rPr>
          <w:rFonts w:ascii="Microsoft Sans Serif" w:hAnsi="Microsoft Sans Serif" w:cs="Microsoft Sans Serif"/>
          <w:noProof/>
          <w:color w:val="404040" w:themeColor="text1" w:themeTint="BF"/>
          <w:sz w:val="20"/>
          <w:szCs w:val="20"/>
          <w:lang w:val="tr-TR"/>
        </w:rPr>
        <w:t>.</w:t>
      </w:r>
    </w:p>
    <w:p w14:paraId="44276B76" w14:textId="54F0266C" w:rsidR="00D63CF5" w:rsidRPr="00FB38E1" w:rsidRDefault="00055EF3" w:rsidP="00036E7D">
      <w:pPr>
        <w:pStyle w:val="BDDKmetin"/>
        <w:spacing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Türkiye’deki bir işyeri ya da daimi temsilcisi aracılığı ile gelir elde eden kurumlar ile Türkiye’de yerleşik kurumlara ödenen kar paylarından (temettüler) stopaj yapılmaz. 22 Aralık 2024 tarihli Resmî Gazete’de yayımlanan 9286 sayılı Cumhurbaşkanı Kararı ile 193 sayılı Gelir Vergisi Kanunu’nun 94 üncü maddesi ve 5520 Sayılı Kurumlar Vergisi Kanunu’nun 15 ve 30 uncu maddelerinde yer alan bazı tevkifat oranları yeniden belirlenmiştir. Bu bağlamda Türkiye’de bir işyeri ya da daimi temsilcisi aracılığı ile gelir elde eden dar mükellefler hariç olmak üzere dar mükellef kurumlara, vergiden muaf olan dar ve tam mükellef kurumlara/gerçek kişilere, dar ve tam mükellef gerçek kişilere yapılan temettü ödemelerine uygulanan stopaj oranı %15’dir. Karar, yayım tarihinde (22 Aralık 2024) yürürlüğe girmiştir.</w:t>
      </w:r>
      <w:r w:rsidR="00DC132E" w:rsidRPr="00FB38E1">
        <w:rPr>
          <w:rFonts w:ascii="Microsoft Sans Serif" w:hAnsi="Microsoft Sans Serif" w:cs="Microsoft Sans Serif"/>
          <w:color w:val="404040" w:themeColor="text1" w:themeTint="BF"/>
          <w:sz w:val="20"/>
          <w:szCs w:val="20"/>
          <w:lang w:val="tr-TR"/>
        </w:rPr>
        <w:t xml:space="preserve"> </w:t>
      </w:r>
      <w:r w:rsidRPr="00FB38E1">
        <w:rPr>
          <w:rFonts w:ascii="Microsoft Sans Serif" w:hAnsi="Microsoft Sans Serif" w:cs="Microsoft Sans Serif"/>
          <w:color w:val="404040" w:themeColor="text1" w:themeTint="BF"/>
          <w:sz w:val="20"/>
          <w:szCs w:val="20"/>
          <w:lang w:val="tr-TR"/>
        </w:rPr>
        <w:t>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r w:rsidR="000E0A24" w:rsidRPr="00FB38E1">
        <w:rPr>
          <w:rFonts w:ascii="Microsoft Sans Serif" w:hAnsi="Microsoft Sans Serif" w:cs="Microsoft Sans Serif"/>
          <w:color w:val="404040" w:themeColor="text1" w:themeTint="BF"/>
          <w:sz w:val="20"/>
          <w:szCs w:val="20"/>
          <w:lang w:val="tr-TR"/>
        </w:rPr>
        <w:tab/>
      </w:r>
    </w:p>
    <w:p w14:paraId="375256EC" w14:textId="51F2A6DE" w:rsidR="00262A98" w:rsidRPr="00FB38E1" w:rsidRDefault="00D73D15" w:rsidP="003B3E24">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Doğrudan özkaynaklarda muhasebeleştirilen işlemler ile ilgili vergi etkileri de özkaynaklara yansıtılır</w:t>
      </w:r>
      <w:r w:rsidR="003B3E24" w:rsidRPr="00FB38E1">
        <w:rPr>
          <w:rFonts w:ascii="Microsoft Sans Serif" w:hAnsi="Microsoft Sans Serif" w:cs="Microsoft Sans Serif"/>
          <w:noProof/>
          <w:color w:val="404040" w:themeColor="text1" w:themeTint="BF"/>
          <w:sz w:val="20"/>
          <w:szCs w:val="20"/>
          <w:lang w:val="tr-TR"/>
        </w:rPr>
        <w:t>.</w:t>
      </w:r>
    </w:p>
    <w:p w14:paraId="0FF95EDA" w14:textId="37237982" w:rsidR="00175A3A" w:rsidRPr="00FB38E1" w:rsidRDefault="00175A3A" w:rsidP="003B3E24">
      <w:pPr>
        <w:pStyle w:val="BDDKmetin"/>
        <w:spacing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41/1976 Sayılı KKTC Kurumlar Vergisi Kanunu’na göre, değiştirilmiş şekliyle, kurum kazançları (yabancı kurumlar dahil) %10 oranında kurumlar vergisi ve Gelir Vergisi Kanunu’na göre %15 oranında gelir vergisine tabidir. Kurumlar vergisi, mükelleflerin bir hesap dönemi içinde elde ettikleri kazancı üzerinden hesaplanır. Kurumların ticari kazancına yasa gereği indirimi kabul edilmeyen giderlerin ilave edilmesi ve vergi yasalarında yer alan istisna ve indirimlerin uygulanması suretiyle vergi matrahı tespit edilir. Kurumlar vergisinin hesaplanmasına dair bilanço, kar ve zarar cetveli ile işletme hesaplarını Maliye Bakanlığı tarafından yetkili kılınan bir muhasip ve murakıba hazırlattırıp tasdik ettirmeden veren kurumlara, Kurumlar Vergisi Kanunu’nda öngörülen zararların mahsup hakkı, gelir vergisi mevzuatında öngörülen yatırım indirimleri hakkı ile vergi mevzuatında öngörülen amortisman hakları tanınmaz. Vergiye tabi herhangi bir kuruma, geçmiş yıllarda vergi tarh edilmediği veya verginin ödenmesi gereken miktardan daha az tarh edildiğinin meydana çıkarıldığı hallerde vergilendirme döneminden sonra gelen yedi yıl içinde vergi talep edilebilir. Kurumlar vergisi beyannameleri hesap döneminin kapandığı tarihten sonra gelen Nisan ayında vergi dairesine verilir. Kurumlar vergisi biri Mayıs diğeri Ekim ayında olmak üzere</w:t>
      </w:r>
      <w:r w:rsidR="00294E7E" w:rsidRPr="00FB38E1">
        <w:rPr>
          <w:rFonts w:ascii="Microsoft Sans Serif" w:hAnsi="Microsoft Sans Serif" w:cs="Microsoft Sans Serif"/>
          <w:color w:val="404040" w:themeColor="text1" w:themeTint="BF"/>
          <w:sz w:val="20"/>
          <w:szCs w:val="20"/>
          <w:lang w:val="tr-TR"/>
        </w:rPr>
        <w:t xml:space="preserve"> iki eşit taksitte ödenir. 25 Mart </w:t>
      </w:r>
      <w:r w:rsidRPr="00FB38E1">
        <w:rPr>
          <w:rFonts w:ascii="Microsoft Sans Serif" w:hAnsi="Microsoft Sans Serif" w:cs="Microsoft Sans Serif"/>
          <w:color w:val="404040" w:themeColor="text1" w:themeTint="BF"/>
          <w:sz w:val="20"/>
          <w:szCs w:val="20"/>
          <w:lang w:val="tr-TR"/>
        </w:rPr>
        <w:t>2020 tarihli KKTC Bakanlar Kurulu Kararına göre, geçici vergiler o yıl mali kazançları üzerinden üçer aylık dönemlerde %15 vergi oranında hesaplanarak ödenir. Yıl içinde ödenen geçici vergiler, o yılın yıllık kurumlar vergisi beyannamesi üzerinden hesaplanan vergilere mahsup edilebilmektedir.</w:t>
      </w:r>
    </w:p>
    <w:p w14:paraId="652E883C" w14:textId="1F1E85C0" w:rsidR="00011081" w:rsidRPr="00FB38E1" w:rsidRDefault="00011081" w:rsidP="003B3E24">
      <w:pPr>
        <w:pStyle w:val="BDDKmetin"/>
        <w:spacing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29</w:t>
      </w:r>
      <w:r w:rsidR="00226106" w:rsidRPr="00FB38E1">
        <w:rPr>
          <w:rFonts w:ascii="Microsoft Sans Serif" w:hAnsi="Microsoft Sans Serif" w:cs="Microsoft Sans Serif"/>
          <w:color w:val="404040" w:themeColor="text1" w:themeTint="BF"/>
          <w:sz w:val="20"/>
          <w:szCs w:val="20"/>
          <w:lang w:val="tr-TR"/>
        </w:rPr>
        <w:t xml:space="preserve"> Ocak </w:t>
      </w:r>
      <w:r w:rsidRPr="00FB38E1">
        <w:rPr>
          <w:rFonts w:ascii="Microsoft Sans Serif" w:hAnsi="Microsoft Sans Serif" w:cs="Microsoft Sans Serif"/>
          <w:color w:val="404040" w:themeColor="text1" w:themeTint="BF"/>
          <w:sz w:val="20"/>
          <w:szCs w:val="20"/>
          <w:lang w:val="tr-TR"/>
        </w:rPr>
        <w:t>2022 tarihli Resmî Gazete’de yayımlanan 7352 Sayılı Kanun ile Vergi Usul Kanunu’na eklenen geçici 33’üncü maddeye göre; 31</w:t>
      </w:r>
      <w:r w:rsidR="00226106" w:rsidRPr="00FB38E1">
        <w:rPr>
          <w:rFonts w:ascii="Microsoft Sans Serif" w:hAnsi="Microsoft Sans Serif" w:cs="Microsoft Sans Serif"/>
          <w:color w:val="404040" w:themeColor="text1" w:themeTint="BF"/>
          <w:sz w:val="20"/>
          <w:szCs w:val="20"/>
          <w:lang w:val="tr-TR"/>
        </w:rPr>
        <w:t xml:space="preserve"> Aralık </w:t>
      </w:r>
      <w:r w:rsidRPr="00FB38E1">
        <w:rPr>
          <w:rFonts w:ascii="Microsoft Sans Serif" w:hAnsi="Microsoft Sans Serif" w:cs="Microsoft Sans Serif"/>
          <w:color w:val="404040" w:themeColor="text1" w:themeTint="BF"/>
          <w:sz w:val="20"/>
          <w:szCs w:val="20"/>
          <w:lang w:val="tr-TR"/>
        </w:rPr>
        <w:t>2023 tarihli mali tabloların, enflasyon düzeltmesi şartlarının oluşup oluşmadığına bakılmaksızın enflasyon düzeltmesine tabi tutulacağı hükme bağlanmıştır. Yapılan enflasyon düzeltmesinden kaynaklanan kâr/zarar farkının geçmiş yıllar kâr/zararı hesabında gösterileceği; bu şekilde tespit edilen geçmiş yıl kârının vergiye tabi tutulmayacağı, geçmiş yıl zararının ise zarar olarak kabul edilmeyeceği belirlenmiş olup, Bankalar, finansal kiralama, faktoring, tasarruf finansman şirketleri, ödeme ve elektronik para kuruluşları, yetkili döviz müesseseleri, varlık yönetim şirketleri, sermaye piyasası kurumları, sigorta ve reasürans şirketleri ile emeklilik şirketleri de kapsama giren diğer mükelleflerle birlikte enflasyon muhasebesi uygulayacak olmakla beraber bu kurumlarda düzeltme sonucunda herhangi bir vergisel sonuç doğmayacaktır.</w:t>
      </w:r>
    </w:p>
    <w:p w14:paraId="6CDD7964" w14:textId="6B4AFE3E" w:rsidR="00D63CF5" w:rsidRPr="00FB38E1" w:rsidRDefault="00D63CF5" w:rsidP="00076C9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bookmarkStart w:id="20" w:name="_Hlk179991913"/>
      <w:bookmarkEnd w:id="19"/>
      <w:r w:rsidRPr="00FB38E1">
        <w:rPr>
          <w:rFonts w:ascii="Microsoft Sans Serif" w:hAnsi="Microsoft Sans Serif" w:cs="Microsoft Sans Serif"/>
          <w:b/>
          <w:sz w:val="20"/>
          <w:szCs w:val="20"/>
        </w:rPr>
        <w:t>Ertelenmiş vergi</w:t>
      </w:r>
    </w:p>
    <w:p w14:paraId="0786F37B" w14:textId="77777777" w:rsidR="00D63CF5" w:rsidRPr="00FB38E1"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rPr>
        <w:t>Banka, uygulanan muhasebe politikaları ve değerleme esasları ile vergi mevzuatı uyarınca belirlenen vergiye esas değeri arasındaki geçici farkları için TMS 12 “Gelir Vergileri” standardı uyarınca ertelenmiş vergi hesaplamakta ve muhasebeleştirmektedir</w:t>
      </w:r>
      <w:r w:rsidR="00D63CF5" w:rsidRPr="00FB38E1">
        <w:rPr>
          <w:rFonts w:ascii="Microsoft Sans Serif" w:hAnsi="Microsoft Sans Serif" w:cs="Microsoft Sans Serif"/>
          <w:noProof/>
          <w:color w:val="404040" w:themeColor="text1" w:themeTint="BF"/>
          <w:sz w:val="20"/>
          <w:szCs w:val="20"/>
          <w:lang w:val="tr-TR"/>
        </w:rPr>
        <w:t>.</w:t>
      </w:r>
    </w:p>
    <w:p w14:paraId="5F377CCA" w14:textId="58E82AB3" w:rsidR="00D63CF5" w:rsidRPr="00FB38E1"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rPr>
        <w:t xml:space="preserve">Bankanın ertelenmiş vergi varlık ve borçları konsolide olmayan bilançoda netleştirilerek gösterilmektedir. Bunun sonucunda </w:t>
      </w:r>
      <w:r w:rsidR="00FD6F98" w:rsidRPr="00FB38E1">
        <w:rPr>
          <w:rFonts w:ascii="Microsoft Sans Serif" w:hAnsi="Microsoft Sans Serif" w:cs="Microsoft Sans Serif"/>
          <w:noProof/>
          <w:color w:val="404040" w:themeColor="text1" w:themeTint="BF"/>
          <w:sz w:val="20"/>
          <w:szCs w:val="20"/>
        </w:rPr>
        <w:t>4.756.787</w:t>
      </w:r>
      <w:r w:rsidR="00177F80" w:rsidRPr="00FB38E1">
        <w:rPr>
          <w:rFonts w:ascii="Microsoft Sans Serif" w:hAnsi="Microsoft Sans Serif" w:cs="Microsoft Sans Serif"/>
          <w:noProof/>
          <w:color w:val="404040" w:themeColor="text1" w:themeTint="BF"/>
          <w:sz w:val="20"/>
          <w:szCs w:val="20"/>
        </w:rPr>
        <w:t xml:space="preserve"> </w:t>
      </w:r>
      <w:r w:rsidRPr="00FB38E1">
        <w:rPr>
          <w:rFonts w:ascii="Microsoft Sans Serif" w:hAnsi="Microsoft Sans Serif" w:cs="Microsoft Sans Serif"/>
          <w:noProof/>
          <w:color w:val="404040" w:themeColor="text1" w:themeTint="BF"/>
          <w:sz w:val="20"/>
          <w:szCs w:val="20"/>
        </w:rPr>
        <w:t xml:space="preserve">TL </w:t>
      </w:r>
      <w:r w:rsidR="000479A6" w:rsidRPr="00FB38E1">
        <w:rPr>
          <w:rFonts w:ascii="Microsoft Sans Serif" w:hAnsi="Microsoft Sans Serif" w:cs="Microsoft Sans Serif"/>
          <w:noProof/>
          <w:color w:val="404040" w:themeColor="text1" w:themeTint="BF"/>
          <w:sz w:val="20"/>
          <w:szCs w:val="20"/>
        </w:rPr>
        <w:t xml:space="preserve">(31 Aralık </w:t>
      </w:r>
      <w:r w:rsidR="007D3056" w:rsidRPr="00FB38E1">
        <w:rPr>
          <w:rFonts w:ascii="Microsoft Sans Serif" w:hAnsi="Microsoft Sans Serif" w:cs="Microsoft Sans Serif"/>
          <w:noProof/>
          <w:color w:val="404040" w:themeColor="text1" w:themeTint="BF"/>
          <w:sz w:val="20"/>
          <w:szCs w:val="20"/>
        </w:rPr>
        <w:t>202</w:t>
      </w:r>
      <w:r w:rsidR="00810D42" w:rsidRPr="00FB38E1">
        <w:rPr>
          <w:rFonts w:ascii="Microsoft Sans Serif" w:hAnsi="Microsoft Sans Serif" w:cs="Microsoft Sans Serif"/>
          <w:noProof/>
          <w:color w:val="404040" w:themeColor="text1" w:themeTint="BF"/>
          <w:sz w:val="20"/>
          <w:szCs w:val="20"/>
        </w:rPr>
        <w:t xml:space="preserve">3: 4.173.522 </w:t>
      </w:r>
      <w:r w:rsidR="003076A9" w:rsidRPr="00FB38E1">
        <w:rPr>
          <w:rFonts w:ascii="Microsoft Sans Serif" w:hAnsi="Microsoft Sans Serif" w:cs="Microsoft Sans Serif"/>
          <w:noProof/>
          <w:color w:val="404040" w:themeColor="text1" w:themeTint="BF"/>
          <w:sz w:val="20"/>
          <w:szCs w:val="20"/>
        </w:rPr>
        <w:t xml:space="preserve">TL) </w:t>
      </w:r>
      <w:r w:rsidRPr="00FB38E1">
        <w:rPr>
          <w:rFonts w:ascii="Microsoft Sans Serif" w:hAnsi="Microsoft Sans Serif" w:cs="Microsoft Sans Serif"/>
          <w:noProof/>
          <w:color w:val="404040" w:themeColor="text1" w:themeTint="BF"/>
          <w:sz w:val="20"/>
          <w:szCs w:val="20"/>
        </w:rPr>
        <w:t>tutarında ertelen</w:t>
      </w:r>
      <w:r w:rsidR="00CB1278" w:rsidRPr="00FB38E1">
        <w:rPr>
          <w:rFonts w:ascii="Microsoft Sans Serif" w:hAnsi="Microsoft Sans Serif" w:cs="Microsoft Sans Serif"/>
          <w:noProof/>
          <w:color w:val="404040" w:themeColor="text1" w:themeTint="BF"/>
          <w:sz w:val="20"/>
          <w:szCs w:val="20"/>
        </w:rPr>
        <w:t>m</w:t>
      </w:r>
      <w:r w:rsidR="00800872" w:rsidRPr="00FB38E1">
        <w:rPr>
          <w:rFonts w:ascii="Microsoft Sans Serif" w:hAnsi="Microsoft Sans Serif" w:cs="Microsoft Sans Serif"/>
          <w:noProof/>
          <w:color w:val="404040" w:themeColor="text1" w:themeTint="BF"/>
          <w:sz w:val="20"/>
          <w:szCs w:val="20"/>
        </w:rPr>
        <w:t xml:space="preserve">iş vergi varlığı </w:t>
      </w:r>
      <w:r w:rsidRPr="00FB38E1">
        <w:rPr>
          <w:rFonts w:ascii="Microsoft Sans Serif" w:hAnsi="Microsoft Sans Serif" w:cs="Microsoft Sans Serif"/>
          <w:noProof/>
          <w:color w:val="404040" w:themeColor="text1" w:themeTint="BF"/>
          <w:sz w:val="20"/>
          <w:szCs w:val="20"/>
        </w:rPr>
        <w:t>finansal tablolara yansıtılmıştır</w:t>
      </w:r>
      <w:r w:rsidR="00D63CF5" w:rsidRPr="00FB38E1">
        <w:rPr>
          <w:rFonts w:ascii="Microsoft Sans Serif" w:hAnsi="Microsoft Sans Serif" w:cs="Microsoft Sans Serif"/>
          <w:noProof/>
          <w:color w:val="404040" w:themeColor="text1" w:themeTint="BF"/>
          <w:sz w:val="20"/>
          <w:szCs w:val="20"/>
          <w:lang w:val="tr-TR"/>
        </w:rPr>
        <w:t>.</w:t>
      </w:r>
    </w:p>
    <w:bookmarkEnd w:id="20"/>
    <w:p w14:paraId="57831A13" w14:textId="3531F291" w:rsidR="00FA2850" w:rsidRPr="00FB38E1" w:rsidRDefault="00FA2850" w:rsidP="00FA2850">
      <w:pPr>
        <w:pStyle w:val="BDDKmetin"/>
        <w:spacing w:line="220" w:lineRule="exact"/>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w:t>
      </w:r>
      <w:r w:rsidR="00966950" w:rsidRPr="00FB38E1">
        <w:rPr>
          <w:rFonts w:ascii="Microsoft Sans Serif" w:hAnsi="Microsoft Sans Serif" w:cs="Microsoft Sans Serif"/>
          <w:noProof/>
          <w:color w:val="404040" w:themeColor="text1" w:themeTint="BF"/>
          <w:sz w:val="20"/>
          <w:szCs w:val="20"/>
        </w:rPr>
        <w:t>ası şartıyla hesaplanmaktadır.</w:t>
      </w:r>
    </w:p>
    <w:p w14:paraId="38E5EDB4" w14:textId="5108EAEB" w:rsidR="00302871" w:rsidRPr="00FB38E1" w:rsidRDefault="00FA2850" w:rsidP="009700A8">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rPr>
        <w:t>Doğrudan özkaynaklar ile ilişkilendirilen varlıklarla ilgili ertelenmiş vergiler özkaynaklar hesap grubuyla ilişkilendirilmiş ve bu grupta yer alan ilgili hesaplarla netleştirilmiştir</w:t>
      </w:r>
      <w:r w:rsidRPr="00FB38E1">
        <w:rPr>
          <w:rFonts w:ascii="Microsoft Sans Serif" w:hAnsi="Microsoft Sans Serif" w:cs="Microsoft Sans Serif"/>
          <w:noProof/>
          <w:color w:val="404040" w:themeColor="text1" w:themeTint="BF"/>
          <w:sz w:val="20"/>
          <w:szCs w:val="20"/>
          <w:lang w:val="tr-TR"/>
        </w:rPr>
        <w:t>.</w:t>
      </w:r>
    </w:p>
    <w:p w14:paraId="29293E47" w14:textId="651C16BD" w:rsidR="0021352C" w:rsidRPr="00FB38E1" w:rsidRDefault="00D93989" w:rsidP="003028C0">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Ertelenmiş ver</w:t>
      </w:r>
      <w:r w:rsidR="0021352C" w:rsidRPr="00FB38E1">
        <w:rPr>
          <w:rFonts w:ascii="Microsoft Sans Serif" w:hAnsi="Microsoft Sans Serif" w:cs="Microsoft Sans Serif"/>
          <w:noProof/>
          <w:color w:val="404040" w:themeColor="text1" w:themeTint="BF"/>
          <w:sz w:val="20"/>
          <w:szCs w:val="20"/>
          <w:lang w:val="tr-TR"/>
        </w:rPr>
        <w:t xml:space="preserve">gi hesaplamasında </w:t>
      </w:r>
      <w:r w:rsidR="004879A1" w:rsidRPr="00FB38E1">
        <w:rPr>
          <w:rFonts w:ascii="Microsoft Sans Serif" w:hAnsi="Microsoft Sans Serif" w:cs="Microsoft Sans Serif"/>
          <w:noProof/>
          <w:color w:val="404040" w:themeColor="text1" w:themeTint="BF"/>
          <w:sz w:val="20"/>
          <w:szCs w:val="20"/>
          <w:lang w:val="tr-TR"/>
        </w:rPr>
        <w:t>%</w:t>
      </w:r>
      <w:r w:rsidR="00B649FD" w:rsidRPr="00FB38E1">
        <w:rPr>
          <w:rFonts w:ascii="Microsoft Sans Serif" w:hAnsi="Microsoft Sans Serif" w:cs="Microsoft Sans Serif"/>
          <w:noProof/>
          <w:color w:val="404040" w:themeColor="text1" w:themeTint="BF"/>
          <w:sz w:val="20"/>
          <w:szCs w:val="20"/>
          <w:lang w:val="tr-TR"/>
        </w:rPr>
        <w:t>30</w:t>
      </w:r>
      <w:r w:rsidR="004879A1" w:rsidRPr="00FB38E1">
        <w:rPr>
          <w:rFonts w:ascii="Microsoft Sans Serif" w:hAnsi="Microsoft Sans Serif" w:cs="Microsoft Sans Serif"/>
          <w:noProof/>
          <w:color w:val="404040" w:themeColor="text1" w:themeTint="BF"/>
          <w:sz w:val="20"/>
          <w:szCs w:val="20"/>
          <w:lang w:val="tr-TR"/>
        </w:rPr>
        <w:t xml:space="preserve"> oranı kullanılmıştır</w:t>
      </w:r>
      <w:r w:rsidR="007D3056" w:rsidRPr="00FB38E1">
        <w:rPr>
          <w:rFonts w:ascii="Microsoft Sans Serif" w:hAnsi="Microsoft Sans Serif" w:cs="Microsoft Sans Serif"/>
          <w:noProof/>
          <w:color w:val="404040" w:themeColor="text1" w:themeTint="BF"/>
          <w:sz w:val="20"/>
          <w:szCs w:val="20"/>
          <w:lang w:val="tr-TR"/>
        </w:rPr>
        <w:t xml:space="preserve"> (31 Aralık 202</w:t>
      </w:r>
      <w:r w:rsidR="00810D42" w:rsidRPr="00FB38E1">
        <w:rPr>
          <w:rFonts w:ascii="Microsoft Sans Serif" w:hAnsi="Microsoft Sans Serif" w:cs="Microsoft Sans Serif"/>
          <w:noProof/>
          <w:color w:val="404040" w:themeColor="text1" w:themeTint="BF"/>
          <w:sz w:val="20"/>
          <w:szCs w:val="20"/>
          <w:lang w:val="tr-TR"/>
        </w:rPr>
        <w:t>3</w:t>
      </w:r>
      <w:r w:rsidR="006768EA" w:rsidRPr="00FB38E1">
        <w:rPr>
          <w:rFonts w:ascii="Microsoft Sans Serif" w:hAnsi="Microsoft Sans Serif" w:cs="Microsoft Sans Serif"/>
          <w:noProof/>
          <w:color w:val="404040" w:themeColor="text1" w:themeTint="BF"/>
          <w:sz w:val="20"/>
          <w:szCs w:val="20"/>
          <w:lang w:val="tr-TR"/>
        </w:rPr>
        <w:t xml:space="preserve">: </w:t>
      </w:r>
      <w:r w:rsidR="00810D42" w:rsidRPr="00FB38E1">
        <w:rPr>
          <w:rFonts w:ascii="Microsoft Sans Serif" w:hAnsi="Microsoft Sans Serif" w:cs="Microsoft Sans Serif"/>
          <w:noProof/>
          <w:color w:val="404040" w:themeColor="text1" w:themeTint="BF"/>
          <w:sz w:val="20"/>
          <w:szCs w:val="20"/>
          <w:lang w:val="tr-TR"/>
        </w:rPr>
        <w:t>%30</w:t>
      </w:r>
      <w:r w:rsidR="006768EA" w:rsidRPr="00FB38E1">
        <w:rPr>
          <w:rFonts w:ascii="Microsoft Sans Serif" w:hAnsi="Microsoft Sans Serif" w:cs="Microsoft Sans Serif"/>
          <w:noProof/>
          <w:color w:val="404040" w:themeColor="text1" w:themeTint="BF"/>
          <w:sz w:val="20"/>
          <w:szCs w:val="20"/>
          <w:lang w:val="tr-TR"/>
        </w:rPr>
        <w:t>)</w:t>
      </w:r>
      <w:r w:rsidR="00597EC6" w:rsidRPr="00FB38E1">
        <w:rPr>
          <w:rFonts w:ascii="Microsoft Sans Serif" w:hAnsi="Microsoft Sans Serif" w:cs="Microsoft Sans Serif"/>
          <w:noProof/>
          <w:color w:val="404040" w:themeColor="text1" w:themeTint="BF"/>
          <w:sz w:val="20"/>
          <w:szCs w:val="20"/>
          <w:lang w:val="tr-TR"/>
        </w:rPr>
        <w:t>.</w:t>
      </w:r>
    </w:p>
    <w:p w14:paraId="754F6699" w14:textId="0C563D61" w:rsidR="00E24060" w:rsidRPr="00FB38E1" w:rsidRDefault="00E24060" w:rsidP="009A750C">
      <w:pPr>
        <w:pStyle w:val="BDDKmetin"/>
        <w:numPr>
          <w:ilvl w:val="0"/>
          <w:numId w:val="11"/>
        </w:numPr>
        <w:spacing w:before="240" w:after="120"/>
        <w:ind w:left="0" w:hanging="567"/>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bCs/>
          <w:sz w:val="20"/>
          <w:szCs w:val="20"/>
          <w:lang w:val="tr-TR"/>
        </w:rPr>
        <w:t>Transfer fiyatlandırması</w:t>
      </w:r>
    </w:p>
    <w:p w14:paraId="39C82980" w14:textId="77777777" w:rsidR="000E0A24" w:rsidRPr="00FB38E1" w:rsidRDefault="000E0A24" w:rsidP="000E0A24">
      <w:pPr>
        <w:pStyle w:val="BDDKmetin"/>
        <w:spacing w:line="220" w:lineRule="exact"/>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t>5520 sayılı Kurumlar Vergisi Kanunu’nun 13. maddesinde düzenlenen “Transfer Fiyatlandırması Yoluyla Örtülü Kazanç Dağıtımı” hükümleri çerçevesinde, 3 Nisan 2007 tarih ve 26482 sayılı Resmi Gazete’de yayımlanarak yürürlüğe giren 1 seri nolu Kurumlar Vergisi Kanunu Genel Tebliği, 20 Kasım 2008 tarih ve 27060 sayılı Resmi Gazete’de yayımlanarak yürürlüğe giren 3 Seri No’lu Kurumlar Vergisi Kanunu Genel Tebliği, 6 Aralık 2007 tarihli ve 26722 sayılı Resmi Gazete’de yayımlanarak yürürlüğe giren 2007/12888 sayılı Bakanlar Kurulu Kararı, 13 Nisan 2008 tarihli ve 26846 sayılı Resmi Gazete’de yayımlanarak yürürlüğe giren 2008/13490 sayılı Bakanlar Kurulu Kararı, 18 Kasım 2007 tarihli ve 26704 sayılı Resmi Gazete’de yayımlanarak yürürlüğe giren 1 Seri No’lu “Transfer Fiyatlandırması Yoluyla Örtülü Kazanç Dağıtımı Hakkında Genel Tebliğ”, 22 Nisan 2008 tarihli ve 26855 sayılı Resmi Gazete’de yayımlanarak yürürlüğe giren 2 Seri No’lu “Transfer Fiyatlandırması Yoluyla Örtülü Kazanç Dağıtımı Hakkında Genel Tebliği”, 07 Aralık 2017 tarihli ve 30263 sayılı Resmi Gazete’de yayımlanarak yürürlüğe giren 3 Seri No’lu “Transfer Fiyatlandırması Yoluyla Örtülü Kazanç Dağıtımı Hakkında Genel Tebliği” ile 01 Eylül 2020 tarihli ve 31231 sayılı Resmi Gazete’de yayımlanarak yürürlüğe giren 4 Seri No’lu “Transfer Fiyatlandırması Yoluyla Örtülü Kazanç Dağıtımı Hakkında Genel Tebliğ(Seri No:1)’de Değişiklik Yapılmasına Dair Tebliğ”nde yer alan düzenlemeler ile Kurumlar, ilişkili kişilerle emsallere uygunluk ilkesine aykırı olarak tespit ettikleri bedel veya fiyat üzerinden mal veya hizmet alım ya da satımında bulunursa, kazanç tamamen veya kısmen transfer fiyatlandırması yoluyla örtülü olarak dağıtılmış sayılır. Alım, satım, imalat ve inşaat işlemleri, kiralama ve kiraya verme işlemleri, ödünç para alınması ve verilmesi, ikramiye, ücret ve benzeri ödemeleri gerektiren işlemler her hal ve şartta mal veya hizmet alım ya da satımı olarak değerlendirilir.</w:t>
      </w:r>
    </w:p>
    <w:p w14:paraId="4EECD822" w14:textId="77777777" w:rsidR="000E0A24" w:rsidRPr="00FB38E1" w:rsidRDefault="000E0A24" w:rsidP="000E0A24">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rPr>
        <w:t>Kurumlar vergisi mükelleflerinin, ilişkili kişilerle bir hesap dönemi içinde yaptıkları mal veya hizmet alım ya da satım işlemleri ile ilgili olarak “Transfer Fiyatlandırması, Kontrol Edilen Yabancı Kurum Ve Örtülü Sermayeye İlişkin Form”u doldurmaları ve kurumlar vergisi beyannamesi ekinde, bağlı bulunulan vergi dairesine göndermeleri gerekmektedir</w:t>
      </w:r>
      <w:r w:rsidRPr="00FB38E1">
        <w:rPr>
          <w:rFonts w:ascii="Microsoft Sans Serif" w:hAnsi="Microsoft Sans Serif" w:cs="Microsoft Sans Serif"/>
          <w:noProof/>
          <w:color w:val="404040" w:themeColor="text1" w:themeTint="BF"/>
          <w:sz w:val="20"/>
          <w:szCs w:val="20"/>
          <w:lang w:val="tr-TR"/>
        </w:rPr>
        <w:t>.</w:t>
      </w:r>
    </w:p>
    <w:p w14:paraId="637D5E72" w14:textId="53CD2225" w:rsidR="000E0A24" w:rsidRPr="00FB38E1" w:rsidRDefault="000E0A24" w:rsidP="000E0A24">
      <w:pPr>
        <w:pStyle w:val="BDDKmetin"/>
        <w:spacing w:after="120"/>
        <w:rPr>
          <w:rFonts w:ascii="Microsoft Sans Serif" w:hAnsi="Microsoft Sans Serif" w:cs="Microsoft Sans Serif"/>
          <w:b/>
          <w:noProof/>
          <w:color w:val="404040" w:themeColor="text1" w:themeTint="BF"/>
          <w:sz w:val="20"/>
          <w:szCs w:val="20"/>
          <w:lang w:val="tr-TR"/>
        </w:rPr>
      </w:pPr>
      <w:bookmarkStart w:id="21" w:name="_Hlk188138078"/>
      <w:r w:rsidRPr="00FB38E1">
        <w:rPr>
          <w:rFonts w:ascii="Microsoft Sans Serif" w:hAnsi="Microsoft Sans Serif" w:cs="Microsoft Sans Serif"/>
          <w:noProof/>
          <w:color w:val="404040" w:themeColor="text1" w:themeTint="BF"/>
          <w:sz w:val="20"/>
          <w:szCs w:val="20"/>
        </w:rPr>
        <w:t>İstanbul Defterdarlığı Büyük Mükellefler Vergi Dairesi Müdürlüğü’ne</w:t>
      </w:r>
      <w:bookmarkEnd w:id="21"/>
      <w:r w:rsidRPr="00FB38E1">
        <w:rPr>
          <w:rFonts w:ascii="Microsoft Sans Serif" w:hAnsi="Microsoft Sans Serif" w:cs="Microsoft Sans Serif"/>
          <w:noProof/>
          <w:color w:val="404040" w:themeColor="text1" w:themeTint="BF"/>
          <w:sz w:val="20"/>
          <w:szCs w:val="20"/>
        </w:rPr>
        <w:t xml:space="preserve"> kayıtlı mükelleflerin bir hesap dönemi içinde ilişkili kişilerle yaptığı yurt içi ve yurt dışı işlemlere ilişkin olarak belirlenen formata uygun şekilde, “Yıllık Transfer Fiyatlandırması Raporu”nu kurumlar vergisi beyannamesinin verilme süresine kadar hazırlamaları ve bu süre sona erdikten sonra istenmesi durumunda İdare’ye veya vergi incelemesi yapmaya yetkili olanlara ibraz etmeleri zorunludur</w:t>
      </w:r>
      <w:r w:rsidRPr="00FB38E1">
        <w:rPr>
          <w:rFonts w:ascii="Microsoft Sans Serif" w:hAnsi="Microsoft Sans Serif" w:cs="Microsoft Sans Serif"/>
          <w:noProof/>
          <w:color w:val="404040" w:themeColor="text1" w:themeTint="BF"/>
          <w:sz w:val="20"/>
          <w:szCs w:val="20"/>
          <w:lang w:val="tr-TR"/>
        </w:rPr>
        <w:t xml:space="preserve">. Çok uluslu işletmeler grubuna bağlı ve bir önceki hesap dönemine ilişkin kurumlar vergisi beyannamesi ekinde yer alan bilançodaki aktif büyüklüğü ve gelir tablosundaki net satışlar tutarının her ikisi de 500 milyon TL ve üzerinde olan kurumlar vergisi mükelleflerinin organizasyon yapısı, işletme faaliyetlerinin tanımı, sahip olduğu gayrimaddi hakları, grup içi finansal işlemleri ile grubun finansal ve vergisel durumunu içeren genel raporu bir önceki yıl için içinde bulunulan yılın sonuna kadar hazırlayarak istenmesi durumunda İdare’ye veya vergi incelemesi yapmaya yetkili olanlara ibraz etmeleri zorunludur. Raporlanan hesap döneminden bir önceki hesap döneminin konsolide finansal tablolarına göre toplam konsolide grup geliri, 750 milyon Avro ve üzerinde olan çok uluslu işletmeler grubunun Türkiye’de mukim nihai ana işletmesi veya vekil işletmesi, raporlanan hesap döneminden sonraki on ikinci ayın sonuna kadar gelir, vergi öncesi kar/zarar, tahakkuk eden ve ödenen kurumlar vergisi, sermaye, geçmiş yıl karları, çalışan sayısı ile nakit ve nakit benzeri dışındaki maddi varlıkları içeren ülke bazlı raporu hazırlar ve elektronik ortamda İdareye sunar. </w:t>
      </w:r>
      <w:bookmarkStart w:id="22" w:name="_Hlk188138099"/>
      <w:r w:rsidRPr="00FB38E1">
        <w:rPr>
          <w:rFonts w:ascii="Microsoft Sans Serif" w:hAnsi="Microsoft Sans Serif" w:cs="Microsoft Sans Serif"/>
          <w:noProof/>
          <w:color w:val="404040" w:themeColor="text1" w:themeTint="BF"/>
          <w:sz w:val="20"/>
          <w:szCs w:val="20"/>
          <w:lang w:val="tr-TR"/>
        </w:rPr>
        <w:t>17 Ekim 2024 tarihli ve 32695 sayılı Resmi Gazete’de yayımlanarak yürürlüğe giren 5 Seri No’lu “Transfer Fiyatlandırması Yoluyla Örtülü Kazanç Dağıtımı Hakkında Genel Tebliğ(Seri No:1)’de Değişiklik Yapılmasına Dair Tebliğ”nde belirtilen açıklamalar çerçevesinde ülke bazlı raporlama kapsamında hangi işletmenin ülke bazlı raporlama yapacağına ilişkin bildirim formunun hesap döneminin bitimini takip eden altıncı ayın sonuna kadar Dijital Vergi Dairesi üzerinden elektronik ortamda verileceği hüküm altına alınmıştır</w:t>
      </w:r>
      <w:r w:rsidR="00DC132E" w:rsidRPr="00FB38E1">
        <w:rPr>
          <w:rFonts w:ascii="Microsoft Sans Serif" w:hAnsi="Microsoft Sans Serif" w:cs="Microsoft Sans Serif"/>
          <w:noProof/>
          <w:color w:val="404040" w:themeColor="text1" w:themeTint="BF"/>
          <w:sz w:val="20"/>
          <w:szCs w:val="20"/>
          <w:lang w:val="tr-TR"/>
        </w:rPr>
        <w:t>.</w:t>
      </w:r>
    </w:p>
    <w:p w14:paraId="5289D251" w14:textId="69D247D3" w:rsidR="000E0A24" w:rsidRPr="00FB38E1" w:rsidRDefault="000E0A24" w:rsidP="00D46C0E">
      <w:pPr>
        <w:pStyle w:val="BDDKmetin"/>
        <w:numPr>
          <w:ilvl w:val="0"/>
          <w:numId w:val="11"/>
        </w:numPr>
        <w:spacing w:after="120"/>
        <w:ind w:left="0" w:hanging="567"/>
        <w:rPr>
          <w:rFonts w:ascii="Microsoft Sans Serif" w:hAnsi="Microsoft Sans Serif" w:cs="Microsoft Sans Serif"/>
          <w:b/>
          <w:noProof/>
          <w:color w:val="404040" w:themeColor="text1" w:themeTint="BF"/>
          <w:sz w:val="20"/>
          <w:szCs w:val="20"/>
          <w:lang w:val="tr-TR"/>
        </w:rPr>
      </w:pPr>
      <w:bookmarkStart w:id="23" w:name="_Hlk188138384"/>
      <w:bookmarkEnd w:id="22"/>
      <w:r w:rsidRPr="00FB38E1">
        <w:rPr>
          <w:rFonts w:ascii="Microsoft Sans Serif" w:hAnsi="Microsoft Sans Serif" w:cs="Microsoft Sans Serif"/>
          <w:b/>
          <w:noProof/>
          <w:color w:val="404040" w:themeColor="text1" w:themeTint="BF"/>
          <w:sz w:val="20"/>
          <w:szCs w:val="20"/>
          <w:lang w:val="tr-TR"/>
        </w:rPr>
        <w:t>Yerel ve küresel asgari tamamlayıcı kurumlar vergisi</w:t>
      </w:r>
      <w:bookmarkEnd w:id="23"/>
    </w:p>
    <w:p w14:paraId="431A631C" w14:textId="5D33A2E0" w:rsidR="000E0A24" w:rsidRPr="00FB38E1" w:rsidRDefault="000E0A24" w:rsidP="000E0A24">
      <w:pPr>
        <w:pStyle w:val="BDDKmetin"/>
        <w:spacing w:after="120"/>
        <w:rPr>
          <w:rFonts w:ascii="Microsoft Sans Serif" w:hAnsi="Microsoft Sans Serif" w:cs="Microsoft Sans Serif"/>
          <w:noProof/>
          <w:color w:val="404040" w:themeColor="text1" w:themeTint="BF"/>
          <w:sz w:val="20"/>
          <w:szCs w:val="20"/>
          <w:lang w:val="tr-TR"/>
        </w:rPr>
      </w:pPr>
      <w:bookmarkStart w:id="24" w:name="_Hlk188138396"/>
      <w:r w:rsidRPr="00FB38E1">
        <w:rPr>
          <w:rFonts w:ascii="Microsoft Sans Serif" w:hAnsi="Microsoft Sans Serif" w:cs="Microsoft Sans Serif"/>
          <w:noProof/>
          <w:color w:val="404040" w:themeColor="text1" w:themeTint="BF"/>
          <w:sz w:val="20"/>
          <w:szCs w:val="20"/>
          <w:lang w:val="tr-TR"/>
        </w:rPr>
        <w:t>2 Ağustos 2024 tarih ve 32620 sayılı Resmi Gazete’de yayımlanarak yürürlüğe giren, 7524 sayılı Vergi Kanunları ile Bazı Kanunlarda ve 375 Sayılı Kanun Hükmünde Kararnamede Değişiklik Yapılmasına Dair Kanun ile Kurumlar Vergisi Kanunu (“KVK”)’na Ek 11 Madde  ile “Yerel ve Küresel Asgari Tamamlayıcı Kurumlar Vergisi” eklenmiştir. KVK Ek Madde 1’de, nihai ana işletmesinin konsolide finansal tablosundaki yıllık konsolide hasılatı, gelirin raporlandığı hesap döneminden önceki dört hesap döneminin en az ikisinde 750 milyon avro karşılığı Türk lirası sınırını geçen çok uluslu işletme gruplarının bağlı işletmelerinin ilgili hesap dönemindeki kazançları, yerel ve küresel asgari tamamlayıcı kurumlar vergisine tabidir.</w:t>
      </w:r>
    </w:p>
    <w:p w14:paraId="20FC436B" w14:textId="49059DC3" w:rsidR="000E0A24" w:rsidRPr="00FB38E1" w:rsidRDefault="000E0A24" w:rsidP="000E0A24">
      <w:pPr>
        <w:pStyle w:val="BDDKmetin"/>
        <w:spacing w:after="12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Banka, son dört mali yılın en az ikisinde konsolide geliri 750 milyon Euro ve üzerinde olan Çok Uluslu İşletme (ÇUİ) kapsamına girmektedir.</w:t>
      </w:r>
    </w:p>
    <w:p w14:paraId="468955AA" w14:textId="6F064D92" w:rsidR="00F46C84" w:rsidRPr="00FB38E1" w:rsidRDefault="000E0A24" w:rsidP="000E0A24">
      <w:pPr>
        <w:pStyle w:val="BDDKmetin"/>
        <w:spacing w:after="120"/>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Hesaplanan küresel asgari tamamlayıcı kurumlar vergisi, hesap döneminin kapandığı ayı izleyen on beşinci</w:t>
      </w:r>
      <w:r w:rsidR="007F0BAF" w:rsidRPr="00FB38E1">
        <w:rPr>
          <w:rFonts w:ascii="Microsoft Sans Serif" w:hAnsi="Microsoft Sans Serif" w:cs="Microsoft Sans Serif"/>
          <w:noProof/>
          <w:color w:val="404040" w:themeColor="text1" w:themeTint="BF"/>
          <w:sz w:val="20"/>
          <w:szCs w:val="20"/>
          <w:lang w:val="tr-TR"/>
        </w:rPr>
        <w:t xml:space="preserve"> (ilk </w:t>
      </w:r>
      <w:r w:rsidR="009A750C" w:rsidRPr="00FB38E1">
        <w:rPr>
          <w:rFonts w:ascii="Microsoft Sans Serif" w:hAnsi="Microsoft Sans Serif" w:cs="Microsoft Sans Serif"/>
          <w:noProof/>
          <w:color w:val="404040" w:themeColor="text1" w:themeTint="BF"/>
          <w:sz w:val="20"/>
          <w:szCs w:val="20"/>
          <w:lang w:val="tr-TR"/>
        </w:rPr>
        <w:t>y</w:t>
      </w:r>
      <w:r w:rsidR="007F0BAF" w:rsidRPr="00FB38E1">
        <w:rPr>
          <w:rFonts w:ascii="Microsoft Sans Serif" w:hAnsi="Microsoft Sans Serif" w:cs="Microsoft Sans Serif"/>
          <w:noProof/>
          <w:color w:val="404040" w:themeColor="text1" w:themeTint="BF"/>
          <w:sz w:val="20"/>
          <w:szCs w:val="20"/>
          <w:lang w:val="tr-TR"/>
        </w:rPr>
        <w:t xml:space="preserve">ıl için </w:t>
      </w:r>
      <w:r w:rsidR="009A750C" w:rsidRPr="00FB38E1">
        <w:rPr>
          <w:rFonts w:ascii="Microsoft Sans Serif" w:hAnsi="Microsoft Sans Serif" w:cs="Microsoft Sans Serif"/>
          <w:noProof/>
          <w:color w:val="404040" w:themeColor="text1" w:themeTint="BF"/>
          <w:sz w:val="20"/>
          <w:szCs w:val="20"/>
          <w:lang w:val="tr-TR"/>
        </w:rPr>
        <w:t>on sekizinci</w:t>
      </w:r>
      <w:r w:rsidR="007F0BAF" w:rsidRPr="00FB38E1">
        <w:rPr>
          <w:rFonts w:ascii="Microsoft Sans Serif" w:hAnsi="Microsoft Sans Serif" w:cs="Microsoft Sans Serif"/>
          <w:noProof/>
          <w:color w:val="404040" w:themeColor="text1" w:themeTint="BF"/>
          <w:sz w:val="20"/>
          <w:szCs w:val="20"/>
          <w:lang w:val="tr-TR"/>
        </w:rPr>
        <w:t>)</w:t>
      </w:r>
      <w:r w:rsidRPr="00FB38E1">
        <w:rPr>
          <w:rFonts w:ascii="Microsoft Sans Serif" w:hAnsi="Microsoft Sans Serif" w:cs="Microsoft Sans Serif"/>
          <w:noProof/>
          <w:color w:val="404040" w:themeColor="text1" w:themeTint="BF"/>
          <w:sz w:val="20"/>
          <w:szCs w:val="20"/>
          <w:lang w:val="tr-TR"/>
        </w:rPr>
        <w:t xml:space="preserve"> ayın son gününe kadar beyan edilir ve ödenir. Hesaplanan yerel asgari tamamlayıcı kurumlar vergisi, hesap döneminin kapandığı ayı izleyen on ikinci ayın birinci gününden son gününe kadar beyan edilir ve ödenir</w:t>
      </w:r>
      <w:bookmarkEnd w:id="24"/>
      <w:r w:rsidRPr="00FB38E1">
        <w:rPr>
          <w:rFonts w:ascii="Microsoft Sans Serif" w:hAnsi="Microsoft Sans Serif" w:cs="Microsoft Sans Serif"/>
          <w:noProof/>
          <w:color w:val="404040" w:themeColor="text1" w:themeTint="BF"/>
          <w:sz w:val="20"/>
          <w:szCs w:val="20"/>
          <w:lang w:val="tr-TR"/>
        </w:rPr>
        <w:t>.</w:t>
      </w:r>
      <w:r w:rsidR="00704554" w:rsidRPr="00FB38E1">
        <w:rPr>
          <w:rFonts w:ascii="Microsoft Sans Serif" w:hAnsi="Microsoft Sans Serif" w:cs="Microsoft Sans Serif"/>
          <w:noProof/>
          <w:color w:val="404040" w:themeColor="text1" w:themeTint="BF"/>
          <w:sz w:val="20"/>
          <w:szCs w:val="20"/>
          <w:lang w:val="tr-TR"/>
        </w:rPr>
        <w:t> </w:t>
      </w:r>
      <w:r w:rsidR="00711092" w:rsidRPr="00FB38E1">
        <w:rPr>
          <w:rFonts w:ascii="Microsoft Sans Serif" w:hAnsi="Microsoft Sans Serif" w:cs="Microsoft Sans Serif"/>
          <w:noProof/>
          <w:color w:val="404040" w:themeColor="text1" w:themeTint="BF"/>
          <w:sz w:val="20"/>
          <w:szCs w:val="20"/>
        </w:rPr>
        <w:t xml:space="preserve">Söz konusu düzenleme neticesinde yapılan hesaplamalara göre, 31 Aralık 2024 tarihi itibarıyla Banka’nın asgari kurumlar vergisine yönelik </w:t>
      </w:r>
      <w:r w:rsidR="003F0F4E" w:rsidRPr="00FB38E1">
        <w:rPr>
          <w:rFonts w:ascii="Microsoft Sans Serif" w:hAnsi="Microsoft Sans Serif" w:cs="Microsoft Sans Serif"/>
          <w:noProof/>
          <w:color w:val="404040" w:themeColor="text1" w:themeTint="BF"/>
          <w:sz w:val="20"/>
          <w:szCs w:val="20"/>
        </w:rPr>
        <w:t xml:space="preserve">önemli bir </w:t>
      </w:r>
      <w:r w:rsidR="002F3F3C" w:rsidRPr="00FB38E1">
        <w:rPr>
          <w:rFonts w:ascii="Microsoft Sans Serif" w:hAnsi="Microsoft Sans Serif" w:cs="Microsoft Sans Serif"/>
          <w:noProof/>
          <w:color w:val="404040" w:themeColor="text1" w:themeTint="BF"/>
          <w:sz w:val="20"/>
          <w:szCs w:val="20"/>
        </w:rPr>
        <w:t>yükümlülüğü oluşmayacaktır</w:t>
      </w:r>
      <w:r w:rsidR="00711092" w:rsidRPr="00FB38E1">
        <w:rPr>
          <w:rFonts w:ascii="Microsoft Sans Serif" w:hAnsi="Microsoft Sans Serif" w:cs="Microsoft Sans Serif"/>
          <w:noProof/>
          <w:color w:val="404040" w:themeColor="text1" w:themeTint="BF"/>
          <w:sz w:val="20"/>
          <w:szCs w:val="20"/>
        </w:rPr>
        <w:t>.</w:t>
      </w:r>
    </w:p>
    <w:p w14:paraId="1DA830C7" w14:textId="1F7961AF" w:rsidR="00E24060" w:rsidRPr="00FB38E1"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rPr>
        <w:t>Borçlanmalara ilişkin ilave açıklamalar</w:t>
      </w:r>
    </w:p>
    <w:p w14:paraId="586409D9" w14:textId="77777777" w:rsidR="00E24060" w:rsidRPr="00FB38E1"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Borçlanmayı temsil eden araçlar; işlem tarihinde gerçeğe uygun değerini yansıtan elde etme maliyeti ile kayda alınmakta, sonraki dönemlerde iskonto edilmiş değerleri üzerinden izlenmektedir. İlişikteki finansal tablolarda, yabancı para borçlanma araçları Banka’nın dönem sonu döviz alış kuru ile değerlemeye tabi tutulmuş, borçlanma tutarlarına ilişkin döneme isabet eden faiz gideri tutarları finansal tablolara yansıtılmıştır</w:t>
      </w:r>
      <w:r w:rsidR="00E24060" w:rsidRPr="00FB38E1">
        <w:rPr>
          <w:rFonts w:ascii="Microsoft Sans Serif" w:hAnsi="Microsoft Sans Serif" w:cs="Microsoft Sans Serif"/>
          <w:noProof/>
          <w:color w:val="404040" w:themeColor="text1" w:themeTint="BF"/>
          <w:sz w:val="20"/>
          <w:szCs w:val="20"/>
          <w:lang w:val="tr-TR"/>
        </w:rPr>
        <w:t>.</w:t>
      </w:r>
    </w:p>
    <w:p w14:paraId="10DAB595" w14:textId="12725B89" w:rsidR="00E24060" w:rsidRPr="00FB38E1"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rPr>
        <w:t xml:space="preserve">Borçlanmayı temsil eden mevduatlar için likidite ve yabancı para kur riskine karşı genel anlamda korunma teknikleri uygulanmaktadır. Banka, gerektiğinde </w:t>
      </w:r>
      <w:r w:rsidR="00CC65DD" w:rsidRPr="00FB38E1">
        <w:rPr>
          <w:rFonts w:ascii="Microsoft Sans Serif" w:hAnsi="Microsoft Sans Serif" w:cs="Microsoft Sans Serif"/>
          <w:noProof/>
          <w:color w:val="404040" w:themeColor="text1" w:themeTint="BF"/>
          <w:sz w:val="20"/>
          <w:szCs w:val="20"/>
        </w:rPr>
        <w:t>yurt içi</w:t>
      </w:r>
      <w:r w:rsidRPr="00FB38E1">
        <w:rPr>
          <w:rFonts w:ascii="Microsoft Sans Serif" w:hAnsi="Microsoft Sans Serif" w:cs="Microsoft Sans Serif"/>
          <w:noProof/>
          <w:color w:val="404040" w:themeColor="text1" w:themeTint="BF"/>
          <w:sz w:val="20"/>
          <w:szCs w:val="20"/>
        </w:rPr>
        <w:t xml:space="preserve"> ve </w:t>
      </w:r>
      <w:r w:rsidR="00CC65DD" w:rsidRPr="00FB38E1">
        <w:rPr>
          <w:rFonts w:ascii="Microsoft Sans Serif" w:hAnsi="Microsoft Sans Serif" w:cs="Microsoft Sans Serif"/>
          <w:noProof/>
          <w:color w:val="404040" w:themeColor="text1" w:themeTint="BF"/>
          <w:sz w:val="20"/>
          <w:szCs w:val="20"/>
        </w:rPr>
        <w:t>yurt dışı</w:t>
      </w:r>
      <w:r w:rsidRPr="00FB38E1">
        <w:rPr>
          <w:rFonts w:ascii="Microsoft Sans Serif" w:hAnsi="Microsoft Sans Serif" w:cs="Microsoft Sans Serif"/>
          <w:noProof/>
          <w:color w:val="404040" w:themeColor="text1" w:themeTint="BF"/>
          <w:sz w:val="20"/>
          <w:szCs w:val="20"/>
        </w:rPr>
        <w:t xml:space="preserve"> kuruluşlardan kaynak temin etmektedir. </w:t>
      </w:r>
      <w:r w:rsidR="00CC65DD" w:rsidRPr="00FB38E1">
        <w:rPr>
          <w:rFonts w:ascii="Microsoft Sans Serif" w:hAnsi="Microsoft Sans Serif" w:cs="Microsoft Sans Serif"/>
          <w:noProof/>
          <w:color w:val="404040" w:themeColor="text1" w:themeTint="BF"/>
          <w:sz w:val="20"/>
          <w:szCs w:val="20"/>
        </w:rPr>
        <w:t>Yurt dışı</w:t>
      </w:r>
      <w:r w:rsidRPr="00FB38E1">
        <w:rPr>
          <w:rFonts w:ascii="Microsoft Sans Serif" w:hAnsi="Microsoft Sans Serif" w:cs="Microsoft Sans Serif"/>
          <w:noProof/>
          <w:color w:val="404040" w:themeColor="text1" w:themeTint="BF"/>
          <w:sz w:val="20"/>
          <w:szCs w:val="20"/>
        </w:rPr>
        <w:t xml:space="preserve"> kuruluşlardan sendikasyon, seküritizasyon gibi borçlanma araçları ile de kaynak temini yoluna gitmektedir</w:t>
      </w:r>
      <w:r w:rsidR="00E24060" w:rsidRPr="00FB38E1">
        <w:rPr>
          <w:rFonts w:ascii="Microsoft Sans Serif" w:hAnsi="Microsoft Sans Serif" w:cs="Microsoft Sans Serif"/>
          <w:noProof/>
          <w:color w:val="404040" w:themeColor="text1" w:themeTint="BF"/>
          <w:sz w:val="20"/>
          <w:szCs w:val="20"/>
          <w:lang w:val="tr-TR"/>
        </w:rPr>
        <w:t>.</w:t>
      </w:r>
    </w:p>
    <w:p w14:paraId="3174D040" w14:textId="4B196ABD" w:rsidR="00E24060" w:rsidRPr="00FB38E1"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rPr>
        <w:t>İhraç edilen hisse senetlerine ilişkin açıklamalar</w:t>
      </w:r>
    </w:p>
    <w:p w14:paraId="784866A6" w14:textId="298D9ACF" w:rsidR="001E2B28" w:rsidRPr="00FB38E1" w:rsidRDefault="001D1D25" w:rsidP="00E27C33">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202</w:t>
      </w:r>
      <w:r w:rsidR="00913E2A" w:rsidRPr="00FB38E1">
        <w:rPr>
          <w:rFonts w:ascii="Microsoft Sans Serif" w:hAnsi="Microsoft Sans Serif" w:cs="Microsoft Sans Serif"/>
          <w:noProof/>
          <w:color w:val="404040" w:themeColor="text1" w:themeTint="BF"/>
          <w:sz w:val="20"/>
          <w:szCs w:val="20"/>
          <w:lang w:val="tr-TR"/>
        </w:rPr>
        <w:t>4</w:t>
      </w:r>
      <w:r w:rsidR="00304064" w:rsidRPr="00FB38E1">
        <w:rPr>
          <w:rFonts w:ascii="Microsoft Sans Serif" w:hAnsi="Microsoft Sans Serif" w:cs="Microsoft Sans Serif"/>
          <w:noProof/>
          <w:color w:val="404040" w:themeColor="text1" w:themeTint="BF"/>
          <w:sz w:val="20"/>
          <w:szCs w:val="20"/>
          <w:lang w:val="tr-TR"/>
        </w:rPr>
        <w:t xml:space="preserve"> ve 202</w:t>
      </w:r>
      <w:r w:rsidR="00913E2A" w:rsidRPr="00FB38E1">
        <w:rPr>
          <w:rFonts w:ascii="Microsoft Sans Serif" w:hAnsi="Microsoft Sans Serif" w:cs="Microsoft Sans Serif"/>
          <w:noProof/>
          <w:color w:val="404040" w:themeColor="text1" w:themeTint="BF"/>
          <w:sz w:val="20"/>
          <w:szCs w:val="20"/>
          <w:lang w:val="tr-TR"/>
        </w:rPr>
        <w:t>3</w:t>
      </w:r>
      <w:r w:rsidR="001E2B28" w:rsidRPr="00FB38E1">
        <w:rPr>
          <w:rFonts w:ascii="Microsoft Sans Serif" w:hAnsi="Microsoft Sans Serif" w:cs="Microsoft Sans Serif"/>
          <w:noProof/>
          <w:color w:val="404040" w:themeColor="text1" w:themeTint="BF"/>
          <w:sz w:val="20"/>
          <w:szCs w:val="20"/>
          <w:lang w:val="tr-TR"/>
        </w:rPr>
        <w:t xml:space="preserve"> yılları içerisinde ihraç edilen hisse senedi bulunmamaktadır.</w:t>
      </w:r>
    </w:p>
    <w:p w14:paraId="0553AE6D" w14:textId="5A041120" w:rsidR="00E24060" w:rsidRPr="00FB38E1"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rPr>
        <w:t>Aval ve kabullere ilişkin açıklamalar</w:t>
      </w:r>
    </w:p>
    <w:p w14:paraId="7657334F" w14:textId="77777777" w:rsidR="00E24060" w:rsidRPr="00FB38E1"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Aval ve kabuller, olası borç ve taahhüt olarak bilanço dışı yükümlülükler arasında izlenmektedir. Aval ve kabullere ilişkin nakit işlem, müşterilerin ödemeleri ile eş zamanlı olarak gerçekleştirilmektedir</w:t>
      </w:r>
      <w:r w:rsidR="00E24060" w:rsidRPr="00FB38E1">
        <w:rPr>
          <w:rFonts w:ascii="Microsoft Sans Serif" w:hAnsi="Microsoft Sans Serif" w:cs="Microsoft Sans Serif"/>
          <w:noProof/>
          <w:color w:val="404040" w:themeColor="text1" w:themeTint="BF"/>
          <w:sz w:val="20"/>
          <w:szCs w:val="20"/>
          <w:lang w:val="tr-TR"/>
        </w:rPr>
        <w:t>.</w:t>
      </w:r>
    </w:p>
    <w:p w14:paraId="0A5841E2" w14:textId="448FC025" w:rsidR="00E24060" w:rsidRPr="00FB38E1"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Bilanço tarihi itibarıyla aktif karşılığı bir yükümlülük olarak gösterilen aval ve kabuller bulunmamaktadır</w:t>
      </w:r>
      <w:r w:rsidR="00E24060" w:rsidRPr="00FB38E1">
        <w:rPr>
          <w:rFonts w:ascii="Microsoft Sans Serif" w:hAnsi="Microsoft Sans Serif" w:cs="Microsoft Sans Serif"/>
          <w:noProof/>
          <w:color w:val="404040" w:themeColor="text1" w:themeTint="BF"/>
          <w:sz w:val="20"/>
          <w:szCs w:val="20"/>
          <w:lang w:val="tr-TR"/>
        </w:rPr>
        <w:t>.</w:t>
      </w:r>
    </w:p>
    <w:p w14:paraId="76E42908" w14:textId="3D844C8B" w:rsidR="00E24060" w:rsidRPr="00FB38E1" w:rsidRDefault="00E24060" w:rsidP="00D46C0E">
      <w:pPr>
        <w:pStyle w:val="BDDKmetin"/>
        <w:numPr>
          <w:ilvl w:val="0"/>
          <w:numId w:val="31"/>
        </w:numPr>
        <w:spacing w:before="240" w:after="120"/>
        <w:ind w:left="0" w:hanging="851"/>
        <w:rPr>
          <w:rFonts w:ascii="Microsoft Sans Serif" w:hAnsi="Microsoft Sans Serif" w:cs="Microsoft Sans Serif"/>
          <w:b/>
        </w:rPr>
      </w:pPr>
      <w:r w:rsidRPr="00FB38E1">
        <w:rPr>
          <w:rFonts w:ascii="Microsoft Sans Serif" w:hAnsi="Microsoft Sans Serif" w:cs="Microsoft Sans Serif"/>
          <w:b/>
        </w:rPr>
        <w:t>Devlet teşviklerine ilişkin açıklamalar</w:t>
      </w:r>
    </w:p>
    <w:p w14:paraId="0CFBE7F1" w14:textId="17AD202D" w:rsidR="00537C23" w:rsidRPr="00FB38E1" w:rsidRDefault="00D73D15" w:rsidP="00056003">
      <w:pPr>
        <w:pStyle w:val="BDDKmetin"/>
        <w:spacing w:line="220" w:lineRule="exact"/>
        <w:rPr>
          <w:rFonts w:ascii="Microsoft Sans Serif" w:hAnsi="Microsoft Sans Serif" w:cs="Microsoft Sans Serif"/>
          <w:b/>
        </w:rPr>
      </w:pPr>
      <w:r w:rsidRPr="00FB38E1">
        <w:rPr>
          <w:rFonts w:ascii="Microsoft Sans Serif" w:hAnsi="Microsoft Sans Serif" w:cs="Microsoft Sans Serif"/>
          <w:noProof/>
          <w:color w:val="404040" w:themeColor="text1" w:themeTint="BF"/>
          <w:sz w:val="20"/>
          <w:szCs w:val="20"/>
          <w:lang w:val="tr-TR"/>
        </w:rPr>
        <w:t>Bilanço tarihi itibarıyla Banka’nın kullandığı devlet teşviği bulunmamaktadır</w:t>
      </w:r>
      <w:r w:rsidR="00E24060" w:rsidRPr="00FB38E1">
        <w:rPr>
          <w:rFonts w:ascii="Microsoft Sans Serif" w:hAnsi="Microsoft Sans Serif" w:cs="Microsoft Sans Serif"/>
          <w:noProof/>
          <w:color w:val="404040" w:themeColor="text1" w:themeTint="BF"/>
          <w:sz w:val="20"/>
          <w:szCs w:val="20"/>
          <w:lang w:val="tr-TR"/>
        </w:rPr>
        <w:t>.</w:t>
      </w:r>
    </w:p>
    <w:p w14:paraId="6971C72A" w14:textId="52C5E556" w:rsidR="00E24060" w:rsidRPr="00FB38E1"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rPr>
        <w:t>Raporlamanın bölümlemeye göre yapılmasına ilişkin açıklamalar</w:t>
      </w:r>
    </w:p>
    <w:p w14:paraId="03BF28D3" w14:textId="6E1A862E" w:rsidR="009700A8" w:rsidRPr="00FB38E1" w:rsidRDefault="00D73D15" w:rsidP="00036E7D">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 xml:space="preserve">Faaliyet bölümlerine göre raporlama Dördüncü bölüm </w:t>
      </w:r>
      <w:r w:rsidR="00913E2A" w:rsidRPr="00FB38E1">
        <w:rPr>
          <w:rFonts w:ascii="Microsoft Sans Serif" w:hAnsi="Microsoft Sans Serif" w:cs="Microsoft Sans Serif"/>
          <w:noProof/>
          <w:color w:val="404040" w:themeColor="text1" w:themeTint="BF"/>
          <w:sz w:val="20"/>
          <w:szCs w:val="20"/>
          <w:lang w:val="tr-TR"/>
        </w:rPr>
        <w:t>X</w:t>
      </w:r>
      <w:r w:rsidR="00D902C5" w:rsidRPr="00FB38E1">
        <w:rPr>
          <w:rFonts w:ascii="Microsoft Sans Serif" w:hAnsi="Microsoft Sans Serif" w:cs="Microsoft Sans Serif"/>
          <w:noProof/>
          <w:color w:val="404040" w:themeColor="text1" w:themeTint="BF"/>
          <w:sz w:val="20"/>
          <w:szCs w:val="20"/>
          <w:lang w:val="tr-TR"/>
        </w:rPr>
        <w:t>II</w:t>
      </w:r>
      <w:r w:rsidRPr="00FB38E1">
        <w:rPr>
          <w:rFonts w:ascii="Microsoft Sans Serif" w:hAnsi="Microsoft Sans Serif" w:cs="Microsoft Sans Serif"/>
          <w:noProof/>
          <w:color w:val="404040" w:themeColor="text1" w:themeTint="BF"/>
          <w:sz w:val="20"/>
          <w:szCs w:val="20"/>
          <w:lang w:val="tr-TR"/>
        </w:rPr>
        <w:t xml:space="preserve"> no’lu dipnotta sunulmuştur</w:t>
      </w:r>
      <w:r w:rsidR="00E24060" w:rsidRPr="00FB38E1">
        <w:rPr>
          <w:rFonts w:ascii="Microsoft Sans Serif" w:hAnsi="Microsoft Sans Serif" w:cs="Microsoft Sans Serif"/>
          <w:noProof/>
          <w:color w:val="404040" w:themeColor="text1" w:themeTint="BF"/>
          <w:sz w:val="20"/>
          <w:szCs w:val="20"/>
          <w:lang w:val="tr-TR"/>
        </w:rPr>
        <w:t>.</w:t>
      </w:r>
    </w:p>
    <w:p w14:paraId="115DA039" w14:textId="2D9D9B1A" w:rsidR="00E24060" w:rsidRPr="00FB38E1" w:rsidRDefault="00E24060"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rPr>
        <w:t>Diğer hususlara ilişkin açıklamalar</w:t>
      </w:r>
    </w:p>
    <w:p w14:paraId="12CA4E30" w14:textId="4F871FAD" w:rsidR="00302871" w:rsidRPr="00FB38E1" w:rsidRDefault="001E2B28" w:rsidP="00194D59">
      <w:pPr>
        <w:pStyle w:val="BDDKmetin"/>
        <w:spacing w:after="120" w:line="220" w:lineRule="exact"/>
        <w:rPr>
          <w:rFonts w:ascii="Microsoft Sans Serif" w:hAnsi="Microsoft Sans Serif" w:cs="Microsoft Sans Serif"/>
          <w:b/>
        </w:rPr>
      </w:pPr>
      <w:r w:rsidRPr="00FB38E1">
        <w:rPr>
          <w:rFonts w:ascii="Microsoft Sans Serif" w:hAnsi="Microsoft Sans Serif" w:cs="Microsoft Sans Serif"/>
          <w:color w:val="404040" w:themeColor="text1" w:themeTint="BF"/>
          <w:sz w:val="20"/>
          <w:szCs w:val="20"/>
        </w:rPr>
        <w:t>Bulunmamaktadır</w:t>
      </w:r>
      <w:r w:rsidR="00052E59" w:rsidRPr="00FB38E1">
        <w:rPr>
          <w:rFonts w:ascii="Microsoft Sans Serif" w:hAnsi="Microsoft Sans Serif" w:cs="Microsoft Sans Serif"/>
          <w:color w:val="404040" w:themeColor="text1" w:themeTint="BF"/>
          <w:sz w:val="20"/>
          <w:szCs w:val="20"/>
        </w:rPr>
        <w:t>.</w:t>
      </w:r>
    </w:p>
    <w:p w14:paraId="2EABFD4D" w14:textId="72E43A6C" w:rsidR="00717ECB" w:rsidRPr="00FB38E1" w:rsidRDefault="00717ECB" w:rsidP="00076C9E">
      <w:pPr>
        <w:pStyle w:val="BDDKmetin"/>
        <w:numPr>
          <w:ilvl w:val="0"/>
          <w:numId w:val="31"/>
        </w:numPr>
        <w:spacing w:before="240" w:after="120"/>
        <w:ind w:left="0" w:hanging="851"/>
        <w:rPr>
          <w:rFonts w:ascii="Microsoft Sans Serif" w:hAnsi="Microsoft Sans Serif" w:cs="Microsoft Sans Serif"/>
          <w:b/>
          <w:noProof/>
          <w:color w:val="404040" w:themeColor="text1" w:themeTint="BF"/>
          <w:sz w:val="20"/>
          <w:szCs w:val="20"/>
          <w:lang w:val="tr-TR"/>
        </w:rPr>
      </w:pPr>
      <w:r w:rsidRPr="00FB38E1">
        <w:rPr>
          <w:rFonts w:ascii="Microsoft Sans Serif" w:hAnsi="Microsoft Sans Serif" w:cs="Microsoft Sans Serif"/>
          <w:b/>
        </w:rPr>
        <w:t>Sınıflandırmalar</w:t>
      </w:r>
    </w:p>
    <w:p w14:paraId="7DABD73E" w14:textId="22C869B2" w:rsidR="00717ECB" w:rsidRPr="00FB38E1" w:rsidRDefault="00301F4C" w:rsidP="00194D59">
      <w:pPr>
        <w:pStyle w:val="BDDKmetin"/>
        <w:spacing w:after="120"/>
        <w:rPr>
          <w:rFonts w:ascii="Microsoft Sans Serif" w:hAnsi="Microsoft Sans Serif" w:cs="Microsoft Sans Serif"/>
          <w:b/>
        </w:rPr>
      </w:pPr>
      <w:r w:rsidRPr="00FB38E1">
        <w:rPr>
          <w:rFonts w:ascii="Microsoft Sans Serif" w:hAnsi="Microsoft Sans Serif" w:cs="Microsoft Sans Serif"/>
          <w:color w:val="404040" w:themeColor="text1" w:themeTint="BF"/>
          <w:sz w:val="20"/>
          <w:szCs w:val="20"/>
        </w:rPr>
        <w:t>Üçüncü bölüm XI no’lu dipnotta verilmiştir</w:t>
      </w:r>
      <w:r w:rsidRPr="00FB38E1">
        <w:rPr>
          <w:rFonts w:ascii="Microsoft Sans Serif" w:hAnsi="Microsoft Sans Serif" w:cs="Microsoft Sans Serif"/>
          <w:noProof/>
          <w:color w:val="404040" w:themeColor="text1" w:themeTint="BF"/>
          <w:sz w:val="20"/>
          <w:szCs w:val="20"/>
          <w:lang w:val="tr-TR"/>
        </w:rPr>
        <w:t>.</w:t>
      </w:r>
    </w:p>
    <w:p w14:paraId="3CD84945" w14:textId="77777777" w:rsidR="00E74C94" w:rsidRPr="00FB38E1" w:rsidRDefault="00E74C94" w:rsidP="00E74C94">
      <w:pPr>
        <w:pStyle w:val="NormalTrebuchet"/>
        <w:pageBreakBefore/>
        <w:rPr>
          <w:rFonts w:ascii="Microsoft Sans Serif" w:hAnsi="Microsoft Sans Serif" w:cs="Microsoft Sans Serif"/>
        </w:rPr>
      </w:pPr>
      <w:r w:rsidRPr="00FB38E1">
        <w:rPr>
          <w:rFonts w:ascii="Microsoft Sans Serif" w:hAnsi="Microsoft Sans Serif" w:cs="Microsoft Sans Serif"/>
        </w:rPr>
        <w:t>DÖRDÜNCÜ BÖLÜM</w:t>
      </w:r>
    </w:p>
    <w:p w14:paraId="507FAF3C" w14:textId="77777777" w:rsidR="00E74C94" w:rsidRPr="00FB38E1" w:rsidRDefault="003D7E44" w:rsidP="00E74C94">
      <w:pPr>
        <w:pStyle w:val="NormalTrebuchet"/>
        <w:rPr>
          <w:rFonts w:ascii="Microsoft Sans Serif" w:hAnsi="Microsoft Sans Serif" w:cs="Microsoft Sans Serif"/>
        </w:rPr>
      </w:pPr>
      <w:r w:rsidRPr="00FB38E1">
        <w:rPr>
          <w:rFonts w:ascii="Microsoft Sans Serif" w:hAnsi="Microsoft Sans Serif" w:cs="Microsoft Sans Serif"/>
        </w:rPr>
        <w:t xml:space="preserve">MALİ </w:t>
      </w:r>
      <w:r w:rsidR="00E74C94" w:rsidRPr="00FB38E1">
        <w:rPr>
          <w:rFonts w:ascii="Microsoft Sans Serif" w:hAnsi="Microsoft Sans Serif" w:cs="Microsoft Sans Serif"/>
        </w:rPr>
        <w:t>BÜNYEYE VE RİSK YÖNETİMİNE İLİŞKİN BİLGİLER</w:t>
      </w:r>
    </w:p>
    <w:p w14:paraId="4D728276" w14:textId="77777777" w:rsidR="00EB48B6" w:rsidRPr="00FB38E1" w:rsidRDefault="00141800" w:rsidP="00076C9E">
      <w:pPr>
        <w:pStyle w:val="BDDKbalk1"/>
        <w:numPr>
          <w:ilvl w:val="0"/>
          <w:numId w:val="12"/>
        </w:numPr>
        <w:spacing w:line="240" w:lineRule="exact"/>
        <w:ind w:left="0" w:hanging="851"/>
        <w:rPr>
          <w:rFonts w:ascii="Microsoft Sans Serif" w:hAnsi="Microsoft Sans Serif" w:cs="Microsoft Sans Serif"/>
          <w:lang w:eastAsia="en-US"/>
        </w:rPr>
      </w:pPr>
      <w:r w:rsidRPr="00FB38E1">
        <w:rPr>
          <w:rFonts w:ascii="Microsoft Sans Serif" w:hAnsi="Microsoft Sans Serif" w:cs="Microsoft Sans Serif"/>
          <w:lang w:eastAsia="en-US"/>
        </w:rPr>
        <w:t>Ö</w:t>
      </w:r>
      <w:r w:rsidR="00EA2DB4" w:rsidRPr="00FB38E1">
        <w:rPr>
          <w:rFonts w:ascii="Microsoft Sans Serif" w:hAnsi="Microsoft Sans Serif" w:cs="Microsoft Sans Serif"/>
          <w:lang w:eastAsia="en-US"/>
        </w:rPr>
        <w:t>zkaynağa</w:t>
      </w:r>
      <w:r w:rsidR="00EB48B6" w:rsidRPr="00FB38E1">
        <w:rPr>
          <w:rFonts w:ascii="Microsoft Sans Serif" w:hAnsi="Microsoft Sans Serif" w:cs="Microsoft Sans Serif"/>
          <w:lang w:eastAsia="en-US"/>
        </w:rPr>
        <w:t xml:space="preserve"> ilişkin bilgiler</w:t>
      </w:r>
    </w:p>
    <w:p w14:paraId="3D03D7C3" w14:textId="4F445810" w:rsidR="0066555E" w:rsidRPr="00FB38E1" w:rsidRDefault="0066555E" w:rsidP="00360216">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Özkaynak tutarı ve sermaye yeterliliği standart oranı “Bankaların Özkaynaklarına İlişkin Yönetmelik” ile “Bankaların Sermaye Yeterliliğinin Ölçülmesine ve Değerlendirilmesine İlişkin Yönetmelik” çerçevesinde hesaplanmıştır.</w:t>
      </w:r>
    </w:p>
    <w:p w14:paraId="461BE817" w14:textId="77777777" w:rsidR="007A4534" w:rsidRPr="00FB38E1" w:rsidRDefault="007A4534" w:rsidP="007A4534">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t>BDDK’nın 12 Aralık 2023 tarihli 10747 sayılı kararı ile 1 Ocak 2024 tarihinden itibaren uygulanmak üzere;</w:t>
      </w:r>
    </w:p>
    <w:p w14:paraId="37A38D14" w14:textId="77777777" w:rsidR="007A4534" w:rsidRPr="00FB38E1" w:rsidRDefault="007A4534" w:rsidP="007A4534">
      <w:pPr>
        <w:autoSpaceDE w:val="0"/>
        <w:autoSpaceDN w:val="0"/>
        <w:adjustRightInd w:val="0"/>
        <w:spacing w:before="120" w:after="0"/>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t>Bankaların sahip oldukları menkul kıymetlerden, 1 Ocak 2024 tarihi itibariyle “Gerçeğe Uygun Değer Farkı Diğer Kapsamlı Gelire Yansıtılan Menkul Değerler” portföyünde yer alanların net değerleme farklarının negatif olması durumunda, bu farkların 5 Eylül 2013 tarihli ve 28756 sayılı Resmî Gazete’de yayımlanan Bankaların Özkaynaklarına İlişkin Yönetmelik uyarınca hesaplanacak ve sermaye yeterliliği oranı için kullanılacak özkaynak tutarında dikkate alınmama imkânı tanınmasına, 1 Ocak 2024 tarihinden sonra edinilen “Gerçeğe Uygun Değer Farkı Diğer Kapsamlı Gelire Yansıtılan Menkul Değerler” için anılan Yönetmeliğin mevcut hükümlerinin uygulanmasına devam edilmesine,</w:t>
      </w:r>
    </w:p>
    <w:p w14:paraId="0BF33DA6" w14:textId="18680020" w:rsidR="007A4534" w:rsidRPr="00FB38E1" w:rsidRDefault="007A4534" w:rsidP="007A4534">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rPr>
        <w:t>31 Ocak 2023 tarihli ve 10496 sayılı Kurul Kararında belirtilen, 23 Ekim 2015 tarihli ve 29511 sayılı Resmî Gazete’de yayımlanan Bankaların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 Aralık 2022 tarihine ait Türkiye Cumhuriyet Merkez Bankası (Merkez Bankası) döviz alış kurunun kullanılabilmesine yönelik uygulamanın; aksi yönde bir Kurul Kararı alınıncaya kadar, 1 Ocak 2024 tarihinden itibaren uygulanmak üzere; 26 Haziran 2023 tarihine ait Merkez Bankası döviz alış kurunun kullanılması suretiyle devam ettirilmesine karar verilmiştir.</w:t>
      </w:r>
    </w:p>
    <w:p w14:paraId="57792716" w14:textId="248B2EE0" w:rsidR="00600F2F" w:rsidRPr="00FB38E1" w:rsidRDefault="007E27B8" w:rsidP="00600F2F">
      <w:pPr>
        <w:pStyle w:val="BDDKmetin"/>
        <w:spacing w:line="220" w:lineRule="exact"/>
        <w:rPr>
          <w:rFonts w:ascii="Microsoft Sans Serif" w:hAnsi="Microsoft Sans Serif" w:cs="Microsoft Sans Serif"/>
          <w:noProof/>
          <w:color w:val="404040" w:themeColor="text1" w:themeTint="BF"/>
          <w:sz w:val="20"/>
          <w:szCs w:val="20"/>
          <w:lang w:val="tr-TR"/>
        </w:rPr>
      </w:pPr>
      <w:r w:rsidRPr="00FB38E1">
        <w:rPr>
          <w:rFonts w:ascii="Microsoft Sans Serif" w:hAnsi="Microsoft Sans Serif" w:cs="Microsoft Sans Serif"/>
          <w:noProof/>
          <w:color w:val="404040" w:themeColor="text1" w:themeTint="BF"/>
          <w:sz w:val="20"/>
          <w:szCs w:val="20"/>
          <w:lang w:val="tr-TR"/>
        </w:rPr>
        <w:t>Bankanın</w:t>
      </w:r>
      <w:r w:rsidR="00D730A1" w:rsidRPr="00FB38E1">
        <w:rPr>
          <w:rFonts w:ascii="Microsoft Sans Serif" w:hAnsi="Microsoft Sans Serif" w:cs="Microsoft Sans Serif"/>
          <w:noProof/>
          <w:color w:val="404040" w:themeColor="text1" w:themeTint="BF"/>
          <w:sz w:val="20"/>
          <w:szCs w:val="20"/>
          <w:lang w:val="tr-TR"/>
        </w:rPr>
        <w:t xml:space="preserve"> </w:t>
      </w:r>
      <w:r w:rsidR="00AD2A6F" w:rsidRPr="00FB38E1">
        <w:rPr>
          <w:rFonts w:ascii="Microsoft Sans Serif" w:hAnsi="Microsoft Sans Serif" w:cs="Microsoft Sans Serif"/>
          <w:noProof/>
          <w:color w:val="404040" w:themeColor="text1" w:themeTint="BF"/>
          <w:sz w:val="20"/>
          <w:szCs w:val="20"/>
          <w:lang w:val="tr-TR"/>
        </w:rPr>
        <w:t xml:space="preserve">31 Aralık 2024 </w:t>
      </w:r>
      <w:r w:rsidR="00600F2F" w:rsidRPr="00FB38E1">
        <w:rPr>
          <w:rFonts w:ascii="Microsoft Sans Serif" w:hAnsi="Microsoft Sans Serif" w:cs="Microsoft Sans Serif"/>
          <w:noProof/>
          <w:color w:val="404040" w:themeColor="text1" w:themeTint="BF"/>
          <w:sz w:val="20"/>
          <w:szCs w:val="20"/>
          <w:lang w:val="tr-TR"/>
        </w:rPr>
        <w:t xml:space="preserve">tarihi itibarıyla hesaplanan cari dönem özkaynak tutarı </w:t>
      </w:r>
      <w:r w:rsidR="00FD6F98" w:rsidRPr="00FB38E1">
        <w:rPr>
          <w:rFonts w:ascii="Microsoft Sans Serif" w:hAnsi="Microsoft Sans Serif" w:cs="Microsoft Sans Serif"/>
          <w:noProof/>
          <w:color w:val="404040" w:themeColor="text1" w:themeTint="BF"/>
          <w:sz w:val="20"/>
          <w:szCs w:val="20"/>
          <w:lang w:val="tr-TR"/>
        </w:rPr>
        <w:t>168.208.458</w:t>
      </w:r>
      <w:r w:rsidR="00F2131B" w:rsidRPr="00FB38E1">
        <w:rPr>
          <w:rFonts w:ascii="Microsoft Sans Serif" w:hAnsi="Microsoft Sans Serif" w:cs="Microsoft Sans Serif"/>
          <w:noProof/>
          <w:color w:val="404040" w:themeColor="text1" w:themeTint="BF"/>
          <w:sz w:val="20"/>
          <w:szCs w:val="20"/>
          <w:lang w:val="tr-TR"/>
        </w:rPr>
        <w:t xml:space="preserve"> </w:t>
      </w:r>
      <w:r w:rsidR="00600F2F" w:rsidRPr="00FB38E1">
        <w:rPr>
          <w:rFonts w:ascii="Microsoft Sans Serif" w:hAnsi="Microsoft Sans Serif" w:cs="Microsoft Sans Serif"/>
          <w:noProof/>
          <w:color w:val="404040" w:themeColor="text1" w:themeTint="BF"/>
          <w:sz w:val="20"/>
          <w:szCs w:val="20"/>
          <w:lang w:val="tr-TR"/>
        </w:rPr>
        <w:t>TL</w:t>
      </w:r>
      <w:r w:rsidR="00304064" w:rsidRPr="00FB38E1">
        <w:rPr>
          <w:rFonts w:ascii="Microsoft Sans Serif" w:hAnsi="Microsoft Sans Serif" w:cs="Microsoft Sans Serif"/>
          <w:noProof/>
          <w:color w:val="404040" w:themeColor="text1" w:themeTint="BF"/>
          <w:sz w:val="20"/>
          <w:szCs w:val="20"/>
          <w:lang w:val="tr-TR"/>
        </w:rPr>
        <w:t xml:space="preserve"> (31 Aralık 202</w:t>
      </w:r>
      <w:r w:rsidR="00810D42" w:rsidRPr="00FB38E1">
        <w:rPr>
          <w:rFonts w:ascii="Microsoft Sans Serif" w:hAnsi="Microsoft Sans Serif" w:cs="Microsoft Sans Serif"/>
          <w:noProof/>
          <w:color w:val="404040" w:themeColor="text1" w:themeTint="BF"/>
          <w:sz w:val="20"/>
          <w:szCs w:val="20"/>
          <w:lang w:val="tr-TR"/>
        </w:rPr>
        <w:t>3</w:t>
      </w:r>
      <w:r w:rsidR="004F36BF" w:rsidRPr="00FB38E1">
        <w:rPr>
          <w:rFonts w:ascii="Microsoft Sans Serif" w:hAnsi="Microsoft Sans Serif" w:cs="Microsoft Sans Serif"/>
          <w:noProof/>
          <w:color w:val="404040" w:themeColor="text1" w:themeTint="BF"/>
          <w:sz w:val="20"/>
          <w:szCs w:val="20"/>
          <w:lang w:val="tr-TR"/>
        </w:rPr>
        <w:t xml:space="preserve">: </w:t>
      </w:r>
      <w:r w:rsidR="00810D42" w:rsidRPr="00FB38E1">
        <w:rPr>
          <w:rFonts w:ascii="Microsoft Sans Serif" w:hAnsi="Microsoft Sans Serif" w:cs="Microsoft Sans Serif"/>
          <w:noProof/>
          <w:color w:val="404040" w:themeColor="text1" w:themeTint="BF"/>
          <w:sz w:val="20"/>
          <w:szCs w:val="20"/>
          <w:lang w:val="tr-TR"/>
        </w:rPr>
        <w:t>114.839.418</w:t>
      </w:r>
      <w:r w:rsidR="00D155D1" w:rsidRPr="00FB38E1">
        <w:rPr>
          <w:rFonts w:ascii="Microsoft Sans Serif" w:hAnsi="Microsoft Sans Serif" w:cs="Microsoft Sans Serif"/>
          <w:noProof/>
          <w:color w:val="404040" w:themeColor="text1" w:themeTint="BF"/>
          <w:sz w:val="20"/>
          <w:szCs w:val="20"/>
          <w:lang w:val="tr-TR"/>
        </w:rPr>
        <w:t xml:space="preserve"> </w:t>
      </w:r>
      <w:r w:rsidR="004F36BF" w:rsidRPr="00FB38E1">
        <w:rPr>
          <w:rFonts w:ascii="Microsoft Sans Serif" w:hAnsi="Microsoft Sans Serif" w:cs="Microsoft Sans Serif"/>
          <w:noProof/>
          <w:color w:val="404040" w:themeColor="text1" w:themeTint="BF"/>
          <w:sz w:val="20"/>
          <w:szCs w:val="20"/>
          <w:lang w:val="tr-TR"/>
        </w:rPr>
        <w:t>TL)</w:t>
      </w:r>
      <w:r w:rsidR="00600F2F" w:rsidRPr="00FB38E1">
        <w:rPr>
          <w:rFonts w:ascii="Microsoft Sans Serif" w:hAnsi="Microsoft Sans Serif" w:cs="Microsoft Sans Serif"/>
          <w:noProof/>
          <w:color w:val="404040" w:themeColor="text1" w:themeTint="BF"/>
          <w:sz w:val="20"/>
          <w:szCs w:val="20"/>
          <w:lang w:val="tr-TR"/>
        </w:rPr>
        <w:t>, sermaye yeterlili</w:t>
      </w:r>
      <w:r w:rsidR="000F7469" w:rsidRPr="00FB38E1">
        <w:rPr>
          <w:rFonts w:ascii="Microsoft Sans Serif" w:hAnsi="Microsoft Sans Serif" w:cs="Microsoft Sans Serif"/>
          <w:noProof/>
          <w:color w:val="404040" w:themeColor="text1" w:themeTint="BF"/>
          <w:sz w:val="20"/>
          <w:szCs w:val="20"/>
          <w:lang w:val="tr-TR"/>
        </w:rPr>
        <w:t>ği standart oranı da %</w:t>
      </w:r>
      <w:r w:rsidR="002466AC" w:rsidRPr="00FB38E1">
        <w:rPr>
          <w:rFonts w:ascii="Microsoft Sans Serif" w:hAnsi="Microsoft Sans Serif" w:cs="Microsoft Sans Serif"/>
          <w:noProof/>
          <w:color w:val="404040" w:themeColor="text1" w:themeTint="BF"/>
          <w:sz w:val="20"/>
          <w:szCs w:val="20"/>
          <w:lang w:val="tr-TR"/>
        </w:rPr>
        <w:t>1</w:t>
      </w:r>
      <w:r w:rsidR="00DA6541" w:rsidRPr="00FB38E1">
        <w:rPr>
          <w:rFonts w:ascii="Microsoft Sans Serif" w:hAnsi="Microsoft Sans Serif" w:cs="Microsoft Sans Serif"/>
          <w:noProof/>
          <w:color w:val="404040" w:themeColor="text1" w:themeTint="BF"/>
          <w:sz w:val="20"/>
          <w:szCs w:val="20"/>
          <w:lang w:val="tr-TR"/>
        </w:rPr>
        <w:t>9</w:t>
      </w:r>
      <w:r w:rsidR="00BC3567" w:rsidRPr="00FB38E1">
        <w:rPr>
          <w:rFonts w:ascii="Microsoft Sans Serif" w:hAnsi="Microsoft Sans Serif" w:cs="Microsoft Sans Serif"/>
          <w:noProof/>
          <w:color w:val="404040" w:themeColor="text1" w:themeTint="BF"/>
          <w:sz w:val="20"/>
          <w:szCs w:val="20"/>
          <w:lang w:val="tr-TR"/>
        </w:rPr>
        <w:t>,</w:t>
      </w:r>
      <w:r w:rsidR="00DA6541" w:rsidRPr="00FB38E1">
        <w:rPr>
          <w:rFonts w:ascii="Microsoft Sans Serif" w:hAnsi="Microsoft Sans Serif" w:cs="Microsoft Sans Serif"/>
          <w:noProof/>
          <w:color w:val="404040" w:themeColor="text1" w:themeTint="BF"/>
          <w:sz w:val="20"/>
          <w:szCs w:val="20"/>
          <w:lang w:val="tr-TR"/>
        </w:rPr>
        <w:t>37</w:t>
      </w:r>
      <w:r w:rsidR="00600F2F" w:rsidRPr="00FB38E1">
        <w:rPr>
          <w:rFonts w:ascii="Microsoft Sans Serif" w:hAnsi="Microsoft Sans Serif" w:cs="Microsoft Sans Serif"/>
          <w:noProof/>
          <w:color w:val="404040" w:themeColor="text1" w:themeTint="BF"/>
          <w:sz w:val="20"/>
          <w:szCs w:val="20"/>
          <w:lang w:val="tr-TR"/>
        </w:rPr>
        <w:t>’</w:t>
      </w:r>
      <w:r w:rsidR="00F032CC" w:rsidRPr="00FB38E1">
        <w:rPr>
          <w:rFonts w:ascii="Microsoft Sans Serif" w:hAnsi="Microsoft Sans Serif" w:cs="Microsoft Sans Serif"/>
          <w:noProof/>
          <w:color w:val="404040" w:themeColor="text1" w:themeTint="BF"/>
          <w:sz w:val="20"/>
          <w:szCs w:val="20"/>
          <w:lang w:val="tr-TR"/>
        </w:rPr>
        <w:t>d</w:t>
      </w:r>
      <w:r w:rsidR="002A2E49" w:rsidRPr="00FB38E1">
        <w:rPr>
          <w:rFonts w:ascii="Microsoft Sans Serif" w:hAnsi="Microsoft Sans Serif" w:cs="Microsoft Sans Serif"/>
          <w:noProof/>
          <w:color w:val="404040" w:themeColor="text1" w:themeTint="BF"/>
          <w:sz w:val="20"/>
          <w:szCs w:val="20"/>
          <w:lang w:val="tr-TR"/>
        </w:rPr>
        <w:t>i</w:t>
      </w:r>
      <w:r w:rsidR="004B31CC" w:rsidRPr="00FB38E1">
        <w:rPr>
          <w:rFonts w:ascii="Microsoft Sans Serif" w:hAnsi="Microsoft Sans Serif" w:cs="Microsoft Sans Serif"/>
          <w:noProof/>
          <w:color w:val="404040" w:themeColor="text1" w:themeTint="BF"/>
          <w:sz w:val="20"/>
          <w:szCs w:val="20"/>
          <w:lang w:val="tr-TR"/>
        </w:rPr>
        <w:t>r.</w:t>
      </w:r>
      <w:r w:rsidR="00304064" w:rsidRPr="00FB38E1">
        <w:rPr>
          <w:rFonts w:ascii="Microsoft Sans Serif" w:hAnsi="Microsoft Sans Serif" w:cs="Microsoft Sans Serif"/>
          <w:noProof/>
          <w:color w:val="404040" w:themeColor="text1" w:themeTint="BF"/>
          <w:sz w:val="20"/>
          <w:szCs w:val="20"/>
          <w:lang w:val="tr-TR"/>
        </w:rPr>
        <w:t xml:space="preserve"> (31 Aralık 202</w:t>
      </w:r>
      <w:r w:rsidR="00810D42" w:rsidRPr="00FB38E1">
        <w:rPr>
          <w:rFonts w:ascii="Microsoft Sans Serif" w:hAnsi="Microsoft Sans Serif" w:cs="Microsoft Sans Serif"/>
          <w:noProof/>
          <w:color w:val="404040" w:themeColor="text1" w:themeTint="BF"/>
          <w:sz w:val="20"/>
          <w:szCs w:val="20"/>
          <w:lang w:val="tr-TR"/>
        </w:rPr>
        <w:t>3</w:t>
      </w:r>
      <w:r w:rsidR="004F36BF" w:rsidRPr="00FB38E1">
        <w:rPr>
          <w:rFonts w:ascii="Microsoft Sans Serif" w:hAnsi="Microsoft Sans Serif" w:cs="Microsoft Sans Serif"/>
          <w:noProof/>
          <w:color w:val="404040" w:themeColor="text1" w:themeTint="BF"/>
          <w:sz w:val="20"/>
          <w:szCs w:val="20"/>
          <w:lang w:val="tr-TR"/>
        </w:rPr>
        <w:t>: %</w:t>
      </w:r>
      <w:r w:rsidR="00810D42" w:rsidRPr="00FB38E1">
        <w:rPr>
          <w:rFonts w:ascii="Microsoft Sans Serif" w:hAnsi="Microsoft Sans Serif" w:cs="Microsoft Sans Serif"/>
          <w:noProof/>
          <w:color w:val="404040" w:themeColor="text1" w:themeTint="BF"/>
          <w:sz w:val="20"/>
          <w:szCs w:val="20"/>
          <w:lang w:val="tr-TR"/>
        </w:rPr>
        <w:t>17,20</w:t>
      </w:r>
      <w:r w:rsidR="004F36BF" w:rsidRPr="00FB38E1">
        <w:rPr>
          <w:rFonts w:ascii="Microsoft Sans Serif" w:hAnsi="Microsoft Sans Serif" w:cs="Microsoft Sans Serif"/>
          <w:noProof/>
          <w:color w:val="404040" w:themeColor="text1" w:themeTint="BF"/>
          <w:sz w:val="20"/>
          <w:szCs w:val="20"/>
          <w:lang w:val="tr-TR"/>
        </w:rPr>
        <w:t>)</w:t>
      </w:r>
      <w:r w:rsidR="00600F2F" w:rsidRPr="00FB38E1">
        <w:rPr>
          <w:rFonts w:ascii="Microsoft Sans Serif" w:hAnsi="Microsoft Sans Serif" w:cs="Microsoft Sans Serif"/>
          <w:noProof/>
          <w:color w:val="404040" w:themeColor="text1" w:themeTint="BF"/>
          <w:sz w:val="20"/>
          <w:szCs w:val="20"/>
          <w:lang w:val="tr-TR"/>
        </w:rPr>
        <w:t>.</w:t>
      </w:r>
    </w:p>
    <w:p w14:paraId="10B09535" w14:textId="5DE17559" w:rsidR="00E36335" w:rsidRPr="00FB38E1" w:rsidRDefault="00E36335" w:rsidP="00BF0017">
      <w:pPr>
        <w:autoSpaceDE w:val="0"/>
        <w:autoSpaceDN w:val="0"/>
        <w:adjustRightInd w:val="0"/>
        <w:spacing w:before="120" w:after="0"/>
        <w:rPr>
          <w:rFonts w:ascii="Microsoft Sans Serif" w:hAnsi="Microsoft Sans Serif" w:cs="Microsoft Sans Serif"/>
          <w:b/>
          <w:sz w:val="20"/>
          <w:szCs w:val="20"/>
        </w:rPr>
      </w:pPr>
      <w:r w:rsidRPr="00FB38E1">
        <w:rPr>
          <w:rFonts w:ascii="Microsoft Sans Serif" w:hAnsi="Microsoft Sans Serif" w:cs="Microsoft Sans Serif"/>
          <w:b/>
          <w:sz w:val="20"/>
          <w:szCs w:val="20"/>
        </w:rPr>
        <w:br w:type="page"/>
      </w:r>
    </w:p>
    <w:p w14:paraId="5DDD4943" w14:textId="5F606932" w:rsidR="00EA2DB4" w:rsidRPr="00FB38E1" w:rsidRDefault="00EA2DB4" w:rsidP="00076C9E">
      <w:pPr>
        <w:pStyle w:val="BDDKbalk1"/>
        <w:numPr>
          <w:ilvl w:val="1"/>
          <w:numId w:val="46"/>
        </w:numPr>
        <w:spacing w:line="240" w:lineRule="exact"/>
        <w:ind w:left="0" w:hanging="567"/>
        <w:rPr>
          <w:rFonts w:ascii="Microsoft Sans Serif" w:hAnsi="Microsoft Sans Serif" w:cs="Microsoft Sans Serif"/>
          <w:sz w:val="20"/>
          <w:szCs w:val="20"/>
          <w:lang w:eastAsia="en-US"/>
        </w:rPr>
      </w:pPr>
      <w:r w:rsidRPr="00FB38E1">
        <w:rPr>
          <w:rFonts w:ascii="Microsoft Sans Serif" w:hAnsi="Microsoft Sans Serif" w:cs="Microsoft Sans Serif"/>
          <w:sz w:val="20"/>
          <w:szCs w:val="20"/>
          <w:lang w:eastAsia="en-US"/>
        </w:rPr>
        <w:t>Özkaynak kalemlerine ilişkin bilgiler</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1"/>
        <w:gridCol w:w="141"/>
        <w:gridCol w:w="993"/>
        <w:gridCol w:w="143"/>
        <w:gridCol w:w="991"/>
      </w:tblGrid>
      <w:tr w:rsidR="0071050A" w:rsidRPr="00FB38E1" w14:paraId="53962D72" w14:textId="77777777" w:rsidTr="00A02EFA">
        <w:tc>
          <w:tcPr>
            <w:tcW w:w="3824" w:type="pct"/>
            <w:tcBorders>
              <w:top w:val="thinThickSmallGap" w:sz="24" w:space="0" w:color="auto"/>
            </w:tcBorders>
            <w:tcMar>
              <w:left w:w="57" w:type="dxa"/>
              <w:right w:w="57" w:type="dxa"/>
            </w:tcMar>
            <w:vAlign w:val="bottom"/>
          </w:tcPr>
          <w:p w14:paraId="0D507A1E" w14:textId="77777777" w:rsidR="0071050A" w:rsidRPr="00FB38E1" w:rsidRDefault="0071050A" w:rsidP="0057459B">
            <w:pPr>
              <w:rPr>
                <w:rFonts w:ascii="Microsoft Sans Serif" w:hAnsi="Microsoft Sans Serif" w:cs="Microsoft Sans Serif"/>
                <w:color w:val="000000"/>
                <w:sz w:val="14"/>
                <w:szCs w:val="14"/>
              </w:rPr>
            </w:pPr>
          </w:p>
        </w:tc>
        <w:tc>
          <w:tcPr>
            <w:tcW w:w="588" w:type="pct"/>
            <w:gridSpan w:val="2"/>
            <w:tcBorders>
              <w:top w:val="thinThickSmallGap" w:sz="24" w:space="0" w:color="auto"/>
            </w:tcBorders>
            <w:vAlign w:val="bottom"/>
          </w:tcPr>
          <w:p w14:paraId="2B1467E0" w14:textId="429F5FE5" w:rsidR="0071050A" w:rsidRPr="00FB38E1" w:rsidRDefault="0071050A" w:rsidP="0065067D">
            <w:pPr>
              <w:jc w:val="right"/>
              <w:rPr>
                <w:rFonts w:ascii="Microsoft Sans Serif" w:hAnsi="Microsoft Sans Serif" w:cs="Microsoft Sans Serif"/>
                <w:b/>
                <w:bCs/>
                <w:color w:val="000000" w:themeColor="text1"/>
                <w:sz w:val="14"/>
                <w:szCs w:val="14"/>
              </w:rPr>
            </w:pPr>
            <w:r w:rsidRPr="00FB38E1">
              <w:rPr>
                <w:rFonts w:ascii="Microsoft Sans Serif" w:hAnsi="Microsoft Sans Serif" w:cs="Microsoft Sans Serif"/>
                <w:b/>
                <w:bCs/>
                <w:color w:val="000000" w:themeColor="text1"/>
                <w:sz w:val="14"/>
                <w:szCs w:val="14"/>
              </w:rPr>
              <w:t xml:space="preserve">Cari  Dönem </w:t>
            </w:r>
          </w:p>
        </w:tc>
        <w:tc>
          <w:tcPr>
            <w:tcW w:w="588" w:type="pct"/>
            <w:gridSpan w:val="2"/>
            <w:tcBorders>
              <w:top w:val="thinThickSmallGap" w:sz="24" w:space="0" w:color="auto"/>
            </w:tcBorders>
            <w:tcMar>
              <w:left w:w="57" w:type="dxa"/>
              <w:right w:w="57" w:type="dxa"/>
            </w:tcMar>
            <w:vAlign w:val="bottom"/>
          </w:tcPr>
          <w:p w14:paraId="63697E27" w14:textId="57C88B6A" w:rsidR="0071050A" w:rsidRPr="00FB38E1" w:rsidRDefault="0071050A" w:rsidP="0057459B">
            <w:pPr>
              <w:jc w:val="right"/>
              <w:rPr>
                <w:rFonts w:ascii="Microsoft Sans Serif" w:hAnsi="Microsoft Sans Serif" w:cs="Microsoft Sans Serif"/>
                <w:b/>
                <w:bCs/>
                <w:color w:val="000000" w:themeColor="text1"/>
                <w:sz w:val="14"/>
                <w:szCs w:val="14"/>
              </w:rPr>
            </w:pPr>
            <w:r w:rsidRPr="00FB38E1">
              <w:rPr>
                <w:rFonts w:ascii="Microsoft Sans Serif" w:hAnsi="Microsoft Sans Serif" w:cs="Microsoft Sans Serif"/>
                <w:b/>
                <w:bCs/>
                <w:color w:val="000000" w:themeColor="text1"/>
                <w:sz w:val="14"/>
                <w:szCs w:val="14"/>
              </w:rPr>
              <w:t xml:space="preserve">Önceki Dönem </w:t>
            </w:r>
          </w:p>
        </w:tc>
      </w:tr>
      <w:tr w:rsidR="0071050A" w:rsidRPr="00FB38E1" w14:paraId="3D324498" w14:textId="77777777" w:rsidTr="00A02EFA">
        <w:tc>
          <w:tcPr>
            <w:tcW w:w="3824" w:type="pct"/>
            <w:tcBorders>
              <w:bottom w:val="single" w:sz="4" w:space="0" w:color="auto"/>
            </w:tcBorders>
            <w:shd w:val="clear" w:color="auto" w:fill="auto"/>
            <w:tcMar>
              <w:left w:w="57" w:type="dxa"/>
              <w:right w:w="57" w:type="dxa"/>
            </w:tcMar>
            <w:vAlign w:val="bottom"/>
          </w:tcPr>
          <w:p w14:paraId="435A50A5" w14:textId="77777777" w:rsidR="0071050A" w:rsidRPr="00FB38E1" w:rsidRDefault="0071050A" w:rsidP="0057459B">
            <w:pPr>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 </w:t>
            </w:r>
          </w:p>
        </w:tc>
        <w:tc>
          <w:tcPr>
            <w:tcW w:w="588" w:type="pct"/>
            <w:gridSpan w:val="2"/>
            <w:tcBorders>
              <w:bottom w:val="single" w:sz="4" w:space="0" w:color="auto"/>
            </w:tcBorders>
            <w:vAlign w:val="bottom"/>
          </w:tcPr>
          <w:p w14:paraId="190C62DD" w14:textId="5D0ACBEA" w:rsidR="0071050A" w:rsidRPr="00FB38E1" w:rsidRDefault="005A1A21" w:rsidP="00FF2E16">
            <w:pPr>
              <w:jc w:val="right"/>
              <w:rPr>
                <w:rFonts w:ascii="Microsoft Sans Serif" w:hAnsi="Microsoft Sans Serif" w:cs="Microsoft Sans Serif"/>
                <w:b/>
                <w:bCs/>
                <w:color w:val="000000" w:themeColor="text1"/>
                <w:sz w:val="14"/>
                <w:szCs w:val="14"/>
              </w:rPr>
            </w:pPr>
            <w:r w:rsidRPr="00FB38E1">
              <w:rPr>
                <w:rFonts w:ascii="Microsoft Sans Serif" w:hAnsi="Microsoft Sans Serif" w:cs="Microsoft Sans Serif"/>
                <w:b/>
                <w:bCs/>
                <w:color w:val="000000" w:themeColor="text1"/>
                <w:sz w:val="14"/>
                <w:szCs w:val="14"/>
              </w:rPr>
              <w:t>3</w:t>
            </w:r>
            <w:r w:rsidR="00D1663E" w:rsidRPr="00FB38E1">
              <w:rPr>
                <w:rFonts w:ascii="Microsoft Sans Serif" w:hAnsi="Microsoft Sans Serif" w:cs="Microsoft Sans Serif"/>
                <w:b/>
                <w:bCs/>
                <w:color w:val="000000" w:themeColor="text1"/>
                <w:sz w:val="14"/>
                <w:szCs w:val="14"/>
              </w:rPr>
              <w:t>1 Aralık</w:t>
            </w:r>
            <w:r w:rsidR="00810D42" w:rsidRPr="00FB38E1">
              <w:rPr>
                <w:rFonts w:ascii="Microsoft Sans Serif" w:hAnsi="Microsoft Sans Serif" w:cs="Microsoft Sans Serif"/>
                <w:b/>
                <w:bCs/>
                <w:color w:val="000000" w:themeColor="text1"/>
                <w:sz w:val="14"/>
                <w:szCs w:val="14"/>
              </w:rPr>
              <w:t xml:space="preserve"> 2024</w:t>
            </w:r>
          </w:p>
        </w:tc>
        <w:tc>
          <w:tcPr>
            <w:tcW w:w="588" w:type="pct"/>
            <w:gridSpan w:val="2"/>
            <w:tcBorders>
              <w:bottom w:val="single" w:sz="4" w:space="0" w:color="auto"/>
            </w:tcBorders>
            <w:tcMar>
              <w:left w:w="57" w:type="dxa"/>
              <w:right w:w="57" w:type="dxa"/>
            </w:tcMar>
            <w:vAlign w:val="bottom"/>
          </w:tcPr>
          <w:p w14:paraId="7AD4A8CC" w14:textId="677CF4BE" w:rsidR="0071050A" w:rsidRPr="00FB38E1" w:rsidRDefault="0071050A" w:rsidP="00826F85">
            <w:pPr>
              <w:jc w:val="right"/>
              <w:rPr>
                <w:rFonts w:ascii="Microsoft Sans Serif" w:hAnsi="Microsoft Sans Serif" w:cs="Microsoft Sans Serif"/>
                <w:b/>
                <w:bCs/>
                <w:color w:val="000000" w:themeColor="text1"/>
                <w:sz w:val="14"/>
                <w:szCs w:val="14"/>
              </w:rPr>
            </w:pPr>
            <w:r w:rsidRPr="00FB38E1">
              <w:rPr>
                <w:rFonts w:ascii="Microsoft Sans Serif" w:hAnsi="Microsoft Sans Serif" w:cs="Microsoft Sans Serif"/>
                <w:b/>
                <w:bCs/>
                <w:color w:val="000000" w:themeColor="text1"/>
                <w:sz w:val="14"/>
                <w:szCs w:val="14"/>
              </w:rPr>
              <w:t>3</w:t>
            </w:r>
            <w:r w:rsidR="00304064" w:rsidRPr="00FB38E1">
              <w:rPr>
                <w:rFonts w:ascii="Microsoft Sans Serif" w:hAnsi="Microsoft Sans Serif" w:cs="Microsoft Sans Serif"/>
                <w:b/>
                <w:bCs/>
                <w:color w:val="000000" w:themeColor="text1"/>
                <w:sz w:val="14"/>
                <w:szCs w:val="14"/>
              </w:rPr>
              <w:t>1 Aralık 202</w:t>
            </w:r>
            <w:r w:rsidR="00810D42" w:rsidRPr="00FB38E1">
              <w:rPr>
                <w:rFonts w:ascii="Microsoft Sans Serif" w:hAnsi="Microsoft Sans Serif" w:cs="Microsoft Sans Serif"/>
                <w:b/>
                <w:bCs/>
                <w:color w:val="000000" w:themeColor="text1"/>
                <w:sz w:val="14"/>
                <w:szCs w:val="14"/>
              </w:rPr>
              <w:t>3</w:t>
            </w:r>
          </w:p>
        </w:tc>
      </w:tr>
      <w:tr w:rsidR="0071050A" w:rsidRPr="00FB38E1" w14:paraId="26DE8114" w14:textId="77777777" w:rsidTr="00B93E9A">
        <w:tc>
          <w:tcPr>
            <w:tcW w:w="3897" w:type="pct"/>
            <w:gridSpan w:val="2"/>
            <w:tcBorders>
              <w:top w:val="single" w:sz="4" w:space="0" w:color="auto"/>
            </w:tcBorders>
            <w:shd w:val="clear" w:color="auto" w:fill="auto"/>
            <w:tcMar>
              <w:left w:w="57" w:type="dxa"/>
              <w:right w:w="57" w:type="dxa"/>
            </w:tcMar>
            <w:vAlign w:val="bottom"/>
          </w:tcPr>
          <w:p w14:paraId="4C7E4818" w14:textId="77777777" w:rsidR="0071050A" w:rsidRPr="00FB38E1" w:rsidRDefault="0071050A" w:rsidP="0057459B">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ÇEKİRDEK SERMAYE</w:t>
            </w:r>
          </w:p>
        </w:tc>
        <w:tc>
          <w:tcPr>
            <w:tcW w:w="589" w:type="pct"/>
            <w:gridSpan w:val="2"/>
            <w:tcBorders>
              <w:top w:val="single" w:sz="4" w:space="0" w:color="auto"/>
            </w:tcBorders>
            <w:vAlign w:val="bottom"/>
          </w:tcPr>
          <w:p w14:paraId="3863016C" w14:textId="77777777" w:rsidR="0071050A" w:rsidRPr="00FB38E1" w:rsidRDefault="0071050A" w:rsidP="0057459B">
            <w:pPr>
              <w:jc w:val="right"/>
              <w:rPr>
                <w:rFonts w:ascii="Microsoft Sans Serif" w:hAnsi="Microsoft Sans Serif" w:cs="Microsoft Sans Serif"/>
                <w:b/>
                <w:bCs/>
                <w:color w:val="FF0000"/>
                <w:sz w:val="14"/>
                <w:szCs w:val="14"/>
              </w:rPr>
            </w:pPr>
          </w:p>
        </w:tc>
        <w:tc>
          <w:tcPr>
            <w:tcW w:w="514" w:type="pct"/>
            <w:tcBorders>
              <w:top w:val="single" w:sz="4" w:space="0" w:color="auto"/>
            </w:tcBorders>
            <w:tcMar>
              <w:left w:w="57" w:type="dxa"/>
              <w:right w:w="57" w:type="dxa"/>
            </w:tcMar>
            <w:vAlign w:val="bottom"/>
          </w:tcPr>
          <w:p w14:paraId="23A0A87F" w14:textId="788CE1AF" w:rsidR="0071050A" w:rsidRPr="00FB38E1" w:rsidRDefault="0071050A" w:rsidP="0057459B">
            <w:pPr>
              <w:jc w:val="right"/>
              <w:rPr>
                <w:rFonts w:ascii="Microsoft Sans Serif" w:hAnsi="Microsoft Sans Serif" w:cs="Microsoft Sans Serif"/>
                <w:b/>
                <w:bCs/>
                <w:color w:val="FF0000"/>
                <w:sz w:val="14"/>
                <w:szCs w:val="14"/>
              </w:rPr>
            </w:pPr>
          </w:p>
        </w:tc>
      </w:tr>
      <w:tr w:rsidR="00DA6541" w:rsidRPr="00FB38E1" w14:paraId="2DDB1A48" w14:textId="77777777" w:rsidTr="00B93E9A">
        <w:tc>
          <w:tcPr>
            <w:tcW w:w="3897" w:type="pct"/>
            <w:gridSpan w:val="2"/>
            <w:shd w:val="clear" w:color="auto" w:fill="auto"/>
            <w:tcMar>
              <w:left w:w="57" w:type="dxa"/>
              <w:right w:w="57" w:type="dxa"/>
            </w:tcMar>
            <w:vAlign w:val="bottom"/>
          </w:tcPr>
          <w:p w14:paraId="410AAC11"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Bankanın tasfiyesi halinde alacak hakkı açısından diğer tüm alacaklardan sonra gelen ödenmiş sermaye</w:t>
            </w:r>
          </w:p>
        </w:tc>
        <w:tc>
          <w:tcPr>
            <w:tcW w:w="589" w:type="pct"/>
            <w:gridSpan w:val="2"/>
            <w:vAlign w:val="bottom"/>
          </w:tcPr>
          <w:p w14:paraId="5E9ECD44" w14:textId="66200E9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19.638.600</w:t>
            </w:r>
          </w:p>
        </w:tc>
        <w:tc>
          <w:tcPr>
            <w:tcW w:w="514" w:type="pct"/>
            <w:tcMar>
              <w:left w:w="57" w:type="dxa"/>
              <w:right w:w="57" w:type="dxa"/>
            </w:tcMar>
            <w:vAlign w:val="bottom"/>
          </w:tcPr>
          <w:p w14:paraId="5177CCCF" w14:textId="490C33A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5.696.100</w:t>
            </w:r>
          </w:p>
        </w:tc>
      </w:tr>
      <w:tr w:rsidR="00DA6541" w:rsidRPr="00FB38E1" w14:paraId="6114BF96" w14:textId="77777777" w:rsidTr="00B93E9A">
        <w:tc>
          <w:tcPr>
            <w:tcW w:w="3897" w:type="pct"/>
            <w:gridSpan w:val="2"/>
            <w:shd w:val="clear" w:color="auto" w:fill="auto"/>
            <w:tcMar>
              <w:left w:w="57" w:type="dxa"/>
              <w:right w:w="57" w:type="dxa"/>
            </w:tcMar>
            <w:vAlign w:val="bottom"/>
          </w:tcPr>
          <w:p w14:paraId="498BFFF7"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Hisse senedi ihraç primleri</w:t>
            </w:r>
          </w:p>
        </w:tc>
        <w:tc>
          <w:tcPr>
            <w:tcW w:w="589" w:type="pct"/>
            <w:gridSpan w:val="2"/>
            <w:vAlign w:val="bottom"/>
          </w:tcPr>
          <w:p w14:paraId="5A06F187" w14:textId="32BD129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w:t>
            </w:r>
          </w:p>
        </w:tc>
        <w:tc>
          <w:tcPr>
            <w:tcW w:w="514" w:type="pct"/>
            <w:tcMar>
              <w:left w:w="57" w:type="dxa"/>
              <w:right w:w="57" w:type="dxa"/>
            </w:tcMar>
            <w:vAlign w:val="bottom"/>
          </w:tcPr>
          <w:p w14:paraId="1AE78F55" w14:textId="700A33F0"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w:t>
            </w:r>
          </w:p>
        </w:tc>
      </w:tr>
      <w:tr w:rsidR="00DA6541" w:rsidRPr="00FB38E1" w14:paraId="59C3A768" w14:textId="77777777" w:rsidTr="00B93E9A">
        <w:tc>
          <w:tcPr>
            <w:tcW w:w="3897" w:type="pct"/>
            <w:gridSpan w:val="2"/>
            <w:shd w:val="clear" w:color="auto" w:fill="auto"/>
            <w:tcMar>
              <w:left w:w="57" w:type="dxa"/>
              <w:right w:w="57" w:type="dxa"/>
            </w:tcMar>
            <w:vAlign w:val="bottom"/>
          </w:tcPr>
          <w:p w14:paraId="7406C7BD"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Yedek akçeler</w:t>
            </w:r>
          </w:p>
        </w:tc>
        <w:tc>
          <w:tcPr>
            <w:tcW w:w="589" w:type="pct"/>
            <w:gridSpan w:val="2"/>
            <w:vAlign w:val="bottom"/>
          </w:tcPr>
          <w:p w14:paraId="7F62978F" w14:textId="28931B2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61.726.992</w:t>
            </w:r>
          </w:p>
        </w:tc>
        <w:tc>
          <w:tcPr>
            <w:tcW w:w="514" w:type="pct"/>
            <w:tcMar>
              <w:left w:w="57" w:type="dxa"/>
              <w:right w:w="57" w:type="dxa"/>
            </w:tcMar>
            <w:vAlign w:val="bottom"/>
          </w:tcPr>
          <w:p w14:paraId="43298D3B" w14:textId="48814A6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33.868.186</w:t>
            </w:r>
          </w:p>
        </w:tc>
      </w:tr>
      <w:tr w:rsidR="00DA6541" w:rsidRPr="00FB38E1" w14:paraId="45202E56" w14:textId="77777777" w:rsidTr="00B93E9A">
        <w:tc>
          <w:tcPr>
            <w:tcW w:w="3897" w:type="pct"/>
            <w:gridSpan w:val="2"/>
            <w:tcMar>
              <w:left w:w="57" w:type="dxa"/>
              <w:right w:w="57" w:type="dxa"/>
            </w:tcMar>
            <w:vAlign w:val="bottom"/>
          </w:tcPr>
          <w:p w14:paraId="41FA38BE" w14:textId="43C56F16"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Türkiye Muhasebe Standartları (TMS) uyarınca özkaynaklara yansıtılan kazançlar</w:t>
            </w:r>
          </w:p>
        </w:tc>
        <w:tc>
          <w:tcPr>
            <w:tcW w:w="589" w:type="pct"/>
            <w:gridSpan w:val="2"/>
            <w:vAlign w:val="bottom"/>
          </w:tcPr>
          <w:p w14:paraId="0BEE5659" w14:textId="3D12B47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32.248.479</w:t>
            </w:r>
          </w:p>
        </w:tc>
        <w:tc>
          <w:tcPr>
            <w:tcW w:w="514" w:type="pct"/>
            <w:tcMar>
              <w:left w:w="57" w:type="dxa"/>
              <w:right w:w="57" w:type="dxa"/>
            </w:tcMar>
            <w:vAlign w:val="bottom"/>
          </w:tcPr>
          <w:p w14:paraId="375FA372" w14:textId="2EBFA84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24.202.823</w:t>
            </w:r>
          </w:p>
        </w:tc>
      </w:tr>
      <w:tr w:rsidR="00DA6541" w:rsidRPr="00FB38E1" w14:paraId="3D8C14B8" w14:textId="77777777" w:rsidTr="00B93E9A">
        <w:tc>
          <w:tcPr>
            <w:tcW w:w="3897" w:type="pct"/>
            <w:gridSpan w:val="2"/>
            <w:tcMar>
              <w:left w:w="57" w:type="dxa"/>
              <w:right w:w="57" w:type="dxa"/>
            </w:tcMar>
            <w:vAlign w:val="bottom"/>
          </w:tcPr>
          <w:p w14:paraId="7E9E63A4" w14:textId="40D319D4"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Kar</w:t>
            </w:r>
          </w:p>
        </w:tc>
        <w:tc>
          <w:tcPr>
            <w:tcW w:w="589" w:type="pct"/>
            <w:gridSpan w:val="2"/>
            <w:vAlign w:val="bottom"/>
          </w:tcPr>
          <w:p w14:paraId="4D3511C7" w14:textId="2814EA1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46.214.769</w:t>
            </w:r>
          </w:p>
        </w:tc>
        <w:tc>
          <w:tcPr>
            <w:tcW w:w="514" w:type="pct"/>
            <w:tcMar>
              <w:left w:w="57" w:type="dxa"/>
              <w:right w:w="57" w:type="dxa"/>
            </w:tcMar>
            <w:vAlign w:val="bottom"/>
          </w:tcPr>
          <w:p w14:paraId="1D6198F2" w14:textId="01A07A40"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29.123.057</w:t>
            </w:r>
          </w:p>
        </w:tc>
      </w:tr>
      <w:tr w:rsidR="00DA6541" w:rsidRPr="00FB38E1" w14:paraId="5009C507" w14:textId="77777777" w:rsidTr="00B93E9A">
        <w:tc>
          <w:tcPr>
            <w:tcW w:w="3897" w:type="pct"/>
            <w:gridSpan w:val="2"/>
            <w:tcMar>
              <w:left w:w="57" w:type="dxa"/>
              <w:right w:w="57" w:type="dxa"/>
            </w:tcMar>
            <w:vAlign w:val="bottom"/>
          </w:tcPr>
          <w:p w14:paraId="4203B57A" w14:textId="77777777" w:rsidR="00DA6541" w:rsidRPr="00FB38E1" w:rsidRDefault="00DA6541" w:rsidP="00DA6541">
            <w:pPr>
              <w:ind w:firstLineChars="162" w:firstLine="227"/>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Net dönem karı</w:t>
            </w:r>
          </w:p>
        </w:tc>
        <w:tc>
          <w:tcPr>
            <w:tcW w:w="589" w:type="pct"/>
            <w:gridSpan w:val="2"/>
            <w:vAlign w:val="bottom"/>
          </w:tcPr>
          <w:p w14:paraId="4B79D1B4" w14:textId="79B27E0C"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44.969.497</w:t>
            </w:r>
          </w:p>
        </w:tc>
        <w:tc>
          <w:tcPr>
            <w:tcW w:w="514" w:type="pct"/>
            <w:tcMar>
              <w:left w:w="57" w:type="dxa"/>
              <w:right w:w="57" w:type="dxa"/>
            </w:tcMar>
            <w:vAlign w:val="bottom"/>
          </w:tcPr>
          <w:p w14:paraId="2355F2F9" w14:textId="091B7411"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27.877.785</w:t>
            </w:r>
          </w:p>
        </w:tc>
      </w:tr>
      <w:tr w:rsidR="00DA6541" w:rsidRPr="00FB38E1" w14:paraId="70F443C2" w14:textId="77777777" w:rsidTr="00B93E9A">
        <w:tc>
          <w:tcPr>
            <w:tcW w:w="3897" w:type="pct"/>
            <w:gridSpan w:val="2"/>
            <w:tcMar>
              <w:left w:w="57" w:type="dxa"/>
              <w:right w:w="57" w:type="dxa"/>
            </w:tcMar>
            <w:vAlign w:val="bottom"/>
          </w:tcPr>
          <w:p w14:paraId="21D8835F" w14:textId="7E7DFC13" w:rsidR="00DA6541" w:rsidRPr="00FB38E1" w:rsidRDefault="00DA6541" w:rsidP="00DA6541">
            <w:pPr>
              <w:ind w:firstLineChars="162" w:firstLine="227"/>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Geçmiş yıllar karı</w:t>
            </w:r>
          </w:p>
        </w:tc>
        <w:tc>
          <w:tcPr>
            <w:tcW w:w="589" w:type="pct"/>
            <w:gridSpan w:val="2"/>
            <w:vAlign w:val="bottom"/>
          </w:tcPr>
          <w:p w14:paraId="02614E27" w14:textId="78C466BF"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1.245.272</w:t>
            </w:r>
          </w:p>
        </w:tc>
        <w:tc>
          <w:tcPr>
            <w:tcW w:w="514" w:type="pct"/>
            <w:tcMar>
              <w:left w:w="57" w:type="dxa"/>
              <w:right w:w="57" w:type="dxa"/>
            </w:tcMar>
            <w:vAlign w:val="bottom"/>
          </w:tcPr>
          <w:p w14:paraId="0A34A796" w14:textId="2848E7C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1.245.272</w:t>
            </w:r>
          </w:p>
        </w:tc>
      </w:tr>
      <w:tr w:rsidR="00DA6541" w:rsidRPr="00FB38E1" w14:paraId="0C6CC485" w14:textId="77777777" w:rsidTr="00B93E9A">
        <w:tc>
          <w:tcPr>
            <w:tcW w:w="3897" w:type="pct"/>
            <w:gridSpan w:val="2"/>
            <w:tcBorders>
              <w:bottom w:val="single" w:sz="2" w:space="0" w:color="auto"/>
            </w:tcBorders>
            <w:tcMar>
              <w:left w:w="57" w:type="dxa"/>
              <w:right w:w="57" w:type="dxa"/>
            </w:tcMar>
            <w:vAlign w:val="bottom"/>
          </w:tcPr>
          <w:p w14:paraId="65D86987"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İştirakler, Bağlı ortaklıklar ve birlikte kontrol edilen ortaklıklardan bedelsiz olarak edinilen ve dönem karı içerisinde muhasebeleştirilmeyen hisseler</w:t>
            </w:r>
          </w:p>
        </w:tc>
        <w:tc>
          <w:tcPr>
            <w:tcW w:w="589" w:type="pct"/>
            <w:gridSpan w:val="2"/>
            <w:tcBorders>
              <w:bottom w:val="single" w:sz="2" w:space="0" w:color="auto"/>
            </w:tcBorders>
            <w:vAlign w:val="bottom"/>
          </w:tcPr>
          <w:p w14:paraId="1985DCD9" w14:textId="0F1F910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5.610</w:t>
            </w:r>
          </w:p>
        </w:tc>
        <w:tc>
          <w:tcPr>
            <w:tcW w:w="514" w:type="pct"/>
            <w:tcBorders>
              <w:bottom w:val="single" w:sz="2" w:space="0" w:color="auto"/>
            </w:tcBorders>
            <w:tcMar>
              <w:left w:w="57" w:type="dxa"/>
              <w:right w:w="57" w:type="dxa"/>
            </w:tcMar>
            <w:vAlign w:val="bottom"/>
          </w:tcPr>
          <w:p w14:paraId="3A554A38" w14:textId="2F66A442"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2.910</w:t>
            </w:r>
          </w:p>
        </w:tc>
      </w:tr>
      <w:tr w:rsidR="00DA6541" w:rsidRPr="00FB38E1" w14:paraId="488306CB" w14:textId="77777777" w:rsidTr="00B93E9A">
        <w:tc>
          <w:tcPr>
            <w:tcW w:w="3897" w:type="pct"/>
            <w:gridSpan w:val="2"/>
            <w:tcBorders>
              <w:top w:val="single" w:sz="2" w:space="0" w:color="auto"/>
            </w:tcBorders>
            <w:tcMar>
              <w:left w:w="57" w:type="dxa"/>
              <w:right w:w="57" w:type="dxa"/>
            </w:tcMar>
            <w:vAlign w:val="bottom"/>
          </w:tcPr>
          <w:p w14:paraId="43BBE6BA" w14:textId="48F969C8"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İndirimler öncesi çekirdek sermaye</w:t>
            </w:r>
          </w:p>
        </w:tc>
        <w:tc>
          <w:tcPr>
            <w:tcW w:w="589" w:type="pct"/>
            <w:gridSpan w:val="2"/>
            <w:tcBorders>
              <w:top w:val="single" w:sz="2" w:space="0" w:color="auto"/>
            </w:tcBorders>
            <w:vAlign w:val="bottom"/>
          </w:tcPr>
          <w:p w14:paraId="37078693" w14:textId="00E7E0BC"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159.834.465</w:t>
            </w:r>
          </w:p>
        </w:tc>
        <w:tc>
          <w:tcPr>
            <w:tcW w:w="514" w:type="pct"/>
            <w:tcBorders>
              <w:top w:val="single" w:sz="2" w:space="0" w:color="auto"/>
            </w:tcBorders>
            <w:tcMar>
              <w:left w:w="57" w:type="dxa"/>
              <w:right w:w="57" w:type="dxa"/>
            </w:tcMar>
            <w:vAlign w:val="bottom"/>
          </w:tcPr>
          <w:p w14:paraId="1A8F4131" w14:textId="29113FAD"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92.893.091</w:t>
            </w:r>
          </w:p>
        </w:tc>
      </w:tr>
      <w:tr w:rsidR="00DA6541" w:rsidRPr="00FB38E1" w14:paraId="7805FBB8" w14:textId="77777777" w:rsidTr="00B93E9A">
        <w:tc>
          <w:tcPr>
            <w:tcW w:w="3897" w:type="pct"/>
            <w:gridSpan w:val="2"/>
            <w:tcMar>
              <w:left w:w="57" w:type="dxa"/>
              <w:right w:w="57" w:type="dxa"/>
            </w:tcMar>
            <w:vAlign w:val="bottom"/>
          </w:tcPr>
          <w:p w14:paraId="65A87BFA"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Çekirdek sermayeden yapılacak indirimler</w:t>
            </w:r>
          </w:p>
        </w:tc>
        <w:tc>
          <w:tcPr>
            <w:tcW w:w="589" w:type="pct"/>
            <w:gridSpan w:val="2"/>
            <w:vAlign w:val="bottom"/>
          </w:tcPr>
          <w:p w14:paraId="5CF8FD7E" w14:textId="77777777" w:rsidR="00DA6541" w:rsidRPr="00FB38E1" w:rsidRDefault="00DA6541" w:rsidP="00DA6541">
            <w:pPr>
              <w:jc w:val="right"/>
              <w:rPr>
                <w:rFonts w:ascii="Microsoft Sans Serif" w:hAnsi="Microsoft Sans Serif" w:cs="Microsoft Sans Serif"/>
                <w:color w:val="000000"/>
                <w:sz w:val="14"/>
                <w:szCs w:val="14"/>
              </w:rPr>
            </w:pPr>
          </w:p>
        </w:tc>
        <w:tc>
          <w:tcPr>
            <w:tcW w:w="514" w:type="pct"/>
            <w:tcMar>
              <w:left w:w="57" w:type="dxa"/>
              <w:right w:w="57" w:type="dxa"/>
            </w:tcMar>
            <w:vAlign w:val="bottom"/>
          </w:tcPr>
          <w:p w14:paraId="0BA91026" w14:textId="72A43C20" w:rsidR="00DA6541" w:rsidRPr="00FB38E1" w:rsidRDefault="00DA6541" w:rsidP="00DA6541">
            <w:pPr>
              <w:jc w:val="right"/>
              <w:rPr>
                <w:rFonts w:ascii="Microsoft Sans Serif" w:hAnsi="Microsoft Sans Serif" w:cs="Microsoft Sans Serif"/>
                <w:color w:val="000000"/>
                <w:sz w:val="14"/>
                <w:szCs w:val="14"/>
              </w:rPr>
            </w:pPr>
          </w:p>
        </w:tc>
      </w:tr>
      <w:tr w:rsidR="00DA6541" w:rsidRPr="00FB38E1" w14:paraId="2CCA93CC" w14:textId="77777777" w:rsidTr="00B93E9A">
        <w:tc>
          <w:tcPr>
            <w:tcW w:w="3897" w:type="pct"/>
            <w:gridSpan w:val="2"/>
            <w:tcMar>
              <w:left w:w="57" w:type="dxa"/>
              <w:right w:w="57" w:type="dxa"/>
            </w:tcMar>
            <w:vAlign w:val="bottom"/>
          </w:tcPr>
          <w:p w14:paraId="1896A9C6"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Bankaların Özkaynaklarına İlişkin Yönetmeliğin 9 uncu maddesinin birinci fıkrasının (i) bendi uyarınca hesaplanan değerleme ayarlamaları</w:t>
            </w:r>
          </w:p>
        </w:tc>
        <w:tc>
          <w:tcPr>
            <w:tcW w:w="589" w:type="pct"/>
            <w:gridSpan w:val="2"/>
            <w:vAlign w:val="bottom"/>
          </w:tcPr>
          <w:p w14:paraId="43444F39" w14:textId="1197B49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66FBC201" w14:textId="2F7312E0"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7F6C193" w14:textId="77777777" w:rsidTr="00B93E9A">
        <w:tblPrEx>
          <w:tblCellMar>
            <w:left w:w="70" w:type="dxa"/>
            <w:right w:w="70" w:type="dxa"/>
          </w:tblCellMar>
        </w:tblPrEx>
        <w:tc>
          <w:tcPr>
            <w:tcW w:w="3897" w:type="pct"/>
            <w:gridSpan w:val="2"/>
            <w:vAlign w:val="bottom"/>
          </w:tcPr>
          <w:p w14:paraId="7294CC47" w14:textId="0A1FA48D"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Net dönem zararı ile geçmiş yıllar zararı toplamının yedek akçelerle karşılanmayan kısmı ile TMS uyarınca özkaynaklara yansıtılan kayıplar</w:t>
            </w:r>
          </w:p>
        </w:tc>
        <w:tc>
          <w:tcPr>
            <w:tcW w:w="589" w:type="pct"/>
            <w:gridSpan w:val="2"/>
            <w:vAlign w:val="bottom"/>
          </w:tcPr>
          <w:p w14:paraId="4BCE88E6" w14:textId="41DD198A"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4.746.774</w:t>
            </w:r>
          </w:p>
        </w:tc>
        <w:tc>
          <w:tcPr>
            <w:tcW w:w="514" w:type="pct"/>
            <w:vAlign w:val="bottom"/>
          </w:tcPr>
          <w:p w14:paraId="516DB175" w14:textId="02BC0D8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2.069.909</w:t>
            </w:r>
          </w:p>
        </w:tc>
      </w:tr>
      <w:tr w:rsidR="00DA6541" w:rsidRPr="00FB38E1" w14:paraId="225530DE" w14:textId="77777777" w:rsidTr="00B93E9A">
        <w:tc>
          <w:tcPr>
            <w:tcW w:w="3897" w:type="pct"/>
            <w:gridSpan w:val="2"/>
            <w:tcMar>
              <w:left w:w="57" w:type="dxa"/>
              <w:right w:w="57" w:type="dxa"/>
            </w:tcMar>
            <w:vAlign w:val="bottom"/>
          </w:tcPr>
          <w:p w14:paraId="406CFB78"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Faaliyet kiralaması geliştirme maliyetleri</w:t>
            </w:r>
          </w:p>
        </w:tc>
        <w:tc>
          <w:tcPr>
            <w:tcW w:w="589" w:type="pct"/>
            <w:gridSpan w:val="2"/>
            <w:vAlign w:val="bottom"/>
          </w:tcPr>
          <w:p w14:paraId="772E3D05" w14:textId="0783A4A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514.506</w:t>
            </w:r>
          </w:p>
        </w:tc>
        <w:tc>
          <w:tcPr>
            <w:tcW w:w="514" w:type="pct"/>
            <w:tcMar>
              <w:left w:w="57" w:type="dxa"/>
              <w:right w:w="57" w:type="dxa"/>
            </w:tcMar>
            <w:vAlign w:val="bottom"/>
          </w:tcPr>
          <w:p w14:paraId="2FF806FB" w14:textId="2C8A424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216.033</w:t>
            </w:r>
          </w:p>
        </w:tc>
      </w:tr>
      <w:tr w:rsidR="00DA6541" w:rsidRPr="00FB38E1" w14:paraId="01D91F5C" w14:textId="77777777" w:rsidTr="00B93E9A">
        <w:tc>
          <w:tcPr>
            <w:tcW w:w="3897" w:type="pct"/>
            <w:gridSpan w:val="2"/>
            <w:tcMar>
              <w:left w:w="57" w:type="dxa"/>
              <w:right w:w="57" w:type="dxa"/>
            </w:tcMar>
            <w:vAlign w:val="bottom"/>
          </w:tcPr>
          <w:p w14:paraId="39407696"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İlgili ertelenmiş vergi yükümlülüğü ile mahsup edildikten sonra kalan şerefiye</w:t>
            </w:r>
          </w:p>
        </w:tc>
        <w:tc>
          <w:tcPr>
            <w:tcW w:w="589" w:type="pct"/>
            <w:gridSpan w:val="2"/>
            <w:vAlign w:val="bottom"/>
          </w:tcPr>
          <w:p w14:paraId="2EF523D4" w14:textId="6AFC512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79122C55" w14:textId="42F15F68"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709385EA" w14:textId="77777777" w:rsidTr="00B93E9A">
        <w:tc>
          <w:tcPr>
            <w:tcW w:w="3897" w:type="pct"/>
            <w:gridSpan w:val="2"/>
            <w:tcMar>
              <w:left w:w="57" w:type="dxa"/>
              <w:right w:w="57" w:type="dxa"/>
            </w:tcMar>
            <w:vAlign w:val="bottom"/>
          </w:tcPr>
          <w:p w14:paraId="0194B197"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İpotek hizmeti sunma hakları hariç olmak üzere ilgili ertelenmiş vergi yükümlülüğü ile mahsup edildikten sonra kalan diğer maddi olmayan duran varlıklar</w:t>
            </w:r>
          </w:p>
        </w:tc>
        <w:tc>
          <w:tcPr>
            <w:tcW w:w="589" w:type="pct"/>
            <w:gridSpan w:val="2"/>
            <w:vAlign w:val="bottom"/>
          </w:tcPr>
          <w:p w14:paraId="0ED073A0" w14:textId="19E5A9E2"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4.865.774</w:t>
            </w:r>
          </w:p>
        </w:tc>
        <w:tc>
          <w:tcPr>
            <w:tcW w:w="514" w:type="pct"/>
            <w:tcMar>
              <w:left w:w="57" w:type="dxa"/>
              <w:right w:w="57" w:type="dxa"/>
            </w:tcMar>
            <w:vAlign w:val="bottom"/>
          </w:tcPr>
          <w:p w14:paraId="406DA4EE" w14:textId="4F0A016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2.283.719</w:t>
            </w:r>
          </w:p>
        </w:tc>
      </w:tr>
      <w:tr w:rsidR="00DA6541" w:rsidRPr="00FB38E1" w14:paraId="505A52BF" w14:textId="77777777" w:rsidTr="00B93E9A">
        <w:tc>
          <w:tcPr>
            <w:tcW w:w="3897" w:type="pct"/>
            <w:gridSpan w:val="2"/>
            <w:tcMar>
              <w:left w:w="57" w:type="dxa"/>
              <w:right w:w="57" w:type="dxa"/>
            </w:tcMar>
            <w:vAlign w:val="bottom"/>
          </w:tcPr>
          <w:p w14:paraId="668542F7"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589" w:type="pct"/>
            <w:gridSpan w:val="2"/>
            <w:vAlign w:val="bottom"/>
          </w:tcPr>
          <w:p w14:paraId="3B65B8C0" w14:textId="5DECA5F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2166D95F" w14:textId="62D4A485"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C8FA885" w14:textId="77777777" w:rsidTr="00B93E9A">
        <w:tc>
          <w:tcPr>
            <w:tcW w:w="3897" w:type="pct"/>
            <w:gridSpan w:val="2"/>
            <w:tcMar>
              <w:left w:w="57" w:type="dxa"/>
              <w:right w:w="57" w:type="dxa"/>
            </w:tcMar>
            <w:vAlign w:val="bottom"/>
          </w:tcPr>
          <w:p w14:paraId="34254F37"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Gerçeğe uygun değeri üzerinden izlenmeyen varlık veya yükümlülüklerin nakit akış riskinde korunma işlemine konu edilmesi halinde ortaya çıkan farklar</w:t>
            </w:r>
          </w:p>
        </w:tc>
        <w:tc>
          <w:tcPr>
            <w:tcW w:w="589" w:type="pct"/>
            <w:gridSpan w:val="2"/>
            <w:vAlign w:val="bottom"/>
          </w:tcPr>
          <w:p w14:paraId="28080AC2" w14:textId="7E9EFF1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165CC50E" w14:textId="47F60235"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546027EA" w14:textId="77777777" w:rsidTr="00B93E9A">
        <w:tc>
          <w:tcPr>
            <w:tcW w:w="3897" w:type="pct"/>
            <w:gridSpan w:val="2"/>
            <w:tcMar>
              <w:left w:w="57" w:type="dxa"/>
              <w:right w:w="57" w:type="dxa"/>
            </w:tcMar>
            <w:vAlign w:val="bottom"/>
          </w:tcPr>
          <w:p w14:paraId="1E40B9D4"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 Riskine Esas Tutarın İçsel Derecelendirmeye Dayalı Yaklaşımlar ile Hesaplanmasına İlişkin Tebliğ uyarınca hesaplanan toplam beklenen kayıp tutarının, toplam karşılık tutarını aşan kısmı</w:t>
            </w:r>
          </w:p>
        </w:tc>
        <w:tc>
          <w:tcPr>
            <w:tcW w:w="589" w:type="pct"/>
            <w:gridSpan w:val="2"/>
            <w:vAlign w:val="bottom"/>
          </w:tcPr>
          <w:p w14:paraId="01D4BBBA" w14:textId="0459AC46"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3425C6BE" w14:textId="27A9412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1778259" w14:textId="77777777" w:rsidTr="00B93E9A">
        <w:tc>
          <w:tcPr>
            <w:tcW w:w="3897" w:type="pct"/>
            <w:gridSpan w:val="2"/>
            <w:tcMar>
              <w:left w:w="57" w:type="dxa"/>
              <w:right w:w="57" w:type="dxa"/>
            </w:tcMar>
            <w:vAlign w:val="bottom"/>
          </w:tcPr>
          <w:p w14:paraId="07E82E21"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Menkul kıymetleştirme işlemlerinden kaynaklanan kazançlar</w:t>
            </w:r>
          </w:p>
        </w:tc>
        <w:tc>
          <w:tcPr>
            <w:tcW w:w="589" w:type="pct"/>
            <w:gridSpan w:val="2"/>
            <w:vAlign w:val="bottom"/>
          </w:tcPr>
          <w:p w14:paraId="03E17EF3" w14:textId="56F1E88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713E4D9A" w14:textId="39312E3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57174D80" w14:textId="77777777" w:rsidTr="00B93E9A">
        <w:tc>
          <w:tcPr>
            <w:tcW w:w="3897" w:type="pct"/>
            <w:gridSpan w:val="2"/>
            <w:tcMar>
              <w:left w:w="57" w:type="dxa"/>
              <w:right w:w="57" w:type="dxa"/>
            </w:tcMar>
            <w:vAlign w:val="bottom"/>
          </w:tcPr>
          <w:p w14:paraId="00D06694"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Bankanın yükümlülüklerinin gerçeğe uygun değerinde, kredi değerliliğindeki değişikliklere bağlı olarak oluşan farklar sonucu ortaya çıkan gerçekleşmemiş kazanç ve kayıplar</w:t>
            </w:r>
          </w:p>
        </w:tc>
        <w:tc>
          <w:tcPr>
            <w:tcW w:w="589" w:type="pct"/>
            <w:gridSpan w:val="2"/>
            <w:vAlign w:val="bottom"/>
          </w:tcPr>
          <w:p w14:paraId="4CEE6578" w14:textId="3D3D9AC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55FBF1DD" w14:textId="32CEDA3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0F6AC78D" w14:textId="77777777" w:rsidTr="00B93E9A">
        <w:tc>
          <w:tcPr>
            <w:tcW w:w="3897" w:type="pct"/>
            <w:gridSpan w:val="2"/>
            <w:tcMar>
              <w:left w:w="57" w:type="dxa"/>
              <w:right w:w="57" w:type="dxa"/>
            </w:tcMar>
            <w:vAlign w:val="bottom"/>
          </w:tcPr>
          <w:p w14:paraId="34050E27"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Tanımlanmış fayda plan varlıklarının net tutarı</w:t>
            </w:r>
          </w:p>
        </w:tc>
        <w:tc>
          <w:tcPr>
            <w:tcW w:w="589" w:type="pct"/>
            <w:gridSpan w:val="2"/>
            <w:vAlign w:val="bottom"/>
          </w:tcPr>
          <w:p w14:paraId="4ACCEC15" w14:textId="6C65CC28"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40FCC22A" w14:textId="6C269FC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33B61B2E" w14:textId="77777777" w:rsidTr="00B93E9A">
        <w:tc>
          <w:tcPr>
            <w:tcW w:w="3897" w:type="pct"/>
            <w:gridSpan w:val="2"/>
            <w:tcMar>
              <w:left w:w="57" w:type="dxa"/>
              <w:right w:w="57" w:type="dxa"/>
            </w:tcMar>
            <w:vAlign w:val="bottom"/>
          </w:tcPr>
          <w:p w14:paraId="0E763428"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Bankanın kendi çekirdek sermayesine yapmış olduğu doğrudan veya dolaylı yatırımlar</w:t>
            </w:r>
          </w:p>
        </w:tc>
        <w:tc>
          <w:tcPr>
            <w:tcW w:w="589" w:type="pct"/>
            <w:gridSpan w:val="2"/>
            <w:vAlign w:val="bottom"/>
          </w:tcPr>
          <w:p w14:paraId="6B0623F3" w14:textId="385286C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67BBA464" w14:textId="4AFBB60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60F6C90A" w14:textId="77777777" w:rsidTr="00B93E9A">
        <w:tc>
          <w:tcPr>
            <w:tcW w:w="3897" w:type="pct"/>
            <w:gridSpan w:val="2"/>
            <w:tcMar>
              <w:left w:w="57" w:type="dxa"/>
              <w:right w:w="57" w:type="dxa"/>
            </w:tcMar>
            <w:vAlign w:val="bottom"/>
          </w:tcPr>
          <w:p w14:paraId="6C3D7AE4"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Kanunun 56 ncı maddesinin dördüncü fıkrasına aykırı olarak edinilen paylar</w:t>
            </w:r>
          </w:p>
        </w:tc>
        <w:tc>
          <w:tcPr>
            <w:tcW w:w="589" w:type="pct"/>
            <w:gridSpan w:val="2"/>
            <w:vAlign w:val="bottom"/>
          </w:tcPr>
          <w:p w14:paraId="7D468B23" w14:textId="1781E77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0DA06C1A" w14:textId="23A76702"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5ED18A6C" w14:textId="77777777" w:rsidTr="00B93E9A">
        <w:tc>
          <w:tcPr>
            <w:tcW w:w="3897" w:type="pct"/>
            <w:gridSpan w:val="2"/>
            <w:tcMar>
              <w:left w:w="57" w:type="dxa"/>
              <w:right w:w="57" w:type="dxa"/>
            </w:tcMar>
            <w:vAlign w:val="bottom"/>
          </w:tcPr>
          <w:p w14:paraId="768B5C12"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89" w:type="pct"/>
            <w:gridSpan w:val="2"/>
            <w:vAlign w:val="bottom"/>
          </w:tcPr>
          <w:p w14:paraId="497A2F66" w14:textId="48CF9CE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5B581DC4" w14:textId="4EB5341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55E254A3" w14:textId="77777777" w:rsidTr="00B93E9A">
        <w:tc>
          <w:tcPr>
            <w:tcW w:w="3897" w:type="pct"/>
            <w:gridSpan w:val="2"/>
            <w:tcMar>
              <w:left w:w="57" w:type="dxa"/>
              <w:right w:w="57" w:type="dxa"/>
            </w:tcMar>
            <w:vAlign w:val="bottom"/>
          </w:tcPr>
          <w:p w14:paraId="27B83BDC"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589" w:type="pct"/>
            <w:gridSpan w:val="2"/>
            <w:vAlign w:val="bottom"/>
          </w:tcPr>
          <w:p w14:paraId="1A3A6B2A" w14:textId="4591206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61DD2C9A" w14:textId="647A8175"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CAF6D2B" w14:textId="77777777" w:rsidTr="00B93E9A">
        <w:tc>
          <w:tcPr>
            <w:tcW w:w="3897" w:type="pct"/>
            <w:gridSpan w:val="2"/>
            <w:tcMar>
              <w:left w:w="57" w:type="dxa"/>
              <w:right w:w="57" w:type="dxa"/>
            </w:tcMar>
            <w:vAlign w:val="bottom"/>
          </w:tcPr>
          <w:p w14:paraId="66D5CFB3"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İpotek hizmeti sunma haklarının çekirdek sermayenin %10'unun aşan kısmı</w:t>
            </w:r>
          </w:p>
        </w:tc>
        <w:tc>
          <w:tcPr>
            <w:tcW w:w="589" w:type="pct"/>
            <w:gridSpan w:val="2"/>
            <w:vAlign w:val="bottom"/>
          </w:tcPr>
          <w:p w14:paraId="5357E7AC" w14:textId="33A9A4C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338DE1BE" w14:textId="0FC21A9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1F27880C" w14:textId="77777777" w:rsidTr="00B93E9A">
        <w:tc>
          <w:tcPr>
            <w:tcW w:w="3897" w:type="pct"/>
            <w:gridSpan w:val="2"/>
            <w:tcMar>
              <w:left w:w="57" w:type="dxa"/>
              <w:right w:w="57" w:type="dxa"/>
            </w:tcMar>
            <w:vAlign w:val="bottom"/>
          </w:tcPr>
          <w:p w14:paraId="60FBC630"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Geçici farklara dayanan ertelenmiş vergi varlıklarının çekirdek sermayenin %10'unu aşan kısmı</w:t>
            </w:r>
          </w:p>
        </w:tc>
        <w:tc>
          <w:tcPr>
            <w:tcW w:w="589" w:type="pct"/>
            <w:gridSpan w:val="2"/>
            <w:vAlign w:val="bottom"/>
          </w:tcPr>
          <w:p w14:paraId="62654157" w14:textId="1C3A989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35EF08CA" w14:textId="6AEE0A37"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47F2E64E" w14:textId="77777777" w:rsidTr="00B93E9A">
        <w:tc>
          <w:tcPr>
            <w:tcW w:w="3897" w:type="pct"/>
            <w:gridSpan w:val="2"/>
            <w:tcMar>
              <w:left w:w="57" w:type="dxa"/>
              <w:right w:w="57" w:type="dxa"/>
            </w:tcMar>
            <w:vAlign w:val="bottom"/>
          </w:tcPr>
          <w:p w14:paraId="4A9AF95E"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Bankaların Özkaynaklarına İlişkin Yönetmeliğin Geçici 2 nci maddesinin ikinci fıkrası uyarınca çekirdek sermayenin %15'ini aşan tutarlar</w:t>
            </w:r>
          </w:p>
        </w:tc>
        <w:tc>
          <w:tcPr>
            <w:tcW w:w="589" w:type="pct"/>
            <w:gridSpan w:val="2"/>
            <w:vAlign w:val="bottom"/>
          </w:tcPr>
          <w:p w14:paraId="4F214B27" w14:textId="184A81A7"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365D7027" w14:textId="401F2A11"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706FE3F8" w14:textId="77777777" w:rsidTr="00B93E9A">
        <w:tc>
          <w:tcPr>
            <w:tcW w:w="3897" w:type="pct"/>
            <w:gridSpan w:val="2"/>
            <w:tcMar>
              <w:left w:w="57" w:type="dxa"/>
              <w:right w:w="57" w:type="dxa"/>
            </w:tcMar>
            <w:vAlign w:val="bottom"/>
          </w:tcPr>
          <w:p w14:paraId="4C7A1028" w14:textId="77777777" w:rsidR="00DA6541" w:rsidRPr="00FB38E1" w:rsidRDefault="00DA6541" w:rsidP="00DA6541">
            <w:pPr>
              <w:ind w:left="227"/>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 'dan daha fazlasına sahip olunan ve konsolide edilmeyen bankalar ve finansal kuruluşların çekirdek sermaye unsurlarına yapılan yatırımların net uzun pozisyonlarından kaynaklanan aşım tutarı</w:t>
            </w:r>
          </w:p>
        </w:tc>
        <w:tc>
          <w:tcPr>
            <w:tcW w:w="589" w:type="pct"/>
            <w:gridSpan w:val="2"/>
            <w:vAlign w:val="bottom"/>
          </w:tcPr>
          <w:p w14:paraId="608A799F" w14:textId="681E8A12"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01CAB5DD" w14:textId="69910FA2"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728452D1" w14:textId="77777777" w:rsidTr="00B93E9A">
        <w:tc>
          <w:tcPr>
            <w:tcW w:w="3897" w:type="pct"/>
            <w:gridSpan w:val="2"/>
            <w:tcMar>
              <w:left w:w="57" w:type="dxa"/>
              <w:right w:w="57" w:type="dxa"/>
            </w:tcMar>
            <w:vAlign w:val="bottom"/>
          </w:tcPr>
          <w:p w14:paraId="0F89A08D" w14:textId="77777777" w:rsidR="00DA6541" w:rsidRPr="00FB38E1" w:rsidRDefault="00DA6541" w:rsidP="00DA6541">
            <w:pPr>
              <w:ind w:firstLineChars="162" w:firstLine="227"/>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İpotek hizmeti sunma haklarından kaynaklanan aşım tutarı</w:t>
            </w:r>
          </w:p>
        </w:tc>
        <w:tc>
          <w:tcPr>
            <w:tcW w:w="589" w:type="pct"/>
            <w:gridSpan w:val="2"/>
            <w:vAlign w:val="bottom"/>
          </w:tcPr>
          <w:p w14:paraId="3CD30A56" w14:textId="04B55F41"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2DE0F3A7" w14:textId="26DD1928"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5414C229" w14:textId="77777777" w:rsidTr="00B93E9A">
        <w:tc>
          <w:tcPr>
            <w:tcW w:w="3897" w:type="pct"/>
            <w:gridSpan w:val="2"/>
            <w:tcMar>
              <w:left w:w="57" w:type="dxa"/>
              <w:right w:w="57" w:type="dxa"/>
            </w:tcMar>
            <w:vAlign w:val="bottom"/>
          </w:tcPr>
          <w:p w14:paraId="596A09C5" w14:textId="77777777" w:rsidR="00DA6541" w:rsidRPr="00FB38E1" w:rsidRDefault="00DA6541" w:rsidP="00DA6541">
            <w:pPr>
              <w:ind w:firstLineChars="162" w:firstLine="227"/>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Geçici farklara dayanan ertelenmiş vergi varlıklarından kaynaklanan aşım tutarı</w:t>
            </w:r>
          </w:p>
        </w:tc>
        <w:tc>
          <w:tcPr>
            <w:tcW w:w="589" w:type="pct"/>
            <w:gridSpan w:val="2"/>
            <w:vAlign w:val="bottom"/>
          </w:tcPr>
          <w:p w14:paraId="49FFCC26" w14:textId="400C791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5405AF7E" w14:textId="1E375F0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1396537B" w14:textId="77777777" w:rsidTr="00B93E9A">
        <w:tc>
          <w:tcPr>
            <w:tcW w:w="3897" w:type="pct"/>
            <w:gridSpan w:val="2"/>
            <w:tcMar>
              <w:left w:w="57" w:type="dxa"/>
              <w:right w:w="57" w:type="dxa"/>
            </w:tcMar>
            <w:vAlign w:val="bottom"/>
          </w:tcPr>
          <w:p w14:paraId="3B698133"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Kurulca belirlenecek diğer kalemler</w:t>
            </w:r>
          </w:p>
        </w:tc>
        <w:tc>
          <w:tcPr>
            <w:tcW w:w="589" w:type="pct"/>
            <w:gridSpan w:val="2"/>
            <w:vAlign w:val="bottom"/>
          </w:tcPr>
          <w:p w14:paraId="57E34307" w14:textId="2DDE9D4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598E675B" w14:textId="1FABBED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AA89F60" w14:textId="77777777" w:rsidTr="00B93E9A">
        <w:tc>
          <w:tcPr>
            <w:tcW w:w="3897" w:type="pct"/>
            <w:gridSpan w:val="2"/>
            <w:tcBorders>
              <w:bottom w:val="single" w:sz="4" w:space="0" w:color="auto"/>
            </w:tcBorders>
            <w:tcMar>
              <w:left w:w="57" w:type="dxa"/>
              <w:right w:w="57" w:type="dxa"/>
            </w:tcMar>
            <w:vAlign w:val="bottom"/>
          </w:tcPr>
          <w:p w14:paraId="090D6410"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Yeterli ilave ana sermaye veya katkı sermaye bulunmaması halinde çekirdek sermayeden indirim yapılacak tutar</w:t>
            </w:r>
          </w:p>
        </w:tc>
        <w:tc>
          <w:tcPr>
            <w:tcW w:w="589" w:type="pct"/>
            <w:gridSpan w:val="2"/>
            <w:tcBorders>
              <w:bottom w:val="single" w:sz="4" w:space="0" w:color="auto"/>
            </w:tcBorders>
            <w:vAlign w:val="bottom"/>
          </w:tcPr>
          <w:p w14:paraId="47F31619" w14:textId="79FD52A5"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Borders>
              <w:bottom w:val="single" w:sz="4" w:space="0" w:color="auto"/>
            </w:tcBorders>
            <w:tcMar>
              <w:left w:w="57" w:type="dxa"/>
              <w:right w:w="57" w:type="dxa"/>
            </w:tcMar>
            <w:vAlign w:val="bottom"/>
          </w:tcPr>
          <w:p w14:paraId="61C46D23" w14:textId="349C925F"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657AAA2D" w14:textId="77777777" w:rsidTr="00B93E9A">
        <w:tc>
          <w:tcPr>
            <w:tcW w:w="3897" w:type="pct"/>
            <w:gridSpan w:val="2"/>
            <w:tcBorders>
              <w:top w:val="single" w:sz="4" w:space="0" w:color="auto"/>
              <w:bottom w:val="single" w:sz="4" w:space="0" w:color="auto"/>
            </w:tcBorders>
            <w:tcMar>
              <w:left w:w="57" w:type="dxa"/>
              <w:right w:w="57" w:type="dxa"/>
            </w:tcMar>
            <w:vAlign w:val="bottom"/>
          </w:tcPr>
          <w:p w14:paraId="21F6F4B4"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Çekirdek Sermayeden Yapılan İndirimler Toplamı</w:t>
            </w:r>
          </w:p>
        </w:tc>
        <w:tc>
          <w:tcPr>
            <w:tcW w:w="589" w:type="pct"/>
            <w:gridSpan w:val="2"/>
            <w:tcBorders>
              <w:top w:val="single" w:sz="4" w:space="0" w:color="auto"/>
              <w:bottom w:val="single" w:sz="4" w:space="0" w:color="auto"/>
            </w:tcBorders>
            <w:vAlign w:val="bottom"/>
          </w:tcPr>
          <w:p w14:paraId="4734DE25" w14:textId="0B512285"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10.127.054</w:t>
            </w:r>
          </w:p>
        </w:tc>
        <w:tc>
          <w:tcPr>
            <w:tcW w:w="514" w:type="pct"/>
            <w:tcBorders>
              <w:top w:val="single" w:sz="4" w:space="0" w:color="auto"/>
              <w:bottom w:val="single" w:sz="4" w:space="0" w:color="auto"/>
            </w:tcBorders>
            <w:tcMar>
              <w:left w:w="57" w:type="dxa"/>
              <w:right w:w="57" w:type="dxa"/>
            </w:tcMar>
            <w:vAlign w:val="bottom"/>
          </w:tcPr>
          <w:p w14:paraId="1A16542A" w14:textId="4E72286B"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4.569.661</w:t>
            </w:r>
          </w:p>
        </w:tc>
      </w:tr>
      <w:tr w:rsidR="00DA6541" w:rsidRPr="00FB38E1" w14:paraId="31307C2A" w14:textId="77777777" w:rsidTr="00B93E9A">
        <w:tc>
          <w:tcPr>
            <w:tcW w:w="3897" w:type="pct"/>
            <w:gridSpan w:val="2"/>
            <w:tcBorders>
              <w:top w:val="single" w:sz="4" w:space="0" w:color="auto"/>
              <w:bottom w:val="single" w:sz="12" w:space="0" w:color="auto"/>
            </w:tcBorders>
            <w:tcMar>
              <w:left w:w="57" w:type="dxa"/>
              <w:right w:w="57" w:type="dxa"/>
            </w:tcMar>
            <w:vAlign w:val="bottom"/>
          </w:tcPr>
          <w:p w14:paraId="2DDF5A6A"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Çekirdek Sermaye Toplamı</w:t>
            </w:r>
          </w:p>
        </w:tc>
        <w:tc>
          <w:tcPr>
            <w:tcW w:w="589" w:type="pct"/>
            <w:gridSpan w:val="2"/>
            <w:tcBorders>
              <w:top w:val="single" w:sz="4" w:space="0" w:color="auto"/>
              <w:bottom w:val="single" w:sz="12" w:space="0" w:color="auto"/>
            </w:tcBorders>
            <w:vAlign w:val="bottom"/>
          </w:tcPr>
          <w:p w14:paraId="3FF88623" w14:textId="77F8270A"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149.707.411</w:t>
            </w:r>
          </w:p>
        </w:tc>
        <w:tc>
          <w:tcPr>
            <w:tcW w:w="514" w:type="pct"/>
            <w:tcBorders>
              <w:top w:val="single" w:sz="4" w:space="0" w:color="auto"/>
              <w:bottom w:val="single" w:sz="12" w:space="0" w:color="auto"/>
            </w:tcBorders>
            <w:tcMar>
              <w:left w:w="57" w:type="dxa"/>
              <w:right w:w="57" w:type="dxa"/>
            </w:tcMar>
            <w:vAlign w:val="bottom"/>
          </w:tcPr>
          <w:p w14:paraId="6C9C54B8" w14:textId="75A096AF"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88.323.430</w:t>
            </w:r>
          </w:p>
        </w:tc>
      </w:tr>
      <w:tr w:rsidR="00DA6541" w:rsidRPr="00FB38E1" w14:paraId="2743AEB6" w14:textId="77777777" w:rsidTr="00B93E9A">
        <w:tc>
          <w:tcPr>
            <w:tcW w:w="3897" w:type="pct"/>
            <w:gridSpan w:val="2"/>
            <w:tcBorders>
              <w:top w:val="single" w:sz="12" w:space="0" w:color="auto"/>
            </w:tcBorders>
            <w:tcMar>
              <w:left w:w="57" w:type="dxa"/>
              <w:right w:w="57" w:type="dxa"/>
            </w:tcMar>
            <w:vAlign w:val="bottom"/>
          </w:tcPr>
          <w:p w14:paraId="33466A1D"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İLAVE ANA SERMAYE</w:t>
            </w:r>
          </w:p>
        </w:tc>
        <w:tc>
          <w:tcPr>
            <w:tcW w:w="589" w:type="pct"/>
            <w:gridSpan w:val="2"/>
            <w:tcBorders>
              <w:top w:val="single" w:sz="12" w:space="0" w:color="auto"/>
            </w:tcBorders>
            <w:vAlign w:val="bottom"/>
          </w:tcPr>
          <w:p w14:paraId="1AF118CB" w14:textId="77777777" w:rsidR="00DA6541" w:rsidRPr="00FB38E1" w:rsidRDefault="00DA6541" w:rsidP="00DA6541">
            <w:pPr>
              <w:jc w:val="right"/>
            </w:pPr>
          </w:p>
        </w:tc>
        <w:tc>
          <w:tcPr>
            <w:tcW w:w="514" w:type="pct"/>
            <w:tcBorders>
              <w:top w:val="single" w:sz="12" w:space="0" w:color="auto"/>
            </w:tcBorders>
            <w:tcMar>
              <w:left w:w="57" w:type="dxa"/>
              <w:right w:w="57" w:type="dxa"/>
            </w:tcMar>
            <w:vAlign w:val="bottom"/>
          </w:tcPr>
          <w:p w14:paraId="2F61AE02" w14:textId="2564BB00" w:rsidR="00DA6541" w:rsidRPr="00FB38E1" w:rsidRDefault="00DA6541" w:rsidP="00DA6541">
            <w:pPr>
              <w:jc w:val="right"/>
            </w:pPr>
          </w:p>
        </w:tc>
      </w:tr>
      <w:tr w:rsidR="00DA6541" w:rsidRPr="00FB38E1" w14:paraId="118314F8" w14:textId="77777777" w:rsidTr="00B93E9A">
        <w:tc>
          <w:tcPr>
            <w:tcW w:w="3897" w:type="pct"/>
            <w:gridSpan w:val="2"/>
            <w:tcMar>
              <w:left w:w="57" w:type="dxa"/>
              <w:right w:w="57" w:type="dxa"/>
            </w:tcMar>
            <w:vAlign w:val="bottom"/>
          </w:tcPr>
          <w:p w14:paraId="6A9251D5"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Çekirdek sermayeye dahil edilmeyen imtiyazlı paylara tekabül eden sermaye ile bunlara ilişkin ihraç primleri</w:t>
            </w:r>
          </w:p>
        </w:tc>
        <w:tc>
          <w:tcPr>
            <w:tcW w:w="589" w:type="pct"/>
            <w:gridSpan w:val="2"/>
            <w:vAlign w:val="bottom"/>
          </w:tcPr>
          <w:p w14:paraId="6FD32690" w14:textId="15994951"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0A5A50CB" w14:textId="1B50061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0FAF3684" w14:textId="77777777" w:rsidTr="00B93E9A">
        <w:tc>
          <w:tcPr>
            <w:tcW w:w="3897" w:type="pct"/>
            <w:gridSpan w:val="2"/>
            <w:tcMar>
              <w:left w:w="57" w:type="dxa"/>
              <w:right w:w="57" w:type="dxa"/>
            </w:tcMar>
            <w:vAlign w:val="bottom"/>
          </w:tcPr>
          <w:p w14:paraId="6CC834AC"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Kurumca uygun görülen borçlanma araçları ve bunlara ilişkin ihraç primleri</w:t>
            </w:r>
          </w:p>
        </w:tc>
        <w:tc>
          <w:tcPr>
            <w:tcW w:w="589" w:type="pct"/>
            <w:gridSpan w:val="2"/>
            <w:vAlign w:val="bottom"/>
          </w:tcPr>
          <w:p w14:paraId="22A1B226" w14:textId="3CE77FA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5799AEBB" w14:textId="64CE172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38DFEFD5" w14:textId="77777777" w:rsidTr="00B93E9A">
        <w:tc>
          <w:tcPr>
            <w:tcW w:w="3897" w:type="pct"/>
            <w:gridSpan w:val="2"/>
            <w:tcMar>
              <w:left w:w="57" w:type="dxa"/>
              <w:right w:w="57" w:type="dxa"/>
            </w:tcMar>
            <w:vAlign w:val="bottom"/>
          </w:tcPr>
          <w:p w14:paraId="4FCB2E42" w14:textId="77777777" w:rsidR="00DA6541" w:rsidRPr="00FB38E1" w:rsidRDefault="00DA6541" w:rsidP="00DA6541">
            <w:pPr>
              <w:ind w:left="227"/>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89" w:type="pct"/>
            <w:gridSpan w:val="2"/>
            <w:vAlign w:val="bottom"/>
          </w:tcPr>
          <w:p w14:paraId="10337481" w14:textId="3CB55F9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Mar>
              <w:left w:w="57" w:type="dxa"/>
              <w:right w:w="57" w:type="dxa"/>
            </w:tcMar>
            <w:vAlign w:val="bottom"/>
          </w:tcPr>
          <w:p w14:paraId="40BA7EAE" w14:textId="1DE925D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02AA94E3" w14:textId="77777777" w:rsidTr="00B93E9A">
        <w:tc>
          <w:tcPr>
            <w:tcW w:w="3897" w:type="pct"/>
            <w:gridSpan w:val="2"/>
            <w:tcBorders>
              <w:top w:val="single" w:sz="4" w:space="0" w:color="auto"/>
            </w:tcBorders>
            <w:tcMar>
              <w:left w:w="57" w:type="dxa"/>
              <w:right w:w="57" w:type="dxa"/>
            </w:tcMar>
            <w:vAlign w:val="bottom"/>
          </w:tcPr>
          <w:p w14:paraId="02008EEE"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İndirimler Öncesi İlave Ana Sermaye</w:t>
            </w:r>
          </w:p>
        </w:tc>
        <w:tc>
          <w:tcPr>
            <w:tcW w:w="589" w:type="pct"/>
            <w:gridSpan w:val="2"/>
            <w:tcBorders>
              <w:top w:val="single" w:sz="4" w:space="0" w:color="auto"/>
            </w:tcBorders>
            <w:vAlign w:val="bottom"/>
          </w:tcPr>
          <w:p w14:paraId="7B131373" w14:textId="14EF2481" w:rsidR="00DA6541" w:rsidRPr="00FB38E1" w:rsidRDefault="00DA6541" w:rsidP="00DA6541">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514" w:type="pct"/>
            <w:tcBorders>
              <w:top w:val="single" w:sz="4" w:space="0" w:color="auto"/>
            </w:tcBorders>
            <w:tcMar>
              <w:left w:w="57" w:type="dxa"/>
              <w:right w:w="57" w:type="dxa"/>
            </w:tcMar>
            <w:vAlign w:val="bottom"/>
          </w:tcPr>
          <w:p w14:paraId="6A77FE0D" w14:textId="7EA16B1B" w:rsidR="00DA6541" w:rsidRPr="00FB38E1" w:rsidRDefault="00DA6541" w:rsidP="00DA6541">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r>
      <w:tr w:rsidR="00DA6541" w:rsidRPr="00FB38E1" w14:paraId="22E2DA5D" w14:textId="77777777" w:rsidTr="00B93E9A">
        <w:tc>
          <w:tcPr>
            <w:tcW w:w="3897" w:type="pct"/>
            <w:gridSpan w:val="2"/>
            <w:shd w:val="clear" w:color="auto" w:fill="auto"/>
            <w:tcMar>
              <w:left w:w="57" w:type="dxa"/>
              <w:right w:w="57" w:type="dxa"/>
            </w:tcMar>
            <w:vAlign w:val="bottom"/>
          </w:tcPr>
          <w:p w14:paraId="651E80CF"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İlave Ana Sermayeden Yapılacak İndirimler</w:t>
            </w:r>
          </w:p>
        </w:tc>
        <w:tc>
          <w:tcPr>
            <w:tcW w:w="589" w:type="pct"/>
            <w:gridSpan w:val="2"/>
            <w:vAlign w:val="bottom"/>
          </w:tcPr>
          <w:p w14:paraId="5746D99D" w14:textId="77777777" w:rsidR="00DA6541" w:rsidRPr="00FB38E1" w:rsidRDefault="00DA6541" w:rsidP="00DA6541">
            <w:pPr>
              <w:jc w:val="right"/>
              <w:rPr>
                <w:rFonts w:ascii="Microsoft Sans Serif" w:hAnsi="Microsoft Sans Serif" w:cs="Microsoft Sans Serif"/>
                <w:b/>
                <w:bCs/>
                <w:color w:val="000000"/>
                <w:sz w:val="14"/>
                <w:szCs w:val="14"/>
              </w:rPr>
            </w:pPr>
          </w:p>
        </w:tc>
        <w:tc>
          <w:tcPr>
            <w:tcW w:w="514" w:type="pct"/>
            <w:shd w:val="clear" w:color="auto" w:fill="auto"/>
            <w:tcMar>
              <w:left w:w="57" w:type="dxa"/>
              <w:right w:w="57" w:type="dxa"/>
            </w:tcMar>
            <w:vAlign w:val="bottom"/>
          </w:tcPr>
          <w:p w14:paraId="5E4075D1" w14:textId="66458D23" w:rsidR="00DA6541" w:rsidRPr="00FB38E1" w:rsidRDefault="00DA6541" w:rsidP="00DA6541">
            <w:pPr>
              <w:jc w:val="right"/>
              <w:rPr>
                <w:rFonts w:ascii="Microsoft Sans Serif" w:hAnsi="Microsoft Sans Serif" w:cs="Microsoft Sans Serif"/>
                <w:b/>
                <w:bCs/>
                <w:color w:val="000000"/>
                <w:sz w:val="14"/>
                <w:szCs w:val="14"/>
              </w:rPr>
            </w:pPr>
          </w:p>
        </w:tc>
      </w:tr>
      <w:tr w:rsidR="00DA6541" w:rsidRPr="00FB38E1" w14:paraId="791AB91C" w14:textId="77777777" w:rsidTr="00B93E9A">
        <w:tc>
          <w:tcPr>
            <w:tcW w:w="3897" w:type="pct"/>
            <w:gridSpan w:val="2"/>
            <w:shd w:val="clear" w:color="auto" w:fill="auto"/>
            <w:tcMar>
              <w:left w:w="57" w:type="dxa"/>
              <w:right w:w="57" w:type="dxa"/>
            </w:tcMar>
            <w:vAlign w:val="bottom"/>
          </w:tcPr>
          <w:p w14:paraId="73DFE30B"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Bankanın kendi ilave ana sermayesine yapmış olduğu doğrudan veya dolaylı yatırımlar</w:t>
            </w:r>
          </w:p>
        </w:tc>
        <w:tc>
          <w:tcPr>
            <w:tcW w:w="589" w:type="pct"/>
            <w:gridSpan w:val="2"/>
            <w:vAlign w:val="bottom"/>
          </w:tcPr>
          <w:p w14:paraId="1CBF1E6A" w14:textId="0F6C70F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6F162537" w14:textId="62B1E737"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47467A96" w14:textId="77777777" w:rsidTr="00B93E9A">
        <w:tc>
          <w:tcPr>
            <w:tcW w:w="3897" w:type="pct"/>
            <w:gridSpan w:val="2"/>
            <w:shd w:val="clear" w:color="auto" w:fill="auto"/>
            <w:tcMar>
              <w:left w:w="57" w:type="dxa"/>
              <w:right w:w="57" w:type="dxa"/>
            </w:tcMar>
            <w:vAlign w:val="bottom"/>
          </w:tcPr>
          <w:p w14:paraId="113C673A"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Bankanın ilave ana sermaye kalemlerine yatırım yapan bankalar ile finansak kuruluşlar tarafından ihraç edilen ve Yönetmeliğin 7 nci maddesinde belirtilen şartları taşıyan özkaynak kalemlerine bankanın yaptığı yatırımlar</w:t>
            </w:r>
          </w:p>
        </w:tc>
        <w:tc>
          <w:tcPr>
            <w:tcW w:w="589" w:type="pct"/>
            <w:gridSpan w:val="2"/>
            <w:vAlign w:val="bottom"/>
          </w:tcPr>
          <w:p w14:paraId="441773FB" w14:textId="2F634218"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5550DFE1" w14:textId="455E7716"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3A19EB1C" w14:textId="77777777" w:rsidTr="00B93E9A">
        <w:tc>
          <w:tcPr>
            <w:tcW w:w="3897" w:type="pct"/>
            <w:gridSpan w:val="2"/>
            <w:shd w:val="clear" w:color="auto" w:fill="auto"/>
            <w:tcMar>
              <w:left w:w="57" w:type="dxa"/>
              <w:right w:w="57" w:type="dxa"/>
            </w:tcMar>
            <w:vAlign w:val="bottom"/>
          </w:tcPr>
          <w:p w14:paraId="75D9A2F5"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589" w:type="pct"/>
            <w:gridSpan w:val="2"/>
            <w:vAlign w:val="bottom"/>
          </w:tcPr>
          <w:p w14:paraId="0CEA4307" w14:textId="18EA7B91"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394D825F" w14:textId="51E81010"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6AE6294C" w14:textId="77777777" w:rsidTr="00B93E9A">
        <w:tc>
          <w:tcPr>
            <w:tcW w:w="3897" w:type="pct"/>
            <w:gridSpan w:val="2"/>
            <w:shd w:val="clear" w:color="auto" w:fill="auto"/>
            <w:tcMar>
              <w:left w:w="57" w:type="dxa"/>
              <w:right w:w="57" w:type="dxa"/>
            </w:tcMar>
            <w:vAlign w:val="bottom"/>
          </w:tcPr>
          <w:p w14:paraId="0F5D66F8"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 veya daha fazlasına sahip olunan ve konsolide edilmeyen bankalar ve finansal kuruluşların ilave ana sermaye unsurlarına yapılan yatırımların net uzun pozisyonları toplamı</w:t>
            </w:r>
          </w:p>
        </w:tc>
        <w:tc>
          <w:tcPr>
            <w:tcW w:w="589" w:type="pct"/>
            <w:gridSpan w:val="2"/>
            <w:vAlign w:val="bottom"/>
          </w:tcPr>
          <w:p w14:paraId="0F95999C" w14:textId="07D1B050"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0D43EAC0" w14:textId="44C979F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3F895811" w14:textId="77777777" w:rsidTr="00B93E9A">
        <w:tc>
          <w:tcPr>
            <w:tcW w:w="3897" w:type="pct"/>
            <w:gridSpan w:val="2"/>
            <w:shd w:val="clear" w:color="auto" w:fill="auto"/>
            <w:tcMar>
              <w:left w:w="57" w:type="dxa"/>
              <w:right w:w="57" w:type="dxa"/>
            </w:tcMar>
            <w:vAlign w:val="bottom"/>
          </w:tcPr>
          <w:p w14:paraId="1ACB2F6A"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Kurulca belirlenecek diğer kalemler</w:t>
            </w:r>
          </w:p>
        </w:tc>
        <w:tc>
          <w:tcPr>
            <w:tcW w:w="589" w:type="pct"/>
            <w:gridSpan w:val="2"/>
            <w:vAlign w:val="bottom"/>
          </w:tcPr>
          <w:p w14:paraId="2950544E" w14:textId="6192CB5F"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7FE6B112" w14:textId="5A0E9AF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78A92674" w14:textId="77777777" w:rsidTr="00B93E9A">
        <w:tc>
          <w:tcPr>
            <w:tcW w:w="3897" w:type="pct"/>
            <w:gridSpan w:val="2"/>
            <w:shd w:val="clear" w:color="auto" w:fill="auto"/>
            <w:tcMar>
              <w:left w:w="57" w:type="dxa"/>
              <w:right w:w="57" w:type="dxa"/>
            </w:tcMar>
            <w:vAlign w:val="bottom"/>
          </w:tcPr>
          <w:p w14:paraId="1304509B"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Geçiş Süresince Ana Sermayeden İndirilmeye Devam edecek Unsurlar</w:t>
            </w:r>
          </w:p>
        </w:tc>
        <w:tc>
          <w:tcPr>
            <w:tcW w:w="589" w:type="pct"/>
            <w:gridSpan w:val="2"/>
            <w:vAlign w:val="bottom"/>
          </w:tcPr>
          <w:p w14:paraId="7D28D8B6" w14:textId="6A6CAE55"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27950847" w14:textId="2F409C92" w:rsidR="00DA6541" w:rsidRPr="00FB38E1" w:rsidRDefault="00DA6541" w:rsidP="00DA654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404040"/>
                <w:sz w:val="14"/>
                <w:szCs w:val="14"/>
              </w:rPr>
              <w:t>--</w:t>
            </w:r>
          </w:p>
        </w:tc>
      </w:tr>
      <w:tr w:rsidR="00DA6541" w:rsidRPr="00FB38E1" w14:paraId="3DE05CA8" w14:textId="77777777" w:rsidTr="00B93E9A">
        <w:tc>
          <w:tcPr>
            <w:tcW w:w="3897" w:type="pct"/>
            <w:gridSpan w:val="2"/>
            <w:shd w:val="clear" w:color="auto" w:fill="auto"/>
            <w:tcMar>
              <w:left w:w="57" w:type="dxa"/>
              <w:right w:w="57" w:type="dxa"/>
            </w:tcMar>
            <w:vAlign w:val="bottom"/>
          </w:tcPr>
          <w:p w14:paraId="0C351AFE"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Şerefiye ve diğer maddi olmayan duran varlıklar ve bunlara ilişkin ertelenmiş vergi yükümlülüklerinin Bankaların Özkaynaklarına İlişkin Yönetmeliğin Geçici 2 nci maddesinin birinci fıkrası uyarınca çekirdek sermayeden indirilmeyen kısmı (-)</w:t>
            </w:r>
          </w:p>
        </w:tc>
        <w:tc>
          <w:tcPr>
            <w:tcW w:w="589" w:type="pct"/>
            <w:gridSpan w:val="2"/>
            <w:vAlign w:val="bottom"/>
          </w:tcPr>
          <w:p w14:paraId="0837DB13" w14:textId="5E4037F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6C5936A5" w14:textId="4CADF5AC"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08F141E9" w14:textId="77777777" w:rsidTr="00B93E9A">
        <w:tc>
          <w:tcPr>
            <w:tcW w:w="3897" w:type="pct"/>
            <w:gridSpan w:val="2"/>
            <w:shd w:val="clear" w:color="auto" w:fill="auto"/>
            <w:tcMar>
              <w:left w:w="57" w:type="dxa"/>
              <w:right w:w="57" w:type="dxa"/>
            </w:tcMar>
            <w:vAlign w:val="bottom"/>
          </w:tcPr>
          <w:p w14:paraId="634F7B09" w14:textId="77777777" w:rsidR="00DA6541" w:rsidRPr="00FB38E1" w:rsidRDefault="00DA6541" w:rsidP="00DA6541">
            <w:pPr>
              <w:rPr>
                <w:rFonts w:ascii="Microsoft Sans Serif" w:hAnsi="Microsoft Sans Serif" w:cs="Microsoft Sans Serif"/>
                <w:color w:val="404040"/>
                <w:sz w:val="14"/>
                <w:szCs w:val="14"/>
              </w:rPr>
            </w:pPr>
            <w:r w:rsidRPr="00FB38E1">
              <w:br w:type="page"/>
            </w:r>
            <w:r w:rsidRPr="00FB38E1">
              <w:rPr>
                <w:rFonts w:ascii="Microsoft Sans Serif" w:hAnsi="Microsoft Sans Serif" w:cs="Microsoft Sans Serif"/>
                <w:color w:val="404040"/>
                <w:sz w:val="14"/>
                <w:szCs w:val="14"/>
              </w:rPr>
              <w:t>Net ertelenmiş vergi varlığı/vergi borcunun Bankaların Özkaynaklarına İlişkin Yönetmeliğin Geçici 2 nci maddesinin birinci fıkrası uyarınca çekirdek sermayeden indirilmeyen kısmı (-)</w:t>
            </w:r>
          </w:p>
        </w:tc>
        <w:tc>
          <w:tcPr>
            <w:tcW w:w="589" w:type="pct"/>
            <w:gridSpan w:val="2"/>
            <w:vAlign w:val="bottom"/>
          </w:tcPr>
          <w:p w14:paraId="52EB173B" w14:textId="6B7DA89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tcMar>
              <w:left w:w="57" w:type="dxa"/>
              <w:right w:w="57" w:type="dxa"/>
            </w:tcMar>
            <w:vAlign w:val="bottom"/>
          </w:tcPr>
          <w:p w14:paraId="7B2FF895" w14:textId="220FB68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077D62B0" w14:textId="77777777" w:rsidTr="00B93E9A">
        <w:tc>
          <w:tcPr>
            <w:tcW w:w="3897" w:type="pct"/>
            <w:gridSpan w:val="2"/>
            <w:tcBorders>
              <w:bottom w:val="single" w:sz="4" w:space="0" w:color="auto"/>
            </w:tcBorders>
            <w:shd w:val="clear" w:color="auto" w:fill="auto"/>
            <w:tcMar>
              <w:left w:w="57" w:type="dxa"/>
              <w:right w:w="57" w:type="dxa"/>
            </w:tcMar>
            <w:vAlign w:val="bottom"/>
          </w:tcPr>
          <w:p w14:paraId="2A7A4B28"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Yeterli katkı sermaye bulunmaması halinde ilave ana sermayeden indirim yapılacak tutar (-)</w:t>
            </w:r>
          </w:p>
        </w:tc>
        <w:tc>
          <w:tcPr>
            <w:tcW w:w="589" w:type="pct"/>
            <w:gridSpan w:val="2"/>
            <w:tcBorders>
              <w:bottom w:val="single" w:sz="4" w:space="0" w:color="auto"/>
            </w:tcBorders>
            <w:vAlign w:val="bottom"/>
          </w:tcPr>
          <w:p w14:paraId="7E1C479B" w14:textId="2A25DB40"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tcBorders>
              <w:bottom w:val="single" w:sz="4" w:space="0" w:color="auto"/>
            </w:tcBorders>
            <w:shd w:val="clear" w:color="auto" w:fill="auto"/>
            <w:tcMar>
              <w:left w:w="57" w:type="dxa"/>
              <w:right w:w="57" w:type="dxa"/>
            </w:tcMar>
            <w:vAlign w:val="bottom"/>
          </w:tcPr>
          <w:p w14:paraId="30A20A42" w14:textId="1E44473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F3A95E0" w14:textId="77777777" w:rsidTr="00B93E9A">
        <w:tc>
          <w:tcPr>
            <w:tcW w:w="3897" w:type="pct"/>
            <w:gridSpan w:val="2"/>
            <w:tcBorders>
              <w:top w:val="single" w:sz="4" w:space="0" w:color="auto"/>
              <w:bottom w:val="single" w:sz="4" w:space="0" w:color="auto"/>
            </w:tcBorders>
            <w:shd w:val="clear" w:color="auto" w:fill="auto"/>
            <w:tcMar>
              <w:left w:w="57" w:type="dxa"/>
              <w:right w:w="57" w:type="dxa"/>
            </w:tcMar>
            <w:vAlign w:val="bottom"/>
          </w:tcPr>
          <w:p w14:paraId="703F9F53"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İlave ana sermayeden indirimler toplamı</w:t>
            </w:r>
          </w:p>
        </w:tc>
        <w:tc>
          <w:tcPr>
            <w:tcW w:w="589" w:type="pct"/>
            <w:gridSpan w:val="2"/>
            <w:tcBorders>
              <w:top w:val="single" w:sz="4" w:space="0" w:color="auto"/>
              <w:bottom w:val="single" w:sz="4" w:space="0" w:color="auto"/>
            </w:tcBorders>
            <w:vAlign w:val="bottom"/>
          </w:tcPr>
          <w:p w14:paraId="36059E71" w14:textId="3406BF51"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14" w:type="pct"/>
            <w:tcBorders>
              <w:top w:val="single" w:sz="4" w:space="0" w:color="auto"/>
              <w:bottom w:val="single" w:sz="4" w:space="0" w:color="auto"/>
            </w:tcBorders>
            <w:shd w:val="clear" w:color="auto" w:fill="auto"/>
            <w:tcMar>
              <w:left w:w="57" w:type="dxa"/>
              <w:right w:w="57" w:type="dxa"/>
            </w:tcMar>
            <w:vAlign w:val="bottom"/>
          </w:tcPr>
          <w:p w14:paraId="53D0257E" w14:textId="1FE2FCDC"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DA6541" w:rsidRPr="00FB38E1" w14:paraId="72911C8F" w14:textId="77777777" w:rsidTr="00B93E9A">
        <w:tc>
          <w:tcPr>
            <w:tcW w:w="3897" w:type="pct"/>
            <w:gridSpan w:val="2"/>
            <w:tcBorders>
              <w:top w:val="single" w:sz="4" w:space="0" w:color="auto"/>
              <w:bottom w:val="single" w:sz="2" w:space="0" w:color="auto"/>
            </w:tcBorders>
            <w:shd w:val="clear" w:color="auto" w:fill="auto"/>
            <w:tcMar>
              <w:left w:w="57" w:type="dxa"/>
              <w:right w:w="57" w:type="dxa"/>
            </w:tcMar>
            <w:vAlign w:val="bottom"/>
          </w:tcPr>
          <w:p w14:paraId="75947D13"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İlave Ana Sermaye Toplamı</w:t>
            </w:r>
          </w:p>
        </w:tc>
        <w:tc>
          <w:tcPr>
            <w:tcW w:w="589" w:type="pct"/>
            <w:gridSpan w:val="2"/>
            <w:tcBorders>
              <w:top w:val="single" w:sz="4" w:space="0" w:color="auto"/>
              <w:bottom w:val="single" w:sz="2" w:space="0" w:color="auto"/>
            </w:tcBorders>
            <w:vAlign w:val="bottom"/>
          </w:tcPr>
          <w:p w14:paraId="53A2C848" w14:textId="7C0B1943"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14" w:type="pct"/>
            <w:tcBorders>
              <w:top w:val="single" w:sz="4" w:space="0" w:color="auto"/>
              <w:bottom w:val="single" w:sz="2" w:space="0" w:color="auto"/>
            </w:tcBorders>
            <w:shd w:val="clear" w:color="auto" w:fill="auto"/>
            <w:tcMar>
              <w:left w:w="57" w:type="dxa"/>
              <w:right w:w="57" w:type="dxa"/>
            </w:tcMar>
            <w:vAlign w:val="bottom"/>
          </w:tcPr>
          <w:p w14:paraId="5C8F45C6" w14:textId="651F414B"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DA6541" w:rsidRPr="00FB38E1" w14:paraId="0A8DC93E" w14:textId="77777777" w:rsidTr="00B93E9A">
        <w:tc>
          <w:tcPr>
            <w:tcW w:w="3897" w:type="pct"/>
            <w:gridSpan w:val="2"/>
            <w:tcBorders>
              <w:top w:val="single" w:sz="2" w:space="0" w:color="auto"/>
              <w:bottom w:val="single" w:sz="12" w:space="0" w:color="auto"/>
            </w:tcBorders>
            <w:shd w:val="clear" w:color="auto" w:fill="auto"/>
            <w:tcMar>
              <w:left w:w="57" w:type="dxa"/>
              <w:right w:w="57" w:type="dxa"/>
            </w:tcMar>
            <w:vAlign w:val="bottom"/>
          </w:tcPr>
          <w:p w14:paraId="44019E59"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Ana Sermaye Toplamı (Ana Sermaye = Çekirdek Sermaye + İlave Ana Sermaye)</w:t>
            </w:r>
          </w:p>
        </w:tc>
        <w:tc>
          <w:tcPr>
            <w:tcW w:w="589" w:type="pct"/>
            <w:gridSpan w:val="2"/>
            <w:tcBorders>
              <w:top w:val="single" w:sz="2" w:space="0" w:color="auto"/>
              <w:bottom w:val="single" w:sz="12" w:space="0" w:color="auto"/>
            </w:tcBorders>
            <w:vAlign w:val="bottom"/>
          </w:tcPr>
          <w:p w14:paraId="08550613" w14:textId="1B2AE01E"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149.707.411</w:t>
            </w:r>
          </w:p>
        </w:tc>
        <w:tc>
          <w:tcPr>
            <w:tcW w:w="514" w:type="pct"/>
            <w:tcBorders>
              <w:top w:val="single" w:sz="2" w:space="0" w:color="auto"/>
              <w:bottom w:val="single" w:sz="12" w:space="0" w:color="auto"/>
            </w:tcBorders>
            <w:shd w:val="clear" w:color="auto" w:fill="auto"/>
            <w:tcMar>
              <w:left w:w="57" w:type="dxa"/>
              <w:right w:w="57" w:type="dxa"/>
            </w:tcMar>
            <w:vAlign w:val="bottom"/>
          </w:tcPr>
          <w:p w14:paraId="0D2494AD" w14:textId="7DD880A0"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88.323.430</w:t>
            </w:r>
          </w:p>
        </w:tc>
      </w:tr>
    </w:tbl>
    <w:p w14:paraId="7341E36C" w14:textId="1D3A52FB" w:rsidR="00E36335" w:rsidRPr="00FB38E1" w:rsidRDefault="00E36335">
      <w:r w:rsidRPr="00FB38E1">
        <w:br w:type="page"/>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54"/>
        <w:gridCol w:w="1135"/>
        <w:gridCol w:w="992"/>
      </w:tblGrid>
      <w:tr w:rsidR="00F26CBF" w:rsidRPr="00FB38E1" w14:paraId="0C9A02F8" w14:textId="77777777" w:rsidTr="00934BF4">
        <w:tc>
          <w:tcPr>
            <w:tcW w:w="3913" w:type="pct"/>
            <w:tcBorders>
              <w:top w:val="single" w:sz="12" w:space="0" w:color="auto"/>
            </w:tcBorders>
            <w:shd w:val="clear" w:color="auto" w:fill="auto"/>
            <w:tcMar>
              <w:left w:w="57" w:type="dxa"/>
              <w:right w:w="57" w:type="dxa"/>
            </w:tcMar>
            <w:vAlign w:val="bottom"/>
          </w:tcPr>
          <w:p w14:paraId="7C6E119B" w14:textId="77777777" w:rsidR="00F26CBF" w:rsidRPr="00FB38E1" w:rsidRDefault="00F26CBF" w:rsidP="00DD4B14">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KATKI SERMAYE</w:t>
            </w:r>
          </w:p>
        </w:tc>
        <w:tc>
          <w:tcPr>
            <w:tcW w:w="580" w:type="pct"/>
            <w:tcBorders>
              <w:top w:val="single" w:sz="12" w:space="0" w:color="auto"/>
            </w:tcBorders>
            <w:vAlign w:val="bottom"/>
          </w:tcPr>
          <w:p w14:paraId="0AE973B2" w14:textId="77777777" w:rsidR="00F26CBF" w:rsidRPr="00FB38E1" w:rsidRDefault="00F26CBF" w:rsidP="00DD4B14">
            <w:pPr>
              <w:jc w:val="right"/>
              <w:rPr>
                <w:rFonts w:ascii="Microsoft Sans Serif" w:hAnsi="Microsoft Sans Serif" w:cs="Microsoft Sans Serif"/>
                <w:color w:val="000000"/>
                <w:sz w:val="14"/>
                <w:szCs w:val="14"/>
              </w:rPr>
            </w:pPr>
          </w:p>
        </w:tc>
        <w:tc>
          <w:tcPr>
            <w:tcW w:w="507" w:type="pct"/>
            <w:tcBorders>
              <w:top w:val="single" w:sz="12" w:space="0" w:color="auto"/>
            </w:tcBorders>
            <w:shd w:val="clear" w:color="auto" w:fill="auto"/>
            <w:tcMar>
              <w:left w:w="57" w:type="dxa"/>
              <w:right w:w="57" w:type="dxa"/>
            </w:tcMar>
            <w:vAlign w:val="bottom"/>
          </w:tcPr>
          <w:p w14:paraId="25A66F75" w14:textId="1249F11F" w:rsidR="00F26CBF" w:rsidRPr="00FB38E1" w:rsidRDefault="00F26CBF" w:rsidP="00DD4B14">
            <w:pPr>
              <w:jc w:val="right"/>
              <w:rPr>
                <w:rFonts w:ascii="Microsoft Sans Serif" w:hAnsi="Microsoft Sans Serif" w:cs="Microsoft Sans Serif"/>
                <w:color w:val="000000"/>
                <w:sz w:val="14"/>
                <w:szCs w:val="14"/>
              </w:rPr>
            </w:pPr>
          </w:p>
        </w:tc>
      </w:tr>
      <w:tr w:rsidR="00DA6541" w:rsidRPr="00FB38E1" w14:paraId="2A522996" w14:textId="77777777" w:rsidTr="00934BF4">
        <w:tc>
          <w:tcPr>
            <w:tcW w:w="3913" w:type="pct"/>
            <w:shd w:val="clear" w:color="auto" w:fill="auto"/>
            <w:tcMar>
              <w:left w:w="57" w:type="dxa"/>
              <w:right w:w="57" w:type="dxa"/>
            </w:tcMar>
            <w:vAlign w:val="bottom"/>
          </w:tcPr>
          <w:p w14:paraId="0B7088BD"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Kurumca uygun görülen borçlanma araçları ve bunlara ilişkin ihraç primleri</w:t>
            </w:r>
          </w:p>
        </w:tc>
        <w:tc>
          <w:tcPr>
            <w:tcW w:w="580" w:type="pct"/>
            <w:vAlign w:val="bottom"/>
          </w:tcPr>
          <w:p w14:paraId="090EBF0A" w14:textId="7E3A197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12.021.609</w:t>
            </w:r>
          </w:p>
        </w:tc>
        <w:tc>
          <w:tcPr>
            <w:tcW w:w="507" w:type="pct"/>
            <w:shd w:val="clear" w:color="auto" w:fill="auto"/>
            <w:tcMar>
              <w:left w:w="57" w:type="dxa"/>
              <w:right w:w="57" w:type="dxa"/>
            </w:tcMar>
            <w:vAlign w:val="bottom"/>
          </w:tcPr>
          <w:p w14:paraId="773A6750" w14:textId="2D5BC0AF"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21.703.301</w:t>
            </w:r>
          </w:p>
        </w:tc>
      </w:tr>
      <w:tr w:rsidR="00DA6541" w:rsidRPr="00FB38E1" w14:paraId="4D0CD24D" w14:textId="77777777" w:rsidTr="00934BF4">
        <w:tc>
          <w:tcPr>
            <w:tcW w:w="3913" w:type="pct"/>
            <w:shd w:val="clear" w:color="auto" w:fill="auto"/>
            <w:tcMar>
              <w:left w:w="57" w:type="dxa"/>
              <w:right w:w="57" w:type="dxa"/>
            </w:tcMar>
            <w:vAlign w:val="bottom"/>
          </w:tcPr>
          <w:p w14:paraId="2D122720" w14:textId="77777777" w:rsidR="00DA6541" w:rsidRPr="00FB38E1" w:rsidRDefault="00DA6541" w:rsidP="00DA6541">
            <w:pPr>
              <w:ind w:left="227"/>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Kurumca uygun görülen borçlanma araçları ve bunlara ilişkin ihraç primleri (Geçici Madde 4 kapsamında olanlar)</w:t>
            </w:r>
          </w:p>
        </w:tc>
        <w:tc>
          <w:tcPr>
            <w:tcW w:w="580" w:type="pct"/>
            <w:vAlign w:val="bottom"/>
          </w:tcPr>
          <w:p w14:paraId="09D8B391" w14:textId="16399F02"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2C73C2FA" w14:textId="5D778BDC"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03A78DF" w14:textId="77777777" w:rsidTr="00934BF4">
        <w:tc>
          <w:tcPr>
            <w:tcW w:w="3913" w:type="pct"/>
            <w:tcBorders>
              <w:bottom w:val="single" w:sz="4" w:space="0" w:color="auto"/>
            </w:tcBorders>
            <w:shd w:val="clear" w:color="auto" w:fill="auto"/>
            <w:tcMar>
              <w:left w:w="57" w:type="dxa"/>
              <w:right w:w="57" w:type="dxa"/>
            </w:tcMar>
            <w:vAlign w:val="bottom"/>
          </w:tcPr>
          <w:p w14:paraId="7FECB5E6"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Karşılıklar (Bankaların Özkaynaklarına İlişkin Yönetmeliğin 8 inci maddesinin birinci fıkrasında belirlenen tutarlar)</w:t>
            </w:r>
          </w:p>
        </w:tc>
        <w:tc>
          <w:tcPr>
            <w:tcW w:w="580" w:type="pct"/>
            <w:tcBorders>
              <w:bottom w:val="single" w:sz="4" w:space="0" w:color="auto"/>
            </w:tcBorders>
            <w:vAlign w:val="bottom"/>
          </w:tcPr>
          <w:p w14:paraId="55821E5E" w14:textId="7A57A01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9.756.728</w:t>
            </w:r>
          </w:p>
        </w:tc>
        <w:tc>
          <w:tcPr>
            <w:tcW w:w="507" w:type="pct"/>
            <w:tcBorders>
              <w:bottom w:val="single" w:sz="4" w:space="0" w:color="auto"/>
            </w:tcBorders>
            <w:shd w:val="clear" w:color="auto" w:fill="auto"/>
            <w:tcMar>
              <w:left w:w="57" w:type="dxa"/>
              <w:right w:w="57" w:type="dxa"/>
            </w:tcMar>
            <w:vAlign w:val="bottom"/>
          </w:tcPr>
          <w:p w14:paraId="370B4845" w14:textId="262CC28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7.570.375</w:t>
            </w:r>
          </w:p>
        </w:tc>
      </w:tr>
      <w:tr w:rsidR="00DA6541" w:rsidRPr="00FB38E1" w14:paraId="7928A9C6" w14:textId="77777777" w:rsidTr="00934BF4">
        <w:tc>
          <w:tcPr>
            <w:tcW w:w="3913" w:type="pct"/>
            <w:tcBorders>
              <w:top w:val="single" w:sz="4" w:space="0" w:color="auto"/>
            </w:tcBorders>
            <w:shd w:val="clear" w:color="auto" w:fill="auto"/>
            <w:tcMar>
              <w:left w:w="57" w:type="dxa"/>
              <w:right w:w="57" w:type="dxa"/>
            </w:tcMar>
            <w:vAlign w:val="bottom"/>
          </w:tcPr>
          <w:p w14:paraId="7E3BC0F9"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İndirimler Öncesi Katkı Sermaye</w:t>
            </w:r>
          </w:p>
        </w:tc>
        <w:tc>
          <w:tcPr>
            <w:tcW w:w="580" w:type="pct"/>
            <w:tcBorders>
              <w:top w:val="single" w:sz="4" w:space="0" w:color="auto"/>
            </w:tcBorders>
            <w:vAlign w:val="bottom"/>
          </w:tcPr>
          <w:p w14:paraId="09F8AEBF" w14:textId="148C47F3"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21.778.337</w:t>
            </w:r>
          </w:p>
        </w:tc>
        <w:tc>
          <w:tcPr>
            <w:tcW w:w="507" w:type="pct"/>
            <w:tcBorders>
              <w:top w:val="single" w:sz="4" w:space="0" w:color="auto"/>
            </w:tcBorders>
            <w:shd w:val="clear" w:color="auto" w:fill="auto"/>
            <w:tcMar>
              <w:left w:w="57" w:type="dxa"/>
              <w:right w:w="57" w:type="dxa"/>
            </w:tcMar>
            <w:vAlign w:val="bottom"/>
          </w:tcPr>
          <w:p w14:paraId="556718FA" w14:textId="0D44CF36"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29.273.676</w:t>
            </w:r>
          </w:p>
        </w:tc>
      </w:tr>
      <w:tr w:rsidR="00DA6541" w:rsidRPr="00FB38E1" w14:paraId="609C52AF" w14:textId="77777777" w:rsidTr="00934BF4">
        <w:tc>
          <w:tcPr>
            <w:tcW w:w="3913" w:type="pct"/>
            <w:shd w:val="clear" w:color="auto" w:fill="auto"/>
            <w:tcMar>
              <w:left w:w="57" w:type="dxa"/>
              <w:right w:w="57" w:type="dxa"/>
            </w:tcMar>
            <w:vAlign w:val="bottom"/>
          </w:tcPr>
          <w:p w14:paraId="280602BF"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Katkı Sermayeden Yapılacak İndirimler</w:t>
            </w:r>
          </w:p>
        </w:tc>
        <w:tc>
          <w:tcPr>
            <w:tcW w:w="580" w:type="pct"/>
            <w:vAlign w:val="bottom"/>
          </w:tcPr>
          <w:p w14:paraId="5CED771B" w14:textId="77777777" w:rsidR="00DA6541" w:rsidRPr="00FB38E1" w:rsidRDefault="00DA6541" w:rsidP="00DA6541">
            <w:pPr>
              <w:jc w:val="right"/>
              <w:rPr>
                <w:rFonts w:ascii="Microsoft Sans Serif" w:hAnsi="Microsoft Sans Serif" w:cs="Microsoft Sans Serif"/>
                <w:color w:val="000000"/>
                <w:sz w:val="14"/>
                <w:szCs w:val="14"/>
              </w:rPr>
            </w:pPr>
          </w:p>
        </w:tc>
        <w:tc>
          <w:tcPr>
            <w:tcW w:w="507" w:type="pct"/>
            <w:shd w:val="clear" w:color="auto" w:fill="auto"/>
            <w:tcMar>
              <w:left w:w="57" w:type="dxa"/>
              <w:right w:w="57" w:type="dxa"/>
            </w:tcMar>
            <w:vAlign w:val="bottom"/>
          </w:tcPr>
          <w:p w14:paraId="09A42FEF" w14:textId="0561139F" w:rsidR="00DA6541" w:rsidRPr="00FB38E1" w:rsidRDefault="00DA6541" w:rsidP="00DA6541">
            <w:pPr>
              <w:jc w:val="right"/>
              <w:rPr>
                <w:rFonts w:ascii="Microsoft Sans Serif" w:hAnsi="Microsoft Sans Serif" w:cs="Microsoft Sans Serif"/>
                <w:color w:val="000000"/>
                <w:sz w:val="14"/>
                <w:szCs w:val="14"/>
              </w:rPr>
            </w:pPr>
          </w:p>
        </w:tc>
      </w:tr>
      <w:tr w:rsidR="00DA6541" w:rsidRPr="00FB38E1" w14:paraId="1C48BC5B" w14:textId="77777777" w:rsidTr="00934BF4">
        <w:tc>
          <w:tcPr>
            <w:tcW w:w="3913" w:type="pct"/>
            <w:shd w:val="clear" w:color="auto" w:fill="auto"/>
            <w:tcMar>
              <w:left w:w="57" w:type="dxa"/>
              <w:right w:w="57" w:type="dxa"/>
            </w:tcMar>
            <w:vAlign w:val="bottom"/>
          </w:tcPr>
          <w:p w14:paraId="681CE3B5"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Bankanın kendi katkı sermayesine yapmış olduğu doğrudan veya dolaylı yatırmlar (-)</w:t>
            </w:r>
          </w:p>
        </w:tc>
        <w:tc>
          <w:tcPr>
            <w:tcW w:w="580" w:type="pct"/>
            <w:vAlign w:val="bottom"/>
          </w:tcPr>
          <w:p w14:paraId="069F236C" w14:textId="74F48238"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3.270.484</w:t>
            </w:r>
          </w:p>
        </w:tc>
        <w:tc>
          <w:tcPr>
            <w:tcW w:w="507" w:type="pct"/>
            <w:shd w:val="clear" w:color="auto" w:fill="auto"/>
            <w:tcMar>
              <w:left w:w="57" w:type="dxa"/>
              <w:right w:w="57" w:type="dxa"/>
            </w:tcMar>
            <w:vAlign w:val="bottom"/>
          </w:tcPr>
          <w:p w14:paraId="37587251" w14:textId="2FF01806"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2.728.921</w:t>
            </w:r>
          </w:p>
        </w:tc>
      </w:tr>
      <w:tr w:rsidR="00DA6541" w:rsidRPr="00FB38E1" w14:paraId="05BB807B" w14:textId="77777777" w:rsidTr="00934BF4">
        <w:tc>
          <w:tcPr>
            <w:tcW w:w="3913" w:type="pct"/>
            <w:shd w:val="clear" w:color="auto" w:fill="auto"/>
            <w:tcMar>
              <w:left w:w="57" w:type="dxa"/>
              <w:right w:w="57" w:type="dxa"/>
            </w:tcMar>
            <w:vAlign w:val="bottom"/>
          </w:tcPr>
          <w:p w14:paraId="2D6EB472"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580" w:type="pct"/>
            <w:vAlign w:val="bottom"/>
          </w:tcPr>
          <w:p w14:paraId="0CCD57D7" w14:textId="7185B721"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B0D3489" w14:textId="42E7761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A35D32B" w14:textId="77777777" w:rsidTr="00934BF4">
        <w:tc>
          <w:tcPr>
            <w:tcW w:w="3913" w:type="pct"/>
            <w:shd w:val="clear" w:color="auto" w:fill="auto"/>
            <w:tcMar>
              <w:left w:w="57" w:type="dxa"/>
              <w:right w:w="57" w:type="dxa"/>
            </w:tcMar>
            <w:vAlign w:val="bottom"/>
          </w:tcPr>
          <w:p w14:paraId="053C9C8B"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 toplamının, bankanın çekirdek sermeyesinin %10'unu aşan kısmı (-)</w:t>
            </w:r>
          </w:p>
        </w:tc>
        <w:tc>
          <w:tcPr>
            <w:tcW w:w="580" w:type="pct"/>
            <w:vAlign w:val="bottom"/>
          </w:tcPr>
          <w:p w14:paraId="38292D01" w14:textId="7A190B1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14E3A45" w14:textId="666865B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5B7A0B75" w14:textId="77777777" w:rsidTr="00934BF4">
        <w:tc>
          <w:tcPr>
            <w:tcW w:w="3913" w:type="pct"/>
            <w:shd w:val="clear" w:color="auto" w:fill="auto"/>
            <w:tcMar>
              <w:left w:w="57" w:type="dxa"/>
              <w:right w:w="57" w:type="dxa"/>
            </w:tcMar>
            <w:vAlign w:val="bottom"/>
          </w:tcPr>
          <w:p w14:paraId="6DF2D0D1"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 veya daha fazlasına sahip olunan ve konsolide edilmeyen bankalar ve finansal kuruluşların katkı sermaye unsurlarına yapılan yatırımların net uzun pozisyonları toplamı</w:t>
            </w:r>
          </w:p>
        </w:tc>
        <w:tc>
          <w:tcPr>
            <w:tcW w:w="580" w:type="pct"/>
            <w:vAlign w:val="bottom"/>
          </w:tcPr>
          <w:p w14:paraId="6CFC4156" w14:textId="7C2A6A05"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1741C49C" w14:textId="72A292E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19BB2D6E" w14:textId="77777777" w:rsidTr="00934BF4">
        <w:tc>
          <w:tcPr>
            <w:tcW w:w="3913" w:type="pct"/>
            <w:tcBorders>
              <w:bottom w:val="single" w:sz="2" w:space="0" w:color="auto"/>
            </w:tcBorders>
            <w:shd w:val="clear" w:color="auto" w:fill="auto"/>
            <w:tcMar>
              <w:left w:w="57" w:type="dxa"/>
              <w:right w:w="57" w:type="dxa"/>
            </w:tcMar>
            <w:vAlign w:val="bottom"/>
          </w:tcPr>
          <w:p w14:paraId="741667C9"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Kurulca belirlenecek diğer kalemler (-)</w:t>
            </w:r>
          </w:p>
        </w:tc>
        <w:tc>
          <w:tcPr>
            <w:tcW w:w="580" w:type="pct"/>
            <w:tcBorders>
              <w:bottom w:val="single" w:sz="2" w:space="0" w:color="auto"/>
            </w:tcBorders>
            <w:vAlign w:val="bottom"/>
          </w:tcPr>
          <w:p w14:paraId="18CD60F5" w14:textId="5BA8BC52"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Borders>
              <w:bottom w:val="single" w:sz="2" w:space="0" w:color="auto"/>
            </w:tcBorders>
            <w:shd w:val="clear" w:color="auto" w:fill="auto"/>
            <w:tcMar>
              <w:left w:w="57" w:type="dxa"/>
              <w:right w:w="57" w:type="dxa"/>
            </w:tcMar>
            <w:vAlign w:val="bottom"/>
          </w:tcPr>
          <w:p w14:paraId="1A987385" w14:textId="09F1865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7B79C9F7" w14:textId="77777777" w:rsidTr="00934BF4">
        <w:tc>
          <w:tcPr>
            <w:tcW w:w="3913" w:type="pct"/>
            <w:tcBorders>
              <w:top w:val="single" w:sz="2" w:space="0" w:color="auto"/>
              <w:bottom w:val="single" w:sz="2" w:space="0" w:color="auto"/>
            </w:tcBorders>
            <w:shd w:val="clear" w:color="auto" w:fill="auto"/>
            <w:tcMar>
              <w:left w:w="57" w:type="dxa"/>
              <w:right w:w="57" w:type="dxa"/>
            </w:tcMar>
            <w:vAlign w:val="bottom"/>
          </w:tcPr>
          <w:p w14:paraId="3CCA9720"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Katkı Sermayeden Yapılan İndirimler Toplamı</w:t>
            </w:r>
          </w:p>
        </w:tc>
        <w:tc>
          <w:tcPr>
            <w:tcW w:w="580" w:type="pct"/>
            <w:tcBorders>
              <w:top w:val="single" w:sz="2" w:space="0" w:color="auto"/>
              <w:bottom w:val="single" w:sz="2" w:space="0" w:color="auto"/>
            </w:tcBorders>
            <w:vAlign w:val="bottom"/>
          </w:tcPr>
          <w:p w14:paraId="0B034174" w14:textId="7DF3EE52"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3.270.484</w:t>
            </w:r>
          </w:p>
        </w:tc>
        <w:tc>
          <w:tcPr>
            <w:tcW w:w="507" w:type="pct"/>
            <w:tcBorders>
              <w:top w:val="single" w:sz="2" w:space="0" w:color="auto"/>
              <w:bottom w:val="single" w:sz="2" w:space="0" w:color="auto"/>
            </w:tcBorders>
            <w:shd w:val="clear" w:color="auto" w:fill="auto"/>
            <w:tcMar>
              <w:left w:w="57" w:type="dxa"/>
              <w:right w:w="57" w:type="dxa"/>
            </w:tcMar>
            <w:vAlign w:val="bottom"/>
          </w:tcPr>
          <w:p w14:paraId="43146903" w14:textId="6BDA5719"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2.728.921</w:t>
            </w:r>
          </w:p>
        </w:tc>
      </w:tr>
      <w:tr w:rsidR="00DA6541" w:rsidRPr="00FB38E1" w14:paraId="456D75AA" w14:textId="77777777" w:rsidTr="00934BF4">
        <w:tc>
          <w:tcPr>
            <w:tcW w:w="3913" w:type="pct"/>
            <w:tcBorders>
              <w:top w:val="single" w:sz="2" w:space="0" w:color="auto"/>
              <w:bottom w:val="single" w:sz="12" w:space="0" w:color="auto"/>
            </w:tcBorders>
            <w:shd w:val="clear" w:color="auto" w:fill="auto"/>
            <w:tcMar>
              <w:left w:w="57" w:type="dxa"/>
              <w:right w:w="57" w:type="dxa"/>
            </w:tcMar>
            <w:vAlign w:val="bottom"/>
          </w:tcPr>
          <w:p w14:paraId="0A46056A"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Katkı Sermaye Toplamı</w:t>
            </w:r>
          </w:p>
        </w:tc>
        <w:tc>
          <w:tcPr>
            <w:tcW w:w="580" w:type="pct"/>
            <w:tcBorders>
              <w:top w:val="single" w:sz="2" w:space="0" w:color="auto"/>
              <w:bottom w:val="single" w:sz="12" w:space="0" w:color="auto"/>
            </w:tcBorders>
            <w:vAlign w:val="bottom"/>
          </w:tcPr>
          <w:p w14:paraId="7916F96B" w14:textId="42EFB3F3"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18.507.853</w:t>
            </w:r>
          </w:p>
        </w:tc>
        <w:tc>
          <w:tcPr>
            <w:tcW w:w="507" w:type="pct"/>
            <w:tcBorders>
              <w:top w:val="single" w:sz="2" w:space="0" w:color="auto"/>
              <w:bottom w:val="single" w:sz="12" w:space="0" w:color="auto"/>
            </w:tcBorders>
            <w:shd w:val="clear" w:color="auto" w:fill="auto"/>
            <w:tcMar>
              <w:left w:w="57" w:type="dxa"/>
              <w:right w:w="57" w:type="dxa"/>
            </w:tcMar>
            <w:vAlign w:val="bottom"/>
          </w:tcPr>
          <w:p w14:paraId="3B4A7093" w14:textId="34C3649E"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26.544.755</w:t>
            </w:r>
          </w:p>
        </w:tc>
      </w:tr>
      <w:tr w:rsidR="00DA6541" w:rsidRPr="00FB38E1" w14:paraId="799B7FE3" w14:textId="77777777" w:rsidTr="00934BF4">
        <w:tc>
          <w:tcPr>
            <w:tcW w:w="3913" w:type="pct"/>
            <w:tcBorders>
              <w:top w:val="single" w:sz="12" w:space="0" w:color="auto"/>
            </w:tcBorders>
            <w:shd w:val="clear" w:color="auto" w:fill="auto"/>
            <w:tcMar>
              <w:left w:w="57" w:type="dxa"/>
              <w:right w:w="57" w:type="dxa"/>
            </w:tcMar>
            <w:vAlign w:val="bottom"/>
          </w:tcPr>
          <w:p w14:paraId="1347D067"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Toplam Özkaynak (Ana Sermaye ve Katkı Sermaye Toplamı)</w:t>
            </w:r>
          </w:p>
        </w:tc>
        <w:tc>
          <w:tcPr>
            <w:tcW w:w="580" w:type="pct"/>
            <w:tcBorders>
              <w:top w:val="single" w:sz="12" w:space="0" w:color="auto"/>
            </w:tcBorders>
            <w:vAlign w:val="bottom"/>
          </w:tcPr>
          <w:p w14:paraId="13C21160" w14:textId="5E5B3037"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168.215.264</w:t>
            </w:r>
          </w:p>
        </w:tc>
        <w:tc>
          <w:tcPr>
            <w:tcW w:w="507" w:type="pct"/>
            <w:tcBorders>
              <w:top w:val="single" w:sz="12" w:space="0" w:color="auto"/>
            </w:tcBorders>
            <w:shd w:val="clear" w:color="auto" w:fill="auto"/>
            <w:tcMar>
              <w:left w:w="57" w:type="dxa"/>
              <w:right w:w="57" w:type="dxa"/>
            </w:tcMar>
            <w:vAlign w:val="bottom"/>
          </w:tcPr>
          <w:p w14:paraId="4512CA7F" w14:textId="2B833D47"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114.868.185</w:t>
            </w:r>
          </w:p>
        </w:tc>
      </w:tr>
      <w:tr w:rsidR="00DA6541" w:rsidRPr="00FB38E1" w14:paraId="2CA24075" w14:textId="77777777" w:rsidTr="00934BF4">
        <w:tc>
          <w:tcPr>
            <w:tcW w:w="3913" w:type="pct"/>
            <w:shd w:val="clear" w:color="auto" w:fill="auto"/>
            <w:tcMar>
              <w:left w:w="57" w:type="dxa"/>
              <w:right w:w="57" w:type="dxa"/>
            </w:tcMar>
            <w:vAlign w:val="bottom"/>
          </w:tcPr>
          <w:p w14:paraId="5D862988"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Toplam Risk Ağırlıklı Tutarlar</w:t>
            </w:r>
          </w:p>
        </w:tc>
        <w:tc>
          <w:tcPr>
            <w:tcW w:w="580" w:type="pct"/>
            <w:vAlign w:val="bottom"/>
          </w:tcPr>
          <w:p w14:paraId="717DD83D" w14:textId="77777777" w:rsidR="00DA6541" w:rsidRPr="00FB38E1" w:rsidRDefault="00DA6541" w:rsidP="00DA6541">
            <w:pPr>
              <w:jc w:val="right"/>
              <w:rPr>
                <w:rFonts w:ascii="Microsoft Sans Serif" w:hAnsi="Microsoft Sans Serif" w:cs="Microsoft Sans Serif"/>
                <w:color w:val="000000"/>
                <w:sz w:val="14"/>
                <w:szCs w:val="14"/>
              </w:rPr>
            </w:pPr>
          </w:p>
        </w:tc>
        <w:tc>
          <w:tcPr>
            <w:tcW w:w="507" w:type="pct"/>
            <w:shd w:val="clear" w:color="auto" w:fill="auto"/>
            <w:tcMar>
              <w:left w:w="57" w:type="dxa"/>
              <w:right w:w="57" w:type="dxa"/>
            </w:tcMar>
            <w:vAlign w:val="bottom"/>
          </w:tcPr>
          <w:p w14:paraId="7EF41DB2" w14:textId="220305D9" w:rsidR="00DA6541" w:rsidRPr="00FB38E1" w:rsidRDefault="00DA6541" w:rsidP="00DA6541">
            <w:pPr>
              <w:jc w:val="right"/>
              <w:rPr>
                <w:rFonts w:ascii="Microsoft Sans Serif" w:hAnsi="Microsoft Sans Serif" w:cs="Microsoft Sans Serif"/>
                <w:color w:val="000000"/>
                <w:sz w:val="14"/>
                <w:szCs w:val="14"/>
              </w:rPr>
            </w:pPr>
          </w:p>
        </w:tc>
      </w:tr>
      <w:tr w:rsidR="00DA6541" w:rsidRPr="00FB38E1" w14:paraId="6E062C63" w14:textId="77777777" w:rsidTr="00934BF4">
        <w:tc>
          <w:tcPr>
            <w:tcW w:w="3913" w:type="pct"/>
            <w:shd w:val="clear" w:color="auto" w:fill="auto"/>
            <w:tcMar>
              <w:left w:w="57" w:type="dxa"/>
              <w:right w:w="57" w:type="dxa"/>
            </w:tcMar>
            <w:vAlign w:val="bottom"/>
          </w:tcPr>
          <w:p w14:paraId="678F9A66"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Kanunun 50 ve 51 inci maddeleri hükümlerine aykırı olarak kullandırılan krediler</w:t>
            </w:r>
          </w:p>
        </w:tc>
        <w:tc>
          <w:tcPr>
            <w:tcW w:w="580" w:type="pct"/>
            <w:vAlign w:val="bottom"/>
          </w:tcPr>
          <w:p w14:paraId="64DA7F0D" w14:textId="4E4D9DA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0B23295A" w14:textId="7C3BF577"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D834E16" w14:textId="77777777" w:rsidTr="00934BF4">
        <w:tc>
          <w:tcPr>
            <w:tcW w:w="3913" w:type="pct"/>
            <w:shd w:val="clear" w:color="auto" w:fill="auto"/>
            <w:tcMar>
              <w:left w:w="57" w:type="dxa"/>
              <w:right w:w="57" w:type="dxa"/>
            </w:tcMar>
            <w:vAlign w:val="bottom"/>
          </w:tcPr>
          <w:p w14:paraId="7DE1D277" w14:textId="19E03FC3"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580" w:type="pct"/>
            <w:vAlign w:val="bottom"/>
          </w:tcPr>
          <w:p w14:paraId="6798D9BE" w14:textId="6A50828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5B540CD9" w14:textId="22C95350"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5414DF78" w14:textId="77777777" w:rsidTr="00934BF4">
        <w:tc>
          <w:tcPr>
            <w:tcW w:w="3913" w:type="pct"/>
            <w:shd w:val="clear" w:color="auto" w:fill="auto"/>
            <w:tcMar>
              <w:left w:w="57" w:type="dxa"/>
              <w:right w:w="57" w:type="dxa"/>
            </w:tcMar>
            <w:vAlign w:val="bottom"/>
          </w:tcPr>
          <w:p w14:paraId="21577936"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Kurulca belirlenecek diğer hesaplar</w:t>
            </w:r>
          </w:p>
        </w:tc>
        <w:tc>
          <w:tcPr>
            <w:tcW w:w="580" w:type="pct"/>
            <w:vAlign w:val="bottom"/>
          </w:tcPr>
          <w:p w14:paraId="34379C91" w14:textId="3799EFB5"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6.806</w:t>
            </w:r>
          </w:p>
        </w:tc>
        <w:tc>
          <w:tcPr>
            <w:tcW w:w="507" w:type="pct"/>
            <w:shd w:val="clear" w:color="auto" w:fill="auto"/>
            <w:tcMar>
              <w:left w:w="57" w:type="dxa"/>
              <w:right w:w="57" w:type="dxa"/>
            </w:tcMar>
            <w:vAlign w:val="bottom"/>
          </w:tcPr>
          <w:p w14:paraId="33D1D094" w14:textId="7E6725B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28.767</w:t>
            </w:r>
          </w:p>
        </w:tc>
      </w:tr>
      <w:tr w:rsidR="00DA6541" w:rsidRPr="00FB38E1" w14:paraId="1383117E" w14:textId="77777777" w:rsidTr="00934BF4">
        <w:tc>
          <w:tcPr>
            <w:tcW w:w="3913" w:type="pct"/>
            <w:shd w:val="clear" w:color="auto" w:fill="auto"/>
            <w:tcMar>
              <w:left w:w="57" w:type="dxa"/>
              <w:right w:w="57" w:type="dxa"/>
            </w:tcMar>
            <w:vAlign w:val="bottom"/>
          </w:tcPr>
          <w:p w14:paraId="3FCDEAA4"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Geçiş Süresince Ana Sermaye ve Katlı Sermaye Toplamından (Sermayeden) İndirilmeye Devam edecek Unsurlar</w:t>
            </w:r>
          </w:p>
        </w:tc>
        <w:tc>
          <w:tcPr>
            <w:tcW w:w="580" w:type="pct"/>
            <w:vAlign w:val="bottom"/>
          </w:tcPr>
          <w:p w14:paraId="09082A71" w14:textId="77777777" w:rsidR="00DA6541" w:rsidRPr="00FB38E1" w:rsidRDefault="00DA6541" w:rsidP="00DA6541">
            <w:pPr>
              <w:jc w:val="right"/>
              <w:rPr>
                <w:rFonts w:ascii="Microsoft Sans Serif" w:hAnsi="Microsoft Sans Serif" w:cs="Microsoft Sans Serif"/>
                <w:color w:val="000000"/>
                <w:sz w:val="14"/>
                <w:szCs w:val="14"/>
              </w:rPr>
            </w:pPr>
          </w:p>
        </w:tc>
        <w:tc>
          <w:tcPr>
            <w:tcW w:w="507" w:type="pct"/>
            <w:shd w:val="clear" w:color="auto" w:fill="auto"/>
            <w:tcMar>
              <w:left w:w="57" w:type="dxa"/>
              <w:right w:w="57" w:type="dxa"/>
            </w:tcMar>
            <w:vAlign w:val="bottom"/>
          </w:tcPr>
          <w:p w14:paraId="59AF7808" w14:textId="42E3B634" w:rsidR="00DA6541" w:rsidRPr="00FB38E1" w:rsidRDefault="00DA6541" w:rsidP="00DA6541">
            <w:pPr>
              <w:jc w:val="right"/>
              <w:rPr>
                <w:rFonts w:ascii="Microsoft Sans Serif" w:hAnsi="Microsoft Sans Serif" w:cs="Microsoft Sans Serif"/>
                <w:color w:val="000000"/>
                <w:sz w:val="14"/>
                <w:szCs w:val="14"/>
              </w:rPr>
            </w:pPr>
          </w:p>
        </w:tc>
      </w:tr>
      <w:tr w:rsidR="00DA6541" w:rsidRPr="00FB38E1" w14:paraId="7DC0103D" w14:textId="77777777" w:rsidTr="00934BF4">
        <w:tc>
          <w:tcPr>
            <w:tcW w:w="3913" w:type="pct"/>
            <w:shd w:val="clear" w:color="auto" w:fill="auto"/>
            <w:tcMar>
              <w:left w:w="57" w:type="dxa"/>
              <w:right w:w="57" w:type="dxa"/>
            </w:tcMar>
            <w:vAlign w:val="bottom"/>
          </w:tcPr>
          <w:p w14:paraId="2642BD75"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 veya daha azına sahip olunan ve konsolide edilemeyen bankalar ve finansal kuruluşların özkaynak unsurlarına yapılan yatırımların net uzun pozisyonları toplamının, bankanın çekirdek sermayesinin %10'unu aşan kısmının, Bankaların Özkaynaklarına İlişkin Yönetmeliğin Geçici 2 nci maddesinin birinci fıkrası uyarınca çekirdek sermeyeden, ilave ana sermayeden ve katkı sermayeden indirilmeyen kısmı</w:t>
            </w:r>
          </w:p>
        </w:tc>
        <w:tc>
          <w:tcPr>
            <w:tcW w:w="580" w:type="pct"/>
            <w:vAlign w:val="bottom"/>
          </w:tcPr>
          <w:p w14:paraId="4F16E3D1" w14:textId="06BDAB95"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696AEB32" w14:textId="01AB525A"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3FF0AF7A" w14:textId="77777777" w:rsidTr="00934BF4">
        <w:tc>
          <w:tcPr>
            <w:tcW w:w="3913" w:type="pct"/>
            <w:shd w:val="clear" w:color="auto" w:fill="auto"/>
            <w:tcMar>
              <w:left w:w="57" w:type="dxa"/>
              <w:right w:w="57" w:type="dxa"/>
            </w:tcMar>
            <w:vAlign w:val="bottom"/>
          </w:tcPr>
          <w:p w14:paraId="4C3BF6C2"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580" w:type="pct"/>
            <w:vAlign w:val="bottom"/>
          </w:tcPr>
          <w:p w14:paraId="6768A55E" w14:textId="1287892C"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bottom"/>
          </w:tcPr>
          <w:p w14:paraId="33766165" w14:textId="4DDE718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7191BEF3" w14:textId="77777777" w:rsidTr="00934BF4">
        <w:tc>
          <w:tcPr>
            <w:tcW w:w="3913" w:type="pct"/>
            <w:tcBorders>
              <w:bottom w:val="single" w:sz="2" w:space="0" w:color="auto"/>
            </w:tcBorders>
            <w:shd w:val="clear" w:color="auto" w:fill="auto"/>
            <w:tcMar>
              <w:left w:w="57" w:type="dxa"/>
              <w:right w:w="57" w:type="dxa"/>
            </w:tcMar>
            <w:vAlign w:val="bottom"/>
          </w:tcPr>
          <w:p w14:paraId="0F88BD2E"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%10'dan daha fazlasına sahip olunan ve konsolide edilmeyen bankalr ve finansal kuruluşların çekirdek sermaye unsurlarına yapılan yatırmların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580" w:type="pct"/>
            <w:tcBorders>
              <w:bottom w:val="single" w:sz="2" w:space="0" w:color="auto"/>
            </w:tcBorders>
            <w:vAlign w:val="bottom"/>
          </w:tcPr>
          <w:p w14:paraId="063E643C" w14:textId="21F4CEF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Borders>
              <w:bottom w:val="single" w:sz="2" w:space="0" w:color="auto"/>
            </w:tcBorders>
            <w:shd w:val="clear" w:color="auto" w:fill="auto"/>
            <w:tcMar>
              <w:left w:w="57" w:type="dxa"/>
              <w:right w:w="57" w:type="dxa"/>
            </w:tcMar>
            <w:vAlign w:val="bottom"/>
          </w:tcPr>
          <w:p w14:paraId="0BCE49BB" w14:textId="7884047C"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78C68A6C" w14:textId="77777777" w:rsidTr="00934BF4">
        <w:tc>
          <w:tcPr>
            <w:tcW w:w="3913" w:type="pct"/>
            <w:tcBorders>
              <w:top w:val="single" w:sz="2" w:space="0" w:color="auto"/>
              <w:bottom w:val="single" w:sz="12" w:space="0" w:color="auto"/>
            </w:tcBorders>
            <w:shd w:val="clear" w:color="auto" w:fill="auto"/>
            <w:tcMar>
              <w:left w:w="57" w:type="dxa"/>
              <w:right w:w="57" w:type="dxa"/>
            </w:tcMar>
            <w:vAlign w:val="bottom"/>
          </w:tcPr>
          <w:p w14:paraId="7F5759C6"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ÖZKAYNAK</w:t>
            </w:r>
          </w:p>
        </w:tc>
        <w:tc>
          <w:tcPr>
            <w:tcW w:w="580" w:type="pct"/>
            <w:tcBorders>
              <w:top w:val="single" w:sz="2" w:space="0" w:color="auto"/>
              <w:bottom w:val="single" w:sz="12" w:space="0" w:color="auto"/>
            </w:tcBorders>
            <w:vAlign w:val="bottom"/>
          </w:tcPr>
          <w:p w14:paraId="3D205F53" w14:textId="1B234015"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507" w:type="pct"/>
            <w:tcBorders>
              <w:top w:val="single" w:sz="2" w:space="0" w:color="auto"/>
              <w:bottom w:val="single" w:sz="12" w:space="0" w:color="auto"/>
            </w:tcBorders>
            <w:shd w:val="clear" w:color="auto" w:fill="auto"/>
            <w:tcMar>
              <w:left w:w="57" w:type="dxa"/>
              <w:right w:w="57" w:type="dxa"/>
            </w:tcMar>
            <w:vAlign w:val="bottom"/>
          </w:tcPr>
          <w:p w14:paraId="551BF78A" w14:textId="393FE2E0" w:rsidR="00DA6541" w:rsidRPr="00FB38E1" w:rsidRDefault="00DA6541" w:rsidP="00DA654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r>
      <w:tr w:rsidR="00DA6541" w:rsidRPr="00FB38E1" w14:paraId="68853AC8" w14:textId="77777777" w:rsidTr="00934BF4">
        <w:tc>
          <w:tcPr>
            <w:tcW w:w="3913" w:type="pct"/>
            <w:tcBorders>
              <w:top w:val="single" w:sz="12" w:space="0" w:color="auto"/>
            </w:tcBorders>
            <w:shd w:val="clear" w:color="auto" w:fill="auto"/>
            <w:tcMar>
              <w:left w:w="57" w:type="dxa"/>
              <w:right w:w="57" w:type="dxa"/>
            </w:tcMar>
            <w:vAlign w:val="bottom"/>
          </w:tcPr>
          <w:p w14:paraId="73B95CD3" w14:textId="461FD5DF"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Toplam Özkaynak (Ana Sermaye ve Katkı Sermaye Toplamı)</w:t>
            </w:r>
          </w:p>
        </w:tc>
        <w:tc>
          <w:tcPr>
            <w:tcW w:w="580" w:type="pct"/>
            <w:tcBorders>
              <w:top w:val="single" w:sz="12" w:space="0" w:color="auto"/>
            </w:tcBorders>
            <w:vAlign w:val="bottom"/>
          </w:tcPr>
          <w:p w14:paraId="7BBFE72E" w14:textId="60C79D87"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168.208.458</w:t>
            </w:r>
          </w:p>
        </w:tc>
        <w:tc>
          <w:tcPr>
            <w:tcW w:w="507" w:type="pct"/>
            <w:tcBorders>
              <w:top w:val="single" w:sz="12" w:space="0" w:color="auto"/>
            </w:tcBorders>
            <w:shd w:val="clear" w:color="auto" w:fill="auto"/>
            <w:tcMar>
              <w:left w:w="57" w:type="dxa"/>
              <w:right w:w="57" w:type="dxa"/>
            </w:tcMar>
            <w:vAlign w:val="bottom"/>
          </w:tcPr>
          <w:p w14:paraId="292AF3C7" w14:textId="1974A50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114.839.418</w:t>
            </w:r>
          </w:p>
        </w:tc>
      </w:tr>
      <w:tr w:rsidR="00DA6541" w:rsidRPr="00FB38E1" w14:paraId="3AA135E8" w14:textId="77777777" w:rsidTr="00934BF4">
        <w:tc>
          <w:tcPr>
            <w:tcW w:w="3913" w:type="pct"/>
            <w:tcBorders>
              <w:bottom w:val="single" w:sz="2" w:space="0" w:color="auto"/>
            </w:tcBorders>
            <w:shd w:val="clear" w:color="auto" w:fill="auto"/>
            <w:tcMar>
              <w:left w:w="57" w:type="dxa"/>
              <w:right w:w="57" w:type="dxa"/>
            </w:tcMar>
            <w:vAlign w:val="bottom"/>
          </w:tcPr>
          <w:p w14:paraId="5A2D01DE" w14:textId="1E5D7040"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Toplam Risk Ağırlıklı Tutarlar </w:t>
            </w:r>
          </w:p>
        </w:tc>
        <w:tc>
          <w:tcPr>
            <w:tcW w:w="580" w:type="pct"/>
            <w:tcBorders>
              <w:bottom w:val="single" w:sz="2" w:space="0" w:color="auto"/>
            </w:tcBorders>
            <w:vAlign w:val="bottom"/>
          </w:tcPr>
          <w:p w14:paraId="15F1D053" w14:textId="612C91F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868.337.993</w:t>
            </w:r>
          </w:p>
        </w:tc>
        <w:tc>
          <w:tcPr>
            <w:tcW w:w="507" w:type="pct"/>
            <w:tcBorders>
              <w:bottom w:val="single" w:sz="2" w:space="0" w:color="auto"/>
            </w:tcBorders>
            <w:shd w:val="clear" w:color="auto" w:fill="auto"/>
            <w:tcMar>
              <w:left w:w="57" w:type="dxa"/>
              <w:right w:w="57" w:type="dxa"/>
            </w:tcMar>
            <w:vAlign w:val="bottom"/>
          </w:tcPr>
          <w:p w14:paraId="0BAD7B1E" w14:textId="552026C8"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667.510.152</w:t>
            </w:r>
          </w:p>
        </w:tc>
      </w:tr>
      <w:tr w:rsidR="00DA6541" w:rsidRPr="00FB38E1" w14:paraId="28DB64E6" w14:textId="77777777" w:rsidTr="00934BF4">
        <w:trPr>
          <w:trHeight w:val="290"/>
        </w:trPr>
        <w:tc>
          <w:tcPr>
            <w:tcW w:w="3913" w:type="pct"/>
            <w:tcBorders>
              <w:top w:val="single" w:sz="2" w:space="0" w:color="auto"/>
            </w:tcBorders>
            <w:shd w:val="clear" w:color="auto" w:fill="auto"/>
            <w:tcMar>
              <w:left w:w="57" w:type="dxa"/>
              <w:right w:w="57" w:type="dxa"/>
            </w:tcMar>
            <w:vAlign w:val="bottom"/>
          </w:tcPr>
          <w:p w14:paraId="559DD0B2"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SERMAYE YETERLİLİĞİ ORANLARI</w:t>
            </w:r>
          </w:p>
        </w:tc>
        <w:tc>
          <w:tcPr>
            <w:tcW w:w="580" w:type="pct"/>
            <w:tcBorders>
              <w:top w:val="single" w:sz="2" w:space="0" w:color="auto"/>
            </w:tcBorders>
            <w:vAlign w:val="bottom"/>
          </w:tcPr>
          <w:p w14:paraId="23ADAD94" w14:textId="77777777" w:rsidR="00DA6541" w:rsidRPr="00FB38E1" w:rsidRDefault="00DA6541" w:rsidP="00DA6541">
            <w:pPr>
              <w:jc w:val="right"/>
              <w:rPr>
                <w:rFonts w:ascii="Microsoft Sans Serif" w:hAnsi="Microsoft Sans Serif" w:cs="Microsoft Sans Serif"/>
                <w:color w:val="000000"/>
                <w:sz w:val="14"/>
                <w:szCs w:val="14"/>
              </w:rPr>
            </w:pPr>
          </w:p>
        </w:tc>
        <w:tc>
          <w:tcPr>
            <w:tcW w:w="507" w:type="pct"/>
            <w:tcBorders>
              <w:top w:val="single" w:sz="2" w:space="0" w:color="auto"/>
            </w:tcBorders>
            <w:shd w:val="clear" w:color="auto" w:fill="auto"/>
            <w:tcMar>
              <w:left w:w="57" w:type="dxa"/>
              <w:right w:w="57" w:type="dxa"/>
            </w:tcMar>
            <w:vAlign w:val="bottom"/>
          </w:tcPr>
          <w:p w14:paraId="225C22DE" w14:textId="58C5CD9E" w:rsidR="00DA6541" w:rsidRPr="00FB38E1" w:rsidRDefault="00DA6541" w:rsidP="00DA6541">
            <w:pPr>
              <w:jc w:val="right"/>
              <w:rPr>
                <w:rFonts w:ascii="Microsoft Sans Serif" w:hAnsi="Microsoft Sans Serif" w:cs="Microsoft Sans Serif"/>
                <w:color w:val="000000"/>
                <w:sz w:val="14"/>
                <w:szCs w:val="14"/>
              </w:rPr>
            </w:pPr>
          </w:p>
        </w:tc>
      </w:tr>
      <w:tr w:rsidR="00DA6541" w:rsidRPr="00FB38E1" w14:paraId="357556C3" w14:textId="77777777" w:rsidTr="00934BF4">
        <w:tc>
          <w:tcPr>
            <w:tcW w:w="3913" w:type="pct"/>
            <w:shd w:val="clear" w:color="auto" w:fill="auto"/>
            <w:tcMar>
              <w:left w:w="57" w:type="dxa"/>
              <w:right w:w="57" w:type="dxa"/>
            </w:tcMar>
            <w:vAlign w:val="bottom"/>
          </w:tcPr>
          <w:p w14:paraId="03BAA5FF"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Çekirdek Sermaye Yeterliliği Oranı (%)</w:t>
            </w:r>
          </w:p>
        </w:tc>
        <w:tc>
          <w:tcPr>
            <w:tcW w:w="580" w:type="pct"/>
            <w:vAlign w:val="bottom"/>
          </w:tcPr>
          <w:p w14:paraId="77C6F9F2" w14:textId="54F95DD8"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17,24</w:t>
            </w:r>
          </w:p>
        </w:tc>
        <w:tc>
          <w:tcPr>
            <w:tcW w:w="507" w:type="pct"/>
            <w:shd w:val="clear" w:color="auto" w:fill="auto"/>
            <w:tcMar>
              <w:left w:w="57" w:type="dxa"/>
              <w:right w:w="57" w:type="dxa"/>
            </w:tcMar>
            <w:vAlign w:val="bottom"/>
          </w:tcPr>
          <w:p w14:paraId="2A7EE455" w14:textId="3FBBCA1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13,23</w:t>
            </w:r>
          </w:p>
        </w:tc>
      </w:tr>
      <w:tr w:rsidR="00DA6541" w:rsidRPr="00FB38E1" w14:paraId="4CD1DE60" w14:textId="77777777" w:rsidTr="00934BF4">
        <w:trPr>
          <w:trHeight w:val="80"/>
        </w:trPr>
        <w:tc>
          <w:tcPr>
            <w:tcW w:w="3913" w:type="pct"/>
            <w:shd w:val="clear" w:color="auto" w:fill="auto"/>
            <w:tcMar>
              <w:left w:w="57" w:type="dxa"/>
              <w:right w:w="57" w:type="dxa"/>
            </w:tcMar>
            <w:vAlign w:val="bottom"/>
          </w:tcPr>
          <w:p w14:paraId="718E4058"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Ana Sermaye Yeterliliği Oranı (%)</w:t>
            </w:r>
          </w:p>
        </w:tc>
        <w:tc>
          <w:tcPr>
            <w:tcW w:w="580" w:type="pct"/>
            <w:vAlign w:val="bottom"/>
          </w:tcPr>
          <w:p w14:paraId="01C1E0CF" w14:textId="65D2FF29"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17,24</w:t>
            </w:r>
          </w:p>
        </w:tc>
        <w:tc>
          <w:tcPr>
            <w:tcW w:w="507" w:type="pct"/>
            <w:shd w:val="clear" w:color="auto" w:fill="auto"/>
            <w:tcMar>
              <w:left w:w="57" w:type="dxa"/>
              <w:right w:w="57" w:type="dxa"/>
            </w:tcMar>
            <w:vAlign w:val="bottom"/>
          </w:tcPr>
          <w:p w14:paraId="79475113" w14:textId="541D1C88"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13,23</w:t>
            </w:r>
          </w:p>
        </w:tc>
      </w:tr>
      <w:tr w:rsidR="00DA6541" w:rsidRPr="00FB38E1" w14:paraId="04A9AD23" w14:textId="77777777" w:rsidTr="00934BF4">
        <w:tc>
          <w:tcPr>
            <w:tcW w:w="3913" w:type="pct"/>
            <w:tcBorders>
              <w:bottom w:val="single" w:sz="2" w:space="0" w:color="auto"/>
            </w:tcBorders>
            <w:shd w:val="clear" w:color="auto" w:fill="auto"/>
            <w:tcMar>
              <w:left w:w="57" w:type="dxa"/>
              <w:right w:w="57" w:type="dxa"/>
            </w:tcMar>
            <w:vAlign w:val="bottom"/>
          </w:tcPr>
          <w:p w14:paraId="2A4CF7C5"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Sermaye Yeterliliği Oranı (%)</w:t>
            </w:r>
          </w:p>
        </w:tc>
        <w:tc>
          <w:tcPr>
            <w:tcW w:w="580" w:type="pct"/>
            <w:tcBorders>
              <w:bottom w:val="single" w:sz="2" w:space="0" w:color="auto"/>
            </w:tcBorders>
            <w:vAlign w:val="bottom"/>
          </w:tcPr>
          <w:p w14:paraId="1961E880" w14:textId="417EC39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19,37</w:t>
            </w:r>
          </w:p>
        </w:tc>
        <w:tc>
          <w:tcPr>
            <w:tcW w:w="507" w:type="pct"/>
            <w:tcBorders>
              <w:bottom w:val="single" w:sz="2" w:space="0" w:color="auto"/>
            </w:tcBorders>
            <w:shd w:val="clear" w:color="auto" w:fill="auto"/>
            <w:tcMar>
              <w:left w:w="57" w:type="dxa"/>
              <w:right w:w="57" w:type="dxa"/>
            </w:tcMar>
            <w:vAlign w:val="bottom"/>
          </w:tcPr>
          <w:p w14:paraId="65CA13CF" w14:textId="5296E05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17,20</w:t>
            </w:r>
          </w:p>
        </w:tc>
      </w:tr>
      <w:tr w:rsidR="00DA6541" w:rsidRPr="00FB38E1" w14:paraId="35BA211A" w14:textId="77777777" w:rsidTr="00934BF4">
        <w:trPr>
          <w:trHeight w:val="284"/>
        </w:trPr>
        <w:tc>
          <w:tcPr>
            <w:tcW w:w="3913" w:type="pct"/>
            <w:tcBorders>
              <w:top w:val="single" w:sz="4" w:space="0" w:color="auto"/>
            </w:tcBorders>
            <w:tcMar>
              <w:left w:w="57" w:type="dxa"/>
              <w:right w:w="57" w:type="dxa"/>
            </w:tcMar>
            <w:vAlign w:val="bottom"/>
          </w:tcPr>
          <w:p w14:paraId="2046FEC8"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TAMPONLAR</w:t>
            </w:r>
          </w:p>
        </w:tc>
        <w:tc>
          <w:tcPr>
            <w:tcW w:w="580" w:type="pct"/>
            <w:tcBorders>
              <w:top w:val="single" w:sz="4" w:space="0" w:color="auto"/>
            </w:tcBorders>
            <w:vAlign w:val="bottom"/>
          </w:tcPr>
          <w:p w14:paraId="0B52124F" w14:textId="62F45B0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404040"/>
                <w:sz w:val="14"/>
                <w:szCs w:val="14"/>
              </w:rPr>
              <w:t> </w:t>
            </w:r>
          </w:p>
        </w:tc>
        <w:tc>
          <w:tcPr>
            <w:tcW w:w="507" w:type="pct"/>
            <w:tcBorders>
              <w:top w:val="single" w:sz="4" w:space="0" w:color="auto"/>
            </w:tcBorders>
            <w:tcMar>
              <w:left w:w="57" w:type="dxa"/>
              <w:right w:w="57" w:type="dxa"/>
            </w:tcMar>
            <w:vAlign w:val="bottom"/>
          </w:tcPr>
          <w:p w14:paraId="5EA9017E" w14:textId="4F796C8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404040"/>
                <w:sz w:val="14"/>
                <w:szCs w:val="14"/>
              </w:rPr>
              <w:t> </w:t>
            </w:r>
          </w:p>
        </w:tc>
      </w:tr>
      <w:tr w:rsidR="00DA6541" w:rsidRPr="00FB38E1" w14:paraId="1F1BA63A" w14:textId="77777777" w:rsidTr="00934BF4">
        <w:tc>
          <w:tcPr>
            <w:tcW w:w="3913" w:type="pct"/>
            <w:tcMar>
              <w:left w:w="57" w:type="dxa"/>
              <w:right w:w="57" w:type="dxa"/>
            </w:tcMar>
            <w:vAlign w:val="bottom"/>
          </w:tcPr>
          <w:p w14:paraId="4094C161"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Bankaya özgü toplam çekirdek sermaye oranı</w:t>
            </w:r>
          </w:p>
        </w:tc>
        <w:tc>
          <w:tcPr>
            <w:tcW w:w="580" w:type="pct"/>
            <w:vAlign w:val="bottom"/>
          </w:tcPr>
          <w:p w14:paraId="7FD2186A" w14:textId="278E9C0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2,702</w:t>
            </w:r>
          </w:p>
        </w:tc>
        <w:tc>
          <w:tcPr>
            <w:tcW w:w="507" w:type="pct"/>
            <w:tcMar>
              <w:left w:w="57" w:type="dxa"/>
              <w:right w:w="57" w:type="dxa"/>
            </w:tcMar>
            <w:vAlign w:val="bottom"/>
          </w:tcPr>
          <w:p w14:paraId="25CB8566" w14:textId="68CA823F"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2,876</w:t>
            </w:r>
          </w:p>
        </w:tc>
      </w:tr>
      <w:tr w:rsidR="00DA6541" w:rsidRPr="00FB38E1" w14:paraId="0E0900BA" w14:textId="77777777" w:rsidTr="00934BF4">
        <w:tc>
          <w:tcPr>
            <w:tcW w:w="3913" w:type="pct"/>
            <w:tcMar>
              <w:left w:w="57" w:type="dxa"/>
              <w:right w:w="57" w:type="dxa"/>
            </w:tcMar>
            <w:vAlign w:val="bottom"/>
          </w:tcPr>
          <w:p w14:paraId="02C4C608" w14:textId="77777777" w:rsidR="00DA6541" w:rsidRPr="00FB38E1" w:rsidRDefault="00DA6541" w:rsidP="00DA6541">
            <w:pPr>
              <w:ind w:firstLineChars="200" w:firstLine="28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Sermaye koruma tamponu oranı (%)</w:t>
            </w:r>
          </w:p>
        </w:tc>
        <w:tc>
          <w:tcPr>
            <w:tcW w:w="580" w:type="pct"/>
            <w:vAlign w:val="bottom"/>
          </w:tcPr>
          <w:p w14:paraId="1BCE21AA" w14:textId="1F2A90E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2,500</w:t>
            </w:r>
          </w:p>
        </w:tc>
        <w:tc>
          <w:tcPr>
            <w:tcW w:w="507" w:type="pct"/>
            <w:tcMar>
              <w:left w:w="57" w:type="dxa"/>
              <w:right w:w="57" w:type="dxa"/>
            </w:tcMar>
            <w:vAlign w:val="bottom"/>
          </w:tcPr>
          <w:p w14:paraId="51EDD4E8" w14:textId="0DB5546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2,500</w:t>
            </w:r>
          </w:p>
        </w:tc>
      </w:tr>
      <w:tr w:rsidR="00DA6541" w:rsidRPr="00FB38E1" w14:paraId="722DB2E9" w14:textId="77777777" w:rsidTr="00934BF4">
        <w:tc>
          <w:tcPr>
            <w:tcW w:w="3913" w:type="pct"/>
            <w:tcMar>
              <w:left w:w="57" w:type="dxa"/>
              <w:right w:w="57" w:type="dxa"/>
            </w:tcMar>
            <w:vAlign w:val="bottom"/>
          </w:tcPr>
          <w:p w14:paraId="0A6D8E67" w14:textId="77777777" w:rsidR="00DA6541" w:rsidRPr="00FB38E1" w:rsidRDefault="00DA6541" w:rsidP="00DA6541">
            <w:pPr>
              <w:ind w:firstLineChars="200" w:firstLine="28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Bankaya özgü döngüsel sermaye tamponu oranı (%)</w:t>
            </w:r>
          </w:p>
        </w:tc>
        <w:tc>
          <w:tcPr>
            <w:tcW w:w="580" w:type="pct"/>
            <w:vAlign w:val="bottom"/>
          </w:tcPr>
          <w:p w14:paraId="447835BD" w14:textId="6FC9C8F2"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0,202</w:t>
            </w:r>
          </w:p>
        </w:tc>
        <w:tc>
          <w:tcPr>
            <w:tcW w:w="507" w:type="pct"/>
            <w:tcMar>
              <w:left w:w="57" w:type="dxa"/>
              <w:right w:w="57" w:type="dxa"/>
            </w:tcMar>
            <w:vAlign w:val="bottom"/>
          </w:tcPr>
          <w:p w14:paraId="27FCCD0D" w14:textId="6082C164"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0,376</w:t>
            </w:r>
          </w:p>
        </w:tc>
      </w:tr>
      <w:tr w:rsidR="00DA6541" w:rsidRPr="00FB38E1" w14:paraId="5959DDC8" w14:textId="77777777" w:rsidTr="00934BF4">
        <w:tc>
          <w:tcPr>
            <w:tcW w:w="3913" w:type="pct"/>
            <w:tcMar>
              <w:left w:w="57" w:type="dxa"/>
              <w:right w:w="57" w:type="dxa"/>
            </w:tcMar>
            <w:vAlign w:val="bottom"/>
          </w:tcPr>
          <w:p w14:paraId="5E359AD7" w14:textId="77777777" w:rsidR="00DA6541" w:rsidRPr="00FB38E1" w:rsidRDefault="00DA6541" w:rsidP="00DA6541">
            <w:pPr>
              <w:ind w:firstLineChars="200" w:firstLine="28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Sistemik önemli banka tamponu oranı (%)</w:t>
            </w:r>
          </w:p>
        </w:tc>
        <w:tc>
          <w:tcPr>
            <w:tcW w:w="580" w:type="pct"/>
            <w:vAlign w:val="bottom"/>
          </w:tcPr>
          <w:p w14:paraId="1F709815" w14:textId="40DD5B6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4982103C" w14:textId="67A9CCC2"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5F4AA41A" w14:textId="77777777" w:rsidTr="00934BF4">
        <w:tc>
          <w:tcPr>
            <w:tcW w:w="3913" w:type="pct"/>
            <w:tcMar>
              <w:left w:w="57" w:type="dxa"/>
              <w:right w:w="57" w:type="dxa"/>
            </w:tcMar>
            <w:vAlign w:val="bottom"/>
          </w:tcPr>
          <w:p w14:paraId="679E30B3"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580" w:type="pct"/>
            <w:vAlign w:val="bottom"/>
          </w:tcPr>
          <w:p w14:paraId="05767EA5" w14:textId="5193FAF6"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3,420</w:t>
            </w:r>
          </w:p>
        </w:tc>
        <w:tc>
          <w:tcPr>
            <w:tcW w:w="507" w:type="pct"/>
            <w:tcMar>
              <w:left w:w="57" w:type="dxa"/>
              <w:right w:w="57" w:type="dxa"/>
            </w:tcMar>
            <w:vAlign w:val="bottom"/>
          </w:tcPr>
          <w:p w14:paraId="3ABF2436" w14:textId="2A762CF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1,819</w:t>
            </w:r>
          </w:p>
        </w:tc>
      </w:tr>
      <w:tr w:rsidR="00DA6541" w:rsidRPr="00FB38E1" w14:paraId="34E4EE7E" w14:textId="77777777" w:rsidTr="00934BF4">
        <w:tc>
          <w:tcPr>
            <w:tcW w:w="3913" w:type="pct"/>
            <w:tcMar>
              <w:left w:w="57" w:type="dxa"/>
              <w:right w:w="57" w:type="dxa"/>
            </w:tcMar>
            <w:vAlign w:val="bottom"/>
          </w:tcPr>
          <w:p w14:paraId="4D86535C"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Uygulanacak İndirim Esaslarında Aşım Tutarının Altında Kalan Tutarlar</w:t>
            </w:r>
          </w:p>
        </w:tc>
        <w:tc>
          <w:tcPr>
            <w:tcW w:w="580" w:type="pct"/>
            <w:vAlign w:val="bottom"/>
          </w:tcPr>
          <w:p w14:paraId="4A7CDDDD" w14:textId="77777777" w:rsidR="00DA6541" w:rsidRPr="00FB38E1" w:rsidRDefault="00DA6541" w:rsidP="00DA6541">
            <w:pPr>
              <w:jc w:val="right"/>
              <w:rPr>
                <w:rFonts w:ascii="Microsoft Sans Serif" w:hAnsi="Microsoft Sans Serif" w:cs="Microsoft Sans Serif"/>
                <w:b/>
                <w:bCs/>
                <w:color w:val="000000"/>
                <w:sz w:val="14"/>
                <w:szCs w:val="14"/>
              </w:rPr>
            </w:pPr>
          </w:p>
        </w:tc>
        <w:tc>
          <w:tcPr>
            <w:tcW w:w="507" w:type="pct"/>
            <w:tcMar>
              <w:left w:w="57" w:type="dxa"/>
              <w:right w:w="57" w:type="dxa"/>
            </w:tcMar>
            <w:vAlign w:val="bottom"/>
          </w:tcPr>
          <w:p w14:paraId="3538C910" w14:textId="6FC14D38" w:rsidR="00DA6541" w:rsidRPr="00FB38E1" w:rsidRDefault="00DA6541" w:rsidP="00DA6541">
            <w:pPr>
              <w:jc w:val="right"/>
              <w:rPr>
                <w:rFonts w:ascii="Microsoft Sans Serif" w:hAnsi="Microsoft Sans Serif" w:cs="Microsoft Sans Serif"/>
                <w:b/>
                <w:bCs/>
                <w:color w:val="000000"/>
                <w:sz w:val="14"/>
                <w:szCs w:val="14"/>
              </w:rPr>
            </w:pPr>
          </w:p>
        </w:tc>
      </w:tr>
      <w:tr w:rsidR="00DA6541" w:rsidRPr="00FB38E1" w14:paraId="227E4939" w14:textId="77777777" w:rsidTr="00934BF4">
        <w:tc>
          <w:tcPr>
            <w:tcW w:w="3913" w:type="pct"/>
            <w:tcMar>
              <w:left w:w="57" w:type="dxa"/>
              <w:right w:w="57" w:type="dxa"/>
            </w:tcMar>
            <w:vAlign w:val="bottom"/>
          </w:tcPr>
          <w:p w14:paraId="4D9E3A87"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 veya daha azına sahip olunan ve konsolide edilmeyen bankalar ve finansal kuruluşların özkaynak unsurlarına yapılan yatırımların net uzun pozisyonlarından kaynaklanan tutar</w:t>
            </w:r>
          </w:p>
        </w:tc>
        <w:tc>
          <w:tcPr>
            <w:tcW w:w="580" w:type="pct"/>
            <w:vAlign w:val="bottom"/>
          </w:tcPr>
          <w:p w14:paraId="5EBB3848" w14:textId="30ADA0D0"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4A383651" w14:textId="6EFEF85A"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127BA5C8" w14:textId="77777777" w:rsidTr="00934BF4">
        <w:tc>
          <w:tcPr>
            <w:tcW w:w="3913" w:type="pct"/>
            <w:tcMar>
              <w:left w:w="57" w:type="dxa"/>
              <w:right w:w="57" w:type="dxa"/>
            </w:tcMar>
            <w:vAlign w:val="bottom"/>
          </w:tcPr>
          <w:p w14:paraId="61CBC308"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Ortaklık paylarının %10'dan daha fazlasına sahip olunan ve konsolide edilmeyen bankalar ve finansal kuruluşların çekirdek sermaye unsurlarına yapılan yatırımların net uzun pozisyonlarından kaynaklanan tutar</w:t>
            </w:r>
          </w:p>
        </w:tc>
        <w:tc>
          <w:tcPr>
            <w:tcW w:w="580" w:type="pct"/>
            <w:vAlign w:val="bottom"/>
          </w:tcPr>
          <w:p w14:paraId="5A8DE68D" w14:textId="4AC08CCA"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6105F401" w14:textId="494BFDAB"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373F33AA" w14:textId="77777777" w:rsidTr="00934BF4">
        <w:tc>
          <w:tcPr>
            <w:tcW w:w="3913" w:type="pct"/>
            <w:tcMar>
              <w:left w:w="57" w:type="dxa"/>
              <w:right w:w="57" w:type="dxa"/>
            </w:tcMar>
            <w:vAlign w:val="bottom"/>
          </w:tcPr>
          <w:p w14:paraId="2C93A766"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İpotek hizmeti sunma hakkından kaynaklanan tutar</w:t>
            </w:r>
          </w:p>
        </w:tc>
        <w:tc>
          <w:tcPr>
            <w:tcW w:w="580" w:type="pct"/>
            <w:vAlign w:val="bottom"/>
          </w:tcPr>
          <w:p w14:paraId="7AB27C05" w14:textId="2A7F46E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3789C14E" w14:textId="19911227"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BDEB3E2" w14:textId="77777777" w:rsidTr="00934BF4">
        <w:tc>
          <w:tcPr>
            <w:tcW w:w="3913" w:type="pct"/>
            <w:tcMar>
              <w:left w:w="57" w:type="dxa"/>
              <w:right w:w="57" w:type="dxa"/>
            </w:tcMar>
            <w:vAlign w:val="bottom"/>
          </w:tcPr>
          <w:p w14:paraId="0EADD5BB"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Geçici farklara dayanan ertelenmiş vergi varlıklarından kaynaklanan tutar</w:t>
            </w:r>
          </w:p>
        </w:tc>
        <w:tc>
          <w:tcPr>
            <w:tcW w:w="580" w:type="pct"/>
            <w:vAlign w:val="bottom"/>
          </w:tcPr>
          <w:p w14:paraId="19610BCF" w14:textId="376BF086"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3DED19A9" w14:textId="4C8FE54C"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7E74D14C" w14:textId="77777777" w:rsidTr="00934BF4">
        <w:tc>
          <w:tcPr>
            <w:tcW w:w="3913" w:type="pct"/>
            <w:tcMar>
              <w:left w:w="57" w:type="dxa"/>
              <w:right w:w="57" w:type="dxa"/>
            </w:tcMar>
            <w:vAlign w:val="bottom"/>
          </w:tcPr>
          <w:p w14:paraId="19A7A6E4" w14:textId="77777777" w:rsidR="00DA6541" w:rsidRPr="00FB38E1" w:rsidRDefault="00DA6541" w:rsidP="00DA6541">
            <w:pPr>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Katkı Sermaye Hesaplamasında Dikkate Alınan Karşılıklara İlişkin Sınırlar</w:t>
            </w:r>
          </w:p>
        </w:tc>
        <w:tc>
          <w:tcPr>
            <w:tcW w:w="580" w:type="pct"/>
            <w:vAlign w:val="bottom"/>
          </w:tcPr>
          <w:p w14:paraId="42103255" w14:textId="77777777" w:rsidR="00DA6541" w:rsidRPr="00FB38E1" w:rsidRDefault="00DA6541" w:rsidP="00DA6541">
            <w:pPr>
              <w:jc w:val="right"/>
              <w:rPr>
                <w:rFonts w:ascii="Microsoft Sans Serif" w:hAnsi="Microsoft Sans Serif" w:cs="Microsoft Sans Serif"/>
                <w:color w:val="000000"/>
                <w:sz w:val="14"/>
                <w:szCs w:val="14"/>
              </w:rPr>
            </w:pPr>
          </w:p>
        </w:tc>
        <w:tc>
          <w:tcPr>
            <w:tcW w:w="507" w:type="pct"/>
            <w:tcMar>
              <w:left w:w="57" w:type="dxa"/>
              <w:right w:w="57" w:type="dxa"/>
            </w:tcMar>
            <w:vAlign w:val="bottom"/>
          </w:tcPr>
          <w:p w14:paraId="4FBA3EBC" w14:textId="3A964440" w:rsidR="00DA6541" w:rsidRPr="00FB38E1" w:rsidRDefault="00DA6541" w:rsidP="00DA6541">
            <w:pPr>
              <w:jc w:val="right"/>
              <w:rPr>
                <w:rFonts w:ascii="Microsoft Sans Serif" w:hAnsi="Microsoft Sans Serif" w:cs="Microsoft Sans Serif"/>
                <w:color w:val="000000"/>
                <w:sz w:val="14"/>
                <w:szCs w:val="14"/>
              </w:rPr>
            </w:pPr>
          </w:p>
        </w:tc>
      </w:tr>
      <w:tr w:rsidR="00DA6541" w:rsidRPr="00FB38E1" w14:paraId="07203764" w14:textId="77777777" w:rsidTr="00934BF4">
        <w:tc>
          <w:tcPr>
            <w:tcW w:w="3913" w:type="pct"/>
            <w:tcMar>
              <w:left w:w="57" w:type="dxa"/>
              <w:right w:w="57" w:type="dxa"/>
            </w:tcMar>
            <w:vAlign w:val="bottom"/>
          </w:tcPr>
          <w:p w14:paraId="628E4BF1"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Standart yaklaşımın kullanıldığı alacaklar için ayrılan genel karşılıklar (Onbindeyüzyirmibeşlik sınır öncesi)</w:t>
            </w:r>
          </w:p>
        </w:tc>
        <w:tc>
          <w:tcPr>
            <w:tcW w:w="580" w:type="pct"/>
            <w:vAlign w:val="bottom"/>
          </w:tcPr>
          <w:p w14:paraId="63DFE76A" w14:textId="1E6E9993"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20.993.629</w:t>
            </w:r>
          </w:p>
        </w:tc>
        <w:tc>
          <w:tcPr>
            <w:tcW w:w="507" w:type="pct"/>
            <w:tcMar>
              <w:left w:w="57" w:type="dxa"/>
              <w:right w:w="57" w:type="dxa"/>
            </w:tcMar>
            <w:vAlign w:val="bottom"/>
          </w:tcPr>
          <w:p w14:paraId="080435CB" w14:textId="40E0799F"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22.021.186</w:t>
            </w:r>
          </w:p>
        </w:tc>
      </w:tr>
      <w:tr w:rsidR="00DA6541" w:rsidRPr="00FB38E1" w14:paraId="255677E6" w14:textId="77777777" w:rsidTr="00934BF4">
        <w:tc>
          <w:tcPr>
            <w:tcW w:w="3913" w:type="pct"/>
            <w:tcMar>
              <w:left w:w="57" w:type="dxa"/>
              <w:right w:w="57" w:type="dxa"/>
            </w:tcMar>
            <w:vAlign w:val="bottom"/>
          </w:tcPr>
          <w:p w14:paraId="79F9A854"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Standart yaklaşımın kullanıldığı alacaklar için ayrılan genel karşılıkların risk ağırlıklı tutarlar toplamının %1,25'ine kadar olan kısmı</w:t>
            </w:r>
          </w:p>
        </w:tc>
        <w:tc>
          <w:tcPr>
            <w:tcW w:w="580" w:type="pct"/>
            <w:vAlign w:val="bottom"/>
          </w:tcPr>
          <w:p w14:paraId="4E7E53D2" w14:textId="5515CFAA"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9.756.728</w:t>
            </w:r>
          </w:p>
        </w:tc>
        <w:tc>
          <w:tcPr>
            <w:tcW w:w="507" w:type="pct"/>
            <w:tcMar>
              <w:left w:w="57" w:type="dxa"/>
              <w:right w:w="57" w:type="dxa"/>
            </w:tcMar>
            <w:vAlign w:val="bottom"/>
          </w:tcPr>
          <w:p w14:paraId="79BB96C6" w14:textId="58B60B41"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7.570.375</w:t>
            </w:r>
          </w:p>
        </w:tc>
      </w:tr>
      <w:tr w:rsidR="00DA6541" w:rsidRPr="00FB38E1" w14:paraId="7ED19716" w14:textId="77777777" w:rsidTr="00934BF4">
        <w:tc>
          <w:tcPr>
            <w:tcW w:w="3913" w:type="pct"/>
            <w:tcMar>
              <w:left w:w="57" w:type="dxa"/>
              <w:right w:w="57" w:type="dxa"/>
            </w:tcMar>
            <w:vAlign w:val="bottom"/>
          </w:tcPr>
          <w:p w14:paraId="014278D7" w14:textId="77777777" w:rsidR="00DA6541" w:rsidRPr="00FB38E1" w:rsidRDefault="00DA6541" w:rsidP="00DA6541">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w:t>
            </w:r>
          </w:p>
        </w:tc>
        <w:tc>
          <w:tcPr>
            <w:tcW w:w="580" w:type="pct"/>
            <w:vAlign w:val="bottom"/>
          </w:tcPr>
          <w:p w14:paraId="5E5249BB" w14:textId="004BF928"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6E22921D" w14:textId="1290865D"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593710BE" w14:textId="77777777" w:rsidTr="00934BF4">
        <w:tc>
          <w:tcPr>
            <w:tcW w:w="3913" w:type="pct"/>
            <w:tcMar>
              <w:left w:w="57" w:type="dxa"/>
              <w:right w:w="57" w:type="dxa"/>
            </w:tcMar>
            <w:vAlign w:val="bottom"/>
          </w:tcPr>
          <w:p w14:paraId="499E2505" w14:textId="77777777" w:rsidR="00DA6541" w:rsidRPr="00FB38E1" w:rsidRDefault="00DA6541" w:rsidP="00DA6541">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tutarı toplamının %0,6'sına kadar olan kısmı</w:t>
            </w:r>
          </w:p>
        </w:tc>
        <w:tc>
          <w:tcPr>
            <w:tcW w:w="580" w:type="pct"/>
            <w:vAlign w:val="bottom"/>
          </w:tcPr>
          <w:p w14:paraId="5095067B" w14:textId="500191EF"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52FF1EBC" w14:textId="27C20FFF"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73DD4F63" w14:textId="77777777" w:rsidTr="00934BF4">
        <w:tc>
          <w:tcPr>
            <w:tcW w:w="3913" w:type="pct"/>
            <w:tcMar>
              <w:left w:w="57" w:type="dxa"/>
              <w:right w:w="57" w:type="dxa"/>
            </w:tcMar>
            <w:vAlign w:val="bottom"/>
          </w:tcPr>
          <w:p w14:paraId="308A3D77" w14:textId="77777777" w:rsidR="00DA6541" w:rsidRPr="00FB38E1" w:rsidRDefault="00DA6541" w:rsidP="00DA6541">
            <w:pPr>
              <w:jc w:val="lef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Geçici Madde 4 hükümlerine tabi borçlanma araçları</w:t>
            </w:r>
            <w:r w:rsidRPr="00FB38E1">
              <w:rPr>
                <w:rFonts w:ascii="Microsoft Sans Serif" w:hAnsi="Microsoft Sans Serif" w:cs="Microsoft Sans Serif"/>
                <w:b/>
                <w:bCs/>
                <w:color w:val="404040"/>
                <w:sz w:val="14"/>
                <w:szCs w:val="14"/>
              </w:rPr>
              <w:br/>
              <w:t>(1 Ocak 2018 ve 1 Ocak 2022 arasında uygulanmak üzere)</w:t>
            </w:r>
          </w:p>
        </w:tc>
        <w:tc>
          <w:tcPr>
            <w:tcW w:w="580" w:type="pct"/>
            <w:vAlign w:val="bottom"/>
          </w:tcPr>
          <w:p w14:paraId="5D2DD4E7" w14:textId="5FF2C86D" w:rsidR="00DA6541" w:rsidRPr="00FB38E1" w:rsidRDefault="00DA6541" w:rsidP="00DA6541">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507" w:type="pct"/>
            <w:tcMar>
              <w:left w:w="57" w:type="dxa"/>
              <w:right w:w="57" w:type="dxa"/>
            </w:tcMar>
            <w:vAlign w:val="bottom"/>
          </w:tcPr>
          <w:p w14:paraId="4264BC0C" w14:textId="3D463EF6" w:rsidR="00DA6541" w:rsidRPr="00FB38E1" w:rsidRDefault="00DA6541" w:rsidP="00DA6541">
            <w:pPr>
              <w:jc w:val="right"/>
              <w:rPr>
                <w:rFonts w:ascii="Microsoft Sans Serif" w:hAnsi="Microsoft Sans Serif" w:cs="Microsoft Sans Serif"/>
                <w:b/>
                <w:color w:val="000000"/>
                <w:sz w:val="14"/>
                <w:szCs w:val="14"/>
              </w:rPr>
            </w:pPr>
            <w:r w:rsidRPr="00FB38E1">
              <w:rPr>
                <w:rFonts w:ascii="Microsoft Sans Serif" w:hAnsi="Microsoft Sans Serif" w:cs="Microsoft Sans Serif"/>
                <w:b/>
                <w:bCs/>
                <w:color w:val="404040"/>
                <w:sz w:val="14"/>
                <w:szCs w:val="14"/>
              </w:rPr>
              <w:t>--</w:t>
            </w:r>
          </w:p>
        </w:tc>
      </w:tr>
      <w:tr w:rsidR="00DA6541" w:rsidRPr="00FB38E1" w14:paraId="34C4F7EC" w14:textId="77777777" w:rsidTr="00934BF4">
        <w:tc>
          <w:tcPr>
            <w:tcW w:w="3913" w:type="pct"/>
            <w:tcMar>
              <w:left w:w="57" w:type="dxa"/>
              <w:right w:w="57" w:type="dxa"/>
            </w:tcMar>
            <w:vAlign w:val="bottom"/>
          </w:tcPr>
          <w:p w14:paraId="0C3B76AA"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Geçici Madde 4 hükümlerine tabi ilave ana sermaye kalemlerine ilişkin üst sınır</w:t>
            </w:r>
          </w:p>
        </w:tc>
        <w:tc>
          <w:tcPr>
            <w:tcW w:w="580" w:type="pct"/>
            <w:vAlign w:val="bottom"/>
          </w:tcPr>
          <w:p w14:paraId="35D030A7" w14:textId="155A70F7"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6044083C" w14:textId="14DF4716"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736351C" w14:textId="77777777" w:rsidTr="00934BF4">
        <w:tc>
          <w:tcPr>
            <w:tcW w:w="3913" w:type="pct"/>
            <w:tcMar>
              <w:left w:w="57" w:type="dxa"/>
              <w:right w:w="57" w:type="dxa"/>
            </w:tcMar>
            <w:vAlign w:val="bottom"/>
          </w:tcPr>
          <w:p w14:paraId="0367F75F"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Geçici Madde 4 hükümlerine tabi ilave ana sermaye kalemlerinin üst sınırını aşan kısmı</w:t>
            </w:r>
          </w:p>
        </w:tc>
        <w:tc>
          <w:tcPr>
            <w:tcW w:w="580" w:type="pct"/>
            <w:vAlign w:val="bottom"/>
          </w:tcPr>
          <w:p w14:paraId="56C40E0B" w14:textId="77EE97A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4689BACC" w14:textId="06A70B0F"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28F2FB68" w14:textId="77777777" w:rsidTr="00934BF4">
        <w:tc>
          <w:tcPr>
            <w:tcW w:w="3913" w:type="pct"/>
            <w:tcMar>
              <w:left w:w="57" w:type="dxa"/>
              <w:right w:w="57" w:type="dxa"/>
            </w:tcMar>
            <w:vAlign w:val="bottom"/>
          </w:tcPr>
          <w:p w14:paraId="65A0327C" w14:textId="102EAB78"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Geçici Madde 4 hükümlerine tabi katkı sermaye kalemlerine ilişkin üst sınır </w:t>
            </w:r>
            <w:r w:rsidRPr="00FB38E1">
              <w:rPr>
                <w:rFonts w:ascii="Microsoft Sans Serif" w:hAnsi="Microsoft Sans Serif" w:cs="Microsoft Sans Serif"/>
                <w:color w:val="404040"/>
                <w:sz w:val="14"/>
                <w:szCs w:val="14"/>
                <w:vertAlign w:val="superscript"/>
              </w:rPr>
              <w:t>(1)</w:t>
            </w:r>
          </w:p>
        </w:tc>
        <w:tc>
          <w:tcPr>
            <w:tcW w:w="580" w:type="pct"/>
            <w:vAlign w:val="bottom"/>
          </w:tcPr>
          <w:p w14:paraId="65765116" w14:textId="3B218A96"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bottom"/>
          </w:tcPr>
          <w:p w14:paraId="4DBDAB8B" w14:textId="684CA8B7"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A6541" w:rsidRPr="00FB38E1" w14:paraId="0CFE21BB" w14:textId="77777777" w:rsidTr="00934BF4">
        <w:tc>
          <w:tcPr>
            <w:tcW w:w="3913" w:type="pct"/>
            <w:tcBorders>
              <w:bottom w:val="thickThinSmallGap" w:sz="24" w:space="0" w:color="auto"/>
            </w:tcBorders>
            <w:tcMar>
              <w:left w:w="57" w:type="dxa"/>
              <w:right w:w="57" w:type="dxa"/>
            </w:tcMar>
            <w:vAlign w:val="bottom"/>
          </w:tcPr>
          <w:p w14:paraId="0CA382FA" w14:textId="77777777" w:rsidR="00DA6541" w:rsidRPr="00FB38E1" w:rsidRDefault="00DA6541" w:rsidP="00DA654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Geçici Madde 4 hükümlerine tabi katkı sermaye kalemlerinin üst sınırını aşan kısmı</w:t>
            </w:r>
          </w:p>
        </w:tc>
        <w:tc>
          <w:tcPr>
            <w:tcW w:w="580" w:type="pct"/>
            <w:tcBorders>
              <w:bottom w:val="thickThinSmallGap" w:sz="24" w:space="0" w:color="auto"/>
            </w:tcBorders>
            <w:vAlign w:val="bottom"/>
          </w:tcPr>
          <w:p w14:paraId="4B31A4E9" w14:textId="5BC3CADE"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Borders>
              <w:bottom w:val="thickThinSmallGap" w:sz="24" w:space="0" w:color="auto"/>
            </w:tcBorders>
            <w:tcMar>
              <w:left w:w="57" w:type="dxa"/>
              <w:right w:w="57" w:type="dxa"/>
            </w:tcMar>
            <w:vAlign w:val="bottom"/>
          </w:tcPr>
          <w:p w14:paraId="77E45B27" w14:textId="4CAEB3E7" w:rsidR="00DA6541" w:rsidRPr="00FB38E1" w:rsidRDefault="00DA6541" w:rsidP="00DA654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bl>
    <w:p w14:paraId="5FDA2371" w14:textId="532B5E00" w:rsidR="00481AA8" w:rsidRPr="00FB38E1" w:rsidRDefault="00325DE3" w:rsidP="00DD4B14">
      <w:pPr>
        <w:autoSpaceDE w:val="0"/>
        <w:autoSpaceDN w:val="0"/>
        <w:adjustRightInd w:val="0"/>
        <w:spacing w:before="120" w:after="240"/>
        <w:ind w:right="34"/>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xml:space="preserve"> </w:t>
      </w:r>
      <w:r w:rsidR="00F35164" w:rsidRPr="00FB38E1">
        <w:rPr>
          <w:rFonts w:ascii="Microsoft Sans Serif" w:hAnsi="Microsoft Sans Serif" w:cs="Microsoft Sans Serif"/>
          <w:color w:val="404040" w:themeColor="text1" w:themeTint="BF"/>
          <w:sz w:val="16"/>
          <w:szCs w:val="16"/>
        </w:rPr>
        <w:t>(</w:t>
      </w:r>
      <w:r w:rsidRPr="00FB38E1">
        <w:rPr>
          <w:rFonts w:ascii="Microsoft Sans Serif" w:hAnsi="Microsoft Sans Serif" w:cs="Microsoft Sans Serif"/>
          <w:color w:val="404040" w:themeColor="text1" w:themeTint="BF"/>
          <w:sz w:val="16"/>
          <w:szCs w:val="16"/>
        </w:rPr>
        <w:t>1</w:t>
      </w:r>
      <w:r w:rsidR="00F35164" w:rsidRPr="00FB38E1">
        <w:rPr>
          <w:rFonts w:ascii="Microsoft Sans Serif" w:hAnsi="Microsoft Sans Serif" w:cs="Microsoft Sans Serif"/>
          <w:color w:val="404040" w:themeColor="text1" w:themeTint="BF"/>
          <w:sz w:val="16"/>
          <w:szCs w:val="16"/>
        </w:rPr>
        <w:t xml:space="preserve">) </w:t>
      </w:r>
      <w:r w:rsidR="00F35164" w:rsidRPr="00FB38E1">
        <w:rPr>
          <w:rFonts w:ascii="Microsoft Sans Serif" w:hAnsi="Microsoft Sans Serif" w:cs="Microsoft Sans Serif"/>
          <w:color w:val="404040"/>
          <w:sz w:val="16"/>
          <w:szCs w:val="16"/>
        </w:rPr>
        <w:t>Özkaynak hesaplamasında katkı sermaye içerisinde “Geçici Madde 4” kapsamında dikkate alınan kredi bulunmamaktadır</w:t>
      </w:r>
      <w:r w:rsidR="00F35164" w:rsidRPr="00FB38E1">
        <w:rPr>
          <w:rFonts w:ascii="Microsoft Sans Serif" w:hAnsi="Microsoft Sans Serif" w:cs="Microsoft Sans Serif"/>
          <w:color w:val="404040" w:themeColor="text1" w:themeTint="BF"/>
          <w:sz w:val="16"/>
          <w:szCs w:val="16"/>
        </w:rPr>
        <w:t>.</w:t>
      </w:r>
    </w:p>
    <w:p w14:paraId="1B50C047" w14:textId="02528132" w:rsidR="00325DE3" w:rsidRPr="00FB38E1" w:rsidRDefault="00325DE3" w:rsidP="00DD4B14">
      <w:pPr>
        <w:autoSpaceDE w:val="0"/>
        <w:autoSpaceDN w:val="0"/>
        <w:adjustRightInd w:val="0"/>
        <w:spacing w:before="120" w:after="240"/>
        <w:ind w:right="34"/>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br w:type="page"/>
      </w:r>
    </w:p>
    <w:p w14:paraId="37277306" w14:textId="0189C053" w:rsidR="00F364B5" w:rsidRPr="00FB38E1" w:rsidRDefault="00F364B5" w:rsidP="00DD4B14">
      <w:pPr>
        <w:pStyle w:val="BDDKbalk1"/>
        <w:numPr>
          <w:ilvl w:val="1"/>
          <w:numId w:val="46"/>
        </w:numPr>
        <w:spacing w:before="120" w:line="240" w:lineRule="exact"/>
        <w:ind w:left="0" w:hanging="567"/>
        <w:rPr>
          <w:rFonts w:ascii="Microsoft Sans Serif" w:hAnsi="Microsoft Sans Serif" w:cs="Microsoft Sans Serif"/>
          <w:sz w:val="20"/>
          <w:szCs w:val="20"/>
          <w:lang w:eastAsia="en-US"/>
        </w:rPr>
      </w:pPr>
      <w:r w:rsidRPr="00FB38E1">
        <w:rPr>
          <w:rFonts w:ascii="Microsoft Sans Serif" w:hAnsi="Microsoft Sans Serif" w:cs="Microsoft Sans Serif"/>
          <w:sz w:val="20"/>
          <w:szCs w:val="20"/>
          <w:lang w:eastAsia="en-US"/>
        </w:rPr>
        <w:t>Özkaynak hesaplamasına dahil edilecek borçlanma araçlarına ilişkin bilgiler</w:t>
      </w:r>
    </w:p>
    <w:tbl>
      <w:tblPr>
        <w:tblStyle w:val="TableGrid"/>
        <w:tblW w:w="9639" w:type="dxa"/>
        <w:tblCellMar>
          <w:left w:w="70" w:type="dxa"/>
          <w:right w:w="70" w:type="dxa"/>
        </w:tblCellMar>
        <w:tblLook w:val="04A0" w:firstRow="1" w:lastRow="0" w:firstColumn="1" w:lastColumn="0" w:noHBand="0" w:noVBand="1"/>
      </w:tblPr>
      <w:tblGrid>
        <w:gridCol w:w="5190"/>
        <w:gridCol w:w="2342"/>
        <w:gridCol w:w="2107"/>
      </w:tblGrid>
      <w:tr w:rsidR="00FD6F98" w:rsidRPr="00FB38E1" w14:paraId="45C43416" w14:textId="77777777" w:rsidTr="00F12288">
        <w:tc>
          <w:tcPr>
            <w:tcW w:w="5190" w:type="dxa"/>
            <w:tcBorders>
              <w:top w:val="thinThickSmallGap" w:sz="24" w:space="0" w:color="auto"/>
            </w:tcBorders>
            <w:vAlign w:val="center"/>
          </w:tcPr>
          <w:p w14:paraId="7F747508" w14:textId="55468116"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İhraçcı</w:t>
            </w:r>
          </w:p>
        </w:tc>
        <w:tc>
          <w:tcPr>
            <w:tcW w:w="2342" w:type="dxa"/>
            <w:tcBorders>
              <w:top w:val="thinThickSmallGap" w:sz="24" w:space="0" w:color="auto"/>
            </w:tcBorders>
            <w:vAlign w:val="center"/>
          </w:tcPr>
          <w:p w14:paraId="31BABB87" w14:textId="21745650"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EMIRATES NBD PJSC</w:t>
            </w:r>
          </w:p>
        </w:tc>
        <w:tc>
          <w:tcPr>
            <w:tcW w:w="2107" w:type="dxa"/>
            <w:tcBorders>
              <w:top w:val="thinThickSmallGap" w:sz="24" w:space="0" w:color="auto"/>
            </w:tcBorders>
            <w:vAlign w:val="center"/>
          </w:tcPr>
          <w:p w14:paraId="63B8FB30" w14:textId="6EC4392A"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EMIRATES NBD PJSC</w:t>
            </w:r>
          </w:p>
        </w:tc>
      </w:tr>
      <w:tr w:rsidR="00FD6F98" w:rsidRPr="00FB38E1" w14:paraId="7B42EBF0" w14:textId="77777777" w:rsidTr="00F12288">
        <w:tblPrEx>
          <w:tblCellMar>
            <w:left w:w="108" w:type="dxa"/>
            <w:right w:w="108" w:type="dxa"/>
          </w:tblCellMar>
        </w:tblPrEx>
        <w:tc>
          <w:tcPr>
            <w:tcW w:w="5190" w:type="dxa"/>
            <w:tcMar>
              <w:left w:w="28" w:type="dxa"/>
              <w:right w:w="28" w:type="dxa"/>
            </w:tcMar>
            <w:vAlign w:val="center"/>
          </w:tcPr>
          <w:p w14:paraId="130EF767" w14:textId="326A1C24"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Borçlanma aracının kodu (CUSIP, ISIN vb.)</w:t>
            </w:r>
          </w:p>
        </w:tc>
        <w:tc>
          <w:tcPr>
            <w:tcW w:w="2342" w:type="dxa"/>
            <w:tcMar>
              <w:left w:w="28" w:type="dxa"/>
              <w:right w:w="28" w:type="dxa"/>
            </w:tcMar>
            <w:vAlign w:val="center"/>
          </w:tcPr>
          <w:p w14:paraId="4035E1DD" w14:textId="2A268F1A"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Sermaye Benzeri Kredi</w:t>
            </w:r>
          </w:p>
        </w:tc>
        <w:tc>
          <w:tcPr>
            <w:tcW w:w="2107" w:type="dxa"/>
            <w:tcMar>
              <w:left w:w="28" w:type="dxa"/>
              <w:right w:w="28" w:type="dxa"/>
            </w:tcMar>
            <w:vAlign w:val="center"/>
          </w:tcPr>
          <w:p w14:paraId="6E26C502" w14:textId="28CBA0F5"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Sermaye Benzeri Kredi</w:t>
            </w:r>
          </w:p>
        </w:tc>
      </w:tr>
      <w:tr w:rsidR="00FD6F98" w:rsidRPr="00FB38E1" w14:paraId="7394FC29" w14:textId="77777777" w:rsidTr="00F12288">
        <w:tblPrEx>
          <w:tblCellMar>
            <w:left w:w="108" w:type="dxa"/>
            <w:right w:w="108" w:type="dxa"/>
          </w:tblCellMar>
        </w:tblPrEx>
        <w:tc>
          <w:tcPr>
            <w:tcW w:w="5190" w:type="dxa"/>
            <w:tcMar>
              <w:left w:w="28" w:type="dxa"/>
              <w:right w:w="28" w:type="dxa"/>
            </w:tcMar>
            <w:vAlign w:val="center"/>
          </w:tcPr>
          <w:p w14:paraId="51625BA2" w14:textId="2FDCE278"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Borçlanma aracının tabi olduğu mevzuat</w:t>
            </w:r>
          </w:p>
        </w:tc>
        <w:tc>
          <w:tcPr>
            <w:tcW w:w="2342" w:type="dxa"/>
            <w:tcMar>
              <w:left w:w="28" w:type="dxa"/>
              <w:right w:w="28" w:type="dxa"/>
            </w:tcMar>
            <w:vAlign w:val="center"/>
          </w:tcPr>
          <w:p w14:paraId="45624306" w14:textId="1380EC4D"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05 Eylül 2013 tarihli "Bankaların Özkaynaklarına İlişkin Yönetmelik".</w:t>
            </w:r>
          </w:p>
        </w:tc>
        <w:tc>
          <w:tcPr>
            <w:tcW w:w="2107" w:type="dxa"/>
            <w:tcMar>
              <w:left w:w="28" w:type="dxa"/>
              <w:right w:w="28" w:type="dxa"/>
            </w:tcMar>
            <w:vAlign w:val="center"/>
          </w:tcPr>
          <w:p w14:paraId="65B2099B" w14:textId="1EEDFCC3"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05 Eylül 2013 tarihli "Bankaların Özkaynaklarına İlişkin Yönetmelik".</w:t>
            </w:r>
          </w:p>
        </w:tc>
      </w:tr>
      <w:tr w:rsidR="00FD6F98" w:rsidRPr="00FB38E1" w14:paraId="67F0A99A" w14:textId="77777777" w:rsidTr="00F12288">
        <w:tblPrEx>
          <w:tblCellMar>
            <w:left w:w="108" w:type="dxa"/>
            <w:right w:w="108" w:type="dxa"/>
          </w:tblCellMar>
        </w:tblPrEx>
        <w:tc>
          <w:tcPr>
            <w:tcW w:w="5190" w:type="dxa"/>
            <w:tcMar>
              <w:left w:w="28" w:type="dxa"/>
              <w:right w:w="28" w:type="dxa"/>
            </w:tcMar>
            <w:vAlign w:val="center"/>
          </w:tcPr>
          <w:p w14:paraId="359A9C7E" w14:textId="368DFF56" w:rsidR="00FD6F98" w:rsidRPr="00FB38E1" w:rsidRDefault="00FD6F98" w:rsidP="00FD6F98">
            <w:pP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Özkaynak Hesaplamasında Dikkate Alınma Durumu</w:t>
            </w:r>
          </w:p>
        </w:tc>
        <w:tc>
          <w:tcPr>
            <w:tcW w:w="2342" w:type="dxa"/>
            <w:tcMar>
              <w:left w:w="28" w:type="dxa"/>
              <w:right w:w="28" w:type="dxa"/>
            </w:tcMar>
            <w:vAlign w:val="center"/>
          </w:tcPr>
          <w:p w14:paraId="07726152" w14:textId="33C3BBC5" w:rsidR="00FD6F98" w:rsidRPr="00FB38E1" w:rsidRDefault="00FD6F98" w:rsidP="00FD6F98">
            <w:pPr>
              <w:jc w:val="cente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4A0C4E92" w14:textId="6C01D85A" w:rsidR="00FD6F98" w:rsidRPr="00FB38E1" w:rsidRDefault="00FD6F98" w:rsidP="00FD6F98">
            <w:pPr>
              <w:jc w:val="cente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 </w:t>
            </w:r>
          </w:p>
        </w:tc>
      </w:tr>
      <w:tr w:rsidR="00FD6F98" w:rsidRPr="00FB38E1" w14:paraId="61C0DF83" w14:textId="77777777" w:rsidTr="00F12288">
        <w:tblPrEx>
          <w:tblCellMar>
            <w:left w:w="108" w:type="dxa"/>
            <w:right w:w="108" w:type="dxa"/>
          </w:tblCellMar>
        </w:tblPrEx>
        <w:tc>
          <w:tcPr>
            <w:tcW w:w="5190" w:type="dxa"/>
            <w:tcMar>
              <w:left w:w="28" w:type="dxa"/>
              <w:right w:w="28" w:type="dxa"/>
            </w:tcMar>
            <w:vAlign w:val="center"/>
          </w:tcPr>
          <w:p w14:paraId="16A762BF" w14:textId="60D0FBD0"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1/1/2015'den itibaren %10 oranında azaltılarak dikkate alınma uygulamasına tabi olma durumu</w:t>
            </w:r>
          </w:p>
        </w:tc>
        <w:tc>
          <w:tcPr>
            <w:tcW w:w="2342" w:type="dxa"/>
            <w:tcMar>
              <w:left w:w="28" w:type="dxa"/>
              <w:right w:w="28" w:type="dxa"/>
            </w:tcMar>
            <w:vAlign w:val="center"/>
          </w:tcPr>
          <w:p w14:paraId="2E83FF25" w14:textId="304F9946"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Yok</w:t>
            </w:r>
          </w:p>
        </w:tc>
        <w:tc>
          <w:tcPr>
            <w:tcW w:w="2107" w:type="dxa"/>
            <w:tcMar>
              <w:left w:w="28" w:type="dxa"/>
              <w:right w:w="28" w:type="dxa"/>
            </w:tcMar>
            <w:vAlign w:val="center"/>
          </w:tcPr>
          <w:p w14:paraId="18E00C67" w14:textId="412C990B"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Yok</w:t>
            </w:r>
          </w:p>
        </w:tc>
      </w:tr>
      <w:tr w:rsidR="00FD6F98" w:rsidRPr="00FB38E1" w14:paraId="7174C221" w14:textId="77777777" w:rsidTr="00F12288">
        <w:tblPrEx>
          <w:tblCellMar>
            <w:left w:w="108" w:type="dxa"/>
            <w:right w:w="108" w:type="dxa"/>
          </w:tblCellMar>
        </w:tblPrEx>
        <w:tc>
          <w:tcPr>
            <w:tcW w:w="5190" w:type="dxa"/>
            <w:tcMar>
              <w:left w:w="28" w:type="dxa"/>
              <w:right w:w="28" w:type="dxa"/>
            </w:tcMar>
            <w:vAlign w:val="center"/>
          </w:tcPr>
          <w:p w14:paraId="3F4B9FD9" w14:textId="3467DF5F"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Konsolide veya konsolide olmayan bazda veya hem konsolide hem konsolide olmayan bazda geçerlilik durumu</w:t>
            </w:r>
          </w:p>
        </w:tc>
        <w:tc>
          <w:tcPr>
            <w:tcW w:w="2342" w:type="dxa"/>
            <w:tcMar>
              <w:left w:w="28" w:type="dxa"/>
              <w:right w:w="28" w:type="dxa"/>
            </w:tcMar>
            <w:vAlign w:val="center"/>
          </w:tcPr>
          <w:p w14:paraId="534019F4" w14:textId="556F70FC"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Geçerli</w:t>
            </w:r>
          </w:p>
        </w:tc>
        <w:tc>
          <w:tcPr>
            <w:tcW w:w="2107" w:type="dxa"/>
            <w:tcMar>
              <w:left w:w="28" w:type="dxa"/>
              <w:right w:w="28" w:type="dxa"/>
            </w:tcMar>
            <w:vAlign w:val="center"/>
          </w:tcPr>
          <w:p w14:paraId="5D30827A" w14:textId="699FA4C6"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Geçerli</w:t>
            </w:r>
          </w:p>
        </w:tc>
      </w:tr>
      <w:tr w:rsidR="00FD6F98" w:rsidRPr="00FB38E1" w14:paraId="78B40756" w14:textId="77777777" w:rsidTr="00F12288">
        <w:tblPrEx>
          <w:tblCellMar>
            <w:left w:w="108" w:type="dxa"/>
            <w:right w:w="108" w:type="dxa"/>
          </w:tblCellMar>
        </w:tblPrEx>
        <w:tc>
          <w:tcPr>
            <w:tcW w:w="5190" w:type="dxa"/>
            <w:tcMar>
              <w:left w:w="28" w:type="dxa"/>
              <w:right w:w="28" w:type="dxa"/>
            </w:tcMar>
            <w:vAlign w:val="center"/>
          </w:tcPr>
          <w:p w14:paraId="27487196" w14:textId="2343FB4C"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Borçlanma aracının türü</w:t>
            </w:r>
          </w:p>
        </w:tc>
        <w:tc>
          <w:tcPr>
            <w:tcW w:w="2342" w:type="dxa"/>
            <w:tcMar>
              <w:left w:w="28" w:type="dxa"/>
              <w:right w:w="28" w:type="dxa"/>
            </w:tcMar>
            <w:vAlign w:val="center"/>
          </w:tcPr>
          <w:p w14:paraId="213A5C3D" w14:textId="7239100B"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Kredi</w:t>
            </w:r>
          </w:p>
        </w:tc>
        <w:tc>
          <w:tcPr>
            <w:tcW w:w="2107" w:type="dxa"/>
            <w:tcMar>
              <w:left w:w="28" w:type="dxa"/>
              <w:right w:w="28" w:type="dxa"/>
            </w:tcMar>
            <w:vAlign w:val="center"/>
          </w:tcPr>
          <w:p w14:paraId="56F15458" w14:textId="592FF0B9"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Kredi</w:t>
            </w:r>
          </w:p>
        </w:tc>
      </w:tr>
      <w:tr w:rsidR="00FD6F98" w:rsidRPr="00FB38E1" w14:paraId="61E40EE0" w14:textId="77777777" w:rsidTr="00F12288">
        <w:tblPrEx>
          <w:tblCellMar>
            <w:left w:w="108" w:type="dxa"/>
            <w:right w:w="108" w:type="dxa"/>
          </w:tblCellMar>
        </w:tblPrEx>
        <w:tc>
          <w:tcPr>
            <w:tcW w:w="5190" w:type="dxa"/>
            <w:tcMar>
              <w:left w:w="28" w:type="dxa"/>
              <w:right w:w="28" w:type="dxa"/>
            </w:tcMar>
            <w:vAlign w:val="center"/>
          </w:tcPr>
          <w:p w14:paraId="2D8A720B" w14:textId="6937E9CE"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Özkaynak hesaplamasında dikkate alınan tutar (En son raporlama tarihi itibarıyla - Milyon TL)</w:t>
            </w:r>
          </w:p>
        </w:tc>
        <w:tc>
          <w:tcPr>
            <w:tcW w:w="2342" w:type="dxa"/>
            <w:tcMar>
              <w:left w:w="28" w:type="dxa"/>
              <w:right w:w="28" w:type="dxa"/>
            </w:tcMar>
            <w:vAlign w:val="center"/>
          </w:tcPr>
          <w:p w14:paraId="3345E27E" w14:textId="7E0EDFE0"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4225</w:t>
            </w:r>
          </w:p>
        </w:tc>
        <w:tc>
          <w:tcPr>
            <w:tcW w:w="2107" w:type="dxa"/>
            <w:tcMar>
              <w:left w:w="28" w:type="dxa"/>
              <w:right w:w="28" w:type="dxa"/>
            </w:tcMar>
            <w:vAlign w:val="center"/>
          </w:tcPr>
          <w:p w14:paraId="1B0ED517" w14:textId="38F52E2C"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7797</w:t>
            </w:r>
          </w:p>
        </w:tc>
      </w:tr>
      <w:tr w:rsidR="00FD6F98" w:rsidRPr="00FB38E1" w14:paraId="6B97BB14" w14:textId="77777777" w:rsidTr="00F12288">
        <w:tblPrEx>
          <w:tblCellMar>
            <w:left w:w="108" w:type="dxa"/>
            <w:right w:w="108" w:type="dxa"/>
          </w:tblCellMar>
        </w:tblPrEx>
        <w:tc>
          <w:tcPr>
            <w:tcW w:w="5190" w:type="dxa"/>
            <w:tcMar>
              <w:left w:w="28" w:type="dxa"/>
              <w:right w:w="28" w:type="dxa"/>
            </w:tcMar>
            <w:vAlign w:val="center"/>
          </w:tcPr>
          <w:p w14:paraId="051B9D64" w14:textId="34488D20"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Borçlanma aracının nominal değeri (Milyon TL)</w:t>
            </w:r>
          </w:p>
        </w:tc>
        <w:tc>
          <w:tcPr>
            <w:tcW w:w="2342" w:type="dxa"/>
            <w:tcMar>
              <w:left w:w="28" w:type="dxa"/>
              <w:right w:w="28" w:type="dxa"/>
            </w:tcMar>
            <w:vAlign w:val="center"/>
          </w:tcPr>
          <w:p w14:paraId="0F71BC07" w14:textId="60ECC1A9"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4225</w:t>
            </w:r>
          </w:p>
        </w:tc>
        <w:tc>
          <w:tcPr>
            <w:tcW w:w="2107" w:type="dxa"/>
            <w:tcMar>
              <w:left w:w="28" w:type="dxa"/>
              <w:right w:w="28" w:type="dxa"/>
            </w:tcMar>
            <w:vAlign w:val="center"/>
          </w:tcPr>
          <w:p w14:paraId="194722F3" w14:textId="077580CA"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7797</w:t>
            </w:r>
          </w:p>
        </w:tc>
      </w:tr>
      <w:tr w:rsidR="00FD6F98" w:rsidRPr="00FB38E1" w14:paraId="128DF98D" w14:textId="77777777" w:rsidTr="00F12288">
        <w:tblPrEx>
          <w:tblCellMar>
            <w:left w:w="108" w:type="dxa"/>
            <w:right w:w="108" w:type="dxa"/>
          </w:tblCellMar>
        </w:tblPrEx>
        <w:tc>
          <w:tcPr>
            <w:tcW w:w="5190" w:type="dxa"/>
            <w:tcMar>
              <w:left w:w="28" w:type="dxa"/>
              <w:right w:w="28" w:type="dxa"/>
            </w:tcMar>
            <w:vAlign w:val="center"/>
          </w:tcPr>
          <w:p w14:paraId="36F0D3DF" w14:textId="7814D04E"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Borçlanma aracının muhasebesel olarak takip edildiği hesap</w:t>
            </w:r>
          </w:p>
        </w:tc>
        <w:tc>
          <w:tcPr>
            <w:tcW w:w="2342" w:type="dxa"/>
            <w:tcMar>
              <w:left w:w="28" w:type="dxa"/>
              <w:right w:w="28" w:type="dxa"/>
            </w:tcMar>
            <w:vAlign w:val="center"/>
          </w:tcPr>
          <w:p w14:paraId="4FFCD12D" w14:textId="761ED8CC"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3470102</w:t>
            </w:r>
          </w:p>
        </w:tc>
        <w:tc>
          <w:tcPr>
            <w:tcW w:w="2107" w:type="dxa"/>
            <w:tcMar>
              <w:left w:w="28" w:type="dxa"/>
              <w:right w:w="28" w:type="dxa"/>
            </w:tcMar>
            <w:vAlign w:val="center"/>
          </w:tcPr>
          <w:p w14:paraId="30F189E9" w14:textId="1B76C5C3"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3470102</w:t>
            </w:r>
          </w:p>
        </w:tc>
      </w:tr>
      <w:tr w:rsidR="00FD6F98" w:rsidRPr="00FB38E1" w14:paraId="56C68FC5" w14:textId="77777777" w:rsidTr="00F12288">
        <w:tblPrEx>
          <w:tblCellMar>
            <w:left w:w="108" w:type="dxa"/>
            <w:right w:w="108" w:type="dxa"/>
          </w:tblCellMar>
        </w:tblPrEx>
        <w:tc>
          <w:tcPr>
            <w:tcW w:w="5190" w:type="dxa"/>
            <w:tcMar>
              <w:left w:w="28" w:type="dxa"/>
              <w:right w:w="28" w:type="dxa"/>
            </w:tcMar>
            <w:vAlign w:val="center"/>
          </w:tcPr>
          <w:p w14:paraId="6BAB53A9" w14:textId="7B9FD9E5"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Borçlanma aracının ihraç tarihi</w:t>
            </w:r>
          </w:p>
        </w:tc>
        <w:tc>
          <w:tcPr>
            <w:tcW w:w="2342" w:type="dxa"/>
            <w:tcMar>
              <w:left w:w="28" w:type="dxa"/>
              <w:right w:w="28" w:type="dxa"/>
            </w:tcMar>
            <w:vAlign w:val="center"/>
          </w:tcPr>
          <w:p w14:paraId="26B57880" w14:textId="70579834"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02.10.2034</w:t>
            </w:r>
          </w:p>
        </w:tc>
        <w:tc>
          <w:tcPr>
            <w:tcW w:w="2107" w:type="dxa"/>
            <w:tcMar>
              <w:left w:w="28" w:type="dxa"/>
              <w:right w:w="28" w:type="dxa"/>
            </w:tcMar>
            <w:vAlign w:val="center"/>
          </w:tcPr>
          <w:p w14:paraId="1ADC94F4" w14:textId="4CF2C1BE"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31.01.2034</w:t>
            </w:r>
          </w:p>
        </w:tc>
      </w:tr>
      <w:tr w:rsidR="00FD6F98" w:rsidRPr="00FB38E1" w14:paraId="518B5ADA" w14:textId="77777777" w:rsidTr="00F12288">
        <w:tblPrEx>
          <w:tblCellMar>
            <w:left w:w="108" w:type="dxa"/>
            <w:right w:w="108" w:type="dxa"/>
          </w:tblCellMar>
        </w:tblPrEx>
        <w:tc>
          <w:tcPr>
            <w:tcW w:w="5190" w:type="dxa"/>
            <w:tcMar>
              <w:left w:w="28" w:type="dxa"/>
              <w:right w:w="28" w:type="dxa"/>
            </w:tcMar>
            <w:vAlign w:val="center"/>
          </w:tcPr>
          <w:p w14:paraId="1A8657A7" w14:textId="35E13A6A"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Borçlanma aracının vade yapısı (vadesiz/vadeli)</w:t>
            </w:r>
          </w:p>
        </w:tc>
        <w:tc>
          <w:tcPr>
            <w:tcW w:w="2342" w:type="dxa"/>
            <w:tcMar>
              <w:left w:w="28" w:type="dxa"/>
              <w:right w:w="28" w:type="dxa"/>
            </w:tcMar>
            <w:vAlign w:val="center"/>
          </w:tcPr>
          <w:p w14:paraId="2EDD6867" w14:textId="3E08BC3C"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Vadeli</w:t>
            </w:r>
          </w:p>
        </w:tc>
        <w:tc>
          <w:tcPr>
            <w:tcW w:w="2107" w:type="dxa"/>
            <w:tcMar>
              <w:left w:w="28" w:type="dxa"/>
              <w:right w:w="28" w:type="dxa"/>
            </w:tcMar>
            <w:vAlign w:val="center"/>
          </w:tcPr>
          <w:p w14:paraId="7EFAFCDF" w14:textId="18365D77"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Vadeli</w:t>
            </w:r>
          </w:p>
        </w:tc>
      </w:tr>
      <w:tr w:rsidR="00FD6F98" w:rsidRPr="00FB38E1" w14:paraId="7E96E408" w14:textId="77777777" w:rsidTr="00F12288">
        <w:tblPrEx>
          <w:tblCellMar>
            <w:left w:w="108" w:type="dxa"/>
            <w:right w:w="108" w:type="dxa"/>
          </w:tblCellMar>
        </w:tblPrEx>
        <w:tc>
          <w:tcPr>
            <w:tcW w:w="5190" w:type="dxa"/>
            <w:tcMar>
              <w:left w:w="28" w:type="dxa"/>
              <w:right w:w="28" w:type="dxa"/>
            </w:tcMar>
            <w:vAlign w:val="center"/>
          </w:tcPr>
          <w:p w14:paraId="6A292C9E" w14:textId="64EE6B6A"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Borçlanma aracının başlangıç vadesi</w:t>
            </w:r>
          </w:p>
        </w:tc>
        <w:tc>
          <w:tcPr>
            <w:tcW w:w="2342" w:type="dxa"/>
            <w:tcMar>
              <w:left w:w="28" w:type="dxa"/>
              <w:right w:w="28" w:type="dxa"/>
            </w:tcMar>
            <w:vAlign w:val="center"/>
          </w:tcPr>
          <w:p w14:paraId="48A197EB" w14:textId="04F867BE"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20 yıl</w:t>
            </w:r>
          </w:p>
        </w:tc>
        <w:tc>
          <w:tcPr>
            <w:tcW w:w="2107" w:type="dxa"/>
            <w:tcMar>
              <w:left w:w="28" w:type="dxa"/>
              <w:right w:w="28" w:type="dxa"/>
            </w:tcMar>
            <w:vAlign w:val="center"/>
          </w:tcPr>
          <w:p w14:paraId="7A4DE923" w14:textId="381E6D47"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20 yıl</w:t>
            </w:r>
          </w:p>
        </w:tc>
      </w:tr>
      <w:tr w:rsidR="00FD6F98" w:rsidRPr="00FB38E1" w14:paraId="76125398" w14:textId="77777777" w:rsidTr="00F12288">
        <w:tblPrEx>
          <w:tblCellMar>
            <w:left w:w="108" w:type="dxa"/>
            <w:right w:w="108" w:type="dxa"/>
          </w:tblCellMar>
        </w:tblPrEx>
        <w:tc>
          <w:tcPr>
            <w:tcW w:w="5190" w:type="dxa"/>
            <w:tcMar>
              <w:left w:w="28" w:type="dxa"/>
              <w:right w:w="28" w:type="dxa"/>
            </w:tcMar>
            <w:vAlign w:val="center"/>
          </w:tcPr>
          <w:p w14:paraId="7DB70A8D" w14:textId="6AE18D69"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İhraçcının BDDK onayına bağlı geri ödeme hakkının olup olmadığı</w:t>
            </w:r>
          </w:p>
        </w:tc>
        <w:tc>
          <w:tcPr>
            <w:tcW w:w="2342" w:type="dxa"/>
            <w:tcMar>
              <w:left w:w="28" w:type="dxa"/>
              <w:right w:w="28" w:type="dxa"/>
            </w:tcMar>
            <w:vAlign w:val="center"/>
          </w:tcPr>
          <w:p w14:paraId="721CC8F8" w14:textId="48C054B6"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Var</w:t>
            </w:r>
          </w:p>
        </w:tc>
        <w:tc>
          <w:tcPr>
            <w:tcW w:w="2107" w:type="dxa"/>
            <w:tcMar>
              <w:left w:w="28" w:type="dxa"/>
              <w:right w:w="28" w:type="dxa"/>
            </w:tcMar>
            <w:vAlign w:val="center"/>
          </w:tcPr>
          <w:p w14:paraId="5556B4C6" w14:textId="392DB69B"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Var</w:t>
            </w:r>
          </w:p>
        </w:tc>
      </w:tr>
      <w:tr w:rsidR="00FD6F98" w:rsidRPr="00FB38E1" w14:paraId="5A3ECD8B" w14:textId="77777777" w:rsidTr="00F12288">
        <w:tblPrEx>
          <w:tblCellMar>
            <w:left w:w="108" w:type="dxa"/>
            <w:right w:w="108" w:type="dxa"/>
          </w:tblCellMar>
        </w:tblPrEx>
        <w:tc>
          <w:tcPr>
            <w:tcW w:w="5190" w:type="dxa"/>
            <w:tcMar>
              <w:left w:w="28" w:type="dxa"/>
              <w:right w:w="28" w:type="dxa"/>
            </w:tcMar>
            <w:vAlign w:val="center"/>
          </w:tcPr>
          <w:p w14:paraId="381DD7B8" w14:textId="4E53AF2D"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Geri ödeme opsiyonu tarihi, şarta bağlı geri ödeme opsiyonları ve geri ödenecek tutar</w:t>
            </w:r>
          </w:p>
        </w:tc>
        <w:tc>
          <w:tcPr>
            <w:tcW w:w="2342" w:type="dxa"/>
            <w:tcMar>
              <w:left w:w="28" w:type="dxa"/>
              <w:right w:w="28" w:type="dxa"/>
            </w:tcMar>
            <w:vAlign w:val="center"/>
          </w:tcPr>
          <w:p w14:paraId="6BE97E17" w14:textId="410B861B"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BDDK'nın yazılı onayına tabi olmak suretiyle, kredi kullandırımının 5. yılında tamamen geri ödenebilir.</w:t>
            </w:r>
          </w:p>
        </w:tc>
        <w:tc>
          <w:tcPr>
            <w:tcW w:w="2107" w:type="dxa"/>
            <w:tcMar>
              <w:left w:w="28" w:type="dxa"/>
              <w:right w:w="28" w:type="dxa"/>
            </w:tcMar>
            <w:vAlign w:val="center"/>
          </w:tcPr>
          <w:p w14:paraId="779726CC" w14:textId="7F7AC1E5"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BDDK'nın yazılı onayına tabi olmak suretiyle, kredi kullandırımından en az 5 yıl sonra olmak üzere planlanan geri ödeme gününden önceki herhangi bir zamanda tamamen ve ya kısmen geri ödenebilir.</w:t>
            </w:r>
          </w:p>
        </w:tc>
      </w:tr>
      <w:tr w:rsidR="00FD6F98" w:rsidRPr="00FB38E1" w14:paraId="479EF83E" w14:textId="77777777" w:rsidTr="00F12288">
        <w:tblPrEx>
          <w:tblCellMar>
            <w:left w:w="108" w:type="dxa"/>
            <w:right w:w="108" w:type="dxa"/>
          </w:tblCellMar>
        </w:tblPrEx>
        <w:tc>
          <w:tcPr>
            <w:tcW w:w="5190" w:type="dxa"/>
            <w:tcMar>
              <w:left w:w="28" w:type="dxa"/>
              <w:right w:w="28" w:type="dxa"/>
            </w:tcMar>
            <w:vAlign w:val="center"/>
          </w:tcPr>
          <w:p w14:paraId="366046BB" w14:textId="51EC4844"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Müteakip geri ödeme opsiyonu tarihleri</w:t>
            </w:r>
          </w:p>
        </w:tc>
        <w:tc>
          <w:tcPr>
            <w:tcW w:w="2342" w:type="dxa"/>
            <w:tcMar>
              <w:left w:w="28" w:type="dxa"/>
              <w:right w:w="28" w:type="dxa"/>
            </w:tcMar>
            <w:vAlign w:val="center"/>
          </w:tcPr>
          <w:p w14:paraId="268649BA" w14:textId="3A810FCC"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Bulunmamaktadır.</w:t>
            </w:r>
          </w:p>
        </w:tc>
        <w:tc>
          <w:tcPr>
            <w:tcW w:w="2107" w:type="dxa"/>
            <w:tcMar>
              <w:left w:w="28" w:type="dxa"/>
              <w:right w:w="28" w:type="dxa"/>
            </w:tcMar>
            <w:vAlign w:val="center"/>
          </w:tcPr>
          <w:p w14:paraId="08C73D97" w14:textId="547D3F3B"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Bulunmamaktadır.</w:t>
            </w:r>
          </w:p>
        </w:tc>
      </w:tr>
      <w:tr w:rsidR="00FD6F98" w:rsidRPr="00FB38E1" w14:paraId="50EAE128" w14:textId="77777777" w:rsidTr="00F12288">
        <w:tblPrEx>
          <w:tblCellMar>
            <w:left w:w="108" w:type="dxa"/>
            <w:right w:w="108" w:type="dxa"/>
          </w:tblCellMar>
        </w:tblPrEx>
        <w:tc>
          <w:tcPr>
            <w:tcW w:w="5190" w:type="dxa"/>
            <w:tcMar>
              <w:left w:w="28" w:type="dxa"/>
              <w:right w:w="28" w:type="dxa"/>
            </w:tcMar>
            <w:vAlign w:val="center"/>
          </w:tcPr>
          <w:p w14:paraId="38A62ECD" w14:textId="339F50F1" w:rsidR="00FD6F98" w:rsidRPr="00FB38E1" w:rsidRDefault="00FD6F98" w:rsidP="00FD6F98">
            <w:pP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Faiz/temettü ödemeleri</w:t>
            </w:r>
          </w:p>
        </w:tc>
        <w:tc>
          <w:tcPr>
            <w:tcW w:w="2342" w:type="dxa"/>
            <w:tcMar>
              <w:left w:w="28" w:type="dxa"/>
              <w:right w:w="28" w:type="dxa"/>
            </w:tcMar>
            <w:vAlign w:val="center"/>
          </w:tcPr>
          <w:p w14:paraId="5A5E44DD" w14:textId="7D4E029A" w:rsidR="00FD6F98" w:rsidRPr="00FB38E1" w:rsidRDefault="00FD6F98" w:rsidP="00FD6F98">
            <w:pPr>
              <w:jc w:val="cente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6D84BCAE" w14:textId="482D4D01" w:rsidR="00FD6F98" w:rsidRPr="00FB38E1" w:rsidRDefault="00FD6F98" w:rsidP="00FD6F98">
            <w:pPr>
              <w:jc w:val="cente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 </w:t>
            </w:r>
          </w:p>
        </w:tc>
      </w:tr>
      <w:tr w:rsidR="00FD6F98" w:rsidRPr="00FB38E1" w14:paraId="7CA437CF" w14:textId="77777777" w:rsidTr="00F12288">
        <w:tblPrEx>
          <w:tblCellMar>
            <w:left w:w="108" w:type="dxa"/>
            <w:right w:w="108" w:type="dxa"/>
          </w:tblCellMar>
        </w:tblPrEx>
        <w:tc>
          <w:tcPr>
            <w:tcW w:w="5190" w:type="dxa"/>
            <w:tcMar>
              <w:left w:w="28" w:type="dxa"/>
              <w:right w:w="28" w:type="dxa"/>
            </w:tcMar>
            <w:vAlign w:val="center"/>
          </w:tcPr>
          <w:p w14:paraId="5DCC90E0" w14:textId="3A210666"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Sabit veya değişken faiz/temettü ödemeleri</w:t>
            </w:r>
          </w:p>
        </w:tc>
        <w:tc>
          <w:tcPr>
            <w:tcW w:w="2342" w:type="dxa"/>
            <w:tcMar>
              <w:left w:w="28" w:type="dxa"/>
              <w:right w:w="28" w:type="dxa"/>
            </w:tcMar>
            <w:vAlign w:val="center"/>
          </w:tcPr>
          <w:p w14:paraId="0BDEB6F2" w14:textId="6E6BA3B9"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Sabit faiz</w:t>
            </w:r>
          </w:p>
        </w:tc>
        <w:tc>
          <w:tcPr>
            <w:tcW w:w="2107" w:type="dxa"/>
            <w:tcMar>
              <w:left w:w="28" w:type="dxa"/>
              <w:right w:w="28" w:type="dxa"/>
            </w:tcMar>
            <w:vAlign w:val="center"/>
          </w:tcPr>
          <w:p w14:paraId="7A1D2605" w14:textId="484F3F50"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Sabit faiz</w:t>
            </w:r>
          </w:p>
        </w:tc>
      </w:tr>
      <w:tr w:rsidR="00FD6F98" w:rsidRPr="00FB38E1" w14:paraId="70832A49" w14:textId="77777777" w:rsidTr="00F12288">
        <w:tblPrEx>
          <w:tblCellMar>
            <w:left w:w="108" w:type="dxa"/>
            <w:right w:w="108" w:type="dxa"/>
          </w:tblCellMar>
        </w:tblPrEx>
        <w:tc>
          <w:tcPr>
            <w:tcW w:w="5190" w:type="dxa"/>
            <w:tcMar>
              <w:left w:w="28" w:type="dxa"/>
              <w:right w:w="28" w:type="dxa"/>
            </w:tcMar>
            <w:vAlign w:val="center"/>
          </w:tcPr>
          <w:p w14:paraId="42FE014D" w14:textId="7DBC4851"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Faiz oranı ve faiz oranına ilişkin endeks değerleri</w:t>
            </w:r>
          </w:p>
        </w:tc>
        <w:tc>
          <w:tcPr>
            <w:tcW w:w="2342" w:type="dxa"/>
            <w:tcMar>
              <w:left w:w="28" w:type="dxa"/>
              <w:right w:w="28" w:type="dxa"/>
            </w:tcMar>
            <w:vAlign w:val="center"/>
          </w:tcPr>
          <w:p w14:paraId="2584BF9D" w14:textId="6A9DD122"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6,85%</w:t>
            </w:r>
          </w:p>
        </w:tc>
        <w:tc>
          <w:tcPr>
            <w:tcW w:w="2107" w:type="dxa"/>
            <w:tcMar>
              <w:left w:w="28" w:type="dxa"/>
              <w:right w:w="28" w:type="dxa"/>
            </w:tcMar>
            <w:vAlign w:val="center"/>
          </w:tcPr>
          <w:p w14:paraId="70B7BF4D" w14:textId="4513F172"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8,375%</w:t>
            </w:r>
          </w:p>
        </w:tc>
      </w:tr>
      <w:tr w:rsidR="00FD6F98" w:rsidRPr="00FB38E1" w14:paraId="40A59E42" w14:textId="77777777" w:rsidTr="00F12288">
        <w:tblPrEx>
          <w:tblCellMar>
            <w:left w:w="108" w:type="dxa"/>
            <w:right w:w="108" w:type="dxa"/>
          </w:tblCellMar>
        </w:tblPrEx>
        <w:tc>
          <w:tcPr>
            <w:tcW w:w="5190" w:type="dxa"/>
            <w:tcMar>
              <w:left w:w="28" w:type="dxa"/>
              <w:right w:w="28" w:type="dxa"/>
            </w:tcMar>
            <w:vAlign w:val="center"/>
          </w:tcPr>
          <w:p w14:paraId="72FA3711" w14:textId="581389BA"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Temettü ödemesini durduran herhangi bir kısıtlamanın var olup olmadığı</w:t>
            </w:r>
          </w:p>
        </w:tc>
        <w:tc>
          <w:tcPr>
            <w:tcW w:w="2342" w:type="dxa"/>
            <w:tcMar>
              <w:left w:w="28" w:type="dxa"/>
              <w:right w:w="28" w:type="dxa"/>
            </w:tcMar>
            <w:vAlign w:val="center"/>
          </w:tcPr>
          <w:p w14:paraId="041F6D75" w14:textId="285C59F0"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Temettü ödemesi bulunmamaktadır.</w:t>
            </w:r>
          </w:p>
        </w:tc>
        <w:tc>
          <w:tcPr>
            <w:tcW w:w="2107" w:type="dxa"/>
            <w:tcMar>
              <w:left w:w="28" w:type="dxa"/>
              <w:right w:w="28" w:type="dxa"/>
            </w:tcMar>
            <w:vAlign w:val="center"/>
          </w:tcPr>
          <w:p w14:paraId="44B6D2BB" w14:textId="7CD930D0"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Temettü ödemesi bulunmamaktadır.</w:t>
            </w:r>
          </w:p>
        </w:tc>
      </w:tr>
      <w:tr w:rsidR="00FD6F98" w:rsidRPr="00FB38E1" w14:paraId="404F72BE" w14:textId="77777777" w:rsidTr="00F12288">
        <w:tblPrEx>
          <w:tblCellMar>
            <w:left w:w="108" w:type="dxa"/>
            <w:right w:w="108" w:type="dxa"/>
          </w:tblCellMar>
        </w:tblPrEx>
        <w:tc>
          <w:tcPr>
            <w:tcW w:w="5190" w:type="dxa"/>
            <w:tcMar>
              <w:left w:w="28" w:type="dxa"/>
              <w:right w:w="28" w:type="dxa"/>
            </w:tcMar>
            <w:vAlign w:val="center"/>
          </w:tcPr>
          <w:p w14:paraId="2CB51FFF" w14:textId="2C4DE862"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Tamamen isteğe bağlı, kısmen isteğe bağlı ya da mecburi olma özelliği</w:t>
            </w:r>
          </w:p>
        </w:tc>
        <w:tc>
          <w:tcPr>
            <w:tcW w:w="2342" w:type="dxa"/>
            <w:tcMar>
              <w:left w:w="28" w:type="dxa"/>
              <w:right w:w="28" w:type="dxa"/>
            </w:tcMar>
            <w:vAlign w:val="center"/>
          </w:tcPr>
          <w:p w14:paraId="3B994132" w14:textId="340DA84D"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Mar>
              <w:left w:w="28" w:type="dxa"/>
              <w:right w:w="28" w:type="dxa"/>
            </w:tcMar>
            <w:vAlign w:val="center"/>
          </w:tcPr>
          <w:p w14:paraId="0166E08D" w14:textId="5BAC110E"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r w:rsidR="00FD6F98" w:rsidRPr="00FB38E1" w14:paraId="75731AD8" w14:textId="77777777" w:rsidTr="00F12288">
        <w:tblPrEx>
          <w:tblCellMar>
            <w:left w:w="108" w:type="dxa"/>
            <w:right w:w="108" w:type="dxa"/>
          </w:tblCellMar>
        </w:tblPrEx>
        <w:tc>
          <w:tcPr>
            <w:tcW w:w="5190" w:type="dxa"/>
            <w:tcMar>
              <w:left w:w="28" w:type="dxa"/>
              <w:right w:w="28" w:type="dxa"/>
            </w:tcMar>
            <w:vAlign w:val="center"/>
          </w:tcPr>
          <w:p w14:paraId="42F1CA33" w14:textId="684EF386"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Faiz arttırımı gibi geri ödemeyi teşvik edecek bir unsurun olup olmadığı</w:t>
            </w:r>
          </w:p>
        </w:tc>
        <w:tc>
          <w:tcPr>
            <w:tcW w:w="2342" w:type="dxa"/>
            <w:tcMar>
              <w:left w:w="28" w:type="dxa"/>
              <w:right w:w="28" w:type="dxa"/>
            </w:tcMar>
            <w:vAlign w:val="center"/>
          </w:tcPr>
          <w:p w14:paraId="50E6E4F0" w14:textId="5AD16604"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Bulunmamaktadır.</w:t>
            </w:r>
          </w:p>
        </w:tc>
        <w:tc>
          <w:tcPr>
            <w:tcW w:w="2107" w:type="dxa"/>
            <w:tcMar>
              <w:left w:w="28" w:type="dxa"/>
              <w:right w:w="28" w:type="dxa"/>
            </w:tcMar>
            <w:vAlign w:val="center"/>
          </w:tcPr>
          <w:p w14:paraId="44E99FEE" w14:textId="71255080"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Bulunmamaktadır.</w:t>
            </w:r>
          </w:p>
        </w:tc>
      </w:tr>
      <w:tr w:rsidR="00FD6F98" w:rsidRPr="00FB38E1" w14:paraId="071E30E7" w14:textId="77777777" w:rsidTr="00F12288">
        <w:tblPrEx>
          <w:tblCellMar>
            <w:left w:w="108" w:type="dxa"/>
            <w:right w:w="108" w:type="dxa"/>
          </w:tblCellMar>
        </w:tblPrEx>
        <w:tc>
          <w:tcPr>
            <w:tcW w:w="5190" w:type="dxa"/>
            <w:tcMar>
              <w:left w:w="28" w:type="dxa"/>
              <w:right w:w="28" w:type="dxa"/>
            </w:tcMar>
            <w:vAlign w:val="center"/>
          </w:tcPr>
          <w:p w14:paraId="5BD9CB93" w14:textId="70094EE7"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Birikimsiz ya da birikimli olma özelliği</w:t>
            </w:r>
          </w:p>
        </w:tc>
        <w:tc>
          <w:tcPr>
            <w:tcW w:w="2342" w:type="dxa"/>
            <w:tcMar>
              <w:left w:w="28" w:type="dxa"/>
              <w:right w:w="28" w:type="dxa"/>
            </w:tcMar>
            <w:vAlign w:val="center"/>
          </w:tcPr>
          <w:p w14:paraId="4D63B106" w14:textId="4A84C520"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Mar>
              <w:left w:w="28" w:type="dxa"/>
              <w:right w:w="28" w:type="dxa"/>
            </w:tcMar>
            <w:vAlign w:val="center"/>
          </w:tcPr>
          <w:p w14:paraId="048B1F3B" w14:textId="13BD8D7F"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r w:rsidR="00FD6F98" w:rsidRPr="00FB38E1" w14:paraId="057418EC" w14:textId="77777777" w:rsidTr="00F12288">
        <w:tblPrEx>
          <w:tblCellMar>
            <w:left w:w="108" w:type="dxa"/>
            <w:right w:w="108" w:type="dxa"/>
          </w:tblCellMar>
        </w:tblPrEx>
        <w:tc>
          <w:tcPr>
            <w:tcW w:w="5190" w:type="dxa"/>
            <w:tcMar>
              <w:left w:w="28" w:type="dxa"/>
              <w:right w:w="28" w:type="dxa"/>
            </w:tcMar>
            <w:vAlign w:val="center"/>
          </w:tcPr>
          <w:p w14:paraId="2C46C345" w14:textId="1709BCE9" w:rsidR="00FD6F98" w:rsidRPr="00FB38E1" w:rsidRDefault="00FD6F98" w:rsidP="00FD6F98">
            <w:pP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Hisse senedine dönüştürülebilme özelliği</w:t>
            </w:r>
          </w:p>
        </w:tc>
        <w:tc>
          <w:tcPr>
            <w:tcW w:w="2342" w:type="dxa"/>
            <w:tcMar>
              <w:left w:w="28" w:type="dxa"/>
              <w:right w:w="28" w:type="dxa"/>
            </w:tcMar>
            <w:vAlign w:val="center"/>
          </w:tcPr>
          <w:p w14:paraId="31BDEE22" w14:textId="527BF8A0" w:rsidR="00FD6F98" w:rsidRPr="00FB38E1" w:rsidRDefault="00FD6F98" w:rsidP="00FD6F98">
            <w:pPr>
              <w:jc w:val="cente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5E654D71" w14:textId="406C133D" w:rsidR="00FD6F98" w:rsidRPr="00FB38E1" w:rsidRDefault="00FD6F98" w:rsidP="00FD6F98">
            <w:pPr>
              <w:jc w:val="cente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 </w:t>
            </w:r>
          </w:p>
        </w:tc>
      </w:tr>
      <w:tr w:rsidR="00FD6F98" w:rsidRPr="00FB38E1" w14:paraId="7D20E038" w14:textId="77777777" w:rsidTr="00F12288">
        <w:tblPrEx>
          <w:tblCellMar>
            <w:left w:w="108" w:type="dxa"/>
            <w:right w:w="108" w:type="dxa"/>
          </w:tblCellMar>
        </w:tblPrEx>
        <w:tc>
          <w:tcPr>
            <w:tcW w:w="5190" w:type="dxa"/>
            <w:tcMar>
              <w:left w:w="28" w:type="dxa"/>
              <w:right w:w="28" w:type="dxa"/>
            </w:tcMar>
            <w:vAlign w:val="center"/>
          </w:tcPr>
          <w:p w14:paraId="51ECCDB4" w14:textId="5F7EB202"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Hisse senedine dönüştürülebilirse, dönüştürmeye sebep olacak tetikleyici olay/olaylar</w:t>
            </w:r>
          </w:p>
        </w:tc>
        <w:tc>
          <w:tcPr>
            <w:tcW w:w="2342" w:type="dxa"/>
            <w:tcMar>
              <w:left w:w="28" w:type="dxa"/>
              <w:right w:w="28" w:type="dxa"/>
            </w:tcMar>
            <w:vAlign w:val="center"/>
          </w:tcPr>
          <w:p w14:paraId="049C6689" w14:textId="41C2811F"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kredinin asıl anapara tutarı ve faiz ödeme yükümlülükleri tamamen veya kısmen sona erdirilebilir veya gerekli mevzuata uyularak sermayeye dönüştürülebilir.</w:t>
            </w:r>
          </w:p>
        </w:tc>
        <w:tc>
          <w:tcPr>
            <w:tcW w:w="2107" w:type="dxa"/>
            <w:tcMar>
              <w:left w:w="28" w:type="dxa"/>
              <w:right w:w="28" w:type="dxa"/>
            </w:tcMar>
            <w:vAlign w:val="center"/>
          </w:tcPr>
          <w:p w14:paraId="7F1637B5" w14:textId="017F770A"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Bankanın faaliyet izninin kaldırılması veya Fona devredilmesi ihtimalinin belirmesi halinde; Kurulun bu yönde alacağı karara istinaden geçici veya sürekli olarak kayıtlardan silinebilir veya gerekli mevzuata uyularak sermayeye dönüştürülebilir.</w:t>
            </w:r>
          </w:p>
        </w:tc>
      </w:tr>
      <w:tr w:rsidR="00FD6F98" w:rsidRPr="00FB38E1" w14:paraId="1BE161E5" w14:textId="77777777" w:rsidTr="00F12288">
        <w:tblPrEx>
          <w:tblCellMar>
            <w:left w:w="108" w:type="dxa"/>
            <w:right w:w="108" w:type="dxa"/>
          </w:tblCellMar>
        </w:tblPrEx>
        <w:tc>
          <w:tcPr>
            <w:tcW w:w="5190" w:type="dxa"/>
            <w:tcMar>
              <w:left w:w="28" w:type="dxa"/>
              <w:right w:w="28" w:type="dxa"/>
            </w:tcMar>
            <w:vAlign w:val="center"/>
          </w:tcPr>
          <w:p w14:paraId="7146BB41" w14:textId="67C64C5D"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Hisse senedine dönüştürülebilirse, tamamen veya kısman dönüştürülebilme özelliği</w:t>
            </w:r>
          </w:p>
        </w:tc>
        <w:tc>
          <w:tcPr>
            <w:tcW w:w="2342" w:type="dxa"/>
            <w:tcMar>
              <w:left w:w="28" w:type="dxa"/>
              <w:right w:w="28" w:type="dxa"/>
            </w:tcMar>
            <w:vAlign w:val="center"/>
          </w:tcPr>
          <w:p w14:paraId="418A90A5" w14:textId="190918E3"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Tamamen dönüştürülebilir.</w:t>
            </w:r>
          </w:p>
        </w:tc>
        <w:tc>
          <w:tcPr>
            <w:tcW w:w="2107" w:type="dxa"/>
            <w:tcMar>
              <w:left w:w="28" w:type="dxa"/>
              <w:right w:w="28" w:type="dxa"/>
            </w:tcMar>
            <w:vAlign w:val="center"/>
          </w:tcPr>
          <w:p w14:paraId="7BDBD04C" w14:textId="31954DA2"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Tamamen dönüştürülebilir.</w:t>
            </w:r>
          </w:p>
        </w:tc>
      </w:tr>
      <w:tr w:rsidR="00FD6F98" w:rsidRPr="00FB38E1" w14:paraId="78E5752E" w14:textId="77777777" w:rsidTr="00F12288">
        <w:tblPrEx>
          <w:tblCellMar>
            <w:left w:w="108" w:type="dxa"/>
            <w:right w:w="108" w:type="dxa"/>
          </w:tblCellMar>
        </w:tblPrEx>
        <w:tc>
          <w:tcPr>
            <w:tcW w:w="5190" w:type="dxa"/>
            <w:tcMar>
              <w:left w:w="28" w:type="dxa"/>
              <w:right w:w="28" w:type="dxa"/>
            </w:tcMar>
            <w:vAlign w:val="center"/>
          </w:tcPr>
          <w:p w14:paraId="30754D5B" w14:textId="4E50CEDF"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Hisse senedine dönüştürülebilirse dönüştürme oranı</w:t>
            </w:r>
          </w:p>
        </w:tc>
        <w:tc>
          <w:tcPr>
            <w:tcW w:w="2342" w:type="dxa"/>
            <w:tcMar>
              <w:left w:w="28" w:type="dxa"/>
              <w:right w:w="28" w:type="dxa"/>
            </w:tcMar>
            <w:vAlign w:val="center"/>
          </w:tcPr>
          <w:p w14:paraId="1F257A9F" w14:textId="1397D282"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Mar>
              <w:left w:w="28" w:type="dxa"/>
              <w:right w:w="28" w:type="dxa"/>
            </w:tcMar>
            <w:vAlign w:val="center"/>
          </w:tcPr>
          <w:p w14:paraId="7BDDE213" w14:textId="650F6A5C"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r w:rsidR="00FD6F98" w:rsidRPr="00FB38E1" w14:paraId="73CA0DFD" w14:textId="77777777" w:rsidTr="00F12288">
        <w:tblPrEx>
          <w:tblCellMar>
            <w:left w:w="108" w:type="dxa"/>
            <w:right w:w="108" w:type="dxa"/>
          </w:tblCellMar>
        </w:tblPrEx>
        <w:tc>
          <w:tcPr>
            <w:tcW w:w="5190" w:type="dxa"/>
            <w:tcMar>
              <w:left w:w="28" w:type="dxa"/>
              <w:right w:w="28" w:type="dxa"/>
            </w:tcMar>
            <w:vAlign w:val="center"/>
          </w:tcPr>
          <w:p w14:paraId="15CD4C37" w14:textId="7C2E51A5"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Hisse senedine dönüştürülebilirse, mecburi ya da isteğe bağlı dönüştürme özelliği</w:t>
            </w:r>
          </w:p>
        </w:tc>
        <w:tc>
          <w:tcPr>
            <w:tcW w:w="2342" w:type="dxa"/>
            <w:tcMar>
              <w:left w:w="28" w:type="dxa"/>
              <w:right w:w="28" w:type="dxa"/>
            </w:tcMar>
            <w:vAlign w:val="center"/>
          </w:tcPr>
          <w:p w14:paraId="7FF1A009" w14:textId="3B070DD8"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Mar>
              <w:left w:w="28" w:type="dxa"/>
              <w:right w:w="28" w:type="dxa"/>
            </w:tcMar>
            <w:vAlign w:val="center"/>
          </w:tcPr>
          <w:p w14:paraId="7395731A" w14:textId="718ACEC6"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r w:rsidR="00FD6F98" w:rsidRPr="00FB38E1" w14:paraId="256E64DD" w14:textId="77777777" w:rsidTr="00F12288">
        <w:tblPrEx>
          <w:tblCellMar>
            <w:left w:w="108" w:type="dxa"/>
            <w:right w:w="108" w:type="dxa"/>
          </w:tblCellMar>
        </w:tblPrEx>
        <w:tc>
          <w:tcPr>
            <w:tcW w:w="5190" w:type="dxa"/>
            <w:tcMar>
              <w:left w:w="28" w:type="dxa"/>
              <w:right w:w="28" w:type="dxa"/>
            </w:tcMar>
            <w:vAlign w:val="center"/>
          </w:tcPr>
          <w:p w14:paraId="2987A4FD" w14:textId="0F6043F3"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Hisse senedine dönüştürülebilirse, dönüştürülebilir araç türleri</w:t>
            </w:r>
          </w:p>
        </w:tc>
        <w:tc>
          <w:tcPr>
            <w:tcW w:w="2342" w:type="dxa"/>
            <w:tcMar>
              <w:left w:w="28" w:type="dxa"/>
              <w:right w:w="28" w:type="dxa"/>
            </w:tcMar>
            <w:vAlign w:val="center"/>
          </w:tcPr>
          <w:p w14:paraId="53D13DF9" w14:textId="1E5AA47D"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Mar>
              <w:left w:w="28" w:type="dxa"/>
              <w:right w:w="28" w:type="dxa"/>
            </w:tcMar>
            <w:vAlign w:val="center"/>
          </w:tcPr>
          <w:p w14:paraId="1D435EEA" w14:textId="3BE7933E"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r w:rsidR="00FD6F98" w:rsidRPr="00FB38E1" w14:paraId="2A4D82F3" w14:textId="77777777" w:rsidTr="00F12288">
        <w:tblPrEx>
          <w:tblCellMar>
            <w:left w:w="108" w:type="dxa"/>
            <w:right w:w="108" w:type="dxa"/>
          </w:tblCellMar>
        </w:tblPrEx>
        <w:tc>
          <w:tcPr>
            <w:tcW w:w="5190" w:type="dxa"/>
            <w:tcMar>
              <w:left w:w="28" w:type="dxa"/>
              <w:right w:w="28" w:type="dxa"/>
            </w:tcMar>
            <w:vAlign w:val="center"/>
          </w:tcPr>
          <w:p w14:paraId="1720429C" w14:textId="7E0FF64F"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Hisse senedine dönüştürülebilirse, dönüştürülecek borçlanma aracının ihraçcısı</w:t>
            </w:r>
          </w:p>
        </w:tc>
        <w:tc>
          <w:tcPr>
            <w:tcW w:w="2342" w:type="dxa"/>
            <w:tcMar>
              <w:left w:w="28" w:type="dxa"/>
              <w:right w:w="28" w:type="dxa"/>
            </w:tcMar>
            <w:vAlign w:val="center"/>
          </w:tcPr>
          <w:p w14:paraId="4BA829B9" w14:textId="66591D2A"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Mar>
              <w:left w:w="28" w:type="dxa"/>
              <w:right w:w="28" w:type="dxa"/>
            </w:tcMar>
            <w:vAlign w:val="center"/>
          </w:tcPr>
          <w:p w14:paraId="0D5569E3" w14:textId="16B20F68"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r w:rsidR="00FD6F98" w:rsidRPr="00FB38E1" w14:paraId="4C764C9C" w14:textId="77777777" w:rsidTr="00F12288">
        <w:tblPrEx>
          <w:tblCellMar>
            <w:left w:w="108" w:type="dxa"/>
            <w:right w:w="108" w:type="dxa"/>
          </w:tblCellMar>
        </w:tblPrEx>
        <w:tc>
          <w:tcPr>
            <w:tcW w:w="5190" w:type="dxa"/>
            <w:tcMar>
              <w:left w:w="28" w:type="dxa"/>
              <w:right w:w="28" w:type="dxa"/>
            </w:tcMar>
            <w:vAlign w:val="center"/>
          </w:tcPr>
          <w:p w14:paraId="7AA563F7" w14:textId="0D5539AF" w:rsidR="00FD6F98" w:rsidRPr="00FB38E1" w:rsidRDefault="00FD6F98" w:rsidP="00FD6F98">
            <w:pP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Değer azaltma özelliği</w:t>
            </w:r>
          </w:p>
        </w:tc>
        <w:tc>
          <w:tcPr>
            <w:tcW w:w="2342" w:type="dxa"/>
            <w:tcMar>
              <w:left w:w="28" w:type="dxa"/>
              <w:right w:w="28" w:type="dxa"/>
            </w:tcMar>
            <w:vAlign w:val="center"/>
          </w:tcPr>
          <w:p w14:paraId="35F8E3B5" w14:textId="1F2540E0" w:rsidR="00FD6F98" w:rsidRPr="00FB38E1" w:rsidRDefault="00FD6F98" w:rsidP="00FD6F98">
            <w:pPr>
              <w:jc w:val="cente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 </w:t>
            </w:r>
          </w:p>
        </w:tc>
        <w:tc>
          <w:tcPr>
            <w:tcW w:w="2107" w:type="dxa"/>
            <w:tcMar>
              <w:left w:w="28" w:type="dxa"/>
              <w:right w:w="28" w:type="dxa"/>
            </w:tcMar>
            <w:vAlign w:val="center"/>
          </w:tcPr>
          <w:p w14:paraId="28445CAA" w14:textId="0F8D5A1C" w:rsidR="00FD6F98" w:rsidRPr="00FB38E1" w:rsidRDefault="00FD6F98" w:rsidP="00FD6F98">
            <w:pPr>
              <w:jc w:val="cente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8"/>
                <w:szCs w:val="8"/>
              </w:rPr>
              <w:t> </w:t>
            </w:r>
          </w:p>
        </w:tc>
      </w:tr>
      <w:tr w:rsidR="00FD6F98" w:rsidRPr="00FB38E1" w14:paraId="3A8CFC97" w14:textId="77777777" w:rsidTr="00F12288">
        <w:tblPrEx>
          <w:tblCellMar>
            <w:left w:w="108" w:type="dxa"/>
            <w:right w:w="108" w:type="dxa"/>
          </w:tblCellMar>
        </w:tblPrEx>
        <w:tc>
          <w:tcPr>
            <w:tcW w:w="5190" w:type="dxa"/>
            <w:tcMar>
              <w:left w:w="28" w:type="dxa"/>
              <w:right w:w="28" w:type="dxa"/>
            </w:tcMar>
            <w:vAlign w:val="center"/>
          </w:tcPr>
          <w:p w14:paraId="7165DE00" w14:textId="5AA0FAA7"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Değer azaltma özelliğine sahipse, azaltıma sebep olacak tetikleyici olay/olaylar</w:t>
            </w:r>
          </w:p>
        </w:tc>
        <w:tc>
          <w:tcPr>
            <w:tcW w:w="2342" w:type="dxa"/>
            <w:tcMar>
              <w:left w:w="28" w:type="dxa"/>
              <w:right w:w="28" w:type="dxa"/>
            </w:tcMar>
            <w:vAlign w:val="center"/>
          </w:tcPr>
          <w:p w14:paraId="6C02A454" w14:textId="2A33074A"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Değer azaltma özelliğine sahip değildir.</w:t>
            </w:r>
          </w:p>
        </w:tc>
        <w:tc>
          <w:tcPr>
            <w:tcW w:w="2107" w:type="dxa"/>
            <w:tcMar>
              <w:left w:w="28" w:type="dxa"/>
              <w:right w:w="28" w:type="dxa"/>
            </w:tcMar>
            <w:vAlign w:val="center"/>
          </w:tcPr>
          <w:p w14:paraId="3C670DF2" w14:textId="0377AAC5"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Değer azaltma özelliğine sahip değildir.</w:t>
            </w:r>
          </w:p>
        </w:tc>
      </w:tr>
      <w:tr w:rsidR="00FD6F98" w:rsidRPr="00FB38E1" w14:paraId="2A253316" w14:textId="77777777" w:rsidTr="00F12288">
        <w:tblPrEx>
          <w:tblCellMar>
            <w:left w:w="108" w:type="dxa"/>
            <w:right w:w="108" w:type="dxa"/>
          </w:tblCellMar>
        </w:tblPrEx>
        <w:tc>
          <w:tcPr>
            <w:tcW w:w="5190" w:type="dxa"/>
            <w:tcMar>
              <w:left w:w="28" w:type="dxa"/>
              <w:right w:w="28" w:type="dxa"/>
            </w:tcMar>
            <w:vAlign w:val="center"/>
          </w:tcPr>
          <w:p w14:paraId="4DC305A5" w14:textId="01908DC9"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Değer azaltma özelliğine sahipse, tamamen veya kısmen değer azaltımı özelliği</w:t>
            </w:r>
          </w:p>
        </w:tc>
        <w:tc>
          <w:tcPr>
            <w:tcW w:w="2342" w:type="dxa"/>
            <w:tcMar>
              <w:left w:w="28" w:type="dxa"/>
              <w:right w:w="28" w:type="dxa"/>
            </w:tcMar>
            <w:vAlign w:val="center"/>
          </w:tcPr>
          <w:p w14:paraId="4DBC6E25" w14:textId="22FBD890"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Mar>
              <w:left w:w="28" w:type="dxa"/>
              <w:right w:w="28" w:type="dxa"/>
            </w:tcMar>
            <w:vAlign w:val="center"/>
          </w:tcPr>
          <w:p w14:paraId="50DA6E29" w14:textId="1F611BD3"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r w:rsidR="00FD6F98" w:rsidRPr="00FB38E1" w14:paraId="6CBF4398" w14:textId="77777777" w:rsidTr="00F12288">
        <w:tblPrEx>
          <w:tblCellMar>
            <w:left w:w="108" w:type="dxa"/>
            <w:right w:w="108" w:type="dxa"/>
          </w:tblCellMar>
        </w:tblPrEx>
        <w:tc>
          <w:tcPr>
            <w:tcW w:w="5190" w:type="dxa"/>
            <w:tcMar>
              <w:left w:w="28" w:type="dxa"/>
              <w:right w:w="28" w:type="dxa"/>
            </w:tcMar>
            <w:vAlign w:val="center"/>
          </w:tcPr>
          <w:p w14:paraId="70259933" w14:textId="49CF5FC7"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Değer azaltma özelliğine sahipse, sürekli ya da geçici olma özelliği</w:t>
            </w:r>
          </w:p>
        </w:tc>
        <w:tc>
          <w:tcPr>
            <w:tcW w:w="2342" w:type="dxa"/>
            <w:tcMar>
              <w:left w:w="28" w:type="dxa"/>
              <w:right w:w="28" w:type="dxa"/>
            </w:tcMar>
            <w:vAlign w:val="center"/>
          </w:tcPr>
          <w:p w14:paraId="6D731AEF" w14:textId="0801CB0A"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Mar>
              <w:left w:w="28" w:type="dxa"/>
              <w:right w:w="28" w:type="dxa"/>
            </w:tcMar>
            <w:vAlign w:val="center"/>
          </w:tcPr>
          <w:p w14:paraId="73DD21C1" w14:textId="1B04BA01"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r w:rsidR="00FD6F98" w:rsidRPr="00FB38E1" w14:paraId="4BCE868F" w14:textId="77777777" w:rsidTr="00F12288">
        <w:tblPrEx>
          <w:tblCellMar>
            <w:left w:w="108" w:type="dxa"/>
            <w:right w:w="108" w:type="dxa"/>
          </w:tblCellMar>
        </w:tblPrEx>
        <w:tc>
          <w:tcPr>
            <w:tcW w:w="5190" w:type="dxa"/>
            <w:tcMar>
              <w:left w:w="28" w:type="dxa"/>
              <w:right w:w="28" w:type="dxa"/>
            </w:tcMar>
            <w:vAlign w:val="center"/>
          </w:tcPr>
          <w:p w14:paraId="009119A1" w14:textId="0751FB7F"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Değeri geçici olarak azaltılabiliyorsa, değer azaltım mekanizması</w:t>
            </w:r>
          </w:p>
        </w:tc>
        <w:tc>
          <w:tcPr>
            <w:tcW w:w="2342" w:type="dxa"/>
            <w:tcMar>
              <w:left w:w="28" w:type="dxa"/>
              <w:right w:w="28" w:type="dxa"/>
            </w:tcMar>
            <w:vAlign w:val="center"/>
          </w:tcPr>
          <w:p w14:paraId="5990EF42" w14:textId="51946316"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Mar>
              <w:left w:w="28" w:type="dxa"/>
              <w:right w:w="28" w:type="dxa"/>
            </w:tcMar>
            <w:vAlign w:val="center"/>
          </w:tcPr>
          <w:p w14:paraId="2837928B" w14:textId="4EA217B8"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r w:rsidR="00FD6F98" w:rsidRPr="00FB38E1" w14:paraId="1BD47BC0" w14:textId="77777777" w:rsidTr="00F12288">
        <w:tblPrEx>
          <w:tblCellMar>
            <w:left w:w="108" w:type="dxa"/>
            <w:right w:w="108" w:type="dxa"/>
          </w:tblCellMar>
        </w:tblPrEx>
        <w:tc>
          <w:tcPr>
            <w:tcW w:w="5190" w:type="dxa"/>
            <w:tcMar>
              <w:left w:w="28" w:type="dxa"/>
              <w:right w:w="28" w:type="dxa"/>
            </w:tcMar>
            <w:vAlign w:val="center"/>
          </w:tcPr>
          <w:p w14:paraId="4D0CF6FD" w14:textId="0CF8830C"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Tasfiye halinde alacak hakkı açısından hangi sırada olduğu (Bu borçlanma aracının hemen üstünde bulunan araç)</w:t>
            </w:r>
          </w:p>
        </w:tc>
        <w:tc>
          <w:tcPr>
            <w:tcW w:w="2342" w:type="dxa"/>
            <w:tcMar>
              <w:left w:w="28" w:type="dxa"/>
              <w:right w:w="28" w:type="dxa"/>
            </w:tcMar>
            <w:vAlign w:val="center"/>
          </w:tcPr>
          <w:p w14:paraId="056C15FD" w14:textId="0D872EEF"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c>
          <w:tcPr>
            <w:tcW w:w="2107" w:type="dxa"/>
            <w:tcMar>
              <w:left w:w="28" w:type="dxa"/>
              <w:right w:w="28" w:type="dxa"/>
            </w:tcMar>
            <w:vAlign w:val="center"/>
          </w:tcPr>
          <w:p w14:paraId="1E9448BA" w14:textId="6F5217A8"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Bankanın tasfiyesi halinde; sahibine alacak hakkını ilave ana sermaye hesaplamasına dahil edilecek borçlanma araçlarından önce, mevduat sahipleri ve diğer tüm alacaklılardan sonra tahsil etme yetkisi vermektedir.</w:t>
            </w:r>
          </w:p>
        </w:tc>
      </w:tr>
      <w:tr w:rsidR="00FD6F98" w:rsidRPr="00FB38E1" w14:paraId="06FCC522" w14:textId="77777777" w:rsidTr="00F12288">
        <w:tblPrEx>
          <w:tblCellMar>
            <w:left w:w="108" w:type="dxa"/>
            <w:right w:w="108" w:type="dxa"/>
          </w:tblCellMar>
        </w:tblPrEx>
        <w:tc>
          <w:tcPr>
            <w:tcW w:w="5190" w:type="dxa"/>
            <w:tcBorders>
              <w:bottom w:val="single" w:sz="4" w:space="0" w:color="auto"/>
            </w:tcBorders>
            <w:tcMar>
              <w:left w:w="28" w:type="dxa"/>
              <w:right w:w="28" w:type="dxa"/>
            </w:tcMar>
            <w:vAlign w:val="center"/>
          </w:tcPr>
          <w:p w14:paraId="419C253B" w14:textId="191B8A7D"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Bankaların özkaynaklarına İlişkin Yönetmeliğin 7 nci ve 8 inci maddelerinde yer alan şartlardan haiz olunmayan olup olmadığı</w:t>
            </w:r>
          </w:p>
        </w:tc>
        <w:tc>
          <w:tcPr>
            <w:tcW w:w="2342" w:type="dxa"/>
            <w:tcBorders>
              <w:bottom w:val="single" w:sz="4" w:space="0" w:color="auto"/>
            </w:tcBorders>
            <w:tcMar>
              <w:left w:w="28" w:type="dxa"/>
              <w:right w:w="28" w:type="dxa"/>
            </w:tcMar>
            <w:vAlign w:val="center"/>
          </w:tcPr>
          <w:p w14:paraId="1E4D0FEB" w14:textId="4C7EC9A6"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Madde 8'e haizdir.</w:t>
            </w:r>
          </w:p>
        </w:tc>
        <w:tc>
          <w:tcPr>
            <w:tcW w:w="2107" w:type="dxa"/>
            <w:tcBorders>
              <w:bottom w:val="single" w:sz="4" w:space="0" w:color="auto"/>
            </w:tcBorders>
            <w:tcMar>
              <w:left w:w="28" w:type="dxa"/>
              <w:right w:w="28" w:type="dxa"/>
            </w:tcMar>
            <w:vAlign w:val="center"/>
          </w:tcPr>
          <w:p w14:paraId="0D6868CA" w14:textId="33875247"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Madde 8'e haizdir.</w:t>
            </w:r>
          </w:p>
        </w:tc>
      </w:tr>
      <w:tr w:rsidR="00FD6F98" w:rsidRPr="00FB38E1" w14:paraId="5FABF474" w14:textId="77777777" w:rsidTr="00F12288">
        <w:tblPrEx>
          <w:tblCellMar>
            <w:left w:w="108" w:type="dxa"/>
            <w:right w:w="108" w:type="dxa"/>
          </w:tblCellMar>
        </w:tblPrEx>
        <w:tc>
          <w:tcPr>
            <w:tcW w:w="5190" w:type="dxa"/>
            <w:tcBorders>
              <w:bottom w:val="thickThinSmallGap" w:sz="24" w:space="0" w:color="auto"/>
            </w:tcBorders>
            <w:tcMar>
              <w:left w:w="28" w:type="dxa"/>
              <w:right w:w="28" w:type="dxa"/>
            </w:tcMar>
            <w:vAlign w:val="center"/>
          </w:tcPr>
          <w:p w14:paraId="2A236931" w14:textId="5E0C58A8" w:rsidR="00FD6F98" w:rsidRPr="00FB38E1" w:rsidRDefault="00FD6F98" w:rsidP="00FD6F98">
            <w:pP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Bankaların özkaynaklarına İlişkin Yönetmeliğin 7 nci ve 8 inci maddelerinde yer alan şartlardan hangilerini haiz olunmadığı</w:t>
            </w:r>
          </w:p>
        </w:tc>
        <w:tc>
          <w:tcPr>
            <w:tcW w:w="2342" w:type="dxa"/>
            <w:tcBorders>
              <w:bottom w:val="thickThinSmallGap" w:sz="24" w:space="0" w:color="auto"/>
            </w:tcBorders>
            <w:tcMar>
              <w:left w:w="28" w:type="dxa"/>
              <w:right w:w="28" w:type="dxa"/>
            </w:tcMar>
            <w:vAlign w:val="center"/>
          </w:tcPr>
          <w:p w14:paraId="2B874D5A" w14:textId="771C6504"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c>
          <w:tcPr>
            <w:tcW w:w="2107" w:type="dxa"/>
            <w:tcBorders>
              <w:bottom w:val="thickThinSmallGap" w:sz="24" w:space="0" w:color="auto"/>
            </w:tcBorders>
            <w:tcMar>
              <w:left w:w="28" w:type="dxa"/>
              <w:right w:w="28" w:type="dxa"/>
            </w:tcMar>
            <w:vAlign w:val="center"/>
          </w:tcPr>
          <w:p w14:paraId="00AF334A" w14:textId="49920D66" w:rsidR="00FD6F98" w:rsidRPr="00FB38E1" w:rsidRDefault="00FD6F98" w:rsidP="00FD6F98">
            <w:pPr>
              <w:jc w:val="center"/>
              <w:rPr>
                <w:rFonts w:ascii="Microsoft Sans Serif" w:hAnsi="Microsoft Sans Serif" w:cs="Microsoft Sans Serif"/>
                <w:color w:val="000000"/>
                <w:sz w:val="8"/>
                <w:szCs w:val="8"/>
              </w:rPr>
            </w:pPr>
            <w:r w:rsidRPr="00FB38E1">
              <w:rPr>
                <w:rFonts w:ascii="Microsoft Sans Serif" w:hAnsi="Microsoft Sans Serif" w:cs="Microsoft Sans Serif"/>
                <w:color w:val="000000"/>
                <w:sz w:val="8"/>
                <w:szCs w:val="8"/>
              </w:rPr>
              <w:t>--</w:t>
            </w:r>
          </w:p>
        </w:tc>
      </w:tr>
    </w:tbl>
    <w:p w14:paraId="11AE73FC" w14:textId="625FA32B" w:rsidR="002179D8" w:rsidRPr="00FB38E1" w:rsidRDefault="002179D8" w:rsidP="00DD4B14">
      <w:pPr>
        <w:pStyle w:val="BDDKbalk1"/>
        <w:numPr>
          <w:ilvl w:val="1"/>
          <w:numId w:val="46"/>
        </w:numPr>
        <w:spacing w:line="220" w:lineRule="exact"/>
        <w:ind w:left="0" w:hanging="567"/>
        <w:rPr>
          <w:rFonts w:ascii="Microsoft Sans Serif" w:eastAsiaTheme="minorHAnsi" w:hAnsi="Microsoft Sans Serif" w:cs="Microsoft Sans Serif"/>
          <w:b w:val="0"/>
          <w:bCs w:val="0"/>
          <w:color w:val="404040" w:themeColor="text1" w:themeTint="BF"/>
          <w:sz w:val="20"/>
          <w:szCs w:val="20"/>
          <w:lang w:eastAsia="en-US"/>
        </w:rPr>
      </w:pPr>
      <w:r w:rsidRPr="00FB38E1">
        <w:rPr>
          <w:rFonts w:ascii="Microsoft Sans Serif" w:hAnsi="Microsoft Sans Serif" w:cs="Microsoft Sans Serif"/>
          <w:b w:val="0"/>
          <w:color w:val="404040" w:themeColor="text1" w:themeTint="BF"/>
          <w:sz w:val="20"/>
          <w:szCs w:val="20"/>
        </w:rPr>
        <w:t xml:space="preserve">Özkaynak </w:t>
      </w:r>
      <w:r w:rsidRPr="00FB38E1">
        <w:rPr>
          <w:rFonts w:ascii="Microsoft Sans Serif" w:eastAsiaTheme="minorHAnsi" w:hAnsi="Microsoft Sans Serif" w:cs="Microsoft Sans Serif"/>
          <w:b w:val="0"/>
          <w:bCs w:val="0"/>
          <w:color w:val="404040" w:themeColor="text1" w:themeTint="BF"/>
          <w:sz w:val="20"/>
          <w:szCs w:val="20"/>
          <w:lang w:eastAsia="en-US"/>
        </w:rPr>
        <w:t xml:space="preserve">tablosunda verilen “Özkaynak” tutarı ile bilançodaki “Özkaynaklar” tutarı arasındaki esas fark </w:t>
      </w:r>
      <w:r w:rsidR="00CC19AA" w:rsidRPr="00FB38E1">
        <w:rPr>
          <w:rFonts w:ascii="Microsoft Sans Serif" w:eastAsiaTheme="minorHAnsi" w:hAnsi="Microsoft Sans Serif" w:cs="Microsoft Sans Serif"/>
          <w:b w:val="0"/>
          <w:bCs w:val="0"/>
          <w:color w:val="404040" w:themeColor="text1" w:themeTint="BF"/>
          <w:sz w:val="20"/>
          <w:szCs w:val="20"/>
          <w:lang w:eastAsia="en-US"/>
        </w:rPr>
        <w:t>b</w:t>
      </w:r>
      <w:r w:rsidR="009E5449" w:rsidRPr="00FB38E1">
        <w:rPr>
          <w:rFonts w:ascii="Microsoft Sans Serif" w:eastAsiaTheme="minorHAnsi" w:hAnsi="Microsoft Sans Serif" w:cs="Microsoft Sans Serif"/>
          <w:b w:val="0"/>
          <w:bCs w:val="0"/>
          <w:color w:val="404040" w:themeColor="text1" w:themeTint="BF"/>
          <w:sz w:val="20"/>
          <w:szCs w:val="20"/>
          <w:lang w:eastAsia="en-US"/>
        </w:rPr>
        <w:t xml:space="preserve">irinci ve ikinci aşama zarar karşılıklarından kaynaklanmaktadır. Birinci ve ikinci aşama zarar karşılıklarının </w:t>
      </w:r>
      <w:r w:rsidRPr="00FB38E1">
        <w:rPr>
          <w:rFonts w:ascii="Microsoft Sans Serif" w:eastAsiaTheme="minorHAnsi" w:hAnsi="Microsoft Sans Serif" w:cs="Microsoft Sans Serif"/>
          <w:b w:val="0"/>
          <w:bCs w:val="0"/>
          <w:color w:val="404040" w:themeColor="text1" w:themeTint="BF"/>
          <w:sz w:val="20"/>
          <w:szCs w:val="20"/>
          <w:lang w:eastAsia="en-US"/>
        </w:rPr>
        <w:t xml:space="preserve">%1,25'ine kadar olan kısmı, özkaynak tablosunda verilen “Özkaynak” tutarının hesaplanmasında Katkı Sermaye olarak dikkate  alınmaktadır. Ayrıca Çekirdek Sermayeden indirime konu edilmekte olan TMS uyarınca özkaynaklara yansıtılan kayıplar nakit akış riskinden korunma işlemlerinden elde edilen kayıplar hariç tutularak belirlenmektedir. Diğer yandan bilançoda Maddi Duran Varlıklar kaleminde izlenen faaliyet kiralaması geliştirme maliyetleri, maddi olmayan duran varlıklar ve bunlara ilişkin ertelenmiş vergi yükümlülükleri </w:t>
      </w:r>
      <w:r w:rsidR="0034767C" w:rsidRPr="00FB38E1">
        <w:rPr>
          <w:rFonts w:ascii="Microsoft Sans Serif" w:eastAsiaTheme="minorHAnsi" w:hAnsi="Microsoft Sans Serif" w:cs="Microsoft Sans Serif"/>
          <w:b w:val="0"/>
          <w:bCs w:val="0"/>
          <w:color w:val="404040" w:themeColor="text1" w:themeTint="BF"/>
          <w:sz w:val="20"/>
          <w:szCs w:val="20"/>
          <w:lang w:eastAsia="en-US"/>
        </w:rPr>
        <w:t>i</w:t>
      </w:r>
      <w:r w:rsidRPr="00FB38E1">
        <w:rPr>
          <w:rFonts w:ascii="Microsoft Sans Serif" w:eastAsiaTheme="minorHAnsi" w:hAnsi="Microsoft Sans Serif" w:cs="Microsoft Sans Serif"/>
          <w:b w:val="0"/>
          <w:bCs w:val="0"/>
          <w:color w:val="404040" w:themeColor="text1" w:themeTint="BF"/>
          <w:sz w:val="20"/>
          <w:szCs w:val="20"/>
          <w:lang w:eastAsia="en-US"/>
        </w:rPr>
        <w:t>le Kurulca belirlenen bazı diğer hesaplar “Özkaynak” tutarının hesaplanmasında Sermayeden İndirilecek Değerler olarak hesaplamada dikkate alınmaktadır.</w:t>
      </w:r>
    </w:p>
    <w:p w14:paraId="6C7B9372" w14:textId="72F5B893" w:rsidR="00E36E0A" w:rsidRPr="00FB38E1" w:rsidRDefault="001C3159" w:rsidP="00DD4B14">
      <w:pPr>
        <w:pStyle w:val="Head3"/>
        <w:keepNext w:val="0"/>
        <w:keepLines w:val="0"/>
        <w:spacing w:before="240" w:line="240" w:lineRule="exact"/>
        <w:ind w:right="0" w:firstLine="0"/>
        <w:rPr>
          <w:rFonts w:ascii="Microsoft Sans Serif" w:eastAsia="Arial Unicode MS" w:hAnsi="Microsoft Sans Serif" w:cs="Microsoft Sans Serif"/>
          <w:b w:val="0"/>
          <w:bCs w:val="0"/>
          <w:i w:val="0"/>
          <w:iCs w:val="0"/>
          <w:sz w:val="20"/>
          <w:szCs w:val="20"/>
          <w:lang w:eastAsia="tr-TR"/>
        </w:rPr>
      </w:pPr>
      <w:r w:rsidRPr="00FB38E1">
        <w:rPr>
          <w:rFonts w:ascii="Microsoft Sans Serif" w:eastAsia="Arial Unicode MS" w:hAnsi="Microsoft Sans Serif" w:cs="Microsoft Sans Serif"/>
          <w:b w:val="0"/>
          <w:bCs w:val="0"/>
          <w:i w:val="0"/>
          <w:iCs w:val="0"/>
          <w:sz w:val="20"/>
          <w:szCs w:val="20"/>
          <w:lang w:eastAsia="tr-TR"/>
        </w:rPr>
        <w:br w:type="page"/>
      </w:r>
    </w:p>
    <w:p w14:paraId="54867D9D" w14:textId="77777777" w:rsidR="00D1663E" w:rsidRPr="00FB38E1" w:rsidRDefault="00D1663E" w:rsidP="00D1663E">
      <w:pPr>
        <w:pStyle w:val="Head3"/>
        <w:keepNext w:val="0"/>
        <w:keepLines w:val="0"/>
        <w:numPr>
          <w:ilvl w:val="0"/>
          <w:numId w:val="12"/>
        </w:numPr>
        <w:spacing w:before="240" w:line="240" w:lineRule="exact"/>
        <w:ind w:left="0" w:right="0" w:hanging="851"/>
        <w:rPr>
          <w:rFonts w:ascii="Microsoft Sans Serif" w:eastAsia="Arial Unicode MS" w:hAnsi="Microsoft Sans Serif" w:cs="Microsoft Sans Serif"/>
          <w:b w:val="0"/>
          <w:bCs w:val="0"/>
          <w:i w:val="0"/>
          <w:iCs w:val="0"/>
          <w:sz w:val="20"/>
          <w:szCs w:val="20"/>
          <w:lang w:eastAsia="tr-TR"/>
        </w:rPr>
      </w:pPr>
      <w:r w:rsidRPr="00FB38E1">
        <w:rPr>
          <w:rFonts w:ascii="Microsoft Sans Serif" w:eastAsia="Arial Unicode MS" w:hAnsi="Microsoft Sans Serif" w:cs="Microsoft Sans Serif"/>
          <w:bCs w:val="0"/>
          <w:i w:val="0"/>
          <w:iCs w:val="0"/>
          <w:lang w:eastAsia="tr-TR"/>
        </w:rPr>
        <w:t>Kredi riskine ilişkin açıklamalar</w:t>
      </w:r>
    </w:p>
    <w:p w14:paraId="468DDDF4" w14:textId="77777777" w:rsidR="00D1663E" w:rsidRPr="00FB38E1" w:rsidRDefault="00D1663E" w:rsidP="00364B59">
      <w:pPr>
        <w:pStyle w:val="BASLIK10"/>
        <w:numPr>
          <w:ilvl w:val="0"/>
          <w:numId w:val="51"/>
        </w:numPr>
        <w:tabs>
          <w:tab w:val="clear" w:pos="900"/>
        </w:tabs>
        <w:spacing w:line="240" w:lineRule="exact"/>
        <w:ind w:left="0" w:right="6" w:hanging="567"/>
        <w:rPr>
          <w:rFonts w:ascii="Microsoft Sans Serif" w:hAnsi="Microsoft Sans Serif" w:cs="Microsoft Sans Serif"/>
          <w:sz w:val="20"/>
          <w:szCs w:val="20"/>
          <w:lang w:val="fr-FR"/>
        </w:rPr>
      </w:pPr>
      <w:r w:rsidRPr="00FB38E1">
        <w:rPr>
          <w:rFonts w:ascii="Microsoft Sans Serif" w:hAnsi="Microsoft Sans Serif" w:cs="Microsoft Sans Serif"/>
          <w:sz w:val="20"/>
          <w:szCs w:val="20"/>
          <w:lang w:val="fr-FR"/>
        </w:rPr>
        <w:t xml:space="preserve">Kredi riski bakımından, borçlu veya borçlular grubu veya coğrafi bölgeler ile sektörlerin bir risk sınırlamasına tabi tutulup tutulmadığı, risk limitlerinin dayandıkları bölümleme yapısı ve hangi aralıklarla belirlenmekte olduğu </w:t>
      </w:r>
    </w:p>
    <w:p w14:paraId="4B88C563" w14:textId="77777777" w:rsidR="00D1663E" w:rsidRPr="00FB38E1" w:rsidRDefault="00D1663E" w:rsidP="00D1663E">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Kredi riski Banka'nın ilişki içinde bulunduğu karşı tarafın, sözleşme gereklerine uymayarak yükümlülüğünü kısmen veya tamamen zamanında yerine getirememesinden oluşabilecek risk ve zararları ifade eder. </w:t>
      </w:r>
    </w:p>
    <w:p w14:paraId="59094872" w14:textId="77777777" w:rsidR="00D1663E" w:rsidRPr="00FB38E1" w:rsidRDefault="00D1663E" w:rsidP="00D1663E">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Yasal mevzuata uygun olmak koşuluyla risk limitleri; şubeler, krediler bölümü, bölge müdürlükleri, kredilerden sorumlu genel müdür yardımcıları, genel müdür, kredi komitesi ve Yönetim Kurulu’na ait kredilendirme yetki limitleri çerçevesinde, kredi müşterilerinin finansal durumlarına ve kredi ihtiyaçlarına göre tahsis edilmektedir.</w:t>
      </w:r>
    </w:p>
    <w:p w14:paraId="542D2351" w14:textId="77777777" w:rsidR="00D1663E" w:rsidRPr="00FB38E1" w:rsidRDefault="00D1663E" w:rsidP="00D1663E">
      <w:pPr>
        <w:pStyle w:val="BodyTextIndent"/>
        <w:tabs>
          <w:tab w:val="left" w:pos="900"/>
        </w:tabs>
        <w:spacing w:before="120" w:after="0" w:line="220" w:lineRule="exact"/>
        <w:ind w:left="0"/>
        <w:rPr>
          <w:rFonts w:ascii="Microsoft Sans Serif" w:hAnsi="Microsoft Sans Serif" w:cs="Microsoft Sans Serif"/>
          <w:b/>
          <w:bCs/>
          <w:color w:val="404040" w:themeColor="text1" w:themeTint="BF"/>
          <w:sz w:val="20"/>
          <w:szCs w:val="20"/>
        </w:rPr>
      </w:pPr>
      <w:r w:rsidRPr="00FB38E1">
        <w:rPr>
          <w:rFonts w:ascii="Microsoft Sans Serif" w:hAnsi="Microsoft Sans Serif" w:cs="Microsoft Sans Serif"/>
          <w:color w:val="404040" w:themeColor="text1" w:themeTint="BF"/>
          <w:sz w:val="20"/>
          <w:szCs w:val="20"/>
        </w:rPr>
        <w:t>Kredi riski açısından, borçlu veya borçlular grubu risk sınırlamasına tabi tutulmaktadır. Borçlu ve borçlular grubu ile sektörlerin risk sınırlamaları aylık bazda izlenmektedir</w:t>
      </w:r>
      <w:r w:rsidRPr="00FB38E1">
        <w:rPr>
          <w:rFonts w:ascii="Microsoft Sans Serif" w:hAnsi="Microsoft Sans Serif" w:cs="Microsoft Sans Serif"/>
          <w:bCs/>
          <w:color w:val="404040" w:themeColor="text1" w:themeTint="BF"/>
          <w:sz w:val="20"/>
          <w:szCs w:val="20"/>
        </w:rPr>
        <w:t xml:space="preserve">. </w:t>
      </w:r>
    </w:p>
    <w:p w14:paraId="62B0B576" w14:textId="77777777" w:rsidR="00D1663E" w:rsidRPr="00FB38E1" w:rsidRDefault="00D1663E" w:rsidP="00D1663E">
      <w:pPr>
        <w:autoSpaceDE w:val="0"/>
        <w:autoSpaceDN w:val="0"/>
        <w:adjustRightInd w:val="0"/>
        <w:spacing w:before="120" w:after="0" w:line="220" w:lineRule="exact"/>
        <w:rPr>
          <w:rFonts w:ascii="Microsoft Sans Serif" w:eastAsia="Arial Unicode MS" w:hAnsi="Microsoft Sans Serif" w:cs="Microsoft Sans Serif"/>
          <w:b/>
          <w:sz w:val="20"/>
          <w:szCs w:val="20"/>
        </w:rPr>
      </w:pPr>
      <w:r w:rsidRPr="00FB38E1">
        <w:rPr>
          <w:rFonts w:ascii="Microsoft Sans Serif" w:eastAsia="Arial Unicode MS" w:hAnsi="Microsoft Sans Serif" w:cs="Microsoft Sans Serif"/>
          <w:b/>
          <w:sz w:val="20"/>
          <w:szCs w:val="20"/>
        </w:rPr>
        <w:t xml:space="preserve">Günlük olarak yapılan işlemlerle ilgili olarak risk limitleri ve dağılımlarının belirlenip belirlenmediği, bilanço dışı risklere ilişkin risk yoğunlaşmasının günlük olarak müşteri ve bankaların hazine bölümü yetkilileri bazında izlenip izlenmediği </w:t>
      </w:r>
    </w:p>
    <w:p w14:paraId="302E644F" w14:textId="77777777" w:rsidR="00D1663E" w:rsidRPr="00FB38E1" w:rsidRDefault="00D1663E" w:rsidP="00D1663E">
      <w:pPr>
        <w:pStyle w:val="1tipi"/>
        <w:tabs>
          <w:tab w:val="clear" w:pos="1134"/>
        </w:tabs>
        <w:spacing w:before="120"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Günlük yapılan işlemlerle ilgili risk limit ve dağılımları günlük olarak takip edilmektedir. Bilanço dışı risklere ilişkin risk yoğunlaşması, yerinde ve uzaktan kontrol faaliyetleri ile izlenmektedir.</w:t>
      </w:r>
    </w:p>
    <w:p w14:paraId="7ECAE883" w14:textId="77777777" w:rsidR="00D1663E" w:rsidRPr="00FB38E1" w:rsidRDefault="00D1663E" w:rsidP="00D1663E">
      <w:pPr>
        <w:autoSpaceDE w:val="0"/>
        <w:autoSpaceDN w:val="0"/>
        <w:adjustRightInd w:val="0"/>
        <w:spacing w:before="120" w:after="0" w:line="220" w:lineRule="exact"/>
        <w:rPr>
          <w:rFonts w:ascii="Microsoft Sans Serif" w:eastAsia="Arial Unicode MS" w:hAnsi="Microsoft Sans Serif" w:cs="Microsoft Sans Serif"/>
          <w:b/>
          <w:sz w:val="20"/>
          <w:szCs w:val="20"/>
        </w:rPr>
      </w:pPr>
      <w:r w:rsidRPr="00FB38E1">
        <w:rPr>
          <w:rFonts w:ascii="Microsoft Sans Serif" w:eastAsia="Arial Unicode MS" w:hAnsi="Microsoft Sans Serif" w:cs="Microsoft Sans Serif"/>
          <w:b/>
          <w:sz w:val="20"/>
          <w:szCs w:val="20"/>
        </w:rPr>
        <w:t>Kredi ve diğer alacakların borçlularının kredi değerliliklerinin düzenli aralıklarla ilgili mevzuata uygun şekilde izlenip izlenmediği, açılan krediler için alınan hesap durumu belgelerinin ilgili mevzuatta öngörüldüğü şekilde denetlenmiş olup olmadığı, denetlenmemiş ise nedenleri, kredi limitlerinin değiştirilip değiştirilmediği, kredilerin ve diğer alacakların teminatlarının bulunup bulunmadığı</w:t>
      </w:r>
    </w:p>
    <w:p w14:paraId="4946E42C" w14:textId="77777777" w:rsidR="00D1663E" w:rsidRPr="00FB38E1" w:rsidRDefault="00D1663E" w:rsidP="00D1663E">
      <w:pPr>
        <w:pStyle w:val="1tipi"/>
        <w:tabs>
          <w:tab w:val="left" w:pos="708"/>
        </w:tabs>
        <w:spacing w:before="120"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Sağlıklı bir kredi portföyünü amaçlayan Banka’nın, bu niteliğini sürdürebilmek amacıyla, bankacılık mevzuatına uygun olarak; krediler prosedürü, kredi takip ve kontrol prosedürü, yakın takip prosedürü, risk sınıflaması gibi süreç talimatları mevcuttur.</w:t>
      </w:r>
    </w:p>
    <w:p w14:paraId="3FAC4C1E" w14:textId="77777777" w:rsidR="00D1663E" w:rsidRPr="00FB38E1" w:rsidRDefault="00D1663E" w:rsidP="00D1663E">
      <w:pPr>
        <w:pStyle w:val="1tipi"/>
        <w:tabs>
          <w:tab w:val="left" w:pos="708"/>
        </w:tabs>
        <w:spacing w:before="120"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Kredi portföyü içerisinde yer alan tüm firmaların, gerek konjonktürel değişiklikler, gerekse yapısal sorunlar nedeniyle sorunlu hale gelmemesi için, erken uyarı sinyalleri değerlendirilerek ileride sorunlu hale gelebilecek firmalar saptanmakta ve olası sorunların öncelikli olarak giderilmesi hedeflenmektedir.</w:t>
      </w:r>
    </w:p>
    <w:p w14:paraId="4FF0F676" w14:textId="77777777" w:rsidR="00D1663E" w:rsidRPr="00FB38E1" w:rsidRDefault="00D1663E" w:rsidP="00D1663E">
      <w:pPr>
        <w:pStyle w:val="1tipi"/>
        <w:tabs>
          <w:tab w:val="left" w:pos="708"/>
        </w:tabs>
        <w:spacing w:before="120"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Alınan teminatlarda likidite imkanı yüksek tutulmaya çalışılmakta olup, banka garantisi, gayrimenkul ve gemi ipoteği, menkul ve mevduat rehni, kambiyo senetleri ile kişi ve kuruluşların kefaletleri teminat olarak alınmaktadır.</w:t>
      </w:r>
      <w:r w:rsidRPr="00FB38E1">
        <w:rPr>
          <w:rFonts w:ascii="Microsoft Sans Serif" w:hAnsi="Microsoft Sans Serif" w:cs="Microsoft Sans Serif"/>
          <w:color w:val="404040" w:themeColor="text1" w:themeTint="BF"/>
          <w:sz w:val="16"/>
          <w:szCs w:val="16"/>
          <w:lang w:val="tr-TR"/>
        </w:rPr>
        <w:t xml:space="preserve"> </w:t>
      </w:r>
    </w:p>
    <w:p w14:paraId="6A2BE55B" w14:textId="77777777" w:rsidR="00D1663E" w:rsidRPr="00FB38E1" w:rsidRDefault="00D1663E" w:rsidP="00D1663E">
      <w:pPr>
        <w:autoSpaceDE w:val="0"/>
        <w:autoSpaceDN w:val="0"/>
        <w:adjustRightInd w:val="0"/>
        <w:spacing w:before="120" w:after="0" w:line="220" w:lineRule="exact"/>
        <w:rPr>
          <w:rFonts w:ascii="Microsoft Sans Serif" w:eastAsia="Times New Roman" w:hAnsi="Microsoft Sans Serif" w:cs="Microsoft Sans Serif"/>
          <w:color w:val="404040" w:themeColor="text1" w:themeTint="BF"/>
          <w:sz w:val="20"/>
          <w:szCs w:val="20"/>
          <w:lang w:eastAsia="tr-TR"/>
        </w:rPr>
      </w:pPr>
      <w:r w:rsidRPr="00FB38E1">
        <w:rPr>
          <w:rFonts w:ascii="Microsoft Sans Serif" w:eastAsia="Times New Roman" w:hAnsi="Microsoft Sans Serif" w:cs="Microsoft Sans Serif"/>
          <w:b/>
          <w:color w:val="404040" w:themeColor="text1" w:themeTint="BF"/>
          <w:sz w:val="20"/>
          <w:szCs w:val="20"/>
          <w:lang w:eastAsia="tr-TR"/>
        </w:rPr>
        <w:t>Tahsili gecikmiş ve değer kaybına uğramış kredilerin tanımları ile değer ayarlamaları ve karşılıklara ilişkin açıklamalar</w:t>
      </w:r>
      <w:r w:rsidRPr="00FB38E1">
        <w:rPr>
          <w:rFonts w:ascii="Microsoft Sans Serif" w:eastAsia="Times New Roman" w:hAnsi="Microsoft Sans Serif" w:cs="Microsoft Sans Serif"/>
          <w:color w:val="404040" w:themeColor="text1" w:themeTint="BF"/>
          <w:sz w:val="20"/>
          <w:szCs w:val="20"/>
          <w:lang w:eastAsia="tr-TR"/>
        </w:rPr>
        <w:t xml:space="preserve"> </w:t>
      </w:r>
    </w:p>
    <w:p w14:paraId="310AC1C1" w14:textId="77777777" w:rsidR="00D1663E" w:rsidRPr="00FB38E1" w:rsidRDefault="00D1663E" w:rsidP="00D1663E">
      <w:pPr>
        <w:autoSpaceDE w:val="0"/>
        <w:autoSpaceDN w:val="0"/>
        <w:adjustRightInd w:val="0"/>
        <w:spacing w:before="120" w:after="0" w:line="220" w:lineRule="exact"/>
        <w:rPr>
          <w:rFonts w:ascii="Microsoft Sans Serif" w:eastAsia="Times New Roman" w:hAnsi="Microsoft Sans Serif" w:cs="Microsoft Sans Serif"/>
          <w:color w:val="404040" w:themeColor="text1" w:themeTint="BF"/>
          <w:sz w:val="20"/>
          <w:szCs w:val="20"/>
          <w:lang w:eastAsia="tr-TR"/>
        </w:rPr>
      </w:pPr>
      <w:r w:rsidRPr="00FB38E1">
        <w:rPr>
          <w:rFonts w:ascii="Microsoft Sans Serif" w:eastAsia="Times New Roman" w:hAnsi="Microsoft Sans Serif" w:cs="Microsoft Sans Serif"/>
          <w:color w:val="404040" w:themeColor="text1" w:themeTint="BF"/>
          <w:sz w:val="20"/>
          <w:szCs w:val="20"/>
          <w:lang w:eastAsia="tr-TR"/>
        </w:rPr>
        <w:t>Dördüncü Bölüm VIII-c-4-i no’lu dipnotta verilmiştir</w:t>
      </w:r>
    </w:p>
    <w:p w14:paraId="04B7DFF6" w14:textId="77777777" w:rsidR="00D1663E" w:rsidRPr="00FB38E1" w:rsidRDefault="00D1663E" w:rsidP="00D1663E">
      <w:pPr>
        <w:pStyle w:val="ListParagraph"/>
        <w:spacing w:before="120" w:line="220" w:lineRule="exact"/>
        <w:ind w:left="0"/>
        <w:rPr>
          <w:rFonts w:ascii="Microsoft Sans Serif" w:hAnsi="Microsoft Sans Serif" w:cs="Microsoft Sans Serif"/>
          <w:b/>
          <w:sz w:val="20"/>
          <w:szCs w:val="20"/>
        </w:rPr>
      </w:pPr>
      <w:r w:rsidRPr="00FB38E1">
        <w:rPr>
          <w:rFonts w:ascii="Microsoft Sans Serif" w:hAnsi="Microsoft Sans Serif" w:cs="Microsoft Sans Serif"/>
          <w:b/>
          <w:sz w:val="20"/>
          <w:szCs w:val="20"/>
        </w:rPr>
        <w:t>Değer ayarlamaları ve karşılıklara ilişkin yöntem ve yaklaşımlar</w:t>
      </w:r>
    </w:p>
    <w:p w14:paraId="1D17817D" w14:textId="77777777" w:rsidR="00D1663E" w:rsidRPr="00FB38E1" w:rsidRDefault="00D1663E" w:rsidP="00D1663E">
      <w:pPr>
        <w:pStyle w:val="Head3"/>
        <w:keepNext w:val="0"/>
        <w:keepLines w:val="0"/>
        <w:spacing w:before="240" w:line="240" w:lineRule="exact"/>
        <w:ind w:right="0" w:firstLine="0"/>
        <w:rPr>
          <w:rFonts w:ascii="Microsoft Sans Serif" w:eastAsiaTheme="minorHAnsi" w:hAnsi="Microsoft Sans Serif" w:cs="Microsoft Sans Serif"/>
          <w:b w:val="0"/>
          <w:bCs w:val="0"/>
          <w:i w:val="0"/>
          <w:iCs w:val="0"/>
          <w:color w:val="404040" w:themeColor="text1" w:themeTint="BF"/>
          <w:sz w:val="20"/>
          <w:szCs w:val="20"/>
          <w:shd w:val="clear" w:color="auto" w:fill="FFFFFF" w:themeFill="background1"/>
        </w:rPr>
      </w:pPr>
      <w:r w:rsidRPr="00FB38E1">
        <w:rPr>
          <w:rFonts w:ascii="Microsoft Sans Serif" w:eastAsiaTheme="minorHAnsi" w:hAnsi="Microsoft Sans Serif" w:cs="Microsoft Sans Serif"/>
          <w:b w:val="0"/>
          <w:bCs w:val="0"/>
          <w:i w:val="0"/>
          <w:iCs w:val="0"/>
          <w:color w:val="404040" w:themeColor="text1" w:themeTint="BF"/>
          <w:sz w:val="20"/>
          <w:szCs w:val="20"/>
          <w:shd w:val="clear" w:color="auto" w:fill="FFFFFF" w:themeFill="background1"/>
        </w:rPr>
        <w:t>Üçüncü Bölüm VIII no’lu dipnotta verilmiştir.</w:t>
      </w:r>
    </w:p>
    <w:p w14:paraId="29CF56D4" w14:textId="77777777" w:rsidR="00D1663E" w:rsidRPr="00FB38E1" w:rsidRDefault="00D1663E" w:rsidP="00D1663E">
      <w:pPr>
        <w:pStyle w:val="Head3"/>
        <w:keepNext w:val="0"/>
        <w:keepLines w:val="0"/>
        <w:pageBreakBefore/>
        <w:spacing w:before="240" w:line="240" w:lineRule="exact"/>
        <w:ind w:right="0" w:firstLine="0"/>
        <w:rPr>
          <w:rFonts w:ascii="Microsoft Sans Serif" w:eastAsia="Arial Unicode MS" w:hAnsi="Microsoft Sans Serif" w:cs="Microsoft Sans Serif"/>
          <w:b w:val="0"/>
          <w:bCs w:val="0"/>
          <w:i w:val="0"/>
          <w:iCs w:val="0"/>
          <w:sz w:val="20"/>
          <w:szCs w:val="20"/>
          <w:lang w:eastAsia="tr-TR"/>
        </w:rPr>
      </w:pPr>
      <w:r w:rsidRPr="00FB38E1">
        <w:rPr>
          <w:rFonts w:ascii="Microsoft Sans Serif" w:hAnsi="Microsoft Sans Serif" w:cs="Microsoft Sans Serif"/>
          <w:i w:val="0"/>
          <w:sz w:val="20"/>
          <w:szCs w:val="20"/>
        </w:rPr>
        <w:t xml:space="preserve">Kredi riski azaltımının etkileri dikkate alınmaksızın mahsup işlemleri sonrası maruz kalınan risklerin toplam tutarı ile farklı risk sınıfları ve türlerine göre ayrıştırılmış risklerin ilgili döneme ilişkin ortalama tutarı </w:t>
      </w:r>
    </w:p>
    <w:tbl>
      <w:tblPr>
        <w:tblStyle w:val="TableGrid"/>
        <w:tblW w:w="957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8"/>
        <w:gridCol w:w="6021"/>
        <w:gridCol w:w="1669"/>
        <w:gridCol w:w="1484"/>
      </w:tblGrid>
      <w:tr w:rsidR="00D1663E" w:rsidRPr="00FB38E1" w14:paraId="5BCD12CC" w14:textId="77777777" w:rsidTr="00836EF2">
        <w:trPr>
          <w:trHeight w:val="452"/>
        </w:trPr>
        <w:tc>
          <w:tcPr>
            <w:tcW w:w="208" w:type="pct"/>
            <w:tcBorders>
              <w:top w:val="thinThickSmallGap" w:sz="24" w:space="0" w:color="auto"/>
              <w:bottom w:val="single" w:sz="4" w:space="0" w:color="auto"/>
            </w:tcBorders>
            <w:vAlign w:val="bottom"/>
          </w:tcPr>
          <w:p w14:paraId="1242C242" w14:textId="77777777" w:rsidR="00D1663E" w:rsidRPr="00FB38E1" w:rsidRDefault="00D1663E" w:rsidP="00836EF2">
            <w:pPr>
              <w:rPr>
                <w:rFonts w:ascii="Microsoft Sans Serif" w:hAnsi="Microsoft Sans Serif" w:cs="Microsoft Sans Serif"/>
                <w:color w:val="000000"/>
                <w:sz w:val="16"/>
                <w:szCs w:val="16"/>
              </w:rPr>
            </w:pPr>
          </w:p>
        </w:tc>
        <w:tc>
          <w:tcPr>
            <w:tcW w:w="3145" w:type="pct"/>
            <w:tcBorders>
              <w:top w:val="thinThickSmallGap" w:sz="24" w:space="0" w:color="auto"/>
              <w:bottom w:val="single" w:sz="4" w:space="0" w:color="auto"/>
            </w:tcBorders>
            <w:vAlign w:val="bottom"/>
          </w:tcPr>
          <w:p w14:paraId="26231D25" w14:textId="77777777" w:rsidR="00D1663E" w:rsidRPr="00FB38E1" w:rsidRDefault="00D1663E" w:rsidP="00836EF2">
            <w:pP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Risk Sınıfları</w:t>
            </w:r>
          </w:p>
        </w:tc>
        <w:tc>
          <w:tcPr>
            <w:tcW w:w="872" w:type="pct"/>
            <w:tcBorders>
              <w:top w:val="thinThickSmallGap" w:sz="24" w:space="0" w:color="auto"/>
              <w:bottom w:val="single" w:sz="4" w:space="0" w:color="auto"/>
            </w:tcBorders>
            <w:vAlign w:val="bottom"/>
          </w:tcPr>
          <w:p w14:paraId="2C21CCA4"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w:t>
            </w:r>
          </w:p>
          <w:p w14:paraId="27B46BE6"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w:t>
            </w:r>
          </w:p>
        </w:tc>
        <w:tc>
          <w:tcPr>
            <w:tcW w:w="775" w:type="pct"/>
            <w:tcBorders>
              <w:top w:val="thinThickSmallGap" w:sz="24" w:space="0" w:color="auto"/>
              <w:bottom w:val="single" w:sz="4" w:space="0" w:color="auto"/>
            </w:tcBorders>
            <w:vAlign w:val="bottom"/>
          </w:tcPr>
          <w:p w14:paraId="4F9C127F"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Ortalama </w:t>
            </w:r>
          </w:p>
          <w:p w14:paraId="317E77F7"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FD6F98" w:rsidRPr="00FB38E1" w14:paraId="76C0CC85" w14:textId="77777777" w:rsidTr="00836EF2">
        <w:trPr>
          <w:trHeight w:val="226"/>
        </w:trPr>
        <w:tc>
          <w:tcPr>
            <w:tcW w:w="208" w:type="pct"/>
            <w:tcBorders>
              <w:top w:val="single" w:sz="4" w:space="0" w:color="auto"/>
            </w:tcBorders>
            <w:vAlign w:val="center"/>
          </w:tcPr>
          <w:p w14:paraId="655714AB"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w:t>
            </w:r>
          </w:p>
        </w:tc>
        <w:tc>
          <w:tcPr>
            <w:tcW w:w="3145" w:type="pct"/>
            <w:tcBorders>
              <w:top w:val="single" w:sz="4" w:space="0" w:color="auto"/>
            </w:tcBorders>
            <w:vAlign w:val="center"/>
          </w:tcPr>
          <w:p w14:paraId="58C0C7ED"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Merkezi yönetimlerden veya merkez bankalarından alacaklar</w:t>
            </w:r>
          </w:p>
        </w:tc>
        <w:tc>
          <w:tcPr>
            <w:tcW w:w="872" w:type="pct"/>
            <w:tcBorders>
              <w:top w:val="nil"/>
            </w:tcBorders>
            <w:shd w:val="clear" w:color="auto" w:fill="auto"/>
            <w:vAlign w:val="center"/>
          </w:tcPr>
          <w:p w14:paraId="76C2A6D6" w14:textId="5EE47298"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333.190.875</w:t>
            </w:r>
          </w:p>
        </w:tc>
        <w:tc>
          <w:tcPr>
            <w:tcW w:w="775" w:type="pct"/>
            <w:tcBorders>
              <w:top w:val="nil"/>
            </w:tcBorders>
            <w:shd w:val="clear" w:color="auto" w:fill="auto"/>
            <w:vAlign w:val="center"/>
          </w:tcPr>
          <w:p w14:paraId="2487547C" w14:textId="7CF19C21"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349.683.356</w:t>
            </w:r>
          </w:p>
        </w:tc>
      </w:tr>
      <w:tr w:rsidR="00FD6F98" w:rsidRPr="00FB38E1" w14:paraId="73B85576" w14:textId="77777777" w:rsidTr="00836EF2">
        <w:trPr>
          <w:trHeight w:val="63"/>
        </w:trPr>
        <w:tc>
          <w:tcPr>
            <w:tcW w:w="208" w:type="pct"/>
          </w:tcPr>
          <w:p w14:paraId="5D73025A"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p>
        </w:tc>
        <w:tc>
          <w:tcPr>
            <w:tcW w:w="3145" w:type="pct"/>
            <w:vAlign w:val="center"/>
          </w:tcPr>
          <w:p w14:paraId="202E103D"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Bölgesel yönetimlerden veya yerel yönetimlerden alacaklar</w:t>
            </w:r>
          </w:p>
        </w:tc>
        <w:tc>
          <w:tcPr>
            <w:tcW w:w="872" w:type="pct"/>
            <w:shd w:val="clear" w:color="auto" w:fill="auto"/>
            <w:vAlign w:val="center"/>
          </w:tcPr>
          <w:p w14:paraId="2231A9F6" w14:textId="77451C7A"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7.328.503</w:t>
            </w:r>
          </w:p>
        </w:tc>
        <w:tc>
          <w:tcPr>
            <w:tcW w:w="775" w:type="pct"/>
            <w:shd w:val="clear" w:color="auto" w:fill="auto"/>
            <w:vAlign w:val="center"/>
          </w:tcPr>
          <w:p w14:paraId="665205E0" w14:textId="289BB053"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6.224.786</w:t>
            </w:r>
          </w:p>
        </w:tc>
      </w:tr>
      <w:tr w:rsidR="00FD6F98" w:rsidRPr="00FB38E1" w14:paraId="04E2F3E6" w14:textId="77777777" w:rsidTr="00836EF2">
        <w:trPr>
          <w:trHeight w:val="136"/>
        </w:trPr>
        <w:tc>
          <w:tcPr>
            <w:tcW w:w="208" w:type="pct"/>
          </w:tcPr>
          <w:p w14:paraId="01B39013"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w:t>
            </w:r>
          </w:p>
        </w:tc>
        <w:tc>
          <w:tcPr>
            <w:tcW w:w="3145" w:type="pct"/>
            <w:vAlign w:val="center"/>
          </w:tcPr>
          <w:p w14:paraId="60AAD449"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İdari birimlerden ve ticari olmayan girişimlerden alacaklar</w:t>
            </w:r>
          </w:p>
        </w:tc>
        <w:tc>
          <w:tcPr>
            <w:tcW w:w="872" w:type="pct"/>
            <w:shd w:val="clear" w:color="auto" w:fill="auto"/>
            <w:vAlign w:val="center"/>
          </w:tcPr>
          <w:p w14:paraId="149ED4E2" w14:textId="52B6ECE0"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1.646.073</w:t>
            </w:r>
          </w:p>
        </w:tc>
        <w:tc>
          <w:tcPr>
            <w:tcW w:w="775" w:type="pct"/>
            <w:shd w:val="clear" w:color="auto" w:fill="auto"/>
            <w:vAlign w:val="center"/>
          </w:tcPr>
          <w:p w14:paraId="2C599CD9" w14:textId="6F7308E0"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1.280.452</w:t>
            </w:r>
          </w:p>
        </w:tc>
      </w:tr>
      <w:tr w:rsidR="00FD6F98" w:rsidRPr="00FB38E1" w14:paraId="12DBB2AF" w14:textId="77777777" w:rsidTr="00836EF2">
        <w:trPr>
          <w:trHeight w:val="96"/>
        </w:trPr>
        <w:tc>
          <w:tcPr>
            <w:tcW w:w="208" w:type="pct"/>
          </w:tcPr>
          <w:p w14:paraId="11B36179"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w:t>
            </w:r>
          </w:p>
        </w:tc>
        <w:tc>
          <w:tcPr>
            <w:tcW w:w="3145" w:type="pct"/>
            <w:vAlign w:val="center"/>
          </w:tcPr>
          <w:p w14:paraId="29AF2B29"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Çok taraflı kalkınma bankalarından alacaklar</w:t>
            </w:r>
          </w:p>
        </w:tc>
        <w:tc>
          <w:tcPr>
            <w:tcW w:w="872" w:type="pct"/>
            <w:shd w:val="clear" w:color="auto" w:fill="auto"/>
            <w:vAlign w:val="center"/>
          </w:tcPr>
          <w:p w14:paraId="40179352" w14:textId="49AD8172"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5" w:type="pct"/>
            <w:shd w:val="clear" w:color="auto" w:fill="auto"/>
            <w:vAlign w:val="center"/>
          </w:tcPr>
          <w:p w14:paraId="637B78F1" w14:textId="1666511C"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D6F98" w:rsidRPr="00FB38E1" w14:paraId="1E0A3D85" w14:textId="77777777" w:rsidTr="00836EF2">
        <w:trPr>
          <w:trHeight w:val="63"/>
        </w:trPr>
        <w:tc>
          <w:tcPr>
            <w:tcW w:w="208" w:type="pct"/>
          </w:tcPr>
          <w:p w14:paraId="1162A417"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w:t>
            </w:r>
          </w:p>
        </w:tc>
        <w:tc>
          <w:tcPr>
            <w:tcW w:w="3145" w:type="pct"/>
            <w:vAlign w:val="center"/>
          </w:tcPr>
          <w:p w14:paraId="103DC8E5"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Uluslararası teşkilatlardan alacaklar</w:t>
            </w:r>
          </w:p>
        </w:tc>
        <w:tc>
          <w:tcPr>
            <w:tcW w:w="872" w:type="pct"/>
            <w:shd w:val="clear" w:color="auto" w:fill="auto"/>
            <w:vAlign w:val="center"/>
          </w:tcPr>
          <w:p w14:paraId="2D50B80F" w14:textId="0063E7C0"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5" w:type="pct"/>
            <w:shd w:val="clear" w:color="auto" w:fill="auto"/>
            <w:vAlign w:val="center"/>
          </w:tcPr>
          <w:p w14:paraId="0CB1DA24" w14:textId="08BEE644"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D6F98" w:rsidRPr="00FB38E1" w14:paraId="40AB887D" w14:textId="77777777" w:rsidTr="00836EF2">
        <w:trPr>
          <w:trHeight w:val="63"/>
        </w:trPr>
        <w:tc>
          <w:tcPr>
            <w:tcW w:w="208" w:type="pct"/>
          </w:tcPr>
          <w:p w14:paraId="09E6D1C4"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w:t>
            </w:r>
          </w:p>
        </w:tc>
        <w:tc>
          <w:tcPr>
            <w:tcW w:w="3145" w:type="pct"/>
            <w:vAlign w:val="center"/>
          </w:tcPr>
          <w:p w14:paraId="7709F363"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Bankalardan ve aracı kurumlardan alacaklar</w:t>
            </w:r>
          </w:p>
        </w:tc>
        <w:tc>
          <w:tcPr>
            <w:tcW w:w="872" w:type="pct"/>
            <w:shd w:val="clear" w:color="auto" w:fill="auto"/>
            <w:vAlign w:val="center"/>
          </w:tcPr>
          <w:p w14:paraId="53CB1D17" w14:textId="4162179A"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78.204.425</w:t>
            </w:r>
          </w:p>
        </w:tc>
        <w:tc>
          <w:tcPr>
            <w:tcW w:w="775" w:type="pct"/>
            <w:shd w:val="clear" w:color="auto" w:fill="auto"/>
            <w:vAlign w:val="center"/>
          </w:tcPr>
          <w:p w14:paraId="3227EC93" w14:textId="381FC4C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98.979.732</w:t>
            </w:r>
          </w:p>
        </w:tc>
      </w:tr>
      <w:tr w:rsidR="00FD6F98" w:rsidRPr="00FB38E1" w14:paraId="0B33AA53" w14:textId="77777777" w:rsidTr="00836EF2">
        <w:trPr>
          <w:trHeight w:val="118"/>
        </w:trPr>
        <w:tc>
          <w:tcPr>
            <w:tcW w:w="208" w:type="pct"/>
          </w:tcPr>
          <w:p w14:paraId="0F9FE906"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w:t>
            </w:r>
          </w:p>
        </w:tc>
        <w:tc>
          <w:tcPr>
            <w:tcW w:w="3145" w:type="pct"/>
            <w:vAlign w:val="center"/>
          </w:tcPr>
          <w:p w14:paraId="04BB34D8"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Kurumsal alacaklar</w:t>
            </w:r>
          </w:p>
        </w:tc>
        <w:tc>
          <w:tcPr>
            <w:tcW w:w="872" w:type="pct"/>
            <w:shd w:val="clear" w:color="auto" w:fill="auto"/>
            <w:vAlign w:val="center"/>
          </w:tcPr>
          <w:p w14:paraId="1CE6F5A6" w14:textId="0C8EEEC1"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290.974.204</w:t>
            </w:r>
          </w:p>
        </w:tc>
        <w:tc>
          <w:tcPr>
            <w:tcW w:w="775" w:type="pct"/>
            <w:shd w:val="clear" w:color="auto" w:fill="auto"/>
            <w:vAlign w:val="center"/>
          </w:tcPr>
          <w:p w14:paraId="636A971A" w14:textId="1DA532AE"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311.003.624</w:t>
            </w:r>
          </w:p>
        </w:tc>
      </w:tr>
      <w:tr w:rsidR="00FD6F98" w:rsidRPr="00FB38E1" w14:paraId="0D8F144F" w14:textId="77777777" w:rsidTr="00836EF2">
        <w:trPr>
          <w:trHeight w:val="63"/>
        </w:trPr>
        <w:tc>
          <w:tcPr>
            <w:tcW w:w="208" w:type="pct"/>
          </w:tcPr>
          <w:p w14:paraId="5819D884"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w:t>
            </w:r>
          </w:p>
        </w:tc>
        <w:tc>
          <w:tcPr>
            <w:tcW w:w="3145" w:type="pct"/>
            <w:vAlign w:val="center"/>
          </w:tcPr>
          <w:p w14:paraId="729419CA"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Perakende alacaklar</w:t>
            </w:r>
          </w:p>
        </w:tc>
        <w:tc>
          <w:tcPr>
            <w:tcW w:w="872" w:type="pct"/>
            <w:shd w:val="clear" w:color="auto" w:fill="auto"/>
            <w:vAlign w:val="center"/>
          </w:tcPr>
          <w:p w14:paraId="36AE526B" w14:textId="484A330D"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361.224.930</w:t>
            </w:r>
          </w:p>
        </w:tc>
        <w:tc>
          <w:tcPr>
            <w:tcW w:w="775" w:type="pct"/>
            <w:shd w:val="clear" w:color="auto" w:fill="auto"/>
            <w:vAlign w:val="center"/>
          </w:tcPr>
          <w:p w14:paraId="589CAC69" w14:textId="3A853809"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314.809.148</w:t>
            </w:r>
          </w:p>
        </w:tc>
      </w:tr>
      <w:tr w:rsidR="00FD6F98" w:rsidRPr="00FB38E1" w14:paraId="75AEC566" w14:textId="77777777" w:rsidTr="00836EF2">
        <w:trPr>
          <w:trHeight w:val="63"/>
        </w:trPr>
        <w:tc>
          <w:tcPr>
            <w:tcW w:w="208" w:type="pct"/>
          </w:tcPr>
          <w:p w14:paraId="450ADE36"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w:t>
            </w:r>
          </w:p>
        </w:tc>
        <w:tc>
          <w:tcPr>
            <w:tcW w:w="3145" w:type="pct"/>
            <w:vAlign w:val="center"/>
          </w:tcPr>
          <w:p w14:paraId="4CFB8A58"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İkamet amaçlı gayrimenkul ipoteği ile teminatlandırılan alacaklar</w:t>
            </w:r>
          </w:p>
        </w:tc>
        <w:tc>
          <w:tcPr>
            <w:tcW w:w="872" w:type="pct"/>
            <w:shd w:val="clear" w:color="auto" w:fill="auto"/>
            <w:vAlign w:val="center"/>
          </w:tcPr>
          <w:p w14:paraId="68F72BCE" w14:textId="1D5B1E43"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19.586.737</w:t>
            </w:r>
          </w:p>
        </w:tc>
        <w:tc>
          <w:tcPr>
            <w:tcW w:w="775" w:type="pct"/>
            <w:shd w:val="clear" w:color="auto" w:fill="auto"/>
            <w:vAlign w:val="center"/>
          </w:tcPr>
          <w:p w14:paraId="6D5875DE" w14:textId="0A8E682A"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17.135.128</w:t>
            </w:r>
          </w:p>
        </w:tc>
      </w:tr>
      <w:tr w:rsidR="00FD6F98" w:rsidRPr="00FB38E1" w14:paraId="5528CDF5" w14:textId="77777777" w:rsidTr="00836EF2">
        <w:trPr>
          <w:trHeight w:val="63"/>
        </w:trPr>
        <w:tc>
          <w:tcPr>
            <w:tcW w:w="208" w:type="pct"/>
          </w:tcPr>
          <w:p w14:paraId="4CD7CEB8"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w:t>
            </w:r>
          </w:p>
        </w:tc>
        <w:tc>
          <w:tcPr>
            <w:tcW w:w="3145" w:type="pct"/>
            <w:vAlign w:val="center"/>
          </w:tcPr>
          <w:p w14:paraId="0E223BA5"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Ticari amaçlı gayrimenkul ipoteği ile teminatlandırılan alacaklar</w:t>
            </w:r>
          </w:p>
        </w:tc>
        <w:tc>
          <w:tcPr>
            <w:tcW w:w="872" w:type="pct"/>
            <w:shd w:val="clear" w:color="auto" w:fill="auto"/>
            <w:vAlign w:val="center"/>
          </w:tcPr>
          <w:p w14:paraId="5256D167" w14:textId="47E4E5C3"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77.202.453</w:t>
            </w:r>
          </w:p>
        </w:tc>
        <w:tc>
          <w:tcPr>
            <w:tcW w:w="775" w:type="pct"/>
            <w:shd w:val="clear" w:color="auto" w:fill="auto"/>
            <w:vAlign w:val="center"/>
          </w:tcPr>
          <w:p w14:paraId="67AC398D" w14:textId="01ED0702"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60.069.929</w:t>
            </w:r>
          </w:p>
        </w:tc>
      </w:tr>
      <w:tr w:rsidR="00FD6F98" w:rsidRPr="00FB38E1" w14:paraId="2794FB7D" w14:textId="77777777" w:rsidTr="00836EF2">
        <w:trPr>
          <w:trHeight w:val="63"/>
        </w:trPr>
        <w:tc>
          <w:tcPr>
            <w:tcW w:w="208" w:type="pct"/>
          </w:tcPr>
          <w:p w14:paraId="197213E3"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w:t>
            </w:r>
          </w:p>
        </w:tc>
        <w:tc>
          <w:tcPr>
            <w:tcW w:w="3145" w:type="pct"/>
            <w:vAlign w:val="center"/>
          </w:tcPr>
          <w:p w14:paraId="4871A3D0"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Tahsili gecikmiş alacaklar</w:t>
            </w:r>
          </w:p>
        </w:tc>
        <w:tc>
          <w:tcPr>
            <w:tcW w:w="872" w:type="pct"/>
            <w:shd w:val="clear" w:color="auto" w:fill="auto"/>
            <w:vAlign w:val="center"/>
          </w:tcPr>
          <w:p w14:paraId="4AA62CD1" w14:textId="18608C91"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11.189.282</w:t>
            </w:r>
          </w:p>
        </w:tc>
        <w:tc>
          <w:tcPr>
            <w:tcW w:w="775" w:type="pct"/>
            <w:shd w:val="clear" w:color="auto" w:fill="auto"/>
            <w:vAlign w:val="center"/>
          </w:tcPr>
          <w:p w14:paraId="641227FD" w14:textId="72D0434D"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8.750.433</w:t>
            </w:r>
          </w:p>
        </w:tc>
      </w:tr>
      <w:tr w:rsidR="00FD6F98" w:rsidRPr="00FB38E1" w14:paraId="7C002AAA" w14:textId="77777777" w:rsidTr="00836EF2">
        <w:trPr>
          <w:trHeight w:val="63"/>
        </w:trPr>
        <w:tc>
          <w:tcPr>
            <w:tcW w:w="208" w:type="pct"/>
          </w:tcPr>
          <w:p w14:paraId="1980B770"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w:t>
            </w:r>
          </w:p>
        </w:tc>
        <w:tc>
          <w:tcPr>
            <w:tcW w:w="3145" w:type="pct"/>
            <w:vAlign w:val="center"/>
          </w:tcPr>
          <w:p w14:paraId="7A0A1309"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Kurulca riski yüksek belirlenmiş alacaklar</w:t>
            </w:r>
          </w:p>
        </w:tc>
        <w:tc>
          <w:tcPr>
            <w:tcW w:w="872" w:type="pct"/>
            <w:shd w:val="clear" w:color="auto" w:fill="auto"/>
            <w:vAlign w:val="center"/>
          </w:tcPr>
          <w:p w14:paraId="6F8927D1" w14:textId="7ADFD3D1"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5" w:type="pct"/>
            <w:shd w:val="clear" w:color="auto" w:fill="auto"/>
            <w:vAlign w:val="center"/>
          </w:tcPr>
          <w:p w14:paraId="7BC97E53" w14:textId="3273E8FA"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D6F98" w:rsidRPr="00FB38E1" w14:paraId="49F53D29" w14:textId="77777777" w:rsidTr="00836EF2">
        <w:trPr>
          <w:trHeight w:val="63"/>
        </w:trPr>
        <w:tc>
          <w:tcPr>
            <w:tcW w:w="208" w:type="pct"/>
          </w:tcPr>
          <w:p w14:paraId="2D71A6FB"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w:t>
            </w:r>
          </w:p>
        </w:tc>
        <w:tc>
          <w:tcPr>
            <w:tcW w:w="3145" w:type="pct"/>
            <w:vAlign w:val="center"/>
          </w:tcPr>
          <w:p w14:paraId="7C1FC252"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İpotek teminatlı menkul kıymetler</w:t>
            </w:r>
          </w:p>
        </w:tc>
        <w:tc>
          <w:tcPr>
            <w:tcW w:w="872" w:type="pct"/>
            <w:shd w:val="clear" w:color="auto" w:fill="auto"/>
            <w:vAlign w:val="center"/>
          </w:tcPr>
          <w:p w14:paraId="696ECD81" w14:textId="3A546B8D"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5" w:type="pct"/>
            <w:shd w:val="clear" w:color="auto" w:fill="auto"/>
            <w:vAlign w:val="center"/>
          </w:tcPr>
          <w:p w14:paraId="5ACEC8AB" w14:textId="760D2830"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D6F98" w:rsidRPr="00FB38E1" w14:paraId="0E71ECF0" w14:textId="77777777" w:rsidTr="00836EF2">
        <w:trPr>
          <w:trHeight w:val="63"/>
        </w:trPr>
        <w:tc>
          <w:tcPr>
            <w:tcW w:w="208" w:type="pct"/>
          </w:tcPr>
          <w:p w14:paraId="60381D18"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w:t>
            </w:r>
          </w:p>
        </w:tc>
        <w:tc>
          <w:tcPr>
            <w:tcW w:w="3145" w:type="pct"/>
            <w:vAlign w:val="center"/>
          </w:tcPr>
          <w:p w14:paraId="63C0FB55"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Bankalardan ve aracı kurumlardan olan kısa vadeli alacaklar ile kısa vadeli kurumsal alacaklar</w:t>
            </w:r>
          </w:p>
        </w:tc>
        <w:tc>
          <w:tcPr>
            <w:tcW w:w="872" w:type="pct"/>
            <w:shd w:val="clear" w:color="auto" w:fill="auto"/>
            <w:vAlign w:val="center"/>
          </w:tcPr>
          <w:p w14:paraId="7D76CF01" w14:textId="2F1F2004"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5" w:type="pct"/>
            <w:shd w:val="clear" w:color="auto" w:fill="auto"/>
            <w:vAlign w:val="center"/>
          </w:tcPr>
          <w:p w14:paraId="51F0657A" w14:textId="47877CA5"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D6F98" w:rsidRPr="00FB38E1" w14:paraId="0C1675DB" w14:textId="77777777" w:rsidTr="00836EF2">
        <w:trPr>
          <w:trHeight w:val="63"/>
        </w:trPr>
        <w:tc>
          <w:tcPr>
            <w:tcW w:w="208" w:type="pct"/>
          </w:tcPr>
          <w:p w14:paraId="439B7114"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15 </w:t>
            </w:r>
          </w:p>
        </w:tc>
        <w:tc>
          <w:tcPr>
            <w:tcW w:w="3145" w:type="pct"/>
            <w:vAlign w:val="center"/>
          </w:tcPr>
          <w:p w14:paraId="3D4DE774"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Kollektif yatırım kuruluşu niteliğindeki yatırımlar</w:t>
            </w:r>
          </w:p>
        </w:tc>
        <w:tc>
          <w:tcPr>
            <w:tcW w:w="872" w:type="pct"/>
            <w:shd w:val="clear" w:color="auto" w:fill="auto"/>
            <w:vAlign w:val="center"/>
          </w:tcPr>
          <w:p w14:paraId="70B52926" w14:textId="3D1CE986"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130.407</w:t>
            </w:r>
          </w:p>
        </w:tc>
        <w:tc>
          <w:tcPr>
            <w:tcW w:w="775" w:type="pct"/>
            <w:shd w:val="clear" w:color="auto" w:fill="auto"/>
            <w:vAlign w:val="center"/>
          </w:tcPr>
          <w:p w14:paraId="70F8991A" w14:textId="00B94E4F"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525.324</w:t>
            </w:r>
          </w:p>
        </w:tc>
      </w:tr>
      <w:tr w:rsidR="00FD6F98" w:rsidRPr="00FB38E1" w14:paraId="0021860C" w14:textId="77777777" w:rsidTr="00836EF2">
        <w:trPr>
          <w:trHeight w:val="63"/>
        </w:trPr>
        <w:tc>
          <w:tcPr>
            <w:tcW w:w="208" w:type="pct"/>
          </w:tcPr>
          <w:p w14:paraId="54B40C54" w14:textId="77777777"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w:t>
            </w:r>
          </w:p>
        </w:tc>
        <w:tc>
          <w:tcPr>
            <w:tcW w:w="3145" w:type="pct"/>
            <w:vAlign w:val="center"/>
          </w:tcPr>
          <w:p w14:paraId="1A49CE15" w14:textId="77777777" w:rsidR="00FD6F98" w:rsidRPr="00FB38E1" w:rsidRDefault="00FD6F98" w:rsidP="00FD6F9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alacaklar</w:t>
            </w:r>
          </w:p>
        </w:tc>
        <w:tc>
          <w:tcPr>
            <w:tcW w:w="872" w:type="pct"/>
            <w:shd w:val="clear" w:color="auto" w:fill="auto"/>
            <w:vAlign w:val="center"/>
          </w:tcPr>
          <w:p w14:paraId="1C73ADC2" w14:textId="2782C78F"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79.938.978</w:t>
            </w:r>
          </w:p>
        </w:tc>
        <w:tc>
          <w:tcPr>
            <w:tcW w:w="775" w:type="pct"/>
            <w:shd w:val="clear" w:color="auto" w:fill="auto"/>
            <w:vAlign w:val="center"/>
          </w:tcPr>
          <w:p w14:paraId="1CDDB2D0" w14:textId="17D38BCB" w:rsidR="00FD6F98" w:rsidRPr="00FB38E1" w:rsidRDefault="00FD6F98" w:rsidP="00FD6F9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76.458.917</w:t>
            </w:r>
          </w:p>
        </w:tc>
      </w:tr>
      <w:tr w:rsidR="00FD6F98" w:rsidRPr="00FB38E1" w14:paraId="30AC2217" w14:textId="77777777" w:rsidTr="00836EF2">
        <w:trPr>
          <w:trHeight w:val="63"/>
        </w:trPr>
        <w:tc>
          <w:tcPr>
            <w:tcW w:w="208" w:type="pct"/>
            <w:tcBorders>
              <w:bottom w:val="single" w:sz="4" w:space="0" w:color="auto"/>
            </w:tcBorders>
          </w:tcPr>
          <w:p w14:paraId="21201B7B" w14:textId="77777777" w:rsidR="00FD6F98" w:rsidRPr="00FB38E1" w:rsidRDefault="00FD6F98" w:rsidP="00FD6F98">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17</w:t>
            </w:r>
          </w:p>
        </w:tc>
        <w:tc>
          <w:tcPr>
            <w:tcW w:w="3145" w:type="pct"/>
            <w:tcBorders>
              <w:bottom w:val="single" w:sz="4" w:space="0" w:color="auto"/>
            </w:tcBorders>
            <w:vAlign w:val="center"/>
          </w:tcPr>
          <w:p w14:paraId="67CAFC19" w14:textId="77777777" w:rsidR="00FD6F98" w:rsidRPr="00FB38E1" w:rsidRDefault="00FD6F98" w:rsidP="00FD6F98">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Hisse senedi yatırımları</w:t>
            </w:r>
          </w:p>
        </w:tc>
        <w:tc>
          <w:tcPr>
            <w:tcW w:w="872" w:type="pct"/>
            <w:tcBorders>
              <w:bottom w:val="single" w:sz="4" w:space="0" w:color="auto"/>
            </w:tcBorders>
            <w:shd w:val="clear" w:color="auto" w:fill="auto"/>
            <w:vAlign w:val="center"/>
          </w:tcPr>
          <w:p w14:paraId="71363F11" w14:textId="7783E8B6" w:rsidR="00FD6F98" w:rsidRPr="00FB38E1" w:rsidRDefault="00FD6F98" w:rsidP="00FD6F98">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88.469.380</w:t>
            </w:r>
          </w:p>
        </w:tc>
        <w:tc>
          <w:tcPr>
            <w:tcW w:w="775" w:type="pct"/>
            <w:tcBorders>
              <w:bottom w:val="single" w:sz="4" w:space="0" w:color="auto"/>
            </w:tcBorders>
            <w:shd w:val="clear" w:color="auto" w:fill="auto"/>
            <w:vAlign w:val="center"/>
          </w:tcPr>
          <w:p w14:paraId="491E7645" w14:textId="456A80C7" w:rsidR="00FD6F98" w:rsidRPr="00FB38E1" w:rsidRDefault="00FD6F98" w:rsidP="00FD6F98">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63.386.890</w:t>
            </w:r>
          </w:p>
        </w:tc>
      </w:tr>
      <w:tr w:rsidR="00FD6F98" w:rsidRPr="00FB38E1" w14:paraId="378B1556" w14:textId="77777777" w:rsidTr="00836EF2">
        <w:trPr>
          <w:trHeight w:val="53"/>
        </w:trPr>
        <w:tc>
          <w:tcPr>
            <w:tcW w:w="208" w:type="pct"/>
            <w:tcBorders>
              <w:top w:val="single" w:sz="4" w:space="0" w:color="auto"/>
              <w:bottom w:val="thickThinSmallGap" w:sz="24" w:space="0" w:color="auto"/>
            </w:tcBorders>
            <w:vAlign w:val="center"/>
          </w:tcPr>
          <w:p w14:paraId="56A48AD8" w14:textId="77777777" w:rsidR="00FD6F98" w:rsidRPr="00FB38E1" w:rsidRDefault="00FD6F98" w:rsidP="00FD6F98">
            <w:pPr>
              <w:jc w:val="right"/>
              <w:rPr>
                <w:rFonts w:ascii="Microsoft Sans Serif" w:hAnsi="Microsoft Sans Serif" w:cs="Microsoft Sans Serif"/>
                <w:b/>
                <w:color w:val="404040"/>
                <w:sz w:val="16"/>
                <w:szCs w:val="16"/>
              </w:rPr>
            </w:pPr>
            <w:r w:rsidRPr="00FB38E1">
              <w:rPr>
                <w:rFonts w:ascii="Microsoft Sans Serif" w:hAnsi="Microsoft Sans Serif" w:cs="Microsoft Sans Serif"/>
                <w:b/>
                <w:sz w:val="16"/>
                <w:szCs w:val="16"/>
              </w:rPr>
              <w:t>18</w:t>
            </w:r>
          </w:p>
        </w:tc>
        <w:tc>
          <w:tcPr>
            <w:tcW w:w="3145" w:type="pct"/>
            <w:tcBorders>
              <w:top w:val="single" w:sz="4" w:space="0" w:color="auto"/>
              <w:bottom w:val="thickThinSmallGap" w:sz="24" w:space="0" w:color="auto"/>
            </w:tcBorders>
            <w:vAlign w:val="center"/>
          </w:tcPr>
          <w:p w14:paraId="016F6D0B" w14:textId="77777777" w:rsidR="00FD6F98" w:rsidRPr="00FB38E1" w:rsidRDefault="00FD6F98" w:rsidP="00FD6F98">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872" w:type="pct"/>
            <w:tcBorders>
              <w:top w:val="single" w:sz="4" w:space="0" w:color="auto"/>
              <w:bottom w:val="thickThinSmallGap" w:sz="24" w:space="0" w:color="auto"/>
            </w:tcBorders>
            <w:shd w:val="clear" w:color="auto" w:fill="auto"/>
            <w:vAlign w:val="center"/>
          </w:tcPr>
          <w:p w14:paraId="2AB6FA0B" w14:textId="70F97D5B" w:rsidR="00FD6F98" w:rsidRPr="00FB38E1" w:rsidRDefault="00FD6F98" w:rsidP="00FD6F98">
            <w:pPr>
              <w:jc w:val="right"/>
              <w:rPr>
                <w:rFonts w:ascii="Microsoft Sans Serif" w:hAnsi="Microsoft Sans Serif" w:cs="Microsoft Sans Serif"/>
                <w:b/>
                <w:sz w:val="16"/>
                <w:szCs w:val="16"/>
              </w:rPr>
            </w:pPr>
            <w:r w:rsidRPr="00FB38E1">
              <w:rPr>
                <w:rFonts w:ascii="Microsoft Sans Serif" w:hAnsi="Microsoft Sans Serif" w:cs="Microsoft Sans Serif"/>
                <w:b/>
                <w:bCs/>
                <w:sz w:val="16"/>
                <w:szCs w:val="16"/>
              </w:rPr>
              <w:t>1.349.086.247</w:t>
            </w:r>
          </w:p>
        </w:tc>
        <w:tc>
          <w:tcPr>
            <w:tcW w:w="775" w:type="pct"/>
            <w:tcBorders>
              <w:top w:val="single" w:sz="4" w:space="0" w:color="auto"/>
              <w:bottom w:val="thickThinSmallGap" w:sz="24" w:space="0" w:color="auto"/>
            </w:tcBorders>
            <w:shd w:val="clear" w:color="auto" w:fill="auto"/>
            <w:vAlign w:val="center"/>
          </w:tcPr>
          <w:p w14:paraId="48A33091" w14:textId="0EEEA5DA" w:rsidR="00FD6F98" w:rsidRPr="00FB38E1" w:rsidRDefault="00FD6F98" w:rsidP="00FD6F98">
            <w:pPr>
              <w:jc w:val="right"/>
              <w:rPr>
                <w:rFonts w:ascii="Microsoft Sans Serif" w:hAnsi="Microsoft Sans Serif" w:cs="Microsoft Sans Serif"/>
                <w:b/>
                <w:sz w:val="16"/>
                <w:szCs w:val="16"/>
              </w:rPr>
            </w:pPr>
            <w:r w:rsidRPr="00FB38E1">
              <w:rPr>
                <w:rFonts w:ascii="Microsoft Sans Serif" w:hAnsi="Microsoft Sans Serif" w:cs="Microsoft Sans Serif"/>
                <w:b/>
                <w:bCs/>
                <w:sz w:val="16"/>
                <w:szCs w:val="16"/>
              </w:rPr>
              <w:t>1.308.307.719</w:t>
            </w:r>
          </w:p>
        </w:tc>
      </w:tr>
    </w:tbl>
    <w:p w14:paraId="6DBE608D" w14:textId="77777777" w:rsidR="00D1663E" w:rsidRPr="00FB38E1" w:rsidRDefault="00D1663E" w:rsidP="00D1663E">
      <w:pPr>
        <w:pStyle w:val="ListParagraph"/>
        <w:tabs>
          <w:tab w:val="left" w:pos="284"/>
        </w:tabs>
        <w:spacing w:before="120" w:after="0"/>
        <w:ind w:left="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r w:rsidRPr="00FB38E1">
        <w:rPr>
          <w:rFonts w:ascii="Microsoft Sans Serif" w:hAnsi="Microsoft Sans Serif" w:cs="Microsoft Sans Serif"/>
          <w:color w:val="404040" w:themeColor="text1" w:themeTint="BF"/>
          <w:sz w:val="16"/>
          <w:szCs w:val="16"/>
        </w:rPr>
        <w:tab/>
        <w:t>Kredi riski azaltımı öncesi, krediye dönüşüm oranı sonrası toplam bankacılık defterinde yer alan riskleri içermektedir.</w:t>
      </w:r>
    </w:p>
    <w:p w14:paraId="3B8AF909" w14:textId="77777777" w:rsidR="00D1663E" w:rsidRPr="00FB38E1" w:rsidRDefault="00D1663E" w:rsidP="00D1663E">
      <w:pPr>
        <w:pStyle w:val="Head3"/>
        <w:keepNext w:val="0"/>
        <w:keepLines w:val="0"/>
        <w:tabs>
          <w:tab w:val="left" w:pos="284"/>
        </w:tabs>
        <w:spacing w:before="0" w:after="0" w:line="240" w:lineRule="auto"/>
        <w:ind w:right="0" w:firstLine="0"/>
        <w:rPr>
          <w:rFonts w:ascii="Microsoft Sans Serif" w:hAnsi="Microsoft Sans Serif" w:cs="Microsoft Sans Serif"/>
          <w:b w:val="0"/>
          <w:i w:val="0"/>
          <w:color w:val="404040" w:themeColor="text1" w:themeTint="BF"/>
          <w:sz w:val="16"/>
          <w:szCs w:val="16"/>
        </w:rPr>
      </w:pPr>
      <w:r w:rsidRPr="00FB38E1">
        <w:rPr>
          <w:rFonts w:ascii="Microsoft Sans Serif" w:hAnsi="Microsoft Sans Serif" w:cs="Microsoft Sans Serif"/>
          <w:b w:val="0"/>
          <w:i w:val="0"/>
          <w:color w:val="404040" w:themeColor="text1" w:themeTint="BF"/>
          <w:sz w:val="16"/>
          <w:szCs w:val="16"/>
        </w:rPr>
        <w:t>(**)</w:t>
      </w:r>
      <w:r w:rsidRPr="00FB38E1">
        <w:rPr>
          <w:rFonts w:ascii="Microsoft Sans Serif" w:hAnsi="Microsoft Sans Serif" w:cs="Microsoft Sans Serif"/>
          <w:b w:val="0"/>
          <w:i w:val="0"/>
          <w:color w:val="404040" w:themeColor="text1" w:themeTint="BF"/>
          <w:sz w:val="16"/>
          <w:szCs w:val="16"/>
        </w:rPr>
        <w:tab/>
        <w:t>Üç aylık rapor bakiyelerinin aritmetik ortalamasıdır.</w:t>
      </w:r>
    </w:p>
    <w:p w14:paraId="5D8092D4" w14:textId="77777777" w:rsidR="00D1663E" w:rsidRPr="00FB38E1" w:rsidRDefault="00D1663E" w:rsidP="00D1663E">
      <w:pPr>
        <w:pStyle w:val="Head3"/>
        <w:keepNext w:val="0"/>
        <w:keepLines w:val="0"/>
        <w:tabs>
          <w:tab w:val="left" w:pos="284"/>
        </w:tabs>
        <w:spacing w:before="0" w:after="0" w:line="240" w:lineRule="auto"/>
        <w:ind w:right="0" w:firstLine="0"/>
        <w:rPr>
          <w:rFonts w:ascii="Microsoft Sans Serif" w:hAnsi="Microsoft Sans Serif" w:cs="Microsoft Sans Serif"/>
          <w:b w:val="0"/>
          <w:i w:val="0"/>
          <w:color w:val="404040" w:themeColor="text1" w:themeTint="BF"/>
          <w:sz w:val="16"/>
          <w:szCs w:val="16"/>
        </w:rPr>
      </w:pPr>
    </w:p>
    <w:p w14:paraId="288DB093" w14:textId="77777777" w:rsidR="00D1663E" w:rsidRPr="00FB38E1" w:rsidRDefault="00D1663E" w:rsidP="00D1663E">
      <w:pPr>
        <w:pStyle w:val="Head3"/>
        <w:keepNext w:val="0"/>
        <w:keepLines w:val="0"/>
        <w:tabs>
          <w:tab w:val="left" w:pos="284"/>
        </w:tabs>
        <w:spacing w:before="0" w:after="0" w:line="240" w:lineRule="auto"/>
        <w:ind w:right="0" w:firstLine="0"/>
        <w:rPr>
          <w:rFonts w:ascii="Microsoft Sans Serif" w:hAnsi="Microsoft Sans Serif" w:cs="Microsoft Sans Serif"/>
          <w:b w:val="0"/>
          <w:i w:val="0"/>
          <w:color w:val="404040" w:themeColor="text1" w:themeTint="BF"/>
          <w:sz w:val="16"/>
          <w:szCs w:val="16"/>
        </w:rPr>
      </w:pPr>
    </w:p>
    <w:tbl>
      <w:tblPr>
        <w:tblStyle w:val="TableGrid"/>
        <w:tblW w:w="9647"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8"/>
        <w:gridCol w:w="6137"/>
        <w:gridCol w:w="1605"/>
        <w:gridCol w:w="1497"/>
      </w:tblGrid>
      <w:tr w:rsidR="00D1663E" w:rsidRPr="00FB38E1" w14:paraId="187C0F66" w14:textId="77777777" w:rsidTr="00836EF2">
        <w:trPr>
          <w:trHeight w:val="452"/>
        </w:trPr>
        <w:tc>
          <w:tcPr>
            <w:tcW w:w="211" w:type="pct"/>
            <w:tcBorders>
              <w:top w:val="thinThickSmallGap" w:sz="24" w:space="0" w:color="auto"/>
              <w:bottom w:val="single" w:sz="4" w:space="0" w:color="auto"/>
            </w:tcBorders>
            <w:vAlign w:val="bottom"/>
          </w:tcPr>
          <w:p w14:paraId="5EBBBDE9" w14:textId="77777777" w:rsidR="00D1663E" w:rsidRPr="00FB38E1" w:rsidRDefault="00D1663E" w:rsidP="00836EF2">
            <w:pPr>
              <w:rPr>
                <w:rFonts w:ascii="Microsoft Sans Serif" w:hAnsi="Microsoft Sans Serif" w:cs="Microsoft Sans Serif"/>
                <w:color w:val="000000"/>
                <w:sz w:val="16"/>
                <w:szCs w:val="16"/>
              </w:rPr>
            </w:pPr>
          </w:p>
        </w:tc>
        <w:tc>
          <w:tcPr>
            <w:tcW w:w="3181" w:type="pct"/>
            <w:tcBorders>
              <w:top w:val="thinThickSmallGap" w:sz="24" w:space="0" w:color="auto"/>
              <w:bottom w:val="single" w:sz="4" w:space="0" w:color="auto"/>
            </w:tcBorders>
            <w:vAlign w:val="bottom"/>
          </w:tcPr>
          <w:p w14:paraId="63716A8F" w14:textId="77777777" w:rsidR="00D1663E" w:rsidRPr="00FB38E1" w:rsidRDefault="00D1663E" w:rsidP="00836EF2">
            <w:pP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Risk Sınıfları</w:t>
            </w:r>
          </w:p>
        </w:tc>
        <w:tc>
          <w:tcPr>
            <w:tcW w:w="832" w:type="pct"/>
            <w:tcBorders>
              <w:top w:val="thinThickSmallGap" w:sz="24" w:space="0" w:color="auto"/>
              <w:bottom w:val="single" w:sz="4" w:space="0" w:color="auto"/>
            </w:tcBorders>
            <w:vAlign w:val="bottom"/>
          </w:tcPr>
          <w:p w14:paraId="1111E4C4"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Önceki </w:t>
            </w:r>
          </w:p>
          <w:p w14:paraId="7681ED7F"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w:t>
            </w:r>
          </w:p>
        </w:tc>
        <w:tc>
          <w:tcPr>
            <w:tcW w:w="776" w:type="pct"/>
            <w:tcBorders>
              <w:top w:val="thinThickSmallGap" w:sz="24" w:space="0" w:color="auto"/>
              <w:bottom w:val="single" w:sz="4" w:space="0" w:color="auto"/>
            </w:tcBorders>
            <w:vAlign w:val="bottom"/>
          </w:tcPr>
          <w:p w14:paraId="7181071D"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Ortalama </w:t>
            </w:r>
          </w:p>
          <w:p w14:paraId="7DFAC59D"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CF4F97" w:rsidRPr="00FB38E1" w14:paraId="47FF31E3" w14:textId="77777777" w:rsidTr="00836EF2">
        <w:trPr>
          <w:trHeight w:val="53"/>
        </w:trPr>
        <w:tc>
          <w:tcPr>
            <w:tcW w:w="211" w:type="pct"/>
            <w:tcBorders>
              <w:top w:val="single" w:sz="4" w:space="0" w:color="auto"/>
            </w:tcBorders>
            <w:vAlign w:val="center"/>
          </w:tcPr>
          <w:p w14:paraId="6A677D2A"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w:t>
            </w:r>
          </w:p>
        </w:tc>
        <w:tc>
          <w:tcPr>
            <w:tcW w:w="3181" w:type="pct"/>
            <w:tcBorders>
              <w:top w:val="single" w:sz="4" w:space="0" w:color="auto"/>
            </w:tcBorders>
            <w:vAlign w:val="center"/>
          </w:tcPr>
          <w:p w14:paraId="1F39AE8B"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Merkezi yönetimlerden veya merkez bankalarından alacaklar</w:t>
            </w:r>
          </w:p>
        </w:tc>
        <w:tc>
          <w:tcPr>
            <w:tcW w:w="832" w:type="pct"/>
            <w:tcBorders>
              <w:top w:val="nil"/>
              <w:left w:val="nil"/>
              <w:bottom w:val="nil"/>
              <w:right w:val="nil"/>
            </w:tcBorders>
            <w:shd w:val="clear" w:color="auto" w:fill="auto"/>
            <w:vAlign w:val="center"/>
          </w:tcPr>
          <w:p w14:paraId="02E9CEC3" w14:textId="05B98456"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282.545.751</w:t>
            </w:r>
          </w:p>
        </w:tc>
        <w:tc>
          <w:tcPr>
            <w:tcW w:w="776" w:type="pct"/>
            <w:tcBorders>
              <w:top w:val="single" w:sz="4" w:space="0" w:color="auto"/>
            </w:tcBorders>
            <w:vAlign w:val="center"/>
          </w:tcPr>
          <w:p w14:paraId="5EADAE29" w14:textId="303F0D3E"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212.395.698</w:t>
            </w:r>
          </w:p>
        </w:tc>
      </w:tr>
      <w:tr w:rsidR="00CF4F97" w:rsidRPr="00FB38E1" w14:paraId="36D90EC3" w14:textId="77777777" w:rsidTr="00836EF2">
        <w:trPr>
          <w:trHeight w:val="63"/>
        </w:trPr>
        <w:tc>
          <w:tcPr>
            <w:tcW w:w="211" w:type="pct"/>
          </w:tcPr>
          <w:p w14:paraId="2429BDE3"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p>
        </w:tc>
        <w:tc>
          <w:tcPr>
            <w:tcW w:w="3181" w:type="pct"/>
            <w:vAlign w:val="center"/>
          </w:tcPr>
          <w:p w14:paraId="706680EF"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Bölgesel yönetimlerden veya yerel yönetimlerden alacaklar</w:t>
            </w:r>
          </w:p>
        </w:tc>
        <w:tc>
          <w:tcPr>
            <w:tcW w:w="832" w:type="pct"/>
            <w:tcBorders>
              <w:top w:val="nil"/>
              <w:left w:val="nil"/>
              <w:bottom w:val="nil"/>
              <w:right w:val="nil"/>
            </w:tcBorders>
            <w:shd w:val="clear" w:color="auto" w:fill="auto"/>
            <w:vAlign w:val="center"/>
          </w:tcPr>
          <w:p w14:paraId="276D3801" w14:textId="5A2566A6"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3.564.658</w:t>
            </w:r>
          </w:p>
        </w:tc>
        <w:tc>
          <w:tcPr>
            <w:tcW w:w="776" w:type="pct"/>
            <w:vAlign w:val="center"/>
          </w:tcPr>
          <w:p w14:paraId="240A367D" w14:textId="1163EA3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2.896.002</w:t>
            </w:r>
          </w:p>
        </w:tc>
      </w:tr>
      <w:tr w:rsidR="00CF4F97" w:rsidRPr="00FB38E1" w14:paraId="010CFFB1" w14:textId="77777777" w:rsidTr="00836EF2">
        <w:trPr>
          <w:trHeight w:val="63"/>
        </w:trPr>
        <w:tc>
          <w:tcPr>
            <w:tcW w:w="211" w:type="pct"/>
          </w:tcPr>
          <w:p w14:paraId="40180EE7"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w:t>
            </w:r>
          </w:p>
        </w:tc>
        <w:tc>
          <w:tcPr>
            <w:tcW w:w="3181" w:type="pct"/>
            <w:vAlign w:val="center"/>
          </w:tcPr>
          <w:p w14:paraId="7600995E"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İdari birimlerden ve ticari olmayan girişimlerden alacaklar</w:t>
            </w:r>
          </w:p>
        </w:tc>
        <w:tc>
          <w:tcPr>
            <w:tcW w:w="832" w:type="pct"/>
            <w:tcBorders>
              <w:top w:val="nil"/>
              <w:left w:val="nil"/>
              <w:bottom w:val="nil"/>
              <w:right w:val="nil"/>
            </w:tcBorders>
            <w:shd w:val="clear" w:color="auto" w:fill="auto"/>
            <w:vAlign w:val="center"/>
          </w:tcPr>
          <w:p w14:paraId="1008A91B" w14:textId="12693680"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7.334.860</w:t>
            </w:r>
          </w:p>
        </w:tc>
        <w:tc>
          <w:tcPr>
            <w:tcW w:w="776" w:type="pct"/>
            <w:vAlign w:val="center"/>
          </w:tcPr>
          <w:p w14:paraId="374C3153" w14:textId="1FBFC7CD"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4.174.359</w:t>
            </w:r>
          </w:p>
        </w:tc>
      </w:tr>
      <w:tr w:rsidR="00CF4F97" w:rsidRPr="00FB38E1" w14:paraId="05E08757" w14:textId="77777777" w:rsidTr="00836EF2">
        <w:trPr>
          <w:trHeight w:val="63"/>
        </w:trPr>
        <w:tc>
          <w:tcPr>
            <w:tcW w:w="211" w:type="pct"/>
          </w:tcPr>
          <w:p w14:paraId="6AB9E82A"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w:t>
            </w:r>
          </w:p>
        </w:tc>
        <w:tc>
          <w:tcPr>
            <w:tcW w:w="3181" w:type="pct"/>
            <w:vAlign w:val="center"/>
          </w:tcPr>
          <w:p w14:paraId="790C7C4E"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Çok taraflı kalkınma bankalarından alacaklar</w:t>
            </w:r>
          </w:p>
        </w:tc>
        <w:tc>
          <w:tcPr>
            <w:tcW w:w="832" w:type="pct"/>
            <w:tcBorders>
              <w:top w:val="nil"/>
              <w:left w:val="nil"/>
              <w:bottom w:val="nil"/>
              <w:right w:val="nil"/>
            </w:tcBorders>
            <w:shd w:val="clear" w:color="auto" w:fill="auto"/>
            <w:vAlign w:val="center"/>
          </w:tcPr>
          <w:p w14:paraId="6F09BAF6" w14:textId="6A4B8372"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6" w:type="pct"/>
            <w:vAlign w:val="center"/>
          </w:tcPr>
          <w:p w14:paraId="63566EAB" w14:textId="5A2629A0"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F4F97" w:rsidRPr="00FB38E1" w14:paraId="6C31CE8E" w14:textId="77777777" w:rsidTr="00836EF2">
        <w:trPr>
          <w:trHeight w:val="63"/>
        </w:trPr>
        <w:tc>
          <w:tcPr>
            <w:tcW w:w="211" w:type="pct"/>
          </w:tcPr>
          <w:p w14:paraId="11B4D9B1"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w:t>
            </w:r>
          </w:p>
        </w:tc>
        <w:tc>
          <w:tcPr>
            <w:tcW w:w="3181" w:type="pct"/>
            <w:vAlign w:val="center"/>
          </w:tcPr>
          <w:p w14:paraId="621020E8"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Uluslararası teşkilatlardan alacaklar</w:t>
            </w:r>
          </w:p>
        </w:tc>
        <w:tc>
          <w:tcPr>
            <w:tcW w:w="832" w:type="pct"/>
            <w:tcBorders>
              <w:top w:val="nil"/>
              <w:left w:val="nil"/>
              <w:bottom w:val="nil"/>
              <w:right w:val="nil"/>
            </w:tcBorders>
            <w:shd w:val="clear" w:color="auto" w:fill="auto"/>
            <w:vAlign w:val="center"/>
          </w:tcPr>
          <w:p w14:paraId="1FCB5AAC" w14:textId="7DF1016E"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6" w:type="pct"/>
            <w:vAlign w:val="center"/>
          </w:tcPr>
          <w:p w14:paraId="57622BA9" w14:textId="61145570"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F4F97" w:rsidRPr="00FB38E1" w14:paraId="6DE882DA" w14:textId="77777777" w:rsidTr="00836EF2">
        <w:trPr>
          <w:trHeight w:val="63"/>
        </w:trPr>
        <w:tc>
          <w:tcPr>
            <w:tcW w:w="211" w:type="pct"/>
          </w:tcPr>
          <w:p w14:paraId="4DCE0776"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w:t>
            </w:r>
          </w:p>
        </w:tc>
        <w:tc>
          <w:tcPr>
            <w:tcW w:w="3181" w:type="pct"/>
            <w:vAlign w:val="center"/>
          </w:tcPr>
          <w:p w14:paraId="740106AA"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Bankalardan ve aracı kurumlardan alacaklar</w:t>
            </w:r>
          </w:p>
        </w:tc>
        <w:tc>
          <w:tcPr>
            <w:tcW w:w="832" w:type="pct"/>
            <w:tcBorders>
              <w:top w:val="nil"/>
              <w:left w:val="nil"/>
              <w:bottom w:val="nil"/>
              <w:right w:val="nil"/>
            </w:tcBorders>
            <w:shd w:val="clear" w:color="auto" w:fill="auto"/>
            <w:vAlign w:val="center"/>
          </w:tcPr>
          <w:p w14:paraId="6669AEED" w14:textId="0520DBC2"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75.851.417</w:t>
            </w:r>
          </w:p>
        </w:tc>
        <w:tc>
          <w:tcPr>
            <w:tcW w:w="776" w:type="pct"/>
            <w:vAlign w:val="center"/>
          </w:tcPr>
          <w:p w14:paraId="7F68AE02" w14:textId="58E913E4"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67.063.832</w:t>
            </w:r>
          </w:p>
        </w:tc>
      </w:tr>
      <w:tr w:rsidR="00CF4F97" w:rsidRPr="00FB38E1" w14:paraId="11AFAF61" w14:textId="77777777" w:rsidTr="00836EF2">
        <w:trPr>
          <w:trHeight w:val="63"/>
        </w:trPr>
        <w:tc>
          <w:tcPr>
            <w:tcW w:w="211" w:type="pct"/>
          </w:tcPr>
          <w:p w14:paraId="0BF0D66A"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w:t>
            </w:r>
          </w:p>
        </w:tc>
        <w:tc>
          <w:tcPr>
            <w:tcW w:w="3181" w:type="pct"/>
            <w:vAlign w:val="center"/>
          </w:tcPr>
          <w:p w14:paraId="315E65AB"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Kurumsal alacaklar</w:t>
            </w:r>
          </w:p>
        </w:tc>
        <w:tc>
          <w:tcPr>
            <w:tcW w:w="832" w:type="pct"/>
            <w:tcBorders>
              <w:top w:val="nil"/>
              <w:left w:val="nil"/>
              <w:bottom w:val="nil"/>
              <w:right w:val="nil"/>
            </w:tcBorders>
            <w:shd w:val="clear" w:color="auto" w:fill="auto"/>
            <w:vAlign w:val="center"/>
          </w:tcPr>
          <w:p w14:paraId="0D6F1DB4" w14:textId="06639F14"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202.116.422</w:t>
            </w:r>
          </w:p>
        </w:tc>
        <w:tc>
          <w:tcPr>
            <w:tcW w:w="776" w:type="pct"/>
            <w:vAlign w:val="center"/>
          </w:tcPr>
          <w:p w14:paraId="7AD327ED" w14:textId="77736536"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186.120.451</w:t>
            </w:r>
          </w:p>
        </w:tc>
      </w:tr>
      <w:tr w:rsidR="00CF4F97" w:rsidRPr="00FB38E1" w14:paraId="3D7A0E32" w14:textId="77777777" w:rsidTr="00836EF2">
        <w:trPr>
          <w:trHeight w:val="63"/>
        </w:trPr>
        <w:tc>
          <w:tcPr>
            <w:tcW w:w="211" w:type="pct"/>
          </w:tcPr>
          <w:p w14:paraId="1BE7CE85"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w:t>
            </w:r>
          </w:p>
        </w:tc>
        <w:tc>
          <w:tcPr>
            <w:tcW w:w="3181" w:type="pct"/>
            <w:vAlign w:val="center"/>
          </w:tcPr>
          <w:p w14:paraId="26EA7339"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Perakende alacaklar</w:t>
            </w:r>
          </w:p>
        </w:tc>
        <w:tc>
          <w:tcPr>
            <w:tcW w:w="832" w:type="pct"/>
            <w:tcBorders>
              <w:top w:val="nil"/>
              <w:left w:val="nil"/>
              <w:bottom w:val="nil"/>
              <w:right w:val="nil"/>
            </w:tcBorders>
            <w:shd w:val="clear" w:color="auto" w:fill="auto"/>
            <w:vAlign w:val="center"/>
          </w:tcPr>
          <w:p w14:paraId="0B53204F" w14:textId="6ACC8234"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226.169.352</w:t>
            </w:r>
          </w:p>
        </w:tc>
        <w:tc>
          <w:tcPr>
            <w:tcW w:w="776" w:type="pct"/>
            <w:vAlign w:val="center"/>
          </w:tcPr>
          <w:p w14:paraId="0F0B3EEF" w14:textId="57589492"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193.837.380</w:t>
            </w:r>
          </w:p>
        </w:tc>
      </w:tr>
      <w:tr w:rsidR="00CF4F97" w:rsidRPr="00FB38E1" w14:paraId="2903A16D" w14:textId="77777777" w:rsidTr="00836EF2">
        <w:trPr>
          <w:trHeight w:val="63"/>
        </w:trPr>
        <w:tc>
          <w:tcPr>
            <w:tcW w:w="211" w:type="pct"/>
          </w:tcPr>
          <w:p w14:paraId="0E7F76EC"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w:t>
            </w:r>
          </w:p>
        </w:tc>
        <w:tc>
          <w:tcPr>
            <w:tcW w:w="3181" w:type="pct"/>
            <w:vAlign w:val="center"/>
          </w:tcPr>
          <w:p w14:paraId="4B01FEA5"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İkamet amaçlı gayrimenkul ipoteği ile teminatlandırılan alacaklar</w:t>
            </w:r>
          </w:p>
        </w:tc>
        <w:tc>
          <w:tcPr>
            <w:tcW w:w="832" w:type="pct"/>
            <w:tcBorders>
              <w:top w:val="nil"/>
              <w:left w:val="nil"/>
              <w:bottom w:val="nil"/>
              <w:right w:val="nil"/>
            </w:tcBorders>
            <w:shd w:val="clear" w:color="auto" w:fill="auto"/>
            <w:vAlign w:val="center"/>
          </w:tcPr>
          <w:p w14:paraId="2692E1A6" w14:textId="0862BF6F"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11.337.999</w:t>
            </w:r>
          </w:p>
        </w:tc>
        <w:tc>
          <w:tcPr>
            <w:tcW w:w="776" w:type="pct"/>
            <w:vAlign w:val="center"/>
          </w:tcPr>
          <w:p w14:paraId="6BE771BF" w14:textId="4DC5991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9.380.468</w:t>
            </w:r>
          </w:p>
        </w:tc>
      </w:tr>
      <w:tr w:rsidR="00CF4F97" w:rsidRPr="00FB38E1" w14:paraId="17E05E7B" w14:textId="77777777" w:rsidTr="00836EF2">
        <w:trPr>
          <w:trHeight w:val="63"/>
        </w:trPr>
        <w:tc>
          <w:tcPr>
            <w:tcW w:w="211" w:type="pct"/>
          </w:tcPr>
          <w:p w14:paraId="0B54A1F3"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w:t>
            </w:r>
          </w:p>
        </w:tc>
        <w:tc>
          <w:tcPr>
            <w:tcW w:w="3181" w:type="pct"/>
            <w:vAlign w:val="center"/>
          </w:tcPr>
          <w:p w14:paraId="48D5A877"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Ticari amaçlı gayrimenkul ipoteği ile teminatlandırılan alacaklar</w:t>
            </w:r>
          </w:p>
        </w:tc>
        <w:tc>
          <w:tcPr>
            <w:tcW w:w="832" w:type="pct"/>
            <w:tcBorders>
              <w:top w:val="nil"/>
              <w:left w:val="nil"/>
              <w:bottom w:val="nil"/>
              <w:right w:val="nil"/>
            </w:tcBorders>
            <w:shd w:val="clear" w:color="auto" w:fill="auto"/>
            <w:vAlign w:val="center"/>
          </w:tcPr>
          <w:p w14:paraId="47ACB81E" w14:textId="7713EDCB"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36.598.264</w:t>
            </w:r>
          </w:p>
        </w:tc>
        <w:tc>
          <w:tcPr>
            <w:tcW w:w="776" w:type="pct"/>
            <w:vAlign w:val="center"/>
          </w:tcPr>
          <w:p w14:paraId="48203D66" w14:textId="74A7E250"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34.685.475</w:t>
            </w:r>
          </w:p>
        </w:tc>
      </w:tr>
      <w:tr w:rsidR="00CF4F97" w:rsidRPr="00FB38E1" w14:paraId="0D7534CF" w14:textId="77777777" w:rsidTr="00836EF2">
        <w:trPr>
          <w:trHeight w:val="63"/>
        </w:trPr>
        <w:tc>
          <w:tcPr>
            <w:tcW w:w="211" w:type="pct"/>
          </w:tcPr>
          <w:p w14:paraId="159541CB"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w:t>
            </w:r>
          </w:p>
        </w:tc>
        <w:tc>
          <w:tcPr>
            <w:tcW w:w="3181" w:type="pct"/>
            <w:vAlign w:val="center"/>
          </w:tcPr>
          <w:p w14:paraId="1A09C990"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Tahsili gecikmiş alacaklar</w:t>
            </w:r>
          </w:p>
        </w:tc>
        <w:tc>
          <w:tcPr>
            <w:tcW w:w="832" w:type="pct"/>
            <w:tcBorders>
              <w:top w:val="nil"/>
              <w:left w:val="nil"/>
              <w:bottom w:val="nil"/>
              <w:right w:val="nil"/>
            </w:tcBorders>
            <w:shd w:val="clear" w:color="auto" w:fill="auto"/>
            <w:vAlign w:val="center"/>
          </w:tcPr>
          <w:p w14:paraId="0486515D" w14:textId="4F244BBB"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6.010.793</w:t>
            </w:r>
          </w:p>
        </w:tc>
        <w:tc>
          <w:tcPr>
            <w:tcW w:w="776" w:type="pct"/>
            <w:vAlign w:val="center"/>
          </w:tcPr>
          <w:p w14:paraId="2FEC0B2B" w14:textId="6D7A096B"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3.746.380</w:t>
            </w:r>
          </w:p>
        </w:tc>
      </w:tr>
      <w:tr w:rsidR="00CF4F97" w:rsidRPr="00FB38E1" w14:paraId="4C630449" w14:textId="77777777" w:rsidTr="00836EF2">
        <w:trPr>
          <w:trHeight w:val="63"/>
        </w:trPr>
        <w:tc>
          <w:tcPr>
            <w:tcW w:w="211" w:type="pct"/>
          </w:tcPr>
          <w:p w14:paraId="6477A7EA"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w:t>
            </w:r>
          </w:p>
        </w:tc>
        <w:tc>
          <w:tcPr>
            <w:tcW w:w="3181" w:type="pct"/>
            <w:vAlign w:val="center"/>
          </w:tcPr>
          <w:p w14:paraId="5D71971F"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Kurulca riski yüksek belirlenmiş alacaklar</w:t>
            </w:r>
          </w:p>
        </w:tc>
        <w:tc>
          <w:tcPr>
            <w:tcW w:w="832" w:type="pct"/>
            <w:tcBorders>
              <w:top w:val="nil"/>
              <w:left w:val="nil"/>
              <w:bottom w:val="nil"/>
              <w:right w:val="nil"/>
            </w:tcBorders>
            <w:shd w:val="clear" w:color="auto" w:fill="auto"/>
            <w:vAlign w:val="center"/>
          </w:tcPr>
          <w:p w14:paraId="69BF554E" w14:textId="07626C59"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6" w:type="pct"/>
            <w:vAlign w:val="center"/>
          </w:tcPr>
          <w:p w14:paraId="6C387164" w14:textId="59A0F764"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F4F97" w:rsidRPr="00FB38E1" w14:paraId="0D2633FB" w14:textId="77777777" w:rsidTr="00836EF2">
        <w:trPr>
          <w:trHeight w:val="63"/>
        </w:trPr>
        <w:tc>
          <w:tcPr>
            <w:tcW w:w="211" w:type="pct"/>
          </w:tcPr>
          <w:p w14:paraId="0DA84136"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w:t>
            </w:r>
          </w:p>
        </w:tc>
        <w:tc>
          <w:tcPr>
            <w:tcW w:w="3181" w:type="pct"/>
            <w:vAlign w:val="center"/>
          </w:tcPr>
          <w:p w14:paraId="0ADA5C2F"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İpotek teminatlı menkul kıymetler</w:t>
            </w:r>
          </w:p>
        </w:tc>
        <w:tc>
          <w:tcPr>
            <w:tcW w:w="832" w:type="pct"/>
            <w:tcBorders>
              <w:top w:val="nil"/>
              <w:left w:val="nil"/>
              <w:bottom w:val="nil"/>
              <w:right w:val="nil"/>
            </w:tcBorders>
            <w:shd w:val="clear" w:color="auto" w:fill="auto"/>
            <w:vAlign w:val="center"/>
          </w:tcPr>
          <w:p w14:paraId="760F26F3" w14:textId="13FEB850"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6" w:type="pct"/>
            <w:vAlign w:val="center"/>
          </w:tcPr>
          <w:p w14:paraId="3E563B1A" w14:textId="29CA3CDF"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F4F97" w:rsidRPr="00FB38E1" w14:paraId="10AC478E" w14:textId="77777777" w:rsidTr="00836EF2">
        <w:trPr>
          <w:trHeight w:val="63"/>
        </w:trPr>
        <w:tc>
          <w:tcPr>
            <w:tcW w:w="211" w:type="pct"/>
          </w:tcPr>
          <w:p w14:paraId="0DA4EE5E"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w:t>
            </w:r>
          </w:p>
        </w:tc>
        <w:tc>
          <w:tcPr>
            <w:tcW w:w="3181" w:type="pct"/>
            <w:vAlign w:val="center"/>
          </w:tcPr>
          <w:p w14:paraId="0B5938E2"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Bankalardan ve aracı kurumlardan olan kısa vadeli alacaklar ile kısa vadeli kurumsal alacaklar</w:t>
            </w:r>
          </w:p>
        </w:tc>
        <w:tc>
          <w:tcPr>
            <w:tcW w:w="832" w:type="pct"/>
            <w:tcBorders>
              <w:top w:val="nil"/>
              <w:left w:val="nil"/>
              <w:bottom w:val="nil"/>
              <w:right w:val="nil"/>
            </w:tcBorders>
            <w:shd w:val="clear" w:color="auto" w:fill="auto"/>
            <w:vAlign w:val="center"/>
          </w:tcPr>
          <w:p w14:paraId="78E7FA6F" w14:textId="3746B99D"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6" w:type="pct"/>
            <w:vAlign w:val="center"/>
          </w:tcPr>
          <w:p w14:paraId="767F6756" w14:textId="02A779B4"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F4F97" w:rsidRPr="00FB38E1" w14:paraId="1BD91886" w14:textId="77777777" w:rsidTr="00836EF2">
        <w:trPr>
          <w:trHeight w:val="63"/>
        </w:trPr>
        <w:tc>
          <w:tcPr>
            <w:tcW w:w="211" w:type="pct"/>
          </w:tcPr>
          <w:p w14:paraId="3C41C90F"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15 </w:t>
            </w:r>
          </w:p>
        </w:tc>
        <w:tc>
          <w:tcPr>
            <w:tcW w:w="3181" w:type="pct"/>
            <w:vAlign w:val="center"/>
          </w:tcPr>
          <w:p w14:paraId="42CB2050"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Kollektif yatırım kuruluşu niteliğindeki yatırımlar</w:t>
            </w:r>
          </w:p>
        </w:tc>
        <w:tc>
          <w:tcPr>
            <w:tcW w:w="832" w:type="pct"/>
            <w:tcBorders>
              <w:top w:val="nil"/>
              <w:left w:val="nil"/>
              <w:bottom w:val="nil"/>
              <w:right w:val="nil"/>
            </w:tcBorders>
            <w:shd w:val="clear" w:color="auto" w:fill="auto"/>
            <w:vAlign w:val="center"/>
          </w:tcPr>
          <w:p w14:paraId="05A36B11" w14:textId="5F373932"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28.428</w:t>
            </w:r>
          </w:p>
        </w:tc>
        <w:tc>
          <w:tcPr>
            <w:tcW w:w="776" w:type="pct"/>
            <w:vAlign w:val="center"/>
          </w:tcPr>
          <w:p w14:paraId="694F2205" w14:textId="0A107611"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24.160</w:t>
            </w:r>
          </w:p>
        </w:tc>
      </w:tr>
      <w:tr w:rsidR="00CF4F97" w:rsidRPr="00FB38E1" w14:paraId="4F23E765" w14:textId="77777777" w:rsidTr="00836EF2">
        <w:trPr>
          <w:trHeight w:val="63"/>
        </w:trPr>
        <w:tc>
          <w:tcPr>
            <w:tcW w:w="211" w:type="pct"/>
          </w:tcPr>
          <w:p w14:paraId="728E8612" w14:textId="77777777"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w:t>
            </w:r>
          </w:p>
        </w:tc>
        <w:tc>
          <w:tcPr>
            <w:tcW w:w="3181" w:type="pct"/>
            <w:vAlign w:val="center"/>
          </w:tcPr>
          <w:p w14:paraId="60BA65FC" w14:textId="77777777" w:rsidR="00CF4F97" w:rsidRPr="00FB38E1" w:rsidRDefault="00CF4F97" w:rsidP="00CF4F97">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alacaklar</w:t>
            </w:r>
          </w:p>
        </w:tc>
        <w:tc>
          <w:tcPr>
            <w:tcW w:w="832" w:type="pct"/>
            <w:tcBorders>
              <w:top w:val="nil"/>
              <w:left w:val="nil"/>
              <w:bottom w:val="nil"/>
              <w:right w:val="nil"/>
            </w:tcBorders>
            <w:shd w:val="clear" w:color="auto" w:fill="auto"/>
            <w:vAlign w:val="center"/>
          </w:tcPr>
          <w:p w14:paraId="69E761B7" w14:textId="4B1A2115"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43.586.025</w:t>
            </w:r>
          </w:p>
        </w:tc>
        <w:tc>
          <w:tcPr>
            <w:tcW w:w="776" w:type="pct"/>
            <w:vAlign w:val="center"/>
          </w:tcPr>
          <w:p w14:paraId="6C9C9C45" w14:textId="2F5BE845" w:rsidR="00CF4F97" w:rsidRPr="00FB38E1" w:rsidRDefault="00CF4F97" w:rsidP="00CF4F9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45.928.033</w:t>
            </w:r>
          </w:p>
        </w:tc>
      </w:tr>
      <w:tr w:rsidR="00CF4F97" w:rsidRPr="00FB38E1" w14:paraId="2407460F" w14:textId="77777777" w:rsidTr="00836EF2">
        <w:trPr>
          <w:trHeight w:val="63"/>
        </w:trPr>
        <w:tc>
          <w:tcPr>
            <w:tcW w:w="211" w:type="pct"/>
            <w:tcBorders>
              <w:bottom w:val="single" w:sz="4" w:space="0" w:color="auto"/>
            </w:tcBorders>
          </w:tcPr>
          <w:p w14:paraId="2F70EFEC" w14:textId="77777777" w:rsidR="00CF4F97" w:rsidRPr="00FB38E1" w:rsidRDefault="00CF4F97" w:rsidP="00CF4F97">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17</w:t>
            </w:r>
          </w:p>
        </w:tc>
        <w:tc>
          <w:tcPr>
            <w:tcW w:w="3181" w:type="pct"/>
            <w:tcBorders>
              <w:bottom w:val="single" w:sz="4" w:space="0" w:color="auto"/>
            </w:tcBorders>
            <w:vAlign w:val="center"/>
          </w:tcPr>
          <w:p w14:paraId="1AB10F99" w14:textId="77777777" w:rsidR="00CF4F97" w:rsidRPr="00FB38E1" w:rsidRDefault="00CF4F97" w:rsidP="00CF4F97">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Hisse senedi yatırımları</w:t>
            </w:r>
          </w:p>
        </w:tc>
        <w:tc>
          <w:tcPr>
            <w:tcW w:w="832" w:type="pct"/>
            <w:tcBorders>
              <w:top w:val="nil"/>
              <w:left w:val="nil"/>
              <w:bottom w:val="single" w:sz="4" w:space="0" w:color="auto"/>
              <w:right w:val="nil"/>
            </w:tcBorders>
            <w:shd w:val="clear" w:color="auto" w:fill="auto"/>
            <w:vAlign w:val="center"/>
          </w:tcPr>
          <w:p w14:paraId="15B0126A" w14:textId="0202926D" w:rsidR="00CF4F97" w:rsidRPr="00FB38E1" w:rsidRDefault="00CF4F97" w:rsidP="00CF4F97">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69.203.740</w:t>
            </w:r>
          </w:p>
        </w:tc>
        <w:tc>
          <w:tcPr>
            <w:tcW w:w="776" w:type="pct"/>
            <w:tcBorders>
              <w:bottom w:val="single" w:sz="4" w:space="0" w:color="auto"/>
            </w:tcBorders>
            <w:vAlign w:val="center"/>
          </w:tcPr>
          <w:p w14:paraId="1EBF17F8" w14:textId="2D5E7EF4" w:rsidR="00CF4F97" w:rsidRPr="00FB38E1" w:rsidRDefault="00CF4F97" w:rsidP="00CF4F97">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47.403.971</w:t>
            </w:r>
          </w:p>
        </w:tc>
      </w:tr>
      <w:tr w:rsidR="00CF4F97" w:rsidRPr="00FB38E1" w14:paraId="72B99766" w14:textId="77777777" w:rsidTr="00836EF2">
        <w:trPr>
          <w:trHeight w:val="53"/>
        </w:trPr>
        <w:tc>
          <w:tcPr>
            <w:tcW w:w="211" w:type="pct"/>
            <w:tcBorders>
              <w:top w:val="single" w:sz="4" w:space="0" w:color="auto"/>
              <w:bottom w:val="thickThinSmallGap" w:sz="24" w:space="0" w:color="auto"/>
            </w:tcBorders>
            <w:vAlign w:val="center"/>
          </w:tcPr>
          <w:p w14:paraId="4617736F" w14:textId="77777777" w:rsidR="00CF4F97" w:rsidRPr="00FB38E1" w:rsidRDefault="00CF4F97" w:rsidP="00CF4F97">
            <w:pPr>
              <w:jc w:val="right"/>
              <w:rPr>
                <w:rFonts w:ascii="Microsoft Sans Serif" w:hAnsi="Microsoft Sans Serif" w:cs="Microsoft Sans Serif"/>
                <w:b/>
                <w:color w:val="404040"/>
                <w:sz w:val="16"/>
                <w:szCs w:val="16"/>
              </w:rPr>
            </w:pPr>
            <w:r w:rsidRPr="00FB38E1">
              <w:rPr>
                <w:rFonts w:ascii="Microsoft Sans Serif" w:hAnsi="Microsoft Sans Serif" w:cs="Microsoft Sans Serif"/>
                <w:b/>
                <w:sz w:val="16"/>
                <w:szCs w:val="16"/>
              </w:rPr>
              <w:t>18</w:t>
            </w:r>
          </w:p>
        </w:tc>
        <w:tc>
          <w:tcPr>
            <w:tcW w:w="3181" w:type="pct"/>
            <w:tcBorders>
              <w:top w:val="single" w:sz="4" w:space="0" w:color="auto"/>
              <w:bottom w:val="thickThinSmallGap" w:sz="24" w:space="0" w:color="auto"/>
            </w:tcBorders>
            <w:vAlign w:val="center"/>
          </w:tcPr>
          <w:p w14:paraId="0CB435D4" w14:textId="77777777" w:rsidR="00CF4F97" w:rsidRPr="00FB38E1" w:rsidRDefault="00CF4F97" w:rsidP="00CF4F97">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832" w:type="pct"/>
            <w:tcBorders>
              <w:top w:val="single" w:sz="4" w:space="0" w:color="auto"/>
              <w:bottom w:val="thickThinSmallGap" w:sz="24" w:space="0" w:color="auto"/>
            </w:tcBorders>
            <w:vAlign w:val="center"/>
          </w:tcPr>
          <w:p w14:paraId="7881CAF2" w14:textId="36B50878" w:rsidR="00CF4F97" w:rsidRPr="00FB38E1" w:rsidRDefault="00CF4F97" w:rsidP="00CF4F97">
            <w:pPr>
              <w:jc w:val="right"/>
              <w:rPr>
                <w:rFonts w:ascii="Microsoft Sans Serif" w:hAnsi="Microsoft Sans Serif" w:cs="Microsoft Sans Serif"/>
                <w:b/>
                <w:sz w:val="16"/>
                <w:szCs w:val="16"/>
              </w:rPr>
            </w:pPr>
            <w:r w:rsidRPr="00FB38E1">
              <w:rPr>
                <w:rFonts w:ascii="Microsoft Sans Serif" w:hAnsi="Microsoft Sans Serif" w:cs="Microsoft Sans Serif"/>
                <w:b/>
                <w:bCs/>
                <w:sz w:val="16"/>
                <w:szCs w:val="16"/>
              </w:rPr>
              <w:t>964.347.709</w:t>
            </w:r>
          </w:p>
        </w:tc>
        <w:tc>
          <w:tcPr>
            <w:tcW w:w="776" w:type="pct"/>
            <w:tcBorders>
              <w:top w:val="single" w:sz="4" w:space="0" w:color="auto"/>
              <w:bottom w:val="thickThinSmallGap" w:sz="24" w:space="0" w:color="auto"/>
            </w:tcBorders>
            <w:vAlign w:val="center"/>
          </w:tcPr>
          <w:p w14:paraId="2653AA50" w14:textId="18BB6260" w:rsidR="00CF4F97" w:rsidRPr="00FB38E1" w:rsidRDefault="00CF4F97" w:rsidP="00CF4F97">
            <w:pPr>
              <w:jc w:val="right"/>
              <w:rPr>
                <w:rFonts w:ascii="Microsoft Sans Serif" w:hAnsi="Microsoft Sans Serif" w:cs="Microsoft Sans Serif"/>
                <w:b/>
                <w:sz w:val="16"/>
                <w:szCs w:val="16"/>
              </w:rPr>
            </w:pPr>
            <w:r w:rsidRPr="00FB38E1">
              <w:rPr>
                <w:rFonts w:ascii="Microsoft Sans Serif" w:hAnsi="Microsoft Sans Serif" w:cs="Microsoft Sans Serif"/>
                <w:b/>
                <w:bCs/>
                <w:sz w:val="16"/>
                <w:szCs w:val="16"/>
              </w:rPr>
              <w:t>807.656.209</w:t>
            </w:r>
          </w:p>
        </w:tc>
      </w:tr>
    </w:tbl>
    <w:p w14:paraId="54F22A2D" w14:textId="77777777" w:rsidR="00D1663E" w:rsidRPr="00FB38E1" w:rsidRDefault="00D1663E" w:rsidP="00D1663E">
      <w:pPr>
        <w:pStyle w:val="ListParagraph"/>
        <w:tabs>
          <w:tab w:val="left" w:pos="284"/>
        </w:tabs>
        <w:spacing w:before="120" w:after="0"/>
        <w:ind w:left="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w:t>
      </w:r>
      <w:r w:rsidRPr="00FB38E1">
        <w:rPr>
          <w:rFonts w:ascii="Microsoft Sans Serif" w:hAnsi="Microsoft Sans Serif" w:cs="Microsoft Sans Serif"/>
          <w:color w:val="404040" w:themeColor="text1" w:themeTint="BF"/>
          <w:sz w:val="14"/>
          <w:szCs w:val="14"/>
        </w:rPr>
        <w:tab/>
        <w:t>Kredi riski azaltımı öncesi, krediye dönüşüm oranı sonrası toplam bankacılık defterinde yer alan riskleri içermektedir.</w:t>
      </w:r>
    </w:p>
    <w:p w14:paraId="6948DF94" w14:textId="77777777" w:rsidR="00D1663E" w:rsidRPr="00FB38E1" w:rsidRDefault="00D1663E" w:rsidP="00D1663E">
      <w:pPr>
        <w:pStyle w:val="Head3"/>
        <w:keepNext w:val="0"/>
        <w:keepLines w:val="0"/>
        <w:tabs>
          <w:tab w:val="left" w:pos="284"/>
        </w:tabs>
        <w:spacing w:before="0" w:after="0" w:line="240" w:lineRule="auto"/>
        <w:ind w:right="0" w:firstLine="0"/>
        <w:rPr>
          <w:rFonts w:ascii="Microsoft Sans Serif" w:hAnsi="Microsoft Sans Serif" w:cs="Microsoft Sans Serif"/>
          <w:b w:val="0"/>
          <w:i w:val="0"/>
          <w:color w:val="404040" w:themeColor="text1" w:themeTint="BF"/>
          <w:sz w:val="16"/>
          <w:szCs w:val="16"/>
        </w:rPr>
      </w:pPr>
      <w:r w:rsidRPr="00FB38E1">
        <w:rPr>
          <w:rFonts w:ascii="Microsoft Sans Serif" w:hAnsi="Microsoft Sans Serif" w:cs="Microsoft Sans Serif"/>
          <w:b w:val="0"/>
          <w:i w:val="0"/>
          <w:color w:val="404040" w:themeColor="text1" w:themeTint="BF"/>
          <w:sz w:val="14"/>
          <w:szCs w:val="14"/>
        </w:rPr>
        <w:t>(**)</w:t>
      </w:r>
      <w:r w:rsidRPr="00FB38E1">
        <w:rPr>
          <w:rFonts w:ascii="Microsoft Sans Serif" w:hAnsi="Microsoft Sans Serif" w:cs="Microsoft Sans Serif"/>
          <w:b w:val="0"/>
          <w:i w:val="0"/>
          <w:color w:val="404040" w:themeColor="text1" w:themeTint="BF"/>
          <w:sz w:val="14"/>
          <w:szCs w:val="14"/>
        </w:rPr>
        <w:tab/>
        <w:t>Üç aylık rapor bakiyelerinin aritmetik ortalamasıdır</w:t>
      </w:r>
      <w:r w:rsidRPr="00FB38E1">
        <w:rPr>
          <w:rFonts w:ascii="Microsoft Sans Serif" w:hAnsi="Microsoft Sans Serif" w:cs="Microsoft Sans Serif"/>
          <w:b w:val="0"/>
          <w:i w:val="0"/>
          <w:color w:val="404040" w:themeColor="text1" w:themeTint="BF"/>
          <w:sz w:val="16"/>
          <w:szCs w:val="16"/>
        </w:rPr>
        <w:t>.</w:t>
      </w:r>
    </w:p>
    <w:p w14:paraId="2BB62BCD" w14:textId="77777777" w:rsidR="00D1663E" w:rsidRPr="00FB38E1" w:rsidRDefault="00D1663E" w:rsidP="00364B59">
      <w:pPr>
        <w:pStyle w:val="ListParagraph"/>
        <w:numPr>
          <w:ilvl w:val="0"/>
          <w:numId w:val="51"/>
        </w:numPr>
        <w:tabs>
          <w:tab w:val="left" w:pos="284"/>
        </w:tabs>
        <w:spacing w:before="240" w:after="120" w:line="240" w:lineRule="exact"/>
        <w:ind w:left="0" w:hanging="567"/>
        <w:contextualSpacing w:val="0"/>
        <w:rPr>
          <w:rFonts w:ascii="Microsoft Sans Serif" w:hAnsi="Microsoft Sans Serif" w:cs="Microsoft Sans Serif"/>
          <w:color w:val="000000"/>
          <w:sz w:val="16"/>
          <w:szCs w:val="16"/>
        </w:rPr>
      </w:pPr>
      <w:r w:rsidRPr="00FB38E1">
        <w:rPr>
          <w:rFonts w:ascii="Microsoft Sans Serif" w:hAnsi="Microsoft Sans Serif" w:cs="Microsoft Sans Serif"/>
          <w:b/>
          <w:bCs/>
          <w:iCs/>
          <w:sz w:val="20"/>
          <w:szCs w:val="20"/>
        </w:rPr>
        <w:t>Bankanın vadeli işlem ve opsiyon sözleşmesi ve benzer diğer sözleşmeler cinsinden tutulan pozisyonları üzerinde kontrol limitlerinin bulunup bulunmadığı, bu tür araçlar için üstlenilen kredi riskinin piyasa hareketlerinden kaynaklanan potansiyel riskler ile beraber yönetilip yönetilmediği</w:t>
      </w:r>
    </w:p>
    <w:p w14:paraId="06BB14B1" w14:textId="77777777" w:rsidR="00D1663E" w:rsidRPr="00FB38E1" w:rsidRDefault="00D1663E" w:rsidP="00D1663E">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Bankanın vadeli işlem ve opsiyon sözleşmesi ve benzeri diğer sözleşmeler cinsinden tutulan pozisyonları üzerinden kontrol limitleri bulunmaktadır. Bu tür araçlar için üstlenilen kredi riski piyasa hareketlerinden kaynaklanan riskler ile beraber yönetilmektedir.</w:t>
      </w:r>
    </w:p>
    <w:p w14:paraId="52158D23" w14:textId="77777777" w:rsidR="00D1663E" w:rsidRPr="00FB38E1" w:rsidRDefault="00D1663E" w:rsidP="00364B59">
      <w:pPr>
        <w:pStyle w:val="ListParagraph"/>
        <w:numPr>
          <w:ilvl w:val="0"/>
          <w:numId w:val="51"/>
        </w:numPr>
        <w:spacing w:before="240" w:after="120" w:line="240" w:lineRule="exact"/>
        <w:ind w:left="0" w:hanging="567"/>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t>Banka’nın önemli ölçüde kredi riskine maruz kaldığında vadeli işlem, opsiyon ve benzeri nitelikli sözleşmeleri, hakların kullanılması, edimlerin yerine getirilmesi veya satılması yoluyla kısa zamanda sona erdirerek toplam riski azaltma yoluna gidip gitmediği</w:t>
      </w:r>
    </w:p>
    <w:p w14:paraId="1FD45275" w14:textId="77777777" w:rsidR="00D1663E" w:rsidRPr="00FB38E1" w:rsidRDefault="00D1663E" w:rsidP="00D1663E">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Vadeli işlemlerde, hak ve edimlerin yerine getirilmesi vadede mümkündür. Ancak, gerekli görüldüğünde, riskin azaltılması amacıyla mevcut pozisyonların ters pozisyonları piyasalardan alınarak kısa zamanda risk kapatılmaktadır.</w:t>
      </w:r>
    </w:p>
    <w:p w14:paraId="2F6C04B5" w14:textId="77777777" w:rsidR="00D1663E" w:rsidRPr="00FB38E1" w:rsidRDefault="00D1663E" w:rsidP="00364B59">
      <w:pPr>
        <w:pStyle w:val="ListParagraph"/>
        <w:numPr>
          <w:ilvl w:val="0"/>
          <w:numId w:val="51"/>
        </w:numPr>
        <w:spacing w:before="240" w:after="120" w:line="240" w:lineRule="exact"/>
        <w:ind w:left="0" w:hanging="567"/>
        <w:rPr>
          <w:rFonts w:ascii="Microsoft Sans Serif" w:hAnsi="Microsoft Sans Serif" w:cs="Microsoft Sans Serif"/>
          <w:sz w:val="20"/>
          <w:szCs w:val="20"/>
        </w:rPr>
      </w:pPr>
      <w:r w:rsidRPr="00FB38E1">
        <w:rPr>
          <w:rFonts w:ascii="Microsoft Sans Serif" w:hAnsi="Microsoft Sans Serif" w:cs="Microsoft Sans Serif"/>
          <w:b/>
          <w:bCs/>
          <w:iCs/>
          <w:sz w:val="20"/>
          <w:szCs w:val="20"/>
        </w:rPr>
        <w:t>Tazmin edilen gayrinakdi kredilerin, vadesi geldiği halde ödenmeyen krediler gibi aynı risk ağırlığına tabi tutulup tutulmadığı</w:t>
      </w:r>
    </w:p>
    <w:p w14:paraId="5DFD620D" w14:textId="4D295365" w:rsidR="00D1663E" w:rsidRPr="00FB38E1" w:rsidRDefault="000E0A24" w:rsidP="00D1663E">
      <w:pPr>
        <w:spacing w:before="120" w:after="0" w:line="220" w:lineRule="exact"/>
        <w:rPr>
          <w:rFonts w:ascii="Microsoft Sans Serif" w:eastAsia="Arial Unicode MS" w:hAnsi="Microsoft Sans Serif" w:cs="Microsoft Sans Serif"/>
          <w:color w:val="404040" w:themeColor="text1" w:themeTint="BF"/>
          <w:sz w:val="20"/>
          <w:szCs w:val="20"/>
        </w:rPr>
      </w:pPr>
      <w:r w:rsidRPr="00FB38E1">
        <w:rPr>
          <w:rFonts w:ascii="Microsoft Sans Serif" w:eastAsia="Arial Unicode MS" w:hAnsi="Microsoft Sans Serif" w:cs="Microsoft Sans Serif"/>
          <w:color w:val="404040" w:themeColor="text1" w:themeTint="BF"/>
          <w:sz w:val="20"/>
          <w:szCs w:val="20"/>
        </w:rPr>
        <w:t>Tazmin edilen gayrinakdi krediler, vadesi geldiği halde ödenmeyen krediler ile aynı risk ağırlığına tabi tutulmaktadır</w:t>
      </w:r>
      <w:r w:rsidR="007F79D4" w:rsidRPr="00FB38E1">
        <w:rPr>
          <w:rFonts w:ascii="Microsoft Sans Serif" w:eastAsia="Arial Unicode MS" w:hAnsi="Microsoft Sans Serif" w:cs="Microsoft Sans Serif"/>
          <w:color w:val="404040" w:themeColor="text1" w:themeTint="BF"/>
          <w:sz w:val="20"/>
          <w:szCs w:val="20"/>
        </w:rPr>
        <w:t>.</w:t>
      </w:r>
    </w:p>
    <w:p w14:paraId="5CA785CE" w14:textId="77777777" w:rsidR="00D1663E" w:rsidRPr="00FB38E1" w:rsidRDefault="00D1663E" w:rsidP="00D1663E">
      <w:pPr>
        <w:spacing w:before="120" w:after="0" w:line="220" w:lineRule="exact"/>
        <w:rPr>
          <w:rFonts w:ascii="Microsoft Sans Serif" w:hAnsi="Microsoft Sans Serif" w:cs="Microsoft Sans Serif"/>
          <w:b/>
          <w:sz w:val="20"/>
          <w:szCs w:val="20"/>
        </w:rPr>
      </w:pPr>
      <w:r w:rsidRPr="00FB38E1">
        <w:rPr>
          <w:rFonts w:ascii="Microsoft Sans Serif" w:hAnsi="Microsoft Sans Serif" w:cs="Microsoft Sans Serif"/>
          <w:b/>
          <w:sz w:val="20"/>
          <w:szCs w:val="20"/>
        </w:rPr>
        <w:t>Kredilerden yenilenen ve yeniden itfa planına bağlananların ilgili mevzuatla belirlenen izlenme yöntemi dışında, bankalarca risk yönetim sistemleri çerçevesinde yeni bir derecelendirme grubuna veya ağırlığına dahil edilip edilmediği, bu yöntemler ile ilgili yeni önlemlerin alınıp alınmadığı, bankalarca risk yönetim sistemleri çerçevesinde uzun vadeli taahhütlerin kısa vadeli taahhütlere oranla daha fazla kredi riskine maruz kaldığı kabul edilerek risk ayrıştırmasına gidilip gidilmediği</w:t>
      </w:r>
    </w:p>
    <w:p w14:paraId="21C51E0F" w14:textId="77777777" w:rsidR="00D1663E" w:rsidRPr="00FB38E1" w:rsidRDefault="00D1663E" w:rsidP="00D1663E">
      <w:pPr>
        <w:spacing w:before="120" w:after="0" w:line="220" w:lineRule="exact"/>
        <w:rPr>
          <w:rFonts w:ascii="Microsoft Sans Serif" w:eastAsia="Arial Unicode MS" w:hAnsi="Microsoft Sans Serif" w:cs="Microsoft Sans Serif"/>
          <w:color w:val="404040" w:themeColor="text1" w:themeTint="BF"/>
          <w:sz w:val="20"/>
          <w:szCs w:val="20"/>
        </w:rPr>
      </w:pPr>
      <w:r w:rsidRPr="00FB38E1">
        <w:rPr>
          <w:rFonts w:ascii="Microsoft Sans Serif" w:eastAsia="Arial Unicode MS" w:hAnsi="Microsoft Sans Serif" w:cs="Microsoft Sans Serif"/>
          <w:color w:val="404040" w:themeColor="text1" w:themeTint="BF"/>
          <w:sz w:val="20"/>
          <w:szCs w:val="20"/>
        </w:rPr>
        <w:t>Kredilerden yenilenen ve yeniden itfa planına bağlananları, ilgili mevzuatla belirlenen izlenme yöntemi dışında, risk yönetim sistemleri çerçevesinde yeni bir derecelendirme grubuna dahil edilerek bu yöntemlerle ilgili yeni önlemler alınmaktadır.</w:t>
      </w:r>
    </w:p>
    <w:p w14:paraId="221EE058" w14:textId="77777777" w:rsidR="00D1663E" w:rsidRPr="00FB38E1" w:rsidRDefault="00D1663E" w:rsidP="00D1663E">
      <w:pPr>
        <w:spacing w:before="120" w:after="0" w:line="220" w:lineRule="exact"/>
        <w:rPr>
          <w:rFonts w:ascii="Microsoft Sans Serif" w:eastAsia="Arial Unicode MS" w:hAnsi="Microsoft Sans Serif" w:cs="Microsoft Sans Serif"/>
          <w:color w:val="404040" w:themeColor="text1" w:themeTint="BF"/>
          <w:sz w:val="20"/>
          <w:szCs w:val="20"/>
        </w:rPr>
      </w:pPr>
      <w:r w:rsidRPr="00FB38E1">
        <w:rPr>
          <w:rFonts w:ascii="Microsoft Sans Serif" w:eastAsia="Arial Unicode MS" w:hAnsi="Microsoft Sans Serif" w:cs="Microsoft Sans Serif"/>
          <w:color w:val="404040" w:themeColor="text1" w:themeTint="BF"/>
          <w:sz w:val="20"/>
          <w:szCs w:val="20"/>
        </w:rPr>
        <w:t>Risk yönetim sistemleri çerçevesinde uzun vadeli taahhütlerin kısa vadeli taahhütlere oranla daha fazla kredi riskine maruz kaldığı kabul edilerek risk ayrıştırmasına özen gösterilmekte ve belli aralıklarla izlenmektedir.</w:t>
      </w:r>
    </w:p>
    <w:p w14:paraId="159160F8" w14:textId="77777777" w:rsidR="00D1663E" w:rsidRPr="00FB38E1" w:rsidRDefault="00D1663E" w:rsidP="00364B59">
      <w:pPr>
        <w:pStyle w:val="ListParagraph"/>
        <w:numPr>
          <w:ilvl w:val="0"/>
          <w:numId w:val="51"/>
        </w:numPr>
        <w:spacing w:before="240" w:after="120" w:line="240" w:lineRule="exact"/>
        <w:ind w:left="0" w:hanging="567"/>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t>Bankaların yurtdışında yürütmekte oldukları bankacılık faaliyetleri ve kredilendirme  işlemlerinin az sayıda ülke ya da mali kurum ile yürütülmesi durumunda bunun ilgili ülkenin ekonomik koşulları dikkate alındığında önemli bir risk doğurup doğurmadığına ilişkin değerlendirme</w:t>
      </w:r>
    </w:p>
    <w:p w14:paraId="0541CB23" w14:textId="77777777" w:rsidR="00D1663E" w:rsidRPr="00FB38E1" w:rsidRDefault="00D1663E" w:rsidP="00D1663E">
      <w:pPr>
        <w:autoSpaceDE w:val="0"/>
        <w:autoSpaceDN w:val="0"/>
        <w:adjustRightInd w:val="0"/>
        <w:spacing w:before="120" w:after="0" w:line="220" w:lineRule="exact"/>
        <w:rPr>
          <w:rFonts w:ascii="Microsoft Sans Serif" w:eastAsia="Arial Unicode MS" w:hAnsi="Microsoft Sans Serif" w:cs="Microsoft Sans Serif"/>
          <w:color w:val="404040" w:themeColor="text1" w:themeTint="BF"/>
          <w:sz w:val="20"/>
          <w:szCs w:val="20"/>
        </w:rPr>
      </w:pPr>
      <w:r w:rsidRPr="00FB38E1">
        <w:rPr>
          <w:rFonts w:ascii="Microsoft Sans Serif" w:eastAsia="Arial Unicode MS" w:hAnsi="Microsoft Sans Serif" w:cs="Microsoft Sans Serif"/>
          <w:color w:val="404040" w:themeColor="text1" w:themeTint="BF"/>
          <w:sz w:val="20"/>
          <w:szCs w:val="20"/>
        </w:rPr>
        <w:t>Banka’nın yurt dışında yürütmekte olduğu bankacılık faaliyetleri ve kredilendirme işlemleri genelde OECD ve AB ülkeleri ile yapılmaktadır. Bu ülkelerin ekonomik koşulları da dikkate alındığında önemli kredi riski bulunmamaktadır.</w:t>
      </w:r>
    </w:p>
    <w:p w14:paraId="481AA44E" w14:textId="77777777" w:rsidR="00D1663E" w:rsidRPr="00FB38E1" w:rsidRDefault="00D1663E" w:rsidP="00D1663E">
      <w:pPr>
        <w:autoSpaceDE w:val="0"/>
        <w:autoSpaceDN w:val="0"/>
        <w:adjustRightInd w:val="0"/>
        <w:spacing w:before="120" w:after="0" w:line="220" w:lineRule="exact"/>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t>Uluslararası bankacılık piyasasında aktif bir katılımcı olarak diğer finansal kurumların finansal faaliyetleri ile birlikte değerlendirildiğinde önemli ölçüde kredi riski yoğunluğuna sahip olunup olunmadığı</w:t>
      </w:r>
    </w:p>
    <w:p w14:paraId="411E0CB8" w14:textId="77777777" w:rsidR="00D1663E" w:rsidRPr="00FB38E1" w:rsidRDefault="00D1663E" w:rsidP="00D1663E">
      <w:pPr>
        <w:autoSpaceDE w:val="0"/>
        <w:autoSpaceDN w:val="0"/>
        <w:adjustRightInd w:val="0"/>
        <w:spacing w:before="120" w:after="0" w:line="220" w:lineRule="exact"/>
        <w:rPr>
          <w:rFonts w:ascii="Microsoft Sans Serif" w:eastAsia="Arial Unicode MS" w:hAnsi="Microsoft Sans Serif" w:cs="Microsoft Sans Serif"/>
          <w:color w:val="404040" w:themeColor="text1" w:themeTint="BF"/>
          <w:sz w:val="20"/>
          <w:szCs w:val="20"/>
        </w:rPr>
      </w:pPr>
      <w:r w:rsidRPr="00FB38E1">
        <w:rPr>
          <w:rFonts w:ascii="Microsoft Sans Serif" w:eastAsia="Arial Unicode MS" w:hAnsi="Microsoft Sans Serif" w:cs="Microsoft Sans Serif"/>
          <w:color w:val="404040" w:themeColor="text1" w:themeTint="BF"/>
          <w:sz w:val="20"/>
          <w:szCs w:val="20"/>
        </w:rPr>
        <w:t>Banka; uluslararası bankacılık piyasasında aktif bir katılımcı olarak diğer finansal kurumların finansal faaliyetleri ile birlikte değerlendirildiğinde önemli ölçüde kredi riskine maruz değildir.</w:t>
      </w:r>
    </w:p>
    <w:p w14:paraId="38DAB427" w14:textId="77777777" w:rsidR="00D1663E" w:rsidRPr="00FB38E1" w:rsidRDefault="00D1663E" w:rsidP="00364B59">
      <w:pPr>
        <w:pStyle w:val="ListParagraph"/>
        <w:numPr>
          <w:ilvl w:val="0"/>
          <w:numId w:val="51"/>
        </w:numPr>
        <w:spacing w:before="240" w:after="120" w:line="240" w:lineRule="exact"/>
        <w:ind w:left="0" w:hanging="567"/>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t>Banka’nın</w:t>
      </w:r>
    </w:p>
    <w:p w14:paraId="393E16AF" w14:textId="77777777" w:rsidR="00D1663E" w:rsidRPr="00FB38E1" w:rsidRDefault="00D1663E" w:rsidP="00364B59">
      <w:pPr>
        <w:pStyle w:val="BodyTextIndent"/>
        <w:numPr>
          <w:ilvl w:val="0"/>
          <w:numId w:val="52"/>
        </w:numPr>
        <w:tabs>
          <w:tab w:val="left" w:pos="900"/>
        </w:tabs>
        <w:spacing w:before="240" w:line="240" w:lineRule="exact"/>
        <w:ind w:left="0" w:hanging="426"/>
        <w:rPr>
          <w:rFonts w:ascii="Microsoft Sans Serif" w:hAnsi="Microsoft Sans Serif" w:cs="Microsoft Sans Serif"/>
          <w:b/>
          <w:iCs/>
          <w:noProof/>
          <w:sz w:val="20"/>
          <w:szCs w:val="20"/>
        </w:rPr>
      </w:pPr>
      <w:r w:rsidRPr="00FB38E1">
        <w:rPr>
          <w:rFonts w:ascii="Microsoft Sans Serif" w:hAnsi="Microsoft Sans Serif" w:cs="Microsoft Sans Serif"/>
          <w:b/>
          <w:iCs/>
          <w:noProof/>
          <w:sz w:val="20"/>
          <w:szCs w:val="20"/>
        </w:rPr>
        <w:t>İlk büyük 100 ve 200 nakdi kredi müşterisinden olan alacağının toplam nakdi krediler portföyü içindeki payı</w:t>
      </w:r>
    </w:p>
    <w:p w14:paraId="1DF8FB3D" w14:textId="4F3FE758" w:rsidR="00D1663E" w:rsidRPr="00FB38E1" w:rsidRDefault="00D1663E" w:rsidP="00D1663E">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Banka’nın ilk büyük 100 ve 200 nakdi kredi müşterisinden olan alacağı toplam nakdi krediler portföyünün %</w:t>
      </w:r>
      <w:r w:rsidR="003A0860" w:rsidRPr="00FB38E1">
        <w:rPr>
          <w:rFonts w:ascii="Microsoft Sans Serif" w:hAnsi="Microsoft Sans Serif" w:cs="Microsoft Sans Serif"/>
          <w:color w:val="404040" w:themeColor="text1" w:themeTint="BF"/>
          <w:sz w:val="20"/>
          <w:szCs w:val="20"/>
        </w:rPr>
        <w:t>28</w:t>
      </w:r>
      <w:r w:rsidRPr="00FB38E1">
        <w:rPr>
          <w:rFonts w:ascii="Microsoft Sans Serif" w:hAnsi="Microsoft Sans Serif" w:cs="Microsoft Sans Serif"/>
          <w:color w:val="404040" w:themeColor="text1" w:themeTint="BF"/>
          <w:sz w:val="20"/>
          <w:szCs w:val="20"/>
          <w:shd w:val="clear" w:color="auto" w:fill="FFFF00"/>
        </w:rPr>
        <w:t xml:space="preserve"> </w:t>
      </w:r>
      <w:r w:rsidRPr="00FB38E1">
        <w:rPr>
          <w:rFonts w:ascii="Microsoft Sans Serif" w:hAnsi="Microsoft Sans Serif" w:cs="Microsoft Sans Serif"/>
          <w:color w:val="404040" w:themeColor="text1" w:themeTint="BF"/>
          <w:sz w:val="20"/>
          <w:szCs w:val="20"/>
        </w:rPr>
        <w:t>ve %3</w:t>
      </w:r>
      <w:r w:rsidR="003A0860" w:rsidRPr="00FB38E1">
        <w:rPr>
          <w:rFonts w:ascii="Microsoft Sans Serif" w:hAnsi="Microsoft Sans Serif" w:cs="Microsoft Sans Serif"/>
          <w:color w:val="404040" w:themeColor="text1" w:themeTint="BF"/>
          <w:sz w:val="20"/>
          <w:szCs w:val="20"/>
        </w:rPr>
        <w:t>4</w:t>
      </w:r>
      <w:r w:rsidRPr="00FB38E1">
        <w:rPr>
          <w:rFonts w:ascii="Microsoft Sans Serif" w:hAnsi="Microsoft Sans Serif" w:cs="Microsoft Sans Serif"/>
          <w:color w:val="404040" w:themeColor="text1" w:themeTint="BF"/>
          <w:sz w:val="20"/>
          <w:szCs w:val="20"/>
        </w:rPr>
        <w:t>’unu oluşturmaktadır (</w:t>
      </w:r>
      <w:r w:rsidRPr="00FB38E1">
        <w:rPr>
          <w:rFonts w:ascii="Microsoft Sans Serif" w:eastAsia="Arial Unicode MS" w:hAnsi="Microsoft Sans Serif" w:cs="Microsoft Sans Serif"/>
          <w:color w:val="404040" w:themeColor="text1" w:themeTint="BF"/>
          <w:sz w:val="20"/>
          <w:szCs w:val="20"/>
        </w:rPr>
        <w:t>31 Aralık 202</w:t>
      </w:r>
      <w:r w:rsidR="00CE3C4E" w:rsidRPr="00FB38E1">
        <w:rPr>
          <w:rFonts w:ascii="Microsoft Sans Serif" w:eastAsia="Arial Unicode MS" w:hAnsi="Microsoft Sans Serif" w:cs="Microsoft Sans Serif"/>
          <w:color w:val="404040" w:themeColor="text1" w:themeTint="BF"/>
          <w:sz w:val="20"/>
          <w:szCs w:val="20"/>
        </w:rPr>
        <w:t>3</w:t>
      </w:r>
      <w:r w:rsidRPr="00FB38E1">
        <w:rPr>
          <w:rFonts w:ascii="Microsoft Sans Serif" w:hAnsi="Microsoft Sans Serif" w:cs="Microsoft Sans Serif"/>
          <w:color w:val="404040" w:themeColor="text1" w:themeTint="BF"/>
          <w:sz w:val="20"/>
          <w:szCs w:val="20"/>
        </w:rPr>
        <w:t>: %3</w:t>
      </w:r>
      <w:r w:rsidR="00CE3C4E" w:rsidRPr="00FB38E1">
        <w:rPr>
          <w:rFonts w:ascii="Microsoft Sans Serif" w:hAnsi="Microsoft Sans Serif" w:cs="Microsoft Sans Serif"/>
          <w:color w:val="404040" w:themeColor="text1" w:themeTint="BF"/>
          <w:sz w:val="20"/>
          <w:szCs w:val="20"/>
        </w:rPr>
        <w:t>3</w:t>
      </w:r>
      <w:r w:rsidRPr="00FB38E1">
        <w:rPr>
          <w:rFonts w:ascii="Microsoft Sans Serif" w:hAnsi="Microsoft Sans Serif" w:cs="Microsoft Sans Serif"/>
          <w:color w:val="404040" w:themeColor="text1" w:themeTint="BF"/>
          <w:sz w:val="20"/>
          <w:szCs w:val="20"/>
        </w:rPr>
        <w:t>, %3</w:t>
      </w:r>
      <w:r w:rsidR="00CE3C4E" w:rsidRPr="00FB38E1">
        <w:rPr>
          <w:rFonts w:ascii="Microsoft Sans Serif" w:hAnsi="Microsoft Sans Serif" w:cs="Microsoft Sans Serif"/>
          <w:color w:val="404040" w:themeColor="text1" w:themeTint="BF"/>
          <w:sz w:val="20"/>
          <w:szCs w:val="20"/>
        </w:rPr>
        <w:t>9</w:t>
      </w:r>
      <w:r w:rsidRPr="00FB38E1">
        <w:rPr>
          <w:rFonts w:ascii="Microsoft Sans Serif" w:hAnsi="Microsoft Sans Serif" w:cs="Microsoft Sans Serif"/>
          <w:color w:val="404040" w:themeColor="text1" w:themeTint="BF"/>
          <w:sz w:val="20"/>
          <w:szCs w:val="20"/>
        </w:rPr>
        <w:t>).</w:t>
      </w:r>
    </w:p>
    <w:p w14:paraId="73CB0775" w14:textId="77777777" w:rsidR="00D1663E" w:rsidRPr="00FB38E1" w:rsidRDefault="00D1663E" w:rsidP="00364B59">
      <w:pPr>
        <w:pStyle w:val="ListParagraph"/>
        <w:numPr>
          <w:ilvl w:val="0"/>
          <w:numId w:val="52"/>
        </w:numPr>
        <w:tabs>
          <w:tab w:val="left" w:pos="900"/>
        </w:tabs>
        <w:spacing w:before="240" w:after="120" w:line="240" w:lineRule="exact"/>
        <w:ind w:left="0" w:hanging="426"/>
        <w:rPr>
          <w:rFonts w:ascii="Microsoft Sans Serif" w:hAnsi="Microsoft Sans Serif" w:cs="Microsoft Sans Serif"/>
          <w:b/>
          <w:bCs/>
          <w:sz w:val="20"/>
          <w:szCs w:val="20"/>
        </w:rPr>
      </w:pPr>
      <w:r w:rsidRPr="00FB38E1">
        <w:rPr>
          <w:rFonts w:ascii="Microsoft Sans Serif" w:hAnsi="Microsoft Sans Serif" w:cs="Microsoft Sans Serif"/>
          <w:b/>
          <w:iCs/>
          <w:sz w:val="20"/>
          <w:szCs w:val="20"/>
        </w:rPr>
        <w:t>İlk büyük 100 ve 200 gayrinakdi kredi müşterisinden olan alacağının toplam gayrinakdi krediler portföyü içindeki payı:</w:t>
      </w:r>
    </w:p>
    <w:p w14:paraId="4EEA0B77" w14:textId="03160637" w:rsidR="00D1663E" w:rsidRPr="00FB38E1" w:rsidRDefault="00D1663E" w:rsidP="00D1663E">
      <w:pPr>
        <w:spacing w:before="120" w:after="0" w:line="220" w:lineRule="exact"/>
        <w:rPr>
          <w:rFonts w:ascii="Microsoft Sans Serif" w:eastAsia="Arial Unicode MS" w:hAnsi="Microsoft Sans Serif" w:cs="Microsoft Sans Serif"/>
          <w:color w:val="404040" w:themeColor="text1" w:themeTint="BF"/>
          <w:sz w:val="20"/>
          <w:szCs w:val="20"/>
        </w:rPr>
      </w:pPr>
      <w:r w:rsidRPr="00FB38E1">
        <w:rPr>
          <w:rFonts w:ascii="Microsoft Sans Serif" w:eastAsia="Arial Unicode MS" w:hAnsi="Microsoft Sans Serif" w:cs="Microsoft Sans Serif"/>
          <w:color w:val="404040" w:themeColor="text1" w:themeTint="BF"/>
          <w:sz w:val="20"/>
          <w:szCs w:val="20"/>
        </w:rPr>
        <w:t xml:space="preserve">Banka’nın ilk büyük </w:t>
      </w:r>
      <w:r w:rsidRPr="00FB38E1">
        <w:rPr>
          <w:rFonts w:ascii="Microsoft Sans Serif" w:hAnsi="Microsoft Sans Serif" w:cs="Microsoft Sans Serif"/>
          <w:color w:val="404040" w:themeColor="text1" w:themeTint="BF"/>
          <w:sz w:val="20"/>
          <w:szCs w:val="20"/>
        </w:rPr>
        <w:t>100 ve 200</w:t>
      </w:r>
      <w:r w:rsidRPr="00FB38E1">
        <w:rPr>
          <w:rFonts w:ascii="Microsoft Sans Serif" w:eastAsia="Arial Unicode MS" w:hAnsi="Microsoft Sans Serif" w:cs="Microsoft Sans Serif"/>
          <w:color w:val="404040" w:themeColor="text1" w:themeTint="BF"/>
          <w:sz w:val="20"/>
          <w:szCs w:val="20"/>
        </w:rPr>
        <w:t xml:space="preserve"> gayrinakdi kredi müşterisinden olan alacağı toplam gayrinakdi krediler portföyünün %4</w:t>
      </w:r>
      <w:r w:rsidR="00520259" w:rsidRPr="00FB38E1">
        <w:rPr>
          <w:rFonts w:ascii="Microsoft Sans Serif" w:eastAsia="Arial Unicode MS" w:hAnsi="Microsoft Sans Serif" w:cs="Microsoft Sans Serif"/>
          <w:color w:val="404040" w:themeColor="text1" w:themeTint="BF"/>
          <w:sz w:val="20"/>
          <w:szCs w:val="20"/>
        </w:rPr>
        <w:t>3</w:t>
      </w:r>
      <w:r w:rsidRPr="00FB38E1">
        <w:rPr>
          <w:rFonts w:ascii="Microsoft Sans Serif" w:eastAsia="Arial Unicode MS" w:hAnsi="Microsoft Sans Serif" w:cs="Microsoft Sans Serif"/>
          <w:color w:val="404040" w:themeColor="text1" w:themeTint="BF"/>
          <w:sz w:val="20"/>
          <w:szCs w:val="20"/>
        </w:rPr>
        <w:t xml:space="preserve"> ve %5</w:t>
      </w:r>
      <w:r w:rsidR="00520259" w:rsidRPr="00FB38E1">
        <w:rPr>
          <w:rFonts w:ascii="Microsoft Sans Serif" w:eastAsia="Arial Unicode MS" w:hAnsi="Microsoft Sans Serif" w:cs="Microsoft Sans Serif"/>
          <w:color w:val="404040" w:themeColor="text1" w:themeTint="BF"/>
          <w:sz w:val="20"/>
          <w:szCs w:val="20"/>
        </w:rPr>
        <w:t>4</w:t>
      </w:r>
      <w:r w:rsidRPr="00FB38E1">
        <w:rPr>
          <w:rFonts w:ascii="Microsoft Sans Serif" w:eastAsia="Arial Unicode MS" w:hAnsi="Microsoft Sans Serif" w:cs="Microsoft Sans Serif"/>
          <w:color w:val="404040" w:themeColor="text1" w:themeTint="BF"/>
          <w:sz w:val="20"/>
          <w:szCs w:val="20"/>
        </w:rPr>
        <w:t xml:space="preserve">’ini oluşturmaktadır </w:t>
      </w:r>
      <w:r w:rsidRPr="00FB38E1">
        <w:rPr>
          <w:rFonts w:ascii="Microsoft Sans Serif" w:hAnsi="Microsoft Sans Serif" w:cs="Microsoft Sans Serif"/>
          <w:color w:val="404040" w:themeColor="text1" w:themeTint="BF"/>
          <w:sz w:val="20"/>
          <w:szCs w:val="20"/>
        </w:rPr>
        <w:t>(</w:t>
      </w:r>
      <w:r w:rsidRPr="00FB38E1">
        <w:rPr>
          <w:rFonts w:ascii="Microsoft Sans Serif" w:eastAsia="Arial Unicode MS" w:hAnsi="Microsoft Sans Serif" w:cs="Microsoft Sans Serif"/>
          <w:color w:val="404040" w:themeColor="text1" w:themeTint="BF"/>
          <w:sz w:val="20"/>
          <w:szCs w:val="20"/>
        </w:rPr>
        <w:t>31 Aralık 202</w:t>
      </w:r>
      <w:r w:rsidR="00CE3C4E" w:rsidRPr="00FB38E1">
        <w:rPr>
          <w:rFonts w:ascii="Microsoft Sans Serif" w:eastAsia="Arial Unicode MS" w:hAnsi="Microsoft Sans Serif" w:cs="Microsoft Sans Serif"/>
          <w:color w:val="404040" w:themeColor="text1" w:themeTint="BF"/>
          <w:sz w:val="20"/>
          <w:szCs w:val="20"/>
        </w:rPr>
        <w:t>3</w:t>
      </w:r>
      <w:r w:rsidRPr="00FB38E1">
        <w:rPr>
          <w:rFonts w:ascii="Microsoft Sans Serif" w:hAnsi="Microsoft Sans Serif" w:cs="Microsoft Sans Serif"/>
          <w:color w:val="404040" w:themeColor="text1" w:themeTint="BF"/>
          <w:sz w:val="20"/>
          <w:szCs w:val="20"/>
        </w:rPr>
        <w:t xml:space="preserve">: </w:t>
      </w:r>
      <w:r w:rsidRPr="00FB38E1">
        <w:rPr>
          <w:rFonts w:ascii="Microsoft Sans Serif" w:eastAsia="Arial Unicode MS" w:hAnsi="Microsoft Sans Serif" w:cs="Microsoft Sans Serif"/>
          <w:color w:val="404040" w:themeColor="text1" w:themeTint="BF"/>
          <w:sz w:val="20"/>
          <w:szCs w:val="20"/>
        </w:rPr>
        <w:t>%4</w:t>
      </w:r>
      <w:r w:rsidR="00CE3C4E" w:rsidRPr="00FB38E1">
        <w:rPr>
          <w:rFonts w:ascii="Microsoft Sans Serif" w:eastAsia="Arial Unicode MS" w:hAnsi="Microsoft Sans Serif" w:cs="Microsoft Sans Serif"/>
          <w:color w:val="404040" w:themeColor="text1" w:themeTint="BF"/>
          <w:sz w:val="20"/>
          <w:szCs w:val="20"/>
        </w:rPr>
        <w:t>4</w:t>
      </w:r>
      <w:r w:rsidRPr="00FB38E1">
        <w:rPr>
          <w:rFonts w:ascii="Microsoft Sans Serif" w:hAnsi="Microsoft Sans Serif" w:cs="Microsoft Sans Serif"/>
          <w:color w:val="404040" w:themeColor="text1" w:themeTint="BF"/>
          <w:sz w:val="20"/>
          <w:szCs w:val="20"/>
        </w:rPr>
        <w:t xml:space="preserve">, </w:t>
      </w:r>
      <w:r w:rsidRPr="00FB38E1">
        <w:rPr>
          <w:rFonts w:ascii="Microsoft Sans Serif" w:eastAsia="Arial Unicode MS" w:hAnsi="Microsoft Sans Serif" w:cs="Microsoft Sans Serif"/>
          <w:color w:val="404040" w:themeColor="text1" w:themeTint="BF"/>
          <w:sz w:val="20"/>
          <w:szCs w:val="20"/>
        </w:rPr>
        <w:t>%</w:t>
      </w:r>
      <w:r w:rsidR="00CE3C4E" w:rsidRPr="00FB38E1">
        <w:rPr>
          <w:rFonts w:ascii="Microsoft Sans Serif" w:eastAsia="Arial Unicode MS" w:hAnsi="Microsoft Sans Serif" w:cs="Microsoft Sans Serif"/>
          <w:color w:val="404040" w:themeColor="text1" w:themeTint="BF"/>
          <w:sz w:val="20"/>
          <w:szCs w:val="20"/>
        </w:rPr>
        <w:t>55</w:t>
      </w:r>
      <w:r w:rsidRPr="00FB38E1">
        <w:rPr>
          <w:rFonts w:ascii="Microsoft Sans Serif" w:hAnsi="Microsoft Sans Serif" w:cs="Microsoft Sans Serif"/>
          <w:color w:val="404040" w:themeColor="text1" w:themeTint="BF"/>
          <w:sz w:val="20"/>
          <w:szCs w:val="20"/>
        </w:rPr>
        <w:t>).</w:t>
      </w:r>
    </w:p>
    <w:p w14:paraId="03C6A6BB" w14:textId="77777777" w:rsidR="00D1663E" w:rsidRPr="00FB38E1" w:rsidRDefault="00D1663E" w:rsidP="00364B59">
      <w:pPr>
        <w:pStyle w:val="ListParagraph"/>
        <w:numPr>
          <w:ilvl w:val="0"/>
          <w:numId w:val="52"/>
        </w:numPr>
        <w:tabs>
          <w:tab w:val="left" w:pos="900"/>
        </w:tabs>
        <w:spacing w:before="240" w:after="120" w:line="240" w:lineRule="exact"/>
        <w:ind w:left="0" w:hanging="426"/>
        <w:rPr>
          <w:rFonts w:ascii="Microsoft Sans Serif" w:hAnsi="Microsoft Sans Serif" w:cs="Microsoft Sans Serif"/>
          <w:b/>
          <w:bCs/>
          <w:sz w:val="20"/>
          <w:szCs w:val="20"/>
        </w:rPr>
      </w:pPr>
      <w:r w:rsidRPr="00FB38E1">
        <w:rPr>
          <w:rFonts w:ascii="Microsoft Sans Serif" w:hAnsi="Microsoft Sans Serif" w:cs="Microsoft Sans Serif"/>
          <w:b/>
          <w:iCs/>
          <w:sz w:val="20"/>
          <w:szCs w:val="20"/>
        </w:rPr>
        <w:t>İlk büyük 100 ve 200 kredi müşterisinden olan nakdi ve gayrinakdi alacak tutarının toplam bilanço içi ve bilanço dışı varlıklar içindeki payı:</w:t>
      </w:r>
    </w:p>
    <w:p w14:paraId="76F706E2" w14:textId="31BC7E4F" w:rsidR="00D1663E" w:rsidRPr="00FB38E1" w:rsidRDefault="00D1663E" w:rsidP="00D1663E">
      <w:pPr>
        <w:autoSpaceDE w:val="0"/>
        <w:autoSpaceDN w:val="0"/>
        <w:adjustRightInd w:val="0"/>
        <w:spacing w:before="120" w:after="0" w:line="220" w:lineRule="exact"/>
        <w:rPr>
          <w:rFonts w:ascii="Microsoft Sans Serif" w:eastAsia="Arial Unicode MS" w:hAnsi="Microsoft Sans Serif" w:cs="Microsoft Sans Serif"/>
          <w:color w:val="404040" w:themeColor="text1" w:themeTint="BF"/>
          <w:sz w:val="20"/>
          <w:szCs w:val="20"/>
        </w:rPr>
      </w:pPr>
      <w:r w:rsidRPr="00FB38E1">
        <w:rPr>
          <w:rFonts w:ascii="Microsoft Sans Serif" w:eastAsia="Arial Unicode MS" w:hAnsi="Microsoft Sans Serif" w:cs="Microsoft Sans Serif"/>
          <w:color w:val="404040" w:themeColor="text1" w:themeTint="BF"/>
          <w:sz w:val="20"/>
          <w:szCs w:val="20"/>
        </w:rPr>
        <w:t xml:space="preserve">Banka’nın ilk büyük </w:t>
      </w:r>
      <w:r w:rsidRPr="00FB38E1">
        <w:rPr>
          <w:rFonts w:ascii="Microsoft Sans Serif" w:hAnsi="Microsoft Sans Serif" w:cs="Microsoft Sans Serif"/>
          <w:color w:val="404040" w:themeColor="text1" w:themeTint="BF"/>
          <w:sz w:val="20"/>
          <w:szCs w:val="20"/>
        </w:rPr>
        <w:t>100 ve 200</w:t>
      </w:r>
      <w:r w:rsidRPr="00FB38E1">
        <w:rPr>
          <w:rFonts w:ascii="Microsoft Sans Serif" w:eastAsia="Arial Unicode MS" w:hAnsi="Microsoft Sans Serif" w:cs="Microsoft Sans Serif"/>
          <w:color w:val="404040" w:themeColor="text1" w:themeTint="BF"/>
          <w:sz w:val="20"/>
          <w:szCs w:val="20"/>
        </w:rPr>
        <w:t xml:space="preserve"> kredi müşterisinden olan nakdi ve gayrinakdi alacak tutarı toplam bilanço içi ve bilanço dışı varlıkların %</w:t>
      </w:r>
      <w:r w:rsidR="00520259" w:rsidRPr="00FB38E1">
        <w:rPr>
          <w:rFonts w:ascii="Microsoft Sans Serif" w:eastAsia="Arial Unicode MS" w:hAnsi="Microsoft Sans Serif" w:cs="Microsoft Sans Serif"/>
          <w:color w:val="404040" w:themeColor="text1" w:themeTint="BF"/>
          <w:sz w:val="20"/>
          <w:szCs w:val="20"/>
        </w:rPr>
        <w:t>24</w:t>
      </w:r>
      <w:r w:rsidRPr="00FB38E1">
        <w:rPr>
          <w:rFonts w:ascii="Microsoft Sans Serif" w:eastAsia="Arial Unicode MS" w:hAnsi="Microsoft Sans Serif" w:cs="Microsoft Sans Serif"/>
          <w:color w:val="404040" w:themeColor="text1" w:themeTint="BF"/>
          <w:sz w:val="20"/>
          <w:szCs w:val="20"/>
        </w:rPr>
        <w:t xml:space="preserve"> ve %3</w:t>
      </w:r>
      <w:r w:rsidR="00520259" w:rsidRPr="00FB38E1">
        <w:rPr>
          <w:rFonts w:ascii="Microsoft Sans Serif" w:eastAsia="Arial Unicode MS" w:hAnsi="Microsoft Sans Serif" w:cs="Microsoft Sans Serif"/>
          <w:color w:val="404040" w:themeColor="text1" w:themeTint="BF"/>
          <w:sz w:val="20"/>
          <w:szCs w:val="20"/>
        </w:rPr>
        <w:t>1</w:t>
      </w:r>
      <w:r w:rsidRPr="00FB38E1">
        <w:rPr>
          <w:rFonts w:ascii="Microsoft Sans Serif" w:eastAsia="Arial Unicode MS" w:hAnsi="Microsoft Sans Serif" w:cs="Microsoft Sans Serif"/>
          <w:color w:val="404040" w:themeColor="text1" w:themeTint="BF"/>
          <w:sz w:val="20"/>
          <w:szCs w:val="20"/>
        </w:rPr>
        <w:t>’ini oluşturmaktadır</w:t>
      </w:r>
      <w:r w:rsidRPr="00FB38E1">
        <w:rPr>
          <w:rFonts w:ascii="Microsoft Sans Serif" w:hAnsi="Microsoft Sans Serif" w:cs="Microsoft Sans Serif"/>
          <w:color w:val="404040" w:themeColor="text1" w:themeTint="BF"/>
          <w:sz w:val="20"/>
          <w:szCs w:val="20"/>
        </w:rPr>
        <w:t xml:space="preserve"> (</w:t>
      </w:r>
      <w:r w:rsidRPr="00FB38E1">
        <w:rPr>
          <w:rFonts w:ascii="Microsoft Sans Serif" w:eastAsia="Arial Unicode MS" w:hAnsi="Microsoft Sans Serif" w:cs="Microsoft Sans Serif"/>
          <w:color w:val="404040" w:themeColor="text1" w:themeTint="BF"/>
          <w:sz w:val="20"/>
          <w:szCs w:val="20"/>
        </w:rPr>
        <w:t>31 Aralık 202</w:t>
      </w:r>
      <w:r w:rsidR="00CE3C4E" w:rsidRPr="00FB38E1">
        <w:rPr>
          <w:rFonts w:ascii="Microsoft Sans Serif" w:eastAsia="Arial Unicode MS" w:hAnsi="Microsoft Sans Serif" w:cs="Microsoft Sans Serif"/>
          <w:color w:val="404040" w:themeColor="text1" w:themeTint="BF"/>
          <w:sz w:val="20"/>
          <w:szCs w:val="20"/>
        </w:rPr>
        <w:t>3</w:t>
      </w:r>
      <w:r w:rsidRPr="00FB38E1">
        <w:rPr>
          <w:rFonts w:ascii="Microsoft Sans Serif" w:hAnsi="Microsoft Sans Serif" w:cs="Microsoft Sans Serif"/>
          <w:color w:val="404040" w:themeColor="text1" w:themeTint="BF"/>
          <w:sz w:val="20"/>
          <w:szCs w:val="20"/>
        </w:rPr>
        <w:t xml:space="preserve">: </w:t>
      </w:r>
      <w:r w:rsidRPr="00FB38E1">
        <w:rPr>
          <w:rFonts w:ascii="Microsoft Sans Serif" w:eastAsia="Arial Unicode MS" w:hAnsi="Microsoft Sans Serif" w:cs="Microsoft Sans Serif"/>
          <w:color w:val="404040" w:themeColor="text1" w:themeTint="BF"/>
          <w:sz w:val="20"/>
          <w:szCs w:val="20"/>
        </w:rPr>
        <w:t>%30</w:t>
      </w:r>
      <w:r w:rsidRPr="00FB38E1">
        <w:rPr>
          <w:rFonts w:ascii="Microsoft Sans Serif" w:hAnsi="Microsoft Sans Serif" w:cs="Microsoft Sans Serif"/>
          <w:color w:val="404040" w:themeColor="text1" w:themeTint="BF"/>
          <w:sz w:val="20"/>
          <w:szCs w:val="20"/>
        </w:rPr>
        <w:t>, %38).</w:t>
      </w:r>
    </w:p>
    <w:p w14:paraId="7DCFF9B8" w14:textId="77777777" w:rsidR="00D1663E" w:rsidRPr="00FB38E1" w:rsidRDefault="00D1663E" w:rsidP="00364B59">
      <w:pPr>
        <w:pStyle w:val="ListParagraph"/>
        <w:numPr>
          <w:ilvl w:val="0"/>
          <w:numId w:val="51"/>
        </w:numPr>
        <w:spacing w:before="240" w:after="120" w:line="240" w:lineRule="exact"/>
        <w:ind w:left="0" w:hanging="567"/>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t>Banka tarafından üstlenilen kredi riski için ayrılan beklenen zarar karşılıkları</w:t>
      </w:r>
    </w:p>
    <w:p w14:paraId="2EABFE28" w14:textId="1EB5733B" w:rsidR="00D1663E" w:rsidRPr="00FB38E1" w:rsidRDefault="00D1663E" w:rsidP="00D1663E">
      <w:pPr>
        <w:autoSpaceDE w:val="0"/>
        <w:autoSpaceDN w:val="0"/>
        <w:adjustRightInd w:val="0"/>
        <w:spacing w:before="120" w:after="0" w:line="220" w:lineRule="exact"/>
        <w:rPr>
          <w:rFonts w:ascii="Microsoft Sans Serif" w:eastAsia="Arial Unicode MS" w:hAnsi="Microsoft Sans Serif" w:cs="Microsoft Sans Serif"/>
          <w:color w:val="404040" w:themeColor="text1" w:themeTint="BF"/>
          <w:sz w:val="20"/>
          <w:szCs w:val="20"/>
        </w:rPr>
      </w:pPr>
      <w:r w:rsidRPr="00FB38E1">
        <w:rPr>
          <w:rFonts w:ascii="Microsoft Sans Serif" w:eastAsia="Arial Unicode MS" w:hAnsi="Microsoft Sans Serif" w:cs="Microsoft Sans Serif"/>
          <w:color w:val="404040" w:themeColor="text1" w:themeTint="BF"/>
          <w:sz w:val="20"/>
          <w:szCs w:val="20"/>
        </w:rPr>
        <w:t>31 Aralık 202</w:t>
      </w:r>
      <w:r w:rsidR="00CE3C4E" w:rsidRPr="00FB38E1">
        <w:rPr>
          <w:rFonts w:ascii="Microsoft Sans Serif" w:eastAsia="Arial Unicode MS" w:hAnsi="Microsoft Sans Serif" w:cs="Microsoft Sans Serif"/>
          <w:color w:val="404040" w:themeColor="text1" w:themeTint="BF"/>
          <w:sz w:val="20"/>
          <w:szCs w:val="20"/>
        </w:rPr>
        <w:t>4</w:t>
      </w:r>
      <w:r w:rsidRPr="00FB38E1">
        <w:rPr>
          <w:rFonts w:ascii="Microsoft Sans Serif" w:eastAsia="Arial Unicode MS" w:hAnsi="Microsoft Sans Serif" w:cs="Microsoft Sans Serif"/>
          <w:color w:val="404040" w:themeColor="text1" w:themeTint="BF"/>
          <w:sz w:val="20"/>
          <w:szCs w:val="20"/>
        </w:rPr>
        <w:t xml:space="preserve"> tarihi itibarıyla Banka tarafından üstlenilen kredi riski için ayrılan birinci ve ikinci aşama beklenen zarar karşılıkları </w:t>
      </w:r>
      <w:r w:rsidR="00F95DA1" w:rsidRPr="00FB38E1">
        <w:rPr>
          <w:rFonts w:ascii="Microsoft Sans Serif" w:eastAsia="Arial Unicode MS" w:hAnsi="Microsoft Sans Serif" w:cs="Microsoft Sans Serif"/>
          <w:color w:val="404040" w:themeColor="text1" w:themeTint="BF"/>
          <w:sz w:val="20"/>
          <w:szCs w:val="20"/>
        </w:rPr>
        <w:t>20.993.627</w:t>
      </w:r>
      <w:r w:rsidRPr="00FB38E1">
        <w:rPr>
          <w:rFonts w:ascii="Microsoft Sans Serif" w:eastAsia="Arial Unicode MS" w:hAnsi="Microsoft Sans Serif" w:cs="Microsoft Sans Serif"/>
          <w:color w:val="404040" w:themeColor="text1" w:themeTint="BF"/>
          <w:sz w:val="20"/>
          <w:szCs w:val="20"/>
        </w:rPr>
        <w:t xml:space="preserve"> TL’dir.</w:t>
      </w:r>
    </w:p>
    <w:p w14:paraId="1742172E" w14:textId="1070FCD8" w:rsidR="00D1663E" w:rsidRPr="00FB38E1" w:rsidRDefault="00D1663E" w:rsidP="00D1663E">
      <w:pPr>
        <w:autoSpaceDE w:val="0"/>
        <w:autoSpaceDN w:val="0"/>
        <w:adjustRightInd w:val="0"/>
        <w:spacing w:before="120" w:after="0" w:line="220" w:lineRule="exact"/>
        <w:rPr>
          <w:rFonts w:ascii="Microsoft Sans Serif" w:eastAsia="Arial Unicode MS" w:hAnsi="Microsoft Sans Serif" w:cs="Microsoft Sans Serif"/>
          <w:color w:val="404040" w:themeColor="text1" w:themeTint="BF"/>
          <w:sz w:val="20"/>
          <w:szCs w:val="20"/>
        </w:rPr>
      </w:pPr>
      <w:r w:rsidRPr="00FB38E1">
        <w:rPr>
          <w:rFonts w:ascii="Microsoft Sans Serif" w:eastAsia="Arial Unicode MS" w:hAnsi="Microsoft Sans Serif" w:cs="Microsoft Sans Serif"/>
          <w:color w:val="404040" w:themeColor="text1" w:themeTint="BF"/>
          <w:sz w:val="20"/>
          <w:szCs w:val="20"/>
        </w:rPr>
        <w:t>31 Aralık 202</w:t>
      </w:r>
      <w:r w:rsidR="00CE3C4E" w:rsidRPr="00FB38E1">
        <w:rPr>
          <w:rFonts w:ascii="Microsoft Sans Serif" w:eastAsia="Arial Unicode MS" w:hAnsi="Microsoft Sans Serif" w:cs="Microsoft Sans Serif"/>
          <w:color w:val="404040" w:themeColor="text1" w:themeTint="BF"/>
          <w:sz w:val="20"/>
          <w:szCs w:val="20"/>
        </w:rPr>
        <w:t>3</w:t>
      </w:r>
      <w:r w:rsidRPr="00FB38E1">
        <w:rPr>
          <w:rFonts w:ascii="Microsoft Sans Serif" w:eastAsia="Arial Unicode MS" w:hAnsi="Microsoft Sans Serif" w:cs="Microsoft Sans Serif"/>
          <w:color w:val="404040" w:themeColor="text1" w:themeTint="BF"/>
          <w:sz w:val="20"/>
          <w:szCs w:val="20"/>
        </w:rPr>
        <w:t xml:space="preserve"> tarihi itibarıyla Banka tarafından üstlenilen kredi riski için ayrılan birinci ve ikinci aşama beklenen zarar karşılıkları </w:t>
      </w:r>
      <w:r w:rsidR="00CE3C4E" w:rsidRPr="00FB38E1">
        <w:rPr>
          <w:rFonts w:ascii="Microsoft Sans Serif" w:eastAsia="Arial Unicode MS" w:hAnsi="Microsoft Sans Serif" w:cs="Microsoft Sans Serif"/>
          <w:color w:val="404040" w:themeColor="text1" w:themeTint="BF"/>
          <w:sz w:val="20"/>
          <w:szCs w:val="20"/>
        </w:rPr>
        <w:t xml:space="preserve">22.021.185 </w:t>
      </w:r>
      <w:r w:rsidRPr="00FB38E1">
        <w:rPr>
          <w:rFonts w:ascii="Microsoft Sans Serif" w:eastAsia="Arial Unicode MS" w:hAnsi="Microsoft Sans Serif" w:cs="Microsoft Sans Serif"/>
          <w:color w:val="404040" w:themeColor="text1" w:themeTint="BF"/>
          <w:sz w:val="20"/>
          <w:szCs w:val="20"/>
        </w:rPr>
        <w:t xml:space="preserve">TL’dir. </w:t>
      </w:r>
    </w:p>
    <w:p w14:paraId="5D800099" w14:textId="77777777" w:rsidR="00D1663E" w:rsidRPr="00FB38E1" w:rsidRDefault="00D1663E" w:rsidP="00D1663E">
      <w:pPr>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br w:type="page"/>
      </w:r>
    </w:p>
    <w:p w14:paraId="12A3D2F7" w14:textId="77777777" w:rsidR="00D1663E" w:rsidRPr="00FB38E1" w:rsidRDefault="00D1663E" w:rsidP="00364B59">
      <w:pPr>
        <w:pStyle w:val="ListParagraph"/>
        <w:numPr>
          <w:ilvl w:val="0"/>
          <w:numId w:val="51"/>
        </w:numPr>
        <w:spacing w:before="240" w:after="120" w:line="240" w:lineRule="exact"/>
        <w:ind w:left="0" w:hanging="567"/>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t>Krediler ve beklenen zarar karşılıklarına ilişkin bilgiler</w:t>
      </w:r>
    </w:p>
    <w:tbl>
      <w:tblPr>
        <w:tblW w:w="9639" w:type="dxa"/>
        <w:tblCellMar>
          <w:left w:w="70" w:type="dxa"/>
          <w:right w:w="70" w:type="dxa"/>
        </w:tblCellMar>
        <w:tblLook w:val="04A0" w:firstRow="1" w:lastRow="0" w:firstColumn="1" w:lastColumn="0" w:noHBand="0" w:noVBand="1"/>
      </w:tblPr>
      <w:tblGrid>
        <w:gridCol w:w="4455"/>
        <w:gridCol w:w="1165"/>
        <w:gridCol w:w="1157"/>
        <w:gridCol w:w="1517"/>
        <w:gridCol w:w="1345"/>
      </w:tblGrid>
      <w:tr w:rsidR="00D1663E" w:rsidRPr="00FB38E1" w14:paraId="7D8820B1" w14:textId="77777777" w:rsidTr="00CE3C4E">
        <w:trPr>
          <w:trHeight w:val="159"/>
        </w:trPr>
        <w:tc>
          <w:tcPr>
            <w:tcW w:w="4455" w:type="dxa"/>
            <w:tcBorders>
              <w:top w:val="thinThickSmallGap" w:sz="24" w:space="0" w:color="auto"/>
              <w:left w:val="nil"/>
              <w:bottom w:val="single" w:sz="4" w:space="0" w:color="auto"/>
              <w:right w:val="nil"/>
            </w:tcBorders>
            <w:shd w:val="clear" w:color="auto" w:fill="auto"/>
            <w:vAlign w:val="bottom"/>
            <w:hideMark/>
          </w:tcPr>
          <w:p w14:paraId="31E0F7FE" w14:textId="77777777" w:rsidR="00D1663E" w:rsidRPr="00FB38E1" w:rsidRDefault="00D1663E" w:rsidP="00836EF2">
            <w:pPr>
              <w:spacing w:after="0"/>
              <w:jc w:val="left"/>
              <w:rPr>
                <w:rFonts w:ascii="Microsoft Sans Serif" w:eastAsia="Times New Roman" w:hAnsi="Microsoft Sans Serif" w:cs="Microsoft Sans Serif"/>
                <w:b/>
                <w:bCs/>
                <w:color w:val="000000"/>
                <w:sz w:val="16"/>
                <w:szCs w:val="16"/>
                <w:lang w:eastAsia="tr-TR"/>
              </w:rPr>
            </w:pPr>
            <w:bookmarkStart w:id="25" w:name="_Hlk32668379"/>
          </w:p>
        </w:tc>
        <w:tc>
          <w:tcPr>
            <w:tcW w:w="2322" w:type="dxa"/>
            <w:gridSpan w:val="2"/>
            <w:tcBorders>
              <w:top w:val="thinThickSmallGap" w:sz="24" w:space="0" w:color="auto"/>
              <w:left w:val="nil"/>
              <w:bottom w:val="single" w:sz="4" w:space="0" w:color="auto"/>
              <w:right w:val="nil"/>
            </w:tcBorders>
          </w:tcPr>
          <w:p w14:paraId="1E968FD6" w14:textId="77777777" w:rsidR="00D1663E" w:rsidRPr="00FB38E1" w:rsidRDefault="00D1663E" w:rsidP="00836EF2">
            <w:pPr>
              <w:spacing w:after="0"/>
              <w:jc w:val="center"/>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Cari Dönem</w:t>
            </w:r>
          </w:p>
        </w:tc>
        <w:tc>
          <w:tcPr>
            <w:tcW w:w="2862" w:type="dxa"/>
            <w:gridSpan w:val="2"/>
            <w:tcBorders>
              <w:top w:val="thinThickSmallGap" w:sz="24" w:space="0" w:color="auto"/>
              <w:left w:val="nil"/>
              <w:bottom w:val="single" w:sz="4" w:space="0" w:color="auto"/>
              <w:right w:val="nil"/>
            </w:tcBorders>
            <w:shd w:val="clear" w:color="auto" w:fill="auto"/>
            <w:vAlign w:val="bottom"/>
          </w:tcPr>
          <w:p w14:paraId="1118BFF0" w14:textId="77777777" w:rsidR="00D1663E" w:rsidRPr="00FB38E1" w:rsidRDefault="00D1663E" w:rsidP="00836EF2">
            <w:pPr>
              <w:spacing w:after="0"/>
              <w:jc w:val="center"/>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Önceki Dönem</w:t>
            </w:r>
          </w:p>
        </w:tc>
      </w:tr>
      <w:tr w:rsidR="00D1663E" w:rsidRPr="00FB38E1" w14:paraId="291F2515" w14:textId="77777777" w:rsidTr="00CE3C4E">
        <w:trPr>
          <w:trHeight w:val="159"/>
        </w:trPr>
        <w:tc>
          <w:tcPr>
            <w:tcW w:w="4455" w:type="dxa"/>
            <w:tcBorders>
              <w:top w:val="single" w:sz="4" w:space="0" w:color="auto"/>
              <w:left w:val="nil"/>
              <w:bottom w:val="single" w:sz="8" w:space="0" w:color="auto"/>
              <w:right w:val="nil"/>
            </w:tcBorders>
            <w:shd w:val="clear" w:color="auto" w:fill="auto"/>
            <w:vAlign w:val="bottom"/>
          </w:tcPr>
          <w:p w14:paraId="6A5B2394" w14:textId="77777777" w:rsidR="00D1663E" w:rsidRPr="00FB38E1" w:rsidRDefault="00D1663E" w:rsidP="00836EF2">
            <w:pPr>
              <w:spacing w:after="0"/>
              <w:jc w:val="left"/>
              <w:rPr>
                <w:rFonts w:ascii="Microsoft Sans Serif" w:eastAsia="Times New Roman" w:hAnsi="Microsoft Sans Serif" w:cs="Microsoft Sans Serif"/>
                <w:b/>
                <w:bCs/>
                <w:color w:val="000000"/>
                <w:sz w:val="16"/>
                <w:szCs w:val="16"/>
                <w:lang w:eastAsia="tr-TR"/>
              </w:rPr>
            </w:pPr>
          </w:p>
        </w:tc>
        <w:tc>
          <w:tcPr>
            <w:tcW w:w="1165" w:type="dxa"/>
            <w:tcBorders>
              <w:top w:val="single" w:sz="4" w:space="0" w:color="auto"/>
              <w:left w:val="nil"/>
              <w:bottom w:val="single" w:sz="8" w:space="0" w:color="auto"/>
              <w:right w:val="nil"/>
            </w:tcBorders>
            <w:vAlign w:val="bottom"/>
          </w:tcPr>
          <w:p w14:paraId="4570D994"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Bakiye</w:t>
            </w:r>
          </w:p>
        </w:tc>
        <w:tc>
          <w:tcPr>
            <w:tcW w:w="1157" w:type="dxa"/>
            <w:tcBorders>
              <w:top w:val="single" w:sz="4" w:space="0" w:color="auto"/>
              <w:left w:val="nil"/>
              <w:bottom w:val="single" w:sz="8" w:space="0" w:color="auto"/>
              <w:right w:val="nil"/>
            </w:tcBorders>
            <w:vAlign w:val="bottom"/>
          </w:tcPr>
          <w:p w14:paraId="1557E36D"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Karşılık</w:t>
            </w:r>
          </w:p>
        </w:tc>
        <w:tc>
          <w:tcPr>
            <w:tcW w:w="1517" w:type="dxa"/>
            <w:tcBorders>
              <w:top w:val="single" w:sz="4" w:space="0" w:color="auto"/>
              <w:left w:val="nil"/>
              <w:bottom w:val="single" w:sz="8" w:space="0" w:color="auto"/>
              <w:right w:val="nil"/>
            </w:tcBorders>
            <w:shd w:val="clear" w:color="auto" w:fill="auto"/>
            <w:vAlign w:val="bottom"/>
          </w:tcPr>
          <w:p w14:paraId="67BC8C36"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Bakiye</w:t>
            </w:r>
          </w:p>
        </w:tc>
        <w:tc>
          <w:tcPr>
            <w:tcW w:w="1345" w:type="dxa"/>
            <w:tcBorders>
              <w:top w:val="single" w:sz="4" w:space="0" w:color="auto"/>
              <w:left w:val="nil"/>
              <w:bottom w:val="single" w:sz="8" w:space="0" w:color="auto"/>
              <w:right w:val="nil"/>
            </w:tcBorders>
            <w:shd w:val="clear" w:color="auto" w:fill="auto"/>
            <w:vAlign w:val="bottom"/>
          </w:tcPr>
          <w:p w14:paraId="475BD5A0"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Karşılık</w:t>
            </w:r>
          </w:p>
        </w:tc>
      </w:tr>
      <w:tr w:rsidR="00E94133" w:rsidRPr="00FB38E1" w14:paraId="760BC39E" w14:textId="77777777" w:rsidTr="00CE3C4E">
        <w:trPr>
          <w:trHeight w:val="159"/>
        </w:trPr>
        <w:tc>
          <w:tcPr>
            <w:tcW w:w="4455" w:type="dxa"/>
            <w:tcBorders>
              <w:top w:val="nil"/>
              <w:left w:val="nil"/>
              <w:bottom w:val="nil"/>
              <w:right w:val="nil"/>
            </w:tcBorders>
            <w:shd w:val="clear" w:color="auto" w:fill="auto"/>
            <w:vAlign w:val="bottom"/>
            <w:hideMark/>
          </w:tcPr>
          <w:p w14:paraId="2ADE54D2" w14:textId="77777777" w:rsidR="00E94133" w:rsidRPr="00FB38E1" w:rsidRDefault="00E94133" w:rsidP="00E94133">
            <w:pPr>
              <w:spacing w:after="0"/>
              <w:jc w:val="left"/>
              <w:rPr>
                <w:rFonts w:ascii="Microsoft Sans Serif" w:eastAsia="Times New Roman" w:hAnsi="Microsoft Sans Serif" w:cs="Microsoft Sans Serif"/>
                <w:b/>
                <w:bCs/>
                <w:color w:val="404040"/>
                <w:sz w:val="16"/>
                <w:szCs w:val="16"/>
                <w:lang w:eastAsia="tr-TR"/>
              </w:rPr>
            </w:pPr>
            <w:r w:rsidRPr="00FB38E1">
              <w:rPr>
                <w:rFonts w:ascii="Microsoft Sans Serif" w:eastAsia="Times New Roman" w:hAnsi="Microsoft Sans Serif" w:cs="Microsoft Sans Serif"/>
                <w:b/>
                <w:bCs/>
                <w:color w:val="404040"/>
                <w:sz w:val="16"/>
                <w:szCs w:val="16"/>
                <w:lang w:eastAsia="tr-TR"/>
              </w:rPr>
              <w:t>Krediler</w:t>
            </w:r>
          </w:p>
        </w:tc>
        <w:tc>
          <w:tcPr>
            <w:tcW w:w="1165" w:type="dxa"/>
            <w:tcBorders>
              <w:top w:val="nil"/>
              <w:left w:val="nil"/>
              <w:bottom w:val="nil"/>
              <w:right w:val="nil"/>
            </w:tcBorders>
            <w:vAlign w:val="center"/>
          </w:tcPr>
          <w:p w14:paraId="2E68CCFD" w14:textId="680C33E5"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404040"/>
                <w:sz w:val="16"/>
                <w:szCs w:val="16"/>
              </w:rPr>
              <w:t>736.218.281</w:t>
            </w:r>
          </w:p>
        </w:tc>
        <w:tc>
          <w:tcPr>
            <w:tcW w:w="1157" w:type="dxa"/>
            <w:tcBorders>
              <w:top w:val="nil"/>
              <w:left w:val="nil"/>
              <w:bottom w:val="nil"/>
              <w:right w:val="nil"/>
            </w:tcBorders>
            <w:vAlign w:val="center"/>
          </w:tcPr>
          <w:p w14:paraId="058CD171" w14:textId="3F0F4913"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404040"/>
                <w:sz w:val="16"/>
                <w:szCs w:val="16"/>
              </w:rPr>
              <w:t>36.035.598</w:t>
            </w:r>
          </w:p>
        </w:tc>
        <w:tc>
          <w:tcPr>
            <w:tcW w:w="1517" w:type="dxa"/>
            <w:tcBorders>
              <w:top w:val="nil"/>
              <w:left w:val="nil"/>
              <w:bottom w:val="nil"/>
              <w:right w:val="nil"/>
            </w:tcBorders>
            <w:shd w:val="clear" w:color="auto" w:fill="auto"/>
            <w:vAlign w:val="center"/>
          </w:tcPr>
          <w:p w14:paraId="064B9320" w14:textId="65719032"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500.458.326</w:t>
            </w:r>
          </w:p>
        </w:tc>
        <w:tc>
          <w:tcPr>
            <w:tcW w:w="1345" w:type="dxa"/>
            <w:tcBorders>
              <w:top w:val="nil"/>
              <w:left w:val="nil"/>
              <w:bottom w:val="nil"/>
              <w:right w:val="nil"/>
            </w:tcBorders>
            <w:shd w:val="clear" w:color="auto" w:fill="auto"/>
            <w:vAlign w:val="center"/>
          </w:tcPr>
          <w:p w14:paraId="1C57F982" w14:textId="661767B8"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34.900.468</w:t>
            </w:r>
          </w:p>
        </w:tc>
      </w:tr>
      <w:tr w:rsidR="00E94133" w:rsidRPr="00FB38E1" w14:paraId="7504069F" w14:textId="77777777" w:rsidTr="00CE3C4E">
        <w:trPr>
          <w:trHeight w:val="159"/>
        </w:trPr>
        <w:tc>
          <w:tcPr>
            <w:tcW w:w="4455" w:type="dxa"/>
            <w:tcBorders>
              <w:top w:val="nil"/>
              <w:left w:val="nil"/>
              <w:bottom w:val="nil"/>
              <w:right w:val="nil"/>
            </w:tcBorders>
            <w:shd w:val="clear" w:color="auto" w:fill="auto"/>
            <w:vAlign w:val="bottom"/>
            <w:hideMark/>
          </w:tcPr>
          <w:p w14:paraId="3C5C8AF8"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1. Aşama</w:t>
            </w:r>
          </w:p>
        </w:tc>
        <w:tc>
          <w:tcPr>
            <w:tcW w:w="1165" w:type="dxa"/>
            <w:tcBorders>
              <w:top w:val="nil"/>
              <w:left w:val="nil"/>
              <w:bottom w:val="nil"/>
              <w:right w:val="nil"/>
            </w:tcBorders>
            <w:vAlign w:val="center"/>
          </w:tcPr>
          <w:p w14:paraId="454C2EA0" w14:textId="063CD090"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634.268.997</w:t>
            </w:r>
          </w:p>
        </w:tc>
        <w:tc>
          <w:tcPr>
            <w:tcW w:w="1157" w:type="dxa"/>
            <w:tcBorders>
              <w:top w:val="nil"/>
              <w:left w:val="nil"/>
              <w:bottom w:val="nil"/>
              <w:right w:val="nil"/>
            </w:tcBorders>
            <w:vAlign w:val="center"/>
          </w:tcPr>
          <w:p w14:paraId="16A5847F" w14:textId="08897148"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5.982.186</w:t>
            </w:r>
          </w:p>
        </w:tc>
        <w:tc>
          <w:tcPr>
            <w:tcW w:w="1517" w:type="dxa"/>
            <w:tcBorders>
              <w:top w:val="nil"/>
              <w:left w:val="nil"/>
              <w:bottom w:val="nil"/>
              <w:right w:val="nil"/>
            </w:tcBorders>
            <w:shd w:val="clear" w:color="auto" w:fill="auto"/>
            <w:vAlign w:val="center"/>
          </w:tcPr>
          <w:p w14:paraId="66D8C3D7" w14:textId="45D831BD"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432.275.886</w:t>
            </w:r>
          </w:p>
        </w:tc>
        <w:tc>
          <w:tcPr>
            <w:tcW w:w="1345" w:type="dxa"/>
            <w:tcBorders>
              <w:top w:val="nil"/>
              <w:left w:val="nil"/>
              <w:bottom w:val="nil"/>
              <w:right w:val="nil"/>
            </w:tcBorders>
            <w:shd w:val="clear" w:color="auto" w:fill="auto"/>
            <w:vAlign w:val="center"/>
          </w:tcPr>
          <w:p w14:paraId="24DE08CA" w14:textId="19B05C58"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6.341.630</w:t>
            </w:r>
          </w:p>
        </w:tc>
      </w:tr>
      <w:tr w:rsidR="00E94133" w:rsidRPr="00FB38E1" w14:paraId="404EBA51" w14:textId="77777777" w:rsidTr="00CE3C4E">
        <w:trPr>
          <w:trHeight w:val="159"/>
        </w:trPr>
        <w:tc>
          <w:tcPr>
            <w:tcW w:w="4455" w:type="dxa"/>
            <w:tcBorders>
              <w:top w:val="nil"/>
              <w:left w:val="nil"/>
              <w:bottom w:val="nil"/>
              <w:right w:val="nil"/>
            </w:tcBorders>
            <w:shd w:val="clear" w:color="auto" w:fill="auto"/>
            <w:vAlign w:val="bottom"/>
            <w:hideMark/>
          </w:tcPr>
          <w:p w14:paraId="367EE86A"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2. Aşama</w:t>
            </w:r>
          </w:p>
        </w:tc>
        <w:tc>
          <w:tcPr>
            <w:tcW w:w="1165" w:type="dxa"/>
            <w:tcBorders>
              <w:top w:val="nil"/>
              <w:left w:val="nil"/>
              <w:bottom w:val="nil"/>
              <w:right w:val="nil"/>
            </w:tcBorders>
            <w:vAlign w:val="center"/>
          </w:tcPr>
          <w:p w14:paraId="3DA6FEA7" w14:textId="6C8C23C2"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74.205.142</w:t>
            </w:r>
          </w:p>
        </w:tc>
        <w:tc>
          <w:tcPr>
            <w:tcW w:w="1157" w:type="dxa"/>
            <w:tcBorders>
              <w:top w:val="nil"/>
              <w:left w:val="nil"/>
              <w:bottom w:val="nil"/>
              <w:right w:val="nil"/>
            </w:tcBorders>
            <w:vAlign w:val="center"/>
          </w:tcPr>
          <w:p w14:paraId="4A8425D5" w14:textId="0572A488"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13.286.197</w:t>
            </w:r>
          </w:p>
        </w:tc>
        <w:tc>
          <w:tcPr>
            <w:tcW w:w="1517" w:type="dxa"/>
            <w:tcBorders>
              <w:top w:val="nil"/>
              <w:left w:val="nil"/>
              <w:bottom w:val="nil"/>
              <w:right w:val="nil"/>
            </w:tcBorders>
            <w:shd w:val="clear" w:color="auto" w:fill="auto"/>
            <w:vAlign w:val="center"/>
          </w:tcPr>
          <w:p w14:paraId="4AAC3C10" w14:textId="50B24208"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46.957.524</w:t>
            </w:r>
          </w:p>
        </w:tc>
        <w:tc>
          <w:tcPr>
            <w:tcW w:w="1345" w:type="dxa"/>
            <w:tcBorders>
              <w:top w:val="nil"/>
              <w:left w:val="nil"/>
              <w:bottom w:val="nil"/>
              <w:right w:val="nil"/>
            </w:tcBorders>
            <w:shd w:val="clear" w:color="auto" w:fill="auto"/>
            <w:vAlign w:val="center"/>
          </w:tcPr>
          <w:p w14:paraId="4C8909ED" w14:textId="39C71E8B"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14.180.707</w:t>
            </w:r>
          </w:p>
        </w:tc>
      </w:tr>
      <w:tr w:rsidR="00E94133" w:rsidRPr="00FB38E1" w14:paraId="3FDE21E0" w14:textId="77777777" w:rsidTr="00CE3C4E">
        <w:trPr>
          <w:trHeight w:val="159"/>
        </w:trPr>
        <w:tc>
          <w:tcPr>
            <w:tcW w:w="4455" w:type="dxa"/>
            <w:tcBorders>
              <w:top w:val="nil"/>
              <w:left w:val="nil"/>
              <w:bottom w:val="nil"/>
              <w:right w:val="nil"/>
            </w:tcBorders>
            <w:shd w:val="clear" w:color="auto" w:fill="auto"/>
            <w:vAlign w:val="bottom"/>
            <w:hideMark/>
          </w:tcPr>
          <w:p w14:paraId="274E7A83"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3. Aşama</w:t>
            </w:r>
          </w:p>
        </w:tc>
        <w:tc>
          <w:tcPr>
            <w:tcW w:w="1165" w:type="dxa"/>
            <w:tcBorders>
              <w:top w:val="nil"/>
              <w:left w:val="nil"/>
              <w:bottom w:val="nil"/>
              <w:right w:val="nil"/>
            </w:tcBorders>
            <w:vAlign w:val="center"/>
          </w:tcPr>
          <w:p w14:paraId="08BEB934" w14:textId="234AAE68"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27.744.142</w:t>
            </w:r>
          </w:p>
        </w:tc>
        <w:tc>
          <w:tcPr>
            <w:tcW w:w="1157" w:type="dxa"/>
            <w:tcBorders>
              <w:top w:val="nil"/>
              <w:left w:val="nil"/>
              <w:bottom w:val="nil"/>
              <w:right w:val="nil"/>
            </w:tcBorders>
            <w:vAlign w:val="center"/>
          </w:tcPr>
          <w:p w14:paraId="17D3A98E" w14:textId="55D24487"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16.767.215</w:t>
            </w:r>
          </w:p>
        </w:tc>
        <w:tc>
          <w:tcPr>
            <w:tcW w:w="1517" w:type="dxa"/>
            <w:tcBorders>
              <w:top w:val="nil"/>
              <w:left w:val="nil"/>
              <w:bottom w:val="nil"/>
              <w:right w:val="nil"/>
            </w:tcBorders>
            <w:shd w:val="clear" w:color="auto" w:fill="auto"/>
            <w:vAlign w:val="center"/>
          </w:tcPr>
          <w:p w14:paraId="2E1C5FC3" w14:textId="341CD625"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21.224.916</w:t>
            </w:r>
          </w:p>
        </w:tc>
        <w:tc>
          <w:tcPr>
            <w:tcW w:w="1345" w:type="dxa"/>
            <w:tcBorders>
              <w:top w:val="nil"/>
              <w:left w:val="nil"/>
              <w:bottom w:val="nil"/>
              <w:right w:val="nil"/>
            </w:tcBorders>
            <w:shd w:val="clear" w:color="auto" w:fill="auto"/>
            <w:vAlign w:val="center"/>
          </w:tcPr>
          <w:p w14:paraId="11929801" w14:textId="062D8375"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14.378.131</w:t>
            </w:r>
          </w:p>
        </w:tc>
      </w:tr>
      <w:tr w:rsidR="00E94133" w:rsidRPr="00FB38E1" w14:paraId="530D174B" w14:textId="77777777" w:rsidTr="00CE3C4E">
        <w:trPr>
          <w:trHeight w:val="159"/>
        </w:trPr>
        <w:tc>
          <w:tcPr>
            <w:tcW w:w="4455" w:type="dxa"/>
            <w:tcBorders>
              <w:top w:val="nil"/>
              <w:left w:val="nil"/>
              <w:bottom w:val="nil"/>
              <w:right w:val="nil"/>
            </w:tcBorders>
            <w:shd w:val="clear" w:color="auto" w:fill="auto"/>
            <w:vAlign w:val="bottom"/>
          </w:tcPr>
          <w:p w14:paraId="47C65B1A"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Gerçeğe Uygun Değer Farkı Kar Zarara Yansıtılanlar</w:t>
            </w:r>
          </w:p>
        </w:tc>
        <w:tc>
          <w:tcPr>
            <w:tcW w:w="1165" w:type="dxa"/>
            <w:tcBorders>
              <w:top w:val="nil"/>
              <w:left w:val="nil"/>
              <w:bottom w:val="nil"/>
              <w:right w:val="nil"/>
            </w:tcBorders>
            <w:vAlign w:val="center"/>
          </w:tcPr>
          <w:p w14:paraId="1FA1CE49" w14:textId="3D78A09C"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w:t>
            </w:r>
          </w:p>
        </w:tc>
        <w:tc>
          <w:tcPr>
            <w:tcW w:w="1157" w:type="dxa"/>
            <w:tcBorders>
              <w:top w:val="nil"/>
              <w:left w:val="nil"/>
              <w:bottom w:val="nil"/>
              <w:right w:val="nil"/>
            </w:tcBorders>
            <w:vAlign w:val="center"/>
          </w:tcPr>
          <w:p w14:paraId="1D739832" w14:textId="06514C95"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w:t>
            </w:r>
          </w:p>
        </w:tc>
        <w:tc>
          <w:tcPr>
            <w:tcW w:w="1517" w:type="dxa"/>
            <w:tcBorders>
              <w:top w:val="nil"/>
              <w:left w:val="nil"/>
              <w:bottom w:val="nil"/>
              <w:right w:val="nil"/>
            </w:tcBorders>
            <w:shd w:val="clear" w:color="auto" w:fill="auto"/>
            <w:vAlign w:val="center"/>
          </w:tcPr>
          <w:p w14:paraId="76A26930" w14:textId="24905FC5"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595959" w:themeColor="text1" w:themeTint="A6"/>
                <w:sz w:val="16"/>
                <w:szCs w:val="16"/>
              </w:rPr>
              <w:t>--</w:t>
            </w:r>
          </w:p>
        </w:tc>
        <w:tc>
          <w:tcPr>
            <w:tcW w:w="1345" w:type="dxa"/>
            <w:tcBorders>
              <w:top w:val="nil"/>
              <w:left w:val="nil"/>
              <w:bottom w:val="nil"/>
              <w:right w:val="nil"/>
            </w:tcBorders>
            <w:shd w:val="clear" w:color="auto" w:fill="auto"/>
            <w:vAlign w:val="center"/>
          </w:tcPr>
          <w:p w14:paraId="4FAA4B06" w14:textId="6B3339D6"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595959" w:themeColor="text1" w:themeTint="A6"/>
                <w:sz w:val="16"/>
                <w:szCs w:val="16"/>
              </w:rPr>
              <w:t>--</w:t>
            </w:r>
          </w:p>
        </w:tc>
      </w:tr>
      <w:tr w:rsidR="00E94133" w:rsidRPr="00FB38E1" w14:paraId="172831C8" w14:textId="77777777" w:rsidTr="00CE3C4E">
        <w:trPr>
          <w:trHeight w:val="159"/>
        </w:trPr>
        <w:tc>
          <w:tcPr>
            <w:tcW w:w="4455" w:type="dxa"/>
            <w:tcBorders>
              <w:top w:val="nil"/>
              <w:left w:val="nil"/>
              <w:bottom w:val="nil"/>
              <w:right w:val="nil"/>
            </w:tcBorders>
            <w:shd w:val="clear" w:color="auto" w:fill="auto"/>
            <w:vAlign w:val="bottom"/>
            <w:hideMark/>
          </w:tcPr>
          <w:p w14:paraId="38438A96" w14:textId="77777777" w:rsidR="00E94133" w:rsidRPr="00FB38E1" w:rsidRDefault="00E94133" w:rsidP="00E94133">
            <w:pPr>
              <w:spacing w:after="0"/>
              <w:jc w:val="left"/>
              <w:rPr>
                <w:rFonts w:ascii="Microsoft Sans Serif" w:eastAsia="Times New Roman" w:hAnsi="Microsoft Sans Serif" w:cs="Microsoft Sans Serif"/>
                <w:b/>
                <w:bCs/>
                <w:color w:val="404040"/>
                <w:sz w:val="16"/>
                <w:szCs w:val="16"/>
                <w:lang w:eastAsia="tr-TR"/>
              </w:rPr>
            </w:pPr>
            <w:r w:rsidRPr="00FB38E1">
              <w:rPr>
                <w:rFonts w:ascii="Microsoft Sans Serif" w:eastAsia="Times New Roman" w:hAnsi="Microsoft Sans Serif" w:cs="Microsoft Sans Serif"/>
                <w:b/>
                <w:bCs/>
                <w:color w:val="404040"/>
                <w:sz w:val="16"/>
                <w:szCs w:val="16"/>
                <w:lang w:eastAsia="tr-TR"/>
              </w:rPr>
              <w:t>Finansal Varlıklar</w:t>
            </w:r>
          </w:p>
        </w:tc>
        <w:tc>
          <w:tcPr>
            <w:tcW w:w="1165" w:type="dxa"/>
            <w:tcBorders>
              <w:top w:val="nil"/>
              <w:left w:val="nil"/>
              <w:bottom w:val="nil"/>
              <w:right w:val="nil"/>
            </w:tcBorders>
            <w:vAlign w:val="center"/>
          </w:tcPr>
          <w:p w14:paraId="12287D61" w14:textId="56CD1A84"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404040"/>
                <w:sz w:val="16"/>
                <w:szCs w:val="16"/>
              </w:rPr>
              <w:t>502.133.175</w:t>
            </w:r>
          </w:p>
        </w:tc>
        <w:tc>
          <w:tcPr>
            <w:tcW w:w="1157" w:type="dxa"/>
            <w:tcBorders>
              <w:top w:val="nil"/>
              <w:left w:val="nil"/>
              <w:bottom w:val="nil"/>
              <w:right w:val="nil"/>
            </w:tcBorders>
            <w:vAlign w:val="center"/>
          </w:tcPr>
          <w:p w14:paraId="365EA065" w14:textId="4A4080B9"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404040"/>
                <w:sz w:val="16"/>
                <w:szCs w:val="16"/>
              </w:rPr>
              <w:t>8.525</w:t>
            </w:r>
          </w:p>
        </w:tc>
        <w:tc>
          <w:tcPr>
            <w:tcW w:w="1517" w:type="dxa"/>
            <w:tcBorders>
              <w:top w:val="nil"/>
              <w:left w:val="nil"/>
              <w:bottom w:val="nil"/>
              <w:right w:val="nil"/>
            </w:tcBorders>
            <w:shd w:val="clear" w:color="auto" w:fill="auto"/>
            <w:vAlign w:val="center"/>
          </w:tcPr>
          <w:p w14:paraId="673C1855" w14:textId="2D604F4D"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424.738.874</w:t>
            </w:r>
          </w:p>
        </w:tc>
        <w:tc>
          <w:tcPr>
            <w:tcW w:w="1345" w:type="dxa"/>
            <w:tcBorders>
              <w:top w:val="nil"/>
              <w:left w:val="nil"/>
              <w:bottom w:val="nil"/>
              <w:right w:val="nil"/>
            </w:tcBorders>
            <w:shd w:val="clear" w:color="auto" w:fill="auto"/>
            <w:vAlign w:val="center"/>
          </w:tcPr>
          <w:p w14:paraId="077E6653" w14:textId="3CBC65F8"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7.440</w:t>
            </w:r>
          </w:p>
        </w:tc>
      </w:tr>
      <w:tr w:rsidR="00E94133" w:rsidRPr="00FB38E1" w14:paraId="252D817B" w14:textId="77777777" w:rsidTr="00CE3C4E">
        <w:trPr>
          <w:trHeight w:val="159"/>
        </w:trPr>
        <w:tc>
          <w:tcPr>
            <w:tcW w:w="4455" w:type="dxa"/>
            <w:tcBorders>
              <w:top w:val="nil"/>
              <w:left w:val="nil"/>
              <w:bottom w:val="nil"/>
              <w:right w:val="nil"/>
            </w:tcBorders>
            <w:shd w:val="clear" w:color="auto" w:fill="auto"/>
            <w:vAlign w:val="bottom"/>
            <w:hideMark/>
          </w:tcPr>
          <w:p w14:paraId="7C0A7EE6" w14:textId="77777777" w:rsidR="00E94133" w:rsidRPr="00FB38E1" w:rsidRDefault="00E94133" w:rsidP="00E94133">
            <w:pPr>
              <w:spacing w:after="0"/>
              <w:jc w:val="left"/>
              <w:rPr>
                <w:rFonts w:ascii="Microsoft Sans Serif" w:eastAsia="Times New Roman" w:hAnsi="Microsoft Sans Serif" w:cs="Microsoft Sans Serif"/>
                <w:b/>
                <w:bCs/>
                <w:color w:val="404040"/>
                <w:sz w:val="16"/>
                <w:szCs w:val="16"/>
                <w:lang w:eastAsia="tr-TR"/>
              </w:rPr>
            </w:pPr>
            <w:r w:rsidRPr="00FB38E1">
              <w:rPr>
                <w:rFonts w:ascii="Microsoft Sans Serif" w:eastAsia="Times New Roman" w:hAnsi="Microsoft Sans Serif" w:cs="Microsoft Sans Serif"/>
                <w:b/>
                <w:bCs/>
                <w:color w:val="404040"/>
                <w:sz w:val="16"/>
                <w:szCs w:val="16"/>
                <w:lang w:eastAsia="tr-TR"/>
              </w:rPr>
              <w:t>Diğer</w:t>
            </w:r>
          </w:p>
        </w:tc>
        <w:tc>
          <w:tcPr>
            <w:tcW w:w="1165" w:type="dxa"/>
            <w:tcBorders>
              <w:top w:val="nil"/>
              <w:left w:val="nil"/>
              <w:bottom w:val="nil"/>
              <w:right w:val="nil"/>
            </w:tcBorders>
            <w:vAlign w:val="center"/>
          </w:tcPr>
          <w:p w14:paraId="39B33511" w14:textId="6BB6AE87"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404040"/>
                <w:sz w:val="16"/>
                <w:szCs w:val="16"/>
              </w:rPr>
              <w:t>51.500.785</w:t>
            </w:r>
          </w:p>
        </w:tc>
        <w:tc>
          <w:tcPr>
            <w:tcW w:w="1157" w:type="dxa"/>
            <w:tcBorders>
              <w:top w:val="nil"/>
              <w:left w:val="nil"/>
              <w:bottom w:val="nil"/>
              <w:right w:val="nil"/>
            </w:tcBorders>
            <w:vAlign w:val="center"/>
          </w:tcPr>
          <w:p w14:paraId="2B079C3A" w14:textId="23C47E31"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404040"/>
                <w:sz w:val="16"/>
                <w:szCs w:val="16"/>
              </w:rPr>
              <w:t>61.876</w:t>
            </w:r>
          </w:p>
        </w:tc>
        <w:tc>
          <w:tcPr>
            <w:tcW w:w="1517" w:type="dxa"/>
            <w:tcBorders>
              <w:top w:val="nil"/>
              <w:left w:val="nil"/>
              <w:bottom w:val="nil"/>
              <w:right w:val="nil"/>
            </w:tcBorders>
            <w:shd w:val="clear" w:color="auto" w:fill="auto"/>
            <w:vAlign w:val="center"/>
          </w:tcPr>
          <w:p w14:paraId="5E0128BF" w14:textId="09BD2CD6"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36.348.709</w:t>
            </w:r>
          </w:p>
        </w:tc>
        <w:tc>
          <w:tcPr>
            <w:tcW w:w="1345" w:type="dxa"/>
            <w:tcBorders>
              <w:top w:val="nil"/>
              <w:left w:val="nil"/>
              <w:bottom w:val="nil"/>
              <w:right w:val="nil"/>
            </w:tcBorders>
            <w:shd w:val="clear" w:color="auto" w:fill="auto"/>
            <w:vAlign w:val="center"/>
          </w:tcPr>
          <w:p w14:paraId="6D8512C2" w14:textId="440D2255"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64.893</w:t>
            </w:r>
          </w:p>
        </w:tc>
      </w:tr>
      <w:tr w:rsidR="00E94133" w:rsidRPr="00FB38E1" w14:paraId="648E3D2B" w14:textId="77777777" w:rsidTr="00CE3C4E">
        <w:trPr>
          <w:trHeight w:val="159"/>
        </w:trPr>
        <w:tc>
          <w:tcPr>
            <w:tcW w:w="4455" w:type="dxa"/>
            <w:tcBorders>
              <w:top w:val="nil"/>
              <w:left w:val="nil"/>
              <w:bottom w:val="nil"/>
              <w:right w:val="nil"/>
            </w:tcBorders>
            <w:shd w:val="clear" w:color="auto" w:fill="auto"/>
            <w:vAlign w:val="bottom"/>
            <w:hideMark/>
          </w:tcPr>
          <w:p w14:paraId="5DCD1FD4" w14:textId="77777777" w:rsidR="00E94133" w:rsidRPr="00FB38E1" w:rsidRDefault="00E94133" w:rsidP="00E94133">
            <w:pPr>
              <w:spacing w:after="0"/>
              <w:jc w:val="left"/>
              <w:rPr>
                <w:rFonts w:ascii="Microsoft Sans Serif" w:eastAsia="Times New Roman" w:hAnsi="Microsoft Sans Serif" w:cs="Microsoft Sans Serif"/>
                <w:b/>
                <w:bCs/>
                <w:color w:val="404040"/>
                <w:sz w:val="16"/>
                <w:szCs w:val="16"/>
                <w:lang w:eastAsia="tr-TR"/>
              </w:rPr>
            </w:pPr>
            <w:r w:rsidRPr="00FB38E1">
              <w:rPr>
                <w:rFonts w:ascii="Microsoft Sans Serif" w:eastAsia="Times New Roman" w:hAnsi="Microsoft Sans Serif" w:cs="Microsoft Sans Serif"/>
                <w:b/>
                <w:bCs/>
                <w:color w:val="404040"/>
                <w:sz w:val="16"/>
                <w:szCs w:val="16"/>
                <w:lang w:eastAsia="tr-TR"/>
              </w:rPr>
              <w:t>Bilanço Dışı Alacaklar</w:t>
            </w:r>
          </w:p>
        </w:tc>
        <w:tc>
          <w:tcPr>
            <w:tcW w:w="1165" w:type="dxa"/>
            <w:tcBorders>
              <w:top w:val="nil"/>
              <w:left w:val="nil"/>
              <w:bottom w:val="nil"/>
              <w:right w:val="nil"/>
            </w:tcBorders>
            <w:vAlign w:val="center"/>
          </w:tcPr>
          <w:p w14:paraId="214AE12F" w14:textId="18254ABA"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404040"/>
                <w:sz w:val="16"/>
                <w:szCs w:val="16"/>
              </w:rPr>
              <w:t>711.025.871</w:t>
            </w:r>
          </w:p>
        </w:tc>
        <w:tc>
          <w:tcPr>
            <w:tcW w:w="1157" w:type="dxa"/>
            <w:tcBorders>
              <w:top w:val="nil"/>
              <w:left w:val="nil"/>
              <w:bottom w:val="nil"/>
              <w:right w:val="nil"/>
            </w:tcBorders>
            <w:vAlign w:val="center"/>
          </w:tcPr>
          <w:p w14:paraId="50AD8165" w14:textId="357DD161"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404040"/>
                <w:sz w:val="16"/>
                <w:szCs w:val="16"/>
              </w:rPr>
              <w:t>5.080.278</w:t>
            </w:r>
          </w:p>
        </w:tc>
        <w:tc>
          <w:tcPr>
            <w:tcW w:w="1517" w:type="dxa"/>
            <w:tcBorders>
              <w:top w:val="nil"/>
              <w:left w:val="nil"/>
              <w:bottom w:val="nil"/>
              <w:right w:val="nil"/>
            </w:tcBorders>
            <w:shd w:val="clear" w:color="auto" w:fill="auto"/>
            <w:vAlign w:val="center"/>
          </w:tcPr>
          <w:p w14:paraId="2B49D7CF" w14:textId="3EE22BDA"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525.338.499</w:t>
            </w:r>
          </w:p>
        </w:tc>
        <w:tc>
          <w:tcPr>
            <w:tcW w:w="1345" w:type="dxa"/>
            <w:tcBorders>
              <w:top w:val="nil"/>
              <w:left w:val="nil"/>
              <w:bottom w:val="nil"/>
              <w:right w:val="nil"/>
            </w:tcBorders>
            <w:shd w:val="clear" w:color="auto" w:fill="auto"/>
            <w:vAlign w:val="center"/>
          </w:tcPr>
          <w:p w14:paraId="4AE8EB0D" w14:textId="2974ACC8"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4.363.601</w:t>
            </w:r>
          </w:p>
        </w:tc>
      </w:tr>
      <w:tr w:rsidR="00E94133" w:rsidRPr="00FB38E1" w14:paraId="5EF6AD9B" w14:textId="77777777" w:rsidTr="00CE3C4E">
        <w:trPr>
          <w:trHeight w:val="159"/>
        </w:trPr>
        <w:tc>
          <w:tcPr>
            <w:tcW w:w="4455" w:type="dxa"/>
            <w:tcBorders>
              <w:top w:val="nil"/>
              <w:left w:val="nil"/>
              <w:bottom w:val="nil"/>
              <w:right w:val="nil"/>
            </w:tcBorders>
            <w:shd w:val="clear" w:color="auto" w:fill="auto"/>
            <w:vAlign w:val="bottom"/>
            <w:hideMark/>
          </w:tcPr>
          <w:p w14:paraId="3FCD8698"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1. ve 2. Aşama</w:t>
            </w:r>
          </w:p>
        </w:tc>
        <w:tc>
          <w:tcPr>
            <w:tcW w:w="1165" w:type="dxa"/>
            <w:tcBorders>
              <w:top w:val="nil"/>
              <w:left w:val="nil"/>
              <w:bottom w:val="nil"/>
              <w:right w:val="nil"/>
            </w:tcBorders>
            <w:vAlign w:val="center"/>
          </w:tcPr>
          <w:p w14:paraId="4AB1453E" w14:textId="572F7C69"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706.619.342</w:t>
            </w:r>
          </w:p>
        </w:tc>
        <w:tc>
          <w:tcPr>
            <w:tcW w:w="1157" w:type="dxa"/>
            <w:tcBorders>
              <w:top w:val="nil"/>
              <w:left w:val="nil"/>
              <w:bottom w:val="nil"/>
              <w:right w:val="nil"/>
            </w:tcBorders>
            <w:vAlign w:val="center"/>
          </w:tcPr>
          <w:p w14:paraId="0DBA3511" w14:textId="3AD76317"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1.654.843</w:t>
            </w:r>
          </w:p>
        </w:tc>
        <w:tc>
          <w:tcPr>
            <w:tcW w:w="1517" w:type="dxa"/>
            <w:tcBorders>
              <w:top w:val="nil"/>
              <w:left w:val="nil"/>
              <w:bottom w:val="nil"/>
              <w:right w:val="nil"/>
            </w:tcBorders>
            <w:shd w:val="clear" w:color="auto" w:fill="auto"/>
            <w:vAlign w:val="center"/>
          </w:tcPr>
          <w:p w14:paraId="3B9282FA" w14:textId="55777214"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521.654.913</w:t>
            </w:r>
          </w:p>
        </w:tc>
        <w:tc>
          <w:tcPr>
            <w:tcW w:w="1345" w:type="dxa"/>
            <w:tcBorders>
              <w:top w:val="nil"/>
              <w:left w:val="nil"/>
              <w:bottom w:val="nil"/>
              <w:right w:val="nil"/>
            </w:tcBorders>
            <w:shd w:val="clear" w:color="auto" w:fill="auto"/>
            <w:vAlign w:val="center"/>
          </w:tcPr>
          <w:p w14:paraId="7EB77454" w14:textId="249BD638"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1.426.515</w:t>
            </w:r>
          </w:p>
        </w:tc>
      </w:tr>
      <w:tr w:rsidR="00E94133" w:rsidRPr="00FB38E1" w14:paraId="6809692F" w14:textId="77777777" w:rsidTr="00CE3C4E">
        <w:trPr>
          <w:trHeight w:val="159"/>
        </w:trPr>
        <w:tc>
          <w:tcPr>
            <w:tcW w:w="4455" w:type="dxa"/>
            <w:tcBorders>
              <w:top w:val="nil"/>
              <w:left w:val="nil"/>
              <w:bottom w:val="single" w:sz="4" w:space="0" w:color="auto"/>
              <w:right w:val="nil"/>
            </w:tcBorders>
            <w:shd w:val="clear" w:color="auto" w:fill="auto"/>
            <w:vAlign w:val="bottom"/>
            <w:hideMark/>
          </w:tcPr>
          <w:p w14:paraId="386EED26"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3. Aşama</w:t>
            </w:r>
          </w:p>
        </w:tc>
        <w:tc>
          <w:tcPr>
            <w:tcW w:w="1165" w:type="dxa"/>
            <w:tcBorders>
              <w:top w:val="nil"/>
              <w:left w:val="nil"/>
              <w:bottom w:val="single" w:sz="4" w:space="0" w:color="auto"/>
              <w:right w:val="nil"/>
            </w:tcBorders>
            <w:vAlign w:val="center"/>
          </w:tcPr>
          <w:p w14:paraId="128C9C7B" w14:textId="6C25ED3E"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4.406.529</w:t>
            </w:r>
          </w:p>
        </w:tc>
        <w:tc>
          <w:tcPr>
            <w:tcW w:w="1157" w:type="dxa"/>
            <w:tcBorders>
              <w:top w:val="nil"/>
              <w:left w:val="nil"/>
              <w:bottom w:val="single" w:sz="4" w:space="0" w:color="auto"/>
              <w:right w:val="nil"/>
            </w:tcBorders>
            <w:vAlign w:val="center"/>
          </w:tcPr>
          <w:p w14:paraId="375BCDB6" w14:textId="7D626F4C" w:rsidR="00E94133" w:rsidRPr="00FB38E1" w:rsidRDefault="00E94133" w:rsidP="00E94133">
            <w:pPr>
              <w:spacing w:after="0"/>
              <w:jc w:val="right"/>
              <w:rPr>
                <w:rFonts w:ascii="Microsoft Sans Serif" w:hAnsi="Microsoft Sans Serif" w:cs="Microsoft Sans Serif"/>
                <w:color w:val="595959" w:themeColor="text1" w:themeTint="A6"/>
                <w:sz w:val="16"/>
                <w:szCs w:val="16"/>
              </w:rPr>
            </w:pPr>
            <w:r w:rsidRPr="00FB38E1">
              <w:rPr>
                <w:rFonts w:ascii="Microsoft Sans Serif" w:hAnsi="Microsoft Sans Serif" w:cs="Microsoft Sans Serif"/>
                <w:color w:val="404040"/>
                <w:sz w:val="16"/>
                <w:szCs w:val="16"/>
              </w:rPr>
              <w:t>3.425.435</w:t>
            </w:r>
          </w:p>
        </w:tc>
        <w:tc>
          <w:tcPr>
            <w:tcW w:w="1517" w:type="dxa"/>
            <w:tcBorders>
              <w:top w:val="nil"/>
              <w:left w:val="nil"/>
              <w:bottom w:val="single" w:sz="4" w:space="0" w:color="auto"/>
              <w:right w:val="nil"/>
            </w:tcBorders>
            <w:shd w:val="clear" w:color="auto" w:fill="auto"/>
            <w:vAlign w:val="center"/>
          </w:tcPr>
          <w:p w14:paraId="57EF8D57" w14:textId="0D7DF294"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3.683.586</w:t>
            </w:r>
          </w:p>
        </w:tc>
        <w:tc>
          <w:tcPr>
            <w:tcW w:w="1345" w:type="dxa"/>
            <w:tcBorders>
              <w:top w:val="nil"/>
              <w:left w:val="nil"/>
              <w:bottom w:val="single" w:sz="4" w:space="0" w:color="auto"/>
              <w:right w:val="nil"/>
            </w:tcBorders>
            <w:shd w:val="clear" w:color="auto" w:fill="auto"/>
            <w:vAlign w:val="center"/>
          </w:tcPr>
          <w:p w14:paraId="1C0E34B9" w14:textId="4695111C" w:rsidR="00E94133" w:rsidRPr="00FB38E1" w:rsidRDefault="00E94133" w:rsidP="00E94133">
            <w:pPr>
              <w:spacing w:after="0"/>
              <w:jc w:val="right"/>
              <w:rPr>
                <w:rFonts w:ascii="Microsoft Sans Serif" w:eastAsia="Times New Roman" w:hAnsi="Microsoft Sans Serif" w:cs="Microsoft Sans Serif"/>
                <w:color w:val="595959" w:themeColor="text1" w:themeTint="A6"/>
                <w:sz w:val="16"/>
                <w:szCs w:val="16"/>
                <w:lang w:eastAsia="tr-TR"/>
              </w:rPr>
            </w:pPr>
            <w:r w:rsidRPr="00FB38E1">
              <w:rPr>
                <w:rFonts w:ascii="Microsoft Sans Serif" w:hAnsi="Microsoft Sans Serif" w:cs="Microsoft Sans Serif"/>
                <w:color w:val="595959" w:themeColor="text1" w:themeTint="A6"/>
                <w:sz w:val="16"/>
                <w:szCs w:val="16"/>
              </w:rPr>
              <w:t>2.937.086</w:t>
            </w:r>
          </w:p>
        </w:tc>
      </w:tr>
      <w:tr w:rsidR="00E94133" w:rsidRPr="00FB38E1" w14:paraId="7CB68BD7" w14:textId="77777777" w:rsidTr="00CE3C4E">
        <w:trPr>
          <w:trHeight w:val="159"/>
        </w:trPr>
        <w:tc>
          <w:tcPr>
            <w:tcW w:w="4455" w:type="dxa"/>
            <w:tcBorders>
              <w:top w:val="single" w:sz="4" w:space="0" w:color="auto"/>
              <w:left w:val="nil"/>
              <w:bottom w:val="thickThinSmallGap" w:sz="24" w:space="0" w:color="auto"/>
              <w:right w:val="nil"/>
            </w:tcBorders>
            <w:shd w:val="clear" w:color="auto" w:fill="auto"/>
            <w:vAlign w:val="bottom"/>
            <w:hideMark/>
          </w:tcPr>
          <w:p w14:paraId="4C1510F5" w14:textId="77777777" w:rsidR="00E94133" w:rsidRPr="00FB38E1" w:rsidRDefault="00E94133" w:rsidP="00E94133">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Toplam</w:t>
            </w:r>
          </w:p>
        </w:tc>
        <w:tc>
          <w:tcPr>
            <w:tcW w:w="1165" w:type="dxa"/>
            <w:tcBorders>
              <w:top w:val="single" w:sz="4" w:space="0" w:color="auto"/>
              <w:left w:val="nil"/>
              <w:bottom w:val="thickThinSmallGap" w:sz="24" w:space="0" w:color="auto"/>
              <w:right w:val="nil"/>
            </w:tcBorders>
            <w:vAlign w:val="center"/>
          </w:tcPr>
          <w:p w14:paraId="5F385B85" w14:textId="00CAFD2E"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000000"/>
                <w:sz w:val="16"/>
                <w:szCs w:val="16"/>
              </w:rPr>
              <w:t>2.000.878.112</w:t>
            </w:r>
          </w:p>
        </w:tc>
        <w:tc>
          <w:tcPr>
            <w:tcW w:w="1157" w:type="dxa"/>
            <w:tcBorders>
              <w:top w:val="single" w:sz="4" w:space="0" w:color="auto"/>
              <w:left w:val="nil"/>
              <w:bottom w:val="thickThinSmallGap" w:sz="24" w:space="0" w:color="auto"/>
              <w:right w:val="nil"/>
            </w:tcBorders>
            <w:vAlign w:val="center"/>
          </w:tcPr>
          <w:p w14:paraId="101BF953" w14:textId="169E9AA0" w:rsidR="00E94133" w:rsidRPr="00FB38E1" w:rsidRDefault="00E94133" w:rsidP="00E94133">
            <w:pPr>
              <w:spacing w:after="0"/>
              <w:jc w:val="right"/>
              <w:rPr>
                <w:rFonts w:ascii="Microsoft Sans Serif" w:hAnsi="Microsoft Sans Serif" w:cs="Microsoft Sans Serif"/>
                <w:b/>
                <w:bCs/>
                <w:color w:val="595959" w:themeColor="text1" w:themeTint="A6"/>
                <w:sz w:val="16"/>
                <w:szCs w:val="16"/>
              </w:rPr>
            </w:pPr>
            <w:r w:rsidRPr="00FB38E1">
              <w:rPr>
                <w:rFonts w:ascii="Microsoft Sans Serif" w:hAnsi="Microsoft Sans Serif" w:cs="Microsoft Sans Serif"/>
                <w:b/>
                <w:bCs/>
                <w:color w:val="000000"/>
                <w:sz w:val="16"/>
                <w:szCs w:val="16"/>
              </w:rPr>
              <w:t>41.186.277</w:t>
            </w:r>
          </w:p>
        </w:tc>
        <w:tc>
          <w:tcPr>
            <w:tcW w:w="1517" w:type="dxa"/>
            <w:tcBorders>
              <w:top w:val="single" w:sz="4" w:space="0" w:color="auto"/>
              <w:left w:val="nil"/>
              <w:bottom w:val="thickThinSmallGap" w:sz="24" w:space="0" w:color="auto"/>
              <w:right w:val="nil"/>
            </w:tcBorders>
            <w:shd w:val="clear" w:color="auto" w:fill="auto"/>
            <w:vAlign w:val="center"/>
          </w:tcPr>
          <w:p w14:paraId="1C38B03C" w14:textId="1D5F13A1"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1.486.884.408</w:t>
            </w:r>
          </w:p>
        </w:tc>
        <w:tc>
          <w:tcPr>
            <w:tcW w:w="1345" w:type="dxa"/>
            <w:tcBorders>
              <w:top w:val="single" w:sz="4" w:space="0" w:color="auto"/>
              <w:left w:val="nil"/>
              <w:bottom w:val="thickThinSmallGap" w:sz="24" w:space="0" w:color="auto"/>
              <w:right w:val="nil"/>
            </w:tcBorders>
            <w:shd w:val="clear" w:color="auto" w:fill="auto"/>
            <w:vAlign w:val="center"/>
          </w:tcPr>
          <w:p w14:paraId="45CDA16C" w14:textId="5F49081B" w:rsidR="00E94133" w:rsidRPr="00FB38E1" w:rsidRDefault="00E94133" w:rsidP="00E94133">
            <w:pPr>
              <w:spacing w:after="0"/>
              <w:jc w:val="right"/>
              <w:rPr>
                <w:rFonts w:ascii="Microsoft Sans Serif" w:eastAsia="Times New Roman" w:hAnsi="Microsoft Sans Serif" w:cs="Microsoft Sans Serif"/>
                <w:b/>
                <w:bCs/>
                <w:color w:val="595959" w:themeColor="text1" w:themeTint="A6"/>
                <w:sz w:val="16"/>
                <w:szCs w:val="16"/>
                <w:lang w:eastAsia="tr-TR"/>
              </w:rPr>
            </w:pPr>
            <w:r w:rsidRPr="00FB38E1">
              <w:rPr>
                <w:rFonts w:ascii="Microsoft Sans Serif" w:hAnsi="Microsoft Sans Serif" w:cs="Microsoft Sans Serif"/>
                <w:b/>
                <w:bCs/>
                <w:color w:val="595959" w:themeColor="text1" w:themeTint="A6"/>
                <w:sz w:val="16"/>
                <w:szCs w:val="16"/>
              </w:rPr>
              <w:t>39.336.402</w:t>
            </w:r>
          </w:p>
        </w:tc>
      </w:tr>
    </w:tbl>
    <w:bookmarkEnd w:id="25"/>
    <w:p w14:paraId="021FAE9F" w14:textId="77777777" w:rsidR="00D1663E" w:rsidRPr="00FB38E1" w:rsidRDefault="00D1663E" w:rsidP="00364B59">
      <w:pPr>
        <w:pStyle w:val="ListParagraph"/>
        <w:numPr>
          <w:ilvl w:val="0"/>
          <w:numId w:val="51"/>
        </w:numPr>
        <w:spacing w:before="240" w:after="120" w:line="240" w:lineRule="exact"/>
        <w:ind w:left="0" w:hanging="567"/>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t>Krediler için ayrılan beklenen zarar karşılıklarına ilişkin bilgiler</w:t>
      </w:r>
    </w:p>
    <w:tbl>
      <w:tblPr>
        <w:tblW w:w="9639" w:type="dxa"/>
        <w:tblCellMar>
          <w:left w:w="70" w:type="dxa"/>
          <w:right w:w="70" w:type="dxa"/>
        </w:tblCellMar>
        <w:tblLook w:val="04A0" w:firstRow="1" w:lastRow="0" w:firstColumn="1" w:lastColumn="0" w:noHBand="0" w:noVBand="1"/>
      </w:tblPr>
      <w:tblGrid>
        <w:gridCol w:w="4809"/>
        <w:gridCol w:w="1295"/>
        <w:gridCol w:w="1186"/>
        <w:gridCol w:w="1054"/>
        <w:gridCol w:w="1295"/>
      </w:tblGrid>
      <w:tr w:rsidR="00D1663E" w:rsidRPr="00FB38E1" w14:paraId="4D6A7E33" w14:textId="77777777" w:rsidTr="00836EF2">
        <w:trPr>
          <w:trHeight w:val="117"/>
        </w:trPr>
        <w:tc>
          <w:tcPr>
            <w:tcW w:w="4809" w:type="dxa"/>
            <w:tcBorders>
              <w:top w:val="thinThickSmallGap" w:sz="24" w:space="0" w:color="auto"/>
              <w:left w:val="nil"/>
              <w:bottom w:val="single" w:sz="8" w:space="0" w:color="auto"/>
              <w:right w:val="nil"/>
            </w:tcBorders>
            <w:shd w:val="clear" w:color="auto" w:fill="auto"/>
            <w:vAlign w:val="bottom"/>
            <w:hideMark/>
          </w:tcPr>
          <w:p w14:paraId="147AB273" w14:textId="77777777" w:rsidR="00D1663E" w:rsidRPr="00FB38E1" w:rsidRDefault="00D1663E" w:rsidP="00836EF2">
            <w:pPr>
              <w:spacing w:after="0"/>
              <w:jc w:val="left"/>
              <w:rPr>
                <w:rFonts w:ascii="Microsoft Sans Serif" w:eastAsia="Times New Roman" w:hAnsi="Microsoft Sans Serif" w:cs="Microsoft Sans Serif"/>
                <w:b/>
                <w:bCs/>
                <w:color w:val="000000"/>
                <w:sz w:val="16"/>
                <w:szCs w:val="16"/>
                <w:lang w:eastAsia="tr-TR"/>
              </w:rPr>
            </w:pPr>
            <w:bookmarkStart w:id="26" w:name="_Hlk32668351"/>
            <w:r w:rsidRPr="00FB38E1">
              <w:rPr>
                <w:rFonts w:ascii="Microsoft Sans Serif" w:eastAsia="Times New Roman" w:hAnsi="Microsoft Sans Serif" w:cs="Microsoft Sans Serif"/>
                <w:b/>
                <w:bCs/>
                <w:color w:val="000000"/>
                <w:sz w:val="16"/>
                <w:szCs w:val="16"/>
                <w:lang w:eastAsia="tr-TR"/>
              </w:rPr>
              <w:t> </w:t>
            </w:r>
          </w:p>
        </w:tc>
        <w:tc>
          <w:tcPr>
            <w:tcW w:w="1295" w:type="dxa"/>
            <w:tcBorders>
              <w:top w:val="thinThickSmallGap" w:sz="24" w:space="0" w:color="auto"/>
              <w:left w:val="nil"/>
              <w:bottom w:val="single" w:sz="8" w:space="0" w:color="auto"/>
              <w:right w:val="nil"/>
            </w:tcBorders>
            <w:shd w:val="clear" w:color="auto" w:fill="auto"/>
            <w:vAlign w:val="bottom"/>
            <w:hideMark/>
          </w:tcPr>
          <w:p w14:paraId="421CB175"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1. Aşama</w:t>
            </w:r>
          </w:p>
        </w:tc>
        <w:tc>
          <w:tcPr>
            <w:tcW w:w="1186" w:type="dxa"/>
            <w:tcBorders>
              <w:top w:val="thinThickSmallGap" w:sz="24" w:space="0" w:color="auto"/>
              <w:left w:val="nil"/>
              <w:bottom w:val="single" w:sz="8" w:space="0" w:color="auto"/>
              <w:right w:val="nil"/>
            </w:tcBorders>
            <w:shd w:val="clear" w:color="auto" w:fill="auto"/>
            <w:vAlign w:val="bottom"/>
            <w:hideMark/>
          </w:tcPr>
          <w:p w14:paraId="61D0B184"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2. Aşama</w:t>
            </w:r>
          </w:p>
        </w:tc>
        <w:tc>
          <w:tcPr>
            <w:tcW w:w="1054" w:type="dxa"/>
            <w:tcBorders>
              <w:top w:val="thinThickSmallGap" w:sz="24" w:space="0" w:color="auto"/>
              <w:left w:val="nil"/>
              <w:bottom w:val="single" w:sz="8" w:space="0" w:color="auto"/>
              <w:right w:val="nil"/>
            </w:tcBorders>
            <w:shd w:val="clear" w:color="auto" w:fill="auto"/>
            <w:vAlign w:val="bottom"/>
            <w:hideMark/>
          </w:tcPr>
          <w:p w14:paraId="1E36F0E4"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3.Aşama</w:t>
            </w:r>
          </w:p>
        </w:tc>
        <w:tc>
          <w:tcPr>
            <w:tcW w:w="1295" w:type="dxa"/>
            <w:tcBorders>
              <w:top w:val="thinThickSmallGap" w:sz="24" w:space="0" w:color="auto"/>
              <w:left w:val="nil"/>
              <w:bottom w:val="single" w:sz="8" w:space="0" w:color="auto"/>
              <w:right w:val="nil"/>
            </w:tcBorders>
            <w:shd w:val="clear" w:color="auto" w:fill="auto"/>
            <w:vAlign w:val="bottom"/>
            <w:hideMark/>
          </w:tcPr>
          <w:p w14:paraId="3CC42FCC"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Toplam</w:t>
            </w:r>
          </w:p>
        </w:tc>
      </w:tr>
      <w:tr w:rsidR="00B44925" w:rsidRPr="00FB38E1" w14:paraId="0BD13C4E" w14:textId="77777777" w:rsidTr="00836EF2">
        <w:trPr>
          <w:trHeight w:val="191"/>
        </w:trPr>
        <w:tc>
          <w:tcPr>
            <w:tcW w:w="4809" w:type="dxa"/>
            <w:tcBorders>
              <w:top w:val="nil"/>
              <w:left w:val="nil"/>
              <w:bottom w:val="nil"/>
              <w:right w:val="nil"/>
            </w:tcBorders>
            <w:shd w:val="clear" w:color="auto" w:fill="auto"/>
            <w:vAlign w:val="bottom"/>
            <w:hideMark/>
          </w:tcPr>
          <w:p w14:paraId="0978433F" w14:textId="480BB4AA" w:rsidR="00B44925" w:rsidRPr="00FB38E1" w:rsidRDefault="00B44925" w:rsidP="00B44925">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Dönem Başı (1 Ocak 2024)</w:t>
            </w:r>
          </w:p>
        </w:tc>
        <w:tc>
          <w:tcPr>
            <w:tcW w:w="1295" w:type="dxa"/>
            <w:tcBorders>
              <w:top w:val="nil"/>
              <w:left w:val="nil"/>
              <w:bottom w:val="nil"/>
              <w:right w:val="nil"/>
            </w:tcBorders>
            <w:shd w:val="clear" w:color="auto" w:fill="auto"/>
            <w:vAlign w:val="center"/>
            <w:hideMark/>
          </w:tcPr>
          <w:p w14:paraId="65B87DC2" w14:textId="5B61A2AF"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6.341.630</w:t>
            </w:r>
          </w:p>
        </w:tc>
        <w:tc>
          <w:tcPr>
            <w:tcW w:w="1186" w:type="dxa"/>
            <w:tcBorders>
              <w:top w:val="nil"/>
              <w:left w:val="nil"/>
              <w:bottom w:val="nil"/>
              <w:right w:val="nil"/>
            </w:tcBorders>
            <w:shd w:val="clear" w:color="auto" w:fill="auto"/>
            <w:vAlign w:val="center"/>
            <w:hideMark/>
          </w:tcPr>
          <w:p w14:paraId="71BD6C51" w14:textId="78516271"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14.180.707</w:t>
            </w:r>
          </w:p>
        </w:tc>
        <w:tc>
          <w:tcPr>
            <w:tcW w:w="1054" w:type="dxa"/>
            <w:tcBorders>
              <w:top w:val="nil"/>
              <w:left w:val="nil"/>
              <w:bottom w:val="nil"/>
              <w:right w:val="nil"/>
            </w:tcBorders>
            <w:shd w:val="clear" w:color="auto" w:fill="auto"/>
            <w:vAlign w:val="center"/>
            <w:hideMark/>
          </w:tcPr>
          <w:p w14:paraId="0AF14E66" w14:textId="121AAF81"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14.378.131</w:t>
            </w:r>
          </w:p>
        </w:tc>
        <w:tc>
          <w:tcPr>
            <w:tcW w:w="1295" w:type="dxa"/>
            <w:tcBorders>
              <w:top w:val="nil"/>
              <w:left w:val="nil"/>
              <w:bottom w:val="nil"/>
              <w:right w:val="nil"/>
            </w:tcBorders>
            <w:shd w:val="clear" w:color="auto" w:fill="auto"/>
            <w:vAlign w:val="center"/>
            <w:hideMark/>
          </w:tcPr>
          <w:p w14:paraId="665952FA" w14:textId="32274960"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34.900.468</w:t>
            </w:r>
          </w:p>
        </w:tc>
      </w:tr>
      <w:tr w:rsidR="00B44925" w:rsidRPr="00FB38E1" w14:paraId="24B29882" w14:textId="77777777" w:rsidTr="00836EF2">
        <w:trPr>
          <w:trHeight w:val="143"/>
        </w:trPr>
        <w:tc>
          <w:tcPr>
            <w:tcW w:w="4809" w:type="dxa"/>
            <w:tcBorders>
              <w:top w:val="nil"/>
              <w:left w:val="nil"/>
              <w:bottom w:val="nil"/>
              <w:right w:val="nil"/>
            </w:tcBorders>
            <w:shd w:val="clear" w:color="auto" w:fill="auto"/>
            <w:vAlign w:val="bottom"/>
            <w:hideMark/>
          </w:tcPr>
          <w:p w14:paraId="75033CFF" w14:textId="77777777" w:rsidR="00B44925" w:rsidRPr="00FB38E1" w:rsidRDefault="00B44925" w:rsidP="00B44925">
            <w:pPr>
              <w:spacing w:after="0"/>
              <w:jc w:val="left"/>
              <w:rPr>
                <w:rFonts w:ascii="Microsoft Sans Serif" w:eastAsia="Times New Roman" w:hAnsi="Microsoft Sans Serif" w:cs="Microsoft Sans Serif"/>
                <w:b/>
                <w:bCs/>
                <w:color w:val="404040"/>
                <w:sz w:val="16"/>
                <w:szCs w:val="16"/>
                <w:lang w:eastAsia="tr-TR"/>
              </w:rPr>
            </w:pPr>
            <w:r w:rsidRPr="00FB38E1">
              <w:rPr>
                <w:rFonts w:ascii="Microsoft Sans Serif" w:eastAsia="Times New Roman" w:hAnsi="Microsoft Sans Serif" w:cs="Microsoft Sans Serif"/>
                <w:b/>
                <w:bCs/>
                <w:color w:val="404040"/>
                <w:sz w:val="16"/>
                <w:szCs w:val="16"/>
                <w:lang w:eastAsia="tr-TR"/>
              </w:rPr>
              <w:t>Transferler</w:t>
            </w:r>
          </w:p>
        </w:tc>
        <w:tc>
          <w:tcPr>
            <w:tcW w:w="1295" w:type="dxa"/>
            <w:tcBorders>
              <w:top w:val="nil"/>
              <w:left w:val="nil"/>
              <w:bottom w:val="nil"/>
              <w:right w:val="nil"/>
            </w:tcBorders>
            <w:shd w:val="clear" w:color="auto" w:fill="auto"/>
            <w:vAlign w:val="center"/>
            <w:hideMark/>
          </w:tcPr>
          <w:p w14:paraId="1847F97A" w14:textId="534E6DB8"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(80.516)</w:t>
            </w:r>
          </w:p>
        </w:tc>
        <w:tc>
          <w:tcPr>
            <w:tcW w:w="1186" w:type="dxa"/>
            <w:tcBorders>
              <w:top w:val="nil"/>
              <w:left w:val="nil"/>
              <w:bottom w:val="nil"/>
              <w:right w:val="nil"/>
            </w:tcBorders>
            <w:shd w:val="clear" w:color="auto" w:fill="auto"/>
            <w:vAlign w:val="center"/>
            <w:hideMark/>
          </w:tcPr>
          <w:p w14:paraId="1C3A7418" w14:textId="1ADC7CE5"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183.802</w:t>
            </w:r>
          </w:p>
        </w:tc>
        <w:tc>
          <w:tcPr>
            <w:tcW w:w="1054" w:type="dxa"/>
            <w:tcBorders>
              <w:top w:val="nil"/>
              <w:left w:val="nil"/>
              <w:bottom w:val="nil"/>
              <w:right w:val="nil"/>
            </w:tcBorders>
            <w:shd w:val="clear" w:color="auto" w:fill="auto"/>
            <w:vAlign w:val="center"/>
            <w:hideMark/>
          </w:tcPr>
          <w:p w14:paraId="09848E18" w14:textId="5B819602"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(103.286)</w:t>
            </w:r>
          </w:p>
        </w:tc>
        <w:tc>
          <w:tcPr>
            <w:tcW w:w="1295" w:type="dxa"/>
            <w:tcBorders>
              <w:top w:val="nil"/>
              <w:left w:val="nil"/>
              <w:bottom w:val="nil"/>
              <w:right w:val="nil"/>
            </w:tcBorders>
            <w:shd w:val="clear" w:color="auto" w:fill="auto"/>
            <w:vAlign w:val="center"/>
            <w:hideMark/>
          </w:tcPr>
          <w:p w14:paraId="3D4BEC3C" w14:textId="503569EB"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w:t>
            </w:r>
          </w:p>
        </w:tc>
      </w:tr>
      <w:tr w:rsidR="00B44925" w:rsidRPr="00FB38E1" w14:paraId="37C44D9C" w14:textId="77777777" w:rsidTr="00836EF2">
        <w:trPr>
          <w:trHeight w:val="104"/>
        </w:trPr>
        <w:tc>
          <w:tcPr>
            <w:tcW w:w="4809" w:type="dxa"/>
            <w:tcBorders>
              <w:top w:val="nil"/>
              <w:left w:val="nil"/>
              <w:bottom w:val="nil"/>
              <w:right w:val="nil"/>
            </w:tcBorders>
            <w:shd w:val="clear" w:color="auto" w:fill="auto"/>
            <w:vAlign w:val="bottom"/>
            <w:hideMark/>
          </w:tcPr>
          <w:p w14:paraId="72917D7A" w14:textId="77777777" w:rsidR="00B44925" w:rsidRPr="00FB38E1" w:rsidRDefault="00B44925" w:rsidP="00B44925">
            <w:pPr>
              <w:spacing w:after="0"/>
              <w:ind w:firstLineChars="100" w:firstLine="16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 xml:space="preserve">1. Aşamaya </w:t>
            </w:r>
          </w:p>
        </w:tc>
        <w:tc>
          <w:tcPr>
            <w:tcW w:w="1295" w:type="dxa"/>
            <w:tcBorders>
              <w:top w:val="nil"/>
              <w:left w:val="nil"/>
              <w:bottom w:val="nil"/>
              <w:right w:val="nil"/>
            </w:tcBorders>
            <w:shd w:val="clear" w:color="auto" w:fill="auto"/>
            <w:vAlign w:val="center"/>
            <w:hideMark/>
          </w:tcPr>
          <w:p w14:paraId="5287B1BF" w14:textId="5D298B6D"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2.400.718</w:t>
            </w:r>
          </w:p>
        </w:tc>
        <w:tc>
          <w:tcPr>
            <w:tcW w:w="1186" w:type="dxa"/>
            <w:tcBorders>
              <w:top w:val="nil"/>
              <w:left w:val="nil"/>
              <w:bottom w:val="nil"/>
              <w:right w:val="nil"/>
            </w:tcBorders>
            <w:shd w:val="clear" w:color="auto" w:fill="auto"/>
            <w:vAlign w:val="center"/>
            <w:hideMark/>
          </w:tcPr>
          <w:p w14:paraId="3ABAD31D" w14:textId="5261742A"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(2.400.718)</w:t>
            </w:r>
          </w:p>
        </w:tc>
        <w:tc>
          <w:tcPr>
            <w:tcW w:w="1054" w:type="dxa"/>
            <w:tcBorders>
              <w:top w:val="nil"/>
              <w:left w:val="nil"/>
              <w:bottom w:val="nil"/>
              <w:right w:val="nil"/>
            </w:tcBorders>
            <w:shd w:val="clear" w:color="auto" w:fill="auto"/>
            <w:vAlign w:val="center"/>
            <w:hideMark/>
          </w:tcPr>
          <w:p w14:paraId="2C41DA80" w14:textId="78F26FFD"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w:t>
            </w:r>
          </w:p>
        </w:tc>
        <w:tc>
          <w:tcPr>
            <w:tcW w:w="1295" w:type="dxa"/>
            <w:tcBorders>
              <w:top w:val="nil"/>
              <w:left w:val="nil"/>
              <w:bottom w:val="nil"/>
              <w:right w:val="nil"/>
            </w:tcBorders>
            <w:shd w:val="clear" w:color="auto" w:fill="auto"/>
            <w:vAlign w:val="center"/>
            <w:hideMark/>
          </w:tcPr>
          <w:p w14:paraId="7568279B" w14:textId="4C706C1D"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w:t>
            </w:r>
          </w:p>
        </w:tc>
      </w:tr>
      <w:tr w:rsidR="00B44925" w:rsidRPr="00FB38E1" w14:paraId="37510DD2" w14:textId="77777777" w:rsidTr="00836EF2">
        <w:trPr>
          <w:trHeight w:val="63"/>
        </w:trPr>
        <w:tc>
          <w:tcPr>
            <w:tcW w:w="4809" w:type="dxa"/>
            <w:tcBorders>
              <w:top w:val="nil"/>
              <w:left w:val="nil"/>
              <w:bottom w:val="nil"/>
              <w:right w:val="nil"/>
            </w:tcBorders>
            <w:shd w:val="clear" w:color="auto" w:fill="auto"/>
            <w:vAlign w:val="bottom"/>
            <w:hideMark/>
          </w:tcPr>
          <w:p w14:paraId="00E22D85" w14:textId="77777777" w:rsidR="00B44925" w:rsidRPr="00FB38E1" w:rsidRDefault="00B44925" w:rsidP="00B44925">
            <w:pPr>
              <w:spacing w:after="0"/>
              <w:ind w:firstLineChars="100" w:firstLine="16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 xml:space="preserve">2. Aşamaya </w:t>
            </w:r>
          </w:p>
        </w:tc>
        <w:tc>
          <w:tcPr>
            <w:tcW w:w="1295" w:type="dxa"/>
            <w:tcBorders>
              <w:top w:val="nil"/>
              <w:left w:val="nil"/>
              <w:bottom w:val="nil"/>
              <w:right w:val="nil"/>
            </w:tcBorders>
            <w:shd w:val="clear" w:color="auto" w:fill="auto"/>
            <w:vAlign w:val="center"/>
            <w:hideMark/>
          </w:tcPr>
          <w:p w14:paraId="7FF9049B" w14:textId="14995821"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(2.309.371)</w:t>
            </w:r>
          </w:p>
        </w:tc>
        <w:tc>
          <w:tcPr>
            <w:tcW w:w="1186" w:type="dxa"/>
            <w:tcBorders>
              <w:top w:val="nil"/>
              <w:left w:val="nil"/>
              <w:bottom w:val="nil"/>
              <w:right w:val="nil"/>
            </w:tcBorders>
            <w:shd w:val="clear" w:color="auto" w:fill="auto"/>
            <w:vAlign w:val="center"/>
            <w:hideMark/>
          </w:tcPr>
          <w:p w14:paraId="0F329E7B" w14:textId="1AED7E30"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4.373.242</w:t>
            </w:r>
          </w:p>
        </w:tc>
        <w:tc>
          <w:tcPr>
            <w:tcW w:w="1054" w:type="dxa"/>
            <w:tcBorders>
              <w:top w:val="nil"/>
              <w:left w:val="nil"/>
              <w:bottom w:val="nil"/>
              <w:right w:val="nil"/>
            </w:tcBorders>
            <w:shd w:val="clear" w:color="auto" w:fill="auto"/>
            <w:vAlign w:val="center"/>
            <w:hideMark/>
          </w:tcPr>
          <w:p w14:paraId="23F6908E" w14:textId="634F32B4"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(2.063.871)</w:t>
            </w:r>
          </w:p>
        </w:tc>
        <w:tc>
          <w:tcPr>
            <w:tcW w:w="1295" w:type="dxa"/>
            <w:tcBorders>
              <w:top w:val="nil"/>
              <w:left w:val="nil"/>
              <w:bottom w:val="nil"/>
              <w:right w:val="nil"/>
            </w:tcBorders>
            <w:shd w:val="clear" w:color="auto" w:fill="auto"/>
            <w:vAlign w:val="center"/>
            <w:hideMark/>
          </w:tcPr>
          <w:p w14:paraId="45145015" w14:textId="214AEE5B"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w:t>
            </w:r>
          </w:p>
        </w:tc>
      </w:tr>
      <w:tr w:rsidR="00B44925" w:rsidRPr="00FB38E1" w14:paraId="04DE8792" w14:textId="77777777" w:rsidTr="00836EF2">
        <w:trPr>
          <w:trHeight w:val="165"/>
        </w:trPr>
        <w:tc>
          <w:tcPr>
            <w:tcW w:w="4809" w:type="dxa"/>
            <w:tcBorders>
              <w:top w:val="nil"/>
              <w:left w:val="nil"/>
              <w:bottom w:val="nil"/>
              <w:right w:val="nil"/>
            </w:tcBorders>
            <w:shd w:val="clear" w:color="auto" w:fill="auto"/>
            <w:vAlign w:val="bottom"/>
            <w:hideMark/>
          </w:tcPr>
          <w:p w14:paraId="3B8C031D" w14:textId="77777777" w:rsidR="00B44925" w:rsidRPr="00FB38E1" w:rsidRDefault="00B44925" w:rsidP="00B44925">
            <w:pPr>
              <w:spacing w:after="0"/>
              <w:ind w:firstLineChars="100" w:firstLine="16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 xml:space="preserve">3. Aşamaya </w:t>
            </w:r>
          </w:p>
        </w:tc>
        <w:tc>
          <w:tcPr>
            <w:tcW w:w="1295" w:type="dxa"/>
            <w:tcBorders>
              <w:top w:val="nil"/>
              <w:left w:val="nil"/>
              <w:bottom w:val="nil"/>
              <w:right w:val="nil"/>
            </w:tcBorders>
            <w:shd w:val="clear" w:color="auto" w:fill="auto"/>
            <w:vAlign w:val="center"/>
            <w:hideMark/>
          </w:tcPr>
          <w:p w14:paraId="05603080" w14:textId="69093B80"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(171.863)</w:t>
            </w:r>
          </w:p>
        </w:tc>
        <w:tc>
          <w:tcPr>
            <w:tcW w:w="1186" w:type="dxa"/>
            <w:tcBorders>
              <w:top w:val="nil"/>
              <w:left w:val="nil"/>
              <w:bottom w:val="nil"/>
              <w:right w:val="nil"/>
            </w:tcBorders>
            <w:shd w:val="clear" w:color="auto" w:fill="auto"/>
            <w:vAlign w:val="center"/>
            <w:hideMark/>
          </w:tcPr>
          <w:p w14:paraId="5631647B" w14:textId="09B19D1E"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(1.788.722)</w:t>
            </w:r>
          </w:p>
        </w:tc>
        <w:tc>
          <w:tcPr>
            <w:tcW w:w="1054" w:type="dxa"/>
            <w:tcBorders>
              <w:top w:val="nil"/>
              <w:left w:val="nil"/>
              <w:bottom w:val="nil"/>
              <w:right w:val="nil"/>
            </w:tcBorders>
            <w:shd w:val="clear" w:color="auto" w:fill="auto"/>
            <w:vAlign w:val="center"/>
            <w:hideMark/>
          </w:tcPr>
          <w:p w14:paraId="3FE8B58D" w14:textId="610F01EC"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1.960.585</w:t>
            </w:r>
          </w:p>
        </w:tc>
        <w:tc>
          <w:tcPr>
            <w:tcW w:w="1295" w:type="dxa"/>
            <w:tcBorders>
              <w:top w:val="nil"/>
              <w:left w:val="nil"/>
              <w:bottom w:val="nil"/>
              <w:right w:val="nil"/>
            </w:tcBorders>
            <w:shd w:val="clear" w:color="auto" w:fill="auto"/>
            <w:vAlign w:val="center"/>
            <w:hideMark/>
          </w:tcPr>
          <w:p w14:paraId="5D89A728" w14:textId="2BB198F0"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w:t>
            </w:r>
          </w:p>
        </w:tc>
      </w:tr>
      <w:tr w:rsidR="00B44925" w:rsidRPr="00FB38E1" w14:paraId="5130152C" w14:textId="77777777" w:rsidTr="00836EF2">
        <w:trPr>
          <w:trHeight w:val="140"/>
        </w:trPr>
        <w:tc>
          <w:tcPr>
            <w:tcW w:w="4809" w:type="dxa"/>
            <w:tcBorders>
              <w:top w:val="nil"/>
              <w:left w:val="nil"/>
              <w:bottom w:val="nil"/>
              <w:right w:val="nil"/>
            </w:tcBorders>
            <w:shd w:val="clear" w:color="auto" w:fill="auto"/>
            <w:vAlign w:val="bottom"/>
            <w:hideMark/>
          </w:tcPr>
          <w:p w14:paraId="68039DF0" w14:textId="77777777" w:rsidR="00B44925" w:rsidRPr="00FB38E1" w:rsidRDefault="00B44925" w:rsidP="00B44925">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Dönem içinde eklenen krediler</w:t>
            </w:r>
          </w:p>
        </w:tc>
        <w:tc>
          <w:tcPr>
            <w:tcW w:w="1295" w:type="dxa"/>
            <w:tcBorders>
              <w:top w:val="nil"/>
              <w:left w:val="nil"/>
              <w:bottom w:val="nil"/>
              <w:right w:val="nil"/>
            </w:tcBorders>
            <w:shd w:val="clear" w:color="auto" w:fill="auto"/>
            <w:vAlign w:val="center"/>
            <w:hideMark/>
          </w:tcPr>
          <w:p w14:paraId="6DCEFF57" w14:textId="0BE300F7"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884.409</w:t>
            </w:r>
          </w:p>
        </w:tc>
        <w:tc>
          <w:tcPr>
            <w:tcW w:w="1186" w:type="dxa"/>
            <w:tcBorders>
              <w:top w:val="nil"/>
              <w:left w:val="nil"/>
              <w:bottom w:val="nil"/>
              <w:right w:val="nil"/>
            </w:tcBorders>
            <w:shd w:val="clear" w:color="auto" w:fill="auto"/>
            <w:vAlign w:val="center"/>
            <w:hideMark/>
          </w:tcPr>
          <w:p w14:paraId="39268FD0" w14:textId="47C8D21A"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678.413</w:t>
            </w:r>
          </w:p>
        </w:tc>
        <w:tc>
          <w:tcPr>
            <w:tcW w:w="1054" w:type="dxa"/>
            <w:tcBorders>
              <w:top w:val="nil"/>
              <w:left w:val="nil"/>
              <w:bottom w:val="nil"/>
              <w:right w:val="nil"/>
            </w:tcBorders>
            <w:shd w:val="clear" w:color="auto" w:fill="auto"/>
            <w:vAlign w:val="center"/>
            <w:hideMark/>
          </w:tcPr>
          <w:p w14:paraId="1767E4EC" w14:textId="38C85801"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2.053.242</w:t>
            </w:r>
          </w:p>
        </w:tc>
        <w:tc>
          <w:tcPr>
            <w:tcW w:w="1295" w:type="dxa"/>
            <w:tcBorders>
              <w:top w:val="nil"/>
              <w:left w:val="nil"/>
              <w:bottom w:val="nil"/>
              <w:right w:val="nil"/>
            </w:tcBorders>
            <w:shd w:val="clear" w:color="auto" w:fill="auto"/>
            <w:vAlign w:val="center"/>
            <w:hideMark/>
          </w:tcPr>
          <w:p w14:paraId="07C5FAB8" w14:textId="02CDB7AC"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3.616.064</w:t>
            </w:r>
          </w:p>
        </w:tc>
      </w:tr>
      <w:tr w:rsidR="00B44925" w:rsidRPr="00FB38E1" w14:paraId="767A81C3" w14:textId="77777777" w:rsidTr="00836EF2">
        <w:trPr>
          <w:trHeight w:val="99"/>
        </w:trPr>
        <w:tc>
          <w:tcPr>
            <w:tcW w:w="4809" w:type="dxa"/>
            <w:tcBorders>
              <w:top w:val="nil"/>
              <w:left w:val="nil"/>
              <w:bottom w:val="nil"/>
              <w:right w:val="nil"/>
            </w:tcBorders>
            <w:shd w:val="clear" w:color="auto" w:fill="auto"/>
            <w:vAlign w:val="bottom"/>
            <w:hideMark/>
          </w:tcPr>
          <w:p w14:paraId="3CA918E5" w14:textId="77777777" w:rsidR="00B44925" w:rsidRPr="00FB38E1" w:rsidRDefault="00B44925" w:rsidP="00B44925">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Dönem içinde kapanan krediler</w:t>
            </w:r>
          </w:p>
        </w:tc>
        <w:tc>
          <w:tcPr>
            <w:tcW w:w="1295" w:type="dxa"/>
            <w:tcBorders>
              <w:top w:val="nil"/>
              <w:left w:val="nil"/>
              <w:bottom w:val="nil"/>
              <w:right w:val="nil"/>
            </w:tcBorders>
            <w:shd w:val="clear" w:color="auto" w:fill="auto"/>
            <w:vAlign w:val="center"/>
            <w:hideMark/>
          </w:tcPr>
          <w:p w14:paraId="3E2CCFD9" w14:textId="4848EF7E"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(5.205.347)</w:t>
            </w:r>
          </w:p>
        </w:tc>
        <w:tc>
          <w:tcPr>
            <w:tcW w:w="1186" w:type="dxa"/>
            <w:tcBorders>
              <w:top w:val="nil"/>
              <w:left w:val="nil"/>
              <w:bottom w:val="nil"/>
              <w:right w:val="nil"/>
            </w:tcBorders>
            <w:shd w:val="clear" w:color="auto" w:fill="auto"/>
            <w:vAlign w:val="center"/>
            <w:hideMark/>
          </w:tcPr>
          <w:p w14:paraId="582E9CAF" w14:textId="1768C019"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(5.945.838)</w:t>
            </w:r>
          </w:p>
        </w:tc>
        <w:tc>
          <w:tcPr>
            <w:tcW w:w="1054" w:type="dxa"/>
            <w:tcBorders>
              <w:top w:val="nil"/>
              <w:left w:val="nil"/>
              <w:bottom w:val="nil"/>
              <w:right w:val="nil"/>
            </w:tcBorders>
            <w:shd w:val="clear" w:color="auto" w:fill="auto"/>
            <w:vAlign w:val="center"/>
            <w:hideMark/>
          </w:tcPr>
          <w:p w14:paraId="0F3DD226" w14:textId="57291394"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(3.053.411)</w:t>
            </w:r>
          </w:p>
        </w:tc>
        <w:tc>
          <w:tcPr>
            <w:tcW w:w="1295" w:type="dxa"/>
            <w:tcBorders>
              <w:top w:val="nil"/>
              <w:left w:val="nil"/>
              <w:bottom w:val="nil"/>
              <w:right w:val="nil"/>
            </w:tcBorders>
            <w:shd w:val="clear" w:color="auto" w:fill="auto"/>
            <w:vAlign w:val="center"/>
            <w:hideMark/>
          </w:tcPr>
          <w:p w14:paraId="51B3B6D9" w14:textId="1AACD0C8"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(14.204.596)</w:t>
            </w:r>
          </w:p>
        </w:tc>
      </w:tr>
      <w:tr w:rsidR="00B44925" w:rsidRPr="00FB38E1" w14:paraId="33C28211" w14:textId="77777777" w:rsidTr="00836EF2">
        <w:trPr>
          <w:trHeight w:val="131"/>
        </w:trPr>
        <w:tc>
          <w:tcPr>
            <w:tcW w:w="4809" w:type="dxa"/>
            <w:tcBorders>
              <w:top w:val="nil"/>
              <w:left w:val="nil"/>
              <w:bottom w:val="nil"/>
              <w:right w:val="nil"/>
            </w:tcBorders>
            <w:shd w:val="clear" w:color="auto" w:fill="auto"/>
            <w:vAlign w:val="bottom"/>
            <w:hideMark/>
          </w:tcPr>
          <w:p w14:paraId="54D11B5C" w14:textId="77777777" w:rsidR="00B44925" w:rsidRPr="00FB38E1" w:rsidRDefault="00B44925" w:rsidP="00B44925">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Dönem içi karşılığı değişenler (*)</w:t>
            </w:r>
          </w:p>
        </w:tc>
        <w:tc>
          <w:tcPr>
            <w:tcW w:w="1295" w:type="dxa"/>
            <w:tcBorders>
              <w:top w:val="nil"/>
              <w:left w:val="nil"/>
              <w:bottom w:val="nil"/>
              <w:right w:val="nil"/>
            </w:tcBorders>
            <w:shd w:val="clear" w:color="auto" w:fill="auto"/>
            <w:vAlign w:val="center"/>
            <w:hideMark/>
          </w:tcPr>
          <w:p w14:paraId="75138CA2" w14:textId="0A61A799"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3.562.629</w:t>
            </w:r>
          </w:p>
        </w:tc>
        <w:tc>
          <w:tcPr>
            <w:tcW w:w="1186" w:type="dxa"/>
            <w:tcBorders>
              <w:top w:val="nil"/>
              <w:left w:val="nil"/>
              <w:bottom w:val="nil"/>
              <w:right w:val="nil"/>
            </w:tcBorders>
            <w:shd w:val="clear" w:color="auto" w:fill="auto"/>
            <w:vAlign w:val="center"/>
            <w:hideMark/>
          </w:tcPr>
          <w:p w14:paraId="0A07187E" w14:textId="1B5050EE"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3.033.296</w:t>
            </w:r>
          </w:p>
        </w:tc>
        <w:tc>
          <w:tcPr>
            <w:tcW w:w="1054" w:type="dxa"/>
            <w:tcBorders>
              <w:top w:val="nil"/>
              <w:left w:val="nil"/>
              <w:bottom w:val="nil"/>
              <w:right w:val="nil"/>
            </w:tcBorders>
            <w:shd w:val="clear" w:color="auto" w:fill="auto"/>
            <w:vAlign w:val="center"/>
            <w:hideMark/>
          </w:tcPr>
          <w:p w14:paraId="4D435424" w14:textId="19F6BC19"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8.748.023</w:t>
            </w:r>
          </w:p>
        </w:tc>
        <w:tc>
          <w:tcPr>
            <w:tcW w:w="1295" w:type="dxa"/>
            <w:tcBorders>
              <w:top w:val="nil"/>
              <w:left w:val="nil"/>
              <w:bottom w:val="nil"/>
              <w:right w:val="nil"/>
            </w:tcBorders>
            <w:shd w:val="clear" w:color="auto" w:fill="auto"/>
            <w:vAlign w:val="center"/>
            <w:hideMark/>
          </w:tcPr>
          <w:p w14:paraId="2AFFD607" w14:textId="34251C3D"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15.343.948</w:t>
            </w:r>
          </w:p>
        </w:tc>
      </w:tr>
      <w:tr w:rsidR="00B44925" w:rsidRPr="00FB38E1" w14:paraId="07BBC2DC" w14:textId="77777777" w:rsidTr="00836EF2">
        <w:trPr>
          <w:trHeight w:val="161"/>
        </w:trPr>
        <w:tc>
          <w:tcPr>
            <w:tcW w:w="4809" w:type="dxa"/>
            <w:tcBorders>
              <w:top w:val="nil"/>
              <w:left w:val="nil"/>
              <w:bottom w:val="nil"/>
              <w:right w:val="nil"/>
            </w:tcBorders>
            <w:shd w:val="clear" w:color="auto" w:fill="auto"/>
            <w:vAlign w:val="bottom"/>
            <w:hideMark/>
          </w:tcPr>
          <w:p w14:paraId="48049081" w14:textId="77777777" w:rsidR="00B44925" w:rsidRPr="00FB38E1" w:rsidRDefault="00B44925" w:rsidP="00B44925">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Kayıttan düşülen (**)</w:t>
            </w:r>
          </w:p>
        </w:tc>
        <w:tc>
          <w:tcPr>
            <w:tcW w:w="1295" w:type="dxa"/>
            <w:tcBorders>
              <w:top w:val="nil"/>
              <w:left w:val="nil"/>
              <w:bottom w:val="nil"/>
              <w:right w:val="nil"/>
            </w:tcBorders>
            <w:shd w:val="clear" w:color="auto" w:fill="auto"/>
            <w:vAlign w:val="center"/>
            <w:hideMark/>
          </w:tcPr>
          <w:p w14:paraId="722885E5" w14:textId="6E53ED47"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w:t>
            </w:r>
          </w:p>
        </w:tc>
        <w:tc>
          <w:tcPr>
            <w:tcW w:w="1186" w:type="dxa"/>
            <w:tcBorders>
              <w:top w:val="nil"/>
              <w:left w:val="nil"/>
              <w:bottom w:val="nil"/>
              <w:right w:val="nil"/>
            </w:tcBorders>
            <w:shd w:val="clear" w:color="auto" w:fill="auto"/>
            <w:vAlign w:val="center"/>
            <w:hideMark/>
          </w:tcPr>
          <w:p w14:paraId="17A584A6" w14:textId="59950587"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w:t>
            </w:r>
          </w:p>
        </w:tc>
        <w:tc>
          <w:tcPr>
            <w:tcW w:w="1054" w:type="dxa"/>
            <w:tcBorders>
              <w:top w:val="nil"/>
              <w:left w:val="nil"/>
              <w:bottom w:val="nil"/>
              <w:right w:val="nil"/>
            </w:tcBorders>
            <w:shd w:val="clear" w:color="auto" w:fill="auto"/>
            <w:vAlign w:val="center"/>
            <w:hideMark/>
          </w:tcPr>
          <w:p w14:paraId="43DEA1DB" w14:textId="74CE816B"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(2.579.112)</w:t>
            </w:r>
          </w:p>
        </w:tc>
        <w:tc>
          <w:tcPr>
            <w:tcW w:w="1295" w:type="dxa"/>
            <w:tcBorders>
              <w:top w:val="nil"/>
              <w:left w:val="nil"/>
              <w:bottom w:val="nil"/>
              <w:right w:val="nil"/>
            </w:tcBorders>
            <w:shd w:val="clear" w:color="auto" w:fill="auto"/>
            <w:vAlign w:val="center"/>
            <w:hideMark/>
          </w:tcPr>
          <w:p w14:paraId="4EF42852" w14:textId="2B97B800"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(2.579.112)</w:t>
            </w:r>
          </w:p>
        </w:tc>
      </w:tr>
      <w:tr w:rsidR="00B44925" w:rsidRPr="00FB38E1" w14:paraId="6A5F4AD9" w14:textId="77777777" w:rsidTr="00836EF2">
        <w:trPr>
          <w:trHeight w:val="161"/>
        </w:trPr>
        <w:tc>
          <w:tcPr>
            <w:tcW w:w="4809" w:type="dxa"/>
            <w:tcBorders>
              <w:top w:val="nil"/>
              <w:left w:val="nil"/>
              <w:bottom w:val="nil"/>
              <w:right w:val="nil"/>
            </w:tcBorders>
            <w:shd w:val="clear" w:color="auto" w:fill="auto"/>
            <w:vAlign w:val="bottom"/>
          </w:tcPr>
          <w:p w14:paraId="492F2912" w14:textId="77777777" w:rsidR="00B44925" w:rsidRPr="00FB38E1" w:rsidRDefault="00B44925" w:rsidP="00B44925">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Satılan krediler</w:t>
            </w:r>
          </w:p>
        </w:tc>
        <w:tc>
          <w:tcPr>
            <w:tcW w:w="1295" w:type="dxa"/>
            <w:tcBorders>
              <w:top w:val="nil"/>
              <w:left w:val="nil"/>
              <w:bottom w:val="nil"/>
              <w:right w:val="nil"/>
            </w:tcBorders>
            <w:shd w:val="clear" w:color="auto" w:fill="auto"/>
            <w:vAlign w:val="center"/>
          </w:tcPr>
          <w:p w14:paraId="31476564" w14:textId="5C8C70B3" w:rsidR="00B44925" w:rsidRPr="00FB38E1" w:rsidRDefault="00B44925" w:rsidP="00B44925">
            <w:pPr>
              <w:spacing w:after="0"/>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86" w:type="dxa"/>
            <w:tcBorders>
              <w:top w:val="nil"/>
              <w:left w:val="nil"/>
              <w:bottom w:val="nil"/>
              <w:right w:val="nil"/>
            </w:tcBorders>
            <w:shd w:val="clear" w:color="auto" w:fill="auto"/>
            <w:vAlign w:val="center"/>
          </w:tcPr>
          <w:p w14:paraId="1B097C9B" w14:textId="44BD4633" w:rsidR="00B44925" w:rsidRPr="00FB38E1" w:rsidRDefault="00B44925" w:rsidP="00B44925">
            <w:pPr>
              <w:spacing w:after="0"/>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54" w:type="dxa"/>
            <w:tcBorders>
              <w:top w:val="nil"/>
              <w:left w:val="nil"/>
              <w:bottom w:val="nil"/>
              <w:right w:val="nil"/>
            </w:tcBorders>
            <w:shd w:val="clear" w:color="auto" w:fill="auto"/>
            <w:vAlign w:val="center"/>
          </w:tcPr>
          <w:p w14:paraId="55FE0087" w14:textId="6CC115DA" w:rsidR="00B44925" w:rsidRPr="00FB38E1" w:rsidRDefault="00B44925" w:rsidP="00B44925">
            <w:pPr>
              <w:spacing w:after="0"/>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(3.457.570)</w:t>
            </w:r>
          </w:p>
        </w:tc>
        <w:tc>
          <w:tcPr>
            <w:tcW w:w="1295" w:type="dxa"/>
            <w:tcBorders>
              <w:top w:val="nil"/>
              <w:left w:val="nil"/>
              <w:bottom w:val="nil"/>
              <w:right w:val="nil"/>
            </w:tcBorders>
            <w:shd w:val="clear" w:color="auto" w:fill="auto"/>
            <w:vAlign w:val="center"/>
          </w:tcPr>
          <w:p w14:paraId="0C671A0E" w14:textId="59A91F69" w:rsidR="00B44925" w:rsidRPr="00FB38E1" w:rsidRDefault="00B44925" w:rsidP="00B44925">
            <w:pPr>
              <w:spacing w:after="0"/>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(3.457.570)</w:t>
            </w:r>
          </w:p>
        </w:tc>
      </w:tr>
      <w:tr w:rsidR="00B44925" w:rsidRPr="00FB38E1" w14:paraId="0C103DA4" w14:textId="77777777" w:rsidTr="00836EF2">
        <w:trPr>
          <w:trHeight w:val="151"/>
        </w:trPr>
        <w:tc>
          <w:tcPr>
            <w:tcW w:w="4809" w:type="dxa"/>
            <w:tcBorders>
              <w:top w:val="nil"/>
              <w:left w:val="nil"/>
              <w:bottom w:val="single" w:sz="4" w:space="0" w:color="auto"/>
              <w:right w:val="nil"/>
            </w:tcBorders>
            <w:shd w:val="clear" w:color="auto" w:fill="auto"/>
            <w:vAlign w:val="bottom"/>
            <w:hideMark/>
          </w:tcPr>
          <w:p w14:paraId="64C756C6" w14:textId="77777777" w:rsidR="00B44925" w:rsidRPr="00FB38E1" w:rsidRDefault="00B44925" w:rsidP="00B44925">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Kur farkı</w:t>
            </w:r>
          </w:p>
        </w:tc>
        <w:tc>
          <w:tcPr>
            <w:tcW w:w="1295" w:type="dxa"/>
            <w:tcBorders>
              <w:top w:val="nil"/>
              <w:left w:val="nil"/>
              <w:bottom w:val="single" w:sz="4" w:space="0" w:color="auto"/>
              <w:right w:val="nil"/>
            </w:tcBorders>
            <w:shd w:val="clear" w:color="auto" w:fill="auto"/>
            <w:vAlign w:val="center"/>
            <w:hideMark/>
          </w:tcPr>
          <w:p w14:paraId="4E58D201" w14:textId="14CC73D1"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479.381</w:t>
            </w:r>
          </w:p>
        </w:tc>
        <w:tc>
          <w:tcPr>
            <w:tcW w:w="1186" w:type="dxa"/>
            <w:tcBorders>
              <w:top w:val="nil"/>
              <w:left w:val="nil"/>
              <w:bottom w:val="single" w:sz="4" w:space="0" w:color="auto"/>
              <w:right w:val="nil"/>
            </w:tcBorders>
            <w:shd w:val="clear" w:color="auto" w:fill="auto"/>
            <w:vAlign w:val="center"/>
            <w:hideMark/>
          </w:tcPr>
          <w:p w14:paraId="407D55AB" w14:textId="17F45E2F"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1.155.817</w:t>
            </w:r>
          </w:p>
        </w:tc>
        <w:tc>
          <w:tcPr>
            <w:tcW w:w="1054" w:type="dxa"/>
            <w:tcBorders>
              <w:top w:val="nil"/>
              <w:left w:val="nil"/>
              <w:bottom w:val="single" w:sz="4" w:space="0" w:color="auto"/>
              <w:right w:val="nil"/>
            </w:tcBorders>
            <w:shd w:val="clear" w:color="auto" w:fill="auto"/>
            <w:vAlign w:val="center"/>
            <w:hideMark/>
          </w:tcPr>
          <w:p w14:paraId="234C4AC7" w14:textId="3B94A914"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781.198</w:t>
            </w:r>
          </w:p>
        </w:tc>
        <w:tc>
          <w:tcPr>
            <w:tcW w:w="1295" w:type="dxa"/>
            <w:tcBorders>
              <w:top w:val="nil"/>
              <w:left w:val="nil"/>
              <w:bottom w:val="single" w:sz="4" w:space="0" w:color="auto"/>
              <w:right w:val="nil"/>
            </w:tcBorders>
            <w:shd w:val="clear" w:color="auto" w:fill="auto"/>
            <w:vAlign w:val="center"/>
            <w:hideMark/>
          </w:tcPr>
          <w:p w14:paraId="40DD7CF9" w14:textId="6667476E" w:rsidR="00B44925" w:rsidRPr="00FB38E1" w:rsidRDefault="00B44925" w:rsidP="00B44925">
            <w:pPr>
              <w:spacing w:after="0"/>
              <w:jc w:val="right"/>
              <w:rPr>
                <w:rFonts w:ascii="Microsoft Sans Serif" w:eastAsia="Times New Roman" w:hAnsi="Microsoft Sans Serif" w:cs="Microsoft Sans Serif"/>
                <w:color w:val="404040"/>
                <w:sz w:val="16"/>
                <w:szCs w:val="16"/>
                <w:lang w:eastAsia="tr-TR"/>
              </w:rPr>
            </w:pPr>
            <w:r w:rsidRPr="00FB38E1">
              <w:rPr>
                <w:rFonts w:ascii="Microsoft Sans Serif" w:hAnsi="Microsoft Sans Serif" w:cs="Microsoft Sans Serif"/>
                <w:color w:val="404040"/>
                <w:sz w:val="16"/>
                <w:szCs w:val="16"/>
              </w:rPr>
              <w:t>2.416.396</w:t>
            </w:r>
          </w:p>
        </w:tc>
      </w:tr>
      <w:tr w:rsidR="00B44925" w:rsidRPr="00FB38E1" w14:paraId="45807896" w14:textId="77777777" w:rsidTr="00836EF2">
        <w:trPr>
          <w:trHeight w:val="243"/>
        </w:trPr>
        <w:tc>
          <w:tcPr>
            <w:tcW w:w="4809" w:type="dxa"/>
            <w:tcBorders>
              <w:top w:val="single" w:sz="4" w:space="0" w:color="auto"/>
              <w:left w:val="nil"/>
              <w:bottom w:val="thickThinSmallGap" w:sz="24" w:space="0" w:color="auto"/>
              <w:right w:val="nil"/>
            </w:tcBorders>
            <w:shd w:val="clear" w:color="auto" w:fill="auto"/>
            <w:vAlign w:val="bottom"/>
            <w:hideMark/>
          </w:tcPr>
          <w:p w14:paraId="6619869B" w14:textId="2C630887" w:rsidR="00B44925" w:rsidRPr="00FB38E1" w:rsidRDefault="00B44925" w:rsidP="00B44925">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Dönem Sonu (31 Aralık 2024)</w:t>
            </w:r>
          </w:p>
        </w:tc>
        <w:tc>
          <w:tcPr>
            <w:tcW w:w="1295" w:type="dxa"/>
            <w:tcBorders>
              <w:top w:val="single" w:sz="4" w:space="0" w:color="auto"/>
              <w:left w:val="nil"/>
              <w:bottom w:val="thickThinSmallGap" w:sz="24" w:space="0" w:color="auto"/>
              <w:right w:val="nil"/>
            </w:tcBorders>
            <w:shd w:val="clear" w:color="auto" w:fill="auto"/>
            <w:vAlign w:val="center"/>
            <w:hideMark/>
          </w:tcPr>
          <w:p w14:paraId="7C4DD3D4" w14:textId="73D871C1"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5.982.186</w:t>
            </w:r>
          </w:p>
        </w:tc>
        <w:tc>
          <w:tcPr>
            <w:tcW w:w="1186" w:type="dxa"/>
            <w:tcBorders>
              <w:top w:val="single" w:sz="4" w:space="0" w:color="auto"/>
              <w:left w:val="nil"/>
              <w:bottom w:val="thickThinSmallGap" w:sz="24" w:space="0" w:color="auto"/>
              <w:right w:val="nil"/>
            </w:tcBorders>
            <w:shd w:val="clear" w:color="auto" w:fill="auto"/>
            <w:vAlign w:val="center"/>
            <w:hideMark/>
          </w:tcPr>
          <w:p w14:paraId="50C45EF4" w14:textId="4299A016"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13.286.197</w:t>
            </w:r>
          </w:p>
        </w:tc>
        <w:tc>
          <w:tcPr>
            <w:tcW w:w="1054" w:type="dxa"/>
            <w:tcBorders>
              <w:top w:val="single" w:sz="4" w:space="0" w:color="auto"/>
              <w:left w:val="nil"/>
              <w:bottom w:val="thickThinSmallGap" w:sz="24" w:space="0" w:color="auto"/>
              <w:right w:val="nil"/>
            </w:tcBorders>
            <w:shd w:val="clear" w:color="auto" w:fill="auto"/>
            <w:vAlign w:val="center"/>
            <w:hideMark/>
          </w:tcPr>
          <w:p w14:paraId="187BA90F" w14:textId="6A133BE3"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16.767.215</w:t>
            </w:r>
          </w:p>
        </w:tc>
        <w:tc>
          <w:tcPr>
            <w:tcW w:w="1295" w:type="dxa"/>
            <w:tcBorders>
              <w:top w:val="single" w:sz="4" w:space="0" w:color="auto"/>
              <w:left w:val="nil"/>
              <w:bottom w:val="thickThinSmallGap" w:sz="24" w:space="0" w:color="auto"/>
              <w:right w:val="nil"/>
            </w:tcBorders>
            <w:shd w:val="clear" w:color="auto" w:fill="auto"/>
            <w:vAlign w:val="center"/>
            <w:hideMark/>
          </w:tcPr>
          <w:p w14:paraId="5B1165EF" w14:textId="73817B10" w:rsidR="00B44925" w:rsidRPr="00FB38E1" w:rsidRDefault="00B44925" w:rsidP="00B44925">
            <w:pPr>
              <w:spacing w:after="0"/>
              <w:jc w:val="right"/>
              <w:rPr>
                <w:rFonts w:ascii="Microsoft Sans Serif" w:eastAsia="Times New Roman" w:hAnsi="Microsoft Sans Serif" w:cs="Microsoft Sans Serif"/>
                <w:b/>
                <w:bCs/>
                <w:color w:val="404040"/>
                <w:sz w:val="16"/>
                <w:szCs w:val="16"/>
                <w:lang w:eastAsia="tr-TR"/>
              </w:rPr>
            </w:pPr>
            <w:r w:rsidRPr="00FB38E1">
              <w:rPr>
                <w:rFonts w:ascii="Microsoft Sans Serif" w:hAnsi="Microsoft Sans Serif" w:cs="Microsoft Sans Serif"/>
                <w:b/>
                <w:bCs/>
                <w:color w:val="404040"/>
                <w:sz w:val="16"/>
                <w:szCs w:val="16"/>
              </w:rPr>
              <w:t>36.035.598</w:t>
            </w:r>
          </w:p>
        </w:tc>
      </w:tr>
    </w:tbl>
    <w:bookmarkEnd w:id="26"/>
    <w:p w14:paraId="6C9EE882" w14:textId="77777777" w:rsidR="00D1663E" w:rsidRPr="00FB38E1" w:rsidRDefault="00D1663E" w:rsidP="00D1663E">
      <w:pPr>
        <w:pStyle w:val="Head3"/>
        <w:keepNext w:val="0"/>
        <w:keepLines w:val="0"/>
        <w:spacing w:before="120" w:after="0" w:line="240" w:lineRule="auto"/>
        <w:ind w:right="0" w:firstLine="0"/>
        <w:rPr>
          <w:rFonts w:ascii="Microsoft Sans Serif" w:hAnsi="Microsoft Sans Serif" w:cs="Microsoft Sans Serif"/>
          <w:b w:val="0"/>
          <w:i w:val="0"/>
          <w:color w:val="404040" w:themeColor="text1" w:themeTint="BF"/>
          <w:sz w:val="14"/>
          <w:szCs w:val="14"/>
        </w:rPr>
      </w:pPr>
      <w:r w:rsidRPr="00FB38E1">
        <w:rPr>
          <w:rFonts w:ascii="Microsoft Sans Serif" w:hAnsi="Microsoft Sans Serif" w:cs="Microsoft Sans Serif"/>
          <w:b w:val="0"/>
          <w:i w:val="0"/>
          <w:color w:val="404040" w:themeColor="text1" w:themeTint="BF"/>
          <w:sz w:val="14"/>
          <w:szCs w:val="14"/>
        </w:rPr>
        <w:t>(*) İlgili tutarlar, yıl içinde aynı aşamada kalan kredilerin dönem içi beklenen zarar karşılığı değişimi ve yıl içinde aşamalar arası transferlerin yarattığı beklenen zarar karşılıklarındaki değişimleri birlikte içermektedir.</w:t>
      </w:r>
    </w:p>
    <w:p w14:paraId="274AB126" w14:textId="367623FF" w:rsidR="00D1663E" w:rsidRPr="00FB38E1" w:rsidRDefault="00D1663E" w:rsidP="00D1663E">
      <w:pPr>
        <w:pStyle w:val="Head3"/>
        <w:keepNext w:val="0"/>
        <w:keepLines w:val="0"/>
        <w:spacing w:after="0" w:line="240" w:lineRule="auto"/>
        <w:ind w:right="0" w:firstLine="0"/>
        <w:rPr>
          <w:rFonts w:ascii="Microsoft Sans Serif" w:hAnsi="Microsoft Sans Serif" w:cs="Microsoft Sans Serif"/>
          <w:b w:val="0"/>
          <w:i w:val="0"/>
          <w:color w:val="404040" w:themeColor="text1" w:themeTint="BF"/>
          <w:sz w:val="14"/>
          <w:szCs w:val="14"/>
        </w:rPr>
      </w:pPr>
      <w:r w:rsidRPr="00FB38E1">
        <w:rPr>
          <w:rFonts w:ascii="Microsoft Sans Serif" w:hAnsi="Microsoft Sans Serif" w:cs="Microsoft Sans Serif"/>
          <w:b w:val="0"/>
          <w:i w:val="0"/>
          <w:color w:val="404040" w:themeColor="text1" w:themeTint="BF"/>
          <w:sz w:val="14"/>
          <w:szCs w:val="14"/>
        </w:rPr>
        <w:t>(**) BDDK tarafından 27 Kasım 2019 tarih ve 30961 sayılı Resmi Gazete’de yayımlanan Karşılıklar Yönetmeliği değişikliğine uygun olarak, Beşinci Grup - Zarar Niteliğindeki Krediler altında sınıflandırılan ve borçlunun temerrüdü nedeniyle ömür boyu beklenen kredi zararı karşılığı ayrılan kredilerin geri kazanılmasına ilişkin makul beklentiler bulunmayan kısmını, beşinci grupta sınıflandırılmalarını takip eden ilk raporlama döneminden itibaren TFRS 9 kapsamında kayıtlardan düşebilmektedir. Bu kapsamda 31 Aralık 202</w:t>
      </w:r>
      <w:r w:rsidR="00F95DA1" w:rsidRPr="00FB38E1">
        <w:rPr>
          <w:rFonts w:ascii="Microsoft Sans Serif" w:hAnsi="Microsoft Sans Serif" w:cs="Microsoft Sans Serif"/>
          <w:b w:val="0"/>
          <w:i w:val="0"/>
          <w:color w:val="404040" w:themeColor="text1" w:themeTint="BF"/>
          <w:sz w:val="14"/>
          <w:szCs w:val="14"/>
        </w:rPr>
        <w:t>4</w:t>
      </w:r>
      <w:r w:rsidRPr="00FB38E1">
        <w:rPr>
          <w:rFonts w:ascii="Microsoft Sans Serif" w:hAnsi="Microsoft Sans Serif" w:cs="Microsoft Sans Serif"/>
          <w:b w:val="0"/>
          <w:i w:val="0"/>
          <w:color w:val="404040" w:themeColor="text1" w:themeTint="BF"/>
          <w:sz w:val="14"/>
          <w:szCs w:val="14"/>
        </w:rPr>
        <w:t xml:space="preserve"> itibarıyla Banka </w:t>
      </w:r>
      <w:r w:rsidR="00F95DA1" w:rsidRPr="00FB38E1">
        <w:rPr>
          <w:rFonts w:ascii="Microsoft Sans Serif" w:hAnsi="Microsoft Sans Serif" w:cs="Microsoft Sans Serif"/>
          <w:b w:val="0"/>
          <w:i w:val="0"/>
          <w:color w:val="404040" w:themeColor="text1" w:themeTint="BF"/>
          <w:sz w:val="14"/>
          <w:szCs w:val="14"/>
        </w:rPr>
        <w:t>2.579.112</w:t>
      </w:r>
      <w:r w:rsidRPr="00FB38E1">
        <w:rPr>
          <w:rFonts w:ascii="Microsoft Sans Serif" w:hAnsi="Microsoft Sans Serif" w:cs="Microsoft Sans Serif"/>
          <w:b w:val="0"/>
          <w:i w:val="0"/>
          <w:color w:val="404040" w:themeColor="text1" w:themeTint="BF"/>
          <w:sz w:val="14"/>
          <w:szCs w:val="14"/>
        </w:rPr>
        <w:t xml:space="preserve"> TL tutarındaki kredileri kayıtlardan düşmüş, </w:t>
      </w:r>
      <w:r w:rsidR="00F95DA1" w:rsidRPr="00FB38E1">
        <w:rPr>
          <w:rFonts w:ascii="Microsoft Sans Serif" w:hAnsi="Microsoft Sans Serif" w:cs="Microsoft Sans Serif"/>
          <w:b w:val="0"/>
          <w:i w:val="0"/>
          <w:color w:val="404040" w:themeColor="text1" w:themeTint="BF"/>
          <w:sz w:val="14"/>
          <w:szCs w:val="14"/>
        </w:rPr>
        <w:t>3.457.570</w:t>
      </w:r>
      <w:r w:rsidRPr="00FB38E1">
        <w:rPr>
          <w:rFonts w:ascii="Microsoft Sans Serif" w:hAnsi="Microsoft Sans Serif" w:cs="Microsoft Sans Serif"/>
          <w:b w:val="0"/>
          <w:i w:val="0"/>
          <w:color w:val="404040" w:themeColor="text1" w:themeTint="BF"/>
          <w:sz w:val="14"/>
          <w:szCs w:val="14"/>
        </w:rPr>
        <w:t xml:space="preserve"> TL tutarındaki kredileri satmıştır. </w:t>
      </w:r>
    </w:p>
    <w:p w14:paraId="777AC443" w14:textId="77777777" w:rsidR="00D1663E" w:rsidRPr="00FB38E1" w:rsidRDefault="00D1663E" w:rsidP="00364B59">
      <w:pPr>
        <w:pStyle w:val="ListParagraph"/>
        <w:numPr>
          <w:ilvl w:val="0"/>
          <w:numId w:val="51"/>
        </w:numPr>
        <w:spacing w:before="240" w:after="120" w:line="240" w:lineRule="exact"/>
        <w:ind w:left="0" w:hanging="567"/>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t>Kredi hareketlerine ilişkin bilgiler</w:t>
      </w:r>
    </w:p>
    <w:tbl>
      <w:tblPr>
        <w:tblW w:w="9605" w:type="dxa"/>
        <w:tblCellMar>
          <w:left w:w="70" w:type="dxa"/>
          <w:right w:w="70" w:type="dxa"/>
        </w:tblCellMar>
        <w:tblLook w:val="04A0" w:firstRow="1" w:lastRow="0" w:firstColumn="1" w:lastColumn="0" w:noHBand="0" w:noVBand="1"/>
      </w:tblPr>
      <w:tblGrid>
        <w:gridCol w:w="4792"/>
        <w:gridCol w:w="1291"/>
        <w:gridCol w:w="1181"/>
        <w:gridCol w:w="1050"/>
        <w:gridCol w:w="1291"/>
      </w:tblGrid>
      <w:tr w:rsidR="00D1663E" w:rsidRPr="00FB38E1" w14:paraId="77C9A4F4" w14:textId="77777777" w:rsidTr="00836EF2">
        <w:trPr>
          <w:trHeight w:val="125"/>
        </w:trPr>
        <w:tc>
          <w:tcPr>
            <w:tcW w:w="4792" w:type="dxa"/>
            <w:tcBorders>
              <w:top w:val="thinThickSmallGap" w:sz="24" w:space="0" w:color="auto"/>
              <w:left w:val="nil"/>
              <w:bottom w:val="single" w:sz="8" w:space="0" w:color="auto"/>
              <w:right w:val="nil"/>
            </w:tcBorders>
            <w:shd w:val="clear" w:color="auto" w:fill="auto"/>
            <w:vAlign w:val="bottom"/>
            <w:hideMark/>
          </w:tcPr>
          <w:p w14:paraId="3BC826CA" w14:textId="77777777" w:rsidR="00D1663E" w:rsidRPr="00FB38E1" w:rsidRDefault="00D1663E" w:rsidP="00836EF2">
            <w:pPr>
              <w:spacing w:after="0"/>
              <w:jc w:val="left"/>
              <w:rPr>
                <w:rFonts w:ascii="Microsoft Sans Serif" w:eastAsia="Times New Roman" w:hAnsi="Microsoft Sans Serif" w:cs="Microsoft Sans Serif"/>
                <w:b/>
                <w:bCs/>
                <w:color w:val="000000"/>
                <w:sz w:val="16"/>
                <w:szCs w:val="16"/>
                <w:lang w:eastAsia="tr-TR"/>
              </w:rPr>
            </w:pPr>
            <w:bookmarkStart w:id="27" w:name="_Hlk32668330"/>
            <w:r w:rsidRPr="00FB38E1">
              <w:rPr>
                <w:rFonts w:ascii="Microsoft Sans Serif" w:eastAsia="Times New Roman" w:hAnsi="Microsoft Sans Serif" w:cs="Microsoft Sans Serif"/>
                <w:b/>
                <w:bCs/>
                <w:color w:val="000000"/>
                <w:sz w:val="16"/>
                <w:szCs w:val="16"/>
                <w:lang w:eastAsia="tr-TR"/>
              </w:rPr>
              <w:t> </w:t>
            </w:r>
          </w:p>
        </w:tc>
        <w:tc>
          <w:tcPr>
            <w:tcW w:w="1291" w:type="dxa"/>
            <w:tcBorders>
              <w:top w:val="thinThickSmallGap" w:sz="24" w:space="0" w:color="auto"/>
              <w:left w:val="nil"/>
              <w:bottom w:val="single" w:sz="8" w:space="0" w:color="auto"/>
              <w:right w:val="nil"/>
            </w:tcBorders>
            <w:shd w:val="clear" w:color="auto" w:fill="auto"/>
            <w:vAlign w:val="bottom"/>
            <w:hideMark/>
          </w:tcPr>
          <w:p w14:paraId="0884F551"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1. Aşama</w:t>
            </w:r>
          </w:p>
        </w:tc>
        <w:tc>
          <w:tcPr>
            <w:tcW w:w="1181" w:type="dxa"/>
            <w:tcBorders>
              <w:top w:val="thinThickSmallGap" w:sz="24" w:space="0" w:color="auto"/>
              <w:left w:val="nil"/>
              <w:bottom w:val="single" w:sz="8" w:space="0" w:color="auto"/>
              <w:right w:val="nil"/>
            </w:tcBorders>
            <w:shd w:val="clear" w:color="auto" w:fill="auto"/>
            <w:vAlign w:val="bottom"/>
            <w:hideMark/>
          </w:tcPr>
          <w:p w14:paraId="6FC3E769"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2. Aşama</w:t>
            </w:r>
          </w:p>
        </w:tc>
        <w:tc>
          <w:tcPr>
            <w:tcW w:w="1050" w:type="dxa"/>
            <w:tcBorders>
              <w:top w:val="thinThickSmallGap" w:sz="24" w:space="0" w:color="auto"/>
              <w:left w:val="nil"/>
              <w:bottom w:val="single" w:sz="8" w:space="0" w:color="auto"/>
              <w:right w:val="nil"/>
            </w:tcBorders>
            <w:shd w:val="clear" w:color="auto" w:fill="auto"/>
            <w:vAlign w:val="bottom"/>
            <w:hideMark/>
          </w:tcPr>
          <w:p w14:paraId="49918FD2"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3.Aşama</w:t>
            </w:r>
          </w:p>
        </w:tc>
        <w:tc>
          <w:tcPr>
            <w:tcW w:w="1291" w:type="dxa"/>
            <w:tcBorders>
              <w:top w:val="thinThickSmallGap" w:sz="24" w:space="0" w:color="auto"/>
              <w:left w:val="nil"/>
              <w:bottom w:val="single" w:sz="8" w:space="0" w:color="auto"/>
              <w:right w:val="nil"/>
            </w:tcBorders>
            <w:shd w:val="clear" w:color="auto" w:fill="auto"/>
            <w:vAlign w:val="bottom"/>
            <w:hideMark/>
          </w:tcPr>
          <w:p w14:paraId="70473BAF" w14:textId="77777777" w:rsidR="00D1663E" w:rsidRPr="00FB38E1" w:rsidRDefault="00D1663E" w:rsidP="00836EF2">
            <w:pPr>
              <w:spacing w:after="0"/>
              <w:jc w:val="righ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Toplam</w:t>
            </w:r>
          </w:p>
        </w:tc>
      </w:tr>
      <w:tr w:rsidR="00E94133" w:rsidRPr="00FB38E1" w14:paraId="7C87CEA2" w14:textId="77777777" w:rsidTr="00F95DA1">
        <w:trPr>
          <w:trHeight w:val="159"/>
        </w:trPr>
        <w:tc>
          <w:tcPr>
            <w:tcW w:w="4792" w:type="dxa"/>
            <w:tcBorders>
              <w:top w:val="nil"/>
              <w:left w:val="nil"/>
              <w:bottom w:val="nil"/>
              <w:right w:val="nil"/>
            </w:tcBorders>
            <w:shd w:val="clear" w:color="auto" w:fill="auto"/>
            <w:vAlign w:val="bottom"/>
            <w:hideMark/>
          </w:tcPr>
          <w:p w14:paraId="0DCA1290" w14:textId="1746DDFC" w:rsidR="00E94133" w:rsidRPr="00FB38E1" w:rsidRDefault="00E94133" w:rsidP="00E94133">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Dönem Başı (1 Ocak 2024)</w:t>
            </w:r>
          </w:p>
        </w:tc>
        <w:tc>
          <w:tcPr>
            <w:tcW w:w="1291" w:type="dxa"/>
            <w:tcBorders>
              <w:top w:val="nil"/>
              <w:left w:val="nil"/>
              <w:bottom w:val="nil"/>
              <w:right w:val="nil"/>
            </w:tcBorders>
            <w:shd w:val="clear" w:color="auto" w:fill="auto"/>
            <w:vAlign w:val="center"/>
            <w:hideMark/>
          </w:tcPr>
          <w:p w14:paraId="1C36E3C6" w14:textId="4BF3F29A"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
                <w:bCs/>
                <w:color w:val="404040"/>
                <w:sz w:val="16"/>
                <w:szCs w:val="16"/>
              </w:rPr>
              <w:t>432.275.886</w:t>
            </w:r>
          </w:p>
        </w:tc>
        <w:tc>
          <w:tcPr>
            <w:tcW w:w="1181" w:type="dxa"/>
            <w:tcBorders>
              <w:top w:val="nil"/>
              <w:left w:val="nil"/>
              <w:bottom w:val="nil"/>
              <w:right w:val="nil"/>
            </w:tcBorders>
            <w:shd w:val="clear" w:color="auto" w:fill="auto"/>
            <w:vAlign w:val="center"/>
            <w:hideMark/>
          </w:tcPr>
          <w:p w14:paraId="00CCE505" w14:textId="1804AB4C"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
                <w:bCs/>
                <w:color w:val="404040"/>
                <w:sz w:val="16"/>
                <w:szCs w:val="16"/>
              </w:rPr>
              <w:t>46.957.524</w:t>
            </w:r>
          </w:p>
        </w:tc>
        <w:tc>
          <w:tcPr>
            <w:tcW w:w="1050" w:type="dxa"/>
            <w:tcBorders>
              <w:top w:val="nil"/>
              <w:left w:val="nil"/>
              <w:bottom w:val="nil"/>
              <w:right w:val="nil"/>
            </w:tcBorders>
            <w:shd w:val="clear" w:color="auto" w:fill="auto"/>
            <w:vAlign w:val="center"/>
            <w:hideMark/>
          </w:tcPr>
          <w:p w14:paraId="4F7AAC3C" w14:textId="6AE9E73A"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
                <w:bCs/>
                <w:color w:val="404040"/>
                <w:sz w:val="16"/>
                <w:szCs w:val="16"/>
              </w:rPr>
              <w:t>21.224.916</w:t>
            </w:r>
          </w:p>
        </w:tc>
        <w:tc>
          <w:tcPr>
            <w:tcW w:w="1291" w:type="dxa"/>
            <w:tcBorders>
              <w:top w:val="nil"/>
              <w:left w:val="nil"/>
              <w:bottom w:val="nil"/>
              <w:right w:val="nil"/>
            </w:tcBorders>
            <w:shd w:val="clear" w:color="auto" w:fill="auto"/>
            <w:vAlign w:val="center"/>
            <w:hideMark/>
          </w:tcPr>
          <w:p w14:paraId="302E5536" w14:textId="2486FA25"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
                <w:bCs/>
                <w:color w:val="404040"/>
                <w:sz w:val="16"/>
                <w:szCs w:val="16"/>
              </w:rPr>
              <w:t>500.458.326</w:t>
            </w:r>
          </w:p>
        </w:tc>
      </w:tr>
      <w:tr w:rsidR="00E94133" w:rsidRPr="00FB38E1" w14:paraId="2C727E70" w14:textId="77777777" w:rsidTr="00F95DA1">
        <w:trPr>
          <w:trHeight w:val="159"/>
        </w:trPr>
        <w:tc>
          <w:tcPr>
            <w:tcW w:w="4792" w:type="dxa"/>
            <w:tcBorders>
              <w:top w:val="nil"/>
              <w:left w:val="nil"/>
              <w:bottom w:val="nil"/>
              <w:right w:val="nil"/>
            </w:tcBorders>
            <w:shd w:val="clear" w:color="auto" w:fill="auto"/>
            <w:vAlign w:val="bottom"/>
            <w:hideMark/>
          </w:tcPr>
          <w:p w14:paraId="010F0AC7" w14:textId="77777777" w:rsidR="00E94133" w:rsidRPr="00FB38E1" w:rsidRDefault="00E94133" w:rsidP="00E94133">
            <w:pPr>
              <w:spacing w:after="0"/>
              <w:jc w:val="left"/>
              <w:rPr>
                <w:rFonts w:ascii="Microsoft Sans Serif" w:eastAsia="Times New Roman" w:hAnsi="Microsoft Sans Serif" w:cs="Microsoft Sans Serif"/>
                <w:b/>
                <w:bCs/>
                <w:color w:val="404040"/>
                <w:sz w:val="16"/>
                <w:szCs w:val="16"/>
                <w:lang w:eastAsia="tr-TR"/>
              </w:rPr>
            </w:pPr>
            <w:r w:rsidRPr="00FB38E1">
              <w:rPr>
                <w:rFonts w:ascii="Microsoft Sans Serif" w:eastAsia="Times New Roman" w:hAnsi="Microsoft Sans Serif" w:cs="Microsoft Sans Serif"/>
                <w:b/>
                <w:bCs/>
                <w:color w:val="404040"/>
                <w:sz w:val="16"/>
                <w:szCs w:val="16"/>
                <w:lang w:eastAsia="tr-TR"/>
              </w:rPr>
              <w:t>Transferler</w:t>
            </w:r>
          </w:p>
        </w:tc>
        <w:tc>
          <w:tcPr>
            <w:tcW w:w="1291" w:type="dxa"/>
            <w:tcBorders>
              <w:top w:val="nil"/>
              <w:left w:val="nil"/>
              <w:bottom w:val="nil"/>
              <w:right w:val="nil"/>
            </w:tcBorders>
            <w:shd w:val="clear" w:color="auto" w:fill="auto"/>
            <w:vAlign w:val="center"/>
            <w:hideMark/>
          </w:tcPr>
          <w:p w14:paraId="391D1364" w14:textId="0259E47C"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
                <w:bCs/>
                <w:color w:val="404040"/>
                <w:sz w:val="16"/>
                <w:szCs w:val="16"/>
              </w:rPr>
              <w:t>(23.970.636)</w:t>
            </w:r>
          </w:p>
        </w:tc>
        <w:tc>
          <w:tcPr>
            <w:tcW w:w="1181" w:type="dxa"/>
            <w:tcBorders>
              <w:top w:val="nil"/>
              <w:left w:val="nil"/>
              <w:bottom w:val="nil"/>
              <w:right w:val="nil"/>
            </w:tcBorders>
            <w:shd w:val="clear" w:color="auto" w:fill="auto"/>
            <w:vAlign w:val="center"/>
            <w:hideMark/>
          </w:tcPr>
          <w:p w14:paraId="2B7DA56B" w14:textId="6B8EF86E"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
                <w:bCs/>
                <w:color w:val="404040"/>
                <w:sz w:val="16"/>
                <w:szCs w:val="16"/>
              </w:rPr>
              <w:t>16.438.134</w:t>
            </w:r>
          </w:p>
        </w:tc>
        <w:tc>
          <w:tcPr>
            <w:tcW w:w="1050" w:type="dxa"/>
            <w:tcBorders>
              <w:top w:val="nil"/>
              <w:left w:val="nil"/>
              <w:bottom w:val="nil"/>
              <w:right w:val="nil"/>
            </w:tcBorders>
            <w:shd w:val="clear" w:color="auto" w:fill="auto"/>
            <w:vAlign w:val="center"/>
            <w:hideMark/>
          </w:tcPr>
          <w:p w14:paraId="0E3FC0C2" w14:textId="5B73390F"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
                <w:bCs/>
                <w:color w:val="404040"/>
                <w:sz w:val="16"/>
                <w:szCs w:val="16"/>
              </w:rPr>
              <w:t>7.532.502</w:t>
            </w:r>
          </w:p>
        </w:tc>
        <w:tc>
          <w:tcPr>
            <w:tcW w:w="1291" w:type="dxa"/>
            <w:tcBorders>
              <w:top w:val="nil"/>
              <w:left w:val="nil"/>
              <w:bottom w:val="nil"/>
              <w:right w:val="nil"/>
            </w:tcBorders>
            <w:shd w:val="clear" w:color="auto" w:fill="auto"/>
            <w:vAlign w:val="center"/>
            <w:hideMark/>
          </w:tcPr>
          <w:p w14:paraId="3ED27F82" w14:textId="13B41499"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
                <w:bCs/>
                <w:color w:val="404040"/>
                <w:sz w:val="16"/>
                <w:szCs w:val="16"/>
              </w:rPr>
              <w:t>--</w:t>
            </w:r>
          </w:p>
        </w:tc>
      </w:tr>
      <w:tr w:rsidR="00E94133" w:rsidRPr="00FB38E1" w14:paraId="4F475F09" w14:textId="77777777" w:rsidTr="00F95DA1">
        <w:trPr>
          <w:trHeight w:val="159"/>
        </w:trPr>
        <w:tc>
          <w:tcPr>
            <w:tcW w:w="4792" w:type="dxa"/>
            <w:tcBorders>
              <w:top w:val="nil"/>
              <w:left w:val="nil"/>
              <w:bottom w:val="nil"/>
              <w:right w:val="nil"/>
            </w:tcBorders>
            <w:shd w:val="clear" w:color="auto" w:fill="auto"/>
            <w:vAlign w:val="bottom"/>
            <w:hideMark/>
          </w:tcPr>
          <w:p w14:paraId="3F694ADB" w14:textId="77777777" w:rsidR="00E94133" w:rsidRPr="00FB38E1" w:rsidRDefault="00E94133" w:rsidP="00E94133">
            <w:pPr>
              <w:spacing w:after="0"/>
              <w:ind w:firstLineChars="100" w:firstLine="16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 xml:space="preserve">1. Aşamaya </w:t>
            </w:r>
          </w:p>
        </w:tc>
        <w:tc>
          <w:tcPr>
            <w:tcW w:w="1291" w:type="dxa"/>
            <w:tcBorders>
              <w:top w:val="nil"/>
              <w:left w:val="nil"/>
              <w:bottom w:val="nil"/>
              <w:right w:val="nil"/>
            </w:tcBorders>
            <w:shd w:val="clear" w:color="auto" w:fill="auto"/>
            <w:vAlign w:val="center"/>
            <w:hideMark/>
          </w:tcPr>
          <w:p w14:paraId="456987EE" w14:textId="1C301288"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11.091.196</w:t>
            </w:r>
          </w:p>
        </w:tc>
        <w:tc>
          <w:tcPr>
            <w:tcW w:w="1181" w:type="dxa"/>
            <w:tcBorders>
              <w:top w:val="nil"/>
              <w:left w:val="nil"/>
              <w:bottom w:val="nil"/>
              <w:right w:val="nil"/>
            </w:tcBorders>
            <w:shd w:val="clear" w:color="auto" w:fill="auto"/>
            <w:vAlign w:val="center"/>
            <w:hideMark/>
          </w:tcPr>
          <w:p w14:paraId="7C907D2A" w14:textId="6ED97740"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(11.091.196)</w:t>
            </w:r>
          </w:p>
        </w:tc>
        <w:tc>
          <w:tcPr>
            <w:tcW w:w="1050" w:type="dxa"/>
            <w:tcBorders>
              <w:top w:val="nil"/>
              <w:left w:val="nil"/>
              <w:bottom w:val="nil"/>
              <w:right w:val="nil"/>
            </w:tcBorders>
            <w:shd w:val="clear" w:color="auto" w:fill="auto"/>
            <w:vAlign w:val="center"/>
            <w:hideMark/>
          </w:tcPr>
          <w:p w14:paraId="4E1EADF1" w14:textId="294595AF"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w:t>
            </w:r>
          </w:p>
        </w:tc>
        <w:tc>
          <w:tcPr>
            <w:tcW w:w="1291" w:type="dxa"/>
            <w:tcBorders>
              <w:top w:val="nil"/>
              <w:left w:val="nil"/>
              <w:bottom w:val="nil"/>
              <w:right w:val="nil"/>
            </w:tcBorders>
            <w:shd w:val="clear" w:color="auto" w:fill="auto"/>
            <w:vAlign w:val="center"/>
            <w:hideMark/>
          </w:tcPr>
          <w:p w14:paraId="0A03CFCB" w14:textId="3664BC73"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w:t>
            </w:r>
          </w:p>
        </w:tc>
      </w:tr>
      <w:tr w:rsidR="00E94133" w:rsidRPr="00FB38E1" w14:paraId="1D210254" w14:textId="77777777" w:rsidTr="00F95DA1">
        <w:trPr>
          <w:trHeight w:val="159"/>
        </w:trPr>
        <w:tc>
          <w:tcPr>
            <w:tcW w:w="4792" w:type="dxa"/>
            <w:tcBorders>
              <w:top w:val="nil"/>
              <w:left w:val="nil"/>
              <w:bottom w:val="nil"/>
              <w:right w:val="nil"/>
            </w:tcBorders>
            <w:shd w:val="clear" w:color="auto" w:fill="auto"/>
            <w:vAlign w:val="bottom"/>
            <w:hideMark/>
          </w:tcPr>
          <w:p w14:paraId="0015B045" w14:textId="77777777" w:rsidR="00E94133" w:rsidRPr="00FB38E1" w:rsidRDefault="00E94133" w:rsidP="00E94133">
            <w:pPr>
              <w:spacing w:after="0"/>
              <w:ind w:firstLineChars="100" w:firstLine="16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 xml:space="preserve">2. Aşamaya </w:t>
            </w:r>
          </w:p>
        </w:tc>
        <w:tc>
          <w:tcPr>
            <w:tcW w:w="1291" w:type="dxa"/>
            <w:tcBorders>
              <w:top w:val="nil"/>
              <w:left w:val="nil"/>
              <w:bottom w:val="nil"/>
              <w:right w:val="nil"/>
            </w:tcBorders>
            <w:shd w:val="clear" w:color="auto" w:fill="auto"/>
            <w:vAlign w:val="center"/>
            <w:hideMark/>
          </w:tcPr>
          <w:p w14:paraId="5B17EBEE" w14:textId="41679ADA"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(26.956.267)</w:t>
            </w:r>
          </w:p>
        </w:tc>
        <w:tc>
          <w:tcPr>
            <w:tcW w:w="1181" w:type="dxa"/>
            <w:tcBorders>
              <w:top w:val="nil"/>
              <w:left w:val="nil"/>
              <w:bottom w:val="nil"/>
              <w:right w:val="nil"/>
            </w:tcBorders>
            <w:shd w:val="clear" w:color="auto" w:fill="auto"/>
            <w:vAlign w:val="center"/>
            <w:hideMark/>
          </w:tcPr>
          <w:p w14:paraId="3FC2F163" w14:textId="76D0036D"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29.975.867</w:t>
            </w:r>
          </w:p>
        </w:tc>
        <w:tc>
          <w:tcPr>
            <w:tcW w:w="1050" w:type="dxa"/>
            <w:tcBorders>
              <w:top w:val="nil"/>
              <w:left w:val="nil"/>
              <w:bottom w:val="nil"/>
              <w:right w:val="nil"/>
            </w:tcBorders>
            <w:shd w:val="clear" w:color="auto" w:fill="auto"/>
            <w:vAlign w:val="center"/>
            <w:hideMark/>
          </w:tcPr>
          <w:p w14:paraId="34B347F8" w14:textId="64FE289E"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(3.019.600)</w:t>
            </w:r>
          </w:p>
        </w:tc>
        <w:tc>
          <w:tcPr>
            <w:tcW w:w="1291" w:type="dxa"/>
            <w:tcBorders>
              <w:top w:val="nil"/>
              <w:left w:val="nil"/>
              <w:bottom w:val="nil"/>
              <w:right w:val="nil"/>
            </w:tcBorders>
            <w:shd w:val="clear" w:color="auto" w:fill="auto"/>
            <w:vAlign w:val="center"/>
            <w:hideMark/>
          </w:tcPr>
          <w:p w14:paraId="5CDCC93D" w14:textId="2EC1978F"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w:t>
            </w:r>
          </w:p>
        </w:tc>
      </w:tr>
      <w:tr w:rsidR="00E94133" w:rsidRPr="00FB38E1" w14:paraId="0007FBC0" w14:textId="77777777" w:rsidTr="00F95DA1">
        <w:trPr>
          <w:trHeight w:val="159"/>
        </w:trPr>
        <w:tc>
          <w:tcPr>
            <w:tcW w:w="4792" w:type="dxa"/>
            <w:tcBorders>
              <w:top w:val="nil"/>
              <w:left w:val="nil"/>
              <w:bottom w:val="nil"/>
              <w:right w:val="nil"/>
            </w:tcBorders>
            <w:shd w:val="clear" w:color="auto" w:fill="auto"/>
            <w:vAlign w:val="bottom"/>
            <w:hideMark/>
          </w:tcPr>
          <w:p w14:paraId="166309D7" w14:textId="77777777" w:rsidR="00E94133" w:rsidRPr="00FB38E1" w:rsidRDefault="00E94133" w:rsidP="00E94133">
            <w:pPr>
              <w:spacing w:after="0"/>
              <w:ind w:firstLineChars="100" w:firstLine="16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 xml:space="preserve">3. Aşamaya </w:t>
            </w:r>
          </w:p>
        </w:tc>
        <w:tc>
          <w:tcPr>
            <w:tcW w:w="1291" w:type="dxa"/>
            <w:tcBorders>
              <w:top w:val="nil"/>
              <w:left w:val="nil"/>
              <w:bottom w:val="nil"/>
              <w:right w:val="nil"/>
            </w:tcBorders>
            <w:shd w:val="clear" w:color="auto" w:fill="auto"/>
            <w:vAlign w:val="center"/>
            <w:hideMark/>
          </w:tcPr>
          <w:p w14:paraId="707D2EDB" w14:textId="58FC8D0B"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(8.105.565)</w:t>
            </w:r>
          </w:p>
        </w:tc>
        <w:tc>
          <w:tcPr>
            <w:tcW w:w="1181" w:type="dxa"/>
            <w:tcBorders>
              <w:top w:val="nil"/>
              <w:left w:val="nil"/>
              <w:bottom w:val="nil"/>
              <w:right w:val="nil"/>
            </w:tcBorders>
            <w:shd w:val="clear" w:color="auto" w:fill="auto"/>
            <w:vAlign w:val="center"/>
            <w:hideMark/>
          </w:tcPr>
          <w:p w14:paraId="0D7B78C7" w14:textId="1F776FD5"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(2.446.537)</w:t>
            </w:r>
          </w:p>
        </w:tc>
        <w:tc>
          <w:tcPr>
            <w:tcW w:w="1050" w:type="dxa"/>
            <w:tcBorders>
              <w:top w:val="nil"/>
              <w:left w:val="nil"/>
              <w:bottom w:val="nil"/>
              <w:right w:val="nil"/>
            </w:tcBorders>
            <w:shd w:val="clear" w:color="auto" w:fill="auto"/>
            <w:vAlign w:val="center"/>
            <w:hideMark/>
          </w:tcPr>
          <w:p w14:paraId="54D52F73" w14:textId="51197BFB"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10.552.102</w:t>
            </w:r>
          </w:p>
        </w:tc>
        <w:tc>
          <w:tcPr>
            <w:tcW w:w="1291" w:type="dxa"/>
            <w:tcBorders>
              <w:top w:val="nil"/>
              <w:left w:val="nil"/>
              <w:bottom w:val="nil"/>
              <w:right w:val="nil"/>
            </w:tcBorders>
            <w:shd w:val="clear" w:color="auto" w:fill="auto"/>
            <w:vAlign w:val="center"/>
            <w:hideMark/>
          </w:tcPr>
          <w:p w14:paraId="118A41B8" w14:textId="3F419ECC"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w:t>
            </w:r>
          </w:p>
        </w:tc>
      </w:tr>
      <w:tr w:rsidR="00E94133" w:rsidRPr="00FB38E1" w14:paraId="1B929283" w14:textId="77777777" w:rsidTr="00F95DA1">
        <w:trPr>
          <w:trHeight w:val="159"/>
        </w:trPr>
        <w:tc>
          <w:tcPr>
            <w:tcW w:w="4792" w:type="dxa"/>
            <w:tcBorders>
              <w:top w:val="nil"/>
              <w:left w:val="nil"/>
              <w:bottom w:val="nil"/>
              <w:right w:val="nil"/>
            </w:tcBorders>
            <w:shd w:val="clear" w:color="auto" w:fill="auto"/>
            <w:vAlign w:val="bottom"/>
            <w:hideMark/>
          </w:tcPr>
          <w:p w14:paraId="4D51A84D"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Dönem içinde eklenen krediler</w:t>
            </w:r>
          </w:p>
        </w:tc>
        <w:tc>
          <w:tcPr>
            <w:tcW w:w="1291" w:type="dxa"/>
            <w:tcBorders>
              <w:top w:val="nil"/>
              <w:left w:val="nil"/>
              <w:bottom w:val="nil"/>
              <w:right w:val="nil"/>
            </w:tcBorders>
            <w:shd w:val="clear" w:color="auto" w:fill="auto"/>
            <w:vAlign w:val="center"/>
            <w:hideMark/>
          </w:tcPr>
          <w:p w14:paraId="50B26A9D" w14:textId="676946F3"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330.125.598</w:t>
            </w:r>
          </w:p>
        </w:tc>
        <w:tc>
          <w:tcPr>
            <w:tcW w:w="1181" w:type="dxa"/>
            <w:tcBorders>
              <w:top w:val="nil"/>
              <w:left w:val="nil"/>
              <w:bottom w:val="nil"/>
              <w:right w:val="nil"/>
            </w:tcBorders>
            <w:shd w:val="clear" w:color="auto" w:fill="auto"/>
            <w:vAlign w:val="center"/>
            <w:hideMark/>
          </w:tcPr>
          <w:p w14:paraId="67B0EBF0" w14:textId="75A07E4D"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28.666.647</w:t>
            </w:r>
          </w:p>
        </w:tc>
        <w:tc>
          <w:tcPr>
            <w:tcW w:w="1050" w:type="dxa"/>
            <w:tcBorders>
              <w:top w:val="nil"/>
              <w:left w:val="nil"/>
              <w:bottom w:val="nil"/>
              <w:right w:val="nil"/>
            </w:tcBorders>
            <w:shd w:val="clear" w:color="auto" w:fill="auto"/>
            <w:vAlign w:val="center"/>
            <w:hideMark/>
          </w:tcPr>
          <w:p w14:paraId="09584D67" w14:textId="711B24BF"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10.154.215</w:t>
            </w:r>
          </w:p>
        </w:tc>
        <w:tc>
          <w:tcPr>
            <w:tcW w:w="1291" w:type="dxa"/>
            <w:tcBorders>
              <w:top w:val="nil"/>
              <w:left w:val="nil"/>
              <w:bottom w:val="nil"/>
              <w:right w:val="nil"/>
            </w:tcBorders>
            <w:shd w:val="clear" w:color="auto" w:fill="auto"/>
            <w:vAlign w:val="center"/>
            <w:hideMark/>
          </w:tcPr>
          <w:p w14:paraId="1B9E1B86" w14:textId="5AF61738"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368.946.460</w:t>
            </w:r>
          </w:p>
        </w:tc>
      </w:tr>
      <w:tr w:rsidR="00E94133" w:rsidRPr="00FB38E1" w14:paraId="10B5C194" w14:textId="77777777" w:rsidTr="00F95DA1">
        <w:trPr>
          <w:trHeight w:val="159"/>
        </w:trPr>
        <w:tc>
          <w:tcPr>
            <w:tcW w:w="4792" w:type="dxa"/>
            <w:tcBorders>
              <w:top w:val="nil"/>
              <w:left w:val="nil"/>
              <w:bottom w:val="nil"/>
              <w:right w:val="nil"/>
            </w:tcBorders>
            <w:shd w:val="clear" w:color="auto" w:fill="auto"/>
            <w:vAlign w:val="bottom"/>
            <w:hideMark/>
          </w:tcPr>
          <w:p w14:paraId="610B7338"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Dönem içinde kapanan krediler</w:t>
            </w:r>
          </w:p>
        </w:tc>
        <w:tc>
          <w:tcPr>
            <w:tcW w:w="1291" w:type="dxa"/>
            <w:tcBorders>
              <w:top w:val="nil"/>
              <w:left w:val="nil"/>
              <w:bottom w:val="nil"/>
              <w:right w:val="nil"/>
            </w:tcBorders>
            <w:shd w:val="clear" w:color="auto" w:fill="auto"/>
            <w:vAlign w:val="center"/>
            <w:hideMark/>
          </w:tcPr>
          <w:p w14:paraId="0F501E10" w14:textId="5DFB7D2F"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(134.967.621)</w:t>
            </w:r>
          </w:p>
        </w:tc>
        <w:tc>
          <w:tcPr>
            <w:tcW w:w="1181" w:type="dxa"/>
            <w:tcBorders>
              <w:top w:val="nil"/>
              <w:left w:val="nil"/>
              <w:bottom w:val="nil"/>
              <w:right w:val="nil"/>
            </w:tcBorders>
            <w:shd w:val="clear" w:color="auto" w:fill="auto"/>
            <w:vAlign w:val="center"/>
            <w:hideMark/>
          </w:tcPr>
          <w:p w14:paraId="0F9E02D0" w14:textId="1D78C1C3"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(21.015.652)</w:t>
            </w:r>
          </w:p>
        </w:tc>
        <w:tc>
          <w:tcPr>
            <w:tcW w:w="1050" w:type="dxa"/>
            <w:tcBorders>
              <w:top w:val="nil"/>
              <w:left w:val="nil"/>
              <w:bottom w:val="nil"/>
              <w:right w:val="nil"/>
            </w:tcBorders>
            <w:shd w:val="clear" w:color="auto" w:fill="auto"/>
            <w:vAlign w:val="center"/>
            <w:hideMark/>
          </w:tcPr>
          <w:p w14:paraId="3BDEA57A" w14:textId="7BDED7A3"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(5.432.233)</w:t>
            </w:r>
          </w:p>
        </w:tc>
        <w:tc>
          <w:tcPr>
            <w:tcW w:w="1291" w:type="dxa"/>
            <w:tcBorders>
              <w:top w:val="nil"/>
              <w:left w:val="nil"/>
              <w:bottom w:val="nil"/>
              <w:right w:val="nil"/>
            </w:tcBorders>
            <w:shd w:val="clear" w:color="auto" w:fill="auto"/>
            <w:vAlign w:val="center"/>
            <w:hideMark/>
          </w:tcPr>
          <w:p w14:paraId="677F10D6" w14:textId="3547A609"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(161.415.506)</w:t>
            </w:r>
          </w:p>
        </w:tc>
      </w:tr>
      <w:tr w:rsidR="00E94133" w:rsidRPr="00FB38E1" w14:paraId="1CE07628" w14:textId="77777777" w:rsidTr="00F95DA1">
        <w:trPr>
          <w:trHeight w:val="159"/>
        </w:trPr>
        <w:tc>
          <w:tcPr>
            <w:tcW w:w="4792" w:type="dxa"/>
            <w:tcBorders>
              <w:top w:val="nil"/>
              <w:left w:val="nil"/>
              <w:bottom w:val="nil"/>
              <w:right w:val="nil"/>
            </w:tcBorders>
            <w:shd w:val="clear" w:color="auto" w:fill="auto"/>
            <w:vAlign w:val="bottom"/>
            <w:hideMark/>
          </w:tcPr>
          <w:p w14:paraId="27D00A75"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Kayıttan düşülen (*)</w:t>
            </w:r>
          </w:p>
        </w:tc>
        <w:tc>
          <w:tcPr>
            <w:tcW w:w="1291" w:type="dxa"/>
            <w:tcBorders>
              <w:top w:val="nil"/>
              <w:left w:val="nil"/>
              <w:bottom w:val="nil"/>
              <w:right w:val="nil"/>
            </w:tcBorders>
            <w:shd w:val="clear" w:color="auto" w:fill="auto"/>
            <w:vAlign w:val="center"/>
            <w:hideMark/>
          </w:tcPr>
          <w:p w14:paraId="732DED1D" w14:textId="1EF70838"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w:t>
            </w:r>
          </w:p>
        </w:tc>
        <w:tc>
          <w:tcPr>
            <w:tcW w:w="1181" w:type="dxa"/>
            <w:tcBorders>
              <w:top w:val="nil"/>
              <w:left w:val="nil"/>
              <w:bottom w:val="nil"/>
              <w:right w:val="nil"/>
            </w:tcBorders>
            <w:shd w:val="clear" w:color="auto" w:fill="auto"/>
            <w:vAlign w:val="center"/>
            <w:hideMark/>
          </w:tcPr>
          <w:p w14:paraId="43EE5DBB" w14:textId="3CC0C597"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w:t>
            </w:r>
          </w:p>
        </w:tc>
        <w:tc>
          <w:tcPr>
            <w:tcW w:w="1050" w:type="dxa"/>
            <w:tcBorders>
              <w:top w:val="nil"/>
              <w:left w:val="nil"/>
              <w:bottom w:val="nil"/>
              <w:right w:val="nil"/>
            </w:tcBorders>
            <w:shd w:val="clear" w:color="auto" w:fill="auto"/>
            <w:vAlign w:val="center"/>
            <w:hideMark/>
          </w:tcPr>
          <w:p w14:paraId="2A8EB3DD" w14:textId="3A2C2643"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(2.579.112)</w:t>
            </w:r>
          </w:p>
        </w:tc>
        <w:tc>
          <w:tcPr>
            <w:tcW w:w="1291" w:type="dxa"/>
            <w:tcBorders>
              <w:top w:val="nil"/>
              <w:left w:val="nil"/>
              <w:bottom w:val="nil"/>
              <w:right w:val="nil"/>
            </w:tcBorders>
            <w:shd w:val="clear" w:color="auto" w:fill="auto"/>
            <w:vAlign w:val="center"/>
            <w:hideMark/>
          </w:tcPr>
          <w:p w14:paraId="3F96F276" w14:textId="7381E815"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(2.579.112)</w:t>
            </w:r>
          </w:p>
        </w:tc>
      </w:tr>
      <w:tr w:rsidR="00E94133" w:rsidRPr="00FB38E1" w14:paraId="4CB4D307" w14:textId="77777777" w:rsidTr="00F95DA1">
        <w:trPr>
          <w:trHeight w:val="159"/>
        </w:trPr>
        <w:tc>
          <w:tcPr>
            <w:tcW w:w="4792" w:type="dxa"/>
            <w:tcBorders>
              <w:top w:val="nil"/>
              <w:left w:val="nil"/>
              <w:bottom w:val="nil"/>
              <w:right w:val="nil"/>
            </w:tcBorders>
            <w:shd w:val="clear" w:color="auto" w:fill="auto"/>
            <w:vAlign w:val="bottom"/>
          </w:tcPr>
          <w:p w14:paraId="6A219579"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Satılan krediler (*)</w:t>
            </w:r>
          </w:p>
        </w:tc>
        <w:tc>
          <w:tcPr>
            <w:tcW w:w="1291" w:type="dxa"/>
            <w:tcBorders>
              <w:top w:val="nil"/>
              <w:left w:val="nil"/>
              <w:bottom w:val="nil"/>
              <w:right w:val="nil"/>
            </w:tcBorders>
            <w:shd w:val="clear" w:color="auto" w:fill="auto"/>
            <w:vAlign w:val="center"/>
          </w:tcPr>
          <w:p w14:paraId="257044F6" w14:textId="069E7867"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w:t>
            </w:r>
          </w:p>
        </w:tc>
        <w:tc>
          <w:tcPr>
            <w:tcW w:w="1181" w:type="dxa"/>
            <w:tcBorders>
              <w:top w:val="nil"/>
              <w:left w:val="nil"/>
              <w:bottom w:val="nil"/>
              <w:right w:val="nil"/>
            </w:tcBorders>
            <w:shd w:val="clear" w:color="auto" w:fill="auto"/>
            <w:vAlign w:val="center"/>
          </w:tcPr>
          <w:p w14:paraId="5F124A76" w14:textId="5B7D4918"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w:t>
            </w:r>
          </w:p>
        </w:tc>
        <w:tc>
          <w:tcPr>
            <w:tcW w:w="1050" w:type="dxa"/>
            <w:tcBorders>
              <w:top w:val="nil"/>
              <w:left w:val="nil"/>
              <w:bottom w:val="nil"/>
              <w:right w:val="nil"/>
            </w:tcBorders>
            <w:shd w:val="clear" w:color="auto" w:fill="auto"/>
            <w:vAlign w:val="center"/>
          </w:tcPr>
          <w:p w14:paraId="5BBF7A71" w14:textId="2D844C87"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(3.457.570)</w:t>
            </w:r>
          </w:p>
        </w:tc>
        <w:tc>
          <w:tcPr>
            <w:tcW w:w="1291" w:type="dxa"/>
            <w:tcBorders>
              <w:top w:val="nil"/>
              <w:left w:val="nil"/>
              <w:bottom w:val="nil"/>
              <w:right w:val="nil"/>
            </w:tcBorders>
            <w:shd w:val="clear" w:color="auto" w:fill="auto"/>
            <w:vAlign w:val="center"/>
          </w:tcPr>
          <w:p w14:paraId="5BC91844" w14:textId="7804CF5D"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(3.457.570)</w:t>
            </w:r>
          </w:p>
        </w:tc>
      </w:tr>
      <w:tr w:rsidR="00E94133" w:rsidRPr="00FB38E1" w14:paraId="239719CD" w14:textId="77777777" w:rsidTr="00F95DA1">
        <w:trPr>
          <w:trHeight w:val="159"/>
        </w:trPr>
        <w:tc>
          <w:tcPr>
            <w:tcW w:w="4792" w:type="dxa"/>
            <w:tcBorders>
              <w:top w:val="nil"/>
              <w:left w:val="nil"/>
              <w:bottom w:val="single" w:sz="4" w:space="0" w:color="auto"/>
              <w:right w:val="nil"/>
            </w:tcBorders>
            <w:shd w:val="clear" w:color="auto" w:fill="auto"/>
            <w:vAlign w:val="bottom"/>
            <w:hideMark/>
          </w:tcPr>
          <w:p w14:paraId="501083B7" w14:textId="77777777" w:rsidR="00E94133" w:rsidRPr="00FB38E1" w:rsidRDefault="00E94133" w:rsidP="00E94133">
            <w:pPr>
              <w:spacing w:after="0"/>
              <w:jc w:val="left"/>
              <w:rPr>
                <w:rFonts w:ascii="Microsoft Sans Serif" w:eastAsia="Times New Roman" w:hAnsi="Microsoft Sans Serif" w:cs="Microsoft Sans Serif"/>
                <w:color w:val="404040"/>
                <w:sz w:val="16"/>
                <w:szCs w:val="16"/>
                <w:lang w:eastAsia="tr-TR"/>
              </w:rPr>
            </w:pPr>
            <w:r w:rsidRPr="00FB38E1">
              <w:rPr>
                <w:rFonts w:ascii="Microsoft Sans Serif" w:eastAsia="Times New Roman" w:hAnsi="Microsoft Sans Serif" w:cs="Microsoft Sans Serif"/>
                <w:color w:val="404040"/>
                <w:sz w:val="16"/>
                <w:szCs w:val="16"/>
                <w:lang w:eastAsia="tr-TR"/>
              </w:rPr>
              <w:t>Kur farkı</w:t>
            </w:r>
          </w:p>
        </w:tc>
        <w:tc>
          <w:tcPr>
            <w:tcW w:w="1291" w:type="dxa"/>
            <w:tcBorders>
              <w:top w:val="nil"/>
              <w:left w:val="nil"/>
              <w:bottom w:val="single" w:sz="4" w:space="0" w:color="auto"/>
              <w:right w:val="nil"/>
            </w:tcBorders>
            <w:shd w:val="clear" w:color="auto" w:fill="auto"/>
            <w:vAlign w:val="center"/>
            <w:hideMark/>
          </w:tcPr>
          <w:p w14:paraId="2499EAF5" w14:textId="2A4BF579"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30.805.770</w:t>
            </w:r>
          </w:p>
        </w:tc>
        <w:tc>
          <w:tcPr>
            <w:tcW w:w="1181" w:type="dxa"/>
            <w:tcBorders>
              <w:top w:val="nil"/>
              <w:left w:val="nil"/>
              <w:bottom w:val="single" w:sz="4" w:space="0" w:color="auto"/>
              <w:right w:val="nil"/>
            </w:tcBorders>
            <w:shd w:val="clear" w:color="auto" w:fill="auto"/>
            <w:vAlign w:val="center"/>
            <w:hideMark/>
          </w:tcPr>
          <w:p w14:paraId="3FD78CED" w14:textId="20E2CA6D"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3.158.489</w:t>
            </w:r>
          </w:p>
        </w:tc>
        <w:tc>
          <w:tcPr>
            <w:tcW w:w="1050" w:type="dxa"/>
            <w:tcBorders>
              <w:top w:val="nil"/>
              <w:left w:val="nil"/>
              <w:bottom w:val="single" w:sz="4" w:space="0" w:color="auto"/>
              <w:right w:val="nil"/>
            </w:tcBorders>
            <w:shd w:val="clear" w:color="auto" w:fill="auto"/>
            <w:vAlign w:val="center"/>
            <w:hideMark/>
          </w:tcPr>
          <w:p w14:paraId="4B46245B" w14:textId="3BD101D1"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301.424</w:t>
            </w:r>
          </w:p>
        </w:tc>
        <w:tc>
          <w:tcPr>
            <w:tcW w:w="1291" w:type="dxa"/>
            <w:tcBorders>
              <w:top w:val="nil"/>
              <w:left w:val="nil"/>
              <w:bottom w:val="single" w:sz="4" w:space="0" w:color="auto"/>
              <w:right w:val="nil"/>
            </w:tcBorders>
            <w:shd w:val="clear" w:color="auto" w:fill="auto"/>
            <w:vAlign w:val="center"/>
            <w:hideMark/>
          </w:tcPr>
          <w:p w14:paraId="5CEDA31B" w14:textId="09CDF724" w:rsidR="00E94133" w:rsidRPr="00FB38E1" w:rsidRDefault="00E94133" w:rsidP="00E94133">
            <w:pPr>
              <w:spacing w:after="0"/>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34.265.683</w:t>
            </w:r>
          </w:p>
        </w:tc>
      </w:tr>
      <w:tr w:rsidR="00E94133" w:rsidRPr="00FB38E1" w14:paraId="55573E9B" w14:textId="77777777" w:rsidTr="00F95DA1">
        <w:trPr>
          <w:trHeight w:val="159"/>
        </w:trPr>
        <w:tc>
          <w:tcPr>
            <w:tcW w:w="4792" w:type="dxa"/>
            <w:tcBorders>
              <w:top w:val="single" w:sz="4" w:space="0" w:color="auto"/>
              <w:left w:val="nil"/>
              <w:bottom w:val="thickThinSmallGap" w:sz="24" w:space="0" w:color="auto"/>
              <w:right w:val="nil"/>
            </w:tcBorders>
            <w:shd w:val="clear" w:color="auto" w:fill="auto"/>
            <w:vAlign w:val="bottom"/>
            <w:hideMark/>
          </w:tcPr>
          <w:p w14:paraId="76C5A2E3" w14:textId="7671A57C" w:rsidR="00E94133" w:rsidRPr="00FB38E1" w:rsidRDefault="00E94133" w:rsidP="00E94133">
            <w:pPr>
              <w:spacing w:after="0"/>
              <w:jc w:val="left"/>
              <w:rPr>
                <w:rFonts w:ascii="Microsoft Sans Serif" w:eastAsia="Times New Roman" w:hAnsi="Microsoft Sans Serif" w:cs="Microsoft Sans Serif"/>
                <w:b/>
                <w:bCs/>
                <w:color w:val="000000"/>
                <w:sz w:val="16"/>
                <w:szCs w:val="16"/>
                <w:lang w:eastAsia="tr-TR"/>
              </w:rPr>
            </w:pPr>
            <w:r w:rsidRPr="00FB38E1">
              <w:rPr>
                <w:rFonts w:ascii="Microsoft Sans Serif" w:eastAsia="Times New Roman" w:hAnsi="Microsoft Sans Serif" w:cs="Microsoft Sans Serif"/>
                <w:b/>
                <w:bCs/>
                <w:color w:val="000000"/>
                <w:sz w:val="16"/>
                <w:szCs w:val="16"/>
                <w:lang w:eastAsia="tr-TR"/>
              </w:rPr>
              <w:t>Dönem Sonu (31 Aralık 2024)</w:t>
            </w:r>
          </w:p>
        </w:tc>
        <w:tc>
          <w:tcPr>
            <w:tcW w:w="1291" w:type="dxa"/>
            <w:tcBorders>
              <w:top w:val="single" w:sz="4" w:space="0" w:color="auto"/>
              <w:left w:val="nil"/>
              <w:bottom w:val="thickThinSmallGap" w:sz="24" w:space="0" w:color="auto"/>
              <w:right w:val="nil"/>
            </w:tcBorders>
            <w:shd w:val="clear" w:color="auto" w:fill="auto"/>
            <w:vAlign w:val="center"/>
            <w:hideMark/>
          </w:tcPr>
          <w:p w14:paraId="1706E15E" w14:textId="2C0EB7FC" w:rsidR="00E94133" w:rsidRPr="00FB38E1" w:rsidRDefault="00E94133" w:rsidP="00E94133">
            <w:pPr>
              <w:spacing w:after="0"/>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bCs/>
                <w:color w:val="404040"/>
                <w:sz w:val="16"/>
                <w:szCs w:val="16"/>
              </w:rPr>
              <w:t>634.268.997</w:t>
            </w:r>
          </w:p>
        </w:tc>
        <w:tc>
          <w:tcPr>
            <w:tcW w:w="1181" w:type="dxa"/>
            <w:tcBorders>
              <w:top w:val="single" w:sz="4" w:space="0" w:color="auto"/>
              <w:left w:val="nil"/>
              <w:bottom w:val="thickThinSmallGap" w:sz="24" w:space="0" w:color="auto"/>
              <w:right w:val="nil"/>
            </w:tcBorders>
            <w:shd w:val="clear" w:color="auto" w:fill="auto"/>
            <w:vAlign w:val="center"/>
            <w:hideMark/>
          </w:tcPr>
          <w:p w14:paraId="7E009335" w14:textId="785C5A59" w:rsidR="00E94133" w:rsidRPr="00FB38E1" w:rsidRDefault="00E94133" w:rsidP="00E94133">
            <w:pPr>
              <w:spacing w:after="0"/>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bCs/>
                <w:color w:val="404040"/>
                <w:sz w:val="16"/>
                <w:szCs w:val="16"/>
              </w:rPr>
              <w:t>74.205.142</w:t>
            </w:r>
          </w:p>
        </w:tc>
        <w:tc>
          <w:tcPr>
            <w:tcW w:w="1050" w:type="dxa"/>
            <w:tcBorders>
              <w:top w:val="single" w:sz="4" w:space="0" w:color="auto"/>
              <w:left w:val="nil"/>
              <w:bottom w:val="thickThinSmallGap" w:sz="24" w:space="0" w:color="auto"/>
              <w:right w:val="nil"/>
            </w:tcBorders>
            <w:shd w:val="clear" w:color="auto" w:fill="auto"/>
            <w:vAlign w:val="center"/>
            <w:hideMark/>
          </w:tcPr>
          <w:p w14:paraId="771C6411" w14:textId="3006D18E" w:rsidR="00E94133" w:rsidRPr="00FB38E1" w:rsidRDefault="00E94133" w:rsidP="00E94133">
            <w:pPr>
              <w:spacing w:after="0"/>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bCs/>
                <w:color w:val="404040"/>
                <w:sz w:val="16"/>
                <w:szCs w:val="16"/>
              </w:rPr>
              <w:t>27.744.142</w:t>
            </w:r>
          </w:p>
        </w:tc>
        <w:tc>
          <w:tcPr>
            <w:tcW w:w="1291" w:type="dxa"/>
            <w:tcBorders>
              <w:top w:val="single" w:sz="4" w:space="0" w:color="auto"/>
              <w:left w:val="nil"/>
              <w:bottom w:val="thickThinSmallGap" w:sz="24" w:space="0" w:color="auto"/>
              <w:right w:val="nil"/>
            </w:tcBorders>
            <w:shd w:val="clear" w:color="auto" w:fill="auto"/>
            <w:vAlign w:val="center"/>
            <w:hideMark/>
          </w:tcPr>
          <w:p w14:paraId="1737DE48" w14:textId="3121FF06" w:rsidR="00E94133" w:rsidRPr="00FB38E1" w:rsidRDefault="00E94133" w:rsidP="00E94133">
            <w:pPr>
              <w:spacing w:after="0"/>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bCs/>
                <w:color w:val="404040"/>
                <w:sz w:val="16"/>
                <w:szCs w:val="16"/>
              </w:rPr>
              <w:t>736.218.281</w:t>
            </w:r>
          </w:p>
        </w:tc>
      </w:tr>
    </w:tbl>
    <w:bookmarkEnd w:id="27"/>
    <w:p w14:paraId="0F09A0F8" w14:textId="01C7096B" w:rsidR="00D1663E" w:rsidRPr="00FB38E1" w:rsidRDefault="00D1663E" w:rsidP="00D1663E">
      <w:pPr>
        <w:pStyle w:val="BASLIK2"/>
        <w:spacing w:before="60" w:after="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 31 Aralık 202</w:t>
      </w:r>
      <w:r w:rsidR="00CE3C4E" w:rsidRPr="00FB38E1">
        <w:rPr>
          <w:rFonts w:ascii="Microsoft Sans Serif" w:hAnsi="Microsoft Sans Serif" w:cs="Microsoft Sans Serif"/>
          <w:b w:val="0"/>
          <w:color w:val="404040" w:themeColor="text1" w:themeTint="BF"/>
          <w:sz w:val="14"/>
          <w:szCs w:val="14"/>
        </w:rPr>
        <w:t>4</w:t>
      </w:r>
      <w:r w:rsidRPr="00FB38E1">
        <w:rPr>
          <w:rFonts w:ascii="Microsoft Sans Serif" w:hAnsi="Microsoft Sans Serif" w:cs="Microsoft Sans Serif"/>
          <w:b w:val="0"/>
          <w:color w:val="404040" w:themeColor="text1" w:themeTint="BF"/>
          <w:sz w:val="14"/>
          <w:szCs w:val="14"/>
        </w:rPr>
        <w:t xml:space="preserve"> itibarıyla Banka, BDDK tarafından 27 Kasım 2019 tarih ve 30961 sayılı Resmi Gazete’de yayımlanan Karşılıklar Yönetmeliği değişikliğine uygun olarak, Beşinci Grup - Zarar Niteliğindeki Krediler altında sınıflandırılan ve borçlunun temerrüdü nedeniyle ömür boyu beklenen kredi zararı karşılığı ayrılan kredilerin geri kazanılmasına ilişkin makul beklentiler bulunmayan kısmını, beşinci grupta sınıflandırılmalarını takip eden ilk raporlama döneminden itibaren TFRS 9 kapsamında kayıtlardan düşebilmektedir. Bu kapsamda </w:t>
      </w:r>
      <w:r w:rsidR="00187A48" w:rsidRPr="00FB38E1">
        <w:rPr>
          <w:rFonts w:ascii="Microsoft Sans Serif" w:hAnsi="Microsoft Sans Serif" w:cs="Microsoft Sans Serif"/>
          <w:b w:val="0"/>
          <w:color w:val="404040" w:themeColor="text1" w:themeTint="BF"/>
          <w:sz w:val="14"/>
          <w:szCs w:val="14"/>
        </w:rPr>
        <w:t>2.579.112</w:t>
      </w:r>
      <w:r w:rsidRPr="00FB38E1">
        <w:rPr>
          <w:rFonts w:ascii="Microsoft Sans Serif" w:hAnsi="Microsoft Sans Serif" w:cs="Microsoft Sans Serif"/>
          <w:b w:val="0"/>
          <w:color w:val="404040" w:themeColor="text1" w:themeTint="BF"/>
          <w:sz w:val="14"/>
          <w:szCs w:val="14"/>
        </w:rPr>
        <w:t xml:space="preserve"> TL tutarındaki krediler kayıtlardan düşülmüş, </w:t>
      </w:r>
      <w:r w:rsidR="00187A48" w:rsidRPr="00FB38E1">
        <w:rPr>
          <w:rFonts w:ascii="Microsoft Sans Serif" w:hAnsi="Microsoft Sans Serif" w:cs="Microsoft Sans Serif"/>
          <w:b w:val="0"/>
          <w:color w:val="404040" w:themeColor="text1" w:themeTint="BF"/>
          <w:sz w:val="14"/>
          <w:szCs w:val="14"/>
        </w:rPr>
        <w:t>3.457.570</w:t>
      </w:r>
      <w:r w:rsidRPr="00FB38E1">
        <w:rPr>
          <w:rFonts w:ascii="Microsoft Sans Serif" w:hAnsi="Microsoft Sans Serif" w:cs="Microsoft Sans Serif"/>
          <w:b w:val="0"/>
          <w:color w:val="404040" w:themeColor="text1" w:themeTint="BF"/>
          <w:sz w:val="14"/>
          <w:szCs w:val="14"/>
        </w:rPr>
        <w:t xml:space="preserve"> TL tutarındaki krediler satılmıştır. Dönem içerisinde ilgili Karşılıklar Yönetmeliği’nde yapılan değişikliğe uygun olarak kayıttan düşülen ve satılan kredilerin toplamının Banka’nın takibe dönüşüm oranına etkisi </w:t>
      </w:r>
      <w:r w:rsidR="00187A48" w:rsidRPr="00FB38E1">
        <w:rPr>
          <w:rFonts w:ascii="Microsoft Sans Serif" w:hAnsi="Microsoft Sans Serif" w:cs="Microsoft Sans Serif"/>
          <w:b w:val="0"/>
          <w:color w:val="404040" w:themeColor="text1" w:themeTint="BF"/>
          <w:sz w:val="14"/>
          <w:szCs w:val="14"/>
        </w:rPr>
        <w:t>78</w:t>
      </w:r>
      <w:r w:rsidRPr="00FB38E1">
        <w:rPr>
          <w:rFonts w:ascii="Microsoft Sans Serif" w:hAnsi="Microsoft Sans Serif" w:cs="Microsoft Sans Serif"/>
          <w:b w:val="0"/>
          <w:color w:val="404040" w:themeColor="text1" w:themeTint="BF"/>
          <w:sz w:val="14"/>
          <w:szCs w:val="14"/>
        </w:rPr>
        <w:t xml:space="preserve"> baz puandır.</w:t>
      </w:r>
    </w:p>
    <w:p w14:paraId="7F7109B4" w14:textId="77777777" w:rsidR="00D1663E" w:rsidRPr="00FB38E1" w:rsidRDefault="00D1663E" w:rsidP="00D1663E">
      <w:pPr>
        <w:spacing w:before="120" w:after="0"/>
        <w:rPr>
          <w:rFonts w:ascii="Microsoft Sans Serif" w:hAnsi="Microsoft Sans Serif" w:cs="Microsoft Sans Serif"/>
          <w:bCs/>
          <w:iCs/>
          <w:color w:val="404040" w:themeColor="text1" w:themeTint="BF"/>
          <w:position w:val="6"/>
          <w:sz w:val="16"/>
          <w:szCs w:val="16"/>
        </w:rPr>
      </w:pPr>
    </w:p>
    <w:p w14:paraId="2E8E46C3" w14:textId="77777777" w:rsidR="00D1663E" w:rsidRPr="00FB38E1" w:rsidRDefault="00D1663E" w:rsidP="00D1663E">
      <w:pPr>
        <w:spacing w:before="120" w:after="0"/>
        <w:rPr>
          <w:rFonts w:ascii="Microsoft Sans Serif" w:eastAsia="Arial Unicode MS" w:hAnsi="Microsoft Sans Serif" w:cs="Microsoft Sans Serif"/>
          <w:color w:val="404040" w:themeColor="text1" w:themeTint="BF"/>
          <w:sz w:val="16"/>
          <w:szCs w:val="16"/>
        </w:rPr>
      </w:pPr>
      <w:r w:rsidRPr="00FB38E1">
        <w:rPr>
          <w:rFonts w:ascii="Microsoft Sans Serif" w:eastAsia="Arial Unicode MS" w:hAnsi="Microsoft Sans Serif" w:cs="Microsoft Sans Serif"/>
          <w:color w:val="404040" w:themeColor="text1" w:themeTint="BF"/>
          <w:sz w:val="16"/>
          <w:szCs w:val="16"/>
        </w:rPr>
        <w:br w:type="page"/>
      </w:r>
    </w:p>
    <w:p w14:paraId="233D70CC" w14:textId="77777777" w:rsidR="00D1663E" w:rsidRPr="00FB38E1" w:rsidRDefault="00D1663E" w:rsidP="00D1663E">
      <w:pPr>
        <w:pStyle w:val="ListParagraph"/>
        <w:spacing w:before="240" w:after="120" w:line="240" w:lineRule="exact"/>
        <w:ind w:left="0"/>
        <w:contextualSpacing w:val="0"/>
        <w:rPr>
          <w:rFonts w:ascii="Microsoft Sans Serif" w:eastAsia="Arial Unicode MS" w:hAnsi="Microsoft Sans Serif" w:cs="Microsoft Sans Serif"/>
          <w:color w:val="404040" w:themeColor="text1" w:themeTint="BF"/>
          <w:sz w:val="20"/>
          <w:szCs w:val="20"/>
        </w:rPr>
        <w:sectPr w:rsidR="00D1663E" w:rsidRPr="00FB38E1" w:rsidSect="00DD2AA1">
          <w:headerReference w:type="default" r:id="rId45"/>
          <w:footerReference w:type="default" r:id="rId46"/>
          <w:pgSz w:w="11906" w:h="16838"/>
          <w:pgMar w:top="-1985" w:right="567" w:bottom="-862" w:left="1701" w:header="709" w:footer="306" w:gutter="0"/>
          <w:cols w:space="708"/>
          <w:docGrid w:linePitch="360"/>
        </w:sectPr>
      </w:pPr>
    </w:p>
    <w:p w14:paraId="071D004E" w14:textId="77777777" w:rsidR="00D1663E" w:rsidRPr="00FB38E1" w:rsidRDefault="00D1663E" w:rsidP="00364B59">
      <w:pPr>
        <w:pStyle w:val="ListParagraph"/>
        <w:numPr>
          <w:ilvl w:val="0"/>
          <w:numId w:val="51"/>
        </w:numPr>
        <w:spacing w:before="240" w:after="120" w:line="240" w:lineRule="exact"/>
        <w:ind w:left="0" w:hanging="426"/>
        <w:contextualSpacing w:val="0"/>
        <w:rPr>
          <w:rFonts w:ascii="Microsoft Sans Serif" w:hAnsi="Microsoft Sans Serif" w:cs="Microsoft Sans Serif"/>
          <w:b/>
          <w:bCs/>
          <w:iCs/>
          <w:sz w:val="20"/>
          <w:szCs w:val="20"/>
        </w:rPr>
      </w:pPr>
      <w:r w:rsidRPr="00FB38E1">
        <w:rPr>
          <w:rFonts w:ascii="Microsoft Sans Serif" w:hAnsi="Microsoft Sans Serif" w:cs="Microsoft Sans Serif"/>
          <w:b/>
          <w:iCs/>
          <w:sz w:val="20"/>
          <w:szCs w:val="20"/>
        </w:rPr>
        <w:t>Önemli bölgelerdeki önemlilik arz eden risklere ilişkin profil</w:t>
      </w:r>
    </w:p>
    <w:tbl>
      <w:tblPr>
        <w:tblStyle w:val="TableGrid"/>
        <w:tblW w:w="1445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73"/>
        <w:gridCol w:w="791"/>
        <w:gridCol w:w="655"/>
        <w:gridCol w:w="652"/>
        <w:gridCol w:w="296"/>
        <w:gridCol w:w="320"/>
        <w:gridCol w:w="725"/>
        <w:gridCol w:w="792"/>
        <w:gridCol w:w="792"/>
        <w:gridCol w:w="716"/>
        <w:gridCol w:w="716"/>
        <w:gridCol w:w="716"/>
        <w:gridCol w:w="298"/>
        <w:gridCol w:w="344"/>
        <w:gridCol w:w="344"/>
        <w:gridCol w:w="549"/>
        <w:gridCol w:w="725"/>
        <w:gridCol w:w="772"/>
        <w:gridCol w:w="883"/>
      </w:tblGrid>
      <w:tr w:rsidR="00D1663E" w:rsidRPr="00FB38E1" w14:paraId="63DE0486" w14:textId="77777777" w:rsidTr="001B6DB1">
        <w:tc>
          <w:tcPr>
            <w:tcW w:w="1171" w:type="pct"/>
            <w:tcBorders>
              <w:top w:val="thinThickSmallGap" w:sz="24" w:space="0" w:color="auto"/>
              <w:bottom w:val="nil"/>
            </w:tcBorders>
            <w:vAlign w:val="bottom"/>
          </w:tcPr>
          <w:p w14:paraId="7EA15AAB" w14:textId="77777777" w:rsidR="00D1663E" w:rsidRPr="00FB38E1" w:rsidRDefault="00D1663E" w:rsidP="00836EF2">
            <w:pPr>
              <w:rPr>
                <w:rFonts w:ascii="Microsoft Sans Serif" w:hAnsi="Microsoft Sans Serif" w:cs="Microsoft Sans Serif"/>
                <w:b/>
                <w:color w:val="000000"/>
                <w:sz w:val="12"/>
                <w:szCs w:val="12"/>
              </w:rPr>
            </w:pPr>
          </w:p>
        </w:tc>
        <w:tc>
          <w:tcPr>
            <w:tcW w:w="3829" w:type="pct"/>
            <w:gridSpan w:val="18"/>
            <w:tcBorders>
              <w:top w:val="thinThickSmallGap" w:sz="24" w:space="0" w:color="auto"/>
              <w:bottom w:val="nil"/>
            </w:tcBorders>
            <w:vAlign w:val="bottom"/>
          </w:tcPr>
          <w:p w14:paraId="0F204404" w14:textId="77777777" w:rsidR="00D1663E" w:rsidRPr="00FB38E1" w:rsidRDefault="00D1663E" w:rsidP="00836EF2">
            <w:pPr>
              <w:jc w:val="center"/>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Risk Sınıfları (*)(***)</w:t>
            </w:r>
          </w:p>
        </w:tc>
      </w:tr>
      <w:tr w:rsidR="00D1663E" w:rsidRPr="00FB38E1" w14:paraId="594135B5" w14:textId="77777777" w:rsidTr="001B6DB1">
        <w:tc>
          <w:tcPr>
            <w:tcW w:w="1171" w:type="pct"/>
            <w:tcBorders>
              <w:top w:val="nil"/>
              <w:bottom w:val="single" w:sz="4" w:space="0" w:color="auto"/>
            </w:tcBorders>
            <w:vAlign w:val="center"/>
          </w:tcPr>
          <w:p w14:paraId="576075ED" w14:textId="77777777" w:rsidR="00D1663E" w:rsidRPr="00FB38E1" w:rsidRDefault="00D1663E" w:rsidP="00836EF2">
            <w:pPr>
              <w:rPr>
                <w:rFonts w:ascii="Microsoft Sans Serif" w:hAnsi="Microsoft Sans Serif" w:cs="Microsoft Sans Serif"/>
                <w:color w:val="404040"/>
                <w:sz w:val="12"/>
                <w:szCs w:val="12"/>
              </w:rPr>
            </w:pPr>
            <w:r w:rsidRPr="00FB38E1">
              <w:rPr>
                <w:rFonts w:ascii="Microsoft Sans Serif" w:hAnsi="Microsoft Sans Serif" w:cs="Microsoft Sans Serif"/>
                <w:b/>
                <w:color w:val="000000"/>
                <w:sz w:val="12"/>
                <w:szCs w:val="12"/>
              </w:rPr>
              <w:t>Cari Dönem</w:t>
            </w:r>
          </w:p>
        </w:tc>
        <w:tc>
          <w:tcPr>
            <w:tcW w:w="278" w:type="pct"/>
            <w:tcBorders>
              <w:top w:val="single" w:sz="4" w:space="0" w:color="auto"/>
              <w:left w:val="nil"/>
              <w:bottom w:val="single" w:sz="4" w:space="0" w:color="auto"/>
              <w:right w:val="nil"/>
            </w:tcBorders>
            <w:shd w:val="clear" w:color="auto" w:fill="auto"/>
            <w:vAlign w:val="bottom"/>
          </w:tcPr>
          <w:p w14:paraId="2A98D87F"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w:t>
            </w:r>
          </w:p>
        </w:tc>
        <w:tc>
          <w:tcPr>
            <w:tcW w:w="231" w:type="pct"/>
            <w:tcBorders>
              <w:top w:val="single" w:sz="4" w:space="0" w:color="auto"/>
              <w:bottom w:val="single" w:sz="4" w:space="0" w:color="auto"/>
            </w:tcBorders>
          </w:tcPr>
          <w:p w14:paraId="44B639FB"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2</w:t>
            </w:r>
          </w:p>
        </w:tc>
        <w:tc>
          <w:tcPr>
            <w:tcW w:w="230" w:type="pct"/>
            <w:tcBorders>
              <w:top w:val="single" w:sz="4" w:space="0" w:color="auto"/>
              <w:bottom w:val="single" w:sz="4" w:space="0" w:color="auto"/>
            </w:tcBorders>
          </w:tcPr>
          <w:p w14:paraId="1DDB34B7"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3</w:t>
            </w:r>
          </w:p>
        </w:tc>
        <w:tc>
          <w:tcPr>
            <w:tcW w:w="107" w:type="pct"/>
            <w:tcBorders>
              <w:top w:val="single" w:sz="4" w:space="0" w:color="auto"/>
              <w:bottom w:val="single" w:sz="4" w:space="0" w:color="auto"/>
            </w:tcBorders>
          </w:tcPr>
          <w:p w14:paraId="7D8224D9"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4</w:t>
            </w:r>
          </w:p>
        </w:tc>
        <w:tc>
          <w:tcPr>
            <w:tcW w:w="115" w:type="pct"/>
            <w:tcBorders>
              <w:top w:val="single" w:sz="4" w:space="0" w:color="auto"/>
              <w:bottom w:val="single" w:sz="4" w:space="0" w:color="auto"/>
            </w:tcBorders>
          </w:tcPr>
          <w:p w14:paraId="04CC86E8"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5</w:t>
            </w:r>
          </w:p>
        </w:tc>
        <w:tc>
          <w:tcPr>
            <w:tcW w:w="255" w:type="pct"/>
            <w:tcBorders>
              <w:top w:val="single" w:sz="4" w:space="0" w:color="auto"/>
              <w:bottom w:val="single" w:sz="4" w:space="0" w:color="auto"/>
            </w:tcBorders>
          </w:tcPr>
          <w:p w14:paraId="35601F50"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6</w:t>
            </w:r>
          </w:p>
        </w:tc>
        <w:tc>
          <w:tcPr>
            <w:tcW w:w="278" w:type="pct"/>
            <w:tcBorders>
              <w:top w:val="single" w:sz="4" w:space="0" w:color="auto"/>
              <w:bottom w:val="single" w:sz="4" w:space="0" w:color="auto"/>
            </w:tcBorders>
          </w:tcPr>
          <w:p w14:paraId="439E2045"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7</w:t>
            </w:r>
          </w:p>
        </w:tc>
        <w:tc>
          <w:tcPr>
            <w:tcW w:w="278" w:type="pct"/>
            <w:tcBorders>
              <w:top w:val="single" w:sz="4" w:space="0" w:color="auto"/>
              <w:bottom w:val="single" w:sz="4" w:space="0" w:color="auto"/>
            </w:tcBorders>
          </w:tcPr>
          <w:p w14:paraId="2448D999"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8</w:t>
            </w:r>
          </w:p>
        </w:tc>
        <w:tc>
          <w:tcPr>
            <w:tcW w:w="248" w:type="pct"/>
            <w:tcBorders>
              <w:top w:val="single" w:sz="4" w:space="0" w:color="auto"/>
              <w:bottom w:val="single" w:sz="4" w:space="0" w:color="auto"/>
            </w:tcBorders>
          </w:tcPr>
          <w:p w14:paraId="19D096F4"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9</w:t>
            </w:r>
          </w:p>
        </w:tc>
        <w:tc>
          <w:tcPr>
            <w:tcW w:w="255" w:type="pct"/>
            <w:tcBorders>
              <w:top w:val="single" w:sz="4" w:space="0" w:color="auto"/>
              <w:bottom w:val="single" w:sz="4" w:space="0" w:color="auto"/>
            </w:tcBorders>
          </w:tcPr>
          <w:p w14:paraId="723BD658"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10</w:t>
            </w:r>
          </w:p>
        </w:tc>
        <w:tc>
          <w:tcPr>
            <w:tcW w:w="231" w:type="pct"/>
            <w:tcBorders>
              <w:top w:val="single" w:sz="4" w:space="0" w:color="auto"/>
              <w:bottom w:val="single" w:sz="4" w:space="0" w:color="auto"/>
            </w:tcBorders>
          </w:tcPr>
          <w:p w14:paraId="7C9AE7A6"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11</w:t>
            </w:r>
          </w:p>
        </w:tc>
        <w:tc>
          <w:tcPr>
            <w:tcW w:w="108" w:type="pct"/>
            <w:tcBorders>
              <w:top w:val="single" w:sz="4" w:space="0" w:color="auto"/>
              <w:bottom w:val="single" w:sz="4" w:space="0" w:color="auto"/>
            </w:tcBorders>
          </w:tcPr>
          <w:p w14:paraId="5DB5CAE8"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12</w:t>
            </w:r>
          </w:p>
        </w:tc>
        <w:tc>
          <w:tcPr>
            <w:tcW w:w="123" w:type="pct"/>
            <w:tcBorders>
              <w:top w:val="single" w:sz="4" w:space="0" w:color="auto"/>
              <w:bottom w:val="single" w:sz="4" w:space="0" w:color="auto"/>
            </w:tcBorders>
          </w:tcPr>
          <w:p w14:paraId="22360D03"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13</w:t>
            </w:r>
          </w:p>
        </w:tc>
        <w:tc>
          <w:tcPr>
            <w:tcW w:w="123" w:type="pct"/>
            <w:tcBorders>
              <w:top w:val="single" w:sz="4" w:space="0" w:color="auto"/>
              <w:bottom w:val="single" w:sz="4" w:space="0" w:color="auto"/>
            </w:tcBorders>
          </w:tcPr>
          <w:p w14:paraId="0E9DE0B1"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14</w:t>
            </w:r>
          </w:p>
        </w:tc>
        <w:tc>
          <w:tcPr>
            <w:tcW w:w="171" w:type="pct"/>
            <w:tcBorders>
              <w:top w:val="single" w:sz="4" w:space="0" w:color="auto"/>
              <w:bottom w:val="single" w:sz="4" w:space="0" w:color="auto"/>
            </w:tcBorders>
          </w:tcPr>
          <w:p w14:paraId="59C1AD68"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15</w:t>
            </w:r>
          </w:p>
        </w:tc>
        <w:tc>
          <w:tcPr>
            <w:tcW w:w="255" w:type="pct"/>
            <w:tcBorders>
              <w:top w:val="single" w:sz="4" w:space="0" w:color="auto"/>
              <w:bottom w:val="single" w:sz="4" w:space="0" w:color="auto"/>
            </w:tcBorders>
          </w:tcPr>
          <w:p w14:paraId="76265714"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16</w:t>
            </w:r>
          </w:p>
        </w:tc>
        <w:tc>
          <w:tcPr>
            <w:tcW w:w="271" w:type="pct"/>
            <w:tcBorders>
              <w:top w:val="single" w:sz="4" w:space="0" w:color="auto"/>
              <w:bottom w:val="single" w:sz="4" w:space="0" w:color="auto"/>
            </w:tcBorders>
          </w:tcPr>
          <w:p w14:paraId="37E79479"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17</w:t>
            </w:r>
          </w:p>
        </w:tc>
        <w:tc>
          <w:tcPr>
            <w:tcW w:w="277" w:type="pct"/>
            <w:tcBorders>
              <w:top w:val="nil"/>
              <w:bottom w:val="single" w:sz="4" w:space="0" w:color="auto"/>
            </w:tcBorders>
            <w:vAlign w:val="bottom"/>
          </w:tcPr>
          <w:p w14:paraId="4A37C9B0" w14:textId="77777777" w:rsidR="00D1663E" w:rsidRPr="00FB38E1" w:rsidRDefault="00D1663E" w:rsidP="00836EF2">
            <w:pPr>
              <w:jc w:val="center"/>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Toplam</w:t>
            </w:r>
          </w:p>
        </w:tc>
      </w:tr>
      <w:tr w:rsidR="001B6DB1" w:rsidRPr="00FB38E1" w14:paraId="079A056D" w14:textId="77777777" w:rsidTr="001B6DB1">
        <w:tc>
          <w:tcPr>
            <w:tcW w:w="1171" w:type="pct"/>
            <w:tcBorders>
              <w:top w:val="single" w:sz="4" w:space="0" w:color="auto"/>
            </w:tcBorders>
            <w:vAlign w:val="center"/>
          </w:tcPr>
          <w:p w14:paraId="35B6599D"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Yurt içi</w:t>
            </w:r>
          </w:p>
        </w:tc>
        <w:tc>
          <w:tcPr>
            <w:tcW w:w="278" w:type="pct"/>
            <w:tcBorders>
              <w:top w:val="single" w:sz="4" w:space="0" w:color="auto"/>
              <w:left w:val="nil"/>
              <w:bottom w:val="nil"/>
              <w:right w:val="nil"/>
            </w:tcBorders>
            <w:shd w:val="clear" w:color="auto" w:fill="auto"/>
            <w:vAlign w:val="center"/>
          </w:tcPr>
          <w:p w14:paraId="2F98B55A" w14:textId="741F8A4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331.595.487</w:t>
            </w:r>
          </w:p>
        </w:tc>
        <w:tc>
          <w:tcPr>
            <w:tcW w:w="231" w:type="pct"/>
            <w:tcBorders>
              <w:top w:val="single" w:sz="4" w:space="0" w:color="auto"/>
            </w:tcBorders>
            <w:vAlign w:val="center"/>
          </w:tcPr>
          <w:p w14:paraId="107204F5" w14:textId="096BA37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6.439.568</w:t>
            </w:r>
          </w:p>
        </w:tc>
        <w:tc>
          <w:tcPr>
            <w:tcW w:w="230" w:type="pct"/>
            <w:tcBorders>
              <w:top w:val="single" w:sz="4" w:space="0" w:color="auto"/>
            </w:tcBorders>
            <w:vAlign w:val="center"/>
          </w:tcPr>
          <w:p w14:paraId="0134D485" w14:textId="0136621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2.100</w:t>
            </w:r>
          </w:p>
        </w:tc>
        <w:tc>
          <w:tcPr>
            <w:tcW w:w="107" w:type="pct"/>
            <w:tcBorders>
              <w:top w:val="single" w:sz="4" w:space="0" w:color="auto"/>
            </w:tcBorders>
            <w:vAlign w:val="center"/>
          </w:tcPr>
          <w:p w14:paraId="62C9978E" w14:textId="24BC60E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15" w:type="pct"/>
            <w:tcBorders>
              <w:top w:val="single" w:sz="4" w:space="0" w:color="auto"/>
            </w:tcBorders>
            <w:vAlign w:val="center"/>
          </w:tcPr>
          <w:p w14:paraId="6AC806FD" w14:textId="70E36AC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tcBorders>
              <w:top w:val="single" w:sz="4" w:space="0" w:color="auto"/>
            </w:tcBorders>
            <w:vAlign w:val="center"/>
          </w:tcPr>
          <w:p w14:paraId="16C10C80" w14:textId="776A474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7.932.005</w:t>
            </w:r>
          </w:p>
        </w:tc>
        <w:tc>
          <w:tcPr>
            <w:tcW w:w="278" w:type="pct"/>
            <w:tcBorders>
              <w:top w:val="single" w:sz="4" w:space="0" w:color="auto"/>
            </w:tcBorders>
            <w:vAlign w:val="center"/>
          </w:tcPr>
          <w:p w14:paraId="07095642" w14:textId="7E1873C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187.593.858</w:t>
            </w:r>
          </w:p>
        </w:tc>
        <w:tc>
          <w:tcPr>
            <w:tcW w:w="278" w:type="pct"/>
            <w:tcBorders>
              <w:top w:val="single" w:sz="4" w:space="0" w:color="auto"/>
            </w:tcBorders>
            <w:vAlign w:val="center"/>
          </w:tcPr>
          <w:p w14:paraId="0C3EC798" w14:textId="310482A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341.564.997</w:t>
            </w:r>
          </w:p>
        </w:tc>
        <w:tc>
          <w:tcPr>
            <w:tcW w:w="248" w:type="pct"/>
            <w:tcBorders>
              <w:top w:val="single" w:sz="4" w:space="0" w:color="auto"/>
            </w:tcBorders>
            <w:vAlign w:val="center"/>
          </w:tcPr>
          <w:p w14:paraId="5F7BCCBC" w14:textId="033D0A2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17.215.722</w:t>
            </w:r>
          </w:p>
        </w:tc>
        <w:tc>
          <w:tcPr>
            <w:tcW w:w="255" w:type="pct"/>
            <w:tcBorders>
              <w:top w:val="single" w:sz="4" w:space="0" w:color="auto"/>
            </w:tcBorders>
            <w:vAlign w:val="center"/>
          </w:tcPr>
          <w:p w14:paraId="2B6A432E" w14:textId="1FEFD66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64.087.426</w:t>
            </w:r>
          </w:p>
        </w:tc>
        <w:tc>
          <w:tcPr>
            <w:tcW w:w="231" w:type="pct"/>
            <w:tcBorders>
              <w:top w:val="single" w:sz="4" w:space="0" w:color="auto"/>
            </w:tcBorders>
            <w:vAlign w:val="center"/>
          </w:tcPr>
          <w:p w14:paraId="26A0115B" w14:textId="1FBE1A2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10.760.675</w:t>
            </w:r>
          </w:p>
        </w:tc>
        <w:tc>
          <w:tcPr>
            <w:tcW w:w="108" w:type="pct"/>
            <w:tcBorders>
              <w:top w:val="single" w:sz="4" w:space="0" w:color="auto"/>
            </w:tcBorders>
            <w:vAlign w:val="center"/>
          </w:tcPr>
          <w:p w14:paraId="65C69B22" w14:textId="39B68AB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tcBorders>
              <w:top w:val="single" w:sz="4" w:space="0" w:color="auto"/>
            </w:tcBorders>
            <w:vAlign w:val="center"/>
          </w:tcPr>
          <w:p w14:paraId="0F3A67B5" w14:textId="62435B2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tcBorders>
              <w:top w:val="single" w:sz="4" w:space="0" w:color="auto"/>
            </w:tcBorders>
            <w:vAlign w:val="center"/>
          </w:tcPr>
          <w:p w14:paraId="4EA94400" w14:textId="659E4C8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tcBorders>
              <w:top w:val="single" w:sz="4" w:space="0" w:color="auto"/>
            </w:tcBorders>
            <w:vAlign w:val="center"/>
          </w:tcPr>
          <w:p w14:paraId="4EA28526" w14:textId="4546E46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40.163</w:t>
            </w:r>
          </w:p>
        </w:tc>
        <w:tc>
          <w:tcPr>
            <w:tcW w:w="255" w:type="pct"/>
            <w:tcBorders>
              <w:top w:val="single" w:sz="4" w:space="0" w:color="auto"/>
            </w:tcBorders>
            <w:vAlign w:val="center"/>
          </w:tcPr>
          <w:p w14:paraId="4BDAD1C7" w14:textId="759C217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77.597.223</w:t>
            </w:r>
          </w:p>
        </w:tc>
        <w:tc>
          <w:tcPr>
            <w:tcW w:w="271" w:type="pct"/>
            <w:tcBorders>
              <w:top w:val="single" w:sz="4" w:space="0" w:color="auto"/>
            </w:tcBorders>
            <w:vAlign w:val="center"/>
          </w:tcPr>
          <w:p w14:paraId="24AEAA5E" w14:textId="2D39030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960</w:t>
            </w:r>
          </w:p>
        </w:tc>
        <w:tc>
          <w:tcPr>
            <w:tcW w:w="277" w:type="pct"/>
            <w:tcBorders>
              <w:top w:val="single" w:sz="4" w:space="0" w:color="auto"/>
            </w:tcBorders>
            <w:vAlign w:val="center"/>
          </w:tcPr>
          <w:p w14:paraId="5BCAA147" w14:textId="7777577A" w:rsidR="001B6DB1" w:rsidRPr="00FB38E1" w:rsidRDefault="001B6DB1" w:rsidP="001B6DB1">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1.044.830.184</w:t>
            </w:r>
          </w:p>
        </w:tc>
      </w:tr>
      <w:tr w:rsidR="001B6DB1" w:rsidRPr="00FB38E1" w14:paraId="1596DC70" w14:textId="77777777" w:rsidTr="001B6DB1">
        <w:tc>
          <w:tcPr>
            <w:tcW w:w="1171" w:type="pct"/>
            <w:vAlign w:val="center"/>
          </w:tcPr>
          <w:p w14:paraId="3ACED7E7"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Avrupa Birliği Ülkeleri</w:t>
            </w:r>
          </w:p>
        </w:tc>
        <w:tc>
          <w:tcPr>
            <w:tcW w:w="278" w:type="pct"/>
            <w:tcBorders>
              <w:top w:val="nil"/>
              <w:left w:val="nil"/>
              <w:bottom w:val="nil"/>
              <w:right w:val="nil"/>
            </w:tcBorders>
            <w:shd w:val="clear" w:color="auto" w:fill="auto"/>
            <w:vAlign w:val="center"/>
          </w:tcPr>
          <w:p w14:paraId="2C3D8053" w14:textId="6922743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1.483.002</w:t>
            </w:r>
          </w:p>
        </w:tc>
        <w:tc>
          <w:tcPr>
            <w:tcW w:w="231" w:type="pct"/>
            <w:vAlign w:val="center"/>
          </w:tcPr>
          <w:p w14:paraId="4E70CDF6" w14:textId="7322A36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0" w:type="pct"/>
            <w:vAlign w:val="center"/>
          </w:tcPr>
          <w:p w14:paraId="589A4017" w14:textId="5852D7E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7" w:type="pct"/>
            <w:vAlign w:val="center"/>
          </w:tcPr>
          <w:p w14:paraId="30999783" w14:textId="66A60F1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15" w:type="pct"/>
            <w:vAlign w:val="center"/>
          </w:tcPr>
          <w:p w14:paraId="0F563850" w14:textId="38812F1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9BAFF9E" w14:textId="3AED091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48.724.175</w:t>
            </w:r>
          </w:p>
        </w:tc>
        <w:tc>
          <w:tcPr>
            <w:tcW w:w="278" w:type="pct"/>
            <w:vAlign w:val="center"/>
          </w:tcPr>
          <w:p w14:paraId="15ED5733" w14:textId="52A4E3E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6.849.827</w:t>
            </w:r>
          </w:p>
        </w:tc>
        <w:tc>
          <w:tcPr>
            <w:tcW w:w="278" w:type="pct"/>
            <w:vAlign w:val="center"/>
          </w:tcPr>
          <w:p w14:paraId="4D36EA50" w14:textId="7458845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54.902</w:t>
            </w:r>
          </w:p>
        </w:tc>
        <w:tc>
          <w:tcPr>
            <w:tcW w:w="248" w:type="pct"/>
            <w:vAlign w:val="center"/>
          </w:tcPr>
          <w:p w14:paraId="4EC7CE09" w14:textId="7C362A9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677</w:t>
            </w:r>
          </w:p>
        </w:tc>
        <w:tc>
          <w:tcPr>
            <w:tcW w:w="255" w:type="pct"/>
            <w:vAlign w:val="center"/>
          </w:tcPr>
          <w:p w14:paraId="62381A57" w14:textId="463D06B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5.173.569</w:t>
            </w:r>
          </w:p>
        </w:tc>
        <w:tc>
          <w:tcPr>
            <w:tcW w:w="231" w:type="pct"/>
            <w:vAlign w:val="center"/>
          </w:tcPr>
          <w:p w14:paraId="1D576B1A" w14:textId="08C7F03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76.614</w:t>
            </w:r>
          </w:p>
        </w:tc>
        <w:tc>
          <w:tcPr>
            <w:tcW w:w="108" w:type="pct"/>
            <w:vAlign w:val="center"/>
          </w:tcPr>
          <w:p w14:paraId="3DB482B6" w14:textId="1C07D59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510757C8" w14:textId="4F688B1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21BF816E" w14:textId="2F907F4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4AD51068" w14:textId="1089ED2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6AE34F81" w14:textId="35FE423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2.313.427</w:t>
            </w:r>
          </w:p>
        </w:tc>
        <w:tc>
          <w:tcPr>
            <w:tcW w:w="271" w:type="pct"/>
            <w:vAlign w:val="center"/>
          </w:tcPr>
          <w:p w14:paraId="2D6DED05" w14:textId="7B344ED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7" w:type="pct"/>
            <w:vAlign w:val="center"/>
          </w:tcPr>
          <w:p w14:paraId="6D2A94AF" w14:textId="32F7AC1E" w:rsidR="001B6DB1" w:rsidRPr="00FB38E1" w:rsidRDefault="001B6DB1" w:rsidP="001B6DB1">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64.676.193</w:t>
            </w:r>
          </w:p>
        </w:tc>
      </w:tr>
      <w:tr w:rsidR="001B6DB1" w:rsidRPr="00FB38E1" w14:paraId="33728885" w14:textId="77777777" w:rsidTr="001B6DB1">
        <w:tc>
          <w:tcPr>
            <w:tcW w:w="1171" w:type="pct"/>
            <w:vAlign w:val="center"/>
          </w:tcPr>
          <w:p w14:paraId="579366AA"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OECD Ülkeleri (**)</w:t>
            </w:r>
          </w:p>
        </w:tc>
        <w:tc>
          <w:tcPr>
            <w:tcW w:w="278" w:type="pct"/>
            <w:tcBorders>
              <w:top w:val="nil"/>
              <w:left w:val="nil"/>
              <w:bottom w:val="nil"/>
              <w:right w:val="nil"/>
            </w:tcBorders>
            <w:shd w:val="clear" w:color="auto" w:fill="auto"/>
            <w:vAlign w:val="center"/>
          </w:tcPr>
          <w:p w14:paraId="4CD66784" w14:textId="31BC791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584E1209" w14:textId="51A3EED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0" w:type="pct"/>
            <w:vAlign w:val="center"/>
          </w:tcPr>
          <w:p w14:paraId="4616D05D" w14:textId="6A632C3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7" w:type="pct"/>
            <w:vAlign w:val="center"/>
          </w:tcPr>
          <w:p w14:paraId="74446B9B" w14:textId="590C4BE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15" w:type="pct"/>
            <w:vAlign w:val="center"/>
          </w:tcPr>
          <w:p w14:paraId="7FE101C1" w14:textId="76522D9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60D5168" w14:textId="719D195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880.343</w:t>
            </w:r>
          </w:p>
        </w:tc>
        <w:tc>
          <w:tcPr>
            <w:tcW w:w="278" w:type="pct"/>
            <w:vAlign w:val="center"/>
          </w:tcPr>
          <w:p w14:paraId="77F8EC34" w14:textId="1A4E37E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238A769C" w14:textId="22DAEA8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2.717</w:t>
            </w:r>
          </w:p>
        </w:tc>
        <w:tc>
          <w:tcPr>
            <w:tcW w:w="248" w:type="pct"/>
            <w:vAlign w:val="center"/>
          </w:tcPr>
          <w:p w14:paraId="11F511EC" w14:textId="701121D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1BD36A6" w14:textId="4E13AEB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52E61C5A" w14:textId="38116D8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8" w:type="pct"/>
            <w:vAlign w:val="center"/>
          </w:tcPr>
          <w:p w14:paraId="60DA7C51" w14:textId="01F9C79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38E0152E" w14:textId="3ADE63A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079952D1" w14:textId="58600FB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200ACBE2" w14:textId="0A098E2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593C5A2B" w14:textId="16DF9A5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w:t>
            </w:r>
          </w:p>
        </w:tc>
        <w:tc>
          <w:tcPr>
            <w:tcW w:w="271" w:type="pct"/>
            <w:vAlign w:val="center"/>
          </w:tcPr>
          <w:p w14:paraId="7B5BFEE1" w14:textId="1648F46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7" w:type="pct"/>
            <w:vAlign w:val="center"/>
          </w:tcPr>
          <w:p w14:paraId="134E0716" w14:textId="1E8AD744" w:rsidR="001B6DB1" w:rsidRPr="00FB38E1" w:rsidRDefault="001B6DB1" w:rsidP="001B6DB1">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883.064</w:t>
            </w:r>
          </w:p>
        </w:tc>
      </w:tr>
      <w:tr w:rsidR="001B6DB1" w:rsidRPr="00FB38E1" w14:paraId="15264CF6" w14:textId="77777777" w:rsidTr="001B6DB1">
        <w:tc>
          <w:tcPr>
            <w:tcW w:w="1171" w:type="pct"/>
            <w:vAlign w:val="center"/>
          </w:tcPr>
          <w:p w14:paraId="4BEC32A1"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Kıyı Bankacılığı Bölgeleri</w:t>
            </w:r>
          </w:p>
        </w:tc>
        <w:tc>
          <w:tcPr>
            <w:tcW w:w="278" w:type="pct"/>
            <w:tcBorders>
              <w:top w:val="nil"/>
              <w:left w:val="nil"/>
              <w:bottom w:val="nil"/>
              <w:right w:val="nil"/>
            </w:tcBorders>
            <w:shd w:val="clear" w:color="auto" w:fill="auto"/>
            <w:vAlign w:val="center"/>
          </w:tcPr>
          <w:p w14:paraId="3F5F1BF0" w14:textId="40CBAD6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3EBF8AAC" w14:textId="0702AC7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0" w:type="pct"/>
            <w:vAlign w:val="center"/>
          </w:tcPr>
          <w:p w14:paraId="5537C312" w14:textId="2B72D6C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7" w:type="pct"/>
            <w:vAlign w:val="center"/>
          </w:tcPr>
          <w:p w14:paraId="57437A88" w14:textId="62C5F80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15" w:type="pct"/>
            <w:vAlign w:val="center"/>
          </w:tcPr>
          <w:p w14:paraId="52C089F3" w14:textId="4733CFC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3F790140" w14:textId="660E3ED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17.941</w:t>
            </w:r>
          </w:p>
        </w:tc>
        <w:tc>
          <w:tcPr>
            <w:tcW w:w="278" w:type="pct"/>
            <w:vAlign w:val="center"/>
          </w:tcPr>
          <w:p w14:paraId="2031C327" w14:textId="3EF4EB4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2.119.944</w:t>
            </w:r>
          </w:p>
        </w:tc>
        <w:tc>
          <w:tcPr>
            <w:tcW w:w="278" w:type="pct"/>
            <w:vAlign w:val="center"/>
          </w:tcPr>
          <w:p w14:paraId="30186CE9" w14:textId="0B816E6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212</w:t>
            </w:r>
          </w:p>
        </w:tc>
        <w:tc>
          <w:tcPr>
            <w:tcW w:w="248" w:type="pct"/>
            <w:vAlign w:val="center"/>
          </w:tcPr>
          <w:p w14:paraId="3416F3E6" w14:textId="4158C1C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6F977C71" w14:textId="4E64FE6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218DFC9B" w14:textId="5452C3E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8" w:type="pct"/>
            <w:vAlign w:val="center"/>
          </w:tcPr>
          <w:p w14:paraId="5F207C08" w14:textId="3CC8BA3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7C4321CF" w14:textId="425A03E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3674F969" w14:textId="5EB3DBD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40910AAF" w14:textId="48210D9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1753B7BD" w14:textId="61467C1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w:t>
            </w:r>
          </w:p>
        </w:tc>
        <w:tc>
          <w:tcPr>
            <w:tcW w:w="271" w:type="pct"/>
            <w:vAlign w:val="center"/>
          </w:tcPr>
          <w:p w14:paraId="01BC912D" w14:textId="48E08B3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7" w:type="pct"/>
            <w:vAlign w:val="center"/>
          </w:tcPr>
          <w:p w14:paraId="3A1A11B6" w14:textId="2EEADF4E" w:rsidR="001B6DB1" w:rsidRPr="00FB38E1" w:rsidRDefault="001B6DB1" w:rsidP="001B6DB1">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2.138.099</w:t>
            </w:r>
          </w:p>
        </w:tc>
      </w:tr>
      <w:tr w:rsidR="001B6DB1" w:rsidRPr="00FB38E1" w14:paraId="63D36240" w14:textId="77777777" w:rsidTr="001B6DB1">
        <w:tc>
          <w:tcPr>
            <w:tcW w:w="1171" w:type="pct"/>
            <w:vAlign w:val="center"/>
          </w:tcPr>
          <w:p w14:paraId="79633BAD"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ABD, Kanada</w:t>
            </w:r>
          </w:p>
        </w:tc>
        <w:tc>
          <w:tcPr>
            <w:tcW w:w="278" w:type="pct"/>
            <w:tcBorders>
              <w:top w:val="nil"/>
              <w:left w:val="nil"/>
              <w:bottom w:val="nil"/>
              <w:right w:val="nil"/>
            </w:tcBorders>
            <w:shd w:val="clear" w:color="auto" w:fill="auto"/>
            <w:vAlign w:val="center"/>
          </w:tcPr>
          <w:p w14:paraId="6EF55288" w14:textId="35A287B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546C20D1" w14:textId="5726478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0" w:type="pct"/>
            <w:vAlign w:val="center"/>
          </w:tcPr>
          <w:p w14:paraId="5333E40A" w14:textId="694150B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7" w:type="pct"/>
            <w:vAlign w:val="center"/>
          </w:tcPr>
          <w:p w14:paraId="08C045FA" w14:textId="1492665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15" w:type="pct"/>
            <w:vAlign w:val="center"/>
          </w:tcPr>
          <w:p w14:paraId="53494257" w14:textId="106BF86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3C82D820" w14:textId="4A616F0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6.359.014</w:t>
            </w:r>
          </w:p>
        </w:tc>
        <w:tc>
          <w:tcPr>
            <w:tcW w:w="278" w:type="pct"/>
            <w:vAlign w:val="center"/>
          </w:tcPr>
          <w:p w14:paraId="02AA1946" w14:textId="25A2779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33.182</w:t>
            </w:r>
          </w:p>
        </w:tc>
        <w:tc>
          <w:tcPr>
            <w:tcW w:w="278" w:type="pct"/>
            <w:vAlign w:val="center"/>
          </w:tcPr>
          <w:p w14:paraId="52983725" w14:textId="606EC87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2.968</w:t>
            </w:r>
          </w:p>
        </w:tc>
        <w:tc>
          <w:tcPr>
            <w:tcW w:w="248" w:type="pct"/>
            <w:vAlign w:val="center"/>
          </w:tcPr>
          <w:p w14:paraId="3488606F" w14:textId="5BBB6FA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6EE85292" w14:textId="647E5F3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61B4997B" w14:textId="26258CC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8" w:type="pct"/>
            <w:vAlign w:val="center"/>
          </w:tcPr>
          <w:p w14:paraId="6870F9FE" w14:textId="68EC975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51337E35" w14:textId="04B6879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3F7D978A" w14:textId="5CB0DEA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502B4C45" w14:textId="7179C76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819C351" w14:textId="2E34DE8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7.773</w:t>
            </w:r>
          </w:p>
        </w:tc>
        <w:tc>
          <w:tcPr>
            <w:tcW w:w="271" w:type="pct"/>
            <w:vAlign w:val="center"/>
          </w:tcPr>
          <w:p w14:paraId="7F66C281" w14:textId="57D70E1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7" w:type="pct"/>
            <w:vAlign w:val="center"/>
          </w:tcPr>
          <w:p w14:paraId="2440C507" w14:textId="18C32535" w:rsidR="001B6DB1" w:rsidRPr="00FB38E1" w:rsidRDefault="001B6DB1" w:rsidP="001B6DB1">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6.402.937</w:t>
            </w:r>
          </w:p>
        </w:tc>
      </w:tr>
      <w:tr w:rsidR="001B6DB1" w:rsidRPr="00FB38E1" w14:paraId="0AE94AF0" w14:textId="77777777" w:rsidTr="001B6DB1">
        <w:tc>
          <w:tcPr>
            <w:tcW w:w="1171" w:type="pct"/>
            <w:vAlign w:val="center"/>
          </w:tcPr>
          <w:p w14:paraId="3F6D20BE"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Diğer Ülkeler</w:t>
            </w:r>
          </w:p>
        </w:tc>
        <w:tc>
          <w:tcPr>
            <w:tcW w:w="278" w:type="pct"/>
            <w:tcBorders>
              <w:top w:val="nil"/>
              <w:left w:val="nil"/>
              <w:bottom w:val="nil"/>
              <w:right w:val="nil"/>
            </w:tcBorders>
            <w:shd w:val="clear" w:color="auto" w:fill="auto"/>
            <w:vAlign w:val="center"/>
          </w:tcPr>
          <w:p w14:paraId="588DFDA7" w14:textId="21EDE89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494</w:t>
            </w:r>
          </w:p>
        </w:tc>
        <w:tc>
          <w:tcPr>
            <w:tcW w:w="231" w:type="pct"/>
            <w:vAlign w:val="center"/>
          </w:tcPr>
          <w:p w14:paraId="5A48C755" w14:textId="7C92996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0" w:type="pct"/>
            <w:vAlign w:val="center"/>
          </w:tcPr>
          <w:p w14:paraId="3513F5A6" w14:textId="4E32CF9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7" w:type="pct"/>
            <w:vAlign w:val="center"/>
          </w:tcPr>
          <w:p w14:paraId="59C3BF1D" w14:textId="22C7D71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15" w:type="pct"/>
            <w:vAlign w:val="center"/>
          </w:tcPr>
          <w:p w14:paraId="4587A542" w14:textId="2D8BDB4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FDBBA20" w14:textId="7F5F4BD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1.349.754</w:t>
            </w:r>
          </w:p>
        </w:tc>
        <w:tc>
          <w:tcPr>
            <w:tcW w:w="278" w:type="pct"/>
            <w:vAlign w:val="center"/>
          </w:tcPr>
          <w:p w14:paraId="2B806612" w14:textId="2E3046B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3.464.219</w:t>
            </w:r>
          </w:p>
        </w:tc>
        <w:tc>
          <w:tcPr>
            <w:tcW w:w="278" w:type="pct"/>
            <w:vAlign w:val="center"/>
          </w:tcPr>
          <w:p w14:paraId="77D89189" w14:textId="2E8F75A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432.904</w:t>
            </w:r>
          </w:p>
        </w:tc>
        <w:tc>
          <w:tcPr>
            <w:tcW w:w="248" w:type="pct"/>
            <w:vAlign w:val="center"/>
          </w:tcPr>
          <w:p w14:paraId="4A541C2C" w14:textId="2F95542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16.586</w:t>
            </w:r>
          </w:p>
        </w:tc>
        <w:tc>
          <w:tcPr>
            <w:tcW w:w="255" w:type="pct"/>
            <w:vAlign w:val="center"/>
          </w:tcPr>
          <w:p w14:paraId="17C990F0" w14:textId="1C90027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922.234</w:t>
            </w:r>
          </w:p>
        </w:tc>
        <w:tc>
          <w:tcPr>
            <w:tcW w:w="231" w:type="pct"/>
            <w:vAlign w:val="center"/>
          </w:tcPr>
          <w:p w14:paraId="2ACA0F92" w14:textId="2C61E80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133.728</w:t>
            </w:r>
          </w:p>
        </w:tc>
        <w:tc>
          <w:tcPr>
            <w:tcW w:w="108" w:type="pct"/>
            <w:vAlign w:val="center"/>
          </w:tcPr>
          <w:p w14:paraId="24C4195A" w14:textId="4A228B9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120D45D9" w14:textId="1EFD22E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223D597F" w14:textId="6E3B7F5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269F1170" w14:textId="39F2FB4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3F6CC749" w14:textId="18A4C54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20.549</w:t>
            </w:r>
          </w:p>
        </w:tc>
        <w:tc>
          <w:tcPr>
            <w:tcW w:w="271" w:type="pct"/>
            <w:vAlign w:val="center"/>
          </w:tcPr>
          <w:p w14:paraId="4B260DF1" w14:textId="53D822B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7" w:type="pct"/>
            <w:vAlign w:val="center"/>
          </w:tcPr>
          <w:p w14:paraId="0DF1A8E6" w14:textId="134795F2" w:rsidR="001B6DB1" w:rsidRPr="00FB38E1" w:rsidRDefault="001B6DB1" w:rsidP="001B6DB1">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6.340.468</w:t>
            </w:r>
          </w:p>
        </w:tc>
      </w:tr>
      <w:tr w:rsidR="001B6DB1" w:rsidRPr="00FB38E1" w14:paraId="5592197D" w14:textId="77777777" w:rsidTr="001B6DB1">
        <w:tc>
          <w:tcPr>
            <w:tcW w:w="1171" w:type="pct"/>
            <w:vAlign w:val="center"/>
          </w:tcPr>
          <w:p w14:paraId="32EC8253"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İştirak, Bağlı Ortaklık ve Birlikte Kontrol Edilen Ortaklık (İş Ort.)</w:t>
            </w:r>
          </w:p>
        </w:tc>
        <w:tc>
          <w:tcPr>
            <w:tcW w:w="278" w:type="pct"/>
            <w:tcBorders>
              <w:top w:val="nil"/>
              <w:left w:val="nil"/>
              <w:bottom w:val="nil"/>
              <w:right w:val="nil"/>
            </w:tcBorders>
            <w:shd w:val="clear" w:color="auto" w:fill="auto"/>
            <w:vAlign w:val="center"/>
          </w:tcPr>
          <w:p w14:paraId="36507947" w14:textId="6774099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48496B70" w14:textId="04DF0FE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0" w:type="pct"/>
            <w:vAlign w:val="center"/>
          </w:tcPr>
          <w:p w14:paraId="43AB8EF0" w14:textId="1234A83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7" w:type="pct"/>
            <w:vAlign w:val="center"/>
          </w:tcPr>
          <w:p w14:paraId="27977291" w14:textId="0457DF8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15" w:type="pct"/>
            <w:vAlign w:val="center"/>
          </w:tcPr>
          <w:p w14:paraId="7812F54C" w14:textId="658FE09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A594F89" w14:textId="5D7026B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1F4CF60A" w14:textId="1132E8D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6687AB1B" w14:textId="3C5E383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48" w:type="pct"/>
            <w:vAlign w:val="center"/>
          </w:tcPr>
          <w:p w14:paraId="7DBC23F7" w14:textId="7F58C23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35BCAFEB" w14:textId="2F9DA78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22B5A782" w14:textId="193BE88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8" w:type="pct"/>
            <w:vAlign w:val="center"/>
          </w:tcPr>
          <w:p w14:paraId="2DE7F79A" w14:textId="163F0CA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37128C76" w14:textId="0AD8E2E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5DA36993" w14:textId="6FE1283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61161D05" w14:textId="22BD80E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86422E2" w14:textId="44C08DD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1" w:type="pct"/>
            <w:vAlign w:val="center"/>
          </w:tcPr>
          <w:p w14:paraId="249AF851" w14:textId="0577286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88.468.420</w:t>
            </w:r>
          </w:p>
        </w:tc>
        <w:tc>
          <w:tcPr>
            <w:tcW w:w="277" w:type="pct"/>
            <w:vAlign w:val="center"/>
          </w:tcPr>
          <w:p w14:paraId="68350873" w14:textId="24461C57" w:rsidR="001B6DB1" w:rsidRPr="00FB38E1" w:rsidRDefault="001B6DB1" w:rsidP="001B6DB1">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88.468.420</w:t>
            </w:r>
          </w:p>
        </w:tc>
      </w:tr>
      <w:tr w:rsidR="001B6DB1" w:rsidRPr="00FB38E1" w14:paraId="2B9636E2" w14:textId="77777777" w:rsidTr="001B6DB1">
        <w:tc>
          <w:tcPr>
            <w:tcW w:w="1171" w:type="pct"/>
            <w:vAlign w:val="center"/>
          </w:tcPr>
          <w:p w14:paraId="60E8B7F6"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Dağıtılmamış Varlıklar/Yükümlülükler</w:t>
            </w:r>
          </w:p>
        </w:tc>
        <w:tc>
          <w:tcPr>
            <w:tcW w:w="278" w:type="pct"/>
            <w:tcBorders>
              <w:top w:val="nil"/>
              <w:left w:val="nil"/>
              <w:bottom w:val="nil"/>
              <w:right w:val="nil"/>
            </w:tcBorders>
            <w:shd w:val="clear" w:color="auto" w:fill="auto"/>
            <w:vAlign w:val="center"/>
          </w:tcPr>
          <w:p w14:paraId="5AE63341" w14:textId="67EA73E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111.892</w:t>
            </w:r>
          </w:p>
        </w:tc>
        <w:tc>
          <w:tcPr>
            <w:tcW w:w="231" w:type="pct"/>
            <w:vAlign w:val="center"/>
          </w:tcPr>
          <w:p w14:paraId="4C492B1D" w14:textId="76968E3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888.935</w:t>
            </w:r>
          </w:p>
        </w:tc>
        <w:tc>
          <w:tcPr>
            <w:tcW w:w="230" w:type="pct"/>
            <w:vAlign w:val="center"/>
          </w:tcPr>
          <w:p w14:paraId="2E07E3F5" w14:textId="23E1265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1.643.973</w:t>
            </w:r>
          </w:p>
        </w:tc>
        <w:tc>
          <w:tcPr>
            <w:tcW w:w="107" w:type="pct"/>
            <w:vAlign w:val="center"/>
          </w:tcPr>
          <w:p w14:paraId="7FC10178" w14:textId="2E98AF2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15" w:type="pct"/>
            <w:vAlign w:val="center"/>
          </w:tcPr>
          <w:p w14:paraId="2A626623" w14:textId="76BF86D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1BF504D7" w14:textId="3AF0A82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12.941.193</w:t>
            </w:r>
          </w:p>
        </w:tc>
        <w:tc>
          <w:tcPr>
            <w:tcW w:w="278" w:type="pct"/>
            <w:vAlign w:val="center"/>
          </w:tcPr>
          <w:p w14:paraId="21C76175" w14:textId="0AC56E3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90.913.174</w:t>
            </w:r>
          </w:p>
        </w:tc>
        <w:tc>
          <w:tcPr>
            <w:tcW w:w="278" w:type="pct"/>
            <w:vAlign w:val="center"/>
          </w:tcPr>
          <w:p w14:paraId="78F28590" w14:textId="0195378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19.166.230</w:t>
            </w:r>
          </w:p>
        </w:tc>
        <w:tc>
          <w:tcPr>
            <w:tcW w:w="248" w:type="pct"/>
            <w:vAlign w:val="center"/>
          </w:tcPr>
          <w:p w14:paraId="0AFAF122" w14:textId="60F0FED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2.353.752</w:t>
            </w:r>
          </w:p>
        </w:tc>
        <w:tc>
          <w:tcPr>
            <w:tcW w:w="255" w:type="pct"/>
            <w:vAlign w:val="center"/>
          </w:tcPr>
          <w:p w14:paraId="580156BA" w14:textId="3EB28A6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7.019.224</w:t>
            </w:r>
          </w:p>
        </w:tc>
        <w:tc>
          <w:tcPr>
            <w:tcW w:w="231" w:type="pct"/>
            <w:vAlign w:val="center"/>
          </w:tcPr>
          <w:p w14:paraId="4669124F" w14:textId="3EFA838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218.265</w:t>
            </w:r>
          </w:p>
        </w:tc>
        <w:tc>
          <w:tcPr>
            <w:tcW w:w="108" w:type="pct"/>
            <w:vAlign w:val="center"/>
          </w:tcPr>
          <w:p w14:paraId="47F03A63" w14:textId="6B3A902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65FCD210" w14:textId="766BB39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3" w:type="pct"/>
            <w:vAlign w:val="center"/>
          </w:tcPr>
          <w:p w14:paraId="2F139172" w14:textId="3D2F5F7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1CBF8FE4" w14:textId="58807B1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90.244</w:t>
            </w:r>
          </w:p>
        </w:tc>
        <w:tc>
          <w:tcPr>
            <w:tcW w:w="255" w:type="pct"/>
            <w:vAlign w:val="center"/>
          </w:tcPr>
          <w:p w14:paraId="7BFFF09F" w14:textId="23B966D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1" w:type="pct"/>
            <w:vAlign w:val="center"/>
          </w:tcPr>
          <w:p w14:paraId="24BEF8F4" w14:textId="454E19C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7" w:type="pct"/>
            <w:vAlign w:val="center"/>
          </w:tcPr>
          <w:p w14:paraId="4D615F6A" w14:textId="6B8FB8B1" w:rsidR="001B6DB1" w:rsidRPr="00FB38E1" w:rsidRDefault="001B6DB1" w:rsidP="001B6DB1">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135.346.882</w:t>
            </w:r>
          </w:p>
        </w:tc>
      </w:tr>
      <w:tr w:rsidR="001B6DB1" w:rsidRPr="00FB38E1" w14:paraId="44023322" w14:textId="77777777" w:rsidTr="001B6DB1">
        <w:tc>
          <w:tcPr>
            <w:tcW w:w="1171" w:type="pct"/>
            <w:tcBorders>
              <w:top w:val="single" w:sz="4" w:space="0" w:color="auto"/>
              <w:bottom w:val="thickThinSmallGap" w:sz="24" w:space="0" w:color="auto"/>
            </w:tcBorders>
            <w:vAlign w:val="center"/>
          </w:tcPr>
          <w:p w14:paraId="3CC4399E" w14:textId="77777777" w:rsidR="001B6DB1" w:rsidRPr="00FB38E1" w:rsidRDefault="001B6DB1" w:rsidP="001B6DB1">
            <w:pPr>
              <w:rPr>
                <w:rFonts w:ascii="Trebuchet MS" w:hAnsi="Trebuchet MS"/>
                <w:b/>
                <w:sz w:val="12"/>
                <w:szCs w:val="12"/>
              </w:rPr>
            </w:pPr>
            <w:r w:rsidRPr="00FB38E1">
              <w:rPr>
                <w:rFonts w:ascii="Trebuchet MS" w:hAnsi="Trebuchet MS"/>
                <w:b/>
                <w:sz w:val="12"/>
                <w:szCs w:val="12"/>
              </w:rPr>
              <w:t>Toplam</w:t>
            </w:r>
          </w:p>
        </w:tc>
        <w:tc>
          <w:tcPr>
            <w:tcW w:w="278" w:type="pct"/>
            <w:tcBorders>
              <w:top w:val="single" w:sz="4" w:space="0" w:color="auto"/>
              <w:bottom w:val="thickThinSmallGap" w:sz="24" w:space="0" w:color="auto"/>
            </w:tcBorders>
            <w:vAlign w:val="center"/>
          </w:tcPr>
          <w:p w14:paraId="4EE3411B" w14:textId="29FE8FFE"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333.190.875</w:t>
            </w:r>
          </w:p>
        </w:tc>
        <w:tc>
          <w:tcPr>
            <w:tcW w:w="231" w:type="pct"/>
            <w:tcBorders>
              <w:top w:val="single" w:sz="4" w:space="0" w:color="auto"/>
              <w:bottom w:val="thickThinSmallGap" w:sz="24" w:space="0" w:color="auto"/>
            </w:tcBorders>
            <w:vAlign w:val="center"/>
          </w:tcPr>
          <w:p w14:paraId="7F45996C" w14:textId="22E3288C"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7.328.503</w:t>
            </w:r>
          </w:p>
        </w:tc>
        <w:tc>
          <w:tcPr>
            <w:tcW w:w="230" w:type="pct"/>
            <w:tcBorders>
              <w:top w:val="single" w:sz="4" w:space="0" w:color="auto"/>
              <w:bottom w:val="thickThinSmallGap" w:sz="24" w:space="0" w:color="auto"/>
            </w:tcBorders>
            <w:vAlign w:val="center"/>
          </w:tcPr>
          <w:p w14:paraId="2C1BC4AA" w14:textId="6B2583B5"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1.646.073</w:t>
            </w:r>
          </w:p>
        </w:tc>
        <w:tc>
          <w:tcPr>
            <w:tcW w:w="107" w:type="pct"/>
            <w:tcBorders>
              <w:top w:val="single" w:sz="4" w:space="0" w:color="auto"/>
              <w:bottom w:val="thickThinSmallGap" w:sz="24" w:space="0" w:color="auto"/>
            </w:tcBorders>
            <w:vAlign w:val="center"/>
          </w:tcPr>
          <w:p w14:paraId="40546E1F" w14:textId="7B47B53B"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15" w:type="pct"/>
            <w:tcBorders>
              <w:top w:val="single" w:sz="4" w:space="0" w:color="auto"/>
              <w:bottom w:val="thickThinSmallGap" w:sz="24" w:space="0" w:color="auto"/>
            </w:tcBorders>
            <w:vAlign w:val="center"/>
          </w:tcPr>
          <w:p w14:paraId="0211763B" w14:textId="781489B6"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255" w:type="pct"/>
            <w:tcBorders>
              <w:top w:val="single" w:sz="4" w:space="0" w:color="auto"/>
              <w:bottom w:val="thickThinSmallGap" w:sz="24" w:space="0" w:color="auto"/>
            </w:tcBorders>
            <w:vAlign w:val="center"/>
          </w:tcPr>
          <w:p w14:paraId="72F1562D" w14:textId="1D09A79A"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78.204.425</w:t>
            </w:r>
          </w:p>
        </w:tc>
        <w:tc>
          <w:tcPr>
            <w:tcW w:w="278" w:type="pct"/>
            <w:tcBorders>
              <w:top w:val="single" w:sz="4" w:space="0" w:color="auto"/>
              <w:bottom w:val="thickThinSmallGap" w:sz="24" w:space="0" w:color="auto"/>
            </w:tcBorders>
            <w:vAlign w:val="center"/>
          </w:tcPr>
          <w:p w14:paraId="2F83E4A7" w14:textId="4FBE65CA"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290.974.204</w:t>
            </w:r>
          </w:p>
        </w:tc>
        <w:tc>
          <w:tcPr>
            <w:tcW w:w="278" w:type="pct"/>
            <w:tcBorders>
              <w:top w:val="single" w:sz="4" w:space="0" w:color="auto"/>
              <w:bottom w:val="thickThinSmallGap" w:sz="24" w:space="0" w:color="auto"/>
            </w:tcBorders>
            <w:vAlign w:val="center"/>
          </w:tcPr>
          <w:p w14:paraId="71E79F3A" w14:textId="6950C1E7"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361.224.930</w:t>
            </w:r>
          </w:p>
        </w:tc>
        <w:tc>
          <w:tcPr>
            <w:tcW w:w="248" w:type="pct"/>
            <w:tcBorders>
              <w:top w:val="single" w:sz="4" w:space="0" w:color="auto"/>
              <w:bottom w:val="thickThinSmallGap" w:sz="24" w:space="0" w:color="auto"/>
            </w:tcBorders>
            <w:vAlign w:val="center"/>
          </w:tcPr>
          <w:p w14:paraId="5DD455A0" w14:textId="569D3523"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19.586.737</w:t>
            </w:r>
          </w:p>
        </w:tc>
        <w:tc>
          <w:tcPr>
            <w:tcW w:w="255" w:type="pct"/>
            <w:tcBorders>
              <w:top w:val="single" w:sz="4" w:space="0" w:color="auto"/>
              <w:bottom w:val="thickThinSmallGap" w:sz="24" w:space="0" w:color="auto"/>
            </w:tcBorders>
            <w:vAlign w:val="center"/>
          </w:tcPr>
          <w:p w14:paraId="35E5C826" w14:textId="3DF6C132"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77.202.453</w:t>
            </w:r>
          </w:p>
        </w:tc>
        <w:tc>
          <w:tcPr>
            <w:tcW w:w="231" w:type="pct"/>
            <w:tcBorders>
              <w:top w:val="single" w:sz="4" w:space="0" w:color="auto"/>
              <w:bottom w:val="thickThinSmallGap" w:sz="24" w:space="0" w:color="auto"/>
            </w:tcBorders>
            <w:vAlign w:val="center"/>
          </w:tcPr>
          <w:p w14:paraId="4B3C184B" w14:textId="49878FDA"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11.189.282</w:t>
            </w:r>
          </w:p>
        </w:tc>
        <w:tc>
          <w:tcPr>
            <w:tcW w:w="108" w:type="pct"/>
            <w:tcBorders>
              <w:top w:val="single" w:sz="4" w:space="0" w:color="auto"/>
              <w:bottom w:val="thickThinSmallGap" w:sz="24" w:space="0" w:color="auto"/>
            </w:tcBorders>
            <w:vAlign w:val="center"/>
          </w:tcPr>
          <w:p w14:paraId="5B7CE1D1" w14:textId="3F6B8B04"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23" w:type="pct"/>
            <w:tcBorders>
              <w:top w:val="single" w:sz="4" w:space="0" w:color="auto"/>
              <w:bottom w:val="thickThinSmallGap" w:sz="24" w:space="0" w:color="auto"/>
            </w:tcBorders>
            <w:vAlign w:val="center"/>
          </w:tcPr>
          <w:p w14:paraId="60EFF055" w14:textId="54C87128"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23" w:type="pct"/>
            <w:tcBorders>
              <w:top w:val="single" w:sz="4" w:space="0" w:color="auto"/>
              <w:bottom w:val="thickThinSmallGap" w:sz="24" w:space="0" w:color="auto"/>
            </w:tcBorders>
            <w:vAlign w:val="center"/>
          </w:tcPr>
          <w:p w14:paraId="6FE3CBCF" w14:textId="1BF05B3C"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71" w:type="pct"/>
            <w:tcBorders>
              <w:top w:val="single" w:sz="4" w:space="0" w:color="auto"/>
              <w:bottom w:val="thickThinSmallGap" w:sz="24" w:space="0" w:color="auto"/>
            </w:tcBorders>
            <w:vAlign w:val="center"/>
          </w:tcPr>
          <w:p w14:paraId="110EC9BA" w14:textId="72DD06D2"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130.407</w:t>
            </w:r>
          </w:p>
        </w:tc>
        <w:tc>
          <w:tcPr>
            <w:tcW w:w="255" w:type="pct"/>
            <w:tcBorders>
              <w:top w:val="single" w:sz="4" w:space="0" w:color="auto"/>
              <w:bottom w:val="thickThinSmallGap" w:sz="24" w:space="0" w:color="auto"/>
            </w:tcBorders>
            <w:vAlign w:val="center"/>
          </w:tcPr>
          <w:p w14:paraId="7F5D8C0E" w14:textId="6BBB79C2"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79.938.978</w:t>
            </w:r>
          </w:p>
        </w:tc>
        <w:tc>
          <w:tcPr>
            <w:tcW w:w="271" w:type="pct"/>
            <w:tcBorders>
              <w:top w:val="single" w:sz="4" w:space="0" w:color="auto"/>
              <w:bottom w:val="thickThinSmallGap" w:sz="24" w:space="0" w:color="auto"/>
            </w:tcBorders>
            <w:vAlign w:val="center"/>
          </w:tcPr>
          <w:p w14:paraId="42D2EAB9" w14:textId="7C0D2244"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88.469.380</w:t>
            </w:r>
          </w:p>
        </w:tc>
        <w:tc>
          <w:tcPr>
            <w:tcW w:w="277" w:type="pct"/>
            <w:tcBorders>
              <w:top w:val="single" w:sz="4" w:space="0" w:color="auto"/>
              <w:bottom w:val="thickThinSmallGap" w:sz="24" w:space="0" w:color="auto"/>
            </w:tcBorders>
            <w:vAlign w:val="center"/>
          </w:tcPr>
          <w:p w14:paraId="30839BF1" w14:textId="5742F957" w:rsidR="001B6DB1" w:rsidRPr="00FB38E1" w:rsidRDefault="001B6DB1" w:rsidP="001B6DB1">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1.349.086.247</w:t>
            </w:r>
          </w:p>
        </w:tc>
      </w:tr>
    </w:tbl>
    <w:p w14:paraId="23707D3D" w14:textId="77777777" w:rsidR="00D1663E" w:rsidRPr="00FB38E1" w:rsidRDefault="00D1663E" w:rsidP="00D1663E">
      <w:pPr>
        <w:pStyle w:val="Head3"/>
        <w:keepNext w:val="0"/>
        <w:keepLines w:val="0"/>
        <w:tabs>
          <w:tab w:val="left" w:pos="284"/>
        </w:tabs>
        <w:spacing w:before="240" w:line="240" w:lineRule="auto"/>
        <w:ind w:right="0" w:firstLine="0"/>
        <w:rPr>
          <w:rFonts w:ascii="Microsoft Sans Serif" w:eastAsia="Arial Unicode MS" w:hAnsi="Microsoft Sans Serif" w:cs="Microsoft Sans Serif"/>
          <w:b w:val="0"/>
          <w:bCs w:val="0"/>
          <w:i w:val="0"/>
          <w:iCs w:val="0"/>
          <w:sz w:val="20"/>
          <w:szCs w:val="20"/>
          <w:lang w:eastAsia="tr-TR"/>
        </w:rPr>
      </w:pPr>
    </w:p>
    <w:tbl>
      <w:tblPr>
        <w:tblStyle w:val="TableGrid"/>
        <w:tblW w:w="1445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95"/>
        <w:gridCol w:w="784"/>
        <w:gridCol w:w="649"/>
        <w:gridCol w:w="649"/>
        <w:gridCol w:w="343"/>
        <w:gridCol w:w="344"/>
        <w:gridCol w:w="717"/>
        <w:gridCol w:w="784"/>
        <w:gridCol w:w="784"/>
        <w:gridCol w:w="732"/>
        <w:gridCol w:w="717"/>
        <w:gridCol w:w="657"/>
        <w:gridCol w:w="363"/>
        <w:gridCol w:w="363"/>
        <w:gridCol w:w="363"/>
        <w:gridCol w:w="482"/>
        <w:gridCol w:w="716"/>
        <w:gridCol w:w="809"/>
        <w:gridCol w:w="808"/>
      </w:tblGrid>
      <w:tr w:rsidR="00D1663E" w:rsidRPr="00FB38E1" w14:paraId="4789CC82" w14:textId="77777777" w:rsidTr="001B6DB1">
        <w:tc>
          <w:tcPr>
            <w:tcW w:w="1181" w:type="pct"/>
            <w:tcBorders>
              <w:top w:val="thinThickSmallGap" w:sz="24" w:space="0" w:color="auto"/>
              <w:bottom w:val="nil"/>
            </w:tcBorders>
            <w:vAlign w:val="bottom"/>
          </w:tcPr>
          <w:p w14:paraId="2D81577E" w14:textId="77777777" w:rsidR="00D1663E" w:rsidRPr="00FB38E1" w:rsidRDefault="00D1663E" w:rsidP="00836EF2">
            <w:pPr>
              <w:rPr>
                <w:rFonts w:ascii="Microsoft Sans Serif" w:hAnsi="Microsoft Sans Serif" w:cs="Microsoft Sans Serif"/>
                <w:b/>
                <w:color w:val="000000"/>
                <w:sz w:val="12"/>
                <w:szCs w:val="12"/>
              </w:rPr>
            </w:pPr>
          </w:p>
        </w:tc>
        <w:tc>
          <w:tcPr>
            <w:tcW w:w="3819" w:type="pct"/>
            <w:gridSpan w:val="18"/>
            <w:tcBorders>
              <w:top w:val="thinThickSmallGap" w:sz="24" w:space="0" w:color="auto"/>
              <w:bottom w:val="nil"/>
            </w:tcBorders>
            <w:vAlign w:val="bottom"/>
          </w:tcPr>
          <w:p w14:paraId="56063771" w14:textId="77777777" w:rsidR="00D1663E" w:rsidRPr="00FB38E1" w:rsidRDefault="00D1663E" w:rsidP="00836EF2">
            <w:pPr>
              <w:jc w:val="center"/>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Risk Sınıfları (*)(***)</w:t>
            </w:r>
          </w:p>
        </w:tc>
      </w:tr>
      <w:tr w:rsidR="00D1663E" w:rsidRPr="00FB38E1" w14:paraId="1258D1B4" w14:textId="77777777" w:rsidTr="001B6DB1">
        <w:tc>
          <w:tcPr>
            <w:tcW w:w="1181" w:type="pct"/>
            <w:tcBorders>
              <w:top w:val="nil"/>
              <w:bottom w:val="single" w:sz="4" w:space="0" w:color="auto"/>
            </w:tcBorders>
            <w:vAlign w:val="center"/>
          </w:tcPr>
          <w:p w14:paraId="0C7764A2" w14:textId="77777777" w:rsidR="00D1663E" w:rsidRPr="00FB38E1" w:rsidRDefault="00D1663E" w:rsidP="00836EF2">
            <w:pPr>
              <w:rPr>
                <w:rFonts w:ascii="Microsoft Sans Serif" w:hAnsi="Microsoft Sans Serif" w:cs="Microsoft Sans Serif"/>
                <w:color w:val="404040"/>
                <w:sz w:val="12"/>
                <w:szCs w:val="12"/>
              </w:rPr>
            </w:pPr>
            <w:r w:rsidRPr="00FB38E1">
              <w:rPr>
                <w:rFonts w:ascii="Microsoft Sans Serif" w:hAnsi="Microsoft Sans Serif" w:cs="Microsoft Sans Serif"/>
                <w:b/>
                <w:color w:val="000000"/>
                <w:sz w:val="12"/>
                <w:szCs w:val="12"/>
              </w:rPr>
              <w:t>Önceki Dönem</w:t>
            </w:r>
          </w:p>
        </w:tc>
        <w:tc>
          <w:tcPr>
            <w:tcW w:w="278" w:type="pct"/>
            <w:tcBorders>
              <w:top w:val="single" w:sz="4" w:space="0" w:color="auto"/>
              <w:left w:val="nil"/>
              <w:bottom w:val="single" w:sz="4" w:space="0" w:color="auto"/>
              <w:right w:val="nil"/>
            </w:tcBorders>
            <w:shd w:val="clear" w:color="auto" w:fill="auto"/>
            <w:vAlign w:val="bottom"/>
          </w:tcPr>
          <w:p w14:paraId="5B5C4050"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w:t>
            </w:r>
          </w:p>
        </w:tc>
        <w:tc>
          <w:tcPr>
            <w:tcW w:w="231" w:type="pct"/>
            <w:tcBorders>
              <w:top w:val="single" w:sz="4" w:space="0" w:color="auto"/>
              <w:bottom w:val="single" w:sz="4" w:space="0" w:color="auto"/>
            </w:tcBorders>
          </w:tcPr>
          <w:p w14:paraId="7D1C365E"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2</w:t>
            </w:r>
          </w:p>
        </w:tc>
        <w:tc>
          <w:tcPr>
            <w:tcW w:w="102" w:type="pct"/>
            <w:tcBorders>
              <w:top w:val="single" w:sz="4" w:space="0" w:color="auto"/>
              <w:bottom w:val="single" w:sz="4" w:space="0" w:color="auto"/>
            </w:tcBorders>
          </w:tcPr>
          <w:p w14:paraId="3E5EB746"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3</w:t>
            </w:r>
          </w:p>
        </w:tc>
        <w:tc>
          <w:tcPr>
            <w:tcW w:w="126" w:type="pct"/>
            <w:tcBorders>
              <w:top w:val="single" w:sz="4" w:space="0" w:color="auto"/>
              <w:bottom w:val="single" w:sz="4" w:space="0" w:color="auto"/>
            </w:tcBorders>
          </w:tcPr>
          <w:p w14:paraId="52A9CD79"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4</w:t>
            </w:r>
          </w:p>
        </w:tc>
        <w:tc>
          <w:tcPr>
            <w:tcW w:w="126" w:type="pct"/>
            <w:tcBorders>
              <w:top w:val="single" w:sz="4" w:space="0" w:color="auto"/>
              <w:bottom w:val="single" w:sz="4" w:space="0" w:color="auto"/>
            </w:tcBorders>
          </w:tcPr>
          <w:p w14:paraId="573C7B04"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5</w:t>
            </w:r>
          </w:p>
        </w:tc>
        <w:tc>
          <w:tcPr>
            <w:tcW w:w="255" w:type="pct"/>
            <w:tcBorders>
              <w:top w:val="single" w:sz="4" w:space="0" w:color="auto"/>
              <w:bottom w:val="single" w:sz="4" w:space="0" w:color="auto"/>
            </w:tcBorders>
          </w:tcPr>
          <w:p w14:paraId="46481D0C"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6</w:t>
            </w:r>
          </w:p>
        </w:tc>
        <w:tc>
          <w:tcPr>
            <w:tcW w:w="278" w:type="pct"/>
            <w:tcBorders>
              <w:top w:val="single" w:sz="4" w:space="0" w:color="auto"/>
              <w:bottom w:val="single" w:sz="4" w:space="0" w:color="auto"/>
            </w:tcBorders>
          </w:tcPr>
          <w:p w14:paraId="578F31F8"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7</w:t>
            </w:r>
          </w:p>
        </w:tc>
        <w:tc>
          <w:tcPr>
            <w:tcW w:w="278" w:type="pct"/>
            <w:tcBorders>
              <w:top w:val="single" w:sz="4" w:space="0" w:color="auto"/>
              <w:bottom w:val="single" w:sz="4" w:space="0" w:color="auto"/>
            </w:tcBorders>
          </w:tcPr>
          <w:p w14:paraId="2B7CE46A"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8</w:t>
            </w:r>
          </w:p>
        </w:tc>
        <w:tc>
          <w:tcPr>
            <w:tcW w:w="260" w:type="pct"/>
            <w:tcBorders>
              <w:top w:val="single" w:sz="4" w:space="0" w:color="auto"/>
              <w:bottom w:val="single" w:sz="4" w:space="0" w:color="auto"/>
            </w:tcBorders>
          </w:tcPr>
          <w:p w14:paraId="715390DE"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9</w:t>
            </w:r>
          </w:p>
        </w:tc>
        <w:tc>
          <w:tcPr>
            <w:tcW w:w="255" w:type="pct"/>
            <w:tcBorders>
              <w:top w:val="single" w:sz="4" w:space="0" w:color="auto"/>
              <w:bottom w:val="single" w:sz="4" w:space="0" w:color="auto"/>
            </w:tcBorders>
          </w:tcPr>
          <w:p w14:paraId="2DE9971A"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10</w:t>
            </w:r>
          </w:p>
        </w:tc>
        <w:tc>
          <w:tcPr>
            <w:tcW w:w="234" w:type="pct"/>
            <w:tcBorders>
              <w:top w:val="single" w:sz="4" w:space="0" w:color="auto"/>
              <w:bottom w:val="single" w:sz="4" w:space="0" w:color="auto"/>
            </w:tcBorders>
          </w:tcPr>
          <w:p w14:paraId="75567D0F"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11</w:t>
            </w:r>
          </w:p>
        </w:tc>
        <w:tc>
          <w:tcPr>
            <w:tcW w:w="132" w:type="pct"/>
            <w:tcBorders>
              <w:top w:val="single" w:sz="4" w:space="0" w:color="auto"/>
              <w:bottom w:val="single" w:sz="4" w:space="0" w:color="auto"/>
            </w:tcBorders>
          </w:tcPr>
          <w:p w14:paraId="1208A6A2"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12</w:t>
            </w:r>
          </w:p>
        </w:tc>
        <w:tc>
          <w:tcPr>
            <w:tcW w:w="132" w:type="pct"/>
            <w:tcBorders>
              <w:top w:val="single" w:sz="4" w:space="0" w:color="auto"/>
              <w:bottom w:val="single" w:sz="4" w:space="0" w:color="auto"/>
            </w:tcBorders>
          </w:tcPr>
          <w:p w14:paraId="70ED43D4"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13</w:t>
            </w:r>
          </w:p>
        </w:tc>
        <w:tc>
          <w:tcPr>
            <w:tcW w:w="132" w:type="pct"/>
            <w:tcBorders>
              <w:top w:val="single" w:sz="4" w:space="0" w:color="auto"/>
              <w:bottom w:val="single" w:sz="4" w:space="0" w:color="auto"/>
            </w:tcBorders>
          </w:tcPr>
          <w:p w14:paraId="595017F2"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14</w:t>
            </w:r>
          </w:p>
        </w:tc>
        <w:tc>
          <w:tcPr>
            <w:tcW w:w="171" w:type="pct"/>
            <w:tcBorders>
              <w:top w:val="single" w:sz="4" w:space="0" w:color="auto"/>
              <w:bottom w:val="single" w:sz="4" w:space="0" w:color="auto"/>
            </w:tcBorders>
          </w:tcPr>
          <w:p w14:paraId="70B38989"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15</w:t>
            </w:r>
          </w:p>
        </w:tc>
        <w:tc>
          <w:tcPr>
            <w:tcW w:w="255" w:type="pct"/>
            <w:tcBorders>
              <w:top w:val="single" w:sz="4" w:space="0" w:color="auto"/>
              <w:bottom w:val="single" w:sz="4" w:space="0" w:color="auto"/>
            </w:tcBorders>
          </w:tcPr>
          <w:p w14:paraId="32B038D1"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16</w:t>
            </w:r>
          </w:p>
        </w:tc>
        <w:tc>
          <w:tcPr>
            <w:tcW w:w="288" w:type="pct"/>
            <w:tcBorders>
              <w:top w:val="single" w:sz="4" w:space="0" w:color="auto"/>
              <w:bottom w:val="single" w:sz="4" w:space="0" w:color="auto"/>
            </w:tcBorders>
          </w:tcPr>
          <w:p w14:paraId="2D808112"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17</w:t>
            </w:r>
          </w:p>
        </w:tc>
        <w:tc>
          <w:tcPr>
            <w:tcW w:w="287" w:type="pct"/>
            <w:tcBorders>
              <w:top w:val="nil"/>
              <w:bottom w:val="single" w:sz="4" w:space="0" w:color="auto"/>
            </w:tcBorders>
            <w:vAlign w:val="bottom"/>
          </w:tcPr>
          <w:p w14:paraId="35E44C88" w14:textId="77777777" w:rsidR="00D1663E" w:rsidRPr="00FB38E1" w:rsidRDefault="00D1663E" w:rsidP="00836EF2">
            <w:pPr>
              <w:jc w:val="center"/>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Toplam</w:t>
            </w:r>
          </w:p>
        </w:tc>
      </w:tr>
      <w:tr w:rsidR="004B392F" w:rsidRPr="00FB38E1" w14:paraId="199F65A2" w14:textId="77777777" w:rsidTr="001B6DB1">
        <w:tc>
          <w:tcPr>
            <w:tcW w:w="1181" w:type="pct"/>
            <w:tcBorders>
              <w:top w:val="single" w:sz="4" w:space="0" w:color="auto"/>
            </w:tcBorders>
            <w:vAlign w:val="center"/>
          </w:tcPr>
          <w:p w14:paraId="7471A720" w14:textId="77777777" w:rsidR="004B392F" w:rsidRPr="00FB38E1" w:rsidRDefault="004B392F" w:rsidP="004B392F">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Yurt içi</w:t>
            </w:r>
          </w:p>
        </w:tc>
        <w:tc>
          <w:tcPr>
            <w:tcW w:w="278" w:type="pct"/>
            <w:tcBorders>
              <w:top w:val="single" w:sz="4" w:space="0" w:color="auto"/>
              <w:left w:val="nil"/>
              <w:bottom w:val="nil"/>
              <w:right w:val="nil"/>
            </w:tcBorders>
            <w:shd w:val="clear" w:color="auto" w:fill="auto"/>
            <w:vAlign w:val="center"/>
          </w:tcPr>
          <w:p w14:paraId="4725746E" w14:textId="06AAEBC8"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278.233.609</w:t>
            </w:r>
          </w:p>
        </w:tc>
        <w:tc>
          <w:tcPr>
            <w:tcW w:w="231" w:type="pct"/>
            <w:tcBorders>
              <w:top w:val="single" w:sz="4" w:space="0" w:color="auto"/>
            </w:tcBorders>
            <w:vAlign w:val="center"/>
          </w:tcPr>
          <w:p w14:paraId="02F078E8" w14:textId="108C805D"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2.997.581</w:t>
            </w:r>
          </w:p>
        </w:tc>
        <w:tc>
          <w:tcPr>
            <w:tcW w:w="102" w:type="pct"/>
            <w:tcBorders>
              <w:top w:val="single" w:sz="4" w:space="0" w:color="auto"/>
            </w:tcBorders>
            <w:vAlign w:val="center"/>
          </w:tcPr>
          <w:p w14:paraId="5E5B00B2" w14:textId="1F9300DA"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6.145.523</w:t>
            </w:r>
          </w:p>
        </w:tc>
        <w:tc>
          <w:tcPr>
            <w:tcW w:w="126" w:type="pct"/>
            <w:tcBorders>
              <w:top w:val="single" w:sz="4" w:space="0" w:color="auto"/>
            </w:tcBorders>
            <w:vAlign w:val="center"/>
          </w:tcPr>
          <w:p w14:paraId="64369125" w14:textId="0AC99E16"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tcBorders>
              <w:top w:val="single" w:sz="4" w:space="0" w:color="auto"/>
            </w:tcBorders>
            <w:vAlign w:val="center"/>
          </w:tcPr>
          <w:p w14:paraId="1C6B192D" w14:textId="05BB2740"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tcBorders>
              <w:top w:val="single" w:sz="4" w:space="0" w:color="auto"/>
            </w:tcBorders>
            <w:vAlign w:val="center"/>
          </w:tcPr>
          <w:p w14:paraId="53B199EE" w14:textId="0536BB0A"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36.116.178</w:t>
            </w:r>
          </w:p>
        </w:tc>
        <w:tc>
          <w:tcPr>
            <w:tcW w:w="278" w:type="pct"/>
            <w:tcBorders>
              <w:top w:val="single" w:sz="4" w:space="0" w:color="auto"/>
            </w:tcBorders>
            <w:vAlign w:val="center"/>
          </w:tcPr>
          <w:p w14:paraId="5F6B1D58" w14:textId="11884A30"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135.158.237</w:t>
            </w:r>
          </w:p>
        </w:tc>
        <w:tc>
          <w:tcPr>
            <w:tcW w:w="278" w:type="pct"/>
            <w:tcBorders>
              <w:top w:val="single" w:sz="4" w:space="0" w:color="auto"/>
            </w:tcBorders>
            <w:vAlign w:val="center"/>
          </w:tcPr>
          <w:p w14:paraId="2B51A9AA" w14:textId="01B164F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212.260.850</w:t>
            </w:r>
          </w:p>
        </w:tc>
        <w:tc>
          <w:tcPr>
            <w:tcW w:w="260" w:type="pct"/>
            <w:tcBorders>
              <w:top w:val="single" w:sz="4" w:space="0" w:color="auto"/>
            </w:tcBorders>
            <w:vAlign w:val="center"/>
          </w:tcPr>
          <w:p w14:paraId="76E6996C" w14:textId="4E11D2B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9.798.258</w:t>
            </w:r>
          </w:p>
        </w:tc>
        <w:tc>
          <w:tcPr>
            <w:tcW w:w="255" w:type="pct"/>
            <w:tcBorders>
              <w:top w:val="single" w:sz="4" w:space="0" w:color="auto"/>
            </w:tcBorders>
            <w:vAlign w:val="center"/>
          </w:tcPr>
          <w:p w14:paraId="0798CD0F" w14:textId="0AD4C251"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31.644.867</w:t>
            </w:r>
          </w:p>
        </w:tc>
        <w:tc>
          <w:tcPr>
            <w:tcW w:w="234" w:type="pct"/>
            <w:tcBorders>
              <w:top w:val="single" w:sz="4" w:space="0" w:color="auto"/>
            </w:tcBorders>
            <w:vAlign w:val="center"/>
          </w:tcPr>
          <w:p w14:paraId="0BFF5FA4" w14:textId="739332D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5.735.045</w:t>
            </w:r>
          </w:p>
        </w:tc>
        <w:tc>
          <w:tcPr>
            <w:tcW w:w="132" w:type="pct"/>
            <w:tcBorders>
              <w:top w:val="single" w:sz="4" w:space="0" w:color="auto"/>
            </w:tcBorders>
            <w:vAlign w:val="center"/>
          </w:tcPr>
          <w:p w14:paraId="5F04C9FA" w14:textId="004899E7"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tcBorders>
              <w:top w:val="single" w:sz="4" w:space="0" w:color="auto"/>
            </w:tcBorders>
            <w:vAlign w:val="center"/>
          </w:tcPr>
          <w:p w14:paraId="55C56CE3" w14:textId="7C136DA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tcBorders>
              <w:top w:val="single" w:sz="4" w:space="0" w:color="auto"/>
            </w:tcBorders>
            <w:vAlign w:val="center"/>
          </w:tcPr>
          <w:p w14:paraId="11EF1DFA" w14:textId="4A9DAB4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tcBorders>
              <w:top w:val="single" w:sz="4" w:space="0" w:color="auto"/>
            </w:tcBorders>
            <w:vAlign w:val="center"/>
          </w:tcPr>
          <w:p w14:paraId="1D5DCDAC" w14:textId="6769CE5C"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28.136</w:t>
            </w:r>
          </w:p>
        </w:tc>
        <w:tc>
          <w:tcPr>
            <w:tcW w:w="255" w:type="pct"/>
            <w:tcBorders>
              <w:top w:val="single" w:sz="4" w:space="0" w:color="auto"/>
            </w:tcBorders>
            <w:vAlign w:val="center"/>
          </w:tcPr>
          <w:p w14:paraId="32A80EC2" w14:textId="6B4F57CA"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42.951.608</w:t>
            </w:r>
          </w:p>
        </w:tc>
        <w:tc>
          <w:tcPr>
            <w:tcW w:w="288" w:type="pct"/>
            <w:tcBorders>
              <w:top w:val="single" w:sz="4" w:space="0" w:color="auto"/>
            </w:tcBorders>
            <w:vAlign w:val="center"/>
          </w:tcPr>
          <w:p w14:paraId="744B090E" w14:textId="23DC0973"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960</w:t>
            </w:r>
          </w:p>
        </w:tc>
        <w:tc>
          <w:tcPr>
            <w:tcW w:w="287" w:type="pct"/>
            <w:tcBorders>
              <w:top w:val="single" w:sz="4" w:space="0" w:color="auto"/>
            </w:tcBorders>
            <w:vAlign w:val="center"/>
          </w:tcPr>
          <w:p w14:paraId="7DA76374" w14:textId="3C0E62CA" w:rsidR="004B392F" w:rsidRPr="00FB38E1" w:rsidRDefault="004B392F" w:rsidP="004B392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761.070.852</w:t>
            </w:r>
          </w:p>
        </w:tc>
      </w:tr>
      <w:tr w:rsidR="004B392F" w:rsidRPr="00FB38E1" w14:paraId="3913B111" w14:textId="77777777" w:rsidTr="001B6DB1">
        <w:tc>
          <w:tcPr>
            <w:tcW w:w="1181" w:type="pct"/>
            <w:vAlign w:val="center"/>
          </w:tcPr>
          <w:p w14:paraId="130AC182" w14:textId="77777777" w:rsidR="004B392F" w:rsidRPr="00FB38E1" w:rsidRDefault="004B392F" w:rsidP="004B392F">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Avrupa Birliği Ülkeleri</w:t>
            </w:r>
          </w:p>
        </w:tc>
        <w:tc>
          <w:tcPr>
            <w:tcW w:w="278" w:type="pct"/>
            <w:tcBorders>
              <w:top w:val="nil"/>
              <w:left w:val="nil"/>
              <w:bottom w:val="nil"/>
              <w:right w:val="nil"/>
            </w:tcBorders>
            <w:shd w:val="clear" w:color="auto" w:fill="auto"/>
            <w:vAlign w:val="center"/>
          </w:tcPr>
          <w:p w14:paraId="1EAE60E9" w14:textId="424C84E8"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22C88577" w14:textId="158D131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2" w:type="pct"/>
            <w:vAlign w:val="center"/>
          </w:tcPr>
          <w:p w14:paraId="01B4F044" w14:textId="23A9D3E7"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1571FF80" w14:textId="5418F6B1"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51639E14" w14:textId="523001B8"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5B4482B" w14:textId="33628CAF"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27.366.256</w:t>
            </w:r>
          </w:p>
        </w:tc>
        <w:tc>
          <w:tcPr>
            <w:tcW w:w="278" w:type="pct"/>
            <w:vAlign w:val="center"/>
          </w:tcPr>
          <w:p w14:paraId="204190D6" w14:textId="4FAF0BC7"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2.308.476</w:t>
            </w:r>
          </w:p>
        </w:tc>
        <w:tc>
          <w:tcPr>
            <w:tcW w:w="278" w:type="pct"/>
            <w:vAlign w:val="center"/>
          </w:tcPr>
          <w:p w14:paraId="0E5E14EC" w14:textId="51E50F4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58.676</w:t>
            </w:r>
          </w:p>
        </w:tc>
        <w:tc>
          <w:tcPr>
            <w:tcW w:w="260" w:type="pct"/>
            <w:vAlign w:val="center"/>
          </w:tcPr>
          <w:p w14:paraId="4A555788" w14:textId="182A7B9E"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4.878</w:t>
            </w:r>
          </w:p>
        </w:tc>
        <w:tc>
          <w:tcPr>
            <w:tcW w:w="255" w:type="pct"/>
            <w:vAlign w:val="center"/>
          </w:tcPr>
          <w:p w14:paraId="470BE648" w14:textId="7AE85DDC"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24.927</w:t>
            </w:r>
          </w:p>
        </w:tc>
        <w:tc>
          <w:tcPr>
            <w:tcW w:w="234" w:type="pct"/>
            <w:vAlign w:val="center"/>
          </w:tcPr>
          <w:p w14:paraId="2E8E24E2" w14:textId="3D1C20E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1.786</w:t>
            </w:r>
          </w:p>
        </w:tc>
        <w:tc>
          <w:tcPr>
            <w:tcW w:w="132" w:type="pct"/>
            <w:vAlign w:val="center"/>
          </w:tcPr>
          <w:p w14:paraId="1E29CBF1" w14:textId="173706E3"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4481AE39" w14:textId="3FC6CB46"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3E059A19" w14:textId="330EC228"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77F57F4E" w14:textId="757527F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021C574" w14:textId="2D9ED6C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409.616</w:t>
            </w:r>
          </w:p>
        </w:tc>
        <w:tc>
          <w:tcPr>
            <w:tcW w:w="288" w:type="pct"/>
            <w:vAlign w:val="center"/>
          </w:tcPr>
          <w:p w14:paraId="4AA0BF31" w14:textId="25E18243"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7" w:type="pct"/>
            <w:vAlign w:val="center"/>
          </w:tcPr>
          <w:p w14:paraId="13D3A2A8" w14:textId="0CE1AEF4" w:rsidR="004B392F" w:rsidRPr="00FB38E1" w:rsidRDefault="004B392F" w:rsidP="004B392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30.174.615</w:t>
            </w:r>
          </w:p>
        </w:tc>
      </w:tr>
      <w:tr w:rsidR="004B392F" w:rsidRPr="00FB38E1" w14:paraId="250E4557" w14:textId="77777777" w:rsidTr="001B6DB1">
        <w:tc>
          <w:tcPr>
            <w:tcW w:w="1181" w:type="pct"/>
            <w:vAlign w:val="center"/>
          </w:tcPr>
          <w:p w14:paraId="437CAF32" w14:textId="77777777" w:rsidR="004B392F" w:rsidRPr="00FB38E1" w:rsidRDefault="004B392F" w:rsidP="004B392F">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OECD Ülkeleri (**)</w:t>
            </w:r>
          </w:p>
        </w:tc>
        <w:tc>
          <w:tcPr>
            <w:tcW w:w="278" w:type="pct"/>
            <w:tcBorders>
              <w:top w:val="nil"/>
              <w:left w:val="nil"/>
              <w:bottom w:val="nil"/>
              <w:right w:val="nil"/>
            </w:tcBorders>
            <w:shd w:val="clear" w:color="auto" w:fill="auto"/>
            <w:vAlign w:val="center"/>
          </w:tcPr>
          <w:p w14:paraId="2159D8B9" w14:textId="58A84337"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0EDBF698" w14:textId="68D87D2C"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2" w:type="pct"/>
            <w:vAlign w:val="center"/>
          </w:tcPr>
          <w:p w14:paraId="278FE057" w14:textId="3DCCBC3F"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559E2925" w14:textId="31701341"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2F9D4B7B" w14:textId="04DAA6D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40657BC2" w14:textId="20F44D4E"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127.372</w:t>
            </w:r>
          </w:p>
        </w:tc>
        <w:tc>
          <w:tcPr>
            <w:tcW w:w="278" w:type="pct"/>
            <w:vAlign w:val="center"/>
          </w:tcPr>
          <w:p w14:paraId="1049A5A9" w14:textId="44B642F4"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7464F23F" w14:textId="12BC47AF"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1.026</w:t>
            </w:r>
          </w:p>
        </w:tc>
        <w:tc>
          <w:tcPr>
            <w:tcW w:w="260" w:type="pct"/>
            <w:vAlign w:val="center"/>
          </w:tcPr>
          <w:p w14:paraId="5FAE6162" w14:textId="7145FDDF"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28</w:t>
            </w:r>
          </w:p>
        </w:tc>
        <w:tc>
          <w:tcPr>
            <w:tcW w:w="255" w:type="pct"/>
            <w:vAlign w:val="center"/>
          </w:tcPr>
          <w:p w14:paraId="3FDAC83D" w14:textId="3B79EBC8"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4" w:type="pct"/>
            <w:vAlign w:val="center"/>
          </w:tcPr>
          <w:p w14:paraId="4740AB9E" w14:textId="5FEFFCD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w:t>
            </w:r>
          </w:p>
        </w:tc>
        <w:tc>
          <w:tcPr>
            <w:tcW w:w="132" w:type="pct"/>
            <w:vAlign w:val="center"/>
          </w:tcPr>
          <w:p w14:paraId="1704B5FA" w14:textId="3F2D8AB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2AC5E8AD" w14:textId="03822B61"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057BF8D0" w14:textId="6E9470E6"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0004ED60" w14:textId="00E6684C"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58133CFD" w14:textId="6F9C2D2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8" w:type="pct"/>
            <w:vAlign w:val="center"/>
          </w:tcPr>
          <w:p w14:paraId="751789D4" w14:textId="228051D6"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7" w:type="pct"/>
            <w:vAlign w:val="center"/>
          </w:tcPr>
          <w:p w14:paraId="230F8281" w14:textId="63486750" w:rsidR="004B392F" w:rsidRPr="00FB38E1" w:rsidRDefault="004B392F" w:rsidP="004B392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128.429</w:t>
            </w:r>
          </w:p>
        </w:tc>
      </w:tr>
      <w:tr w:rsidR="004B392F" w:rsidRPr="00FB38E1" w14:paraId="1127BA98" w14:textId="77777777" w:rsidTr="001B6DB1">
        <w:tc>
          <w:tcPr>
            <w:tcW w:w="1181" w:type="pct"/>
            <w:vAlign w:val="center"/>
          </w:tcPr>
          <w:p w14:paraId="2F86D01B" w14:textId="77777777" w:rsidR="004B392F" w:rsidRPr="00FB38E1" w:rsidRDefault="004B392F" w:rsidP="004B392F">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Kıyı Bankacılığı Bölgeleri</w:t>
            </w:r>
          </w:p>
        </w:tc>
        <w:tc>
          <w:tcPr>
            <w:tcW w:w="278" w:type="pct"/>
            <w:tcBorders>
              <w:top w:val="nil"/>
              <w:left w:val="nil"/>
              <w:bottom w:val="nil"/>
              <w:right w:val="nil"/>
            </w:tcBorders>
            <w:shd w:val="clear" w:color="auto" w:fill="auto"/>
            <w:vAlign w:val="center"/>
          </w:tcPr>
          <w:p w14:paraId="61EA69CF" w14:textId="6691CD6C"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78EA0768" w14:textId="645A5DD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2" w:type="pct"/>
            <w:vAlign w:val="center"/>
          </w:tcPr>
          <w:p w14:paraId="452B1F7C" w14:textId="1D81FF8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2263B7E2" w14:textId="36D7C80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669218CA" w14:textId="1EA66C74"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DCDE65C" w14:textId="70125AFF"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2.649</w:t>
            </w:r>
          </w:p>
        </w:tc>
        <w:tc>
          <w:tcPr>
            <w:tcW w:w="278" w:type="pct"/>
            <w:vAlign w:val="center"/>
          </w:tcPr>
          <w:p w14:paraId="2F0B1D42" w14:textId="46925E44"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2.007.961</w:t>
            </w:r>
          </w:p>
        </w:tc>
        <w:tc>
          <w:tcPr>
            <w:tcW w:w="278" w:type="pct"/>
            <w:vAlign w:val="center"/>
          </w:tcPr>
          <w:p w14:paraId="586E2B8A" w14:textId="7B14163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1.492</w:t>
            </w:r>
          </w:p>
        </w:tc>
        <w:tc>
          <w:tcPr>
            <w:tcW w:w="260" w:type="pct"/>
            <w:vAlign w:val="center"/>
          </w:tcPr>
          <w:p w14:paraId="158940AD" w14:textId="0263085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4D82E3C5" w14:textId="45D141AD"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4" w:type="pct"/>
            <w:vAlign w:val="center"/>
          </w:tcPr>
          <w:p w14:paraId="3168DBE0" w14:textId="058B7864"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1EC7FC04" w14:textId="6AD7754C"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791BDE8C" w14:textId="504E9C6E"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3D358A6F" w14:textId="4CAEAC1D"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4A0C9B9E" w14:textId="7F00C6D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60BAC753" w14:textId="42131B84"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8" w:type="pct"/>
            <w:vAlign w:val="center"/>
          </w:tcPr>
          <w:p w14:paraId="787DAD91" w14:textId="6BDB6FF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7" w:type="pct"/>
            <w:vAlign w:val="center"/>
          </w:tcPr>
          <w:p w14:paraId="08787B88" w14:textId="4B69415F" w:rsidR="004B392F" w:rsidRPr="00FB38E1" w:rsidRDefault="004B392F" w:rsidP="004B392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2.012.102</w:t>
            </w:r>
          </w:p>
        </w:tc>
      </w:tr>
      <w:tr w:rsidR="004B392F" w:rsidRPr="00FB38E1" w14:paraId="26D82623" w14:textId="77777777" w:rsidTr="001B6DB1">
        <w:tc>
          <w:tcPr>
            <w:tcW w:w="1181" w:type="pct"/>
            <w:vAlign w:val="center"/>
          </w:tcPr>
          <w:p w14:paraId="3C2E16CF" w14:textId="77777777" w:rsidR="004B392F" w:rsidRPr="00FB38E1" w:rsidRDefault="004B392F" w:rsidP="004B392F">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ABD, Kanada</w:t>
            </w:r>
          </w:p>
        </w:tc>
        <w:tc>
          <w:tcPr>
            <w:tcW w:w="278" w:type="pct"/>
            <w:tcBorders>
              <w:top w:val="nil"/>
              <w:left w:val="nil"/>
              <w:bottom w:val="nil"/>
              <w:right w:val="nil"/>
            </w:tcBorders>
            <w:shd w:val="clear" w:color="auto" w:fill="auto"/>
            <w:vAlign w:val="center"/>
          </w:tcPr>
          <w:p w14:paraId="4F2DE8E0" w14:textId="64156703"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2F4BC5DF" w14:textId="2384D2DE"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2" w:type="pct"/>
            <w:vAlign w:val="center"/>
          </w:tcPr>
          <w:p w14:paraId="08F2D674" w14:textId="707419F0"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6719DCD5" w14:textId="66E4A440"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6639B629" w14:textId="3E280064"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4F0E3A7B" w14:textId="6CE8AF7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3.899.330</w:t>
            </w:r>
          </w:p>
        </w:tc>
        <w:tc>
          <w:tcPr>
            <w:tcW w:w="278" w:type="pct"/>
            <w:vAlign w:val="center"/>
          </w:tcPr>
          <w:p w14:paraId="6FE656A0" w14:textId="44463E7F"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112.473</w:t>
            </w:r>
          </w:p>
        </w:tc>
        <w:tc>
          <w:tcPr>
            <w:tcW w:w="278" w:type="pct"/>
            <w:vAlign w:val="center"/>
          </w:tcPr>
          <w:p w14:paraId="72961F13" w14:textId="6AF149CA"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2.910</w:t>
            </w:r>
          </w:p>
        </w:tc>
        <w:tc>
          <w:tcPr>
            <w:tcW w:w="260" w:type="pct"/>
            <w:vAlign w:val="center"/>
          </w:tcPr>
          <w:p w14:paraId="04330BED" w14:textId="770C12B0"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w:t>
            </w:r>
          </w:p>
        </w:tc>
        <w:tc>
          <w:tcPr>
            <w:tcW w:w="255" w:type="pct"/>
            <w:vAlign w:val="center"/>
          </w:tcPr>
          <w:p w14:paraId="355D257E" w14:textId="1EF16996"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22.877</w:t>
            </w:r>
          </w:p>
        </w:tc>
        <w:tc>
          <w:tcPr>
            <w:tcW w:w="234" w:type="pct"/>
            <w:vAlign w:val="center"/>
          </w:tcPr>
          <w:p w14:paraId="5174148F" w14:textId="0DEB57EE"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6D459E38" w14:textId="426A2024"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22D3B63E" w14:textId="03E0DB97"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2F033194" w14:textId="29FDAA6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2891D86E" w14:textId="2D18DED8"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E28A962" w14:textId="138DB90D"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8" w:type="pct"/>
            <w:vAlign w:val="center"/>
          </w:tcPr>
          <w:p w14:paraId="78F701FE" w14:textId="2169E83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7" w:type="pct"/>
            <w:vAlign w:val="center"/>
          </w:tcPr>
          <w:p w14:paraId="371474F8" w14:textId="2E408904" w:rsidR="004B392F" w:rsidRPr="00FB38E1" w:rsidRDefault="004B392F" w:rsidP="004B392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4.037.591</w:t>
            </w:r>
          </w:p>
        </w:tc>
      </w:tr>
      <w:tr w:rsidR="004B392F" w:rsidRPr="00FB38E1" w14:paraId="01DB6B81" w14:textId="77777777" w:rsidTr="001B6DB1">
        <w:tc>
          <w:tcPr>
            <w:tcW w:w="1181" w:type="pct"/>
            <w:vAlign w:val="center"/>
          </w:tcPr>
          <w:p w14:paraId="4D3BD099" w14:textId="77777777" w:rsidR="004B392F" w:rsidRPr="00FB38E1" w:rsidRDefault="004B392F" w:rsidP="004B392F">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Diğer Ülkeler</w:t>
            </w:r>
          </w:p>
        </w:tc>
        <w:tc>
          <w:tcPr>
            <w:tcW w:w="278" w:type="pct"/>
            <w:tcBorders>
              <w:top w:val="nil"/>
              <w:left w:val="nil"/>
              <w:bottom w:val="nil"/>
              <w:right w:val="nil"/>
            </w:tcBorders>
            <w:shd w:val="clear" w:color="auto" w:fill="auto"/>
            <w:vAlign w:val="center"/>
          </w:tcPr>
          <w:p w14:paraId="0ABE6D27" w14:textId="1B44E244"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466E3667" w14:textId="3AE3F41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2" w:type="pct"/>
            <w:vAlign w:val="center"/>
          </w:tcPr>
          <w:p w14:paraId="0D29E0F7" w14:textId="070C2F7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1AA82B84" w14:textId="2B4DC79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409A1AE1" w14:textId="332E3400"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305FEDB" w14:textId="6D937FF7"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1.341.327</w:t>
            </w:r>
          </w:p>
        </w:tc>
        <w:tc>
          <w:tcPr>
            <w:tcW w:w="278" w:type="pct"/>
            <w:vAlign w:val="center"/>
          </w:tcPr>
          <w:p w14:paraId="480EFE96" w14:textId="170EF43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2.169.041</w:t>
            </w:r>
          </w:p>
        </w:tc>
        <w:tc>
          <w:tcPr>
            <w:tcW w:w="278" w:type="pct"/>
            <w:vAlign w:val="center"/>
          </w:tcPr>
          <w:p w14:paraId="0249910B" w14:textId="22A85A7C"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88.561</w:t>
            </w:r>
          </w:p>
        </w:tc>
        <w:tc>
          <w:tcPr>
            <w:tcW w:w="260" w:type="pct"/>
            <w:vAlign w:val="center"/>
          </w:tcPr>
          <w:p w14:paraId="5B4E1096" w14:textId="42080A41"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2.226</w:t>
            </w:r>
          </w:p>
        </w:tc>
        <w:tc>
          <w:tcPr>
            <w:tcW w:w="255" w:type="pct"/>
            <w:vAlign w:val="center"/>
          </w:tcPr>
          <w:p w14:paraId="5CDF302C" w14:textId="0C09F653"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723.512</w:t>
            </w:r>
          </w:p>
        </w:tc>
        <w:tc>
          <w:tcPr>
            <w:tcW w:w="234" w:type="pct"/>
            <w:vAlign w:val="center"/>
          </w:tcPr>
          <w:p w14:paraId="7947E51E" w14:textId="04C3C7DE"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148.833</w:t>
            </w:r>
          </w:p>
        </w:tc>
        <w:tc>
          <w:tcPr>
            <w:tcW w:w="132" w:type="pct"/>
            <w:vAlign w:val="center"/>
          </w:tcPr>
          <w:p w14:paraId="562DA7A2" w14:textId="0B6294E4"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3084D5E2" w14:textId="1413982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730E0562" w14:textId="3606BD3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7BF168F9" w14:textId="6EE15668"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75519B5" w14:textId="4617D39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224.801</w:t>
            </w:r>
          </w:p>
        </w:tc>
        <w:tc>
          <w:tcPr>
            <w:tcW w:w="288" w:type="pct"/>
            <w:vAlign w:val="center"/>
          </w:tcPr>
          <w:p w14:paraId="16C81B55" w14:textId="2DCC44E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7" w:type="pct"/>
            <w:vAlign w:val="center"/>
          </w:tcPr>
          <w:p w14:paraId="15CD58FC" w14:textId="18DB1184" w:rsidR="004B392F" w:rsidRPr="00FB38E1" w:rsidRDefault="004B392F" w:rsidP="004B392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4.698.301</w:t>
            </w:r>
          </w:p>
        </w:tc>
      </w:tr>
      <w:tr w:rsidR="004B392F" w:rsidRPr="00FB38E1" w14:paraId="042BAE45" w14:textId="77777777" w:rsidTr="001B6DB1">
        <w:tc>
          <w:tcPr>
            <w:tcW w:w="1181" w:type="pct"/>
            <w:vAlign w:val="center"/>
          </w:tcPr>
          <w:p w14:paraId="59B7F0EE" w14:textId="77777777" w:rsidR="004B392F" w:rsidRPr="00FB38E1" w:rsidRDefault="004B392F" w:rsidP="004B392F">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İştirak, Bağlı Ortaklık ve Birlikte Kontrol Edilen Ortaklık (İş Ort.)</w:t>
            </w:r>
          </w:p>
        </w:tc>
        <w:tc>
          <w:tcPr>
            <w:tcW w:w="278" w:type="pct"/>
            <w:tcBorders>
              <w:top w:val="nil"/>
              <w:left w:val="nil"/>
              <w:bottom w:val="nil"/>
              <w:right w:val="nil"/>
            </w:tcBorders>
            <w:shd w:val="clear" w:color="auto" w:fill="auto"/>
            <w:vAlign w:val="center"/>
          </w:tcPr>
          <w:p w14:paraId="00A2B5BB" w14:textId="35E77F13"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7D227430" w14:textId="3FD496F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02" w:type="pct"/>
            <w:vAlign w:val="center"/>
          </w:tcPr>
          <w:p w14:paraId="2DD04A8E" w14:textId="42E296AC"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2AC8E501" w14:textId="6856A10A"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780632C6" w14:textId="15CD93AF"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0D6C6D9" w14:textId="53610516"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6A97427B" w14:textId="2C348F36"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47DE45BF" w14:textId="3EE1AA80"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60" w:type="pct"/>
            <w:vAlign w:val="center"/>
          </w:tcPr>
          <w:p w14:paraId="35267ACB" w14:textId="03D45D5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0417F63" w14:textId="07C034C2"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4" w:type="pct"/>
            <w:vAlign w:val="center"/>
          </w:tcPr>
          <w:p w14:paraId="0BC0B0F1" w14:textId="75F6FB27"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7A50B4F6" w14:textId="779CA07F"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053B300A" w14:textId="2417772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4AAEAE0C" w14:textId="1923945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2A57E7F7" w14:textId="3DC5B466"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96AADE6" w14:textId="621F018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8" w:type="pct"/>
            <w:vAlign w:val="center"/>
          </w:tcPr>
          <w:p w14:paraId="5C9E08C0" w14:textId="281B5BE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69.202.780</w:t>
            </w:r>
          </w:p>
        </w:tc>
        <w:tc>
          <w:tcPr>
            <w:tcW w:w="287" w:type="pct"/>
            <w:vAlign w:val="center"/>
          </w:tcPr>
          <w:p w14:paraId="35C2906E" w14:textId="2FB54C14" w:rsidR="004B392F" w:rsidRPr="00FB38E1" w:rsidRDefault="004B392F" w:rsidP="004B392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69.202.780</w:t>
            </w:r>
          </w:p>
        </w:tc>
      </w:tr>
      <w:tr w:rsidR="004B392F" w:rsidRPr="00FB38E1" w14:paraId="4CADDEB3" w14:textId="77777777" w:rsidTr="001B6DB1">
        <w:tc>
          <w:tcPr>
            <w:tcW w:w="1181" w:type="pct"/>
            <w:vAlign w:val="center"/>
          </w:tcPr>
          <w:p w14:paraId="1AC94C89" w14:textId="77777777" w:rsidR="004B392F" w:rsidRPr="00FB38E1" w:rsidRDefault="004B392F" w:rsidP="004B392F">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Dağıtılmamış Varlıklar/Yükümlülükler</w:t>
            </w:r>
          </w:p>
        </w:tc>
        <w:tc>
          <w:tcPr>
            <w:tcW w:w="278" w:type="pct"/>
            <w:tcBorders>
              <w:top w:val="nil"/>
              <w:left w:val="nil"/>
              <w:bottom w:val="nil"/>
              <w:right w:val="nil"/>
            </w:tcBorders>
            <w:shd w:val="clear" w:color="auto" w:fill="auto"/>
            <w:vAlign w:val="center"/>
          </w:tcPr>
          <w:p w14:paraId="3789D17A" w14:textId="4BD3C61C"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4.312.142</w:t>
            </w:r>
          </w:p>
        </w:tc>
        <w:tc>
          <w:tcPr>
            <w:tcW w:w="231" w:type="pct"/>
            <w:vAlign w:val="center"/>
          </w:tcPr>
          <w:p w14:paraId="3D360784" w14:textId="165B212B"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567.077</w:t>
            </w:r>
          </w:p>
        </w:tc>
        <w:tc>
          <w:tcPr>
            <w:tcW w:w="102" w:type="pct"/>
            <w:vAlign w:val="center"/>
          </w:tcPr>
          <w:p w14:paraId="5CCB36C2" w14:textId="3CB4C78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1.189.337</w:t>
            </w:r>
          </w:p>
        </w:tc>
        <w:tc>
          <w:tcPr>
            <w:tcW w:w="126" w:type="pct"/>
            <w:vAlign w:val="center"/>
          </w:tcPr>
          <w:p w14:paraId="7B008837" w14:textId="6F444328"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5E769AB8" w14:textId="7E074AC1"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71A5EB0" w14:textId="3AB74DA1"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6.998.305</w:t>
            </w:r>
          </w:p>
        </w:tc>
        <w:tc>
          <w:tcPr>
            <w:tcW w:w="278" w:type="pct"/>
            <w:vAlign w:val="center"/>
          </w:tcPr>
          <w:p w14:paraId="19AF3140" w14:textId="5385C4EA"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60.360.234</w:t>
            </w:r>
          </w:p>
        </w:tc>
        <w:tc>
          <w:tcPr>
            <w:tcW w:w="278" w:type="pct"/>
            <w:vAlign w:val="center"/>
          </w:tcPr>
          <w:p w14:paraId="71011746" w14:textId="2A3FFA2D"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13.755.837</w:t>
            </w:r>
          </w:p>
        </w:tc>
        <w:tc>
          <w:tcPr>
            <w:tcW w:w="260" w:type="pct"/>
            <w:vAlign w:val="center"/>
          </w:tcPr>
          <w:p w14:paraId="51E6CD04" w14:textId="47E0017D"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1.532.608</w:t>
            </w:r>
          </w:p>
        </w:tc>
        <w:tc>
          <w:tcPr>
            <w:tcW w:w="255" w:type="pct"/>
            <w:vAlign w:val="center"/>
          </w:tcPr>
          <w:p w14:paraId="1E540492" w14:textId="343453F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4.182.081</w:t>
            </w:r>
          </w:p>
        </w:tc>
        <w:tc>
          <w:tcPr>
            <w:tcW w:w="234" w:type="pct"/>
            <w:vAlign w:val="center"/>
          </w:tcPr>
          <w:p w14:paraId="18402105" w14:textId="621034F8"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125.126</w:t>
            </w:r>
          </w:p>
        </w:tc>
        <w:tc>
          <w:tcPr>
            <w:tcW w:w="132" w:type="pct"/>
            <w:vAlign w:val="center"/>
          </w:tcPr>
          <w:p w14:paraId="6F3F7755" w14:textId="2ACAC369"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70D1F2C2" w14:textId="789DEB15"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32" w:type="pct"/>
            <w:vAlign w:val="center"/>
          </w:tcPr>
          <w:p w14:paraId="415AF87C" w14:textId="71FC940A"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59FB7833" w14:textId="7BDF0EE7"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292</w:t>
            </w:r>
          </w:p>
        </w:tc>
        <w:tc>
          <w:tcPr>
            <w:tcW w:w="255" w:type="pct"/>
            <w:vAlign w:val="center"/>
          </w:tcPr>
          <w:p w14:paraId="1F3F1D7D" w14:textId="6AFFB7E7"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8" w:type="pct"/>
            <w:vAlign w:val="center"/>
          </w:tcPr>
          <w:p w14:paraId="535AF989" w14:textId="5F4C931E" w:rsidR="004B392F" w:rsidRPr="00FB38E1" w:rsidRDefault="004B392F" w:rsidP="004B392F">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7" w:type="pct"/>
            <w:vAlign w:val="center"/>
          </w:tcPr>
          <w:p w14:paraId="6423CE4A" w14:textId="0F45E3A4" w:rsidR="004B392F" w:rsidRPr="00FB38E1" w:rsidRDefault="004B392F" w:rsidP="004B392F">
            <w:pPr>
              <w:jc w:val="right"/>
              <w:rPr>
                <w:rFonts w:ascii="Microsoft Sans Serif" w:hAnsi="Microsoft Sans Serif" w:cs="Microsoft Sans Serif"/>
                <w:sz w:val="12"/>
                <w:szCs w:val="12"/>
              </w:rPr>
            </w:pPr>
            <w:r w:rsidRPr="00FB38E1">
              <w:rPr>
                <w:rFonts w:ascii="Microsoft Sans Serif" w:hAnsi="Microsoft Sans Serif" w:cs="Microsoft Sans Serif"/>
                <w:sz w:val="12"/>
                <w:szCs w:val="12"/>
              </w:rPr>
              <w:t>93.023.039</w:t>
            </w:r>
          </w:p>
        </w:tc>
      </w:tr>
      <w:tr w:rsidR="004B392F" w:rsidRPr="00FB38E1" w14:paraId="6A7EE0FC" w14:textId="77777777" w:rsidTr="001B6DB1">
        <w:tc>
          <w:tcPr>
            <w:tcW w:w="1181" w:type="pct"/>
            <w:tcBorders>
              <w:top w:val="single" w:sz="4" w:space="0" w:color="auto"/>
              <w:bottom w:val="thickThinSmallGap" w:sz="24" w:space="0" w:color="auto"/>
            </w:tcBorders>
            <w:vAlign w:val="center"/>
          </w:tcPr>
          <w:p w14:paraId="45454F7F" w14:textId="77777777" w:rsidR="004B392F" w:rsidRPr="00FB38E1" w:rsidRDefault="004B392F" w:rsidP="004B392F">
            <w:pPr>
              <w:rPr>
                <w:rFonts w:ascii="Trebuchet MS" w:hAnsi="Trebuchet MS"/>
                <w:b/>
                <w:sz w:val="12"/>
                <w:szCs w:val="12"/>
              </w:rPr>
            </w:pPr>
            <w:r w:rsidRPr="00FB38E1">
              <w:rPr>
                <w:rFonts w:ascii="Trebuchet MS" w:hAnsi="Trebuchet MS"/>
                <w:b/>
                <w:sz w:val="12"/>
                <w:szCs w:val="12"/>
              </w:rPr>
              <w:t>Toplam</w:t>
            </w:r>
          </w:p>
        </w:tc>
        <w:tc>
          <w:tcPr>
            <w:tcW w:w="278" w:type="pct"/>
            <w:tcBorders>
              <w:top w:val="single" w:sz="4" w:space="0" w:color="auto"/>
              <w:bottom w:val="thickThinSmallGap" w:sz="24" w:space="0" w:color="auto"/>
            </w:tcBorders>
            <w:vAlign w:val="center"/>
          </w:tcPr>
          <w:p w14:paraId="0F078625" w14:textId="758E1A41"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282.545.751</w:t>
            </w:r>
          </w:p>
        </w:tc>
        <w:tc>
          <w:tcPr>
            <w:tcW w:w="231" w:type="pct"/>
            <w:tcBorders>
              <w:top w:val="single" w:sz="4" w:space="0" w:color="auto"/>
              <w:bottom w:val="thickThinSmallGap" w:sz="24" w:space="0" w:color="auto"/>
            </w:tcBorders>
            <w:vAlign w:val="center"/>
          </w:tcPr>
          <w:p w14:paraId="2EB1E61A" w14:textId="6A36653A"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3.564.658</w:t>
            </w:r>
          </w:p>
        </w:tc>
        <w:tc>
          <w:tcPr>
            <w:tcW w:w="102" w:type="pct"/>
            <w:tcBorders>
              <w:top w:val="single" w:sz="4" w:space="0" w:color="auto"/>
              <w:bottom w:val="thickThinSmallGap" w:sz="24" w:space="0" w:color="auto"/>
            </w:tcBorders>
            <w:vAlign w:val="center"/>
          </w:tcPr>
          <w:p w14:paraId="79D530CF" w14:textId="119C1395"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7.334.860</w:t>
            </w:r>
          </w:p>
        </w:tc>
        <w:tc>
          <w:tcPr>
            <w:tcW w:w="126" w:type="pct"/>
            <w:tcBorders>
              <w:top w:val="single" w:sz="4" w:space="0" w:color="auto"/>
              <w:bottom w:val="thickThinSmallGap" w:sz="24" w:space="0" w:color="auto"/>
            </w:tcBorders>
            <w:vAlign w:val="center"/>
          </w:tcPr>
          <w:p w14:paraId="02BE6C57" w14:textId="62B0768B"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26" w:type="pct"/>
            <w:tcBorders>
              <w:top w:val="single" w:sz="4" w:space="0" w:color="auto"/>
              <w:bottom w:val="thickThinSmallGap" w:sz="24" w:space="0" w:color="auto"/>
            </w:tcBorders>
            <w:vAlign w:val="center"/>
          </w:tcPr>
          <w:p w14:paraId="5E4EF1E3" w14:textId="44392C63"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255" w:type="pct"/>
            <w:tcBorders>
              <w:top w:val="single" w:sz="4" w:space="0" w:color="auto"/>
              <w:bottom w:val="thickThinSmallGap" w:sz="24" w:space="0" w:color="auto"/>
            </w:tcBorders>
            <w:vAlign w:val="center"/>
          </w:tcPr>
          <w:p w14:paraId="15A278B9" w14:textId="2BE42061"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75.851.417</w:t>
            </w:r>
          </w:p>
        </w:tc>
        <w:tc>
          <w:tcPr>
            <w:tcW w:w="278" w:type="pct"/>
            <w:tcBorders>
              <w:top w:val="single" w:sz="4" w:space="0" w:color="auto"/>
              <w:bottom w:val="thickThinSmallGap" w:sz="24" w:space="0" w:color="auto"/>
            </w:tcBorders>
            <w:vAlign w:val="center"/>
          </w:tcPr>
          <w:p w14:paraId="14FE00DD" w14:textId="431C2E59"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202.116.422</w:t>
            </w:r>
          </w:p>
        </w:tc>
        <w:tc>
          <w:tcPr>
            <w:tcW w:w="278" w:type="pct"/>
            <w:tcBorders>
              <w:top w:val="single" w:sz="4" w:space="0" w:color="auto"/>
              <w:bottom w:val="thickThinSmallGap" w:sz="24" w:space="0" w:color="auto"/>
            </w:tcBorders>
            <w:vAlign w:val="center"/>
          </w:tcPr>
          <w:p w14:paraId="6F73E5D7" w14:textId="272EDEC5"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226.169.352</w:t>
            </w:r>
          </w:p>
        </w:tc>
        <w:tc>
          <w:tcPr>
            <w:tcW w:w="260" w:type="pct"/>
            <w:tcBorders>
              <w:top w:val="single" w:sz="4" w:space="0" w:color="auto"/>
              <w:bottom w:val="thickThinSmallGap" w:sz="24" w:space="0" w:color="auto"/>
            </w:tcBorders>
            <w:vAlign w:val="center"/>
          </w:tcPr>
          <w:p w14:paraId="4C4554DA" w14:textId="42B4DF4F"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11.337.999</w:t>
            </w:r>
          </w:p>
        </w:tc>
        <w:tc>
          <w:tcPr>
            <w:tcW w:w="255" w:type="pct"/>
            <w:tcBorders>
              <w:top w:val="single" w:sz="4" w:space="0" w:color="auto"/>
              <w:bottom w:val="thickThinSmallGap" w:sz="24" w:space="0" w:color="auto"/>
            </w:tcBorders>
            <w:vAlign w:val="center"/>
          </w:tcPr>
          <w:p w14:paraId="1AD510D4" w14:textId="650AFBE2"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36.598.264</w:t>
            </w:r>
          </w:p>
        </w:tc>
        <w:tc>
          <w:tcPr>
            <w:tcW w:w="234" w:type="pct"/>
            <w:tcBorders>
              <w:top w:val="single" w:sz="4" w:space="0" w:color="auto"/>
              <w:bottom w:val="thickThinSmallGap" w:sz="24" w:space="0" w:color="auto"/>
            </w:tcBorders>
            <w:vAlign w:val="center"/>
          </w:tcPr>
          <w:p w14:paraId="7AF3627D" w14:textId="231E7C3F"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6.010.793</w:t>
            </w:r>
          </w:p>
        </w:tc>
        <w:tc>
          <w:tcPr>
            <w:tcW w:w="132" w:type="pct"/>
            <w:tcBorders>
              <w:top w:val="single" w:sz="4" w:space="0" w:color="auto"/>
              <w:bottom w:val="thickThinSmallGap" w:sz="24" w:space="0" w:color="auto"/>
            </w:tcBorders>
            <w:vAlign w:val="center"/>
          </w:tcPr>
          <w:p w14:paraId="66164E91" w14:textId="5768C9E2"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32" w:type="pct"/>
            <w:tcBorders>
              <w:top w:val="single" w:sz="4" w:space="0" w:color="auto"/>
              <w:bottom w:val="thickThinSmallGap" w:sz="24" w:space="0" w:color="auto"/>
            </w:tcBorders>
            <w:vAlign w:val="center"/>
          </w:tcPr>
          <w:p w14:paraId="00D105F1" w14:textId="5FAAB376"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32" w:type="pct"/>
            <w:tcBorders>
              <w:top w:val="single" w:sz="4" w:space="0" w:color="auto"/>
              <w:bottom w:val="thickThinSmallGap" w:sz="24" w:space="0" w:color="auto"/>
            </w:tcBorders>
            <w:vAlign w:val="center"/>
          </w:tcPr>
          <w:p w14:paraId="6DDDAC4A" w14:textId="30BC0079"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171" w:type="pct"/>
            <w:tcBorders>
              <w:top w:val="single" w:sz="4" w:space="0" w:color="auto"/>
              <w:bottom w:val="thickThinSmallGap" w:sz="24" w:space="0" w:color="auto"/>
            </w:tcBorders>
            <w:vAlign w:val="center"/>
          </w:tcPr>
          <w:p w14:paraId="6C27867F" w14:textId="1F028A82"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28.428</w:t>
            </w:r>
          </w:p>
        </w:tc>
        <w:tc>
          <w:tcPr>
            <w:tcW w:w="255" w:type="pct"/>
            <w:tcBorders>
              <w:top w:val="single" w:sz="4" w:space="0" w:color="auto"/>
              <w:bottom w:val="thickThinSmallGap" w:sz="24" w:space="0" w:color="auto"/>
            </w:tcBorders>
            <w:vAlign w:val="center"/>
          </w:tcPr>
          <w:p w14:paraId="435FA601" w14:textId="6C33938F"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43.586.025</w:t>
            </w:r>
          </w:p>
        </w:tc>
        <w:tc>
          <w:tcPr>
            <w:tcW w:w="288" w:type="pct"/>
            <w:tcBorders>
              <w:top w:val="single" w:sz="4" w:space="0" w:color="auto"/>
              <w:bottom w:val="thickThinSmallGap" w:sz="24" w:space="0" w:color="auto"/>
            </w:tcBorders>
            <w:vAlign w:val="center"/>
          </w:tcPr>
          <w:p w14:paraId="4770558C" w14:textId="46899AF3"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69.203.740</w:t>
            </w:r>
          </w:p>
        </w:tc>
        <w:tc>
          <w:tcPr>
            <w:tcW w:w="287" w:type="pct"/>
            <w:tcBorders>
              <w:top w:val="single" w:sz="4" w:space="0" w:color="auto"/>
              <w:bottom w:val="thickThinSmallGap" w:sz="24" w:space="0" w:color="auto"/>
            </w:tcBorders>
            <w:vAlign w:val="center"/>
          </w:tcPr>
          <w:p w14:paraId="3B8EA5E4" w14:textId="2D9C6E1C" w:rsidR="004B392F" w:rsidRPr="00FB38E1" w:rsidRDefault="004B392F" w:rsidP="004B392F">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964.347.709</w:t>
            </w:r>
          </w:p>
        </w:tc>
      </w:tr>
    </w:tbl>
    <w:p w14:paraId="208A167D" w14:textId="77777777" w:rsidR="00D1663E" w:rsidRPr="00FB38E1" w:rsidRDefault="00D1663E" w:rsidP="00D1663E">
      <w:pPr>
        <w:pStyle w:val="ListParagraph"/>
        <w:spacing w:before="120" w:after="0" w:line="360" w:lineRule="auto"/>
        <w:ind w:left="-85"/>
        <w:rPr>
          <w:rFonts w:ascii="Microsoft Sans Serif" w:hAnsi="Microsoft Sans Serif" w:cs="Microsoft Sans Serif"/>
          <w:bCs/>
          <w:iCs/>
          <w:color w:val="404040" w:themeColor="text1" w:themeTint="BF"/>
          <w:position w:val="6"/>
          <w:sz w:val="16"/>
          <w:szCs w:val="16"/>
        </w:rPr>
      </w:pPr>
      <w:r w:rsidRPr="00FB38E1">
        <w:rPr>
          <w:rFonts w:ascii="Microsoft Sans Serif" w:hAnsi="Microsoft Sans Serif" w:cs="Microsoft Sans Serif"/>
          <w:bCs/>
          <w:iCs/>
          <w:color w:val="404040" w:themeColor="text1" w:themeTint="BF"/>
          <w:position w:val="6"/>
          <w:sz w:val="16"/>
          <w:szCs w:val="16"/>
        </w:rPr>
        <w:t xml:space="preserve"> (*) Bankaların Sermaye Yeterliliğinin Ölçülmesine ve Değerlendirilmesine İlişkin Yönetmelikte yer alan risk sınıfları:</w:t>
      </w:r>
    </w:p>
    <w:tbl>
      <w:tblPr>
        <w:tblStyle w:val="TableGrid"/>
        <w:tblW w:w="14050"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14"/>
        <w:gridCol w:w="5241"/>
        <w:gridCol w:w="708"/>
        <w:gridCol w:w="7387"/>
      </w:tblGrid>
      <w:tr w:rsidR="00D1663E" w:rsidRPr="00FB38E1" w14:paraId="6D4BCB50" w14:textId="77777777" w:rsidTr="00836EF2">
        <w:tc>
          <w:tcPr>
            <w:tcW w:w="254" w:type="pct"/>
            <w:vAlign w:val="bottom"/>
          </w:tcPr>
          <w:p w14:paraId="6C8D854F"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1:</w:t>
            </w:r>
          </w:p>
        </w:tc>
        <w:tc>
          <w:tcPr>
            <w:tcW w:w="1865" w:type="pct"/>
            <w:vAlign w:val="center"/>
          </w:tcPr>
          <w:p w14:paraId="0C4027FB"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Merkezi yönetimlerden veya merkez bankalarından alacaklar</w:t>
            </w:r>
          </w:p>
        </w:tc>
        <w:tc>
          <w:tcPr>
            <w:tcW w:w="252" w:type="pct"/>
            <w:tcMar>
              <w:right w:w="57" w:type="dxa"/>
            </w:tcMar>
            <w:vAlign w:val="bottom"/>
          </w:tcPr>
          <w:p w14:paraId="144A7A77"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10:</w:t>
            </w:r>
          </w:p>
        </w:tc>
        <w:tc>
          <w:tcPr>
            <w:tcW w:w="2629" w:type="pct"/>
            <w:vAlign w:val="center"/>
          </w:tcPr>
          <w:p w14:paraId="0848D624"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Ticari amaçlı gayrimenkul ipoteği ile teminatlandırılan alacaklar</w:t>
            </w:r>
          </w:p>
        </w:tc>
      </w:tr>
      <w:tr w:rsidR="00D1663E" w:rsidRPr="00FB38E1" w14:paraId="34BAAA80" w14:textId="77777777" w:rsidTr="00836EF2">
        <w:tc>
          <w:tcPr>
            <w:tcW w:w="254" w:type="pct"/>
            <w:vAlign w:val="bottom"/>
          </w:tcPr>
          <w:p w14:paraId="0FC3AAA9"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2:</w:t>
            </w:r>
          </w:p>
        </w:tc>
        <w:tc>
          <w:tcPr>
            <w:tcW w:w="1865" w:type="pct"/>
            <w:vAlign w:val="center"/>
          </w:tcPr>
          <w:p w14:paraId="6076CCC4"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Bölgesel yönetimlerden veya yerel yönetimlerden alacaklar</w:t>
            </w:r>
          </w:p>
        </w:tc>
        <w:tc>
          <w:tcPr>
            <w:tcW w:w="252" w:type="pct"/>
            <w:tcMar>
              <w:right w:w="57" w:type="dxa"/>
            </w:tcMar>
            <w:vAlign w:val="bottom"/>
          </w:tcPr>
          <w:p w14:paraId="489A5DF5"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11:</w:t>
            </w:r>
          </w:p>
        </w:tc>
        <w:tc>
          <w:tcPr>
            <w:tcW w:w="2629" w:type="pct"/>
            <w:vAlign w:val="center"/>
          </w:tcPr>
          <w:p w14:paraId="65136947"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Tahsili gecikmiş alacaklar</w:t>
            </w:r>
          </w:p>
        </w:tc>
      </w:tr>
      <w:tr w:rsidR="00D1663E" w:rsidRPr="00FB38E1" w14:paraId="782DC1F0" w14:textId="77777777" w:rsidTr="00836EF2">
        <w:tc>
          <w:tcPr>
            <w:tcW w:w="254" w:type="pct"/>
            <w:shd w:val="clear" w:color="auto" w:fill="auto"/>
            <w:tcMar>
              <w:right w:w="57" w:type="dxa"/>
            </w:tcMar>
            <w:vAlign w:val="bottom"/>
          </w:tcPr>
          <w:p w14:paraId="782BC4F1"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3:</w:t>
            </w:r>
          </w:p>
        </w:tc>
        <w:tc>
          <w:tcPr>
            <w:tcW w:w="1865" w:type="pct"/>
            <w:shd w:val="clear" w:color="auto" w:fill="auto"/>
            <w:tcMar>
              <w:right w:w="567" w:type="dxa"/>
            </w:tcMar>
            <w:vAlign w:val="center"/>
          </w:tcPr>
          <w:p w14:paraId="422F4697"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İdari birimlerden ve ticari olmayan girişimlerden alacaklar</w:t>
            </w:r>
          </w:p>
        </w:tc>
        <w:tc>
          <w:tcPr>
            <w:tcW w:w="252" w:type="pct"/>
            <w:shd w:val="clear" w:color="auto" w:fill="auto"/>
            <w:tcMar>
              <w:right w:w="57" w:type="dxa"/>
            </w:tcMar>
            <w:vAlign w:val="bottom"/>
          </w:tcPr>
          <w:p w14:paraId="2AB3DE35"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12:</w:t>
            </w:r>
          </w:p>
        </w:tc>
        <w:tc>
          <w:tcPr>
            <w:tcW w:w="2629" w:type="pct"/>
            <w:shd w:val="clear" w:color="auto" w:fill="auto"/>
            <w:tcMar>
              <w:right w:w="284" w:type="dxa"/>
            </w:tcMar>
            <w:vAlign w:val="center"/>
          </w:tcPr>
          <w:p w14:paraId="51605871"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Kurulca riski yüksek belirlenmiş alacaklar</w:t>
            </w:r>
          </w:p>
        </w:tc>
      </w:tr>
      <w:tr w:rsidR="00D1663E" w:rsidRPr="00FB38E1" w14:paraId="2DEEA0C6" w14:textId="77777777" w:rsidTr="00836EF2">
        <w:tc>
          <w:tcPr>
            <w:tcW w:w="254" w:type="pct"/>
            <w:shd w:val="clear" w:color="auto" w:fill="auto"/>
            <w:tcMar>
              <w:right w:w="57" w:type="dxa"/>
            </w:tcMar>
            <w:vAlign w:val="bottom"/>
          </w:tcPr>
          <w:p w14:paraId="0E75FAB1"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4:</w:t>
            </w:r>
          </w:p>
        </w:tc>
        <w:tc>
          <w:tcPr>
            <w:tcW w:w="1865" w:type="pct"/>
            <w:shd w:val="clear" w:color="auto" w:fill="auto"/>
            <w:tcMar>
              <w:right w:w="567" w:type="dxa"/>
            </w:tcMar>
            <w:vAlign w:val="center"/>
          </w:tcPr>
          <w:p w14:paraId="5F1F1E5B"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Çok taraflı kalkınma bankalarından alacaklar</w:t>
            </w:r>
          </w:p>
        </w:tc>
        <w:tc>
          <w:tcPr>
            <w:tcW w:w="252" w:type="pct"/>
            <w:shd w:val="clear" w:color="auto" w:fill="auto"/>
            <w:tcMar>
              <w:right w:w="57" w:type="dxa"/>
            </w:tcMar>
            <w:vAlign w:val="bottom"/>
          </w:tcPr>
          <w:p w14:paraId="47DC82E4"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13:</w:t>
            </w:r>
          </w:p>
        </w:tc>
        <w:tc>
          <w:tcPr>
            <w:tcW w:w="2629" w:type="pct"/>
            <w:shd w:val="clear" w:color="auto" w:fill="auto"/>
            <w:tcMar>
              <w:right w:w="284" w:type="dxa"/>
            </w:tcMar>
            <w:vAlign w:val="center"/>
          </w:tcPr>
          <w:p w14:paraId="71964C00"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İpotek teminatlı menkul kıymetler</w:t>
            </w:r>
          </w:p>
        </w:tc>
      </w:tr>
      <w:tr w:rsidR="00D1663E" w:rsidRPr="00FB38E1" w14:paraId="3DAEB270" w14:textId="77777777" w:rsidTr="00836EF2">
        <w:tc>
          <w:tcPr>
            <w:tcW w:w="254" w:type="pct"/>
            <w:shd w:val="clear" w:color="auto" w:fill="auto"/>
            <w:tcMar>
              <w:right w:w="57" w:type="dxa"/>
            </w:tcMar>
            <w:vAlign w:val="bottom"/>
          </w:tcPr>
          <w:p w14:paraId="369AA0AD"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5:</w:t>
            </w:r>
          </w:p>
        </w:tc>
        <w:tc>
          <w:tcPr>
            <w:tcW w:w="1865" w:type="pct"/>
            <w:shd w:val="clear" w:color="auto" w:fill="auto"/>
            <w:tcMar>
              <w:right w:w="567" w:type="dxa"/>
            </w:tcMar>
            <w:vAlign w:val="center"/>
          </w:tcPr>
          <w:p w14:paraId="6512D108"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Uluslararası teşkilatlardan alacaklar</w:t>
            </w:r>
          </w:p>
        </w:tc>
        <w:tc>
          <w:tcPr>
            <w:tcW w:w="252" w:type="pct"/>
            <w:shd w:val="clear" w:color="auto" w:fill="auto"/>
            <w:tcMar>
              <w:right w:w="57" w:type="dxa"/>
            </w:tcMar>
            <w:vAlign w:val="bottom"/>
          </w:tcPr>
          <w:p w14:paraId="1DEA04FD"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14:</w:t>
            </w:r>
          </w:p>
        </w:tc>
        <w:tc>
          <w:tcPr>
            <w:tcW w:w="2629" w:type="pct"/>
            <w:shd w:val="clear" w:color="auto" w:fill="auto"/>
            <w:tcMar>
              <w:right w:w="284" w:type="dxa"/>
            </w:tcMar>
            <w:vAlign w:val="center"/>
          </w:tcPr>
          <w:p w14:paraId="35CE12A9"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Bankalardan ve aracı kurumlardan olan kısa vadeli alacaklar ile kısa vadeli kurumsal alacaklar</w:t>
            </w:r>
          </w:p>
        </w:tc>
      </w:tr>
      <w:tr w:rsidR="00D1663E" w:rsidRPr="00FB38E1" w14:paraId="6229576E" w14:textId="77777777" w:rsidTr="00836EF2">
        <w:tc>
          <w:tcPr>
            <w:tcW w:w="254" w:type="pct"/>
            <w:shd w:val="clear" w:color="auto" w:fill="auto"/>
            <w:tcMar>
              <w:right w:w="57" w:type="dxa"/>
            </w:tcMar>
            <w:vAlign w:val="bottom"/>
          </w:tcPr>
          <w:p w14:paraId="720052BE"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6:</w:t>
            </w:r>
          </w:p>
        </w:tc>
        <w:tc>
          <w:tcPr>
            <w:tcW w:w="1865" w:type="pct"/>
            <w:shd w:val="clear" w:color="auto" w:fill="auto"/>
            <w:tcMar>
              <w:right w:w="567" w:type="dxa"/>
            </w:tcMar>
            <w:vAlign w:val="center"/>
          </w:tcPr>
          <w:p w14:paraId="11733DFC"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Bankalardan ve aracı kurumlardan alacaklar</w:t>
            </w:r>
          </w:p>
        </w:tc>
        <w:tc>
          <w:tcPr>
            <w:tcW w:w="252" w:type="pct"/>
            <w:shd w:val="clear" w:color="auto" w:fill="auto"/>
            <w:tcMar>
              <w:right w:w="57" w:type="dxa"/>
            </w:tcMar>
            <w:vAlign w:val="bottom"/>
          </w:tcPr>
          <w:p w14:paraId="0D1DA2E0"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15:</w:t>
            </w:r>
          </w:p>
        </w:tc>
        <w:tc>
          <w:tcPr>
            <w:tcW w:w="2629" w:type="pct"/>
            <w:shd w:val="clear" w:color="auto" w:fill="auto"/>
            <w:tcMar>
              <w:right w:w="284" w:type="dxa"/>
            </w:tcMar>
            <w:vAlign w:val="center"/>
          </w:tcPr>
          <w:p w14:paraId="44FE12F0"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Kollektif yatırım kuruluşu niteliğindeki yatırımlar</w:t>
            </w:r>
          </w:p>
        </w:tc>
      </w:tr>
      <w:tr w:rsidR="00D1663E" w:rsidRPr="00FB38E1" w14:paraId="2F13D2FA" w14:textId="77777777" w:rsidTr="00836EF2">
        <w:tc>
          <w:tcPr>
            <w:tcW w:w="254" w:type="pct"/>
            <w:shd w:val="clear" w:color="auto" w:fill="auto"/>
            <w:tcMar>
              <w:right w:w="57" w:type="dxa"/>
            </w:tcMar>
            <w:vAlign w:val="bottom"/>
          </w:tcPr>
          <w:p w14:paraId="670BF36C"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7:</w:t>
            </w:r>
          </w:p>
        </w:tc>
        <w:tc>
          <w:tcPr>
            <w:tcW w:w="1865" w:type="pct"/>
            <w:shd w:val="clear" w:color="auto" w:fill="auto"/>
            <w:tcMar>
              <w:right w:w="567" w:type="dxa"/>
            </w:tcMar>
            <w:vAlign w:val="center"/>
          </w:tcPr>
          <w:p w14:paraId="5086559E"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Kurumsal alacaklar</w:t>
            </w:r>
          </w:p>
        </w:tc>
        <w:tc>
          <w:tcPr>
            <w:tcW w:w="252" w:type="pct"/>
            <w:shd w:val="clear" w:color="auto" w:fill="auto"/>
            <w:tcMar>
              <w:right w:w="57" w:type="dxa"/>
            </w:tcMar>
            <w:vAlign w:val="bottom"/>
          </w:tcPr>
          <w:p w14:paraId="4C8F7101"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16:</w:t>
            </w:r>
          </w:p>
        </w:tc>
        <w:tc>
          <w:tcPr>
            <w:tcW w:w="2629" w:type="pct"/>
            <w:shd w:val="clear" w:color="auto" w:fill="auto"/>
            <w:tcMar>
              <w:right w:w="284" w:type="dxa"/>
            </w:tcMar>
            <w:vAlign w:val="center"/>
          </w:tcPr>
          <w:p w14:paraId="35EF0EB4"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Diğer alacaklar</w:t>
            </w:r>
          </w:p>
        </w:tc>
      </w:tr>
      <w:tr w:rsidR="00D1663E" w:rsidRPr="00FB38E1" w14:paraId="14889591" w14:textId="77777777" w:rsidTr="00836EF2">
        <w:tc>
          <w:tcPr>
            <w:tcW w:w="254" w:type="pct"/>
            <w:shd w:val="clear" w:color="auto" w:fill="auto"/>
            <w:tcMar>
              <w:right w:w="57" w:type="dxa"/>
            </w:tcMar>
            <w:vAlign w:val="bottom"/>
          </w:tcPr>
          <w:p w14:paraId="26919484"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8:</w:t>
            </w:r>
          </w:p>
        </w:tc>
        <w:tc>
          <w:tcPr>
            <w:tcW w:w="1865" w:type="pct"/>
            <w:shd w:val="clear" w:color="auto" w:fill="auto"/>
            <w:tcMar>
              <w:right w:w="567" w:type="dxa"/>
            </w:tcMar>
            <w:vAlign w:val="center"/>
          </w:tcPr>
          <w:p w14:paraId="39FB61AC"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Perakende alacaklar</w:t>
            </w:r>
          </w:p>
        </w:tc>
        <w:tc>
          <w:tcPr>
            <w:tcW w:w="252" w:type="pct"/>
            <w:shd w:val="clear" w:color="auto" w:fill="auto"/>
            <w:tcMar>
              <w:right w:w="57" w:type="dxa"/>
            </w:tcMar>
            <w:vAlign w:val="bottom"/>
          </w:tcPr>
          <w:p w14:paraId="7BDED587"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17:</w:t>
            </w:r>
          </w:p>
        </w:tc>
        <w:tc>
          <w:tcPr>
            <w:tcW w:w="2629" w:type="pct"/>
            <w:shd w:val="clear" w:color="auto" w:fill="auto"/>
            <w:tcMar>
              <w:right w:w="284" w:type="dxa"/>
            </w:tcMar>
            <w:vAlign w:val="center"/>
          </w:tcPr>
          <w:p w14:paraId="2EB29847" w14:textId="77777777" w:rsidR="00D1663E" w:rsidRPr="00FB38E1" w:rsidRDefault="00D1663E" w:rsidP="00836EF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Hisse senedi yatırımları</w:t>
            </w:r>
          </w:p>
        </w:tc>
      </w:tr>
      <w:tr w:rsidR="00D1663E" w:rsidRPr="00FB38E1" w14:paraId="50733806" w14:textId="77777777" w:rsidTr="00836EF2">
        <w:tc>
          <w:tcPr>
            <w:tcW w:w="254" w:type="pct"/>
            <w:shd w:val="clear" w:color="auto" w:fill="auto"/>
            <w:tcMar>
              <w:right w:w="57" w:type="dxa"/>
            </w:tcMar>
            <w:vAlign w:val="bottom"/>
          </w:tcPr>
          <w:p w14:paraId="56DE90E0"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9:</w:t>
            </w:r>
          </w:p>
        </w:tc>
        <w:tc>
          <w:tcPr>
            <w:tcW w:w="1865" w:type="pct"/>
            <w:shd w:val="clear" w:color="auto" w:fill="auto"/>
            <w:tcMar>
              <w:right w:w="567" w:type="dxa"/>
            </w:tcMar>
            <w:vAlign w:val="center"/>
          </w:tcPr>
          <w:p w14:paraId="3368B9DE"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İkamet amaçlı gayrimenkul ipoteği ile teminatlandırılan alacaklar</w:t>
            </w:r>
          </w:p>
        </w:tc>
        <w:tc>
          <w:tcPr>
            <w:tcW w:w="252" w:type="pct"/>
            <w:shd w:val="clear" w:color="auto" w:fill="auto"/>
            <w:tcMar>
              <w:right w:w="57" w:type="dxa"/>
            </w:tcMar>
            <w:vAlign w:val="bottom"/>
          </w:tcPr>
          <w:p w14:paraId="53AF40FB"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p>
        </w:tc>
        <w:tc>
          <w:tcPr>
            <w:tcW w:w="2629" w:type="pct"/>
            <w:shd w:val="clear" w:color="auto" w:fill="auto"/>
            <w:tcMar>
              <w:right w:w="284" w:type="dxa"/>
            </w:tcMar>
            <w:vAlign w:val="bottom"/>
          </w:tcPr>
          <w:p w14:paraId="055CB408" w14:textId="77777777" w:rsidR="00D1663E" w:rsidRPr="00FB38E1" w:rsidRDefault="00D1663E" w:rsidP="00836EF2">
            <w:pPr>
              <w:rPr>
                <w:rFonts w:ascii="Microsoft Sans Serif" w:hAnsi="Microsoft Sans Serif" w:cs="Microsoft Sans Serif"/>
                <w:b/>
                <w:color w:val="404040" w:themeColor="text1" w:themeTint="BF"/>
                <w:sz w:val="16"/>
                <w:szCs w:val="16"/>
              </w:rPr>
            </w:pPr>
          </w:p>
        </w:tc>
      </w:tr>
    </w:tbl>
    <w:p w14:paraId="6F3922F5" w14:textId="77777777" w:rsidR="00D1663E" w:rsidRPr="00FB38E1" w:rsidRDefault="00D1663E" w:rsidP="00D1663E">
      <w:pPr>
        <w:pStyle w:val="ListParagraph"/>
        <w:spacing w:before="120" w:after="0"/>
        <w:ind w:left="-85"/>
        <w:contextualSpacing w:val="0"/>
        <w:rPr>
          <w:rFonts w:ascii="Microsoft Sans Serif" w:hAnsi="Microsoft Sans Serif" w:cs="Microsoft Sans Serif"/>
          <w:bCs/>
          <w:iCs/>
          <w:color w:val="404040" w:themeColor="text1" w:themeTint="BF"/>
          <w:position w:val="6"/>
          <w:sz w:val="16"/>
          <w:szCs w:val="16"/>
        </w:rPr>
      </w:pPr>
      <w:r w:rsidRPr="00FB38E1">
        <w:rPr>
          <w:rFonts w:ascii="Microsoft Sans Serif" w:hAnsi="Microsoft Sans Serif" w:cs="Microsoft Sans Serif"/>
          <w:bCs/>
          <w:iCs/>
          <w:color w:val="404040" w:themeColor="text1" w:themeTint="BF"/>
          <w:position w:val="6"/>
          <w:sz w:val="16"/>
          <w:szCs w:val="16"/>
        </w:rPr>
        <w:t>(**)   AB ülkeleri, ABD ve Kanada dışındaki OECD ülkeleri</w:t>
      </w:r>
    </w:p>
    <w:p w14:paraId="7DFEF69A" w14:textId="77777777" w:rsidR="00D1663E" w:rsidRPr="00FB38E1" w:rsidRDefault="00D1663E" w:rsidP="00D1663E">
      <w:pPr>
        <w:pStyle w:val="ListParagraph"/>
        <w:spacing w:before="120" w:after="0" w:line="360" w:lineRule="auto"/>
        <w:ind w:left="-85"/>
        <w:rPr>
          <w:rFonts w:ascii="Microsoft Sans Serif" w:hAnsi="Microsoft Sans Serif" w:cs="Microsoft Sans Serif"/>
          <w:bCs/>
          <w:iCs/>
          <w:color w:val="404040" w:themeColor="text1" w:themeTint="BF"/>
          <w:position w:val="6"/>
          <w:sz w:val="16"/>
          <w:szCs w:val="16"/>
        </w:rPr>
      </w:pPr>
      <w:r w:rsidRPr="00FB38E1">
        <w:rPr>
          <w:rFonts w:ascii="Microsoft Sans Serif" w:hAnsi="Microsoft Sans Serif" w:cs="Microsoft Sans Serif"/>
          <w:bCs/>
          <w:iCs/>
          <w:color w:val="404040" w:themeColor="text1" w:themeTint="BF"/>
          <w:position w:val="6"/>
          <w:sz w:val="16"/>
          <w:szCs w:val="16"/>
        </w:rPr>
        <w:t>(***)  Kredi riski azaltımı öncesi, krediye dönüşüm oranı sonrası risk tutarları verilmiştir.</w:t>
      </w:r>
      <w:r w:rsidRPr="00FB38E1">
        <w:rPr>
          <w:rFonts w:ascii="Microsoft Sans Serif" w:hAnsi="Microsoft Sans Serif" w:cs="Microsoft Sans Serif"/>
          <w:bCs/>
          <w:iCs/>
          <w:color w:val="404040" w:themeColor="text1" w:themeTint="BF"/>
          <w:position w:val="6"/>
          <w:sz w:val="16"/>
          <w:szCs w:val="16"/>
        </w:rPr>
        <w:br w:type="page"/>
      </w:r>
    </w:p>
    <w:p w14:paraId="39477DD6" w14:textId="77777777" w:rsidR="00D1663E" w:rsidRPr="00FB38E1" w:rsidRDefault="00D1663E" w:rsidP="00364B59">
      <w:pPr>
        <w:pStyle w:val="ListParagraph"/>
        <w:numPr>
          <w:ilvl w:val="0"/>
          <w:numId w:val="51"/>
        </w:numPr>
        <w:spacing w:before="240" w:after="120" w:line="240" w:lineRule="exact"/>
        <w:ind w:left="0" w:hanging="425"/>
        <w:contextualSpacing w:val="0"/>
        <w:rPr>
          <w:rFonts w:ascii="Microsoft Sans Serif" w:hAnsi="Microsoft Sans Serif" w:cs="Microsoft Sans Serif"/>
          <w:b/>
          <w:bCs/>
          <w:iCs/>
          <w:sz w:val="20"/>
          <w:szCs w:val="20"/>
        </w:rPr>
      </w:pPr>
      <w:r w:rsidRPr="00FB38E1">
        <w:rPr>
          <w:rFonts w:ascii="Microsoft Sans Serif" w:hAnsi="Microsoft Sans Serif" w:cs="Microsoft Sans Serif"/>
          <w:b/>
          <w:bCs/>
          <w:sz w:val="20"/>
          <w:szCs w:val="20"/>
          <w:lang w:val="en-US"/>
        </w:rPr>
        <w:t>Sektörlere veya karşı tarafa göre risk profili</w:t>
      </w:r>
    </w:p>
    <w:tbl>
      <w:tblPr>
        <w:tblStyle w:val="TableGrid"/>
        <w:tblW w:w="1445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79"/>
        <w:gridCol w:w="808"/>
        <w:gridCol w:w="785"/>
        <w:gridCol w:w="649"/>
        <w:gridCol w:w="496"/>
        <w:gridCol w:w="342"/>
        <w:gridCol w:w="716"/>
        <w:gridCol w:w="782"/>
        <w:gridCol w:w="782"/>
        <w:gridCol w:w="716"/>
        <w:gridCol w:w="716"/>
        <w:gridCol w:w="716"/>
        <w:gridCol w:w="248"/>
        <w:gridCol w:w="248"/>
        <w:gridCol w:w="248"/>
        <w:gridCol w:w="549"/>
        <w:gridCol w:w="716"/>
        <w:gridCol w:w="716"/>
        <w:gridCol w:w="782"/>
        <w:gridCol w:w="782"/>
        <w:gridCol w:w="883"/>
      </w:tblGrid>
      <w:tr w:rsidR="00D1663E" w:rsidRPr="00FB38E1" w14:paraId="2F5568F6" w14:textId="77777777" w:rsidTr="001B6DB1">
        <w:tc>
          <w:tcPr>
            <w:tcW w:w="623" w:type="pct"/>
            <w:tcBorders>
              <w:top w:val="thinThickSmallGap" w:sz="24" w:space="0" w:color="auto"/>
              <w:bottom w:val="nil"/>
            </w:tcBorders>
            <w:vAlign w:val="center"/>
          </w:tcPr>
          <w:p w14:paraId="06B35961" w14:textId="77777777" w:rsidR="00D1663E" w:rsidRPr="00FB38E1" w:rsidRDefault="00D1663E" w:rsidP="00836EF2">
            <w:pPr>
              <w:rPr>
                <w:rFonts w:ascii="Microsoft Sans Serif" w:hAnsi="Microsoft Sans Serif" w:cs="Microsoft Sans Serif"/>
                <w:b/>
                <w:color w:val="000000"/>
                <w:sz w:val="12"/>
                <w:szCs w:val="12"/>
              </w:rPr>
            </w:pPr>
          </w:p>
        </w:tc>
        <w:tc>
          <w:tcPr>
            <w:tcW w:w="3552" w:type="pct"/>
            <w:gridSpan w:val="17"/>
            <w:tcBorders>
              <w:top w:val="thinThickSmallGap" w:sz="24" w:space="0" w:color="auto"/>
              <w:left w:val="nil"/>
              <w:bottom w:val="single" w:sz="4" w:space="0" w:color="auto"/>
            </w:tcBorders>
            <w:shd w:val="clear" w:color="auto" w:fill="auto"/>
            <w:vAlign w:val="bottom"/>
          </w:tcPr>
          <w:p w14:paraId="2978A187" w14:textId="77777777" w:rsidR="00D1663E" w:rsidRPr="00FB38E1" w:rsidRDefault="00D1663E" w:rsidP="00836EF2">
            <w:pPr>
              <w:jc w:val="center"/>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Risk Sınıfları (*)(**)</w:t>
            </w:r>
          </w:p>
        </w:tc>
        <w:tc>
          <w:tcPr>
            <w:tcW w:w="275" w:type="pct"/>
            <w:tcBorders>
              <w:top w:val="thinThickSmallGap" w:sz="24" w:space="0" w:color="auto"/>
              <w:bottom w:val="nil"/>
            </w:tcBorders>
          </w:tcPr>
          <w:p w14:paraId="13D96FDE" w14:textId="77777777" w:rsidR="00D1663E" w:rsidRPr="00FB38E1" w:rsidRDefault="00D1663E" w:rsidP="00836EF2">
            <w:pPr>
              <w:jc w:val="center"/>
              <w:rPr>
                <w:rFonts w:ascii="Microsoft Sans Serif" w:hAnsi="Microsoft Sans Serif" w:cs="Microsoft Sans Serif"/>
                <w:b/>
                <w:bCs/>
                <w:color w:val="000000"/>
                <w:sz w:val="12"/>
                <w:szCs w:val="12"/>
              </w:rPr>
            </w:pPr>
          </w:p>
        </w:tc>
        <w:tc>
          <w:tcPr>
            <w:tcW w:w="275" w:type="pct"/>
            <w:tcBorders>
              <w:top w:val="thinThickSmallGap" w:sz="24" w:space="0" w:color="auto"/>
              <w:bottom w:val="nil"/>
            </w:tcBorders>
          </w:tcPr>
          <w:p w14:paraId="17A5577D" w14:textId="77777777" w:rsidR="00D1663E" w:rsidRPr="00FB38E1" w:rsidRDefault="00D1663E" w:rsidP="00836EF2">
            <w:pPr>
              <w:jc w:val="center"/>
              <w:rPr>
                <w:rFonts w:ascii="Microsoft Sans Serif" w:hAnsi="Microsoft Sans Serif" w:cs="Microsoft Sans Serif"/>
                <w:b/>
                <w:bCs/>
                <w:color w:val="000000"/>
                <w:sz w:val="12"/>
                <w:szCs w:val="12"/>
              </w:rPr>
            </w:pPr>
          </w:p>
        </w:tc>
        <w:tc>
          <w:tcPr>
            <w:tcW w:w="275" w:type="pct"/>
            <w:tcBorders>
              <w:top w:val="thinThickSmallGap" w:sz="24" w:space="0" w:color="auto"/>
              <w:bottom w:val="nil"/>
            </w:tcBorders>
            <w:vAlign w:val="bottom"/>
          </w:tcPr>
          <w:p w14:paraId="3D1A26F5" w14:textId="77777777" w:rsidR="00D1663E" w:rsidRPr="00FB38E1" w:rsidRDefault="00D1663E" w:rsidP="00836EF2">
            <w:pPr>
              <w:jc w:val="center"/>
              <w:rPr>
                <w:rFonts w:ascii="Microsoft Sans Serif" w:hAnsi="Microsoft Sans Serif" w:cs="Microsoft Sans Serif"/>
                <w:b/>
                <w:bCs/>
                <w:color w:val="000000"/>
                <w:sz w:val="12"/>
                <w:szCs w:val="12"/>
              </w:rPr>
            </w:pPr>
          </w:p>
        </w:tc>
      </w:tr>
      <w:tr w:rsidR="00D1663E" w:rsidRPr="00FB38E1" w14:paraId="7965BE79" w14:textId="77777777" w:rsidTr="001B6DB1">
        <w:tc>
          <w:tcPr>
            <w:tcW w:w="623" w:type="pct"/>
            <w:tcBorders>
              <w:top w:val="nil"/>
              <w:bottom w:val="single" w:sz="4" w:space="0" w:color="auto"/>
            </w:tcBorders>
            <w:vAlign w:val="center"/>
          </w:tcPr>
          <w:p w14:paraId="7AA864AE" w14:textId="4ED47C26" w:rsidR="00D1663E" w:rsidRPr="00FB38E1" w:rsidRDefault="00D1663E" w:rsidP="00836EF2">
            <w:pPr>
              <w:rPr>
                <w:rFonts w:ascii="Microsoft Sans Serif" w:hAnsi="Microsoft Sans Serif" w:cs="Microsoft Sans Serif"/>
                <w:color w:val="404040"/>
                <w:sz w:val="12"/>
                <w:szCs w:val="12"/>
              </w:rPr>
            </w:pPr>
            <w:r w:rsidRPr="00FB38E1">
              <w:rPr>
                <w:rFonts w:ascii="Microsoft Sans Serif" w:hAnsi="Microsoft Sans Serif" w:cs="Microsoft Sans Serif"/>
                <w:b/>
                <w:color w:val="000000"/>
                <w:sz w:val="12"/>
                <w:szCs w:val="12"/>
              </w:rPr>
              <w:t>Cari Dönem: 31 Aralık 2024</w:t>
            </w:r>
          </w:p>
        </w:tc>
        <w:tc>
          <w:tcPr>
            <w:tcW w:w="287" w:type="pct"/>
            <w:tcBorders>
              <w:top w:val="single" w:sz="4" w:space="0" w:color="auto"/>
              <w:left w:val="nil"/>
              <w:bottom w:val="single" w:sz="4" w:space="0" w:color="auto"/>
              <w:right w:val="nil"/>
            </w:tcBorders>
            <w:shd w:val="clear" w:color="auto" w:fill="auto"/>
            <w:vAlign w:val="bottom"/>
          </w:tcPr>
          <w:p w14:paraId="292B53B5"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w:t>
            </w:r>
          </w:p>
        </w:tc>
        <w:tc>
          <w:tcPr>
            <w:tcW w:w="279" w:type="pct"/>
            <w:tcBorders>
              <w:top w:val="single" w:sz="4" w:space="0" w:color="auto"/>
              <w:bottom w:val="single" w:sz="4" w:space="0" w:color="auto"/>
            </w:tcBorders>
          </w:tcPr>
          <w:p w14:paraId="7E372130"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2</w:t>
            </w:r>
          </w:p>
        </w:tc>
        <w:tc>
          <w:tcPr>
            <w:tcW w:w="224" w:type="pct"/>
            <w:tcBorders>
              <w:top w:val="single" w:sz="4" w:space="0" w:color="auto"/>
              <w:bottom w:val="single" w:sz="4" w:space="0" w:color="auto"/>
            </w:tcBorders>
          </w:tcPr>
          <w:p w14:paraId="240137DC"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3</w:t>
            </w:r>
          </w:p>
        </w:tc>
        <w:tc>
          <w:tcPr>
            <w:tcW w:w="179" w:type="pct"/>
            <w:tcBorders>
              <w:top w:val="single" w:sz="4" w:space="0" w:color="auto"/>
              <w:bottom w:val="single" w:sz="4" w:space="0" w:color="auto"/>
            </w:tcBorders>
          </w:tcPr>
          <w:p w14:paraId="5DC8AB7E"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4</w:t>
            </w:r>
          </w:p>
        </w:tc>
        <w:tc>
          <w:tcPr>
            <w:tcW w:w="126" w:type="pct"/>
            <w:tcBorders>
              <w:top w:val="single" w:sz="4" w:space="0" w:color="auto"/>
              <w:bottom w:val="single" w:sz="4" w:space="0" w:color="auto"/>
            </w:tcBorders>
          </w:tcPr>
          <w:p w14:paraId="7667DFEE"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5</w:t>
            </w:r>
          </w:p>
        </w:tc>
        <w:tc>
          <w:tcPr>
            <w:tcW w:w="252" w:type="pct"/>
            <w:tcBorders>
              <w:top w:val="single" w:sz="4" w:space="0" w:color="auto"/>
              <w:bottom w:val="single" w:sz="4" w:space="0" w:color="auto"/>
            </w:tcBorders>
          </w:tcPr>
          <w:p w14:paraId="0A06A187"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6</w:t>
            </w:r>
          </w:p>
        </w:tc>
        <w:tc>
          <w:tcPr>
            <w:tcW w:w="275" w:type="pct"/>
            <w:tcBorders>
              <w:top w:val="single" w:sz="4" w:space="0" w:color="auto"/>
              <w:bottom w:val="single" w:sz="4" w:space="0" w:color="auto"/>
            </w:tcBorders>
          </w:tcPr>
          <w:p w14:paraId="3B6F7975"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7</w:t>
            </w:r>
          </w:p>
        </w:tc>
        <w:tc>
          <w:tcPr>
            <w:tcW w:w="275" w:type="pct"/>
            <w:tcBorders>
              <w:top w:val="single" w:sz="4" w:space="0" w:color="auto"/>
              <w:bottom w:val="single" w:sz="4" w:space="0" w:color="auto"/>
            </w:tcBorders>
          </w:tcPr>
          <w:p w14:paraId="3E9346EF"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8</w:t>
            </w:r>
          </w:p>
        </w:tc>
        <w:tc>
          <w:tcPr>
            <w:tcW w:w="248" w:type="pct"/>
            <w:tcBorders>
              <w:top w:val="single" w:sz="4" w:space="0" w:color="auto"/>
              <w:bottom w:val="single" w:sz="4" w:space="0" w:color="auto"/>
            </w:tcBorders>
          </w:tcPr>
          <w:p w14:paraId="331518F7"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9</w:t>
            </w:r>
          </w:p>
        </w:tc>
        <w:tc>
          <w:tcPr>
            <w:tcW w:w="252" w:type="pct"/>
            <w:tcBorders>
              <w:top w:val="single" w:sz="4" w:space="0" w:color="auto"/>
              <w:bottom w:val="single" w:sz="4" w:space="0" w:color="auto"/>
            </w:tcBorders>
          </w:tcPr>
          <w:p w14:paraId="4B6B82E9"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10</w:t>
            </w:r>
          </w:p>
        </w:tc>
        <w:tc>
          <w:tcPr>
            <w:tcW w:w="228" w:type="pct"/>
            <w:tcBorders>
              <w:top w:val="single" w:sz="4" w:space="0" w:color="auto"/>
              <w:bottom w:val="single" w:sz="4" w:space="0" w:color="auto"/>
            </w:tcBorders>
          </w:tcPr>
          <w:p w14:paraId="768A13E9"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11</w:t>
            </w:r>
          </w:p>
        </w:tc>
        <w:tc>
          <w:tcPr>
            <w:tcW w:w="86" w:type="pct"/>
            <w:tcBorders>
              <w:top w:val="single" w:sz="4" w:space="0" w:color="auto"/>
              <w:bottom w:val="single" w:sz="4" w:space="0" w:color="auto"/>
            </w:tcBorders>
          </w:tcPr>
          <w:p w14:paraId="2A2AC7BC"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12</w:t>
            </w:r>
          </w:p>
        </w:tc>
        <w:tc>
          <w:tcPr>
            <w:tcW w:w="86" w:type="pct"/>
            <w:tcBorders>
              <w:top w:val="single" w:sz="4" w:space="0" w:color="auto"/>
              <w:bottom w:val="single" w:sz="4" w:space="0" w:color="auto"/>
            </w:tcBorders>
          </w:tcPr>
          <w:p w14:paraId="463D34F6"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13</w:t>
            </w:r>
          </w:p>
        </w:tc>
        <w:tc>
          <w:tcPr>
            <w:tcW w:w="86" w:type="pct"/>
            <w:tcBorders>
              <w:top w:val="single" w:sz="4" w:space="0" w:color="auto"/>
              <w:bottom w:val="single" w:sz="4" w:space="0" w:color="auto"/>
            </w:tcBorders>
          </w:tcPr>
          <w:p w14:paraId="3525AE04"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14</w:t>
            </w:r>
          </w:p>
        </w:tc>
        <w:tc>
          <w:tcPr>
            <w:tcW w:w="168" w:type="pct"/>
            <w:tcBorders>
              <w:top w:val="single" w:sz="4" w:space="0" w:color="auto"/>
              <w:bottom w:val="single" w:sz="4" w:space="0" w:color="auto"/>
            </w:tcBorders>
          </w:tcPr>
          <w:p w14:paraId="01919178"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15</w:t>
            </w:r>
          </w:p>
        </w:tc>
        <w:tc>
          <w:tcPr>
            <w:tcW w:w="252" w:type="pct"/>
            <w:tcBorders>
              <w:top w:val="single" w:sz="4" w:space="0" w:color="auto"/>
              <w:bottom w:val="single" w:sz="4" w:space="0" w:color="auto"/>
            </w:tcBorders>
          </w:tcPr>
          <w:p w14:paraId="48865D0B"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16</w:t>
            </w:r>
          </w:p>
        </w:tc>
        <w:tc>
          <w:tcPr>
            <w:tcW w:w="252" w:type="pct"/>
            <w:tcBorders>
              <w:top w:val="single" w:sz="4" w:space="0" w:color="auto"/>
              <w:bottom w:val="single" w:sz="4" w:space="0" w:color="auto"/>
            </w:tcBorders>
          </w:tcPr>
          <w:p w14:paraId="65AC4E87" w14:textId="77777777" w:rsidR="00D1663E" w:rsidRPr="00FB38E1" w:rsidRDefault="00D1663E" w:rsidP="00836EF2">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17</w:t>
            </w:r>
          </w:p>
        </w:tc>
        <w:tc>
          <w:tcPr>
            <w:tcW w:w="275" w:type="pct"/>
            <w:tcBorders>
              <w:top w:val="nil"/>
              <w:bottom w:val="single" w:sz="4" w:space="0" w:color="auto"/>
            </w:tcBorders>
          </w:tcPr>
          <w:p w14:paraId="1E4D8D0D" w14:textId="77777777" w:rsidR="00D1663E" w:rsidRPr="00FB38E1" w:rsidRDefault="00D1663E" w:rsidP="00836EF2">
            <w:pPr>
              <w:jc w:val="center"/>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TL</w:t>
            </w:r>
          </w:p>
        </w:tc>
        <w:tc>
          <w:tcPr>
            <w:tcW w:w="275" w:type="pct"/>
            <w:tcBorders>
              <w:top w:val="nil"/>
              <w:bottom w:val="single" w:sz="4" w:space="0" w:color="auto"/>
            </w:tcBorders>
          </w:tcPr>
          <w:p w14:paraId="2028F6CE" w14:textId="77777777" w:rsidR="00D1663E" w:rsidRPr="00FB38E1" w:rsidRDefault="00D1663E" w:rsidP="00836EF2">
            <w:pPr>
              <w:jc w:val="center"/>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YP</w:t>
            </w:r>
          </w:p>
        </w:tc>
        <w:tc>
          <w:tcPr>
            <w:tcW w:w="275" w:type="pct"/>
            <w:tcBorders>
              <w:top w:val="nil"/>
              <w:bottom w:val="single" w:sz="4" w:space="0" w:color="auto"/>
            </w:tcBorders>
            <w:vAlign w:val="bottom"/>
          </w:tcPr>
          <w:p w14:paraId="5E90F076" w14:textId="77777777" w:rsidR="00D1663E" w:rsidRPr="00FB38E1" w:rsidRDefault="00D1663E" w:rsidP="00836EF2">
            <w:pPr>
              <w:jc w:val="center"/>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Toplam</w:t>
            </w:r>
          </w:p>
        </w:tc>
      </w:tr>
      <w:tr w:rsidR="001B6DB1" w:rsidRPr="00FB38E1" w14:paraId="5A71D613" w14:textId="77777777" w:rsidTr="001B6DB1">
        <w:tc>
          <w:tcPr>
            <w:tcW w:w="623" w:type="pct"/>
            <w:tcBorders>
              <w:top w:val="single" w:sz="4" w:space="0" w:color="auto"/>
            </w:tcBorders>
            <w:vAlign w:val="center"/>
          </w:tcPr>
          <w:p w14:paraId="4F491F78" w14:textId="77777777" w:rsidR="001B6DB1" w:rsidRPr="00FB38E1" w:rsidRDefault="001B6DB1" w:rsidP="001B6DB1">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Tarım</w:t>
            </w:r>
          </w:p>
        </w:tc>
        <w:tc>
          <w:tcPr>
            <w:tcW w:w="287" w:type="pct"/>
            <w:tcBorders>
              <w:top w:val="single" w:sz="4" w:space="0" w:color="auto"/>
              <w:left w:val="nil"/>
              <w:bottom w:val="nil"/>
              <w:right w:val="nil"/>
            </w:tcBorders>
            <w:shd w:val="clear" w:color="auto" w:fill="auto"/>
            <w:vAlign w:val="center"/>
          </w:tcPr>
          <w:p w14:paraId="43490DA5" w14:textId="3D32416F"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9" w:type="pct"/>
            <w:tcBorders>
              <w:top w:val="single" w:sz="4" w:space="0" w:color="auto"/>
            </w:tcBorders>
            <w:vAlign w:val="center"/>
          </w:tcPr>
          <w:p w14:paraId="649D3E9E" w14:textId="784A6CF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24" w:type="pct"/>
            <w:tcBorders>
              <w:top w:val="single" w:sz="4" w:space="0" w:color="auto"/>
            </w:tcBorders>
            <w:vAlign w:val="center"/>
          </w:tcPr>
          <w:p w14:paraId="7F781EC4" w14:textId="52400F0B"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79" w:type="pct"/>
            <w:tcBorders>
              <w:top w:val="single" w:sz="4" w:space="0" w:color="auto"/>
            </w:tcBorders>
            <w:vAlign w:val="center"/>
          </w:tcPr>
          <w:p w14:paraId="3E415092" w14:textId="259E7971"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26" w:type="pct"/>
            <w:tcBorders>
              <w:top w:val="single" w:sz="4" w:space="0" w:color="auto"/>
            </w:tcBorders>
            <w:vAlign w:val="center"/>
          </w:tcPr>
          <w:p w14:paraId="6ABCC52E" w14:textId="3055E6CB"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2" w:type="pct"/>
            <w:tcBorders>
              <w:top w:val="single" w:sz="4" w:space="0" w:color="auto"/>
            </w:tcBorders>
            <w:vAlign w:val="center"/>
          </w:tcPr>
          <w:p w14:paraId="66E5753D" w14:textId="5EB4EF06"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5" w:type="pct"/>
            <w:tcBorders>
              <w:top w:val="single" w:sz="4" w:space="0" w:color="auto"/>
            </w:tcBorders>
            <w:vAlign w:val="center"/>
          </w:tcPr>
          <w:p w14:paraId="0BCF84D9" w14:textId="3E39940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10.162.366</w:t>
            </w:r>
          </w:p>
        </w:tc>
        <w:tc>
          <w:tcPr>
            <w:tcW w:w="275" w:type="pct"/>
            <w:tcBorders>
              <w:top w:val="single" w:sz="4" w:space="0" w:color="auto"/>
            </w:tcBorders>
            <w:vAlign w:val="center"/>
          </w:tcPr>
          <w:p w14:paraId="33282A96" w14:textId="3B855BE1"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94.687.716</w:t>
            </w:r>
          </w:p>
        </w:tc>
        <w:tc>
          <w:tcPr>
            <w:tcW w:w="248" w:type="pct"/>
            <w:tcBorders>
              <w:top w:val="single" w:sz="4" w:space="0" w:color="auto"/>
            </w:tcBorders>
            <w:vAlign w:val="center"/>
          </w:tcPr>
          <w:p w14:paraId="26F68759" w14:textId="7801703F"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2.033.986</w:t>
            </w:r>
          </w:p>
        </w:tc>
        <w:tc>
          <w:tcPr>
            <w:tcW w:w="252" w:type="pct"/>
            <w:tcBorders>
              <w:top w:val="single" w:sz="4" w:space="0" w:color="auto"/>
            </w:tcBorders>
            <w:vAlign w:val="center"/>
          </w:tcPr>
          <w:p w14:paraId="5AB3266A" w14:textId="1F89443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8.880.147</w:t>
            </w:r>
          </w:p>
        </w:tc>
        <w:tc>
          <w:tcPr>
            <w:tcW w:w="228" w:type="pct"/>
            <w:tcBorders>
              <w:top w:val="single" w:sz="4" w:space="0" w:color="auto"/>
            </w:tcBorders>
            <w:vAlign w:val="center"/>
          </w:tcPr>
          <w:p w14:paraId="25D59C7B" w14:textId="5C47BE12"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225.857</w:t>
            </w:r>
          </w:p>
        </w:tc>
        <w:tc>
          <w:tcPr>
            <w:tcW w:w="86" w:type="pct"/>
            <w:tcBorders>
              <w:top w:val="single" w:sz="4" w:space="0" w:color="auto"/>
            </w:tcBorders>
            <w:vAlign w:val="center"/>
          </w:tcPr>
          <w:p w14:paraId="0EE0EAB6" w14:textId="7102ECC8"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6" w:type="pct"/>
            <w:tcBorders>
              <w:top w:val="single" w:sz="4" w:space="0" w:color="auto"/>
            </w:tcBorders>
            <w:vAlign w:val="center"/>
          </w:tcPr>
          <w:p w14:paraId="6598FB4B" w14:textId="4E7DD792"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6" w:type="pct"/>
            <w:tcBorders>
              <w:top w:val="single" w:sz="4" w:space="0" w:color="auto"/>
            </w:tcBorders>
            <w:vAlign w:val="center"/>
          </w:tcPr>
          <w:p w14:paraId="38ED4869" w14:textId="0FCB8C18"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68" w:type="pct"/>
            <w:tcBorders>
              <w:top w:val="single" w:sz="4" w:space="0" w:color="auto"/>
            </w:tcBorders>
            <w:vAlign w:val="center"/>
          </w:tcPr>
          <w:p w14:paraId="01FFA7A9" w14:textId="7EAB1E5B"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2" w:type="pct"/>
            <w:tcBorders>
              <w:top w:val="single" w:sz="4" w:space="0" w:color="auto"/>
            </w:tcBorders>
            <w:vAlign w:val="center"/>
          </w:tcPr>
          <w:p w14:paraId="47CFA4C2" w14:textId="1276CCAD"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55.033</w:t>
            </w:r>
          </w:p>
        </w:tc>
        <w:tc>
          <w:tcPr>
            <w:tcW w:w="252" w:type="pct"/>
            <w:tcBorders>
              <w:top w:val="single" w:sz="4" w:space="0" w:color="auto"/>
            </w:tcBorders>
            <w:vAlign w:val="center"/>
          </w:tcPr>
          <w:p w14:paraId="03F08052" w14:textId="1B4233A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5" w:type="pct"/>
            <w:tcBorders>
              <w:top w:val="single" w:sz="4" w:space="0" w:color="auto"/>
            </w:tcBorders>
            <w:vAlign w:val="center"/>
          </w:tcPr>
          <w:p w14:paraId="3C778C1A" w14:textId="5E4187F7"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110.472.253</w:t>
            </w:r>
          </w:p>
        </w:tc>
        <w:tc>
          <w:tcPr>
            <w:tcW w:w="275" w:type="pct"/>
            <w:tcBorders>
              <w:top w:val="single" w:sz="4" w:space="0" w:color="auto"/>
            </w:tcBorders>
            <w:vAlign w:val="center"/>
          </w:tcPr>
          <w:p w14:paraId="514691C5" w14:textId="01F1CF43"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5.572.852</w:t>
            </w:r>
          </w:p>
        </w:tc>
        <w:tc>
          <w:tcPr>
            <w:tcW w:w="275" w:type="pct"/>
            <w:tcBorders>
              <w:top w:val="single" w:sz="4" w:space="0" w:color="auto"/>
            </w:tcBorders>
            <w:vAlign w:val="center"/>
          </w:tcPr>
          <w:p w14:paraId="1B53019E" w14:textId="4F901A9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116.045.105</w:t>
            </w:r>
          </w:p>
        </w:tc>
      </w:tr>
      <w:tr w:rsidR="001B6DB1" w:rsidRPr="00FB38E1" w14:paraId="003225B7" w14:textId="77777777" w:rsidTr="001B6DB1">
        <w:tc>
          <w:tcPr>
            <w:tcW w:w="623" w:type="pct"/>
            <w:tcMar>
              <w:left w:w="170" w:type="dxa"/>
            </w:tcMar>
            <w:vAlign w:val="center"/>
          </w:tcPr>
          <w:p w14:paraId="5C2E8246"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Çiftçilik ve Hayvancılık</w:t>
            </w:r>
          </w:p>
        </w:tc>
        <w:tc>
          <w:tcPr>
            <w:tcW w:w="287" w:type="pct"/>
            <w:tcBorders>
              <w:top w:val="nil"/>
              <w:left w:val="nil"/>
              <w:bottom w:val="nil"/>
              <w:right w:val="nil"/>
            </w:tcBorders>
            <w:shd w:val="clear" w:color="auto" w:fill="auto"/>
            <w:vAlign w:val="center"/>
          </w:tcPr>
          <w:p w14:paraId="7F489C6E" w14:textId="7339C50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1FA62279" w14:textId="1C9C73C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43852ED5" w14:textId="2CF02FF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67628807" w14:textId="25C2407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4A096EE7" w14:textId="37E3A36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66F05F25" w14:textId="0ED5D05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2E7EF65E" w14:textId="6E64E6D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9.721.590</w:t>
            </w:r>
          </w:p>
        </w:tc>
        <w:tc>
          <w:tcPr>
            <w:tcW w:w="275" w:type="pct"/>
            <w:vAlign w:val="center"/>
          </w:tcPr>
          <w:p w14:paraId="57BE4B84" w14:textId="52868D5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94.629.028</w:t>
            </w:r>
          </w:p>
        </w:tc>
        <w:tc>
          <w:tcPr>
            <w:tcW w:w="248" w:type="pct"/>
            <w:vAlign w:val="center"/>
          </w:tcPr>
          <w:p w14:paraId="3A63D8DA" w14:textId="3CF5E50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2.018.080</w:t>
            </w:r>
          </w:p>
        </w:tc>
        <w:tc>
          <w:tcPr>
            <w:tcW w:w="252" w:type="pct"/>
            <w:vAlign w:val="center"/>
          </w:tcPr>
          <w:p w14:paraId="2382EB21" w14:textId="4FE7159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8.870.542</w:t>
            </w:r>
          </w:p>
        </w:tc>
        <w:tc>
          <w:tcPr>
            <w:tcW w:w="228" w:type="pct"/>
            <w:vAlign w:val="center"/>
          </w:tcPr>
          <w:p w14:paraId="708312D9" w14:textId="235815E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225.112</w:t>
            </w:r>
          </w:p>
        </w:tc>
        <w:tc>
          <w:tcPr>
            <w:tcW w:w="86" w:type="pct"/>
            <w:vAlign w:val="center"/>
          </w:tcPr>
          <w:p w14:paraId="6F770212" w14:textId="5903550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43975477" w14:textId="2143588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1F9030AD" w14:textId="5DC682F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79A80F59" w14:textId="251159C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3F61B381" w14:textId="442B9FD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54.845</w:t>
            </w:r>
          </w:p>
        </w:tc>
        <w:tc>
          <w:tcPr>
            <w:tcW w:w="252" w:type="pct"/>
            <w:vAlign w:val="center"/>
          </w:tcPr>
          <w:p w14:paraId="2230448A" w14:textId="31DCE8B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30C23275" w14:textId="4A6B1F5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110.297.666</w:t>
            </w:r>
          </w:p>
        </w:tc>
        <w:tc>
          <w:tcPr>
            <w:tcW w:w="275" w:type="pct"/>
            <w:vAlign w:val="center"/>
          </w:tcPr>
          <w:p w14:paraId="2516818E" w14:textId="06EA069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5.221.531</w:t>
            </w:r>
          </w:p>
        </w:tc>
        <w:tc>
          <w:tcPr>
            <w:tcW w:w="275" w:type="pct"/>
            <w:vAlign w:val="center"/>
          </w:tcPr>
          <w:p w14:paraId="6B74F043" w14:textId="6C758240"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115.519.197</w:t>
            </w:r>
          </w:p>
        </w:tc>
      </w:tr>
      <w:tr w:rsidR="001B6DB1" w:rsidRPr="00FB38E1" w14:paraId="44B5817F" w14:textId="77777777" w:rsidTr="001B6DB1">
        <w:tc>
          <w:tcPr>
            <w:tcW w:w="623" w:type="pct"/>
            <w:tcMar>
              <w:left w:w="170" w:type="dxa"/>
            </w:tcMar>
            <w:vAlign w:val="center"/>
          </w:tcPr>
          <w:p w14:paraId="1EDD9C33"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Ormancılık</w:t>
            </w:r>
          </w:p>
        </w:tc>
        <w:tc>
          <w:tcPr>
            <w:tcW w:w="287" w:type="pct"/>
            <w:tcBorders>
              <w:top w:val="nil"/>
              <w:left w:val="nil"/>
              <w:bottom w:val="nil"/>
              <w:right w:val="nil"/>
            </w:tcBorders>
            <w:shd w:val="clear" w:color="auto" w:fill="auto"/>
            <w:vAlign w:val="center"/>
          </w:tcPr>
          <w:p w14:paraId="36BE0547" w14:textId="3413FFA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32DD5839" w14:textId="797BA48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708E5DF8" w14:textId="175B779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20B7D614" w14:textId="47F0896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479C6ECB" w14:textId="1ADEB4B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57533E0F" w14:textId="2D2C575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2F8096E6" w14:textId="48D2173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7329BA09" w14:textId="6BDC8C1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18.536</w:t>
            </w:r>
          </w:p>
        </w:tc>
        <w:tc>
          <w:tcPr>
            <w:tcW w:w="248" w:type="pct"/>
            <w:vAlign w:val="center"/>
          </w:tcPr>
          <w:p w14:paraId="22D2EC39" w14:textId="455FF29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14.386</w:t>
            </w:r>
          </w:p>
        </w:tc>
        <w:tc>
          <w:tcPr>
            <w:tcW w:w="252" w:type="pct"/>
            <w:vAlign w:val="center"/>
          </w:tcPr>
          <w:p w14:paraId="10BD116A" w14:textId="0F5DCBF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1.652</w:t>
            </w:r>
          </w:p>
        </w:tc>
        <w:tc>
          <w:tcPr>
            <w:tcW w:w="228" w:type="pct"/>
            <w:vAlign w:val="center"/>
          </w:tcPr>
          <w:p w14:paraId="4051C6A8" w14:textId="1E8D269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419</w:t>
            </w:r>
          </w:p>
        </w:tc>
        <w:tc>
          <w:tcPr>
            <w:tcW w:w="86" w:type="pct"/>
            <w:vAlign w:val="center"/>
          </w:tcPr>
          <w:p w14:paraId="1C3EE8E2" w14:textId="1A76C7A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3478F560" w14:textId="67CE424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1F6A4476" w14:textId="1180AA2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4AD11B83" w14:textId="2885F61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531956B7" w14:textId="0FF6A8E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w:t>
            </w:r>
          </w:p>
        </w:tc>
        <w:tc>
          <w:tcPr>
            <w:tcW w:w="252" w:type="pct"/>
            <w:vAlign w:val="center"/>
          </w:tcPr>
          <w:p w14:paraId="0E209A6D" w14:textId="6D65B1B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13D10950" w14:textId="27C6FAA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35.004</w:t>
            </w:r>
          </w:p>
        </w:tc>
        <w:tc>
          <w:tcPr>
            <w:tcW w:w="275" w:type="pct"/>
            <w:vAlign w:val="center"/>
          </w:tcPr>
          <w:p w14:paraId="555F0100" w14:textId="355DE51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38B64D05" w14:textId="66835B61"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35.004</w:t>
            </w:r>
          </w:p>
        </w:tc>
      </w:tr>
      <w:tr w:rsidR="001B6DB1" w:rsidRPr="00FB38E1" w14:paraId="4F286FA0" w14:textId="77777777" w:rsidTr="001B6DB1">
        <w:tc>
          <w:tcPr>
            <w:tcW w:w="623" w:type="pct"/>
            <w:tcMar>
              <w:left w:w="170" w:type="dxa"/>
            </w:tcMar>
            <w:vAlign w:val="center"/>
          </w:tcPr>
          <w:p w14:paraId="0235C653"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Balıkçılık</w:t>
            </w:r>
          </w:p>
        </w:tc>
        <w:tc>
          <w:tcPr>
            <w:tcW w:w="287" w:type="pct"/>
            <w:tcBorders>
              <w:top w:val="nil"/>
              <w:left w:val="nil"/>
              <w:bottom w:val="nil"/>
              <w:right w:val="nil"/>
            </w:tcBorders>
            <w:shd w:val="clear" w:color="auto" w:fill="auto"/>
            <w:vAlign w:val="center"/>
          </w:tcPr>
          <w:p w14:paraId="640601D1" w14:textId="65E0031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55809A73" w14:textId="583B6D9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41B2115B" w14:textId="2E66291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6750B941" w14:textId="5FA0439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1EDFF3B8" w14:textId="7EF0963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10958C0D" w14:textId="54C44B3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542A76A9" w14:textId="5BC9BD1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440.776</w:t>
            </w:r>
          </w:p>
        </w:tc>
        <w:tc>
          <w:tcPr>
            <w:tcW w:w="275" w:type="pct"/>
            <w:vAlign w:val="center"/>
          </w:tcPr>
          <w:p w14:paraId="7C17041D" w14:textId="5524105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40.152</w:t>
            </w:r>
          </w:p>
        </w:tc>
        <w:tc>
          <w:tcPr>
            <w:tcW w:w="248" w:type="pct"/>
            <w:vAlign w:val="center"/>
          </w:tcPr>
          <w:p w14:paraId="1A05BAC2" w14:textId="450D2DA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1.520</w:t>
            </w:r>
          </w:p>
        </w:tc>
        <w:tc>
          <w:tcPr>
            <w:tcW w:w="252" w:type="pct"/>
            <w:vAlign w:val="center"/>
          </w:tcPr>
          <w:p w14:paraId="68DA5F71" w14:textId="16C8FA8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7.953</w:t>
            </w:r>
          </w:p>
        </w:tc>
        <w:tc>
          <w:tcPr>
            <w:tcW w:w="228" w:type="pct"/>
            <w:vAlign w:val="center"/>
          </w:tcPr>
          <w:p w14:paraId="1C8C7062" w14:textId="40C1B25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326</w:t>
            </w:r>
          </w:p>
        </w:tc>
        <w:tc>
          <w:tcPr>
            <w:tcW w:w="86" w:type="pct"/>
            <w:vAlign w:val="center"/>
          </w:tcPr>
          <w:p w14:paraId="52C01C84" w14:textId="5F8B315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2F12E7A5" w14:textId="1AC326C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034D69CE" w14:textId="181480A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4BE0B48A" w14:textId="32C6A89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067AEE87" w14:textId="0F3641F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177</w:t>
            </w:r>
          </w:p>
        </w:tc>
        <w:tc>
          <w:tcPr>
            <w:tcW w:w="252" w:type="pct"/>
            <w:vAlign w:val="center"/>
          </w:tcPr>
          <w:p w14:paraId="351D53BC" w14:textId="3B09815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412230F5" w14:textId="5F2B975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139.583</w:t>
            </w:r>
          </w:p>
        </w:tc>
        <w:tc>
          <w:tcPr>
            <w:tcW w:w="275" w:type="pct"/>
            <w:vAlign w:val="center"/>
          </w:tcPr>
          <w:p w14:paraId="57BD02CA" w14:textId="5D44DD9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351.321</w:t>
            </w:r>
          </w:p>
        </w:tc>
        <w:tc>
          <w:tcPr>
            <w:tcW w:w="275" w:type="pct"/>
            <w:vAlign w:val="center"/>
          </w:tcPr>
          <w:p w14:paraId="0920ECC8" w14:textId="0E729C29"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490.904</w:t>
            </w:r>
          </w:p>
        </w:tc>
      </w:tr>
      <w:tr w:rsidR="001B6DB1" w:rsidRPr="00FB38E1" w14:paraId="46D2C964" w14:textId="77777777" w:rsidTr="001B6DB1">
        <w:tc>
          <w:tcPr>
            <w:tcW w:w="623" w:type="pct"/>
            <w:vAlign w:val="center"/>
          </w:tcPr>
          <w:p w14:paraId="5D4F2517" w14:textId="77777777" w:rsidR="001B6DB1" w:rsidRPr="00FB38E1" w:rsidRDefault="001B6DB1" w:rsidP="001B6DB1">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Sanayi</w:t>
            </w:r>
          </w:p>
        </w:tc>
        <w:tc>
          <w:tcPr>
            <w:tcW w:w="287" w:type="pct"/>
            <w:tcBorders>
              <w:top w:val="nil"/>
              <w:left w:val="nil"/>
              <w:bottom w:val="nil"/>
              <w:right w:val="nil"/>
            </w:tcBorders>
            <w:shd w:val="clear" w:color="auto" w:fill="auto"/>
            <w:vAlign w:val="center"/>
          </w:tcPr>
          <w:p w14:paraId="404EC6A3" w14:textId="19B85952"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9" w:type="pct"/>
            <w:vAlign w:val="center"/>
          </w:tcPr>
          <w:p w14:paraId="2927288B" w14:textId="5B6B0987"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24" w:type="pct"/>
            <w:vAlign w:val="center"/>
          </w:tcPr>
          <w:p w14:paraId="5E4B215B" w14:textId="6671DB63"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1.643.937</w:t>
            </w:r>
          </w:p>
        </w:tc>
        <w:tc>
          <w:tcPr>
            <w:tcW w:w="179" w:type="pct"/>
            <w:vAlign w:val="center"/>
          </w:tcPr>
          <w:p w14:paraId="034B7721" w14:textId="76CECDE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26" w:type="pct"/>
            <w:vAlign w:val="center"/>
          </w:tcPr>
          <w:p w14:paraId="0125E304" w14:textId="6B85C55D"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2" w:type="pct"/>
            <w:vAlign w:val="center"/>
          </w:tcPr>
          <w:p w14:paraId="2582C282" w14:textId="1CE2BC2D"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5" w:type="pct"/>
            <w:vAlign w:val="center"/>
          </w:tcPr>
          <w:p w14:paraId="246CCC97" w14:textId="2E46919F"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104.478.204</w:t>
            </w:r>
          </w:p>
        </w:tc>
        <w:tc>
          <w:tcPr>
            <w:tcW w:w="275" w:type="pct"/>
            <w:vAlign w:val="center"/>
          </w:tcPr>
          <w:p w14:paraId="7CF17B9B" w14:textId="06A7F6F9"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9.713.015</w:t>
            </w:r>
          </w:p>
        </w:tc>
        <w:tc>
          <w:tcPr>
            <w:tcW w:w="248" w:type="pct"/>
            <w:vAlign w:val="center"/>
          </w:tcPr>
          <w:p w14:paraId="571FDB16" w14:textId="2FE3E1A0"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2.755.140</w:t>
            </w:r>
          </w:p>
        </w:tc>
        <w:tc>
          <w:tcPr>
            <w:tcW w:w="252" w:type="pct"/>
            <w:vAlign w:val="center"/>
          </w:tcPr>
          <w:p w14:paraId="7C24C144" w14:textId="20301BFB"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11.322.709</w:t>
            </w:r>
          </w:p>
        </w:tc>
        <w:tc>
          <w:tcPr>
            <w:tcW w:w="228" w:type="pct"/>
            <w:vAlign w:val="center"/>
          </w:tcPr>
          <w:p w14:paraId="29174B96" w14:textId="64D8D2DB"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2.066.197</w:t>
            </w:r>
          </w:p>
        </w:tc>
        <w:tc>
          <w:tcPr>
            <w:tcW w:w="86" w:type="pct"/>
            <w:vAlign w:val="center"/>
          </w:tcPr>
          <w:p w14:paraId="7DBB72F5" w14:textId="338402E6"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6" w:type="pct"/>
            <w:vAlign w:val="center"/>
          </w:tcPr>
          <w:p w14:paraId="1B362D6C" w14:textId="63CE9D43"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6" w:type="pct"/>
            <w:vAlign w:val="center"/>
          </w:tcPr>
          <w:p w14:paraId="08794B00" w14:textId="66EDDAE0"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68" w:type="pct"/>
            <w:vAlign w:val="center"/>
          </w:tcPr>
          <w:p w14:paraId="303EEC68" w14:textId="71ADFFD2"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2" w:type="pct"/>
            <w:vAlign w:val="center"/>
          </w:tcPr>
          <w:p w14:paraId="79002E77" w14:textId="084E6CAF"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40.321</w:t>
            </w:r>
          </w:p>
        </w:tc>
        <w:tc>
          <w:tcPr>
            <w:tcW w:w="252" w:type="pct"/>
            <w:vAlign w:val="center"/>
          </w:tcPr>
          <w:p w14:paraId="17037F86" w14:textId="3FC67CDA"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5" w:type="pct"/>
            <w:vAlign w:val="center"/>
          </w:tcPr>
          <w:p w14:paraId="7C3FE78E" w14:textId="5A3D948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47.393.910</w:t>
            </w:r>
          </w:p>
        </w:tc>
        <w:tc>
          <w:tcPr>
            <w:tcW w:w="275" w:type="pct"/>
            <w:vAlign w:val="center"/>
          </w:tcPr>
          <w:p w14:paraId="3AA33569" w14:textId="1478DBF8"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84.625.613</w:t>
            </w:r>
          </w:p>
        </w:tc>
        <w:tc>
          <w:tcPr>
            <w:tcW w:w="275" w:type="pct"/>
            <w:vAlign w:val="center"/>
          </w:tcPr>
          <w:p w14:paraId="2244DCAE" w14:textId="142B1404"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132.019.523</w:t>
            </w:r>
          </w:p>
        </w:tc>
      </w:tr>
      <w:tr w:rsidR="001B6DB1" w:rsidRPr="00FB38E1" w14:paraId="30D82CB3" w14:textId="77777777" w:rsidTr="001B6DB1">
        <w:tc>
          <w:tcPr>
            <w:tcW w:w="623" w:type="pct"/>
            <w:tcMar>
              <w:left w:w="170" w:type="dxa"/>
            </w:tcMar>
            <w:vAlign w:val="center"/>
          </w:tcPr>
          <w:p w14:paraId="1F84D46D"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Madencilik ve Taşocakçılığı</w:t>
            </w:r>
          </w:p>
        </w:tc>
        <w:tc>
          <w:tcPr>
            <w:tcW w:w="287" w:type="pct"/>
            <w:tcBorders>
              <w:top w:val="nil"/>
              <w:left w:val="nil"/>
              <w:bottom w:val="nil"/>
              <w:right w:val="nil"/>
            </w:tcBorders>
            <w:shd w:val="clear" w:color="auto" w:fill="auto"/>
            <w:vAlign w:val="center"/>
          </w:tcPr>
          <w:p w14:paraId="45D61DEF" w14:textId="7A28720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4247267A" w14:textId="3822494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3E9BE931" w14:textId="505DFE3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7E4DD297" w14:textId="02081CF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0A94EA3D" w14:textId="6095C3F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0DEAD18C" w14:textId="6128E8D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0475A1DC" w14:textId="448FB02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6.508.162</w:t>
            </w:r>
          </w:p>
        </w:tc>
        <w:tc>
          <w:tcPr>
            <w:tcW w:w="275" w:type="pct"/>
            <w:vAlign w:val="center"/>
          </w:tcPr>
          <w:p w14:paraId="2FCF18AA" w14:textId="510A68B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724.805</w:t>
            </w:r>
          </w:p>
        </w:tc>
        <w:tc>
          <w:tcPr>
            <w:tcW w:w="248" w:type="pct"/>
            <w:vAlign w:val="center"/>
          </w:tcPr>
          <w:p w14:paraId="36F1FDE3" w14:textId="6064B42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249.336</w:t>
            </w:r>
          </w:p>
        </w:tc>
        <w:tc>
          <w:tcPr>
            <w:tcW w:w="252" w:type="pct"/>
            <w:vAlign w:val="center"/>
          </w:tcPr>
          <w:p w14:paraId="7CA5B5EB" w14:textId="1720135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549.349</w:t>
            </w:r>
          </w:p>
        </w:tc>
        <w:tc>
          <w:tcPr>
            <w:tcW w:w="228" w:type="pct"/>
            <w:vAlign w:val="center"/>
          </w:tcPr>
          <w:p w14:paraId="7C40EB02" w14:textId="26E1509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1.254.547</w:t>
            </w:r>
          </w:p>
        </w:tc>
        <w:tc>
          <w:tcPr>
            <w:tcW w:w="86" w:type="pct"/>
            <w:vAlign w:val="center"/>
          </w:tcPr>
          <w:p w14:paraId="6184A8A1" w14:textId="2F42D5A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394620E6" w14:textId="22849C1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5268ED6C" w14:textId="13CAEB9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1E692838" w14:textId="6671BBF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4338B9F8" w14:textId="300C2C6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610</w:t>
            </w:r>
          </w:p>
        </w:tc>
        <w:tc>
          <w:tcPr>
            <w:tcW w:w="252" w:type="pct"/>
            <w:vAlign w:val="center"/>
          </w:tcPr>
          <w:p w14:paraId="72433FD3" w14:textId="399E262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18F46E9A" w14:textId="2C61DD2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4.187.333</w:t>
            </w:r>
          </w:p>
        </w:tc>
        <w:tc>
          <w:tcPr>
            <w:tcW w:w="275" w:type="pct"/>
            <w:vAlign w:val="center"/>
          </w:tcPr>
          <w:p w14:paraId="7443C19D" w14:textId="34239A5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5.099.476</w:t>
            </w:r>
          </w:p>
        </w:tc>
        <w:tc>
          <w:tcPr>
            <w:tcW w:w="275" w:type="pct"/>
            <w:vAlign w:val="center"/>
          </w:tcPr>
          <w:p w14:paraId="6667A2A9" w14:textId="43C41EE3"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9.286.809</w:t>
            </w:r>
          </w:p>
        </w:tc>
      </w:tr>
      <w:tr w:rsidR="001B6DB1" w:rsidRPr="00FB38E1" w14:paraId="03095C2C" w14:textId="77777777" w:rsidTr="001B6DB1">
        <w:tc>
          <w:tcPr>
            <w:tcW w:w="623" w:type="pct"/>
            <w:tcMar>
              <w:left w:w="170" w:type="dxa"/>
            </w:tcMar>
            <w:vAlign w:val="center"/>
          </w:tcPr>
          <w:p w14:paraId="703799CE"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İmalat sanayi</w:t>
            </w:r>
          </w:p>
        </w:tc>
        <w:tc>
          <w:tcPr>
            <w:tcW w:w="287" w:type="pct"/>
            <w:tcBorders>
              <w:top w:val="nil"/>
              <w:left w:val="nil"/>
              <w:bottom w:val="nil"/>
              <w:right w:val="nil"/>
            </w:tcBorders>
            <w:shd w:val="clear" w:color="auto" w:fill="auto"/>
            <w:vAlign w:val="center"/>
          </w:tcPr>
          <w:p w14:paraId="20145851" w14:textId="53E976D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478CE53B" w14:textId="741481F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0342DF0E" w14:textId="0ED0F5A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220.823</w:t>
            </w:r>
          </w:p>
        </w:tc>
        <w:tc>
          <w:tcPr>
            <w:tcW w:w="179" w:type="pct"/>
            <w:vAlign w:val="center"/>
          </w:tcPr>
          <w:p w14:paraId="3773CEAA" w14:textId="5FCB244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70CC1A89" w14:textId="73AF08C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6122F540" w14:textId="7550336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15277F48" w14:textId="31BC6C0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82.661.919</w:t>
            </w:r>
          </w:p>
        </w:tc>
        <w:tc>
          <w:tcPr>
            <w:tcW w:w="275" w:type="pct"/>
            <w:vAlign w:val="center"/>
          </w:tcPr>
          <w:p w14:paraId="274A9745" w14:textId="1AC4F9B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8.911.334</w:t>
            </w:r>
          </w:p>
        </w:tc>
        <w:tc>
          <w:tcPr>
            <w:tcW w:w="248" w:type="pct"/>
            <w:vAlign w:val="center"/>
          </w:tcPr>
          <w:p w14:paraId="7399E8B0" w14:textId="06030FF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2.492.153</w:t>
            </w:r>
          </w:p>
        </w:tc>
        <w:tc>
          <w:tcPr>
            <w:tcW w:w="252" w:type="pct"/>
            <w:vAlign w:val="center"/>
          </w:tcPr>
          <w:p w14:paraId="728091BC" w14:textId="60F9EF6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10.693.824</w:t>
            </w:r>
          </w:p>
        </w:tc>
        <w:tc>
          <w:tcPr>
            <w:tcW w:w="228" w:type="pct"/>
            <w:vAlign w:val="center"/>
          </w:tcPr>
          <w:p w14:paraId="4963C56B" w14:textId="09BBD7D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395.500</w:t>
            </w:r>
          </w:p>
        </w:tc>
        <w:tc>
          <w:tcPr>
            <w:tcW w:w="86" w:type="pct"/>
            <w:vAlign w:val="center"/>
          </w:tcPr>
          <w:p w14:paraId="139977E9" w14:textId="555E549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0199D78D" w14:textId="2EDCBA8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05EEEEA7" w14:textId="0E652A2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3A463983" w14:textId="6B5FEB3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33192872" w14:textId="0B0D7A0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39.495</w:t>
            </w:r>
          </w:p>
        </w:tc>
        <w:tc>
          <w:tcPr>
            <w:tcW w:w="252" w:type="pct"/>
            <w:vAlign w:val="center"/>
          </w:tcPr>
          <w:p w14:paraId="67316D6F" w14:textId="778A8FC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6E403B39" w14:textId="27410F7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41.158.144</w:t>
            </w:r>
          </w:p>
        </w:tc>
        <w:tc>
          <w:tcPr>
            <w:tcW w:w="275" w:type="pct"/>
            <w:vAlign w:val="center"/>
          </w:tcPr>
          <w:p w14:paraId="312CFC3C" w14:textId="2580F36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64.256.904</w:t>
            </w:r>
          </w:p>
        </w:tc>
        <w:tc>
          <w:tcPr>
            <w:tcW w:w="275" w:type="pct"/>
            <w:vAlign w:val="center"/>
          </w:tcPr>
          <w:p w14:paraId="25D54D76" w14:textId="27834843"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105.415.048</w:t>
            </w:r>
          </w:p>
        </w:tc>
      </w:tr>
      <w:tr w:rsidR="001B6DB1" w:rsidRPr="00FB38E1" w14:paraId="218B624D" w14:textId="77777777" w:rsidTr="001B6DB1">
        <w:tc>
          <w:tcPr>
            <w:tcW w:w="623" w:type="pct"/>
            <w:tcMar>
              <w:left w:w="170" w:type="dxa"/>
            </w:tcMar>
            <w:vAlign w:val="center"/>
          </w:tcPr>
          <w:p w14:paraId="1921AF38"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Elektrik, Gaz, Su</w:t>
            </w:r>
          </w:p>
        </w:tc>
        <w:tc>
          <w:tcPr>
            <w:tcW w:w="287" w:type="pct"/>
            <w:tcBorders>
              <w:top w:val="nil"/>
              <w:left w:val="nil"/>
              <w:bottom w:val="nil"/>
              <w:right w:val="nil"/>
            </w:tcBorders>
            <w:shd w:val="clear" w:color="auto" w:fill="auto"/>
            <w:vAlign w:val="center"/>
          </w:tcPr>
          <w:p w14:paraId="3C4BC9C5" w14:textId="7E30E3A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42884D8D" w14:textId="2562EB3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021402E7" w14:textId="26162A5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1.423.114</w:t>
            </w:r>
          </w:p>
        </w:tc>
        <w:tc>
          <w:tcPr>
            <w:tcW w:w="179" w:type="pct"/>
            <w:vAlign w:val="center"/>
          </w:tcPr>
          <w:p w14:paraId="54C001E0" w14:textId="573E1DC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6514E3CA" w14:textId="2876B31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6D739F10" w14:textId="456C8C6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07AA0B1F" w14:textId="3333032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15.308.123</w:t>
            </w:r>
          </w:p>
        </w:tc>
        <w:tc>
          <w:tcPr>
            <w:tcW w:w="275" w:type="pct"/>
            <w:vAlign w:val="center"/>
          </w:tcPr>
          <w:p w14:paraId="217963BA" w14:textId="339B708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76.876</w:t>
            </w:r>
          </w:p>
        </w:tc>
        <w:tc>
          <w:tcPr>
            <w:tcW w:w="248" w:type="pct"/>
            <w:vAlign w:val="center"/>
          </w:tcPr>
          <w:p w14:paraId="48F3AAA4" w14:textId="4B35AE5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13.651</w:t>
            </w:r>
          </w:p>
        </w:tc>
        <w:tc>
          <w:tcPr>
            <w:tcW w:w="252" w:type="pct"/>
            <w:vAlign w:val="center"/>
          </w:tcPr>
          <w:p w14:paraId="46E627C6" w14:textId="242A44D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79.536</w:t>
            </w:r>
          </w:p>
        </w:tc>
        <w:tc>
          <w:tcPr>
            <w:tcW w:w="228" w:type="pct"/>
            <w:vAlign w:val="center"/>
          </w:tcPr>
          <w:p w14:paraId="0690BABD" w14:textId="25483EA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416.150</w:t>
            </w:r>
          </w:p>
        </w:tc>
        <w:tc>
          <w:tcPr>
            <w:tcW w:w="86" w:type="pct"/>
            <w:vAlign w:val="center"/>
          </w:tcPr>
          <w:p w14:paraId="79589609" w14:textId="799221F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5680CC02" w14:textId="048CA56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261F4291" w14:textId="55229BF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1849865A" w14:textId="58F111C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57B3DDB8" w14:textId="78BE066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216</w:t>
            </w:r>
          </w:p>
        </w:tc>
        <w:tc>
          <w:tcPr>
            <w:tcW w:w="252" w:type="pct"/>
            <w:vAlign w:val="center"/>
          </w:tcPr>
          <w:p w14:paraId="2A4DD06F" w14:textId="2C57808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0641FE15" w14:textId="52B3284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2.048.433</w:t>
            </w:r>
          </w:p>
        </w:tc>
        <w:tc>
          <w:tcPr>
            <w:tcW w:w="275" w:type="pct"/>
            <w:vAlign w:val="center"/>
          </w:tcPr>
          <w:p w14:paraId="2CBD113F" w14:textId="21110C8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15.269.233</w:t>
            </w:r>
          </w:p>
        </w:tc>
        <w:tc>
          <w:tcPr>
            <w:tcW w:w="275" w:type="pct"/>
            <w:vAlign w:val="center"/>
          </w:tcPr>
          <w:p w14:paraId="6C4B5867" w14:textId="4A6CF17C"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17.317.666</w:t>
            </w:r>
          </w:p>
        </w:tc>
      </w:tr>
      <w:tr w:rsidR="001B6DB1" w:rsidRPr="00FB38E1" w14:paraId="5B2D1009" w14:textId="77777777" w:rsidTr="001B6DB1">
        <w:tc>
          <w:tcPr>
            <w:tcW w:w="623" w:type="pct"/>
            <w:vAlign w:val="center"/>
          </w:tcPr>
          <w:p w14:paraId="7B46F99D" w14:textId="77777777" w:rsidR="001B6DB1" w:rsidRPr="00FB38E1" w:rsidRDefault="001B6DB1" w:rsidP="001B6DB1">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İnşaat</w:t>
            </w:r>
          </w:p>
        </w:tc>
        <w:tc>
          <w:tcPr>
            <w:tcW w:w="287" w:type="pct"/>
            <w:tcBorders>
              <w:top w:val="nil"/>
              <w:left w:val="nil"/>
              <w:bottom w:val="nil"/>
              <w:right w:val="nil"/>
            </w:tcBorders>
            <w:shd w:val="clear" w:color="auto" w:fill="auto"/>
            <w:vAlign w:val="center"/>
          </w:tcPr>
          <w:p w14:paraId="6CE2ED79" w14:textId="4B02750B"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494</w:t>
            </w:r>
          </w:p>
        </w:tc>
        <w:tc>
          <w:tcPr>
            <w:tcW w:w="279" w:type="pct"/>
            <w:vAlign w:val="center"/>
          </w:tcPr>
          <w:p w14:paraId="58BD3B75" w14:textId="17C1F619"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1.703.502</w:t>
            </w:r>
          </w:p>
        </w:tc>
        <w:tc>
          <w:tcPr>
            <w:tcW w:w="224" w:type="pct"/>
            <w:vAlign w:val="center"/>
          </w:tcPr>
          <w:p w14:paraId="6E9EE51F" w14:textId="447FB4AA"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79" w:type="pct"/>
            <w:vAlign w:val="center"/>
          </w:tcPr>
          <w:p w14:paraId="60C8CC7F" w14:textId="058FCE7D"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26" w:type="pct"/>
            <w:vAlign w:val="center"/>
          </w:tcPr>
          <w:p w14:paraId="125A1641" w14:textId="5C28BBE9"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252" w:type="pct"/>
            <w:vAlign w:val="center"/>
          </w:tcPr>
          <w:p w14:paraId="25148798" w14:textId="06986258"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53.552</w:t>
            </w:r>
          </w:p>
        </w:tc>
        <w:tc>
          <w:tcPr>
            <w:tcW w:w="275" w:type="pct"/>
            <w:vAlign w:val="center"/>
          </w:tcPr>
          <w:p w14:paraId="1FA28CBD" w14:textId="148A2EDE"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33.902.831</w:t>
            </w:r>
          </w:p>
        </w:tc>
        <w:tc>
          <w:tcPr>
            <w:tcW w:w="275" w:type="pct"/>
            <w:vAlign w:val="center"/>
          </w:tcPr>
          <w:p w14:paraId="39FE032E" w14:textId="47392E91"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3.268.582</w:t>
            </w:r>
          </w:p>
        </w:tc>
        <w:tc>
          <w:tcPr>
            <w:tcW w:w="248" w:type="pct"/>
            <w:vAlign w:val="center"/>
          </w:tcPr>
          <w:p w14:paraId="60CCD15A" w14:textId="10469BD0"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2.730.467</w:t>
            </w:r>
          </w:p>
        </w:tc>
        <w:tc>
          <w:tcPr>
            <w:tcW w:w="252" w:type="pct"/>
            <w:vAlign w:val="center"/>
          </w:tcPr>
          <w:p w14:paraId="2C885B23" w14:textId="0D32E210"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3.055.865</w:t>
            </w:r>
          </w:p>
        </w:tc>
        <w:tc>
          <w:tcPr>
            <w:tcW w:w="228" w:type="pct"/>
            <w:vAlign w:val="center"/>
          </w:tcPr>
          <w:p w14:paraId="061D27B5" w14:textId="3967EBEF"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764.430</w:t>
            </w:r>
          </w:p>
        </w:tc>
        <w:tc>
          <w:tcPr>
            <w:tcW w:w="86" w:type="pct"/>
            <w:vAlign w:val="center"/>
          </w:tcPr>
          <w:p w14:paraId="27890400" w14:textId="550F9177"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86" w:type="pct"/>
            <w:vAlign w:val="center"/>
          </w:tcPr>
          <w:p w14:paraId="4E6B4526" w14:textId="7894BA4C"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86" w:type="pct"/>
            <w:vAlign w:val="center"/>
          </w:tcPr>
          <w:p w14:paraId="044891C8" w14:textId="4E2EA836"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68" w:type="pct"/>
            <w:vAlign w:val="center"/>
          </w:tcPr>
          <w:p w14:paraId="6F0D6A5D" w14:textId="3A0750BA"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252" w:type="pct"/>
            <w:vAlign w:val="center"/>
          </w:tcPr>
          <w:p w14:paraId="70B66147" w14:textId="2BC98032"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120.978</w:t>
            </w:r>
          </w:p>
        </w:tc>
        <w:tc>
          <w:tcPr>
            <w:tcW w:w="252" w:type="pct"/>
            <w:vAlign w:val="center"/>
          </w:tcPr>
          <w:p w14:paraId="1FBEC56D" w14:textId="18734FDA"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2.800</w:t>
            </w:r>
          </w:p>
        </w:tc>
        <w:tc>
          <w:tcPr>
            <w:tcW w:w="275" w:type="pct"/>
            <w:vAlign w:val="center"/>
          </w:tcPr>
          <w:p w14:paraId="74A897F9" w14:textId="7DD329BC"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18.809.068</w:t>
            </w:r>
          </w:p>
        </w:tc>
        <w:tc>
          <w:tcPr>
            <w:tcW w:w="275" w:type="pct"/>
            <w:vAlign w:val="center"/>
          </w:tcPr>
          <w:p w14:paraId="02DB2033" w14:textId="5DE95F05"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26.794.433</w:t>
            </w:r>
          </w:p>
        </w:tc>
        <w:tc>
          <w:tcPr>
            <w:tcW w:w="275" w:type="pct"/>
            <w:vAlign w:val="center"/>
          </w:tcPr>
          <w:p w14:paraId="2B6EF801" w14:textId="5E33734B"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45.603.501</w:t>
            </w:r>
          </w:p>
        </w:tc>
      </w:tr>
      <w:tr w:rsidR="001B6DB1" w:rsidRPr="00FB38E1" w14:paraId="7E52ABD9" w14:textId="77777777" w:rsidTr="001B6DB1">
        <w:tc>
          <w:tcPr>
            <w:tcW w:w="623" w:type="pct"/>
            <w:vAlign w:val="center"/>
          </w:tcPr>
          <w:p w14:paraId="6ACD19A9" w14:textId="77777777" w:rsidR="001B6DB1" w:rsidRPr="00FB38E1" w:rsidRDefault="001B6DB1" w:rsidP="001B6DB1">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Hizmetler</w:t>
            </w:r>
          </w:p>
        </w:tc>
        <w:tc>
          <w:tcPr>
            <w:tcW w:w="287" w:type="pct"/>
            <w:tcBorders>
              <w:top w:val="nil"/>
              <w:left w:val="nil"/>
              <w:bottom w:val="nil"/>
              <w:right w:val="nil"/>
            </w:tcBorders>
            <w:shd w:val="clear" w:color="auto" w:fill="auto"/>
            <w:vAlign w:val="center"/>
          </w:tcPr>
          <w:p w14:paraId="595E53EA" w14:textId="48A8BF9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9" w:type="pct"/>
            <w:vAlign w:val="center"/>
          </w:tcPr>
          <w:p w14:paraId="12C62B07" w14:textId="52450A79"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111.239</w:t>
            </w:r>
          </w:p>
        </w:tc>
        <w:tc>
          <w:tcPr>
            <w:tcW w:w="224" w:type="pct"/>
            <w:vAlign w:val="center"/>
          </w:tcPr>
          <w:p w14:paraId="576D580D" w14:textId="14C6F279"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79" w:type="pct"/>
            <w:vAlign w:val="center"/>
          </w:tcPr>
          <w:p w14:paraId="18D7C085" w14:textId="4BE8E7AA"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26" w:type="pct"/>
            <w:vAlign w:val="center"/>
          </w:tcPr>
          <w:p w14:paraId="280160F8" w14:textId="0BE75AFC"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2" w:type="pct"/>
            <w:vAlign w:val="center"/>
          </w:tcPr>
          <w:p w14:paraId="57F1DBD7" w14:textId="46585A86"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14.670.745</w:t>
            </w:r>
          </w:p>
        </w:tc>
        <w:tc>
          <w:tcPr>
            <w:tcW w:w="275" w:type="pct"/>
            <w:vAlign w:val="center"/>
          </w:tcPr>
          <w:p w14:paraId="748BA776" w14:textId="758C5C5D"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101.752.978</w:t>
            </w:r>
          </w:p>
        </w:tc>
        <w:tc>
          <w:tcPr>
            <w:tcW w:w="275" w:type="pct"/>
            <w:vAlign w:val="center"/>
          </w:tcPr>
          <w:p w14:paraId="2CA44A56" w14:textId="02790BF4"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22.522.605</w:t>
            </w:r>
          </w:p>
        </w:tc>
        <w:tc>
          <w:tcPr>
            <w:tcW w:w="248" w:type="pct"/>
            <w:vAlign w:val="center"/>
          </w:tcPr>
          <w:p w14:paraId="35C49172" w14:textId="509EF768"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6.927.983</w:t>
            </w:r>
          </w:p>
        </w:tc>
        <w:tc>
          <w:tcPr>
            <w:tcW w:w="252" w:type="pct"/>
            <w:vAlign w:val="center"/>
          </w:tcPr>
          <w:p w14:paraId="510C91D6" w14:textId="20099CD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37.053.503</w:t>
            </w:r>
          </w:p>
        </w:tc>
        <w:tc>
          <w:tcPr>
            <w:tcW w:w="228" w:type="pct"/>
            <w:vAlign w:val="center"/>
          </w:tcPr>
          <w:p w14:paraId="6A43AD42" w14:textId="3E96F95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1.994.888</w:t>
            </w:r>
          </w:p>
        </w:tc>
        <w:tc>
          <w:tcPr>
            <w:tcW w:w="86" w:type="pct"/>
            <w:vAlign w:val="center"/>
          </w:tcPr>
          <w:p w14:paraId="415ABA1B" w14:textId="21B19C89"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6" w:type="pct"/>
            <w:vAlign w:val="center"/>
          </w:tcPr>
          <w:p w14:paraId="50A284AF" w14:textId="5E9E2124"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6" w:type="pct"/>
            <w:vAlign w:val="center"/>
          </w:tcPr>
          <w:p w14:paraId="05C9167A" w14:textId="516C0B4C"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68" w:type="pct"/>
            <w:vAlign w:val="center"/>
          </w:tcPr>
          <w:p w14:paraId="0E700530" w14:textId="71E56558"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40.163</w:t>
            </w:r>
          </w:p>
        </w:tc>
        <w:tc>
          <w:tcPr>
            <w:tcW w:w="252" w:type="pct"/>
            <w:vAlign w:val="center"/>
          </w:tcPr>
          <w:p w14:paraId="7A83C51F" w14:textId="79A66F43"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10.808.867</w:t>
            </w:r>
          </w:p>
        </w:tc>
        <w:tc>
          <w:tcPr>
            <w:tcW w:w="252" w:type="pct"/>
            <w:vAlign w:val="center"/>
          </w:tcPr>
          <w:p w14:paraId="2C2E296E" w14:textId="141ABDF8"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82.756.850</w:t>
            </w:r>
          </w:p>
        </w:tc>
        <w:tc>
          <w:tcPr>
            <w:tcW w:w="275" w:type="pct"/>
            <w:vAlign w:val="center"/>
          </w:tcPr>
          <w:p w14:paraId="01F81B7C" w14:textId="709D5DC8"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171.026.698</w:t>
            </w:r>
          </w:p>
        </w:tc>
        <w:tc>
          <w:tcPr>
            <w:tcW w:w="275" w:type="pct"/>
            <w:vAlign w:val="center"/>
          </w:tcPr>
          <w:p w14:paraId="26431234" w14:textId="55B4536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107.613.123</w:t>
            </w:r>
          </w:p>
        </w:tc>
        <w:tc>
          <w:tcPr>
            <w:tcW w:w="275" w:type="pct"/>
            <w:vAlign w:val="center"/>
          </w:tcPr>
          <w:p w14:paraId="761E2A88" w14:textId="7824E0D2"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278.639.821</w:t>
            </w:r>
          </w:p>
        </w:tc>
      </w:tr>
      <w:tr w:rsidR="001B6DB1" w:rsidRPr="00FB38E1" w14:paraId="52D45727" w14:textId="77777777" w:rsidTr="001B6DB1">
        <w:tc>
          <w:tcPr>
            <w:tcW w:w="623" w:type="pct"/>
            <w:tcMar>
              <w:left w:w="170" w:type="dxa"/>
            </w:tcMar>
            <w:vAlign w:val="center"/>
          </w:tcPr>
          <w:p w14:paraId="44979B31"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Toptan ve Perakende Ticaret</w:t>
            </w:r>
          </w:p>
        </w:tc>
        <w:tc>
          <w:tcPr>
            <w:tcW w:w="287" w:type="pct"/>
            <w:tcBorders>
              <w:top w:val="nil"/>
              <w:left w:val="nil"/>
              <w:bottom w:val="nil"/>
              <w:right w:val="nil"/>
            </w:tcBorders>
            <w:shd w:val="clear" w:color="auto" w:fill="auto"/>
            <w:vAlign w:val="center"/>
          </w:tcPr>
          <w:p w14:paraId="07298E48" w14:textId="40D0350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60440DB6" w14:textId="15597F6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2DCEE9BE" w14:textId="2BA5A7A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75E9E3B4" w14:textId="6E2B694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28D16DBF" w14:textId="04071BF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056C0DE2" w14:textId="55F7811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247</w:t>
            </w:r>
          </w:p>
        </w:tc>
        <w:tc>
          <w:tcPr>
            <w:tcW w:w="275" w:type="pct"/>
            <w:vAlign w:val="center"/>
          </w:tcPr>
          <w:p w14:paraId="1D5D543F" w14:textId="4B0E7A1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43.354.643</w:t>
            </w:r>
          </w:p>
        </w:tc>
        <w:tc>
          <w:tcPr>
            <w:tcW w:w="275" w:type="pct"/>
            <w:vAlign w:val="center"/>
          </w:tcPr>
          <w:p w14:paraId="2075B0C2" w14:textId="0BC9CAD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17.626.584</w:t>
            </w:r>
          </w:p>
        </w:tc>
        <w:tc>
          <w:tcPr>
            <w:tcW w:w="248" w:type="pct"/>
            <w:vAlign w:val="center"/>
          </w:tcPr>
          <w:p w14:paraId="5E0ABAF9" w14:textId="71982C8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4.761.713</w:t>
            </w:r>
          </w:p>
        </w:tc>
        <w:tc>
          <w:tcPr>
            <w:tcW w:w="252" w:type="pct"/>
            <w:vAlign w:val="center"/>
          </w:tcPr>
          <w:p w14:paraId="5CB3BAA5" w14:textId="5E5815D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7.544.144</w:t>
            </w:r>
          </w:p>
        </w:tc>
        <w:tc>
          <w:tcPr>
            <w:tcW w:w="228" w:type="pct"/>
            <w:vAlign w:val="center"/>
          </w:tcPr>
          <w:p w14:paraId="760C4420" w14:textId="19376D8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636.477</w:t>
            </w:r>
          </w:p>
        </w:tc>
        <w:tc>
          <w:tcPr>
            <w:tcW w:w="86" w:type="pct"/>
            <w:vAlign w:val="center"/>
          </w:tcPr>
          <w:p w14:paraId="4F9E66F3" w14:textId="3B44A4D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0AE064B4" w14:textId="3AADA20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5D83FA7F" w14:textId="7C5D1E5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2B2DC151" w14:textId="1203E5F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155DF87A" w14:textId="3202AE7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27.262</w:t>
            </w:r>
          </w:p>
        </w:tc>
        <w:tc>
          <w:tcPr>
            <w:tcW w:w="252" w:type="pct"/>
            <w:vAlign w:val="center"/>
          </w:tcPr>
          <w:p w14:paraId="51120EB3" w14:textId="7E1C8E6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3CCAD393" w14:textId="4F250E5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50.891.448</w:t>
            </w:r>
          </w:p>
        </w:tc>
        <w:tc>
          <w:tcPr>
            <w:tcW w:w="275" w:type="pct"/>
            <w:vAlign w:val="center"/>
          </w:tcPr>
          <w:p w14:paraId="4C23937B" w14:textId="69FF71B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23.059.622</w:t>
            </w:r>
          </w:p>
        </w:tc>
        <w:tc>
          <w:tcPr>
            <w:tcW w:w="275" w:type="pct"/>
            <w:vAlign w:val="center"/>
          </w:tcPr>
          <w:p w14:paraId="0BDDB0CD" w14:textId="353D8DCD"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73.951.070</w:t>
            </w:r>
          </w:p>
        </w:tc>
      </w:tr>
      <w:tr w:rsidR="001B6DB1" w:rsidRPr="00FB38E1" w14:paraId="4DC1EEAC" w14:textId="77777777" w:rsidTr="001B6DB1">
        <w:tc>
          <w:tcPr>
            <w:tcW w:w="623" w:type="pct"/>
            <w:tcMar>
              <w:left w:w="170" w:type="dxa"/>
            </w:tcMar>
            <w:vAlign w:val="center"/>
          </w:tcPr>
          <w:p w14:paraId="3720533A"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Otel ve Lokanta Hizmetleri</w:t>
            </w:r>
          </w:p>
        </w:tc>
        <w:tc>
          <w:tcPr>
            <w:tcW w:w="287" w:type="pct"/>
            <w:tcBorders>
              <w:top w:val="nil"/>
              <w:left w:val="nil"/>
              <w:bottom w:val="nil"/>
              <w:right w:val="nil"/>
            </w:tcBorders>
            <w:shd w:val="clear" w:color="auto" w:fill="auto"/>
            <w:vAlign w:val="center"/>
          </w:tcPr>
          <w:p w14:paraId="6E25ACA9" w14:textId="623F36A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365DD25F" w14:textId="37AF162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485C4D78" w14:textId="3987E58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1814CEF6" w14:textId="331DEF4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71546917" w14:textId="778BFDE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4E507A43" w14:textId="30CAFB0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006F2D31" w14:textId="669CA29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11.054.457</w:t>
            </w:r>
          </w:p>
        </w:tc>
        <w:tc>
          <w:tcPr>
            <w:tcW w:w="275" w:type="pct"/>
            <w:vAlign w:val="center"/>
          </w:tcPr>
          <w:p w14:paraId="442563E7" w14:textId="7BD6AF5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679.698</w:t>
            </w:r>
          </w:p>
        </w:tc>
        <w:tc>
          <w:tcPr>
            <w:tcW w:w="248" w:type="pct"/>
            <w:vAlign w:val="center"/>
          </w:tcPr>
          <w:p w14:paraId="69766A1C" w14:textId="7F7C53B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823.905</w:t>
            </w:r>
          </w:p>
        </w:tc>
        <w:tc>
          <w:tcPr>
            <w:tcW w:w="252" w:type="pct"/>
            <w:vAlign w:val="center"/>
          </w:tcPr>
          <w:p w14:paraId="7ED1ADA1" w14:textId="3BAD7D7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25.622.772</w:t>
            </w:r>
          </w:p>
        </w:tc>
        <w:tc>
          <w:tcPr>
            <w:tcW w:w="228" w:type="pct"/>
            <w:vAlign w:val="center"/>
          </w:tcPr>
          <w:p w14:paraId="4CFEE430" w14:textId="468725B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890.868</w:t>
            </w:r>
          </w:p>
        </w:tc>
        <w:tc>
          <w:tcPr>
            <w:tcW w:w="86" w:type="pct"/>
            <w:vAlign w:val="center"/>
          </w:tcPr>
          <w:p w14:paraId="6984D216" w14:textId="4DEED20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277C8F3A" w14:textId="57B53AA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708F79DC" w14:textId="0C74CF6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4B42EC4D" w14:textId="7D99C84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617017B8" w14:textId="4164569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143.738</w:t>
            </w:r>
          </w:p>
        </w:tc>
        <w:tc>
          <w:tcPr>
            <w:tcW w:w="252" w:type="pct"/>
            <w:vAlign w:val="center"/>
          </w:tcPr>
          <w:p w14:paraId="244ACE34" w14:textId="29AC74A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64D56AFE" w14:textId="1A36BB5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5.615.198</w:t>
            </w:r>
          </w:p>
        </w:tc>
        <w:tc>
          <w:tcPr>
            <w:tcW w:w="275" w:type="pct"/>
            <w:vAlign w:val="center"/>
          </w:tcPr>
          <w:p w14:paraId="6A7684C3" w14:textId="3E6FBBA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33.600.240</w:t>
            </w:r>
          </w:p>
        </w:tc>
        <w:tc>
          <w:tcPr>
            <w:tcW w:w="275" w:type="pct"/>
            <w:vAlign w:val="center"/>
          </w:tcPr>
          <w:p w14:paraId="5FD01BA8" w14:textId="34102C61"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39.215.438</w:t>
            </w:r>
          </w:p>
        </w:tc>
      </w:tr>
      <w:tr w:rsidR="001B6DB1" w:rsidRPr="00FB38E1" w14:paraId="3E7E73C5" w14:textId="77777777" w:rsidTr="001B6DB1">
        <w:tc>
          <w:tcPr>
            <w:tcW w:w="623" w:type="pct"/>
            <w:tcMar>
              <w:left w:w="170" w:type="dxa"/>
            </w:tcMar>
            <w:vAlign w:val="center"/>
          </w:tcPr>
          <w:p w14:paraId="23EE12E1"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Ulaşım ve Haberleşme</w:t>
            </w:r>
          </w:p>
        </w:tc>
        <w:tc>
          <w:tcPr>
            <w:tcW w:w="287" w:type="pct"/>
            <w:tcBorders>
              <w:top w:val="nil"/>
              <w:left w:val="nil"/>
              <w:bottom w:val="nil"/>
              <w:right w:val="nil"/>
            </w:tcBorders>
            <w:shd w:val="clear" w:color="auto" w:fill="auto"/>
            <w:vAlign w:val="center"/>
          </w:tcPr>
          <w:p w14:paraId="7F5705C5" w14:textId="283CC6F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48855412" w14:textId="7AB2890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3DF719F8" w14:textId="03F98F8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4BAC1A5B" w14:textId="10BA872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247BF80A" w14:textId="410DBBD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42E76F73" w14:textId="7332E83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43AB641F" w14:textId="4DCEBE1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24.538.869</w:t>
            </w:r>
          </w:p>
        </w:tc>
        <w:tc>
          <w:tcPr>
            <w:tcW w:w="275" w:type="pct"/>
            <w:vAlign w:val="center"/>
          </w:tcPr>
          <w:p w14:paraId="212CCED5" w14:textId="662F209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2.845.371</w:t>
            </w:r>
          </w:p>
        </w:tc>
        <w:tc>
          <w:tcPr>
            <w:tcW w:w="248" w:type="pct"/>
            <w:vAlign w:val="center"/>
          </w:tcPr>
          <w:p w14:paraId="4F07857D" w14:textId="0036E76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905.474</w:t>
            </w:r>
          </w:p>
        </w:tc>
        <w:tc>
          <w:tcPr>
            <w:tcW w:w="252" w:type="pct"/>
            <w:vAlign w:val="center"/>
          </w:tcPr>
          <w:p w14:paraId="6E98EA84" w14:textId="144C450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1.836.744</w:t>
            </w:r>
          </w:p>
        </w:tc>
        <w:tc>
          <w:tcPr>
            <w:tcW w:w="228" w:type="pct"/>
            <w:vAlign w:val="center"/>
          </w:tcPr>
          <w:p w14:paraId="7B69CF8C" w14:textId="629F5E4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446.217</w:t>
            </w:r>
          </w:p>
        </w:tc>
        <w:tc>
          <w:tcPr>
            <w:tcW w:w="86" w:type="pct"/>
            <w:vAlign w:val="center"/>
          </w:tcPr>
          <w:p w14:paraId="254C28F8" w14:textId="34028DF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75CC765A" w14:textId="27EEE8F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3FE546BE" w14:textId="0CAC4A3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59D7BE2A" w14:textId="0C876CA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44A7349D" w14:textId="708ABF2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6.818</w:t>
            </w:r>
          </w:p>
        </w:tc>
        <w:tc>
          <w:tcPr>
            <w:tcW w:w="252" w:type="pct"/>
            <w:vAlign w:val="center"/>
          </w:tcPr>
          <w:p w14:paraId="5D9A3F54" w14:textId="700C27B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017C609F" w14:textId="2744F28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7.356.821</w:t>
            </w:r>
          </w:p>
        </w:tc>
        <w:tc>
          <w:tcPr>
            <w:tcW w:w="275" w:type="pct"/>
            <w:vAlign w:val="center"/>
          </w:tcPr>
          <w:p w14:paraId="1B9364D8" w14:textId="113D270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23.222.672</w:t>
            </w:r>
          </w:p>
        </w:tc>
        <w:tc>
          <w:tcPr>
            <w:tcW w:w="275" w:type="pct"/>
            <w:vAlign w:val="center"/>
          </w:tcPr>
          <w:p w14:paraId="009064FA" w14:textId="582EC991"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30.579.493</w:t>
            </w:r>
          </w:p>
        </w:tc>
      </w:tr>
      <w:tr w:rsidR="001B6DB1" w:rsidRPr="00FB38E1" w14:paraId="26C6832D" w14:textId="77777777" w:rsidTr="001B6DB1">
        <w:tc>
          <w:tcPr>
            <w:tcW w:w="623" w:type="pct"/>
            <w:tcMar>
              <w:left w:w="170" w:type="dxa"/>
            </w:tcMar>
            <w:vAlign w:val="center"/>
          </w:tcPr>
          <w:p w14:paraId="142C1D75"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Mali Kuruluşlar</w:t>
            </w:r>
          </w:p>
        </w:tc>
        <w:tc>
          <w:tcPr>
            <w:tcW w:w="287" w:type="pct"/>
            <w:tcBorders>
              <w:top w:val="nil"/>
              <w:left w:val="nil"/>
              <w:bottom w:val="nil"/>
              <w:right w:val="nil"/>
            </w:tcBorders>
            <w:shd w:val="clear" w:color="auto" w:fill="auto"/>
            <w:vAlign w:val="center"/>
          </w:tcPr>
          <w:p w14:paraId="7B72C068" w14:textId="5A3E86C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7C4C4ABE" w14:textId="638ED9A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15DC49B2" w14:textId="7F12836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3F03F014" w14:textId="44814D5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151E14DF" w14:textId="2427B6D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3E136E2D" w14:textId="3AD8C25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14.670.498</w:t>
            </w:r>
          </w:p>
        </w:tc>
        <w:tc>
          <w:tcPr>
            <w:tcW w:w="275" w:type="pct"/>
            <w:vAlign w:val="center"/>
          </w:tcPr>
          <w:p w14:paraId="0A7692E9" w14:textId="352B822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16.527.807</w:t>
            </w:r>
          </w:p>
        </w:tc>
        <w:tc>
          <w:tcPr>
            <w:tcW w:w="275" w:type="pct"/>
            <w:vAlign w:val="center"/>
          </w:tcPr>
          <w:p w14:paraId="01EEB0F7" w14:textId="29DEB79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205.967</w:t>
            </w:r>
          </w:p>
        </w:tc>
        <w:tc>
          <w:tcPr>
            <w:tcW w:w="248" w:type="pct"/>
            <w:vAlign w:val="center"/>
          </w:tcPr>
          <w:p w14:paraId="3D07AFAC" w14:textId="39944D6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24.701</w:t>
            </w:r>
          </w:p>
        </w:tc>
        <w:tc>
          <w:tcPr>
            <w:tcW w:w="252" w:type="pct"/>
            <w:vAlign w:val="center"/>
          </w:tcPr>
          <w:p w14:paraId="6AEB3F50" w14:textId="23F0E2A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79.427</w:t>
            </w:r>
          </w:p>
        </w:tc>
        <w:tc>
          <w:tcPr>
            <w:tcW w:w="228" w:type="pct"/>
            <w:vAlign w:val="center"/>
          </w:tcPr>
          <w:p w14:paraId="5DE8CB22" w14:textId="37FACAB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468</w:t>
            </w:r>
          </w:p>
        </w:tc>
        <w:tc>
          <w:tcPr>
            <w:tcW w:w="86" w:type="pct"/>
            <w:vAlign w:val="center"/>
          </w:tcPr>
          <w:p w14:paraId="46C5C6EB" w14:textId="2DD0E4D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2C6D10F8" w14:textId="5A4A21B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6F30CDA3" w14:textId="15B6E91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3E4DD45C" w14:textId="5A40152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40.163</w:t>
            </w:r>
          </w:p>
        </w:tc>
        <w:tc>
          <w:tcPr>
            <w:tcW w:w="252" w:type="pct"/>
            <w:vAlign w:val="center"/>
          </w:tcPr>
          <w:p w14:paraId="4AD8A7DC" w14:textId="1492BAA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10.626.528</w:t>
            </w:r>
          </w:p>
        </w:tc>
        <w:tc>
          <w:tcPr>
            <w:tcW w:w="252" w:type="pct"/>
            <w:vAlign w:val="center"/>
          </w:tcPr>
          <w:p w14:paraId="74AC85F9" w14:textId="51537FD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82.756.850</w:t>
            </w:r>
          </w:p>
        </w:tc>
        <w:tc>
          <w:tcPr>
            <w:tcW w:w="275" w:type="pct"/>
            <w:vAlign w:val="center"/>
          </w:tcPr>
          <w:p w14:paraId="199CA69B" w14:textId="68F555C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99.965.417</w:t>
            </w:r>
          </w:p>
        </w:tc>
        <w:tc>
          <w:tcPr>
            <w:tcW w:w="275" w:type="pct"/>
            <w:vAlign w:val="center"/>
          </w:tcPr>
          <w:p w14:paraId="29B0599C" w14:textId="44D1082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24.966.992</w:t>
            </w:r>
          </w:p>
        </w:tc>
        <w:tc>
          <w:tcPr>
            <w:tcW w:w="275" w:type="pct"/>
            <w:vAlign w:val="center"/>
          </w:tcPr>
          <w:p w14:paraId="6D6A6C38" w14:textId="6001B770"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124.932.409</w:t>
            </w:r>
          </w:p>
        </w:tc>
      </w:tr>
      <w:tr w:rsidR="001B6DB1" w:rsidRPr="00FB38E1" w14:paraId="4DE2AE8C" w14:textId="77777777" w:rsidTr="001B6DB1">
        <w:tc>
          <w:tcPr>
            <w:tcW w:w="623" w:type="pct"/>
            <w:tcMar>
              <w:left w:w="170" w:type="dxa"/>
            </w:tcMar>
            <w:vAlign w:val="center"/>
          </w:tcPr>
          <w:p w14:paraId="28A31F4E"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Gayrimenkul ve Kira Hizm.</w:t>
            </w:r>
          </w:p>
        </w:tc>
        <w:tc>
          <w:tcPr>
            <w:tcW w:w="287" w:type="pct"/>
            <w:tcBorders>
              <w:top w:val="nil"/>
              <w:left w:val="nil"/>
              <w:bottom w:val="nil"/>
              <w:right w:val="nil"/>
            </w:tcBorders>
            <w:shd w:val="clear" w:color="auto" w:fill="auto"/>
            <w:vAlign w:val="center"/>
          </w:tcPr>
          <w:p w14:paraId="14F4B188" w14:textId="0C7DF20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0A4B58BF" w14:textId="4E4DBF3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42.103</w:t>
            </w:r>
          </w:p>
        </w:tc>
        <w:tc>
          <w:tcPr>
            <w:tcW w:w="224" w:type="pct"/>
            <w:vAlign w:val="center"/>
          </w:tcPr>
          <w:p w14:paraId="07983C8E" w14:textId="6003912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7657CAA8" w14:textId="7A68B14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21067C47" w14:textId="46855AE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10DA8357" w14:textId="613FC25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29ED6863" w14:textId="58046F3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495.129</w:t>
            </w:r>
          </w:p>
        </w:tc>
        <w:tc>
          <w:tcPr>
            <w:tcW w:w="275" w:type="pct"/>
            <w:vAlign w:val="center"/>
          </w:tcPr>
          <w:p w14:paraId="13CA7842" w14:textId="381A885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345.787</w:t>
            </w:r>
          </w:p>
        </w:tc>
        <w:tc>
          <w:tcPr>
            <w:tcW w:w="248" w:type="pct"/>
            <w:vAlign w:val="center"/>
          </w:tcPr>
          <w:p w14:paraId="59742ABB" w14:textId="43299C8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162.199</w:t>
            </w:r>
          </w:p>
        </w:tc>
        <w:tc>
          <w:tcPr>
            <w:tcW w:w="252" w:type="pct"/>
            <w:vAlign w:val="center"/>
          </w:tcPr>
          <w:p w14:paraId="58982EF5" w14:textId="62CCF76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186.773</w:t>
            </w:r>
          </w:p>
        </w:tc>
        <w:tc>
          <w:tcPr>
            <w:tcW w:w="228" w:type="pct"/>
            <w:vAlign w:val="center"/>
          </w:tcPr>
          <w:p w14:paraId="614E63D7" w14:textId="55BB66C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12.681</w:t>
            </w:r>
          </w:p>
        </w:tc>
        <w:tc>
          <w:tcPr>
            <w:tcW w:w="86" w:type="pct"/>
            <w:vAlign w:val="center"/>
          </w:tcPr>
          <w:p w14:paraId="17590C18" w14:textId="39A1C55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4E31B827" w14:textId="03B21E0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64729C4A" w14:textId="6685C12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1BE2A0D8" w14:textId="512D2B5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60414FC4" w14:textId="1522B3D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551</w:t>
            </w:r>
          </w:p>
        </w:tc>
        <w:tc>
          <w:tcPr>
            <w:tcW w:w="252" w:type="pct"/>
            <w:vAlign w:val="center"/>
          </w:tcPr>
          <w:p w14:paraId="449DEF1D" w14:textId="1A57947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79EB0E5D" w14:textId="2042805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1.198.194</w:t>
            </w:r>
          </w:p>
        </w:tc>
        <w:tc>
          <w:tcPr>
            <w:tcW w:w="275" w:type="pct"/>
            <w:vAlign w:val="center"/>
          </w:tcPr>
          <w:p w14:paraId="4992F607" w14:textId="2CDB9D9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47.029</w:t>
            </w:r>
          </w:p>
        </w:tc>
        <w:tc>
          <w:tcPr>
            <w:tcW w:w="275" w:type="pct"/>
            <w:vAlign w:val="center"/>
          </w:tcPr>
          <w:p w14:paraId="25F54848" w14:textId="4A3354E6"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1.245.223</w:t>
            </w:r>
          </w:p>
        </w:tc>
      </w:tr>
      <w:tr w:rsidR="001B6DB1" w:rsidRPr="00FB38E1" w14:paraId="405CC45C" w14:textId="77777777" w:rsidTr="001B6DB1">
        <w:tc>
          <w:tcPr>
            <w:tcW w:w="623" w:type="pct"/>
            <w:tcMar>
              <w:left w:w="170" w:type="dxa"/>
            </w:tcMar>
            <w:vAlign w:val="center"/>
          </w:tcPr>
          <w:p w14:paraId="0C4F1A23"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Serbest Meslek Hizmetleri</w:t>
            </w:r>
          </w:p>
        </w:tc>
        <w:tc>
          <w:tcPr>
            <w:tcW w:w="287" w:type="pct"/>
            <w:tcBorders>
              <w:top w:val="nil"/>
              <w:left w:val="nil"/>
              <w:bottom w:val="nil"/>
              <w:right w:val="nil"/>
            </w:tcBorders>
            <w:shd w:val="clear" w:color="auto" w:fill="auto"/>
            <w:vAlign w:val="center"/>
          </w:tcPr>
          <w:p w14:paraId="51AA6C0F" w14:textId="55781A2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12004FE6" w14:textId="0B81E89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4" w:type="pct"/>
            <w:vAlign w:val="center"/>
          </w:tcPr>
          <w:p w14:paraId="3105D2DE" w14:textId="3D104D2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47775DD9" w14:textId="4448941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49582772" w14:textId="506F792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55EE238B" w14:textId="09FDF67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2BD67140" w14:textId="50B51DB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5CC3715A" w14:textId="33386CB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48" w:type="pct"/>
            <w:vAlign w:val="center"/>
          </w:tcPr>
          <w:p w14:paraId="50E06003" w14:textId="4261317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4AD03685" w14:textId="1B42B13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28" w:type="pct"/>
            <w:vAlign w:val="center"/>
          </w:tcPr>
          <w:p w14:paraId="30C86795" w14:textId="1E9B270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133A7BC0" w14:textId="0177172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45AA2634" w14:textId="4AC0E40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2B886E3C" w14:textId="62A0E69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2BF9C95E" w14:textId="1BCE762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28AEDF43" w14:textId="6DB6C92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57B7C516" w14:textId="524722A0"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4010BC3A" w14:textId="6AC9CF0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5D11D1BD" w14:textId="6656886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0FA8233E" w14:textId="67929823"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1B6DB1" w:rsidRPr="00FB38E1" w14:paraId="74E7FC53" w14:textId="77777777" w:rsidTr="001B6DB1">
        <w:tc>
          <w:tcPr>
            <w:tcW w:w="623" w:type="pct"/>
            <w:tcMar>
              <w:left w:w="170" w:type="dxa"/>
            </w:tcMar>
            <w:vAlign w:val="center"/>
          </w:tcPr>
          <w:p w14:paraId="41E5D829"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Eğitim Hizmetleri</w:t>
            </w:r>
          </w:p>
        </w:tc>
        <w:tc>
          <w:tcPr>
            <w:tcW w:w="287" w:type="pct"/>
            <w:tcBorders>
              <w:top w:val="nil"/>
              <w:left w:val="nil"/>
              <w:bottom w:val="nil"/>
              <w:right w:val="nil"/>
            </w:tcBorders>
            <w:shd w:val="clear" w:color="auto" w:fill="auto"/>
            <w:vAlign w:val="center"/>
          </w:tcPr>
          <w:p w14:paraId="29A27576" w14:textId="19FCCB0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5880FE2B" w14:textId="21FC4FC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61.208</w:t>
            </w:r>
          </w:p>
        </w:tc>
        <w:tc>
          <w:tcPr>
            <w:tcW w:w="224" w:type="pct"/>
            <w:vAlign w:val="center"/>
          </w:tcPr>
          <w:p w14:paraId="67A38A57" w14:textId="31E9D6A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07FF19D4" w14:textId="294BC5F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608E94E8" w14:textId="479B975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58F37FA4" w14:textId="18C5985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10749DFB" w14:textId="26ED4D0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524.537</w:t>
            </w:r>
          </w:p>
        </w:tc>
        <w:tc>
          <w:tcPr>
            <w:tcW w:w="275" w:type="pct"/>
            <w:vAlign w:val="center"/>
          </w:tcPr>
          <w:p w14:paraId="64DD7322" w14:textId="181F4AB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331.328</w:t>
            </w:r>
          </w:p>
        </w:tc>
        <w:tc>
          <w:tcPr>
            <w:tcW w:w="248" w:type="pct"/>
            <w:vAlign w:val="center"/>
          </w:tcPr>
          <w:p w14:paraId="1E96CE19" w14:textId="118B287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106.552</w:t>
            </w:r>
          </w:p>
        </w:tc>
        <w:tc>
          <w:tcPr>
            <w:tcW w:w="252" w:type="pct"/>
            <w:vAlign w:val="center"/>
          </w:tcPr>
          <w:p w14:paraId="1A6D5A65" w14:textId="6A1FB34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1.353.840</w:t>
            </w:r>
          </w:p>
        </w:tc>
        <w:tc>
          <w:tcPr>
            <w:tcW w:w="228" w:type="pct"/>
            <w:vAlign w:val="center"/>
          </w:tcPr>
          <w:p w14:paraId="703188D7" w14:textId="3AA15A58"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2.902</w:t>
            </w:r>
          </w:p>
        </w:tc>
        <w:tc>
          <w:tcPr>
            <w:tcW w:w="86" w:type="pct"/>
            <w:vAlign w:val="center"/>
          </w:tcPr>
          <w:p w14:paraId="375B8A21" w14:textId="20DEF17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4DCEEEBA" w14:textId="11001EA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16A92E23" w14:textId="115C22D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735BC303" w14:textId="4BB0303C"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2255432D" w14:textId="041123D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355</w:t>
            </w:r>
          </w:p>
        </w:tc>
        <w:tc>
          <w:tcPr>
            <w:tcW w:w="252" w:type="pct"/>
            <w:vAlign w:val="center"/>
          </w:tcPr>
          <w:p w14:paraId="3BFEDD34" w14:textId="4536156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3B78F526" w14:textId="0F5FD16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2.310.483</w:t>
            </w:r>
          </w:p>
        </w:tc>
        <w:tc>
          <w:tcPr>
            <w:tcW w:w="275" w:type="pct"/>
            <w:vAlign w:val="center"/>
          </w:tcPr>
          <w:p w14:paraId="2A6183CE" w14:textId="6314F22B"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70.239</w:t>
            </w:r>
          </w:p>
        </w:tc>
        <w:tc>
          <w:tcPr>
            <w:tcW w:w="275" w:type="pct"/>
            <w:vAlign w:val="center"/>
          </w:tcPr>
          <w:p w14:paraId="7A0A36DF" w14:textId="2052EB0A"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2.380.722</w:t>
            </w:r>
          </w:p>
        </w:tc>
      </w:tr>
      <w:tr w:rsidR="001B6DB1" w:rsidRPr="00FB38E1" w14:paraId="2F5DF6BA" w14:textId="77777777" w:rsidTr="001B6DB1">
        <w:tc>
          <w:tcPr>
            <w:tcW w:w="623" w:type="pct"/>
            <w:tcMar>
              <w:left w:w="170" w:type="dxa"/>
            </w:tcMar>
            <w:vAlign w:val="center"/>
          </w:tcPr>
          <w:p w14:paraId="02C7EAFA" w14:textId="77777777" w:rsidR="001B6DB1" w:rsidRPr="00FB38E1" w:rsidRDefault="001B6DB1" w:rsidP="001B6DB1">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Sağlık ve Sosyal Hizmetler</w:t>
            </w:r>
          </w:p>
        </w:tc>
        <w:tc>
          <w:tcPr>
            <w:tcW w:w="287" w:type="pct"/>
            <w:tcBorders>
              <w:top w:val="nil"/>
              <w:left w:val="nil"/>
              <w:bottom w:val="nil"/>
              <w:right w:val="nil"/>
            </w:tcBorders>
            <w:shd w:val="clear" w:color="auto" w:fill="auto"/>
            <w:vAlign w:val="center"/>
          </w:tcPr>
          <w:p w14:paraId="4A8E1ECF" w14:textId="7A19FA2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9" w:type="pct"/>
            <w:vAlign w:val="center"/>
          </w:tcPr>
          <w:p w14:paraId="4940C890" w14:textId="7B04950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7.928</w:t>
            </w:r>
          </w:p>
        </w:tc>
        <w:tc>
          <w:tcPr>
            <w:tcW w:w="224" w:type="pct"/>
            <w:vAlign w:val="center"/>
          </w:tcPr>
          <w:p w14:paraId="555B133A" w14:textId="3918EC99"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9" w:type="pct"/>
            <w:vAlign w:val="center"/>
          </w:tcPr>
          <w:p w14:paraId="21FD8CE3" w14:textId="13403142"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6" w:type="pct"/>
            <w:vAlign w:val="center"/>
          </w:tcPr>
          <w:p w14:paraId="17129AC3" w14:textId="5D8FC4F7"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3FC7EA74" w14:textId="3C3AB654"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737A4625" w14:textId="243BA41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5.257.536</w:t>
            </w:r>
          </w:p>
        </w:tc>
        <w:tc>
          <w:tcPr>
            <w:tcW w:w="275" w:type="pct"/>
            <w:vAlign w:val="center"/>
          </w:tcPr>
          <w:p w14:paraId="34E1E9C3" w14:textId="212FB3A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487.870</w:t>
            </w:r>
          </w:p>
        </w:tc>
        <w:tc>
          <w:tcPr>
            <w:tcW w:w="248" w:type="pct"/>
            <w:vAlign w:val="center"/>
          </w:tcPr>
          <w:p w14:paraId="59D19C1B" w14:textId="50965996"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143.439</w:t>
            </w:r>
          </w:p>
        </w:tc>
        <w:tc>
          <w:tcPr>
            <w:tcW w:w="252" w:type="pct"/>
            <w:vAlign w:val="center"/>
          </w:tcPr>
          <w:p w14:paraId="595E8F79" w14:textId="65AE8AF1"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429.803</w:t>
            </w:r>
          </w:p>
        </w:tc>
        <w:tc>
          <w:tcPr>
            <w:tcW w:w="228" w:type="pct"/>
            <w:vAlign w:val="center"/>
          </w:tcPr>
          <w:p w14:paraId="1BB302BB" w14:textId="69F751ED"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5.275</w:t>
            </w:r>
          </w:p>
        </w:tc>
        <w:tc>
          <w:tcPr>
            <w:tcW w:w="86" w:type="pct"/>
            <w:vAlign w:val="center"/>
          </w:tcPr>
          <w:p w14:paraId="3D7C7762" w14:textId="6737F50F"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6AFCADF6" w14:textId="54D506A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6" w:type="pct"/>
            <w:vAlign w:val="center"/>
          </w:tcPr>
          <w:p w14:paraId="7AAA9B84" w14:textId="5D62CE45"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68" w:type="pct"/>
            <w:vAlign w:val="center"/>
          </w:tcPr>
          <w:p w14:paraId="7E1D1F8B" w14:textId="5D3FE31A"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2" w:type="pct"/>
            <w:vAlign w:val="center"/>
          </w:tcPr>
          <w:p w14:paraId="3E501CCB" w14:textId="2F5231A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3.615</w:t>
            </w:r>
          </w:p>
        </w:tc>
        <w:tc>
          <w:tcPr>
            <w:tcW w:w="252" w:type="pct"/>
            <w:vAlign w:val="center"/>
          </w:tcPr>
          <w:p w14:paraId="226D76FB" w14:textId="60F0DBC3"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5" w:type="pct"/>
            <w:vAlign w:val="center"/>
          </w:tcPr>
          <w:p w14:paraId="5C7A4FDA" w14:textId="0E0E490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3.689.137</w:t>
            </w:r>
          </w:p>
        </w:tc>
        <w:tc>
          <w:tcPr>
            <w:tcW w:w="275" w:type="pct"/>
            <w:vAlign w:val="center"/>
          </w:tcPr>
          <w:p w14:paraId="5B5641C6" w14:textId="2FFD7AEE" w:rsidR="001B6DB1" w:rsidRPr="00FB38E1" w:rsidRDefault="001B6DB1" w:rsidP="001B6DB1">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2.646.329</w:t>
            </w:r>
          </w:p>
        </w:tc>
        <w:tc>
          <w:tcPr>
            <w:tcW w:w="275" w:type="pct"/>
            <w:vAlign w:val="center"/>
          </w:tcPr>
          <w:p w14:paraId="17263222" w14:textId="06729922" w:rsidR="001B6DB1" w:rsidRPr="00FB38E1" w:rsidRDefault="001B6DB1" w:rsidP="001B6DB1">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6.335.466</w:t>
            </w:r>
          </w:p>
        </w:tc>
      </w:tr>
      <w:tr w:rsidR="001B6DB1" w:rsidRPr="00FB38E1" w14:paraId="4398F277" w14:textId="77777777" w:rsidTr="001B6DB1">
        <w:tc>
          <w:tcPr>
            <w:tcW w:w="623" w:type="pct"/>
            <w:vAlign w:val="center"/>
          </w:tcPr>
          <w:p w14:paraId="42CF1623" w14:textId="77777777" w:rsidR="001B6DB1" w:rsidRPr="00FB38E1" w:rsidRDefault="001B6DB1" w:rsidP="001B6DB1">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Diğer</w:t>
            </w:r>
          </w:p>
        </w:tc>
        <w:tc>
          <w:tcPr>
            <w:tcW w:w="287" w:type="pct"/>
            <w:tcBorders>
              <w:top w:val="nil"/>
              <w:left w:val="nil"/>
              <w:bottom w:val="nil"/>
              <w:right w:val="nil"/>
            </w:tcBorders>
            <w:shd w:val="clear" w:color="auto" w:fill="auto"/>
            <w:vAlign w:val="center"/>
          </w:tcPr>
          <w:p w14:paraId="1D910B04" w14:textId="642AD3EA"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333.190.381</w:t>
            </w:r>
          </w:p>
        </w:tc>
        <w:tc>
          <w:tcPr>
            <w:tcW w:w="279" w:type="pct"/>
            <w:vAlign w:val="center"/>
          </w:tcPr>
          <w:p w14:paraId="60606B2C" w14:textId="4A3EF1EA"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5.513.762</w:t>
            </w:r>
          </w:p>
        </w:tc>
        <w:tc>
          <w:tcPr>
            <w:tcW w:w="224" w:type="pct"/>
            <w:vAlign w:val="center"/>
          </w:tcPr>
          <w:p w14:paraId="6DFC6534" w14:textId="2CD7386B"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2.136</w:t>
            </w:r>
          </w:p>
        </w:tc>
        <w:tc>
          <w:tcPr>
            <w:tcW w:w="179" w:type="pct"/>
            <w:vAlign w:val="center"/>
          </w:tcPr>
          <w:p w14:paraId="06C35D27" w14:textId="1A9FE22D"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26" w:type="pct"/>
            <w:vAlign w:val="center"/>
          </w:tcPr>
          <w:p w14:paraId="0FD94BF5" w14:textId="6821F8BF"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252" w:type="pct"/>
            <w:vAlign w:val="center"/>
          </w:tcPr>
          <w:p w14:paraId="1E439E9E" w14:textId="03A61B4C"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63.480.128</w:t>
            </w:r>
          </w:p>
        </w:tc>
        <w:tc>
          <w:tcPr>
            <w:tcW w:w="275" w:type="pct"/>
            <w:vAlign w:val="center"/>
          </w:tcPr>
          <w:p w14:paraId="2328D81C" w14:textId="28A0822B"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40.677.825</w:t>
            </w:r>
          </w:p>
        </w:tc>
        <w:tc>
          <w:tcPr>
            <w:tcW w:w="275" w:type="pct"/>
            <w:vAlign w:val="center"/>
          </w:tcPr>
          <w:p w14:paraId="70F7734D" w14:textId="306B66C0"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231.033.012</w:t>
            </w:r>
          </w:p>
        </w:tc>
        <w:tc>
          <w:tcPr>
            <w:tcW w:w="248" w:type="pct"/>
            <w:vAlign w:val="center"/>
          </w:tcPr>
          <w:p w14:paraId="600F359A" w14:textId="0D38A5A8"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5.139.161</w:t>
            </w:r>
          </w:p>
        </w:tc>
        <w:tc>
          <w:tcPr>
            <w:tcW w:w="252" w:type="pct"/>
            <w:vAlign w:val="center"/>
          </w:tcPr>
          <w:p w14:paraId="42882CB0" w14:textId="63A14E97"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16.890.229</w:t>
            </w:r>
          </w:p>
        </w:tc>
        <w:tc>
          <w:tcPr>
            <w:tcW w:w="228" w:type="pct"/>
            <w:vAlign w:val="center"/>
          </w:tcPr>
          <w:p w14:paraId="7D272A4F" w14:textId="3E65C2B2"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6.137.910</w:t>
            </w:r>
          </w:p>
        </w:tc>
        <w:tc>
          <w:tcPr>
            <w:tcW w:w="86" w:type="pct"/>
            <w:vAlign w:val="center"/>
          </w:tcPr>
          <w:p w14:paraId="628F18C0" w14:textId="34569154"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86" w:type="pct"/>
            <w:vAlign w:val="center"/>
          </w:tcPr>
          <w:p w14:paraId="26B567ED" w14:textId="665F675F"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86" w:type="pct"/>
            <w:vAlign w:val="center"/>
          </w:tcPr>
          <w:p w14:paraId="1860B156" w14:textId="257B0517"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68" w:type="pct"/>
            <w:vAlign w:val="center"/>
          </w:tcPr>
          <w:p w14:paraId="507FF999" w14:textId="51EF8E1E"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90.244</w:t>
            </w:r>
          </w:p>
        </w:tc>
        <w:tc>
          <w:tcPr>
            <w:tcW w:w="252" w:type="pct"/>
            <w:vAlign w:val="center"/>
          </w:tcPr>
          <w:p w14:paraId="589735C0" w14:textId="27E289C8"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68.913.779</w:t>
            </w:r>
          </w:p>
        </w:tc>
        <w:tc>
          <w:tcPr>
            <w:tcW w:w="252" w:type="pct"/>
            <w:vAlign w:val="center"/>
          </w:tcPr>
          <w:p w14:paraId="3BF5F86B" w14:textId="178166FD"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5.709.730</w:t>
            </w:r>
          </w:p>
        </w:tc>
        <w:tc>
          <w:tcPr>
            <w:tcW w:w="275" w:type="pct"/>
            <w:vAlign w:val="center"/>
          </w:tcPr>
          <w:p w14:paraId="6647E966" w14:textId="1A8ADA69"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558.170.568</w:t>
            </w:r>
          </w:p>
        </w:tc>
        <w:tc>
          <w:tcPr>
            <w:tcW w:w="275" w:type="pct"/>
            <w:vAlign w:val="center"/>
          </w:tcPr>
          <w:p w14:paraId="6FD1E7A9" w14:textId="2E5A11E2" w:rsidR="001B6DB1" w:rsidRPr="00FB38E1" w:rsidRDefault="001B6DB1" w:rsidP="001B6DB1">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218.607.729</w:t>
            </w:r>
          </w:p>
        </w:tc>
        <w:tc>
          <w:tcPr>
            <w:tcW w:w="275" w:type="pct"/>
            <w:vAlign w:val="center"/>
          </w:tcPr>
          <w:p w14:paraId="62B13707" w14:textId="7836B5A8"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776.778.297</w:t>
            </w:r>
          </w:p>
        </w:tc>
      </w:tr>
      <w:tr w:rsidR="001B6DB1" w:rsidRPr="00FB38E1" w14:paraId="7C1BD925" w14:textId="77777777" w:rsidTr="001B6DB1">
        <w:tc>
          <w:tcPr>
            <w:tcW w:w="623" w:type="pct"/>
            <w:tcBorders>
              <w:top w:val="single" w:sz="4" w:space="0" w:color="auto"/>
              <w:bottom w:val="thickThinSmallGap" w:sz="24" w:space="0" w:color="auto"/>
            </w:tcBorders>
            <w:vAlign w:val="center"/>
          </w:tcPr>
          <w:p w14:paraId="5D9AA0C9" w14:textId="77777777" w:rsidR="001B6DB1" w:rsidRPr="00FB38E1" w:rsidRDefault="001B6DB1" w:rsidP="001B6DB1">
            <w:pP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w:t>
            </w:r>
          </w:p>
        </w:tc>
        <w:tc>
          <w:tcPr>
            <w:tcW w:w="287" w:type="pct"/>
            <w:tcBorders>
              <w:top w:val="single" w:sz="4" w:space="0" w:color="auto"/>
              <w:bottom w:val="thickThinSmallGap" w:sz="24" w:space="0" w:color="auto"/>
            </w:tcBorders>
            <w:vAlign w:val="center"/>
          </w:tcPr>
          <w:p w14:paraId="10172BE5" w14:textId="738ACD4D"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333.190.875</w:t>
            </w:r>
          </w:p>
        </w:tc>
        <w:tc>
          <w:tcPr>
            <w:tcW w:w="279" w:type="pct"/>
            <w:tcBorders>
              <w:top w:val="single" w:sz="4" w:space="0" w:color="auto"/>
              <w:bottom w:val="thickThinSmallGap" w:sz="24" w:space="0" w:color="auto"/>
            </w:tcBorders>
            <w:vAlign w:val="center"/>
          </w:tcPr>
          <w:p w14:paraId="63FBA0BE" w14:textId="399760A6"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7.328.503</w:t>
            </w:r>
          </w:p>
        </w:tc>
        <w:tc>
          <w:tcPr>
            <w:tcW w:w="224" w:type="pct"/>
            <w:tcBorders>
              <w:top w:val="single" w:sz="4" w:space="0" w:color="auto"/>
              <w:bottom w:val="thickThinSmallGap" w:sz="24" w:space="0" w:color="auto"/>
            </w:tcBorders>
            <w:vAlign w:val="center"/>
          </w:tcPr>
          <w:p w14:paraId="47528DD6" w14:textId="28518F51"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1.646.073</w:t>
            </w:r>
          </w:p>
        </w:tc>
        <w:tc>
          <w:tcPr>
            <w:tcW w:w="179" w:type="pct"/>
            <w:tcBorders>
              <w:top w:val="single" w:sz="4" w:space="0" w:color="auto"/>
              <w:bottom w:val="thickThinSmallGap" w:sz="24" w:space="0" w:color="auto"/>
            </w:tcBorders>
            <w:vAlign w:val="center"/>
          </w:tcPr>
          <w:p w14:paraId="45182B66" w14:textId="36D403B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26" w:type="pct"/>
            <w:tcBorders>
              <w:top w:val="single" w:sz="4" w:space="0" w:color="auto"/>
              <w:bottom w:val="thickThinSmallGap" w:sz="24" w:space="0" w:color="auto"/>
            </w:tcBorders>
            <w:vAlign w:val="center"/>
          </w:tcPr>
          <w:p w14:paraId="4B45CE08" w14:textId="33C011C2"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2" w:type="pct"/>
            <w:tcBorders>
              <w:top w:val="single" w:sz="4" w:space="0" w:color="auto"/>
              <w:bottom w:val="thickThinSmallGap" w:sz="24" w:space="0" w:color="auto"/>
            </w:tcBorders>
            <w:vAlign w:val="center"/>
          </w:tcPr>
          <w:p w14:paraId="4FFDEAE9" w14:textId="4F5A0E3C"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78.204.425</w:t>
            </w:r>
          </w:p>
        </w:tc>
        <w:tc>
          <w:tcPr>
            <w:tcW w:w="275" w:type="pct"/>
            <w:tcBorders>
              <w:top w:val="single" w:sz="4" w:space="0" w:color="auto"/>
              <w:bottom w:val="thickThinSmallGap" w:sz="24" w:space="0" w:color="auto"/>
            </w:tcBorders>
            <w:vAlign w:val="center"/>
          </w:tcPr>
          <w:p w14:paraId="5B29DCF6" w14:textId="6E7BFBB1"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290.974.204</w:t>
            </w:r>
          </w:p>
        </w:tc>
        <w:tc>
          <w:tcPr>
            <w:tcW w:w="275" w:type="pct"/>
            <w:tcBorders>
              <w:top w:val="single" w:sz="4" w:space="0" w:color="auto"/>
              <w:bottom w:val="thickThinSmallGap" w:sz="24" w:space="0" w:color="auto"/>
            </w:tcBorders>
            <w:vAlign w:val="center"/>
          </w:tcPr>
          <w:p w14:paraId="700EADEB" w14:textId="608E840F"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361.224.930</w:t>
            </w:r>
          </w:p>
        </w:tc>
        <w:tc>
          <w:tcPr>
            <w:tcW w:w="248" w:type="pct"/>
            <w:tcBorders>
              <w:top w:val="single" w:sz="4" w:space="0" w:color="auto"/>
              <w:bottom w:val="thickThinSmallGap" w:sz="24" w:space="0" w:color="auto"/>
            </w:tcBorders>
            <w:vAlign w:val="center"/>
          </w:tcPr>
          <w:p w14:paraId="7E33076E" w14:textId="35410C67"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19.586.737</w:t>
            </w:r>
          </w:p>
        </w:tc>
        <w:tc>
          <w:tcPr>
            <w:tcW w:w="252" w:type="pct"/>
            <w:tcBorders>
              <w:top w:val="single" w:sz="4" w:space="0" w:color="auto"/>
              <w:bottom w:val="thickThinSmallGap" w:sz="24" w:space="0" w:color="auto"/>
            </w:tcBorders>
            <w:vAlign w:val="center"/>
          </w:tcPr>
          <w:p w14:paraId="06B0F8EE" w14:textId="70331161"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77.202.453</w:t>
            </w:r>
          </w:p>
        </w:tc>
        <w:tc>
          <w:tcPr>
            <w:tcW w:w="228" w:type="pct"/>
            <w:tcBorders>
              <w:top w:val="single" w:sz="4" w:space="0" w:color="auto"/>
              <w:bottom w:val="thickThinSmallGap" w:sz="24" w:space="0" w:color="auto"/>
            </w:tcBorders>
            <w:vAlign w:val="center"/>
          </w:tcPr>
          <w:p w14:paraId="4E4A8093" w14:textId="048D0537"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11.189.282</w:t>
            </w:r>
          </w:p>
        </w:tc>
        <w:tc>
          <w:tcPr>
            <w:tcW w:w="86" w:type="pct"/>
            <w:tcBorders>
              <w:top w:val="single" w:sz="4" w:space="0" w:color="auto"/>
              <w:bottom w:val="thickThinSmallGap" w:sz="24" w:space="0" w:color="auto"/>
            </w:tcBorders>
            <w:vAlign w:val="center"/>
          </w:tcPr>
          <w:p w14:paraId="1B33777F" w14:textId="75B66D85"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6" w:type="pct"/>
            <w:tcBorders>
              <w:top w:val="single" w:sz="4" w:space="0" w:color="auto"/>
              <w:bottom w:val="thickThinSmallGap" w:sz="24" w:space="0" w:color="auto"/>
            </w:tcBorders>
            <w:vAlign w:val="center"/>
          </w:tcPr>
          <w:p w14:paraId="207C12CA" w14:textId="475F0838"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6" w:type="pct"/>
            <w:tcBorders>
              <w:top w:val="single" w:sz="4" w:space="0" w:color="auto"/>
              <w:bottom w:val="thickThinSmallGap" w:sz="24" w:space="0" w:color="auto"/>
            </w:tcBorders>
            <w:vAlign w:val="center"/>
          </w:tcPr>
          <w:p w14:paraId="52E98614" w14:textId="426AF76C"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68" w:type="pct"/>
            <w:tcBorders>
              <w:top w:val="single" w:sz="4" w:space="0" w:color="auto"/>
              <w:bottom w:val="thickThinSmallGap" w:sz="24" w:space="0" w:color="auto"/>
            </w:tcBorders>
            <w:vAlign w:val="center"/>
          </w:tcPr>
          <w:p w14:paraId="63C99E08" w14:textId="287FFEA6"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130.407</w:t>
            </w:r>
          </w:p>
        </w:tc>
        <w:tc>
          <w:tcPr>
            <w:tcW w:w="252" w:type="pct"/>
            <w:tcBorders>
              <w:top w:val="single" w:sz="4" w:space="0" w:color="auto"/>
              <w:bottom w:val="thickThinSmallGap" w:sz="24" w:space="0" w:color="auto"/>
            </w:tcBorders>
            <w:vAlign w:val="center"/>
          </w:tcPr>
          <w:p w14:paraId="48C080E8" w14:textId="5C4535AF"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79.938.978</w:t>
            </w:r>
          </w:p>
        </w:tc>
        <w:tc>
          <w:tcPr>
            <w:tcW w:w="252" w:type="pct"/>
            <w:tcBorders>
              <w:top w:val="single" w:sz="4" w:space="0" w:color="auto"/>
              <w:bottom w:val="thickThinSmallGap" w:sz="24" w:space="0" w:color="auto"/>
            </w:tcBorders>
            <w:vAlign w:val="center"/>
          </w:tcPr>
          <w:p w14:paraId="1C1E229E" w14:textId="5CE29DCC"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88.469.380</w:t>
            </w:r>
          </w:p>
        </w:tc>
        <w:tc>
          <w:tcPr>
            <w:tcW w:w="275" w:type="pct"/>
            <w:tcBorders>
              <w:top w:val="single" w:sz="4" w:space="0" w:color="auto"/>
              <w:bottom w:val="thickThinSmallGap" w:sz="24" w:space="0" w:color="auto"/>
            </w:tcBorders>
            <w:vAlign w:val="center"/>
          </w:tcPr>
          <w:p w14:paraId="4B22D52C" w14:textId="4B1C9B09"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905.872.497</w:t>
            </w:r>
          </w:p>
        </w:tc>
        <w:tc>
          <w:tcPr>
            <w:tcW w:w="275" w:type="pct"/>
            <w:tcBorders>
              <w:top w:val="single" w:sz="4" w:space="0" w:color="auto"/>
              <w:bottom w:val="thickThinSmallGap" w:sz="24" w:space="0" w:color="auto"/>
            </w:tcBorders>
            <w:vAlign w:val="center"/>
          </w:tcPr>
          <w:p w14:paraId="1258E7A8" w14:textId="4726440D"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443.213.750</w:t>
            </w:r>
          </w:p>
        </w:tc>
        <w:tc>
          <w:tcPr>
            <w:tcW w:w="275" w:type="pct"/>
            <w:tcBorders>
              <w:top w:val="single" w:sz="4" w:space="0" w:color="auto"/>
              <w:bottom w:val="thickThinSmallGap" w:sz="24" w:space="0" w:color="auto"/>
            </w:tcBorders>
            <w:vAlign w:val="center"/>
          </w:tcPr>
          <w:p w14:paraId="77BBD65E" w14:textId="7BDE9C69" w:rsidR="001B6DB1" w:rsidRPr="00FB38E1" w:rsidRDefault="001B6DB1" w:rsidP="001B6DB1">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1.349.086.247</w:t>
            </w:r>
          </w:p>
        </w:tc>
      </w:tr>
    </w:tbl>
    <w:p w14:paraId="53664A2A" w14:textId="77777777" w:rsidR="00D1663E" w:rsidRPr="00FB38E1" w:rsidRDefault="00D1663E" w:rsidP="00D1663E">
      <w:pPr>
        <w:pStyle w:val="ListParagraph"/>
        <w:spacing w:before="120" w:after="0" w:line="360" w:lineRule="auto"/>
        <w:ind w:left="-85"/>
        <w:rPr>
          <w:rFonts w:ascii="Microsoft Sans Serif" w:hAnsi="Microsoft Sans Serif" w:cs="Microsoft Sans Serif"/>
          <w:bCs/>
          <w:iCs/>
          <w:color w:val="404040" w:themeColor="text1" w:themeTint="BF"/>
          <w:position w:val="6"/>
          <w:sz w:val="16"/>
          <w:szCs w:val="16"/>
        </w:rPr>
      </w:pPr>
      <w:r w:rsidRPr="00FB38E1">
        <w:rPr>
          <w:rFonts w:ascii="Microsoft Sans Serif" w:hAnsi="Microsoft Sans Serif" w:cs="Microsoft Sans Serif"/>
          <w:bCs/>
          <w:iCs/>
          <w:color w:val="404040" w:themeColor="text1" w:themeTint="BF"/>
          <w:position w:val="6"/>
          <w:sz w:val="16"/>
          <w:szCs w:val="16"/>
        </w:rPr>
        <w:t>(*) Bankaların Sermaye Yeterliliğinin Ölçülmesine ve Değerlendirilmesine İlişkin Yönetmelikte yer alan risk sınıfları:</w:t>
      </w:r>
    </w:p>
    <w:tbl>
      <w:tblPr>
        <w:tblStyle w:val="TableGrid"/>
        <w:tblW w:w="14050"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14"/>
        <w:gridCol w:w="5241"/>
        <w:gridCol w:w="708"/>
        <w:gridCol w:w="7387"/>
      </w:tblGrid>
      <w:tr w:rsidR="00D1663E" w:rsidRPr="00FB38E1" w14:paraId="060D1796" w14:textId="77777777" w:rsidTr="00836EF2">
        <w:tc>
          <w:tcPr>
            <w:tcW w:w="254" w:type="pct"/>
            <w:vAlign w:val="bottom"/>
          </w:tcPr>
          <w:p w14:paraId="1638127D"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1:</w:t>
            </w:r>
          </w:p>
        </w:tc>
        <w:tc>
          <w:tcPr>
            <w:tcW w:w="1865" w:type="pct"/>
            <w:vAlign w:val="center"/>
          </w:tcPr>
          <w:p w14:paraId="002A081A"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Merkezi yönetimlerden veya merkez bankalarından alacaklar</w:t>
            </w:r>
          </w:p>
        </w:tc>
        <w:tc>
          <w:tcPr>
            <w:tcW w:w="252" w:type="pct"/>
            <w:tcMar>
              <w:right w:w="57" w:type="dxa"/>
            </w:tcMar>
            <w:vAlign w:val="bottom"/>
          </w:tcPr>
          <w:p w14:paraId="678573E2"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10:</w:t>
            </w:r>
          </w:p>
        </w:tc>
        <w:tc>
          <w:tcPr>
            <w:tcW w:w="2629" w:type="pct"/>
            <w:vAlign w:val="center"/>
          </w:tcPr>
          <w:p w14:paraId="05BB85EA"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Ticari amaçlı gayrimenkul ipoteği ile teminatlandırılan alacaklar</w:t>
            </w:r>
          </w:p>
        </w:tc>
      </w:tr>
      <w:tr w:rsidR="00D1663E" w:rsidRPr="00FB38E1" w14:paraId="14B73A2F" w14:textId="77777777" w:rsidTr="00836EF2">
        <w:tc>
          <w:tcPr>
            <w:tcW w:w="254" w:type="pct"/>
            <w:vAlign w:val="bottom"/>
          </w:tcPr>
          <w:p w14:paraId="3F4E8419"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2:</w:t>
            </w:r>
          </w:p>
        </w:tc>
        <w:tc>
          <w:tcPr>
            <w:tcW w:w="1865" w:type="pct"/>
            <w:vAlign w:val="center"/>
          </w:tcPr>
          <w:p w14:paraId="422E8C2C"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Bölgesel yönetimlerden veya yerel yönetimlerden alacaklar</w:t>
            </w:r>
          </w:p>
        </w:tc>
        <w:tc>
          <w:tcPr>
            <w:tcW w:w="252" w:type="pct"/>
            <w:tcMar>
              <w:right w:w="57" w:type="dxa"/>
            </w:tcMar>
            <w:vAlign w:val="bottom"/>
          </w:tcPr>
          <w:p w14:paraId="0EC44CB4"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11:</w:t>
            </w:r>
          </w:p>
        </w:tc>
        <w:tc>
          <w:tcPr>
            <w:tcW w:w="2629" w:type="pct"/>
            <w:vAlign w:val="center"/>
          </w:tcPr>
          <w:p w14:paraId="1BBF4B44"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Tahsili gecikmiş alacaklar</w:t>
            </w:r>
          </w:p>
        </w:tc>
      </w:tr>
      <w:tr w:rsidR="00D1663E" w:rsidRPr="00FB38E1" w14:paraId="72A38B04" w14:textId="77777777" w:rsidTr="00836EF2">
        <w:tc>
          <w:tcPr>
            <w:tcW w:w="254" w:type="pct"/>
            <w:shd w:val="clear" w:color="auto" w:fill="auto"/>
            <w:tcMar>
              <w:right w:w="57" w:type="dxa"/>
            </w:tcMar>
            <w:vAlign w:val="bottom"/>
          </w:tcPr>
          <w:p w14:paraId="543FE5AE"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3:</w:t>
            </w:r>
          </w:p>
        </w:tc>
        <w:tc>
          <w:tcPr>
            <w:tcW w:w="1865" w:type="pct"/>
            <w:shd w:val="clear" w:color="auto" w:fill="auto"/>
            <w:tcMar>
              <w:right w:w="567" w:type="dxa"/>
            </w:tcMar>
            <w:vAlign w:val="center"/>
          </w:tcPr>
          <w:p w14:paraId="325B1E6D"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İdari birimlerden ve ticari olmayan girişimlerden alacaklar</w:t>
            </w:r>
          </w:p>
        </w:tc>
        <w:tc>
          <w:tcPr>
            <w:tcW w:w="252" w:type="pct"/>
            <w:shd w:val="clear" w:color="auto" w:fill="auto"/>
            <w:tcMar>
              <w:right w:w="57" w:type="dxa"/>
            </w:tcMar>
            <w:vAlign w:val="bottom"/>
          </w:tcPr>
          <w:p w14:paraId="6CAB09BF"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12:</w:t>
            </w:r>
          </w:p>
        </w:tc>
        <w:tc>
          <w:tcPr>
            <w:tcW w:w="2629" w:type="pct"/>
            <w:shd w:val="clear" w:color="auto" w:fill="auto"/>
            <w:tcMar>
              <w:right w:w="284" w:type="dxa"/>
            </w:tcMar>
            <w:vAlign w:val="center"/>
          </w:tcPr>
          <w:p w14:paraId="78A1CF88"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Kurulca riski yüksek belirlenmiş alacaklar</w:t>
            </w:r>
          </w:p>
        </w:tc>
      </w:tr>
      <w:tr w:rsidR="00D1663E" w:rsidRPr="00FB38E1" w14:paraId="14C2CD0D" w14:textId="77777777" w:rsidTr="00836EF2">
        <w:tc>
          <w:tcPr>
            <w:tcW w:w="254" w:type="pct"/>
            <w:shd w:val="clear" w:color="auto" w:fill="auto"/>
            <w:tcMar>
              <w:right w:w="57" w:type="dxa"/>
            </w:tcMar>
            <w:vAlign w:val="bottom"/>
          </w:tcPr>
          <w:p w14:paraId="071906FA"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4:</w:t>
            </w:r>
          </w:p>
        </w:tc>
        <w:tc>
          <w:tcPr>
            <w:tcW w:w="1865" w:type="pct"/>
            <w:shd w:val="clear" w:color="auto" w:fill="auto"/>
            <w:tcMar>
              <w:right w:w="567" w:type="dxa"/>
            </w:tcMar>
            <w:vAlign w:val="center"/>
          </w:tcPr>
          <w:p w14:paraId="662D554C"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Çok taraflı kalkınma bankalarından alacaklar</w:t>
            </w:r>
          </w:p>
        </w:tc>
        <w:tc>
          <w:tcPr>
            <w:tcW w:w="252" w:type="pct"/>
            <w:shd w:val="clear" w:color="auto" w:fill="auto"/>
            <w:tcMar>
              <w:right w:w="57" w:type="dxa"/>
            </w:tcMar>
            <w:vAlign w:val="bottom"/>
          </w:tcPr>
          <w:p w14:paraId="742E3274"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13:</w:t>
            </w:r>
          </w:p>
        </w:tc>
        <w:tc>
          <w:tcPr>
            <w:tcW w:w="2629" w:type="pct"/>
            <w:shd w:val="clear" w:color="auto" w:fill="auto"/>
            <w:tcMar>
              <w:right w:w="284" w:type="dxa"/>
            </w:tcMar>
            <w:vAlign w:val="center"/>
          </w:tcPr>
          <w:p w14:paraId="2B5270EC"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İpotek teminatlı menkul kıymetler</w:t>
            </w:r>
          </w:p>
        </w:tc>
      </w:tr>
      <w:tr w:rsidR="00D1663E" w:rsidRPr="00FB38E1" w14:paraId="535DC737" w14:textId="77777777" w:rsidTr="00836EF2">
        <w:tc>
          <w:tcPr>
            <w:tcW w:w="254" w:type="pct"/>
            <w:shd w:val="clear" w:color="auto" w:fill="auto"/>
            <w:tcMar>
              <w:right w:w="57" w:type="dxa"/>
            </w:tcMar>
            <w:vAlign w:val="bottom"/>
          </w:tcPr>
          <w:p w14:paraId="104131DC"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5:</w:t>
            </w:r>
          </w:p>
        </w:tc>
        <w:tc>
          <w:tcPr>
            <w:tcW w:w="1865" w:type="pct"/>
            <w:shd w:val="clear" w:color="auto" w:fill="auto"/>
            <w:tcMar>
              <w:right w:w="567" w:type="dxa"/>
            </w:tcMar>
            <w:vAlign w:val="center"/>
          </w:tcPr>
          <w:p w14:paraId="30227900"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Uluslararası teşkilatlardan alacaklar</w:t>
            </w:r>
          </w:p>
        </w:tc>
        <w:tc>
          <w:tcPr>
            <w:tcW w:w="252" w:type="pct"/>
            <w:shd w:val="clear" w:color="auto" w:fill="auto"/>
            <w:tcMar>
              <w:right w:w="57" w:type="dxa"/>
            </w:tcMar>
            <w:vAlign w:val="bottom"/>
          </w:tcPr>
          <w:p w14:paraId="3588B1B1"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14:</w:t>
            </w:r>
          </w:p>
        </w:tc>
        <w:tc>
          <w:tcPr>
            <w:tcW w:w="2629" w:type="pct"/>
            <w:shd w:val="clear" w:color="auto" w:fill="auto"/>
            <w:tcMar>
              <w:right w:w="284" w:type="dxa"/>
            </w:tcMar>
            <w:vAlign w:val="center"/>
          </w:tcPr>
          <w:p w14:paraId="5815B215"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Bankalardan ve aracı kurumlardan olan kısa vadeli alacaklar ile kısa vadeli kurumsal alacaklar</w:t>
            </w:r>
          </w:p>
        </w:tc>
      </w:tr>
      <w:tr w:rsidR="00D1663E" w:rsidRPr="00FB38E1" w14:paraId="41ABBAF5" w14:textId="77777777" w:rsidTr="00836EF2">
        <w:tc>
          <w:tcPr>
            <w:tcW w:w="254" w:type="pct"/>
            <w:shd w:val="clear" w:color="auto" w:fill="auto"/>
            <w:tcMar>
              <w:right w:w="57" w:type="dxa"/>
            </w:tcMar>
            <w:vAlign w:val="bottom"/>
          </w:tcPr>
          <w:p w14:paraId="4FB05EEC"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6:</w:t>
            </w:r>
          </w:p>
        </w:tc>
        <w:tc>
          <w:tcPr>
            <w:tcW w:w="1865" w:type="pct"/>
            <w:shd w:val="clear" w:color="auto" w:fill="auto"/>
            <w:tcMar>
              <w:right w:w="567" w:type="dxa"/>
            </w:tcMar>
            <w:vAlign w:val="center"/>
          </w:tcPr>
          <w:p w14:paraId="3C366AB0"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Bankalardan ve aracı kurumlardan alacaklar</w:t>
            </w:r>
          </w:p>
        </w:tc>
        <w:tc>
          <w:tcPr>
            <w:tcW w:w="252" w:type="pct"/>
            <w:shd w:val="clear" w:color="auto" w:fill="auto"/>
            <w:tcMar>
              <w:right w:w="57" w:type="dxa"/>
            </w:tcMar>
            <w:vAlign w:val="bottom"/>
          </w:tcPr>
          <w:p w14:paraId="0EA7AB72"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15:</w:t>
            </w:r>
          </w:p>
        </w:tc>
        <w:tc>
          <w:tcPr>
            <w:tcW w:w="2629" w:type="pct"/>
            <w:shd w:val="clear" w:color="auto" w:fill="auto"/>
            <w:tcMar>
              <w:right w:w="284" w:type="dxa"/>
            </w:tcMar>
            <w:vAlign w:val="center"/>
          </w:tcPr>
          <w:p w14:paraId="5168EF28"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Kollektif yatırım kuruluşu niteliğindeki yatırımlar</w:t>
            </w:r>
          </w:p>
        </w:tc>
      </w:tr>
      <w:tr w:rsidR="00D1663E" w:rsidRPr="00FB38E1" w14:paraId="16150642" w14:textId="77777777" w:rsidTr="00836EF2">
        <w:tc>
          <w:tcPr>
            <w:tcW w:w="254" w:type="pct"/>
            <w:shd w:val="clear" w:color="auto" w:fill="auto"/>
            <w:tcMar>
              <w:right w:w="57" w:type="dxa"/>
            </w:tcMar>
            <w:vAlign w:val="bottom"/>
          </w:tcPr>
          <w:p w14:paraId="74301248"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7:</w:t>
            </w:r>
          </w:p>
        </w:tc>
        <w:tc>
          <w:tcPr>
            <w:tcW w:w="1865" w:type="pct"/>
            <w:shd w:val="clear" w:color="auto" w:fill="auto"/>
            <w:tcMar>
              <w:right w:w="567" w:type="dxa"/>
            </w:tcMar>
            <w:vAlign w:val="center"/>
          </w:tcPr>
          <w:p w14:paraId="733A46B8"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Kurumsal alacaklar</w:t>
            </w:r>
          </w:p>
        </w:tc>
        <w:tc>
          <w:tcPr>
            <w:tcW w:w="252" w:type="pct"/>
            <w:shd w:val="clear" w:color="auto" w:fill="auto"/>
            <w:tcMar>
              <w:right w:w="57" w:type="dxa"/>
            </w:tcMar>
            <w:vAlign w:val="bottom"/>
          </w:tcPr>
          <w:p w14:paraId="1DB7F6B5"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16:</w:t>
            </w:r>
          </w:p>
        </w:tc>
        <w:tc>
          <w:tcPr>
            <w:tcW w:w="2629" w:type="pct"/>
            <w:shd w:val="clear" w:color="auto" w:fill="auto"/>
            <w:tcMar>
              <w:right w:w="284" w:type="dxa"/>
            </w:tcMar>
            <w:vAlign w:val="center"/>
          </w:tcPr>
          <w:p w14:paraId="35804CF4"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Diğer alacaklar</w:t>
            </w:r>
          </w:p>
        </w:tc>
      </w:tr>
      <w:tr w:rsidR="00D1663E" w:rsidRPr="00FB38E1" w14:paraId="08FC8029" w14:textId="77777777" w:rsidTr="00836EF2">
        <w:tc>
          <w:tcPr>
            <w:tcW w:w="254" w:type="pct"/>
            <w:shd w:val="clear" w:color="auto" w:fill="auto"/>
            <w:tcMar>
              <w:right w:w="57" w:type="dxa"/>
            </w:tcMar>
            <w:vAlign w:val="bottom"/>
          </w:tcPr>
          <w:p w14:paraId="3F9DCEBE"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8:</w:t>
            </w:r>
          </w:p>
        </w:tc>
        <w:tc>
          <w:tcPr>
            <w:tcW w:w="1865" w:type="pct"/>
            <w:shd w:val="clear" w:color="auto" w:fill="auto"/>
            <w:tcMar>
              <w:right w:w="567" w:type="dxa"/>
            </w:tcMar>
            <w:vAlign w:val="center"/>
          </w:tcPr>
          <w:p w14:paraId="241134C7"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Perakende alacaklar</w:t>
            </w:r>
          </w:p>
        </w:tc>
        <w:tc>
          <w:tcPr>
            <w:tcW w:w="252" w:type="pct"/>
            <w:shd w:val="clear" w:color="auto" w:fill="auto"/>
            <w:tcMar>
              <w:right w:w="57" w:type="dxa"/>
            </w:tcMar>
            <w:vAlign w:val="bottom"/>
          </w:tcPr>
          <w:p w14:paraId="43228365"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17:</w:t>
            </w:r>
          </w:p>
        </w:tc>
        <w:tc>
          <w:tcPr>
            <w:tcW w:w="2629" w:type="pct"/>
            <w:shd w:val="clear" w:color="auto" w:fill="auto"/>
            <w:tcMar>
              <w:right w:w="284" w:type="dxa"/>
            </w:tcMar>
            <w:vAlign w:val="center"/>
          </w:tcPr>
          <w:p w14:paraId="1E179003" w14:textId="77777777" w:rsidR="00D1663E" w:rsidRPr="00FB38E1" w:rsidRDefault="00D1663E" w:rsidP="00836EF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Hisse senedi yatırımları</w:t>
            </w:r>
          </w:p>
        </w:tc>
      </w:tr>
      <w:tr w:rsidR="00D1663E" w:rsidRPr="00FB38E1" w14:paraId="30D7A958" w14:textId="77777777" w:rsidTr="00836EF2">
        <w:tc>
          <w:tcPr>
            <w:tcW w:w="254" w:type="pct"/>
            <w:shd w:val="clear" w:color="auto" w:fill="auto"/>
            <w:tcMar>
              <w:right w:w="57" w:type="dxa"/>
            </w:tcMar>
            <w:vAlign w:val="bottom"/>
          </w:tcPr>
          <w:p w14:paraId="59CD59CB"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9:</w:t>
            </w:r>
          </w:p>
        </w:tc>
        <w:tc>
          <w:tcPr>
            <w:tcW w:w="1865" w:type="pct"/>
            <w:shd w:val="clear" w:color="auto" w:fill="auto"/>
            <w:tcMar>
              <w:right w:w="567" w:type="dxa"/>
            </w:tcMar>
            <w:vAlign w:val="center"/>
          </w:tcPr>
          <w:p w14:paraId="35FAA3BA"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İkamet amaçlı gayrimenkul ipoteği ile teminatlandırılan alacaklar</w:t>
            </w:r>
          </w:p>
        </w:tc>
        <w:tc>
          <w:tcPr>
            <w:tcW w:w="252" w:type="pct"/>
            <w:shd w:val="clear" w:color="auto" w:fill="auto"/>
            <w:tcMar>
              <w:right w:w="57" w:type="dxa"/>
            </w:tcMar>
            <w:vAlign w:val="bottom"/>
          </w:tcPr>
          <w:p w14:paraId="6B67EE62"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p>
        </w:tc>
        <w:tc>
          <w:tcPr>
            <w:tcW w:w="2629" w:type="pct"/>
            <w:shd w:val="clear" w:color="auto" w:fill="auto"/>
            <w:tcMar>
              <w:right w:w="284" w:type="dxa"/>
            </w:tcMar>
            <w:vAlign w:val="bottom"/>
          </w:tcPr>
          <w:p w14:paraId="0D312150" w14:textId="77777777" w:rsidR="00D1663E" w:rsidRPr="00FB38E1" w:rsidRDefault="00D1663E" w:rsidP="00836EF2">
            <w:pPr>
              <w:rPr>
                <w:rFonts w:ascii="Microsoft Sans Serif" w:hAnsi="Microsoft Sans Serif" w:cs="Microsoft Sans Serif"/>
                <w:b/>
                <w:color w:val="404040" w:themeColor="text1" w:themeTint="BF"/>
                <w:sz w:val="16"/>
                <w:szCs w:val="16"/>
              </w:rPr>
            </w:pPr>
          </w:p>
        </w:tc>
      </w:tr>
    </w:tbl>
    <w:p w14:paraId="5C88600C" w14:textId="77777777" w:rsidR="00D1663E" w:rsidRPr="00FB38E1" w:rsidRDefault="00D1663E" w:rsidP="00D1663E">
      <w:pPr>
        <w:pStyle w:val="ListParagraph"/>
        <w:spacing w:before="120" w:line="360" w:lineRule="auto"/>
        <w:ind w:left="-85"/>
        <w:rPr>
          <w:rFonts w:ascii="Microsoft Sans Serif" w:hAnsi="Microsoft Sans Serif" w:cs="Microsoft Sans Serif"/>
          <w:bCs/>
          <w:iCs/>
          <w:color w:val="404040" w:themeColor="text1" w:themeTint="BF"/>
          <w:position w:val="6"/>
          <w:sz w:val="16"/>
          <w:szCs w:val="16"/>
        </w:rPr>
      </w:pPr>
      <w:r w:rsidRPr="00FB38E1">
        <w:rPr>
          <w:rFonts w:ascii="Microsoft Sans Serif" w:hAnsi="Microsoft Sans Serif" w:cs="Microsoft Sans Serif"/>
          <w:bCs/>
          <w:iCs/>
          <w:color w:val="404040" w:themeColor="text1" w:themeTint="BF"/>
          <w:position w:val="6"/>
          <w:sz w:val="16"/>
          <w:szCs w:val="16"/>
        </w:rPr>
        <w:t>(**) Kredi riski azaltımı öncesi, krediye dönüşüm oranı sonrası risk tutarları verilmiştir.</w:t>
      </w:r>
    </w:p>
    <w:p w14:paraId="76D98658" w14:textId="77777777" w:rsidR="00D1663E" w:rsidRPr="00FB38E1" w:rsidRDefault="00D1663E" w:rsidP="00D1663E">
      <w:pPr>
        <w:pStyle w:val="ListParagraph"/>
        <w:spacing w:before="120" w:line="360" w:lineRule="auto"/>
        <w:ind w:left="-85"/>
        <w:rPr>
          <w:rFonts w:ascii="Microsoft Sans Serif" w:hAnsi="Microsoft Sans Serif" w:cs="Microsoft Sans Serif"/>
          <w:bCs/>
          <w:iCs/>
          <w:color w:val="404040" w:themeColor="text1" w:themeTint="BF"/>
          <w:position w:val="6"/>
          <w:sz w:val="16"/>
          <w:szCs w:val="16"/>
        </w:rPr>
      </w:pPr>
      <w:r w:rsidRPr="00FB38E1">
        <w:rPr>
          <w:rFonts w:ascii="Microsoft Sans Serif" w:hAnsi="Microsoft Sans Serif" w:cs="Microsoft Sans Serif"/>
          <w:bCs/>
          <w:iCs/>
          <w:color w:val="404040" w:themeColor="text1" w:themeTint="BF"/>
          <w:position w:val="6"/>
          <w:sz w:val="16"/>
          <w:szCs w:val="16"/>
        </w:rPr>
        <w:br w:type="page"/>
      </w:r>
    </w:p>
    <w:tbl>
      <w:tblPr>
        <w:tblStyle w:val="TableGrid"/>
        <w:tblW w:w="1445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04"/>
        <w:gridCol w:w="833"/>
        <w:gridCol w:w="806"/>
        <w:gridCol w:w="649"/>
        <w:gridCol w:w="517"/>
        <w:gridCol w:w="364"/>
        <w:gridCol w:w="728"/>
        <w:gridCol w:w="795"/>
        <w:gridCol w:w="795"/>
        <w:gridCol w:w="716"/>
        <w:gridCol w:w="728"/>
        <w:gridCol w:w="659"/>
        <w:gridCol w:w="248"/>
        <w:gridCol w:w="248"/>
        <w:gridCol w:w="248"/>
        <w:gridCol w:w="482"/>
        <w:gridCol w:w="728"/>
        <w:gridCol w:w="729"/>
        <w:gridCol w:w="796"/>
        <w:gridCol w:w="796"/>
        <w:gridCol w:w="790"/>
      </w:tblGrid>
      <w:tr w:rsidR="00D1663E" w:rsidRPr="00FB38E1" w14:paraId="56C31389" w14:textId="77777777" w:rsidTr="001B6DB1">
        <w:tc>
          <w:tcPr>
            <w:tcW w:w="627" w:type="pct"/>
            <w:tcBorders>
              <w:top w:val="thinThickSmallGap" w:sz="24" w:space="0" w:color="auto"/>
              <w:bottom w:val="nil"/>
            </w:tcBorders>
            <w:vAlign w:val="center"/>
          </w:tcPr>
          <w:p w14:paraId="1203E3F2" w14:textId="77777777" w:rsidR="00D1663E" w:rsidRPr="00FB38E1" w:rsidRDefault="00D1663E" w:rsidP="00836EF2">
            <w:pPr>
              <w:rPr>
                <w:rFonts w:ascii="Microsoft Sans Serif" w:hAnsi="Microsoft Sans Serif" w:cs="Microsoft Sans Serif"/>
                <w:b/>
                <w:color w:val="000000"/>
                <w:sz w:val="12"/>
                <w:szCs w:val="12"/>
              </w:rPr>
            </w:pPr>
          </w:p>
        </w:tc>
        <w:tc>
          <w:tcPr>
            <w:tcW w:w="3539" w:type="pct"/>
            <w:gridSpan w:val="17"/>
            <w:tcBorders>
              <w:top w:val="thinThickSmallGap" w:sz="24" w:space="0" w:color="auto"/>
              <w:left w:val="nil"/>
              <w:bottom w:val="single" w:sz="4" w:space="0" w:color="auto"/>
            </w:tcBorders>
            <w:shd w:val="clear" w:color="auto" w:fill="auto"/>
            <w:vAlign w:val="bottom"/>
          </w:tcPr>
          <w:p w14:paraId="3A4C65B3" w14:textId="77777777" w:rsidR="00D1663E" w:rsidRPr="00FB38E1" w:rsidRDefault="00D1663E" w:rsidP="00836EF2">
            <w:pPr>
              <w:jc w:val="center"/>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Risk Sınıfları (*)(**)</w:t>
            </w:r>
          </w:p>
        </w:tc>
        <w:tc>
          <w:tcPr>
            <w:tcW w:w="278" w:type="pct"/>
            <w:tcBorders>
              <w:top w:val="thinThickSmallGap" w:sz="24" w:space="0" w:color="auto"/>
              <w:bottom w:val="nil"/>
            </w:tcBorders>
          </w:tcPr>
          <w:p w14:paraId="1FE65301" w14:textId="77777777" w:rsidR="00D1663E" w:rsidRPr="00FB38E1" w:rsidRDefault="00D1663E" w:rsidP="00836EF2">
            <w:pPr>
              <w:jc w:val="center"/>
              <w:rPr>
                <w:rFonts w:ascii="Microsoft Sans Serif" w:hAnsi="Microsoft Sans Serif" w:cs="Microsoft Sans Serif"/>
                <w:b/>
                <w:bCs/>
                <w:color w:val="000000"/>
                <w:sz w:val="12"/>
                <w:szCs w:val="12"/>
              </w:rPr>
            </w:pPr>
          </w:p>
        </w:tc>
        <w:tc>
          <w:tcPr>
            <w:tcW w:w="278" w:type="pct"/>
            <w:tcBorders>
              <w:top w:val="thinThickSmallGap" w:sz="24" w:space="0" w:color="auto"/>
              <w:bottom w:val="nil"/>
            </w:tcBorders>
          </w:tcPr>
          <w:p w14:paraId="620B1212" w14:textId="77777777" w:rsidR="00D1663E" w:rsidRPr="00FB38E1" w:rsidRDefault="00D1663E" w:rsidP="00836EF2">
            <w:pPr>
              <w:jc w:val="center"/>
              <w:rPr>
                <w:rFonts w:ascii="Microsoft Sans Serif" w:hAnsi="Microsoft Sans Serif" w:cs="Microsoft Sans Serif"/>
                <w:b/>
                <w:bCs/>
                <w:color w:val="000000"/>
                <w:sz w:val="12"/>
                <w:szCs w:val="12"/>
              </w:rPr>
            </w:pPr>
          </w:p>
        </w:tc>
        <w:tc>
          <w:tcPr>
            <w:tcW w:w="278" w:type="pct"/>
            <w:tcBorders>
              <w:top w:val="thinThickSmallGap" w:sz="24" w:space="0" w:color="auto"/>
              <w:bottom w:val="nil"/>
            </w:tcBorders>
            <w:vAlign w:val="bottom"/>
          </w:tcPr>
          <w:p w14:paraId="5DC12C08" w14:textId="77777777" w:rsidR="00D1663E" w:rsidRPr="00FB38E1" w:rsidRDefault="00D1663E" w:rsidP="00836EF2">
            <w:pPr>
              <w:jc w:val="center"/>
              <w:rPr>
                <w:rFonts w:ascii="Microsoft Sans Serif" w:hAnsi="Microsoft Sans Serif" w:cs="Microsoft Sans Serif"/>
                <w:b/>
                <w:bCs/>
                <w:color w:val="000000"/>
                <w:sz w:val="12"/>
                <w:szCs w:val="12"/>
              </w:rPr>
            </w:pPr>
          </w:p>
        </w:tc>
      </w:tr>
      <w:tr w:rsidR="00D1663E" w:rsidRPr="00FB38E1" w14:paraId="716C1660" w14:textId="77777777" w:rsidTr="001B6DB1">
        <w:tc>
          <w:tcPr>
            <w:tcW w:w="627" w:type="pct"/>
            <w:tcBorders>
              <w:top w:val="nil"/>
              <w:bottom w:val="single" w:sz="4" w:space="0" w:color="auto"/>
            </w:tcBorders>
            <w:vAlign w:val="center"/>
          </w:tcPr>
          <w:p w14:paraId="14D14670" w14:textId="43C9DD07"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b/>
                <w:color w:val="000000"/>
                <w:sz w:val="12"/>
                <w:szCs w:val="12"/>
              </w:rPr>
              <w:t>Cari Dönem: 31 Aralık 2023</w:t>
            </w:r>
          </w:p>
        </w:tc>
        <w:tc>
          <w:tcPr>
            <w:tcW w:w="291" w:type="pct"/>
            <w:tcBorders>
              <w:top w:val="single" w:sz="4" w:space="0" w:color="auto"/>
              <w:left w:val="nil"/>
              <w:bottom w:val="single" w:sz="4" w:space="0" w:color="auto"/>
              <w:right w:val="nil"/>
            </w:tcBorders>
            <w:shd w:val="clear" w:color="auto" w:fill="auto"/>
            <w:vAlign w:val="bottom"/>
          </w:tcPr>
          <w:p w14:paraId="3B87FE18" w14:textId="23585B4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w:t>
            </w:r>
          </w:p>
        </w:tc>
        <w:tc>
          <w:tcPr>
            <w:tcW w:w="282" w:type="pct"/>
            <w:tcBorders>
              <w:top w:val="single" w:sz="4" w:space="0" w:color="auto"/>
              <w:bottom w:val="single" w:sz="4" w:space="0" w:color="auto"/>
            </w:tcBorders>
          </w:tcPr>
          <w:p w14:paraId="6B2BBC87" w14:textId="31D4CD9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2</w:t>
            </w:r>
          </w:p>
        </w:tc>
        <w:tc>
          <w:tcPr>
            <w:tcW w:w="182" w:type="pct"/>
            <w:tcBorders>
              <w:top w:val="single" w:sz="4" w:space="0" w:color="auto"/>
              <w:bottom w:val="single" w:sz="4" w:space="0" w:color="auto"/>
            </w:tcBorders>
          </w:tcPr>
          <w:p w14:paraId="07EC70C5" w14:textId="44BAADC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3</w:t>
            </w:r>
          </w:p>
        </w:tc>
        <w:tc>
          <w:tcPr>
            <w:tcW w:w="182" w:type="pct"/>
            <w:tcBorders>
              <w:top w:val="single" w:sz="4" w:space="0" w:color="auto"/>
              <w:bottom w:val="single" w:sz="4" w:space="0" w:color="auto"/>
            </w:tcBorders>
          </w:tcPr>
          <w:p w14:paraId="14AEF46F" w14:textId="3349D49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4</w:t>
            </w:r>
          </w:p>
        </w:tc>
        <w:tc>
          <w:tcPr>
            <w:tcW w:w="129" w:type="pct"/>
            <w:tcBorders>
              <w:top w:val="single" w:sz="4" w:space="0" w:color="auto"/>
              <w:bottom w:val="single" w:sz="4" w:space="0" w:color="auto"/>
            </w:tcBorders>
          </w:tcPr>
          <w:p w14:paraId="16E40903" w14:textId="389D85D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5</w:t>
            </w:r>
          </w:p>
        </w:tc>
        <w:tc>
          <w:tcPr>
            <w:tcW w:w="255" w:type="pct"/>
            <w:tcBorders>
              <w:top w:val="single" w:sz="4" w:space="0" w:color="auto"/>
              <w:bottom w:val="single" w:sz="4" w:space="0" w:color="auto"/>
            </w:tcBorders>
          </w:tcPr>
          <w:p w14:paraId="453A84E4" w14:textId="3B8C2B6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6</w:t>
            </w:r>
          </w:p>
        </w:tc>
        <w:tc>
          <w:tcPr>
            <w:tcW w:w="278" w:type="pct"/>
            <w:tcBorders>
              <w:top w:val="single" w:sz="4" w:space="0" w:color="auto"/>
              <w:bottom w:val="single" w:sz="4" w:space="0" w:color="auto"/>
            </w:tcBorders>
          </w:tcPr>
          <w:p w14:paraId="7108FFA2" w14:textId="5B6C924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7</w:t>
            </w:r>
          </w:p>
        </w:tc>
        <w:tc>
          <w:tcPr>
            <w:tcW w:w="278" w:type="pct"/>
            <w:tcBorders>
              <w:top w:val="single" w:sz="4" w:space="0" w:color="auto"/>
              <w:bottom w:val="single" w:sz="4" w:space="0" w:color="auto"/>
            </w:tcBorders>
          </w:tcPr>
          <w:p w14:paraId="0143DDC5" w14:textId="63E71EC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8</w:t>
            </w:r>
          </w:p>
        </w:tc>
        <w:tc>
          <w:tcPr>
            <w:tcW w:w="231" w:type="pct"/>
            <w:tcBorders>
              <w:top w:val="single" w:sz="4" w:space="0" w:color="auto"/>
              <w:bottom w:val="single" w:sz="4" w:space="0" w:color="auto"/>
            </w:tcBorders>
          </w:tcPr>
          <w:p w14:paraId="239F820B" w14:textId="67ADCA4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9</w:t>
            </w:r>
          </w:p>
        </w:tc>
        <w:tc>
          <w:tcPr>
            <w:tcW w:w="255" w:type="pct"/>
            <w:tcBorders>
              <w:top w:val="single" w:sz="4" w:space="0" w:color="auto"/>
              <w:bottom w:val="single" w:sz="4" w:space="0" w:color="auto"/>
            </w:tcBorders>
          </w:tcPr>
          <w:p w14:paraId="394CB1AB" w14:textId="629C01C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10</w:t>
            </w:r>
          </w:p>
        </w:tc>
        <w:tc>
          <w:tcPr>
            <w:tcW w:w="231" w:type="pct"/>
            <w:tcBorders>
              <w:top w:val="single" w:sz="4" w:space="0" w:color="auto"/>
              <w:bottom w:val="single" w:sz="4" w:space="0" w:color="auto"/>
            </w:tcBorders>
          </w:tcPr>
          <w:p w14:paraId="4E48D203" w14:textId="1E58967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11</w:t>
            </w:r>
          </w:p>
        </w:tc>
        <w:tc>
          <w:tcPr>
            <w:tcW w:w="88" w:type="pct"/>
            <w:tcBorders>
              <w:top w:val="single" w:sz="4" w:space="0" w:color="auto"/>
              <w:bottom w:val="single" w:sz="4" w:space="0" w:color="auto"/>
            </w:tcBorders>
          </w:tcPr>
          <w:p w14:paraId="5AAD9A00" w14:textId="43CC570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12</w:t>
            </w:r>
          </w:p>
        </w:tc>
        <w:tc>
          <w:tcPr>
            <w:tcW w:w="88" w:type="pct"/>
            <w:tcBorders>
              <w:top w:val="single" w:sz="4" w:space="0" w:color="auto"/>
              <w:bottom w:val="single" w:sz="4" w:space="0" w:color="auto"/>
            </w:tcBorders>
          </w:tcPr>
          <w:p w14:paraId="50F9D4D4" w14:textId="22DD4C5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13</w:t>
            </w:r>
          </w:p>
        </w:tc>
        <w:tc>
          <w:tcPr>
            <w:tcW w:w="90" w:type="pct"/>
            <w:tcBorders>
              <w:top w:val="single" w:sz="4" w:space="0" w:color="auto"/>
              <w:bottom w:val="single" w:sz="4" w:space="0" w:color="auto"/>
            </w:tcBorders>
          </w:tcPr>
          <w:p w14:paraId="1B66B943" w14:textId="2F8708B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14</w:t>
            </w:r>
          </w:p>
        </w:tc>
        <w:tc>
          <w:tcPr>
            <w:tcW w:w="171" w:type="pct"/>
            <w:tcBorders>
              <w:top w:val="single" w:sz="4" w:space="0" w:color="auto"/>
              <w:bottom w:val="single" w:sz="4" w:space="0" w:color="auto"/>
            </w:tcBorders>
          </w:tcPr>
          <w:p w14:paraId="4EDDF690" w14:textId="692EFDF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15</w:t>
            </w:r>
          </w:p>
        </w:tc>
        <w:tc>
          <w:tcPr>
            <w:tcW w:w="255" w:type="pct"/>
            <w:tcBorders>
              <w:top w:val="single" w:sz="4" w:space="0" w:color="auto"/>
              <w:bottom w:val="single" w:sz="4" w:space="0" w:color="auto"/>
            </w:tcBorders>
          </w:tcPr>
          <w:p w14:paraId="3448C722" w14:textId="55666D7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16</w:t>
            </w:r>
          </w:p>
        </w:tc>
        <w:tc>
          <w:tcPr>
            <w:tcW w:w="255" w:type="pct"/>
            <w:tcBorders>
              <w:top w:val="single" w:sz="4" w:space="0" w:color="auto"/>
              <w:bottom w:val="single" w:sz="4" w:space="0" w:color="auto"/>
            </w:tcBorders>
          </w:tcPr>
          <w:p w14:paraId="670C2E81" w14:textId="6C4B271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17</w:t>
            </w:r>
          </w:p>
        </w:tc>
        <w:tc>
          <w:tcPr>
            <w:tcW w:w="278" w:type="pct"/>
            <w:tcBorders>
              <w:top w:val="nil"/>
              <w:bottom w:val="single" w:sz="4" w:space="0" w:color="auto"/>
            </w:tcBorders>
          </w:tcPr>
          <w:p w14:paraId="5960EBD2" w14:textId="0A8CEAAA" w:rsidR="00D1663E" w:rsidRPr="00FB38E1" w:rsidRDefault="00D1663E" w:rsidP="00D1663E">
            <w:pPr>
              <w:jc w:val="center"/>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TL</w:t>
            </w:r>
          </w:p>
        </w:tc>
        <w:tc>
          <w:tcPr>
            <w:tcW w:w="278" w:type="pct"/>
            <w:tcBorders>
              <w:top w:val="nil"/>
              <w:bottom w:val="single" w:sz="4" w:space="0" w:color="auto"/>
            </w:tcBorders>
          </w:tcPr>
          <w:p w14:paraId="7643B2C6" w14:textId="09754911" w:rsidR="00D1663E" w:rsidRPr="00FB38E1" w:rsidRDefault="00D1663E" w:rsidP="00D1663E">
            <w:pPr>
              <w:jc w:val="center"/>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YP</w:t>
            </w:r>
          </w:p>
        </w:tc>
        <w:tc>
          <w:tcPr>
            <w:tcW w:w="278" w:type="pct"/>
            <w:tcBorders>
              <w:top w:val="nil"/>
              <w:bottom w:val="single" w:sz="4" w:space="0" w:color="auto"/>
            </w:tcBorders>
            <w:vAlign w:val="bottom"/>
          </w:tcPr>
          <w:p w14:paraId="1E2E4DD1" w14:textId="30B40D6F" w:rsidR="00D1663E" w:rsidRPr="00FB38E1" w:rsidRDefault="00D1663E" w:rsidP="00D1663E">
            <w:pPr>
              <w:jc w:val="center"/>
              <w:rPr>
                <w:rFonts w:ascii="Microsoft Sans Serif" w:hAnsi="Microsoft Sans Serif" w:cs="Microsoft Sans Serif"/>
                <w:color w:val="404040"/>
                <w:sz w:val="12"/>
                <w:szCs w:val="12"/>
              </w:rPr>
            </w:pPr>
            <w:r w:rsidRPr="00FB38E1">
              <w:rPr>
                <w:rFonts w:ascii="Microsoft Sans Serif" w:hAnsi="Microsoft Sans Serif" w:cs="Microsoft Sans Serif"/>
                <w:b/>
                <w:bCs/>
                <w:color w:val="000000"/>
                <w:sz w:val="12"/>
                <w:szCs w:val="12"/>
              </w:rPr>
              <w:t>Toplam</w:t>
            </w:r>
          </w:p>
        </w:tc>
      </w:tr>
      <w:tr w:rsidR="00D1663E" w:rsidRPr="00FB38E1" w14:paraId="4937BB52" w14:textId="77777777" w:rsidTr="001B6DB1">
        <w:tc>
          <w:tcPr>
            <w:tcW w:w="627" w:type="pct"/>
            <w:tcBorders>
              <w:top w:val="single" w:sz="4" w:space="0" w:color="auto"/>
            </w:tcBorders>
            <w:vAlign w:val="center"/>
          </w:tcPr>
          <w:p w14:paraId="5AA35DB4" w14:textId="2F3A4B32" w:rsidR="00D1663E" w:rsidRPr="00FB38E1" w:rsidRDefault="00D1663E" w:rsidP="00D1663E">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Tarım</w:t>
            </w:r>
          </w:p>
        </w:tc>
        <w:tc>
          <w:tcPr>
            <w:tcW w:w="291" w:type="pct"/>
            <w:tcBorders>
              <w:top w:val="single" w:sz="4" w:space="0" w:color="auto"/>
              <w:left w:val="nil"/>
              <w:bottom w:val="nil"/>
              <w:right w:val="nil"/>
            </w:tcBorders>
            <w:shd w:val="clear" w:color="auto" w:fill="auto"/>
            <w:vAlign w:val="center"/>
          </w:tcPr>
          <w:p w14:paraId="484EB3E8" w14:textId="07436E7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2.357.987</w:t>
            </w:r>
          </w:p>
        </w:tc>
        <w:tc>
          <w:tcPr>
            <w:tcW w:w="282" w:type="pct"/>
            <w:tcBorders>
              <w:top w:val="single" w:sz="4" w:space="0" w:color="auto"/>
            </w:tcBorders>
            <w:vAlign w:val="center"/>
          </w:tcPr>
          <w:p w14:paraId="0E58AC3E" w14:textId="7EB88BA1"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82" w:type="pct"/>
            <w:tcBorders>
              <w:top w:val="single" w:sz="4" w:space="0" w:color="auto"/>
            </w:tcBorders>
            <w:vAlign w:val="center"/>
          </w:tcPr>
          <w:p w14:paraId="7AD47BA5" w14:textId="6D7214D6"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5.889.724</w:t>
            </w:r>
          </w:p>
        </w:tc>
        <w:tc>
          <w:tcPr>
            <w:tcW w:w="182" w:type="pct"/>
            <w:tcBorders>
              <w:top w:val="single" w:sz="4" w:space="0" w:color="auto"/>
            </w:tcBorders>
            <w:vAlign w:val="center"/>
          </w:tcPr>
          <w:p w14:paraId="449860D4" w14:textId="3E8015D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29" w:type="pct"/>
            <w:tcBorders>
              <w:top w:val="single" w:sz="4" w:space="0" w:color="auto"/>
            </w:tcBorders>
            <w:vAlign w:val="center"/>
          </w:tcPr>
          <w:p w14:paraId="24C77078" w14:textId="6A5AFE86"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5" w:type="pct"/>
            <w:tcBorders>
              <w:top w:val="single" w:sz="4" w:space="0" w:color="auto"/>
            </w:tcBorders>
            <w:vAlign w:val="center"/>
          </w:tcPr>
          <w:p w14:paraId="12328210" w14:textId="1030C121"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8" w:type="pct"/>
            <w:tcBorders>
              <w:top w:val="single" w:sz="4" w:space="0" w:color="auto"/>
            </w:tcBorders>
            <w:vAlign w:val="center"/>
          </w:tcPr>
          <w:p w14:paraId="36B46AD1" w14:textId="45622307"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6.241.942</w:t>
            </w:r>
          </w:p>
        </w:tc>
        <w:tc>
          <w:tcPr>
            <w:tcW w:w="278" w:type="pct"/>
            <w:tcBorders>
              <w:top w:val="single" w:sz="4" w:space="0" w:color="auto"/>
            </w:tcBorders>
            <w:vAlign w:val="center"/>
          </w:tcPr>
          <w:p w14:paraId="4272A6F2" w14:textId="0B305EC4"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20.278.544</w:t>
            </w:r>
          </w:p>
        </w:tc>
        <w:tc>
          <w:tcPr>
            <w:tcW w:w="231" w:type="pct"/>
            <w:tcBorders>
              <w:top w:val="single" w:sz="4" w:space="0" w:color="auto"/>
            </w:tcBorders>
            <w:vAlign w:val="center"/>
          </w:tcPr>
          <w:p w14:paraId="437B75A5" w14:textId="5AF0C08F"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798.211</w:t>
            </w:r>
          </w:p>
        </w:tc>
        <w:tc>
          <w:tcPr>
            <w:tcW w:w="255" w:type="pct"/>
            <w:tcBorders>
              <w:top w:val="single" w:sz="4" w:space="0" w:color="auto"/>
            </w:tcBorders>
            <w:vAlign w:val="center"/>
          </w:tcPr>
          <w:p w14:paraId="725D0BB6" w14:textId="7498E367"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4.482.027</w:t>
            </w:r>
          </w:p>
        </w:tc>
        <w:tc>
          <w:tcPr>
            <w:tcW w:w="231" w:type="pct"/>
            <w:tcBorders>
              <w:top w:val="single" w:sz="4" w:space="0" w:color="auto"/>
            </w:tcBorders>
            <w:vAlign w:val="center"/>
          </w:tcPr>
          <w:p w14:paraId="76973DF9" w14:textId="72DF72C0"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54.744</w:t>
            </w:r>
          </w:p>
        </w:tc>
        <w:tc>
          <w:tcPr>
            <w:tcW w:w="88" w:type="pct"/>
            <w:tcBorders>
              <w:top w:val="single" w:sz="4" w:space="0" w:color="auto"/>
            </w:tcBorders>
            <w:vAlign w:val="center"/>
          </w:tcPr>
          <w:p w14:paraId="23317936" w14:textId="5ED847C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8" w:type="pct"/>
            <w:tcBorders>
              <w:top w:val="single" w:sz="4" w:space="0" w:color="auto"/>
            </w:tcBorders>
            <w:vAlign w:val="center"/>
          </w:tcPr>
          <w:p w14:paraId="3C03DAEB" w14:textId="61A1CBBC"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90" w:type="pct"/>
            <w:tcBorders>
              <w:top w:val="single" w:sz="4" w:space="0" w:color="auto"/>
            </w:tcBorders>
            <w:vAlign w:val="center"/>
          </w:tcPr>
          <w:p w14:paraId="7AF23C17" w14:textId="20A4D74D"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71" w:type="pct"/>
            <w:tcBorders>
              <w:top w:val="single" w:sz="4" w:space="0" w:color="auto"/>
            </w:tcBorders>
            <w:vAlign w:val="center"/>
          </w:tcPr>
          <w:p w14:paraId="39F82C93" w14:textId="4CA2DD19"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5" w:type="pct"/>
            <w:tcBorders>
              <w:top w:val="single" w:sz="4" w:space="0" w:color="auto"/>
            </w:tcBorders>
            <w:vAlign w:val="center"/>
          </w:tcPr>
          <w:p w14:paraId="00D2E4BD" w14:textId="358D4CDA"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67</w:t>
            </w:r>
          </w:p>
        </w:tc>
        <w:tc>
          <w:tcPr>
            <w:tcW w:w="255" w:type="pct"/>
            <w:tcBorders>
              <w:top w:val="single" w:sz="4" w:space="0" w:color="auto"/>
            </w:tcBorders>
            <w:vAlign w:val="center"/>
          </w:tcPr>
          <w:p w14:paraId="359DD843" w14:textId="4C1A76AF"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8" w:type="pct"/>
            <w:tcBorders>
              <w:top w:val="single" w:sz="4" w:space="0" w:color="auto"/>
            </w:tcBorders>
            <w:vAlign w:val="center"/>
          </w:tcPr>
          <w:p w14:paraId="037E65A0" w14:textId="1A5E31AA"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37.550.376</w:t>
            </w:r>
          </w:p>
        </w:tc>
        <w:tc>
          <w:tcPr>
            <w:tcW w:w="278" w:type="pct"/>
            <w:tcBorders>
              <w:top w:val="single" w:sz="4" w:space="0" w:color="auto"/>
            </w:tcBorders>
            <w:vAlign w:val="center"/>
          </w:tcPr>
          <w:p w14:paraId="230D5D8E" w14:textId="70535B00"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2.552.870</w:t>
            </w:r>
          </w:p>
        </w:tc>
        <w:tc>
          <w:tcPr>
            <w:tcW w:w="278" w:type="pct"/>
            <w:tcBorders>
              <w:top w:val="single" w:sz="4" w:space="0" w:color="auto"/>
            </w:tcBorders>
            <w:vAlign w:val="center"/>
          </w:tcPr>
          <w:p w14:paraId="52CACD6D" w14:textId="7B3BA8FB"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40.103.246</w:t>
            </w:r>
          </w:p>
        </w:tc>
      </w:tr>
      <w:tr w:rsidR="00D1663E" w:rsidRPr="00FB38E1" w14:paraId="3B57C76D" w14:textId="77777777" w:rsidTr="001B6DB1">
        <w:tc>
          <w:tcPr>
            <w:tcW w:w="627" w:type="pct"/>
            <w:tcMar>
              <w:left w:w="170" w:type="dxa"/>
            </w:tcMar>
            <w:vAlign w:val="center"/>
          </w:tcPr>
          <w:p w14:paraId="7A1A01C4" w14:textId="25F629EA"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Çiftçilik ve Hayvancılık</w:t>
            </w:r>
          </w:p>
        </w:tc>
        <w:tc>
          <w:tcPr>
            <w:tcW w:w="291" w:type="pct"/>
            <w:tcBorders>
              <w:top w:val="nil"/>
              <w:left w:val="nil"/>
              <w:bottom w:val="nil"/>
              <w:right w:val="nil"/>
            </w:tcBorders>
            <w:shd w:val="clear" w:color="auto" w:fill="auto"/>
            <w:vAlign w:val="center"/>
          </w:tcPr>
          <w:p w14:paraId="52C2B942" w14:textId="39D9A9A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2.357.987</w:t>
            </w:r>
          </w:p>
        </w:tc>
        <w:tc>
          <w:tcPr>
            <w:tcW w:w="282" w:type="pct"/>
            <w:vAlign w:val="center"/>
          </w:tcPr>
          <w:p w14:paraId="1349F8F6" w14:textId="2F9E628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17E0C2FF" w14:textId="2FEDCA3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5.889.724</w:t>
            </w:r>
          </w:p>
        </w:tc>
        <w:tc>
          <w:tcPr>
            <w:tcW w:w="182" w:type="pct"/>
            <w:vAlign w:val="center"/>
          </w:tcPr>
          <w:p w14:paraId="24A56B02" w14:textId="5C95C73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7906F24E" w14:textId="2D1D8A1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1A8A9E96" w14:textId="7EA8639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52F2AAE5" w14:textId="7E313B4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5.969.926</w:t>
            </w:r>
          </w:p>
        </w:tc>
        <w:tc>
          <w:tcPr>
            <w:tcW w:w="278" w:type="pct"/>
            <w:vAlign w:val="center"/>
          </w:tcPr>
          <w:p w14:paraId="4292FB31" w14:textId="6055415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20.201.416</w:t>
            </w:r>
          </w:p>
        </w:tc>
        <w:tc>
          <w:tcPr>
            <w:tcW w:w="231" w:type="pct"/>
            <w:vAlign w:val="center"/>
          </w:tcPr>
          <w:p w14:paraId="1BBB6523" w14:textId="4ABA66B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792.559</w:t>
            </w:r>
          </w:p>
        </w:tc>
        <w:tc>
          <w:tcPr>
            <w:tcW w:w="255" w:type="pct"/>
            <w:vAlign w:val="center"/>
          </w:tcPr>
          <w:p w14:paraId="7F23BD7D" w14:textId="32AD1F3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4.463.940</w:t>
            </w:r>
          </w:p>
        </w:tc>
        <w:tc>
          <w:tcPr>
            <w:tcW w:w="231" w:type="pct"/>
            <w:vAlign w:val="center"/>
          </w:tcPr>
          <w:p w14:paraId="19295315" w14:textId="7853952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54.155</w:t>
            </w:r>
          </w:p>
        </w:tc>
        <w:tc>
          <w:tcPr>
            <w:tcW w:w="88" w:type="pct"/>
            <w:vAlign w:val="center"/>
          </w:tcPr>
          <w:p w14:paraId="61650B0B" w14:textId="37234CF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7C658A98" w14:textId="150B672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5E82F51C" w14:textId="0128C89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610211CE" w14:textId="4F566AA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771F57D" w14:textId="75FA7A1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67</w:t>
            </w:r>
          </w:p>
        </w:tc>
        <w:tc>
          <w:tcPr>
            <w:tcW w:w="255" w:type="pct"/>
            <w:vAlign w:val="center"/>
          </w:tcPr>
          <w:p w14:paraId="59E3743B" w14:textId="6AB9A75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05EEE1A4" w14:textId="19361F0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37.456.347</w:t>
            </w:r>
          </w:p>
        </w:tc>
        <w:tc>
          <w:tcPr>
            <w:tcW w:w="278" w:type="pct"/>
            <w:vAlign w:val="center"/>
          </w:tcPr>
          <w:p w14:paraId="3852FAC3" w14:textId="4805024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2.273.427</w:t>
            </w:r>
          </w:p>
        </w:tc>
        <w:tc>
          <w:tcPr>
            <w:tcW w:w="278" w:type="pct"/>
            <w:vAlign w:val="center"/>
          </w:tcPr>
          <w:p w14:paraId="626AEECB" w14:textId="253D9D3E"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39.729.774</w:t>
            </w:r>
          </w:p>
        </w:tc>
      </w:tr>
      <w:tr w:rsidR="00D1663E" w:rsidRPr="00FB38E1" w14:paraId="0BBF3858" w14:textId="77777777" w:rsidTr="001B6DB1">
        <w:tc>
          <w:tcPr>
            <w:tcW w:w="627" w:type="pct"/>
            <w:tcMar>
              <w:left w:w="170" w:type="dxa"/>
            </w:tcMar>
            <w:vAlign w:val="center"/>
          </w:tcPr>
          <w:p w14:paraId="318A66BB" w14:textId="14496531"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Ormancılık</w:t>
            </w:r>
          </w:p>
        </w:tc>
        <w:tc>
          <w:tcPr>
            <w:tcW w:w="291" w:type="pct"/>
            <w:tcBorders>
              <w:top w:val="nil"/>
              <w:left w:val="nil"/>
              <w:bottom w:val="nil"/>
              <w:right w:val="nil"/>
            </w:tcBorders>
            <w:shd w:val="clear" w:color="auto" w:fill="auto"/>
            <w:vAlign w:val="center"/>
          </w:tcPr>
          <w:p w14:paraId="2593EE60" w14:textId="675771B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372C9591" w14:textId="1E73FBC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4472BA76" w14:textId="4A15D73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00681218" w14:textId="4288C8D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338AD24D" w14:textId="32B226C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6FB2948F" w14:textId="728E54A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30FA3034" w14:textId="7820C10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09181748" w14:textId="0088E0D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17.388</w:t>
            </w:r>
          </w:p>
        </w:tc>
        <w:tc>
          <w:tcPr>
            <w:tcW w:w="231" w:type="pct"/>
            <w:vAlign w:val="center"/>
          </w:tcPr>
          <w:p w14:paraId="7C41D734" w14:textId="698E913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1.444</w:t>
            </w:r>
          </w:p>
        </w:tc>
        <w:tc>
          <w:tcPr>
            <w:tcW w:w="255" w:type="pct"/>
            <w:vAlign w:val="center"/>
          </w:tcPr>
          <w:p w14:paraId="04E9F2FC" w14:textId="660F98E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w:t>
            </w:r>
          </w:p>
        </w:tc>
        <w:tc>
          <w:tcPr>
            <w:tcW w:w="231" w:type="pct"/>
            <w:vAlign w:val="center"/>
          </w:tcPr>
          <w:p w14:paraId="1E1B6239" w14:textId="1CD1D7B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w:t>
            </w:r>
          </w:p>
        </w:tc>
        <w:tc>
          <w:tcPr>
            <w:tcW w:w="88" w:type="pct"/>
            <w:vAlign w:val="center"/>
          </w:tcPr>
          <w:p w14:paraId="1B93F2C9" w14:textId="5B72700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15D5C6D7" w14:textId="5DEF048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4539D3F6" w14:textId="4108F79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56856480" w14:textId="158DCD4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566D5E10" w14:textId="5E716C8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3CBE644E" w14:textId="607A521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6F1ACBAA" w14:textId="2E400BF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18.843</w:t>
            </w:r>
          </w:p>
        </w:tc>
        <w:tc>
          <w:tcPr>
            <w:tcW w:w="278" w:type="pct"/>
            <w:vAlign w:val="center"/>
          </w:tcPr>
          <w:p w14:paraId="720435F6" w14:textId="297F6EE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26970C4A" w14:textId="347A5CBD"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18.843</w:t>
            </w:r>
          </w:p>
        </w:tc>
      </w:tr>
      <w:tr w:rsidR="00D1663E" w:rsidRPr="00FB38E1" w14:paraId="099BB79E" w14:textId="77777777" w:rsidTr="001B6DB1">
        <w:tc>
          <w:tcPr>
            <w:tcW w:w="627" w:type="pct"/>
            <w:tcMar>
              <w:left w:w="170" w:type="dxa"/>
            </w:tcMar>
            <w:vAlign w:val="center"/>
          </w:tcPr>
          <w:p w14:paraId="41E14A0E" w14:textId="4100562D"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Balıkçılık</w:t>
            </w:r>
          </w:p>
        </w:tc>
        <w:tc>
          <w:tcPr>
            <w:tcW w:w="291" w:type="pct"/>
            <w:tcBorders>
              <w:top w:val="nil"/>
              <w:left w:val="nil"/>
              <w:bottom w:val="nil"/>
              <w:right w:val="nil"/>
            </w:tcBorders>
            <w:shd w:val="clear" w:color="auto" w:fill="auto"/>
            <w:vAlign w:val="center"/>
          </w:tcPr>
          <w:p w14:paraId="7AE2DCDD" w14:textId="4BFF870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6C400C0F" w14:textId="382E813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701B8C5D" w14:textId="3D6B79B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6BE4C1CB" w14:textId="79777CE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41EB8C3F" w14:textId="0062AC5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4701E56" w14:textId="2783857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5C488DBA" w14:textId="518E8F5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272.016</w:t>
            </w:r>
          </w:p>
        </w:tc>
        <w:tc>
          <w:tcPr>
            <w:tcW w:w="278" w:type="pct"/>
            <w:vAlign w:val="center"/>
          </w:tcPr>
          <w:p w14:paraId="6671F328" w14:textId="6A89F18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59.740</w:t>
            </w:r>
          </w:p>
        </w:tc>
        <w:tc>
          <w:tcPr>
            <w:tcW w:w="231" w:type="pct"/>
            <w:vAlign w:val="center"/>
          </w:tcPr>
          <w:p w14:paraId="3C8A3686" w14:textId="1B40A6B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4.208</w:t>
            </w:r>
          </w:p>
        </w:tc>
        <w:tc>
          <w:tcPr>
            <w:tcW w:w="255" w:type="pct"/>
            <w:vAlign w:val="center"/>
          </w:tcPr>
          <w:p w14:paraId="1D5A8939" w14:textId="1853717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18.077</w:t>
            </w:r>
          </w:p>
        </w:tc>
        <w:tc>
          <w:tcPr>
            <w:tcW w:w="231" w:type="pct"/>
            <w:vAlign w:val="center"/>
          </w:tcPr>
          <w:p w14:paraId="354F21AE" w14:textId="5BCAF7C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588</w:t>
            </w:r>
          </w:p>
        </w:tc>
        <w:tc>
          <w:tcPr>
            <w:tcW w:w="88" w:type="pct"/>
            <w:vAlign w:val="center"/>
          </w:tcPr>
          <w:p w14:paraId="37CBDF1C" w14:textId="7723DB8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233B1947" w14:textId="4091FC7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2D45860C" w14:textId="7CBB02A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5F343840" w14:textId="338E78B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15ECA6F" w14:textId="7A85C5C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5C8906B3" w14:textId="4CB63BC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0FD2DCF8" w14:textId="270BD44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75.186</w:t>
            </w:r>
          </w:p>
        </w:tc>
        <w:tc>
          <w:tcPr>
            <w:tcW w:w="278" w:type="pct"/>
            <w:vAlign w:val="center"/>
          </w:tcPr>
          <w:p w14:paraId="2773C4B3" w14:textId="68CD759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279.443</w:t>
            </w:r>
          </w:p>
        </w:tc>
        <w:tc>
          <w:tcPr>
            <w:tcW w:w="278" w:type="pct"/>
            <w:vAlign w:val="center"/>
          </w:tcPr>
          <w:p w14:paraId="1F4DE01F" w14:textId="7D070249"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354.629</w:t>
            </w:r>
          </w:p>
        </w:tc>
      </w:tr>
      <w:tr w:rsidR="00D1663E" w:rsidRPr="00FB38E1" w14:paraId="7DFD9F1B" w14:textId="77777777" w:rsidTr="001B6DB1">
        <w:tc>
          <w:tcPr>
            <w:tcW w:w="627" w:type="pct"/>
            <w:vAlign w:val="center"/>
          </w:tcPr>
          <w:p w14:paraId="35DFDE46" w14:textId="51F4754D" w:rsidR="00D1663E" w:rsidRPr="00FB38E1" w:rsidRDefault="00D1663E" w:rsidP="00D1663E">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Sanayi</w:t>
            </w:r>
          </w:p>
        </w:tc>
        <w:tc>
          <w:tcPr>
            <w:tcW w:w="291" w:type="pct"/>
            <w:tcBorders>
              <w:top w:val="nil"/>
              <w:left w:val="nil"/>
              <w:bottom w:val="nil"/>
              <w:right w:val="nil"/>
            </w:tcBorders>
            <w:shd w:val="clear" w:color="auto" w:fill="auto"/>
            <w:vAlign w:val="center"/>
          </w:tcPr>
          <w:p w14:paraId="685EEDE8" w14:textId="33FBC3D8"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82" w:type="pct"/>
            <w:vAlign w:val="center"/>
          </w:tcPr>
          <w:p w14:paraId="1CD9CC41" w14:textId="595A2AD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82" w:type="pct"/>
            <w:vAlign w:val="center"/>
          </w:tcPr>
          <w:p w14:paraId="6A7D8D76" w14:textId="30C245BB"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1.445.136</w:t>
            </w:r>
          </w:p>
        </w:tc>
        <w:tc>
          <w:tcPr>
            <w:tcW w:w="182" w:type="pct"/>
            <w:vAlign w:val="center"/>
          </w:tcPr>
          <w:p w14:paraId="6DA8DC61" w14:textId="36B41A59"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29" w:type="pct"/>
            <w:vAlign w:val="center"/>
          </w:tcPr>
          <w:p w14:paraId="021B6064" w14:textId="28373950"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5" w:type="pct"/>
            <w:vAlign w:val="center"/>
          </w:tcPr>
          <w:p w14:paraId="6F4D8636" w14:textId="7EEED6AD"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8" w:type="pct"/>
            <w:vAlign w:val="center"/>
          </w:tcPr>
          <w:p w14:paraId="0C22B411" w14:textId="688E5054"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68.485.184</w:t>
            </w:r>
          </w:p>
        </w:tc>
        <w:tc>
          <w:tcPr>
            <w:tcW w:w="278" w:type="pct"/>
            <w:vAlign w:val="center"/>
          </w:tcPr>
          <w:p w14:paraId="2A62B0B1" w14:textId="145482C2"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7.407.657</w:t>
            </w:r>
          </w:p>
        </w:tc>
        <w:tc>
          <w:tcPr>
            <w:tcW w:w="231" w:type="pct"/>
            <w:vAlign w:val="center"/>
          </w:tcPr>
          <w:p w14:paraId="272138D7" w14:textId="05436191"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1.466.568</w:t>
            </w:r>
          </w:p>
        </w:tc>
        <w:tc>
          <w:tcPr>
            <w:tcW w:w="255" w:type="pct"/>
            <w:vAlign w:val="center"/>
          </w:tcPr>
          <w:p w14:paraId="408E4EF8" w14:textId="51B1F13F"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5.644.152</w:t>
            </w:r>
          </w:p>
        </w:tc>
        <w:tc>
          <w:tcPr>
            <w:tcW w:w="231" w:type="pct"/>
            <w:vAlign w:val="center"/>
          </w:tcPr>
          <w:p w14:paraId="2E786925" w14:textId="13B5AE2F"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1.703.884</w:t>
            </w:r>
          </w:p>
        </w:tc>
        <w:tc>
          <w:tcPr>
            <w:tcW w:w="88" w:type="pct"/>
            <w:vAlign w:val="center"/>
          </w:tcPr>
          <w:p w14:paraId="5C667D3E" w14:textId="50100F31"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8" w:type="pct"/>
            <w:vAlign w:val="center"/>
          </w:tcPr>
          <w:p w14:paraId="62DF9454" w14:textId="597E589A"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90" w:type="pct"/>
            <w:vAlign w:val="center"/>
          </w:tcPr>
          <w:p w14:paraId="364A4E6E" w14:textId="022923D2"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71" w:type="pct"/>
            <w:vAlign w:val="center"/>
          </w:tcPr>
          <w:p w14:paraId="5BAFABB9" w14:textId="37BB1F5E"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5" w:type="pct"/>
            <w:vAlign w:val="center"/>
          </w:tcPr>
          <w:p w14:paraId="7D5BC945" w14:textId="7C6C23C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57</w:t>
            </w:r>
          </w:p>
        </w:tc>
        <w:tc>
          <w:tcPr>
            <w:tcW w:w="255" w:type="pct"/>
            <w:vAlign w:val="center"/>
          </w:tcPr>
          <w:p w14:paraId="45455FF1" w14:textId="6A224574"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78" w:type="pct"/>
            <w:vAlign w:val="center"/>
          </w:tcPr>
          <w:p w14:paraId="117E6E68" w14:textId="11D407D0"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37.604.226</w:t>
            </w:r>
          </w:p>
        </w:tc>
        <w:tc>
          <w:tcPr>
            <w:tcW w:w="278" w:type="pct"/>
            <w:vAlign w:val="center"/>
          </w:tcPr>
          <w:p w14:paraId="3A5E34B1" w14:textId="3E07BB74"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48.548.412</w:t>
            </w:r>
          </w:p>
        </w:tc>
        <w:tc>
          <w:tcPr>
            <w:tcW w:w="278" w:type="pct"/>
            <w:vAlign w:val="center"/>
          </w:tcPr>
          <w:p w14:paraId="4B184AE2" w14:textId="5EA9610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86.152.638</w:t>
            </w:r>
          </w:p>
        </w:tc>
      </w:tr>
      <w:tr w:rsidR="00D1663E" w:rsidRPr="00FB38E1" w14:paraId="359D587E" w14:textId="77777777" w:rsidTr="001B6DB1">
        <w:tc>
          <w:tcPr>
            <w:tcW w:w="627" w:type="pct"/>
            <w:tcMar>
              <w:left w:w="170" w:type="dxa"/>
            </w:tcMar>
            <w:vAlign w:val="center"/>
          </w:tcPr>
          <w:p w14:paraId="05CDDB4E" w14:textId="34CB0128"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Madencilik ve Taşocakçılığı</w:t>
            </w:r>
          </w:p>
        </w:tc>
        <w:tc>
          <w:tcPr>
            <w:tcW w:w="291" w:type="pct"/>
            <w:tcBorders>
              <w:top w:val="nil"/>
              <w:left w:val="nil"/>
              <w:bottom w:val="nil"/>
              <w:right w:val="nil"/>
            </w:tcBorders>
            <w:shd w:val="clear" w:color="auto" w:fill="auto"/>
            <w:vAlign w:val="center"/>
          </w:tcPr>
          <w:p w14:paraId="4562E2A1" w14:textId="4FC2681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7D9D032A" w14:textId="7D6D997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0B8F69CE" w14:textId="232DD21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17DACDF1" w14:textId="765292A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401B62AE" w14:textId="4B8B8EC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5A575AA" w14:textId="1D4018F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679FED65" w14:textId="09D869C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2.936.356</w:t>
            </w:r>
          </w:p>
        </w:tc>
        <w:tc>
          <w:tcPr>
            <w:tcW w:w="278" w:type="pct"/>
            <w:vAlign w:val="center"/>
          </w:tcPr>
          <w:p w14:paraId="7D633898" w14:textId="32682E5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469.758</w:t>
            </w:r>
          </w:p>
        </w:tc>
        <w:tc>
          <w:tcPr>
            <w:tcW w:w="231" w:type="pct"/>
            <w:vAlign w:val="center"/>
          </w:tcPr>
          <w:p w14:paraId="627F178D" w14:textId="0687079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131.622</w:t>
            </w:r>
          </w:p>
        </w:tc>
        <w:tc>
          <w:tcPr>
            <w:tcW w:w="255" w:type="pct"/>
            <w:vAlign w:val="center"/>
          </w:tcPr>
          <w:p w14:paraId="40B771A3" w14:textId="420EC99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239.556</w:t>
            </w:r>
          </w:p>
        </w:tc>
        <w:tc>
          <w:tcPr>
            <w:tcW w:w="231" w:type="pct"/>
            <w:vAlign w:val="center"/>
          </w:tcPr>
          <w:p w14:paraId="588F45E4" w14:textId="78F9CEE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1.217.441</w:t>
            </w:r>
          </w:p>
        </w:tc>
        <w:tc>
          <w:tcPr>
            <w:tcW w:w="88" w:type="pct"/>
            <w:vAlign w:val="center"/>
          </w:tcPr>
          <w:p w14:paraId="0B792734" w14:textId="3513E4C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41E1B488" w14:textId="541B739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0AD7998E" w14:textId="7E2CA81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0C2A8F64" w14:textId="302580D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57CBA8A6" w14:textId="0D34978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w:t>
            </w:r>
          </w:p>
        </w:tc>
        <w:tc>
          <w:tcPr>
            <w:tcW w:w="255" w:type="pct"/>
            <w:vAlign w:val="center"/>
          </w:tcPr>
          <w:p w14:paraId="3B11C06C" w14:textId="547EB0E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330FBA17" w14:textId="4D1A6A8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3.826.982</w:t>
            </w:r>
          </w:p>
        </w:tc>
        <w:tc>
          <w:tcPr>
            <w:tcW w:w="278" w:type="pct"/>
            <w:vAlign w:val="center"/>
          </w:tcPr>
          <w:p w14:paraId="7D62C970" w14:textId="2A791AF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1.167.753</w:t>
            </w:r>
          </w:p>
        </w:tc>
        <w:tc>
          <w:tcPr>
            <w:tcW w:w="278" w:type="pct"/>
            <w:vAlign w:val="center"/>
          </w:tcPr>
          <w:p w14:paraId="51D6B9A9" w14:textId="08641C17"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4.994.735</w:t>
            </w:r>
          </w:p>
        </w:tc>
      </w:tr>
      <w:tr w:rsidR="00D1663E" w:rsidRPr="00FB38E1" w14:paraId="7FA9BA95" w14:textId="77777777" w:rsidTr="001B6DB1">
        <w:tc>
          <w:tcPr>
            <w:tcW w:w="627" w:type="pct"/>
            <w:tcMar>
              <w:left w:w="170" w:type="dxa"/>
            </w:tcMar>
            <w:vAlign w:val="center"/>
          </w:tcPr>
          <w:p w14:paraId="7058BA47" w14:textId="3658BD5E"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İmalat sanayi</w:t>
            </w:r>
          </w:p>
        </w:tc>
        <w:tc>
          <w:tcPr>
            <w:tcW w:w="291" w:type="pct"/>
            <w:tcBorders>
              <w:top w:val="nil"/>
              <w:left w:val="nil"/>
              <w:bottom w:val="nil"/>
              <w:right w:val="nil"/>
            </w:tcBorders>
            <w:shd w:val="clear" w:color="auto" w:fill="auto"/>
            <w:vAlign w:val="center"/>
          </w:tcPr>
          <w:p w14:paraId="16EF3433" w14:textId="24F9CF9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71B24C7C" w14:textId="77BFDF4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602D2795" w14:textId="04F0A30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336.425</w:t>
            </w:r>
          </w:p>
        </w:tc>
        <w:tc>
          <w:tcPr>
            <w:tcW w:w="182" w:type="pct"/>
            <w:vAlign w:val="center"/>
          </w:tcPr>
          <w:p w14:paraId="3F5466C1" w14:textId="36B864C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23F6DBF9" w14:textId="1A71C42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50619B79" w14:textId="1FEF36D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4B965DC1" w14:textId="498B4A0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54.821.604</w:t>
            </w:r>
          </w:p>
        </w:tc>
        <w:tc>
          <w:tcPr>
            <w:tcW w:w="278" w:type="pct"/>
            <w:vAlign w:val="center"/>
          </w:tcPr>
          <w:p w14:paraId="6297850F" w14:textId="43E4877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6.836.562</w:t>
            </w:r>
          </w:p>
        </w:tc>
        <w:tc>
          <w:tcPr>
            <w:tcW w:w="231" w:type="pct"/>
            <w:vAlign w:val="center"/>
          </w:tcPr>
          <w:p w14:paraId="69D88962" w14:textId="5752E3D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1.319.940</w:t>
            </w:r>
          </w:p>
        </w:tc>
        <w:tc>
          <w:tcPr>
            <w:tcW w:w="255" w:type="pct"/>
            <w:vAlign w:val="center"/>
          </w:tcPr>
          <w:p w14:paraId="331B54E3" w14:textId="5EE909E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5.297.785</w:t>
            </w:r>
          </w:p>
        </w:tc>
        <w:tc>
          <w:tcPr>
            <w:tcW w:w="231" w:type="pct"/>
            <w:vAlign w:val="center"/>
          </w:tcPr>
          <w:p w14:paraId="3A944B9A" w14:textId="0028365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99.505</w:t>
            </w:r>
          </w:p>
        </w:tc>
        <w:tc>
          <w:tcPr>
            <w:tcW w:w="88" w:type="pct"/>
            <w:vAlign w:val="center"/>
          </w:tcPr>
          <w:p w14:paraId="66252331" w14:textId="62DBD8C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39C3FD3F" w14:textId="6759998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2ED729B0" w14:textId="77F6D97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0F670993" w14:textId="3B05D3E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EE70E8F" w14:textId="293528C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55</w:t>
            </w:r>
          </w:p>
        </w:tc>
        <w:tc>
          <w:tcPr>
            <w:tcW w:w="255" w:type="pct"/>
            <w:vAlign w:val="center"/>
          </w:tcPr>
          <w:p w14:paraId="01269311" w14:textId="6ADEC48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3FE4A441" w14:textId="77517FA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31.628.911</w:t>
            </w:r>
          </w:p>
        </w:tc>
        <w:tc>
          <w:tcPr>
            <w:tcW w:w="278" w:type="pct"/>
            <w:vAlign w:val="center"/>
          </w:tcPr>
          <w:p w14:paraId="417E2A7B" w14:textId="5B9C036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37.082.965</w:t>
            </w:r>
          </w:p>
        </w:tc>
        <w:tc>
          <w:tcPr>
            <w:tcW w:w="278" w:type="pct"/>
            <w:vAlign w:val="center"/>
          </w:tcPr>
          <w:p w14:paraId="20307FF6" w14:textId="7A1A7882"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68.711.876</w:t>
            </w:r>
          </w:p>
        </w:tc>
      </w:tr>
      <w:tr w:rsidR="00D1663E" w:rsidRPr="00FB38E1" w14:paraId="5BD6EB95" w14:textId="77777777" w:rsidTr="001B6DB1">
        <w:tc>
          <w:tcPr>
            <w:tcW w:w="627" w:type="pct"/>
            <w:tcMar>
              <w:left w:w="170" w:type="dxa"/>
            </w:tcMar>
            <w:vAlign w:val="center"/>
          </w:tcPr>
          <w:p w14:paraId="2D67EB81" w14:textId="36D1B40F"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Elektrik, Gaz, Su</w:t>
            </w:r>
          </w:p>
        </w:tc>
        <w:tc>
          <w:tcPr>
            <w:tcW w:w="291" w:type="pct"/>
            <w:tcBorders>
              <w:top w:val="nil"/>
              <w:left w:val="nil"/>
              <w:bottom w:val="nil"/>
              <w:right w:val="nil"/>
            </w:tcBorders>
            <w:shd w:val="clear" w:color="auto" w:fill="auto"/>
            <w:vAlign w:val="center"/>
          </w:tcPr>
          <w:p w14:paraId="06C273A2" w14:textId="565B6B7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6CDAB111" w14:textId="34DB379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1CC7C141" w14:textId="06B5931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1.108.711</w:t>
            </w:r>
          </w:p>
        </w:tc>
        <w:tc>
          <w:tcPr>
            <w:tcW w:w="182" w:type="pct"/>
            <w:vAlign w:val="center"/>
          </w:tcPr>
          <w:p w14:paraId="364D99A1" w14:textId="7F9E09D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5A0B861C" w14:textId="626BDC1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724CB19" w14:textId="742514E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29903947" w14:textId="20724AF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10.727.224</w:t>
            </w:r>
          </w:p>
        </w:tc>
        <w:tc>
          <w:tcPr>
            <w:tcW w:w="278" w:type="pct"/>
            <w:vAlign w:val="center"/>
          </w:tcPr>
          <w:p w14:paraId="1CF21F4E" w14:textId="1EBB02E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101.337</w:t>
            </w:r>
          </w:p>
        </w:tc>
        <w:tc>
          <w:tcPr>
            <w:tcW w:w="231" w:type="pct"/>
            <w:vAlign w:val="center"/>
          </w:tcPr>
          <w:p w14:paraId="0FA7A3E5" w14:textId="346F678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15.006</w:t>
            </w:r>
          </w:p>
        </w:tc>
        <w:tc>
          <w:tcPr>
            <w:tcW w:w="255" w:type="pct"/>
            <w:vAlign w:val="center"/>
          </w:tcPr>
          <w:p w14:paraId="2D473048" w14:textId="1A78915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106.811</w:t>
            </w:r>
          </w:p>
        </w:tc>
        <w:tc>
          <w:tcPr>
            <w:tcW w:w="231" w:type="pct"/>
            <w:vAlign w:val="center"/>
          </w:tcPr>
          <w:p w14:paraId="1F13F474" w14:textId="1AE446C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386.938</w:t>
            </w:r>
          </w:p>
        </w:tc>
        <w:tc>
          <w:tcPr>
            <w:tcW w:w="88" w:type="pct"/>
            <w:vAlign w:val="center"/>
          </w:tcPr>
          <w:p w14:paraId="5B95C5C1" w14:textId="437E44A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1BD05F1F" w14:textId="5E4DA22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23DDF238" w14:textId="76B7168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14A20C8A" w14:textId="0552023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7C7B478" w14:textId="7139148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33632B1F" w14:textId="485196F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7E7A21B2" w14:textId="280FB78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2.148.333</w:t>
            </w:r>
          </w:p>
        </w:tc>
        <w:tc>
          <w:tcPr>
            <w:tcW w:w="278" w:type="pct"/>
            <w:vAlign w:val="center"/>
          </w:tcPr>
          <w:p w14:paraId="2E6B96E9" w14:textId="1A90C4A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10.297.694</w:t>
            </w:r>
          </w:p>
        </w:tc>
        <w:tc>
          <w:tcPr>
            <w:tcW w:w="278" w:type="pct"/>
            <w:vAlign w:val="center"/>
          </w:tcPr>
          <w:p w14:paraId="70893C30" w14:textId="2C61C446"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12.446.027</w:t>
            </w:r>
          </w:p>
        </w:tc>
      </w:tr>
      <w:tr w:rsidR="00D1663E" w:rsidRPr="00FB38E1" w14:paraId="6A0167B3" w14:textId="77777777" w:rsidTr="001B6DB1">
        <w:tc>
          <w:tcPr>
            <w:tcW w:w="627" w:type="pct"/>
            <w:vAlign w:val="center"/>
          </w:tcPr>
          <w:p w14:paraId="5F188D91" w14:textId="2A37FBA8" w:rsidR="00D1663E" w:rsidRPr="00FB38E1" w:rsidRDefault="00D1663E" w:rsidP="00D1663E">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İnşaat</w:t>
            </w:r>
          </w:p>
        </w:tc>
        <w:tc>
          <w:tcPr>
            <w:tcW w:w="291" w:type="pct"/>
            <w:tcBorders>
              <w:top w:val="nil"/>
              <w:left w:val="nil"/>
              <w:bottom w:val="nil"/>
              <w:right w:val="nil"/>
            </w:tcBorders>
            <w:shd w:val="clear" w:color="auto" w:fill="auto"/>
            <w:vAlign w:val="center"/>
          </w:tcPr>
          <w:p w14:paraId="4BFBD6BB" w14:textId="59739CB8"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282" w:type="pct"/>
            <w:vAlign w:val="center"/>
          </w:tcPr>
          <w:p w14:paraId="1769A2B8" w14:textId="773C504A"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920.769</w:t>
            </w:r>
          </w:p>
        </w:tc>
        <w:tc>
          <w:tcPr>
            <w:tcW w:w="182" w:type="pct"/>
            <w:vAlign w:val="center"/>
          </w:tcPr>
          <w:p w14:paraId="4A943E11" w14:textId="59B6DEFB"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82" w:type="pct"/>
            <w:vAlign w:val="center"/>
          </w:tcPr>
          <w:p w14:paraId="341DE81F" w14:textId="123EB60C"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29" w:type="pct"/>
            <w:vAlign w:val="center"/>
          </w:tcPr>
          <w:p w14:paraId="7A5EADD9" w14:textId="02612FD6"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255" w:type="pct"/>
            <w:vAlign w:val="center"/>
          </w:tcPr>
          <w:p w14:paraId="1D404DB4" w14:textId="5004BD98"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278" w:type="pct"/>
            <w:vAlign w:val="center"/>
          </w:tcPr>
          <w:p w14:paraId="46F1AD36" w14:textId="16D776BF"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22.265.649</w:t>
            </w:r>
          </w:p>
        </w:tc>
        <w:tc>
          <w:tcPr>
            <w:tcW w:w="278" w:type="pct"/>
            <w:vAlign w:val="center"/>
          </w:tcPr>
          <w:p w14:paraId="408EBAA6" w14:textId="26A0A038"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3.131.908</w:t>
            </w:r>
          </w:p>
        </w:tc>
        <w:tc>
          <w:tcPr>
            <w:tcW w:w="231" w:type="pct"/>
            <w:vAlign w:val="center"/>
          </w:tcPr>
          <w:p w14:paraId="3E9B3777" w14:textId="5EA83782"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1.819.501</w:t>
            </w:r>
          </w:p>
        </w:tc>
        <w:tc>
          <w:tcPr>
            <w:tcW w:w="255" w:type="pct"/>
            <w:vAlign w:val="center"/>
          </w:tcPr>
          <w:p w14:paraId="63AB9CCE" w14:textId="52D1B788"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1.782.130</w:t>
            </w:r>
          </w:p>
        </w:tc>
        <w:tc>
          <w:tcPr>
            <w:tcW w:w="231" w:type="pct"/>
            <w:vAlign w:val="center"/>
          </w:tcPr>
          <w:p w14:paraId="49AB7D1A" w14:textId="47F668D6"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772.487</w:t>
            </w:r>
          </w:p>
        </w:tc>
        <w:tc>
          <w:tcPr>
            <w:tcW w:w="88" w:type="pct"/>
            <w:vAlign w:val="center"/>
          </w:tcPr>
          <w:p w14:paraId="52EB285C" w14:textId="27CCF5DB"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88" w:type="pct"/>
            <w:vAlign w:val="center"/>
          </w:tcPr>
          <w:p w14:paraId="22782A10" w14:textId="1B0E3752"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90" w:type="pct"/>
            <w:vAlign w:val="center"/>
          </w:tcPr>
          <w:p w14:paraId="76F27D14" w14:textId="6ED9163C"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71" w:type="pct"/>
            <w:vAlign w:val="center"/>
          </w:tcPr>
          <w:p w14:paraId="4FB55D3A" w14:textId="6AD93B7D"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255" w:type="pct"/>
            <w:vAlign w:val="center"/>
          </w:tcPr>
          <w:p w14:paraId="7BC668BC" w14:textId="74D682DA"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69</w:t>
            </w:r>
          </w:p>
        </w:tc>
        <w:tc>
          <w:tcPr>
            <w:tcW w:w="255" w:type="pct"/>
            <w:vAlign w:val="center"/>
          </w:tcPr>
          <w:p w14:paraId="05ACFF5E" w14:textId="5913FC0A"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2.800</w:t>
            </w:r>
          </w:p>
        </w:tc>
        <w:tc>
          <w:tcPr>
            <w:tcW w:w="278" w:type="pct"/>
            <w:vAlign w:val="center"/>
          </w:tcPr>
          <w:p w14:paraId="58CD716B" w14:textId="4AC31107"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15.129.138</w:t>
            </w:r>
          </w:p>
        </w:tc>
        <w:tc>
          <w:tcPr>
            <w:tcW w:w="278" w:type="pct"/>
            <w:vAlign w:val="center"/>
          </w:tcPr>
          <w:p w14:paraId="5C84FF85" w14:textId="65BF1FBC"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15.566.175</w:t>
            </w:r>
          </w:p>
        </w:tc>
        <w:tc>
          <w:tcPr>
            <w:tcW w:w="278" w:type="pct"/>
            <w:vAlign w:val="center"/>
          </w:tcPr>
          <w:p w14:paraId="754B6F80" w14:textId="32F9D9E6"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30.695.313</w:t>
            </w:r>
          </w:p>
        </w:tc>
      </w:tr>
      <w:tr w:rsidR="00D1663E" w:rsidRPr="00FB38E1" w14:paraId="1AE4BD2C" w14:textId="77777777" w:rsidTr="001B6DB1">
        <w:tc>
          <w:tcPr>
            <w:tcW w:w="627" w:type="pct"/>
            <w:vAlign w:val="center"/>
          </w:tcPr>
          <w:p w14:paraId="52F434F0" w14:textId="6145DE4C" w:rsidR="00D1663E" w:rsidRPr="00FB38E1" w:rsidRDefault="00D1663E" w:rsidP="00D1663E">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Hizmetler</w:t>
            </w:r>
          </w:p>
        </w:tc>
        <w:tc>
          <w:tcPr>
            <w:tcW w:w="291" w:type="pct"/>
            <w:tcBorders>
              <w:top w:val="nil"/>
              <w:left w:val="nil"/>
              <w:bottom w:val="nil"/>
              <w:right w:val="nil"/>
            </w:tcBorders>
            <w:shd w:val="clear" w:color="auto" w:fill="auto"/>
            <w:vAlign w:val="center"/>
          </w:tcPr>
          <w:p w14:paraId="7D9FBF23" w14:textId="23D537C7"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82" w:type="pct"/>
            <w:vAlign w:val="center"/>
          </w:tcPr>
          <w:p w14:paraId="7474ADC1" w14:textId="610438B7"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88.930</w:t>
            </w:r>
          </w:p>
        </w:tc>
        <w:tc>
          <w:tcPr>
            <w:tcW w:w="182" w:type="pct"/>
            <w:vAlign w:val="center"/>
          </w:tcPr>
          <w:p w14:paraId="3B3AB1AF" w14:textId="086F974E"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82" w:type="pct"/>
            <w:vAlign w:val="center"/>
          </w:tcPr>
          <w:p w14:paraId="55BF680E" w14:textId="3CA4854E"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29" w:type="pct"/>
            <w:vAlign w:val="center"/>
          </w:tcPr>
          <w:p w14:paraId="2B07C6FD" w14:textId="6427F26B"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5" w:type="pct"/>
            <w:vAlign w:val="center"/>
          </w:tcPr>
          <w:p w14:paraId="6469B2F2" w14:textId="6DCEAD10"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4.062.324</w:t>
            </w:r>
          </w:p>
        </w:tc>
        <w:tc>
          <w:tcPr>
            <w:tcW w:w="278" w:type="pct"/>
            <w:vAlign w:val="center"/>
          </w:tcPr>
          <w:p w14:paraId="4602E25A" w14:textId="155E758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79.626.953</w:t>
            </w:r>
          </w:p>
        </w:tc>
        <w:tc>
          <w:tcPr>
            <w:tcW w:w="278" w:type="pct"/>
            <w:vAlign w:val="center"/>
          </w:tcPr>
          <w:p w14:paraId="77B27ADF" w14:textId="1B76C2EE"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17.766.603</w:t>
            </w:r>
          </w:p>
        </w:tc>
        <w:tc>
          <w:tcPr>
            <w:tcW w:w="231" w:type="pct"/>
            <w:vAlign w:val="center"/>
          </w:tcPr>
          <w:p w14:paraId="1520B799" w14:textId="28309F8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3.769.231</w:t>
            </w:r>
          </w:p>
        </w:tc>
        <w:tc>
          <w:tcPr>
            <w:tcW w:w="255" w:type="pct"/>
            <w:vAlign w:val="center"/>
          </w:tcPr>
          <w:p w14:paraId="2330225B" w14:textId="6718FC43"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17.586.358</w:t>
            </w:r>
          </w:p>
        </w:tc>
        <w:tc>
          <w:tcPr>
            <w:tcW w:w="231" w:type="pct"/>
            <w:vAlign w:val="center"/>
          </w:tcPr>
          <w:p w14:paraId="08A2B243" w14:textId="45BA6EC6"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1.702.088</w:t>
            </w:r>
          </w:p>
        </w:tc>
        <w:tc>
          <w:tcPr>
            <w:tcW w:w="88" w:type="pct"/>
            <w:vAlign w:val="center"/>
          </w:tcPr>
          <w:p w14:paraId="649D6677" w14:textId="3CC613B0"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8" w:type="pct"/>
            <w:vAlign w:val="center"/>
          </w:tcPr>
          <w:p w14:paraId="0570D0EE" w14:textId="6C57F95C"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90" w:type="pct"/>
            <w:vAlign w:val="center"/>
          </w:tcPr>
          <w:p w14:paraId="540BEAF0" w14:textId="33E60831"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71" w:type="pct"/>
            <w:vAlign w:val="center"/>
          </w:tcPr>
          <w:p w14:paraId="6840E708" w14:textId="782C4973"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28.128</w:t>
            </w:r>
          </w:p>
        </w:tc>
        <w:tc>
          <w:tcPr>
            <w:tcW w:w="255" w:type="pct"/>
            <w:vAlign w:val="center"/>
          </w:tcPr>
          <w:p w14:paraId="1CEC02B0" w14:textId="76BC81CA"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296.101</w:t>
            </w:r>
          </w:p>
        </w:tc>
        <w:tc>
          <w:tcPr>
            <w:tcW w:w="255" w:type="pct"/>
            <w:vAlign w:val="center"/>
          </w:tcPr>
          <w:p w14:paraId="252FD92E" w14:textId="0B23BD23"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58.975.978</w:t>
            </w:r>
          </w:p>
        </w:tc>
        <w:tc>
          <w:tcPr>
            <w:tcW w:w="278" w:type="pct"/>
            <w:vAlign w:val="center"/>
          </w:tcPr>
          <w:p w14:paraId="37AB78E0" w14:textId="3D882AB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116.151.249</w:t>
            </w:r>
          </w:p>
        </w:tc>
        <w:tc>
          <w:tcPr>
            <w:tcW w:w="278" w:type="pct"/>
            <w:vAlign w:val="center"/>
          </w:tcPr>
          <w:p w14:paraId="484907EF" w14:textId="15533ED7"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67.751.445</w:t>
            </w:r>
          </w:p>
        </w:tc>
        <w:tc>
          <w:tcPr>
            <w:tcW w:w="278" w:type="pct"/>
            <w:vAlign w:val="center"/>
          </w:tcPr>
          <w:p w14:paraId="34C23E81" w14:textId="1D2A13C4"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183.902.694</w:t>
            </w:r>
          </w:p>
        </w:tc>
      </w:tr>
      <w:tr w:rsidR="00D1663E" w:rsidRPr="00FB38E1" w14:paraId="4AF58736" w14:textId="77777777" w:rsidTr="001B6DB1">
        <w:tc>
          <w:tcPr>
            <w:tcW w:w="627" w:type="pct"/>
            <w:tcMar>
              <w:left w:w="170" w:type="dxa"/>
            </w:tcMar>
            <w:vAlign w:val="center"/>
          </w:tcPr>
          <w:p w14:paraId="543A0073" w14:textId="5C5C0C2C"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Toptan ve Perakende Ticaret</w:t>
            </w:r>
          </w:p>
        </w:tc>
        <w:tc>
          <w:tcPr>
            <w:tcW w:w="291" w:type="pct"/>
            <w:tcBorders>
              <w:top w:val="nil"/>
              <w:left w:val="nil"/>
              <w:bottom w:val="nil"/>
              <w:right w:val="nil"/>
            </w:tcBorders>
            <w:shd w:val="clear" w:color="auto" w:fill="auto"/>
            <w:vAlign w:val="center"/>
          </w:tcPr>
          <w:p w14:paraId="50300FD9" w14:textId="4499417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5EDCCA07" w14:textId="2B2E972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231</w:t>
            </w:r>
          </w:p>
        </w:tc>
        <w:tc>
          <w:tcPr>
            <w:tcW w:w="182" w:type="pct"/>
            <w:vAlign w:val="center"/>
          </w:tcPr>
          <w:p w14:paraId="573F5259" w14:textId="4C22F48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3346F813" w14:textId="0208390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44A7BF47" w14:textId="351A1F2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261E07B" w14:textId="349459D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827</w:t>
            </w:r>
          </w:p>
        </w:tc>
        <w:tc>
          <w:tcPr>
            <w:tcW w:w="278" w:type="pct"/>
            <w:vAlign w:val="center"/>
          </w:tcPr>
          <w:p w14:paraId="2FEDB8C9" w14:textId="0173456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30.973.241</w:t>
            </w:r>
          </w:p>
        </w:tc>
        <w:tc>
          <w:tcPr>
            <w:tcW w:w="278" w:type="pct"/>
            <w:vAlign w:val="center"/>
          </w:tcPr>
          <w:p w14:paraId="4DD6B24A" w14:textId="0557158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14.267.666</w:t>
            </w:r>
          </w:p>
        </w:tc>
        <w:tc>
          <w:tcPr>
            <w:tcW w:w="231" w:type="pct"/>
            <w:vAlign w:val="center"/>
          </w:tcPr>
          <w:p w14:paraId="40828E5C" w14:textId="61AA13C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2.720.771</w:t>
            </w:r>
          </w:p>
        </w:tc>
        <w:tc>
          <w:tcPr>
            <w:tcW w:w="255" w:type="pct"/>
            <w:vAlign w:val="center"/>
          </w:tcPr>
          <w:p w14:paraId="6B9C3237" w14:textId="4C2307C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4.261.629</w:t>
            </w:r>
          </w:p>
        </w:tc>
        <w:tc>
          <w:tcPr>
            <w:tcW w:w="231" w:type="pct"/>
            <w:vAlign w:val="center"/>
          </w:tcPr>
          <w:p w14:paraId="623F5D2B" w14:textId="41D926C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253.583</w:t>
            </w:r>
          </w:p>
        </w:tc>
        <w:tc>
          <w:tcPr>
            <w:tcW w:w="88" w:type="pct"/>
            <w:vAlign w:val="center"/>
          </w:tcPr>
          <w:p w14:paraId="33E617C2" w14:textId="20FCCDE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1D2A3EDA" w14:textId="04D3C98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78B9EEB5" w14:textId="13E0300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10079AD4" w14:textId="5D1DBEE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ECB8146" w14:textId="09C42F0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265</w:t>
            </w:r>
          </w:p>
        </w:tc>
        <w:tc>
          <w:tcPr>
            <w:tcW w:w="255" w:type="pct"/>
            <w:vAlign w:val="center"/>
          </w:tcPr>
          <w:p w14:paraId="302B0E22" w14:textId="7EEB926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7EC9EE90" w14:textId="0EEB717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39.529.344</w:t>
            </w:r>
          </w:p>
        </w:tc>
        <w:tc>
          <w:tcPr>
            <w:tcW w:w="278" w:type="pct"/>
            <w:vAlign w:val="center"/>
          </w:tcPr>
          <w:p w14:paraId="23D1FDB4" w14:textId="72C463D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12.948.869</w:t>
            </w:r>
          </w:p>
        </w:tc>
        <w:tc>
          <w:tcPr>
            <w:tcW w:w="278" w:type="pct"/>
            <w:vAlign w:val="center"/>
          </w:tcPr>
          <w:p w14:paraId="49FEB1BD" w14:textId="3EA1ECA3"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52.478.213</w:t>
            </w:r>
          </w:p>
        </w:tc>
      </w:tr>
      <w:tr w:rsidR="00D1663E" w:rsidRPr="00FB38E1" w14:paraId="7E9BAD4A" w14:textId="77777777" w:rsidTr="001B6DB1">
        <w:tc>
          <w:tcPr>
            <w:tcW w:w="627" w:type="pct"/>
            <w:tcMar>
              <w:left w:w="170" w:type="dxa"/>
            </w:tcMar>
            <w:vAlign w:val="center"/>
          </w:tcPr>
          <w:p w14:paraId="4850FD81" w14:textId="4DD5327F"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Otel ve Lokanta Hizmetleri</w:t>
            </w:r>
          </w:p>
        </w:tc>
        <w:tc>
          <w:tcPr>
            <w:tcW w:w="291" w:type="pct"/>
            <w:tcBorders>
              <w:top w:val="nil"/>
              <w:left w:val="nil"/>
              <w:bottom w:val="nil"/>
              <w:right w:val="nil"/>
            </w:tcBorders>
            <w:shd w:val="clear" w:color="auto" w:fill="auto"/>
            <w:vAlign w:val="center"/>
          </w:tcPr>
          <w:p w14:paraId="661A245D" w14:textId="034732C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13F1F036" w14:textId="6143E7E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4398F4B9" w14:textId="058DECC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5DF14462" w14:textId="06DE90D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0BD94204" w14:textId="6D03A61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8C641D6" w14:textId="7D96AEA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58D872ED" w14:textId="2F7D4AA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17.113.876</w:t>
            </w:r>
          </w:p>
        </w:tc>
        <w:tc>
          <w:tcPr>
            <w:tcW w:w="278" w:type="pct"/>
            <w:vAlign w:val="center"/>
          </w:tcPr>
          <w:p w14:paraId="02BDD32E" w14:textId="169F615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634.759</w:t>
            </w:r>
          </w:p>
        </w:tc>
        <w:tc>
          <w:tcPr>
            <w:tcW w:w="231" w:type="pct"/>
            <w:vAlign w:val="center"/>
          </w:tcPr>
          <w:p w14:paraId="475B4076" w14:textId="1459F0B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345.308</w:t>
            </w:r>
          </w:p>
        </w:tc>
        <w:tc>
          <w:tcPr>
            <w:tcW w:w="255" w:type="pct"/>
            <w:vAlign w:val="center"/>
          </w:tcPr>
          <w:p w14:paraId="12C4C3EB" w14:textId="787E0C8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11.079.718</w:t>
            </w:r>
          </w:p>
        </w:tc>
        <w:tc>
          <w:tcPr>
            <w:tcW w:w="231" w:type="pct"/>
            <w:vAlign w:val="center"/>
          </w:tcPr>
          <w:p w14:paraId="219CB8B5" w14:textId="09978EC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1.109.511</w:t>
            </w:r>
          </w:p>
        </w:tc>
        <w:tc>
          <w:tcPr>
            <w:tcW w:w="88" w:type="pct"/>
            <w:vAlign w:val="center"/>
          </w:tcPr>
          <w:p w14:paraId="1466C349" w14:textId="7CE2ED6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455E7E98" w14:textId="1ACF82C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552B541A" w14:textId="0BD3A59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7A463CD6" w14:textId="72ED64F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398E450" w14:textId="0B54897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w:t>
            </w:r>
          </w:p>
        </w:tc>
        <w:tc>
          <w:tcPr>
            <w:tcW w:w="255" w:type="pct"/>
            <w:vAlign w:val="center"/>
          </w:tcPr>
          <w:p w14:paraId="4B7BB398" w14:textId="79DE730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63A5A2A9" w14:textId="58BBB41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4.080.034</w:t>
            </w:r>
          </w:p>
        </w:tc>
        <w:tc>
          <w:tcPr>
            <w:tcW w:w="278" w:type="pct"/>
            <w:vAlign w:val="center"/>
          </w:tcPr>
          <w:p w14:paraId="645E226E" w14:textId="7173624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26.203.142</w:t>
            </w:r>
          </w:p>
        </w:tc>
        <w:tc>
          <w:tcPr>
            <w:tcW w:w="278" w:type="pct"/>
            <w:vAlign w:val="center"/>
          </w:tcPr>
          <w:p w14:paraId="0A5BCB87" w14:textId="3759F177"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30.283.176</w:t>
            </w:r>
          </w:p>
        </w:tc>
      </w:tr>
      <w:tr w:rsidR="00D1663E" w:rsidRPr="00FB38E1" w14:paraId="55AB3379" w14:textId="77777777" w:rsidTr="001B6DB1">
        <w:tc>
          <w:tcPr>
            <w:tcW w:w="627" w:type="pct"/>
            <w:tcMar>
              <w:left w:w="170" w:type="dxa"/>
            </w:tcMar>
            <w:vAlign w:val="center"/>
          </w:tcPr>
          <w:p w14:paraId="3553F961" w14:textId="2BDA7152"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Ulaşım ve Haberleşme</w:t>
            </w:r>
          </w:p>
        </w:tc>
        <w:tc>
          <w:tcPr>
            <w:tcW w:w="291" w:type="pct"/>
            <w:tcBorders>
              <w:top w:val="nil"/>
              <w:left w:val="nil"/>
              <w:bottom w:val="nil"/>
              <w:right w:val="nil"/>
            </w:tcBorders>
            <w:shd w:val="clear" w:color="auto" w:fill="auto"/>
            <w:vAlign w:val="center"/>
          </w:tcPr>
          <w:p w14:paraId="7192BDB3" w14:textId="2E77440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25847676" w14:textId="5BE6E19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65C15F36" w14:textId="62B6BC9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466E8C5C" w14:textId="492CDFC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1A0B74EC" w14:textId="2B1F66B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449150DC" w14:textId="2FA5047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15D7DA92" w14:textId="696C2C9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18.516.374</w:t>
            </w:r>
          </w:p>
        </w:tc>
        <w:tc>
          <w:tcPr>
            <w:tcW w:w="278" w:type="pct"/>
            <w:vAlign w:val="center"/>
          </w:tcPr>
          <w:p w14:paraId="14E8D3EE" w14:textId="3A92B49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2.018.498</w:t>
            </w:r>
          </w:p>
        </w:tc>
        <w:tc>
          <w:tcPr>
            <w:tcW w:w="231" w:type="pct"/>
            <w:vAlign w:val="center"/>
          </w:tcPr>
          <w:p w14:paraId="4317107A" w14:textId="7A86DFB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496.221</w:t>
            </w:r>
          </w:p>
        </w:tc>
        <w:tc>
          <w:tcPr>
            <w:tcW w:w="255" w:type="pct"/>
            <w:vAlign w:val="center"/>
          </w:tcPr>
          <w:p w14:paraId="66DFE8F1" w14:textId="7DF92AD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1.336.613</w:t>
            </w:r>
          </w:p>
        </w:tc>
        <w:tc>
          <w:tcPr>
            <w:tcW w:w="231" w:type="pct"/>
            <w:vAlign w:val="center"/>
          </w:tcPr>
          <w:p w14:paraId="36F85079" w14:textId="553FFE3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294.363</w:t>
            </w:r>
          </w:p>
        </w:tc>
        <w:tc>
          <w:tcPr>
            <w:tcW w:w="88" w:type="pct"/>
            <w:vAlign w:val="center"/>
          </w:tcPr>
          <w:p w14:paraId="6F341383" w14:textId="54CA663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3BDD7576" w14:textId="4F9D11A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39F006DC" w14:textId="6817A12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4843FB57" w14:textId="32CE471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30E1524" w14:textId="1CFA7BB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w:t>
            </w:r>
          </w:p>
        </w:tc>
        <w:tc>
          <w:tcPr>
            <w:tcW w:w="255" w:type="pct"/>
            <w:vAlign w:val="center"/>
          </w:tcPr>
          <w:p w14:paraId="7E4DEC6D" w14:textId="49F31AD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0E741699" w14:textId="3A8CC2F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5.331.394</w:t>
            </w:r>
          </w:p>
        </w:tc>
        <w:tc>
          <w:tcPr>
            <w:tcW w:w="278" w:type="pct"/>
            <w:vAlign w:val="center"/>
          </w:tcPr>
          <w:p w14:paraId="1693AEF2" w14:textId="2AF3D64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17.330.689</w:t>
            </w:r>
          </w:p>
        </w:tc>
        <w:tc>
          <w:tcPr>
            <w:tcW w:w="278" w:type="pct"/>
            <w:vAlign w:val="center"/>
          </w:tcPr>
          <w:p w14:paraId="3AAB38B4" w14:textId="407F9274"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22.662.083</w:t>
            </w:r>
          </w:p>
        </w:tc>
      </w:tr>
      <w:tr w:rsidR="00D1663E" w:rsidRPr="00FB38E1" w14:paraId="6209A2C1" w14:textId="77777777" w:rsidTr="001B6DB1">
        <w:tc>
          <w:tcPr>
            <w:tcW w:w="627" w:type="pct"/>
            <w:tcMar>
              <w:left w:w="170" w:type="dxa"/>
            </w:tcMar>
            <w:vAlign w:val="center"/>
          </w:tcPr>
          <w:p w14:paraId="23E279E2" w14:textId="31345341"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Mali Kuruluşlar</w:t>
            </w:r>
          </w:p>
        </w:tc>
        <w:tc>
          <w:tcPr>
            <w:tcW w:w="291" w:type="pct"/>
            <w:tcBorders>
              <w:top w:val="nil"/>
              <w:left w:val="nil"/>
              <w:bottom w:val="nil"/>
              <w:right w:val="nil"/>
            </w:tcBorders>
            <w:shd w:val="clear" w:color="auto" w:fill="auto"/>
            <w:vAlign w:val="center"/>
          </w:tcPr>
          <w:p w14:paraId="426A8D2C" w14:textId="7DAEB31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0CB6A20F" w14:textId="0D29DE7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5573E174" w14:textId="00EF776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599D0E55" w14:textId="1247904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793BC1FF" w14:textId="25C6082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48E3BCA" w14:textId="035EAFD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4.061.497</w:t>
            </w:r>
          </w:p>
        </w:tc>
        <w:tc>
          <w:tcPr>
            <w:tcW w:w="278" w:type="pct"/>
            <w:vAlign w:val="center"/>
          </w:tcPr>
          <w:p w14:paraId="5F987A70" w14:textId="4A2797F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9.132.889</w:t>
            </w:r>
          </w:p>
        </w:tc>
        <w:tc>
          <w:tcPr>
            <w:tcW w:w="278" w:type="pct"/>
            <w:vAlign w:val="center"/>
          </w:tcPr>
          <w:p w14:paraId="779E1485" w14:textId="2FCA1FE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118.042</w:t>
            </w:r>
          </w:p>
        </w:tc>
        <w:tc>
          <w:tcPr>
            <w:tcW w:w="231" w:type="pct"/>
            <w:vAlign w:val="center"/>
          </w:tcPr>
          <w:p w14:paraId="0686197F" w14:textId="6781EC5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10.800</w:t>
            </w:r>
          </w:p>
        </w:tc>
        <w:tc>
          <w:tcPr>
            <w:tcW w:w="255" w:type="pct"/>
            <w:vAlign w:val="center"/>
          </w:tcPr>
          <w:p w14:paraId="618CD542" w14:textId="71BA008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10.624</w:t>
            </w:r>
          </w:p>
        </w:tc>
        <w:tc>
          <w:tcPr>
            <w:tcW w:w="231" w:type="pct"/>
            <w:vAlign w:val="center"/>
          </w:tcPr>
          <w:p w14:paraId="72DE20B0" w14:textId="10038FB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363</w:t>
            </w:r>
          </w:p>
        </w:tc>
        <w:tc>
          <w:tcPr>
            <w:tcW w:w="88" w:type="pct"/>
            <w:vAlign w:val="center"/>
          </w:tcPr>
          <w:p w14:paraId="4E98E65D" w14:textId="5B62439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5ACA6350" w14:textId="7C61006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2150D2A0" w14:textId="18773EB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34AD0071" w14:textId="0BC2404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28.128</w:t>
            </w:r>
          </w:p>
        </w:tc>
        <w:tc>
          <w:tcPr>
            <w:tcW w:w="255" w:type="pct"/>
            <w:vAlign w:val="center"/>
          </w:tcPr>
          <w:p w14:paraId="6BF6D15B" w14:textId="2660AEF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295.805</w:t>
            </w:r>
          </w:p>
        </w:tc>
        <w:tc>
          <w:tcPr>
            <w:tcW w:w="255" w:type="pct"/>
            <w:vAlign w:val="center"/>
          </w:tcPr>
          <w:p w14:paraId="76CA75E2" w14:textId="457897E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58.975.978</w:t>
            </w:r>
          </w:p>
        </w:tc>
        <w:tc>
          <w:tcPr>
            <w:tcW w:w="278" w:type="pct"/>
            <w:vAlign w:val="center"/>
          </w:tcPr>
          <w:p w14:paraId="5019599C" w14:textId="63729B1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63.331.347</w:t>
            </w:r>
          </w:p>
        </w:tc>
        <w:tc>
          <w:tcPr>
            <w:tcW w:w="278" w:type="pct"/>
            <w:vAlign w:val="center"/>
          </w:tcPr>
          <w:p w14:paraId="778F8EE9" w14:textId="53033F2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9.302.779</w:t>
            </w:r>
          </w:p>
        </w:tc>
        <w:tc>
          <w:tcPr>
            <w:tcW w:w="278" w:type="pct"/>
            <w:vAlign w:val="center"/>
          </w:tcPr>
          <w:p w14:paraId="596A674C" w14:textId="249EDD30"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72.634.126</w:t>
            </w:r>
          </w:p>
        </w:tc>
      </w:tr>
      <w:tr w:rsidR="00D1663E" w:rsidRPr="00FB38E1" w14:paraId="0962C6C1" w14:textId="77777777" w:rsidTr="001B6DB1">
        <w:tc>
          <w:tcPr>
            <w:tcW w:w="627" w:type="pct"/>
            <w:tcMar>
              <w:left w:w="170" w:type="dxa"/>
            </w:tcMar>
            <w:vAlign w:val="center"/>
          </w:tcPr>
          <w:p w14:paraId="26B59F48" w14:textId="53B5C9B4"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Gayrimenkul ve Kira Hizm.</w:t>
            </w:r>
          </w:p>
        </w:tc>
        <w:tc>
          <w:tcPr>
            <w:tcW w:w="291" w:type="pct"/>
            <w:tcBorders>
              <w:top w:val="nil"/>
              <w:left w:val="nil"/>
              <w:bottom w:val="nil"/>
              <w:right w:val="nil"/>
            </w:tcBorders>
            <w:shd w:val="clear" w:color="auto" w:fill="auto"/>
            <w:vAlign w:val="center"/>
          </w:tcPr>
          <w:p w14:paraId="20AC467B" w14:textId="48555D3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0C188E71" w14:textId="56D5007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24.769</w:t>
            </w:r>
          </w:p>
        </w:tc>
        <w:tc>
          <w:tcPr>
            <w:tcW w:w="182" w:type="pct"/>
            <w:vAlign w:val="center"/>
          </w:tcPr>
          <w:p w14:paraId="251D298B" w14:textId="7C8F96E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6ACF7E94" w14:textId="58FE802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3537DFBD" w14:textId="16E7EDC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3B8F25C2" w14:textId="2DCF02F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7DA863FB" w14:textId="347C983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57.888</w:t>
            </w:r>
          </w:p>
        </w:tc>
        <w:tc>
          <w:tcPr>
            <w:tcW w:w="278" w:type="pct"/>
            <w:vAlign w:val="center"/>
          </w:tcPr>
          <w:p w14:paraId="40109297" w14:textId="3E73375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158.588</w:t>
            </w:r>
          </w:p>
        </w:tc>
        <w:tc>
          <w:tcPr>
            <w:tcW w:w="231" w:type="pct"/>
            <w:vAlign w:val="center"/>
          </w:tcPr>
          <w:p w14:paraId="56D46ED0" w14:textId="7CA7908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65.808</w:t>
            </w:r>
          </w:p>
        </w:tc>
        <w:tc>
          <w:tcPr>
            <w:tcW w:w="255" w:type="pct"/>
            <w:vAlign w:val="center"/>
          </w:tcPr>
          <w:p w14:paraId="2EAC181A" w14:textId="66276B8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65.881</w:t>
            </w:r>
          </w:p>
        </w:tc>
        <w:tc>
          <w:tcPr>
            <w:tcW w:w="231" w:type="pct"/>
            <w:vAlign w:val="center"/>
          </w:tcPr>
          <w:p w14:paraId="1B255E90" w14:textId="0E77140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1.418</w:t>
            </w:r>
          </w:p>
        </w:tc>
        <w:tc>
          <w:tcPr>
            <w:tcW w:w="88" w:type="pct"/>
            <w:vAlign w:val="center"/>
          </w:tcPr>
          <w:p w14:paraId="03A967DF" w14:textId="2D054C0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15029A46" w14:textId="5D91EFA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1FE5351E" w14:textId="0F12D63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37337087" w14:textId="68A61EA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4B70C076" w14:textId="5DC69CC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w:t>
            </w:r>
          </w:p>
        </w:tc>
        <w:tc>
          <w:tcPr>
            <w:tcW w:w="255" w:type="pct"/>
            <w:vAlign w:val="center"/>
          </w:tcPr>
          <w:p w14:paraId="3F944B67" w14:textId="6EEA4A9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371D94C5" w14:textId="6A30C28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371.571</w:t>
            </w:r>
          </w:p>
        </w:tc>
        <w:tc>
          <w:tcPr>
            <w:tcW w:w="278" w:type="pct"/>
            <w:vAlign w:val="center"/>
          </w:tcPr>
          <w:p w14:paraId="04E1280E" w14:textId="666EE5F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2.791</w:t>
            </w:r>
          </w:p>
        </w:tc>
        <w:tc>
          <w:tcPr>
            <w:tcW w:w="278" w:type="pct"/>
            <w:vAlign w:val="center"/>
          </w:tcPr>
          <w:p w14:paraId="4CCA566F" w14:textId="0EBFD435"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374.362</w:t>
            </w:r>
          </w:p>
        </w:tc>
      </w:tr>
      <w:tr w:rsidR="00D1663E" w:rsidRPr="00FB38E1" w14:paraId="4581F214" w14:textId="77777777" w:rsidTr="001B6DB1">
        <w:tc>
          <w:tcPr>
            <w:tcW w:w="627" w:type="pct"/>
            <w:tcMar>
              <w:left w:w="170" w:type="dxa"/>
            </w:tcMar>
            <w:vAlign w:val="center"/>
          </w:tcPr>
          <w:p w14:paraId="2D6F9934" w14:textId="6449C6C6"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Serbest Meslek Hizmetleri</w:t>
            </w:r>
          </w:p>
        </w:tc>
        <w:tc>
          <w:tcPr>
            <w:tcW w:w="291" w:type="pct"/>
            <w:tcBorders>
              <w:top w:val="nil"/>
              <w:left w:val="nil"/>
              <w:bottom w:val="nil"/>
              <w:right w:val="nil"/>
            </w:tcBorders>
            <w:shd w:val="clear" w:color="auto" w:fill="auto"/>
            <w:vAlign w:val="center"/>
          </w:tcPr>
          <w:p w14:paraId="2D55377C" w14:textId="3A9185E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393E507C" w14:textId="4ED80C4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26A286FB" w14:textId="7AA850F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44210E2B" w14:textId="01929B6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4329704C" w14:textId="455646C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7C5E3EF" w14:textId="45F3EB9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6DC616DF" w14:textId="11D5CB9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63685B0D" w14:textId="7402583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3579ED3F" w14:textId="3504E54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218F5677" w14:textId="6757E84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31" w:type="pct"/>
            <w:vAlign w:val="center"/>
          </w:tcPr>
          <w:p w14:paraId="12F4DF23" w14:textId="1BB2147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5720F544" w14:textId="42332F4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266E0A58" w14:textId="36126A5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668FA73C" w14:textId="4215B11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300F9DC3" w14:textId="64F3BEE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62240A12" w14:textId="742D521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1BA33247" w14:textId="3E93EFC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5ECC8A2F" w14:textId="6284381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67DE1659" w14:textId="0DDF548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4E0C360A" w14:textId="7422EDAE"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w:t>
            </w:r>
          </w:p>
        </w:tc>
      </w:tr>
      <w:tr w:rsidR="00D1663E" w:rsidRPr="00FB38E1" w14:paraId="18666F82" w14:textId="77777777" w:rsidTr="001B6DB1">
        <w:tc>
          <w:tcPr>
            <w:tcW w:w="627" w:type="pct"/>
            <w:tcMar>
              <w:left w:w="170" w:type="dxa"/>
            </w:tcMar>
            <w:vAlign w:val="center"/>
          </w:tcPr>
          <w:p w14:paraId="2530B7F1" w14:textId="0CCE3AFD"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Eğitim Hizmetleri</w:t>
            </w:r>
          </w:p>
        </w:tc>
        <w:tc>
          <w:tcPr>
            <w:tcW w:w="291" w:type="pct"/>
            <w:tcBorders>
              <w:top w:val="nil"/>
              <w:left w:val="nil"/>
              <w:bottom w:val="nil"/>
              <w:right w:val="nil"/>
            </w:tcBorders>
            <w:shd w:val="clear" w:color="auto" w:fill="auto"/>
            <w:vAlign w:val="center"/>
          </w:tcPr>
          <w:p w14:paraId="590D67C0" w14:textId="17AF166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72520A5D" w14:textId="0EE3B95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53.768</w:t>
            </w:r>
          </w:p>
        </w:tc>
        <w:tc>
          <w:tcPr>
            <w:tcW w:w="182" w:type="pct"/>
            <w:vAlign w:val="center"/>
          </w:tcPr>
          <w:p w14:paraId="506474EA" w14:textId="7433357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38E61AD6" w14:textId="11F04013"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6EA057CF" w14:textId="741DAEE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185598C3" w14:textId="5E796E24"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26D22E5C" w14:textId="0C4704E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931.146</w:t>
            </w:r>
          </w:p>
        </w:tc>
        <w:tc>
          <w:tcPr>
            <w:tcW w:w="278" w:type="pct"/>
            <w:vAlign w:val="center"/>
          </w:tcPr>
          <w:p w14:paraId="684937C4" w14:textId="0A9078D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263.277</w:t>
            </w:r>
          </w:p>
        </w:tc>
        <w:tc>
          <w:tcPr>
            <w:tcW w:w="231" w:type="pct"/>
            <w:vAlign w:val="center"/>
          </w:tcPr>
          <w:p w14:paraId="5BED4AD2" w14:textId="1FE14DE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51.376</w:t>
            </w:r>
          </w:p>
        </w:tc>
        <w:tc>
          <w:tcPr>
            <w:tcW w:w="255" w:type="pct"/>
            <w:vAlign w:val="center"/>
          </w:tcPr>
          <w:p w14:paraId="395C345B" w14:textId="2AC9DAB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598.931</w:t>
            </w:r>
          </w:p>
        </w:tc>
        <w:tc>
          <w:tcPr>
            <w:tcW w:w="231" w:type="pct"/>
            <w:vAlign w:val="center"/>
          </w:tcPr>
          <w:p w14:paraId="21514746" w14:textId="641AB24B"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6.479</w:t>
            </w:r>
          </w:p>
        </w:tc>
        <w:tc>
          <w:tcPr>
            <w:tcW w:w="88" w:type="pct"/>
            <w:vAlign w:val="center"/>
          </w:tcPr>
          <w:p w14:paraId="46281575" w14:textId="26D8C9C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0ACBF8DB" w14:textId="54E89DA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4E16AABF" w14:textId="42CBA90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56A13C46" w14:textId="4529232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02922FF0" w14:textId="737D981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w:t>
            </w:r>
          </w:p>
        </w:tc>
        <w:tc>
          <w:tcPr>
            <w:tcW w:w="255" w:type="pct"/>
            <w:vAlign w:val="center"/>
          </w:tcPr>
          <w:p w14:paraId="3D45A9E2" w14:textId="5B1C8F88"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34931693" w14:textId="371A7F57"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1.822.273</w:t>
            </w:r>
          </w:p>
        </w:tc>
        <w:tc>
          <w:tcPr>
            <w:tcW w:w="278" w:type="pct"/>
            <w:vAlign w:val="center"/>
          </w:tcPr>
          <w:p w14:paraId="09D5DD39" w14:textId="6007523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82.707</w:t>
            </w:r>
          </w:p>
        </w:tc>
        <w:tc>
          <w:tcPr>
            <w:tcW w:w="278" w:type="pct"/>
            <w:vAlign w:val="center"/>
          </w:tcPr>
          <w:p w14:paraId="6C9482AF" w14:textId="349F504A"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1.904.980</w:t>
            </w:r>
          </w:p>
        </w:tc>
      </w:tr>
      <w:tr w:rsidR="00D1663E" w:rsidRPr="00FB38E1" w14:paraId="7605C61F" w14:textId="77777777" w:rsidTr="001B6DB1">
        <w:tc>
          <w:tcPr>
            <w:tcW w:w="627" w:type="pct"/>
            <w:tcMar>
              <w:left w:w="170" w:type="dxa"/>
            </w:tcMar>
            <w:vAlign w:val="center"/>
          </w:tcPr>
          <w:p w14:paraId="2CD0927D" w14:textId="1D67647D"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Sağlık ve Sosyal Hizmetler</w:t>
            </w:r>
          </w:p>
        </w:tc>
        <w:tc>
          <w:tcPr>
            <w:tcW w:w="291" w:type="pct"/>
            <w:tcBorders>
              <w:top w:val="nil"/>
              <w:left w:val="nil"/>
              <w:bottom w:val="nil"/>
              <w:right w:val="nil"/>
            </w:tcBorders>
            <w:shd w:val="clear" w:color="auto" w:fill="auto"/>
            <w:vAlign w:val="center"/>
          </w:tcPr>
          <w:p w14:paraId="58908B18" w14:textId="286ABF1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2" w:type="pct"/>
            <w:vAlign w:val="center"/>
          </w:tcPr>
          <w:p w14:paraId="3C34EEB6" w14:textId="4382BCCD"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10.162</w:t>
            </w:r>
          </w:p>
        </w:tc>
        <w:tc>
          <w:tcPr>
            <w:tcW w:w="182" w:type="pct"/>
            <w:vAlign w:val="center"/>
          </w:tcPr>
          <w:p w14:paraId="55B69189" w14:textId="394194CF"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82" w:type="pct"/>
            <w:vAlign w:val="center"/>
          </w:tcPr>
          <w:p w14:paraId="57FA114E" w14:textId="45B760E0"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29" w:type="pct"/>
            <w:vAlign w:val="center"/>
          </w:tcPr>
          <w:p w14:paraId="2F76C3B0" w14:textId="1FF8B44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7A3E156B" w14:textId="6752950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3AC8ABF2" w14:textId="52D94BD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2.901.539</w:t>
            </w:r>
          </w:p>
        </w:tc>
        <w:tc>
          <w:tcPr>
            <w:tcW w:w="278" w:type="pct"/>
            <w:vAlign w:val="center"/>
          </w:tcPr>
          <w:p w14:paraId="3F794957" w14:textId="14261E3C"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305.773</w:t>
            </w:r>
          </w:p>
        </w:tc>
        <w:tc>
          <w:tcPr>
            <w:tcW w:w="231" w:type="pct"/>
            <w:vAlign w:val="center"/>
          </w:tcPr>
          <w:p w14:paraId="2AFF740F" w14:textId="028BA78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78.947</w:t>
            </w:r>
          </w:p>
        </w:tc>
        <w:tc>
          <w:tcPr>
            <w:tcW w:w="255" w:type="pct"/>
            <w:vAlign w:val="center"/>
          </w:tcPr>
          <w:p w14:paraId="25143B0B" w14:textId="7FF1240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232.962</w:t>
            </w:r>
          </w:p>
        </w:tc>
        <w:tc>
          <w:tcPr>
            <w:tcW w:w="231" w:type="pct"/>
            <w:vAlign w:val="center"/>
          </w:tcPr>
          <w:p w14:paraId="1429D570" w14:textId="53BD1B62"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36.371</w:t>
            </w:r>
          </w:p>
        </w:tc>
        <w:tc>
          <w:tcPr>
            <w:tcW w:w="88" w:type="pct"/>
            <w:vAlign w:val="center"/>
          </w:tcPr>
          <w:p w14:paraId="23EDE542" w14:textId="0EFFB4A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88" w:type="pct"/>
            <w:vAlign w:val="center"/>
          </w:tcPr>
          <w:p w14:paraId="7880D7F6" w14:textId="60A5A661"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90" w:type="pct"/>
            <w:vAlign w:val="center"/>
          </w:tcPr>
          <w:p w14:paraId="01E9E10C" w14:textId="0C71D385"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171" w:type="pct"/>
            <w:vAlign w:val="center"/>
          </w:tcPr>
          <w:p w14:paraId="046B3366" w14:textId="0C58BFA9"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1F9F7FB7" w14:textId="5265BAC6"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55" w:type="pct"/>
            <w:vAlign w:val="center"/>
          </w:tcPr>
          <w:p w14:paraId="44F347AB" w14:textId="5A8EBD9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78" w:type="pct"/>
            <w:vAlign w:val="center"/>
          </w:tcPr>
          <w:p w14:paraId="44113E8E" w14:textId="648A089A"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1.685.286</w:t>
            </w:r>
          </w:p>
        </w:tc>
        <w:tc>
          <w:tcPr>
            <w:tcW w:w="278" w:type="pct"/>
            <w:vAlign w:val="center"/>
          </w:tcPr>
          <w:p w14:paraId="64999E0F" w14:textId="20C4A29E" w:rsidR="00D1663E" w:rsidRPr="00FB38E1" w:rsidRDefault="00D1663E" w:rsidP="00D1663E">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1.880.468</w:t>
            </w:r>
          </w:p>
        </w:tc>
        <w:tc>
          <w:tcPr>
            <w:tcW w:w="278" w:type="pct"/>
            <w:vAlign w:val="center"/>
          </w:tcPr>
          <w:p w14:paraId="7451826F" w14:textId="26BB7A56" w:rsidR="00D1663E" w:rsidRPr="00FB38E1" w:rsidRDefault="00D1663E" w:rsidP="00D1663E">
            <w:pPr>
              <w:jc w:val="right"/>
              <w:rPr>
                <w:rFonts w:ascii="Microsoft Sans Serif" w:hAnsi="Microsoft Sans Serif" w:cs="Microsoft Sans Serif"/>
                <w:color w:val="000000"/>
                <w:sz w:val="12"/>
                <w:szCs w:val="12"/>
              </w:rPr>
            </w:pPr>
            <w:r w:rsidRPr="00FB38E1">
              <w:rPr>
                <w:rFonts w:ascii="Microsoft Sans Serif" w:hAnsi="Microsoft Sans Serif" w:cs="Microsoft Sans Serif"/>
                <w:color w:val="000000"/>
                <w:sz w:val="12"/>
                <w:szCs w:val="12"/>
              </w:rPr>
              <w:t>3.565.754</w:t>
            </w:r>
          </w:p>
        </w:tc>
      </w:tr>
      <w:tr w:rsidR="00D1663E" w:rsidRPr="00FB38E1" w14:paraId="792AAC61" w14:textId="77777777" w:rsidTr="001B6DB1">
        <w:tc>
          <w:tcPr>
            <w:tcW w:w="627" w:type="pct"/>
            <w:vAlign w:val="center"/>
          </w:tcPr>
          <w:p w14:paraId="568E7F62" w14:textId="193E9E09" w:rsidR="00D1663E" w:rsidRPr="00FB38E1" w:rsidRDefault="00D1663E" w:rsidP="00D1663E">
            <w:pPr>
              <w:rPr>
                <w:rFonts w:ascii="Microsoft Sans Serif" w:hAnsi="Microsoft Sans Serif" w:cs="Microsoft Sans Serif"/>
                <w:b/>
                <w:color w:val="404040"/>
                <w:sz w:val="12"/>
                <w:szCs w:val="12"/>
              </w:rPr>
            </w:pPr>
            <w:r w:rsidRPr="00FB38E1">
              <w:rPr>
                <w:rFonts w:ascii="Microsoft Sans Serif" w:hAnsi="Microsoft Sans Serif" w:cs="Microsoft Sans Serif"/>
                <w:b/>
                <w:color w:val="404040"/>
                <w:sz w:val="12"/>
                <w:szCs w:val="12"/>
              </w:rPr>
              <w:t>Diğer</w:t>
            </w:r>
          </w:p>
        </w:tc>
        <w:tc>
          <w:tcPr>
            <w:tcW w:w="291" w:type="pct"/>
            <w:tcBorders>
              <w:top w:val="nil"/>
              <w:left w:val="nil"/>
              <w:bottom w:val="nil"/>
              <w:right w:val="nil"/>
            </w:tcBorders>
            <w:shd w:val="clear" w:color="auto" w:fill="auto"/>
            <w:vAlign w:val="center"/>
          </w:tcPr>
          <w:p w14:paraId="33B9B0A3" w14:textId="739CA967"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280.187.764</w:t>
            </w:r>
          </w:p>
        </w:tc>
        <w:tc>
          <w:tcPr>
            <w:tcW w:w="282" w:type="pct"/>
            <w:vAlign w:val="center"/>
          </w:tcPr>
          <w:p w14:paraId="75BA357A" w14:textId="31304B33"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2.554.959</w:t>
            </w:r>
          </w:p>
        </w:tc>
        <w:tc>
          <w:tcPr>
            <w:tcW w:w="182" w:type="pct"/>
            <w:vAlign w:val="center"/>
          </w:tcPr>
          <w:p w14:paraId="03A2887A" w14:textId="371A75DD"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82" w:type="pct"/>
            <w:vAlign w:val="center"/>
          </w:tcPr>
          <w:p w14:paraId="0D5A6D3E" w14:textId="65C12687"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29" w:type="pct"/>
            <w:vAlign w:val="center"/>
          </w:tcPr>
          <w:p w14:paraId="611D8A7C" w14:textId="38191BAD"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255" w:type="pct"/>
            <w:vAlign w:val="center"/>
          </w:tcPr>
          <w:p w14:paraId="4556A245" w14:textId="74E1601D"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71.789.093</w:t>
            </w:r>
          </w:p>
        </w:tc>
        <w:tc>
          <w:tcPr>
            <w:tcW w:w="278" w:type="pct"/>
            <w:vAlign w:val="center"/>
          </w:tcPr>
          <w:p w14:paraId="279C0823" w14:textId="4A357508"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25.496.694</w:t>
            </w:r>
          </w:p>
        </w:tc>
        <w:tc>
          <w:tcPr>
            <w:tcW w:w="278" w:type="pct"/>
            <w:vAlign w:val="center"/>
          </w:tcPr>
          <w:p w14:paraId="27F0DCBD" w14:textId="0E4E2891"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177.584.640</w:t>
            </w:r>
          </w:p>
        </w:tc>
        <w:tc>
          <w:tcPr>
            <w:tcW w:w="231" w:type="pct"/>
            <w:vAlign w:val="center"/>
          </w:tcPr>
          <w:p w14:paraId="5E511713" w14:textId="5AC53CB7"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3.484.488</w:t>
            </w:r>
          </w:p>
        </w:tc>
        <w:tc>
          <w:tcPr>
            <w:tcW w:w="255" w:type="pct"/>
            <w:vAlign w:val="center"/>
          </w:tcPr>
          <w:p w14:paraId="67EF1AA0" w14:textId="1D9673CD"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7.103.597</w:t>
            </w:r>
          </w:p>
        </w:tc>
        <w:tc>
          <w:tcPr>
            <w:tcW w:w="231" w:type="pct"/>
            <w:vAlign w:val="center"/>
          </w:tcPr>
          <w:p w14:paraId="5ADD6D73" w14:textId="0B1EF511"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1.777.590</w:t>
            </w:r>
          </w:p>
        </w:tc>
        <w:tc>
          <w:tcPr>
            <w:tcW w:w="88" w:type="pct"/>
            <w:vAlign w:val="center"/>
          </w:tcPr>
          <w:p w14:paraId="7BBCC23F" w14:textId="166C7EFF"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88" w:type="pct"/>
            <w:vAlign w:val="center"/>
          </w:tcPr>
          <w:p w14:paraId="1374D331" w14:textId="411F5E9B"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90" w:type="pct"/>
            <w:vAlign w:val="center"/>
          </w:tcPr>
          <w:p w14:paraId="03D6AC49" w14:textId="3C1BAD46"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w:t>
            </w:r>
          </w:p>
        </w:tc>
        <w:tc>
          <w:tcPr>
            <w:tcW w:w="171" w:type="pct"/>
            <w:vAlign w:val="center"/>
          </w:tcPr>
          <w:p w14:paraId="5D9C29CF" w14:textId="1B8B28C7"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300</w:t>
            </w:r>
          </w:p>
        </w:tc>
        <w:tc>
          <w:tcPr>
            <w:tcW w:w="255" w:type="pct"/>
            <w:vAlign w:val="center"/>
          </w:tcPr>
          <w:p w14:paraId="4AFCDA5E" w14:textId="7FEB3BCD"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43.289.731</w:t>
            </w:r>
          </w:p>
        </w:tc>
        <w:tc>
          <w:tcPr>
            <w:tcW w:w="255" w:type="pct"/>
            <w:vAlign w:val="center"/>
          </w:tcPr>
          <w:p w14:paraId="61521EC4" w14:textId="16AFE890"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10.224.962</w:t>
            </w:r>
          </w:p>
        </w:tc>
        <w:tc>
          <w:tcPr>
            <w:tcW w:w="278" w:type="pct"/>
            <w:vAlign w:val="center"/>
          </w:tcPr>
          <w:p w14:paraId="26731E25" w14:textId="5559F55D"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472.625.596</w:t>
            </w:r>
          </w:p>
        </w:tc>
        <w:tc>
          <w:tcPr>
            <w:tcW w:w="278" w:type="pct"/>
            <w:vAlign w:val="center"/>
          </w:tcPr>
          <w:p w14:paraId="29583C39" w14:textId="2518BABB" w:rsidR="00D1663E" w:rsidRPr="00FB38E1" w:rsidRDefault="00D1663E" w:rsidP="00D1663E">
            <w:pPr>
              <w:jc w:val="right"/>
              <w:rPr>
                <w:rFonts w:ascii="Microsoft Sans Serif" w:hAnsi="Microsoft Sans Serif" w:cs="Microsoft Sans Serif"/>
                <w:b/>
                <w:bCs/>
                <w:color w:val="404040"/>
                <w:sz w:val="12"/>
                <w:szCs w:val="12"/>
              </w:rPr>
            </w:pPr>
            <w:r w:rsidRPr="00FB38E1">
              <w:rPr>
                <w:rFonts w:ascii="Microsoft Sans Serif" w:hAnsi="Microsoft Sans Serif" w:cs="Microsoft Sans Serif"/>
                <w:b/>
                <w:bCs/>
                <w:color w:val="404040"/>
                <w:sz w:val="12"/>
                <w:szCs w:val="12"/>
              </w:rPr>
              <w:t>150.868.222</w:t>
            </w:r>
          </w:p>
        </w:tc>
        <w:tc>
          <w:tcPr>
            <w:tcW w:w="278" w:type="pct"/>
            <w:vAlign w:val="center"/>
          </w:tcPr>
          <w:p w14:paraId="390B14D3" w14:textId="30529C31"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623.493.818</w:t>
            </w:r>
          </w:p>
        </w:tc>
      </w:tr>
      <w:tr w:rsidR="00D1663E" w:rsidRPr="00FB38E1" w14:paraId="6CB01FC9" w14:textId="77777777" w:rsidTr="001B6DB1">
        <w:tc>
          <w:tcPr>
            <w:tcW w:w="627" w:type="pct"/>
            <w:tcBorders>
              <w:top w:val="single" w:sz="4" w:space="0" w:color="auto"/>
              <w:bottom w:val="thickThinSmallGap" w:sz="24" w:space="0" w:color="auto"/>
            </w:tcBorders>
            <w:vAlign w:val="center"/>
          </w:tcPr>
          <w:p w14:paraId="7523FB3F" w14:textId="407988E4" w:rsidR="00D1663E" w:rsidRPr="00FB38E1" w:rsidRDefault="00D1663E" w:rsidP="00D1663E">
            <w:pP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w:t>
            </w:r>
          </w:p>
        </w:tc>
        <w:tc>
          <w:tcPr>
            <w:tcW w:w="291" w:type="pct"/>
            <w:tcBorders>
              <w:top w:val="single" w:sz="4" w:space="0" w:color="auto"/>
              <w:bottom w:val="thickThinSmallGap" w:sz="24" w:space="0" w:color="auto"/>
            </w:tcBorders>
            <w:vAlign w:val="center"/>
          </w:tcPr>
          <w:p w14:paraId="006AA364" w14:textId="47532609"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282.545.751</w:t>
            </w:r>
          </w:p>
        </w:tc>
        <w:tc>
          <w:tcPr>
            <w:tcW w:w="282" w:type="pct"/>
            <w:tcBorders>
              <w:top w:val="single" w:sz="4" w:space="0" w:color="auto"/>
              <w:bottom w:val="thickThinSmallGap" w:sz="24" w:space="0" w:color="auto"/>
            </w:tcBorders>
            <w:vAlign w:val="center"/>
          </w:tcPr>
          <w:p w14:paraId="160ADE6A" w14:textId="4581BF1B"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3.564.658</w:t>
            </w:r>
          </w:p>
        </w:tc>
        <w:tc>
          <w:tcPr>
            <w:tcW w:w="182" w:type="pct"/>
            <w:tcBorders>
              <w:top w:val="single" w:sz="4" w:space="0" w:color="auto"/>
              <w:bottom w:val="thickThinSmallGap" w:sz="24" w:space="0" w:color="auto"/>
            </w:tcBorders>
            <w:vAlign w:val="center"/>
          </w:tcPr>
          <w:p w14:paraId="3A034CFE" w14:textId="50E0D1B3"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7.334.860</w:t>
            </w:r>
          </w:p>
        </w:tc>
        <w:tc>
          <w:tcPr>
            <w:tcW w:w="182" w:type="pct"/>
            <w:tcBorders>
              <w:top w:val="single" w:sz="4" w:space="0" w:color="auto"/>
              <w:bottom w:val="thickThinSmallGap" w:sz="24" w:space="0" w:color="auto"/>
            </w:tcBorders>
            <w:vAlign w:val="center"/>
          </w:tcPr>
          <w:p w14:paraId="2BAD925D" w14:textId="469763D2"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29" w:type="pct"/>
            <w:tcBorders>
              <w:top w:val="single" w:sz="4" w:space="0" w:color="auto"/>
              <w:bottom w:val="thickThinSmallGap" w:sz="24" w:space="0" w:color="auto"/>
            </w:tcBorders>
            <w:vAlign w:val="center"/>
          </w:tcPr>
          <w:p w14:paraId="3CD4D31A" w14:textId="1AE6D8B3"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255" w:type="pct"/>
            <w:tcBorders>
              <w:top w:val="single" w:sz="4" w:space="0" w:color="auto"/>
              <w:bottom w:val="thickThinSmallGap" w:sz="24" w:space="0" w:color="auto"/>
            </w:tcBorders>
            <w:vAlign w:val="center"/>
          </w:tcPr>
          <w:p w14:paraId="4BB353B4" w14:textId="0CDD981B"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75.851.417</w:t>
            </w:r>
          </w:p>
        </w:tc>
        <w:tc>
          <w:tcPr>
            <w:tcW w:w="278" w:type="pct"/>
            <w:tcBorders>
              <w:top w:val="single" w:sz="4" w:space="0" w:color="auto"/>
              <w:bottom w:val="thickThinSmallGap" w:sz="24" w:space="0" w:color="auto"/>
            </w:tcBorders>
            <w:vAlign w:val="center"/>
          </w:tcPr>
          <w:p w14:paraId="399EF044" w14:textId="07D27C29"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202.116.422</w:t>
            </w:r>
          </w:p>
        </w:tc>
        <w:tc>
          <w:tcPr>
            <w:tcW w:w="278" w:type="pct"/>
            <w:tcBorders>
              <w:top w:val="single" w:sz="4" w:space="0" w:color="auto"/>
              <w:bottom w:val="thickThinSmallGap" w:sz="24" w:space="0" w:color="auto"/>
            </w:tcBorders>
            <w:vAlign w:val="center"/>
          </w:tcPr>
          <w:p w14:paraId="21742C4F" w14:textId="4B9099A6"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226.169.352</w:t>
            </w:r>
          </w:p>
        </w:tc>
        <w:tc>
          <w:tcPr>
            <w:tcW w:w="231" w:type="pct"/>
            <w:tcBorders>
              <w:top w:val="single" w:sz="4" w:space="0" w:color="auto"/>
              <w:bottom w:val="thickThinSmallGap" w:sz="24" w:space="0" w:color="auto"/>
            </w:tcBorders>
            <w:vAlign w:val="center"/>
          </w:tcPr>
          <w:p w14:paraId="00D490BE" w14:textId="4D4A96D6"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11.337.999</w:t>
            </w:r>
          </w:p>
        </w:tc>
        <w:tc>
          <w:tcPr>
            <w:tcW w:w="255" w:type="pct"/>
            <w:tcBorders>
              <w:top w:val="single" w:sz="4" w:space="0" w:color="auto"/>
              <w:bottom w:val="thickThinSmallGap" w:sz="24" w:space="0" w:color="auto"/>
            </w:tcBorders>
            <w:vAlign w:val="center"/>
          </w:tcPr>
          <w:p w14:paraId="75C18BC8" w14:textId="52F164C7"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36.598.264</w:t>
            </w:r>
          </w:p>
        </w:tc>
        <w:tc>
          <w:tcPr>
            <w:tcW w:w="231" w:type="pct"/>
            <w:tcBorders>
              <w:top w:val="single" w:sz="4" w:space="0" w:color="auto"/>
              <w:bottom w:val="thickThinSmallGap" w:sz="24" w:space="0" w:color="auto"/>
            </w:tcBorders>
            <w:vAlign w:val="center"/>
          </w:tcPr>
          <w:p w14:paraId="1D1C71CB" w14:textId="43CBCF20"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6.010.793</w:t>
            </w:r>
          </w:p>
        </w:tc>
        <w:tc>
          <w:tcPr>
            <w:tcW w:w="88" w:type="pct"/>
            <w:tcBorders>
              <w:top w:val="single" w:sz="4" w:space="0" w:color="auto"/>
              <w:bottom w:val="thickThinSmallGap" w:sz="24" w:space="0" w:color="auto"/>
            </w:tcBorders>
            <w:vAlign w:val="center"/>
          </w:tcPr>
          <w:p w14:paraId="67463A9B" w14:textId="30D2F671"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88" w:type="pct"/>
            <w:tcBorders>
              <w:top w:val="single" w:sz="4" w:space="0" w:color="auto"/>
              <w:bottom w:val="thickThinSmallGap" w:sz="24" w:space="0" w:color="auto"/>
            </w:tcBorders>
            <w:vAlign w:val="center"/>
          </w:tcPr>
          <w:p w14:paraId="0C433F8D" w14:textId="7D4B6904"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90" w:type="pct"/>
            <w:tcBorders>
              <w:top w:val="single" w:sz="4" w:space="0" w:color="auto"/>
              <w:bottom w:val="thickThinSmallGap" w:sz="24" w:space="0" w:color="auto"/>
            </w:tcBorders>
            <w:vAlign w:val="center"/>
          </w:tcPr>
          <w:p w14:paraId="0AE9C5A3" w14:textId="597B2E46"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w:t>
            </w:r>
          </w:p>
        </w:tc>
        <w:tc>
          <w:tcPr>
            <w:tcW w:w="171" w:type="pct"/>
            <w:tcBorders>
              <w:top w:val="single" w:sz="4" w:space="0" w:color="auto"/>
              <w:bottom w:val="thickThinSmallGap" w:sz="24" w:space="0" w:color="auto"/>
            </w:tcBorders>
            <w:vAlign w:val="center"/>
          </w:tcPr>
          <w:p w14:paraId="454FC7A5" w14:textId="70E9220D"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28.428</w:t>
            </w:r>
          </w:p>
        </w:tc>
        <w:tc>
          <w:tcPr>
            <w:tcW w:w="255" w:type="pct"/>
            <w:tcBorders>
              <w:top w:val="single" w:sz="4" w:space="0" w:color="auto"/>
              <w:bottom w:val="thickThinSmallGap" w:sz="24" w:space="0" w:color="auto"/>
            </w:tcBorders>
            <w:vAlign w:val="center"/>
          </w:tcPr>
          <w:p w14:paraId="20AADF15" w14:textId="48CA27C6"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43.586.025</w:t>
            </w:r>
          </w:p>
        </w:tc>
        <w:tc>
          <w:tcPr>
            <w:tcW w:w="255" w:type="pct"/>
            <w:tcBorders>
              <w:top w:val="single" w:sz="4" w:space="0" w:color="auto"/>
              <w:bottom w:val="thickThinSmallGap" w:sz="24" w:space="0" w:color="auto"/>
            </w:tcBorders>
            <w:vAlign w:val="center"/>
          </w:tcPr>
          <w:p w14:paraId="563CEFCF" w14:textId="4AC6C5BE"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69.203.740</w:t>
            </w:r>
          </w:p>
        </w:tc>
        <w:tc>
          <w:tcPr>
            <w:tcW w:w="278" w:type="pct"/>
            <w:tcBorders>
              <w:top w:val="single" w:sz="4" w:space="0" w:color="auto"/>
              <w:bottom w:val="thickThinSmallGap" w:sz="24" w:space="0" w:color="auto"/>
            </w:tcBorders>
            <w:vAlign w:val="center"/>
          </w:tcPr>
          <w:p w14:paraId="7AC8C777" w14:textId="0CD2BBF8"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679.060.585</w:t>
            </w:r>
          </w:p>
        </w:tc>
        <w:tc>
          <w:tcPr>
            <w:tcW w:w="278" w:type="pct"/>
            <w:tcBorders>
              <w:top w:val="single" w:sz="4" w:space="0" w:color="auto"/>
              <w:bottom w:val="thickThinSmallGap" w:sz="24" w:space="0" w:color="auto"/>
            </w:tcBorders>
            <w:vAlign w:val="center"/>
          </w:tcPr>
          <w:p w14:paraId="03991652" w14:textId="0CBFF828"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285.287.124</w:t>
            </w:r>
          </w:p>
        </w:tc>
        <w:tc>
          <w:tcPr>
            <w:tcW w:w="278" w:type="pct"/>
            <w:tcBorders>
              <w:top w:val="single" w:sz="4" w:space="0" w:color="auto"/>
              <w:bottom w:val="thickThinSmallGap" w:sz="24" w:space="0" w:color="auto"/>
            </w:tcBorders>
            <w:vAlign w:val="center"/>
          </w:tcPr>
          <w:p w14:paraId="22FA0575" w14:textId="7B1B6BA5" w:rsidR="00D1663E" w:rsidRPr="00FB38E1" w:rsidRDefault="00D1663E" w:rsidP="00D1663E">
            <w:pPr>
              <w:jc w:val="right"/>
              <w:rPr>
                <w:rFonts w:ascii="Microsoft Sans Serif" w:hAnsi="Microsoft Sans Serif" w:cs="Microsoft Sans Serif"/>
                <w:b/>
                <w:bCs/>
                <w:color w:val="000000"/>
                <w:sz w:val="12"/>
                <w:szCs w:val="12"/>
              </w:rPr>
            </w:pPr>
            <w:r w:rsidRPr="00FB38E1">
              <w:rPr>
                <w:rFonts w:ascii="Microsoft Sans Serif" w:hAnsi="Microsoft Sans Serif" w:cs="Microsoft Sans Serif"/>
                <w:b/>
                <w:bCs/>
                <w:color w:val="000000"/>
                <w:sz w:val="12"/>
                <w:szCs w:val="12"/>
              </w:rPr>
              <w:t>964.347.709</w:t>
            </w:r>
          </w:p>
        </w:tc>
      </w:tr>
    </w:tbl>
    <w:p w14:paraId="3BC04A65" w14:textId="77777777" w:rsidR="00D1663E" w:rsidRPr="00FB38E1" w:rsidRDefault="00D1663E" w:rsidP="00D1663E">
      <w:pPr>
        <w:pStyle w:val="ListParagraph"/>
        <w:spacing w:before="120" w:after="0" w:line="360" w:lineRule="auto"/>
        <w:ind w:left="-85"/>
        <w:rPr>
          <w:rFonts w:ascii="Microsoft Sans Serif" w:hAnsi="Microsoft Sans Serif" w:cs="Microsoft Sans Serif"/>
          <w:bCs/>
          <w:iCs/>
          <w:color w:val="404040" w:themeColor="text1" w:themeTint="BF"/>
          <w:position w:val="6"/>
          <w:sz w:val="16"/>
          <w:szCs w:val="16"/>
        </w:rPr>
      </w:pPr>
      <w:r w:rsidRPr="00FB38E1">
        <w:rPr>
          <w:rFonts w:ascii="Microsoft Sans Serif" w:hAnsi="Microsoft Sans Serif" w:cs="Microsoft Sans Serif"/>
          <w:bCs/>
          <w:iCs/>
          <w:color w:val="404040" w:themeColor="text1" w:themeTint="BF"/>
          <w:position w:val="6"/>
          <w:sz w:val="16"/>
          <w:szCs w:val="16"/>
        </w:rPr>
        <w:t xml:space="preserve"> (*) Bankaların Sermaye Yeterliliğinin Ölçülmesine ve Değerlendirilmesine İlişkin Yönetmelikte yer alan risk sınıfları:</w:t>
      </w:r>
    </w:p>
    <w:tbl>
      <w:tblPr>
        <w:tblStyle w:val="TableGrid"/>
        <w:tblW w:w="14050" w:type="dxa"/>
        <w:tblInd w:w="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714"/>
        <w:gridCol w:w="5241"/>
        <w:gridCol w:w="708"/>
        <w:gridCol w:w="7387"/>
      </w:tblGrid>
      <w:tr w:rsidR="00D1663E" w:rsidRPr="00FB38E1" w14:paraId="49F07AE5" w14:textId="77777777" w:rsidTr="00836EF2">
        <w:tc>
          <w:tcPr>
            <w:tcW w:w="254" w:type="pct"/>
            <w:vAlign w:val="bottom"/>
          </w:tcPr>
          <w:p w14:paraId="5AF2DF94"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1:</w:t>
            </w:r>
          </w:p>
        </w:tc>
        <w:tc>
          <w:tcPr>
            <w:tcW w:w="1865" w:type="pct"/>
            <w:vAlign w:val="center"/>
          </w:tcPr>
          <w:p w14:paraId="32781745"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Merkezi yönetimlerden veya merkez bankalarından alacaklar</w:t>
            </w:r>
          </w:p>
        </w:tc>
        <w:tc>
          <w:tcPr>
            <w:tcW w:w="252" w:type="pct"/>
            <w:tcMar>
              <w:right w:w="57" w:type="dxa"/>
            </w:tcMar>
            <w:vAlign w:val="bottom"/>
          </w:tcPr>
          <w:p w14:paraId="44217820"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10:</w:t>
            </w:r>
          </w:p>
        </w:tc>
        <w:tc>
          <w:tcPr>
            <w:tcW w:w="2629" w:type="pct"/>
            <w:vAlign w:val="center"/>
          </w:tcPr>
          <w:p w14:paraId="530A3718"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Ticari amaçlı gayrimenkul ipoteği ile teminatlandırılan alacaklar</w:t>
            </w:r>
          </w:p>
        </w:tc>
      </w:tr>
      <w:tr w:rsidR="00D1663E" w:rsidRPr="00FB38E1" w14:paraId="7EB2EBBC" w14:textId="77777777" w:rsidTr="00836EF2">
        <w:tc>
          <w:tcPr>
            <w:tcW w:w="254" w:type="pct"/>
            <w:vAlign w:val="bottom"/>
          </w:tcPr>
          <w:p w14:paraId="29A7819A"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2:</w:t>
            </w:r>
          </w:p>
        </w:tc>
        <w:tc>
          <w:tcPr>
            <w:tcW w:w="1865" w:type="pct"/>
            <w:vAlign w:val="center"/>
          </w:tcPr>
          <w:p w14:paraId="1A23C5B1"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Bölgesel yönetimlerden veya yerel yönetimlerden alacaklar</w:t>
            </w:r>
          </w:p>
        </w:tc>
        <w:tc>
          <w:tcPr>
            <w:tcW w:w="252" w:type="pct"/>
            <w:tcMar>
              <w:right w:w="57" w:type="dxa"/>
            </w:tcMar>
            <w:vAlign w:val="bottom"/>
          </w:tcPr>
          <w:p w14:paraId="6963DB7C"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11:</w:t>
            </w:r>
          </w:p>
        </w:tc>
        <w:tc>
          <w:tcPr>
            <w:tcW w:w="2629" w:type="pct"/>
            <w:vAlign w:val="center"/>
          </w:tcPr>
          <w:p w14:paraId="36E80920" w14:textId="77777777" w:rsidR="00D1663E" w:rsidRPr="00FB38E1" w:rsidRDefault="00D1663E" w:rsidP="00836EF2">
            <w:pPr>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color w:val="404040"/>
                <w:sz w:val="16"/>
                <w:szCs w:val="16"/>
              </w:rPr>
              <w:t>Tahsili gecikmiş alacaklar</w:t>
            </w:r>
          </w:p>
        </w:tc>
      </w:tr>
      <w:tr w:rsidR="00D1663E" w:rsidRPr="00FB38E1" w14:paraId="732CEA86" w14:textId="77777777" w:rsidTr="00836EF2">
        <w:tc>
          <w:tcPr>
            <w:tcW w:w="254" w:type="pct"/>
            <w:shd w:val="clear" w:color="auto" w:fill="auto"/>
            <w:tcMar>
              <w:right w:w="57" w:type="dxa"/>
            </w:tcMar>
            <w:vAlign w:val="bottom"/>
          </w:tcPr>
          <w:p w14:paraId="310A86B4"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3:</w:t>
            </w:r>
          </w:p>
        </w:tc>
        <w:tc>
          <w:tcPr>
            <w:tcW w:w="1865" w:type="pct"/>
            <w:shd w:val="clear" w:color="auto" w:fill="auto"/>
            <w:tcMar>
              <w:right w:w="567" w:type="dxa"/>
            </w:tcMar>
            <w:vAlign w:val="center"/>
          </w:tcPr>
          <w:p w14:paraId="7BDE8785"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İdari birimlerden ve ticari olmayan girişimlerden alacaklar</w:t>
            </w:r>
          </w:p>
        </w:tc>
        <w:tc>
          <w:tcPr>
            <w:tcW w:w="252" w:type="pct"/>
            <w:shd w:val="clear" w:color="auto" w:fill="auto"/>
            <w:tcMar>
              <w:right w:w="57" w:type="dxa"/>
            </w:tcMar>
            <w:vAlign w:val="bottom"/>
          </w:tcPr>
          <w:p w14:paraId="2301FB3F"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12:</w:t>
            </w:r>
          </w:p>
        </w:tc>
        <w:tc>
          <w:tcPr>
            <w:tcW w:w="2629" w:type="pct"/>
            <w:shd w:val="clear" w:color="auto" w:fill="auto"/>
            <w:tcMar>
              <w:right w:w="284" w:type="dxa"/>
            </w:tcMar>
            <w:vAlign w:val="center"/>
          </w:tcPr>
          <w:p w14:paraId="1E10522A"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Kurulca riski yüksek belirlenmiş alacaklar</w:t>
            </w:r>
          </w:p>
        </w:tc>
      </w:tr>
      <w:tr w:rsidR="00D1663E" w:rsidRPr="00FB38E1" w14:paraId="1C780A10" w14:textId="77777777" w:rsidTr="00836EF2">
        <w:tc>
          <w:tcPr>
            <w:tcW w:w="254" w:type="pct"/>
            <w:shd w:val="clear" w:color="auto" w:fill="auto"/>
            <w:tcMar>
              <w:right w:w="57" w:type="dxa"/>
            </w:tcMar>
            <w:vAlign w:val="bottom"/>
          </w:tcPr>
          <w:p w14:paraId="1D2E0BA5"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4:</w:t>
            </w:r>
          </w:p>
        </w:tc>
        <w:tc>
          <w:tcPr>
            <w:tcW w:w="1865" w:type="pct"/>
            <w:shd w:val="clear" w:color="auto" w:fill="auto"/>
            <w:tcMar>
              <w:right w:w="567" w:type="dxa"/>
            </w:tcMar>
            <w:vAlign w:val="center"/>
          </w:tcPr>
          <w:p w14:paraId="0A818140"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Çok taraflı kalkınma bankalarından alacaklar</w:t>
            </w:r>
          </w:p>
        </w:tc>
        <w:tc>
          <w:tcPr>
            <w:tcW w:w="252" w:type="pct"/>
            <w:shd w:val="clear" w:color="auto" w:fill="auto"/>
            <w:tcMar>
              <w:right w:w="57" w:type="dxa"/>
            </w:tcMar>
            <w:vAlign w:val="bottom"/>
          </w:tcPr>
          <w:p w14:paraId="25483298"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13:</w:t>
            </w:r>
          </w:p>
        </w:tc>
        <w:tc>
          <w:tcPr>
            <w:tcW w:w="2629" w:type="pct"/>
            <w:shd w:val="clear" w:color="auto" w:fill="auto"/>
            <w:tcMar>
              <w:right w:w="284" w:type="dxa"/>
            </w:tcMar>
            <w:vAlign w:val="center"/>
          </w:tcPr>
          <w:p w14:paraId="5DC9A97D"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İpotek teminatlı menkul kıymetler</w:t>
            </w:r>
          </w:p>
        </w:tc>
      </w:tr>
      <w:tr w:rsidR="00D1663E" w:rsidRPr="00FB38E1" w14:paraId="57FEC783" w14:textId="77777777" w:rsidTr="00836EF2">
        <w:tc>
          <w:tcPr>
            <w:tcW w:w="254" w:type="pct"/>
            <w:shd w:val="clear" w:color="auto" w:fill="auto"/>
            <w:tcMar>
              <w:right w:w="57" w:type="dxa"/>
            </w:tcMar>
            <w:vAlign w:val="bottom"/>
          </w:tcPr>
          <w:p w14:paraId="4426BFA2"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5:</w:t>
            </w:r>
          </w:p>
        </w:tc>
        <w:tc>
          <w:tcPr>
            <w:tcW w:w="1865" w:type="pct"/>
            <w:shd w:val="clear" w:color="auto" w:fill="auto"/>
            <w:tcMar>
              <w:right w:w="567" w:type="dxa"/>
            </w:tcMar>
            <w:vAlign w:val="center"/>
          </w:tcPr>
          <w:p w14:paraId="1D92900E"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Uluslararası teşkilatlardan alacaklar</w:t>
            </w:r>
          </w:p>
        </w:tc>
        <w:tc>
          <w:tcPr>
            <w:tcW w:w="252" w:type="pct"/>
            <w:shd w:val="clear" w:color="auto" w:fill="auto"/>
            <w:tcMar>
              <w:right w:w="57" w:type="dxa"/>
            </w:tcMar>
            <w:vAlign w:val="bottom"/>
          </w:tcPr>
          <w:p w14:paraId="1AAD39A3"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14:</w:t>
            </w:r>
          </w:p>
        </w:tc>
        <w:tc>
          <w:tcPr>
            <w:tcW w:w="2629" w:type="pct"/>
            <w:shd w:val="clear" w:color="auto" w:fill="auto"/>
            <w:tcMar>
              <w:right w:w="284" w:type="dxa"/>
            </w:tcMar>
            <w:vAlign w:val="center"/>
          </w:tcPr>
          <w:p w14:paraId="0288DFCF"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Bankalardan ve aracı kurumlardan olan kısa vadeli alacaklar ile kısa vadeli kurumsal alacaklar</w:t>
            </w:r>
          </w:p>
        </w:tc>
      </w:tr>
      <w:tr w:rsidR="00D1663E" w:rsidRPr="00FB38E1" w14:paraId="063D1982" w14:textId="77777777" w:rsidTr="00836EF2">
        <w:tc>
          <w:tcPr>
            <w:tcW w:w="254" w:type="pct"/>
            <w:shd w:val="clear" w:color="auto" w:fill="auto"/>
            <w:tcMar>
              <w:right w:w="57" w:type="dxa"/>
            </w:tcMar>
            <w:vAlign w:val="bottom"/>
          </w:tcPr>
          <w:p w14:paraId="6438D916"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6:</w:t>
            </w:r>
          </w:p>
        </w:tc>
        <w:tc>
          <w:tcPr>
            <w:tcW w:w="1865" w:type="pct"/>
            <w:shd w:val="clear" w:color="auto" w:fill="auto"/>
            <w:tcMar>
              <w:right w:w="567" w:type="dxa"/>
            </w:tcMar>
            <w:vAlign w:val="center"/>
          </w:tcPr>
          <w:p w14:paraId="73ED126E"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Bankalardan ve aracı kurumlardan alacaklar</w:t>
            </w:r>
          </w:p>
        </w:tc>
        <w:tc>
          <w:tcPr>
            <w:tcW w:w="252" w:type="pct"/>
            <w:shd w:val="clear" w:color="auto" w:fill="auto"/>
            <w:tcMar>
              <w:right w:w="57" w:type="dxa"/>
            </w:tcMar>
            <w:vAlign w:val="bottom"/>
          </w:tcPr>
          <w:p w14:paraId="68E90650"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15:</w:t>
            </w:r>
          </w:p>
        </w:tc>
        <w:tc>
          <w:tcPr>
            <w:tcW w:w="2629" w:type="pct"/>
            <w:shd w:val="clear" w:color="auto" w:fill="auto"/>
            <w:tcMar>
              <w:right w:w="284" w:type="dxa"/>
            </w:tcMar>
            <w:vAlign w:val="center"/>
          </w:tcPr>
          <w:p w14:paraId="4EA40ABF"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Kollektif yatırım kuruluşu niteliğindeki yatırımlar</w:t>
            </w:r>
          </w:p>
        </w:tc>
      </w:tr>
      <w:tr w:rsidR="00D1663E" w:rsidRPr="00FB38E1" w14:paraId="1AB592A3" w14:textId="77777777" w:rsidTr="00836EF2">
        <w:tc>
          <w:tcPr>
            <w:tcW w:w="254" w:type="pct"/>
            <w:shd w:val="clear" w:color="auto" w:fill="auto"/>
            <w:tcMar>
              <w:right w:w="57" w:type="dxa"/>
            </w:tcMar>
            <w:vAlign w:val="bottom"/>
          </w:tcPr>
          <w:p w14:paraId="710834B7"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7:</w:t>
            </w:r>
          </w:p>
        </w:tc>
        <w:tc>
          <w:tcPr>
            <w:tcW w:w="1865" w:type="pct"/>
            <w:shd w:val="clear" w:color="auto" w:fill="auto"/>
            <w:tcMar>
              <w:right w:w="567" w:type="dxa"/>
            </w:tcMar>
            <w:vAlign w:val="center"/>
          </w:tcPr>
          <w:p w14:paraId="62DB3BED"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Kurumsal alacaklar</w:t>
            </w:r>
          </w:p>
        </w:tc>
        <w:tc>
          <w:tcPr>
            <w:tcW w:w="252" w:type="pct"/>
            <w:shd w:val="clear" w:color="auto" w:fill="auto"/>
            <w:tcMar>
              <w:right w:w="57" w:type="dxa"/>
            </w:tcMar>
            <w:vAlign w:val="bottom"/>
          </w:tcPr>
          <w:p w14:paraId="0F96DF39"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16:</w:t>
            </w:r>
          </w:p>
        </w:tc>
        <w:tc>
          <w:tcPr>
            <w:tcW w:w="2629" w:type="pct"/>
            <w:shd w:val="clear" w:color="auto" w:fill="auto"/>
            <w:tcMar>
              <w:right w:w="284" w:type="dxa"/>
            </w:tcMar>
            <w:vAlign w:val="center"/>
          </w:tcPr>
          <w:p w14:paraId="29FE454E"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Diğer alacaklar</w:t>
            </w:r>
          </w:p>
        </w:tc>
      </w:tr>
      <w:tr w:rsidR="00D1663E" w:rsidRPr="00FB38E1" w14:paraId="1D839E13" w14:textId="77777777" w:rsidTr="00836EF2">
        <w:tc>
          <w:tcPr>
            <w:tcW w:w="254" w:type="pct"/>
            <w:shd w:val="clear" w:color="auto" w:fill="auto"/>
            <w:tcMar>
              <w:right w:w="57" w:type="dxa"/>
            </w:tcMar>
            <w:vAlign w:val="bottom"/>
          </w:tcPr>
          <w:p w14:paraId="42C72DC3"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8:</w:t>
            </w:r>
          </w:p>
        </w:tc>
        <w:tc>
          <w:tcPr>
            <w:tcW w:w="1865" w:type="pct"/>
            <w:shd w:val="clear" w:color="auto" w:fill="auto"/>
            <w:tcMar>
              <w:right w:w="567" w:type="dxa"/>
            </w:tcMar>
            <w:vAlign w:val="center"/>
          </w:tcPr>
          <w:p w14:paraId="6E3374AB"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Perakende alacaklar</w:t>
            </w:r>
          </w:p>
        </w:tc>
        <w:tc>
          <w:tcPr>
            <w:tcW w:w="252" w:type="pct"/>
            <w:shd w:val="clear" w:color="auto" w:fill="auto"/>
            <w:tcMar>
              <w:right w:w="57" w:type="dxa"/>
            </w:tcMar>
            <w:vAlign w:val="bottom"/>
          </w:tcPr>
          <w:p w14:paraId="470FB45D"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17:</w:t>
            </w:r>
          </w:p>
        </w:tc>
        <w:tc>
          <w:tcPr>
            <w:tcW w:w="2629" w:type="pct"/>
            <w:shd w:val="clear" w:color="auto" w:fill="auto"/>
            <w:tcMar>
              <w:right w:w="284" w:type="dxa"/>
            </w:tcMar>
            <w:vAlign w:val="center"/>
          </w:tcPr>
          <w:p w14:paraId="40873185" w14:textId="77777777" w:rsidR="00D1663E" w:rsidRPr="00FB38E1" w:rsidRDefault="00D1663E" w:rsidP="00836EF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Hisse senedi yatırımları</w:t>
            </w:r>
          </w:p>
        </w:tc>
      </w:tr>
      <w:tr w:rsidR="00D1663E" w:rsidRPr="00FB38E1" w14:paraId="027264C7" w14:textId="77777777" w:rsidTr="00836EF2">
        <w:tc>
          <w:tcPr>
            <w:tcW w:w="254" w:type="pct"/>
            <w:shd w:val="clear" w:color="auto" w:fill="auto"/>
            <w:tcMar>
              <w:right w:w="57" w:type="dxa"/>
            </w:tcMar>
            <w:vAlign w:val="bottom"/>
          </w:tcPr>
          <w:p w14:paraId="5D5401D0" w14:textId="77777777" w:rsidR="00D1663E" w:rsidRPr="00FB38E1" w:rsidRDefault="00D1663E" w:rsidP="00836EF2">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404040" w:themeColor="text1" w:themeTint="BF"/>
                <w:sz w:val="16"/>
                <w:szCs w:val="16"/>
              </w:rPr>
              <w:t>9:</w:t>
            </w:r>
          </w:p>
        </w:tc>
        <w:tc>
          <w:tcPr>
            <w:tcW w:w="1865" w:type="pct"/>
            <w:shd w:val="clear" w:color="auto" w:fill="auto"/>
            <w:tcMar>
              <w:right w:w="567" w:type="dxa"/>
            </w:tcMar>
            <w:vAlign w:val="center"/>
          </w:tcPr>
          <w:p w14:paraId="7AD66A44" w14:textId="77777777" w:rsidR="00D1663E" w:rsidRPr="00FB38E1" w:rsidRDefault="00D1663E" w:rsidP="00836EF2">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sz w:val="16"/>
                <w:szCs w:val="16"/>
              </w:rPr>
              <w:t>İkamet amaçlı gayrimenkul ipoteği ile teminatlandırılan alacaklar</w:t>
            </w:r>
          </w:p>
        </w:tc>
        <w:tc>
          <w:tcPr>
            <w:tcW w:w="252" w:type="pct"/>
            <w:shd w:val="clear" w:color="auto" w:fill="auto"/>
            <w:tcMar>
              <w:right w:w="57" w:type="dxa"/>
            </w:tcMar>
            <w:vAlign w:val="bottom"/>
          </w:tcPr>
          <w:p w14:paraId="0EB7AD84" w14:textId="77777777" w:rsidR="00D1663E" w:rsidRPr="00FB38E1" w:rsidRDefault="00D1663E" w:rsidP="00836EF2">
            <w:pPr>
              <w:jc w:val="right"/>
              <w:rPr>
                <w:rFonts w:ascii="Microsoft Sans Serif" w:hAnsi="Microsoft Sans Serif" w:cs="Microsoft Sans Serif"/>
                <w:b/>
                <w:color w:val="404040" w:themeColor="text1" w:themeTint="BF"/>
                <w:sz w:val="16"/>
                <w:szCs w:val="16"/>
              </w:rPr>
            </w:pPr>
          </w:p>
        </w:tc>
        <w:tc>
          <w:tcPr>
            <w:tcW w:w="2629" w:type="pct"/>
            <w:shd w:val="clear" w:color="auto" w:fill="auto"/>
            <w:tcMar>
              <w:right w:w="284" w:type="dxa"/>
            </w:tcMar>
            <w:vAlign w:val="bottom"/>
          </w:tcPr>
          <w:p w14:paraId="37884957" w14:textId="77777777" w:rsidR="00D1663E" w:rsidRPr="00FB38E1" w:rsidRDefault="00D1663E" w:rsidP="00836EF2">
            <w:pPr>
              <w:rPr>
                <w:rFonts w:ascii="Microsoft Sans Serif" w:hAnsi="Microsoft Sans Serif" w:cs="Microsoft Sans Serif"/>
                <w:b/>
                <w:color w:val="404040" w:themeColor="text1" w:themeTint="BF"/>
                <w:sz w:val="16"/>
                <w:szCs w:val="16"/>
              </w:rPr>
            </w:pPr>
          </w:p>
        </w:tc>
      </w:tr>
    </w:tbl>
    <w:p w14:paraId="7990D56B" w14:textId="77777777" w:rsidR="00D1663E" w:rsidRPr="00FB38E1" w:rsidRDefault="00D1663E" w:rsidP="00D1663E">
      <w:pPr>
        <w:pStyle w:val="ListParagraph"/>
        <w:spacing w:before="120"/>
        <w:ind w:left="-85"/>
        <w:rPr>
          <w:rFonts w:ascii="Microsoft Sans Serif" w:hAnsi="Microsoft Sans Serif" w:cs="Microsoft Sans Serif"/>
          <w:bCs/>
          <w:iCs/>
          <w:color w:val="404040" w:themeColor="text1" w:themeTint="BF"/>
          <w:position w:val="6"/>
          <w:sz w:val="16"/>
          <w:szCs w:val="16"/>
        </w:rPr>
      </w:pPr>
      <w:r w:rsidRPr="00FB38E1">
        <w:rPr>
          <w:rFonts w:ascii="Microsoft Sans Serif" w:hAnsi="Microsoft Sans Serif" w:cs="Microsoft Sans Serif"/>
          <w:bCs/>
          <w:iCs/>
          <w:color w:val="404040" w:themeColor="text1" w:themeTint="BF"/>
          <w:position w:val="6"/>
          <w:sz w:val="16"/>
          <w:szCs w:val="16"/>
        </w:rPr>
        <w:t xml:space="preserve"> (**) Kredi riski azaltımı öncesi, krediye dönüşüm oranı sonrası risk tutarları verilmiştir.</w:t>
      </w:r>
    </w:p>
    <w:p w14:paraId="445873BE" w14:textId="77777777" w:rsidR="00D1663E" w:rsidRPr="00FB38E1" w:rsidRDefault="00D1663E" w:rsidP="00D1663E">
      <w:pPr>
        <w:tabs>
          <w:tab w:val="left" w:pos="1469"/>
        </w:tabs>
        <w:sectPr w:rsidR="00D1663E" w:rsidRPr="00FB38E1" w:rsidSect="00E32678">
          <w:pgSz w:w="16838" w:h="11906" w:orient="landscape"/>
          <w:pgMar w:top="1701" w:right="1985" w:bottom="567" w:left="862" w:header="709" w:footer="306" w:gutter="0"/>
          <w:cols w:space="708"/>
          <w:docGrid w:linePitch="360"/>
        </w:sectPr>
      </w:pPr>
    </w:p>
    <w:p w14:paraId="105D12F9" w14:textId="77777777" w:rsidR="00D1663E" w:rsidRPr="00FB38E1" w:rsidRDefault="00D1663E" w:rsidP="00364B59">
      <w:pPr>
        <w:pStyle w:val="ListParagraph"/>
        <w:numPr>
          <w:ilvl w:val="0"/>
          <w:numId w:val="51"/>
        </w:numPr>
        <w:spacing w:before="240" w:after="120" w:line="240" w:lineRule="exact"/>
        <w:ind w:left="0" w:hanging="567"/>
        <w:contextualSpacing w:val="0"/>
        <w:rPr>
          <w:rFonts w:ascii="Microsoft Sans Serif" w:hAnsi="Microsoft Sans Serif" w:cs="Microsoft Sans Serif"/>
          <w:b/>
          <w:bCs/>
          <w:iCs/>
          <w:sz w:val="20"/>
          <w:szCs w:val="20"/>
        </w:rPr>
      </w:pPr>
      <w:r w:rsidRPr="00FB38E1">
        <w:rPr>
          <w:rFonts w:ascii="Microsoft Sans Serif" w:hAnsi="Microsoft Sans Serif" w:cs="Microsoft Sans Serif"/>
          <w:b/>
          <w:bCs/>
          <w:sz w:val="20"/>
          <w:szCs w:val="20"/>
          <w:lang w:val="en-US"/>
        </w:rPr>
        <w:t>Vade unsuru taşıyan risklerin kalan vadelerine göre dağılımı</w:t>
      </w:r>
    </w:p>
    <w:p w14:paraId="5DAD90DA" w14:textId="77777777" w:rsidR="00D1663E" w:rsidRPr="00FB38E1" w:rsidRDefault="00D1663E" w:rsidP="00D1663E">
      <w:pPr>
        <w:pStyle w:val="Head3"/>
        <w:keepNext w:val="0"/>
        <w:keepLines w:val="0"/>
        <w:spacing w:before="120" w:line="240" w:lineRule="exact"/>
        <w:ind w:right="0" w:firstLine="0"/>
        <w:rPr>
          <w:rFonts w:ascii="Microsoft Sans Serif" w:hAnsi="Microsoft Sans Serif" w:cs="Microsoft Sans Serif"/>
          <w:b w:val="0"/>
          <w:i w:val="0"/>
          <w:sz w:val="20"/>
          <w:szCs w:val="20"/>
        </w:rPr>
      </w:pPr>
      <w:r w:rsidRPr="00FB38E1">
        <w:rPr>
          <w:rFonts w:ascii="Microsoft Sans Serif" w:hAnsi="Microsoft Sans Serif" w:cs="Microsoft Sans Serif"/>
          <w:b w:val="0"/>
          <w:i w:val="0"/>
          <w:sz w:val="20"/>
          <w:szCs w:val="20"/>
        </w:rPr>
        <w:t>Cari dönem</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71"/>
        <w:gridCol w:w="4060"/>
        <w:gridCol w:w="1005"/>
        <w:gridCol w:w="937"/>
        <w:gridCol w:w="816"/>
        <w:gridCol w:w="818"/>
        <w:gridCol w:w="894"/>
        <w:gridCol w:w="894"/>
      </w:tblGrid>
      <w:tr w:rsidR="00D1663E" w:rsidRPr="00FB38E1" w14:paraId="3F655FA8" w14:textId="77777777" w:rsidTr="001B6DB1">
        <w:tc>
          <w:tcPr>
            <w:tcW w:w="139" w:type="pct"/>
            <w:tcBorders>
              <w:top w:val="thinThickSmallGap" w:sz="24" w:space="0" w:color="auto"/>
              <w:bottom w:val="single" w:sz="4" w:space="0" w:color="auto"/>
            </w:tcBorders>
            <w:shd w:val="clear" w:color="auto" w:fill="auto"/>
            <w:vAlign w:val="bottom"/>
          </w:tcPr>
          <w:p w14:paraId="669AF673" w14:textId="77777777" w:rsidR="00D1663E" w:rsidRPr="00FB38E1" w:rsidRDefault="00D1663E" w:rsidP="00836EF2">
            <w:pPr>
              <w:rPr>
                <w:rFonts w:ascii="Microsoft Sans Serif" w:hAnsi="Microsoft Sans Serif" w:cs="Microsoft Sans Serif"/>
                <w:color w:val="000000"/>
                <w:sz w:val="14"/>
                <w:szCs w:val="14"/>
              </w:rPr>
            </w:pPr>
          </w:p>
        </w:tc>
        <w:tc>
          <w:tcPr>
            <w:tcW w:w="2094" w:type="pct"/>
            <w:tcBorders>
              <w:top w:val="thinThickSmallGap" w:sz="24" w:space="0" w:color="auto"/>
              <w:bottom w:val="single" w:sz="4" w:space="0" w:color="auto"/>
            </w:tcBorders>
            <w:shd w:val="clear" w:color="auto" w:fill="auto"/>
            <w:vAlign w:val="bottom"/>
          </w:tcPr>
          <w:p w14:paraId="61ED9243" w14:textId="77777777" w:rsidR="00D1663E" w:rsidRPr="00FB38E1" w:rsidRDefault="00D1663E" w:rsidP="00836EF2">
            <w:pPr>
              <w:rPr>
                <w:rFonts w:ascii="Microsoft Sans Serif" w:hAnsi="Microsoft Sans Serif" w:cs="Microsoft Sans Serif"/>
                <w:color w:val="000000"/>
                <w:sz w:val="14"/>
                <w:szCs w:val="14"/>
              </w:rPr>
            </w:pPr>
            <w:r w:rsidRPr="00FB38E1">
              <w:rPr>
                <w:rFonts w:ascii="Microsoft Sans Serif" w:hAnsi="Microsoft Sans Serif" w:cs="Microsoft Sans Serif"/>
                <w:b/>
                <w:color w:val="000000"/>
                <w:sz w:val="14"/>
                <w:szCs w:val="14"/>
              </w:rPr>
              <w:t>Risk Sınıfları</w:t>
            </w:r>
          </w:p>
        </w:tc>
        <w:tc>
          <w:tcPr>
            <w:tcW w:w="518" w:type="pct"/>
            <w:tcBorders>
              <w:top w:val="thinThickSmallGap" w:sz="24" w:space="0" w:color="auto"/>
              <w:bottom w:val="single" w:sz="4" w:space="0" w:color="auto"/>
            </w:tcBorders>
            <w:shd w:val="clear" w:color="auto" w:fill="auto"/>
          </w:tcPr>
          <w:p w14:paraId="7210F12C"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Dağıtılamayan (*)</w:t>
            </w:r>
          </w:p>
        </w:tc>
        <w:tc>
          <w:tcPr>
            <w:tcW w:w="483" w:type="pct"/>
            <w:tcBorders>
              <w:top w:val="thinThickSmallGap" w:sz="24" w:space="0" w:color="auto"/>
              <w:bottom w:val="single" w:sz="4" w:space="0" w:color="auto"/>
            </w:tcBorders>
            <w:shd w:val="clear" w:color="auto" w:fill="auto"/>
            <w:vAlign w:val="bottom"/>
          </w:tcPr>
          <w:p w14:paraId="0F012737"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ay</w:t>
            </w:r>
          </w:p>
        </w:tc>
        <w:tc>
          <w:tcPr>
            <w:tcW w:w="421" w:type="pct"/>
            <w:tcBorders>
              <w:top w:val="thinThickSmallGap" w:sz="24" w:space="0" w:color="auto"/>
              <w:bottom w:val="single" w:sz="4" w:space="0" w:color="auto"/>
            </w:tcBorders>
            <w:shd w:val="clear" w:color="auto" w:fill="auto"/>
            <w:vAlign w:val="bottom"/>
          </w:tcPr>
          <w:p w14:paraId="3A4A10C5"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 ay</w:t>
            </w:r>
          </w:p>
        </w:tc>
        <w:tc>
          <w:tcPr>
            <w:tcW w:w="422" w:type="pct"/>
            <w:tcBorders>
              <w:top w:val="thinThickSmallGap" w:sz="24" w:space="0" w:color="auto"/>
              <w:bottom w:val="single" w:sz="4" w:space="0" w:color="auto"/>
            </w:tcBorders>
            <w:shd w:val="clear" w:color="auto" w:fill="auto"/>
            <w:vAlign w:val="bottom"/>
          </w:tcPr>
          <w:p w14:paraId="46721A5A"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3-6 ay</w:t>
            </w:r>
          </w:p>
        </w:tc>
        <w:tc>
          <w:tcPr>
            <w:tcW w:w="461" w:type="pct"/>
            <w:tcBorders>
              <w:top w:val="thinThickSmallGap" w:sz="24" w:space="0" w:color="auto"/>
              <w:bottom w:val="single" w:sz="4" w:space="0" w:color="auto"/>
            </w:tcBorders>
            <w:shd w:val="clear" w:color="auto" w:fill="auto"/>
            <w:vAlign w:val="bottom"/>
          </w:tcPr>
          <w:p w14:paraId="2269BECC"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6-12 ay</w:t>
            </w:r>
          </w:p>
        </w:tc>
        <w:tc>
          <w:tcPr>
            <w:tcW w:w="461" w:type="pct"/>
            <w:tcBorders>
              <w:top w:val="thinThickSmallGap" w:sz="24" w:space="0" w:color="auto"/>
              <w:bottom w:val="single" w:sz="4" w:space="0" w:color="auto"/>
            </w:tcBorders>
            <w:shd w:val="clear" w:color="auto" w:fill="auto"/>
            <w:vAlign w:val="bottom"/>
          </w:tcPr>
          <w:p w14:paraId="4DC95241"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Yıl Üzeri</w:t>
            </w:r>
          </w:p>
        </w:tc>
      </w:tr>
      <w:tr w:rsidR="001B6DB1" w:rsidRPr="00FB38E1" w14:paraId="12DC9EE9" w14:textId="77777777" w:rsidTr="001B6DB1">
        <w:trPr>
          <w:trHeight w:val="53"/>
        </w:trPr>
        <w:tc>
          <w:tcPr>
            <w:tcW w:w="139" w:type="pct"/>
            <w:tcBorders>
              <w:top w:val="single" w:sz="4" w:space="0" w:color="auto"/>
            </w:tcBorders>
            <w:shd w:val="clear" w:color="auto" w:fill="auto"/>
            <w:vAlign w:val="center"/>
          </w:tcPr>
          <w:p w14:paraId="2F1373EB"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w:t>
            </w:r>
          </w:p>
        </w:tc>
        <w:tc>
          <w:tcPr>
            <w:tcW w:w="2094" w:type="pct"/>
            <w:tcBorders>
              <w:top w:val="single" w:sz="4" w:space="0" w:color="auto"/>
            </w:tcBorders>
            <w:shd w:val="clear" w:color="auto" w:fill="auto"/>
            <w:vAlign w:val="center"/>
          </w:tcPr>
          <w:p w14:paraId="1852C794"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Merkezi yönetimlerden veya merkez bankalarından alacaklar</w:t>
            </w:r>
          </w:p>
        </w:tc>
        <w:tc>
          <w:tcPr>
            <w:tcW w:w="518" w:type="pct"/>
            <w:tcBorders>
              <w:top w:val="nil"/>
            </w:tcBorders>
            <w:shd w:val="clear" w:color="auto" w:fill="auto"/>
            <w:vAlign w:val="center"/>
          </w:tcPr>
          <w:p w14:paraId="3ABF3E00" w14:textId="77B94746"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113.543.548</w:t>
            </w:r>
          </w:p>
        </w:tc>
        <w:tc>
          <w:tcPr>
            <w:tcW w:w="483" w:type="pct"/>
            <w:tcBorders>
              <w:top w:val="nil"/>
            </w:tcBorders>
            <w:shd w:val="clear" w:color="auto" w:fill="auto"/>
            <w:vAlign w:val="center"/>
          </w:tcPr>
          <w:p w14:paraId="55BA598B" w14:textId="31A965FA"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68.524.871</w:t>
            </w:r>
          </w:p>
        </w:tc>
        <w:tc>
          <w:tcPr>
            <w:tcW w:w="421" w:type="pct"/>
            <w:tcBorders>
              <w:top w:val="nil"/>
            </w:tcBorders>
            <w:shd w:val="clear" w:color="auto" w:fill="auto"/>
            <w:vAlign w:val="center"/>
          </w:tcPr>
          <w:p w14:paraId="690A17A3" w14:textId="5B77323B"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2" w:type="pct"/>
            <w:tcBorders>
              <w:top w:val="nil"/>
            </w:tcBorders>
            <w:shd w:val="clear" w:color="auto" w:fill="auto"/>
            <w:vAlign w:val="center"/>
          </w:tcPr>
          <w:p w14:paraId="4339C8DE" w14:textId="4B23228E"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ADBC1C5" w14:textId="54B6EF28"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single" w:sz="4" w:space="0" w:color="auto"/>
            </w:tcBorders>
            <w:shd w:val="clear" w:color="auto" w:fill="auto"/>
            <w:vAlign w:val="center"/>
          </w:tcPr>
          <w:p w14:paraId="7BA5633A" w14:textId="208E07E2"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151.122.456</w:t>
            </w:r>
          </w:p>
        </w:tc>
      </w:tr>
      <w:tr w:rsidR="001B6DB1" w:rsidRPr="00FB38E1" w14:paraId="1BB1E2E6" w14:textId="77777777" w:rsidTr="001B6DB1">
        <w:tc>
          <w:tcPr>
            <w:tcW w:w="139" w:type="pct"/>
            <w:shd w:val="clear" w:color="auto" w:fill="auto"/>
          </w:tcPr>
          <w:p w14:paraId="34C9076B"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w:t>
            </w:r>
          </w:p>
        </w:tc>
        <w:tc>
          <w:tcPr>
            <w:tcW w:w="2094" w:type="pct"/>
            <w:shd w:val="clear" w:color="auto" w:fill="auto"/>
            <w:vAlign w:val="center"/>
          </w:tcPr>
          <w:p w14:paraId="1F2E653F"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Bölgesel yönetimlerden veya yerel yönetimlerden alacaklar</w:t>
            </w:r>
          </w:p>
        </w:tc>
        <w:tc>
          <w:tcPr>
            <w:tcW w:w="518" w:type="pct"/>
            <w:shd w:val="clear" w:color="auto" w:fill="auto"/>
            <w:vAlign w:val="center"/>
          </w:tcPr>
          <w:p w14:paraId="51EEDF67" w14:textId="0B9DA4C6"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53FD5120" w14:textId="1FB4171F"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64.005</w:t>
            </w:r>
          </w:p>
        </w:tc>
        <w:tc>
          <w:tcPr>
            <w:tcW w:w="421" w:type="pct"/>
            <w:shd w:val="clear" w:color="auto" w:fill="auto"/>
            <w:vAlign w:val="center"/>
          </w:tcPr>
          <w:p w14:paraId="381E293E" w14:textId="06F83F0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45.269</w:t>
            </w:r>
          </w:p>
        </w:tc>
        <w:tc>
          <w:tcPr>
            <w:tcW w:w="422" w:type="pct"/>
            <w:shd w:val="clear" w:color="auto" w:fill="auto"/>
            <w:vAlign w:val="center"/>
          </w:tcPr>
          <w:p w14:paraId="78210996" w14:textId="5B38298E"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163.110</w:t>
            </w:r>
          </w:p>
        </w:tc>
        <w:tc>
          <w:tcPr>
            <w:tcW w:w="461" w:type="pct"/>
            <w:tcBorders>
              <w:top w:val="nil"/>
              <w:left w:val="nil"/>
              <w:bottom w:val="nil"/>
              <w:right w:val="nil"/>
            </w:tcBorders>
            <w:shd w:val="clear" w:color="auto" w:fill="auto"/>
            <w:vAlign w:val="center"/>
          </w:tcPr>
          <w:p w14:paraId="2679A612" w14:textId="3347DAF6"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538.258</w:t>
            </w:r>
          </w:p>
        </w:tc>
        <w:tc>
          <w:tcPr>
            <w:tcW w:w="461" w:type="pct"/>
            <w:shd w:val="clear" w:color="auto" w:fill="auto"/>
            <w:vAlign w:val="center"/>
          </w:tcPr>
          <w:p w14:paraId="23E4CDA4" w14:textId="5106BACE"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6.517.861</w:t>
            </w:r>
          </w:p>
        </w:tc>
      </w:tr>
      <w:tr w:rsidR="001B6DB1" w:rsidRPr="00FB38E1" w14:paraId="4949D494" w14:textId="77777777" w:rsidTr="001B6DB1">
        <w:tc>
          <w:tcPr>
            <w:tcW w:w="139" w:type="pct"/>
            <w:shd w:val="clear" w:color="auto" w:fill="auto"/>
          </w:tcPr>
          <w:p w14:paraId="125A4EA0"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w:t>
            </w:r>
          </w:p>
        </w:tc>
        <w:tc>
          <w:tcPr>
            <w:tcW w:w="2094" w:type="pct"/>
            <w:shd w:val="clear" w:color="auto" w:fill="auto"/>
            <w:vAlign w:val="center"/>
          </w:tcPr>
          <w:p w14:paraId="2D870507"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İdari birimlerden ve ticari olmayan girişimlerden alacaklar</w:t>
            </w:r>
          </w:p>
        </w:tc>
        <w:tc>
          <w:tcPr>
            <w:tcW w:w="518" w:type="pct"/>
            <w:shd w:val="clear" w:color="auto" w:fill="auto"/>
            <w:vAlign w:val="center"/>
          </w:tcPr>
          <w:p w14:paraId="2FD89A29" w14:textId="56CF7408"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239EEEB6" w14:textId="62C59EBB"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884.571</w:t>
            </w:r>
          </w:p>
        </w:tc>
        <w:tc>
          <w:tcPr>
            <w:tcW w:w="421" w:type="pct"/>
            <w:shd w:val="clear" w:color="auto" w:fill="auto"/>
            <w:vAlign w:val="center"/>
          </w:tcPr>
          <w:p w14:paraId="23389176" w14:textId="5F3D0AFB"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643.747</w:t>
            </w:r>
          </w:p>
        </w:tc>
        <w:tc>
          <w:tcPr>
            <w:tcW w:w="422" w:type="pct"/>
            <w:shd w:val="clear" w:color="auto" w:fill="auto"/>
            <w:vAlign w:val="center"/>
          </w:tcPr>
          <w:p w14:paraId="4C31316F" w14:textId="473F0E25"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81</w:t>
            </w:r>
          </w:p>
        </w:tc>
        <w:tc>
          <w:tcPr>
            <w:tcW w:w="461" w:type="pct"/>
            <w:tcBorders>
              <w:top w:val="nil"/>
              <w:left w:val="nil"/>
              <w:bottom w:val="nil"/>
              <w:right w:val="nil"/>
            </w:tcBorders>
            <w:shd w:val="clear" w:color="auto" w:fill="auto"/>
            <w:vAlign w:val="center"/>
          </w:tcPr>
          <w:p w14:paraId="164259CD" w14:textId="1BF846B1"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11.058</w:t>
            </w:r>
          </w:p>
        </w:tc>
        <w:tc>
          <w:tcPr>
            <w:tcW w:w="461" w:type="pct"/>
            <w:shd w:val="clear" w:color="auto" w:fill="auto"/>
            <w:vAlign w:val="center"/>
          </w:tcPr>
          <w:p w14:paraId="0A7BC539" w14:textId="49A7EA7F"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106.616</w:t>
            </w:r>
          </w:p>
        </w:tc>
      </w:tr>
      <w:tr w:rsidR="001B6DB1" w:rsidRPr="00FB38E1" w14:paraId="2142F452" w14:textId="77777777" w:rsidTr="001B6DB1">
        <w:tc>
          <w:tcPr>
            <w:tcW w:w="139" w:type="pct"/>
            <w:shd w:val="clear" w:color="auto" w:fill="auto"/>
          </w:tcPr>
          <w:p w14:paraId="306D0670"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w:t>
            </w:r>
          </w:p>
        </w:tc>
        <w:tc>
          <w:tcPr>
            <w:tcW w:w="2094" w:type="pct"/>
            <w:shd w:val="clear" w:color="auto" w:fill="auto"/>
            <w:vAlign w:val="center"/>
          </w:tcPr>
          <w:p w14:paraId="619CB3E7"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Çok taraflı kalkınma bankalarından alacaklar</w:t>
            </w:r>
          </w:p>
        </w:tc>
        <w:tc>
          <w:tcPr>
            <w:tcW w:w="518" w:type="pct"/>
            <w:shd w:val="clear" w:color="auto" w:fill="auto"/>
            <w:vAlign w:val="center"/>
          </w:tcPr>
          <w:p w14:paraId="53AE8E1E" w14:textId="120553AC"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6A8EEFA2" w14:textId="2E211FDA"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shd w:val="clear" w:color="auto" w:fill="auto"/>
            <w:vAlign w:val="center"/>
          </w:tcPr>
          <w:p w14:paraId="088C18C9" w14:textId="08F4D60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2" w:type="pct"/>
            <w:shd w:val="clear" w:color="auto" w:fill="auto"/>
            <w:vAlign w:val="center"/>
          </w:tcPr>
          <w:p w14:paraId="019F7EF6" w14:textId="0DC6A6EA"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ED64FB9" w14:textId="65267B95"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5EBD5A6D" w14:textId="48BE26F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1B6DB1" w:rsidRPr="00FB38E1" w14:paraId="21CE302B" w14:textId="77777777" w:rsidTr="001B6DB1">
        <w:tc>
          <w:tcPr>
            <w:tcW w:w="139" w:type="pct"/>
            <w:shd w:val="clear" w:color="auto" w:fill="auto"/>
          </w:tcPr>
          <w:p w14:paraId="20A3B6C5"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w:t>
            </w:r>
          </w:p>
        </w:tc>
        <w:tc>
          <w:tcPr>
            <w:tcW w:w="2094" w:type="pct"/>
            <w:shd w:val="clear" w:color="auto" w:fill="auto"/>
            <w:vAlign w:val="center"/>
          </w:tcPr>
          <w:p w14:paraId="43A77A42"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Uluslararası teşkilatlardan alacaklar</w:t>
            </w:r>
          </w:p>
        </w:tc>
        <w:tc>
          <w:tcPr>
            <w:tcW w:w="518" w:type="pct"/>
            <w:shd w:val="clear" w:color="auto" w:fill="auto"/>
            <w:vAlign w:val="center"/>
          </w:tcPr>
          <w:p w14:paraId="0B0A15E3" w14:textId="60E02DA9"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1CF66C20" w14:textId="47573809"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shd w:val="clear" w:color="auto" w:fill="auto"/>
            <w:vAlign w:val="center"/>
          </w:tcPr>
          <w:p w14:paraId="349EC61E" w14:textId="3D5BE34A"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2" w:type="pct"/>
            <w:shd w:val="clear" w:color="auto" w:fill="auto"/>
            <w:vAlign w:val="center"/>
          </w:tcPr>
          <w:p w14:paraId="4A23331B" w14:textId="5FF5045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436C7437" w14:textId="2526B381"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32B340EA" w14:textId="06B791C2"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1B6DB1" w:rsidRPr="00FB38E1" w14:paraId="63847D20" w14:textId="77777777" w:rsidTr="001B6DB1">
        <w:tc>
          <w:tcPr>
            <w:tcW w:w="139" w:type="pct"/>
            <w:shd w:val="clear" w:color="auto" w:fill="auto"/>
          </w:tcPr>
          <w:p w14:paraId="7E1AAF51"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w:t>
            </w:r>
          </w:p>
        </w:tc>
        <w:tc>
          <w:tcPr>
            <w:tcW w:w="2094" w:type="pct"/>
            <w:shd w:val="clear" w:color="auto" w:fill="auto"/>
            <w:vAlign w:val="center"/>
          </w:tcPr>
          <w:p w14:paraId="60C4C47D"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Bankalardan ve aracı kurumlardan alacaklar</w:t>
            </w:r>
          </w:p>
        </w:tc>
        <w:tc>
          <w:tcPr>
            <w:tcW w:w="518" w:type="pct"/>
            <w:shd w:val="clear" w:color="auto" w:fill="auto"/>
            <w:vAlign w:val="center"/>
          </w:tcPr>
          <w:p w14:paraId="77B2D83B" w14:textId="26261F32"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14.261.709</w:t>
            </w:r>
          </w:p>
        </w:tc>
        <w:tc>
          <w:tcPr>
            <w:tcW w:w="483" w:type="pct"/>
            <w:shd w:val="clear" w:color="auto" w:fill="auto"/>
            <w:vAlign w:val="center"/>
          </w:tcPr>
          <w:p w14:paraId="231E540F" w14:textId="2E6F5CC3"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48.967.834</w:t>
            </w:r>
          </w:p>
        </w:tc>
        <w:tc>
          <w:tcPr>
            <w:tcW w:w="421" w:type="pct"/>
            <w:shd w:val="clear" w:color="auto" w:fill="auto"/>
            <w:vAlign w:val="center"/>
          </w:tcPr>
          <w:p w14:paraId="5D8B8A68" w14:textId="08AA688F"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2.376.081</w:t>
            </w:r>
          </w:p>
        </w:tc>
        <w:tc>
          <w:tcPr>
            <w:tcW w:w="422" w:type="pct"/>
            <w:shd w:val="clear" w:color="auto" w:fill="auto"/>
            <w:vAlign w:val="center"/>
          </w:tcPr>
          <w:p w14:paraId="4D499225" w14:textId="3C4D542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920.587</w:t>
            </w:r>
          </w:p>
        </w:tc>
        <w:tc>
          <w:tcPr>
            <w:tcW w:w="461" w:type="pct"/>
            <w:tcBorders>
              <w:top w:val="nil"/>
              <w:left w:val="nil"/>
              <w:bottom w:val="nil"/>
              <w:right w:val="nil"/>
            </w:tcBorders>
            <w:shd w:val="clear" w:color="auto" w:fill="auto"/>
            <w:vAlign w:val="center"/>
          </w:tcPr>
          <w:p w14:paraId="1A787188" w14:textId="4F5436A9"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158.017</w:t>
            </w:r>
          </w:p>
        </w:tc>
        <w:tc>
          <w:tcPr>
            <w:tcW w:w="461" w:type="pct"/>
            <w:shd w:val="clear" w:color="auto" w:fill="auto"/>
            <w:vAlign w:val="center"/>
          </w:tcPr>
          <w:p w14:paraId="19A82AF3" w14:textId="6284841F"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11.520.197</w:t>
            </w:r>
          </w:p>
        </w:tc>
      </w:tr>
      <w:tr w:rsidR="001B6DB1" w:rsidRPr="00FB38E1" w14:paraId="294F684D" w14:textId="77777777" w:rsidTr="001B6DB1">
        <w:tc>
          <w:tcPr>
            <w:tcW w:w="139" w:type="pct"/>
            <w:shd w:val="clear" w:color="auto" w:fill="auto"/>
          </w:tcPr>
          <w:p w14:paraId="6CC10E16"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w:t>
            </w:r>
          </w:p>
        </w:tc>
        <w:tc>
          <w:tcPr>
            <w:tcW w:w="2094" w:type="pct"/>
            <w:shd w:val="clear" w:color="auto" w:fill="auto"/>
            <w:vAlign w:val="center"/>
          </w:tcPr>
          <w:p w14:paraId="45465D8D"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Kurumsal alacaklar</w:t>
            </w:r>
          </w:p>
        </w:tc>
        <w:tc>
          <w:tcPr>
            <w:tcW w:w="518" w:type="pct"/>
            <w:shd w:val="clear" w:color="auto" w:fill="auto"/>
            <w:vAlign w:val="center"/>
          </w:tcPr>
          <w:p w14:paraId="377FB1EE" w14:textId="370FE3BC"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38D9CAC8" w14:textId="635AB478"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37.973.207</w:t>
            </w:r>
          </w:p>
        </w:tc>
        <w:tc>
          <w:tcPr>
            <w:tcW w:w="421" w:type="pct"/>
            <w:shd w:val="clear" w:color="auto" w:fill="auto"/>
            <w:vAlign w:val="center"/>
          </w:tcPr>
          <w:p w14:paraId="164533E6" w14:textId="533FECF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35.379.414</w:t>
            </w:r>
          </w:p>
        </w:tc>
        <w:tc>
          <w:tcPr>
            <w:tcW w:w="422" w:type="pct"/>
            <w:shd w:val="clear" w:color="auto" w:fill="auto"/>
            <w:vAlign w:val="center"/>
          </w:tcPr>
          <w:p w14:paraId="77E4BED7" w14:textId="28CD70DA"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33.995.502</w:t>
            </w:r>
          </w:p>
        </w:tc>
        <w:tc>
          <w:tcPr>
            <w:tcW w:w="461" w:type="pct"/>
            <w:tcBorders>
              <w:top w:val="nil"/>
              <w:left w:val="nil"/>
              <w:bottom w:val="nil"/>
              <w:right w:val="nil"/>
            </w:tcBorders>
            <w:shd w:val="clear" w:color="auto" w:fill="auto"/>
            <w:vAlign w:val="center"/>
          </w:tcPr>
          <w:p w14:paraId="1D7A3877" w14:textId="018BE95C"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59.851.970</w:t>
            </w:r>
          </w:p>
        </w:tc>
        <w:tc>
          <w:tcPr>
            <w:tcW w:w="461" w:type="pct"/>
            <w:shd w:val="clear" w:color="auto" w:fill="auto"/>
            <w:vAlign w:val="center"/>
          </w:tcPr>
          <w:p w14:paraId="74D4F888" w14:textId="3A2F5093"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123.774.111</w:t>
            </w:r>
          </w:p>
        </w:tc>
      </w:tr>
      <w:tr w:rsidR="001B6DB1" w:rsidRPr="00FB38E1" w14:paraId="5CCC243B" w14:textId="77777777" w:rsidTr="001B6DB1">
        <w:tc>
          <w:tcPr>
            <w:tcW w:w="139" w:type="pct"/>
            <w:shd w:val="clear" w:color="auto" w:fill="auto"/>
          </w:tcPr>
          <w:p w14:paraId="66612537"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w:t>
            </w:r>
          </w:p>
        </w:tc>
        <w:tc>
          <w:tcPr>
            <w:tcW w:w="2094" w:type="pct"/>
            <w:shd w:val="clear" w:color="auto" w:fill="auto"/>
            <w:vAlign w:val="center"/>
          </w:tcPr>
          <w:p w14:paraId="37DDA79E"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Perakende alacaklar</w:t>
            </w:r>
          </w:p>
        </w:tc>
        <w:tc>
          <w:tcPr>
            <w:tcW w:w="518" w:type="pct"/>
            <w:shd w:val="clear" w:color="auto" w:fill="auto"/>
            <w:vAlign w:val="center"/>
          </w:tcPr>
          <w:p w14:paraId="4D741CCF" w14:textId="70B130F4"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7A8204D1" w14:textId="6FDB95B8"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117.455.203</w:t>
            </w:r>
          </w:p>
        </w:tc>
        <w:tc>
          <w:tcPr>
            <w:tcW w:w="421" w:type="pct"/>
            <w:shd w:val="clear" w:color="auto" w:fill="auto"/>
            <w:vAlign w:val="center"/>
          </w:tcPr>
          <w:p w14:paraId="68FFBB09" w14:textId="16218EE9"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18.346.111</w:t>
            </w:r>
          </w:p>
        </w:tc>
        <w:tc>
          <w:tcPr>
            <w:tcW w:w="422" w:type="pct"/>
            <w:shd w:val="clear" w:color="auto" w:fill="auto"/>
            <w:vAlign w:val="center"/>
          </w:tcPr>
          <w:p w14:paraId="35B744E0" w14:textId="2684697A"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30.572.877</w:t>
            </w:r>
          </w:p>
        </w:tc>
        <w:tc>
          <w:tcPr>
            <w:tcW w:w="461" w:type="pct"/>
            <w:tcBorders>
              <w:top w:val="nil"/>
              <w:left w:val="nil"/>
              <w:bottom w:val="nil"/>
              <w:right w:val="nil"/>
            </w:tcBorders>
            <w:shd w:val="clear" w:color="auto" w:fill="auto"/>
            <w:vAlign w:val="center"/>
          </w:tcPr>
          <w:p w14:paraId="52DA21D6" w14:textId="67F5C394"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105.475.812</w:t>
            </w:r>
          </w:p>
        </w:tc>
        <w:tc>
          <w:tcPr>
            <w:tcW w:w="461" w:type="pct"/>
            <w:shd w:val="clear" w:color="auto" w:fill="auto"/>
            <w:vAlign w:val="center"/>
          </w:tcPr>
          <w:p w14:paraId="1550EE21" w14:textId="39364213"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89.374.927</w:t>
            </w:r>
          </w:p>
        </w:tc>
      </w:tr>
      <w:tr w:rsidR="001B6DB1" w:rsidRPr="00FB38E1" w14:paraId="57EAB946" w14:textId="77777777" w:rsidTr="001B6DB1">
        <w:tc>
          <w:tcPr>
            <w:tcW w:w="139" w:type="pct"/>
            <w:shd w:val="clear" w:color="auto" w:fill="auto"/>
          </w:tcPr>
          <w:p w14:paraId="1E96C6C6"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w:t>
            </w:r>
          </w:p>
        </w:tc>
        <w:tc>
          <w:tcPr>
            <w:tcW w:w="2094" w:type="pct"/>
            <w:shd w:val="clear" w:color="auto" w:fill="auto"/>
            <w:vAlign w:val="center"/>
          </w:tcPr>
          <w:p w14:paraId="19545D85"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İkamet amaçlı gayrimenkul ipoteği ile teminatlandırılan alacaklar</w:t>
            </w:r>
          </w:p>
        </w:tc>
        <w:tc>
          <w:tcPr>
            <w:tcW w:w="518" w:type="pct"/>
            <w:shd w:val="clear" w:color="auto" w:fill="auto"/>
            <w:vAlign w:val="center"/>
          </w:tcPr>
          <w:p w14:paraId="549464A6" w14:textId="7B523591"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5BE60A05" w14:textId="2A4EE3F1"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1.707.241</w:t>
            </w:r>
          </w:p>
        </w:tc>
        <w:tc>
          <w:tcPr>
            <w:tcW w:w="421" w:type="pct"/>
            <w:shd w:val="clear" w:color="auto" w:fill="auto"/>
            <w:vAlign w:val="center"/>
          </w:tcPr>
          <w:p w14:paraId="231B5A3A" w14:textId="0EDB14C2"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2.023.329</w:t>
            </w:r>
          </w:p>
        </w:tc>
        <w:tc>
          <w:tcPr>
            <w:tcW w:w="422" w:type="pct"/>
            <w:shd w:val="clear" w:color="auto" w:fill="auto"/>
            <w:vAlign w:val="center"/>
          </w:tcPr>
          <w:p w14:paraId="6B6138F0" w14:textId="032E671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3.279.405</w:t>
            </w:r>
          </w:p>
        </w:tc>
        <w:tc>
          <w:tcPr>
            <w:tcW w:w="461" w:type="pct"/>
            <w:tcBorders>
              <w:top w:val="nil"/>
              <w:left w:val="nil"/>
              <w:bottom w:val="nil"/>
              <w:right w:val="nil"/>
            </w:tcBorders>
            <w:shd w:val="clear" w:color="auto" w:fill="auto"/>
            <w:vAlign w:val="center"/>
          </w:tcPr>
          <w:p w14:paraId="0BD22F2D" w14:textId="13E20FDC"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5.577.302</w:t>
            </w:r>
          </w:p>
        </w:tc>
        <w:tc>
          <w:tcPr>
            <w:tcW w:w="461" w:type="pct"/>
            <w:shd w:val="clear" w:color="auto" w:fill="auto"/>
            <w:vAlign w:val="center"/>
          </w:tcPr>
          <w:p w14:paraId="196878B0" w14:textId="76CDE7E5"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6.999.460</w:t>
            </w:r>
          </w:p>
        </w:tc>
      </w:tr>
      <w:tr w:rsidR="001B6DB1" w:rsidRPr="00FB38E1" w14:paraId="625FBB62" w14:textId="77777777" w:rsidTr="001B6DB1">
        <w:tc>
          <w:tcPr>
            <w:tcW w:w="139" w:type="pct"/>
            <w:shd w:val="clear" w:color="auto" w:fill="auto"/>
          </w:tcPr>
          <w:p w14:paraId="62D29B41"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w:t>
            </w:r>
          </w:p>
        </w:tc>
        <w:tc>
          <w:tcPr>
            <w:tcW w:w="2094" w:type="pct"/>
            <w:shd w:val="clear" w:color="auto" w:fill="auto"/>
            <w:vAlign w:val="center"/>
          </w:tcPr>
          <w:p w14:paraId="449AEAE0"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Ticari amaçlı gayrimenkul ipoteği ile teminatlandırılan alacaklar</w:t>
            </w:r>
          </w:p>
        </w:tc>
        <w:tc>
          <w:tcPr>
            <w:tcW w:w="518" w:type="pct"/>
            <w:shd w:val="clear" w:color="auto" w:fill="auto"/>
            <w:vAlign w:val="center"/>
          </w:tcPr>
          <w:p w14:paraId="06315A30" w14:textId="21DEAA9A"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2E5D8981" w14:textId="1912995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4.024.281</w:t>
            </w:r>
          </w:p>
        </w:tc>
        <w:tc>
          <w:tcPr>
            <w:tcW w:w="421" w:type="pct"/>
            <w:shd w:val="clear" w:color="auto" w:fill="auto"/>
            <w:vAlign w:val="center"/>
          </w:tcPr>
          <w:p w14:paraId="5570D7D4" w14:textId="7CCC8E3F"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5.549.999</w:t>
            </w:r>
          </w:p>
        </w:tc>
        <w:tc>
          <w:tcPr>
            <w:tcW w:w="422" w:type="pct"/>
            <w:shd w:val="clear" w:color="auto" w:fill="auto"/>
            <w:vAlign w:val="center"/>
          </w:tcPr>
          <w:p w14:paraId="6514C22B" w14:textId="3846E7EF"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6.562.306</w:t>
            </w:r>
          </w:p>
        </w:tc>
        <w:tc>
          <w:tcPr>
            <w:tcW w:w="461" w:type="pct"/>
            <w:tcBorders>
              <w:top w:val="nil"/>
              <w:left w:val="nil"/>
              <w:bottom w:val="nil"/>
              <w:right w:val="nil"/>
            </w:tcBorders>
            <w:shd w:val="clear" w:color="auto" w:fill="auto"/>
            <w:vAlign w:val="center"/>
          </w:tcPr>
          <w:p w14:paraId="6869E9E0" w14:textId="15189A03"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13.929.973</w:t>
            </w:r>
          </w:p>
        </w:tc>
        <w:tc>
          <w:tcPr>
            <w:tcW w:w="461" w:type="pct"/>
            <w:shd w:val="clear" w:color="auto" w:fill="auto"/>
            <w:vAlign w:val="center"/>
          </w:tcPr>
          <w:p w14:paraId="423E12B0" w14:textId="041A12A2"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47.135.894</w:t>
            </w:r>
          </w:p>
        </w:tc>
      </w:tr>
      <w:tr w:rsidR="001B6DB1" w:rsidRPr="00FB38E1" w14:paraId="70C29F98" w14:textId="77777777" w:rsidTr="001B6DB1">
        <w:tc>
          <w:tcPr>
            <w:tcW w:w="139" w:type="pct"/>
            <w:shd w:val="clear" w:color="auto" w:fill="auto"/>
          </w:tcPr>
          <w:p w14:paraId="0DA48974"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w:t>
            </w:r>
          </w:p>
        </w:tc>
        <w:tc>
          <w:tcPr>
            <w:tcW w:w="2094" w:type="pct"/>
            <w:shd w:val="clear" w:color="auto" w:fill="auto"/>
            <w:vAlign w:val="center"/>
          </w:tcPr>
          <w:p w14:paraId="7C39DB5D"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Tahsili gecikmiş alacaklar</w:t>
            </w:r>
          </w:p>
        </w:tc>
        <w:tc>
          <w:tcPr>
            <w:tcW w:w="518" w:type="pct"/>
            <w:shd w:val="clear" w:color="auto" w:fill="auto"/>
            <w:vAlign w:val="center"/>
          </w:tcPr>
          <w:p w14:paraId="52A16FC7" w14:textId="5BF8CA15"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11.189.282</w:t>
            </w:r>
          </w:p>
        </w:tc>
        <w:tc>
          <w:tcPr>
            <w:tcW w:w="483" w:type="pct"/>
            <w:shd w:val="clear" w:color="auto" w:fill="auto"/>
            <w:vAlign w:val="center"/>
          </w:tcPr>
          <w:p w14:paraId="1649FBD7" w14:textId="68FC0D5E"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shd w:val="clear" w:color="auto" w:fill="auto"/>
            <w:vAlign w:val="center"/>
          </w:tcPr>
          <w:p w14:paraId="2F4F12B7" w14:textId="2D3C1DD2"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2" w:type="pct"/>
            <w:shd w:val="clear" w:color="auto" w:fill="auto"/>
            <w:vAlign w:val="center"/>
          </w:tcPr>
          <w:p w14:paraId="078DC562" w14:textId="14C5ABC1"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4D9FE57" w14:textId="795183E8"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19FF4339" w14:textId="3B181A86"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1B6DB1" w:rsidRPr="00FB38E1" w14:paraId="3BFAB609" w14:textId="77777777" w:rsidTr="001B6DB1">
        <w:tc>
          <w:tcPr>
            <w:tcW w:w="139" w:type="pct"/>
            <w:shd w:val="clear" w:color="auto" w:fill="auto"/>
          </w:tcPr>
          <w:p w14:paraId="75718BC4"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w:t>
            </w:r>
          </w:p>
        </w:tc>
        <w:tc>
          <w:tcPr>
            <w:tcW w:w="2094" w:type="pct"/>
            <w:shd w:val="clear" w:color="auto" w:fill="auto"/>
            <w:vAlign w:val="center"/>
          </w:tcPr>
          <w:p w14:paraId="200BE0A8"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Kurulca riski yüksek belirlenmiş alacaklar</w:t>
            </w:r>
          </w:p>
        </w:tc>
        <w:tc>
          <w:tcPr>
            <w:tcW w:w="518" w:type="pct"/>
            <w:shd w:val="clear" w:color="auto" w:fill="auto"/>
            <w:vAlign w:val="center"/>
          </w:tcPr>
          <w:p w14:paraId="02B649A7" w14:textId="6EAF5553"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26343D1F" w14:textId="7CBC54B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shd w:val="clear" w:color="auto" w:fill="auto"/>
            <w:vAlign w:val="center"/>
          </w:tcPr>
          <w:p w14:paraId="3D19A39C" w14:textId="3FF9DCB9"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2" w:type="pct"/>
            <w:shd w:val="clear" w:color="auto" w:fill="auto"/>
            <w:vAlign w:val="center"/>
          </w:tcPr>
          <w:p w14:paraId="1BA65DE2" w14:textId="524982C9"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86C6225" w14:textId="397331C9"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50FE0460" w14:textId="0D417CB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1B6DB1" w:rsidRPr="00FB38E1" w14:paraId="33C404EF" w14:textId="77777777" w:rsidTr="001B6DB1">
        <w:tc>
          <w:tcPr>
            <w:tcW w:w="139" w:type="pct"/>
            <w:shd w:val="clear" w:color="auto" w:fill="auto"/>
          </w:tcPr>
          <w:p w14:paraId="1C2644F9"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w:t>
            </w:r>
          </w:p>
        </w:tc>
        <w:tc>
          <w:tcPr>
            <w:tcW w:w="2094" w:type="pct"/>
            <w:shd w:val="clear" w:color="auto" w:fill="auto"/>
            <w:vAlign w:val="center"/>
          </w:tcPr>
          <w:p w14:paraId="0330C5CC"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İpotek teminatlı menkul kıymetler</w:t>
            </w:r>
          </w:p>
        </w:tc>
        <w:tc>
          <w:tcPr>
            <w:tcW w:w="518" w:type="pct"/>
            <w:shd w:val="clear" w:color="auto" w:fill="auto"/>
            <w:vAlign w:val="center"/>
          </w:tcPr>
          <w:p w14:paraId="0120E593" w14:textId="56D3435E"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6613F04D" w14:textId="1408B261"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shd w:val="clear" w:color="auto" w:fill="auto"/>
            <w:vAlign w:val="center"/>
          </w:tcPr>
          <w:p w14:paraId="25F697C7" w14:textId="74E20FC1"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2" w:type="pct"/>
            <w:shd w:val="clear" w:color="auto" w:fill="auto"/>
            <w:vAlign w:val="center"/>
          </w:tcPr>
          <w:p w14:paraId="002983EA" w14:textId="0BD8B02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3B65A95" w14:textId="6C5F3E73"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15BDF746" w14:textId="1964040B"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1B6DB1" w:rsidRPr="00FB38E1" w14:paraId="449609AF" w14:textId="77777777" w:rsidTr="001B6DB1">
        <w:tc>
          <w:tcPr>
            <w:tcW w:w="139" w:type="pct"/>
            <w:shd w:val="clear" w:color="auto" w:fill="auto"/>
          </w:tcPr>
          <w:p w14:paraId="01FE09C3"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w:t>
            </w:r>
          </w:p>
        </w:tc>
        <w:tc>
          <w:tcPr>
            <w:tcW w:w="2094" w:type="pct"/>
            <w:shd w:val="clear" w:color="auto" w:fill="auto"/>
            <w:vAlign w:val="center"/>
          </w:tcPr>
          <w:p w14:paraId="09C93584"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Bankalardan ve aracı kurumlardan olan kısa vadeli alacaklar ile kısa vadeli kurumsal alacaklar</w:t>
            </w:r>
          </w:p>
        </w:tc>
        <w:tc>
          <w:tcPr>
            <w:tcW w:w="518" w:type="pct"/>
            <w:shd w:val="clear" w:color="auto" w:fill="auto"/>
            <w:vAlign w:val="center"/>
          </w:tcPr>
          <w:p w14:paraId="0716BADD" w14:textId="53768796"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0E0B5358" w14:textId="76F9FEDE"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shd w:val="clear" w:color="auto" w:fill="auto"/>
            <w:vAlign w:val="center"/>
          </w:tcPr>
          <w:p w14:paraId="638921D9" w14:textId="56303B86"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2" w:type="pct"/>
            <w:shd w:val="clear" w:color="auto" w:fill="auto"/>
            <w:vAlign w:val="center"/>
          </w:tcPr>
          <w:p w14:paraId="1EE474B3" w14:textId="28736AF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D5DBBF6" w14:textId="0E0EA63E"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5000AA67" w14:textId="6BBAD76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1B6DB1" w:rsidRPr="00FB38E1" w14:paraId="48A042D2" w14:textId="77777777" w:rsidTr="001B6DB1">
        <w:tc>
          <w:tcPr>
            <w:tcW w:w="139" w:type="pct"/>
            <w:shd w:val="clear" w:color="auto" w:fill="auto"/>
          </w:tcPr>
          <w:p w14:paraId="4AFE575D"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15 </w:t>
            </w:r>
          </w:p>
        </w:tc>
        <w:tc>
          <w:tcPr>
            <w:tcW w:w="2094" w:type="pct"/>
            <w:shd w:val="clear" w:color="auto" w:fill="auto"/>
            <w:vAlign w:val="center"/>
          </w:tcPr>
          <w:p w14:paraId="1A6A6DFE"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Kollektif yatırım kuruluşu niteliğindeki yatırımlar</w:t>
            </w:r>
          </w:p>
        </w:tc>
        <w:tc>
          <w:tcPr>
            <w:tcW w:w="518" w:type="pct"/>
            <w:shd w:val="clear" w:color="auto" w:fill="auto"/>
            <w:vAlign w:val="center"/>
          </w:tcPr>
          <w:p w14:paraId="000A6FA3" w14:textId="3C109A8D"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83" w:type="pct"/>
            <w:shd w:val="clear" w:color="auto" w:fill="auto"/>
            <w:vAlign w:val="center"/>
          </w:tcPr>
          <w:p w14:paraId="2B6962D5" w14:textId="528C8EAC"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105.437</w:t>
            </w:r>
          </w:p>
        </w:tc>
        <w:tc>
          <w:tcPr>
            <w:tcW w:w="421" w:type="pct"/>
            <w:shd w:val="clear" w:color="auto" w:fill="auto"/>
            <w:vAlign w:val="center"/>
          </w:tcPr>
          <w:p w14:paraId="05015C14" w14:textId="3DDBBFC0"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6.074</w:t>
            </w:r>
          </w:p>
        </w:tc>
        <w:tc>
          <w:tcPr>
            <w:tcW w:w="422" w:type="pct"/>
            <w:shd w:val="clear" w:color="auto" w:fill="auto"/>
            <w:vAlign w:val="center"/>
          </w:tcPr>
          <w:p w14:paraId="20360C16" w14:textId="776D953F"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18.896</w:t>
            </w:r>
          </w:p>
        </w:tc>
        <w:tc>
          <w:tcPr>
            <w:tcW w:w="461" w:type="pct"/>
            <w:tcBorders>
              <w:top w:val="nil"/>
              <w:left w:val="nil"/>
              <w:bottom w:val="nil"/>
              <w:right w:val="nil"/>
            </w:tcBorders>
            <w:shd w:val="clear" w:color="auto" w:fill="auto"/>
            <w:vAlign w:val="center"/>
          </w:tcPr>
          <w:p w14:paraId="547A70E6" w14:textId="1C08A520"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7849F746" w14:textId="0A8CB3DA"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1B6DB1" w:rsidRPr="00FB38E1" w14:paraId="68DE026E" w14:textId="77777777" w:rsidTr="001B6DB1">
        <w:tc>
          <w:tcPr>
            <w:tcW w:w="139" w:type="pct"/>
            <w:shd w:val="clear" w:color="auto" w:fill="auto"/>
          </w:tcPr>
          <w:p w14:paraId="47305F03" w14:textId="77777777"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w:t>
            </w:r>
          </w:p>
        </w:tc>
        <w:tc>
          <w:tcPr>
            <w:tcW w:w="2094" w:type="pct"/>
            <w:shd w:val="clear" w:color="auto" w:fill="auto"/>
            <w:vAlign w:val="center"/>
          </w:tcPr>
          <w:p w14:paraId="25B9BF12" w14:textId="77777777" w:rsidR="001B6DB1" w:rsidRPr="00FB38E1" w:rsidRDefault="001B6DB1" w:rsidP="001B6DB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alacaklar</w:t>
            </w:r>
          </w:p>
        </w:tc>
        <w:tc>
          <w:tcPr>
            <w:tcW w:w="518" w:type="pct"/>
            <w:shd w:val="clear" w:color="auto" w:fill="auto"/>
            <w:vAlign w:val="center"/>
          </w:tcPr>
          <w:p w14:paraId="61E3EC3B" w14:textId="6C1B6A51"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79.745.125</w:t>
            </w:r>
          </w:p>
        </w:tc>
        <w:tc>
          <w:tcPr>
            <w:tcW w:w="483" w:type="pct"/>
            <w:shd w:val="clear" w:color="auto" w:fill="auto"/>
            <w:vAlign w:val="center"/>
          </w:tcPr>
          <w:p w14:paraId="7FEA7357" w14:textId="62FEC622"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193.853</w:t>
            </w:r>
          </w:p>
        </w:tc>
        <w:tc>
          <w:tcPr>
            <w:tcW w:w="421" w:type="pct"/>
            <w:shd w:val="clear" w:color="auto" w:fill="auto"/>
            <w:vAlign w:val="center"/>
          </w:tcPr>
          <w:p w14:paraId="6057BDA0" w14:textId="2962EAF4"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2" w:type="pct"/>
            <w:shd w:val="clear" w:color="auto" w:fill="auto"/>
            <w:vAlign w:val="center"/>
          </w:tcPr>
          <w:p w14:paraId="2112880E" w14:textId="6B23D468"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EFA4E43" w14:textId="712A2C5C"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43993DA0" w14:textId="3DAA8452"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1B6DB1" w:rsidRPr="00FB38E1" w14:paraId="013FCFFE" w14:textId="77777777" w:rsidTr="001B6DB1">
        <w:tc>
          <w:tcPr>
            <w:tcW w:w="139" w:type="pct"/>
            <w:tcBorders>
              <w:bottom w:val="single" w:sz="4" w:space="0" w:color="auto"/>
            </w:tcBorders>
            <w:shd w:val="clear" w:color="auto" w:fill="auto"/>
          </w:tcPr>
          <w:p w14:paraId="281037F7" w14:textId="77777777" w:rsidR="001B6DB1" w:rsidRPr="00FB38E1" w:rsidRDefault="001B6DB1" w:rsidP="001B6DB1">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17</w:t>
            </w:r>
          </w:p>
        </w:tc>
        <w:tc>
          <w:tcPr>
            <w:tcW w:w="2094" w:type="pct"/>
            <w:tcBorders>
              <w:bottom w:val="single" w:sz="4" w:space="0" w:color="auto"/>
            </w:tcBorders>
            <w:shd w:val="clear" w:color="auto" w:fill="auto"/>
            <w:vAlign w:val="center"/>
          </w:tcPr>
          <w:p w14:paraId="113FB7D4" w14:textId="77777777" w:rsidR="001B6DB1" w:rsidRPr="00FB38E1" w:rsidRDefault="001B6DB1" w:rsidP="001B6DB1">
            <w:pPr>
              <w:rPr>
                <w:rFonts w:ascii="Microsoft Sans Serif" w:hAnsi="Microsoft Sans Serif" w:cs="Microsoft Sans Serif"/>
                <w:sz w:val="14"/>
                <w:szCs w:val="14"/>
              </w:rPr>
            </w:pPr>
            <w:r w:rsidRPr="00FB38E1">
              <w:rPr>
                <w:rFonts w:ascii="Microsoft Sans Serif" w:hAnsi="Microsoft Sans Serif" w:cs="Microsoft Sans Serif"/>
                <w:sz w:val="14"/>
                <w:szCs w:val="14"/>
              </w:rPr>
              <w:t>Hisse senedi yatırımları</w:t>
            </w:r>
          </w:p>
        </w:tc>
        <w:tc>
          <w:tcPr>
            <w:tcW w:w="518" w:type="pct"/>
            <w:tcBorders>
              <w:bottom w:val="single" w:sz="4" w:space="0" w:color="auto"/>
            </w:tcBorders>
            <w:shd w:val="clear" w:color="auto" w:fill="auto"/>
            <w:vAlign w:val="center"/>
          </w:tcPr>
          <w:p w14:paraId="547C033A" w14:textId="75CBEFD1"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88.469.380</w:t>
            </w:r>
          </w:p>
        </w:tc>
        <w:tc>
          <w:tcPr>
            <w:tcW w:w="483" w:type="pct"/>
            <w:tcBorders>
              <w:bottom w:val="single" w:sz="4" w:space="0" w:color="auto"/>
            </w:tcBorders>
            <w:shd w:val="clear" w:color="auto" w:fill="auto"/>
            <w:vAlign w:val="center"/>
          </w:tcPr>
          <w:p w14:paraId="34949F4A" w14:textId="6AA1837A"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bottom w:val="single" w:sz="4" w:space="0" w:color="auto"/>
            </w:tcBorders>
            <w:shd w:val="clear" w:color="auto" w:fill="auto"/>
            <w:vAlign w:val="center"/>
          </w:tcPr>
          <w:p w14:paraId="44AF9DD8" w14:textId="4A597005"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2" w:type="pct"/>
            <w:tcBorders>
              <w:bottom w:val="single" w:sz="4" w:space="0" w:color="auto"/>
            </w:tcBorders>
            <w:shd w:val="clear" w:color="auto" w:fill="auto"/>
            <w:vAlign w:val="center"/>
          </w:tcPr>
          <w:p w14:paraId="204737A5" w14:textId="6C539C96"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single" w:sz="4" w:space="0" w:color="auto"/>
              <w:right w:val="nil"/>
            </w:tcBorders>
            <w:shd w:val="clear" w:color="auto" w:fill="auto"/>
            <w:vAlign w:val="center"/>
          </w:tcPr>
          <w:p w14:paraId="672E760D" w14:textId="676E2708"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bottom w:val="single" w:sz="4" w:space="0" w:color="auto"/>
            </w:tcBorders>
            <w:shd w:val="clear" w:color="auto" w:fill="auto"/>
            <w:vAlign w:val="center"/>
          </w:tcPr>
          <w:p w14:paraId="7C73CB01" w14:textId="29AEE564" w:rsidR="001B6DB1" w:rsidRPr="00FB38E1" w:rsidRDefault="001B6DB1" w:rsidP="001B6DB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1B6DB1" w:rsidRPr="00FB38E1" w14:paraId="4013594F" w14:textId="77777777" w:rsidTr="001B6DB1">
        <w:tc>
          <w:tcPr>
            <w:tcW w:w="139" w:type="pct"/>
            <w:tcBorders>
              <w:top w:val="single" w:sz="4" w:space="0" w:color="auto"/>
              <w:bottom w:val="thickThinSmallGap" w:sz="24" w:space="0" w:color="auto"/>
            </w:tcBorders>
            <w:shd w:val="clear" w:color="auto" w:fill="auto"/>
            <w:vAlign w:val="center"/>
          </w:tcPr>
          <w:p w14:paraId="081AE2AC" w14:textId="77777777" w:rsidR="001B6DB1" w:rsidRPr="00FB38E1" w:rsidRDefault="001B6DB1" w:rsidP="001B6DB1">
            <w:pPr>
              <w:jc w:val="right"/>
              <w:rPr>
                <w:rFonts w:ascii="Microsoft Sans Serif" w:hAnsi="Microsoft Sans Serif" w:cs="Microsoft Sans Serif"/>
                <w:b/>
                <w:color w:val="404040"/>
                <w:sz w:val="14"/>
                <w:szCs w:val="14"/>
              </w:rPr>
            </w:pPr>
            <w:r w:rsidRPr="00FB38E1">
              <w:rPr>
                <w:rFonts w:ascii="Microsoft Sans Serif" w:hAnsi="Microsoft Sans Serif" w:cs="Microsoft Sans Serif"/>
                <w:b/>
                <w:sz w:val="14"/>
                <w:szCs w:val="14"/>
              </w:rPr>
              <w:t>18</w:t>
            </w:r>
          </w:p>
        </w:tc>
        <w:tc>
          <w:tcPr>
            <w:tcW w:w="2094" w:type="pct"/>
            <w:tcBorders>
              <w:top w:val="single" w:sz="4" w:space="0" w:color="auto"/>
              <w:bottom w:val="thickThinSmallGap" w:sz="24" w:space="0" w:color="auto"/>
            </w:tcBorders>
            <w:shd w:val="clear" w:color="auto" w:fill="auto"/>
            <w:vAlign w:val="bottom"/>
          </w:tcPr>
          <w:p w14:paraId="0A769816" w14:textId="77777777" w:rsidR="001B6DB1" w:rsidRPr="00FB38E1" w:rsidRDefault="001B6DB1" w:rsidP="001B6DB1">
            <w:pPr>
              <w:jc w:val="left"/>
              <w:rPr>
                <w:rFonts w:ascii="Trebuchet MS" w:hAnsi="Trebuchet MS"/>
                <w:b/>
                <w:sz w:val="14"/>
                <w:szCs w:val="14"/>
              </w:rPr>
            </w:pPr>
            <w:r w:rsidRPr="00FB38E1">
              <w:rPr>
                <w:rFonts w:ascii="Trebuchet MS" w:hAnsi="Trebuchet MS"/>
                <w:b/>
                <w:sz w:val="14"/>
                <w:szCs w:val="14"/>
              </w:rPr>
              <w:t>Toplam</w:t>
            </w:r>
          </w:p>
        </w:tc>
        <w:tc>
          <w:tcPr>
            <w:tcW w:w="518" w:type="pct"/>
            <w:tcBorders>
              <w:top w:val="single" w:sz="4" w:space="0" w:color="auto"/>
              <w:bottom w:val="thickThinSmallGap" w:sz="24" w:space="0" w:color="auto"/>
            </w:tcBorders>
            <w:shd w:val="clear" w:color="auto" w:fill="auto"/>
            <w:vAlign w:val="center"/>
          </w:tcPr>
          <w:p w14:paraId="02B53A6F" w14:textId="499636F5" w:rsidR="001B6DB1" w:rsidRPr="00FB38E1" w:rsidRDefault="001B6DB1" w:rsidP="001B6DB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307.209.044</w:t>
            </w:r>
          </w:p>
        </w:tc>
        <w:tc>
          <w:tcPr>
            <w:tcW w:w="483" w:type="pct"/>
            <w:tcBorders>
              <w:top w:val="single" w:sz="4" w:space="0" w:color="auto"/>
              <w:bottom w:val="thickThinSmallGap" w:sz="24" w:space="0" w:color="auto"/>
            </w:tcBorders>
            <w:shd w:val="clear" w:color="auto" w:fill="auto"/>
            <w:vAlign w:val="center"/>
          </w:tcPr>
          <w:p w14:paraId="7D8F5327" w14:textId="4F6DF9DB" w:rsidR="001B6DB1" w:rsidRPr="00FB38E1" w:rsidRDefault="001B6DB1" w:rsidP="001B6DB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279.900.503</w:t>
            </w:r>
          </w:p>
        </w:tc>
        <w:tc>
          <w:tcPr>
            <w:tcW w:w="421" w:type="pct"/>
            <w:tcBorders>
              <w:top w:val="single" w:sz="4" w:space="0" w:color="auto"/>
              <w:bottom w:val="thickThinSmallGap" w:sz="24" w:space="0" w:color="auto"/>
            </w:tcBorders>
            <w:shd w:val="clear" w:color="auto" w:fill="auto"/>
            <w:vAlign w:val="center"/>
          </w:tcPr>
          <w:p w14:paraId="7E7608C6" w14:textId="1603A916" w:rsidR="001B6DB1" w:rsidRPr="00FB38E1" w:rsidRDefault="001B6DB1" w:rsidP="001B6DB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64.370.024</w:t>
            </w:r>
          </w:p>
        </w:tc>
        <w:tc>
          <w:tcPr>
            <w:tcW w:w="422" w:type="pct"/>
            <w:tcBorders>
              <w:top w:val="single" w:sz="4" w:space="0" w:color="auto"/>
              <w:bottom w:val="thickThinSmallGap" w:sz="24" w:space="0" w:color="auto"/>
            </w:tcBorders>
            <w:shd w:val="clear" w:color="auto" w:fill="auto"/>
            <w:vAlign w:val="center"/>
          </w:tcPr>
          <w:p w14:paraId="113B87FF" w14:textId="62EBC715" w:rsidR="001B6DB1" w:rsidRPr="00FB38E1" w:rsidRDefault="001B6DB1" w:rsidP="001B6DB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75.512.764</w:t>
            </w:r>
          </w:p>
        </w:tc>
        <w:tc>
          <w:tcPr>
            <w:tcW w:w="461" w:type="pct"/>
            <w:tcBorders>
              <w:top w:val="single" w:sz="4" w:space="0" w:color="auto"/>
              <w:bottom w:val="thickThinSmallGap" w:sz="24" w:space="0" w:color="auto"/>
            </w:tcBorders>
            <w:shd w:val="clear" w:color="auto" w:fill="auto"/>
            <w:vAlign w:val="center"/>
          </w:tcPr>
          <w:p w14:paraId="33DD030D" w14:textId="0A8CD8D3" w:rsidR="001B6DB1" w:rsidRPr="00FB38E1" w:rsidRDefault="001B6DB1" w:rsidP="001B6DB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185.542.390</w:t>
            </w:r>
          </w:p>
        </w:tc>
        <w:tc>
          <w:tcPr>
            <w:tcW w:w="461" w:type="pct"/>
            <w:tcBorders>
              <w:top w:val="single" w:sz="4" w:space="0" w:color="auto"/>
              <w:bottom w:val="thickThinSmallGap" w:sz="24" w:space="0" w:color="auto"/>
            </w:tcBorders>
            <w:shd w:val="clear" w:color="auto" w:fill="auto"/>
            <w:vAlign w:val="center"/>
          </w:tcPr>
          <w:p w14:paraId="40CAD327" w14:textId="7909554E" w:rsidR="001B6DB1" w:rsidRPr="00FB38E1" w:rsidRDefault="001B6DB1" w:rsidP="001B6DB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436.551.522</w:t>
            </w:r>
          </w:p>
        </w:tc>
      </w:tr>
    </w:tbl>
    <w:p w14:paraId="4155F2E2" w14:textId="77777777" w:rsidR="00D1663E" w:rsidRPr="00FB38E1" w:rsidRDefault="00D1663E" w:rsidP="00D1663E">
      <w:pPr>
        <w:pStyle w:val="Head3"/>
        <w:keepNext w:val="0"/>
        <w:keepLines w:val="0"/>
        <w:spacing w:before="0" w:line="240" w:lineRule="exact"/>
        <w:ind w:right="0" w:firstLine="0"/>
        <w:rPr>
          <w:rFonts w:ascii="Microsoft Sans Serif" w:hAnsi="Microsoft Sans Serif" w:cs="Microsoft Sans Serif"/>
          <w:b w:val="0"/>
          <w:i w:val="0"/>
          <w:iCs w:val="0"/>
          <w:color w:val="404040" w:themeColor="text1" w:themeTint="BF"/>
          <w:sz w:val="16"/>
          <w:szCs w:val="16"/>
        </w:rPr>
      </w:pPr>
      <w:r w:rsidRPr="00FB38E1">
        <w:rPr>
          <w:rFonts w:ascii="Microsoft Sans Serif" w:hAnsi="Microsoft Sans Serif" w:cs="Microsoft Sans Serif"/>
          <w:b w:val="0"/>
          <w:i w:val="0"/>
          <w:iCs w:val="0"/>
          <w:color w:val="404040" w:themeColor="text1" w:themeTint="BF"/>
          <w:sz w:val="16"/>
          <w:szCs w:val="16"/>
        </w:rPr>
        <w:t>(*) Vadesiz bakiyeler dahildir.</w:t>
      </w:r>
    </w:p>
    <w:p w14:paraId="19539102" w14:textId="77777777" w:rsidR="00D1663E" w:rsidRPr="00FB38E1" w:rsidRDefault="00D1663E" w:rsidP="00D1663E">
      <w:pPr>
        <w:pStyle w:val="Head3"/>
        <w:keepNext w:val="0"/>
        <w:keepLines w:val="0"/>
        <w:spacing w:before="240" w:line="240" w:lineRule="exact"/>
        <w:ind w:right="0" w:firstLine="0"/>
        <w:rPr>
          <w:rFonts w:ascii="Microsoft Sans Serif" w:hAnsi="Microsoft Sans Serif" w:cs="Microsoft Sans Serif"/>
          <w:b w:val="0"/>
          <w:i w:val="0"/>
          <w:iCs w:val="0"/>
          <w:sz w:val="20"/>
          <w:szCs w:val="20"/>
        </w:rPr>
      </w:pPr>
      <w:r w:rsidRPr="00FB38E1">
        <w:rPr>
          <w:rFonts w:ascii="Microsoft Sans Serif" w:hAnsi="Microsoft Sans Serif" w:cs="Microsoft Sans Serif"/>
          <w:b w:val="0"/>
          <w:i w:val="0"/>
          <w:sz w:val="20"/>
          <w:szCs w:val="20"/>
        </w:rPr>
        <w:t>Önceki dönem</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70"/>
        <w:gridCol w:w="4060"/>
        <w:gridCol w:w="1005"/>
        <w:gridCol w:w="937"/>
        <w:gridCol w:w="817"/>
        <w:gridCol w:w="818"/>
        <w:gridCol w:w="894"/>
        <w:gridCol w:w="894"/>
      </w:tblGrid>
      <w:tr w:rsidR="00D1663E" w:rsidRPr="00FB38E1" w14:paraId="1F2BFBE9" w14:textId="77777777" w:rsidTr="00836EF2">
        <w:tc>
          <w:tcPr>
            <w:tcW w:w="140" w:type="pct"/>
            <w:tcBorders>
              <w:top w:val="thinThickSmallGap" w:sz="24" w:space="0" w:color="auto"/>
              <w:bottom w:val="single" w:sz="4" w:space="0" w:color="auto"/>
            </w:tcBorders>
            <w:shd w:val="clear" w:color="auto" w:fill="auto"/>
            <w:vAlign w:val="bottom"/>
          </w:tcPr>
          <w:p w14:paraId="35EEC974" w14:textId="77777777" w:rsidR="00D1663E" w:rsidRPr="00FB38E1" w:rsidRDefault="00D1663E" w:rsidP="00836EF2">
            <w:pPr>
              <w:rPr>
                <w:rFonts w:ascii="Microsoft Sans Serif" w:hAnsi="Microsoft Sans Serif" w:cs="Microsoft Sans Serif"/>
                <w:color w:val="000000"/>
                <w:sz w:val="14"/>
                <w:szCs w:val="14"/>
              </w:rPr>
            </w:pPr>
          </w:p>
        </w:tc>
        <w:tc>
          <w:tcPr>
            <w:tcW w:w="2107" w:type="pct"/>
            <w:tcBorders>
              <w:top w:val="thinThickSmallGap" w:sz="24" w:space="0" w:color="auto"/>
              <w:bottom w:val="single" w:sz="4" w:space="0" w:color="auto"/>
            </w:tcBorders>
            <w:shd w:val="clear" w:color="auto" w:fill="auto"/>
            <w:vAlign w:val="bottom"/>
          </w:tcPr>
          <w:p w14:paraId="24B324CF" w14:textId="77777777" w:rsidR="00D1663E" w:rsidRPr="00FB38E1" w:rsidRDefault="00D1663E" w:rsidP="00836EF2">
            <w:pPr>
              <w:rPr>
                <w:rFonts w:ascii="Microsoft Sans Serif" w:hAnsi="Microsoft Sans Serif" w:cs="Microsoft Sans Serif"/>
                <w:color w:val="000000"/>
                <w:sz w:val="14"/>
                <w:szCs w:val="14"/>
              </w:rPr>
            </w:pPr>
            <w:r w:rsidRPr="00FB38E1">
              <w:rPr>
                <w:rFonts w:ascii="Microsoft Sans Serif" w:hAnsi="Microsoft Sans Serif" w:cs="Microsoft Sans Serif"/>
                <w:b/>
                <w:color w:val="000000"/>
                <w:sz w:val="14"/>
                <w:szCs w:val="14"/>
              </w:rPr>
              <w:t>Risk Sınıfları</w:t>
            </w:r>
          </w:p>
        </w:tc>
        <w:tc>
          <w:tcPr>
            <w:tcW w:w="518" w:type="pct"/>
            <w:tcBorders>
              <w:top w:val="thinThickSmallGap" w:sz="24" w:space="0" w:color="auto"/>
              <w:bottom w:val="single" w:sz="4" w:space="0" w:color="auto"/>
            </w:tcBorders>
            <w:shd w:val="clear" w:color="auto" w:fill="auto"/>
          </w:tcPr>
          <w:p w14:paraId="0797DF7C"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Dağıtılamayan (*)</w:t>
            </w:r>
          </w:p>
        </w:tc>
        <w:tc>
          <w:tcPr>
            <w:tcW w:w="490" w:type="pct"/>
            <w:tcBorders>
              <w:top w:val="thinThickSmallGap" w:sz="24" w:space="0" w:color="auto"/>
              <w:bottom w:val="single" w:sz="4" w:space="0" w:color="auto"/>
            </w:tcBorders>
            <w:shd w:val="clear" w:color="auto" w:fill="auto"/>
            <w:vAlign w:val="bottom"/>
          </w:tcPr>
          <w:p w14:paraId="68655A0E"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ay</w:t>
            </w:r>
          </w:p>
        </w:tc>
        <w:tc>
          <w:tcPr>
            <w:tcW w:w="428" w:type="pct"/>
            <w:tcBorders>
              <w:top w:val="thinThickSmallGap" w:sz="24" w:space="0" w:color="auto"/>
              <w:bottom w:val="single" w:sz="4" w:space="0" w:color="auto"/>
            </w:tcBorders>
            <w:shd w:val="clear" w:color="auto" w:fill="auto"/>
            <w:vAlign w:val="bottom"/>
          </w:tcPr>
          <w:p w14:paraId="133CCC44"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 ay</w:t>
            </w:r>
          </w:p>
        </w:tc>
        <w:tc>
          <w:tcPr>
            <w:tcW w:w="428" w:type="pct"/>
            <w:tcBorders>
              <w:top w:val="thinThickSmallGap" w:sz="24" w:space="0" w:color="auto"/>
              <w:bottom w:val="single" w:sz="4" w:space="0" w:color="auto"/>
            </w:tcBorders>
            <w:shd w:val="clear" w:color="auto" w:fill="auto"/>
            <w:vAlign w:val="bottom"/>
          </w:tcPr>
          <w:p w14:paraId="1E7505E0"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3-6 ay</w:t>
            </w:r>
          </w:p>
        </w:tc>
        <w:tc>
          <w:tcPr>
            <w:tcW w:w="428" w:type="pct"/>
            <w:tcBorders>
              <w:top w:val="thinThickSmallGap" w:sz="24" w:space="0" w:color="auto"/>
              <w:bottom w:val="single" w:sz="4" w:space="0" w:color="auto"/>
            </w:tcBorders>
            <w:shd w:val="clear" w:color="auto" w:fill="auto"/>
            <w:vAlign w:val="bottom"/>
          </w:tcPr>
          <w:p w14:paraId="0A6F2C8F"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6-12 ay</w:t>
            </w:r>
          </w:p>
        </w:tc>
        <w:tc>
          <w:tcPr>
            <w:tcW w:w="461" w:type="pct"/>
            <w:tcBorders>
              <w:top w:val="thinThickSmallGap" w:sz="24" w:space="0" w:color="auto"/>
              <w:bottom w:val="single" w:sz="4" w:space="0" w:color="auto"/>
            </w:tcBorders>
            <w:shd w:val="clear" w:color="auto" w:fill="auto"/>
            <w:vAlign w:val="bottom"/>
          </w:tcPr>
          <w:p w14:paraId="660D16AE" w14:textId="77777777" w:rsidR="00D1663E" w:rsidRPr="00FB38E1" w:rsidRDefault="00D1663E"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Yıl Üzeri</w:t>
            </w:r>
          </w:p>
        </w:tc>
      </w:tr>
      <w:tr w:rsidR="00D1663E" w:rsidRPr="00FB38E1" w14:paraId="4A08B80A" w14:textId="77777777" w:rsidTr="00836EF2">
        <w:trPr>
          <w:trHeight w:val="53"/>
        </w:trPr>
        <w:tc>
          <w:tcPr>
            <w:tcW w:w="140" w:type="pct"/>
            <w:tcBorders>
              <w:top w:val="single" w:sz="4" w:space="0" w:color="auto"/>
            </w:tcBorders>
            <w:shd w:val="clear" w:color="auto" w:fill="auto"/>
            <w:vAlign w:val="center"/>
          </w:tcPr>
          <w:p w14:paraId="756BE64B"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w:t>
            </w:r>
          </w:p>
        </w:tc>
        <w:tc>
          <w:tcPr>
            <w:tcW w:w="2107" w:type="pct"/>
            <w:tcBorders>
              <w:top w:val="single" w:sz="4" w:space="0" w:color="auto"/>
            </w:tcBorders>
            <w:shd w:val="clear" w:color="auto" w:fill="auto"/>
            <w:vAlign w:val="center"/>
          </w:tcPr>
          <w:p w14:paraId="476EC47B"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Merkezi yönetimlerden veya merkez bankalarından alacaklar</w:t>
            </w:r>
          </w:p>
        </w:tc>
        <w:tc>
          <w:tcPr>
            <w:tcW w:w="518" w:type="pct"/>
            <w:tcBorders>
              <w:top w:val="nil"/>
            </w:tcBorders>
            <w:shd w:val="clear" w:color="auto" w:fill="auto"/>
            <w:vAlign w:val="center"/>
          </w:tcPr>
          <w:p w14:paraId="7F74789F" w14:textId="54FA5AD1"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74.578.721</w:t>
            </w:r>
          </w:p>
        </w:tc>
        <w:tc>
          <w:tcPr>
            <w:tcW w:w="490" w:type="pct"/>
            <w:tcBorders>
              <w:top w:val="nil"/>
            </w:tcBorders>
            <w:shd w:val="clear" w:color="auto" w:fill="auto"/>
            <w:vAlign w:val="center"/>
          </w:tcPr>
          <w:p w14:paraId="32447914" w14:textId="3BA0399E"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87.767.242</w:t>
            </w:r>
          </w:p>
        </w:tc>
        <w:tc>
          <w:tcPr>
            <w:tcW w:w="428" w:type="pct"/>
            <w:tcBorders>
              <w:top w:val="nil"/>
            </w:tcBorders>
            <w:shd w:val="clear" w:color="auto" w:fill="auto"/>
            <w:vAlign w:val="center"/>
          </w:tcPr>
          <w:p w14:paraId="07E5BDED" w14:textId="03F950D6"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4.312.133</w:t>
            </w:r>
          </w:p>
        </w:tc>
        <w:tc>
          <w:tcPr>
            <w:tcW w:w="428" w:type="pct"/>
            <w:tcBorders>
              <w:top w:val="nil"/>
            </w:tcBorders>
            <w:shd w:val="clear" w:color="auto" w:fill="auto"/>
            <w:vAlign w:val="center"/>
          </w:tcPr>
          <w:p w14:paraId="13B3CF6B" w14:textId="00FBB946"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7428F6B0" w14:textId="09933456"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single" w:sz="4" w:space="0" w:color="auto"/>
            </w:tcBorders>
            <w:shd w:val="clear" w:color="auto" w:fill="auto"/>
            <w:vAlign w:val="center"/>
          </w:tcPr>
          <w:p w14:paraId="628CAE54" w14:textId="3CA4628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115.887.655</w:t>
            </w:r>
          </w:p>
        </w:tc>
      </w:tr>
      <w:tr w:rsidR="00D1663E" w:rsidRPr="00FB38E1" w14:paraId="3987EEAD" w14:textId="77777777" w:rsidTr="00836EF2">
        <w:tc>
          <w:tcPr>
            <w:tcW w:w="140" w:type="pct"/>
            <w:shd w:val="clear" w:color="auto" w:fill="auto"/>
          </w:tcPr>
          <w:p w14:paraId="4B892436"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w:t>
            </w:r>
          </w:p>
        </w:tc>
        <w:tc>
          <w:tcPr>
            <w:tcW w:w="2107" w:type="pct"/>
            <w:shd w:val="clear" w:color="auto" w:fill="auto"/>
            <w:vAlign w:val="center"/>
          </w:tcPr>
          <w:p w14:paraId="673EF784"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Bölgesel yönetimlerden veya yerel yönetimlerden alacaklar</w:t>
            </w:r>
          </w:p>
        </w:tc>
        <w:tc>
          <w:tcPr>
            <w:tcW w:w="518" w:type="pct"/>
            <w:shd w:val="clear" w:color="auto" w:fill="auto"/>
            <w:vAlign w:val="center"/>
          </w:tcPr>
          <w:p w14:paraId="75AA833A" w14:textId="0D781E36"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29794713" w14:textId="2B91B341"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63.703</w:t>
            </w:r>
          </w:p>
        </w:tc>
        <w:tc>
          <w:tcPr>
            <w:tcW w:w="428" w:type="pct"/>
            <w:shd w:val="clear" w:color="auto" w:fill="auto"/>
            <w:vAlign w:val="center"/>
          </w:tcPr>
          <w:p w14:paraId="2CA8793F" w14:textId="1DB4778F"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11.285</w:t>
            </w:r>
          </w:p>
        </w:tc>
        <w:tc>
          <w:tcPr>
            <w:tcW w:w="428" w:type="pct"/>
            <w:shd w:val="clear" w:color="auto" w:fill="auto"/>
            <w:vAlign w:val="center"/>
          </w:tcPr>
          <w:p w14:paraId="56403B74" w14:textId="62F4E53A"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249.942</w:t>
            </w:r>
          </w:p>
        </w:tc>
        <w:tc>
          <w:tcPr>
            <w:tcW w:w="428" w:type="pct"/>
            <w:tcBorders>
              <w:top w:val="nil"/>
              <w:left w:val="nil"/>
              <w:bottom w:val="nil"/>
              <w:right w:val="nil"/>
            </w:tcBorders>
            <w:shd w:val="clear" w:color="auto" w:fill="auto"/>
            <w:vAlign w:val="center"/>
          </w:tcPr>
          <w:p w14:paraId="7935BB9C" w14:textId="0321B9E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479.557</w:t>
            </w:r>
          </w:p>
        </w:tc>
        <w:tc>
          <w:tcPr>
            <w:tcW w:w="461" w:type="pct"/>
            <w:shd w:val="clear" w:color="auto" w:fill="auto"/>
            <w:vAlign w:val="center"/>
          </w:tcPr>
          <w:p w14:paraId="1D6B5426" w14:textId="7A1B9C9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2.760.171</w:t>
            </w:r>
          </w:p>
        </w:tc>
      </w:tr>
      <w:tr w:rsidR="00D1663E" w:rsidRPr="00FB38E1" w14:paraId="11E77F11" w14:textId="77777777" w:rsidTr="00836EF2">
        <w:tc>
          <w:tcPr>
            <w:tcW w:w="140" w:type="pct"/>
            <w:shd w:val="clear" w:color="auto" w:fill="auto"/>
          </w:tcPr>
          <w:p w14:paraId="2EDC3785"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w:t>
            </w:r>
          </w:p>
        </w:tc>
        <w:tc>
          <w:tcPr>
            <w:tcW w:w="2107" w:type="pct"/>
            <w:shd w:val="clear" w:color="auto" w:fill="auto"/>
            <w:vAlign w:val="center"/>
          </w:tcPr>
          <w:p w14:paraId="514AA688"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İdari birimlerden ve ticari olmayan girişimlerden alacaklar</w:t>
            </w:r>
          </w:p>
        </w:tc>
        <w:tc>
          <w:tcPr>
            <w:tcW w:w="518" w:type="pct"/>
            <w:shd w:val="clear" w:color="auto" w:fill="auto"/>
            <w:vAlign w:val="center"/>
          </w:tcPr>
          <w:p w14:paraId="37E3989B" w14:textId="7EB35644"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31624D0C" w14:textId="6E36B58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1.750.017</w:t>
            </w:r>
          </w:p>
        </w:tc>
        <w:tc>
          <w:tcPr>
            <w:tcW w:w="428" w:type="pct"/>
            <w:shd w:val="clear" w:color="auto" w:fill="auto"/>
            <w:vAlign w:val="center"/>
          </w:tcPr>
          <w:p w14:paraId="23329DED" w14:textId="6EDB9B4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5.233.030</w:t>
            </w:r>
          </w:p>
        </w:tc>
        <w:tc>
          <w:tcPr>
            <w:tcW w:w="428" w:type="pct"/>
            <w:shd w:val="clear" w:color="auto" w:fill="auto"/>
            <w:vAlign w:val="center"/>
          </w:tcPr>
          <w:p w14:paraId="67E15B65" w14:textId="27777049"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255.799</w:t>
            </w:r>
          </w:p>
        </w:tc>
        <w:tc>
          <w:tcPr>
            <w:tcW w:w="428" w:type="pct"/>
            <w:tcBorders>
              <w:top w:val="nil"/>
              <w:left w:val="nil"/>
              <w:bottom w:val="nil"/>
              <w:right w:val="nil"/>
            </w:tcBorders>
            <w:shd w:val="clear" w:color="auto" w:fill="auto"/>
            <w:vAlign w:val="center"/>
          </w:tcPr>
          <w:p w14:paraId="4B7C2AC6" w14:textId="34CA71C0"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7581DC25" w14:textId="5D673819"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96.014</w:t>
            </w:r>
          </w:p>
        </w:tc>
      </w:tr>
      <w:tr w:rsidR="00D1663E" w:rsidRPr="00FB38E1" w14:paraId="78D0566F" w14:textId="77777777" w:rsidTr="00836EF2">
        <w:tc>
          <w:tcPr>
            <w:tcW w:w="140" w:type="pct"/>
            <w:shd w:val="clear" w:color="auto" w:fill="auto"/>
          </w:tcPr>
          <w:p w14:paraId="790259F5"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w:t>
            </w:r>
          </w:p>
        </w:tc>
        <w:tc>
          <w:tcPr>
            <w:tcW w:w="2107" w:type="pct"/>
            <w:shd w:val="clear" w:color="auto" w:fill="auto"/>
            <w:vAlign w:val="center"/>
          </w:tcPr>
          <w:p w14:paraId="6A420157"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Çok taraflı kalkınma bankalarından alacaklar</w:t>
            </w:r>
          </w:p>
        </w:tc>
        <w:tc>
          <w:tcPr>
            <w:tcW w:w="518" w:type="pct"/>
            <w:shd w:val="clear" w:color="auto" w:fill="auto"/>
            <w:vAlign w:val="center"/>
          </w:tcPr>
          <w:p w14:paraId="013A51D5" w14:textId="38CE638C"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35620915" w14:textId="4EBF49B8"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0D034705" w14:textId="003AF27D"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51C84868" w14:textId="5EB2273A"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0B8EA376" w14:textId="1F556FDE"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7A21ABFF" w14:textId="505325F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1663E" w:rsidRPr="00FB38E1" w14:paraId="4CAC9D56" w14:textId="77777777" w:rsidTr="00836EF2">
        <w:tc>
          <w:tcPr>
            <w:tcW w:w="140" w:type="pct"/>
            <w:shd w:val="clear" w:color="auto" w:fill="auto"/>
          </w:tcPr>
          <w:p w14:paraId="6B90E9D1"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w:t>
            </w:r>
          </w:p>
        </w:tc>
        <w:tc>
          <w:tcPr>
            <w:tcW w:w="2107" w:type="pct"/>
            <w:shd w:val="clear" w:color="auto" w:fill="auto"/>
            <w:vAlign w:val="center"/>
          </w:tcPr>
          <w:p w14:paraId="3166DCC1"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Uluslararası teşkilatlardan alacaklar</w:t>
            </w:r>
          </w:p>
        </w:tc>
        <w:tc>
          <w:tcPr>
            <w:tcW w:w="518" w:type="pct"/>
            <w:shd w:val="clear" w:color="auto" w:fill="auto"/>
            <w:vAlign w:val="center"/>
          </w:tcPr>
          <w:p w14:paraId="522FAC42" w14:textId="07E84864"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09F03925" w14:textId="7B2FC655"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5FCCF9C3" w14:textId="7B67AA8C"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559685F4" w14:textId="4428653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0A9DD2DC" w14:textId="44BE8F81"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63AF0701" w14:textId="16902B8F"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1663E" w:rsidRPr="00FB38E1" w14:paraId="73AC2F5A" w14:textId="77777777" w:rsidTr="00836EF2">
        <w:tc>
          <w:tcPr>
            <w:tcW w:w="140" w:type="pct"/>
            <w:shd w:val="clear" w:color="auto" w:fill="auto"/>
          </w:tcPr>
          <w:p w14:paraId="151CBC45"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w:t>
            </w:r>
          </w:p>
        </w:tc>
        <w:tc>
          <w:tcPr>
            <w:tcW w:w="2107" w:type="pct"/>
            <w:shd w:val="clear" w:color="auto" w:fill="auto"/>
            <w:vAlign w:val="center"/>
          </w:tcPr>
          <w:p w14:paraId="0A6F563F"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Bankalardan ve aracı kurumlardan alacaklar</w:t>
            </w:r>
          </w:p>
        </w:tc>
        <w:tc>
          <w:tcPr>
            <w:tcW w:w="518" w:type="pct"/>
            <w:shd w:val="clear" w:color="auto" w:fill="auto"/>
            <w:vAlign w:val="center"/>
          </w:tcPr>
          <w:p w14:paraId="6C4C64AF" w14:textId="42B60EA4"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8.688.880</w:t>
            </w:r>
          </w:p>
        </w:tc>
        <w:tc>
          <w:tcPr>
            <w:tcW w:w="490" w:type="pct"/>
            <w:shd w:val="clear" w:color="auto" w:fill="auto"/>
            <w:vAlign w:val="center"/>
          </w:tcPr>
          <w:p w14:paraId="49BF7773" w14:textId="41CE4A2C"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51.085.913</w:t>
            </w:r>
          </w:p>
        </w:tc>
        <w:tc>
          <w:tcPr>
            <w:tcW w:w="428" w:type="pct"/>
            <w:shd w:val="clear" w:color="auto" w:fill="auto"/>
            <w:vAlign w:val="center"/>
          </w:tcPr>
          <w:p w14:paraId="51564394" w14:textId="00D64040"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1.909.157</w:t>
            </w:r>
          </w:p>
        </w:tc>
        <w:tc>
          <w:tcPr>
            <w:tcW w:w="428" w:type="pct"/>
            <w:shd w:val="clear" w:color="auto" w:fill="auto"/>
            <w:vAlign w:val="center"/>
          </w:tcPr>
          <w:p w14:paraId="756B6592" w14:textId="590318B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4.147.044</w:t>
            </w:r>
          </w:p>
        </w:tc>
        <w:tc>
          <w:tcPr>
            <w:tcW w:w="428" w:type="pct"/>
            <w:tcBorders>
              <w:top w:val="nil"/>
              <w:left w:val="nil"/>
              <w:bottom w:val="nil"/>
              <w:right w:val="nil"/>
            </w:tcBorders>
            <w:shd w:val="clear" w:color="auto" w:fill="auto"/>
            <w:vAlign w:val="center"/>
          </w:tcPr>
          <w:p w14:paraId="342485F4" w14:textId="1FCA4704"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6.102.579</w:t>
            </w:r>
          </w:p>
        </w:tc>
        <w:tc>
          <w:tcPr>
            <w:tcW w:w="461" w:type="pct"/>
            <w:shd w:val="clear" w:color="auto" w:fill="auto"/>
            <w:vAlign w:val="center"/>
          </w:tcPr>
          <w:p w14:paraId="7833BB7A" w14:textId="2FB77E0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3.917.844</w:t>
            </w:r>
          </w:p>
        </w:tc>
      </w:tr>
      <w:tr w:rsidR="00D1663E" w:rsidRPr="00FB38E1" w14:paraId="6CE8D3D8" w14:textId="77777777" w:rsidTr="00836EF2">
        <w:tc>
          <w:tcPr>
            <w:tcW w:w="140" w:type="pct"/>
            <w:shd w:val="clear" w:color="auto" w:fill="auto"/>
          </w:tcPr>
          <w:p w14:paraId="2FA18F99"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w:t>
            </w:r>
          </w:p>
        </w:tc>
        <w:tc>
          <w:tcPr>
            <w:tcW w:w="2107" w:type="pct"/>
            <w:shd w:val="clear" w:color="auto" w:fill="auto"/>
            <w:vAlign w:val="center"/>
          </w:tcPr>
          <w:p w14:paraId="640EBCD1"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Kurumsal alacaklar</w:t>
            </w:r>
          </w:p>
        </w:tc>
        <w:tc>
          <w:tcPr>
            <w:tcW w:w="518" w:type="pct"/>
            <w:shd w:val="clear" w:color="auto" w:fill="auto"/>
            <w:vAlign w:val="center"/>
          </w:tcPr>
          <w:p w14:paraId="246E8EC5" w14:textId="083D6A9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774.326</w:t>
            </w:r>
          </w:p>
        </w:tc>
        <w:tc>
          <w:tcPr>
            <w:tcW w:w="490" w:type="pct"/>
            <w:shd w:val="clear" w:color="auto" w:fill="auto"/>
            <w:vAlign w:val="center"/>
          </w:tcPr>
          <w:p w14:paraId="4067E42C" w14:textId="19DE9831"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21.236.155</w:t>
            </w:r>
          </w:p>
        </w:tc>
        <w:tc>
          <w:tcPr>
            <w:tcW w:w="428" w:type="pct"/>
            <w:shd w:val="clear" w:color="auto" w:fill="auto"/>
            <w:vAlign w:val="center"/>
          </w:tcPr>
          <w:p w14:paraId="6CA94632" w14:textId="7CC4A10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20.044.626</w:t>
            </w:r>
          </w:p>
        </w:tc>
        <w:tc>
          <w:tcPr>
            <w:tcW w:w="428" w:type="pct"/>
            <w:shd w:val="clear" w:color="auto" w:fill="auto"/>
            <w:vAlign w:val="center"/>
          </w:tcPr>
          <w:p w14:paraId="34F6E0AE" w14:textId="27F14831"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24.314.630</w:t>
            </w:r>
          </w:p>
        </w:tc>
        <w:tc>
          <w:tcPr>
            <w:tcW w:w="428" w:type="pct"/>
            <w:tcBorders>
              <w:top w:val="nil"/>
              <w:left w:val="nil"/>
              <w:bottom w:val="nil"/>
              <w:right w:val="nil"/>
            </w:tcBorders>
            <w:shd w:val="clear" w:color="auto" w:fill="auto"/>
            <w:vAlign w:val="center"/>
          </w:tcPr>
          <w:p w14:paraId="7E163811" w14:textId="272F9C31"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48.233.641</w:t>
            </w:r>
          </w:p>
        </w:tc>
        <w:tc>
          <w:tcPr>
            <w:tcW w:w="461" w:type="pct"/>
            <w:shd w:val="clear" w:color="auto" w:fill="auto"/>
            <w:vAlign w:val="center"/>
          </w:tcPr>
          <w:p w14:paraId="3571E19B" w14:textId="3D0448A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87.513.044</w:t>
            </w:r>
          </w:p>
        </w:tc>
      </w:tr>
      <w:tr w:rsidR="00D1663E" w:rsidRPr="00FB38E1" w14:paraId="0EC5F690" w14:textId="77777777" w:rsidTr="00836EF2">
        <w:tc>
          <w:tcPr>
            <w:tcW w:w="140" w:type="pct"/>
            <w:shd w:val="clear" w:color="auto" w:fill="auto"/>
          </w:tcPr>
          <w:p w14:paraId="3B13EBD2"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w:t>
            </w:r>
          </w:p>
        </w:tc>
        <w:tc>
          <w:tcPr>
            <w:tcW w:w="2107" w:type="pct"/>
            <w:shd w:val="clear" w:color="auto" w:fill="auto"/>
            <w:vAlign w:val="center"/>
          </w:tcPr>
          <w:p w14:paraId="064AB5ED"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Perakende alacaklar</w:t>
            </w:r>
          </w:p>
        </w:tc>
        <w:tc>
          <w:tcPr>
            <w:tcW w:w="518" w:type="pct"/>
            <w:shd w:val="clear" w:color="auto" w:fill="auto"/>
            <w:vAlign w:val="center"/>
          </w:tcPr>
          <w:p w14:paraId="7B320861" w14:textId="4358C670"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497875C9" w14:textId="01E344EC"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104.844.316</w:t>
            </w:r>
          </w:p>
        </w:tc>
        <w:tc>
          <w:tcPr>
            <w:tcW w:w="428" w:type="pct"/>
            <w:shd w:val="clear" w:color="auto" w:fill="auto"/>
            <w:vAlign w:val="center"/>
          </w:tcPr>
          <w:p w14:paraId="2D4B864C" w14:textId="1FFD2B8D"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10.743.278</w:t>
            </w:r>
          </w:p>
        </w:tc>
        <w:tc>
          <w:tcPr>
            <w:tcW w:w="428" w:type="pct"/>
            <w:shd w:val="clear" w:color="auto" w:fill="auto"/>
            <w:vAlign w:val="center"/>
          </w:tcPr>
          <w:p w14:paraId="456BE920" w14:textId="19661918"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17.037.920</w:t>
            </w:r>
          </w:p>
        </w:tc>
        <w:tc>
          <w:tcPr>
            <w:tcW w:w="428" w:type="pct"/>
            <w:tcBorders>
              <w:top w:val="nil"/>
              <w:left w:val="nil"/>
              <w:bottom w:val="nil"/>
              <w:right w:val="nil"/>
            </w:tcBorders>
            <w:shd w:val="clear" w:color="auto" w:fill="auto"/>
            <w:vAlign w:val="center"/>
          </w:tcPr>
          <w:p w14:paraId="57DB5075" w14:textId="5810FCD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50.958.489</w:t>
            </w:r>
          </w:p>
        </w:tc>
        <w:tc>
          <w:tcPr>
            <w:tcW w:w="461" w:type="pct"/>
            <w:shd w:val="clear" w:color="auto" w:fill="auto"/>
            <w:vAlign w:val="center"/>
          </w:tcPr>
          <w:p w14:paraId="13AA7E8F" w14:textId="76404CAC"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42.585.349</w:t>
            </w:r>
          </w:p>
        </w:tc>
      </w:tr>
      <w:tr w:rsidR="00D1663E" w:rsidRPr="00FB38E1" w14:paraId="684DCED2" w14:textId="77777777" w:rsidTr="00836EF2">
        <w:tc>
          <w:tcPr>
            <w:tcW w:w="140" w:type="pct"/>
            <w:shd w:val="clear" w:color="auto" w:fill="auto"/>
          </w:tcPr>
          <w:p w14:paraId="5B90B825"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w:t>
            </w:r>
          </w:p>
        </w:tc>
        <w:tc>
          <w:tcPr>
            <w:tcW w:w="2107" w:type="pct"/>
            <w:shd w:val="clear" w:color="auto" w:fill="auto"/>
            <w:vAlign w:val="center"/>
          </w:tcPr>
          <w:p w14:paraId="59F5485E"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İkamet amaçlı gayrimenkul ipoteği ile teminatlandırılan alacaklar</w:t>
            </w:r>
          </w:p>
        </w:tc>
        <w:tc>
          <w:tcPr>
            <w:tcW w:w="518" w:type="pct"/>
            <w:shd w:val="clear" w:color="auto" w:fill="auto"/>
            <w:vAlign w:val="center"/>
          </w:tcPr>
          <w:p w14:paraId="31E631B0" w14:textId="3B2AEEDD"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670D0A39" w14:textId="027BDBC8"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1.229.745</w:t>
            </w:r>
          </w:p>
        </w:tc>
        <w:tc>
          <w:tcPr>
            <w:tcW w:w="428" w:type="pct"/>
            <w:shd w:val="clear" w:color="auto" w:fill="auto"/>
            <w:vAlign w:val="center"/>
          </w:tcPr>
          <w:p w14:paraId="7A4E0C03" w14:textId="15CF32A3"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1.358.275</w:t>
            </w:r>
          </w:p>
        </w:tc>
        <w:tc>
          <w:tcPr>
            <w:tcW w:w="428" w:type="pct"/>
            <w:shd w:val="clear" w:color="auto" w:fill="auto"/>
            <w:vAlign w:val="center"/>
          </w:tcPr>
          <w:p w14:paraId="1F2FD118" w14:textId="5F2A6369"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2.153.761</w:t>
            </w:r>
          </w:p>
        </w:tc>
        <w:tc>
          <w:tcPr>
            <w:tcW w:w="428" w:type="pct"/>
            <w:tcBorders>
              <w:top w:val="nil"/>
              <w:left w:val="nil"/>
              <w:bottom w:val="nil"/>
              <w:right w:val="nil"/>
            </w:tcBorders>
            <w:shd w:val="clear" w:color="auto" w:fill="auto"/>
            <w:vAlign w:val="center"/>
          </w:tcPr>
          <w:p w14:paraId="08753EE5" w14:textId="17D71A4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3.328.717</w:t>
            </w:r>
          </w:p>
        </w:tc>
        <w:tc>
          <w:tcPr>
            <w:tcW w:w="461" w:type="pct"/>
            <w:shd w:val="clear" w:color="auto" w:fill="auto"/>
            <w:vAlign w:val="center"/>
          </w:tcPr>
          <w:p w14:paraId="14FA7B03" w14:textId="3AC0E29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3.267.501</w:t>
            </w:r>
          </w:p>
        </w:tc>
      </w:tr>
      <w:tr w:rsidR="00D1663E" w:rsidRPr="00FB38E1" w14:paraId="5AA2D1B0" w14:textId="77777777" w:rsidTr="00836EF2">
        <w:tc>
          <w:tcPr>
            <w:tcW w:w="140" w:type="pct"/>
            <w:shd w:val="clear" w:color="auto" w:fill="auto"/>
          </w:tcPr>
          <w:p w14:paraId="0C0438FE"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w:t>
            </w:r>
          </w:p>
        </w:tc>
        <w:tc>
          <w:tcPr>
            <w:tcW w:w="2107" w:type="pct"/>
            <w:shd w:val="clear" w:color="auto" w:fill="auto"/>
            <w:vAlign w:val="center"/>
          </w:tcPr>
          <w:p w14:paraId="190B0E91"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Ticari amaçlı gayrimenkul ipoteği ile teminatlandırılan alacaklar</w:t>
            </w:r>
          </w:p>
        </w:tc>
        <w:tc>
          <w:tcPr>
            <w:tcW w:w="518" w:type="pct"/>
            <w:shd w:val="clear" w:color="auto" w:fill="auto"/>
            <w:vAlign w:val="center"/>
          </w:tcPr>
          <w:p w14:paraId="583A7D2F" w14:textId="41E4EDBE"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56E149DE" w14:textId="2D2DD94E"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2.118.503</w:t>
            </w:r>
          </w:p>
        </w:tc>
        <w:tc>
          <w:tcPr>
            <w:tcW w:w="428" w:type="pct"/>
            <w:shd w:val="clear" w:color="auto" w:fill="auto"/>
            <w:vAlign w:val="center"/>
          </w:tcPr>
          <w:p w14:paraId="1BDBA2AA" w14:textId="4E46EEB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2.616.279</w:t>
            </w:r>
          </w:p>
        </w:tc>
        <w:tc>
          <w:tcPr>
            <w:tcW w:w="428" w:type="pct"/>
            <w:shd w:val="clear" w:color="auto" w:fill="auto"/>
            <w:vAlign w:val="center"/>
          </w:tcPr>
          <w:p w14:paraId="53FC2581" w14:textId="3BA43416"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3.708.527</w:t>
            </w:r>
          </w:p>
        </w:tc>
        <w:tc>
          <w:tcPr>
            <w:tcW w:w="428" w:type="pct"/>
            <w:tcBorders>
              <w:top w:val="nil"/>
              <w:left w:val="nil"/>
              <w:bottom w:val="nil"/>
              <w:right w:val="nil"/>
            </w:tcBorders>
            <w:shd w:val="clear" w:color="auto" w:fill="auto"/>
            <w:vAlign w:val="center"/>
          </w:tcPr>
          <w:p w14:paraId="0B37A63A" w14:textId="31712FB0"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7.151.521</w:t>
            </w:r>
          </w:p>
        </w:tc>
        <w:tc>
          <w:tcPr>
            <w:tcW w:w="461" w:type="pct"/>
            <w:shd w:val="clear" w:color="auto" w:fill="auto"/>
            <w:vAlign w:val="center"/>
          </w:tcPr>
          <w:p w14:paraId="70F0A2CF" w14:textId="3BEA518E"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21.003.434</w:t>
            </w:r>
          </w:p>
        </w:tc>
      </w:tr>
      <w:tr w:rsidR="00D1663E" w:rsidRPr="00FB38E1" w14:paraId="17D866F9" w14:textId="77777777" w:rsidTr="00836EF2">
        <w:tc>
          <w:tcPr>
            <w:tcW w:w="140" w:type="pct"/>
            <w:shd w:val="clear" w:color="auto" w:fill="auto"/>
          </w:tcPr>
          <w:p w14:paraId="33533BC2"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w:t>
            </w:r>
          </w:p>
        </w:tc>
        <w:tc>
          <w:tcPr>
            <w:tcW w:w="2107" w:type="pct"/>
            <w:shd w:val="clear" w:color="auto" w:fill="auto"/>
            <w:vAlign w:val="center"/>
          </w:tcPr>
          <w:p w14:paraId="1B284DC2"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Tahsili gecikmiş alacaklar</w:t>
            </w:r>
          </w:p>
        </w:tc>
        <w:tc>
          <w:tcPr>
            <w:tcW w:w="518" w:type="pct"/>
            <w:shd w:val="clear" w:color="auto" w:fill="auto"/>
            <w:vAlign w:val="center"/>
          </w:tcPr>
          <w:p w14:paraId="743BBB81" w14:textId="7CDF97E8"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6.010.793</w:t>
            </w:r>
          </w:p>
        </w:tc>
        <w:tc>
          <w:tcPr>
            <w:tcW w:w="490" w:type="pct"/>
            <w:shd w:val="clear" w:color="auto" w:fill="auto"/>
            <w:vAlign w:val="center"/>
          </w:tcPr>
          <w:p w14:paraId="32952E43" w14:textId="5A46A208"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201C977C" w14:textId="6E456F13"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03EC2D0B" w14:textId="7346308E"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1688ACEE" w14:textId="2E47AE11"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145EE734" w14:textId="48EC60A3"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1663E" w:rsidRPr="00FB38E1" w14:paraId="397F51A2" w14:textId="77777777" w:rsidTr="00836EF2">
        <w:tc>
          <w:tcPr>
            <w:tcW w:w="140" w:type="pct"/>
            <w:shd w:val="clear" w:color="auto" w:fill="auto"/>
          </w:tcPr>
          <w:p w14:paraId="63F310F5"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w:t>
            </w:r>
          </w:p>
        </w:tc>
        <w:tc>
          <w:tcPr>
            <w:tcW w:w="2107" w:type="pct"/>
            <w:shd w:val="clear" w:color="auto" w:fill="auto"/>
            <w:vAlign w:val="center"/>
          </w:tcPr>
          <w:p w14:paraId="7EDE712C"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Kurulca riski yüksek belirlenmiş alacaklar</w:t>
            </w:r>
          </w:p>
        </w:tc>
        <w:tc>
          <w:tcPr>
            <w:tcW w:w="518" w:type="pct"/>
            <w:shd w:val="clear" w:color="auto" w:fill="auto"/>
            <w:vAlign w:val="center"/>
          </w:tcPr>
          <w:p w14:paraId="36A8B3F3" w14:textId="674FD69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010C3AA3" w14:textId="74666FBD"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4D322C06" w14:textId="6DEE415C"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18CFAD7D" w14:textId="22E9381E"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723F420A" w14:textId="60A24F5C"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7FD56B38" w14:textId="0F3FDCE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1663E" w:rsidRPr="00FB38E1" w14:paraId="7E74CF69" w14:textId="77777777" w:rsidTr="00836EF2">
        <w:tc>
          <w:tcPr>
            <w:tcW w:w="140" w:type="pct"/>
            <w:shd w:val="clear" w:color="auto" w:fill="auto"/>
          </w:tcPr>
          <w:p w14:paraId="646B8B4A"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w:t>
            </w:r>
          </w:p>
        </w:tc>
        <w:tc>
          <w:tcPr>
            <w:tcW w:w="2107" w:type="pct"/>
            <w:shd w:val="clear" w:color="auto" w:fill="auto"/>
            <w:vAlign w:val="center"/>
          </w:tcPr>
          <w:p w14:paraId="0CCB951D"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İpotek teminatlı menkul kıymetler</w:t>
            </w:r>
          </w:p>
        </w:tc>
        <w:tc>
          <w:tcPr>
            <w:tcW w:w="518" w:type="pct"/>
            <w:shd w:val="clear" w:color="auto" w:fill="auto"/>
            <w:vAlign w:val="center"/>
          </w:tcPr>
          <w:p w14:paraId="79243D58" w14:textId="59D5C088"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7E524191" w14:textId="7C5ED2FA"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34AA4765" w14:textId="5086C98C"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0381C0F1" w14:textId="2D81AC74"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23D38976" w14:textId="3A3AE6B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054D3848" w14:textId="24190E4A"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1663E" w:rsidRPr="00FB38E1" w14:paraId="70453650" w14:textId="77777777" w:rsidTr="00836EF2">
        <w:tc>
          <w:tcPr>
            <w:tcW w:w="140" w:type="pct"/>
            <w:shd w:val="clear" w:color="auto" w:fill="auto"/>
          </w:tcPr>
          <w:p w14:paraId="6245E441"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w:t>
            </w:r>
          </w:p>
        </w:tc>
        <w:tc>
          <w:tcPr>
            <w:tcW w:w="2107" w:type="pct"/>
            <w:shd w:val="clear" w:color="auto" w:fill="auto"/>
            <w:vAlign w:val="center"/>
          </w:tcPr>
          <w:p w14:paraId="2E528E38"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Bankalardan ve aracı kurumlardan olan kısa vadeli alacaklar ile kısa vadeli kurumsal alacaklar</w:t>
            </w:r>
          </w:p>
        </w:tc>
        <w:tc>
          <w:tcPr>
            <w:tcW w:w="518" w:type="pct"/>
            <w:shd w:val="clear" w:color="auto" w:fill="auto"/>
            <w:vAlign w:val="center"/>
          </w:tcPr>
          <w:p w14:paraId="3026D6CE" w14:textId="44555FBE"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5D0B7C38" w14:textId="28AFE62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1CA952F4" w14:textId="34E7AFAA"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26E00F9E" w14:textId="4DB161F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7CC3E3FB" w14:textId="1B342426"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020E0E3F" w14:textId="641FFB9E"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1663E" w:rsidRPr="00FB38E1" w14:paraId="55D0F6BB" w14:textId="77777777" w:rsidTr="00836EF2">
        <w:tc>
          <w:tcPr>
            <w:tcW w:w="140" w:type="pct"/>
            <w:shd w:val="clear" w:color="auto" w:fill="auto"/>
          </w:tcPr>
          <w:p w14:paraId="2A419A72"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15 </w:t>
            </w:r>
          </w:p>
        </w:tc>
        <w:tc>
          <w:tcPr>
            <w:tcW w:w="2107" w:type="pct"/>
            <w:shd w:val="clear" w:color="auto" w:fill="auto"/>
            <w:vAlign w:val="center"/>
          </w:tcPr>
          <w:p w14:paraId="31CEC9E0"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Kollektif yatırım kuruluşu niteliğindeki yatırımlar</w:t>
            </w:r>
          </w:p>
        </w:tc>
        <w:tc>
          <w:tcPr>
            <w:tcW w:w="518" w:type="pct"/>
            <w:shd w:val="clear" w:color="auto" w:fill="auto"/>
            <w:vAlign w:val="center"/>
          </w:tcPr>
          <w:p w14:paraId="652374A2" w14:textId="63F23B4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shd w:val="clear" w:color="auto" w:fill="auto"/>
            <w:vAlign w:val="center"/>
          </w:tcPr>
          <w:p w14:paraId="1C3E5806" w14:textId="298EF95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28.403</w:t>
            </w:r>
          </w:p>
        </w:tc>
        <w:tc>
          <w:tcPr>
            <w:tcW w:w="428" w:type="pct"/>
            <w:shd w:val="clear" w:color="auto" w:fill="auto"/>
            <w:vAlign w:val="center"/>
          </w:tcPr>
          <w:p w14:paraId="1EC3AA9C" w14:textId="1FE91FB4"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5374E0A3" w14:textId="29B24ACD"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w:t>
            </w:r>
          </w:p>
        </w:tc>
        <w:tc>
          <w:tcPr>
            <w:tcW w:w="428" w:type="pct"/>
            <w:tcBorders>
              <w:top w:val="nil"/>
              <w:left w:val="nil"/>
              <w:bottom w:val="nil"/>
              <w:right w:val="nil"/>
            </w:tcBorders>
            <w:shd w:val="clear" w:color="auto" w:fill="auto"/>
            <w:vAlign w:val="center"/>
          </w:tcPr>
          <w:p w14:paraId="45DAAF5F" w14:textId="03204AC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7186A766" w14:textId="6127BB73"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1663E" w:rsidRPr="00FB38E1" w14:paraId="2B2474CC" w14:textId="77777777" w:rsidTr="00836EF2">
        <w:tc>
          <w:tcPr>
            <w:tcW w:w="140" w:type="pct"/>
            <w:shd w:val="clear" w:color="auto" w:fill="auto"/>
          </w:tcPr>
          <w:p w14:paraId="4C963561" w14:textId="77777777"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w:t>
            </w:r>
          </w:p>
        </w:tc>
        <w:tc>
          <w:tcPr>
            <w:tcW w:w="2107" w:type="pct"/>
            <w:shd w:val="clear" w:color="auto" w:fill="auto"/>
            <w:vAlign w:val="center"/>
          </w:tcPr>
          <w:p w14:paraId="398AB516" w14:textId="77777777" w:rsidR="00D1663E" w:rsidRPr="00FB38E1" w:rsidRDefault="00D1663E" w:rsidP="00D1663E">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alacaklar</w:t>
            </w:r>
          </w:p>
        </w:tc>
        <w:tc>
          <w:tcPr>
            <w:tcW w:w="518" w:type="pct"/>
            <w:shd w:val="clear" w:color="auto" w:fill="auto"/>
            <w:vAlign w:val="center"/>
          </w:tcPr>
          <w:p w14:paraId="1951E795" w14:textId="1033E2C2"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43.479.433</w:t>
            </w:r>
          </w:p>
        </w:tc>
        <w:tc>
          <w:tcPr>
            <w:tcW w:w="490" w:type="pct"/>
            <w:shd w:val="clear" w:color="auto" w:fill="auto"/>
            <w:vAlign w:val="center"/>
          </w:tcPr>
          <w:p w14:paraId="762E09C1" w14:textId="519700C9"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106.592</w:t>
            </w:r>
          </w:p>
        </w:tc>
        <w:tc>
          <w:tcPr>
            <w:tcW w:w="428" w:type="pct"/>
            <w:shd w:val="clear" w:color="auto" w:fill="auto"/>
            <w:vAlign w:val="center"/>
          </w:tcPr>
          <w:p w14:paraId="5F392E04" w14:textId="66793276"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shd w:val="clear" w:color="auto" w:fill="auto"/>
            <w:vAlign w:val="center"/>
          </w:tcPr>
          <w:p w14:paraId="2FA747DD" w14:textId="3CEB9F9F"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top w:val="nil"/>
              <w:left w:val="nil"/>
              <w:bottom w:val="nil"/>
              <w:right w:val="nil"/>
            </w:tcBorders>
            <w:shd w:val="clear" w:color="auto" w:fill="auto"/>
            <w:vAlign w:val="center"/>
          </w:tcPr>
          <w:p w14:paraId="3F7CBF27" w14:textId="52E97CBB"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shd w:val="clear" w:color="auto" w:fill="auto"/>
            <w:vAlign w:val="center"/>
          </w:tcPr>
          <w:p w14:paraId="2FBE1B27" w14:textId="07638376"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1663E" w:rsidRPr="00FB38E1" w14:paraId="552D5129" w14:textId="77777777" w:rsidTr="00836EF2">
        <w:tc>
          <w:tcPr>
            <w:tcW w:w="140" w:type="pct"/>
            <w:tcBorders>
              <w:bottom w:val="single" w:sz="4" w:space="0" w:color="auto"/>
            </w:tcBorders>
            <w:shd w:val="clear" w:color="auto" w:fill="auto"/>
          </w:tcPr>
          <w:p w14:paraId="30A1707B" w14:textId="77777777" w:rsidR="00D1663E" w:rsidRPr="00FB38E1" w:rsidRDefault="00D1663E" w:rsidP="00D1663E">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17</w:t>
            </w:r>
          </w:p>
        </w:tc>
        <w:tc>
          <w:tcPr>
            <w:tcW w:w="2107" w:type="pct"/>
            <w:tcBorders>
              <w:bottom w:val="single" w:sz="4" w:space="0" w:color="auto"/>
            </w:tcBorders>
            <w:shd w:val="clear" w:color="auto" w:fill="auto"/>
            <w:vAlign w:val="center"/>
          </w:tcPr>
          <w:p w14:paraId="3C64E544" w14:textId="77777777" w:rsidR="00D1663E" w:rsidRPr="00FB38E1" w:rsidRDefault="00D1663E" w:rsidP="00D1663E">
            <w:pPr>
              <w:rPr>
                <w:rFonts w:ascii="Microsoft Sans Serif" w:hAnsi="Microsoft Sans Serif" w:cs="Microsoft Sans Serif"/>
                <w:sz w:val="14"/>
                <w:szCs w:val="14"/>
              </w:rPr>
            </w:pPr>
            <w:r w:rsidRPr="00FB38E1">
              <w:rPr>
                <w:rFonts w:ascii="Microsoft Sans Serif" w:hAnsi="Microsoft Sans Serif" w:cs="Microsoft Sans Serif"/>
                <w:sz w:val="14"/>
                <w:szCs w:val="14"/>
              </w:rPr>
              <w:t>Hisse senedi yatırımları</w:t>
            </w:r>
          </w:p>
        </w:tc>
        <w:tc>
          <w:tcPr>
            <w:tcW w:w="518" w:type="pct"/>
            <w:tcBorders>
              <w:bottom w:val="single" w:sz="4" w:space="0" w:color="auto"/>
            </w:tcBorders>
            <w:shd w:val="clear" w:color="auto" w:fill="auto"/>
            <w:vAlign w:val="center"/>
          </w:tcPr>
          <w:p w14:paraId="05BC3F98" w14:textId="77B3EBB8"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69.203.740</w:t>
            </w:r>
          </w:p>
        </w:tc>
        <w:tc>
          <w:tcPr>
            <w:tcW w:w="490" w:type="pct"/>
            <w:tcBorders>
              <w:bottom w:val="single" w:sz="4" w:space="0" w:color="auto"/>
            </w:tcBorders>
            <w:shd w:val="clear" w:color="auto" w:fill="auto"/>
            <w:vAlign w:val="center"/>
          </w:tcPr>
          <w:p w14:paraId="21E04E30" w14:textId="217DC96C"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bottom w:val="single" w:sz="4" w:space="0" w:color="auto"/>
            </w:tcBorders>
            <w:shd w:val="clear" w:color="auto" w:fill="auto"/>
            <w:vAlign w:val="center"/>
          </w:tcPr>
          <w:p w14:paraId="3524421B" w14:textId="5E1DA581"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bottom w:val="single" w:sz="4" w:space="0" w:color="auto"/>
            </w:tcBorders>
            <w:shd w:val="clear" w:color="auto" w:fill="auto"/>
            <w:vAlign w:val="center"/>
          </w:tcPr>
          <w:p w14:paraId="4B08E844" w14:textId="212E3DC5"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8" w:type="pct"/>
            <w:tcBorders>
              <w:top w:val="nil"/>
              <w:left w:val="nil"/>
              <w:bottom w:val="single" w:sz="4" w:space="0" w:color="auto"/>
              <w:right w:val="nil"/>
            </w:tcBorders>
            <w:shd w:val="clear" w:color="auto" w:fill="auto"/>
            <w:vAlign w:val="center"/>
          </w:tcPr>
          <w:p w14:paraId="2FC3461B" w14:textId="73CCF3A9"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bottom w:val="single" w:sz="4" w:space="0" w:color="auto"/>
            </w:tcBorders>
            <w:shd w:val="clear" w:color="auto" w:fill="auto"/>
            <w:vAlign w:val="center"/>
          </w:tcPr>
          <w:p w14:paraId="716545A2" w14:textId="31156CEF" w:rsidR="00D1663E" w:rsidRPr="00FB38E1" w:rsidRDefault="00D1663E" w:rsidP="00D1663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D1663E" w:rsidRPr="00FB38E1" w14:paraId="3490E15B" w14:textId="77777777" w:rsidTr="00836EF2">
        <w:tc>
          <w:tcPr>
            <w:tcW w:w="140" w:type="pct"/>
            <w:tcBorders>
              <w:top w:val="single" w:sz="4" w:space="0" w:color="auto"/>
              <w:bottom w:val="thickThinSmallGap" w:sz="24" w:space="0" w:color="auto"/>
            </w:tcBorders>
            <w:shd w:val="clear" w:color="auto" w:fill="auto"/>
            <w:vAlign w:val="center"/>
          </w:tcPr>
          <w:p w14:paraId="468F6EBB" w14:textId="77777777" w:rsidR="00D1663E" w:rsidRPr="00FB38E1" w:rsidRDefault="00D1663E" w:rsidP="00D1663E">
            <w:pPr>
              <w:jc w:val="right"/>
              <w:rPr>
                <w:rFonts w:ascii="Microsoft Sans Serif" w:hAnsi="Microsoft Sans Serif" w:cs="Microsoft Sans Serif"/>
                <w:b/>
                <w:color w:val="404040"/>
                <w:sz w:val="14"/>
                <w:szCs w:val="14"/>
              </w:rPr>
            </w:pPr>
            <w:r w:rsidRPr="00FB38E1">
              <w:rPr>
                <w:rFonts w:ascii="Microsoft Sans Serif" w:hAnsi="Microsoft Sans Serif" w:cs="Microsoft Sans Serif"/>
                <w:b/>
                <w:sz w:val="14"/>
                <w:szCs w:val="14"/>
              </w:rPr>
              <w:t>18</w:t>
            </w:r>
          </w:p>
        </w:tc>
        <w:tc>
          <w:tcPr>
            <w:tcW w:w="2107" w:type="pct"/>
            <w:tcBorders>
              <w:top w:val="single" w:sz="4" w:space="0" w:color="auto"/>
              <w:bottom w:val="thickThinSmallGap" w:sz="24" w:space="0" w:color="auto"/>
            </w:tcBorders>
            <w:shd w:val="clear" w:color="auto" w:fill="auto"/>
            <w:vAlign w:val="bottom"/>
          </w:tcPr>
          <w:p w14:paraId="0797D7CD" w14:textId="77777777" w:rsidR="00D1663E" w:rsidRPr="00FB38E1" w:rsidRDefault="00D1663E" w:rsidP="00D1663E">
            <w:pPr>
              <w:jc w:val="left"/>
              <w:rPr>
                <w:rFonts w:ascii="Trebuchet MS" w:hAnsi="Trebuchet MS"/>
                <w:b/>
                <w:sz w:val="14"/>
                <w:szCs w:val="14"/>
              </w:rPr>
            </w:pPr>
            <w:r w:rsidRPr="00FB38E1">
              <w:rPr>
                <w:rFonts w:ascii="Trebuchet MS" w:hAnsi="Trebuchet MS"/>
                <w:b/>
                <w:sz w:val="14"/>
                <w:szCs w:val="14"/>
              </w:rPr>
              <w:t>Toplam</w:t>
            </w:r>
          </w:p>
        </w:tc>
        <w:tc>
          <w:tcPr>
            <w:tcW w:w="518" w:type="pct"/>
            <w:tcBorders>
              <w:top w:val="single" w:sz="4" w:space="0" w:color="auto"/>
              <w:bottom w:val="thickThinSmallGap" w:sz="24" w:space="0" w:color="auto"/>
            </w:tcBorders>
            <w:shd w:val="clear" w:color="auto" w:fill="auto"/>
            <w:vAlign w:val="center"/>
          </w:tcPr>
          <w:p w14:paraId="673E7B1C" w14:textId="20D7D960" w:rsidR="00D1663E" w:rsidRPr="00FB38E1" w:rsidRDefault="00D1663E" w:rsidP="00D1663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202.735.893</w:t>
            </w:r>
          </w:p>
        </w:tc>
        <w:tc>
          <w:tcPr>
            <w:tcW w:w="490" w:type="pct"/>
            <w:tcBorders>
              <w:top w:val="single" w:sz="4" w:space="0" w:color="auto"/>
              <w:bottom w:val="thickThinSmallGap" w:sz="24" w:space="0" w:color="auto"/>
            </w:tcBorders>
            <w:shd w:val="clear" w:color="auto" w:fill="auto"/>
            <w:vAlign w:val="center"/>
          </w:tcPr>
          <w:p w14:paraId="6305BE61" w14:textId="07E32AD7" w:rsidR="00D1663E" w:rsidRPr="00FB38E1" w:rsidRDefault="00D1663E" w:rsidP="00D1663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270.230.589</w:t>
            </w:r>
          </w:p>
        </w:tc>
        <w:tc>
          <w:tcPr>
            <w:tcW w:w="428" w:type="pct"/>
            <w:tcBorders>
              <w:top w:val="single" w:sz="4" w:space="0" w:color="auto"/>
              <w:bottom w:val="thickThinSmallGap" w:sz="24" w:space="0" w:color="auto"/>
            </w:tcBorders>
            <w:shd w:val="clear" w:color="auto" w:fill="auto"/>
            <w:vAlign w:val="center"/>
          </w:tcPr>
          <w:p w14:paraId="6E658DF1" w14:textId="6477CA7F" w:rsidR="00D1663E" w:rsidRPr="00FB38E1" w:rsidRDefault="00D1663E" w:rsidP="00D1663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46.228.063</w:t>
            </w:r>
          </w:p>
        </w:tc>
        <w:tc>
          <w:tcPr>
            <w:tcW w:w="428" w:type="pct"/>
            <w:tcBorders>
              <w:top w:val="single" w:sz="4" w:space="0" w:color="auto"/>
              <w:bottom w:val="thickThinSmallGap" w:sz="24" w:space="0" w:color="auto"/>
            </w:tcBorders>
            <w:shd w:val="clear" w:color="auto" w:fill="auto"/>
            <w:vAlign w:val="center"/>
          </w:tcPr>
          <w:p w14:paraId="4903364F" w14:textId="3A11B758" w:rsidR="00D1663E" w:rsidRPr="00FB38E1" w:rsidRDefault="00D1663E" w:rsidP="00D1663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51.867.648</w:t>
            </w:r>
          </w:p>
        </w:tc>
        <w:tc>
          <w:tcPr>
            <w:tcW w:w="428" w:type="pct"/>
            <w:tcBorders>
              <w:top w:val="single" w:sz="4" w:space="0" w:color="auto"/>
              <w:bottom w:val="thickThinSmallGap" w:sz="24" w:space="0" w:color="auto"/>
            </w:tcBorders>
            <w:shd w:val="clear" w:color="auto" w:fill="auto"/>
            <w:vAlign w:val="center"/>
          </w:tcPr>
          <w:p w14:paraId="1B4753F0" w14:textId="073F9C43" w:rsidR="00D1663E" w:rsidRPr="00FB38E1" w:rsidRDefault="00D1663E" w:rsidP="00D1663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116.254.504</w:t>
            </w:r>
          </w:p>
        </w:tc>
        <w:tc>
          <w:tcPr>
            <w:tcW w:w="461" w:type="pct"/>
            <w:tcBorders>
              <w:top w:val="single" w:sz="4" w:space="0" w:color="auto"/>
              <w:bottom w:val="thickThinSmallGap" w:sz="24" w:space="0" w:color="auto"/>
            </w:tcBorders>
            <w:shd w:val="clear" w:color="auto" w:fill="auto"/>
            <w:vAlign w:val="center"/>
          </w:tcPr>
          <w:p w14:paraId="1A6BCC7F" w14:textId="5CBCF28E" w:rsidR="00D1663E" w:rsidRPr="00FB38E1" w:rsidRDefault="00D1663E" w:rsidP="00D1663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277.031.012</w:t>
            </w:r>
          </w:p>
        </w:tc>
      </w:tr>
    </w:tbl>
    <w:p w14:paraId="352222E5" w14:textId="77777777" w:rsidR="00D1663E" w:rsidRPr="00FB38E1" w:rsidRDefault="00D1663E" w:rsidP="00D1663E">
      <w:pPr>
        <w:pStyle w:val="Head3"/>
        <w:keepNext w:val="0"/>
        <w:keepLines w:val="0"/>
        <w:spacing w:before="0" w:line="240" w:lineRule="exact"/>
        <w:ind w:right="0" w:firstLine="0"/>
        <w:rPr>
          <w:rFonts w:ascii="Microsoft Sans Serif" w:hAnsi="Microsoft Sans Serif" w:cs="Microsoft Sans Serif"/>
          <w:b w:val="0"/>
          <w:i w:val="0"/>
          <w:iCs w:val="0"/>
          <w:color w:val="404040" w:themeColor="text1" w:themeTint="BF"/>
          <w:sz w:val="16"/>
          <w:szCs w:val="16"/>
        </w:rPr>
      </w:pPr>
      <w:r w:rsidRPr="00FB38E1">
        <w:rPr>
          <w:rFonts w:ascii="Microsoft Sans Serif" w:hAnsi="Microsoft Sans Serif" w:cs="Microsoft Sans Serif"/>
          <w:b w:val="0"/>
          <w:i w:val="0"/>
          <w:iCs w:val="0"/>
          <w:color w:val="404040" w:themeColor="text1" w:themeTint="BF"/>
          <w:sz w:val="16"/>
          <w:szCs w:val="16"/>
        </w:rPr>
        <w:t xml:space="preserve"> (*) Vadesiz bakiyeler dahildir.</w:t>
      </w:r>
    </w:p>
    <w:p w14:paraId="79A185ED" w14:textId="77777777" w:rsidR="00D1663E" w:rsidRPr="00FB38E1" w:rsidRDefault="00D1663E" w:rsidP="00D1663E">
      <w:pPr>
        <w:rPr>
          <w:rFonts w:ascii="Microsoft Sans Serif" w:hAnsi="Microsoft Sans Serif" w:cs="Microsoft Sans Serif"/>
          <w:b/>
          <w:bCs/>
          <w:sz w:val="20"/>
          <w:szCs w:val="20"/>
          <w:lang w:val="en-US"/>
        </w:rPr>
      </w:pPr>
      <w:r w:rsidRPr="00FB38E1">
        <w:rPr>
          <w:rFonts w:ascii="Microsoft Sans Serif" w:hAnsi="Microsoft Sans Serif" w:cs="Microsoft Sans Serif"/>
          <w:b/>
          <w:bCs/>
          <w:sz w:val="20"/>
          <w:szCs w:val="20"/>
          <w:lang w:val="en-US"/>
        </w:rPr>
        <w:br w:type="page"/>
      </w:r>
    </w:p>
    <w:p w14:paraId="449BD407" w14:textId="77777777" w:rsidR="00D1663E" w:rsidRPr="00FB38E1" w:rsidRDefault="00D1663E" w:rsidP="00364B59">
      <w:pPr>
        <w:pStyle w:val="ListParagraph"/>
        <w:numPr>
          <w:ilvl w:val="0"/>
          <w:numId w:val="51"/>
        </w:numPr>
        <w:spacing w:before="240" w:after="120" w:line="240" w:lineRule="exact"/>
        <w:ind w:left="0" w:hanging="567"/>
        <w:contextualSpacing w:val="0"/>
        <w:rPr>
          <w:rFonts w:ascii="Microsoft Sans Serif" w:hAnsi="Microsoft Sans Serif" w:cs="Microsoft Sans Serif"/>
          <w:b/>
          <w:bCs/>
          <w:iCs/>
          <w:sz w:val="20"/>
          <w:szCs w:val="20"/>
        </w:rPr>
      </w:pPr>
      <w:r w:rsidRPr="00FB38E1">
        <w:rPr>
          <w:rFonts w:ascii="Microsoft Sans Serif" w:hAnsi="Microsoft Sans Serif" w:cs="Microsoft Sans Serif"/>
          <w:b/>
          <w:bCs/>
          <w:sz w:val="20"/>
          <w:szCs w:val="20"/>
          <w:lang w:val="en-US"/>
        </w:rPr>
        <w:t>Risk sınıfına ilişkin bilgiler</w:t>
      </w:r>
    </w:p>
    <w:p w14:paraId="2921DEFF" w14:textId="77777777" w:rsidR="00D1663E" w:rsidRPr="00FB38E1" w:rsidRDefault="00D1663E" w:rsidP="00D1663E">
      <w:pPr>
        <w:spacing w:before="120" w:after="0" w:line="220" w:lineRule="exact"/>
        <w:rPr>
          <w:rFonts w:ascii="Microsoft Sans Serif" w:hAnsi="Microsoft Sans Serif" w:cs="Microsoft Sans Serif"/>
          <w:bCs/>
          <w:color w:val="404040" w:themeColor="text1" w:themeTint="BF"/>
          <w:sz w:val="20"/>
          <w:szCs w:val="20"/>
        </w:rPr>
      </w:pPr>
      <w:r w:rsidRPr="00FB38E1">
        <w:rPr>
          <w:rFonts w:ascii="Microsoft Sans Serif" w:hAnsi="Microsoft Sans Serif" w:cs="Microsoft Sans Serif"/>
          <w:bCs/>
          <w:color w:val="404040" w:themeColor="text1" w:themeTint="BF"/>
          <w:sz w:val="20"/>
          <w:szCs w:val="20"/>
        </w:rPr>
        <w:t>Sermaye yeterliliği hesaplamasında uygulanacak risk ağırlıklarının tespitinde uluslararası kredi derecelendirme kuruluşu Fitch derecelendirme kuruluşunun vermiş olduğu dereceler kullanılmaktadır.</w:t>
      </w:r>
    </w:p>
    <w:p w14:paraId="137496EF" w14:textId="77777777" w:rsidR="00D1663E" w:rsidRPr="00FB38E1" w:rsidRDefault="00D1663E" w:rsidP="00D1663E">
      <w:pPr>
        <w:spacing w:before="120" w:after="120" w:line="220" w:lineRule="exact"/>
        <w:rPr>
          <w:rFonts w:ascii="Microsoft Sans Serif" w:hAnsi="Microsoft Sans Serif" w:cs="Microsoft Sans Serif"/>
          <w:bCs/>
          <w:color w:val="404040" w:themeColor="text1" w:themeTint="BF"/>
          <w:sz w:val="20"/>
          <w:szCs w:val="20"/>
        </w:rPr>
      </w:pPr>
      <w:r w:rsidRPr="00FB38E1">
        <w:rPr>
          <w:rFonts w:ascii="Microsoft Sans Serif" w:hAnsi="Microsoft Sans Serif" w:cs="Microsoft Sans Serif"/>
          <w:bCs/>
          <w:color w:val="404040" w:themeColor="text1" w:themeTint="BF"/>
          <w:sz w:val="20"/>
          <w:szCs w:val="20"/>
        </w:rPr>
        <w:t>Kredi derecelendirme notlarının dikkate alındığı kapsam; merkezi yönetimlerden veya merkez bankalarından alacaklar, yurt dışında yerleşik olanlar için geçerli olmak üzere; bankalardan ve aracı kurumlardan alacaklar ve kurumsal alacaklardır.</w:t>
      </w: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124"/>
        <w:gridCol w:w="1546"/>
        <w:gridCol w:w="1827"/>
        <w:gridCol w:w="2108"/>
        <w:gridCol w:w="1687"/>
        <w:gridCol w:w="1404"/>
      </w:tblGrid>
      <w:tr w:rsidR="00D1663E" w:rsidRPr="00FB38E1" w14:paraId="072D5436" w14:textId="77777777" w:rsidTr="00836EF2">
        <w:tc>
          <w:tcPr>
            <w:tcW w:w="580" w:type="pct"/>
            <w:tcBorders>
              <w:top w:val="thinThickSmallGap" w:sz="24" w:space="0" w:color="auto"/>
              <w:bottom w:val="nil"/>
            </w:tcBorders>
            <w:vAlign w:val="bottom"/>
          </w:tcPr>
          <w:p w14:paraId="7ACF0E6F" w14:textId="77777777" w:rsidR="00D1663E" w:rsidRPr="00FB38E1" w:rsidRDefault="00D1663E" w:rsidP="00836EF2">
            <w:pPr>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Cari Dönem</w:t>
            </w:r>
          </w:p>
        </w:tc>
        <w:tc>
          <w:tcPr>
            <w:tcW w:w="797" w:type="pct"/>
            <w:tcBorders>
              <w:top w:val="thinThickSmallGap" w:sz="24" w:space="0" w:color="auto"/>
              <w:bottom w:val="nil"/>
            </w:tcBorders>
            <w:vAlign w:val="bottom"/>
          </w:tcPr>
          <w:p w14:paraId="7469C0B1" w14:textId="77777777" w:rsidR="00D1663E" w:rsidRPr="00FB38E1" w:rsidRDefault="00D1663E" w:rsidP="00836EF2">
            <w:pPr>
              <w:rPr>
                <w:rFonts w:ascii="Microsoft Sans Serif" w:hAnsi="Microsoft Sans Serif" w:cs="Microsoft Sans Serif"/>
                <w:color w:val="000000"/>
                <w:sz w:val="14"/>
                <w:szCs w:val="14"/>
              </w:rPr>
            </w:pPr>
          </w:p>
        </w:tc>
        <w:tc>
          <w:tcPr>
            <w:tcW w:w="942" w:type="pct"/>
            <w:tcBorders>
              <w:top w:val="thinThickSmallGap" w:sz="24" w:space="0" w:color="auto"/>
              <w:bottom w:val="nil"/>
            </w:tcBorders>
          </w:tcPr>
          <w:p w14:paraId="1812369F" w14:textId="77777777" w:rsidR="00D1663E" w:rsidRPr="00FB38E1" w:rsidRDefault="00D1663E" w:rsidP="00836EF2">
            <w:pPr>
              <w:jc w:val="center"/>
              <w:rPr>
                <w:rFonts w:ascii="Microsoft Sans Serif" w:hAnsi="Microsoft Sans Serif" w:cs="Microsoft Sans Serif"/>
                <w:b/>
                <w:bCs/>
                <w:color w:val="000000"/>
                <w:sz w:val="14"/>
                <w:szCs w:val="14"/>
              </w:rPr>
            </w:pPr>
          </w:p>
        </w:tc>
        <w:tc>
          <w:tcPr>
            <w:tcW w:w="2681" w:type="pct"/>
            <w:gridSpan w:val="3"/>
            <w:tcBorders>
              <w:top w:val="thinThickSmallGap" w:sz="24" w:space="0" w:color="auto"/>
              <w:bottom w:val="single" w:sz="4" w:space="0" w:color="auto"/>
            </w:tcBorders>
            <w:vAlign w:val="bottom"/>
          </w:tcPr>
          <w:p w14:paraId="0DC63008"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404040" w:themeColor="text1" w:themeTint="BF"/>
                <w:sz w:val="14"/>
                <w:szCs w:val="14"/>
              </w:rPr>
              <w:t>Risk Sınıfları</w:t>
            </w:r>
          </w:p>
        </w:tc>
      </w:tr>
      <w:tr w:rsidR="00D1663E" w:rsidRPr="00FB38E1" w14:paraId="55FCBFEB" w14:textId="77777777" w:rsidTr="00836EF2">
        <w:tc>
          <w:tcPr>
            <w:tcW w:w="580" w:type="pct"/>
            <w:vMerge w:val="restart"/>
            <w:tcBorders>
              <w:top w:val="nil"/>
              <w:bottom w:val="single" w:sz="4" w:space="0" w:color="auto"/>
            </w:tcBorders>
            <w:vAlign w:val="center"/>
          </w:tcPr>
          <w:p w14:paraId="71046305"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Kredi Kalite Kademesi</w:t>
            </w:r>
          </w:p>
        </w:tc>
        <w:tc>
          <w:tcPr>
            <w:tcW w:w="797" w:type="pct"/>
            <w:tcBorders>
              <w:top w:val="nil"/>
              <w:bottom w:val="single" w:sz="4" w:space="0" w:color="auto"/>
            </w:tcBorders>
            <w:vAlign w:val="center"/>
          </w:tcPr>
          <w:p w14:paraId="5057BAFD" w14:textId="77777777" w:rsidR="00D1663E" w:rsidRPr="00FB38E1" w:rsidRDefault="00D1663E" w:rsidP="00836EF2">
            <w:pPr>
              <w:rPr>
                <w:rFonts w:ascii="Microsoft Sans Serif" w:hAnsi="Microsoft Sans Serif" w:cs="Microsoft Sans Serif"/>
                <w:b/>
                <w:color w:val="404040"/>
                <w:sz w:val="14"/>
                <w:szCs w:val="14"/>
              </w:rPr>
            </w:pPr>
          </w:p>
          <w:p w14:paraId="50AD65A2" w14:textId="77777777" w:rsidR="00D1663E" w:rsidRPr="00FB38E1" w:rsidRDefault="00D1663E" w:rsidP="00836EF2">
            <w:pP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Derecelendirme Notu</w:t>
            </w:r>
          </w:p>
        </w:tc>
        <w:tc>
          <w:tcPr>
            <w:tcW w:w="942" w:type="pct"/>
            <w:vMerge w:val="restart"/>
            <w:tcBorders>
              <w:top w:val="nil"/>
              <w:bottom w:val="single" w:sz="4" w:space="0" w:color="auto"/>
            </w:tcBorders>
            <w:vAlign w:val="bottom"/>
          </w:tcPr>
          <w:p w14:paraId="2720DD02"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Merkezi Yönetimlerden veya</w:t>
            </w:r>
          </w:p>
          <w:p w14:paraId="32CB5172"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Merkez Bankalarından Alacaklar</w:t>
            </w:r>
          </w:p>
        </w:tc>
        <w:tc>
          <w:tcPr>
            <w:tcW w:w="1957" w:type="pct"/>
            <w:gridSpan w:val="2"/>
            <w:tcBorders>
              <w:top w:val="single" w:sz="4" w:space="0" w:color="auto"/>
              <w:bottom w:val="single" w:sz="4" w:space="0" w:color="auto"/>
            </w:tcBorders>
            <w:vAlign w:val="bottom"/>
          </w:tcPr>
          <w:p w14:paraId="3D005356" w14:textId="77777777" w:rsidR="00D1663E" w:rsidRPr="00FB38E1" w:rsidRDefault="00D1663E"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Bankalardan ve Aracı Kurumlardan Alacaklar</w:t>
            </w:r>
          </w:p>
        </w:tc>
        <w:tc>
          <w:tcPr>
            <w:tcW w:w="724" w:type="pct"/>
            <w:vMerge w:val="restart"/>
            <w:tcBorders>
              <w:top w:val="single" w:sz="4" w:space="0" w:color="auto"/>
              <w:bottom w:val="single" w:sz="4" w:space="0" w:color="auto"/>
            </w:tcBorders>
            <w:vAlign w:val="bottom"/>
          </w:tcPr>
          <w:p w14:paraId="5089EAAD"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Kurumsal Alacaklar</w:t>
            </w:r>
          </w:p>
        </w:tc>
      </w:tr>
      <w:tr w:rsidR="00D1663E" w:rsidRPr="00FB38E1" w14:paraId="351CAF32" w14:textId="77777777" w:rsidTr="00836EF2">
        <w:tc>
          <w:tcPr>
            <w:tcW w:w="580" w:type="pct"/>
            <w:vMerge/>
            <w:tcBorders>
              <w:top w:val="nil"/>
              <w:bottom w:val="single" w:sz="4" w:space="0" w:color="auto"/>
            </w:tcBorders>
          </w:tcPr>
          <w:p w14:paraId="5C5B88BD" w14:textId="77777777" w:rsidR="00D1663E" w:rsidRPr="00FB38E1" w:rsidRDefault="00D1663E" w:rsidP="00836EF2">
            <w:pPr>
              <w:jc w:val="right"/>
              <w:rPr>
                <w:rFonts w:ascii="Microsoft Sans Serif" w:hAnsi="Microsoft Sans Serif" w:cs="Microsoft Sans Serif"/>
                <w:color w:val="404040"/>
                <w:sz w:val="14"/>
                <w:szCs w:val="14"/>
              </w:rPr>
            </w:pPr>
          </w:p>
        </w:tc>
        <w:tc>
          <w:tcPr>
            <w:tcW w:w="797" w:type="pct"/>
            <w:tcBorders>
              <w:top w:val="single" w:sz="4" w:space="0" w:color="auto"/>
              <w:bottom w:val="single" w:sz="4" w:space="0" w:color="auto"/>
            </w:tcBorders>
            <w:vAlign w:val="center"/>
          </w:tcPr>
          <w:p w14:paraId="3E99A9DB"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Fitch</w:t>
            </w:r>
          </w:p>
        </w:tc>
        <w:tc>
          <w:tcPr>
            <w:tcW w:w="942" w:type="pct"/>
            <w:vMerge/>
            <w:tcBorders>
              <w:top w:val="nil"/>
              <w:bottom w:val="single" w:sz="4" w:space="0" w:color="auto"/>
            </w:tcBorders>
            <w:vAlign w:val="bottom"/>
          </w:tcPr>
          <w:p w14:paraId="2815FF51" w14:textId="77777777" w:rsidR="00D1663E" w:rsidRPr="00FB38E1" w:rsidRDefault="00D1663E" w:rsidP="00836EF2">
            <w:pPr>
              <w:jc w:val="right"/>
              <w:rPr>
                <w:rFonts w:ascii="Microsoft Sans Serif" w:hAnsi="Microsoft Sans Serif" w:cs="Microsoft Sans Serif"/>
                <w:color w:val="404040"/>
                <w:sz w:val="14"/>
                <w:szCs w:val="14"/>
              </w:rPr>
            </w:pPr>
          </w:p>
        </w:tc>
        <w:tc>
          <w:tcPr>
            <w:tcW w:w="1087" w:type="pct"/>
            <w:tcBorders>
              <w:top w:val="single" w:sz="4" w:space="0" w:color="auto"/>
              <w:bottom w:val="single" w:sz="4" w:space="0" w:color="auto"/>
            </w:tcBorders>
            <w:vAlign w:val="bottom"/>
          </w:tcPr>
          <w:p w14:paraId="6EF08836"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Kalan Vadesi 3 aydan</w:t>
            </w:r>
          </w:p>
          <w:p w14:paraId="1CA66BE4"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Küçük Alacaklar</w:t>
            </w:r>
          </w:p>
        </w:tc>
        <w:tc>
          <w:tcPr>
            <w:tcW w:w="870" w:type="pct"/>
            <w:tcBorders>
              <w:top w:val="single" w:sz="4" w:space="0" w:color="auto"/>
              <w:bottom w:val="single" w:sz="4" w:space="0" w:color="auto"/>
            </w:tcBorders>
            <w:vAlign w:val="bottom"/>
          </w:tcPr>
          <w:p w14:paraId="3785CF70"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Kalan Vadesi 3 aydan</w:t>
            </w:r>
          </w:p>
          <w:p w14:paraId="2373CBB7"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Büyük Alacaklar</w:t>
            </w:r>
          </w:p>
        </w:tc>
        <w:tc>
          <w:tcPr>
            <w:tcW w:w="724" w:type="pct"/>
            <w:vMerge/>
            <w:tcBorders>
              <w:top w:val="nil"/>
              <w:bottom w:val="single" w:sz="4" w:space="0" w:color="auto"/>
            </w:tcBorders>
            <w:vAlign w:val="bottom"/>
          </w:tcPr>
          <w:p w14:paraId="2C5ADEA8" w14:textId="77777777" w:rsidR="00D1663E" w:rsidRPr="00FB38E1" w:rsidRDefault="00D1663E" w:rsidP="00836EF2">
            <w:pPr>
              <w:jc w:val="right"/>
              <w:rPr>
                <w:rFonts w:ascii="Microsoft Sans Serif" w:hAnsi="Microsoft Sans Serif" w:cs="Microsoft Sans Serif"/>
                <w:color w:val="404040"/>
                <w:sz w:val="14"/>
                <w:szCs w:val="14"/>
              </w:rPr>
            </w:pPr>
          </w:p>
        </w:tc>
      </w:tr>
      <w:tr w:rsidR="00D1663E" w:rsidRPr="00FB38E1" w14:paraId="4C091D51" w14:textId="77777777" w:rsidTr="00836EF2">
        <w:tc>
          <w:tcPr>
            <w:tcW w:w="580" w:type="pct"/>
            <w:vMerge w:val="restart"/>
            <w:tcBorders>
              <w:top w:val="single" w:sz="4" w:space="0" w:color="auto"/>
              <w:bottom w:val="nil"/>
            </w:tcBorders>
            <w:vAlign w:val="center"/>
          </w:tcPr>
          <w:p w14:paraId="2879D4AD" w14:textId="023ED993" w:rsidR="00D1663E" w:rsidRPr="00FB38E1" w:rsidRDefault="00D1663E" w:rsidP="00D1663E">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1</w:t>
            </w:r>
          </w:p>
        </w:tc>
        <w:tc>
          <w:tcPr>
            <w:tcW w:w="797" w:type="pct"/>
            <w:tcBorders>
              <w:top w:val="single" w:sz="4" w:space="0" w:color="auto"/>
              <w:bottom w:val="single" w:sz="4" w:space="0" w:color="808080" w:themeColor="background1" w:themeShade="80"/>
            </w:tcBorders>
            <w:vAlign w:val="center"/>
          </w:tcPr>
          <w:p w14:paraId="64E0BD93" w14:textId="2CB0D68A"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themeColor="text1" w:themeTint="BF"/>
                <w:sz w:val="14"/>
                <w:szCs w:val="14"/>
              </w:rPr>
              <w:t>AAA</w:t>
            </w:r>
          </w:p>
        </w:tc>
        <w:tc>
          <w:tcPr>
            <w:tcW w:w="942" w:type="pct"/>
            <w:vMerge w:val="restart"/>
            <w:tcBorders>
              <w:top w:val="single" w:sz="4" w:space="0" w:color="auto"/>
              <w:bottom w:val="single" w:sz="4" w:space="0" w:color="808080" w:themeColor="background1" w:themeShade="80"/>
            </w:tcBorders>
            <w:vAlign w:val="center"/>
          </w:tcPr>
          <w:p w14:paraId="1CD58A3E" w14:textId="3B270255"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w:t>
            </w:r>
          </w:p>
        </w:tc>
        <w:tc>
          <w:tcPr>
            <w:tcW w:w="1087" w:type="pct"/>
            <w:vMerge w:val="restart"/>
            <w:tcBorders>
              <w:top w:val="single" w:sz="4" w:space="0" w:color="auto"/>
              <w:bottom w:val="single" w:sz="4" w:space="0" w:color="808080" w:themeColor="background1" w:themeShade="80"/>
            </w:tcBorders>
            <w:vAlign w:val="center"/>
          </w:tcPr>
          <w:p w14:paraId="47253E32" w14:textId="7CF4C773"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870" w:type="pct"/>
            <w:vMerge w:val="restart"/>
            <w:tcBorders>
              <w:top w:val="single" w:sz="4" w:space="0" w:color="auto"/>
              <w:bottom w:val="single" w:sz="4" w:space="0" w:color="808080" w:themeColor="background1" w:themeShade="80"/>
            </w:tcBorders>
            <w:vAlign w:val="center"/>
          </w:tcPr>
          <w:p w14:paraId="7ACFDD8D" w14:textId="3ED733D3"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724" w:type="pct"/>
            <w:vMerge w:val="restart"/>
            <w:tcBorders>
              <w:top w:val="single" w:sz="4" w:space="0" w:color="auto"/>
              <w:bottom w:val="single" w:sz="4" w:space="0" w:color="808080" w:themeColor="background1" w:themeShade="80"/>
            </w:tcBorders>
            <w:vAlign w:val="center"/>
          </w:tcPr>
          <w:p w14:paraId="13735ED0" w14:textId="572008AE"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r>
      <w:tr w:rsidR="00D1663E" w:rsidRPr="00FB38E1" w14:paraId="7E128862" w14:textId="77777777" w:rsidTr="00836EF2">
        <w:tc>
          <w:tcPr>
            <w:tcW w:w="580" w:type="pct"/>
            <w:vMerge/>
            <w:tcBorders>
              <w:top w:val="single" w:sz="4" w:space="0" w:color="808080" w:themeColor="background1" w:themeShade="80"/>
              <w:bottom w:val="nil"/>
            </w:tcBorders>
            <w:vAlign w:val="center"/>
          </w:tcPr>
          <w:p w14:paraId="14B67868"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3735E84D" w14:textId="46357C79"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themeColor="text1" w:themeTint="BF"/>
                <w:sz w:val="14"/>
                <w:szCs w:val="14"/>
              </w:rPr>
              <w:t>AA+</w:t>
            </w:r>
          </w:p>
        </w:tc>
        <w:tc>
          <w:tcPr>
            <w:tcW w:w="942" w:type="pct"/>
            <w:vMerge/>
            <w:tcBorders>
              <w:top w:val="single" w:sz="4" w:space="0" w:color="808080" w:themeColor="background1" w:themeShade="80"/>
              <w:bottom w:val="single" w:sz="4" w:space="0" w:color="808080" w:themeColor="background1" w:themeShade="80"/>
            </w:tcBorders>
            <w:vAlign w:val="center"/>
          </w:tcPr>
          <w:p w14:paraId="2A1DA67E"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4E89056A"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79A1A4F2"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4941D844"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4F0477CF" w14:textId="77777777" w:rsidTr="00836EF2">
        <w:tc>
          <w:tcPr>
            <w:tcW w:w="580" w:type="pct"/>
            <w:vMerge/>
            <w:tcBorders>
              <w:top w:val="single" w:sz="4" w:space="0" w:color="808080" w:themeColor="background1" w:themeShade="80"/>
              <w:bottom w:val="nil"/>
            </w:tcBorders>
            <w:vAlign w:val="center"/>
          </w:tcPr>
          <w:p w14:paraId="28071615"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32E6EE7C" w14:textId="2CC941D9"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themeColor="text1" w:themeTint="BF"/>
                <w:sz w:val="14"/>
                <w:szCs w:val="14"/>
              </w:rPr>
              <w:t>AA</w:t>
            </w:r>
          </w:p>
        </w:tc>
        <w:tc>
          <w:tcPr>
            <w:tcW w:w="942" w:type="pct"/>
            <w:vMerge/>
            <w:tcBorders>
              <w:top w:val="single" w:sz="4" w:space="0" w:color="808080" w:themeColor="background1" w:themeShade="80"/>
              <w:bottom w:val="single" w:sz="4" w:space="0" w:color="808080" w:themeColor="background1" w:themeShade="80"/>
            </w:tcBorders>
            <w:vAlign w:val="center"/>
          </w:tcPr>
          <w:p w14:paraId="6057D021"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23D86DF6"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40FF4664"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1C3C43DF"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6C82280E" w14:textId="77777777" w:rsidTr="00836EF2">
        <w:tc>
          <w:tcPr>
            <w:tcW w:w="580" w:type="pct"/>
            <w:vMerge/>
            <w:tcBorders>
              <w:top w:val="single" w:sz="4" w:space="0" w:color="808080" w:themeColor="background1" w:themeShade="80"/>
              <w:bottom w:val="nil"/>
            </w:tcBorders>
            <w:vAlign w:val="center"/>
          </w:tcPr>
          <w:p w14:paraId="79752A12"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1EDBE7A2" w14:textId="74F2C304"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themeColor="text1" w:themeTint="BF"/>
                <w:sz w:val="14"/>
                <w:szCs w:val="14"/>
              </w:rPr>
              <w:t>AA-</w:t>
            </w:r>
          </w:p>
        </w:tc>
        <w:tc>
          <w:tcPr>
            <w:tcW w:w="942" w:type="pct"/>
            <w:vMerge/>
            <w:tcBorders>
              <w:top w:val="single" w:sz="4" w:space="0" w:color="808080" w:themeColor="background1" w:themeShade="80"/>
              <w:bottom w:val="single" w:sz="4" w:space="0" w:color="808080" w:themeColor="background1" w:themeShade="80"/>
            </w:tcBorders>
            <w:vAlign w:val="center"/>
          </w:tcPr>
          <w:p w14:paraId="7551E553"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61D79930"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271C9FFB"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103215FC"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0C66F756" w14:textId="77777777" w:rsidTr="00836EF2">
        <w:tc>
          <w:tcPr>
            <w:tcW w:w="580" w:type="pct"/>
            <w:vMerge w:val="restart"/>
            <w:tcBorders>
              <w:top w:val="single" w:sz="4" w:space="0" w:color="808080" w:themeColor="background1" w:themeShade="80"/>
              <w:bottom w:val="nil"/>
            </w:tcBorders>
            <w:vAlign w:val="center"/>
          </w:tcPr>
          <w:p w14:paraId="5847942D" w14:textId="7AC98C85" w:rsidR="00D1663E" w:rsidRPr="00FB38E1" w:rsidRDefault="00D1663E" w:rsidP="00D1663E">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2</w:t>
            </w:r>
          </w:p>
        </w:tc>
        <w:tc>
          <w:tcPr>
            <w:tcW w:w="797" w:type="pct"/>
            <w:tcBorders>
              <w:top w:val="single" w:sz="4" w:space="0" w:color="808080" w:themeColor="background1" w:themeShade="80"/>
              <w:bottom w:val="single" w:sz="4" w:space="0" w:color="808080" w:themeColor="background1" w:themeShade="80"/>
            </w:tcBorders>
            <w:vAlign w:val="center"/>
          </w:tcPr>
          <w:p w14:paraId="4D0C5C30" w14:textId="01510A24"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6E396F1B" w14:textId="71E05B6C"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2C685E90" w14:textId="3965E337"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3B00889D" w14:textId="3829933B"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1E85C1C2" w14:textId="2161677E"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r>
      <w:tr w:rsidR="00D1663E" w:rsidRPr="00FB38E1" w14:paraId="5B583C65" w14:textId="77777777" w:rsidTr="00836EF2">
        <w:tc>
          <w:tcPr>
            <w:tcW w:w="580" w:type="pct"/>
            <w:vMerge/>
            <w:tcBorders>
              <w:top w:val="single" w:sz="4" w:space="0" w:color="808080" w:themeColor="background1" w:themeShade="80"/>
              <w:bottom w:val="nil"/>
            </w:tcBorders>
            <w:vAlign w:val="center"/>
          </w:tcPr>
          <w:p w14:paraId="652B5922"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4B0764B6" w14:textId="1EFB745D"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w:t>
            </w:r>
          </w:p>
        </w:tc>
        <w:tc>
          <w:tcPr>
            <w:tcW w:w="942" w:type="pct"/>
            <w:vMerge/>
            <w:tcBorders>
              <w:top w:val="single" w:sz="4" w:space="0" w:color="808080" w:themeColor="background1" w:themeShade="80"/>
              <w:bottom w:val="single" w:sz="4" w:space="0" w:color="808080" w:themeColor="background1" w:themeShade="80"/>
            </w:tcBorders>
            <w:vAlign w:val="center"/>
          </w:tcPr>
          <w:p w14:paraId="75AF8184"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69089844"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09C65787"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19187BF6"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1B0FFFBD" w14:textId="77777777" w:rsidTr="00836EF2">
        <w:tc>
          <w:tcPr>
            <w:tcW w:w="580" w:type="pct"/>
            <w:vMerge/>
            <w:tcBorders>
              <w:top w:val="single" w:sz="4" w:space="0" w:color="808080" w:themeColor="background1" w:themeShade="80"/>
              <w:bottom w:val="nil"/>
            </w:tcBorders>
            <w:vAlign w:val="center"/>
          </w:tcPr>
          <w:p w14:paraId="6311D916"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3EC21E7F" w14:textId="6B810D16"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w:t>
            </w:r>
          </w:p>
        </w:tc>
        <w:tc>
          <w:tcPr>
            <w:tcW w:w="942" w:type="pct"/>
            <w:vMerge/>
            <w:tcBorders>
              <w:top w:val="single" w:sz="4" w:space="0" w:color="808080" w:themeColor="background1" w:themeShade="80"/>
              <w:bottom w:val="single" w:sz="4" w:space="0" w:color="808080" w:themeColor="background1" w:themeShade="80"/>
            </w:tcBorders>
            <w:vAlign w:val="center"/>
          </w:tcPr>
          <w:p w14:paraId="3818D17E"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2B29A312"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7761AA46"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78CE3D3B"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654B2CDA" w14:textId="77777777" w:rsidTr="00836EF2">
        <w:tc>
          <w:tcPr>
            <w:tcW w:w="580" w:type="pct"/>
            <w:vMerge w:val="restart"/>
            <w:tcBorders>
              <w:top w:val="single" w:sz="4" w:space="0" w:color="808080" w:themeColor="background1" w:themeShade="80"/>
              <w:bottom w:val="nil"/>
            </w:tcBorders>
            <w:vAlign w:val="center"/>
          </w:tcPr>
          <w:p w14:paraId="4FD2C083" w14:textId="3D6ABE87" w:rsidR="00D1663E" w:rsidRPr="00FB38E1" w:rsidRDefault="00D1663E" w:rsidP="00D1663E">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3</w:t>
            </w:r>
          </w:p>
        </w:tc>
        <w:tc>
          <w:tcPr>
            <w:tcW w:w="797" w:type="pct"/>
            <w:tcBorders>
              <w:top w:val="single" w:sz="4" w:space="0" w:color="808080" w:themeColor="background1" w:themeShade="80"/>
              <w:bottom w:val="single" w:sz="4" w:space="0" w:color="808080" w:themeColor="background1" w:themeShade="80"/>
            </w:tcBorders>
            <w:vAlign w:val="center"/>
          </w:tcPr>
          <w:p w14:paraId="63304D09" w14:textId="2A092D36"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BBB+</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4F083E3E" w14:textId="67662241"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0A48A08D" w14:textId="413E5E5B"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1F43F467" w14:textId="494686B8"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0D03C938" w14:textId="0B87A49F"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r>
      <w:tr w:rsidR="00D1663E" w:rsidRPr="00FB38E1" w14:paraId="2118E62E" w14:textId="77777777" w:rsidTr="00836EF2">
        <w:tc>
          <w:tcPr>
            <w:tcW w:w="580" w:type="pct"/>
            <w:vMerge/>
            <w:tcBorders>
              <w:top w:val="single" w:sz="4" w:space="0" w:color="808080" w:themeColor="background1" w:themeShade="80"/>
              <w:bottom w:val="nil"/>
            </w:tcBorders>
            <w:vAlign w:val="center"/>
          </w:tcPr>
          <w:p w14:paraId="10049A4A"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1B9FBC5C" w14:textId="719C9D75"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BBB</w:t>
            </w:r>
          </w:p>
        </w:tc>
        <w:tc>
          <w:tcPr>
            <w:tcW w:w="942" w:type="pct"/>
            <w:vMerge/>
            <w:tcBorders>
              <w:top w:val="single" w:sz="4" w:space="0" w:color="808080" w:themeColor="background1" w:themeShade="80"/>
              <w:bottom w:val="single" w:sz="4" w:space="0" w:color="808080" w:themeColor="background1" w:themeShade="80"/>
            </w:tcBorders>
            <w:vAlign w:val="center"/>
          </w:tcPr>
          <w:p w14:paraId="5A09E718"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48F35D1C"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3B47C966"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4C0619CF"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24F75174" w14:textId="77777777" w:rsidTr="00836EF2">
        <w:tc>
          <w:tcPr>
            <w:tcW w:w="580" w:type="pct"/>
            <w:vMerge/>
            <w:tcBorders>
              <w:top w:val="single" w:sz="4" w:space="0" w:color="808080" w:themeColor="background1" w:themeShade="80"/>
              <w:bottom w:val="nil"/>
            </w:tcBorders>
            <w:vAlign w:val="center"/>
          </w:tcPr>
          <w:p w14:paraId="53432D3B"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532B04F4" w14:textId="738C274B"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BBB-</w:t>
            </w:r>
          </w:p>
        </w:tc>
        <w:tc>
          <w:tcPr>
            <w:tcW w:w="942" w:type="pct"/>
            <w:vMerge/>
            <w:tcBorders>
              <w:top w:val="single" w:sz="4" w:space="0" w:color="808080" w:themeColor="background1" w:themeShade="80"/>
              <w:bottom w:val="single" w:sz="4" w:space="0" w:color="808080" w:themeColor="background1" w:themeShade="80"/>
            </w:tcBorders>
            <w:vAlign w:val="center"/>
          </w:tcPr>
          <w:p w14:paraId="3469DA49"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5BE7ED99"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6B92E092"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7CBE20A5"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31D2B2B8" w14:textId="77777777" w:rsidTr="00836EF2">
        <w:tc>
          <w:tcPr>
            <w:tcW w:w="580" w:type="pct"/>
            <w:vMerge w:val="restart"/>
            <w:tcBorders>
              <w:top w:val="single" w:sz="4" w:space="0" w:color="808080" w:themeColor="background1" w:themeShade="80"/>
              <w:bottom w:val="nil"/>
            </w:tcBorders>
            <w:vAlign w:val="center"/>
          </w:tcPr>
          <w:p w14:paraId="3EFC9E31" w14:textId="53CA9863" w:rsidR="00D1663E" w:rsidRPr="00FB38E1" w:rsidRDefault="00D1663E" w:rsidP="00D1663E">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4</w:t>
            </w:r>
          </w:p>
        </w:tc>
        <w:tc>
          <w:tcPr>
            <w:tcW w:w="797" w:type="pct"/>
            <w:tcBorders>
              <w:top w:val="single" w:sz="4" w:space="0" w:color="808080" w:themeColor="background1" w:themeShade="80"/>
              <w:bottom w:val="single" w:sz="4" w:space="0" w:color="808080" w:themeColor="background1" w:themeShade="80"/>
            </w:tcBorders>
            <w:vAlign w:val="center"/>
          </w:tcPr>
          <w:p w14:paraId="7C4D897A" w14:textId="55EAAB15"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459FF8B1" w14:textId="1C447C61"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25148362" w14:textId="442107D5"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1F00FB5A" w14:textId="3AE68C8A"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03B780BE" w14:textId="57CA44A3"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r>
      <w:tr w:rsidR="00D1663E" w:rsidRPr="00FB38E1" w14:paraId="0CD534CE" w14:textId="77777777" w:rsidTr="00836EF2">
        <w:tc>
          <w:tcPr>
            <w:tcW w:w="580" w:type="pct"/>
            <w:vMerge/>
            <w:tcBorders>
              <w:top w:val="single" w:sz="4" w:space="0" w:color="808080" w:themeColor="background1" w:themeShade="80"/>
              <w:bottom w:val="nil"/>
            </w:tcBorders>
            <w:vAlign w:val="center"/>
          </w:tcPr>
          <w:p w14:paraId="7B1F116F"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71ECD24C" w14:textId="014ED56C"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w:t>
            </w:r>
          </w:p>
        </w:tc>
        <w:tc>
          <w:tcPr>
            <w:tcW w:w="942" w:type="pct"/>
            <w:vMerge/>
            <w:tcBorders>
              <w:top w:val="single" w:sz="4" w:space="0" w:color="808080" w:themeColor="background1" w:themeShade="80"/>
              <w:bottom w:val="single" w:sz="4" w:space="0" w:color="808080" w:themeColor="background1" w:themeShade="80"/>
            </w:tcBorders>
            <w:vAlign w:val="center"/>
          </w:tcPr>
          <w:p w14:paraId="254C9AEF"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06E076E7"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6C3E389C"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2A0E9775"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0C615C65" w14:textId="77777777" w:rsidTr="00836EF2">
        <w:tc>
          <w:tcPr>
            <w:tcW w:w="580" w:type="pct"/>
            <w:vMerge/>
            <w:tcBorders>
              <w:top w:val="single" w:sz="4" w:space="0" w:color="808080" w:themeColor="background1" w:themeShade="80"/>
              <w:bottom w:val="nil"/>
            </w:tcBorders>
            <w:vAlign w:val="center"/>
          </w:tcPr>
          <w:p w14:paraId="6A577962"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38D8876F" w14:textId="62361BDA"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w:t>
            </w:r>
          </w:p>
        </w:tc>
        <w:tc>
          <w:tcPr>
            <w:tcW w:w="942" w:type="pct"/>
            <w:vMerge/>
            <w:tcBorders>
              <w:top w:val="single" w:sz="4" w:space="0" w:color="808080" w:themeColor="background1" w:themeShade="80"/>
              <w:bottom w:val="single" w:sz="4" w:space="0" w:color="808080" w:themeColor="background1" w:themeShade="80"/>
            </w:tcBorders>
            <w:vAlign w:val="center"/>
          </w:tcPr>
          <w:p w14:paraId="65D07734"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0979E37B"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24189424"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5DF7F43B"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1B0DF1D8" w14:textId="77777777" w:rsidTr="00836EF2">
        <w:tc>
          <w:tcPr>
            <w:tcW w:w="580" w:type="pct"/>
            <w:vMerge w:val="restart"/>
            <w:tcBorders>
              <w:top w:val="single" w:sz="4" w:space="0" w:color="808080" w:themeColor="background1" w:themeShade="80"/>
              <w:bottom w:val="nil"/>
            </w:tcBorders>
            <w:vAlign w:val="center"/>
          </w:tcPr>
          <w:p w14:paraId="0E2243D2" w14:textId="7088E5E3" w:rsidR="00D1663E" w:rsidRPr="00FB38E1" w:rsidRDefault="00D1663E" w:rsidP="00D1663E">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5</w:t>
            </w:r>
          </w:p>
        </w:tc>
        <w:tc>
          <w:tcPr>
            <w:tcW w:w="797" w:type="pct"/>
            <w:tcBorders>
              <w:top w:val="single" w:sz="4" w:space="0" w:color="808080" w:themeColor="background1" w:themeShade="80"/>
              <w:bottom w:val="single" w:sz="4" w:space="0" w:color="808080" w:themeColor="background1" w:themeShade="80"/>
            </w:tcBorders>
            <w:vAlign w:val="center"/>
          </w:tcPr>
          <w:p w14:paraId="53907A72" w14:textId="3A51D60C"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68B6593A" w14:textId="77C612AD"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368A02E7" w14:textId="70F5D913"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679E22EB" w14:textId="600C1898"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38AE8AC1" w14:textId="04D1CFF0"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r>
      <w:tr w:rsidR="00D1663E" w:rsidRPr="00FB38E1" w14:paraId="58FFC165" w14:textId="77777777" w:rsidTr="00836EF2">
        <w:tc>
          <w:tcPr>
            <w:tcW w:w="580" w:type="pct"/>
            <w:vMerge/>
            <w:tcBorders>
              <w:top w:val="single" w:sz="4" w:space="0" w:color="808080" w:themeColor="background1" w:themeShade="80"/>
              <w:bottom w:val="nil"/>
            </w:tcBorders>
            <w:vAlign w:val="center"/>
          </w:tcPr>
          <w:p w14:paraId="0103BC3F"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07596906" w14:textId="547EF5DA"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w:t>
            </w:r>
          </w:p>
        </w:tc>
        <w:tc>
          <w:tcPr>
            <w:tcW w:w="942" w:type="pct"/>
            <w:vMerge/>
            <w:tcBorders>
              <w:top w:val="single" w:sz="4" w:space="0" w:color="808080" w:themeColor="background1" w:themeShade="80"/>
              <w:bottom w:val="single" w:sz="4" w:space="0" w:color="808080" w:themeColor="background1" w:themeShade="80"/>
            </w:tcBorders>
            <w:vAlign w:val="center"/>
          </w:tcPr>
          <w:p w14:paraId="0C1EBE23"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1270F11D"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11DE9DB2"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245481AE"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3869402E" w14:textId="77777777" w:rsidTr="00836EF2">
        <w:tc>
          <w:tcPr>
            <w:tcW w:w="580" w:type="pct"/>
            <w:vMerge/>
            <w:tcBorders>
              <w:top w:val="single" w:sz="4" w:space="0" w:color="808080" w:themeColor="background1" w:themeShade="80"/>
              <w:bottom w:val="single" w:sz="4" w:space="0" w:color="808080" w:themeColor="background1" w:themeShade="80"/>
            </w:tcBorders>
            <w:vAlign w:val="center"/>
          </w:tcPr>
          <w:p w14:paraId="66AB2554" w14:textId="77777777" w:rsidR="00D1663E" w:rsidRPr="00FB38E1" w:rsidRDefault="00D1663E" w:rsidP="00D1663E">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4EC403BF" w14:textId="1ADEFC14"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w:t>
            </w:r>
          </w:p>
        </w:tc>
        <w:tc>
          <w:tcPr>
            <w:tcW w:w="942" w:type="pct"/>
            <w:vMerge/>
            <w:tcBorders>
              <w:top w:val="single" w:sz="4" w:space="0" w:color="808080" w:themeColor="background1" w:themeShade="80"/>
              <w:bottom w:val="single" w:sz="4" w:space="0" w:color="808080" w:themeColor="background1" w:themeShade="80"/>
            </w:tcBorders>
            <w:vAlign w:val="center"/>
          </w:tcPr>
          <w:p w14:paraId="50D0965F" w14:textId="77777777" w:rsidR="00D1663E" w:rsidRPr="00FB38E1" w:rsidRDefault="00D1663E" w:rsidP="00D1663E">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6D258823" w14:textId="77777777" w:rsidR="00D1663E" w:rsidRPr="00FB38E1" w:rsidRDefault="00D1663E" w:rsidP="00D1663E">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53E48772" w14:textId="77777777" w:rsidR="00D1663E" w:rsidRPr="00FB38E1" w:rsidRDefault="00D1663E" w:rsidP="00D1663E">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012D0D70" w14:textId="77777777" w:rsidR="00D1663E" w:rsidRPr="00FB38E1" w:rsidRDefault="00D1663E" w:rsidP="00D1663E">
            <w:pPr>
              <w:jc w:val="center"/>
              <w:rPr>
                <w:rFonts w:ascii="Microsoft Sans Serif" w:hAnsi="Microsoft Sans Serif" w:cs="Microsoft Sans Serif"/>
                <w:color w:val="404040"/>
                <w:sz w:val="14"/>
                <w:szCs w:val="14"/>
              </w:rPr>
            </w:pPr>
          </w:p>
        </w:tc>
      </w:tr>
      <w:tr w:rsidR="00D1663E" w:rsidRPr="00FB38E1" w14:paraId="2017C83C" w14:textId="77777777" w:rsidTr="00836EF2">
        <w:tc>
          <w:tcPr>
            <w:tcW w:w="580" w:type="pct"/>
            <w:vMerge w:val="restart"/>
            <w:tcBorders>
              <w:top w:val="single" w:sz="4" w:space="0" w:color="808080" w:themeColor="background1" w:themeShade="80"/>
              <w:bottom w:val="thickThinSmallGap" w:sz="24" w:space="0" w:color="auto"/>
            </w:tcBorders>
            <w:vAlign w:val="center"/>
          </w:tcPr>
          <w:p w14:paraId="38CFEAEC" w14:textId="04628E6E" w:rsidR="00D1663E" w:rsidRPr="00FB38E1" w:rsidRDefault="00D1663E" w:rsidP="00D1663E">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6</w:t>
            </w:r>
          </w:p>
        </w:tc>
        <w:tc>
          <w:tcPr>
            <w:tcW w:w="797" w:type="pct"/>
            <w:tcBorders>
              <w:top w:val="single" w:sz="4" w:space="0" w:color="808080" w:themeColor="background1" w:themeShade="80"/>
              <w:bottom w:val="single" w:sz="4" w:space="0" w:color="808080" w:themeColor="background1" w:themeShade="80"/>
            </w:tcBorders>
            <w:vAlign w:val="center"/>
          </w:tcPr>
          <w:p w14:paraId="1B74263F" w14:textId="6D2BCAEA"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CCC</w:t>
            </w:r>
          </w:p>
        </w:tc>
        <w:tc>
          <w:tcPr>
            <w:tcW w:w="942" w:type="pct"/>
            <w:vMerge w:val="restart"/>
            <w:tcBorders>
              <w:top w:val="single" w:sz="4" w:space="0" w:color="808080" w:themeColor="background1" w:themeShade="80"/>
            </w:tcBorders>
            <w:vAlign w:val="center"/>
          </w:tcPr>
          <w:p w14:paraId="51EBEF71" w14:textId="5AFA2563"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c>
          <w:tcPr>
            <w:tcW w:w="1087" w:type="pct"/>
            <w:vMerge w:val="restart"/>
            <w:tcBorders>
              <w:top w:val="single" w:sz="4" w:space="0" w:color="808080" w:themeColor="background1" w:themeShade="80"/>
            </w:tcBorders>
            <w:vAlign w:val="center"/>
          </w:tcPr>
          <w:p w14:paraId="634D9080" w14:textId="4825A269"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c>
          <w:tcPr>
            <w:tcW w:w="870" w:type="pct"/>
            <w:vMerge w:val="restart"/>
            <w:tcBorders>
              <w:top w:val="single" w:sz="4" w:space="0" w:color="808080" w:themeColor="background1" w:themeShade="80"/>
            </w:tcBorders>
            <w:vAlign w:val="center"/>
          </w:tcPr>
          <w:p w14:paraId="31AD5F29" w14:textId="0073F5BB"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c>
          <w:tcPr>
            <w:tcW w:w="724" w:type="pct"/>
            <w:vMerge w:val="restart"/>
            <w:tcBorders>
              <w:top w:val="single" w:sz="4" w:space="0" w:color="808080" w:themeColor="background1" w:themeShade="80"/>
            </w:tcBorders>
            <w:vAlign w:val="center"/>
          </w:tcPr>
          <w:p w14:paraId="63286782" w14:textId="44251885"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r>
      <w:tr w:rsidR="00D1663E" w:rsidRPr="00FB38E1" w14:paraId="0754CE6C" w14:textId="77777777" w:rsidTr="00836EF2">
        <w:trPr>
          <w:trHeight w:val="20"/>
        </w:trPr>
        <w:tc>
          <w:tcPr>
            <w:tcW w:w="580" w:type="pct"/>
            <w:vMerge/>
            <w:tcBorders>
              <w:top w:val="single" w:sz="4" w:space="0" w:color="808080" w:themeColor="background1" w:themeShade="80"/>
              <w:bottom w:val="thickThinSmallGap" w:sz="24" w:space="0" w:color="auto"/>
            </w:tcBorders>
          </w:tcPr>
          <w:p w14:paraId="4B696FC0" w14:textId="77777777" w:rsidR="00D1663E" w:rsidRPr="00FB38E1" w:rsidRDefault="00D1663E" w:rsidP="00836EF2">
            <w:pPr>
              <w:jc w:val="right"/>
              <w:rPr>
                <w:rFonts w:ascii="Microsoft Sans Serif" w:hAnsi="Microsoft Sans Serif" w:cs="Microsoft Sans Serif"/>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26F0FD4E"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CC</w:t>
            </w:r>
          </w:p>
        </w:tc>
        <w:tc>
          <w:tcPr>
            <w:tcW w:w="942" w:type="pct"/>
            <w:vMerge/>
            <w:vAlign w:val="bottom"/>
          </w:tcPr>
          <w:p w14:paraId="06326A0A" w14:textId="77777777" w:rsidR="00D1663E" w:rsidRPr="00FB38E1" w:rsidRDefault="00D1663E" w:rsidP="00836EF2">
            <w:pPr>
              <w:jc w:val="right"/>
              <w:rPr>
                <w:rFonts w:ascii="Microsoft Sans Serif" w:hAnsi="Microsoft Sans Serif" w:cs="Microsoft Sans Serif"/>
                <w:color w:val="404040"/>
                <w:sz w:val="14"/>
                <w:szCs w:val="14"/>
              </w:rPr>
            </w:pPr>
          </w:p>
        </w:tc>
        <w:tc>
          <w:tcPr>
            <w:tcW w:w="1087" w:type="pct"/>
            <w:vMerge/>
            <w:vAlign w:val="bottom"/>
          </w:tcPr>
          <w:p w14:paraId="571AA6CC" w14:textId="77777777" w:rsidR="00D1663E" w:rsidRPr="00FB38E1" w:rsidRDefault="00D1663E" w:rsidP="00836EF2">
            <w:pPr>
              <w:jc w:val="right"/>
              <w:rPr>
                <w:rFonts w:ascii="Microsoft Sans Serif" w:hAnsi="Microsoft Sans Serif" w:cs="Microsoft Sans Serif"/>
                <w:color w:val="404040"/>
                <w:sz w:val="14"/>
                <w:szCs w:val="14"/>
              </w:rPr>
            </w:pPr>
          </w:p>
        </w:tc>
        <w:tc>
          <w:tcPr>
            <w:tcW w:w="870" w:type="pct"/>
            <w:vMerge/>
            <w:vAlign w:val="bottom"/>
          </w:tcPr>
          <w:p w14:paraId="347DBD8C" w14:textId="77777777" w:rsidR="00D1663E" w:rsidRPr="00FB38E1" w:rsidRDefault="00D1663E" w:rsidP="00836EF2">
            <w:pPr>
              <w:jc w:val="right"/>
              <w:rPr>
                <w:rFonts w:ascii="Microsoft Sans Serif" w:hAnsi="Microsoft Sans Serif" w:cs="Microsoft Sans Serif"/>
                <w:color w:val="404040"/>
                <w:sz w:val="14"/>
                <w:szCs w:val="14"/>
              </w:rPr>
            </w:pPr>
          </w:p>
        </w:tc>
        <w:tc>
          <w:tcPr>
            <w:tcW w:w="724" w:type="pct"/>
            <w:vMerge/>
            <w:vAlign w:val="bottom"/>
          </w:tcPr>
          <w:p w14:paraId="56DD6ABE" w14:textId="77777777" w:rsidR="00D1663E" w:rsidRPr="00FB38E1" w:rsidRDefault="00D1663E" w:rsidP="00836EF2">
            <w:pPr>
              <w:jc w:val="right"/>
              <w:rPr>
                <w:rFonts w:ascii="Microsoft Sans Serif" w:hAnsi="Microsoft Sans Serif" w:cs="Microsoft Sans Serif"/>
                <w:color w:val="404040"/>
                <w:sz w:val="14"/>
                <w:szCs w:val="14"/>
              </w:rPr>
            </w:pPr>
          </w:p>
        </w:tc>
      </w:tr>
      <w:tr w:rsidR="00D1663E" w:rsidRPr="00FB38E1" w14:paraId="2C18290A" w14:textId="77777777" w:rsidTr="00836EF2">
        <w:trPr>
          <w:trHeight w:val="20"/>
        </w:trPr>
        <w:tc>
          <w:tcPr>
            <w:tcW w:w="580" w:type="pct"/>
            <w:vMerge/>
            <w:tcBorders>
              <w:top w:val="single" w:sz="4" w:space="0" w:color="808080" w:themeColor="background1" w:themeShade="80"/>
              <w:bottom w:val="thickThinSmallGap" w:sz="24" w:space="0" w:color="auto"/>
            </w:tcBorders>
          </w:tcPr>
          <w:p w14:paraId="5B7FBF14" w14:textId="77777777" w:rsidR="00D1663E" w:rsidRPr="00FB38E1" w:rsidRDefault="00D1663E" w:rsidP="00836EF2">
            <w:pPr>
              <w:jc w:val="right"/>
              <w:rPr>
                <w:rFonts w:ascii="Microsoft Sans Serif" w:hAnsi="Microsoft Sans Serif" w:cs="Microsoft Sans Serif"/>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4ED244CC"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C</w:t>
            </w:r>
          </w:p>
        </w:tc>
        <w:tc>
          <w:tcPr>
            <w:tcW w:w="942" w:type="pct"/>
            <w:vMerge/>
            <w:vAlign w:val="bottom"/>
          </w:tcPr>
          <w:p w14:paraId="73A61A7A" w14:textId="77777777" w:rsidR="00D1663E" w:rsidRPr="00FB38E1" w:rsidRDefault="00D1663E" w:rsidP="00836EF2">
            <w:pPr>
              <w:jc w:val="right"/>
              <w:rPr>
                <w:rFonts w:ascii="Microsoft Sans Serif" w:hAnsi="Microsoft Sans Serif" w:cs="Microsoft Sans Serif"/>
                <w:color w:val="404040"/>
                <w:sz w:val="14"/>
                <w:szCs w:val="14"/>
              </w:rPr>
            </w:pPr>
          </w:p>
        </w:tc>
        <w:tc>
          <w:tcPr>
            <w:tcW w:w="1087" w:type="pct"/>
            <w:vMerge/>
            <w:vAlign w:val="bottom"/>
          </w:tcPr>
          <w:p w14:paraId="4652A864" w14:textId="77777777" w:rsidR="00D1663E" w:rsidRPr="00FB38E1" w:rsidRDefault="00D1663E" w:rsidP="00836EF2">
            <w:pPr>
              <w:jc w:val="right"/>
              <w:rPr>
                <w:rFonts w:ascii="Microsoft Sans Serif" w:hAnsi="Microsoft Sans Serif" w:cs="Microsoft Sans Serif"/>
                <w:color w:val="404040"/>
                <w:sz w:val="14"/>
                <w:szCs w:val="14"/>
              </w:rPr>
            </w:pPr>
          </w:p>
        </w:tc>
        <w:tc>
          <w:tcPr>
            <w:tcW w:w="870" w:type="pct"/>
            <w:vMerge/>
            <w:vAlign w:val="bottom"/>
          </w:tcPr>
          <w:p w14:paraId="6C12D7B9" w14:textId="77777777" w:rsidR="00D1663E" w:rsidRPr="00FB38E1" w:rsidRDefault="00D1663E" w:rsidP="00836EF2">
            <w:pPr>
              <w:jc w:val="right"/>
              <w:rPr>
                <w:rFonts w:ascii="Microsoft Sans Serif" w:hAnsi="Microsoft Sans Serif" w:cs="Microsoft Sans Serif"/>
                <w:color w:val="404040"/>
                <w:sz w:val="14"/>
                <w:szCs w:val="14"/>
              </w:rPr>
            </w:pPr>
          </w:p>
        </w:tc>
        <w:tc>
          <w:tcPr>
            <w:tcW w:w="724" w:type="pct"/>
            <w:vMerge/>
            <w:vAlign w:val="bottom"/>
          </w:tcPr>
          <w:p w14:paraId="29EAB46B" w14:textId="77777777" w:rsidR="00D1663E" w:rsidRPr="00FB38E1" w:rsidRDefault="00D1663E" w:rsidP="00836EF2">
            <w:pPr>
              <w:jc w:val="right"/>
              <w:rPr>
                <w:rFonts w:ascii="Microsoft Sans Serif" w:hAnsi="Microsoft Sans Serif" w:cs="Microsoft Sans Serif"/>
                <w:color w:val="404040"/>
                <w:sz w:val="14"/>
                <w:szCs w:val="14"/>
              </w:rPr>
            </w:pPr>
          </w:p>
        </w:tc>
      </w:tr>
      <w:tr w:rsidR="00D1663E" w:rsidRPr="00FB38E1" w14:paraId="5A80A6C9" w14:textId="77777777" w:rsidTr="00836EF2">
        <w:tc>
          <w:tcPr>
            <w:tcW w:w="580" w:type="pct"/>
            <w:vMerge/>
            <w:tcBorders>
              <w:top w:val="single" w:sz="4" w:space="0" w:color="808080" w:themeColor="background1" w:themeShade="80"/>
              <w:bottom w:val="thickThinSmallGap" w:sz="24" w:space="0" w:color="auto"/>
            </w:tcBorders>
            <w:vAlign w:val="center"/>
          </w:tcPr>
          <w:p w14:paraId="35EB3901" w14:textId="77777777" w:rsidR="00D1663E" w:rsidRPr="00FB38E1" w:rsidRDefault="00D1663E" w:rsidP="00836EF2">
            <w:pPr>
              <w:jc w:val="right"/>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thickThinSmallGap" w:sz="24" w:space="0" w:color="auto"/>
            </w:tcBorders>
            <w:vAlign w:val="bottom"/>
          </w:tcPr>
          <w:p w14:paraId="1BF6A312" w14:textId="77777777" w:rsidR="00D1663E" w:rsidRPr="00FB38E1" w:rsidRDefault="00D1663E" w:rsidP="00836EF2">
            <w:pPr>
              <w:jc w:val="center"/>
              <w:rPr>
                <w:rFonts w:ascii="Trebuchet MS" w:hAnsi="Trebuchet MS"/>
                <w:sz w:val="14"/>
                <w:szCs w:val="14"/>
              </w:rPr>
            </w:pPr>
            <w:r w:rsidRPr="00FB38E1">
              <w:rPr>
                <w:rFonts w:ascii="Trebuchet MS" w:hAnsi="Trebuchet MS"/>
                <w:color w:val="404040" w:themeColor="text1" w:themeTint="BF"/>
                <w:sz w:val="14"/>
                <w:szCs w:val="14"/>
              </w:rPr>
              <w:t>D</w:t>
            </w:r>
          </w:p>
        </w:tc>
        <w:tc>
          <w:tcPr>
            <w:tcW w:w="942" w:type="pct"/>
            <w:vMerge/>
            <w:tcBorders>
              <w:bottom w:val="thickThinSmallGap" w:sz="24" w:space="0" w:color="auto"/>
            </w:tcBorders>
            <w:vAlign w:val="bottom"/>
          </w:tcPr>
          <w:p w14:paraId="5FDABCDC" w14:textId="77777777" w:rsidR="00D1663E" w:rsidRPr="00FB38E1" w:rsidRDefault="00D1663E" w:rsidP="00836EF2">
            <w:pPr>
              <w:jc w:val="right"/>
              <w:rPr>
                <w:rFonts w:ascii="Microsoft Sans Serif" w:hAnsi="Microsoft Sans Serif" w:cs="Microsoft Sans Serif"/>
                <w:b/>
                <w:sz w:val="14"/>
                <w:szCs w:val="14"/>
              </w:rPr>
            </w:pPr>
          </w:p>
        </w:tc>
        <w:tc>
          <w:tcPr>
            <w:tcW w:w="1087" w:type="pct"/>
            <w:vMerge/>
            <w:tcBorders>
              <w:bottom w:val="thickThinSmallGap" w:sz="24" w:space="0" w:color="auto"/>
            </w:tcBorders>
            <w:vAlign w:val="bottom"/>
          </w:tcPr>
          <w:p w14:paraId="658C1D29" w14:textId="77777777" w:rsidR="00D1663E" w:rsidRPr="00FB38E1" w:rsidRDefault="00D1663E" w:rsidP="00836EF2">
            <w:pPr>
              <w:jc w:val="right"/>
              <w:rPr>
                <w:rFonts w:ascii="Microsoft Sans Serif" w:hAnsi="Microsoft Sans Serif" w:cs="Microsoft Sans Serif"/>
                <w:b/>
                <w:sz w:val="14"/>
                <w:szCs w:val="14"/>
              </w:rPr>
            </w:pPr>
          </w:p>
        </w:tc>
        <w:tc>
          <w:tcPr>
            <w:tcW w:w="870" w:type="pct"/>
            <w:vMerge/>
            <w:tcBorders>
              <w:bottom w:val="thickThinSmallGap" w:sz="24" w:space="0" w:color="auto"/>
            </w:tcBorders>
            <w:vAlign w:val="bottom"/>
          </w:tcPr>
          <w:p w14:paraId="4B47948C" w14:textId="77777777" w:rsidR="00D1663E" w:rsidRPr="00FB38E1" w:rsidRDefault="00D1663E" w:rsidP="00836EF2">
            <w:pPr>
              <w:jc w:val="right"/>
              <w:rPr>
                <w:rFonts w:ascii="Microsoft Sans Serif" w:hAnsi="Microsoft Sans Serif" w:cs="Microsoft Sans Serif"/>
                <w:b/>
                <w:sz w:val="14"/>
                <w:szCs w:val="14"/>
              </w:rPr>
            </w:pPr>
          </w:p>
        </w:tc>
        <w:tc>
          <w:tcPr>
            <w:tcW w:w="724" w:type="pct"/>
            <w:vMerge/>
            <w:tcBorders>
              <w:bottom w:val="thickThinSmallGap" w:sz="24" w:space="0" w:color="auto"/>
            </w:tcBorders>
            <w:vAlign w:val="bottom"/>
          </w:tcPr>
          <w:p w14:paraId="141A92DB" w14:textId="77777777" w:rsidR="00D1663E" w:rsidRPr="00FB38E1" w:rsidRDefault="00D1663E" w:rsidP="00836EF2">
            <w:pPr>
              <w:jc w:val="right"/>
              <w:rPr>
                <w:rFonts w:ascii="Microsoft Sans Serif" w:hAnsi="Microsoft Sans Serif" w:cs="Microsoft Sans Serif"/>
                <w:b/>
                <w:sz w:val="14"/>
                <w:szCs w:val="14"/>
              </w:rPr>
            </w:pPr>
          </w:p>
        </w:tc>
      </w:tr>
    </w:tbl>
    <w:p w14:paraId="148B54F3" w14:textId="77777777" w:rsidR="00D1663E" w:rsidRPr="00FB38E1" w:rsidRDefault="00D1663E" w:rsidP="00D1663E">
      <w:pPr>
        <w:pStyle w:val="Head3"/>
        <w:keepNext w:val="0"/>
        <w:keepLines w:val="0"/>
        <w:spacing w:before="0" w:line="240" w:lineRule="exact"/>
        <w:ind w:right="0" w:firstLine="0"/>
        <w:rPr>
          <w:rFonts w:ascii="Microsoft Sans Serif" w:hAnsi="Microsoft Sans Serif" w:cs="Microsoft Sans Serif"/>
          <w:i w:val="0"/>
          <w:iCs w:val="0"/>
          <w:sz w:val="20"/>
          <w:szCs w:val="20"/>
        </w:rPr>
      </w:pP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124"/>
        <w:gridCol w:w="1546"/>
        <w:gridCol w:w="1827"/>
        <w:gridCol w:w="2108"/>
        <w:gridCol w:w="1687"/>
        <w:gridCol w:w="1404"/>
      </w:tblGrid>
      <w:tr w:rsidR="00D1663E" w:rsidRPr="00FB38E1" w14:paraId="5AF74116" w14:textId="77777777" w:rsidTr="00836EF2">
        <w:tc>
          <w:tcPr>
            <w:tcW w:w="580" w:type="pct"/>
            <w:tcBorders>
              <w:top w:val="thinThickSmallGap" w:sz="24" w:space="0" w:color="auto"/>
              <w:bottom w:val="nil"/>
            </w:tcBorders>
            <w:vAlign w:val="bottom"/>
          </w:tcPr>
          <w:p w14:paraId="40469F48" w14:textId="77777777" w:rsidR="00D1663E" w:rsidRPr="00FB38E1" w:rsidRDefault="00D1663E" w:rsidP="00836EF2">
            <w:pPr>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Önceki Dönem</w:t>
            </w:r>
          </w:p>
        </w:tc>
        <w:tc>
          <w:tcPr>
            <w:tcW w:w="797" w:type="pct"/>
            <w:tcBorders>
              <w:top w:val="thinThickSmallGap" w:sz="24" w:space="0" w:color="auto"/>
              <w:bottom w:val="nil"/>
            </w:tcBorders>
            <w:vAlign w:val="bottom"/>
          </w:tcPr>
          <w:p w14:paraId="70595F0D" w14:textId="77777777" w:rsidR="00D1663E" w:rsidRPr="00FB38E1" w:rsidRDefault="00D1663E" w:rsidP="00836EF2">
            <w:pPr>
              <w:rPr>
                <w:rFonts w:ascii="Microsoft Sans Serif" w:hAnsi="Microsoft Sans Serif" w:cs="Microsoft Sans Serif"/>
                <w:color w:val="000000"/>
                <w:sz w:val="14"/>
                <w:szCs w:val="14"/>
              </w:rPr>
            </w:pPr>
          </w:p>
        </w:tc>
        <w:tc>
          <w:tcPr>
            <w:tcW w:w="942" w:type="pct"/>
            <w:tcBorders>
              <w:top w:val="thinThickSmallGap" w:sz="24" w:space="0" w:color="auto"/>
              <w:bottom w:val="nil"/>
            </w:tcBorders>
          </w:tcPr>
          <w:p w14:paraId="2FA06405" w14:textId="77777777" w:rsidR="00D1663E" w:rsidRPr="00FB38E1" w:rsidRDefault="00D1663E" w:rsidP="00836EF2">
            <w:pPr>
              <w:jc w:val="center"/>
              <w:rPr>
                <w:rFonts w:ascii="Microsoft Sans Serif" w:hAnsi="Microsoft Sans Serif" w:cs="Microsoft Sans Serif"/>
                <w:b/>
                <w:bCs/>
                <w:color w:val="000000"/>
                <w:sz w:val="14"/>
                <w:szCs w:val="14"/>
              </w:rPr>
            </w:pPr>
          </w:p>
        </w:tc>
        <w:tc>
          <w:tcPr>
            <w:tcW w:w="2681" w:type="pct"/>
            <w:gridSpan w:val="3"/>
            <w:tcBorders>
              <w:top w:val="thinThickSmallGap" w:sz="24" w:space="0" w:color="auto"/>
              <w:bottom w:val="single" w:sz="4" w:space="0" w:color="auto"/>
            </w:tcBorders>
            <w:vAlign w:val="bottom"/>
          </w:tcPr>
          <w:p w14:paraId="3729D5AE"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404040" w:themeColor="text1" w:themeTint="BF"/>
                <w:sz w:val="14"/>
                <w:szCs w:val="14"/>
              </w:rPr>
              <w:t>Risk Sınıfları</w:t>
            </w:r>
          </w:p>
        </w:tc>
      </w:tr>
      <w:tr w:rsidR="00D1663E" w:rsidRPr="00FB38E1" w14:paraId="0C2B8794" w14:textId="77777777" w:rsidTr="00836EF2">
        <w:tc>
          <w:tcPr>
            <w:tcW w:w="580" w:type="pct"/>
            <w:vMerge w:val="restart"/>
            <w:tcBorders>
              <w:top w:val="nil"/>
              <w:bottom w:val="single" w:sz="4" w:space="0" w:color="auto"/>
            </w:tcBorders>
            <w:vAlign w:val="center"/>
          </w:tcPr>
          <w:p w14:paraId="5A88D0C4"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Kredi Kalite Kademesi</w:t>
            </w:r>
          </w:p>
        </w:tc>
        <w:tc>
          <w:tcPr>
            <w:tcW w:w="797" w:type="pct"/>
            <w:tcBorders>
              <w:top w:val="nil"/>
              <w:bottom w:val="single" w:sz="4" w:space="0" w:color="auto"/>
            </w:tcBorders>
            <w:vAlign w:val="center"/>
          </w:tcPr>
          <w:p w14:paraId="4DBDDEFF" w14:textId="77777777" w:rsidR="00D1663E" w:rsidRPr="00FB38E1" w:rsidRDefault="00D1663E" w:rsidP="00836EF2">
            <w:pPr>
              <w:rPr>
                <w:rFonts w:ascii="Microsoft Sans Serif" w:hAnsi="Microsoft Sans Serif" w:cs="Microsoft Sans Serif"/>
                <w:b/>
                <w:color w:val="404040"/>
                <w:sz w:val="14"/>
                <w:szCs w:val="14"/>
              </w:rPr>
            </w:pPr>
          </w:p>
          <w:p w14:paraId="0820B6C7" w14:textId="77777777" w:rsidR="00D1663E" w:rsidRPr="00FB38E1" w:rsidRDefault="00D1663E" w:rsidP="00836EF2">
            <w:pP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Derecelendirme Notu</w:t>
            </w:r>
          </w:p>
        </w:tc>
        <w:tc>
          <w:tcPr>
            <w:tcW w:w="942" w:type="pct"/>
            <w:vMerge w:val="restart"/>
            <w:tcBorders>
              <w:top w:val="nil"/>
              <w:bottom w:val="single" w:sz="4" w:space="0" w:color="auto"/>
            </w:tcBorders>
            <w:vAlign w:val="bottom"/>
          </w:tcPr>
          <w:p w14:paraId="6A10B779"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Merkezi Yönetimlerden veya</w:t>
            </w:r>
          </w:p>
          <w:p w14:paraId="1E5B8C3A"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Merkez Bankalarından Alacaklar</w:t>
            </w:r>
          </w:p>
        </w:tc>
        <w:tc>
          <w:tcPr>
            <w:tcW w:w="1957" w:type="pct"/>
            <w:gridSpan w:val="2"/>
            <w:tcBorders>
              <w:top w:val="single" w:sz="4" w:space="0" w:color="auto"/>
              <w:bottom w:val="single" w:sz="4" w:space="0" w:color="auto"/>
            </w:tcBorders>
            <w:vAlign w:val="bottom"/>
          </w:tcPr>
          <w:p w14:paraId="391F5CCB" w14:textId="77777777" w:rsidR="00D1663E" w:rsidRPr="00FB38E1" w:rsidRDefault="00D1663E"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Bankalardan ve Aracı Kurumlardan Alacaklar</w:t>
            </w:r>
          </w:p>
        </w:tc>
        <w:tc>
          <w:tcPr>
            <w:tcW w:w="724" w:type="pct"/>
            <w:vMerge w:val="restart"/>
            <w:tcBorders>
              <w:top w:val="single" w:sz="4" w:space="0" w:color="auto"/>
              <w:bottom w:val="single" w:sz="4" w:space="0" w:color="auto"/>
            </w:tcBorders>
            <w:vAlign w:val="bottom"/>
          </w:tcPr>
          <w:p w14:paraId="0337BBC8"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Kurumsal Alacaklar</w:t>
            </w:r>
          </w:p>
        </w:tc>
      </w:tr>
      <w:tr w:rsidR="00D1663E" w:rsidRPr="00FB38E1" w14:paraId="21BB2E12" w14:textId="77777777" w:rsidTr="00836EF2">
        <w:tc>
          <w:tcPr>
            <w:tcW w:w="580" w:type="pct"/>
            <w:vMerge/>
            <w:tcBorders>
              <w:top w:val="nil"/>
              <w:bottom w:val="single" w:sz="4" w:space="0" w:color="auto"/>
            </w:tcBorders>
          </w:tcPr>
          <w:p w14:paraId="7CFCFAC7" w14:textId="77777777" w:rsidR="00D1663E" w:rsidRPr="00FB38E1" w:rsidRDefault="00D1663E" w:rsidP="00836EF2">
            <w:pPr>
              <w:jc w:val="right"/>
              <w:rPr>
                <w:rFonts w:ascii="Microsoft Sans Serif" w:hAnsi="Microsoft Sans Serif" w:cs="Microsoft Sans Serif"/>
                <w:color w:val="404040"/>
                <w:sz w:val="14"/>
                <w:szCs w:val="14"/>
              </w:rPr>
            </w:pPr>
          </w:p>
        </w:tc>
        <w:tc>
          <w:tcPr>
            <w:tcW w:w="797" w:type="pct"/>
            <w:tcBorders>
              <w:top w:val="single" w:sz="4" w:space="0" w:color="auto"/>
              <w:bottom w:val="single" w:sz="4" w:space="0" w:color="auto"/>
            </w:tcBorders>
            <w:vAlign w:val="center"/>
          </w:tcPr>
          <w:p w14:paraId="102D961A"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Fitch</w:t>
            </w:r>
          </w:p>
        </w:tc>
        <w:tc>
          <w:tcPr>
            <w:tcW w:w="942" w:type="pct"/>
            <w:vMerge/>
            <w:tcBorders>
              <w:top w:val="nil"/>
              <w:bottom w:val="single" w:sz="4" w:space="0" w:color="auto"/>
            </w:tcBorders>
            <w:vAlign w:val="bottom"/>
          </w:tcPr>
          <w:p w14:paraId="3FE42AB4" w14:textId="77777777" w:rsidR="00D1663E" w:rsidRPr="00FB38E1" w:rsidRDefault="00D1663E" w:rsidP="00836EF2">
            <w:pPr>
              <w:jc w:val="right"/>
              <w:rPr>
                <w:rFonts w:ascii="Microsoft Sans Serif" w:hAnsi="Microsoft Sans Serif" w:cs="Microsoft Sans Serif"/>
                <w:color w:val="404040"/>
                <w:sz w:val="14"/>
                <w:szCs w:val="14"/>
              </w:rPr>
            </w:pPr>
          </w:p>
        </w:tc>
        <w:tc>
          <w:tcPr>
            <w:tcW w:w="1087" w:type="pct"/>
            <w:tcBorders>
              <w:top w:val="single" w:sz="4" w:space="0" w:color="auto"/>
              <w:bottom w:val="single" w:sz="4" w:space="0" w:color="auto"/>
            </w:tcBorders>
            <w:vAlign w:val="bottom"/>
          </w:tcPr>
          <w:p w14:paraId="2F470B44"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Kalan Vadesi 3 aydan</w:t>
            </w:r>
          </w:p>
          <w:p w14:paraId="5387FB4E"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Küçük Alacaklar</w:t>
            </w:r>
          </w:p>
        </w:tc>
        <w:tc>
          <w:tcPr>
            <w:tcW w:w="870" w:type="pct"/>
            <w:tcBorders>
              <w:top w:val="single" w:sz="4" w:space="0" w:color="auto"/>
              <w:bottom w:val="single" w:sz="4" w:space="0" w:color="auto"/>
            </w:tcBorders>
            <w:vAlign w:val="bottom"/>
          </w:tcPr>
          <w:p w14:paraId="22C0C3BE"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Kalan Vadesi 3 aydan</w:t>
            </w:r>
          </w:p>
          <w:p w14:paraId="582212C9"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b/>
                <w:color w:val="404040"/>
                <w:sz w:val="14"/>
                <w:szCs w:val="14"/>
              </w:rPr>
              <w:t>Büyük Alacaklar</w:t>
            </w:r>
          </w:p>
        </w:tc>
        <w:tc>
          <w:tcPr>
            <w:tcW w:w="724" w:type="pct"/>
            <w:vMerge/>
            <w:tcBorders>
              <w:top w:val="nil"/>
              <w:bottom w:val="single" w:sz="4" w:space="0" w:color="auto"/>
            </w:tcBorders>
            <w:vAlign w:val="bottom"/>
          </w:tcPr>
          <w:p w14:paraId="2E377CCA" w14:textId="77777777" w:rsidR="00D1663E" w:rsidRPr="00FB38E1" w:rsidRDefault="00D1663E" w:rsidP="00836EF2">
            <w:pPr>
              <w:jc w:val="right"/>
              <w:rPr>
                <w:rFonts w:ascii="Microsoft Sans Serif" w:hAnsi="Microsoft Sans Serif" w:cs="Microsoft Sans Serif"/>
                <w:color w:val="404040"/>
                <w:sz w:val="14"/>
                <w:szCs w:val="14"/>
              </w:rPr>
            </w:pPr>
          </w:p>
        </w:tc>
      </w:tr>
      <w:tr w:rsidR="00D1663E" w:rsidRPr="00FB38E1" w14:paraId="45E77375" w14:textId="77777777" w:rsidTr="00836EF2">
        <w:tc>
          <w:tcPr>
            <w:tcW w:w="580" w:type="pct"/>
            <w:vMerge w:val="restart"/>
            <w:tcBorders>
              <w:top w:val="single" w:sz="4" w:space="0" w:color="auto"/>
              <w:bottom w:val="nil"/>
            </w:tcBorders>
            <w:vAlign w:val="center"/>
          </w:tcPr>
          <w:p w14:paraId="24E33677"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1</w:t>
            </w:r>
          </w:p>
        </w:tc>
        <w:tc>
          <w:tcPr>
            <w:tcW w:w="797" w:type="pct"/>
            <w:tcBorders>
              <w:top w:val="single" w:sz="4" w:space="0" w:color="auto"/>
              <w:bottom w:val="single" w:sz="4" w:space="0" w:color="808080" w:themeColor="background1" w:themeShade="80"/>
            </w:tcBorders>
            <w:vAlign w:val="center"/>
          </w:tcPr>
          <w:p w14:paraId="3BAD4979"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themeColor="text1" w:themeTint="BF"/>
                <w:sz w:val="14"/>
                <w:szCs w:val="14"/>
              </w:rPr>
              <w:t>AAA</w:t>
            </w:r>
          </w:p>
        </w:tc>
        <w:tc>
          <w:tcPr>
            <w:tcW w:w="942" w:type="pct"/>
            <w:vMerge w:val="restart"/>
            <w:tcBorders>
              <w:top w:val="single" w:sz="4" w:space="0" w:color="auto"/>
              <w:bottom w:val="single" w:sz="4" w:space="0" w:color="808080" w:themeColor="background1" w:themeShade="80"/>
            </w:tcBorders>
            <w:vAlign w:val="center"/>
          </w:tcPr>
          <w:p w14:paraId="01E8836C"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w:t>
            </w:r>
          </w:p>
        </w:tc>
        <w:tc>
          <w:tcPr>
            <w:tcW w:w="1087" w:type="pct"/>
            <w:vMerge w:val="restart"/>
            <w:tcBorders>
              <w:top w:val="single" w:sz="4" w:space="0" w:color="auto"/>
              <w:bottom w:val="single" w:sz="4" w:space="0" w:color="808080" w:themeColor="background1" w:themeShade="80"/>
            </w:tcBorders>
            <w:vAlign w:val="center"/>
          </w:tcPr>
          <w:p w14:paraId="50067F41"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870" w:type="pct"/>
            <w:vMerge w:val="restart"/>
            <w:tcBorders>
              <w:top w:val="single" w:sz="4" w:space="0" w:color="auto"/>
              <w:bottom w:val="single" w:sz="4" w:space="0" w:color="808080" w:themeColor="background1" w:themeShade="80"/>
            </w:tcBorders>
            <w:vAlign w:val="center"/>
          </w:tcPr>
          <w:p w14:paraId="244CC339"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724" w:type="pct"/>
            <w:vMerge w:val="restart"/>
            <w:tcBorders>
              <w:top w:val="single" w:sz="4" w:space="0" w:color="auto"/>
              <w:bottom w:val="single" w:sz="4" w:space="0" w:color="808080" w:themeColor="background1" w:themeShade="80"/>
            </w:tcBorders>
            <w:vAlign w:val="center"/>
          </w:tcPr>
          <w:p w14:paraId="2FEA2DB0"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r>
      <w:tr w:rsidR="00D1663E" w:rsidRPr="00FB38E1" w14:paraId="3F2246E0" w14:textId="77777777" w:rsidTr="00836EF2">
        <w:tc>
          <w:tcPr>
            <w:tcW w:w="580" w:type="pct"/>
            <w:vMerge/>
            <w:tcBorders>
              <w:top w:val="single" w:sz="4" w:space="0" w:color="808080" w:themeColor="background1" w:themeShade="80"/>
              <w:bottom w:val="nil"/>
            </w:tcBorders>
            <w:vAlign w:val="center"/>
          </w:tcPr>
          <w:p w14:paraId="5B452406"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0683CFD4"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themeColor="text1" w:themeTint="BF"/>
                <w:sz w:val="14"/>
                <w:szCs w:val="14"/>
              </w:rPr>
              <w:t>AA+</w:t>
            </w:r>
          </w:p>
        </w:tc>
        <w:tc>
          <w:tcPr>
            <w:tcW w:w="942" w:type="pct"/>
            <w:vMerge/>
            <w:tcBorders>
              <w:top w:val="single" w:sz="4" w:space="0" w:color="808080" w:themeColor="background1" w:themeShade="80"/>
              <w:bottom w:val="single" w:sz="4" w:space="0" w:color="808080" w:themeColor="background1" w:themeShade="80"/>
            </w:tcBorders>
            <w:vAlign w:val="center"/>
          </w:tcPr>
          <w:p w14:paraId="09C89CBC"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70318BEB"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37D1BC58"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04334D1F"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41E59343" w14:textId="77777777" w:rsidTr="00836EF2">
        <w:tc>
          <w:tcPr>
            <w:tcW w:w="580" w:type="pct"/>
            <w:vMerge/>
            <w:tcBorders>
              <w:top w:val="single" w:sz="4" w:space="0" w:color="808080" w:themeColor="background1" w:themeShade="80"/>
              <w:bottom w:val="nil"/>
            </w:tcBorders>
            <w:vAlign w:val="center"/>
          </w:tcPr>
          <w:p w14:paraId="2105C416"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7540491F"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themeColor="text1" w:themeTint="BF"/>
                <w:sz w:val="14"/>
                <w:szCs w:val="14"/>
              </w:rPr>
              <w:t>AA</w:t>
            </w:r>
          </w:p>
        </w:tc>
        <w:tc>
          <w:tcPr>
            <w:tcW w:w="942" w:type="pct"/>
            <w:vMerge/>
            <w:tcBorders>
              <w:top w:val="single" w:sz="4" w:space="0" w:color="808080" w:themeColor="background1" w:themeShade="80"/>
              <w:bottom w:val="single" w:sz="4" w:space="0" w:color="808080" w:themeColor="background1" w:themeShade="80"/>
            </w:tcBorders>
            <w:vAlign w:val="center"/>
          </w:tcPr>
          <w:p w14:paraId="3E420EE4"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07421893"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0DB5676B"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034D2733"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319D0C14" w14:textId="77777777" w:rsidTr="00836EF2">
        <w:tc>
          <w:tcPr>
            <w:tcW w:w="580" w:type="pct"/>
            <w:vMerge/>
            <w:tcBorders>
              <w:top w:val="single" w:sz="4" w:space="0" w:color="808080" w:themeColor="background1" w:themeShade="80"/>
              <w:bottom w:val="nil"/>
            </w:tcBorders>
            <w:vAlign w:val="center"/>
          </w:tcPr>
          <w:p w14:paraId="1F4F52FA"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412EFEF0"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themeColor="text1" w:themeTint="BF"/>
                <w:sz w:val="14"/>
                <w:szCs w:val="14"/>
              </w:rPr>
              <w:t>AA-</w:t>
            </w:r>
          </w:p>
        </w:tc>
        <w:tc>
          <w:tcPr>
            <w:tcW w:w="942" w:type="pct"/>
            <w:vMerge/>
            <w:tcBorders>
              <w:top w:val="single" w:sz="4" w:space="0" w:color="808080" w:themeColor="background1" w:themeShade="80"/>
              <w:bottom w:val="single" w:sz="4" w:space="0" w:color="808080" w:themeColor="background1" w:themeShade="80"/>
            </w:tcBorders>
            <w:vAlign w:val="center"/>
          </w:tcPr>
          <w:p w14:paraId="42F706EB"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19D13506"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09EBDDE2"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38ABCB25"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6E83BFC1" w14:textId="77777777" w:rsidTr="00836EF2">
        <w:tc>
          <w:tcPr>
            <w:tcW w:w="580" w:type="pct"/>
            <w:vMerge w:val="restart"/>
            <w:tcBorders>
              <w:top w:val="single" w:sz="4" w:space="0" w:color="808080" w:themeColor="background1" w:themeShade="80"/>
              <w:bottom w:val="nil"/>
            </w:tcBorders>
            <w:vAlign w:val="center"/>
          </w:tcPr>
          <w:p w14:paraId="70E53999"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2</w:t>
            </w:r>
          </w:p>
        </w:tc>
        <w:tc>
          <w:tcPr>
            <w:tcW w:w="797" w:type="pct"/>
            <w:tcBorders>
              <w:top w:val="single" w:sz="4" w:space="0" w:color="808080" w:themeColor="background1" w:themeShade="80"/>
              <w:bottom w:val="single" w:sz="4" w:space="0" w:color="808080" w:themeColor="background1" w:themeShade="80"/>
            </w:tcBorders>
            <w:vAlign w:val="center"/>
          </w:tcPr>
          <w:p w14:paraId="24DF96B9"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30A5FFAA"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6B4DE908"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26F1D4AA"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267841DF"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r>
      <w:tr w:rsidR="00D1663E" w:rsidRPr="00FB38E1" w14:paraId="53FDE52F" w14:textId="77777777" w:rsidTr="00836EF2">
        <w:tc>
          <w:tcPr>
            <w:tcW w:w="580" w:type="pct"/>
            <w:vMerge/>
            <w:tcBorders>
              <w:top w:val="single" w:sz="4" w:space="0" w:color="808080" w:themeColor="background1" w:themeShade="80"/>
              <w:bottom w:val="nil"/>
            </w:tcBorders>
            <w:vAlign w:val="center"/>
          </w:tcPr>
          <w:p w14:paraId="4F6054B6"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3D9E9EDD"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w:t>
            </w:r>
          </w:p>
        </w:tc>
        <w:tc>
          <w:tcPr>
            <w:tcW w:w="942" w:type="pct"/>
            <w:vMerge/>
            <w:tcBorders>
              <w:top w:val="single" w:sz="4" w:space="0" w:color="808080" w:themeColor="background1" w:themeShade="80"/>
              <w:bottom w:val="single" w:sz="4" w:space="0" w:color="808080" w:themeColor="background1" w:themeShade="80"/>
            </w:tcBorders>
            <w:vAlign w:val="center"/>
          </w:tcPr>
          <w:p w14:paraId="09414879"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288608AC"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39078999"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7136879F"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6C504197" w14:textId="77777777" w:rsidTr="00836EF2">
        <w:tc>
          <w:tcPr>
            <w:tcW w:w="580" w:type="pct"/>
            <w:vMerge/>
            <w:tcBorders>
              <w:top w:val="single" w:sz="4" w:space="0" w:color="808080" w:themeColor="background1" w:themeShade="80"/>
              <w:bottom w:val="nil"/>
            </w:tcBorders>
            <w:vAlign w:val="center"/>
          </w:tcPr>
          <w:p w14:paraId="4E4E10D1"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23E80C7A"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w:t>
            </w:r>
          </w:p>
        </w:tc>
        <w:tc>
          <w:tcPr>
            <w:tcW w:w="942" w:type="pct"/>
            <w:vMerge/>
            <w:tcBorders>
              <w:top w:val="single" w:sz="4" w:space="0" w:color="808080" w:themeColor="background1" w:themeShade="80"/>
              <w:bottom w:val="single" w:sz="4" w:space="0" w:color="808080" w:themeColor="background1" w:themeShade="80"/>
            </w:tcBorders>
            <w:vAlign w:val="center"/>
          </w:tcPr>
          <w:p w14:paraId="1833630A"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066B2B63"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586C23A5"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47A05100"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56990D6D" w14:textId="77777777" w:rsidTr="00836EF2">
        <w:tc>
          <w:tcPr>
            <w:tcW w:w="580" w:type="pct"/>
            <w:vMerge w:val="restart"/>
            <w:tcBorders>
              <w:top w:val="single" w:sz="4" w:space="0" w:color="808080" w:themeColor="background1" w:themeShade="80"/>
              <w:bottom w:val="nil"/>
            </w:tcBorders>
            <w:vAlign w:val="center"/>
          </w:tcPr>
          <w:p w14:paraId="5DF140D4"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3</w:t>
            </w:r>
          </w:p>
        </w:tc>
        <w:tc>
          <w:tcPr>
            <w:tcW w:w="797" w:type="pct"/>
            <w:tcBorders>
              <w:top w:val="single" w:sz="4" w:space="0" w:color="808080" w:themeColor="background1" w:themeShade="80"/>
              <w:bottom w:val="single" w:sz="4" w:space="0" w:color="808080" w:themeColor="background1" w:themeShade="80"/>
            </w:tcBorders>
            <w:vAlign w:val="center"/>
          </w:tcPr>
          <w:p w14:paraId="0B50F257"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BBB+</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3B6DA79B"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78C3C164"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08DF229A"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733F186D"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r>
      <w:tr w:rsidR="00D1663E" w:rsidRPr="00FB38E1" w14:paraId="6D68021E" w14:textId="77777777" w:rsidTr="00836EF2">
        <w:tc>
          <w:tcPr>
            <w:tcW w:w="580" w:type="pct"/>
            <w:vMerge/>
            <w:tcBorders>
              <w:top w:val="single" w:sz="4" w:space="0" w:color="808080" w:themeColor="background1" w:themeShade="80"/>
              <w:bottom w:val="nil"/>
            </w:tcBorders>
            <w:vAlign w:val="center"/>
          </w:tcPr>
          <w:p w14:paraId="48A4E3F1"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78C96A1E"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BBB</w:t>
            </w:r>
          </w:p>
        </w:tc>
        <w:tc>
          <w:tcPr>
            <w:tcW w:w="942" w:type="pct"/>
            <w:vMerge/>
            <w:tcBorders>
              <w:top w:val="single" w:sz="4" w:space="0" w:color="808080" w:themeColor="background1" w:themeShade="80"/>
              <w:bottom w:val="single" w:sz="4" w:space="0" w:color="808080" w:themeColor="background1" w:themeShade="80"/>
            </w:tcBorders>
            <w:vAlign w:val="center"/>
          </w:tcPr>
          <w:p w14:paraId="61F8EB5F"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256A79B3"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00CB87DF"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1B282033"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614EA12D" w14:textId="77777777" w:rsidTr="00836EF2">
        <w:tc>
          <w:tcPr>
            <w:tcW w:w="580" w:type="pct"/>
            <w:vMerge/>
            <w:tcBorders>
              <w:top w:val="single" w:sz="4" w:space="0" w:color="808080" w:themeColor="background1" w:themeShade="80"/>
              <w:bottom w:val="nil"/>
            </w:tcBorders>
            <w:vAlign w:val="center"/>
          </w:tcPr>
          <w:p w14:paraId="4A262A14"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35291629"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BBB-</w:t>
            </w:r>
          </w:p>
        </w:tc>
        <w:tc>
          <w:tcPr>
            <w:tcW w:w="942" w:type="pct"/>
            <w:vMerge/>
            <w:tcBorders>
              <w:top w:val="single" w:sz="4" w:space="0" w:color="808080" w:themeColor="background1" w:themeShade="80"/>
              <w:bottom w:val="single" w:sz="4" w:space="0" w:color="808080" w:themeColor="background1" w:themeShade="80"/>
            </w:tcBorders>
            <w:vAlign w:val="center"/>
          </w:tcPr>
          <w:p w14:paraId="0443F505"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3E1B774A"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3EBC2DBF"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5433C663"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2069D0F1" w14:textId="77777777" w:rsidTr="00836EF2">
        <w:tc>
          <w:tcPr>
            <w:tcW w:w="580" w:type="pct"/>
            <w:vMerge w:val="restart"/>
            <w:tcBorders>
              <w:top w:val="single" w:sz="4" w:space="0" w:color="808080" w:themeColor="background1" w:themeShade="80"/>
              <w:bottom w:val="nil"/>
            </w:tcBorders>
            <w:vAlign w:val="center"/>
          </w:tcPr>
          <w:p w14:paraId="208A13B1"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4</w:t>
            </w:r>
          </w:p>
        </w:tc>
        <w:tc>
          <w:tcPr>
            <w:tcW w:w="797" w:type="pct"/>
            <w:tcBorders>
              <w:top w:val="single" w:sz="4" w:space="0" w:color="808080" w:themeColor="background1" w:themeShade="80"/>
              <w:bottom w:val="single" w:sz="4" w:space="0" w:color="808080" w:themeColor="background1" w:themeShade="80"/>
            </w:tcBorders>
            <w:vAlign w:val="center"/>
          </w:tcPr>
          <w:p w14:paraId="6C2226B2"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753359BF"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4E06E18F"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7907F773"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41ACE213"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r>
      <w:tr w:rsidR="00D1663E" w:rsidRPr="00FB38E1" w14:paraId="62F23AE6" w14:textId="77777777" w:rsidTr="00836EF2">
        <w:tc>
          <w:tcPr>
            <w:tcW w:w="580" w:type="pct"/>
            <w:vMerge/>
            <w:tcBorders>
              <w:top w:val="single" w:sz="4" w:space="0" w:color="808080" w:themeColor="background1" w:themeShade="80"/>
              <w:bottom w:val="nil"/>
            </w:tcBorders>
            <w:vAlign w:val="center"/>
          </w:tcPr>
          <w:p w14:paraId="16815F75"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7C37BDED"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w:t>
            </w:r>
          </w:p>
        </w:tc>
        <w:tc>
          <w:tcPr>
            <w:tcW w:w="942" w:type="pct"/>
            <w:vMerge/>
            <w:tcBorders>
              <w:top w:val="single" w:sz="4" w:space="0" w:color="808080" w:themeColor="background1" w:themeShade="80"/>
              <w:bottom w:val="single" w:sz="4" w:space="0" w:color="808080" w:themeColor="background1" w:themeShade="80"/>
            </w:tcBorders>
            <w:vAlign w:val="center"/>
          </w:tcPr>
          <w:p w14:paraId="017E36AC"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6204047A"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4F2CABAA"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7FC27AE9"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245DEA81" w14:textId="77777777" w:rsidTr="00836EF2">
        <w:tc>
          <w:tcPr>
            <w:tcW w:w="580" w:type="pct"/>
            <w:vMerge/>
            <w:tcBorders>
              <w:top w:val="single" w:sz="4" w:space="0" w:color="808080" w:themeColor="background1" w:themeShade="80"/>
              <w:bottom w:val="nil"/>
            </w:tcBorders>
            <w:vAlign w:val="center"/>
          </w:tcPr>
          <w:p w14:paraId="01CA65F2"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4CB5A6F7"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BB-</w:t>
            </w:r>
          </w:p>
        </w:tc>
        <w:tc>
          <w:tcPr>
            <w:tcW w:w="942" w:type="pct"/>
            <w:vMerge/>
            <w:tcBorders>
              <w:top w:val="single" w:sz="4" w:space="0" w:color="808080" w:themeColor="background1" w:themeShade="80"/>
              <w:bottom w:val="single" w:sz="4" w:space="0" w:color="808080" w:themeColor="background1" w:themeShade="80"/>
            </w:tcBorders>
            <w:vAlign w:val="center"/>
          </w:tcPr>
          <w:p w14:paraId="6FD33875"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1529D279"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007C2A14"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3666E4A2"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34BAD904" w14:textId="77777777" w:rsidTr="00836EF2">
        <w:tc>
          <w:tcPr>
            <w:tcW w:w="580" w:type="pct"/>
            <w:vMerge w:val="restart"/>
            <w:tcBorders>
              <w:top w:val="single" w:sz="4" w:space="0" w:color="808080" w:themeColor="background1" w:themeShade="80"/>
              <w:bottom w:val="nil"/>
            </w:tcBorders>
            <w:vAlign w:val="center"/>
          </w:tcPr>
          <w:p w14:paraId="41FA1906"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5</w:t>
            </w:r>
          </w:p>
        </w:tc>
        <w:tc>
          <w:tcPr>
            <w:tcW w:w="797" w:type="pct"/>
            <w:tcBorders>
              <w:top w:val="single" w:sz="4" w:space="0" w:color="808080" w:themeColor="background1" w:themeShade="80"/>
              <w:bottom w:val="single" w:sz="4" w:space="0" w:color="808080" w:themeColor="background1" w:themeShade="80"/>
            </w:tcBorders>
            <w:vAlign w:val="center"/>
          </w:tcPr>
          <w:p w14:paraId="329EE3EE"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w:t>
            </w:r>
          </w:p>
        </w:tc>
        <w:tc>
          <w:tcPr>
            <w:tcW w:w="942" w:type="pct"/>
            <w:vMerge w:val="restart"/>
            <w:tcBorders>
              <w:top w:val="single" w:sz="4" w:space="0" w:color="808080" w:themeColor="background1" w:themeShade="80"/>
              <w:bottom w:val="single" w:sz="4" w:space="0" w:color="808080" w:themeColor="background1" w:themeShade="80"/>
            </w:tcBorders>
            <w:vAlign w:val="center"/>
          </w:tcPr>
          <w:p w14:paraId="149AF8C1"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c>
          <w:tcPr>
            <w:tcW w:w="1087" w:type="pct"/>
            <w:vMerge w:val="restart"/>
            <w:tcBorders>
              <w:top w:val="single" w:sz="4" w:space="0" w:color="808080" w:themeColor="background1" w:themeShade="80"/>
              <w:bottom w:val="single" w:sz="4" w:space="0" w:color="808080" w:themeColor="background1" w:themeShade="80"/>
            </w:tcBorders>
            <w:vAlign w:val="center"/>
          </w:tcPr>
          <w:p w14:paraId="1845CF0B"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w:t>
            </w:r>
          </w:p>
        </w:tc>
        <w:tc>
          <w:tcPr>
            <w:tcW w:w="870" w:type="pct"/>
            <w:vMerge w:val="restart"/>
            <w:tcBorders>
              <w:top w:val="single" w:sz="4" w:space="0" w:color="808080" w:themeColor="background1" w:themeShade="80"/>
              <w:bottom w:val="single" w:sz="4" w:space="0" w:color="808080" w:themeColor="background1" w:themeShade="80"/>
            </w:tcBorders>
            <w:vAlign w:val="center"/>
          </w:tcPr>
          <w:p w14:paraId="4924A50C"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w:t>
            </w:r>
          </w:p>
        </w:tc>
        <w:tc>
          <w:tcPr>
            <w:tcW w:w="724" w:type="pct"/>
            <w:vMerge w:val="restart"/>
            <w:tcBorders>
              <w:top w:val="single" w:sz="4" w:space="0" w:color="808080" w:themeColor="background1" w:themeShade="80"/>
              <w:bottom w:val="single" w:sz="4" w:space="0" w:color="808080" w:themeColor="background1" w:themeShade="80"/>
            </w:tcBorders>
            <w:vAlign w:val="center"/>
          </w:tcPr>
          <w:p w14:paraId="1DDCA536"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r>
      <w:tr w:rsidR="00D1663E" w:rsidRPr="00FB38E1" w14:paraId="6590970F" w14:textId="77777777" w:rsidTr="00836EF2">
        <w:tc>
          <w:tcPr>
            <w:tcW w:w="580" w:type="pct"/>
            <w:vMerge/>
            <w:tcBorders>
              <w:top w:val="single" w:sz="4" w:space="0" w:color="808080" w:themeColor="background1" w:themeShade="80"/>
              <w:bottom w:val="nil"/>
            </w:tcBorders>
            <w:vAlign w:val="center"/>
          </w:tcPr>
          <w:p w14:paraId="7F244478"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2D639D84"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w:t>
            </w:r>
          </w:p>
        </w:tc>
        <w:tc>
          <w:tcPr>
            <w:tcW w:w="942" w:type="pct"/>
            <w:vMerge/>
            <w:tcBorders>
              <w:top w:val="single" w:sz="4" w:space="0" w:color="808080" w:themeColor="background1" w:themeShade="80"/>
              <w:bottom w:val="single" w:sz="4" w:space="0" w:color="808080" w:themeColor="background1" w:themeShade="80"/>
            </w:tcBorders>
            <w:vAlign w:val="center"/>
          </w:tcPr>
          <w:p w14:paraId="619E9669"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1BFD2299"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59250300"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7BF0F269"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777BEC48" w14:textId="77777777" w:rsidTr="00836EF2">
        <w:tc>
          <w:tcPr>
            <w:tcW w:w="580" w:type="pct"/>
            <w:vMerge/>
            <w:tcBorders>
              <w:top w:val="single" w:sz="4" w:space="0" w:color="808080" w:themeColor="background1" w:themeShade="80"/>
              <w:bottom w:val="single" w:sz="4" w:space="0" w:color="808080" w:themeColor="background1" w:themeShade="80"/>
            </w:tcBorders>
            <w:vAlign w:val="center"/>
          </w:tcPr>
          <w:p w14:paraId="77001075" w14:textId="77777777" w:rsidR="00D1663E" w:rsidRPr="00FB38E1" w:rsidRDefault="00D1663E" w:rsidP="00836EF2">
            <w:pPr>
              <w:jc w:val="center"/>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58845BED"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w:t>
            </w:r>
          </w:p>
        </w:tc>
        <w:tc>
          <w:tcPr>
            <w:tcW w:w="942" w:type="pct"/>
            <w:vMerge/>
            <w:tcBorders>
              <w:top w:val="single" w:sz="4" w:space="0" w:color="808080" w:themeColor="background1" w:themeShade="80"/>
              <w:bottom w:val="single" w:sz="4" w:space="0" w:color="808080" w:themeColor="background1" w:themeShade="80"/>
            </w:tcBorders>
            <w:vAlign w:val="center"/>
          </w:tcPr>
          <w:p w14:paraId="68C78403" w14:textId="77777777" w:rsidR="00D1663E" w:rsidRPr="00FB38E1" w:rsidRDefault="00D1663E" w:rsidP="00836EF2">
            <w:pPr>
              <w:jc w:val="center"/>
              <w:rPr>
                <w:rFonts w:ascii="Microsoft Sans Serif" w:hAnsi="Microsoft Sans Serif" w:cs="Microsoft Sans Serif"/>
                <w:color w:val="404040"/>
                <w:sz w:val="14"/>
                <w:szCs w:val="14"/>
              </w:rPr>
            </w:pPr>
          </w:p>
        </w:tc>
        <w:tc>
          <w:tcPr>
            <w:tcW w:w="1087" w:type="pct"/>
            <w:vMerge/>
            <w:tcBorders>
              <w:top w:val="single" w:sz="4" w:space="0" w:color="808080" w:themeColor="background1" w:themeShade="80"/>
              <w:bottom w:val="single" w:sz="4" w:space="0" w:color="808080" w:themeColor="background1" w:themeShade="80"/>
            </w:tcBorders>
            <w:vAlign w:val="center"/>
          </w:tcPr>
          <w:p w14:paraId="49205D07" w14:textId="77777777" w:rsidR="00D1663E" w:rsidRPr="00FB38E1" w:rsidRDefault="00D1663E" w:rsidP="00836EF2">
            <w:pPr>
              <w:jc w:val="center"/>
              <w:rPr>
                <w:rFonts w:ascii="Microsoft Sans Serif" w:hAnsi="Microsoft Sans Serif" w:cs="Microsoft Sans Serif"/>
                <w:color w:val="404040"/>
                <w:sz w:val="14"/>
                <w:szCs w:val="14"/>
              </w:rPr>
            </w:pPr>
          </w:p>
        </w:tc>
        <w:tc>
          <w:tcPr>
            <w:tcW w:w="870" w:type="pct"/>
            <w:vMerge/>
            <w:tcBorders>
              <w:top w:val="single" w:sz="4" w:space="0" w:color="808080" w:themeColor="background1" w:themeShade="80"/>
              <w:bottom w:val="single" w:sz="4" w:space="0" w:color="808080" w:themeColor="background1" w:themeShade="80"/>
            </w:tcBorders>
            <w:vAlign w:val="center"/>
          </w:tcPr>
          <w:p w14:paraId="799DABA2" w14:textId="77777777" w:rsidR="00D1663E" w:rsidRPr="00FB38E1" w:rsidRDefault="00D1663E" w:rsidP="00836EF2">
            <w:pPr>
              <w:jc w:val="center"/>
              <w:rPr>
                <w:rFonts w:ascii="Microsoft Sans Serif" w:hAnsi="Microsoft Sans Serif" w:cs="Microsoft Sans Serif"/>
                <w:color w:val="404040"/>
                <w:sz w:val="14"/>
                <w:szCs w:val="14"/>
              </w:rPr>
            </w:pPr>
          </w:p>
        </w:tc>
        <w:tc>
          <w:tcPr>
            <w:tcW w:w="724" w:type="pct"/>
            <w:vMerge/>
            <w:tcBorders>
              <w:top w:val="single" w:sz="4" w:space="0" w:color="808080" w:themeColor="background1" w:themeShade="80"/>
              <w:bottom w:val="single" w:sz="4" w:space="0" w:color="808080" w:themeColor="background1" w:themeShade="80"/>
            </w:tcBorders>
            <w:vAlign w:val="center"/>
          </w:tcPr>
          <w:p w14:paraId="30CE5ABE" w14:textId="77777777" w:rsidR="00D1663E" w:rsidRPr="00FB38E1" w:rsidRDefault="00D1663E" w:rsidP="00836EF2">
            <w:pPr>
              <w:jc w:val="center"/>
              <w:rPr>
                <w:rFonts w:ascii="Microsoft Sans Serif" w:hAnsi="Microsoft Sans Serif" w:cs="Microsoft Sans Serif"/>
                <w:color w:val="404040"/>
                <w:sz w:val="14"/>
                <w:szCs w:val="14"/>
              </w:rPr>
            </w:pPr>
          </w:p>
        </w:tc>
      </w:tr>
      <w:tr w:rsidR="00D1663E" w:rsidRPr="00FB38E1" w14:paraId="24D3BD92" w14:textId="77777777" w:rsidTr="00836EF2">
        <w:tc>
          <w:tcPr>
            <w:tcW w:w="580" w:type="pct"/>
            <w:vMerge w:val="restart"/>
            <w:tcBorders>
              <w:top w:val="single" w:sz="4" w:space="0" w:color="808080" w:themeColor="background1" w:themeShade="80"/>
              <w:bottom w:val="thickThinSmallGap" w:sz="24" w:space="0" w:color="auto"/>
            </w:tcBorders>
            <w:vAlign w:val="center"/>
          </w:tcPr>
          <w:p w14:paraId="68248E60" w14:textId="77777777" w:rsidR="00D1663E" w:rsidRPr="00FB38E1" w:rsidRDefault="00D1663E" w:rsidP="00836EF2">
            <w:pPr>
              <w:jc w:val="cente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6</w:t>
            </w:r>
          </w:p>
        </w:tc>
        <w:tc>
          <w:tcPr>
            <w:tcW w:w="797" w:type="pct"/>
            <w:tcBorders>
              <w:top w:val="single" w:sz="4" w:space="0" w:color="808080" w:themeColor="background1" w:themeShade="80"/>
              <w:bottom w:val="single" w:sz="4" w:space="0" w:color="808080" w:themeColor="background1" w:themeShade="80"/>
            </w:tcBorders>
            <w:vAlign w:val="center"/>
          </w:tcPr>
          <w:p w14:paraId="5D76DB67"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CCC</w:t>
            </w:r>
          </w:p>
        </w:tc>
        <w:tc>
          <w:tcPr>
            <w:tcW w:w="942" w:type="pct"/>
            <w:vMerge w:val="restart"/>
            <w:tcBorders>
              <w:top w:val="single" w:sz="4" w:space="0" w:color="808080" w:themeColor="background1" w:themeShade="80"/>
            </w:tcBorders>
            <w:vAlign w:val="center"/>
          </w:tcPr>
          <w:p w14:paraId="33CBF927"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c>
          <w:tcPr>
            <w:tcW w:w="1087" w:type="pct"/>
            <w:vMerge w:val="restart"/>
            <w:tcBorders>
              <w:top w:val="single" w:sz="4" w:space="0" w:color="808080" w:themeColor="background1" w:themeShade="80"/>
            </w:tcBorders>
            <w:vAlign w:val="center"/>
          </w:tcPr>
          <w:p w14:paraId="332214E0"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c>
          <w:tcPr>
            <w:tcW w:w="870" w:type="pct"/>
            <w:vMerge w:val="restart"/>
            <w:tcBorders>
              <w:top w:val="single" w:sz="4" w:space="0" w:color="808080" w:themeColor="background1" w:themeShade="80"/>
            </w:tcBorders>
            <w:vAlign w:val="center"/>
          </w:tcPr>
          <w:p w14:paraId="3D87A8B2"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c>
          <w:tcPr>
            <w:tcW w:w="724" w:type="pct"/>
            <w:vMerge w:val="restart"/>
            <w:tcBorders>
              <w:top w:val="single" w:sz="4" w:space="0" w:color="808080" w:themeColor="background1" w:themeShade="80"/>
            </w:tcBorders>
            <w:vAlign w:val="center"/>
          </w:tcPr>
          <w:p w14:paraId="185F8DE8"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r>
      <w:tr w:rsidR="00D1663E" w:rsidRPr="00FB38E1" w14:paraId="25E1C0D3" w14:textId="77777777" w:rsidTr="00836EF2">
        <w:trPr>
          <w:trHeight w:val="20"/>
        </w:trPr>
        <w:tc>
          <w:tcPr>
            <w:tcW w:w="580" w:type="pct"/>
            <w:vMerge/>
            <w:tcBorders>
              <w:top w:val="single" w:sz="4" w:space="0" w:color="808080" w:themeColor="background1" w:themeShade="80"/>
              <w:bottom w:val="thickThinSmallGap" w:sz="24" w:space="0" w:color="auto"/>
            </w:tcBorders>
          </w:tcPr>
          <w:p w14:paraId="6A1C5E08" w14:textId="77777777" w:rsidR="00D1663E" w:rsidRPr="00FB38E1" w:rsidRDefault="00D1663E" w:rsidP="00836EF2">
            <w:pPr>
              <w:jc w:val="right"/>
              <w:rPr>
                <w:rFonts w:ascii="Microsoft Sans Serif" w:hAnsi="Microsoft Sans Serif" w:cs="Microsoft Sans Serif"/>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5D504A7F"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CC</w:t>
            </w:r>
          </w:p>
        </w:tc>
        <w:tc>
          <w:tcPr>
            <w:tcW w:w="942" w:type="pct"/>
            <w:vMerge/>
            <w:vAlign w:val="bottom"/>
          </w:tcPr>
          <w:p w14:paraId="6C46D20F" w14:textId="77777777" w:rsidR="00D1663E" w:rsidRPr="00FB38E1" w:rsidRDefault="00D1663E" w:rsidP="00836EF2">
            <w:pPr>
              <w:jc w:val="right"/>
              <w:rPr>
                <w:rFonts w:ascii="Microsoft Sans Serif" w:hAnsi="Microsoft Sans Serif" w:cs="Microsoft Sans Serif"/>
                <w:color w:val="404040"/>
                <w:sz w:val="14"/>
                <w:szCs w:val="14"/>
              </w:rPr>
            </w:pPr>
          </w:p>
        </w:tc>
        <w:tc>
          <w:tcPr>
            <w:tcW w:w="1087" w:type="pct"/>
            <w:vMerge/>
            <w:vAlign w:val="bottom"/>
          </w:tcPr>
          <w:p w14:paraId="73F5872D" w14:textId="77777777" w:rsidR="00D1663E" w:rsidRPr="00FB38E1" w:rsidRDefault="00D1663E" w:rsidP="00836EF2">
            <w:pPr>
              <w:jc w:val="right"/>
              <w:rPr>
                <w:rFonts w:ascii="Microsoft Sans Serif" w:hAnsi="Microsoft Sans Serif" w:cs="Microsoft Sans Serif"/>
                <w:color w:val="404040"/>
                <w:sz w:val="14"/>
                <w:szCs w:val="14"/>
              </w:rPr>
            </w:pPr>
          </w:p>
        </w:tc>
        <w:tc>
          <w:tcPr>
            <w:tcW w:w="870" w:type="pct"/>
            <w:vMerge/>
            <w:vAlign w:val="bottom"/>
          </w:tcPr>
          <w:p w14:paraId="2D4FC1C2" w14:textId="77777777" w:rsidR="00D1663E" w:rsidRPr="00FB38E1" w:rsidRDefault="00D1663E" w:rsidP="00836EF2">
            <w:pPr>
              <w:jc w:val="right"/>
              <w:rPr>
                <w:rFonts w:ascii="Microsoft Sans Serif" w:hAnsi="Microsoft Sans Serif" w:cs="Microsoft Sans Serif"/>
                <w:color w:val="404040"/>
                <w:sz w:val="14"/>
                <w:szCs w:val="14"/>
              </w:rPr>
            </w:pPr>
          </w:p>
        </w:tc>
        <w:tc>
          <w:tcPr>
            <w:tcW w:w="724" w:type="pct"/>
            <w:vMerge/>
            <w:vAlign w:val="bottom"/>
          </w:tcPr>
          <w:p w14:paraId="67C9056B" w14:textId="77777777" w:rsidR="00D1663E" w:rsidRPr="00FB38E1" w:rsidRDefault="00D1663E" w:rsidP="00836EF2">
            <w:pPr>
              <w:jc w:val="right"/>
              <w:rPr>
                <w:rFonts w:ascii="Microsoft Sans Serif" w:hAnsi="Microsoft Sans Serif" w:cs="Microsoft Sans Serif"/>
                <w:color w:val="404040"/>
                <w:sz w:val="14"/>
                <w:szCs w:val="14"/>
              </w:rPr>
            </w:pPr>
          </w:p>
        </w:tc>
      </w:tr>
      <w:tr w:rsidR="00D1663E" w:rsidRPr="00FB38E1" w14:paraId="6CA04AE0" w14:textId="77777777" w:rsidTr="00836EF2">
        <w:trPr>
          <w:trHeight w:val="20"/>
        </w:trPr>
        <w:tc>
          <w:tcPr>
            <w:tcW w:w="580" w:type="pct"/>
            <w:vMerge/>
            <w:tcBorders>
              <w:top w:val="single" w:sz="4" w:space="0" w:color="808080" w:themeColor="background1" w:themeShade="80"/>
              <w:bottom w:val="thickThinSmallGap" w:sz="24" w:space="0" w:color="auto"/>
            </w:tcBorders>
          </w:tcPr>
          <w:p w14:paraId="60AF2828" w14:textId="77777777" w:rsidR="00D1663E" w:rsidRPr="00FB38E1" w:rsidRDefault="00D1663E" w:rsidP="00836EF2">
            <w:pPr>
              <w:jc w:val="right"/>
              <w:rPr>
                <w:rFonts w:ascii="Microsoft Sans Serif" w:hAnsi="Microsoft Sans Serif" w:cs="Microsoft Sans Serif"/>
                <w:color w:val="404040"/>
                <w:sz w:val="14"/>
                <w:szCs w:val="14"/>
              </w:rPr>
            </w:pPr>
          </w:p>
        </w:tc>
        <w:tc>
          <w:tcPr>
            <w:tcW w:w="797" w:type="pct"/>
            <w:tcBorders>
              <w:top w:val="single" w:sz="4" w:space="0" w:color="808080" w:themeColor="background1" w:themeShade="80"/>
              <w:bottom w:val="single" w:sz="4" w:space="0" w:color="808080" w:themeColor="background1" w:themeShade="80"/>
            </w:tcBorders>
            <w:vAlign w:val="center"/>
          </w:tcPr>
          <w:p w14:paraId="3AA467A4" w14:textId="77777777" w:rsidR="00D1663E" w:rsidRPr="00FB38E1" w:rsidRDefault="00D1663E" w:rsidP="00836EF2">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C</w:t>
            </w:r>
          </w:p>
        </w:tc>
        <w:tc>
          <w:tcPr>
            <w:tcW w:w="942" w:type="pct"/>
            <w:vMerge/>
            <w:vAlign w:val="bottom"/>
          </w:tcPr>
          <w:p w14:paraId="5028C1A3" w14:textId="77777777" w:rsidR="00D1663E" w:rsidRPr="00FB38E1" w:rsidRDefault="00D1663E" w:rsidP="00836EF2">
            <w:pPr>
              <w:jc w:val="right"/>
              <w:rPr>
                <w:rFonts w:ascii="Microsoft Sans Serif" w:hAnsi="Microsoft Sans Serif" w:cs="Microsoft Sans Serif"/>
                <w:color w:val="404040"/>
                <w:sz w:val="14"/>
                <w:szCs w:val="14"/>
              </w:rPr>
            </w:pPr>
          </w:p>
        </w:tc>
        <w:tc>
          <w:tcPr>
            <w:tcW w:w="1087" w:type="pct"/>
            <w:vMerge/>
            <w:vAlign w:val="bottom"/>
          </w:tcPr>
          <w:p w14:paraId="469979DC" w14:textId="77777777" w:rsidR="00D1663E" w:rsidRPr="00FB38E1" w:rsidRDefault="00D1663E" w:rsidP="00836EF2">
            <w:pPr>
              <w:jc w:val="right"/>
              <w:rPr>
                <w:rFonts w:ascii="Microsoft Sans Serif" w:hAnsi="Microsoft Sans Serif" w:cs="Microsoft Sans Serif"/>
                <w:color w:val="404040"/>
                <w:sz w:val="14"/>
                <w:szCs w:val="14"/>
              </w:rPr>
            </w:pPr>
          </w:p>
        </w:tc>
        <w:tc>
          <w:tcPr>
            <w:tcW w:w="870" w:type="pct"/>
            <w:vMerge/>
            <w:vAlign w:val="bottom"/>
          </w:tcPr>
          <w:p w14:paraId="08E4B921" w14:textId="77777777" w:rsidR="00D1663E" w:rsidRPr="00FB38E1" w:rsidRDefault="00D1663E" w:rsidP="00836EF2">
            <w:pPr>
              <w:jc w:val="right"/>
              <w:rPr>
                <w:rFonts w:ascii="Microsoft Sans Serif" w:hAnsi="Microsoft Sans Serif" w:cs="Microsoft Sans Serif"/>
                <w:color w:val="404040"/>
                <w:sz w:val="14"/>
                <w:szCs w:val="14"/>
              </w:rPr>
            </w:pPr>
          </w:p>
        </w:tc>
        <w:tc>
          <w:tcPr>
            <w:tcW w:w="724" w:type="pct"/>
            <w:vMerge/>
            <w:vAlign w:val="bottom"/>
          </w:tcPr>
          <w:p w14:paraId="499ED00C" w14:textId="77777777" w:rsidR="00D1663E" w:rsidRPr="00FB38E1" w:rsidRDefault="00D1663E" w:rsidP="00836EF2">
            <w:pPr>
              <w:jc w:val="right"/>
              <w:rPr>
                <w:rFonts w:ascii="Microsoft Sans Serif" w:hAnsi="Microsoft Sans Serif" w:cs="Microsoft Sans Serif"/>
                <w:color w:val="404040"/>
                <w:sz w:val="14"/>
                <w:szCs w:val="14"/>
              </w:rPr>
            </w:pPr>
          </w:p>
        </w:tc>
      </w:tr>
      <w:tr w:rsidR="00D1663E" w:rsidRPr="00FB38E1" w14:paraId="76015140" w14:textId="77777777" w:rsidTr="00836EF2">
        <w:tc>
          <w:tcPr>
            <w:tcW w:w="580" w:type="pct"/>
            <w:vMerge/>
            <w:tcBorders>
              <w:top w:val="single" w:sz="4" w:space="0" w:color="808080" w:themeColor="background1" w:themeShade="80"/>
              <w:bottom w:val="thickThinSmallGap" w:sz="24" w:space="0" w:color="auto"/>
            </w:tcBorders>
            <w:vAlign w:val="center"/>
          </w:tcPr>
          <w:p w14:paraId="5C657081" w14:textId="77777777" w:rsidR="00D1663E" w:rsidRPr="00FB38E1" w:rsidRDefault="00D1663E" w:rsidP="00836EF2">
            <w:pPr>
              <w:jc w:val="right"/>
              <w:rPr>
                <w:rFonts w:ascii="Microsoft Sans Serif" w:hAnsi="Microsoft Sans Serif" w:cs="Microsoft Sans Serif"/>
                <w:b/>
                <w:color w:val="404040"/>
                <w:sz w:val="14"/>
                <w:szCs w:val="14"/>
              </w:rPr>
            </w:pPr>
          </w:p>
        </w:tc>
        <w:tc>
          <w:tcPr>
            <w:tcW w:w="797" w:type="pct"/>
            <w:tcBorders>
              <w:top w:val="single" w:sz="4" w:space="0" w:color="808080" w:themeColor="background1" w:themeShade="80"/>
              <w:bottom w:val="thickThinSmallGap" w:sz="24" w:space="0" w:color="auto"/>
            </w:tcBorders>
            <w:vAlign w:val="bottom"/>
          </w:tcPr>
          <w:p w14:paraId="3A99EBE4" w14:textId="77777777" w:rsidR="00D1663E" w:rsidRPr="00FB38E1" w:rsidRDefault="00D1663E" w:rsidP="00836EF2">
            <w:pPr>
              <w:jc w:val="center"/>
              <w:rPr>
                <w:rFonts w:ascii="Trebuchet MS" w:hAnsi="Trebuchet MS"/>
                <w:sz w:val="14"/>
                <w:szCs w:val="14"/>
              </w:rPr>
            </w:pPr>
            <w:r w:rsidRPr="00FB38E1">
              <w:rPr>
                <w:rFonts w:ascii="Trebuchet MS" w:hAnsi="Trebuchet MS"/>
                <w:color w:val="404040" w:themeColor="text1" w:themeTint="BF"/>
                <w:sz w:val="14"/>
                <w:szCs w:val="14"/>
              </w:rPr>
              <w:t>D</w:t>
            </w:r>
          </w:p>
        </w:tc>
        <w:tc>
          <w:tcPr>
            <w:tcW w:w="942" w:type="pct"/>
            <w:vMerge/>
            <w:tcBorders>
              <w:bottom w:val="thickThinSmallGap" w:sz="24" w:space="0" w:color="auto"/>
            </w:tcBorders>
            <w:vAlign w:val="bottom"/>
          </w:tcPr>
          <w:p w14:paraId="3DFB5A4D" w14:textId="77777777" w:rsidR="00D1663E" w:rsidRPr="00FB38E1" w:rsidRDefault="00D1663E" w:rsidP="00836EF2">
            <w:pPr>
              <w:jc w:val="right"/>
              <w:rPr>
                <w:rFonts w:ascii="Microsoft Sans Serif" w:hAnsi="Microsoft Sans Serif" w:cs="Microsoft Sans Serif"/>
                <w:b/>
                <w:sz w:val="14"/>
                <w:szCs w:val="14"/>
              </w:rPr>
            </w:pPr>
          </w:p>
        </w:tc>
        <w:tc>
          <w:tcPr>
            <w:tcW w:w="1087" w:type="pct"/>
            <w:vMerge/>
            <w:tcBorders>
              <w:bottom w:val="thickThinSmallGap" w:sz="24" w:space="0" w:color="auto"/>
            </w:tcBorders>
            <w:vAlign w:val="bottom"/>
          </w:tcPr>
          <w:p w14:paraId="6EC418F5" w14:textId="77777777" w:rsidR="00D1663E" w:rsidRPr="00FB38E1" w:rsidRDefault="00D1663E" w:rsidP="00836EF2">
            <w:pPr>
              <w:jc w:val="right"/>
              <w:rPr>
                <w:rFonts w:ascii="Microsoft Sans Serif" w:hAnsi="Microsoft Sans Serif" w:cs="Microsoft Sans Serif"/>
                <w:b/>
                <w:sz w:val="14"/>
                <w:szCs w:val="14"/>
              </w:rPr>
            </w:pPr>
          </w:p>
        </w:tc>
        <w:tc>
          <w:tcPr>
            <w:tcW w:w="870" w:type="pct"/>
            <w:vMerge/>
            <w:tcBorders>
              <w:bottom w:val="thickThinSmallGap" w:sz="24" w:space="0" w:color="auto"/>
            </w:tcBorders>
            <w:vAlign w:val="bottom"/>
          </w:tcPr>
          <w:p w14:paraId="73FE58CD" w14:textId="77777777" w:rsidR="00D1663E" w:rsidRPr="00FB38E1" w:rsidRDefault="00D1663E" w:rsidP="00836EF2">
            <w:pPr>
              <w:jc w:val="right"/>
              <w:rPr>
                <w:rFonts w:ascii="Microsoft Sans Serif" w:hAnsi="Microsoft Sans Serif" w:cs="Microsoft Sans Serif"/>
                <w:b/>
                <w:sz w:val="14"/>
                <w:szCs w:val="14"/>
              </w:rPr>
            </w:pPr>
          </w:p>
        </w:tc>
        <w:tc>
          <w:tcPr>
            <w:tcW w:w="724" w:type="pct"/>
            <w:vMerge/>
            <w:tcBorders>
              <w:bottom w:val="thickThinSmallGap" w:sz="24" w:space="0" w:color="auto"/>
            </w:tcBorders>
            <w:vAlign w:val="bottom"/>
          </w:tcPr>
          <w:p w14:paraId="7FA19C97" w14:textId="77777777" w:rsidR="00D1663E" w:rsidRPr="00FB38E1" w:rsidRDefault="00D1663E" w:rsidP="00836EF2">
            <w:pPr>
              <w:jc w:val="right"/>
              <w:rPr>
                <w:rFonts w:ascii="Microsoft Sans Serif" w:hAnsi="Microsoft Sans Serif" w:cs="Microsoft Sans Serif"/>
                <w:b/>
                <w:sz w:val="14"/>
                <w:szCs w:val="14"/>
              </w:rPr>
            </w:pPr>
          </w:p>
        </w:tc>
      </w:tr>
    </w:tbl>
    <w:p w14:paraId="2B9702F5" w14:textId="77777777" w:rsidR="00D1663E" w:rsidRPr="00FB38E1" w:rsidRDefault="00D1663E" w:rsidP="00D1663E">
      <w:pPr>
        <w:pStyle w:val="ListParagraph"/>
        <w:spacing w:before="240" w:after="120" w:line="240" w:lineRule="exact"/>
        <w:ind w:left="0"/>
        <w:contextualSpacing w:val="0"/>
        <w:rPr>
          <w:rFonts w:ascii="Microsoft Sans Serif" w:hAnsi="Microsoft Sans Serif" w:cs="Microsoft Sans Serif"/>
          <w:b/>
          <w:bCs/>
          <w:iCs/>
          <w:sz w:val="20"/>
          <w:szCs w:val="20"/>
        </w:rPr>
      </w:pPr>
      <w:r w:rsidRPr="00FB38E1">
        <w:rPr>
          <w:rFonts w:ascii="Microsoft Sans Serif" w:hAnsi="Microsoft Sans Serif" w:cs="Microsoft Sans Serif"/>
          <w:b/>
          <w:bCs/>
          <w:iCs/>
          <w:sz w:val="20"/>
          <w:szCs w:val="20"/>
        </w:rPr>
        <w:br w:type="page"/>
      </w:r>
    </w:p>
    <w:p w14:paraId="5B592A79" w14:textId="77777777" w:rsidR="00D1663E" w:rsidRPr="00FB38E1" w:rsidRDefault="00D1663E" w:rsidP="00364B59">
      <w:pPr>
        <w:pStyle w:val="ListParagraph"/>
        <w:numPr>
          <w:ilvl w:val="0"/>
          <w:numId w:val="51"/>
        </w:numPr>
        <w:spacing w:before="240" w:after="120" w:line="240" w:lineRule="exact"/>
        <w:ind w:left="0" w:hanging="567"/>
        <w:contextualSpacing w:val="0"/>
        <w:rPr>
          <w:rFonts w:ascii="Microsoft Sans Serif" w:hAnsi="Microsoft Sans Serif" w:cs="Microsoft Sans Serif"/>
          <w:b/>
          <w:bCs/>
          <w:iCs/>
          <w:sz w:val="20"/>
          <w:szCs w:val="20"/>
        </w:rPr>
      </w:pPr>
      <w:r w:rsidRPr="00FB38E1">
        <w:rPr>
          <w:rFonts w:ascii="Microsoft Sans Serif" w:hAnsi="Microsoft Sans Serif" w:cs="Microsoft Sans Serif"/>
          <w:b/>
          <w:bCs/>
          <w:sz w:val="20"/>
          <w:szCs w:val="20"/>
          <w:lang w:val="en-US"/>
        </w:rPr>
        <w:t>Risk ağırlığına göre risk tutarları</w:t>
      </w:r>
    </w:p>
    <w:p w14:paraId="06BF4A03" w14:textId="77777777" w:rsidR="00D1663E" w:rsidRPr="00FB38E1" w:rsidRDefault="00D1663E" w:rsidP="00D1663E">
      <w:pPr>
        <w:pStyle w:val="Head3"/>
        <w:keepNext w:val="0"/>
        <w:keepLines w:val="0"/>
        <w:spacing w:before="120" w:after="0" w:line="240" w:lineRule="exact"/>
        <w:ind w:right="0" w:firstLine="0"/>
        <w:rPr>
          <w:rFonts w:ascii="Microsoft Sans Serif" w:hAnsi="Microsoft Sans Serif" w:cs="Microsoft Sans Serif"/>
          <w:b w:val="0"/>
          <w:i w:val="0"/>
          <w:iCs w:val="0"/>
          <w:sz w:val="20"/>
          <w:szCs w:val="20"/>
        </w:rPr>
      </w:pPr>
      <w:r w:rsidRPr="00FB38E1">
        <w:rPr>
          <w:rFonts w:ascii="Microsoft Sans Serif" w:hAnsi="Microsoft Sans Serif" w:cs="Microsoft Sans Serif"/>
          <w:b w:val="0"/>
          <w:i w:val="0"/>
          <w:iCs w:val="0"/>
          <w:sz w:val="20"/>
          <w:szCs w:val="20"/>
        </w:rPr>
        <w:t>Cari Dönem</w:t>
      </w:r>
    </w:p>
    <w:tbl>
      <w:tblPr>
        <w:tblStyle w:val="TableGrid"/>
        <w:tblW w:w="980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79"/>
        <w:gridCol w:w="893"/>
        <w:gridCol w:w="355"/>
        <w:gridCol w:w="815"/>
        <w:gridCol w:w="815"/>
        <w:gridCol w:w="815"/>
        <w:gridCol w:w="893"/>
        <w:gridCol w:w="893"/>
        <w:gridCol w:w="881"/>
        <w:gridCol w:w="803"/>
        <w:gridCol w:w="447"/>
        <w:gridCol w:w="804"/>
        <w:gridCol w:w="815"/>
      </w:tblGrid>
      <w:tr w:rsidR="00D1663E" w:rsidRPr="00FB38E1" w14:paraId="405B6F6A" w14:textId="77777777" w:rsidTr="00431CC3">
        <w:tc>
          <w:tcPr>
            <w:tcW w:w="301" w:type="pct"/>
            <w:tcBorders>
              <w:top w:val="thinThickSmallGap" w:sz="24" w:space="0" w:color="auto"/>
              <w:bottom w:val="single" w:sz="4" w:space="0" w:color="auto"/>
            </w:tcBorders>
            <w:vAlign w:val="bottom"/>
          </w:tcPr>
          <w:p w14:paraId="738717B3" w14:textId="77777777" w:rsidR="00D1663E" w:rsidRPr="00FB38E1" w:rsidRDefault="00D1663E" w:rsidP="00836EF2">
            <w:pPr>
              <w:rPr>
                <w:rFonts w:ascii="Microsoft Sans Serif" w:hAnsi="Microsoft Sans Serif" w:cs="Microsoft Sans Serif"/>
                <w:color w:val="000000"/>
                <w:sz w:val="12"/>
                <w:szCs w:val="14"/>
              </w:rPr>
            </w:pPr>
            <w:r w:rsidRPr="00FB38E1">
              <w:rPr>
                <w:rFonts w:ascii="Microsoft Sans Serif" w:hAnsi="Microsoft Sans Serif" w:cs="Microsoft Sans Serif"/>
                <w:b/>
                <w:color w:val="000000"/>
                <w:sz w:val="12"/>
                <w:szCs w:val="14"/>
              </w:rPr>
              <w:t>Risk Ağırlığı</w:t>
            </w:r>
          </w:p>
        </w:tc>
        <w:tc>
          <w:tcPr>
            <w:tcW w:w="455" w:type="pct"/>
            <w:tcBorders>
              <w:top w:val="thinThickSmallGap" w:sz="24" w:space="0" w:color="auto"/>
              <w:bottom w:val="single" w:sz="4" w:space="0" w:color="auto"/>
            </w:tcBorders>
            <w:vAlign w:val="bottom"/>
          </w:tcPr>
          <w:p w14:paraId="20A51A3A"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%0</w:t>
            </w:r>
          </w:p>
        </w:tc>
        <w:tc>
          <w:tcPr>
            <w:tcW w:w="186" w:type="pct"/>
            <w:tcBorders>
              <w:top w:val="thinThickSmallGap" w:sz="24" w:space="0" w:color="auto"/>
              <w:bottom w:val="single" w:sz="4" w:space="0" w:color="auto"/>
            </w:tcBorders>
            <w:vAlign w:val="bottom"/>
          </w:tcPr>
          <w:p w14:paraId="78EBE1A2"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%10</w:t>
            </w:r>
          </w:p>
        </w:tc>
        <w:tc>
          <w:tcPr>
            <w:tcW w:w="415" w:type="pct"/>
            <w:tcBorders>
              <w:top w:val="thinThickSmallGap" w:sz="24" w:space="0" w:color="auto"/>
              <w:bottom w:val="single" w:sz="4" w:space="0" w:color="auto"/>
            </w:tcBorders>
            <w:vAlign w:val="bottom"/>
          </w:tcPr>
          <w:p w14:paraId="0C3BF765"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%20</w:t>
            </w:r>
          </w:p>
        </w:tc>
        <w:tc>
          <w:tcPr>
            <w:tcW w:w="415" w:type="pct"/>
            <w:tcBorders>
              <w:top w:val="thinThickSmallGap" w:sz="24" w:space="0" w:color="auto"/>
              <w:bottom w:val="single" w:sz="4" w:space="0" w:color="auto"/>
            </w:tcBorders>
            <w:vAlign w:val="bottom"/>
          </w:tcPr>
          <w:p w14:paraId="738E94C3"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%35</w:t>
            </w:r>
          </w:p>
        </w:tc>
        <w:tc>
          <w:tcPr>
            <w:tcW w:w="415" w:type="pct"/>
            <w:tcBorders>
              <w:top w:val="thinThickSmallGap" w:sz="24" w:space="0" w:color="auto"/>
              <w:bottom w:val="single" w:sz="4" w:space="0" w:color="auto"/>
            </w:tcBorders>
            <w:vAlign w:val="bottom"/>
          </w:tcPr>
          <w:p w14:paraId="3FEDEA16"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%50</w:t>
            </w:r>
          </w:p>
        </w:tc>
        <w:tc>
          <w:tcPr>
            <w:tcW w:w="455" w:type="pct"/>
            <w:tcBorders>
              <w:top w:val="thinThickSmallGap" w:sz="24" w:space="0" w:color="auto"/>
              <w:bottom w:val="single" w:sz="4" w:space="0" w:color="auto"/>
            </w:tcBorders>
            <w:vAlign w:val="bottom"/>
          </w:tcPr>
          <w:p w14:paraId="253A218A"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%75</w:t>
            </w:r>
          </w:p>
        </w:tc>
        <w:tc>
          <w:tcPr>
            <w:tcW w:w="455" w:type="pct"/>
            <w:tcBorders>
              <w:top w:val="thinThickSmallGap" w:sz="24" w:space="0" w:color="auto"/>
              <w:bottom w:val="single" w:sz="4" w:space="0" w:color="auto"/>
            </w:tcBorders>
            <w:vAlign w:val="bottom"/>
          </w:tcPr>
          <w:p w14:paraId="422572EA"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%100</w:t>
            </w:r>
          </w:p>
        </w:tc>
        <w:tc>
          <w:tcPr>
            <w:tcW w:w="455" w:type="pct"/>
            <w:tcBorders>
              <w:top w:val="thinThickSmallGap" w:sz="24" w:space="0" w:color="auto"/>
              <w:bottom w:val="single" w:sz="4" w:space="0" w:color="auto"/>
            </w:tcBorders>
            <w:vAlign w:val="bottom"/>
          </w:tcPr>
          <w:p w14:paraId="31B6554C"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%150</w:t>
            </w:r>
          </w:p>
        </w:tc>
        <w:tc>
          <w:tcPr>
            <w:tcW w:w="415" w:type="pct"/>
            <w:tcBorders>
              <w:top w:val="thinThickSmallGap" w:sz="24" w:space="0" w:color="auto"/>
              <w:bottom w:val="single" w:sz="4" w:space="0" w:color="auto"/>
            </w:tcBorders>
            <w:vAlign w:val="bottom"/>
          </w:tcPr>
          <w:p w14:paraId="3AF319BB"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%200</w:t>
            </w:r>
          </w:p>
        </w:tc>
        <w:tc>
          <w:tcPr>
            <w:tcW w:w="233" w:type="pct"/>
            <w:tcBorders>
              <w:top w:val="thinThickSmallGap" w:sz="24" w:space="0" w:color="auto"/>
              <w:bottom w:val="single" w:sz="4" w:space="0" w:color="auto"/>
            </w:tcBorders>
            <w:vAlign w:val="bottom"/>
          </w:tcPr>
          <w:p w14:paraId="1B2EDB99"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%250</w:t>
            </w:r>
          </w:p>
        </w:tc>
        <w:tc>
          <w:tcPr>
            <w:tcW w:w="415" w:type="pct"/>
            <w:tcBorders>
              <w:top w:val="thinThickSmallGap" w:sz="24" w:space="0" w:color="auto"/>
              <w:bottom w:val="single" w:sz="4" w:space="0" w:color="auto"/>
            </w:tcBorders>
            <w:vAlign w:val="bottom"/>
          </w:tcPr>
          <w:p w14:paraId="6FAB4D0D"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Diğer risk ağırlıkları</w:t>
            </w:r>
          </w:p>
        </w:tc>
        <w:tc>
          <w:tcPr>
            <w:tcW w:w="381" w:type="pct"/>
            <w:tcBorders>
              <w:top w:val="thinThickSmallGap" w:sz="24" w:space="0" w:color="auto"/>
              <w:bottom w:val="single" w:sz="4" w:space="0" w:color="auto"/>
            </w:tcBorders>
            <w:vAlign w:val="bottom"/>
          </w:tcPr>
          <w:p w14:paraId="19B7EF13" w14:textId="77777777" w:rsidR="00D1663E" w:rsidRPr="00FB38E1" w:rsidRDefault="00D1663E" w:rsidP="00836EF2">
            <w:pPr>
              <w:jc w:val="center"/>
              <w:rPr>
                <w:rFonts w:ascii="Microsoft Sans Serif" w:hAnsi="Microsoft Sans Serif" w:cs="Microsoft Sans Serif"/>
                <w:b/>
                <w:bCs/>
                <w:color w:val="000000"/>
                <w:sz w:val="12"/>
                <w:szCs w:val="14"/>
              </w:rPr>
            </w:pPr>
            <w:r w:rsidRPr="00FB38E1">
              <w:rPr>
                <w:rFonts w:ascii="Microsoft Sans Serif" w:hAnsi="Microsoft Sans Serif" w:cs="Microsoft Sans Serif"/>
                <w:b/>
                <w:bCs/>
                <w:color w:val="000000"/>
                <w:sz w:val="12"/>
                <w:szCs w:val="14"/>
              </w:rPr>
              <w:t>Özk. İndirilenler</w:t>
            </w:r>
          </w:p>
        </w:tc>
      </w:tr>
      <w:tr w:rsidR="00431CC3" w:rsidRPr="00FB38E1" w14:paraId="3DB0F575" w14:textId="77777777" w:rsidTr="00431CC3">
        <w:tc>
          <w:tcPr>
            <w:tcW w:w="301" w:type="pct"/>
            <w:tcBorders>
              <w:top w:val="single" w:sz="4" w:space="0" w:color="auto"/>
              <w:bottom w:val="nil"/>
            </w:tcBorders>
            <w:vAlign w:val="center"/>
          </w:tcPr>
          <w:p w14:paraId="0ECE023D" w14:textId="77777777" w:rsidR="00431CC3" w:rsidRPr="00FB38E1" w:rsidRDefault="00431CC3" w:rsidP="00431CC3">
            <w:pPr>
              <w:rPr>
                <w:rFonts w:ascii="Microsoft Sans Serif" w:hAnsi="Microsoft Sans Serif" w:cs="Microsoft Sans Serif"/>
                <w:color w:val="404040"/>
                <w:sz w:val="12"/>
                <w:szCs w:val="14"/>
              </w:rPr>
            </w:pPr>
          </w:p>
          <w:p w14:paraId="103891A4" w14:textId="77777777" w:rsidR="00431CC3" w:rsidRPr="00FB38E1" w:rsidRDefault="00431CC3" w:rsidP="00431CC3">
            <w:pP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2"/>
                <w:szCs w:val="14"/>
              </w:rPr>
              <w:t>Kr. Riski Azaltımı Öncesi</w:t>
            </w:r>
          </w:p>
        </w:tc>
        <w:tc>
          <w:tcPr>
            <w:tcW w:w="455" w:type="pct"/>
            <w:tcBorders>
              <w:top w:val="single" w:sz="4" w:space="0" w:color="auto"/>
              <w:bottom w:val="nil"/>
            </w:tcBorders>
            <w:vAlign w:val="center"/>
          </w:tcPr>
          <w:p w14:paraId="6537EBE2" w14:textId="168E9506"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341.664.593</w:t>
            </w:r>
          </w:p>
        </w:tc>
        <w:tc>
          <w:tcPr>
            <w:tcW w:w="186" w:type="pct"/>
            <w:tcBorders>
              <w:top w:val="single" w:sz="4" w:space="0" w:color="auto"/>
              <w:bottom w:val="nil"/>
            </w:tcBorders>
            <w:vAlign w:val="center"/>
          </w:tcPr>
          <w:p w14:paraId="2D613CDB" w14:textId="1AAC1A97"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w:t>
            </w:r>
          </w:p>
        </w:tc>
        <w:tc>
          <w:tcPr>
            <w:tcW w:w="415" w:type="pct"/>
            <w:tcBorders>
              <w:top w:val="single" w:sz="4" w:space="0" w:color="auto"/>
              <w:bottom w:val="nil"/>
            </w:tcBorders>
            <w:vAlign w:val="center"/>
          </w:tcPr>
          <w:p w14:paraId="06686BCA" w14:textId="1F4B936D"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66.934.281</w:t>
            </w:r>
          </w:p>
        </w:tc>
        <w:tc>
          <w:tcPr>
            <w:tcW w:w="415" w:type="pct"/>
            <w:tcBorders>
              <w:top w:val="single" w:sz="4" w:space="0" w:color="auto"/>
              <w:bottom w:val="nil"/>
            </w:tcBorders>
            <w:vAlign w:val="center"/>
          </w:tcPr>
          <w:p w14:paraId="6EFBC9C5" w14:textId="539223BD"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w:t>
            </w:r>
          </w:p>
        </w:tc>
        <w:tc>
          <w:tcPr>
            <w:tcW w:w="415" w:type="pct"/>
            <w:tcBorders>
              <w:top w:val="single" w:sz="4" w:space="0" w:color="auto"/>
              <w:bottom w:val="nil"/>
            </w:tcBorders>
            <w:vAlign w:val="center"/>
          </w:tcPr>
          <w:p w14:paraId="4C787CE8" w14:textId="36BB19F2"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15.187.095</w:t>
            </w:r>
          </w:p>
        </w:tc>
        <w:tc>
          <w:tcPr>
            <w:tcW w:w="455" w:type="pct"/>
            <w:tcBorders>
              <w:top w:val="single" w:sz="4" w:space="0" w:color="auto"/>
              <w:bottom w:val="nil"/>
            </w:tcBorders>
            <w:vAlign w:val="center"/>
          </w:tcPr>
          <w:p w14:paraId="455CB150" w14:textId="06017AEE"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384.675.286</w:t>
            </w:r>
          </w:p>
        </w:tc>
        <w:tc>
          <w:tcPr>
            <w:tcW w:w="455" w:type="pct"/>
            <w:tcBorders>
              <w:top w:val="single" w:sz="4" w:space="0" w:color="auto"/>
              <w:bottom w:val="nil"/>
            </w:tcBorders>
            <w:vAlign w:val="center"/>
          </w:tcPr>
          <w:p w14:paraId="100B2C86" w14:textId="7D24A35B"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536.861.334</w:t>
            </w:r>
          </w:p>
        </w:tc>
        <w:tc>
          <w:tcPr>
            <w:tcW w:w="455" w:type="pct"/>
            <w:tcBorders>
              <w:top w:val="single" w:sz="4" w:space="0" w:color="auto"/>
              <w:bottom w:val="nil"/>
            </w:tcBorders>
            <w:vAlign w:val="center"/>
          </w:tcPr>
          <w:p w14:paraId="17B7B7B8" w14:textId="54531687"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158.316</w:t>
            </w:r>
          </w:p>
        </w:tc>
        <w:tc>
          <w:tcPr>
            <w:tcW w:w="415" w:type="pct"/>
            <w:tcBorders>
              <w:top w:val="single" w:sz="4" w:space="0" w:color="auto"/>
              <w:bottom w:val="nil"/>
            </w:tcBorders>
            <w:vAlign w:val="center"/>
          </w:tcPr>
          <w:p w14:paraId="7E0FD9AB" w14:textId="59C9F584"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w:t>
            </w:r>
          </w:p>
        </w:tc>
        <w:tc>
          <w:tcPr>
            <w:tcW w:w="233" w:type="pct"/>
            <w:tcBorders>
              <w:top w:val="single" w:sz="4" w:space="0" w:color="auto"/>
              <w:left w:val="nil"/>
              <w:bottom w:val="nil"/>
              <w:right w:val="nil"/>
            </w:tcBorders>
            <w:shd w:val="clear" w:color="auto" w:fill="auto"/>
            <w:vAlign w:val="center"/>
          </w:tcPr>
          <w:p w14:paraId="411E6E6E" w14:textId="332D0E1C"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w:t>
            </w:r>
          </w:p>
        </w:tc>
        <w:tc>
          <w:tcPr>
            <w:tcW w:w="415" w:type="pct"/>
            <w:tcBorders>
              <w:top w:val="single" w:sz="4" w:space="0" w:color="auto"/>
              <w:bottom w:val="nil"/>
            </w:tcBorders>
            <w:vAlign w:val="center"/>
          </w:tcPr>
          <w:p w14:paraId="477F4ECC" w14:textId="5772902A"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3.605.342</w:t>
            </w:r>
          </w:p>
        </w:tc>
        <w:tc>
          <w:tcPr>
            <w:tcW w:w="381" w:type="pct"/>
            <w:tcBorders>
              <w:top w:val="single" w:sz="4" w:space="0" w:color="auto"/>
              <w:bottom w:val="nil"/>
            </w:tcBorders>
            <w:vAlign w:val="center"/>
          </w:tcPr>
          <w:p w14:paraId="79FEC3F8" w14:textId="75E89033"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13.404.344</w:t>
            </w:r>
          </w:p>
        </w:tc>
      </w:tr>
      <w:tr w:rsidR="00431CC3" w:rsidRPr="00FB38E1" w14:paraId="02EB1C74" w14:textId="77777777" w:rsidTr="00431CC3">
        <w:tc>
          <w:tcPr>
            <w:tcW w:w="301" w:type="pct"/>
            <w:tcBorders>
              <w:top w:val="nil"/>
              <w:bottom w:val="thickThinSmallGap" w:sz="24" w:space="0" w:color="auto"/>
            </w:tcBorders>
            <w:vAlign w:val="center"/>
          </w:tcPr>
          <w:p w14:paraId="48C566CA" w14:textId="77777777" w:rsidR="00431CC3" w:rsidRPr="00FB38E1" w:rsidRDefault="00431CC3" w:rsidP="00431CC3">
            <w:pPr>
              <w:jc w:val="left"/>
              <w:rPr>
                <w:rFonts w:ascii="Trebuchet MS" w:hAnsi="Trebuchet MS"/>
                <w:sz w:val="12"/>
                <w:szCs w:val="14"/>
              </w:rPr>
            </w:pPr>
            <w:r w:rsidRPr="00FB38E1">
              <w:rPr>
                <w:rFonts w:ascii="Microsoft Sans Serif" w:hAnsi="Microsoft Sans Serif" w:cs="Microsoft Sans Serif"/>
                <w:color w:val="404040"/>
                <w:sz w:val="12"/>
                <w:szCs w:val="14"/>
              </w:rPr>
              <w:t>Kr. Riski Azaltımı Sonrası</w:t>
            </w:r>
          </w:p>
        </w:tc>
        <w:tc>
          <w:tcPr>
            <w:tcW w:w="455" w:type="pct"/>
            <w:tcBorders>
              <w:top w:val="nil"/>
              <w:bottom w:val="thickThinSmallGap" w:sz="24" w:space="0" w:color="auto"/>
            </w:tcBorders>
            <w:vAlign w:val="center"/>
          </w:tcPr>
          <w:p w14:paraId="580532B1" w14:textId="362ECF99"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343.442.211</w:t>
            </w:r>
          </w:p>
        </w:tc>
        <w:tc>
          <w:tcPr>
            <w:tcW w:w="186" w:type="pct"/>
            <w:tcBorders>
              <w:top w:val="nil"/>
              <w:bottom w:val="thickThinSmallGap" w:sz="24" w:space="0" w:color="auto"/>
            </w:tcBorders>
            <w:vAlign w:val="center"/>
          </w:tcPr>
          <w:p w14:paraId="5A768BF0" w14:textId="4F9625CA"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w:t>
            </w:r>
          </w:p>
        </w:tc>
        <w:tc>
          <w:tcPr>
            <w:tcW w:w="415" w:type="pct"/>
            <w:tcBorders>
              <w:top w:val="nil"/>
              <w:bottom w:val="thickThinSmallGap" w:sz="24" w:space="0" w:color="auto"/>
            </w:tcBorders>
            <w:vAlign w:val="center"/>
          </w:tcPr>
          <w:p w14:paraId="10E355A6" w14:textId="4FAAC21B"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66.934.281</w:t>
            </w:r>
          </w:p>
        </w:tc>
        <w:tc>
          <w:tcPr>
            <w:tcW w:w="415" w:type="pct"/>
            <w:tcBorders>
              <w:top w:val="nil"/>
              <w:bottom w:val="thickThinSmallGap" w:sz="24" w:space="0" w:color="auto"/>
            </w:tcBorders>
            <w:vAlign w:val="center"/>
          </w:tcPr>
          <w:p w14:paraId="7C598483" w14:textId="4EC6F2A6"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19.323.510</w:t>
            </w:r>
          </w:p>
        </w:tc>
        <w:tc>
          <w:tcPr>
            <w:tcW w:w="415" w:type="pct"/>
            <w:tcBorders>
              <w:top w:val="nil"/>
              <w:bottom w:val="thickThinSmallGap" w:sz="24" w:space="0" w:color="auto"/>
            </w:tcBorders>
            <w:vAlign w:val="center"/>
          </w:tcPr>
          <w:p w14:paraId="113D932C" w14:textId="5A916D7E"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85.879.929</w:t>
            </w:r>
          </w:p>
        </w:tc>
        <w:tc>
          <w:tcPr>
            <w:tcW w:w="455" w:type="pct"/>
            <w:tcBorders>
              <w:top w:val="nil"/>
              <w:bottom w:val="thickThinSmallGap" w:sz="24" w:space="0" w:color="auto"/>
            </w:tcBorders>
            <w:vAlign w:val="center"/>
          </w:tcPr>
          <w:p w14:paraId="0243C2F3" w14:textId="77F81DFF"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354.971.208</w:t>
            </w:r>
          </w:p>
        </w:tc>
        <w:tc>
          <w:tcPr>
            <w:tcW w:w="455" w:type="pct"/>
            <w:tcBorders>
              <w:top w:val="nil"/>
              <w:bottom w:val="thickThinSmallGap" w:sz="24" w:space="0" w:color="auto"/>
            </w:tcBorders>
            <w:vAlign w:val="center"/>
          </w:tcPr>
          <w:p w14:paraId="7C9A8E15" w14:textId="195F68B7"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448.739.031</w:t>
            </w:r>
          </w:p>
        </w:tc>
        <w:tc>
          <w:tcPr>
            <w:tcW w:w="455" w:type="pct"/>
            <w:tcBorders>
              <w:top w:val="nil"/>
              <w:bottom w:val="thickThinSmallGap" w:sz="24" w:space="0" w:color="auto"/>
            </w:tcBorders>
            <w:vAlign w:val="center"/>
          </w:tcPr>
          <w:p w14:paraId="5049C978" w14:textId="6545632D"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132.723</w:t>
            </w:r>
          </w:p>
        </w:tc>
        <w:tc>
          <w:tcPr>
            <w:tcW w:w="415" w:type="pct"/>
            <w:tcBorders>
              <w:top w:val="nil"/>
              <w:bottom w:val="thickThinSmallGap" w:sz="24" w:space="0" w:color="auto"/>
            </w:tcBorders>
            <w:vAlign w:val="center"/>
          </w:tcPr>
          <w:p w14:paraId="39C2EB84" w14:textId="7864874A"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w:t>
            </w:r>
          </w:p>
        </w:tc>
        <w:tc>
          <w:tcPr>
            <w:tcW w:w="233" w:type="pct"/>
            <w:tcBorders>
              <w:top w:val="nil"/>
              <w:bottom w:val="thickThinSmallGap" w:sz="24" w:space="0" w:color="auto"/>
            </w:tcBorders>
            <w:vAlign w:val="center"/>
          </w:tcPr>
          <w:p w14:paraId="05D20883" w14:textId="7E68F103"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w:t>
            </w:r>
          </w:p>
        </w:tc>
        <w:tc>
          <w:tcPr>
            <w:tcW w:w="415" w:type="pct"/>
            <w:tcBorders>
              <w:top w:val="nil"/>
              <w:bottom w:val="thickThinSmallGap" w:sz="24" w:space="0" w:color="auto"/>
            </w:tcBorders>
            <w:vAlign w:val="center"/>
          </w:tcPr>
          <w:p w14:paraId="659D5018" w14:textId="74FACA9C"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3.605.342</w:t>
            </w:r>
          </w:p>
        </w:tc>
        <w:tc>
          <w:tcPr>
            <w:tcW w:w="381" w:type="pct"/>
            <w:tcBorders>
              <w:top w:val="nil"/>
              <w:bottom w:val="thickThinSmallGap" w:sz="24" w:space="0" w:color="auto"/>
            </w:tcBorders>
            <w:vAlign w:val="center"/>
          </w:tcPr>
          <w:p w14:paraId="5F16A5FF" w14:textId="1505EDCF" w:rsidR="00431CC3" w:rsidRPr="00FB38E1" w:rsidRDefault="00431CC3" w:rsidP="00431CC3">
            <w:pPr>
              <w:jc w:val="center"/>
              <w:rPr>
                <w:rFonts w:ascii="Microsoft Sans Serif" w:hAnsi="Microsoft Sans Serif" w:cs="Microsoft Sans Serif"/>
                <w:color w:val="404040"/>
                <w:sz w:val="12"/>
                <w:szCs w:val="14"/>
              </w:rPr>
            </w:pPr>
            <w:r w:rsidRPr="00FB38E1">
              <w:rPr>
                <w:rFonts w:ascii="Microsoft Sans Serif" w:hAnsi="Microsoft Sans Serif" w:cs="Microsoft Sans Serif"/>
                <w:color w:val="404040"/>
                <w:sz w:val="14"/>
                <w:szCs w:val="14"/>
              </w:rPr>
              <w:t>13.404.344</w:t>
            </w:r>
          </w:p>
        </w:tc>
      </w:tr>
    </w:tbl>
    <w:p w14:paraId="10AF4870" w14:textId="77777777" w:rsidR="00D1663E" w:rsidRPr="00FB38E1" w:rsidRDefault="00D1663E" w:rsidP="00D1663E">
      <w:pPr>
        <w:pStyle w:val="Head3"/>
        <w:keepNext w:val="0"/>
        <w:keepLines w:val="0"/>
        <w:spacing w:before="240" w:after="0" w:line="240" w:lineRule="exact"/>
        <w:ind w:right="0" w:firstLine="0"/>
        <w:rPr>
          <w:rFonts w:ascii="Microsoft Sans Serif" w:hAnsi="Microsoft Sans Serif" w:cs="Microsoft Sans Serif"/>
          <w:b w:val="0"/>
          <w:i w:val="0"/>
          <w:iCs w:val="0"/>
          <w:sz w:val="20"/>
          <w:szCs w:val="20"/>
        </w:rPr>
      </w:pPr>
      <w:r w:rsidRPr="00FB38E1">
        <w:rPr>
          <w:rFonts w:ascii="Microsoft Sans Serif" w:hAnsi="Microsoft Sans Serif" w:cs="Microsoft Sans Serif"/>
          <w:b w:val="0"/>
          <w:i w:val="0"/>
          <w:iCs w:val="0"/>
          <w:sz w:val="20"/>
          <w:szCs w:val="20"/>
        </w:rPr>
        <w:t>Önceki Dönem</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
        <w:gridCol w:w="893"/>
        <w:gridCol w:w="395"/>
        <w:gridCol w:w="815"/>
        <w:gridCol w:w="815"/>
        <w:gridCol w:w="815"/>
        <w:gridCol w:w="893"/>
        <w:gridCol w:w="893"/>
        <w:gridCol w:w="893"/>
        <w:gridCol w:w="815"/>
        <w:gridCol w:w="473"/>
        <w:gridCol w:w="815"/>
        <w:gridCol w:w="764"/>
      </w:tblGrid>
      <w:tr w:rsidR="00D1663E" w:rsidRPr="00FB38E1" w14:paraId="183F08A4" w14:textId="77777777" w:rsidTr="00D1663E">
        <w:tc>
          <w:tcPr>
            <w:tcW w:w="409" w:type="pct"/>
            <w:tcBorders>
              <w:top w:val="thinThickSmallGap" w:sz="24" w:space="0" w:color="auto"/>
              <w:bottom w:val="single" w:sz="4" w:space="0" w:color="auto"/>
            </w:tcBorders>
            <w:vAlign w:val="bottom"/>
          </w:tcPr>
          <w:p w14:paraId="2F7AB04E" w14:textId="77777777" w:rsidR="00D1663E" w:rsidRPr="00FB38E1" w:rsidRDefault="00D1663E" w:rsidP="00836EF2">
            <w:pPr>
              <w:rPr>
                <w:rFonts w:ascii="Microsoft Sans Serif" w:hAnsi="Microsoft Sans Serif" w:cs="Microsoft Sans Serif"/>
                <w:color w:val="000000"/>
                <w:sz w:val="14"/>
                <w:szCs w:val="14"/>
              </w:rPr>
            </w:pPr>
            <w:r w:rsidRPr="00FB38E1">
              <w:rPr>
                <w:rFonts w:ascii="Microsoft Sans Serif" w:hAnsi="Microsoft Sans Serif" w:cs="Microsoft Sans Serif"/>
                <w:b/>
                <w:color w:val="000000"/>
                <w:sz w:val="14"/>
                <w:szCs w:val="14"/>
              </w:rPr>
              <w:t>Risk Ağırlığı</w:t>
            </w:r>
          </w:p>
        </w:tc>
        <w:tc>
          <w:tcPr>
            <w:tcW w:w="461" w:type="pct"/>
            <w:tcBorders>
              <w:top w:val="thinThickSmallGap" w:sz="24" w:space="0" w:color="auto"/>
              <w:bottom w:val="single" w:sz="4" w:space="0" w:color="auto"/>
            </w:tcBorders>
            <w:vAlign w:val="bottom"/>
          </w:tcPr>
          <w:p w14:paraId="10CA72FC"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%0</w:t>
            </w:r>
          </w:p>
        </w:tc>
        <w:tc>
          <w:tcPr>
            <w:tcW w:w="204" w:type="pct"/>
            <w:tcBorders>
              <w:top w:val="thinThickSmallGap" w:sz="24" w:space="0" w:color="auto"/>
              <w:bottom w:val="single" w:sz="4" w:space="0" w:color="auto"/>
            </w:tcBorders>
            <w:vAlign w:val="bottom"/>
          </w:tcPr>
          <w:p w14:paraId="41A9EE6F"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w:t>
            </w:r>
          </w:p>
        </w:tc>
        <w:tc>
          <w:tcPr>
            <w:tcW w:w="420" w:type="pct"/>
            <w:tcBorders>
              <w:top w:val="thinThickSmallGap" w:sz="24" w:space="0" w:color="auto"/>
              <w:bottom w:val="single" w:sz="4" w:space="0" w:color="auto"/>
            </w:tcBorders>
            <w:vAlign w:val="bottom"/>
          </w:tcPr>
          <w:p w14:paraId="2F2CFDB4"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w:t>
            </w:r>
          </w:p>
        </w:tc>
        <w:tc>
          <w:tcPr>
            <w:tcW w:w="380" w:type="pct"/>
            <w:tcBorders>
              <w:top w:val="thinThickSmallGap" w:sz="24" w:space="0" w:color="auto"/>
              <w:bottom w:val="single" w:sz="4" w:space="0" w:color="auto"/>
            </w:tcBorders>
            <w:vAlign w:val="bottom"/>
          </w:tcPr>
          <w:p w14:paraId="6C0DB303"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%35</w:t>
            </w:r>
          </w:p>
        </w:tc>
        <w:tc>
          <w:tcPr>
            <w:tcW w:w="420" w:type="pct"/>
            <w:tcBorders>
              <w:top w:val="thinThickSmallGap" w:sz="24" w:space="0" w:color="auto"/>
              <w:bottom w:val="single" w:sz="4" w:space="0" w:color="auto"/>
            </w:tcBorders>
            <w:vAlign w:val="bottom"/>
          </w:tcPr>
          <w:p w14:paraId="64996503"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%50</w:t>
            </w:r>
          </w:p>
        </w:tc>
        <w:tc>
          <w:tcPr>
            <w:tcW w:w="420" w:type="pct"/>
            <w:tcBorders>
              <w:top w:val="thinThickSmallGap" w:sz="24" w:space="0" w:color="auto"/>
              <w:bottom w:val="single" w:sz="4" w:space="0" w:color="auto"/>
            </w:tcBorders>
            <w:vAlign w:val="bottom"/>
          </w:tcPr>
          <w:p w14:paraId="6BC505B8"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%75</w:t>
            </w:r>
          </w:p>
        </w:tc>
        <w:tc>
          <w:tcPr>
            <w:tcW w:w="461" w:type="pct"/>
            <w:tcBorders>
              <w:top w:val="thinThickSmallGap" w:sz="24" w:space="0" w:color="auto"/>
              <w:bottom w:val="single" w:sz="4" w:space="0" w:color="auto"/>
            </w:tcBorders>
            <w:vAlign w:val="bottom"/>
          </w:tcPr>
          <w:p w14:paraId="007957B0"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%100</w:t>
            </w:r>
          </w:p>
        </w:tc>
        <w:tc>
          <w:tcPr>
            <w:tcW w:w="420" w:type="pct"/>
            <w:tcBorders>
              <w:top w:val="thinThickSmallGap" w:sz="24" w:space="0" w:color="auto"/>
              <w:bottom w:val="single" w:sz="4" w:space="0" w:color="auto"/>
            </w:tcBorders>
            <w:vAlign w:val="bottom"/>
          </w:tcPr>
          <w:p w14:paraId="4A25A785"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%150</w:t>
            </w:r>
          </w:p>
        </w:tc>
        <w:tc>
          <w:tcPr>
            <w:tcW w:w="420" w:type="pct"/>
            <w:tcBorders>
              <w:top w:val="thinThickSmallGap" w:sz="24" w:space="0" w:color="auto"/>
              <w:bottom w:val="single" w:sz="4" w:space="0" w:color="auto"/>
            </w:tcBorders>
            <w:vAlign w:val="bottom"/>
          </w:tcPr>
          <w:p w14:paraId="21987615"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%200</w:t>
            </w:r>
          </w:p>
        </w:tc>
        <w:tc>
          <w:tcPr>
            <w:tcW w:w="244" w:type="pct"/>
            <w:tcBorders>
              <w:top w:val="thinThickSmallGap" w:sz="24" w:space="0" w:color="auto"/>
              <w:bottom w:val="single" w:sz="4" w:space="0" w:color="auto"/>
            </w:tcBorders>
            <w:vAlign w:val="bottom"/>
          </w:tcPr>
          <w:p w14:paraId="70F6BD9F"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%250</w:t>
            </w:r>
          </w:p>
        </w:tc>
        <w:tc>
          <w:tcPr>
            <w:tcW w:w="347" w:type="pct"/>
            <w:tcBorders>
              <w:top w:val="thinThickSmallGap" w:sz="24" w:space="0" w:color="auto"/>
              <w:bottom w:val="single" w:sz="4" w:space="0" w:color="auto"/>
            </w:tcBorders>
            <w:vAlign w:val="bottom"/>
          </w:tcPr>
          <w:p w14:paraId="44D56D3B"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Diğer risk ağırlıkları</w:t>
            </w:r>
          </w:p>
        </w:tc>
        <w:tc>
          <w:tcPr>
            <w:tcW w:w="394" w:type="pct"/>
            <w:tcBorders>
              <w:top w:val="thinThickSmallGap" w:sz="24" w:space="0" w:color="auto"/>
              <w:bottom w:val="single" w:sz="4" w:space="0" w:color="auto"/>
            </w:tcBorders>
            <w:vAlign w:val="bottom"/>
          </w:tcPr>
          <w:p w14:paraId="4ACC3CA3" w14:textId="77777777" w:rsidR="00D1663E" w:rsidRPr="00FB38E1" w:rsidRDefault="00D1663E"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Özk. İndirilenler</w:t>
            </w:r>
          </w:p>
        </w:tc>
      </w:tr>
      <w:tr w:rsidR="00D1663E" w:rsidRPr="00FB38E1" w14:paraId="700BEF3F" w14:textId="77777777" w:rsidTr="00D1663E">
        <w:tc>
          <w:tcPr>
            <w:tcW w:w="409" w:type="pct"/>
            <w:tcBorders>
              <w:top w:val="single" w:sz="4" w:space="0" w:color="auto"/>
              <w:bottom w:val="nil"/>
            </w:tcBorders>
            <w:vAlign w:val="center"/>
          </w:tcPr>
          <w:p w14:paraId="453B43BC" w14:textId="77777777" w:rsidR="00D1663E" w:rsidRPr="00FB38E1" w:rsidRDefault="00D1663E" w:rsidP="00D1663E">
            <w:pPr>
              <w:rPr>
                <w:rFonts w:ascii="Microsoft Sans Serif" w:hAnsi="Microsoft Sans Serif" w:cs="Microsoft Sans Serif"/>
                <w:color w:val="404040"/>
                <w:sz w:val="12"/>
                <w:szCs w:val="12"/>
              </w:rPr>
            </w:pPr>
          </w:p>
          <w:p w14:paraId="0DA25A11" w14:textId="77777777" w:rsidR="00D1663E" w:rsidRPr="00FB38E1" w:rsidRDefault="00D1663E" w:rsidP="00D1663E">
            <w:pPr>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Kr. Riski Azaltımı Öncesi</w:t>
            </w:r>
          </w:p>
        </w:tc>
        <w:tc>
          <w:tcPr>
            <w:tcW w:w="461" w:type="pct"/>
            <w:tcBorders>
              <w:top w:val="single" w:sz="4" w:space="0" w:color="auto"/>
              <w:bottom w:val="nil"/>
            </w:tcBorders>
            <w:vAlign w:val="center"/>
          </w:tcPr>
          <w:p w14:paraId="2865FEB1" w14:textId="2315F78C"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288.503.903</w:t>
            </w:r>
          </w:p>
        </w:tc>
        <w:tc>
          <w:tcPr>
            <w:tcW w:w="204" w:type="pct"/>
            <w:tcBorders>
              <w:top w:val="single" w:sz="4" w:space="0" w:color="auto"/>
              <w:bottom w:val="nil"/>
            </w:tcBorders>
            <w:vAlign w:val="center"/>
          </w:tcPr>
          <w:p w14:paraId="6BE88ED6" w14:textId="05BAB7C7"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0" w:type="pct"/>
            <w:tcBorders>
              <w:top w:val="single" w:sz="4" w:space="0" w:color="auto"/>
              <w:bottom w:val="nil"/>
            </w:tcBorders>
            <w:vAlign w:val="center"/>
          </w:tcPr>
          <w:p w14:paraId="53BC8CF8" w14:textId="28ED2FD0"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42.007.833</w:t>
            </w:r>
          </w:p>
        </w:tc>
        <w:tc>
          <w:tcPr>
            <w:tcW w:w="380" w:type="pct"/>
            <w:tcBorders>
              <w:top w:val="single" w:sz="4" w:space="0" w:color="auto"/>
              <w:bottom w:val="nil"/>
            </w:tcBorders>
            <w:vAlign w:val="center"/>
          </w:tcPr>
          <w:p w14:paraId="0378EF39" w14:textId="4E4FA0EC"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0" w:type="pct"/>
            <w:tcBorders>
              <w:top w:val="single" w:sz="4" w:space="0" w:color="auto"/>
              <w:bottom w:val="nil"/>
            </w:tcBorders>
            <w:vAlign w:val="center"/>
          </w:tcPr>
          <w:p w14:paraId="517E0B1D" w14:textId="49E2AF29"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9.014.268</w:t>
            </w:r>
          </w:p>
        </w:tc>
        <w:tc>
          <w:tcPr>
            <w:tcW w:w="420" w:type="pct"/>
            <w:tcBorders>
              <w:top w:val="single" w:sz="4" w:space="0" w:color="auto"/>
              <w:bottom w:val="nil"/>
            </w:tcBorders>
            <w:vAlign w:val="center"/>
          </w:tcPr>
          <w:p w14:paraId="6B7D3438" w14:textId="3167B12D"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121.820.484</w:t>
            </w:r>
          </w:p>
        </w:tc>
        <w:tc>
          <w:tcPr>
            <w:tcW w:w="461" w:type="pct"/>
            <w:tcBorders>
              <w:top w:val="single" w:sz="4" w:space="0" w:color="auto"/>
              <w:bottom w:val="nil"/>
            </w:tcBorders>
            <w:vAlign w:val="center"/>
          </w:tcPr>
          <w:p w14:paraId="3D493CA2" w14:textId="41ADEA8A"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351.408.986</w:t>
            </w:r>
          </w:p>
        </w:tc>
        <w:tc>
          <w:tcPr>
            <w:tcW w:w="420" w:type="pct"/>
            <w:tcBorders>
              <w:top w:val="single" w:sz="4" w:space="0" w:color="auto"/>
              <w:bottom w:val="nil"/>
            </w:tcBorders>
            <w:vAlign w:val="center"/>
          </w:tcPr>
          <w:p w14:paraId="3DA7E918" w14:textId="7DF2648A"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105.860.405</w:t>
            </w:r>
          </w:p>
        </w:tc>
        <w:tc>
          <w:tcPr>
            <w:tcW w:w="420" w:type="pct"/>
            <w:tcBorders>
              <w:top w:val="single" w:sz="4" w:space="0" w:color="auto"/>
              <w:bottom w:val="nil"/>
            </w:tcBorders>
            <w:vAlign w:val="center"/>
          </w:tcPr>
          <w:p w14:paraId="6DA61A2E" w14:textId="6862B997"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15.011.141</w:t>
            </w:r>
          </w:p>
        </w:tc>
        <w:tc>
          <w:tcPr>
            <w:tcW w:w="244" w:type="pct"/>
            <w:tcBorders>
              <w:top w:val="single" w:sz="4" w:space="0" w:color="auto"/>
              <w:left w:val="nil"/>
              <w:bottom w:val="nil"/>
              <w:right w:val="nil"/>
            </w:tcBorders>
            <w:shd w:val="clear" w:color="auto" w:fill="auto"/>
            <w:vAlign w:val="center"/>
          </w:tcPr>
          <w:p w14:paraId="18473619" w14:textId="1FDF308C"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347" w:type="pct"/>
            <w:tcBorders>
              <w:top w:val="single" w:sz="4" w:space="0" w:color="auto"/>
              <w:bottom w:val="nil"/>
            </w:tcBorders>
            <w:vAlign w:val="center"/>
          </w:tcPr>
          <w:p w14:paraId="7EF31965" w14:textId="13D0AFAA"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30.720.689</w:t>
            </w:r>
          </w:p>
        </w:tc>
        <w:tc>
          <w:tcPr>
            <w:tcW w:w="394" w:type="pct"/>
            <w:tcBorders>
              <w:top w:val="single" w:sz="4" w:space="0" w:color="auto"/>
              <w:bottom w:val="nil"/>
            </w:tcBorders>
            <w:vAlign w:val="center"/>
          </w:tcPr>
          <w:p w14:paraId="4F22405C" w14:textId="576044EB"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7.327.349</w:t>
            </w:r>
          </w:p>
        </w:tc>
      </w:tr>
      <w:tr w:rsidR="00D1663E" w:rsidRPr="00FB38E1" w14:paraId="093FFDA5" w14:textId="77777777" w:rsidTr="00D1663E">
        <w:tc>
          <w:tcPr>
            <w:tcW w:w="409" w:type="pct"/>
            <w:tcBorders>
              <w:top w:val="nil"/>
              <w:bottom w:val="thickThinSmallGap" w:sz="24" w:space="0" w:color="auto"/>
            </w:tcBorders>
            <w:vAlign w:val="center"/>
          </w:tcPr>
          <w:p w14:paraId="14E63E53" w14:textId="77777777" w:rsidR="00D1663E" w:rsidRPr="00FB38E1" w:rsidRDefault="00D1663E" w:rsidP="00D1663E">
            <w:pPr>
              <w:jc w:val="left"/>
              <w:rPr>
                <w:rFonts w:ascii="Trebuchet MS" w:hAnsi="Trebuchet MS"/>
                <w:sz w:val="12"/>
                <w:szCs w:val="12"/>
              </w:rPr>
            </w:pPr>
            <w:r w:rsidRPr="00FB38E1">
              <w:rPr>
                <w:rFonts w:ascii="Microsoft Sans Serif" w:hAnsi="Microsoft Sans Serif" w:cs="Microsoft Sans Serif"/>
                <w:color w:val="404040"/>
                <w:sz w:val="12"/>
                <w:szCs w:val="12"/>
              </w:rPr>
              <w:t>Kr. Riski Azaltımı Sonrası</w:t>
            </w:r>
          </w:p>
        </w:tc>
        <w:tc>
          <w:tcPr>
            <w:tcW w:w="461" w:type="pct"/>
            <w:tcBorders>
              <w:top w:val="nil"/>
              <w:bottom w:val="thickThinSmallGap" w:sz="24" w:space="0" w:color="auto"/>
            </w:tcBorders>
            <w:vAlign w:val="center"/>
          </w:tcPr>
          <w:p w14:paraId="5FF1A222" w14:textId="0A91EF7C"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290.444.383</w:t>
            </w:r>
          </w:p>
        </w:tc>
        <w:tc>
          <w:tcPr>
            <w:tcW w:w="204" w:type="pct"/>
            <w:tcBorders>
              <w:top w:val="nil"/>
              <w:bottom w:val="thickThinSmallGap" w:sz="24" w:space="0" w:color="auto"/>
            </w:tcBorders>
            <w:vAlign w:val="center"/>
          </w:tcPr>
          <w:p w14:paraId="53E5E418" w14:textId="77B0F8C4"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0" w:type="pct"/>
            <w:tcBorders>
              <w:top w:val="nil"/>
              <w:bottom w:val="thickThinSmallGap" w:sz="24" w:space="0" w:color="auto"/>
            </w:tcBorders>
            <w:vAlign w:val="center"/>
          </w:tcPr>
          <w:p w14:paraId="356C3C38" w14:textId="6E12B22D"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42.007.833</w:t>
            </w:r>
          </w:p>
        </w:tc>
        <w:tc>
          <w:tcPr>
            <w:tcW w:w="380" w:type="pct"/>
            <w:tcBorders>
              <w:top w:val="nil"/>
              <w:bottom w:val="thickThinSmallGap" w:sz="24" w:space="0" w:color="auto"/>
            </w:tcBorders>
            <w:vAlign w:val="center"/>
          </w:tcPr>
          <w:p w14:paraId="144EFF79" w14:textId="65ED6E50"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10.790.921</w:t>
            </w:r>
          </w:p>
        </w:tc>
        <w:tc>
          <w:tcPr>
            <w:tcW w:w="420" w:type="pct"/>
            <w:tcBorders>
              <w:top w:val="nil"/>
              <w:bottom w:val="thickThinSmallGap" w:sz="24" w:space="0" w:color="auto"/>
            </w:tcBorders>
            <w:vAlign w:val="center"/>
          </w:tcPr>
          <w:p w14:paraId="35AB713E" w14:textId="08A893ED"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41.486.531</w:t>
            </w:r>
          </w:p>
        </w:tc>
        <w:tc>
          <w:tcPr>
            <w:tcW w:w="420" w:type="pct"/>
            <w:tcBorders>
              <w:top w:val="nil"/>
              <w:bottom w:val="thickThinSmallGap" w:sz="24" w:space="0" w:color="auto"/>
            </w:tcBorders>
            <w:vAlign w:val="center"/>
          </w:tcPr>
          <w:p w14:paraId="0D24186A" w14:textId="13990939"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98.197.066</w:t>
            </w:r>
          </w:p>
        </w:tc>
        <w:tc>
          <w:tcPr>
            <w:tcW w:w="461" w:type="pct"/>
            <w:tcBorders>
              <w:top w:val="nil"/>
              <w:bottom w:val="thickThinSmallGap" w:sz="24" w:space="0" w:color="auto"/>
            </w:tcBorders>
            <w:vAlign w:val="center"/>
          </w:tcPr>
          <w:p w14:paraId="3CC95986" w14:textId="2DD81EBD"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302.818.898</w:t>
            </w:r>
          </w:p>
        </w:tc>
        <w:tc>
          <w:tcPr>
            <w:tcW w:w="420" w:type="pct"/>
            <w:tcBorders>
              <w:top w:val="nil"/>
              <w:bottom w:val="thickThinSmallGap" w:sz="24" w:space="0" w:color="auto"/>
            </w:tcBorders>
            <w:vAlign w:val="center"/>
          </w:tcPr>
          <w:p w14:paraId="137C3A4E" w14:textId="0524C228"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105.252.225</w:t>
            </w:r>
          </w:p>
        </w:tc>
        <w:tc>
          <w:tcPr>
            <w:tcW w:w="420" w:type="pct"/>
            <w:tcBorders>
              <w:top w:val="nil"/>
              <w:bottom w:val="thickThinSmallGap" w:sz="24" w:space="0" w:color="auto"/>
            </w:tcBorders>
            <w:vAlign w:val="center"/>
          </w:tcPr>
          <w:p w14:paraId="1FD586E6" w14:textId="243D04AC"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16.276.090</w:t>
            </w:r>
          </w:p>
        </w:tc>
        <w:tc>
          <w:tcPr>
            <w:tcW w:w="244" w:type="pct"/>
            <w:tcBorders>
              <w:top w:val="nil"/>
              <w:bottom w:val="thickThinSmallGap" w:sz="24" w:space="0" w:color="auto"/>
            </w:tcBorders>
            <w:vAlign w:val="center"/>
          </w:tcPr>
          <w:p w14:paraId="5DA4E0BF" w14:textId="2F6D0972"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347" w:type="pct"/>
            <w:tcBorders>
              <w:top w:val="nil"/>
              <w:bottom w:val="thickThinSmallGap" w:sz="24" w:space="0" w:color="auto"/>
            </w:tcBorders>
            <w:vAlign w:val="center"/>
          </w:tcPr>
          <w:p w14:paraId="194EEC43" w14:textId="59ABB38B"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30.720.689</w:t>
            </w:r>
          </w:p>
        </w:tc>
        <w:tc>
          <w:tcPr>
            <w:tcW w:w="394" w:type="pct"/>
            <w:tcBorders>
              <w:top w:val="nil"/>
              <w:bottom w:val="thickThinSmallGap" w:sz="24" w:space="0" w:color="auto"/>
            </w:tcBorders>
            <w:vAlign w:val="center"/>
          </w:tcPr>
          <w:p w14:paraId="03CA76E6" w14:textId="2F4B6877" w:rsidR="00D1663E" w:rsidRPr="00FB38E1" w:rsidRDefault="00D1663E" w:rsidP="00D1663E">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7.327.349</w:t>
            </w:r>
          </w:p>
        </w:tc>
      </w:tr>
    </w:tbl>
    <w:p w14:paraId="76F25D3C" w14:textId="77777777" w:rsidR="00D1663E" w:rsidRPr="00FB38E1" w:rsidRDefault="00D1663E" w:rsidP="00364B59">
      <w:pPr>
        <w:pStyle w:val="ListParagraph"/>
        <w:numPr>
          <w:ilvl w:val="0"/>
          <w:numId w:val="51"/>
        </w:numPr>
        <w:spacing w:before="240" w:after="120"/>
        <w:ind w:left="0" w:hanging="567"/>
        <w:contextualSpacing w:val="0"/>
        <w:rPr>
          <w:rFonts w:ascii="Microsoft Sans Serif" w:hAnsi="Microsoft Sans Serif" w:cs="Microsoft Sans Serif"/>
          <w:b/>
          <w:bCs/>
          <w:iCs/>
          <w:sz w:val="20"/>
          <w:szCs w:val="20"/>
        </w:rPr>
      </w:pPr>
      <w:r w:rsidRPr="00FB38E1">
        <w:rPr>
          <w:rFonts w:ascii="Microsoft Sans Serif" w:hAnsi="Microsoft Sans Serif" w:cs="Microsoft Sans Serif"/>
          <w:b/>
          <w:bCs/>
          <w:sz w:val="20"/>
          <w:szCs w:val="20"/>
        </w:rPr>
        <w:t>Önemli sektörlere veya karşı taraf türüne göre muhtelif bilgiler (*)</w:t>
      </w:r>
    </w:p>
    <w:tbl>
      <w:tblPr>
        <w:tblStyle w:val="TableGrid"/>
        <w:tblW w:w="961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13"/>
        <w:gridCol w:w="2120"/>
        <w:gridCol w:w="1631"/>
        <w:gridCol w:w="1954"/>
      </w:tblGrid>
      <w:tr w:rsidR="00D1663E" w:rsidRPr="00FB38E1" w14:paraId="1144E187" w14:textId="77777777" w:rsidTr="00836EF2">
        <w:trPr>
          <w:trHeight w:val="182"/>
        </w:trPr>
        <w:tc>
          <w:tcPr>
            <w:tcW w:w="2034" w:type="pct"/>
            <w:tcBorders>
              <w:top w:val="thinThickSmallGap" w:sz="24" w:space="0" w:color="auto"/>
              <w:bottom w:val="single" w:sz="4" w:space="0" w:color="auto"/>
            </w:tcBorders>
            <w:vAlign w:val="center"/>
          </w:tcPr>
          <w:p w14:paraId="4AEFACC6" w14:textId="77777777" w:rsidR="00D1663E" w:rsidRPr="00FB38E1" w:rsidRDefault="00D1663E" w:rsidP="00836EF2">
            <w:pPr>
              <w:rPr>
                <w:rFonts w:ascii="Microsoft Sans Serif" w:hAnsi="Microsoft Sans Serif" w:cs="Microsoft Sans Serif"/>
                <w:b/>
                <w:sz w:val="16"/>
                <w:szCs w:val="16"/>
              </w:rPr>
            </w:pPr>
            <w:r w:rsidRPr="00FB38E1">
              <w:rPr>
                <w:rFonts w:ascii="Microsoft Sans Serif" w:hAnsi="Microsoft Sans Serif" w:cs="Microsoft Sans Serif"/>
                <w:b/>
                <w:sz w:val="16"/>
                <w:szCs w:val="16"/>
              </w:rPr>
              <w:t>Cari Dönem</w:t>
            </w:r>
          </w:p>
        </w:tc>
        <w:tc>
          <w:tcPr>
            <w:tcW w:w="1950" w:type="pct"/>
            <w:gridSpan w:val="2"/>
            <w:tcBorders>
              <w:top w:val="thinThickSmallGap" w:sz="24" w:space="0" w:color="auto"/>
              <w:bottom w:val="single" w:sz="4" w:space="0" w:color="auto"/>
            </w:tcBorders>
            <w:vAlign w:val="bottom"/>
          </w:tcPr>
          <w:p w14:paraId="67C40A02" w14:textId="77777777" w:rsidR="00D1663E" w:rsidRPr="00FB38E1" w:rsidRDefault="00D1663E"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Krediler (**)</w:t>
            </w:r>
          </w:p>
        </w:tc>
        <w:tc>
          <w:tcPr>
            <w:tcW w:w="1016" w:type="pct"/>
            <w:tcBorders>
              <w:top w:val="thinThickSmallGap" w:sz="24" w:space="0" w:color="auto"/>
              <w:bottom w:val="single" w:sz="4" w:space="0" w:color="auto"/>
            </w:tcBorders>
            <w:vAlign w:val="bottom"/>
          </w:tcPr>
          <w:p w14:paraId="66C0E603"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Karşılıklar</w:t>
            </w:r>
          </w:p>
        </w:tc>
      </w:tr>
      <w:tr w:rsidR="00D1663E" w:rsidRPr="00FB38E1" w14:paraId="59AAD579" w14:textId="77777777" w:rsidTr="00836EF2">
        <w:trPr>
          <w:trHeight w:val="182"/>
        </w:trPr>
        <w:tc>
          <w:tcPr>
            <w:tcW w:w="2034" w:type="pct"/>
            <w:tcBorders>
              <w:top w:val="nil"/>
              <w:bottom w:val="single" w:sz="4" w:space="0" w:color="auto"/>
            </w:tcBorders>
            <w:vAlign w:val="center"/>
          </w:tcPr>
          <w:p w14:paraId="1A8CA2C1" w14:textId="77777777" w:rsidR="00D1663E" w:rsidRPr="00FB38E1" w:rsidRDefault="00D1663E" w:rsidP="00836EF2">
            <w:pPr>
              <w:rPr>
                <w:rFonts w:ascii="Microsoft Sans Serif" w:hAnsi="Microsoft Sans Serif" w:cs="Microsoft Sans Serif"/>
                <w:b/>
                <w:sz w:val="16"/>
                <w:szCs w:val="16"/>
              </w:rPr>
            </w:pPr>
          </w:p>
        </w:tc>
        <w:tc>
          <w:tcPr>
            <w:tcW w:w="1950" w:type="pct"/>
            <w:gridSpan w:val="2"/>
            <w:tcBorders>
              <w:top w:val="single" w:sz="4" w:space="0" w:color="auto"/>
              <w:bottom w:val="single" w:sz="4" w:space="0" w:color="auto"/>
            </w:tcBorders>
            <w:vAlign w:val="bottom"/>
          </w:tcPr>
          <w:p w14:paraId="204C8E1F" w14:textId="77777777" w:rsidR="00D1663E" w:rsidRPr="00FB38E1" w:rsidRDefault="00D1663E"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Değer Kaybına Uğramış (TRFS 9)</w:t>
            </w:r>
          </w:p>
        </w:tc>
        <w:tc>
          <w:tcPr>
            <w:tcW w:w="1016" w:type="pct"/>
            <w:vMerge w:val="restart"/>
            <w:tcBorders>
              <w:top w:val="single" w:sz="4" w:space="0" w:color="auto"/>
            </w:tcBorders>
            <w:vAlign w:val="center"/>
          </w:tcPr>
          <w:p w14:paraId="33F50418"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Beklenen Kredi Zarar Karşılıkları (TFRS 9) (***)</w:t>
            </w:r>
          </w:p>
        </w:tc>
      </w:tr>
      <w:tr w:rsidR="00D1663E" w:rsidRPr="00FB38E1" w14:paraId="6A1A114A" w14:textId="77777777" w:rsidTr="00836EF2">
        <w:trPr>
          <w:trHeight w:val="364"/>
        </w:trPr>
        <w:tc>
          <w:tcPr>
            <w:tcW w:w="2034" w:type="pct"/>
            <w:tcBorders>
              <w:top w:val="nil"/>
              <w:bottom w:val="single" w:sz="4" w:space="0" w:color="auto"/>
            </w:tcBorders>
            <w:vAlign w:val="center"/>
          </w:tcPr>
          <w:p w14:paraId="09CC6B1C" w14:textId="77777777" w:rsidR="00D1663E" w:rsidRPr="00FB38E1" w:rsidRDefault="00D1663E" w:rsidP="00836EF2">
            <w:pPr>
              <w:rPr>
                <w:rFonts w:ascii="Microsoft Sans Serif" w:hAnsi="Microsoft Sans Serif" w:cs="Microsoft Sans Serif"/>
                <w:b/>
                <w:sz w:val="16"/>
                <w:szCs w:val="16"/>
              </w:rPr>
            </w:pPr>
            <w:r w:rsidRPr="00FB38E1">
              <w:rPr>
                <w:rFonts w:ascii="Microsoft Sans Serif" w:hAnsi="Microsoft Sans Serif" w:cs="Microsoft Sans Serif"/>
                <w:b/>
                <w:sz w:val="16"/>
                <w:szCs w:val="16"/>
              </w:rPr>
              <w:t>Önemli Sektörler/Karşı Taraflar</w:t>
            </w:r>
          </w:p>
        </w:tc>
        <w:tc>
          <w:tcPr>
            <w:tcW w:w="1102" w:type="pct"/>
            <w:tcBorders>
              <w:top w:val="single" w:sz="4" w:space="0" w:color="auto"/>
              <w:bottom w:val="single" w:sz="4" w:space="0" w:color="auto"/>
            </w:tcBorders>
            <w:vAlign w:val="bottom"/>
          </w:tcPr>
          <w:p w14:paraId="0235D716"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Kredi Riskinde Önemli Artış (İkinci Aşama)</w:t>
            </w:r>
          </w:p>
        </w:tc>
        <w:tc>
          <w:tcPr>
            <w:tcW w:w="848" w:type="pct"/>
            <w:tcBorders>
              <w:top w:val="single" w:sz="4" w:space="0" w:color="auto"/>
              <w:bottom w:val="single" w:sz="4" w:space="0" w:color="auto"/>
            </w:tcBorders>
            <w:vAlign w:val="bottom"/>
          </w:tcPr>
          <w:p w14:paraId="66890629"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Temerrüt </w:t>
            </w:r>
          </w:p>
          <w:p w14:paraId="31BE4251"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(Üçüncü Aşama)</w:t>
            </w:r>
          </w:p>
        </w:tc>
        <w:tc>
          <w:tcPr>
            <w:tcW w:w="1016" w:type="pct"/>
            <w:vMerge/>
            <w:tcBorders>
              <w:bottom w:val="single" w:sz="4" w:space="0" w:color="auto"/>
            </w:tcBorders>
            <w:vAlign w:val="bottom"/>
          </w:tcPr>
          <w:p w14:paraId="6B02EBB9" w14:textId="77777777" w:rsidR="00D1663E" w:rsidRPr="00FB38E1" w:rsidRDefault="00D1663E" w:rsidP="00836EF2">
            <w:pPr>
              <w:jc w:val="right"/>
              <w:rPr>
                <w:rFonts w:ascii="Microsoft Sans Serif" w:hAnsi="Microsoft Sans Serif" w:cs="Microsoft Sans Serif"/>
                <w:b/>
                <w:color w:val="404040"/>
                <w:sz w:val="16"/>
                <w:szCs w:val="16"/>
              </w:rPr>
            </w:pPr>
          </w:p>
        </w:tc>
      </w:tr>
      <w:tr w:rsidR="009B6F6E" w:rsidRPr="00FB38E1" w14:paraId="23DCD61A" w14:textId="77777777" w:rsidTr="00836EF2">
        <w:trPr>
          <w:trHeight w:val="171"/>
        </w:trPr>
        <w:tc>
          <w:tcPr>
            <w:tcW w:w="2034" w:type="pct"/>
            <w:tcBorders>
              <w:top w:val="single" w:sz="4" w:space="0" w:color="auto"/>
            </w:tcBorders>
            <w:vAlign w:val="center"/>
          </w:tcPr>
          <w:p w14:paraId="0516321B"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Tarım</w:t>
            </w:r>
          </w:p>
        </w:tc>
        <w:tc>
          <w:tcPr>
            <w:tcW w:w="1102" w:type="pct"/>
            <w:tcBorders>
              <w:top w:val="single" w:sz="4" w:space="0" w:color="auto"/>
            </w:tcBorders>
            <w:vAlign w:val="center"/>
          </w:tcPr>
          <w:p w14:paraId="3F8CF0B4" w14:textId="5F3330F5"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17.639.319</w:t>
            </w:r>
          </w:p>
        </w:tc>
        <w:tc>
          <w:tcPr>
            <w:tcW w:w="848" w:type="pct"/>
            <w:tcBorders>
              <w:top w:val="single" w:sz="4" w:space="0" w:color="auto"/>
            </w:tcBorders>
            <w:vAlign w:val="center"/>
          </w:tcPr>
          <w:p w14:paraId="1CFAFA64" w14:textId="4CB4A5D1"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4.607.427</w:t>
            </w:r>
          </w:p>
        </w:tc>
        <w:tc>
          <w:tcPr>
            <w:tcW w:w="1016" w:type="pct"/>
            <w:tcBorders>
              <w:top w:val="single" w:sz="4" w:space="0" w:color="auto"/>
            </w:tcBorders>
            <w:vAlign w:val="center"/>
          </w:tcPr>
          <w:p w14:paraId="63648F5D" w14:textId="3966F216"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3.657.772</w:t>
            </w:r>
          </w:p>
        </w:tc>
      </w:tr>
      <w:tr w:rsidR="009B6F6E" w:rsidRPr="00FB38E1" w14:paraId="27CCF152" w14:textId="77777777" w:rsidTr="00836EF2">
        <w:trPr>
          <w:trHeight w:val="182"/>
        </w:trPr>
        <w:tc>
          <w:tcPr>
            <w:tcW w:w="2034" w:type="pct"/>
            <w:tcMar>
              <w:left w:w="170" w:type="dxa"/>
            </w:tcMar>
            <w:vAlign w:val="center"/>
          </w:tcPr>
          <w:p w14:paraId="6A0E6BD3"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Çiftçilik ve Hayvancılık</w:t>
            </w:r>
          </w:p>
        </w:tc>
        <w:tc>
          <w:tcPr>
            <w:tcW w:w="1102" w:type="pct"/>
            <w:vAlign w:val="center"/>
          </w:tcPr>
          <w:p w14:paraId="464B6953" w14:textId="3387F51D"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17.635.488</w:t>
            </w:r>
          </w:p>
        </w:tc>
        <w:tc>
          <w:tcPr>
            <w:tcW w:w="848" w:type="pct"/>
            <w:vAlign w:val="center"/>
          </w:tcPr>
          <w:p w14:paraId="56146FAA" w14:textId="13CDA9E1"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4.590.296</w:t>
            </w:r>
          </w:p>
        </w:tc>
        <w:tc>
          <w:tcPr>
            <w:tcW w:w="1016" w:type="pct"/>
            <w:vAlign w:val="center"/>
          </w:tcPr>
          <w:p w14:paraId="690CB6C7" w14:textId="5A20A7FC"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3.643.053</w:t>
            </w:r>
          </w:p>
        </w:tc>
      </w:tr>
      <w:tr w:rsidR="009B6F6E" w:rsidRPr="00FB38E1" w14:paraId="086ABE8E" w14:textId="77777777" w:rsidTr="00836EF2">
        <w:trPr>
          <w:trHeight w:val="182"/>
        </w:trPr>
        <w:tc>
          <w:tcPr>
            <w:tcW w:w="2034" w:type="pct"/>
            <w:tcMar>
              <w:left w:w="170" w:type="dxa"/>
            </w:tcMar>
            <w:vAlign w:val="center"/>
          </w:tcPr>
          <w:p w14:paraId="7C52A862"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Ormancılık</w:t>
            </w:r>
          </w:p>
        </w:tc>
        <w:tc>
          <w:tcPr>
            <w:tcW w:w="1102" w:type="pct"/>
            <w:vAlign w:val="center"/>
          </w:tcPr>
          <w:p w14:paraId="0A12B064" w14:textId="1BBD7A33"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2.881</w:t>
            </w:r>
          </w:p>
        </w:tc>
        <w:tc>
          <w:tcPr>
            <w:tcW w:w="848" w:type="pct"/>
            <w:vAlign w:val="center"/>
          </w:tcPr>
          <w:p w14:paraId="0A059851" w14:textId="0AF2EFF4"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16.682</w:t>
            </w:r>
          </w:p>
        </w:tc>
        <w:tc>
          <w:tcPr>
            <w:tcW w:w="1016" w:type="pct"/>
            <w:vAlign w:val="center"/>
          </w:tcPr>
          <w:p w14:paraId="13B10072" w14:textId="1305ABA1"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14.319</w:t>
            </w:r>
          </w:p>
        </w:tc>
      </w:tr>
      <w:tr w:rsidR="009B6F6E" w:rsidRPr="00FB38E1" w14:paraId="7F09C74A" w14:textId="77777777" w:rsidTr="00836EF2">
        <w:trPr>
          <w:trHeight w:val="182"/>
        </w:trPr>
        <w:tc>
          <w:tcPr>
            <w:tcW w:w="2034" w:type="pct"/>
            <w:tcMar>
              <w:left w:w="170" w:type="dxa"/>
            </w:tcMar>
            <w:vAlign w:val="center"/>
          </w:tcPr>
          <w:p w14:paraId="021CF65A"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Balıkçılık</w:t>
            </w:r>
          </w:p>
        </w:tc>
        <w:tc>
          <w:tcPr>
            <w:tcW w:w="1102" w:type="pct"/>
            <w:vAlign w:val="center"/>
          </w:tcPr>
          <w:p w14:paraId="2C2386FB" w14:textId="29EA136D"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950</w:t>
            </w:r>
          </w:p>
        </w:tc>
        <w:tc>
          <w:tcPr>
            <w:tcW w:w="848" w:type="pct"/>
            <w:vAlign w:val="center"/>
          </w:tcPr>
          <w:p w14:paraId="69FE0C12" w14:textId="1BF5F1AC"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449</w:t>
            </w:r>
          </w:p>
        </w:tc>
        <w:tc>
          <w:tcPr>
            <w:tcW w:w="1016" w:type="pct"/>
            <w:vAlign w:val="center"/>
          </w:tcPr>
          <w:p w14:paraId="52220AEB" w14:textId="05902CE1"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400</w:t>
            </w:r>
          </w:p>
        </w:tc>
      </w:tr>
      <w:tr w:rsidR="009B6F6E" w:rsidRPr="00FB38E1" w14:paraId="6F52F111" w14:textId="77777777" w:rsidTr="00836EF2">
        <w:trPr>
          <w:trHeight w:val="182"/>
        </w:trPr>
        <w:tc>
          <w:tcPr>
            <w:tcW w:w="2034" w:type="pct"/>
            <w:vAlign w:val="center"/>
          </w:tcPr>
          <w:p w14:paraId="352F4DA1"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Sanayi</w:t>
            </w:r>
          </w:p>
        </w:tc>
        <w:tc>
          <w:tcPr>
            <w:tcW w:w="1102" w:type="pct"/>
            <w:vAlign w:val="center"/>
          </w:tcPr>
          <w:p w14:paraId="72C1FB1E" w14:textId="2AA2107D"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6.014.291</w:t>
            </w:r>
          </w:p>
        </w:tc>
        <w:tc>
          <w:tcPr>
            <w:tcW w:w="848" w:type="pct"/>
            <w:vAlign w:val="center"/>
          </w:tcPr>
          <w:p w14:paraId="16CBA1BE" w14:textId="3A82BA0D"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4.756.349</w:t>
            </w:r>
          </w:p>
        </w:tc>
        <w:tc>
          <w:tcPr>
            <w:tcW w:w="1016" w:type="pct"/>
            <w:vAlign w:val="center"/>
          </w:tcPr>
          <w:p w14:paraId="1D08A29C" w14:textId="5D6718F9"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4.031.717</w:t>
            </w:r>
          </w:p>
        </w:tc>
      </w:tr>
      <w:tr w:rsidR="009B6F6E" w:rsidRPr="00FB38E1" w14:paraId="62BAD7BD" w14:textId="77777777" w:rsidTr="00836EF2">
        <w:trPr>
          <w:trHeight w:val="182"/>
        </w:trPr>
        <w:tc>
          <w:tcPr>
            <w:tcW w:w="2034" w:type="pct"/>
            <w:tcMar>
              <w:left w:w="170" w:type="dxa"/>
            </w:tcMar>
            <w:vAlign w:val="center"/>
          </w:tcPr>
          <w:p w14:paraId="5BF7146E"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Madencilik ve Taşocakçılığı</w:t>
            </w:r>
          </w:p>
        </w:tc>
        <w:tc>
          <w:tcPr>
            <w:tcW w:w="1102" w:type="pct"/>
            <w:vAlign w:val="center"/>
          </w:tcPr>
          <w:p w14:paraId="30D7B886" w14:textId="327D33CA"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50.915</w:t>
            </w:r>
          </w:p>
        </w:tc>
        <w:tc>
          <w:tcPr>
            <w:tcW w:w="848" w:type="pct"/>
            <w:vAlign w:val="center"/>
          </w:tcPr>
          <w:p w14:paraId="5ECEAA1F" w14:textId="04C5AB91"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2.218.481</w:t>
            </w:r>
          </w:p>
        </w:tc>
        <w:tc>
          <w:tcPr>
            <w:tcW w:w="1016" w:type="pct"/>
            <w:vAlign w:val="center"/>
          </w:tcPr>
          <w:p w14:paraId="39613F01" w14:textId="58718AC9"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983.243</w:t>
            </w:r>
          </w:p>
        </w:tc>
      </w:tr>
      <w:tr w:rsidR="009B6F6E" w:rsidRPr="00FB38E1" w14:paraId="5F775F54" w14:textId="77777777" w:rsidTr="00836EF2">
        <w:trPr>
          <w:trHeight w:val="182"/>
        </w:trPr>
        <w:tc>
          <w:tcPr>
            <w:tcW w:w="2034" w:type="pct"/>
            <w:tcMar>
              <w:left w:w="170" w:type="dxa"/>
            </w:tcMar>
            <w:vAlign w:val="center"/>
          </w:tcPr>
          <w:p w14:paraId="34F3475A"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İmalat Sanayi</w:t>
            </w:r>
          </w:p>
        </w:tc>
        <w:tc>
          <w:tcPr>
            <w:tcW w:w="1102" w:type="pct"/>
            <w:vAlign w:val="center"/>
          </w:tcPr>
          <w:p w14:paraId="74050B6D" w14:textId="7D458D4B"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1.847.894</w:t>
            </w:r>
          </w:p>
        </w:tc>
        <w:tc>
          <w:tcPr>
            <w:tcW w:w="848" w:type="pct"/>
            <w:vAlign w:val="center"/>
          </w:tcPr>
          <w:p w14:paraId="00945C99" w14:textId="0E2CE2B6"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1.425.241</w:t>
            </w:r>
          </w:p>
        </w:tc>
        <w:tc>
          <w:tcPr>
            <w:tcW w:w="1016" w:type="pct"/>
            <w:vAlign w:val="center"/>
          </w:tcPr>
          <w:p w14:paraId="56B100C5" w14:textId="4B3D6E4D"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1.285.152</w:t>
            </w:r>
          </w:p>
        </w:tc>
      </w:tr>
      <w:tr w:rsidR="009B6F6E" w:rsidRPr="00FB38E1" w14:paraId="5911E90C" w14:textId="77777777" w:rsidTr="00836EF2">
        <w:trPr>
          <w:trHeight w:val="171"/>
        </w:trPr>
        <w:tc>
          <w:tcPr>
            <w:tcW w:w="2034" w:type="pct"/>
            <w:tcMar>
              <w:left w:w="170" w:type="dxa"/>
            </w:tcMar>
            <w:vAlign w:val="center"/>
          </w:tcPr>
          <w:p w14:paraId="0191160D"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Elektrik, Gaz, Su</w:t>
            </w:r>
          </w:p>
        </w:tc>
        <w:tc>
          <w:tcPr>
            <w:tcW w:w="1102" w:type="pct"/>
            <w:vAlign w:val="center"/>
          </w:tcPr>
          <w:p w14:paraId="36079FDA" w14:textId="73A36C0A"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4.115.482</w:t>
            </w:r>
          </w:p>
        </w:tc>
        <w:tc>
          <w:tcPr>
            <w:tcW w:w="848" w:type="pct"/>
            <w:vAlign w:val="center"/>
          </w:tcPr>
          <w:p w14:paraId="5D8C51B3" w14:textId="5AE7E467"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1.112.627</w:t>
            </w:r>
          </w:p>
        </w:tc>
        <w:tc>
          <w:tcPr>
            <w:tcW w:w="1016" w:type="pct"/>
            <w:vAlign w:val="center"/>
          </w:tcPr>
          <w:p w14:paraId="6B272DB8" w14:textId="5A48143A"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1.763.322</w:t>
            </w:r>
          </w:p>
        </w:tc>
      </w:tr>
      <w:tr w:rsidR="009B6F6E" w:rsidRPr="00FB38E1" w14:paraId="2F1AAF3A" w14:textId="77777777" w:rsidTr="00836EF2">
        <w:trPr>
          <w:trHeight w:val="182"/>
        </w:trPr>
        <w:tc>
          <w:tcPr>
            <w:tcW w:w="2034" w:type="pct"/>
            <w:vAlign w:val="center"/>
          </w:tcPr>
          <w:p w14:paraId="1F265F48"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İnşaat</w:t>
            </w:r>
          </w:p>
        </w:tc>
        <w:tc>
          <w:tcPr>
            <w:tcW w:w="1102" w:type="pct"/>
            <w:vAlign w:val="center"/>
          </w:tcPr>
          <w:p w14:paraId="1E22128B" w14:textId="1A0C6CE0"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5.674.956</w:t>
            </w:r>
          </w:p>
        </w:tc>
        <w:tc>
          <w:tcPr>
            <w:tcW w:w="848" w:type="pct"/>
            <w:vAlign w:val="center"/>
          </w:tcPr>
          <w:p w14:paraId="1C2E199E" w14:textId="4A1F3C6B"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1.327.554</w:t>
            </w:r>
          </w:p>
        </w:tc>
        <w:tc>
          <w:tcPr>
            <w:tcW w:w="1016" w:type="pct"/>
            <w:vAlign w:val="center"/>
          </w:tcPr>
          <w:p w14:paraId="2F9981F0" w14:textId="45298099"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3.444.378</w:t>
            </w:r>
          </w:p>
        </w:tc>
      </w:tr>
      <w:tr w:rsidR="009B6F6E" w:rsidRPr="00FB38E1" w14:paraId="270263FD" w14:textId="77777777" w:rsidTr="00836EF2">
        <w:trPr>
          <w:trHeight w:val="182"/>
        </w:trPr>
        <w:tc>
          <w:tcPr>
            <w:tcW w:w="2034" w:type="pct"/>
            <w:vAlign w:val="center"/>
          </w:tcPr>
          <w:p w14:paraId="2DC11226"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Hizmetler</w:t>
            </w:r>
          </w:p>
        </w:tc>
        <w:tc>
          <w:tcPr>
            <w:tcW w:w="1102" w:type="pct"/>
            <w:vAlign w:val="center"/>
          </w:tcPr>
          <w:p w14:paraId="62E1F99E" w14:textId="0D0C974F"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14.274.509</w:t>
            </w:r>
          </w:p>
        </w:tc>
        <w:tc>
          <w:tcPr>
            <w:tcW w:w="848" w:type="pct"/>
            <w:vAlign w:val="center"/>
          </w:tcPr>
          <w:p w14:paraId="12321CFC" w14:textId="1DD703F5"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5.569.789</w:t>
            </w:r>
          </w:p>
        </w:tc>
        <w:tc>
          <w:tcPr>
            <w:tcW w:w="1016" w:type="pct"/>
            <w:vAlign w:val="center"/>
          </w:tcPr>
          <w:p w14:paraId="278EA952" w14:textId="3AC8927E"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6.541.062</w:t>
            </w:r>
          </w:p>
        </w:tc>
      </w:tr>
      <w:tr w:rsidR="009B6F6E" w:rsidRPr="00FB38E1" w14:paraId="4A22E0F5" w14:textId="77777777" w:rsidTr="00836EF2">
        <w:trPr>
          <w:trHeight w:val="182"/>
        </w:trPr>
        <w:tc>
          <w:tcPr>
            <w:tcW w:w="2034" w:type="pct"/>
            <w:tcMar>
              <w:left w:w="170" w:type="dxa"/>
            </w:tcMar>
            <w:vAlign w:val="center"/>
          </w:tcPr>
          <w:p w14:paraId="21C2B967"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Toptan ve Perakende Ticaret</w:t>
            </w:r>
          </w:p>
        </w:tc>
        <w:tc>
          <w:tcPr>
            <w:tcW w:w="1102" w:type="pct"/>
            <w:vAlign w:val="center"/>
          </w:tcPr>
          <w:p w14:paraId="464F6BC0" w14:textId="4CF68894"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2.691.692</w:t>
            </w:r>
          </w:p>
        </w:tc>
        <w:tc>
          <w:tcPr>
            <w:tcW w:w="848" w:type="pct"/>
            <w:vAlign w:val="center"/>
          </w:tcPr>
          <w:p w14:paraId="6FE57B97" w14:textId="5BE51C04"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2.493.484</w:t>
            </w:r>
          </w:p>
        </w:tc>
        <w:tc>
          <w:tcPr>
            <w:tcW w:w="1016" w:type="pct"/>
            <w:vAlign w:val="center"/>
          </w:tcPr>
          <w:p w14:paraId="51C33DB3" w14:textId="203F7F0A"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1.923.525</w:t>
            </w:r>
          </w:p>
        </w:tc>
      </w:tr>
      <w:tr w:rsidR="009B6F6E" w:rsidRPr="00FB38E1" w14:paraId="2AADA9AF" w14:textId="77777777" w:rsidTr="00836EF2">
        <w:trPr>
          <w:trHeight w:val="182"/>
        </w:trPr>
        <w:tc>
          <w:tcPr>
            <w:tcW w:w="2034" w:type="pct"/>
            <w:tcMar>
              <w:left w:w="170" w:type="dxa"/>
            </w:tcMar>
            <w:vAlign w:val="center"/>
          </w:tcPr>
          <w:p w14:paraId="371CE42E"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Otel ve Lokanta Hizmetleri</w:t>
            </w:r>
          </w:p>
        </w:tc>
        <w:tc>
          <w:tcPr>
            <w:tcW w:w="1102" w:type="pct"/>
            <w:vAlign w:val="center"/>
          </w:tcPr>
          <w:p w14:paraId="6A6A95FF" w14:textId="101193CE"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7.436.822</w:t>
            </w:r>
          </w:p>
        </w:tc>
        <w:tc>
          <w:tcPr>
            <w:tcW w:w="848" w:type="pct"/>
            <w:vAlign w:val="center"/>
          </w:tcPr>
          <w:p w14:paraId="160936F3" w14:textId="27E6A9C8"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1.323.491</w:t>
            </w:r>
          </w:p>
        </w:tc>
        <w:tc>
          <w:tcPr>
            <w:tcW w:w="1016" w:type="pct"/>
            <w:vAlign w:val="center"/>
          </w:tcPr>
          <w:p w14:paraId="7A8DBD8C" w14:textId="08EDE981"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2.615.497</w:t>
            </w:r>
          </w:p>
        </w:tc>
      </w:tr>
      <w:tr w:rsidR="009B6F6E" w:rsidRPr="00FB38E1" w14:paraId="3AAFE08A" w14:textId="77777777" w:rsidTr="00836EF2">
        <w:trPr>
          <w:trHeight w:val="182"/>
        </w:trPr>
        <w:tc>
          <w:tcPr>
            <w:tcW w:w="2034" w:type="pct"/>
            <w:tcMar>
              <w:left w:w="170" w:type="dxa"/>
            </w:tcMar>
            <w:vAlign w:val="center"/>
          </w:tcPr>
          <w:p w14:paraId="635361EF"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Ulaşım ve Haberleşme</w:t>
            </w:r>
          </w:p>
        </w:tc>
        <w:tc>
          <w:tcPr>
            <w:tcW w:w="1102" w:type="pct"/>
            <w:vAlign w:val="center"/>
          </w:tcPr>
          <w:p w14:paraId="10E0F2FB" w14:textId="378D10FC"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951.230</w:t>
            </w:r>
          </w:p>
        </w:tc>
        <w:tc>
          <w:tcPr>
            <w:tcW w:w="848" w:type="pct"/>
            <w:vAlign w:val="center"/>
          </w:tcPr>
          <w:p w14:paraId="20D642E7" w14:textId="23D4C88D"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1.206.268</w:t>
            </w:r>
          </w:p>
        </w:tc>
        <w:tc>
          <w:tcPr>
            <w:tcW w:w="1016" w:type="pct"/>
            <w:vAlign w:val="center"/>
          </w:tcPr>
          <w:p w14:paraId="56D168D7" w14:textId="6FC4D820"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879.303</w:t>
            </w:r>
          </w:p>
        </w:tc>
      </w:tr>
      <w:tr w:rsidR="009B6F6E" w:rsidRPr="00FB38E1" w14:paraId="4DD971E3" w14:textId="77777777" w:rsidTr="00836EF2">
        <w:trPr>
          <w:trHeight w:val="171"/>
        </w:trPr>
        <w:tc>
          <w:tcPr>
            <w:tcW w:w="2034" w:type="pct"/>
            <w:tcMar>
              <w:left w:w="170" w:type="dxa"/>
            </w:tcMar>
            <w:vAlign w:val="center"/>
          </w:tcPr>
          <w:p w14:paraId="0845DF35"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Mali Kuruluşlar</w:t>
            </w:r>
          </w:p>
        </w:tc>
        <w:tc>
          <w:tcPr>
            <w:tcW w:w="1102" w:type="pct"/>
            <w:vAlign w:val="center"/>
          </w:tcPr>
          <w:p w14:paraId="7B90BC42" w14:textId="2EFD0791"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25.233</w:t>
            </w:r>
          </w:p>
        </w:tc>
        <w:tc>
          <w:tcPr>
            <w:tcW w:w="848" w:type="pct"/>
            <w:vAlign w:val="center"/>
          </w:tcPr>
          <w:p w14:paraId="7A931F2B" w14:textId="4D01CCB4"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19.812</w:t>
            </w:r>
          </w:p>
        </w:tc>
        <w:tc>
          <w:tcPr>
            <w:tcW w:w="1016" w:type="pct"/>
            <w:vAlign w:val="center"/>
          </w:tcPr>
          <w:p w14:paraId="791FA3BD" w14:textId="61FB240D"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20.164</w:t>
            </w:r>
          </w:p>
        </w:tc>
      </w:tr>
      <w:tr w:rsidR="009B6F6E" w:rsidRPr="00FB38E1" w14:paraId="090217EA" w14:textId="77777777" w:rsidTr="00836EF2">
        <w:trPr>
          <w:trHeight w:val="182"/>
        </w:trPr>
        <w:tc>
          <w:tcPr>
            <w:tcW w:w="2034" w:type="pct"/>
            <w:tcMar>
              <w:left w:w="170" w:type="dxa"/>
            </w:tcMar>
            <w:vAlign w:val="center"/>
          </w:tcPr>
          <w:p w14:paraId="29F2DE6B"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Gayrimenkul ve Kira Hizm.</w:t>
            </w:r>
          </w:p>
        </w:tc>
        <w:tc>
          <w:tcPr>
            <w:tcW w:w="1102" w:type="pct"/>
            <w:vAlign w:val="center"/>
          </w:tcPr>
          <w:p w14:paraId="654B7740" w14:textId="00986981"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416.787</w:t>
            </w:r>
          </w:p>
        </w:tc>
        <w:tc>
          <w:tcPr>
            <w:tcW w:w="848" w:type="pct"/>
            <w:vAlign w:val="center"/>
          </w:tcPr>
          <w:p w14:paraId="1B2ABDED" w14:textId="5EB31EF7"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326.687</w:t>
            </w:r>
          </w:p>
        </w:tc>
        <w:tc>
          <w:tcPr>
            <w:tcW w:w="1016" w:type="pct"/>
            <w:vAlign w:val="center"/>
          </w:tcPr>
          <w:p w14:paraId="51C4E13F" w14:textId="5D270617"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287.436</w:t>
            </w:r>
          </w:p>
        </w:tc>
      </w:tr>
      <w:tr w:rsidR="009B6F6E" w:rsidRPr="00FB38E1" w14:paraId="429E2811" w14:textId="77777777" w:rsidTr="00836EF2">
        <w:trPr>
          <w:trHeight w:val="182"/>
        </w:trPr>
        <w:tc>
          <w:tcPr>
            <w:tcW w:w="2034" w:type="pct"/>
            <w:tcMar>
              <w:left w:w="170" w:type="dxa"/>
            </w:tcMar>
            <w:vAlign w:val="center"/>
          </w:tcPr>
          <w:p w14:paraId="305C204F"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Serbest Meslek Hizmetleri</w:t>
            </w:r>
          </w:p>
        </w:tc>
        <w:tc>
          <w:tcPr>
            <w:tcW w:w="1102" w:type="pct"/>
            <w:vAlign w:val="center"/>
          </w:tcPr>
          <w:p w14:paraId="5950484B" w14:textId="0CA042D3"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358.272</w:t>
            </w:r>
          </w:p>
        </w:tc>
        <w:tc>
          <w:tcPr>
            <w:tcW w:w="848" w:type="pct"/>
            <w:vAlign w:val="center"/>
          </w:tcPr>
          <w:p w14:paraId="77F25E07" w14:textId="1D868C8D"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150.563</w:t>
            </w:r>
          </w:p>
        </w:tc>
        <w:tc>
          <w:tcPr>
            <w:tcW w:w="1016" w:type="pct"/>
            <w:vAlign w:val="center"/>
          </w:tcPr>
          <w:p w14:paraId="280E2B41" w14:textId="7714303A"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125.206</w:t>
            </w:r>
          </w:p>
        </w:tc>
      </w:tr>
      <w:tr w:rsidR="009B6F6E" w:rsidRPr="00FB38E1" w14:paraId="63F7605B" w14:textId="77777777" w:rsidTr="00836EF2">
        <w:trPr>
          <w:trHeight w:val="182"/>
        </w:trPr>
        <w:tc>
          <w:tcPr>
            <w:tcW w:w="2034" w:type="pct"/>
            <w:tcMar>
              <w:left w:w="170" w:type="dxa"/>
            </w:tcMar>
            <w:vAlign w:val="center"/>
          </w:tcPr>
          <w:p w14:paraId="4873EAA5"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Eğitim Hizmetleri</w:t>
            </w:r>
          </w:p>
        </w:tc>
        <w:tc>
          <w:tcPr>
            <w:tcW w:w="1102" w:type="pct"/>
            <w:vAlign w:val="center"/>
          </w:tcPr>
          <w:p w14:paraId="21FD86F2" w14:textId="05AEEDA2"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29.040</w:t>
            </w:r>
          </w:p>
        </w:tc>
        <w:tc>
          <w:tcPr>
            <w:tcW w:w="848" w:type="pct"/>
            <w:vAlign w:val="center"/>
          </w:tcPr>
          <w:p w14:paraId="162EC4F0" w14:textId="775B1C39"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32.691</w:t>
            </w:r>
          </w:p>
        </w:tc>
        <w:tc>
          <w:tcPr>
            <w:tcW w:w="1016" w:type="pct"/>
            <w:vAlign w:val="center"/>
          </w:tcPr>
          <w:p w14:paraId="1B45E88E" w14:textId="027D3CC7"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32.082</w:t>
            </w:r>
          </w:p>
        </w:tc>
      </w:tr>
      <w:tr w:rsidR="009B6F6E" w:rsidRPr="00FB38E1" w14:paraId="3794FB3C" w14:textId="77777777" w:rsidTr="00836EF2">
        <w:trPr>
          <w:trHeight w:val="182"/>
        </w:trPr>
        <w:tc>
          <w:tcPr>
            <w:tcW w:w="2034" w:type="pct"/>
            <w:tcMar>
              <w:left w:w="170" w:type="dxa"/>
            </w:tcMar>
            <w:vAlign w:val="center"/>
          </w:tcPr>
          <w:p w14:paraId="24387BEC"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Sağlık ve Sosyal Hizmetler</w:t>
            </w:r>
          </w:p>
        </w:tc>
        <w:tc>
          <w:tcPr>
            <w:tcW w:w="1102" w:type="pct"/>
            <w:vAlign w:val="center"/>
          </w:tcPr>
          <w:p w14:paraId="25F6BFB0" w14:textId="609F6A16"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2.365.433</w:t>
            </w:r>
          </w:p>
        </w:tc>
        <w:tc>
          <w:tcPr>
            <w:tcW w:w="848" w:type="pct"/>
            <w:vAlign w:val="center"/>
          </w:tcPr>
          <w:p w14:paraId="06248A33" w14:textId="377C37FD"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16.793</w:t>
            </w:r>
          </w:p>
        </w:tc>
        <w:tc>
          <w:tcPr>
            <w:tcW w:w="1016" w:type="pct"/>
            <w:vAlign w:val="center"/>
          </w:tcPr>
          <w:p w14:paraId="42D6700A" w14:textId="54C29101"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657.849</w:t>
            </w:r>
          </w:p>
        </w:tc>
      </w:tr>
      <w:tr w:rsidR="009B6F6E" w:rsidRPr="00FB38E1" w14:paraId="32A2EDCD" w14:textId="77777777" w:rsidTr="00836EF2">
        <w:trPr>
          <w:trHeight w:val="182"/>
        </w:trPr>
        <w:tc>
          <w:tcPr>
            <w:tcW w:w="2034" w:type="pct"/>
            <w:vAlign w:val="center"/>
          </w:tcPr>
          <w:p w14:paraId="69771133" w14:textId="77777777" w:rsidR="009B6F6E" w:rsidRPr="00FB38E1" w:rsidRDefault="009B6F6E" w:rsidP="009B6F6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Diğer</w:t>
            </w:r>
          </w:p>
        </w:tc>
        <w:tc>
          <w:tcPr>
            <w:tcW w:w="1102" w:type="pct"/>
            <w:vAlign w:val="center"/>
          </w:tcPr>
          <w:p w14:paraId="17DBBAA8" w14:textId="7BDD1210"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30.602.067</w:t>
            </w:r>
          </w:p>
        </w:tc>
        <w:tc>
          <w:tcPr>
            <w:tcW w:w="848" w:type="pct"/>
            <w:vAlign w:val="center"/>
          </w:tcPr>
          <w:p w14:paraId="63946C70" w14:textId="30C6A3C6"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11.483.023</w:t>
            </w:r>
          </w:p>
        </w:tc>
        <w:tc>
          <w:tcPr>
            <w:tcW w:w="1016" w:type="pct"/>
            <w:vAlign w:val="center"/>
          </w:tcPr>
          <w:p w14:paraId="5010E160" w14:textId="57E9EBC6" w:rsidR="009B6F6E" w:rsidRPr="00FB38E1" w:rsidRDefault="009B6F6E" w:rsidP="009B6F6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12.378.483</w:t>
            </w:r>
          </w:p>
        </w:tc>
      </w:tr>
      <w:tr w:rsidR="009B6F6E" w:rsidRPr="00FB38E1" w14:paraId="277DF94D" w14:textId="77777777" w:rsidTr="00836EF2">
        <w:trPr>
          <w:trHeight w:val="182"/>
        </w:trPr>
        <w:tc>
          <w:tcPr>
            <w:tcW w:w="2034" w:type="pct"/>
            <w:tcBorders>
              <w:top w:val="single" w:sz="4" w:space="0" w:color="auto"/>
              <w:bottom w:val="thickThinSmallGap" w:sz="24" w:space="0" w:color="auto"/>
            </w:tcBorders>
            <w:vAlign w:val="bottom"/>
          </w:tcPr>
          <w:p w14:paraId="2F89A7B7" w14:textId="77777777" w:rsidR="009B6F6E" w:rsidRPr="00FB38E1" w:rsidRDefault="009B6F6E" w:rsidP="009B6F6E">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1102" w:type="pct"/>
            <w:tcBorders>
              <w:top w:val="single" w:sz="4" w:space="0" w:color="auto"/>
              <w:bottom w:val="thickThinSmallGap" w:sz="24" w:space="0" w:color="auto"/>
            </w:tcBorders>
            <w:vAlign w:val="center"/>
          </w:tcPr>
          <w:p w14:paraId="4EF3F3F1" w14:textId="1C142D4F" w:rsidR="009B6F6E" w:rsidRPr="00FB38E1" w:rsidRDefault="009B6F6E" w:rsidP="009B6F6E">
            <w:pPr>
              <w:jc w:val="right"/>
              <w:rPr>
                <w:rFonts w:ascii="Microsoft Sans Serif" w:hAnsi="Microsoft Sans Serif" w:cs="Microsoft Sans Serif"/>
                <w:b/>
                <w:sz w:val="16"/>
                <w:szCs w:val="16"/>
              </w:rPr>
            </w:pPr>
            <w:r w:rsidRPr="00FB38E1">
              <w:rPr>
                <w:rFonts w:ascii="Microsoft Sans Serif" w:hAnsi="Microsoft Sans Serif" w:cs="Microsoft Sans Serif"/>
                <w:b/>
                <w:bCs/>
                <w:color w:val="000000"/>
                <w:sz w:val="16"/>
                <w:szCs w:val="16"/>
              </w:rPr>
              <w:t>74.205.142</w:t>
            </w:r>
          </w:p>
        </w:tc>
        <w:tc>
          <w:tcPr>
            <w:tcW w:w="848" w:type="pct"/>
            <w:tcBorders>
              <w:top w:val="single" w:sz="4" w:space="0" w:color="auto"/>
              <w:bottom w:val="thickThinSmallGap" w:sz="24" w:space="0" w:color="auto"/>
            </w:tcBorders>
            <w:vAlign w:val="center"/>
          </w:tcPr>
          <w:p w14:paraId="7FE243EE" w14:textId="5B55238F" w:rsidR="009B6F6E" w:rsidRPr="00FB38E1" w:rsidRDefault="009B6F6E" w:rsidP="009B6F6E">
            <w:pPr>
              <w:jc w:val="right"/>
              <w:rPr>
                <w:rFonts w:ascii="Microsoft Sans Serif" w:hAnsi="Microsoft Sans Serif" w:cs="Microsoft Sans Serif"/>
                <w:b/>
                <w:sz w:val="16"/>
                <w:szCs w:val="16"/>
              </w:rPr>
            </w:pPr>
            <w:r w:rsidRPr="00FB38E1">
              <w:rPr>
                <w:rFonts w:ascii="Microsoft Sans Serif" w:hAnsi="Microsoft Sans Serif" w:cs="Microsoft Sans Serif"/>
                <w:b/>
                <w:bCs/>
                <w:color w:val="000000"/>
                <w:sz w:val="16"/>
                <w:szCs w:val="16"/>
              </w:rPr>
              <w:t>27.744.142</w:t>
            </w:r>
          </w:p>
        </w:tc>
        <w:tc>
          <w:tcPr>
            <w:tcW w:w="1016" w:type="pct"/>
            <w:tcBorders>
              <w:top w:val="single" w:sz="4" w:space="0" w:color="auto"/>
              <w:bottom w:val="thickThinSmallGap" w:sz="24" w:space="0" w:color="auto"/>
            </w:tcBorders>
            <w:vAlign w:val="center"/>
          </w:tcPr>
          <w:p w14:paraId="26550A6F" w14:textId="3A9EDFA4" w:rsidR="009B6F6E" w:rsidRPr="00FB38E1" w:rsidRDefault="009B6F6E" w:rsidP="009B6F6E">
            <w:pPr>
              <w:jc w:val="right"/>
              <w:rPr>
                <w:rFonts w:ascii="Microsoft Sans Serif" w:hAnsi="Microsoft Sans Serif" w:cs="Microsoft Sans Serif"/>
                <w:b/>
                <w:sz w:val="16"/>
                <w:szCs w:val="16"/>
              </w:rPr>
            </w:pPr>
            <w:r w:rsidRPr="00FB38E1">
              <w:rPr>
                <w:rFonts w:ascii="Microsoft Sans Serif" w:hAnsi="Microsoft Sans Serif" w:cs="Microsoft Sans Serif"/>
                <w:b/>
                <w:bCs/>
                <w:color w:val="000000"/>
                <w:sz w:val="16"/>
                <w:szCs w:val="16"/>
              </w:rPr>
              <w:t>30.053.412</w:t>
            </w:r>
          </w:p>
        </w:tc>
      </w:tr>
    </w:tbl>
    <w:p w14:paraId="26D1C28F" w14:textId="77777777" w:rsidR="00D1663E" w:rsidRPr="00FB38E1" w:rsidRDefault="00D1663E" w:rsidP="00D1663E">
      <w:pPr>
        <w:pStyle w:val="Head3"/>
        <w:keepNext w:val="0"/>
        <w:keepLines w:val="0"/>
        <w:spacing w:before="120" w:after="0" w:line="240" w:lineRule="auto"/>
        <w:ind w:right="0" w:firstLine="0"/>
        <w:rPr>
          <w:rFonts w:ascii="Microsoft Sans Serif" w:hAnsi="Microsoft Sans Serif" w:cs="Microsoft Sans Serif"/>
          <w:b w:val="0"/>
          <w:i w:val="0"/>
          <w:color w:val="404040" w:themeColor="text1" w:themeTint="BF"/>
          <w:sz w:val="16"/>
          <w:szCs w:val="16"/>
        </w:rPr>
      </w:pPr>
      <w:r w:rsidRPr="00FB38E1">
        <w:rPr>
          <w:rFonts w:ascii="Microsoft Sans Serif" w:hAnsi="Microsoft Sans Serif" w:cs="Microsoft Sans Serif"/>
          <w:b w:val="0"/>
          <w:i w:val="0"/>
          <w:color w:val="404040" w:themeColor="text1" w:themeTint="BF"/>
          <w:sz w:val="16"/>
          <w:szCs w:val="16"/>
        </w:rPr>
        <w:t>(*) Gerçeğe uygun değer farkı kar/zarara yansıtılan kredilerin bakiyesi dahil değildir.</w:t>
      </w:r>
    </w:p>
    <w:p w14:paraId="5821BBA5" w14:textId="77777777" w:rsidR="00D1663E" w:rsidRPr="00FB38E1" w:rsidRDefault="00D1663E" w:rsidP="00D1663E">
      <w:pPr>
        <w:spacing w:after="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Nakdi krediler verilmiştir.</w:t>
      </w:r>
    </w:p>
    <w:p w14:paraId="21287EA9" w14:textId="77777777" w:rsidR="00D1663E" w:rsidRPr="00FB38E1" w:rsidRDefault="00D1663E" w:rsidP="00D1663E">
      <w:pPr>
        <w:spacing w:after="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İkinci ve üçüncü aşama karşılıkları içermektedir.</w:t>
      </w:r>
    </w:p>
    <w:p w14:paraId="298FEB71" w14:textId="77777777" w:rsidR="00D1663E" w:rsidRPr="00FB38E1" w:rsidRDefault="00D1663E" w:rsidP="00D1663E">
      <w:pPr>
        <w:rPr>
          <w:rFonts w:ascii="Microsoft Sans Serif" w:eastAsia="Times New Roman" w:hAnsi="Microsoft Sans Serif" w:cs="Microsoft Sans Serif"/>
          <w:bCs/>
          <w:sz w:val="20"/>
          <w:szCs w:val="20"/>
        </w:rPr>
      </w:pPr>
      <w:r w:rsidRPr="00FB38E1">
        <w:rPr>
          <w:rFonts w:ascii="Microsoft Sans Serif" w:eastAsia="Times New Roman" w:hAnsi="Microsoft Sans Serif" w:cs="Microsoft Sans Serif"/>
          <w:bCs/>
          <w:sz w:val="20"/>
          <w:szCs w:val="20"/>
        </w:rPr>
        <w:br w:type="page"/>
      </w:r>
    </w:p>
    <w:tbl>
      <w:tblPr>
        <w:tblStyle w:val="TableGrid"/>
        <w:tblW w:w="961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13"/>
        <w:gridCol w:w="2120"/>
        <w:gridCol w:w="1631"/>
        <w:gridCol w:w="1954"/>
      </w:tblGrid>
      <w:tr w:rsidR="00D1663E" w:rsidRPr="00FB38E1" w14:paraId="6DDF884E" w14:textId="77777777" w:rsidTr="00836EF2">
        <w:trPr>
          <w:trHeight w:val="182"/>
        </w:trPr>
        <w:tc>
          <w:tcPr>
            <w:tcW w:w="2034" w:type="pct"/>
            <w:tcBorders>
              <w:top w:val="thinThickSmallGap" w:sz="24" w:space="0" w:color="auto"/>
              <w:bottom w:val="single" w:sz="4" w:space="0" w:color="auto"/>
            </w:tcBorders>
            <w:vAlign w:val="center"/>
          </w:tcPr>
          <w:p w14:paraId="114823EC" w14:textId="77777777" w:rsidR="00D1663E" w:rsidRPr="00FB38E1" w:rsidRDefault="00D1663E" w:rsidP="00836EF2">
            <w:pPr>
              <w:rPr>
                <w:rFonts w:ascii="Microsoft Sans Serif" w:hAnsi="Microsoft Sans Serif" w:cs="Microsoft Sans Serif"/>
                <w:b/>
                <w:sz w:val="16"/>
                <w:szCs w:val="16"/>
              </w:rPr>
            </w:pPr>
            <w:r w:rsidRPr="00FB38E1">
              <w:rPr>
                <w:rFonts w:ascii="Microsoft Sans Serif" w:hAnsi="Microsoft Sans Serif" w:cs="Microsoft Sans Serif"/>
                <w:b/>
                <w:sz w:val="16"/>
                <w:szCs w:val="16"/>
              </w:rPr>
              <w:t>Önceki Dönem</w:t>
            </w:r>
          </w:p>
        </w:tc>
        <w:tc>
          <w:tcPr>
            <w:tcW w:w="1950" w:type="pct"/>
            <w:gridSpan w:val="2"/>
            <w:tcBorders>
              <w:top w:val="thinThickSmallGap" w:sz="24" w:space="0" w:color="auto"/>
              <w:bottom w:val="single" w:sz="4" w:space="0" w:color="auto"/>
            </w:tcBorders>
            <w:vAlign w:val="bottom"/>
          </w:tcPr>
          <w:p w14:paraId="1796CE5B" w14:textId="77777777" w:rsidR="00D1663E" w:rsidRPr="00FB38E1" w:rsidRDefault="00D1663E"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Krediler (**)</w:t>
            </w:r>
          </w:p>
        </w:tc>
        <w:tc>
          <w:tcPr>
            <w:tcW w:w="1016" w:type="pct"/>
            <w:tcBorders>
              <w:top w:val="thinThickSmallGap" w:sz="24" w:space="0" w:color="auto"/>
              <w:bottom w:val="single" w:sz="4" w:space="0" w:color="auto"/>
            </w:tcBorders>
            <w:vAlign w:val="bottom"/>
          </w:tcPr>
          <w:p w14:paraId="0F7746B0"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Karşılıklar</w:t>
            </w:r>
          </w:p>
        </w:tc>
      </w:tr>
      <w:tr w:rsidR="00D1663E" w:rsidRPr="00FB38E1" w14:paraId="5178D5F7" w14:textId="77777777" w:rsidTr="00836EF2">
        <w:trPr>
          <w:trHeight w:val="182"/>
        </w:trPr>
        <w:tc>
          <w:tcPr>
            <w:tcW w:w="2034" w:type="pct"/>
            <w:tcBorders>
              <w:top w:val="nil"/>
              <w:bottom w:val="single" w:sz="4" w:space="0" w:color="auto"/>
            </w:tcBorders>
            <w:vAlign w:val="center"/>
          </w:tcPr>
          <w:p w14:paraId="337D0548" w14:textId="77777777" w:rsidR="00D1663E" w:rsidRPr="00FB38E1" w:rsidRDefault="00D1663E" w:rsidP="00836EF2">
            <w:pPr>
              <w:rPr>
                <w:rFonts w:ascii="Microsoft Sans Serif" w:hAnsi="Microsoft Sans Serif" w:cs="Microsoft Sans Serif"/>
                <w:b/>
                <w:sz w:val="16"/>
                <w:szCs w:val="16"/>
              </w:rPr>
            </w:pPr>
          </w:p>
        </w:tc>
        <w:tc>
          <w:tcPr>
            <w:tcW w:w="1950" w:type="pct"/>
            <w:gridSpan w:val="2"/>
            <w:tcBorders>
              <w:top w:val="single" w:sz="4" w:space="0" w:color="auto"/>
              <w:bottom w:val="single" w:sz="4" w:space="0" w:color="auto"/>
            </w:tcBorders>
            <w:vAlign w:val="bottom"/>
          </w:tcPr>
          <w:p w14:paraId="5E407931" w14:textId="77777777" w:rsidR="00D1663E" w:rsidRPr="00FB38E1" w:rsidRDefault="00D1663E"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Değer Kaybına Uğramış (TRFS 9)</w:t>
            </w:r>
          </w:p>
        </w:tc>
        <w:tc>
          <w:tcPr>
            <w:tcW w:w="1016" w:type="pct"/>
            <w:vMerge w:val="restart"/>
            <w:tcBorders>
              <w:top w:val="single" w:sz="4" w:space="0" w:color="auto"/>
            </w:tcBorders>
            <w:vAlign w:val="center"/>
          </w:tcPr>
          <w:p w14:paraId="6A762510"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Beklenen Kredi Zarar Karşılıkları (TFRS 9) (***)</w:t>
            </w:r>
          </w:p>
        </w:tc>
      </w:tr>
      <w:tr w:rsidR="00D1663E" w:rsidRPr="00FB38E1" w14:paraId="55D19941" w14:textId="77777777" w:rsidTr="00836EF2">
        <w:trPr>
          <w:trHeight w:val="364"/>
        </w:trPr>
        <w:tc>
          <w:tcPr>
            <w:tcW w:w="2034" w:type="pct"/>
            <w:tcBorders>
              <w:top w:val="nil"/>
              <w:bottom w:val="single" w:sz="4" w:space="0" w:color="auto"/>
            </w:tcBorders>
            <w:vAlign w:val="center"/>
          </w:tcPr>
          <w:p w14:paraId="23B547F0" w14:textId="77777777" w:rsidR="00D1663E" w:rsidRPr="00FB38E1" w:rsidRDefault="00D1663E" w:rsidP="00836EF2">
            <w:pPr>
              <w:rPr>
                <w:rFonts w:ascii="Microsoft Sans Serif" w:hAnsi="Microsoft Sans Serif" w:cs="Microsoft Sans Serif"/>
                <w:b/>
                <w:sz w:val="16"/>
                <w:szCs w:val="16"/>
              </w:rPr>
            </w:pPr>
            <w:r w:rsidRPr="00FB38E1">
              <w:rPr>
                <w:rFonts w:ascii="Microsoft Sans Serif" w:hAnsi="Microsoft Sans Serif" w:cs="Microsoft Sans Serif"/>
                <w:b/>
                <w:sz w:val="16"/>
                <w:szCs w:val="16"/>
              </w:rPr>
              <w:t>Önemli Sektörler/Karşı Taraflar</w:t>
            </w:r>
          </w:p>
        </w:tc>
        <w:tc>
          <w:tcPr>
            <w:tcW w:w="1102" w:type="pct"/>
            <w:tcBorders>
              <w:top w:val="single" w:sz="4" w:space="0" w:color="auto"/>
              <w:bottom w:val="single" w:sz="4" w:space="0" w:color="auto"/>
            </w:tcBorders>
            <w:vAlign w:val="bottom"/>
          </w:tcPr>
          <w:p w14:paraId="7C95888B"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Kredi Riskinde Önemli Artış (İkinci Aşama)</w:t>
            </w:r>
          </w:p>
        </w:tc>
        <w:tc>
          <w:tcPr>
            <w:tcW w:w="848" w:type="pct"/>
            <w:tcBorders>
              <w:top w:val="single" w:sz="4" w:space="0" w:color="auto"/>
              <w:bottom w:val="single" w:sz="4" w:space="0" w:color="auto"/>
            </w:tcBorders>
            <w:vAlign w:val="bottom"/>
          </w:tcPr>
          <w:p w14:paraId="0FA42BD8"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Temerrüt </w:t>
            </w:r>
          </w:p>
          <w:p w14:paraId="2832ADF3" w14:textId="77777777" w:rsidR="00D1663E" w:rsidRPr="00FB38E1" w:rsidRDefault="00D1663E"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(Üçüncü Aşama)</w:t>
            </w:r>
          </w:p>
        </w:tc>
        <w:tc>
          <w:tcPr>
            <w:tcW w:w="1016" w:type="pct"/>
            <w:vMerge/>
            <w:tcBorders>
              <w:bottom w:val="single" w:sz="4" w:space="0" w:color="auto"/>
            </w:tcBorders>
            <w:vAlign w:val="bottom"/>
          </w:tcPr>
          <w:p w14:paraId="3B480AC2" w14:textId="77777777" w:rsidR="00D1663E" w:rsidRPr="00FB38E1" w:rsidRDefault="00D1663E" w:rsidP="00836EF2">
            <w:pPr>
              <w:jc w:val="right"/>
              <w:rPr>
                <w:rFonts w:ascii="Microsoft Sans Serif" w:hAnsi="Microsoft Sans Serif" w:cs="Microsoft Sans Serif"/>
                <w:b/>
                <w:color w:val="404040"/>
                <w:sz w:val="16"/>
                <w:szCs w:val="16"/>
              </w:rPr>
            </w:pPr>
          </w:p>
        </w:tc>
      </w:tr>
      <w:tr w:rsidR="00D1663E" w:rsidRPr="00FB38E1" w14:paraId="4B405A55" w14:textId="77777777" w:rsidTr="00836EF2">
        <w:trPr>
          <w:trHeight w:val="171"/>
        </w:trPr>
        <w:tc>
          <w:tcPr>
            <w:tcW w:w="2034" w:type="pct"/>
            <w:tcBorders>
              <w:top w:val="single" w:sz="4" w:space="0" w:color="auto"/>
            </w:tcBorders>
            <w:vAlign w:val="center"/>
          </w:tcPr>
          <w:p w14:paraId="64F13837"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Tarım</w:t>
            </w:r>
          </w:p>
        </w:tc>
        <w:tc>
          <w:tcPr>
            <w:tcW w:w="1102" w:type="pct"/>
            <w:tcBorders>
              <w:top w:val="single" w:sz="4" w:space="0" w:color="auto"/>
            </w:tcBorders>
            <w:vAlign w:val="center"/>
          </w:tcPr>
          <w:p w14:paraId="15067B83" w14:textId="03835BF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2.753.839</w:t>
            </w:r>
          </w:p>
        </w:tc>
        <w:tc>
          <w:tcPr>
            <w:tcW w:w="848" w:type="pct"/>
            <w:tcBorders>
              <w:top w:val="single" w:sz="4" w:space="0" w:color="auto"/>
            </w:tcBorders>
            <w:vAlign w:val="center"/>
          </w:tcPr>
          <w:p w14:paraId="34BD08C9" w14:textId="5FD013CB"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944.337</w:t>
            </w:r>
          </w:p>
        </w:tc>
        <w:tc>
          <w:tcPr>
            <w:tcW w:w="1016" w:type="pct"/>
            <w:tcBorders>
              <w:top w:val="single" w:sz="4" w:space="0" w:color="auto"/>
            </w:tcBorders>
            <w:vAlign w:val="center"/>
          </w:tcPr>
          <w:p w14:paraId="5306E9B3" w14:textId="6FD4D63E"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1.312.003</w:t>
            </w:r>
          </w:p>
        </w:tc>
      </w:tr>
      <w:tr w:rsidR="00D1663E" w:rsidRPr="00FB38E1" w14:paraId="189E039C" w14:textId="77777777" w:rsidTr="00836EF2">
        <w:trPr>
          <w:trHeight w:val="182"/>
        </w:trPr>
        <w:tc>
          <w:tcPr>
            <w:tcW w:w="2034" w:type="pct"/>
            <w:tcMar>
              <w:left w:w="170" w:type="dxa"/>
            </w:tcMar>
            <w:vAlign w:val="center"/>
          </w:tcPr>
          <w:p w14:paraId="7ED654B4"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Çiftçilik ve Hayvancılık</w:t>
            </w:r>
          </w:p>
        </w:tc>
        <w:tc>
          <w:tcPr>
            <w:tcW w:w="1102" w:type="pct"/>
            <w:vAlign w:val="center"/>
          </w:tcPr>
          <w:p w14:paraId="7F7C77D2" w14:textId="589A38DF"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2.751.540</w:t>
            </w:r>
          </w:p>
        </w:tc>
        <w:tc>
          <w:tcPr>
            <w:tcW w:w="848" w:type="pct"/>
            <w:vAlign w:val="center"/>
          </w:tcPr>
          <w:p w14:paraId="650DABFF" w14:textId="0FB2AFA7"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926.312</w:t>
            </w:r>
          </w:p>
        </w:tc>
        <w:tc>
          <w:tcPr>
            <w:tcW w:w="1016" w:type="pct"/>
            <w:vAlign w:val="center"/>
          </w:tcPr>
          <w:p w14:paraId="588C4774" w14:textId="611DB365"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1.295.622</w:t>
            </w:r>
          </w:p>
        </w:tc>
      </w:tr>
      <w:tr w:rsidR="00D1663E" w:rsidRPr="00FB38E1" w14:paraId="762238B2" w14:textId="77777777" w:rsidTr="00836EF2">
        <w:trPr>
          <w:trHeight w:val="182"/>
        </w:trPr>
        <w:tc>
          <w:tcPr>
            <w:tcW w:w="2034" w:type="pct"/>
            <w:tcMar>
              <w:left w:w="170" w:type="dxa"/>
            </w:tcMar>
            <w:vAlign w:val="center"/>
          </w:tcPr>
          <w:p w14:paraId="00FD42AE"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Ormancılık</w:t>
            </w:r>
          </w:p>
        </w:tc>
        <w:tc>
          <w:tcPr>
            <w:tcW w:w="1102" w:type="pct"/>
            <w:vAlign w:val="center"/>
          </w:tcPr>
          <w:p w14:paraId="0EF3B9DF" w14:textId="5A623994"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2.003</w:t>
            </w:r>
          </w:p>
        </w:tc>
        <w:tc>
          <w:tcPr>
            <w:tcW w:w="848" w:type="pct"/>
            <w:vAlign w:val="center"/>
          </w:tcPr>
          <w:p w14:paraId="372E5D61" w14:textId="3029094C"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17.790</w:t>
            </w:r>
          </w:p>
        </w:tc>
        <w:tc>
          <w:tcPr>
            <w:tcW w:w="1016" w:type="pct"/>
            <w:vAlign w:val="center"/>
          </w:tcPr>
          <w:p w14:paraId="08C12E84" w14:textId="5A4B1BD3"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16.104</w:t>
            </w:r>
          </w:p>
        </w:tc>
      </w:tr>
      <w:tr w:rsidR="00D1663E" w:rsidRPr="00FB38E1" w14:paraId="502029F8" w14:textId="77777777" w:rsidTr="00836EF2">
        <w:trPr>
          <w:trHeight w:val="182"/>
        </w:trPr>
        <w:tc>
          <w:tcPr>
            <w:tcW w:w="2034" w:type="pct"/>
            <w:tcMar>
              <w:left w:w="170" w:type="dxa"/>
            </w:tcMar>
            <w:vAlign w:val="center"/>
          </w:tcPr>
          <w:p w14:paraId="19E5EE17"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Balıkçılık</w:t>
            </w:r>
          </w:p>
        </w:tc>
        <w:tc>
          <w:tcPr>
            <w:tcW w:w="1102" w:type="pct"/>
            <w:vAlign w:val="center"/>
          </w:tcPr>
          <w:p w14:paraId="24EBB1B6" w14:textId="13D5BDBB"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296</w:t>
            </w:r>
          </w:p>
        </w:tc>
        <w:tc>
          <w:tcPr>
            <w:tcW w:w="848" w:type="pct"/>
            <w:vAlign w:val="center"/>
          </w:tcPr>
          <w:p w14:paraId="010D664B" w14:textId="65A1545C"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235</w:t>
            </w:r>
          </w:p>
        </w:tc>
        <w:tc>
          <w:tcPr>
            <w:tcW w:w="1016" w:type="pct"/>
            <w:vAlign w:val="center"/>
          </w:tcPr>
          <w:p w14:paraId="7A19F02F" w14:textId="7CFDCBFB"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277</w:t>
            </w:r>
          </w:p>
        </w:tc>
      </w:tr>
      <w:tr w:rsidR="00D1663E" w:rsidRPr="00FB38E1" w14:paraId="3078292D" w14:textId="77777777" w:rsidTr="00836EF2">
        <w:trPr>
          <w:trHeight w:val="182"/>
        </w:trPr>
        <w:tc>
          <w:tcPr>
            <w:tcW w:w="2034" w:type="pct"/>
            <w:vAlign w:val="center"/>
          </w:tcPr>
          <w:p w14:paraId="7CF6EDE0"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Sanayi</w:t>
            </w:r>
          </w:p>
        </w:tc>
        <w:tc>
          <w:tcPr>
            <w:tcW w:w="1102" w:type="pct"/>
            <w:vAlign w:val="center"/>
          </w:tcPr>
          <w:p w14:paraId="2810A1F6" w14:textId="7449B23B"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7.755.681</w:t>
            </w:r>
          </w:p>
        </w:tc>
        <w:tc>
          <w:tcPr>
            <w:tcW w:w="848" w:type="pct"/>
            <w:vAlign w:val="center"/>
          </w:tcPr>
          <w:p w14:paraId="21223050" w14:textId="3184DBB9"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7.526.177</w:t>
            </w:r>
          </w:p>
        </w:tc>
        <w:tc>
          <w:tcPr>
            <w:tcW w:w="1016" w:type="pct"/>
            <w:vAlign w:val="center"/>
          </w:tcPr>
          <w:p w14:paraId="37A42DA7" w14:textId="58B72DE3"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6.241.532</w:t>
            </w:r>
          </w:p>
        </w:tc>
      </w:tr>
      <w:tr w:rsidR="00D1663E" w:rsidRPr="00FB38E1" w14:paraId="782BB0C0" w14:textId="77777777" w:rsidTr="00836EF2">
        <w:trPr>
          <w:trHeight w:val="182"/>
        </w:trPr>
        <w:tc>
          <w:tcPr>
            <w:tcW w:w="2034" w:type="pct"/>
            <w:tcMar>
              <w:left w:w="170" w:type="dxa"/>
            </w:tcMar>
            <w:vAlign w:val="center"/>
          </w:tcPr>
          <w:p w14:paraId="0CD05E18"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Madencilik ve Taşocakçılığı</w:t>
            </w:r>
          </w:p>
        </w:tc>
        <w:tc>
          <w:tcPr>
            <w:tcW w:w="1102" w:type="pct"/>
            <w:vAlign w:val="center"/>
          </w:tcPr>
          <w:p w14:paraId="30B681C8" w14:textId="67F05391"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40.231</w:t>
            </w:r>
          </w:p>
        </w:tc>
        <w:tc>
          <w:tcPr>
            <w:tcW w:w="848" w:type="pct"/>
            <w:vAlign w:val="center"/>
          </w:tcPr>
          <w:p w14:paraId="649D9EEF" w14:textId="0F781EEE"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2.172.040</w:t>
            </w:r>
          </w:p>
        </w:tc>
        <w:tc>
          <w:tcPr>
            <w:tcW w:w="1016" w:type="pct"/>
            <w:vAlign w:val="center"/>
          </w:tcPr>
          <w:p w14:paraId="0DE72965" w14:textId="5EA1846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1.007.976</w:t>
            </w:r>
          </w:p>
        </w:tc>
      </w:tr>
      <w:tr w:rsidR="00D1663E" w:rsidRPr="00FB38E1" w14:paraId="114BCC06" w14:textId="77777777" w:rsidTr="00836EF2">
        <w:trPr>
          <w:trHeight w:val="182"/>
        </w:trPr>
        <w:tc>
          <w:tcPr>
            <w:tcW w:w="2034" w:type="pct"/>
            <w:tcMar>
              <w:left w:w="170" w:type="dxa"/>
            </w:tcMar>
            <w:vAlign w:val="center"/>
          </w:tcPr>
          <w:p w14:paraId="3F28A445"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İmalat Sanayi</w:t>
            </w:r>
          </w:p>
        </w:tc>
        <w:tc>
          <w:tcPr>
            <w:tcW w:w="1102" w:type="pct"/>
            <w:vAlign w:val="center"/>
          </w:tcPr>
          <w:p w14:paraId="1532C1E9" w14:textId="1606183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1.268.902</w:t>
            </w:r>
          </w:p>
        </w:tc>
        <w:tc>
          <w:tcPr>
            <w:tcW w:w="848" w:type="pct"/>
            <w:vAlign w:val="center"/>
          </w:tcPr>
          <w:p w14:paraId="5745CF20" w14:textId="2261D457"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966.305</w:t>
            </w:r>
          </w:p>
        </w:tc>
        <w:tc>
          <w:tcPr>
            <w:tcW w:w="1016" w:type="pct"/>
            <w:vAlign w:val="center"/>
          </w:tcPr>
          <w:p w14:paraId="2C27E368" w14:textId="2BE792FE"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1.366.054</w:t>
            </w:r>
          </w:p>
        </w:tc>
      </w:tr>
      <w:tr w:rsidR="00D1663E" w:rsidRPr="00FB38E1" w14:paraId="5740726B" w14:textId="77777777" w:rsidTr="00836EF2">
        <w:trPr>
          <w:trHeight w:val="20"/>
        </w:trPr>
        <w:tc>
          <w:tcPr>
            <w:tcW w:w="2034" w:type="pct"/>
            <w:tcMar>
              <w:left w:w="170" w:type="dxa"/>
            </w:tcMar>
            <w:vAlign w:val="center"/>
          </w:tcPr>
          <w:p w14:paraId="23DEC159"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Elektrik, Gaz, Su</w:t>
            </w:r>
          </w:p>
        </w:tc>
        <w:tc>
          <w:tcPr>
            <w:tcW w:w="1102" w:type="pct"/>
            <w:vAlign w:val="center"/>
          </w:tcPr>
          <w:p w14:paraId="33AC2B88" w14:textId="665B4B90"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6.446.548</w:t>
            </w:r>
          </w:p>
        </w:tc>
        <w:tc>
          <w:tcPr>
            <w:tcW w:w="848" w:type="pct"/>
            <w:vAlign w:val="center"/>
          </w:tcPr>
          <w:p w14:paraId="6F0EBCB9" w14:textId="4E1D6A0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4.387.832</w:t>
            </w:r>
          </w:p>
        </w:tc>
        <w:tc>
          <w:tcPr>
            <w:tcW w:w="1016" w:type="pct"/>
            <w:vAlign w:val="center"/>
          </w:tcPr>
          <w:p w14:paraId="236AE784" w14:textId="06FE3C4C"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3.867.502</w:t>
            </w:r>
          </w:p>
        </w:tc>
      </w:tr>
      <w:tr w:rsidR="00D1663E" w:rsidRPr="00FB38E1" w14:paraId="3BE161F2" w14:textId="77777777" w:rsidTr="00836EF2">
        <w:trPr>
          <w:trHeight w:val="182"/>
        </w:trPr>
        <w:tc>
          <w:tcPr>
            <w:tcW w:w="2034" w:type="pct"/>
            <w:vAlign w:val="center"/>
          </w:tcPr>
          <w:p w14:paraId="5E7246F0"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İnşaat</w:t>
            </w:r>
          </w:p>
        </w:tc>
        <w:tc>
          <w:tcPr>
            <w:tcW w:w="1102" w:type="pct"/>
            <w:vAlign w:val="center"/>
          </w:tcPr>
          <w:p w14:paraId="61185DBF" w14:textId="7A2F1425"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4.542.421</w:t>
            </w:r>
          </w:p>
        </w:tc>
        <w:tc>
          <w:tcPr>
            <w:tcW w:w="848" w:type="pct"/>
            <w:vAlign w:val="center"/>
          </w:tcPr>
          <w:p w14:paraId="7ED14C30" w14:textId="4BB51BEA"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1.216.041</w:t>
            </w:r>
          </w:p>
        </w:tc>
        <w:tc>
          <w:tcPr>
            <w:tcW w:w="1016" w:type="pct"/>
            <w:vAlign w:val="center"/>
          </w:tcPr>
          <w:p w14:paraId="3E64CB8B" w14:textId="6607ADC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3.076.580</w:t>
            </w:r>
          </w:p>
        </w:tc>
      </w:tr>
      <w:tr w:rsidR="00D1663E" w:rsidRPr="00FB38E1" w14:paraId="03159BD9" w14:textId="77777777" w:rsidTr="00836EF2">
        <w:trPr>
          <w:trHeight w:val="182"/>
        </w:trPr>
        <w:tc>
          <w:tcPr>
            <w:tcW w:w="2034" w:type="pct"/>
            <w:vAlign w:val="center"/>
          </w:tcPr>
          <w:p w14:paraId="50776192"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Hizmetler</w:t>
            </w:r>
          </w:p>
        </w:tc>
        <w:tc>
          <w:tcPr>
            <w:tcW w:w="1102" w:type="pct"/>
            <w:vAlign w:val="center"/>
          </w:tcPr>
          <w:p w14:paraId="0EE70405" w14:textId="0DB9737A"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16.786.807</w:t>
            </w:r>
          </w:p>
        </w:tc>
        <w:tc>
          <w:tcPr>
            <w:tcW w:w="848" w:type="pct"/>
            <w:vAlign w:val="center"/>
          </w:tcPr>
          <w:p w14:paraId="4F91EF75" w14:textId="0F2D7B6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6.133.474</w:t>
            </w:r>
          </w:p>
        </w:tc>
        <w:tc>
          <w:tcPr>
            <w:tcW w:w="1016" w:type="pct"/>
            <w:vAlign w:val="center"/>
          </w:tcPr>
          <w:p w14:paraId="2C9C4BD3" w14:textId="4A9ABF85"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10.269.101</w:t>
            </w:r>
          </w:p>
        </w:tc>
      </w:tr>
      <w:tr w:rsidR="00D1663E" w:rsidRPr="00FB38E1" w14:paraId="322C5280" w14:textId="77777777" w:rsidTr="00836EF2">
        <w:trPr>
          <w:trHeight w:val="182"/>
        </w:trPr>
        <w:tc>
          <w:tcPr>
            <w:tcW w:w="2034" w:type="pct"/>
            <w:tcMar>
              <w:left w:w="170" w:type="dxa"/>
            </w:tcMar>
            <w:vAlign w:val="center"/>
          </w:tcPr>
          <w:p w14:paraId="6F087E2A"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Toptan ve Perakende Ticaret</w:t>
            </w:r>
          </w:p>
        </w:tc>
        <w:tc>
          <w:tcPr>
            <w:tcW w:w="1102" w:type="pct"/>
            <w:vAlign w:val="center"/>
          </w:tcPr>
          <w:p w14:paraId="33DD0327" w14:textId="286AA0FB"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4.230.669</w:t>
            </w:r>
          </w:p>
        </w:tc>
        <w:tc>
          <w:tcPr>
            <w:tcW w:w="848" w:type="pct"/>
            <w:vAlign w:val="center"/>
          </w:tcPr>
          <w:p w14:paraId="40CEBD52" w14:textId="4921C9AF"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2.664.992</w:t>
            </w:r>
          </w:p>
        </w:tc>
        <w:tc>
          <w:tcPr>
            <w:tcW w:w="1016" w:type="pct"/>
            <w:vAlign w:val="center"/>
          </w:tcPr>
          <w:p w14:paraId="5641B792" w14:textId="1C2008BF"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4.289.916</w:t>
            </w:r>
          </w:p>
        </w:tc>
      </w:tr>
      <w:tr w:rsidR="00D1663E" w:rsidRPr="00FB38E1" w14:paraId="1060FF92" w14:textId="77777777" w:rsidTr="00836EF2">
        <w:trPr>
          <w:trHeight w:val="182"/>
        </w:trPr>
        <w:tc>
          <w:tcPr>
            <w:tcW w:w="2034" w:type="pct"/>
            <w:tcMar>
              <w:left w:w="170" w:type="dxa"/>
            </w:tcMar>
            <w:vAlign w:val="center"/>
          </w:tcPr>
          <w:p w14:paraId="6965D901"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Otel ve Lokanta Hizmetleri</w:t>
            </w:r>
          </w:p>
        </w:tc>
        <w:tc>
          <w:tcPr>
            <w:tcW w:w="1102" w:type="pct"/>
            <w:vAlign w:val="center"/>
          </w:tcPr>
          <w:p w14:paraId="0342F9C5" w14:textId="519B5D3A"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11.106.322</w:t>
            </w:r>
          </w:p>
        </w:tc>
        <w:tc>
          <w:tcPr>
            <w:tcW w:w="848" w:type="pct"/>
            <w:vAlign w:val="center"/>
          </w:tcPr>
          <w:p w14:paraId="3B74BE74" w14:textId="50E70380"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1.532.819</w:t>
            </w:r>
          </w:p>
        </w:tc>
        <w:tc>
          <w:tcPr>
            <w:tcW w:w="1016" w:type="pct"/>
            <w:vAlign w:val="center"/>
          </w:tcPr>
          <w:p w14:paraId="08BB315A" w14:textId="09C0F909"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4.122.323</w:t>
            </w:r>
          </w:p>
        </w:tc>
      </w:tr>
      <w:tr w:rsidR="00D1663E" w:rsidRPr="00FB38E1" w14:paraId="7C096DA2" w14:textId="77777777" w:rsidTr="00836EF2">
        <w:trPr>
          <w:trHeight w:val="182"/>
        </w:trPr>
        <w:tc>
          <w:tcPr>
            <w:tcW w:w="2034" w:type="pct"/>
            <w:tcMar>
              <w:left w:w="170" w:type="dxa"/>
            </w:tcMar>
            <w:vAlign w:val="center"/>
          </w:tcPr>
          <w:p w14:paraId="74394E84"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Ulaşım ve Haberleşme</w:t>
            </w:r>
          </w:p>
        </w:tc>
        <w:tc>
          <w:tcPr>
            <w:tcW w:w="1102" w:type="pct"/>
            <w:vAlign w:val="center"/>
          </w:tcPr>
          <w:p w14:paraId="55860CEC" w14:textId="6CAF0AB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447.070</w:t>
            </w:r>
          </w:p>
        </w:tc>
        <w:tc>
          <w:tcPr>
            <w:tcW w:w="848" w:type="pct"/>
            <w:vAlign w:val="center"/>
          </w:tcPr>
          <w:p w14:paraId="12AA9407" w14:textId="5D5021AD"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1.477.390</w:t>
            </w:r>
          </w:p>
        </w:tc>
        <w:tc>
          <w:tcPr>
            <w:tcW w:w="1016" w:type="pct"/>
            <w:vAlign w:val="center"/>
          </w:tcPr>
          <w:p w14:paraId="34FD7F4D" w14:textId="475D8C49"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1.223.695</w:t>
            </w:r>
          </w:p>
        </w:tc>
      </w:tr>
      <w:tr w:rsidR="00D1663E" w:rsidRPr="00FB38E1" w14:paraId="22EF5369" w14:textId="77777777" w:rsidTr="00836EF2">
        <w:trPr>
          <w:trHeight w:val="171"/>
        </w:trPr>
        <w:tc>
          <w:tcPr>
            <w:tcW w:w="2034" w:type="pct"/>
            <w:tcMar>
              <w:left w:w="170" w:type="dxa"/>
            </w:tcMar>
            <w:vAlign w:val="center"/>
          </w:tcPr>
          <w:p w14:paraId="10BFD6B1"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Mali Kuruluşlar</w:t>
            </w:r>
          </w:p>
        </w:tc>
        <w:tc>
          <w:tcPr>
            <w:tcW w:w="1102" w:type="pct"/>
            <w:vAlign w:val="center"/>
          </w:tcPr>
          <w:p w14:paraId="2A9BFB13" w14:textId="0A332A7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171.334</w:t>
            </w:r>
          </w:p>
        </w:tc>
        <w:tc>
          <w:tcPr>
            <w:tcW w:w="848" w:type="pct"/>
            <w:vAlign w:val="center"/>
          </w:tcPr>
          <w:p w14:paraId="3CFBD946" w14:textId="01EC7B54"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32.865</w:t>
            </w:r>
          </w:p>
        </w:tc>
        <w:tc>
          <w:tcPr>
            <w:tcW w:w="1016" w:type="pct"/>
            <w:vAlign w:val="center"/>
          </w:tcPr>
          <w:p w14:paraId="24CB3650" w14:textId="1160C936"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75.853</w:t>
            </w:r>
          </w:p>
        </w:tc>
      </w:tr>
      <w:tr w:rsidR="00D1663E" w:rsidRPr="00FB38E1" w14:paraId="4057FFAE" w14:textId="77777777" w:rsidTr="00836EF2">
        <w:trPr>
          <w:trHeight w:val="182"/>
        </w:trPr>
        <w:tc>
          <w:tcPr>
            <w:tcW w:w="2034" w:type="pct"/>
            <w:tcMar>
              <w:left w:w="170" w:type="dxa"/>
            </w:tcMar>
            <w:vAlign w:val="center"/>
          </w:tcPr>
          <w:p w14:paraId="525FAD66"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Gayrimenkul ve Kira Hizm.</w:t>
            </w:r>
          </w:p>
        </w:tc>
        <w:tc>
          <w:tcPr>
            <w:tcW w:w="1102" w:type="pct"/>
            <w:vAlign w:val="center"/>
          </w:tcPr>
          <w:p w14:paraId="3B8BFC1E" w14:textId="19A708EF"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165.550</w:t>
            </w:r>
          </w:p>
        </w:tc>
        <w:tc>
          <w:tcPr>
            <w:tcW w:w="848" w:type="pct"/>
            <w:vAlign w:val="center"/>
          </w:tcPr>
          <w:p w14:paraId="0453F17B" w14:textId="1F29577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130.643</w:t>
            </w:r>
          </w:p>
        </w:tc>
        <w:tc>
          <w:tcPr>
            <w:tcW w:w="1016" w:type="pct"/>
            <w:vAlign w:val="center"/>
          </w:tcPr>
          <w:p w14:paraId="2363A259" w14:textId="47C28398"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80.698</w:t>
            </w:r>
          </w:p>
        </w:tc>
      </w:tr>
      <w:tr w:rsidR="00D1663E" w:rsidRPr="00FB38E1" w14:paraId="145118D7" w14:textId="77777777" w:rsidTr="00836EF2">
        <w:trPr>
          <w:trHeight w:val="182"/>
        </w:trPr>
        <w:tc>
          <w:tcPr>
            <w:tcW w:w="2034" w:type="pct"/>
            <w:tcMar>
              <w:left w:w="170" w:type="dxa"/>
            </w:tcMar>
            <w:vAlign w:val="center"/>
          </w:tcPr>
          <w:p w14:paraId="0AF89DC4"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Serbest Meslek Hizmetleri</w:t>
            </w:r>
          </w:p>
        </w:tc>
        <w:tc>
          <w:tcPr>
            <w:tcW w:w="1102" w:type="pct"/>
            <w:vAlign w:val="center"/>
          </w:tcPr>
          <w:p w14:paraId="7EC91CB9" w14:textId="6F0BD7FE"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576.706</w:t>
            </w:r>
          </w:p>
        </w:tc>
        <w:tc>
          <w:tcPr>
            <w:tcW w:w="848" w:type="pct"/>
            <w:vAlign w:val="center"/>
          </w:tcPr>
          <w:p w14:paraId="045FF214" w14:textId="644A04B9"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92.718</w:t>
            </w:r>
          </w:p>
        </w:tc>
        <w:tc>
          <w:tcPr>
            <w:tcW w:w="1016" w:type="pct"/>
            <w:vAlign w:val="center"/>
          </w:tcPr>
          <w:p w14:paraId="6FD688F5" w14:textId="60DCA46E"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309.251</w:t>
            </w:r>
          </w:p>
        </w:tc>
      </w:tr>
      <w:tr w:rsidR="00D1663E" w:rsidRPr="00FB38E1" w14:paraId="6DB43CC2" w14:textId="77777777" w:rsidTr="00836EF2">
        <w:trPr>
          <w:trHeight w:val="182"/>
        </w:trPr>
        <w:tc>
          <w:tcPr>
            <w:tcW w:w="2034" w:type="pct"/>
            <w:tcMar>
              <w:left w:w="170" w:type="dxa"/>
            </w:tcMar>
            <w:vAlign w:val="center"/>
          </w:tcPr>
          <w:p w14:paraId="0632B112"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Eğitim Hizmetleri</w:t>
            </w:r>
          </w:p>
        </w:tc>
        <w:tc>
          <w:tcPr>
            <w:tcW w:w="1102" w:type="pct"/>
            <w:vAlign w:val="center"/>
          </w:tcPr>
          <w:p w14:paraId="61BFC585" w14:textId="21236838"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60.058</w:t>
            </w:r>
          </w:p>
        </w:tc>
        <w:tc>
          <w:tcPr>
            <w:tcW w:w="848" w:type="pct"/>
            <w:vAlign w:val="center"/>
          </w:tcPr>
          <w:p w14:paraId="1509722F" w14:textId="579741A3"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59.888</w:t>
            </w:r>
          </w:p>
        </w:tc>
        <w:tc>
          <w:tcPr>
            <w:tcW w:w="1016" w:type="pct"/>
            <w:vAlign w:val="center"/>
          </w:tcPr>
          <w:p w14:paraId="266E3A03" w14:textId="6FE59EA0"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57.448</w:t>
            </w:r>
          </w:p>
        </w:tc>
      </w:tr>
      <w:tr w:rsidR="00D1663E" w:rsidRPr="00FB38E1" w14:paraId="6744127B" w14:textId="77777777" w:rsidTr="00836EF2">
        <w:trPr>
          <w:trHeight w:val="182"/>
        </w:trPr>
        <w:tc>
          <w:tcPr>
            <w:tcW w:w="2034" w:type="pct"/>
            <w:tcMar>
              <w:left w:w="170" w:type="dxa"/>
            </w:tcMar>
            <w:vAlign w:val="center"/>
          </w:tcPr>
          <w:p w14:paraId="368BDD1B"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Sağlık ve Sosyal Hizmetler</w:t>
            </w:r>
          </w:p>
        </w:tc>
        <w:tc>
          <w:tcPr>
            <w:tcW w:w="1102" w:type="pct"/>
            <w:vAlign w:val="center"/>
          </w:tcPr>
          <w:p w14:paraId="2EAE2DC0" w14:textId="36E3F03A"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29.098</w:t>
            </w:r>
          </w:p>
        </w:tc>
        <w:tc>
          <w:tcPr>
            <w:tcW w:w="848" w:type="pct"/>
            <w:vAlign w:val="center"/>
          </w:tcPr>
          <w:p w14:paraId="6B1DE987" w14:textId="151974A8"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142.159</w:t>
            </w:r>
          </w:p>
        </w:tc>
        <w:tc>
          <w:tcPr>
            <w:tcW w:w="1016" w:type="pct"/>
            <w:vAlign w:val="center"/>
          </w:tcPr>
          <w:p w14:paraId="7594C485" w14:textId="00359038"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109.917</w:t>
            </w:r>
          </w:p>
        </w:tc>
      </w:tr>
      <w:tr w:rsidR="00D1663E" w:rsidRPr="00FB38E1" w14:paraId="3D547FAD" w14:textId="77777777" w:rsidTr="00836EF2">
        <w:trPr>
          <w:trHeight w:val="182"/>
        </w:trPr>
        <w:tc>
          <w:tcPr>
            <w:tcW w:w="2034" w:type="pct"/>
            <w:vAlign w:val="center"/>
          </w:tcPr>
          <w:p w14:paraId="3985F5BD"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b/>
                <w:color w:val="404040"/>
                <w:sz w:val="16"/>
                <w:szCs w:val="16"/>
              </w:rPr>
              <w:t>Diğer</w:t>
            </w:r>
          </w:p>
        </w:tc>
        <w:tc>
          <w:tcPr>
            <w:tcW w:w="1102" w:type="pct"/>
            <w:vAlign w:val="center"/>
          </w:tcPr>
          <w:p w14:paraId="63313391" w14:textId="395E4C4C"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15.118.776</w:t>
            </w:r>
          </w:p>
        </w:tc>
        <w:tc>
          <w:tcPr>
            <w:tcW w:w="848" w:type="pct"/>
            <w:vAlign w:val="center"/>
          </w:tcPr>
          <w:p w14:paraId="71942EB2" w14:textId="6A143774"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5.404.887</w:t>
            </w:r>
          </w:p>
        </w:tc>
        <w:tc>
          <w:tcPr>
            <w:tcW w:w="1016" w:type="pct"/>
            <w:vAlign w:val="center"/>
          </w:tcPr>
          <w:p w14:paraId="5CD04784" w14:textId="365AD3F4"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7.659.622</w:t>
            </w:r>
          </w:p>
        </w:tc>
      </w:tr>
      <w:tr w:rsidR="00D1663E" w:rsidRPr="00FB38E1" w14:paraId="545412CA" w14:textId="77777777" w:rsidTr="00836EF2">
        <w:trPr>
          <w:trHeight w:val="182"/>
        </w:trPr>
        <w:tc>
          <w:tcPr>
            <w:tcW w:w="2034" w:type="pct"/>
            <w:tcBorders>
              <w:top w:val="single" w:sz="4" w:space="0" w:color="auto"/>
              <w:bottom w:val="thickThinSmallGap" w:sz="24" w:space="0" w:color="auto"/>
            </w:tcBorders>
            <w:vAlign w:val="bottom"/>
          </w:tcPr>
          <w:p w14:paraId="6DB2D8D3" w14:textId="77777777" w:rsidR="00D1663E" w:rsidRPr="00FB38E1" w:rsidRDefault="00D1663E" w:rsidP="00D1663E">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1102" w:type="pct"/>
            <w:tcBorders>
              <w:top w:val="single" w:sz="4" w:space="0" w:color="auto"/>
              <w:bottom w:val="thickThinSmallGap" w:sz="24" w:space="0" w:color="auto"/>
            </w:tcBorders>
            <w:vAlign w:val="center"/>
          </w:tcPr>
          <w:p w14:paraId="013513B6" w14:textId="784D3FB7" w:rsidR="00D1663E" w:rsidRPr="00FB38E1" w:rsidRDefault="00D1663E" w:rsidP="00D1663E">
            <w:pPr>
              <w:jc w:val="right"/>
              <w:rPr>
                <w:rFonts w:ascii="Microsoft Sans Serif" w:hAnsi="Microsoft Sans Serif" w:cs="Microsoft Sans Serif"/>
                <w:b/>
                <w:sz w:val="16"/>
                <w:szCs w:val="16"/>
              </w:rPr>
            </w:pPr>
            <w:r w:rsidRPr="00FB38E1">
              <w:rPr>
                <w:rFonts w:ascii="Microsoft Sans Serif" w:hAnsi="Microsoft Sans Serif" w:cs="Microsoft Sans Serif"/>
                <w:b/>
                <w:bCs/>
                <w:color w:val="000000"/>
                <w:sz w:val="16"/>
                <w:szCs w:val="16"/>
              </w:rPr>
              <w:t>46.957.524</w:t>
            </w:r>
          </w:p>
        </w:tc>
        <w:tc>
          <w:tcPr>
            <w:tcW w:w="848" w:type="pct"/>
            <w:tcBorders>
              <w:top w:val="single" w:sz="4" w:space="0" w:color="auto"/>
              <w:bottom w:val="thickThinSmallGap" w:sz="24" w:space="0" w:color="auto"/>
            </w:tcBorders>
            <w:vAlign w:val="center"/>
          </w:tcPr>
          <w:p w14:paraId="6C41E6BC" w14:textId="776C2E48" w:rsidR="00D1663E" w:rsidRPr="00FB38E1" w:rsidRDefault="00D1663E" w:rsidP="00D1663E">
            <w:pPr>
              <w:jc w:val="right"/>
              <w:rPr>
                <w:rFonts w:ascii="Microsoft Sans Serif" w:hAnsi="Microsoft Sans Serif" w:cs="Microsoft Sans Serif"/>
                <w:b/>
                <w:sz w:val="16"/>
                <w:szCs w:val="16"/>
              </w:rPr>
            </w:pPr>
            <w:r w:rsidRPr="00FB38E1">
              <w:rPr>
                <w:rFonts w:ascii="Microsoft Sans Serif" w:hAnsi="Microsoft Sans Serif" w:cs="Microsoft Sans Serif"/>
                <w:b/>
                <w:bCs/>
                <w:color w:val="000000"/>
                <w:sz w:val="16"/>
                <w:szCs w:val="16"/>
              </w:rPr>
              <w:t>21.224.916</w:t>
            </w:r>
          </w:p>
        </w:tc>
        <w:tc>
          <w:tcPr>
            <w:tcW w:w="1016" w:type="pct"/>
            <w:tcBorders>
              <w:top w:val="single" w:sz="4" w:space="0" w:color="auto"/>
              <w:bottom w:val="thickThinSmallGap" w:sz="24" w:space="0" w:color="auto"/>
            </w:tcBorders>
            <w:vAlign w:val="center"/>
          </w:tcPr>
          <w:p w14:paraId="373DAE4A" w14:textId="6DC3C533" w:rsidR="00D1663E" w:rsidRPr="00FB38E1" w:rsidRDefault="00D1663E" w:rsidP="00D1663E">
            <w:pPr>
              <w:jc w:val="right"/>
              <w:rPr>
                <w:rFonts w:ascii="Microsoft Sans Serif" w:hAnsi="Microsoft Sans Serif" w:cs="Microsoft Sans Serif"/>
                <w:b/>
                <w:sz w:val="16"/>
                <w:szCs w:val="16"/>
              </w:rPr>
            </w:pPr>
            <w:r w:rsidRPr="00FB38E1">
              <w:rPr>
                <w:rFonts w:ascii="Microsoft Sans Serif" w:hAnsi="Microsoft Sans Serif" w:cs="Microsoft Sans Serif"/>
                <w:b/>
                <w:bCs/>
                <w:color w:val="000000"/>
                <w:sz w:val="16"/>
                <w:szCs w:val="16"/>
              </w:rPr>
              <w:t>28.558.838</w:t>
            </w:r>
          </w:p>
        </w:tc>
      </w:tr>
    </w:tbl>
    <w:p w14:paraId="3861BB48" w14:textId="77777777" w:rsidR="00D1663E" w:rsidRPr="00FB38E1" w:rsidRDefault="00D1663E" w:rsidP="00D1663E">
      <w:pPr>
        <w:pStyle w:val="Head3"/>
        <w:keepNext w:val="0"/>
        <w:keepLines w:val="0"/>
        <w:spacing w:before="120" w:after="0" w:line="240" w:lineRule="auto"/>
        <w:ind w:right="0" w:firstLine="0"/>
        <w:rPr>
          <w:rFonts w:ascii="Microsoft Sans Serif" w:hAnsi="Microsoft Sans Serif" w:cs="Microsoft Sans Serif"/>
          <w:b w:val="0"/>
          <w:i w:val="0"/>
          <w:color w:val="404040" w:themeColor="text1" w:themeTint="BF"/>
          <w:sz w:val="16"/>
          <w:szCs w:val="16"/>
        </w:rPr>
      </w:pPr>
      <w:r w:rsidRPr="00FB38E1">
        <w:rPr>
          <w:rFonts w:ascii="Microsoft Sans Serif" w:hAnsi="Microsoft Sans Serif" w:cs="Microsoft Sans Serif"/>
          <w:b w:val="0"/>
          <w:i w:val="0"/>
          <w:color w:val="404040" w:themeColor="text1" w:themeTint="BF"/>
          <w:sz w:val="16"/>
          <w:szCs w:val="16"/>
        </w:rPr>
        <w:t xml:space="preserve"> (*) Gerçeğe uygun değer farkı kar/zarara yansıtılan kredilerin bakiyesi dahil değildir.</w:t>
      </w:r>
    </w:p>
    <w:p w14:paraId="185A8237" w14:textId="77777777" w:rsidR="00D1663E" w:rsidRPr="00FB38E1" w:rsidRDefault="00D1663E" w:rsidP="00D1663E">
      <w:pPr>
        <w:spacing w:after="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Nakdi krediler verilmiştir.</w:t>
      </w:r>
    </w:p>
    <w:p w14:paraId="63422F47" w14:textId="77777777" w:rsidR="00D1663E" w:rsidRPr="00FB38E1" w:rsidRDefault="00D1663E" w:rsidP="00D1663E">
      <w:pPr>
        <w:spacing w:after="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İkinci ve üçüncü aşama karşılıkları içermektedir.</w:t>
      </w:r>
    </w:p>
    <w:p w14:paraId="7D1C9294" w14:textId="77777777" w:rsidR="00D1663E" w:rsidRPr="00FB38E1" w:rsidRDefault="00D1663E" w:rsidP="00364B59">
      <w:pPr>
        <w:pStyle w:val="ListParagraph"/>
        <w:numPr>
          <w:ilvl w:val="0"/>
          <w:numId w:val="51"/>
        </w:numPr>
        <w:spacing w:before="240" w:after="120" w:line="240" w:lineRule="exact"/>
        <w:ind w:left="0" w:hanging="567"/>
        <w:contextualSpacing w:val="0"/>
        <w:rPr>
          <w:rFonts w:ascii="Microsoft Sans Serif" w:hAnsi="Microsoft Sans Serif" w:cs="Microsoft Sans Serif"/>
          <w:i/>
          <w:iCs/>
          <w:sz w:val="20"/>
          <w:szCs w:val="20"/>
        </w:rPr>
      </w:pPr>
      <w:r w:rsidRPr="00FB38E1">
        <w:rPr>
          <w:rFonts w:ascii="Microsoft Sans Serif" w:hAnsi="Microsoft Sans Serif" w:cs="Microsoft Sans Serif"/>
          <w:b/>
          <w:iCs/>
          <w:sz w:val="20"/>
          <w:szCs w:val="20"/>
        </w:rPr>
        <w:t>Değer ayarlamaları ve kredi karşılıkları değişimine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4"/>
        <w:gridCol w:w="1843"/>
        <w:gridCol w:w="1276"/>
        <w:gridCol w:w="1417"/>
        <w:gridCol w:w="1049"/>
      </w:tblGrid>
      <w:tr w:rsidR="00D1663E" w:rsidRPr="00FB38E1" w14:paraId="571A392D" w14:textId="77777777" w:rsidTr="00836EF2">
        <w:tc>
          <w:tcPr>
            <w:tcW w:w="2103" w:type="pct"/>
            <w:tcBorders>
              <w:top w:val="thinThickSmallGap" w:sz="24" w:space="0" w:color="auto"/>
              <w:bottom w:val="single" w:sz="4" w:space="0" w:color="auto"/>
            </w:tcBorders>
            <w:vAlign w:val="center"/>
          </w:tcPr>
          <w:p w14:paraId="4C302529" w14:textId="650B998E" w:rsidR="00D1663E" w:rsidRPr="00FB38E1" w:rsidRDefault="00D1663E" w:rsidP="00836EF2">
            <w:pPr>
              <w:jc w:val="left"/>
              <w:rPr>
                <w:rFonts w:ascii="Microsoft Sans Serif" w:hAnsi="Microsoft Sans Serif" w:cs="Microsoft Sans Serif"/>
                <w:color w:val="000000"/>
                <w:sz w:val="16"/>
                <w:szCs w:val="16"/>
              </w:rPr>
            </w:pPr>
            <w:bookmarkStart w:id="28" w:name="_Hlk32669573"/>
            <w:r w:rsidRPr="00FB38E1">
              <w:rPr>
                <w:rFonts w:ascii="Microsoft Sans Serif" w:hAnsi="Microsoft Sans Serif" w:cs="Microsoft Sans Serif"/>
                <w:b/>
                <w:color w:val="000000"/>
                <w:sz w:val="16"/>
                <w:szCs w:val="16"/>
              </w:rPr>
              <w:t>Cari Dönem: 31 Aralık 2024</w:t>
            </w:r>
          </w:p>
        </w:tc>
        <w:tc>
          <w:tcPr>
            <w:tcW w:w="956" w:type="pct"/>
            <w:tcBorders>
              <w:top w:val="thinThickSmallGap" w:sz="24" w:space="0" w:color="auto"/>
              <w:bottom w:val="single" w:sz="4" w:space="0" w:color="auto"/>
            </w:tcBorders>
            <w:vAlign w:val="bottom"/>
          </w:tcPr>
          <w:p w14:paraId="6E0E7739"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Açılış Bakiyesi </w:t>
            </w:r>
          </w:p>
          <w:p w14:paraId="3C00C409" w14:textId="1722869F"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1 Ocak 2024 </w:t>
            </w:r>
          </w:p>
        </w:tc>
        <w:tc>
          <w:tcPr>
            <w:tcW w:w="662" w:type="pct"/>
            <w:tcBorders>
              <w:top w:val="thinThickSmallGap" w:sz="24" w:space="0" w:color="auto"/>
              <w:bottom w:val="single" w:sz="4" w:space="0" w:color="auto"/>
            </w:tcBorders>
            <w:vAlign w:val="bottom"/>
          </w:tcPr>
          <w:p w14:paraId="046D70B4"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İçinde Ayrılan Karşılık</w:t>
            </w:r>
          </w:p>
        </w:tc>
        <w:tc>
          <w:tcPr>
            <w:tcW w:w="735" w:type="pct"/>
            <w:tcBorders>
              <w:top w:val="thinThickSmallGap" w:sz="24" w:space="0" w:color="auto"/>
              <w:bottom w:val="single" w:sz="4" w:space="0" w:color="auto"/>
            </w:tcBorders>
            <w:vAlign w:val="bottom"/>
          </w:tcPr>
          <w:p w14:paraId="75895E49"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Diğer Ayarlamalar(*)</w:t>
            </w:r>
          </w:p>
        </w:tc>
        <w:tc>
          <w:tcPr>
            <w:tcW w:w="544" w:type="pct"/>
            <w:tcBorders>
              <w:top w:val="thinThickSmallGap" w:sz="24" w:space="0" w:color="auto"/>
              <w:bottom w:val="single" w:sz="4" w:space="0" w:color="auto"/>
            </w:tcBorders>
            <w:vAlign w:val="bottom"/>
          </w:tcPr>
          <w:p w14:paraId="31F31FDD"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Kapanış bakiyesi</w:t>
            </w:r>
          </w:p>
        </w:tc>
      </w:tr>
      <w:tr w:rsidR="00B44925" w:rsidRPr="00FB38E1" w14:paraId="34F42A3A" w14:textId="77777777" w:rsidTr="00836EF2">
        <w:tc>
          <w:tcPr>
            <w:tcW w:w="2103" w:type="pct"/>
            <w:tcBorders>
              <w:top w:val="single" w:sz="4" w:space="0" w:color="auto"/>
              <w:bottom w:val="nil"/>
            </w:tcBorders>
            <w:vAlign w:val="center"/>
          </w:tcPr>
          <w:p w14:paraId="24104FA9"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Temerrüt (Üçüncü Aşama/Özel Karşılık)</w:t>
            </w:r>
          </w:p>
        </w:tc>
        <w:tc>
          <w:tcPr>
            <w:tcW w:w="956" w:type="pct"/>
            <w:tcBorders>
              <w:top w:val="single" w:sz="4" w:space="0" w:color="auto"/>
              <w:bottom w:val="nil"/>
            </w:tcBorders>
            <w:vAlign w:val="center"/>
          </w:tcPr>
          <w:p w14:paraId="20CCD7D8" w14:textId="5B03D843"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14.378.131</w:t>
            </w:r>
          </w:p>
        </w:tc>
        <w:tc>
          <w:tcPr>
            <w:tcW w:w="662" w:type="pct"/>
            <w:tcBorders>
              <w:top w:val="single" w:sz="4" w:space="0" w:color="auto"/>
              <w:bottom w:val="nil"/>
            </w:tcBorders>
            <w:vAlign w:val="center"/>
          </w:tcPr>
          <w:p w14:paraId="6D813DF3" w14:textId="4C09CA45"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1.868.485</w:t>
            </w:r>
          </w:p>
        </w:tc>
        <w:tc>
          <w:tcPr>
            <w:tcW w:w="735" w:type="pct"/>
            <w:tcBorders>
              <w:top w:val="single" w:sz="4" w:space="0" w:color="auto"/>
              <w:bottom w:val="nil"/>
            </w:tcBorders>
            <w:vAlign w:val="center"/>
          </w:tcPr>
          <w:p w14:paraId="1232943B" w14:textId="74CE1594"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520.599</w:t>
            </w:r>
          </w:p>
        </w:tc>
        <w:tc>
          <w:tcPr>
            <w:tcW w:w="544" w:type="pct"/>
            <w:tcBorders>
              <w:top w:val="single" w:sz="4" w:space="0" w:color="auto"/>
              <w:bottom w:val="nil"/>
            </w:tcBorders>
            <w:vAlign w:val="center"/>
          </w:tcPr>
          <w:p w14:paraId="396D6623" w14:textId="3372EED0" w:rsidR="00B44925" w:rsidRPr="00FB38E1" w:rsidRDefault="00B44925" w:rsidP="00B44925">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16.767.215</w:t>
            </w:r>
          </w:p>
        </w:tc>
      </w:tr>
      <w:tr w:rsidR="00B44925" w:rsidRPr="00FB38E1" w14:paraId="75BCF3AE" w14:textId="77777777" w:rsidTr="00836EF2">
        <w:tc>
          <w:tcPr>
            <w:tcW w:w="2103" w:type="pct"/>
            <w:tcBorders>
              <w:top w:val="nil"/>
              <w:bottom w:val="nil"/>
            </w:tcBorders>
            <w:vAlign w:val="center"/>
          </w:tcPr>
          <w:p w14:paraId="1604C0EC"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 Aylık Beklenen Zarar Karşılığı (Birinci Aşama)</w:t>
            </w:r>
          </w:p>
        </w:tc>
        <w:tc>
          <w:tcPr>
            <w:tcW w:w="956" w:type="pct"/>
            <w:tcBorders>
              <w:top w:val="nil"/>
              <w:bottom w:val="nil"/>
            </w:tcBorders>
            <w:vAlign w:val="center"/>
          </w:tcPr>
          <w:p w14:paraId="4F69ED02" w14:textId="0AA9DC22"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6.341.630</w:t>
            </w:r>
          </w:p>
        </w:tc>
        <w:tc>
          <w:tcPr>
            <w:tcW w:w="662" w:type="pct"/>
            <w:tcBorders>
              <w:top w:val="nil"/>
              <w:bottom w:val="nil"/>
            </w:tcBorders>
            <w:vAlign w:val="center"/>
          </w:tcPr>
          <w:p w14:paraId="2DB64650" w14:textId="00E5224D"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(758.309)</w:t>
            </w:r>
          </w:p>
        </w:tc>
        <w:tc>
          <w:tcPr>
            <w:tcW w:w="735" w:type="pct"/>
            <w:tcBorders>
              <w:top w:val="nil"/>
              <w:bottom w:val="nil"/>
            </w:tcBorders>
            <w:vAlign w:val="center"/>
          </w:tcPr>
          <w:p w14:paraId="44B423B5" w14:textId="4F6142EA"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398.865</w:t>
            </w:r>
          </w:p>
        </w:tc>
        <w:tc>
          <w:tcPr>
            <w:tcW w:w="544" w:type="pct"/>
            <w:tcBorders>
              <w:top w:val="nil"/>
              <w:bottom w:val="nil"/>
            </w:tcBorders>
            <w:vAlign w:val="center"/>
          </w:tcPr>
          <w:p w14:paraId="4DCABCE1" w14:textId="7895FCEC" w:rsidR="00B44925" w:rsidRPr="00FB38E1" w:rsidRDefault="00B44925" w:rsidP="00B44925">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5.982.186</w:t>
            </w:r>
          </w:p>
        </w:tc>
      </w:tr>
      <w:tr w:rsidR="00B44925" w:rsidRPr="00FB38E1" w14:paraId="7A4DEAB9" w14:textId="77777777" w:rsidTr="00836EF2">
        <w:tc>
          <w:tcPr>
            <w:tcW w:w="2103" w:type="pct"/>
            <w:tcBorders>
              <w:top w:val="nil"/>
              <w:bottom w:val="thickThinSmallGap" w:sz="24" w:space="0" w:color="auto"/>
            </w:tcBorders>
            <w:vAlign w:val="center"/>
          </w:tcPr>
          <w:p w14:paraId="6CDD4249" w14:textId="77777777" w:rsidR="00B44925" w:rsidRPr="00FB38E1" w:rsidRDefault="00B44925" w:rsidP="00B44925">
            <w:pPr>
              <w:jc w:val="left"/>
              <w:rPr>
                <w:rFonts w:ascii="Trebuchet MS" w:hAnsi="Trebuchet MS"/>
                <w:sz w:val="16"/>
                <w:szCs w:val="16"/>
              </w:rPr>
            </w:pPr>
            <w:r w:rsidRPr="00FB38E1">
              <w:rPr>
                <w:rFonts w:ascii="Microsoft Sans Serif" w:hAnsi="Microsoft Sans Serif" w:cs="Microsoft Sans Serif"/>
                <w:color w:val="404040"/>
                <w:sz w:val="16"/>
                <w:szCs w:val="16"/>
              </w:rPr>
              <w:t>Kredi Riskinde Önemli Artış (İkinci Aşama)</w:t>
            </w:r>
          </w:p>
        </w:tc>
        <w:tc>
          <w:tcPr>
            <w:tcW w:w="956" w:type="pct"/>
            <w:tcBorders>
              <w:top w:val="nil"/>
              <w:bottom w:val="thickThinSmallGap" w:sz="24" w:space="0" w:color="auto"/>
            </w:tcBorders>
            <w:vAlign w:val="center"/>
          </w:tcPr>
          <w:p w14:paraId="7F44CFE5" w14:textId="4929BADF"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14.180.707</w:t>
            </w:r>
          </w:p>
        </w:tc>
        <w:tc>
          <w:tcPr>
            <w:tcW w:w="662" w:type="pct"/>
            <w:tcBorders>
              <w:top w:val="nil"/>
              <w:bottom w:val="thickThinSmallGap" w:sz="24" w:space="0" w:color="auto"/>
            </w:tcBorders>
            <w:vAlign w:val="center"/>
          </w:tcPr>
          <w:p w14:paraId="0DE87B41" w14:textId="5F3A7A17"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(2.234.129)</w:t>
            </w:r>
          </w:p>
        </w:tc>
        <w:tc>
          <w:tcPr>
            <w:tcW w:w="735" w:type="pct"/>
            <w:tcBorders>
              <w:top w:val="nil"/>
              <w:bottom w:val="thickThinSmallGap" w:sz="24" w:space="0" w:color="auto"/>
            </w:tcBorders>
            <w:vAlign w:val="center"/>
          </w:tcPr>
          <w:p w14:paraId="2ACD3838" w14:textId="14B32148"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1.339.619</w:t>
            </w:r>
          </w:p>
        </w:tc>
        <w:tc>
          <w:tcPr>
            <w:tcW w:w="544" w:type="pct"/>
            <w:tcBorders>
              <w:top w:val="nil"/>
              <w:bottom w:val="thickThinSmallGap" w:sz="24" w:space="0" w:color="auto"/>
            </w:tcBorders>
            <w:vAlign w:val="center"/>
          </w:tcPr>
          <w:p w14:paraId="1DF27A63" w14:textId="104B72DC" w:rsidR="00B44925" w:rsidRPr="00FB38E1" w:rsidRDefault="00B44925" w:rsidP="00B44925">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13.286.197</w:t>
            </w:r>
          </w:p>
        </w:tc>
      </w:tr>
    </w:tbl>
    <w:bookmarkEnd w:id="28"/>
    <w:p w14:paraId="1A32B558" w14:textId="77777777" w:rsidR="00D1663E" w:rsidRPr="00FB38E1" w:rsidRDefault="00D1663E" w:rsidP="00D1663E">
      <w:pPr>
        <w:spacing w:before="60" w:after="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Takipteki krediler portföyünden yapılan satışlar, kayıttan düşülen/aktiften silinenler ve kur farkları gösterilmektedir.</w:t>
      </w:r>
    </w:p>
    <w:p w14:paraId="2663A772" w14:textId="77777777" w:rsidR="00D1663E" w:rsidRPr="00FB38E1" w:rsidRDefault="00D1663E" w:rsidP="00D1663E">
      <w:pPr>
        <w:spacing w:after="0"/>
        <w:rPr>
          <w:rFonts w:ascii="Microsoft Sans Serif" w:hAnsi="Microsoft Sans Serif" w:cs="Microsoft Sans Serif"/>
          <w:color w:val="404040" w:themeColor="text1" w:themeTint="BF"/>
          <w:sz w:val="16"/>
          <w:szCs w:val="16"/>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4"/>
        <w:gridCol w:w="1843"/>
        <w:gridCol w:w="1276"/>
        <w:gridCol w:w="1417"/>
        <w:gridCol w:w="1049"/>
      </w:tblGrid>
      <w:tr w:rsidR="00D1663E" w:rsidRPr="00FB38E1" w14:paraId="754EDDAE" w14:textId="77777777" w:rsidTr="00836EF2">
        <w:tc>
          <w:tcPr>
            <w:tcW w:w="2103" w:type="pct"/>
            <w:tcBorders>
              <w:top w:val="thinThickSmallGap" w:sz="24" w:space="0" w:color="auto"/>
              <w:bottom w:val="single" w:sz="4" w:space="0" w:color="auto"/>
            </w:tcBorders>
            <w:vAlign w:val="center"/>
          </w:tcPr>
          <w:p w14:paraId="581B75E9" w14:textId="54D2034A" w:rsidR="00D1663E" w:rsidRPr="00FB38E1" w:rsidRDefault="00D1663E" w:rsidP="00D1663E">
            <w:pPr>
              <w:jc w:val="left"/>
              <w:rPr>
                <w:rFonts w:ascii="Microsoft Sans Serif" w:hAnsi="Microsoft Sans Serif" w:cs="Microsoft Sans Serif"/>
                <w:color w:val="000000"/>
                <w:sz w:val="16"/>
                <w:szCs w:val="16"/>
              </w:rPr>
            </w:pPr>
            <w:r w:rsidRPr="00FB38E1">
              <w:rPr>
                <w:rFonts w:ascii="Microsoft Sans Serif" w:hAnsi="Microsoft Sans Serif" w:cs="Microsoft Sans Serif"/>
                <w:b/>
                <w:color w:val="000000"/>
                <w:sz w:val="16"/>
                <w:szCs w:val="16"/>
              </w:rPr>
              <w:t>Önceki Dönem: 31 Aralık 2023</w:t>
            </w:r>
          </w:p>
        </w:tc>
        <w:tc>
          <w:tcPr>
            <w:tcW w:w="956" w:type="pct"/>
            <w:tcBorders>
              <w:top w:val="thinThickSmallGap" w:sz="24" w:space="0" w:color="auto"/>
              <w:bottom w:val="single" w:sz="4" w:space="0" w:color="auto"/>
            </w:tcBorders>
            <w:vAlign w:val="bottom"/>
          </w:tcPr>
          <w:p w14:paraId="5F8149FB" w14:textId="77777777" w:rsidR="00D1663E" w:rsidRPr="00FB38E1" w:rsidRDefault="00D1663E" w:rsidP="00D166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Açılış Bakiyesi </w:t>
            </w:r>
          </w:p>
          <w:p w14:paraId="547B09F0" w14:textId="7E000E60" w:rsidR="00D1663E" w:rsidRPr="00FB38E1" w:rsidRDefault="00D1663E" w:rsidP="00D166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1 Ocak 2023 </w:t>
            </w:r>
          </w:p>
        </w:tc>
        <w:tc>
          <w:tcPr>
            <w:tcW w:w="662" w:type="pct"/>
            <w:tcBorders>
              <w:top w:val="thinThickSmallGap" w:sz="24" w:space="0" w:color="auto"/>
              <w:bottom w:val="single" w:sz="4" w:space="0" w:color="auto"/>
            </w:tcBorders>
            <w:vAlign w:val="bottom"/>
          </w:tcPr>
          <w:p w14:paraId="0F391488" w14:textId="70BF32DF" w:rsidR="00D1663E" w:rsidRPr="00FB38E1" w:rsidRDefault="00D1663E" w:rsidP="00D166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İçinde Ayrılan Karşılık</w:t>
            </w:r>
          </w:p>
        </w:tc>
        <w:tc>
          <w:tcPr>
            <w:tcW w:w="735" w:type="pct"/>
            <w:tcBorders>
              <w:top w:val="thinThickSmallGap" w:sz="24" w:space="0" w:color="auto"/>
              <w:bottom w:val="single" w:sz="4" w:space="0" w:color="auto"/>
            </w:tcBorders>
            <w:vAlign w:val="bottom"/>
          </w:tcPr>
          <w:p w14:paraId="1BD55ECE" w14:textId="56AC010A" w:rsidR="00D1663E" w:rsidRPr="00FB38E1" w:rsidRDefault="00D1663E" w:rsidP="00D166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Diğer Ayarlamalar(*)</w:t>
            </w:r>
          </w:p>
        </w:tc>
        <w:tc>
          <w:tcPr>
            <w:tcW w:w="544" w:type="pct"/>
            <w:tcBorders>
              <w:top w:val="thinThickSmallGap" w:sz="24" w:space="0" w:color="auto"/>
              <w:bottom w:val="single" w:sz="4" w:space="0" w:color="auto"/>
            </w:tcBorders>
            <w:vAlign w:val="bottom"/>
          </w:tcPr>
          <w:p w14:paraId="63A2BD8E" w14:textId="5BC1F5B1" w:rsidR="00D1663E" w:rsidRPr="00FB38E1" w:rsidRDefault="00D1663E" w:rsidP="00D166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Kapanış bakiyesi</w:t>
            </w:r>
          </w:p>
        </w:tc>
      </w:tr>
      <w:tr w:rsidR="00D1663E" w:rsidRPr="00FB38E1" w14:paraId="33A9B5FF" w14:textId="77777777" w:rsidTr="00836EF2">
        <w:tc>
          <w:tcPr>
            <w:tcW w:w="2103" w:type="pct"/>
            <w:tcBorders>
              <w:top w:val="single" w:sz="4" w:space="0" w:color="auto"/>
              <w:bottom w:val="nil"/>
            </w:tcBorders>
            <w:vAlign w:val="center"/>
          </w:tcPr>
          <w:p w14:paraId="6D9B4808"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Temerrüt (Üçüncü Aşama/Özel Karşılık)</w:t>
            </w:r>
          </w:p>
        </w:tc>
        <w:tc>
          <w:tcPr>
            <w:tcW w:w="956" w:type="pct"/>
            <w:tcBorders>
              <w:top w:val="single" w:sz="4" w:space="0" w:color="auto"/>
              <w:bottom w:val="nil"/>
            </w:tcBorders>
            <w:vAlign w:val="center"/>
          </w:tcPr>
          <w:p w14:paraId="7927436E" w14:textId="5D4DFFC2"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13.325.304</w:t>
            </w:r>
          </w:p>
        </w:tc>
        <w:tc>
          <w:tcPr>
            <w:tcW w:w="662" w:type="pct"/>
            <w:tcBorders>
              <w:top w:val="single" w:sz="4" w:space="0" w:color="auto"/>
              <w:bottom w:val="nil"/>
            </w:tcBorders>
            <w:vAlign w:val="center"/>
          </w:tcPr>
          <w:p w14:paraId="7252BBC8" w14:textId="4F7C32D1"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470.786</w:t>
            </w:r>
          </w:p>
        </w:tc>
        <w:tc>
          <w:tcPr>
            <w:tcW w:w="735" w:type="pct"/>
            <w:tcBorders>
              <w:top w:val="single" w:sz="4" w:space="0" w:color="auto"/>
              <w:bottom w:val="nil"/>
            </w:tcBorders>
            <w:vAlign w:val="center"/>
          </w:tcPr>
          <w:p w14:paraId="6AFAEC5A" w14:textId="6E7863B8"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582.041</w:t>
            </w:r>
          </w:p>
        </w:tc>
        <w:tc>
          <w:tcPr>
            <w:tcW w:w="544" w:type="pct"/>
            <w:tcBorders>
              <w:top w:val="single" w:sz="4" w:space="0" w:color="auto"/>
              <w:bottom w:val="nil"/>
            </w:tcBorders>
            <w:vAlign w:val="center"/>
          </w:tcPr>
          <w:p w14:paraId="374A2CE9" w14:textId="7826CC85" w:rsidR="00D1663E" w:rsidRPr="00FB38E1" w:rsidRDefault="00D1663E" w:rsidP="00D1663E">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14.378.131</w:t>
            </w:r>
          </w:p>
        </w:tc>
      </w:tr>
      <w:tr w:rsidR="00D1663E" w:rsidRPr="00FB38E1" w14:paraId="24DE7EBC" w14:textId="77777777" w:rsidTr="00836EF2">
        <w:trPr>
          <w:trHeight w:val="20"/>
        </w:trPr>
        <w:tc>
          <w:tcPr>
            <w:tcW w:w="2103" w:type="pct"/>
            <w:tcBorders>
              <w:top w:val="nil"/>
              <w:bottom w:val="nil"/>
            </w:tcBorders>
            <w:vAlign w:val="center"/>
          </w:tcPr>
          <w:p w14:paraId="10B7B8D4" w14:textId="77777777" w:rsidR="00D1663E" w:rsidRPr="00FB38E1" w:rsidRDefault="00D1663E" w:rsidP="00D166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 Aylık Beklenen Zarar Karşılığı (Birinci Aşama)</w:t>
            </w:r>
          </w:p>
        </w:tc>
        <w:tc>
          <w:tcPr>
            <w:tcW w:w="956" w:type="pct"/>
            <w:tcBorders>
              <w:top w:val="nil"/>
              <w:bottom w:val="nil"/>
            </w:tcBorders>
            <w:vAlign w:val="center"/>
          </w:tcPr>
          <w:p w14:paraId="733A518A" w14:textId="0583A46A"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3.895.565</w:t>
            </w:r>
          </w:p>
        </w:tc>
        <w:tc>
          <w:tcPr>
            <w:tcW w:w="662" w:type="pct"/>
            <w:tcBorders>
              <w:top w:val="nil"/>
              <w:bottom w:val="nil"/>
            </w:tcBorders>
            <w:vAlign w:val="center"/>
          </w:tcPr>
          <w:p w14:paraId="1F5701A3" w14:textId="12172640"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681.673</w:t>
            </w:r>
          </w:p>
        </w:tc>
        <w:tc>
          <w:tcPr>
            <w:tcW w:w="735" w:type="pct"/>
            <w:tcBorders>
              <w:top w:val="nil"/>
              <w:bottom w:val="nil"/>
            </w:tcBorders>
            <w:vAlign w:val="center"/>
          </w:tcPr>
          <w:p w14:paraId="67E69045" w14:textId="6658CAAA"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1.764.392</w:t>
            </w:r>
          </w:p>
        </w:tc>
        <w:tc>
          <w:tcPr>
            <w:tcW w:w="544" w:type="pct"/>
            <w:tcBorders>
              <w:top w:val="nil"/>
              <w:bottom w:val="nil"/>
            </w:tcBorders>
            <w:vAlign w:val="center"/>
          </w:tcPr>
          <w:p w14:paraId="1339A0E7" w14:textId="48349501" w:rsidR="00D1663E" w:rsidRPr="00FB38E1" w:rsidRDefault="00D1663E" w:rsidP="00D1663E">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6.341.630</w:t>
            </w:r>
          </w:p>
        </w:tc>
      </w:tr>
      <w:tr w:rsidR="00D1663E" w:rsidRPr="00FB38E1" w14:paraId="7B94C699" w14:textId="77777777" w:rsidTr="00836EF2">
        <w:tc>
          <w:tcPr>
            <w:tcW w:w="2103" w:type="pct"/>
            <w:tcBorders>
              <w:top w:val="nil"/>
              <w:bottom w:val="thickThinSmallGap" w:sz="24" w:space="0" w:color="auto"/>
            </w:tcBorders>
            <w:vAlign w:val="center"/>
          </w:tcPr>
          <w:p w14:paraId="06B0AA59" w14:textId="77777777" w:rsidR="00D1663E" w:rsidRPr="00FB38E1" w:rsidRDefault="00D1663E" w:rsidP="00D1663E">
            <w:pPr>
              <w:jc w:val="left"/>
              <w:rPr>
                <w:rFonts w:ascii="Trebuchet MS" w:hAnsi="Trebuchet MS"/>
                <w:sz w:val="16"/>
                <w:szCs w:val="16"/>
              </w:rPr>
            </w:pPr>
            <w:r w:rsidRPr="00FB38E1">
              <w:rPr>
                <w:rFonts w:ascii="Microsoft Sans Serif" w:hAnsi="Microsoft Sans Serif" w:cs="Microsoft Sans Serif"/>
                <w:color w:val="404040"/>
                <w:sz w:val="16"/>
                <w:szCs w:val="16"/>
              </w:rPr>
              <w:t>Kredi Riskinde Önemli Artış (İkinci Aşama)</w:t>
            </w:r>
          </w:p>
        </w:tc>
        <w:tc>
          <w:tcPr>
            <w:tcW w:w="956" w:type="pct"/>
            <w:tcBorders>
              <w:top w:val="nil"/>
              <w:bottom w:val="thickThinSmallGap" w:sz="24" w:space="0" w:color="auto"/>
            </w:tcBorders>
            <w:vAlign w:val="center"/>
          </w:tcPr>
          <w:p w14:paraId="4283C6B6" w14:textId="090C711A"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10.007.792</w:t>
            </w:r>
          </w:p>
        </w:tc>
        <w:tc>
          <w:tcPr>
            <w:tcW w:w="662" w:type="pct"/>
            <w:tcBorders>
              <w:top w:val="nil"/>
              <w:bottom w:val="thickThinSmallGap" w:sz="24" w:space="0" w:color="auto"/>
            </w:tcBorders>
            <w:vAlign w:val="center"/>
          </w:tcPr>
          <w:p w14:paraId="546B1EAA" w14:textId="03127CB7"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1.844.326</w:t>
            </w:r>
          </w:p>
        </w:tc>
        <w:tc>
          <w:tcPr>
            <w:tcW w:w="735" w:type="pct"/>
            <w:tcBorders>
              <w:top w:val="nil"/>
              <w:bottom w:val="thickThinSmallGap" w:sz="24" w:space="0" w:color="auto"/>
            </w:tcBorders>
            <w:vAlign w:val="center"/>
          </w:tcPr>
          <w:p w14:paraId="2C8444D6" w14:textId="0262512E" w:rsidR="00D1663E" w:rsidRPr="00FB38E1" w:rsidRDefault="00D1663E" w:rsidP="00D166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2.328.589</w:t>
            </w:r>
          </w:p>
        </w:tc>
        <w:tc>
          <w:tcPr>
            <w:tcW w:w="544" w:type="pct"/>
            <w:tcBorders>
              <w:top w:val="nil"/>
              <w:bottom w:val="thickThinSmallGap" w:sz="24" w:space="0" w:color="auto"/>
            </w:tcBorders>
            <w:vAlign w:val="center"/>
          </w:tcPr>
          <w:p w14:paraId="6951A0DA" w14:textId="3D2B5AD6" w:rsidR="00D1663E" w:rsidRPr="00FB38E1" w:rsidRDefault="00D1663E" w:rsidP="00D1663E">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14.180.707</w:t>
            </w:r>
          </w:p>
        </w:tc>
      </w:tr>
    </w:tbl>
    <w:p w14:paraId="1593E202" w14:textId="77777777" w:rsidR="00D1663E" w:rsidRPr="00FB38E1" w:rsidRDefault="00D1663E" w:rsidP="00D1663E">
      <w:pPr>
        <w:spacing w:before="60" w:after="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Takipteki krediler portföyünden yapılan satışlar, kayıttan düşülen/aktiften silinenler ve kur farkları gösterilmektedir.</w:t>
      </w:r>
    </w:p>
    <w:p w14:paraId="6552151B" w14:textId="77777777" w:rsidR="00D1663E" w:rsidRPr="00FB38E1" w:rsidRDefault="00D1663E" w:rsidP="00364B59">
      <w:pPr>
        <w:pStyle w:val="ListParagraph"/>
        <w:numPr>
          <w:ilvl w:val="0"/>
          <w:numId w:val="51"/>
        </w:numPr>
        <w:spacing w:before="120" w:after="120" w:line="240" w:lineRule="exact"/>
        <w:ind w:left="0" w:hanging="567"/>
        <w:contextualSpacing w:val="0"/>
        <w:rPr>
          <w:rFonts w:ascii="Microsoft Sans Serif" w:hAnsi="Microsoft Sans Serif" w:cs="Microsoft Sans Serif"/>
          <w:b/>
          <w:bCs/>
          <w:iCs/>
          <w:sz w:val="20"/>
          <w:szCs w:val="20"/>
        </w:rPr>
      </w:pPr>
      <w:r w:rsidRPr="00FB38E1">
        <w:rPr>
          <w:rFonts w:ascii="Microsoft Sans Serif" w:hAnsi="Microsoft Sans Serif" w:cs="Microsoft Sans Serif"/>
          <w:b/>
          <w:iCs/>
          <w:sz w:val="20"/>
          <w:szCs w:val="20"/>
        </w:rPr>
        <w:t>Döngüsel sermaye tamponu hesaplamasına ilişkin bilgiler</w:t>
      </w:r>
    </w:p>
    <w:p w14:paraId="1900975C" w14:textId="77777777" w:rsidR="00D1663E" w:rsidRPr="00FB38E1" w:rsidRDefault="00D1663E" w:rsidP="00D1663E">
      <w:pPr>
        <w:pStyle w:val="ListParagraph"/>
        <w:spacing w:before="120" w:after="0" w:line="240" w:lineRule="exact"/>
        <w:ind w:left="0"/>
        <w:contextualSpacing w:val="0"/>
        <w:rPr>
          <w:rFonts w:ascii="Microsoft Sans Serif" w:hAnsi="Microsoft Sans Serif" w:cs="Microsoft Sans Serif"/>
          <w:bCs/>
          <w:iCs/>
          <w:sz w:val="20"/>
          <w:szCs w:val="20"/>
        </w:rPr>
      </w:pPr>
      <w:r w:rsidRPr="00FB38E1">
        <w:rPr>
          <w:rFonts w:ascii="Microsoft Sans Serif" w:hAnsi="Microsoft Sans Serif" w:cs="Microsoft Sans Serif"/>
          <w:iCs/>
          <w:sz w:val="20"/>
          <w:szCs w:val="20"/>
        </w:rPr>
        <w:t>Cari Dönem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553"/>
        <w:gridCol w:w="1984"/>
        <w:gridCol w:w="2552"/>
        <w:gridCol w:w="2550"/>
      </w:tblGrid>
      <w:tr w:rsidR="00D1663E" w:rsidRPr="00FB38E1" w14:paraId="7D9870E6" w14:textId="77777777" w:rsidTr="00836EF2">
        <w:tc>
          <w:tcPr>
            <w:tcW w:w="1324" w:type="pct"/>
            <w:tcBorders>
              <w:top w:val="thinThickSmallGap" w:sz="24" w:space="0" w:color="auto"/>
              <w:bottom w:val="single" w:sz="4" w:space="0" w:color="auto"/>
            </w:tcBorders>
            <w:vAlign w:val="bottom"/>
          </w:tcPr>
          <w:p w14:paraId="46BB6323" w14:textId="77777777" w:rsidR="00D1663E" w:rsidRPr="00FB38E1" w:rsidRDefault="00D1663E" w:rsidP="00836EF2">
            <w:pPr>
              <w:jc w:val="left"/>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Nihai olarak</w:t>
            </w:r>
          </w:p>
          <w:p w14:paraId="1DD710D4" w14:textId="77777777" w:rsidR="00D1663E" w:rsidRPr="00FB38E1" w:rsidRDefault="00D1663E" w:rsidP="00836EF2">
            <w:pPr>
              <w:jc w:val="left"/>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risk alınan ülke</w:t>
            </w:r>
          </w:p>
        </w:tc>
        <w:tc>
          <w:tcPr>
            <w:tcW w:w="1029" w:type="pct"/>
            <w:tcBorders>
              <w:top w:val="thinThickSmallGap" w:sz="24" w:space="0" w:color="auto"/>
              <w:bottom w:val="single" w:sz="4" w:space="0" w:color="auto"/>
            </w:tcBorders>
            <w:vAlign w:val="bottom"/>
          </w:tcPr>
          <w:p w14:paraId="5EAD6A0F"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Bankacılık hesaplarındaki özel sektör kredileri</w:t>
            </w:r>
          </w:p>
        </w:tc>
        <w:tc>
          <w:tcPr>
            <w:tcW w:w="1324" w:type="pct"/>
            <w:tcBorders>
              <w:top w:val="thinThickSmallGap" w:sz="24" w:space="0" w:color="auto"/>
              <w:bottom w:val="single" w:sz="4" w:space="0" w:color="auto"/>
            </w:tcBorders>
            <w:vAlign w:val="bottom"/>
          </w:tcPr>
          <w:p w14:paraId="3DCAA182"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Alım satım hesapları kapsamında hesaplanan risk ağırlıklı tutar</w:t>
            </w:r>
          </w:p>
        </w:tc>
        <w:tc>
          <w:tcPr>
            <w:tcW w:w="1323" w:type="pct"/>
            <w:tcBorders>
              <w:top w:val="thinThickSmallGap" w:sz="24" w:space="0" w:color="auto"/>
              <w:bottom w:val="single" w:sz="4" w:space="0" w:color="auto"/>
            </w:tcBorders>
            <w:vAlign w:val="bottom"/>
          </w:tcPr>
          <w:p w14:paraId="21A2CCD3"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151A8B" w:rsidRPr="00FB38E1" w14:paraId="49DC214C" w14:textId="77777777" w:rsidTr="00836EF2">
        <w:tc>
          <w:tcPr>
            <w:tcW w:w="1324" w:type="pct"/>
            <w:tcBorders>
              <w:top w:val="single" w:sz="4" w:space="0" w:color="auto"/>
              <w:bottom w:val="nil"/>
            </w:tcBorders>
            <w:vAlign w:val="center"/>
          </w:tcPr>
          <w:p w14:paraId="5C3014E0" w14:textId="1350DDED" w:rsidR="00151A8B" w:rsidRPr="00FB38E1" w:rsidRDefault="00151A8B" w:rsidP="00151A8B">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Türkiye</w:t>
            </w:r>
          </w:p>
        </w:tc>
        <w:tc>
          <w:tcPr>
            <w:tcW w:w="1029" w:type="pct"/>
            <w:tcBorders>
              <w:top w:val="single" w:sz="4" w:space="0" w:color="auto"/>
              <w:bottom w:val="nil"/>
            </w:tcBorders>
            <w:vAlign w:val="center"/>
          </w:tcPr>
          <w:p w14:paraId="3B9DAFD0" w14:textId="631E6897"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679.902.151</w:t>
            </w:r>
          </w:p>
        </w:tc>
        <w:tc>
          <w:tcPr>
            <w:tcW w:w="1324" w:type="pct"/>
            <w:tcBorders>
              <w:top w:val="single" w:sz="4" w:space="0" w:color="auto"/>
              <w:bottom w:val="nil"/>
            </w:tcBorders>
            <w:vAlign w:val="center"/>
          </w:tcPr>
          <w:p w14:paraId="2B6EA19F" w14:textId="1DDBFE24"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2.609.151</w:t>
            </w:r>
          </w:p>
        </w:tc>
        <w:tc>
          <w:tcPr>
            <w:tcW w:w="1323" w:type="pct"/>
            <w:tcBorders>
              <w:top w:val="single" w:sz="4" w:space="0" w:color="auto"/>
              <w:bottom w:val="nil"/>
            </w:tcBorders>
            <w:vAlign w:val="center"/>
          </w:tcPr>
          <w:p w14:paraId="4E3B092F" w14:textId="023F9453" w:rsidR="00151A8B" w:rsidRPr="00FB38E1" w:rsidRDefault="00151A8B" w:rsidP="00151A8B">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682.511.302</w:t>
            </w:r>
          </w:p>
        </w:tc>
      </w:tr>
      <w:tr w:rsidR="00151A8B" w:rsidRPr="00FB38E1" w14:paraId="4E128C65" w14:textId="77777777" w:rsidTr="00836EF2">
        <w:tc>
          <w:tcPr>
            <w:tcW w:w="1324" w:type="pct"/>
            <w:tcBorders>
              <w:top w:val="nil"/>
              <w:bottom w:val="nil"/>
            </w:tcBorders>
            <w:vAlign w:val="center"/>
          </w:tcPr>
          <w:p w14:paraId="1CF6368E" w14:textId="508507B2" w:rsidR="00151A8B" w:rsidRPr="00FB38E1" w:rsidRDefault="00151A8B" w:rsidP="00151A8B">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Avusturya</w:t>
            </w:r>
          </w:p>
        </w:tc>
        <w:tc>
          <w:tcPr>
            <w:tcW w:w="1029" w:type="pct"/>
            <w:tcBorders>
              <w:top w:val="nil"/>
              <w:bottom w:val="nil"/>
            </w:tcBorders>
            <w:vAlign w:val="center"/>
          </w:tcPr>
          <w:p w14:paraId="2C97A62D" w14:textId="7C9603B3"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47.169.182</w:t>
            </w:r>
          </w:p>
        </w:tc>
        <w:tc>
          <w:tcPr>
            <w:tcW w:w="1324" w:type="pct"/>
            <w:tcBorders>
              <w:top w:val="nil"/>
              <w:bottom w:val="nil"/>
            </w:tcBorders>
            <w:vAlign w:val="center"/>
          </w:tcPr>
          <w:p w14:paraId="50CED5DA" w14:textId="2D8331C6"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323" w:type="pct"/>
            <w:tcBorders>
              <w:top w:val="nil"/>
              <w:bottom w:val="nil"/>
            </w:tcBorders>
            <w:vAlign w:val="center"/>
          </w:tcPr>
          <w:p w14:paraId="29EEED4E" w14:textId="70273A1F" w:rsidR="00151A8B" w:rsidRPr="00FB38E1" w:rsidRDefault="00151A8B" w:rsidP="00151A8B">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47.169.182</w:t>
            </w:r>
          </w:p>
        </w:tc>
      </w:tr>
      <w:tr w:rsidR="00151A8B" w:rsidRPr="00FB38E1" w14:paraId="30989E1C" w14:textId="77777777" w:rsidTr="00836EF2">
        <w:tc>
          <w:tcPr>
            <w:tcW w:w="1324" w:type="pct"/>
            <w:tcBorders>
              <w:top w:val="nil"/>
              <w:bottom w:val="nil"/>
            </w:tcBorders>
            <w:vAlign w:val="center"/>
          </w:tcPr>
          <w:p w14:paraId="38A0EE56" w14:textId="5A19FC99" w:rsidR="00151A8B" w:rsidRPr="00FB38E1" w:rsidRDefault="00151A8B" w:rsidP="00151A8B">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İngiltere</w:t>
            </w:r>
          </w:p>
        </w:tc>
        <w:tc>
          <w:tcPr>
            <w:tcW w:w="1029" w:type="pct"/>
            <w:tcBorders>
              <w:top w:val="nil"/>
              <w:bottom w:val="nil"/>
            </w:tcBorders>
            <w:vAlign w:val="center"/>
          </w:tcPr>
          <w:p w14:paraId="10E42573" w14:textId="3B74A13D"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9.896.890</w:t>
            </w:r>
          </w:p>
        </w:tc>
        <w:tc>
          <w:tcPr>
            <w:tcW w:w="1324" w:type="pct"/>
            <w:tcBorders>
              <w:top w:val="nil"/>
              <w:bottom w:val="nil"/>
            </w:tcBorders>
            <w:vAlign w:val="center"/>
          </w:tcPr>
          <w:p w14:paraId="1B7D55D7" w14:textId="1D6CE957"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323" w:type="pct"/>
            <w:tcBorders>
              <w:top w:val="nil"/>
              <w:bottom w:val="nil"/>
            </w:tcBorders>
            <w:vAlign w:val="center"/>
          </w:tcPr>
          <w:p w14:paraId="3252E143" w14:textId="2010A504" w:rsidR="00151A8B" w:rsidRPr="00FB38E1" w:rsidRDefault="00151A8B" w:rsidP="00151A8B">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9.896.890</w:t>
            </w:r>
          </w:p>
        </w:tc>
      </w:tr>
      <w:tr w:rsidR="00151A8B" w:rsidRPr="00FB38E1" w14:paraId="13EA3D6E" w14:textId="77777777" w:rsidTr="00836EF2">
        <w:tc>
          <w:tcPr>
            <w:tcW w:w="1324" w:type="pct"/>
            <w:tcBorders>
              <w:top w:val="nil"/>
              <w:bottom w:val="nil"/>
            </w:tcBorders>
            <w:vAlign w:val="center"/>
          </w:tcPr>
          <w:p w14:paraId="69F658AF" w14:textId="7EB33124" w:rsidR="00151A8B" w:rsidRPr="00FB38E1" w:rsidRDefault="00151A8B" w:rsidP="00151A8B">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Rusya</w:t>
            </w:r>
          </w:p>
        </w:tc>
        <w:tc>
          <w:tcPr>
            <w:tcW w:w="1029" w:type="pct"/>
            <w:tcBorders>
              <w:top w:val="nil"/>
              <w:bottom w:val="nil"/>
            </w:tcBorders>
            <w:vAlign w:val="center"/>
          </w:tcPr>
          <w:p w14:paraId="2AB51A7A" w14:textId="7F8352D5"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3.608.353</w:t>
            </w:r>
          </w:p>
        </w:tc>
        <w:tc>
          <w:tcPr>
            <w:tcW w:w="1324" w:type="pct"/>
            <w:tcBorders>
              <w:top w:val="nil"/>
              <w:bottom w:val="nil"/>
            </w:tcBorders>
            <w:vAlign w:val="center"/>
          </w:tcPr>
          <w:p w14:paraId="00C57930" w14:textId="647A8CC5"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323" w:type="pct"/>
            <w:tcBorders>
              <w:top w:val="nil"/>
              <w:bottom w:val="nil"/>
            </w:tcBorders>
            <w:vAlign w:val="center"/>
          </w:tcPr>
          <w:p w14:paraId="32C6E920" w14:textId="1642CA0A" w:rsidR="00151A8B" w:rsidRPr="00FB38E1" w:rsidRDefault="00151A8B" w:rsidP="00151A8B">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3.608.353</w:t>
            </w:r>
          </w:p>
        </w:tc>
      </w:tr>
      <w:tr w:rsidR="00151A8B" w:rsidRPr="00FB38E1" w14:paraId="73C282A8" w14:textId="77777777" w:rsidTr="00836EF2">
        <w:tc>
          <w:tcPr>
            <w:tcW w:w="1324" w:type="pct"/>
            <w:tcBorders>
              <w:top w:val="nil"/>
              <w:bottom w:val="thickThinSmallGap" w:sz="24" w:space="0" w:color="auto"/>
            </w:tcBorders>
            <w:vAlign w:val="center"/>
          </w:tcPr>
          <w:p w14:paraId="1C436AE9" w14:textId="0E40B81A" w:rsidR="00151A8B" w:rsidRPr="00FB38E1" w:rsidRDefault="00151A8B" w:rsidP="00151A8B">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1029" w:type="pct"/>
            <w:tcBorders>
              <w:top w:val="nil"/>
              <w:bottom w:val="thickThinSmallGap" w:sz="24" w:space="0" w:color="auto"/>
            </w:tcBorders>
            <w:vAlign w:val="center"/>
          </w:tcPr>
          <w:p w14:paraId="6169227B" w14:textId="26676B4E"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20.558.477</w:t>
            </w:r>
          </w:p>
        </w:tc>
        <w:tc>
          <w:tcPr>
            <w:tcW w:w="1324" w:type="pct"/>
            <w:tcBorders>
              <w:top w:val="nil"/>
              <w:bottom w:val="thickThinSmallGap" w:sz="24" w:space="0" w:color="auto"/>
            </w:tcBorders>
            <w:vAlign w:val="center"/>
          </w:tcPr>
          <w:p w14:paraId="195CA2DD" w14:textId="6CEDFD8D" w:rsidR="00151A8B" w:rsidRPr="00FB38E1" w:rsidRDefault="00151A8B" w:rsidP="00151A8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23.673</w:t>
            </w:r>
          </w:p>
        </w:tc>
        <w:tc>
          <w:tcPr>
            <w:tcW w:w="1323" w:type="pct"/>
            <w:tcBorders>
              <w:top w:val="nil"/>
              <w:bottom w:val="thickThinSmallGap" w:sz="24" w:space="0" w:color="auto"/>
            </w:tcBorders>
            <w:vAlign w:val="center"/>
          </w:tcPr>
          <w:p w14:paraId="11E0AFBC" w14:textId="6B7D5EEF" w:rsidR="00151A8B" w:rsidRPr="00FB38E1" w:rsidRDefault="00151A8B" w:rsidP="00151A8B">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20.582.1</w:t>
            </w:r>
            <w:r w:rsidR="00985F8C" w:rsidRPr="00FB38E1">
              <w:rPr>
                <w:rFonts w:ascii="Microsoft Sans Serif" w:hAnsi="Microsoft Sans Serif" w:cs="Microsoft Sans Serif"/>
                <w:sz w:val="16"/>
                <w:szCs w:val="16"/>
              </w:rPr>
              <w:t>50</w:t>
            </w:r>
          </w:p>
        </w:tc>
      </w:tr>
    </w:tbl>
    <w:p w14:paraId="081B4C30" w14:textId="77777777" w:rsidR="00D1663E" w:rsidRPr="00FB38E1" w:rsidRDefault="00D1663E" w:rsidP="00D1663E">
      <w:pPr>
        <w:pStyle w:val="ListParagraph"/>
        <w:spacing w:before="240" w:after="0" w:line="240" w:lineRule="exact"/>
        <w:ind w:left="0"/>
        <w:contextualSpacing w:val="0"/>
        <w:rPr>
          <w:rFonts w:ascii="Microsoft Sans Serif" w:hAnsi="Microsoft Sans Serif" w:cs="Microsoft Sans Serif"/>
          <w:bCs/>
          <w:iCs/>
          <w:sz w:val="20"/>
          <w:szCs w:val="20"/>
        </w:rPr>
      </w:pPr>
      <w:r w:rsidRPr="00FB38E1">
        <w:rPr>
          <w:rFonts w:ascii="Microsoft Sans Serif" w:hAnsi="Microsoft Sans Serif" w:cs="Microsoft Sans Serif"/>
          <w:bCs/>
          <w:iCs/>
          <w:sz w:val="20"/>
          <w:szCs w:val="20"/>
        </w:rPr>
        <w:t>Önceki Dönem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553"/>
        <w:gridCol w:w="1984"/>
        <w:gridCol w:w="2552"/>
        <w:gridCol w:w="2550"/>
      </w:tblGrid>
      <w:tr w:rsidR="00D1663E" w:rsidRPr="00FB38E1" w14:paraId="2D166B29" w14:textId="77777777" w:rsidTr="00836EF2">
        <w:tc>
          <w:tcPr>
            <w:tcW w:w="1324" w:type="pct"/>
            <w:tcBorders>
              <w:top w:val="thinThickSmallGap" w:sz="24" w:space="0" w:color="auto"/>
              <w:bottom w:val="single" w:sz="4" w:space="0" w:color="auto"/>
            </w:tcBorders>
            <w:vAlign w:val="bottom"/>
          </w:tcPr>
          <w:p w14:paraId="1A46894F" w14:textId="77777777" w:rsidR="00D1663E" w:rsidRPr="00FB38E1" w:rsidRDefault="00D1663E" w:rsidP="00836EF2">
            <w:pPr>
              <w:jc w:val="left"/>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Nihai olarak</w:t>
            </w:r>
          </w:p>
          <w:p w14:paraId="1F0E5433" w14:textId="77777777" w:rsidR="00D1663E" w:rsidRPr="00FB38E1" w:rsidRDefault="00D1663E" w:rsidP="00836EF2">
            <w:pPr>
              <w:jc w:val="left"/>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risk alınan ülke</w:t>
            </w:r>
          </w:p>
        </w:tc>
        <w:tc>
          <w:tcPr>
            <w:tcW w:w="1029" w:type="pct"/>
            <w:tcBorders>
              <w:top w:val="thinThickSmallGap" w:sz="24" w:space="0" w:color="auto"/>
              <w:bottom w:val="single" w:sz="4" w:space="0" w:color="auto"/>
            </w:tcBorders>
            <w:vAlign w:val="bottom"/>
          </w:tcPr>
          <w:p w14:paraId="03C0DA5C"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Bankacılık hesaplarındaki özel sektör kredileri</w:t>
            </w:r>
          </w:p>
        </w:tc>
        <w:tc>
          <w:tcPr>
            <w:tcW w:w="1324" w:type="pct"/>
            <w:tcBorders>
              <w:top w:val="thinThickSmallGap" w:sz="24" w:space="0" w:color="auto"/>
              <w:bottom w:val="single" w:sz="4" w:space="0" w:color="auto"/>
            </w:tcBorders>
            <w:vAlign w:val="bottom"/>
          </w:tcPr>
          <w:p w14:paraId="1885A6E2"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Alım satım hesapları kapsamında hesaplanan risk ağırlıklı tutar</w:t>
            </w:r>
          </w:p>
        </w:tc>
        <w:tc>
          <w:tcPr>
            <w:tcW w:w="1323" w:type="pct"/>
            <w:tcBorders>
              <w:top w:val="thinThickSmallGap" w:sz="24" w:space="0" w:color="auto"/>
              <w:bottom w:val="single" w:sz="4" w:space="0" w:color="auto"/>
            </w:tcBorders>
            <w:vAlign w:val="bottom"/>
          </w:tcPr>
          <w:p w14:paraId="5A5FED10" w14:textId="77777777" w:rsidR="00D1663E" w:rsidRPr="00FB38E1" w:rsidRDefault="00D1663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F40382" w:rsidRPr="00FB38E1" w14:paraId="07533981" w14:textId="77777777" w:rsidTr="00836EF2">
        <w:tc>
          <w:tcPr>
            <w:tcW w:w="1324" w:type="pct"/>
            <w:tcBorders>
              <w:top w:val="single" w:sz="4" w:space="0" w:color="auto"/>
              <w:bottom w:val="nil"/>
            </w:tcBorders>
            <w:vAlign w:val="center"/>
          </w:tcPr>
          <w:p w14:paraId="5019D065" w14:textId="784B1024" w:rsidR="00F40382" w:rsidRPr="00FB38E1" w:rsidRDefault="00F40382" w:rsidP="00F40382">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Türkiye</w:t>
            </w:r>
          </w:p>
        </w:tc>
        <w:tc>
          <w:tcPr>
            <w:tcW w:w="1029" w:type="pct"/>
            <w:tcBorders>
              <w:top w:val="single" w:sz="4" w:space="0" w:color="auto"/>
              <w:bottom w:val="nil"/>
            </w:tcBorders>
            <w:vAlign w:val="center"/>
          </w:tcPr>
          <w:p w14:paraId="095C9DFE" w14:textId="6CD1CD4E"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495.540.699</w:t>
            </w:r>
          </w:p>
        </w:tc>
        <w:tc>
          <w:tcPr>
            <w:tcW w:w="1324" w:type="pct"/>
            <w:tcBorders>
              <w:top w:val="single" w:sz="4" w:space="0" w:color="auto"/>
              <w:bottom w:val="nil"/>
            </w:tcBorders>
            <w:vAlign w:val="center"/>
          </w:tcPr>
          <w:p w14:paraId="4125D0F2" w14:textId="610AF5D1"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692.626</w:t>
            </w:r>
          </w:p>
        </w:tc>
        <w:tc>
          <w:tcPr>
            <w:tcW w:w="1323" w:type="pct"/>
            <w:tcBorders>
              <w:top w:val="single" w:sz="4" w:space="0" w:color="auto"/>
              <w:bottom w:val="nil"/>
            </w:tcBorders>
            <w:vAlign w:val="center"/>
          </w:tcPr>
          <w:p w14:paraId="62CDAC2E" w14:textId="201B1E73" w:rsidR="00F40382" w:rsidRPr="00FB38E1" w:rsidRDefault="00F40382" w:rsidP="00F40382">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496.233.325</w:t>
            </w:r>
          </w:p>
        </w:tc>
      </w:tr>
      <w:tr w:rsidR="00F40382" w:rsidRPr="00FB38E1" w14:paraId="67ACCC97" w14:textId="77777777" w:rsidTr="00836EF2">
        <w:tc>
          <w:tcPr>
            <w:tcW w:w="1324" w:type="pct"/>
            <w:tcBorders>
              <w:top w:val="nil"/>
              <w:bottom w:val="nil"/>
            </w:tcBorders>
            <w:vAlign w:val="center"/>
          </w:tcPr>
          <w:p w14:paraId="1ED1C6B5" w14:textId="7AF6AC24" w:rsidR="00F40382" w:rsidRPr="00FB38E1" w:rsidRDefault="00F40382" w:rsidP="00F40382">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Avusturya</w:t>
            </w:r>
          </w:p>
        </w:tc>
        <w:tc>
          <w:tcPr>
            <w:tcW w:w="1029" w:type="pct"/>
            <w:tcBorders>
              <w:top w:val="nil"/>
              <w:bottom w:val="nil"/>
            </w:tcBorders>
            <w:vAlign w:val="center"/>
          </w:tcPr>
          <w:p w14:paraId="70C0D41C" w14:textId="05539419"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43.143.519</w:t>
            </w:r>
          </w:p>
        </w:tc>
        <w:tc>
          <w:tcPr>
            <w:tcW w:w="1324" w:type="pct"/>
            <w:tcBorders>
              <w:top w:val="nil"/>
              <w:bottom w:val="nil"/>
            </w:tcBorders>
            <w:vAlign w:val="center"/>
          </w:tcPr>
          <w:p w14:paraId="30962584" w14:textId="2D727A13"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323" w:type="pct"/>
            <w:tcBorders>
              <w:top w:val="nil"/>
              <w:bottom w:val="nil"/>
            </w:tcBorders>
            <w:vAlign w:val="center"/>
          </w:tcPr>
          <w:p w14:paraId="0B2A0FCC" w14:textId="7B14D786" w:rsidR="00F40382" w:rsidRPr="00FB38E1" w:rsidRDefault="00F40382" w:rsidP="00F40382">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43.143.519</w:t>
            </w:r>
          </w:p>
        </w:tc>
      </w:tr>
      <w:tr w:rsidR="00F40382" w:rsidRPr="00FB38E1" w14:paraId="3E6CC7E4" w14:textId="77777777" w:rsidTr="00836EF2">
        <w:tc>
          <w:tcPr>
            <w:tcW w:w="1324" w:type="pct"/>
            <w:tcBorders>
              <w:top w:val="nil"/>
              <w:bottom w:val="nil"/>
            </w:tcBorders>
            <w:vAlign w:val="center"/>
          </w:tcPr>
          <w:p w14:paraId="6B31A1A2" w14:textId="2930D01C" w:rsidR="00F40382" w:rsidRPr="00FB38E1" w:rsidRDefault="00F40382" w:rsidP="00F40382">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Rusya</w:t>
            </w:r>
          </w:p>
        </w:tc>
        <w:tc>
          <w:tcPr>
            <w:tcW w:w="1029" w:type="pct"/>
            <w:tcBorders>
              <w:top w:val="nil"/>
              <w:bottom w:val="nil"/>
            </w:tcBorders>
            <w:vAlign w:val="center"/>
          </w:tcPr>
          <w:p w14:paraId="6A12A974" w14:textId="4C099C74"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3.301.553</w:t>
            </w:r>
          </w:p>
        </w:tc>
        <w:tc>
          <w:tcPr>
            <w:tcW w:w="1324" w:type="pct"/>
            <w:tcBorders>
              <w:top w:val="nil"/>
              <w:bottom w:val="nil"/>
            </w:tcBorders>
            <w:vAlign w:val="center"/>
          </w:tcPr>
          <w:p w14:paraId="68FBACAB" w14:textId="242E1CC2"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323" w:type="pct"/>
            <w:tcBorders>
              <w:top w:val="nil"/>
              <w:bottom w:val="nil"/>
            </w:tcBorders>
            <w:vAlign w:val="center"/>
          </w:tcPr>
          <w:p w14:paraId="1A1BFAAF" w14:textId="08305921" w:rsidR="00F40382" w:rsidRPr="00FB38E1" w:rsidRDefault="00F40382" w:rsidP="00F40382">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3.301.553</w:t>
            </w:r>
          </w:p>
        </w:tc>
      </w:tr>
      <w:tr w:rsidR="00F40382" w:rsidRPr="00FB38E1" w14:paraId="7995A0E3" w14:textId="77777777" w:rsidTr="00836EF2">
        <w:tc>
          <w:tcPr>
            <w:tcW w:w="1324" w:type="pct"/>
            <w:tcBorders>
              <w:top w:val="nil"/>
              <w:bottom w:val="nil"/>
            </w:tcBorders>
            <w:vAlign w:val="center"/>
          </w:tcPr>
          <w:p w14:paraId="6E3D5822" w14:textId="082399B0" w:rsidR="00F40382" w:rsidRPr="00FB38E1" w:rsidRDefault="00F40382" w:rsidP="00F40382">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Kıbrıs</w:t>
            </w:r>
          </w:p>
        </w:tc>
        <w:tc>
          <w:tcPr>
            <w:tcW w:w="1029" w:type="pct"/>
            <w:tcBorders>
              <w:top w:val="nil"/>
              <w:bottom w:val="nil"/>
            </w:tcBorders>
            <w:vAlign w:val="center"/>
          </w:tcPr>
          <w:p w14:paraId="426AF62E" w14:textId="1590DA54"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1.400.320</w:t>
            </w:r>
          </w:p>
        </w:tc>
        <w:tc>
          <w:tcPr>
            <w:tcW w:w="1324" w:type="pct"/>
            <w:tcBorders>
              <w:top w:val="nil"/>
              <w:bottom w:val="nil"/>
            </w:tcBorders>
            <w:vAlign w:val="center"/>
          </w:tcPr>
          <w:p w14:paraId="1C7316DC" w14:textId="3ADFA5B2"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323" w:type="pct"/>
            <w:tcBorders>
              <w:top w:val="nil"/>
              <w:bottom w:val="nil"/>
            </w:tcBorders>
            <w:vAlign w:val="center"/>
          </w:tcPr>
          <w:p w14:paraId="0640A8BA" w14:textId="45BE3913" w:rsidR="00F40382" w:rsidRPr="00FB38E1" w:rsidRDefault="00F40382" w:rsidP="00F40382">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1.400.320</w:t>
            </w:r>
          </w:p>
        </w:tc>
      </w:tr>
      <w:tr w:rsidR="00F40382" w:rsidRPr="00FB38E1" w14:paraId="36501BDC" w14:textId="77777777" w:rsidTr="00836EF2">
        <w:tc>
          <w:tcPr>
            <w:tcW w:w="1324" w:type="pct"/>
            <w:tcBorders>
              <w:top w:val="nil"/>
              <w:bottom w:val="thickThinSmallGap" w:sz="24" w:space="0" w:color="auto"/>
            </w:tcBorders>
            <w:vAlign w:val="center"/>
          </w:tcPr>
          <w:p w14:paraId="7C4A22F1" w14:textId="1A5601AC" w:rsidR="00F40382" w:rsidRPr="00FB38E1" w:rsidRDefault="00F40382" w:rsidP="00F40382">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1029" w:type="pct"/>
            <w:tcBorders>
              <w:top w:val="nil"/>
              <w:bottom w:val="thickThinSmallGap" w:sz="24" w:space="0" w:color="auto"/>
            </w:tcBorders>
            <w:vAlign w:val="center"/>
          </w:tcPr>
          <w:p w14:paraId="432B68C4" w14:textId="7B125437"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49.475.096</w:t>
            </w:r>
          </w:p>
        </w:tc>
        <w:tc>
          <w:tcPr>
            <w:tcW w:w="1324" w:type="pct"/>
            <w:tcBorders>
              <w:top w:val="nil"/>
              <w:bottom w:val="thickThinSmallGap" w:sz="24" w:space="0" w:color="auto"/>
            </w:tcBorders>
            <w:vAlign w:val="center"/>
          </w:tcPr>
          <w:p w14:paraId="735F12B9" w14:textId="6A9BC288" w:rsidR="00F40382" w:rsidRPr="00FB38E1" w:rsidRDefault="00F40382" w:rsidP="00F4038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323" w:type="pct"/>
            <w:tcBorders>
              <w:top w:val="nil"/>
              <w:bottom w:val="thickThinSmallGap" w:sz="24" w:space="0" w:color="auto"/>
            </w:tcBorders>
            <w:vAlign w:val="center"/>
          </w:tcPr>
          <w:p w14:paraId="215E3626" w14:textId="583043DF" w:rsidR="00F40382" w:rsidRPr="00FB38E1" w:rsidRDefault="00F40382" w:rsidP="00F40382">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49.475.096</w:t>
            </w:r>
          </w:p>
        </w:tc>
      </w:tr>
    </w:tbl>
    <w:p w14:paraId="3A498869" w14:textId="77777777" w:rsidR="00D1663E" w:rsidRPr="00FB38E1" w:rsidRDefault="00D1663E" w:rsidP="00D1663E">
      <w:pPr>
        <w:pStyle w:val="Head3"/>
        <w:keepNext w:val="0"/>
        <w:keepLines w:val="0"/>
        <w:spacing w:before="240" w:line="240" w:lineRule="exact"/>
        <w:ind w:right="0" w:firstLine="0"/>
        <w:rPr>
          <w:rFonts w:ascii="Microsoft Sans Serif" w:eastAsia="Arial Unicode MS" w:hAnsi="Microsoft Sans Serif" w:cs="Microsoft Sans Serif"/>
          <w:b w:val="0"/>
          <w:bCs w:val="0"/>
          <w:i w:val="0"/>
          <w:iCs w:val="0"/>
          <w:sz w:val="20"/>
          <w:szCs w:val="20"/>
          <w:lang w:eastAsia="tr-TR"/>
        </w:rPr>
      </w:pPr>
    </w:p>
    <w:p w14:paraId="6F957A6C" w14:textId="77777777" w:rsidR="00D1663E" w:rsidRPr="00FB38E1" w:rsidRDefault="00D1663E" w:rsidP="00D1663E">
      <w:pPr>
        <w:pStyle w:val="Head3"/>
        <w:keepNext w:val="0"/>
        <w:keepLines w:val="0"/>
        <w:spacing w:before="240" w:line="240" w:lineRule="exact"/>
        <w:ind w:right="0" w:firstLine="0"/>
        <w:rPr>
          <w:rFonts w:ascii="Microsoft Sans Serif" w:eastAsia="Arial Unicode MS" w:hAnsi="Microsoft Sans Serif" w:cs="Microsoft Sans Serif"/>
          <w:b w:val="0"/>
          <w:bCs w:val="0"/>
          <w:i w:val="0"/>
          <w:iCs w:val="0"/>
          <w:sz w:val="20"/>
          <w:szCs w:val="20"/>
          <w:lang w:eastAsia="tr-TR"/>
        </w:rPr>
      </w:pPr>
    </w:p>
    <w:p w14:paraId="0633C462" w14:textId="16B9C3B3" w:rsidR="00ED512E" w:rsidRPr="00FB38E1" w:rsidRDefault="00F14D0F" w:rsidP="00DD4B14">
      <w:pPr>
        <w:pStyle w:val="Head3"/>
        <w:keepNext w:val="0"/>
        <w:keepLines w:val="0"/>
        <w:numPr>
          <w:ilvl w:val="0"/>
          <w:numId w:val="12"/>
        </w:numPr>
        <w:spacing w:before="240" w:line="240" w:lineRule="exact"/>
        <w:ind w:left="0" w:right="0" w:hanging="851"/>
        <w:rPr>
          <w:rFonts w:ascii="Microsoft Sans Serif" w:eastAsia="Arial Unicode MS" w:hAnsi="Microsoft Sans Serif" w:cs="Microsoft Sans Serif"/>
          <w:b w:val="0"/>
          <w:bCs w:val="0"/>
          <w:i w:val="0"/>
          <w:iCs w:val="0"/>
          <w:sz w:val="20"/>
          <w:szCs w:val="20"/>
          <w:lang w:eastAsia="tr-TR"/>
        </w:rPr>
      </w:pPr>
      <w:r w:rsidRPr="00FB38E1">
        <w:rPr>
          <w:rFonts w:ascii="Microsoft Sans Serif" w:hAnsi="Microsoft Sans Serif" w:cs="Microsoft Sans Serif"/>
          <w:i w:val="0"/>
        </w:rPr>
        <w:t>K</w:t>
      </w:r>
      <w:r w:rsidR="00006AB1" w:rsidRPr="00FB38E1">
        <w:rPr>
          <w:rFonts w:ascii="Microsoft Sans Serif" w:hAnsi="Microsoft Sans Serif" w:cs="Microsoft Sans Serif"/>
          <w:i w:val="0"/>
        </w:rPr>
        <w:t>ur riskine ilişkin açıklamalar</w:t>
      </w:r>
    </w:p>
    <w:p w14:paraId="0B01A578" w14:textId="77777777" w:rsidR="00006AB1" w:rsidRPr="00FB38E1" w:rsidRDefault="00F14D0F" w:rsidP="00DD4B14">
      <w:pPr>
        <w:pStyle w:val="Head3"/>
        <w:keepNext w:val="0"/>
        <w:keepLines w:val="0"/>
        <w:numPr>
          <w:ilvl w:val="0"/>
          <w:numId w:val="13"/>
        </w:numPr>
        <w:spacing w:before="240" w:line="240" w:lineRule="exact"/>
        <w:ind w:left="0" w:right="0" w:hanging="567"/>
        <w:rPr>
          <w:rFonts w:ascii="Microsoft Sans Serif" w:eastAsia="Arial Unicode MS" w:hAnsi="Microsoft Sans Serif" w:cs="Microsoft Sans Serif"/>
          <w:b w:val="0"/>
          <w:bCs w:val="0"/>
          <w:i w:val="0"/>
          <w:iCs w:val="0"/>
          <w:sz w:val="20"/>
          <w:szCs w:val="20"/>
          <w:lang w:eastAsia="tr-TR"/>
        </w:rPr>
      </w:pPr>
      <w:r w:rsidRPr="00FB38E1">
        <w:rPr>
          <w:rFonts w:ascii="Microsoft Sans Serif" w:hAnsi="Microsoft Sans Serif" w:cs="Microsoft Sans Serif"/>
          <w:i w:val="0"/>
          <w:sz w:val="20"/>
          <w:szCs w:val="20"/>
        </w:rPr>
        <w:t xml:space="preserve">Banka’nın </w:t>
      </w:r>
      <w:r w:rsidR="00006AB1" w:rsidRPr="00FB38E1">
        <w:rPr>
          <w:rFonts w:ascii="Microsoft Sans Serif" w:hAnsi="Microsoft Sans Serif" w:cs="Microsoft Sans Serif"/>
          <w:i w:val="0"/>
          <w:sz w:val="20"/>
          <w:szCs w:val="20"/>
        </w:rPr>
        <w:t>maruz kaldığı kur riski, bu durumun etkilerini</w:t>
      </w:r>
      <w:r w:rsidRPr="00FB38E1">
        <w:rPr>
          <w:rFonts w:ascii="Microsoft Sans Serif" w:hAnsi="Microsoft Sans Serif" w:cs="Microsoft Sans Serif"/>
          <w:i w:val="0"/>
          <w:sz w:val="20"/>
          <w:szCs w:val="20"/>
        </w:rPr>
        <w:t xml:space="preserve">n tahmin edilmesi, </w:t>
      </w:r>
      <w:r w:rsidR="00006AB1" w:rsidRPr="00FB38E1">
        <w:rPr>
          <w:rFonts w:ascii="Microsoft Sans Serif" w:hAnsi="Microsoft Sans Serif" w:cs="Microsoft Sans Serif"/>
          <w:i w:val="0"/>
          <w:sz w:val="20"/>
          <w:szCs w:val="20"/>
        </w:rPr>
        <w:t>Banka Yönetim Kurulu’nun günlük olarak izlenen pozisyonlar için belirlediği limitler</w:t>
      </w:r>
    </w:p>
    <w:p w14:paraId="5935931B" w14:textId="24433733" w:rsidR="00006AB1" w:rsidRPr="00FB38E1" w:rsidRDefault="000F4643" w:rsidP="00DD4B14">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Kur riski, Banka</w:t>
      </w:r>
      <w:r w:rsidR="00AF167B" w:rsidRPr="00FB38E1">
        <w:rPr>
          <w:rFonts w:ascii="Microsoft Sans Serif" w:hAnsi="Microsoft Sans Serif" w:cs="Microsoft Sans Serif"/>
          <w:color w:val="404040" w:themeColor="text1" w:themeTint="BF"/>
          <w:sz w:val="20"/>
          <w:szCs w:val="20"/>
        </w:rPr>
        <w:t>’</w:t>
      </w:r>
      <w:r w:rsidRPr="00FB38E1">
        <w:rPr>
          <w:rFonts w:ascii="Microsoft Sans Serif" w:hAnsi="Microsoft Sans Serif" w:cs="Microsoft Sans Serif"/>
          <w:color w:val="404040" w:themeColor="text1" w:themeTint="BF"/>
          <w:sz w:val="20"/>
          <w:szCs w:val="20"/>
        </w:rPr>
        <w:t>nın yabancı para cinsinden bilanço içi ve bilanço dışı varlık ve yükümlülüklerinden kaynaklanan net döviz pozisyonu nedeniyle oluşmaktadır. Banka kur riskinden korunmak amacıyla yabancı para alım satım işlemleri ile birlikte vadeli para alım satım işlemleri yapmaktadır. Kur riskinin yönetilmesinde yabancı paraya endeksli işlemler de yabancı para cinsinden kabul edilmektedir.</w:t>
      </w:r>
    </w:p>
    <w:p w14:paraId="77595A95" w14:textId="245C47BE" w:rsidR="00006AB1" w:rsidRPr="00FB38E1" w:rsidRDefault="000F4643" w:rsidP="00DD4B14">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Kur riskinin yönetimi ve takibi, alım satım ve bankacılık hesapları için ayrı süreçler ile ele alınmıştır. Alım satım hesaplarından kaynaklanan pozisyonun yönetilmesinde, risk bazlı riske maruz değer limiti, pozisyon limitleri, opsiyon duyarlılık limitleri ve zarar durdurma limitleri tanımlanmıştır ve günlük olarak izlenmektedir. Limit sistemi Yönetim Kurulu ve Aktif Pasif Komitesi tarafından iki seviyeli olarak oluşturulmuştur.</w:t>
      </w:r>
    </w:p>
    <w:p w14:paraId="39F4F5EC" w14:textId="1B34475C" w:rsidR="00006AB1" w:rsidRPr="00FB38E1" w:rsidRDefault="000F4643" w:rsidP="00DD4B14">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FB38E1">
        <w:rPr>
          <w:rFonts w:ascii="Microsoft Sans Serif" w:hAnsi="Microsoft Sans Serif" w:cs="Microsoft Sans Serif"/>
          <w:b w:val="0"/>
          <w:i w:val="0"/>
          <w:color w:val="404040" w:themeColor="text1" w:themeTint="BF"/>
          <w:sz w:val="20"/>
          <w:szCs w:val="20"/>
        </w:rPr>
        <w:t>Bankacılık hesaplarından kaynaklanan kur riskinin yönetiminde nihai sorumluluk Aktif Pasif Komitesi’ndedir (“APKO”). Pozisyonlar devamlı olarak takip edilmekte ve APKO tarafından belirlenen strateji doğrultusunda işlemler gerçekleştirilmektedir. Kur riskinin yönetilmesinde yasal limitlerin yanı sıra yabancı para pozisyonu için Yönetim Kurulu tarafından toplam ve döviz cinsi bazında belirlenen limitler dikkate alınmaktadır.</w:t>
      </w:r>
    </w:p>
    <w:p w14:paraId="058B38E1" w14:textId="77777777" w:rsidR="00006AB1" w:rsidRPr="00FB38E1" w:rsidRDefault="00006AB1" w:rsidP="00DD4B14">
      <w:pPr>
        <w:pStyle w:val="BDDKbalk1"/>
        <w:numPr>
          <w:ilvl w:val="0"/>
          <w:numId w:val="13"/>
        </w:numPr>
        <w:spacing w:line="240" w:lineRule="exact"/>
        <w:ind w:left="0" w:hanging="567"/>
        <w:rPr>
          <w:rFonts w:ascii="Microsoft Sans Serif" w:hAnsi="Microsoft Sans Serif" w:cs="Microsoft Sans Serif"/>
          <w:sz w:val="20"/>
          <w:szCs w:val="20"/>
          <w:lang w:eastAsia="en-US"/>
        </w:rPr>
      </w:pPr>
      <w:r w:rsidRPr="00FB38E1">
        <w:rPr>
          <w:rFonts w:ascii="Microsoft Sans Serif" w:hAnsi="Microsoft Sans Serif" w:cs="Microsoft Sans Serif"/>
          <w:sz w:val="20"/>
          <w:szCs w:val="20"/>
          <w:lang w:eastAsia="en-US"/>
        </w:rPr>
        <w:t>Önemli olması durumunda yabancı para cinsinden borçlanma araçlarının ve net yabancı para yatırımlarının riskten korunma amaçlı türev araçları ile korunmasının boyutu</w:t>
      </w:r>
    </w:p>
    <w:p w14:paraId="4DFD7209" w14:textId="30E17E0E" w:rsidR="00514C6A" w:rsidRPr="00FB38E1" w:rsidRDefault="00514C6A" w:rsidP="00DD4B14">
      <w:pPr>
        <w:pStyle w:val="BDDKmetin"/>
        <w:spacing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Banka, TFRS 9’a uygun olarak, </w:t>
      </w:r>
      <w:r w:rsidR="00CC65DD" w:rsidRPr="00FB38E1">
        <w:rPr>
          <w:rFonts w:ascii="Microsoft Sans Serif" w:hAnsi="Microsoft Sans Serif" w:cs="Microsoft Sans Serif"/>
          <w:color w:val="404040" w:themeColor="text1" w:themeTint="BF"/>
          <w:sz w:val="20"/>
          <w:szCs w:val="20"/>
        </w:rPr>
        <w:t>yurt dışı</w:t>
      </w:r>
      <w:r w:rsidRPr="00FB38E1">
        <w:rPr>
          <w:rFonts w:ascii="Microsoft Sans Serif" w:hAnsi="Microsoft Sans Serif" w:cs="Microsoft Sans Serif"/>
          <w:color w:val="404040" w:themeColor="text1" w:themeTint="BF"/>
          <w:sz w:val="20"/>
          <w:szCs w:val="20"/>
        </w:rPr>
        <w:t>ndaki yabancı para yatırımlarının kur riskinden korunmak için konsolide</w:t>
      </w:r>
      <w:r w:rsidR="00484B1A" w:rsidRPr="00FB38E1">
        <w:rPr>
          <w:rFonts w:ascii="Microsoft Sans Serif" w:hAnsi="Microsoft Sans Serif" w:cs="Microsoft Sans Serif"/>
          <w:color w:val="404040" w:themeColor="text1" w:themeTint="BF"/>
          <w:sz w:val="20"/>
          <w:szCs w:val="20"/>
        </w:rPr>
        <w:t xml:space="preserve"> olmayan</w:t>
      </w:r>
      <w:r w:rsidRPr="00FB38E1">
        <w:rPr>
          <w:rFonts w:ascii="Microsoft Sans Serif" w:hAnsi="Microsoft Sans Serif" w:cs="Microsoft Sans Serif"/>
          <w:color w:val="404040" w:themeColor="text1" w:themeTint="BF"/>
          <w:sz w:val="20"/>
          <w:szCs w:val="20"/>
        </w:rPr>
        <w:t xml:space="preserve"> finansal tablolarında </w:t>
      </w:r>
      <w:r w:rsidR="00CC65DD" w:rsidRPr="00FB38E1">
        <w:rPr>
          <w:rFonts w:ascii="Microsoft Sans Serif" w:hAnsi="Microsoft Sans Serif" w:cs="Microsoft Sans Serif"/>
          <w:color w:val="404040" w:themeColor="text1" w:themeTint="BF"/>
          <w:sz w:val="20"/>
          <w:szCs w:val="20"/>
        </w:rPr>
        <w:t>yurt dışı</w:t>
      </w:r>
      <w:r w:rsidRPr="00FB38E1">
        <w:rPr>
          <w:rFonts w:ascii="Microsoft Sans Serif" w:hAnsi="Microsoft Sans Serif" w:cs="Microsoft Sans Serif"/>
          <w:color w:val="404040" w:themeColor="text1" w:themeTint="BF"/>
          <w:sz w:val="20"/>
          <w:szCs w:val="20"/>
        </w:rPr>
        <w:t>ndaki net yatırımlarından kaynaklanan kur riskinden korunma muhasebesi uygulamaktadır.</w:t>
      </w:r>
    </w:p>
    <w:p w14:paraId="4911B08F" w14:textId="031AFF1A" w:rsidR="00006AB1" w:rsidRPr="00FB38E1" w:rsidRDefault="00CC65DD" w:rsidP="00DD4B14">
      <w:pPr>
        <w:pStyle w:val="BDDKmetin"/>
        <w:spacing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Yurt dışı</w:t>
      </w:r>
      <w:r w:rsidR="00514C6A" w:rsidRPr="00FB38E1">
        <w:rPr>
          <w:rFonts w:ascii="Microsoft Sans Serif" w:hAnsi="Microsoft Sans Serif" w:cs="Microsoft Sans Serif"/>
          <w:color w:val="404040" w:themeColor="text1" w:themeTint="BF"/>
          <w:sz w:val="20"/>
          <w:szCs w:val="20"/>
        </w:rPr>
        <w:t>ndaki net yatırımlarından kaynaklanan kur riskinden korunma</w:t>
      </w:r>
      <w:r w:rsidR="00514C6A" w:rsidRPr="00FB38E1">
        <w:rPr>
          <w:rFonts w:ascii="Microsoft Sans Serif" w:hAnsi="Microsoft Sans Serif" w:cs="Microsoft Sans Serif"/>
          <w:color w:val="404040" w:themeColor="text1" w:themeTint="BF"/>
          <w:sz w:val="20"/>
          <w:szCs w:val="20"/>
          <w:lang w:eastAsia="en-US"/>
        </w:rPr>
        <w:t xml:space="preserve"> ile ilgili bilgiler Dördüncü bölüm </w:t>
      </w:r>
      <w:r w:rsidR="006C03EB" w:rsidRPr="00FB38E1">
        <w:rPr>
          <w:rFonts w:ascii="Microsoft Sans Serif" w:hAnsi="Microsoft Sans Serif" w:cs="Microsoft Sans Serif"/>
          <w:color w:val="404040" w:themeColor="text1" w:themeTint="BF"/>
          <w:sz w:val="20"/>
          <w:szCs w:val="20"/>
          <w:lang w:eastAsia="en-US"/>
        </w:rPr>
        <w:t>VII</w:t>
      </w:r>
      <w:r w:rsidR="008C0555" w:rsidRPr="00FB38E1">
        <w:rPr>
          <w:rFonts w:ascii="Microsoft Sans Serif" w:hAnsi="Microsoft Sans Serif" w:cs="Microsoft Sans Serif"/>
          <w:color w:val="404040" w:themeColor="text1" w:themeTint="BF"/>
          <w:sz w:val="20"/>
          <w:szCs w:val="20"/>
          <w:lang w:eastAsia="en-US"/>
        </w:rPr>
        <w:t>I</w:t>
      </w:r>
      <w:r w:rsidR="00514C6A" w:rsidRPr="00FB38E1">
        <w:rPr>
          <w:rFonts w:ascii="Microsoft Sans Serif" w:hAnsi="Microsoft Sans Serif" w:cs="Microsoft Sans Serif"/>
          <w:color w:val="404040" w:themeColor="text1" w:themeTint="BF"/>
          <w:sz w:val="20"/>
          <w:szCs w:val="20"/>
          <w:lang w:eastAsia="en-US"/>
        </w:rPr>
        <w:t>-a no’lu dipnotta açıklanmıştır</w:t>
      </w:r>
      <w:r w:rsidR="00006AB1" w:rsidRPr="00FB38E1">
        <w:rPr>
          <w:rFonts w:ascii="Microsoft Sans Serif" w:hAnsi="Microsoft Sans Serif" w:cs="Microsoft Sans Serif"/>
          <w:color w:val="404040" w:themeColor="text1" w:themeTint="BF"/>
          <w:sz w:val="20"/>
          <w:szCs w:val="20"/>
        </w:rPr>
        <w:t>.</w:t>
      </w:r>
    </w:p>
    <w:p w14:paraId="46AF26DB" w14:textId="77777777" w:rsidR="00006AB1" w:rsidRPr="00FB38E1" w:rsidRDefault="00006AB1" w:rsidP="00DD4B14">
      <w:pPr>
        <w:pStyle w:val="BDDKbalk1"/>
        <w:numPr>
          <w:ilvl w:val="0"/>
          <w:numId w:val="13"/>
        </w:numPr>
        <w:spacing w:line="240" w:lineRule="exact"/>
        <w:ind w:left="0" w:hanging="567"/>
        <w:rPr>
          <w:rFonts w:ascii="Microsoft Sans Serif" w:hAnsi="Microsoft Sans Serif" w:cs="Microsoft Sans Serif"/>
          <w:b w:val="0"/>
          <w:sz w:val="20"/>
          <w:szCs w:val="20"/>
          <w:lang w:eastAsia="en-US"/>
        </w:rPr>
      </w:pPr>
      <w:r w:rsidRPr="00FB38E1">
        <w:rPr>
          <w:rFonts w:ascii="Microsoft Sans Serif" w:hAnsi="Microsoft Sans Serif" w:cs="Microsoft Sans Serif"/>
          <w:sz w:val="20"/>
          <w:szCs w:val="20"/>
          <w:lang w:val="pt-BR" w:eastAsia="en-US"/>
        </w:rPr>
        <w:t>Yabancı para risk yönetim politikası</w:t>
      </w:r>
    </w:p>
    <w:p w14:paraId="48726F48" w14:textId="7604C359" w:rsidR="00006AB1" w:rsidRPr="00FB38E1" w:rsidRDefault="000F4643" w:rsidP="00DD4B14">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FB38E1">
        <w:rPr>
          <w:rFonts w:ascii="Microsoft Sans Serif" w:hAnsi="Microsoft Sans Serif" w:cs="Microsoft Sans Serif"/>
          <w:b w:val="0"/>
          <w:i w:val="0"/>
          <w:color w:val="404040" w:themeColor="text1" w:themeTint="BF"/>
          <w:sz w:val="20"/>
          <w:szCs w:val="20"/>
        </w:rPr>
        <w:t>Kur riskinin yönetilmesine ilişkin usul ve esaslar Kur Riski Politikası’nda yazılı hale getirilmiştir. Bankanın risk yönetimi politikasının en önemli unsuru olan limit sistemi, genel ekonomik durum ve piyasalardaki gelişmeler dikkate alınarak yılda bir defa gözden geçirilmekte ve Yönetim Kurulu’nca onaylanmaktadır.</w:t>
      </w:r>
    </w:p>
    <w:p w14:paraId="6924012F" w14:textId="77777777" w:rsidR="00006AB1" w:rsidRPr="00FB38E1" w:rsidRDefault="00006AB1" w:rsidP="00DD4B14">
      <w:pPr>
        <w:pStyle w:val="Head3"/>
        <w:keepNext w:val="0"/>
        <w:keepLines w:val="0"/>
        <w:numPr>
          <w:ilvl w:val="0"/>
          <w:numId w:val="13"/>
        </w:numPr>
        <w:spacing w:before="240" w:line="220" w:lineRule="exact"/>
        <w:ind w:left="0" w:right="0" w:hanging="567"/>
        <w:rPr>
          <w:rFonts w:ascii="Microsoft Sans Serif" w:eastAsia="Arial Unicode MS" w:hAnsi="Microsoft Sans Serif" w:cs="Microsoft Sans Serif"/>
          <w:bCs w:val="0"/>
          <w:i w:val="0"/>
          <w:iCs w:val="0"/>
          <w:sz w:val="20"/>
          <w:szCs w:val="20"/>
          <w:lang w:eastAsia="tr-TR"/>
        </w:rPr>
      </w:pPr>
      <w:r w:rsidRPr="00FB38E1">
        <w:rPr>
          <w:rFonts w:ascii="Microsoft Sans Serif" w:hAnsi="Microsoft Sans Serif" w:cs="Microsoft Sans Serif"/>
          <w:i w:val="0"/>
          <w:sz w:val="20"/>
          <w:szCs w:val="20"/>
        </w:rPr>
        <w:t>Banka’nın finansal tablo tarihi ile bu tarihten geriye doğru son beş iş günü kamuya duyurulan cari döviz alış kurları</w:t>
      </w:r>
    </w:p>
    <w:p w14:paraId="254E54B9" w14:textId="54326809" w:rsidR="00006AB1" w:rsidRPr="00FB38E1" w:rsidRDefault="00006AB1" w:rsidP="00DD4B14">
      <w:pPr>
        <w:pStyle w:val="YAZI"/>
        <w:tabs>
          <w:tab w:val="right" w:pos="6840"/>
        </w:tabs>
        <w:spacing w:after="0" w:line="240" w:lineRule="auto"/>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Bilanço tarihindeki ABD Doları Gişe Döviz Alış Kuru</w:t>
      </w:r>
      <w:r w:rsidRPr="00FB38E1">
        <w:rPr>
          <w:rFonts w:ascii="Microsoft Sans Serif" w:hAnsi="Microsoft Sans Serif" w:cs="Microsoft Sans Serif"/>
          <w:color w:val="404040" w:themeColor="text1" w:themeTint="BF"/>
          <w:sz w:val="20"/>
          <w:szCs w:val="20"/>
        </w:rPr>
        <w:tab/>
      </w:r>
      <w:r w:rsidR="00F12288"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5</w:t>
      </w:r>
      <w:r w:rsidR="00F12288"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2803</w:t>
      </w:r>
      <w:r w:rsidR="00D95BAE" w:rsidRPr="00FB38E1">
        <w:rPr>
          <w:rFonts w:ascii="Microsoft Sans Serif" w:hAnsi="Microsoft Sans Serif" w:cs="Microsoft Sans Serif"/>
          <w:color w:val="404040"/>
          <w:sz w:val="20"/>
          <w:szCs w:val="20"/>
        </w:rPr>
        <w:t xml:space="preserve"> </w:t>
      </w:r>
      <w:r w:rsidR="001528DD" w:rsidRPr="00FB38E1">
        <w:rPr>
          <w:rFonts w:ascii="Microsoft Sans Serif" w:hAnsi="Microsoft Sans Serif" w:cs="Microsoft Sans Serif"/>
          <w:color w:val="404040" w:themeColor="text1" w:themeTint="BF"/>
          <w:sz w:val="20"/>
          <w:szCs w:val="20"/>
        </w:rPr>
        <w:t>TL</w:t>
      </w:r>
    </w:p>
    <w:p w14:paraId="4914FF38" w14:textId="191CED30" w:rsidR="00006AB1" w:rsidRPr="00FB38E1" w:rsidRDefault="00006AB1" w:rsidP="00DD4B14">
      <w:pPr>
        <w:pStyle w:val="YAZI"/>
        <w:tabs>
          <w:tab w:val="right" w:pos="6840"/>
        </w:tabs>
        <w:spacing w:after="240" w:line="240" w:lineRule="auto"/>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Bilanço tarihineki Avro Gişe Döviz Alış Kuru</w:t>
      </w:r>
      <w:r w:rsidRPr="00FB38E1">
        <w:rPr>
          <w:rFonts w:ascii="Microsoft Sans Serif" w:hAnsi="Microsoft Sans Serif" w:cs="Microsoft Sans Serif"/>
          <w:color w:val="404040" w:themeColor="text1" w:themeTint="BF"/>
          <w:sz w:val="20"/>
          <w:szCs w:val="20"/>
        </w:rPr>
        <w:tab/>
      </w:r>
      <w:r w:rsidR="00F12288"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6</w:t>
      </w:r>
      <w:r w:rsidR="00F12288"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7362</w:t>
      </w:r>
      <w:r w:rsidR="004273DC" w:rsidRPr="00FB38E1">
        <w:rPr>
          <w:rFonts w:ascii="Microsoft Sans Serif" w:hAnsi="Microsoft Sans Serif" w:cs="Microsoft Sans Serif"/>
          <w:color w:val="404040"/>
          <w:sz w:val="20"/>
          <w:szCs w:val="20"/>
        </w:rPr>
        <w:t xml:space="preserve"> </w:t>
      </w:r>
      <w:r w:rsidR="001528DD" w:rsidRPr="00FB38E1">
        <w:rPr>
          <w:rFonts w:ascii="Microsoft Sans Serif" w:hAnsi="Microsoft Sans Serif" w:cs="Microsoft Sans Serif"/>
          <w:color w:val="404040" w:themeColor="text1" w:themeTint="BF"/>
          <w:sz w:val="20"/>
          <w:szCs w:val="20"/>
        </w:rPr>
        <w:t>TL</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7"/>
        <w:gridCol w:w="3256"/>
        <w:gridCol w:w="2626"/>
      </w:tblGrid>
      <w:tr w:rsidR="00AE18F5" w:rsidRPr="00FB38E1" w14:paraId="12866C28" w14:textId="77777777" w:rsidTr="00622E75">
        <w:tc>
          <w:tcPr>
            <w:tcW w:w="1949" w:type="pct"/>
            <w:vAlign w:val="bottom"/>
          </w:tcPr>
          <w:p w14:paraId="458FE228" w14:textId="77777777" w:rsidR="00AE18F5" w:rsidRPr="00FB38E1" w:rsidRDefault="00AE18F5" w:rsidP="00DD4B14">
            <w:pPr>
              <w:jc w:val="center"/>
              <w:rPr>
                <w:rFonts w:ascii="Microsoft Sans Serif" w:hAnsi="Microsoft Sans Serif" w:cs="Microsoft Sans Serif"/>
                <w:b/>
                <w:bCs/>
                <w:position w:val="6"/>
                <w:sz w:val="20"/>
                <w:szCs w:val="20"/>
                <w:u w:val="single"/>
              </w:rPr>
            </w:pPr>
            <w:r w:rsidRPr="00FB38E1">
              <w:rPr>
                <w:rFonts w:ascii="Microsoft Sans Serif" w:hAnsi="Microsoft Sans Serif" w:cs="Microsoft Sans Serif"/>
                <w:b/>
                <w:bCs/>
                <w:position w:val="6"/>
                <w:sz w:val="20"/>
                <w:szCs w:val="20"/>
                <w:u w:val="single"/>
                <w:lang w:val="en-US"/>
              </w:rPr>
              <w:t>Tarih</w:t>
            </w:r>
          </w:p>
        </w:tc>
        <w:tc>
          <w:tcPr>
            <w:tcW w:w="1689" w:type="pct"/>
            <w:vAlign w:val="bottom"/>
          </w:tcPr>
          <w:p w14:paraId="3BE3F811" w14:textId="77777777" w:rsidR="00AE18F5" w:rsidRPr="00FB38E1" w:rsidRDefault="00AE18F5" w:rsidP="00DD4B14">
            <w:pPr>
              <w:jc w:val="center"/>
              <w:rPr>
                <w:rFonts w:ascii="Microsoft Sans Serif" w:hAnsi="Microsoft Sans Serif" w:cs="Microsoft Sans Serif"/>
                <w:b/>
                <w:bCs/>
                <w:position w:val="6"/>
                <w:sz w:val="20"/>
                <w:szCs w:val="20"/>
                <w:u w:val="single"/>
              </w:rPr>
            </w:pPr>
            <w:r w:rsidRPr="00FB38E1">
              <w:rPr>
                <w:rFonts w:ascii="Microsoft Sans Serif" w:hAnsi="Microsoft Sans Serif" w:cs="Microsoft Sans Serif"/>
                <w:b/>
                <w:bCs/>
                <w:position w:val="6"/>
                <w:sz w:val="20"/>
                <w:szCs w:val="20"/>
                <w:u w:val="single"/>
                <w:lang w:val="en-US"/>
              </w:rPr>
              <w:t>ABD Doları</w:t>
            </w:r>
          </w:p>
        </w:tc>
        <w:tc>
          <w:tcPr>
            <w:tcW w:w="1362" w:type="pct"/>
            <w:vAlign w:val="bottom"/>
          </w:tcPr>
          <w:p w14:paraId="33B06E5B" w14:textId="77777777" w:rsidR="00AE18F5" w:rsidRPr="00FB38E1" w:rsidRDefault="00AE18F5" w:rsidP="00DD4B14">
            <w:pPr>
              <w:ind w:left="-684"/>
              <w:jc w:val="center"/>
              <w:rPr>
                <w:rFonts w:ascii="Microsoft Sans Serif" w:hAnsi="Microsoft Sans Serif" w:cs="Microsoft Sans Serif"/>
                <w:b/>
                <w:bCs/>
                <w:position w:val="6"/>
                <w:sz w:val="20"/>
                <w:szCs w:val="20"/>
                <w:u w:val="single"/>
              </w:rPr>
            </w:pPr>
            <w:r w:rsidRPr="00FB38E1">
              <w:rPr>
                <w:rFonts w:ascii="Microsoft Sans Serif" w:hAnsi="Microsoft Sans Serif" w:cs="Microsoft Sans Serif"/>
                <w:b/>
                <w:bCs/>
                <w:position w:val="6"/>
                <w:sz w:val="20"/>
                <w:szCs w:val="20"/>
                <w:u w:val="single"/>
                <w:lang w:val="en-US"/>
              </w:rPr>
              <w:t>Avro</w:t>
            </w:r>
          </w:p>
        </w:tc>
      </w:tr>
      <w:tr w:rsidR="00431596" w:rsidRPr="00FB38E1" w14:paraId="6386EF43" w14:textId="77777777" w:rsidTr="003940F0">
        <w:trPr>
          <w:trHeight w:val="72"/>
        </w:trPr>
        <w:tc>
          <w:tcPr>
            <w:tcW w:w="1949" w:type="pct"/>
          </w:tcPr>
          <w:p w14:paraId="49EFFEDE" w14:textId="63482806" w:rsidR="00431596" w:rsidRPr="00FB38E1" w:rsidRDefault="00431596" w:rsidP="00431596">
            <w:pPr>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2</w:t>
            </w:r>
            <w:r w:rsidR="008E062C" w:rsidRPr="00FB38E1">
              <w:rPr>
                <w:rFonts w:ascii="Microsoft Sans Serif" w:hAnsi="Microsoft Sans Serif" w:cs="Microsoft Sans Serif"/>
                <w:color w:val="404040" w:themeColor="text1" w:themeTint="BF"/>
                <w:sz w:val="20"/>
                <w:szCs w:val="20"/>
              </w:rPr>
              <w:t>5</w:t>
            </w:r>
            <w:r w:rsidRPr="00FB38E1">
              <w:rPr>
                <w:rFonts w:ascii="Microsoft Sans Serif" w:hAnsi="Microsoft Sans Serif" w:cs="Microsoft Sans Serif"/>
                <w:color w:val="404040" w:themeColor="text1" w:themeTint="BF"/>
                <w:sz w:val="20"/>
                <w:szCs w:val="20"/>
              </w:rPr>
              <w:t xml:space="preserve"> Aralık 2024</w:t>
            </w:r>
          </w:p>
        </w:tc>
        <w:tc>
          <w:tcPr>
            <w:tcW w:w="1689" w:type="pct"/>
            <w:vAlign w:val="bottom"/>
          </w:tcPr>
          <w:p w14:paraId="1711574E" w14:textId="01360BC3" w:rsidR="00431596" w:rsidRPr="00FB38E1" w:rsidRDefault="00431596" w:rsidP="00431596">
            <w:pPr>
              <w:jc w:val="center"/>
              <w:rPr>
                <w:rFonts w:ascii="Microsoft Sans Serif" w:hAnsi="Microsoft Sans Serif" w:cs="Microsoft Sans Serif"/>
                <w:color w:val="404040"/>
                <w:sz w:val="20"/>
                <w:szCs w:val="20"/>
              </w:rPr>
            </w:pPr>
            <w:r w:rsidRPr="00FB38E1">
              <w:rPr>
                <w:rFonts w:ascii="Microsoft Sans Serif" w:hAnsi="Microsoft Sans Serif" w:cs="Microsoft Sans Serif"/>
                <w:color w:val="404040"/>
                <w:sz w:val="20"/>
                <w:szCs w:val="20"/>
              </w:rPr>
              <w:t>3</w:t>
            </w:r>
            <w:r w:rsidR="001C6A81" w:rsidRPr="00FB38E1">
              <w:rPr>
                <w:rFonts w:ascii="Microsoft Sans Serif" w:hAnsi="Microsoft Sans Serif" w:cs="Microsoft Sans Serif"/>
                <w:color w:val="404040"/>
                <w:sz w:val="20"/>
                <w:szCs w:val="20"/>
              </w:rPr>
              <w:t>5</w:t>
            </w:r>
            <w:r w:rsidRPr="00FB38E1">
              <w:rPr>
                <w:rFonts w:ascii="Microsoft Sans Serif" w:hAnsi="Microsoft Sans Serif" w:cs="Microsoft Sans Serif"/>
                <w:color w:val="404040"/>
                <w:sz w:val="20"/>
                <w:szCs w:val="20"/>
              </w:rPr>
              <w:t>,</w:t>
            </w:r>
            <w:r w:rsidR="001C6A81" w:rsidRPr="00FB38E1">
              <w:rPr>
                <w:rFonts w:ascii="Microsoft Sans Serif" w:hAnsi="Microsoft Sans Serif" w:cs="Microsoft Sans Serif"/>
                <w:color w:val="404040"/>
                <w:sz w:val="20"/>
                <w:szCs w:val="20"/>
              </w:rPr>
              <w:t>2162</w:t>
            </w:r>
          </w:p>
        </w:tc>
        <w:tc>
          <w:tcPr>
            <w:tcW w:w="1362" w:type="pct"/>
            <w:vAlign w:val="bottom"/>
          </w:tcPr>
          <w:p w14:paraId="0F4EF7D9" w14:textId="3C3D48D6" w:rsidR="00431596" w:rsidRPr="00FB38E1" w:rsidRDefault="00431596" w:rsidP="00431596">
            <w:pPr>
              <w:ind w:left="-684"/>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3</w:t>
            </w:r>
            <w:r w:rsidR="001C6A81" w:rsidRPr="00FB38E1">
              <w:rPr>
                <w:rFonts w:ascii="Microsoft Sans Serif" w:hAnsi="Microsoft Sans Serif" w:cs="Microsoft Sans Serif"/>
                <w:color w:val="404040"/>
                <w:sz w:val="20"/>
                <w:szCs w:val="20"/>
              </w:rPr>
              <w:t>6</w:t>
            </w:r>
            <w:r w:rsidRPr="00FB38E1">
              <w:rPr>
                <w:rFonts w:ascii="Microsoft Sans Serif" w:hAnsi="Microsoft Sans Serif" w:cs="Microsoft Sans Serif"/>
                <w:color w:val="404040"/>
                <w:sz w:val="20"/>
                <w:szCs w:val="20"/>
              </w:rPr>
              <w:t>,</w:t>
            </w:r>
            <w:r w:rsidR="001C6A81" w:rsidRPr="00FB38E1">
              <w:rPr>
                <w:rFonts w:ascii="Microsoft Sans Serif" w:hAnsi="Microsoft Sans Serif" w:cs="Microsoft Sans Serif"/>
                <w:color w:val="404040"/>
                <w:sz w:val="20"/>
                <w:szCs w:val="20"/>
              </w:rPr>
              <w:t>6592</w:t>
            </w:r>
          </w:p>
        </w:tc>
      </w:tr>
      <w:tr w:rsidR="00431596" w:rsidRPr="00FB38E1" w14:paraId="40D84D6B" w14:textId="77777777" w:rsidTr="00622E75">
        <w:tc>
          <w:tcPr>
            <w:tcW w:w="1949" w:type="pct"/>
          </w:tcPr>
          <w:p w14:paraId="4A95B65B" w14:textId="1A8D852C" w:rsidR="00431596" w:rsidRPr="00FB38E1" w:rsidRDefault="00431596" w:rsidP="00431596">
            <w:pPr>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2</w:t>
            </w:r>
            <w:r w:rsidR="008E062C" w:rsidRPr="00FB38E1">
              <w:rPr>
                <w:rFonts w:ascii="Microsoft Sans Serif" w:hAnsi="Microsoft Sans Serif" w:cs="Microsoft Sans Serif"/>
                <w:color w:val="404040" w:themeColor="text1" w:themeTint="BF"/>
                <w:sz w:val="20"/>
                <w:szCs w:val="20"/>
              </w:rPr>
              <w:t>6</w:t>
            </w:r>
            <w:r w:rsidRPr="00FB38E1">
              <w:rPr>
                <w:rFonts w:ascii="Microsoft Sans Serif" w:hAnsi="Microsoft Sans Serif" w:cs="Microsoft Sans Serif"/>
                <w:color w:val="404040" w:themeColor="text1" w:themeTint="BF"/>
                <w:sz w:val="20"/>
                <w:szCs w:val="20"/>
              </w:rPr>
              <w:t xml:space="preserve"> Aralık 2024</w:t>
            </w:r>
          </w:p>
        </w:tc>
        <w:tc>
          <w:tcPr>
            <w:tcW w:w="1689" w:type="pct"/>
            <w:vAlign w:val="bottom"/>
          </w:tcPr>
          <w:p w14:paraId="6C8192CE" w14:textId="015FE9E4" w:rsidR="00431596" w:rsidRPr="00FB38E1" w:rsidRDefault="00431596" w:rsidP="00431596">
            <w:pPr>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5</w:t>
            </w:r>
            <w:r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2033</w:t>
            </w:r>
          </w:p>
        </w:tc>
        <w:tc>
          <w:tcPr>
            <w:tcW w:w="1362" w:type="pct"/>
            <w:vAlign w:val="bottom"/>
          </w:tcPr>
          <w:p w14:paraId="41E9C932" w14:textId="6FE4DB4E" w:rsidR="00431596" w:rsidRPr="00FB38E1" w:rsidRDefault="00431596" w:rsidP="00431596">
            <w:pPr>
              <w:ind w:left="-684"/>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6</w:t>
            </w:r>
            <w:r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6076</w:t>
            </w:r>
          </w:p>
        </w:tc>
      </w:tr>
      <w:tr w:rsidR="00431596" w:rsidRPr="00FB38E1" w14:paraId="7454A6C3" w14:textId="77777777" w:rsidTr="00622E75">
        <w:tc>
          <w:tcPr>
            <w:tcW w:w="1949" w:type="pct"/>
          </w:tcPr>
          <w:p w14:paraId="451EDBEF" w14:textId="45DC6C40" w:rsidR="00431596" w:rsidRPr="00FB38E1" w:rsidRDefault="00431596" w:rsidP="00431596">
            <w:pPr>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2</w:t>
            </w:r>
            <w:r w:rsidR="008E062C" w:rsidRPr="00FB38E1">
              <w:rPr>
                <w:rFonts w:ascii="Microsoft Sans Serif" w:hAnsi="Microsoft Sans Serif" w:cs="Microsoft Sans Serif"/>
                <w:color w:val="404040" w:themeColor="text1" w:themeTint="BF"/>
                <w:sz w:val="20"/>
                <w:szCs w:val="20"/>
              </w:rPr>
              <w:t>7</w:t>
            </w:r>
            <w:r w:rsidRPr="00FB38E1">
              <w:rPr>
                <w:rFonts w:ascii="Microsoft Sans Serif" w:hAnsi="Microsoft Sans Serif" w:cs="Microsoft Sans Serif"/>
                <w:color w:val="404040" w:themeColor="text1" w:themeTint="BF"/>
                <w:sz w:val="20"/>
                <w:szCs w:val="20"/>
              </w:rPr>
              <w:t xml:space="preserve"> Aralık 2024</w:t>
            </w:r>
          </w:p>
        </w:tc>
        <w:tc>
          <w:tcPr>
            <w:tcW w:w="1689" w:type="pct"/>
            <w:vAlign w:val="bottom"/>
          </w:tcPr>
          <w:p w14:paraId="4BE84667" w14:textId="53B03A78" w:rsidR="00431596" w:rsidRPr="00FB38E1" w:rsidRDefault="00431596" w:rsidP="00431596">
            <w:pPr>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5</w:t>
            </w:r>
            <w:r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1368</w:t>
            </w:r>
          </w:p>
        </w:tc>
        <w:tc>
          <w:tcPr>
            <w:tcW w:w="1362" w:type="pct"/>
            <w:vAlign w:val="bottom"/>
          </w:tcPr>
          <w:p w14:paraId="28E1AA72" w14:textId="3D5BA475" w:rsidR="00431596" w:rsidRPr="00FB38E1" w:rsidRDefault="00431596" w:rsidP="00431596">
            <w:pPr>
              <w:ind w:left="-684"/>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6</w:t>
            </w:r>
            <w:r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6134</w:t>
            </w:r>
          </w:p>
        </w:tc>
      </w:tr>
      <w:tr w:rsidR="00431596" w:rsidRPr="00FB38E1" w14:paraId="4A0417C2" w14:textId="77777777" w:rsidTr="00622E75">
        <w:tc>
          <w:tcPr>
            <w:tcW w:w="1949" w:type="pct"/>
          </w:tcPr>
          <w:p w14:paraId="6E8E6E63" w14:textId="49F12CAD" w:rsidR="00431596" w:rsidRPr="00FB38E1" w:rsidRDefault="00431596" w:rsidP="00431596">
            <w:pPr>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30 Aralık 2024</w:t>
            </w:r>
          </w:p>
        </w:tc>
        <w:tc>
          <w:tcPr>
            <w:tcW w:w="1689" w:type="pct"/>
            <w:vAlign w:val="bottom"/>
          </w:tcPr>
          <w:p w14:paraId="692DCD5D" w14:textId="7CF45D10" w:rsidR="00431596" w:rsidRPr="00FB38E1" w:rsidRDefault="00431596" w:rsidP="00431596">
            <w:pPr>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5</w:t>
            </w:r>
            <w:r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2233</w:t>
            </w:r>
          </w:p>
        </w:tc>
        <w:tc>
          <w:tcPr>
            <w:tcW w:w="1362" w:type="pct"/>
            <w:vAlign w:val="bottom"/>
          </w:tcPr>
          <w:p w14:paraId="1D2C5D4D" w14:textId="0A9F651B" w:rsidR="00431596" w:rsidRPr="00FB38E1" w:rsidRDefault="00431596" w:rsidP="00431596">
            <w:pPr>
              <w:ind w:left="-684"/>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6</w:t>
            </w:r>
            <w:r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7429</w:t>
            </w:r>
          </w:p>
        </w:tc>
      </w:tr>
      <w:tr w:rsidR="00431596" w:rsidRPr="00FB38E1" w14:paraId="77382DE5" w14:textId="77777777" w:rsidTr="00A37F99">
        <w:tc>
          <w:tcPr>
            <w:tcW w:w="1949" w:type="pct"/>
          </w:tcPr>
          <w:p w14:paraId="1A103D94" w14:textId="1809FD1F" w:rsidR="00431596" w:rsidRPr="00FB38E1" w:rsidRDefault="00431596" w:rsidP="00431596">
            <w:pPr>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31 Aralık 2024</w:t>
            </w:r>
          </w:p>
        </w:tc>
        <w:tc>
          <w:tcPr>
            <w:tcW w:w="1689" w:type="pct"/>
            <w:vAlign w:val="bottom"/>
          </w:tcPr>
          <w:p w14:paraId="7C1710E8" w14:textId="28ADB915" w:rsidR="00431596" w:rsidRPr="00FB38E1" w:rsidRDefault="00431596" w:rsidP="00431596">
            <w:pPr>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5</w:t>
            </w:r>
            <w:r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2803</w:t>
            </w:r>
          </w:p>
        </w:tc>
        <w:tc>
          <w:tcPr>
            <w:tcW w:w="1362" w:type="pct"/>
            <w:vAlign w:val="bottom"/>
          </w:tcPr>
          <w:p w14:paraId="1BF092B0" w14:textId="45471639" w:rsidR="00431596" w:rsidRPr="00FB38E1" w:rsidRDefault="00431596" w:rsidP="00431596">
            <w:pPr>
              <w:ind w:left="-684"/>
              <w:jc w:val="cente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3</w:t>
            </w:r>
            <w:r w:rsidR="00CA49A8" w:rsidRPr="00FB38E1">
              <w:rPr>
                <w:rFonts w:ascii="Microsoft Sans Serif" w:hAnsi="Microsoft Sans Serif" w:cs="Microsoft Sans Serif"/>
                <w:color w:val="404040"/>
                <w:sz w:val="20"/>
                <w:szCs w:val="20"/>
              </w:rPr>
              <w:t>6</w:t>
            </w:r>
            <w:r w:rsidRPr="00FB38E1">
              <w:rPr>
                <w:rFonts w:ascii="Microsoft Sans Serif" w:hAnsi="Microsoft Sans Serif" w:cs="Microsoft Sans Serif"/>
                <w:color w:val="404040"/>
                <w:sz w:val="20"/>
                <w:szCs w:val="20"/>
              </w:rPr>
              <w:t>,</w:t>
            </w:r>
            <w:r w:rsidR="00CA49A8" w:rsidRPr="00FB38E1">
              <w:rPr>
                <w:rFonts w:ascii="Microsoft Sans Serif" w:hAnsi="Microsoft Sans Serif" w:cs="Microsoft Sans Serif"/>
                <w:color w:val="404040"/>
                <w:sz w:val="20"/>
                <w:szCs w:val="20"/>
              </w:rPr>
              <w:t>7362</w:t>
            </w:r>
          </w:p>
        </w:tc>
      </w:tr>
    </w:tbl>
    <w:p w14:paraId="4145A0BA" w14:textId="77777777" w:rsidR="00AE18F5" w:rsidRPr="00FB38E1" w:rsidRDefault="00AE18F5" w:rsidP="00DD4B14">
      <w:pPr>
        <w:pStyle w:val="YAZI"/>
        <w:numPr>
          <w:ilvl w:val="0"/>
          <w:numId w:val="13"/>
        </w:numPr>
        <w:tabs>
          <w:tab w:val="right" w:pos="6840"/>
        </w:tabs>
        <w:spacing w:before="240" w:after="0" w:line="240" w:lineRule="auto"/>
        <w:ind w:left="0" w:hanging="567"/>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sz w:val="20"/>
          <w:szCs w:val="20"/>
          <w:lang w:eastAsia="en-US"/>
        </w:rPr>
        <w:t>Banka’nın cari döviz alış kurunun finansal tablo tarihinden geriye doğru son otuz günlük basit aritmetik ortalama değeri</w:t>
      </w:r>
    </w:p>
    <w:p w14:paraId="7DBA0349" w14:textId="3149F3D0" w:rsidR="009C3845" w:rsidRPr="00FB38E1" w:rsidRDefault="00CF5E30" w:rsidP="00DD4B14">
      <w:pPr>
        <w:pStyle w:val="Head3"/>
        <w:keepNext w:val="0"/>
        <w:keepLines w:val="0"/>
        <w:spacing w:before="120" w:after="0" w:line="220" w:lineRule="exact"/>
        <w:ind w:right="0" w:firstLine="0"/>
        <w:rPr>
          <w:rFonts w:ascii="Microsoft Sans Serif" w:hAnsi="Microsoft Sans Serif" w:cs="Microsoft Sans Serif"/>
          <w:b w:val="0"/>
          <w:i w:val="0"/>
          <w:color w:val="404040" w:themeColor="text1" w:themeTint="BF"/>
          <w:sz w:val="20"/>
          <w:szCs w:val="20"/>
        </w:rPr>
      </w:pPr>
      <w:r w:rsidRPr="00FB38E1">
        <w:rPr>
          <w:rFonts w:ascii="Microsoft Sans Serif" w:hAnsi="Microsoft Sans Serif" w:cs="Microsoft Sans Serif"/>
          <w:b w:val="0"/>
          <w:i w:val="0"/>
          <w:color w:val="404040" w:themeColor="text1" w:themeTint="BF"/>
          <w:sz w:val="20"/>
          <w:szCs w:val="20"/>
        </w:rPr>
        <w:t>202</w:t>
      </w:r>
      <w:r w:rsidR="00AA4773" w:rsidRPr="00FB38E1">
        <w:rPr>
          <w:rFonts w:ascii="Microsoft Sans Serif" w:hAnsi="Microsoft Sans Serif" w:cs="Microsoft Sans Serif"/>
          <w:b w:val="0"/>
          <w:i w:val="0"/>
          <w:color w:val="404040" w:themeColor="text1" w:themeTint="BF"/>
          <w:sz w:val="20"/>
          <w:szCs w:val="20"/>
        </w:rPr>
        <w:t>4</w:t>
      </w:r>
      <w:r w:rsidR="00AE18F5" w:rsidRPr="00FB38E1">
        <w:rPr>
          <w:rFonts w:ascii="Microsoft Sans Serif" w:hAnsi="Microsoft Sans Serif" w:cs="Microsoft Sans Serif"/>
          <w:b w:val="0"/>
          <w:i w:val="0"/>
          <w:color w:val="404040" w:themeColor="text1" w:themeTint="BF"/>
          <w:sz w:val="20"/>
          <w:szCs w:val="20"/>
        </w:rPr>
        <w:t xml:space="preserve"> yılı</w:t>
      </w:r>
      <w:r w:rsidR="00694F6B" w:rsidRPr="00FB38E1">
        <w:rPr>
          <w:rFonts w:ascii="Microsoft Sans Serif" w:hAnsi="Microsoft Sans Serif" w:cs="Microsoft Sans Serif"/>
          <w:b w:val="0"/>
          <w:i w:val="0"/>
          <w:color w:val="404040" w:themeColor="text1" w:themeTint="BF"/>
          <w:sz w:val="20"/>
          <w:szCs w:val="20"/>
        </w:rPr>
        <w:t xml:space="preserve"> </w:t>
      </w:r>
      <w:r w:rsidR="00D1663E" w:rsidRPr="00FB38E1">
        <w:rPr>
          <w:rFonts w:ascii="Microsoft Sans Serif" w:hAnsi="Microsoft Sans Serif" w:cs="Microsoft Sans Serif"/>
          <w:b w:val="0"/>
          <w:i w:val="0"/>
          <w:color w:val="404040" w:themeColor="text1" w:themeTint="BF"/>
          <w:sz w:val="20"/>
          <w:szCs w:val="20"/>
        </w:rPr>
        <w:t>Aralık</w:t>
      </w:r>
      <w:r w:rsidRPr="00FB38E1">
        <w:rPr>
          <w:rFonts w:ascii="Microsoft Sans Serif" w:hAnsi="Microsoft Sans Serif" w:cs="Microsoft Sans Serif"/>
          <w:b w:val="0"/>
          <w:i w:val="0"/>
          <w:color w:val="404040" w:themeColor="text1" w:themeTint="BF"/>
          <w:sz w:val="20"/>
          <w:szCs w:val="20"/>
        </w:rPr>
        <w:t xml:space="preserve"> </w:t>
      </w:r>
      <w:r w:rsidR="00AE18F5" w:rsidRPr="00FB38E1">
        <w:rPr>
          <w:rFonts w:ascii="Microsoft Sans Serif" w:hAnsi="Microsoft Sans Serif" w:cs="Microsoft Sans Serif"/>
          <w:b w:val="0"/>
          <w:i w:val="0"/>
          <w:color w:val="404040" w:themeColor="text1" w:themeTint="BF"/>
          <w:sz w:val="20"/>
          <w:szCs w:val="20"/>
        </w:rPr>
        <w:t xml:space="preserve">ayı basit aritmetik ortalama ile ABD doları döviz alış kuru </w:t>
      </w:r>
      <w:r w:rsidR="00F12288" w:rsidRPr="00FB38E1">
        <w:rPr>
          <w:rFonts w:ascii="Microsoft Sans Serif" w:hAnsi="Microsoft Sans Serif" w:cs="Microsoft Sans Serif"/>
          <w:b w:val="0"/>
          <w:i w:val="0"/>
          <w:color w:val="404040" w:themeColor="text1" w:themeTint="BF"/>
          <w:sz w:val="20"/>
          <w:szCs w:val="20"/>
          <w:lang w:eastAsia="tr-TR"/>
        </w:rPr>
        <w:t>3</w:t>
      </w:r>
      <w:r w:rsidR="001A0FBF" w:rsidRPr="00FB38E1">
        <w:rPr>
          <w:rFonts w:ascii="Microsoft Sans Serif" w:hAnsi="Microsoft Sans Serif" w:cs="Microsoft Sans Serif"/>
          <w:b w:val="0"/>
          <w:i w:val="0"/>
          <w:color w:val="404040" w:themeColor="text1" w:themeTint="BF"/>
          <w:sz w:val="20"/>
          <w:szCs w:val="20"/>
          <w:lang w:eastAsia="tr-TR"/>
        </w:rPr>
        <w:t>4</w:t>
      </w:r>
      <w:r w:rsidR="00F12288" w:rsidRPr="00FB38E1">
        <w:rPr>
          <w:rFonts w:ascii="Microsoft Sans Serif" w:hAnsi="Microsoft Sans Serif" w:cs="Microsoft Sans Serif"/>
          <w:b w:val="0"/>
          <w:i w:val="0"/>
          <w:color w:val="404040" w:themeColor="text1" w:themeTint="BF"/>
          <w:sz w:val="20"/>
          <w:szCs w:val="20"/>
          <w:lang w:eastAsia="tr-TR"/>
        </w:rPr>
        <w:t>,</w:t>
      </w:r>
      <w:r w:rsidR="006D5328" w:rsidRPr="00FB38E1">
        <w:rPr>
          <w:rFonts w:ascii="Microsoft Sans Serif" w:hAnsi="Microsoft Sans Serif" w:cs="Microsoft Sans Serif"/>
          <w:b w:val="0"/>
          <w:i w:val="0"/>
          <w:color w:val="404040" w:themeColor="text1" w:themeTint="BF"/>
          <w:sz w:val="20"/>
          <w:szCs w:val="20"/>
          <w:lang w:eastAsia="tr-TR"/>
        </w:rPr>
        <w:t>9254</w:t>
      </w:r>
      <w:r w:rsidR="00936937" w:rsidRPr="00FB38E1">
        <w:rPr>
          <w:rFonts w:ascii="Microsoft Sans Serif" w:hAnsi="Microsoft Sans Serif" w:cs="Microsoft Sans Serif"/>
          <w:b w:val="0"/>
          <w:i w:val="0"/>
          <w:color w:val="404040" w:themeColor="text1" w:themeTint="BF"/>
          <w:sz w:val="20"/>
          <w:szCs w:val="20"/>
        </w:rPr>
        <w:t xml:space="preserve"> </w:t>
      </w:r>
      <w:r w:rsidR="00AE18F5" w:rsidRPr="00FB38E1">
        <w:rPr>
          <w:rFonts w:ascii="Microsoft Sans Serif" w:hAnsi="Microsoft Sans Serif" w:cs="Microsoft Sans Serif"/>
          <w:b w:val="0"/>
          <w:i w:val="0"/>
          <w:color w:val="404040" w:themeColor="text1" w:themeTint="BF"/>
          <w:sz w:val="20"/>
          <w:szCs w:val="20"/>
        </w:rPr>
        <w:t xml:space="preserve">TL, Avro döviz alış kuru </w:t>
      </w:r>
      <w:r w:rsidR="00F12288" w:rsidRPr="00FB38E1">
        <w:rPr>
          <w:rFonts w:ascii="Microsoft Sans Serif" w:hAnsi="Microsoft Sans Serif" w:cs="Microsoft Sans Serif"/>
          <w:b w:val="0"/>
          <w:i w:val="0"/>
          <w:color w:val="404040" w:themeColor="text1" w:themeTint="BF"/>
          <w:sz w:val="20"/>
          <w:szCs w:val="20"/>
          <w:lang w:eastAsia="tr-TR"/>
        </w:rPr>
        <w:t>3</w:t>
      </w:r>
      <w:r w:rsidR="001A0FBF" w:rsidRPr="00FB38E1">
        <w:rPr>
          <w:rFonts w:ascii="Microsoft Sans Serif" w:hAnsi="Microsoft Sans Serif" w:cs="Microsoft Sans Serif"/>
          <w:b w:val="0"/>
          <w:i w:val="0"/>
          <w:color w:val="404040" w:themeColor="text1" w:themeTint="BF"/>
          <w:sz w:val="20"/>
          <w:szCs w:val="20"/>
          <w:lang w:eastAsia="tr-TR"/>
        </w:rPr>
        <w:t>6</w:t>
      </w:r>
      <w:r w:rsidR="00F12288" w:rsidRPr="00FB38E1">
        <w:rPr>
          <w:rFonts w:ascii="Microsoft Sans Serif" w:hAnsi="Microsoft Sans Serif" w:cs="Microsoft Sans Serif"/>
          <w:b w:val="0"/>
          <w:i w:val="0"/>
          <w:color w:val="404040" w:themeColor="text1" w:themeTint="BF"/>
          <w:sz w:val="20"/>
          <w:szCs w:val="20"/>
          <w:lang w:eastAsia="tr-TR"/>
        </w:rPr>
        <w:t>,</w:t>
      </w:r>
      <w:r w:rsidR="006D5328" w:rsidRPr="00FB38E1">
        <w:rPr>
          <w:rFonts w:ascii="Microsoft Sans Serif" w:hAnsi="Microsoft Sans Serif" w:cs="Microsoft Sans Serif"/>
          <w:b w:val="0"/>
          <w:i w:val="0"/>
          <w:color w:val="404040" w:themeColor="text1" w:themeTint="BF"/>
          <w:sz w:val="20"/>
          <w:szCs w:val="20"/>
          <w:lang w:eastAsia="tr-TR"/>
        </w:rPr>
        <w:t>5796</w:t>
      </w:r>
      <w:r w:rsidR="00936937" w:rsidRPr="00FB38E1">
        <w:rPr>
          <w:rFonts w:ascii="Microsoft Sans Serif" w:hAnsi="Microsoft Sans Serif" w:cs="Microsoft Sans Serif"/>
          <w:b w:val="0"/>
          <w:i w:val="0"/>
          <w:color w:val="404040" w:themeColor="text1" w:themeTint="BF"/>
          <w:sz w:val="20"/>
          <w:szCs w:val="20"/>
        </w:rPr>
        <w:t xml:space="preserve"> </w:t>
      </w:r>
      <w:r w:rsidR="00AE18F5" w:rsidRPr="00FB38E1">
        <w:rPr>
          <w:rFonts w:ascii="Microsoft Sans Serif" w:hAnsi="Microsoft Sans Serif" w:cs="Microsoft Sans Serif"/>
          <w:b w:val="0"/>
          <w:i w:val="0"/>
          <w:color w:val="404040" w:themeColor="text1" w:themeTint="BF"/>
          <w:sz w:val="20"/>
          <w:szCs w:val="20"/>
        </w:rPr>
        <w:t>TL’dir.</w:t>
      </w:r>
    </w:p>
    <w:p w14:paraId="288CE2F1" w14:textId="3BD1260E" w:rsidR="00F8030A" w:rsidRPr="00FB38E1" w:rsidRDefault="00F8030A" w:rsidP="00DD4B14">
      <w:pPr>
        <w:pStyle w:val="Heading1"/>
      </w:pPr>
      <w:r w:rsidRPr="00FB38E1">
        <w:br w:type="page"/>
      </w:r>
    </w:p>
    <w:p w14:paraId="69FFE132" w14:textId="08EDDEE6" w:rsidR="00AE18F5" w:rsidRPr="00FB38E1" w:rsidRDefault="00AE18F5" w:rsidP="00DD4B14">
      <w:pPr>
        <w:pStyle w:val="BDDKbalk1"/>
        <w:numPr>
          <w:ilvl w:val="0"/>
          <w:numId w:val="13"/>
        </w:numPr>
        <w:spacing w:line="240" w:lineRule="exact"/>
        <w:ind w:left="0" w:hanging="567"/>
        <w:rPr>
          <w:rFonts w:ascii="Microsoft Sans Serif" w:hAnsi="Microsoft Sans Serif" w:cs="Microsoft Sans Serif"/>
          <w:sz w:val="20"/>
          <w:szCs w:val="20"/>
          <w:lang w:eastAsia="en-US"/>
        </w:rPr>
      </w:pPr>
      <w:r w:rsidRPr="00FB38E1">
        <w:rPr>
          <w:rFonts w:ascii="Microsoft Sans Serif" w:hAnsi="Microsoft Sans Serif" w:cs="Microsoft Sans Serif"/>
          <w:sz w:val="20"/>
          <w:szCs w:val="20"/>
          <w:lang w:eastAsia="en-US"/>
        </w:rPr>
        <w:t>Kur riskine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93"/>
        <w:gridCol w:w="1128"/>
        <w:gridCol w:w="1180"/>
        <w:gridCol w:w="1126"/>
        <w:gridCol w:w="1112"/>
      </w:tblGrid>
      <w:tr w:rsidR="002F11B6" w:rsidRPr="00FB38E1" w14:paraId="53C417BC" w14:textId="77777777" w:rsidTr="00D6109C">
        <w:trPr>
          <w:trHeight w:val="20"/>
        </w:trPr>
        <w:tc>
          <w:tcPr>
            <w:tcW w:w="2642" w:type="pct"/>
            <w:tcBorders>
              <w:top w:val="thinThickSmallGap" w:sz="24" w:space="0" w:color="auto"/>
              <w:bottom w:val="single" w:sz="4" w:space="0" w:color="auto"/>
            </w:tcBorders>
            <w:vAlign w:val="bottom"/>
          </w:tcPr>
          <w:p w14:paraId="51C1C12C" w14:textId="77777777" w:rsidR="002F11B6" w:rsidRPr="00FB38E1" w:rsidRDefault="002F11B6" w:rsidP="00DD4B14">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585" w:type="pct"/>
            <w:tcBorders>
              <w:top w:val="thinThickSmallGap" w:sz="24" w:space="0" w:color="auto"/>
              <w:bottom w:val="single" w:sz="4" w:space="0" w:color="auto"/>
            </w:tcBorders>
            <w:vAlign w:val="bottom"/>
          </w:tcPr>
          <w:p w14:paraId="111C9AF7" w14:textId="77777777" w:rsidR="002F11B6" w:rsidRPr="00FB38E1" w:rsidRDefault="002F11B6" w:rsidP="00DD4B1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Avro</w:t>
            </w:r>
          </w:p>
        </w:tc>
        <w:tc>
          <w:tcPr>
            <w:tcW w:w="612" w:type="pct"/>
            <w:tcBorders>
              <w:top w:val="thinThickSmallGap" w:sz="24" w:space="0" w:color="auto"/>
              <w:bottom w:val="single" w:sz="4" w:space="0" w:color="auto"/>
            </w:tcBorders>
            <w:vAlign w:val="bottom"/>
          </w:tcPr>
          <w:p w14:paraId="1171B160" w14:textId="77777777" w:rsidR="002F11B6" w:rsidRPr="00FB38E1" w:rsidRDefault="002F11B6" w:rsidP="00DD4B1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ABD Doları</w:t>
            </w:r>
          </w:p>
        </w:tc>
        <w:tc>
          <w:tcPr>
            <w:tcW w:w="584" w:type="pct"/>
            <w:tcBorders>
              <w:top w:val="thinThickSmallGap" w:sz="24" w:space="0" w:color="auto"/>
              <w:bottom w:val="single" w:sz="4" w:space="0" w:color="auto"/>
            </w:tcBorders>
            <w:vAlign w:val="bottom"/>
          </w:tcPr>
          <w:p w14:paraId="51AE79D4" w14:textId="19218432" w:rsidR="002F11B6" w:rsidRPr="00FB38E1" w:rsidRDefault="002F11B6" w:rsidP="00DD4B1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Diğer YP </w:t>
            </w:r>
            <w:r w:rsidRPr="00FB38E1">
              <w:rPr>
                <w:rFonts w:ascii="Microsoft Sans Serif" w:hAnsi="Microsoft Sans Serif" w:cs="Microsoft Sans Serif"/>
                <w:b/>
                <w:bCs/>
                <w:color w:val="000000"/>
                <w:sz w:val="16"/>
                <w:szCs w:val="16"/>
                <w:vertAlign w:val="superscript"/>
              </w:rPr>
              <w:t>(</w:t>
            </w:r>
            <w:r w:rsidR="00841624" w:rsidRPr="00FB38E1">
              <w:rPr>
                <w:rFonts w:ascii="Microsoft Sans Serif" w:hAnsi="Microsoft Sans Serif" w:cs="Microsoft Sans Serif"/>
                <w:b/>
                <w:bCs/>
                <w:color w:val="000000"/>
                <w:sz w:val="16"/>
                <w:szCs w:val="16"/>
                <w:vertAlign w:val="superscript"/>
              </w:rPr>
              <w:t>4</w:t>
            </w:r>
            <w:r w:rsidRPr="00FB38E1">
              <w:rPr>
                <w:rFonts w:ascii="Microsoft Sans Serif" w:hAnsi="Microsoft Sans Serif" w:cs="Microsoft Sans Serif"/>
                <w:b/>
                <w:bCs/>
                <w:color w:val="000000"/>
                <w:sz w:val="16"/>
                <w:szCs w:val="16"/>
                <w:vertAlign w:val="superscript"/>
              </w:rPr>
              <w:t>)</w:t>
            </w:r>
          </w:p>
        </w:tc>
        <w:tc>
          <w:tcPr>
            <w:tcW w:w="577" w:type="pct"/>
            <w:tcBorders>
              <w:top w:val="thinThickSmallGap" w:sz="24" w:space="0" w:color="auto"/>
              <w:bottom w:val="single" w:sz="4" w:space="0" w:color="auto"/>
            </w:tcBorders>
            <w:vAlign w:val="bottom"/>
          </w:tcPr>
          <w:p w14:paraId="2D849E92" w14:textId="77777777" w:rsidR="002F11B6" w:rsidRPr="00FB38E1" w:rsidRDefault="002F11B6" w:rsidP="00DD4B1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2F11B6" w:rsidRPr="00FB38E1" w14:paraId="6DB27B5F" w14:textId="77777777" w:rsidTr="00D6109C">
        <w:tc>
          <w:tcPr>
            <w:tcW w:w="2642" w:type="pct"/>
            <w:tcBorders>
              <w:top w:val="single" w:sz="4" w:space="0" w:color="auto"/>
            </w:tcBorders>
            <w:vAlign w:val="bottom"/>
          </w:tcPr>
          <w:p w14:paraId="24CF7931" w14:textId="77777777" w:rsidR="002F11B6" w:rsidRPr="00FB38E1" w:rsidRDefault="002F11B6" w:rsidP="00DD4B14">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Varlıklar</w:t>
            </w:r>
          </w:p>
        </w:tc>
        <w:tc>
          <w:tcPr>
            <w:tcW w:w="585" w:type="pct"/>
            <w:tcBorders>
              <w:top w:val="single" w:sz="4" w:space="0" w:color="auto"/>
            </w:tcBorders>
            <w:vAlign w:val="bottom"/>
          </w:tcPr>
          <w:p w14:paraId="466903DF" w14:textId="77777777" w:rsidR="002F11B6" w:rsidRPr="00FB38E1" w:rsidRDefault="002F11B6" w:rsidP="00DD4B14">
            <w:pPr>
              <w:rPr>
                <w:rFonts w:ascii="Microsoft Sans Serif" w:hAnsi="Microsoft Sans Serif" w:cs="Microsoft Sans Serif"/>
                <w:color w:val="000000"/>
                <w:sz w:val="16"/>
                <w:szCs w:val="16"/>
              </w:rPr>
            </w:pPr>
          </w:p>
        </w:tc>
        <w:tc>
          <w:tcPr>
            <w:tcW w:w="612" w:type="pct"/>
            <w:tcBorders>
              <w:top w:val="single" w:sz="4" w:space="0" w:color="auto"/>
            </w:tcBorders>
            <w:vAlign w:val="bottom"/>
          </w:tcPr>
          <w:p w14:paraId="45C66F42" w14:textId="77777777" w:rsidR="002F11B6" w:rsidRPr="00FB38E1" w:rsidRDefault="002F11B6" w:rsidP="00DD4B14">
            <w:pPr>
              <w:rPr>
                <w:rFonts w:ascii="Microsoft Sans Serif" w:hAnsi="Microsoft Sans Serif" w:cs="Microsoft Sans Serif"/>
                <w:color w:val="000000"/>
                <w:sz w:val="16"/>
                <w:szCs w:val="16"/>
              </w:rPr>
            </w:pPr>
          </w:p>
        </w:tc>
        <w:tc>
          <w:tcPr>
            <w:tcW w:w="584" w:type="pct"/>
            <w:tcBorders>
              <w:top w:val="single" w:sz="4" w:space="0" w:color="auto"/>
            </w:tcBorders>
            <w:vAlign w:val="bottom"/>
          </w:tcPr>
          <w:p w14:paraId="68A70A5F" w14:textId="77777777" w:rsidR="002F11B6" w:rsidRPr="00FB38E1" w:rsidRDefault="002F11B6" w:rsidP="00DD4B14">
            <w:pPr>
              <w:rPr>
                <w:rFonts w:ascii="Microsoft Sans Serif" w:hAnsi="Microsoft Sans Serif" w:cs="Microsoft Sans Serif"/>
                <w:color w:val="000000"/>
                <w:sz w:val="16"/>
                <w:szCs w:val="16"/>
              </w:rPr>
            </w:pPr>
          </w:p>
        </w:tc>
        <w:tc>
          <w:tcPr>
            <w:tcW w:w="577" w:type="pct"/>
            <w:tcBorders>
              <w:top w:val="single" w:sz="4" w:space="0" w:color="auto"/>
            </w:tcBorders>
            <w:vAlign w:val="bottom"/>
          </w:tcPr>
          <w:p w14:paraId="6B45BEB8" w14:textId="77777777" w:rsidR="002F11B6" w:rsidRPr="00FB38E1" w:rsidRDefault="002F11B6" w:rsidP="00DD4B14">
            <w:pPr>
              <w:rPr>
                <w:rFonts w:ascii="Microsoft Sans Serif" w:hAnsi="Microsoft Sans Serif" w:cs="Microsoft Sans Serif"/>
                <w:color w:val="000000"/>
                <w:sz w:val="16"/>
                <w:szCs w:val="16"/>
              </w:rPr>
            </w:pPr>
          </w:p>
        </w:tc>
      </w:tr>
      <w:tr w:rsidR="00247EFD" w:rsidRPr="00FB38E1" w14:paraId="0013E7BD" w14:textId="77777777" w:rsidTr="00D6109C">
        <w:tc>
          <w:tcPr>
            <w:tcW w:w="2642" w:type="pct"/>
            <w:vAlign w:val="bottom"/>
          </w:tcPr>
          <w:p w14:paraId="7333E651"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Nakit Değerler ve T.C.Merkez Bnk.</w:t>
            </w:r>
          </w:p>
        </w:tc>
        <w:tc>
          <w:tcPr>
            <w:tcW w:w="585" w:type="pct"/>
            <w:vAlign w:val="bottom"/>
          </w:tcPr>
          <w:p w14:paraId="2917A68A" w14:textId="5AC67204"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30.300.259</w:t>
            </w:r>
          </w:p>
        </w:tc>
        <w:tc>
          <w:tcPr>
            <w:tcW w:w="612" w:type="pct"/>
            <w:vAlign w:val="bottom"/>
          </w:tcPr>
          <w:p w14:paraId="0B5CD261" w14:textId="44F7CD0E"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66.136.405</w:t>
            </w:r>
          </w:p>
        </w:tc>
        <w:tc>
          <w:tcPr>
            <w:tcW w:w="584" w:type="pct"/>
            <w:vAlign w:val="bottom"/>
          </w:tcPr>
          <w:p w14:paraId="02FF8957" w14:textId="333F7719"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9.718.357</w:t>
            </w:r>
          </w:p>
        </w:tc>
        <w:tc>
          <w:tcPr>
            <w:tcW w:w="577" w:type="pct"/>
            <w:vAlign w:val="bottom"/>
          </w:tcPr>
          <w:p w14:paraId="204487A1" w14:textId="4703DB94"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106.155.021</w:t>
            </w:r>
          </w:p>
        </w:tc>
      </w:tr>
      <w:tr w:rsidR="00247EFD" w:rsidRPr="00FB38E1" w14:paraId="6DE00B32" w14:textId="77777777" w:rsidTr="00D6109C">
        <w:tc>
          <w:tcPr>
            <w:tcW w:w="2642" w:type="pct"/>
            <w:vAlign w:val="bottom"/>
          </w:tcPr>
          <w:p w14:paraId="16ADE347"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w:t>
            </w:r>
          </w:p>
        </w:tc>
        <w:tc>
          <w:tcPr>
            <w:tcW w:w="585" w:type="pct"/>
            <w:vAlign w:val="bottom"/>
          </w:tcPr>
          <w:p w14:paraId="27F4D551" w14:textId="2B41371A"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1.761.201</w:t>
            </w:r>
          </w:p>
        </w:tc>
        <w:tc>
          <w:tcPr>
            <w:tcW w:w="612" w:type="pct"/>
            <w:vAlign w:val="bottom"/>
          </w:tcPr>
          <w:p w14:paraId="76A8403C" w14:textId="0D57023C"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15.349.821</w:t>
            </w:r>
          </w:p>
        </w:tc>
        <w:tc>
          <w:tcPr>
            <w:tcW w:w="584" w:type="pct"/>
            <w:vAlign w:val="bottom"/>
          </w:tcPr>
          <w:p w14:paraId="2FB5342F" w14:textId="5F621E95"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2.970.817</w:t>
            </w:r>
          </w:p>
        </w:tc>
        <w:tc>
          <w:tcPr>
            <w:tcW w:w="577" w:type="pct"/>
            <w:vAlign w:val="bottom"/>
          </w:tcPr>
          <w:p w14:paraId="559FC89D" w14:textId="66669C4C"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20.081.839</w:t>
            </w:r>
          </w:p>
        </w:tc>
      </w:tr>
      <w:tr w:rsidR="00247EFD" w:rsidRPr="00FB38E1" w14:paraId="786E0246" w14:textId="77777777" w:rsidTr="00D6109C">
        <w:tc>
          <w:tcPr>
            <w:tcW w:w="2642" w:type="pct"/>
            <w:vAlign w:val="bottom"/>
          </w:tcPr>
          <w:p w14:paraId="471A670A"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Gerçeğe Uygun Değer Farkı Kar veya Zarara Yansıtılan Fin.Var. </w:t>
            </w:r>
            <w:r w:rsidRPr="00FB38E1">
              <w:rPr>
                <w:rFonts w:ascii="Microsoft Sans Serif" w:hAnsi="Microsoft Sans Serif" w:cs="Microsoft Sans Serif"/>
                <w:color w:val="333333"/>
                <w:sz w:val="16"/>
                <w:szCs w:val="16"/>
                <w:vertAlign w:val="superscript"/>
              </w:rPr>
              <w:t>(1)</w:t>
            </w:r>
          </w:p>
        </w:tc>
        <w:tc>
          <w:tcPr>
            <w:tcW w:w="585" w:type="pct"/>
            <w:vAlign w:val="bottom"/>
          </w:tcPr>
          <w:p w14:paraId="5AEFB76F" w14:textId="1B430996"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469.069</w:t>
            </w:r>
          </w:p>
        </w:tc>
        <w:tc>
          <w:tcPr>
            <w:tcW w:w="612" w:type="pct"/>
            <w:vAlign w:val="bottom"/>
          </w:tcPr>
          <w:p w14:paraId="395CFE22" w14:textId="4C2DA2EC"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4.324.466</w:t>
            </w:r>
          </w:p>
        </w:tc>
        <w:tc>
          <w:tcPr>
            <w:tcW w:w="584" w:type="pct"/>
            <w:vAlign w:val="bottom"/>
          </w:tcPr>
          <w:p w14:paraId="3F8E2BE7" w14:textId="00171EE9"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833.125</w:t>
            </w:r>
          </w:p>
        </w:tc>
        <w:tc>
          <w:tcPr>
            <w:tcW w:w="577" w:type="pct"/>
            <w:vAlign w:val="bottom"/>
          </w:tcPr>
          <w:p w14:paraId="4C3716AF" w14:textId="0FE5448B"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5.626.660</w:t>
            </w:r>
          </w:p>
        </w:tc>
      </w:tr>
      <w:tr w:rsidR="00247EFD" w:rsidRPr="00FB38E1" w14:paraId="426B3C66" w14:textId="77777777" w:rsidTr="00D6109C">
        <w:tc>
          <w:tcPr>
            <w:tcW w:w="2642" w:type="pct"/>
            <w:vAlign w:val="bottom"/>
          </w:tcPr>
          <w:p w14:paraId="2F5A3B4E"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Para Piyasalarından Alacaklar</w:t>
            </w:r>
          </w:p>
        </w:tc>
        <w:tc>
          <w:tcPr>
            <w:tcW w:w="585" w:type="pct"/>
            <w:vAlign w:val="bottom"/>
          </w:tcPr>
          <w:p w14:paraId="33A1ED30" w14:textId="6E27E07C"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2" w:type="pct"/>
            <w:vAlign w:val="bottom"/>
          </w:tcPr>
          <w:p w14:paraId="661519B6" w14:textId="333FAB4B"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vAlign w:val="bottom"/>
          </w:tcPr>
          <w:p w14:paraId="52883BB3" w14:textId="551E4DB6"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77" w:type="pct"/>
            <w:vAlign w:val="bottom"/>
          </w:tcPr>
          <w:p w14:paraId="4F672109" w14:textId="173B3B90"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47EFD" w:rsidRPr="00FB38E1" w14:paraId="673B742E" w14:textId="77777777" w:rsidTr="00D6109C">
        <w:tc>
          <w:tcPr>
            <w:tcW w:w="2642" w:type="pct"/>
            <w:vAlign w:val="bottom"/>
          </w:tcPr>
          <w:p w14:paraId="26F8DEA3"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Gerçeğe Uygun Değer Farkı Diğer Kapsamlı Gelire Yansıtılan F.V.</w:t>
            </w:r>
          </w:p>
        </w:tc>
        <w:tc>
          <w:tcPr>
            <w:tcW w:w="585" w:type="pct"/>
            <w:vAlign w:val="bottom"/>
          </w:tcPr>
          <w:p w14:paraId="3481D4EE" w14:textId="0B220A95"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3.547.501</w:t>
            </w:r>
          </w:p>
        </w:tc>
        <w:tc>
          <w:tcPr>
            <w:tcW w:w="612" w:type="pct"/>
            <w:vAlign w:val="bottom"/>
          </w:tcPr>
          <w:p w14:paraId="73D26D66" w14:textId="00A9FDF9"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61.703.802</w:t>
            </w:r>
          </w:p>
        </w:tc>
        <w:tc>
          <w:tcPr>
            <w:tcW w:w="584" w:type="pct"/>
            <w:vAlign w:val="bottom"/>
          </w:tcPr>
          <w:p w14:paraId="6ABBD212" w14:textId="3230B170"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2.003.186</w:t>
            </w:r>
          </w:p>
        </w:tc>
        <w:tc>
          <w:tcPr>
            <w:tcW w:w="577" w:type="pct"/>
            <w:vAlign w:val="bottom"/>
          </w:tcPr>
          <w:p w14:paraId="4276EBA8" w14:textId="419E74E5"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67.254.489</w:t>
            </w:r>
          </w:p>
        </w:tc>
      </w:tr>
      <w:tr w:rsidR="00247EFD" w:rsidRPr="00FB38E1" w14:paraId="78BB8885" w14:textId="77777777" w:rsidTr="00D6109C">
        <w:tc>
          <w:tcPr>
            <w:tcW w:w="2642" w:type="pct"/>
            <w:vAlign w:val="bottom"/>
          </w:tcPr>
          <w:p w14:paraId="6EE4F4FB"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Krediler </w:t>
            </w:r>
            <w:r w:rsidRPr="00FB38E1">
              <w:rPr>
                <w:rFonts w:ascii="Microsoft Sans Serif" w:hAnsi="Microsoft Sans Serif" w:cs="Microsoft Sans Serif"/>
                <w:color w:val="333333"/>
                <w:sz w:val="16"/>
                <w:szCs w:val="16"/>
                <w:vertAlign w:val="superscript"/>
              </w:rPr>
              <w:t>(2)</w:t>
            </w:r>
          </w:p>
        </w:tc>
        <w:tc>
          <w:tcPr>
            <w:tcW w:w="585" w:type="pct"/>
            <w:vAlign w:val="bottom"/>
          </w:tcPr>
          <w:p w14:paraId="60972D14" w14:textId="0AC34EE8"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177.163.736</w:t>
            </w:r>
          </w:p>
        </w:tc>
        <w:tc>
          <w:tcPr>
            <w:tcW w:w="612" w:type="pct"/>
            <w:vAlign w:val="bottom"/>
          </w:tcPr>
          <w:p w14:paraId="22A947B0" w14:textId="5F84402E"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85.817.590</w:t>
            </w:r>
          </w:p>
        </w:tc>
        <w:tc>
          <w:tcPr>
            <w:tcW w:w="584" w:type="pct"/>
            <w:vAlign w:val="bottom"/>
          </w:tcPr>
          <w:p w14:paraId="532FE23C" w14:textId="412B14D0"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3.006.174</w:t>
            </w:r>
          </w:p>
        </w:tc>
        <w:tc>
          <w:tcPr>
            <w:tcW w:w="577" w:type="pct"/>
            <w:vAlign w:val="bottom"/>
          </w:tcPr>
          <w:p w14:paraId="6F06F395" w14:textId="667D50F3"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265.987.500</w:t>
            </w:r>
          </w:p>
        </w:tc>
      </w:tr>
      <w:tr w:rsidR="00247EFD" w:rsidRPr="00FB38E1" w14:paraId="2CCBB426" w14:textId="77777777" w:rsidTr="00D6109C">
        <w:tc>
          <w:tcPr>
            <w:tcW w:w="2642" w:type="pct"/>
            <w:vAlign w:val="bottom"/>
          </w:tcPr>
          <w:p w14:paraId="4D715E03"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İştirak Bağlı Ort.ve Birlikte Kont.Ed.Ort.</w:t>
            </w:r>
          </w:p>
        </w:tc>
        <w:tc>
          <w:tcPr>
            <w:tcW w:w="585" w:type="pct"/>
            <w:vAlign w:val="bottom"/>
          </w:tcPr>
          <w:p w14:paraId="11307122" w14:textId="7E53D193"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47.886.140</w:t>
            </w:r>
          </w:p>
        </w:tc>
        <w:tc>
          <w:tcPr>
            <w:tcW w:w="612" w:type="pct"/>
            <w:vAlign w:val="bottom"/>
          </w:tcPr>
          <w:p w14:paraId="0A70E93D" w14:textId="2BFD994C"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1.172.741</w:t>
            </w:r>
          </w:p>
        </w:tc>
        <w:tc>
          <w:tcPr>
            <w:tcW w:w="584" w:type="pct"/>
            <w:vAlign w:val="bottom"/>
          </w:tcPr>
          <w:p w14:paraId="28B0925E" w14:textId="72D38813"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1.947.563</w:t>
            </w:r>
          </w:p>
        </w:tc>
        <w:tc>
          <w:tcPr>
            <w:tcW w:w="577" w:type="pct"/>
            <w:vAlign w:val="bottom"/>
          </w:tcPr>
          <w:p w14:paraId="18EBE563" w14:textId="11F463AF"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51.006.444</w:t>
            </w:r>
          </w:p>
        </w:tc>
      </w:tr>
      <w:tr w:rsidR="00247EFD" w:rsidRPr="00FB38E1" w14:paraId="191A004F" w14:textId="77777777" w:rsidTr="00D6109C">
        <w:tc>
          <w:tcPr>
            <w:tcW w:w="2642" w:type="pct"/>
            <w:vAlign w:val="bottom"/>
          </w:tcPr>
          <w:p w14:paraId="1DCADD97"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İtfa Edilmiş Maliyeti Üzerinden Değerlenen Finansal Varlıklar </w:t>
            </w:r>
          </w:p>
        </w:tc>
        <w:tc>
          <w:tcPr>
            <w:tcW w:w="585" w:type="pct"/>
            <w:vAlign w:val="bottom"/>
          </w:tcPr>
          <w:p w14:paraId="0AA39DC9" w14:textId="243F628A"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2" w:type="pct"/>
            <w:vAlign w:val="bottom"/>
          </w:tcPr>
          <w:p w14:paraId="41E8D6C6" w14:textId="4E93CA1F"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7.875.513</w:t>
            </w:r>
          </w:p>
        </w:tc>
        <w:tc>
          <w:tcPr>
            <w:tcW w:w="584" w:type="pct"/>
            <w:vAlign w:val="bottom"/>
          </w:tcPr>
          <w:p w14:paraId="1C8450F5" w14:textId="0E20CC3B"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77" w:type="pct"/>
            <w:vAlign w:val="bottom"/>
          </w:tcPr>
          <w:p w14:paraId="1B22977B" w14:textId="295C0D7A"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7.875.513</w:t>
            </w:r>
          </w:p>
        </w:tc>
      </w:tr>
      <w:tr w:rsidR="00247EFD" w:rsidRPr="00FB38E1" w14:paraId="227A63F4" w14:textId="77777777" w:rsidTr="00D6109C">
        <w:tc>
          <w:tcPr>
            <w:tcW w:w="2642" w:type="pct"/>
            <w:vAlign w:val="bottom"/>
          </w:tcPr>
          <w:p w14:paraId="158A9A23"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Riskten Korunma Amaçlı Türev Fin.Var.</w:t>
            </w:r>
          </w:p>
        </w:tc>
        <w:tc>
          <w:tcPr>
            <w:tcW w:w="585" w:type="pct"/>
            <w:vAlign w:val="bottom"/>
          </w:tcPr>
          <w:p w14:paraId="0147F67A" w14:textId="367E635E"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2" w:type="pct"/>
            <w:vAlign w:val="bottom"/>
          </w:tcPr>
          <w:p w14:paraId="40C75DEB" w14:textId="69B6DED9"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vAlign w:val="bottom"/>
          </w:tcPr>
          <w:p w14:paraId="3B6AD1AC" w14:textId="5B7A675F"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77" w:type="pct"/>
            <w:vAlign w:val="bottom"/>
          </w:tcPr>
          <w:p w14:paraId="0BFA7580" w14:textId="036F4A77"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47EFD" w:rsidRPr="00FB38E1" w14:paraId="5E2194AB" w14:textId="77777777" w:rsidTr="00D6109C">
        <w:tc>
          <w:tcPr>
            <w:tcW w:w="2642" w:type="pct"/>
            <w:vAlign w:val="bottom"/>
          </w:tcPr>
          <w:p w14:paraId="4C5940CF" w14:textId="77777777"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Maddi Duran Varlıklar</w:t>
            </w:r>
          </w:p>
        </w:tc>
        <w:tc>
          <w:tcPr>
            <w:tcW w:w="585" w:type="pct"/>
            <w:vAlign w:val="bottom"/>
          </w:tcPr>
          <w:p w14:paraId="171835BF" w14:textId="10CE5AC6"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2" w:type="pct"/>
            <w:vAlign w:val="bottom"/>
          </w:tcPr>
          <w:p w14:paraId="16D28D1F" w14:textId="761CBCEA"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vAlign w:val="bottom"/>
          </w:tcPr>
          <w:p w14:paraId="267CA299" w14:textId="5230D79C"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103</w:t>
            </w:r>
          </w:p>
        </w:tc>
        <w:tc>
          <w:tcPr>
            <w:tcW w:w="577" w:type="pct"/>
            <w:vAlign w:val="bottom"/>
          </w:tcPr>
          <w:p w14:paraId="1676943D" w14:textId="58976D26"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103</w:t>
            </w:r>
          </w:p>
        </w:tc>
      </w:tr>
      <w:tr w:rsidR="00247EFD" w:rsidRPr="00FB38E1" w14:paraId="34B4DCCD" w14:textId="77777777" w:rsidTr="00D6109C">
        <w:tc>
          <w:tcPr>
            <w:tcW w:w="2642" w:type="pct"/>
            <w:vAlign w:val="bottom"/>
          </w:tcPr>
          <w:p w14:paraId="495139EA" w14:textId="3EE268AA"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Maddi Olmayan Duran Varlıklar</w:t>
            </w:r>
          </w:p>
        </w:tc>
        <w:tc>
          <w:tcPr>
            <w:tcW w:w="585" w:type="pct"/>
            <w:vAlign w:val="bottom"/>
          </w:tcPr>
          <w:p w14:paraId="4C279F06" w14:textId="5F577A4F"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2" w:type="pct"/>
            <w:vAlign w:val="bottom"/>
          </w:tcPr>
          <w:p w14:paraId="270C7AEE" w14:textId="1755B324"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vAlign w:val="bottom"/>
          </w:tcPr>
          <w:p w14:paraId="24D4B675" w14:textId="43F4C4EC"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77" w:type="pct"/>
            <w:vAlign w:val="bottom"/>
          </w:tcPr>
          <w:p w14:paraId="0F68709C" w14:textId="70C3CBC9"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47EFD" w:rsidRPr="00FB38E1" w14:paraId="7C886CA9" w14:textId="77777777" w:rsidTr="00D6109C">
        <w:tc>
          <w:tcPr>
            <w:tcW w:w="2642" w:type="pct"/>
            <w:tcBorders>
              <w:bottom w:val="single" w:sz="4" w:space="0" w:color="auto"/>
            </w:tcBorders>
            <w:vAlign w:val="bottom"/>
          </w:tcPr>
          <w:p w14:paraId="19876CEE" w14:textId="6D0D5069" w:rsidR="00247EFD" w:rsidRPr="00FB38E1" w:rsidRDefault="00247EFD" w:rsidP="00247EF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Diğer Varlıklar </w:t>
            </w:r>
            <w:r w:rsidRPr="00FB38E1">
              <w:rPr>
                <w:rFonts w:ascii="Microsoft Sans Serif" w:hAnsi="Microsoft Sans Serif" w:cs="Microsoft Sans Serif"/>
                <w:color w:val="333333"/>
                <w:sz w:val="16"/>
                <w:szCs w:val="16"/>
                <w:vertAlign w:val="superscript"/>
              </w:rPr>
              <w:t>(3)</w:t>
            </w:r>
          </w:p>
        </w:tc>
        <w:tc>
          <w:tcPr>
            <w:tcW w:w="585" w:type="pct"/>
            <w:tcBorders>
              <w:bottom w:val="single" w:sz="4" w:space="0" w:color="auto"/>
            </w:tcBorders>
            <w:vAlign w:val="bottom"/>
          </w:tcPr>
          <w:p w14:paraId="7B6AB2BC" w14:textId="6AB3F0BB"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629.559</w:t>
            </w:r>
          </w:p>
        </w:tc>
        <w:tc>
          <w:tcPr>
            <w:tcW w:w="612" w:type="pct"/>
            <w:tcBorders>
              <w:bottom w:val="single" w:sz="4" w:space="0" w:color="auto"/>
            </w:tcBorders>
            <w:vAlign w:val="bottom"/>
          </w:tcPr>
          <w:p w14:paraId="4757D30D" w14:textId="3ED35435"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5.201.817</w:t>
            </w:r>
          </w:p>
        </w:tc>
        <w:tc>
          <w:tcPr>
            <w:tcW w:w="584" w:type="pct"/>
            <w:tcBorders>
              <w:bottom w:val="single" w:sz="4" w:space="0" w:color="auto"/>
            </w:tcBorders>
            <w:vAlign w:val="bottom"/>
          </w:tcPr>
          <w:p w14:paraId="0F488433" w14:textId="0BAB892A" w:rsidR="00247EFD" w:rsidRPr="00FB38E1" w:rsidRDefault="00247EFD" w:rsidP="00247EF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1.965.131</w:t>
            </w:r>
          </w:p>
        </w:tc>
        <w:tc>
          <w:tcPr>
            <w:tcW w:w="577" w:type="pct"/>
            <w:tcBorders>
              <w:bottom w:val="single" w:sz="4" w:space="0" w:color="auto"/>
            </w:tcBorders>
            <w:vAlign w:val="bottom"/>
          </w:tcPr>
          <w:p w14:paraId="6C045046" w14:textId="463B049E"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7.796.507</w:t>
            </w:r>
          </w:p>
        </w:tc>
      </w:tr>
      <w:tr w:rsidR="00247EFD" w:rsidRPr="00FB38E1" w14:paraId="38C35362" w14:textId="77777777" w:rsidTr="00D6109C">
        <w:tc>
          <w:tcPr>
            <w:tcW w:w="2642" w:type="pct"/>
            <w:tcBorders>
              <w:top w:val="single" w:sz="4" w:space="0" w:color="auto"/>
              <w:bottom w:val="single" w:sz="4" w:space="0" w:color="auto"/>
            </w:tcBorders>
            <w:vAlign w:val="bottom"/>
          </w:tcPr>
          <w:p w14:paraId="18BD8A81" w14:textId="77777777" w:rsidR="00247EFD" w:rsidRPr="00FB38E1" w:rsidRDefault="00247EFD" w:rsidP="00247EFD">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 Varlıklar</w:t>
            </w:r>
          </w:p>
        </w:tc>
        <w:tc>
          <w:tcPr>
            <w:tcW w:w="585" w:type="pct"/>
            <w:tcBorders>
              <w:top w:val="single" w:sz="4" w:space="0" w:color="auto"/>
              <w:bottom w:val="single" w:sz="4" w:space="0" w:color="auto"/>
            </w:tcBorders>
            <w:vAlign w:val="bottom"/>
          </w:tcPr>
          <w:p w14:paraId="3A773B20" w14:textId="159B05BD"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261.757.465</w:t>
            </w:r>
          </w:p>
        </w:tc>
        <w:tc>
          <w:tcPr>
            <w:tcW w:w="612" w:type="pct"/>
            <w:tcBorders>
              <w:top w:val="single" w:sz="4" w:space="0" w:color="auto"/>
              <w:bottom w:val="single" w:sz="4" w:space="0" w:color="auto"/>
            </w:tcBorders>
            <w:vAlign w:val="bottom"/>
          </w:tcPr>
          <w:p w14:paraId="0B240050" w14:textId="38869A5F"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247.582.155</w:t>
            </w:r>
          </w:p>
        </w:tc>
        <w:tc>
          <w:tcPr>
            <w:tcW w:w="584" w:type="pct"/>
            <w:tcBorders>
              <w:top w:val="single" w:sz="4" w:space="0" w:color="auto"/>
              <w:bottom w:val="single" w:sz="4" w:space="0" w:color="auto"/>
            </w:tcBorders>
            <w:vAlign w:val="bottom"/>
          </w:tcPr>
          <w:p w14:paraId="7F2CADB0" w14:textId="222E6401"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22.444.456</w:t>
            </w:r>
          </w:p>
        </w:tc>
        <w:tc>
          <w:tcPr>
            <w:tcW w:w="577" w:type="pct"/>
            <w:tcBorders>
              <w:top w:val="single" w:sz="4" w:space="0" w:color="auto"/>
              <w:bottom w:val="single" w:sz="4" w:space="0" w:color="auto"/>
            </w:tcBorders>
            <w:vAlign w:val="bottom"/>
          </w:tcPr>
          <w:p w14:paraId="701034B7" w14:textId="0D873227" w:rsidR="00247EFD" w:rsidRPr="00FB38E1" w:rsidRDefault="00247EFD" w:rsidP="00247EF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531.784.076</w:t>
            </w:r>
          </w:p>
        </w:tc>
      </w:tr>
      <w:tr w:rsidR="00213077" w:rsidRPr="00FB38E1" w14:paraId="5EB061CD" w14:textId="77777777" w:rsidTr="00D6109C">
        <w:trPr>
          <w:trHeight w:val="64"/>
        </w:trPr>
        <w:tc>
          <w:tcPr>
            <w:tcW w:w="2642" w:type="pct"/>
            <w:tcBorders>
              <w:top w:val="single" w:sz="4" w:space="0" w:color="auto"/>
            </w:tcBorders>
            <w:vAlign w:val="bottom"/>
          </w:tcPr>
          <w:p w14:paraId="386296AB" w14:textId="77777777" w:rsidR="00213077" w:rsidRPr="00FB38E1" w:rsidRDefault="00213077" w:rsidP="00213077">
            <w:pPr>
              <w:rPr>
                <w:rFonts w:ascii="Microsoft Sans Serif" w:hAnsi="Microsoft Sans Serif" w:cs="Microsoft Sans Serif"/>
                <w:color w:val="000000"/>
                <w:sz w:val="8"/>
                <w:szCs w:val="8"/>
              </w:rPr>
            </w:pPr>
          </w:p>
        </w:tc>
        <w:tc>
          <w:tcPr>
            <w:tcW w:w="585" w:type="pct"/>
            <w:tcBorders>
              <w:top w:val="single" w:sz="4" w:space="0" w:color="auto"/>
            </w:tcBorders>
            <w:vAlign w:val="bottom"/>
          </w:tcPr>
          <w:p w14:paraId="393ADD36" w14:textId="77777777" w:rsidR="00213077" w:rsidRPr="00FB38E1" w:rsidRDefault="00213077" w:rsidP="00213077">
            <w:pPr>
              <w:jc w:val="right"/>
              <w:rPr>
                <w:rFonts w:ascii="Microsoft Sans Serif" w:hAnsi="Microsoft Sans Serif" w:cs="Microsoft Sans Serif"/>
                <w:bCs/>
                <w:color w:val="000000"/>
                <w:sz w:val="8"/>
                <w:szCs w:val="8"/>
              </w:rPr>
            </w:pPr>
          </w:p>
        </w:tc>
        <w:tc>
          <w:tcPr>
            <w:tcW w:w="612" w:type="pct"/>
            <w:tcBorders>
              <w:top w:val="single" w:sz="4" w:space="0" w:color="auto"/>
            </w:tcBorders>
            <w:vAlign w:val="bottom"/>
          </w:tcPr>
          <w:p w14:paraId="22453836" w14:textId="77777777" w:rsidR="00213077" w:rsidRPr="00FB38E1" w:rsidRDefault="00213077" w:rsidP="00213077">
            <w:pPr>
              <w:jc w:val="right"/>
              <w:rPr>
                <w:sz w:val="8"/>
                <w:szCs w:val="8"/>
              </w:rPr>
            </w:pPr>
          </w:p>
        </w:tc>
        <w:tc>
          <w:tcPr>
            <w:tcW w:w="584" w:type="pct"/>
            <w:tcBorders>
              <w:top w:val="single" w:sz="4" w:space="0" w:color="auto"/>
            </w:tcBorders>
            <w:vAlign w:val="bottom"/>
          </w:tcPr>
          <w:p w14:paraId="548A300E" w14:textId="77777777" w:rsidR="00213077" w:rsidRPr="00FB38E1" w:rsidRDefault="00213077" w:rsidP="00213077">
            <w:pPr>
              <w:jc w:val="right"/>
              <w:rPr>
                <w:sz w:val="8"/>
                <w:szCs w:val="8"/>
              </w:rPr>
            </w:pPr>
          </w:p>
        </w:tc>
        <w:tc>
          <w:tcPr>
            <w:tcW w:w="577" w:type="pct"/>
            <w:tcBorders>
              <w:top w:val="single" w:sz="4" w:space="0" w:color="auto"/>
            </w:tcBorders>
            <w:vAlign w:val="bottom"/>
          </w:tcPr>
          <w:p w14:paraId="54626B04" w14:textId="77777777" w:rsidR="00213077" w:rsidRPr="00FB38E1" w:rsidRDefault="00213077" w:rsidP="00213077">
            <w:pPr>
              <w:jc w:val="right"/>
              <w:rPr>
                <w:sz w:val="8"/>
                <w:szCs w:val="8"/>
              </w:rPr>
            </w:pPr>
          </w:p>
        </w:tc>
      </w:tr>
      <w:tr w:rsidR="00213077" w:rsidRPr="00FB38E1" w14:paraId="38AC2149" w14:textId="77777777" w:rsidTr="00D6109C">
        <w:trPr>
          <w:trHeight w:val="60"/>
        </w:trPr>
        <w:tc>
          <w:tcPr>
            <w:tcW w:w="2642" w:type="pct"/>
            <w:vAlign w:val="bottom"/>
          </w:tcPr>
          <w:p w14:paraId="2FA4DE26" w14:textId="77777777" w:rsidR="00213077" w:rsidRPr="00FB38E1" w:rsidRDefault="00213077" w:rsidP="00213077">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Yükümlülükler</w:t>
            </w:r>
          </w:p>
        </w:tc>
        <w:tc>
          <w:tcPr>
            <w:tcW w:w="585" w:type="pct"/>
            <w:vAlign w:val="bottom"/>
          </w:tcPr>
          <w:p w14:paraId="62EB2820" w14:textId="77777777" w:rsidR="00213077" w:rsidRPr="00FB38E1" w:rsidRDefault="00213077" w:rsidP="00213077">
            <w:pPr>
              <w:jc w:val="right"/>
              <w:rPr>
                <w:sz w:val="16"/>
                <w:szCs w:val="16"/>
              </w:rPr>
            </w:pPr>
          </w:p>
        </w:tc>
        <w:tc>
          <w:tcPr>
            <w:tcW w:w="612" w:type="pct"/>
            <w:vAlign w:val="bottom"/>
          </w:tcPr>
          <w:p w14:paraId="726F4909" w14:textId="77777777" w:rsidR="00213077" w:rsidRPr="00FB38E1" w:rsidRDefault="00213077" w:rsidP="00213077">
            <w:pPr>
              <w:jc w:val="right"/>
              <w:rPr>
                <w:sz w:val="16"/>
                <w:szCs w:val="16"/>
              </w:rPr>
            </w:pPr>
          </w:p>
        </w:tc>
        <w:tc>
          <w:tcPr>
            <w:tcW w:w="584" w:type="pct"/>
            <w:vAlign w:val="bottom"/>
          </w:tcPr>
          <w:p w14:paraId="3251D050" w14:textId="77777777" w:rsidR="00213077" w:rsidRPr="00FB38E1" w:rsidRDefault="00213077" w:rsidP="00213077">
            <w:pPr>
              <w:jc w:val="right"/>
              <w:rPr>
                <w:sz w:val="16"/>
                <w:szCs w:val="16"/>
              </w:rPr>
            </w:pPr>
          </w:p>
        </w:tc>
        <w:tc>
          <w:tcPr>
            <w:tcW w:w="577" w:type="pct"/>
            <w:vAlign w:val="bottom"/>
          </w:tcPr>
          <w:p w14:paraId="07B1523A" w14:textId="77777777" w:rsidR="00213077" w:rsidRPr="00FB38E1" w:rsidRDefault="00213077" w:rsidP="00213077">
            <w:pPr>
              <w:jc w:val="right"/>
              <w:rPr>
                <w:sz w:val="16"/>
                <w:szCs w:val="16"/>
              </w:rPr>
            </w:pPr>
          </w:p>
        </w:tc>
      </w:tr>
      <w:tr w:rsidR="00A479F4" w:rsidRPr="00FB38E1" w14:paraId="3FD87894" w14:textId="77777777" w:rsidTr="00D6109C">
        <w:trPr>
          <w:trHeight w:val="60"/>
        </w:trPr>
        <w:tc>
          <w:tcPr>
            <w:tcW w:w="2642" w:type="pct"/>
            <w:vAlign w:val="bottom"/>
          </w:tcPr>
          <w:p w14:paraId="3E85B96C"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 Mevduatı</w:t>
            </w:r>
          </w:p>
        </w:tc>
        <w:tc>
          <w:tcPr>
            <w:tcW w:w="585" w:type="pct"/>
            <w:vAlign w:val="bottom"/>
          </w:tcPr>
          <w:p w14:paraId="2B273E26" w14:textId="43E5A6A7"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2.836.371</w:t>
            </w:r>
          </w:p>
        </w:tc>
        <w:tc>
          <w:tcPr>
            <w:tcW w:w="612" w:type="pct"/>
            <w:vAlign w:val="bottom"/>
          </w:tcPr>
          <w:p w14:paraId="1B881073" w14:textId="4BACA6A6"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2.604.558</w:t>
            </w:r>
          </w:p>
        </w:tc>
        <w:tc>
          <w:tcPr>
            <w:tcW w:w="584" w:type="pct"/>
            <w:vAlign w:val="bottom"/>
          </w:tcPr>
          <w:p w14:paraId="4DEBBAAF" w14:textId="4D179E42"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453.120</w:t>
            </w:r>
          </w:p>
        </w:tc>
        <w:tc>
          <w:tcPr>
            <w:tcW w:w="577" w:type="pct"/>
            <w:vAlign w:val="bottom"/>
          </w:tcPr>
          <w:p w14:paraId="67659A2C" w14:textId="2D5FE712"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5.894.049</w:t>
            </w:r>
          </w:p>
        </w:tc>
      </w:tr>
      <w:tr w:rsidR="00A479F4" w:rsidRPr="00FB38E1" w14:paraId="6DBBC30A" w14:textId="77777777" w:rsidTr="00D6109C">
        <w:tc>
          <w:tcPr>
            <w:tcW w:w="2642" w:type="pct"/>
            <w:vAlign w:val="bottom"/>
          </w:tcPr>
          <w:p w14:paraId="6E96A380"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Döviz Tevdiat Hesabı</w:t>
            </w:r>
          </w:p>
        </w:tc>
        <w:tc>
          <w:tcPr>
            <w:tcW w:w="585" w:type="pct"/>
            <w:vAlign w:val="bottom"/>
          </w:tcPr>
          <w:p w14:paraId="240B4842" w14:textId="040A854E"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59.709.346</w:t>
            </w:r>
          </w:p>
        </w:tc>
        <w:tc>
          <w:tcPr>
            <w:tcW w:w="612" w:type="pct"/>
            <w:vAlign w:val="bottom"/>
          </w:tcPr>
          <w:p w14:paraId="5FDFCF09" w14:textId="3BDD105E"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94.535.842</w:t>
            </w:r>
          </w:p>
        </w:tc>
        <w:tc>
          <w:tcPr>
            <w:tcW w:w="584" w:type="pct"/>
            <w:vAlign w:val="bottom"/>
          </w:tcPr>
          <w:p w14:paraId="28167BEA" w14:textId="164A9BF1"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41.209.435</w:t>
            </w:r>
          </w:p>
        </w:tc>
        <w:tc>
          <w:tcPr>
            <w:tcW w:w="577" w:type="pct"/>
            <w:vAlign w:val="bottom"/>
          </w:tcPr>
          <w:p w14:paraId="019C8C37" w14:textId="76F78583"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195.454.623</w:t>
            </w:r>
          </w:p>
        </w:tc>
      </w:tr>
      <w:tr w:rsidR="00A479F4" w:rsidRPr="00FB38E1" w14:paraId="23003966" w14:textId="77777777" w:rsidTr="00D6109C">
        <w:tc>
          <w:tcPr>
            <w:tcW w:w="2642" w:type="pct"/>
            <w:vAlign w:val="bottom"/>
          </w:tcPr>
          <w:p w14:paraId="57364527"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Para Piyasalarına Borçlar</w:t>
            </w:r>
          </w:p>
        </w:tc>
        <w:tc>
          <w:tcPr>
            <w:tcW w:w="585" w:type="pct"/>
            <w:vAlign w:val="bottom"/>
          </w:tcPr>
          <w:p w14:paraId="5807CB8C" w14:textId="2B692A78"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8.560.155</w:t>
            </w:r>
          </w:p>
        </w:tc>
        <w:tc>
          <w:tcPr>
            <w:tcW w:w="612" w:type="pct"/>
            <w:vAlign w:val="bottom"/>
          </w:tcPr>
          <w:p w14:paraId="3E18A6A8" w14:textId="1355AA9E"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25.548.014</w:t>
            </w:r>
          </w:p>
        </w:tc>
        <w:tc>
          <w:tcPr>
            <w:tcW w:w="584" w:type="pct"/>
            <w:vAlign w:val="bottom"/>
          </w:tcPr>
          <w:p w14:paraId="52BE4AFB" w14:textId="235ADB2A"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707.406</w:t>
            </w:r>
          </w:p>
        </w:tc>
        <w:tc>
          <w:tcPr>
            <w:tcW w:w="577" w:type="pct"/>
            <w:vAlign w:val="bottom"/>
          </w:tcPr>
          <w:p w14:paraId="694F51C1" w14:textId="02A1FF1B"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34.815.575</w:t>
            </w:r>
          </w:p>
        </w:tc>
      </w:tr>
      <w:tr w:rsidR="00A479F4" w:rsidRPr="00FB38E1" w14:paraId="01FACF5C" w14:textId="77777777" w:rsidTr="00D6109C">
        <w:tc>
          <w:tcPr>
            <w:tcW w:w="2642" w:type="pct"/>
            <w:vAlign w:val="bottom"/>
          </w:tcPr>
          <w:p w14:paraId="5AA6C130"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Mali Kuruluşlar. Sağl. Fonlar</w:t>
            </w:r>
          </w:p>
        </w:tc>
        <w:tc>
          <w:tcPr>
            <w:tcW w:w="585" w:type="pct"/>
            <w:vAlign w:val="bottom"/>
          </w:tcPr>
          <w:p w14:paraId="4A4E450C" w14:textId="5599F79C"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74.090.936</w:t>
            </w:r>
          </w:p>
        </w:tc>
        <w:tc>
          <w:tcPr>
            <w:tcW w:w="612" w:type="pct"/>
            <w:vAlign w:val="bottom"/>
          </w:tcPr>
          <w:p w14:paraId="37BBCBCE" w14:textId="04373C57"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166.334.067</w:t>
            </w:r>
          </w:p>
        </w:tc>
        <w:tc>
          <w:tcPr>
            <w:tcW w:w="584" w:type="pct"/>
            <w:vAlign w:val="bottom"/>
          </w:tcPr>
          <w:p w14:paraId="3A866DA3" w14:textId="20CB54AC"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1.255.836</w:t>
            </w:r>
          </w:p>
        </w:tc>
        <w:tc>
          <w:tcPr>
            <w:tcW w:w="577" w:type="pct"/>
            <w:vAlign w:val="bottom"/>
          </w:tcPr>
          <w:p w14:paraId="5228CAD9" w14:textId="3A87CCF9"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241.680.839</w:t>
            </w:r>
          </w:p>
        </w:tc>
      </w:tr>
      <w:tr w:rsidR="00A479F4" w:rsidRPr="00FB38E1" w14:paraId="739EE590" w14:textId="77777777" w:rsidTr="00D6109C">
        <w:tc>
          <w:tcPr>
            <w:tcW w:w="2642" w:type="pct"/>
            <w:vAlign w:val="bottom"/>
          </w:tcPr>
          <w:p w14:paraId="0DF1BED0"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İhraç Edilen Menkul Değerler</w:t>
            </w:r>
          </w:p>
        </w:tc>
        <w:tc>
          <w:tcPr>
            <w:tcW w:w="585" w:type="pct"/>
            <w:vAlign w:val="bottom"/>
          </w:tcPr>
          <w:p w14:paraId="0E31E27F" w14:textId="5A07B4ED"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10.242.047</w:t>
            </w:r>
          </w:p>
        </w:tc>
        <w:tc>
          <w:tcPr>
            <w:tcW w:w="612" w:type="pct"/>
            <w:vAlign w:val="bottom"/>
          </w:tcPr>
          <w:p w14:paraId="2ACADDB5" w14:textId="55DFC197"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40.830.422</w:t>
            </w:r>
          </w:p>
        </w:tc>
        <w:tc>
          <w:tcPr>
            <w:tcW w:w="584" w:type="pct"/>
            <w:vAlign w:val="bottom"/>
          </w:tcPr>
          <w:p w14:paraId="43A82BBD" w14:textId="5AE1BBD9"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3.088.456</w:t>
            </w:r>
          </w:p>
        </w:tc>
        <w:tc>
          <w:tcPr>
            <w:tcW w:w="577" w:type="pct"/>
            <w:vAlign w:val="bottom"/>
          </w:tcPr>
          <w:p w14:paraId="25A2DA56" w14:textId="40BAB04F"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54.160.925</w:t>
            </w:r>
          </w:p>
        </w:tc>
      </w:tr>
      <w:tr w:rsidR="00A479F4" w:rsidRPr="00FB38E1" w14:paraId="01D7F50E" w14:textId="77777777" w:rsidTr="00D6109C">
        <w:tc>
          <w:tcPr>
            <w:tcW w:w="2642" w:type="pct"/>
            <w:vAlign w:val="bottom"/>
          </w:tcPr>
          <w:p w14:paraId="31D9BABA"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Muhtelif Borçlar</w:t>
            </w:r>
          </w:p>
        </w:tc>
        <w:tc>
          <w:tcPr>
            <w:tcW w:w="585" w:type="pct"/>
            <w:vAlign w:val="bottom"/>
          </w:tcPr>
          <w:p w14:paraId="08DD3D54" w14:textId="1208B377"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2" w:type="pct"/>
            <w:vAlign w:val="bottom"/>
          </w:tcPr>
          <w:p w14:paraId="2A866522" w14:textId="213C8F7A"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vAlign w:val="bottom"/>
          </w:tcPr>
          <w:p w14:paraId="00E283E0" w14:textId="112C32FD"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77" w:type="pct"/>
            <w:vAlign w:val="bottom"/>
          </w:tcPr>
          <w:p w14:paraId="0CE9D689" w14:textId="690B426A"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A479F4" w:rsidRPr="00FB38E1" w14:paraId="35CDAB09" w14:textId="77777777" w:rsidTr="00D6109C">
        <w:tc>
          <w:tcPr>
            <w:tcW w:w="2642" w:type="pct"/>
            <w:vAlign w:val="bottom"/>
          </w:tcPr>
          <w:p w14:paraId="54E0CA4D"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Riskten Korunma Amaçlı Türev Fin.Borç.</w:t>
            </w:r>
          </w:p>
        </w:tc>
        <w:tc>
          <w:tcPr>
            <w:tcW w:w="585" w:type="pct"/>
            <w:vAlign w:val="bottom"/>
          </w:tcPr>
          <w:p w14:paraId="4EBDD49D" w14:textId="408D3FCC"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2" w:type="pct"/>
            <w:vAlign w:val="bottom"/>
          </w:tcPr>
          <w:p w14:paraId="63925BA8" w14:textId="62511CD0"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vAlign w:val="bottom"/>
          </w:tcPr>
          <w:p w14:paraId="00D326F5" w14:textId="7A444D50"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77" w:type="pct"/>
            <w:vAlign w:val="bottom"/>
          </w:tcPr>
          <w:p w14:paraId="3F8A4033" w14:textId="046C8BE8"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A479F4" w:rsidRPr="00FB38E1" w14:paraId="20A15443" w14:textId="77777777" w:rsidTr="00D6109C">
        <w:tc>
          <w:tcPr>
            <w:tcW w:w="2642" w:type="pct"/>
            <w:tcBorders>
              <w:bottom w:val="single" w:sz="4" w:space="0" w:color="auto"/>
            </w:tcBorders>
            <w:vAlign w:val="bottom"/>
          </w:tcPr>
          <w:p w14:paraId="2E275AA7" w14:textId="1E5A089B"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Diğer Yükümlülükler </w:t>
            </w:r>
            <w:r w:rsidRPr="00FB38E1">
              <w:rPr>
                <w:rFonts w:ascii="Microsoft Sans Serif" w:hAnsi="Microsoft Sans Serif" w:cs="Microsoft Sans Serif"/>
                <w:color w:val="333333"/>
                <w:sz w:val="16"/>
                <w:szCs w:val="16"/>
                <w:vertAlign w:val="superscript"/>
              </w:rPr>
              <w:t>(5)</w:t>
            </w:r>
            <w:r w:rsidRPr="00FB38E1">
              <w:rPr>
                <w:rFonts w:ascii="Microsoft Sans Serif" w:hAnsi="Microsoft Sans Serif" w:cs="Microsoft Sans Serif"/>
                <w:color w:val="333333"/>
                <w:sz w:val="16"/>
                <w:szCs w:val="16"/>
              </w:rPr>
              <w:t xml:space="preserve"> </w:t>
            </w:r>
          </w:p>
        </w:tc>
        <w:tc>
          <w:tcPr>
            <w:tcW w:w="585" w:type="pct"/>
            <w:tcBorders>
              <w:bottom w:val="single" w:sz="4" w:space="0" w:color="auto"/>
            </w:tcBorders>
            <w:vAlign w:val="bottom"/>
          </w:tcPr>
          <w:p w14:paraId="36CD7F1A" w14:textId="596E50B0"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20.890.767</w:t>
            </w:r>
          </w:p>
        </w:tc>
        <w:tc>
          <w:tcPr>
            <w:tcW w:w="612" w:type="pct"/>
            <w:tcBorders>
              <w:bottom w:val="single" w:sz="4" w:space="0" w:color="auto"/>
            </w:tcBorders>
            <w:vAlign w:val="bottom"/>
          </w:tcPr>
          <w:p w14:paraId="0491D866" w14:textId="2658E8C4"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16.633.270</w:t>
            </w:r>
          </w:p>
        </w:tc>
        <w:tc>
          <w:tcPr>
            <w:tcW w:w="584" w:type="pct"/>
            <w:tcBorders>
              <w:bottom w:val="single" w:sz="4" w:space="0" w:color="auto"/>
            </w:tcBorders>
            <w:vAlign w:val="bottom"/>
          </w:tcPr>
          <w:p w14:paraId="6A276D43" w14:textId="109606D9"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290.104</w:t>
            </w:r>
          </w:p>
        </w:tc>
        <w:tc>
          <w:tcPr>
            <w:tcW w:w="577" w:type="pct"/>
            <w:tcBorders>
              <w:bottom w:val="single" w:sz="4" w:space="0" w:color="auto"/>
            </w:tcBorders>
            <w:vAlign w:val="bottom"/>
          </w:tcPr>
          <w:p w14:paraId="059783A0" w14:textId="76E5CA23"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37.814.141</w:t>
            </w:r>
          </w:p>
        </w:tc>
      </w:tr>
      <w:tr w:rsidR="00A479F4" w:rsidRPr="00FB38E1" w14:paraId="3B42BB91" w14:textId="77777777" w:rsidTr="00D6109C">
        <w:tc>
          <w:tcPr>
            <w:tcW w:w="2642" w:type="pct"/>
            <w:tcBorders>
              <w:top w:val="single" w:sz="4" w:space="0" w:color="auto"/>
              <w:bottom w:val="single" w:sz="4" w:space="0" w:color="auto"/>
            </w:tcBorders>
            <w:vAlign w:val="bottom"/>
          </w:tcPr>
          <w:p w14:paraId="682A5E96" w14:textId="77777777" w:rsidR="00A479F4" w:rsidRPr="00FB38E1" w:rsidRDefault="00A479F4" w:rsidP="00A479F4">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 Yükümlülükler</w:t>
            </w:r>
          </w:p>
        </w:tc>
        <w:tc>
          <w:tcPr>
            <w:tcW w:w="585" w:type="pct"/>
            <w:tcBorders>
              <w:top w:val="single" w:sz="4" w:space="0" w:color="auto"/>
              <w:bottom w:val="single" w:sz="4" w:space="0" w:color="auto"/>
            </w:tcBorders>
            <w:vAlign w:val="bottom"/>
          </w:tcPr>
          <w:p w14:paraId="3C7B8EF0" w14:textId="5E021890"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176.329.622</w:t>
            </w:r>
          </w:p>
        </w:tc>
        <w:tc>
          <w:tcPr>
            <w:tcW w:w="612" w:type="pct"/>
            <w:tcBorders>
              <w:top w:val="single" w:sz="4" w:space="0" w:color="auto"/>
              <w:bottom w:val="single" w:sz="4" w:space="0" w:color="auto"/>
            </w:tcBorders>
            <w:vAlign w:val="bottom"/>
          </w:tcPr>
          <w:p w14:paraId="6B275CFC" w14:textId="58AF7C09"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346.486.173</w:t>
            </w:r>
          </w:p>
        </w:tc>
        <w:tc>
          <w:tcPr>
            <w:tcW w:w="584" w:type="pct"/>
            <w:tcBorders>
              <w:top w:val="single" w:sz="4" w:space="0" w:color="auto"/>
              <w:bottom w:val="single" w:sz="4" w:space="0" w:color="auto"/>
            </w:tcBorders>
            <w:vAlign w:val="bottom"/>
          </w:tcPr>
          <w:p w14:paraId="60271A8B" w14:textId="3E81CDF5"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47.004.357</w:t>
            </w:r>
          </w:p>
        </w:tc>
        <w:tc>
          <w:tcPr>
            <w:tcW w:w="577" w:type="pct"/>
            <w:tcBorders>
              <w:top w:val="single" w:sz="4" w:space="0" w:color="auto"/>
              <w:bottom w:val="single" w:sz="4" w:space="0" w:color="auto"/>
            </w:tcBorders>
            <w:vAlign w:val="bottom"/>
          </w:tcPr>
          <w:p w14:paraId="57322F05" w14:textId="32391BFF"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569.820.152</w:t>
            </w:r>
          </w:p>
        </w:tc>
      </w:tr>
      <w:tr w:rsidR="00213077" w:rsidRPr="00FB38E1" w14:paraId="6207C363" w14:textId="77777777" w:rsidTr="00D6109C">
        <w:tc>
          <w:tcPr>
            <w:tcW w:w="2642" w:type="pct"/>
            <w:tcBorders>
              <w:top w:val="single" w:sz="4" w:space="0" w:color="auto"/>
              <w:bottom w:val="single" w:sz="4" w:space="0" w:color="auto"/>
            </w:tcBorders>
            <w:vAlign w:val="bottom"/>
          </w:tcPr>
          <w:p w14:paraId="0A2280F9" w14:textId="77777777" w:rsidR="00213077" w:rsidRPr="00FB38E1" w:rsidRDefault="00213077" w:rsidP="00213077">
            <w:pPr>
              <w:rPr>
                <w:rFonts w:ascii="Microsoft Sans Serif" w:hAnsi="Microsoft Sans Serif" w:cs="Microsoft Sans Serif"/>
                <w:color w:val="000000"/>
                <w:sz w:val="8"/>
                <w:szCs w:val="8"/>
              </w:rPr>
            </w:pPr>
          </w:p>
        </w:tc>
        <w:tc>
          <w:tcPr>
            <w:tcW w:w="585" w:type="pct"/>
            <w:tcBorders>
              <w:top w:val="single" w:sz="4" w:space="0" w:color="auto"/>
              <w:bottom w:val="single" w:sz="4" w:space="0" w:color="auto"/>
            </w:tcBorders>
            <w:vAlign w:val="bottom"/>
          </w:tcPr>
          <w:p w14:paraId="68BA7505" w14:textId="71E71033" w:rsidR="00213077" w:rsidRPr="00FB38E1" w:rsidRDefault="00213077" w:rsidP="00213077">
            <w:pP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16"/>
                <w:szCs w:val="16"/>
              </w:rPr>
              <w:t> </w:t>
            </w:r>
          </w:p>
        </w:tc>
        <w:tc>
          <w:tcPr>
            <w:tcW w:w="612" w:type="pct"/>
            <w:tcBorders>
              <w:top w:val="single" w:sz="4" w:space="0" w:color="auto"/>
              <w:bottom w:val="single" w:sz="4" w:space="0" w:color="auto"/>
            </w:tcBorders>
            <w:vAlign w:val="bottom"/>
          </w:tcPr>
          <w:p w14:paraId="5428333B" w14:textId="74817B07" w:rsidR="00213077" w:rsidRPr="00FB38E1" w:rsidRDefault="00213077" w:rsidP="00213077">
            <w:pP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16"/>
                <w:szCs w:val="16"/>
              </w:rPr>
              <w:t> </w:t>
            </w:r>
          </w:p>
        </w:tc>
        <w:tc>
          <w:tcPr>
            <w:tcW w:w="584" w:type="pct"/>
            <w:tcBorders>
              <w:top w:val="single" w:sz="4" w:space="0" w:color="auto"/>
              <w:bottom w:val="single" w:sz="4" w:space="0" w:color="auto"/>
            </w:tcBorders>
            <w:vAlign w:val="bottom"/>
          </w:tcPr>
          <w:p w14:paraId="25424649" w14:textId="5C0B7A21" w:rsidR="00213077" w:rsidRPr="00FB38E1" w:rsidRDefault="00213077" w:rsidP="00213077">
            <w:pP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16"/>
                <w:szCs w:val="16"/>
              </w:rPr>
              <w:t> </w:t>
            </w:r>
          </w:p>
        </w:tc>
        <w:tc>
          <w:tcPr>
            <w:tcW w:w="577" w:type="pct"/>
            <w:tcBorders>
              <w:top w:val="single" w:sz="4" w:space="0" w:color="auto"/>
              <w:bottom w:val="single" w:sz="4" w:space="0" w:color="auto"/>
            </w:tcBorders>
            <w:vAlign w:val="bottom"/>
          </w:tcPr>
          <w:p w14:paraId="7A8F2EEA" w14:textId="5A97ABA4" w:rsidR="00213077" w:rsidRPr="00FB38E1" w:rsidRDefault="00213077" w:rsidP="00213077">
            <w:pPr>
              <w:rPr>
                <w:rFonts w:ascii="Microsoft Sans Serif" w:hAnsi="Microsoft Sans Serif" w:cs="Microsoft Sans Serif"/>
                <w:b/>
                <w:bCs/>
                <w:color w:val="000000"/>
                <w:sz w:val="8"/>
                <w:szCs w:val="8"/>
              </w:rPr>
            </w:pPr>
            <w:r w:rsidRPr="00FB38E1">
              <w:rPr>
                <w:rFonts w:ascii="Microsoft Sans Serif" w:hAnsi="Microsoft Sans Serif" w:cs="Microsoft Sans Serif"/>
                <w:b/>
                <w:bCs/>
                <w:color w:val="000000"/>
                <w:sz w:val="16"/>
                <w:szCs w:val="16"/>
              </w:rPr>
              <w:t> </w:t>
            </w:r>
          </w:p>
        </w:tc>
      </w:tr>
      <w:tr w:rsidR="00A479F4" w:rsidRPr="00FB38E1" w14:paraId="125D14A5" w14:textId="77777777" w:rsidTr="00D6109C">
        <w:tc>
          <w:tcPr>
            <w:tcW w:w="2642" w:type="pct"/>
            <w:tcBorders>
              <w:top w:val="single" w:sz="4" w:space="0" w:color="auto"/>
              <w:bottom w:val="single" w:sz="4" w:space="0" w:color="auto"/>
            </w:tcBorders>
            <w:vAlign w:val="bottom"/>
          </w:tcPr>
          <w:p w14:paraId="5EDF9AE2" w14:textId="77777777" w:rsidR="00A479F4" w:rsidRPr="00FB38E1" w:rsidRDefault="00A479F4" w:rsidP="00A479F4">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 Bilanço Pozisyonu</w:t>
            </w:r>
          </w:p>
        </w:tc>
        <w:tc>
          <w:tcPr>
            <w:tcW w:w="585" w:type="pct"/>
            <w:tcBorders>
              <w:top w:val="single" w:sz="4" w:space="0" w:color="auto"/>
              <w:bottom w:val="single" w:sz="4" w:space="0" w:color="auto"/>
            </w:tcBorders>
            <w:vAlign w:val="bottom"/>
          </w:tcPr>
          <w:p w14:paraId="4345BBD9" w14:textId="6B50898F"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85.427.843</w:t>
            </w:r>
          </w:p>
        </w:tc>
        <w:tc>
          <w:tcPr>
            <w:tcW w:w="612" w:type="pct"/>
            <w:tcBorders>
              <w:top w:val="single" w:sz="4" w:space="0" w:color="auto"/>
              <w:bottom w:val="single" w:sz="4" w:space="0" w:color="auto"/>
            </w:tcBorders>
            <w:vAlign w:val="bottom"/>
          </w:tcPr>
          <w:p w14:paraId="65445550" w14:textId="7E5812CB"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(98.904.018)</w:t>
            </w:r>
          </w:p>
        </w:tc>
        <w:tc>
          <w:tcPr>
            <w:tcW w:w="584" w:type="pct"/>
            <w:tcBorders>
              <w:top w:val="single" w:sz="4" w:space="0" w:color="auto"/>
              <w:bottom w:val="single" w:sz="4" w:space="0" w:color="auto"/>
            </w:tcBorders>
            <w:vAlign w:val="bottom"/>
          </w:tcPr>
          <w:p w14:paraId="0989C3F8" w14:textId="14180821"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(24.559.901)</w:t>
            </w:r>
          </w:p>
        </w:tc>
        <w:tc>
          <w:tcPr>
            <w:tcW w:w="577" w:type="pct"/>
            <w:tcBorders>
              <w:top w:val="single" w:sz="4" w:space="0" w:color="auto"/>
              <w:bottom w:val="single" w:sz="4" w:space="0" w:color="auto"/>
            </w:tcBorders>
            <w:vAlign w:val="bottom"/>
          </w:tcPr>
          <w:p w14:paraId="052FB5C6" w14:textId="0FC851FF"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(38.036.076)</w:t>
            </w:r>
          </w:p>
        </w:tc>
      </w:tr>
      <w:tr w:rsidR="00A479F4" w:rsidRPr="00FB38E1" w14:paraId="5B8DF125" w14:textId="77777777" w:rsidTr="00D6109C">
        <w:tc>
          <w:tcPr>
            <w:tcW w:w="2642" w:type="pct"/>
            <w:tcBorders>
              <w:top w:val="single" w:sz="4" w:space="0" w:color="auto"/>
              <w:bottom w:val="single" w:sz="4" w:space="0" w:color="auto"/>
            </w:tcBorders>
            <w:vAlign w:val="bottom"/>
          </w:tcPr>
          <w:p w14:paraId="17EDBBC3" w14:textId="10A470DA" w:rsidR="00A479F4" w:rsidRPr="00FB38E1" w:rsidRDefault="00A479F4" w:rsidP="00A479F4">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Net Nazım Hesap Pozisyonu </w:t>
            </w:r>
            <w:r w:rsidRPr="00FB38E1">
              <w:rPr>
                <w:rFonts w:ascii="Microsoft Sans Serif" w:hAnsi="Microsoft Sans Serif" w:cs="Microsoft Sans Serif"/>
                <w:b/>
                <w:bCs/>
                <w:color w:val="000000"/>
                <w:sz w:val="16"/>
                <w:szCs w:val="16"/>
                <w:vertAlign w:val="superscript"/>
              </w:rPr>
              <w:t>(6)</w:t>
            </w:r>
          </w:p>
        </w:tc>
        <w:tc>
          <w:tcPr>
            <w:tcW w:w="585" w:type="pct"/>
            <w:tcBorders>
              <w:top w:val="single" w:sz="4" w:space="0" w:color="auto"/>
              <w:bottom w:val="single" w:sz="4" w:space="0" w:color="auto"/>
            </w:tcBorders>
            <w:vAlign w:val="bottom"/>
          </w:tcPr>
          <w:p w14:paraId="1648D5B3" w14:textId="418C0EC7"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(96.514.129)</w:t>
            </w:r>
          </w:p>
        </w:tc>
        <w:tc>
          <w:tcPr>
            <w:tcW w:w="612" w:type="pct"/>
            <w:tcBorders>
              <w:top w:val="single" w:sz="4" w:space="0" w:color="auto"/>
              <w:bottom w:val="single" w:sz="4" w:space="0" w:color="auto"/>
            </w:tcBorders>
            <w:vAlign w:val="bottom"/>
          </w:tcPr>
          <w:p w14:paraId="033AEDCD" w14:textId="1E0B682A"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96.369.733</w:t>
            </w:r>
          </w:p>
        </w:tc>
        <w:tc>
          <w:tcPr>
            <w:tcW w:w="584" w:type="pct"/>
            <w:tcBorders>
              <w:top w:val="single" w:sz="4" w:space="0" w:color="auto"/>
              <w:bottom w:val="single" w:sz="4" w:space="0" w:color="auto"/>
            </w:tcBorders>
            <w:vAlign w:val="bottom"/>
          </w:tcPr>
          <w:p w14:paraId="06C186AD" w14:textId="5FF28FC6"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26.430.838</w:t>
            </w:r>
          </w:p>
        </w:tc>
        <w:tc>
          <w:tcPr>
            <w:tcW w:w="577" w:type="pct"/>
            <w:tcBorders>
              <w:top w:val="single" w:sz="4" w:space="0" w:color="auto"/>
              <w:bottom w:val="single" w:sz="4" w:space="0" w:color="auto"/>
            </w:tcBorders>
            <w:vAlign w:val="bottom"/>
          </w:tcPr>
          <w:p w14:paraId="49584CFA" w14:textId="66A74979"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26.286.442</w:t>
            </w:r>
          </w:p>
        </w:tc>
      </w:tr>
      <w:tr w:rsidR="00A479F4" w:rsidRPr="00FB38E1" w14:paraId="1E65DD30" w14:textId="77777777" w:rsidTr="00D6109C">
        <w:tc>
          <w:tcPr>
            <w:tcW w:w="2642" w:type="pct"/>
            <w:tcBorders>
              <w:top w:val="single" w:sz="4" w:space="0" w:color="auto"/>
            </w:tcBorders>
            <w:vAlign w:val="bottom"/>
          </w:tcPr>
          <w:p w14:paraId="6F68FD4B"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Türev Finansal Araçlardan Alacaklar</w:t>
            </w:r>
          </w:p>
        </w:tc>
        <w:tc>
          <w:tcPr>
            <w:tcW w:w="585" w:type="pct"/>
            <w:tcBorders>
              <w:top w:val="single" w:sz="4" w:space="0" w:color="auto"/>
            </w:tcBorders>
            <w:vAlign w:val="bottom"/>
          </w:tcPr>
          <w:p w14:paraId="29CA12D2" w14:textId="2383BA66"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47.001.915</w:t>
            </w:r>
          </w:p>
        </w:tc>
        <w:tc>
          <w:tcPr>
            <w:tcW w:w="612" w:type="pct"/>
            <w:tcBorders>
              <w:top w:val="single" w:sz="4" w:space="0" w:color="auto"/>
            </w:tcBorders>
            <w:vAlign w:val="bottom"/>
          </w:tcPr>
          <w:p w14:paraId="4840BD68" w14:textId="07F96079"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185.313.100</w:t>
            </w:r>
          </w:p>
        </w:tc>
        <w:tc>
          <w:tcPr>
            <w:tcW w:w="584" w:type="pct"/>
            <w:tcBorders>
              <w:top w:val="single" w:sz="4" w:space="0" w:color="auto"/>
            </w:tcBorders>
            <w:vAlign w:val="bottom"/>
          </w:tcPr>
          <w:p w14:paraId="76AF24AE" w14:textId="0916A3EE"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37.938.958</w:t>
            </w:r>
          </w:p>
        </w:tc>
        <w:tc>
          <w:tcPr>
            <w:tcW w:w="577" w:type="pct"/>
            <w:tcBorders>
              <w:top w:val="single" w:sz="4" w:space="0" w:color="auto"/>
            </w:tcBorders>
            <w:vAlign w:val="bottom"/>
          </w:tcPr>
          <w:p w14:paraId="381F289D" w14:textId="1E93D989"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270.253.973</w:t>
            </w:r>
          </w:p>
        </w:tc>
      </w:tr>
      <w:tr w:rsidR="00A479F4" w:rsidRPr="00FB38E1" w14:paraId="6CBA8DF8" w14:textId="77777777" w:rsidTr="00D6109C">
        <w:tc>
          <w:tcPr>
            <w:tcW w:w="2642" w:type="pct"/>
            <w:tcBorders>
              <w:bottom w:val="single" w:sz="4" w:space="0" w:color="auto"/>
            </w:tcBorders>
            <w:vAlign w:val="bottom"/>
          </w:tcPr>
          <w:p w14:paraId="44E33F39"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Türev Finansal Araçlardan Borçlar</w:t>
            </w:r>
          </w:p>
        </w:tc>
        <w:tc>
          <w:tcPr>
            <w:tcW w:w="585" w:type="pct"/>
            <w:tcBorders>
              <w:bottom w:val="single" w:sz="4" w:space="0" w:color="auto"/>
            </w:tcBorders>
            <w:vAlign w:val="bottom"/>
          </w:tcPr>
          <w:p w14:paraId="5CFD3DCE" w14:textId="782BF06A"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(143.516.044)</w:t>
            </w:r>
          </w:p>
        </w:tc>
        <w:tc>
          <w:tcPr>
            <w:tcW w:w="612" w:type="pct"/>
            <w:tcBorders>
              <w:bottom w:val="single" w:sz="4" w:space="0" w:color="auto"/>
            </w:tcBorders>
            <w:vAlign w:val="bottom"/>
          </w:tcPr>
          <w:p w14:paraId="7A38E857" w14:textId="16BF7A70"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(88.943.367)</w:t>
            </w:r>
          </w:p>
        </w:tc>
        <w:tc>
          <w:tcPr>
            <w:tcW w:w="584" w:type="pct"/>
            <w:tcBorders>
              <w:bottom w:val="single" w:sz="4" w:space="0" w:color="auto"/>
            </w:tcBorders>
            <w:vAlign w:val="bottom"/>
          </w:tcPr>
          <w:p w14:paraId="74365002" w14:textId="17EFAC86"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(11.508.120)</w:t>
            </w:r>
          </w:p>
        </w:tc>
        <w:tc>
          <w:tcPr>
            <w:tcW w:w="577" w:type="pct"/>
            <w:tcBorders>
              <w:bottom w:val="single" w:sz="4" w:space="0" w:color="auto"/>
            </w:tcBorders>
            <w:vAlign w:val="bottom"/>
          </w:tcPr>
          <w:p w14:paraId="62A8470C" w14:textId="65511EA4"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(243.967.531)</w:t>
            </w:r>
          </w:p>
        </w:tc>
      </w:tr>
      <w:tr w:rsidR="00A479F4" w:rsidRPr="00FB38E1" w14:paraId="65E27046" w14:textId="77777777" w:rsidTr="00D6109C">
        <w:tc>
          <w:tcPr>
            <w:tcW w:w="2642" w:type="pct"/>
            <w:tcBorders>
              <w:top w:val="single" w:sz="4" w:space="0" w:color="auto"/>
              <w:bottom w:val="single" w:sz="4" w:space="0" w:color="auto"/>
            </w:tcBorders>
            <w:vAlign w:val="bottom"/>
          </w:tcPr>
          <w:p w14:paraId="4BE5518A" w14:textId="77777777" w:rsidR="00A479F4" w:rsidRPr="00FB38E1" w:rsidRDefault="00A479F4" w:rsidP="00A479F4">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 Pozisyon</w:t>
            </w:r>
          </w:p>
        </w:tc>
        <w:tc>
          <w:tcPr>
            <w:tcW w:w="585" w:type="pct"/>
            <w:tcBorders>
              <w:top w:val="single" w:sz="4" w:space="0" w:color="auto"/>
              <w:bottom w:val="single" w:sz="4" w:space="0" w:color="auto"/>
            </w:tcBorders>
            <w:vAlign w:val="bottom"/>
          </w:tcPr>
          <w:p w14:paraId="3775EB15" w14:textId="59D94919"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(11.086.286)</w:t>
            </w:r>
          </w:p>
        </w:tc>
        <w:tc>
          <w:tcPr>
            <w:tcW w:w="612" w:type="pct"/>
            <w:tcBorders>
              <w:top w:val="single" w:sz="4" w:space="0" w:color="auto"/>
              <w:bottom w:val="single" w:sz="4" w:space="0" w:color="auto"/>
            </w:tcBorders>
            <w:vAlign w:val="bottom"/>
          </w:tcPr>
          <w:p w14:paraId="41C85733" w14:textId="583A8AE2"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(2.534.285)</w:t>
            </w:r>
          </w:p>
        </w:tc>
        <w:tc>
          <w:tcPr>
            <w:tcW w:w="584" w:type="pct"/>
            <w:tcBorders>
              <w:top w:val="single" w:sz="4" w:space="0" w:color="auto"/>
              <w:bottom w:val="single" w:sz="4" w:space="0" w:color="auto"/>
            </w:tcBorders>
            <w:vAlign w:val="bottom"/>
          </w:tcPr>
          <w:p w14:paraId="3DC61FD0" w14:textId="5F343853"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1.870.937</w:t>
            </w:r>
          </w:p>
        </w:tc>
        <w:tc>
          <w:tcPr>
            <w:tcW w:w="577" w:type="pct"/>
            <w:tcBorders>
              <w:top w:val="single" w:sz="4" w:space="0" w:color="auto"/>
              <w:bottom w:val="single" w:sz="4" w:space="0" w:color="auto"/>
            </w:tcBorders>
            <w:vAlign w:val="bottom"/>
          </w:tcPr>
          <w:p w14:paraId="74BF31B2" w14:textId="4A2B97F6"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(11.749.634)</w:t>
            </w:r>
          </w:p>
        </w:tc>
      </w:tr>
      <w:tr w:rsidR="00A479F4" w:rsidRPr="00FB38E1" w14:paraId="18517E10" w14:textId="77777777" w:rsidTr="00D6109C">
        <w:tc>
          <w:tcPr>
            <w:tcW w:w="2642" w:type="pct"/>
            <w:tcBorders>
              <w:top w:val="single" w:sz="4" w:space="0" w:color="auto"/>
              <w:bottom w:val="nil"/>
            </w:tcBorders>
            <w:vAlign w:val="bottom"/>
          </w:tcPr>
          <w:p w14:paraId="3AFA1BF3" w14:textId="77777777" w:rsidR="00A479F4" w:rsidRPr="00FB38E1" w:rsidRDefault="00A479F4" w:rsidP="00A479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Gayri Nakdi Krediler</w:t>
            </w:r>
          </w:p>
        </w:tc>
        <w:tc>
          <w:tcPr>
            <w:tcW w:w="585" w:type="pct"/>
            <w:tcBorders>
              <w:top w:val="single" w:sz="4" w:space="0" w:color="auto"/>
              <w:bottom w:val="nil"/>
            </w:tcBorders>
            <w:vAlign w:val="bottom"/>
          </w:tcPr>
          <w:p w14:paraId="280F100C" w14:textId="7216C082"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39.208.382</w:t>
            </w:r>
          </w:p>
        </w:tc>
        <w:tc>
          <w:tcPr>
            <w:tcW w:w="612" w:type="pct"/>
            <w:tcBorders>
              <w:top w:val="single" w:sz="4" w:space="0" w:color="auto"/>
              <w:bottom w:val="nil"/>
            </w:tcBorders>
            <w:vAlign w:val="bottom"/>
          </w:tcPr>
          <w:p w14:paraId="64E75CDF" w14:textId="65EB922C"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54.552.872</w:t>
            </w:r>
          </w:p>
        </w:tc>
        <w:tc>
          <w:tcPr>
            <w:tcW w:w="584" w:type="pct"/>
            <w:tcBorders>
              <w:top w:val="single" w:sz="4" w:space="0" w:color="auto"/>
              <w:bottom w:val="nil"/>
            </w:tcBorders>
            <w:vAlign w:val="bottom"/>
          </w:tcPr>
          <w:p w14:paraId="1AE2BFEA" w14:textId="38879CDA" w:rsidR="00A479F4" w:rsidRPr="00FB38E1" w:rsidRDefault="00A479F4" w:rsidP="00A479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7.366.653</w:t>
            </w:r>
          </w:p>
        </w:tc>
        <w:tc>
          <w:tcPr>
            <w:tcW w:w="577" w:type="pct"/>
            <w:tcBorders>
              <w:top w:val="single" w:sz="4" w:space="0" w:color="auto"/>
              <w:bottom w:val="nil"/>
            </w:tcBorders>
            <w:vAlign w:val="bottom"/>
          </w:tcPr>
          <w:p w14:paraId="07E932E0" w14:textId="1FAD86F2" w:rsidR="00A479F4" w:rsidRPr="00FB38E1" w:rsidRDefault="00A479F4" w:rsidP="00A479F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101.127.907</w:t>
            </w:r>
          </w:p>
        </w:tc>
      </w:tr>
      <w:tr w:rsidR="00715500" w:rsidRPr="00FB38E1" w14:paraId="0CD4C4C9" w14:textId="77777777" w:rsidTr="00D6109C">
        <w:tc>
          <w:tcPr>
            <w:tcW w:w="2642" w:type="pct"/>
            <w:tcBorders>
              <w:top w:val="nil"/>
              <w:bottom w:val="nil"/>
            </w:tcBorders>
            <w:vAlign w:val="bottom"/>
          </w:tcPr>
          <w:p w14:paraId="095DF89E" w14:textId="77777777" w:rsidR="00715500" w:rsidRPr="00FB38E1" w:rsidRDefault="00715500" w:rsidP="00715500">
            <w:pPr>
              <w:rPr>
                <w:rFonts w:ascii="Microsoft Sans Serif" w:hAnsi="Microsoft Sans Serif" w:cs="Microsoft Sans Serif"/>
                <w:color w:val="000000"/>
                <w:sz w:val="8"/>
                <w:szCs w:val="8"/>
              </w:rPr>
            </w:pPr>
          </w:p>
        </w:tc>
        <w:tc>
          <w:tcPr>
            <w:tcW w:w="585" w:type="pct"/>
            <w:tcBorders>
              <w:top w:val="nil"/>
              <w:bottom w:val="nil"/>
            </w:tcBorders>
            <w:vAlign w:val="bottom"/>
          </w:tcPr>
          <w:p w14:paraId="75177FD7" w14:textId="77777777" w:rsidR="00715500" w:rsidRPr="00FB38E1" w:rsidRDefault="00715500" w:rsidP="00715500">
            <w:pPr>
              <w:jc w:val="right"/>
              <w:rPr>
                <w:rFonts w:ascii="Microsoft Sans Serif" w:hAnsi="Microsoft Sans Serif" w:cs="Microsoft Sans Serif"/>
                <w:color w:val="404040"/>
                <w:sz w:val="8"/>
                <w:szCs w:val="8"/>
              </w:rPr>
            </w:pPr>
          </w:p>
        </w:tc>
        <w:tc>
          <w:tcPr>
            <w:tcW w:w="612" w:type="pct"/>
            <w:tcBorders>
              <w:top w:val="nil"/>
              <w:bottom w:val="nil"/>
            </w:tcBorders>
            <w:vAlign w:val="bottom"/>
          </w:tcPr>
          <w:p w14:paraId="21904F06" w14:textId="77777777" w:rsidR="00715500" w:rsidRPr="00FB38E1" w:rsidRDefault="00715500" w:rsidP="00715500">
            <w:pPr>
              <w:jc w:val="right"/>
              <w:rPr>
                <w:rFonts w:ascii="Microsoft Sans Serif" w:hAnsi="Microsoft Sans Serif" w:cs="Microsoft Sans Serif"/>
                <w:color w:val="404040"/>
                <w:sz w:val="8"/>
                <w:szCs w:val="8"/>
              </w:rPr>
            </w:pPr>
          </w:p>
        </w:tc>
        <w:tc>
          <w:tcPr>
            <w:tcW w:w="584" w:type="pct"/>
            <w:tcBorders>
              <w:top w:val="nil"/>
              <w:bottom w:val="nil"/>
            </w:tcBorders>
            <w:vAlign w:val="bottom"/>
          </w:tcPr>
          <w:p w14:paraId="38344CA8" w14:textId="77777777" w:rsidR="00715500" w:rsidRPr="00FB38E1" w:rsidRDefault="00715500" w:rsidP="00715500">
            <w:pPr>
              <w:jc w:val="right"/>
              <w:rPr>
                <w:rFonts w:ascii="Microsoft Sans Serif" w:hAnsi="Microsoft Sans Serif" w:cs="Microsoft Sans Serif"/>
                <w:color w:val="404040"/>
                <w:sz w:val="8"/>
                <w:szCs w:val="8"/>
              </w:rPr>
            </w:pPr>
          </w:p>
        </w:tc>
        <w:tc>
          <w:tcPr>
            <w:tcW w:w="577" w:type="pct"/>
            <w:tcBorders>
              <w:top w:val="nil"/>
              <w:bottom w:val="nil"/>
            </w:tcBorders>
            <w:vAlign w:val="bottom"/>
          </w:tcPr>
          <w:p w14:paraId="496D9AB4" w14:textId="77777777" w:rsidR="00715500" w:rsidRPr="00FB38E1" w:rsidRDefault="00715500" w:rsidP="00715500">
            <w:pPr>
              <w:jc w:val="right"/>
              <w:rPr>
                <w:rFonts w:ascii="Microsoft Sans Serif" w:hAnsi="Microsoft Sans Serif" w:cs="Microsoft Sans Serif"/>
                <w:b/>
                <w:bCs/>
                <w:color w:val="000000"/>
                <w:sz w:val="8"/>
                <w:szCs w:val="8"/>
              </w:rPr>
            </w:pPr>
          </w:p>
        </w:tc>
      </w:tr>
      <w:tr w:rsidR="00715500" w:rsidRPr="00FB38E1" w14:paraId="6604BA14" w14:textId="77777777" w:rsidTr="00D6109C">
        <w:tc>
          <w:tcPr>
            <w:tcW w:w="2642" w:type="pct"/>
            <w:tcBorders>
              <w:top w:val="nil"/>
              <w:bottom w:val="nil"/>
            </w:tcBorders>
            <w:vAlign w:val="bottom"/>
          </w:tcPr>
          <w:p w14:paraId="598DFAE1" w14:textId="77777777" w:rsidR="00715500" w:rsidRPr="00FB38E1" w:rsidRDefault="00715500" w:rsidP="00715500">
            <w:pPr>
              <w:rPr>
                <w:rFonts w:ascii="Microsoft Sans Serif" w:hAnsi="Microsoft Sans Serif" w:cs="Microsoft Sans Serif"/>
                <w:color w:val="000000"/>
                <w:sz w:val="16"/>
                <w:szCs w:val="16"/>
              </w:rPr>
            </w:pPr>
            <w:r w:rsidRPr="00FB38E1">
              <w:rPr>
                <w:rFonts w:ascii="Microsoft Sans Serif" w:hAnsi="Microsoft Sans Serif" w:cs="Microsoft Sans Serif"/>
                <w:b/>
                <w:bCs/>
                <w:color w:val="000000"/>
                <w:sz w:val="16"/>
                <w:szCs w:val="16"/>
              </w:rPr>
              <w:t>Önceki Dönem</w:t>
            </w:r>
          </w:p>
        </w:tc>
        <w:tc>
          <w:tcPr>
            <w:tcW w:w="585" w:type="pct"/>
            <w:tcBorders>
              <w:top w:val="nil"/>
              <w:bottom w:val="nil"/>
            </w:tcBorders>
            <w:vAlign w:val="bottom"/>
          </w:tcPr>
          <w:p w14:paraId="36DE7BDB" w14:textId="77777777" w:rsidR="00715500" w:rsidRPr="00FB38E1" w:rsidRDefault="00715500" w:rsidP="00715500">
            <w:pPr>
              <w:jc w:val="right"/>
              <w:rPr>
                <w:rFonts w:ascii="Microsoft Sans Serif" w:hAnsi="Microsoft Sans Serif" w:cs="Microsoft Sans Serif"/>
                <w:b/>
                <w:bCs/>
                <w:color w:val="000000"/>
                <w:sz w:val="16"/>
                <w:szCs w:val="16"/>
              </w:rPr>
            </w:pPr>
          </w:p>
        </w:tc>
        <w:tc>
          <w:tcPr>
            <w:tcW w:w="612" w:type="pct"/>
            <w:tcBorders>
              <w:top w:val="nil"/>
              <w:bottom w:val="nil"/>
            </w:tcBorders>
            <w:vAlign w:val="bottom"/>
          </w:tcPr>
          <w:p w14:paraId="10424C8A" w14:textId="77777777" w:rsidR="00715500" w:rsidRPr="00FB38E1" w:rsidRDefault="00715500" w:rsidP="00715500">
            <w:pPr>
              <w:jc w:val="right"/>
              <w:rPr>
                <w:rFonts w:ascii="Microsoft Sans Serif" w:hAnsi="Microsoft Sans Serif" w:cs="Microsoft Sans Serif"/>
                <w:b/>
                <w:bCs/>
                <w:color w:val="000000"/>
                <w:sz w:val="16"/>
                <w:szCs w:val="16"/>
              </w:rPr>
            </w:pPr>
          </w:p>
        </w:tc>
        <w:tc>
          <w:tcPr>
            <w:tcW w:w="584" w:type="pct"/>
            <w:tcBorders>
              <w:top w:val="nil"/>
              <w:bottom w:val="nil"/>
            </w:tcBorders>
            <w:vAlign w:val="bottom"/>
          </w:tcPr>
          <w:p w14:paraId="5A7F04A7" w14:textId="77777777" w:rsidR="00715500" w:rsidRPr="00FB38E1" w:rsidRDefault="00715500" w:rsidP="00715500">
            <w:pPr>
              <w:jc w:val="right"/>
              <w:rPr>
                <w:rFonts w:ascii="Microsoft Sans Serif" w:hAnsi="Microsoft Sans Serif" w:cs="Microsoft Sans Serif"/>
                <w:b/>
                <w:bCs/>
                <w:color w:val="000000"/>
                <w:sz w:val="16"/>
                <w:szCs w:val="16"/>
              </w:rPr>
            </w:pPr>
          </w:p>
        </w:tc>
        <w:tc>
          <w:tcPr>
            <w:tcW w:w="577" w:type="pct"/>
            <w:tcBorders>
              <w:top w:val="nil"/>
              <w:bottom w:val="nil"/>
            </w:tcBorders>
            <w:vAlign w:val="bottom"/>
          </w:tcPr>
          <w:p w14:paraId="55E24F30" w14:textId="77777777" w:rsidR="00715500" w:rsidRPr="00FB38E1" w:rsidRDefault="00715500" w:rsidP="00715500">
            <w:pPr>
              <w:jc w:val="right"/>
              <w:rPr>
                <w:rFonts w:ascii="Microsoft Sans Serif" w:hAnsi="Microsoft Sans Serif" w:cs="Microsoft Sans Serif"/>
                <w:b/>
                <w:bCs/>
                <w:color w:val="000000"/>
                <w:sz w:val="16"/>
                <w:szCs w:val="16"/>
              </w:rPr>
            </w:pPr>
          </w:p>
        </w:tc>
      </w:tr>
      <w:tr w:rsidR="00715500" w:rsidRPr="00FB38E1" w14:paraId="7F3F2479" w14:textId="77777777" w:rsidTr="000A4377">
        <w:tc>
          <w:tcPr>
            <w:tcW w:w="2642" w:type="pct"/>
            <w:tcBorders>
              <w:top w:val="nil"/>
              <w:bottom w:val="nil"/>
            </w:tcBorders>
            <w:vAlign w:val="bottom"/>
          </w:tcPr>
          <w:p w14:paraId="5E6382B5" w14:textId="77777777" w:rsidR="00715500" w:rsidRPr="00FB38E1" w:rsidRDefault="00715500" w:rsidP="00715500">
            <w:pPr>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Toplam Varlıklar</w:t>
            </w:r>
          </w:p>
        </w:tc>
        <w:tc>
          <w:tcPr>
            <w:tcW w:w="585" w:type="pct"/>
            <w:tcBorders>
              <w:top w:val="nil"/>
              <w:bottom w:val="nil"/>
            </w:tcBorders>
            <w:vAlign w:val="center"/>
          </w:tcPr>
          <w:p w14:paraId="2A9A33BF" w14:textId="49D9EF52"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000000"/>
                <w:sz w:val="16"/>
                <w:szCs w:val="16"/>
              </w:rPr>
              <w:t>208.161.478</w:t>
            </w:r>
          </w:p>
        </w:tc>
        <w:tc>
          <w:tcPr>
            <w:tcW w:w="612" w:type="pct"/>
            <w:tcBorders>
              <w:top w:val="nil"/>
              <w:bottom w:val="nil"/>
            </w:tcBorders>
            <w:vAlign w:val="center"/>
          </w:tcPr>
          <w:p w14:paraId="78BFDFA1" w14:textId="6013FB27"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000000"/>
                <w:sz w:val="16"/>
                <w:szCs w:val="16"/>
              </w:rPr>
              <w:t>193.656.067</w:t>
            </w:r>
          </w:p>
        </w:tc>
        <w:tc>
          <w:tcPr>
            <w:tcW w:w="584" w:type="pct"/>
            <w:tcBorders>
              <w:top w:val="nil"/>
              <w:bottom w:val="nil"/>
            </w:tcBorders>
            <w:vAlign w:val="center"/>
          </w:tcPr>
          <w:p w14:paraId="73F31AFF" w14:textId="2CF23383"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000000"/>
                <w:sz w:val="16"/>
                <w:szCs w:val="16"/>
              </w:rPr>
              <w:t>16.391.283</w:t>
            </w:r>
          </w:p>
        </w:tc>
        <w:tc>
          <w:tcPr>
            <w:tcW w:w="577" w:type="pct"/>
            <w:tcBorders>
              <w:top w:val="nil"/>
              <w:bottom w:val="nil"/>
            </w:tcBorders>
            <w:vAlign w:val="bottom"/>
          </w:tcPr>
          <w:p w14:paraId="505F9E0C" w14:textId="6BC12CE0" w:rsidR="00715500" w:rsidRPr="00FB38E1" w:rsidRDefault="00715500" w:rsidP="0071550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418.208.828</w:t>
            </w:r>
          </w:p>
        </w:tc>
      </w:tr>
      <w:tr w:rsidR="00715500" w:rsidRPr="00FB38E1" w14:paraId="7D755DC9" w14:textId="77777777" w:rsidTr="000A4377">
        <w:tc>
          <w:tcPr>
            <w:tcW w:w="2642" w:type="pct"/>
            <w:tcBorders>
              <w:top w:val="nil"/>
              <w:bottom w:val="nil"/>
            </w:tcBorders>
            <w:vAlign w:val="bottom"/>
          </w:tcPr>
          <w:p w14:paraId="3467284C" w14:textId="77777777" w:rsidR="00715500" w:rsidRPr="00FB38E1" w:rsidRDefault="00715500" w:rsidP="0071550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Toplam Yükümlülükler</w:t>
            </w:r>
          </w:p>
        </w:tc>
        <w:tc>
          <w:tcPr>
            <w:tcW w:w="585" w:type="pct"/>
            <w:tcBorders>
              <w:top w:val="nil"/>
              <w:bottom w:val="nil"/>
            </w:tcBorders>
            <w:vAlign w:val="center"/>
          </w:tcPr>
          <w:p w14:paraId="7481CCA3" w14:textId="704DFD6D" w:rsidR="00715500" w:rsidRPr="00FB38E1" w:rsidRDefault="00715500" w:rsidP="0071550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143.972.666</w:t>
            </w:r>
          </w:p>
        </w:tc>
        <w:tc>
          <w:tcPr>
            <w:tcW w:w="612" w:type="pct"/>
            <w:tcBorders>
              <w:top w:val="nil"/>
              <w:bottom w:val="nil"/>
            </w:tcBorders>
            <w:vAlign w:val="center"/>
          </w:tcPr>
          <w:p w14:paraId="32949209" w14:textId="4F2C019F" w:rsidR="00715500" w:rsidRPr="00FB38E1" w:rsidRDefault="00715500" w:rsidP="0071550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286.887.905</w:t>
            </w:r>
          </w:p>
        </w:tc>
        <w:tc>
          <w:tcPr>
            <w:tcW w:w="584" w:type="pct"/>
            <w:tcBorders>
              <w:top w:val="nil"/>
              <w:bottom w:val="nil"/>
            </w:tcBorders>
            <w:vAlign w:val="center"/>
          </w:tcPr>
          <w:p w14:paraId="08B330D3" w14:textId="4F9F39E8" w:rsidR="00715500" w:rsidRPr="00FB38E1" w:rsidRDefault="00715500" w:rsidP="0071550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36.467.955</w:t>
            </w:r>
          </w:p>
        </w:tc>
        <w:tc>
          <w:tcPr>
            <w:tcW w:w="577" w:type="pct"/>
            <w:tcBorders>
              <w:top w:val="nil"/>
              <w:bottom w:val="nil"/>
            </w:tcBorders>
            <w:vAlign w:val="bottom"/>
          </w:tcPr>
          <w:p w14:paraId="5D64C20D" w14:textId="285FF61A" w:rsidR="00715500" w:rsidRPr="00FB38E1" w:rsidRDefault="00715500" w:rsidP="0071550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404040"/>
                <w:sz w:val="16"/>
                <w:szCs w:val="16"/>
              </w:rPr>
              <w:t>467.328.526</w:t>
            </w:r>
          </w:p>
        </w:tc>
      </w:tr>
      <w:tr w:rsidR="00715500" w:rsidRPr="00FB38E1" w14:paraId="298C9C31" w14:textId="77777777" w:rsidTr="00D6109C">
        <w:tc>
          <w:tcPr>
            <w:tcW w:w="2642" w:type="pct"/>
            <w:tcBorders>
              <w:top w:val="nil"/>
              <w:bottom w:val="nil"/>
            </w:tcBorders>
            <w:vAlign w:val="bottom"/>
          </w:tcPr>
          <w:p w14:paraId="1A9BEBE5" w14:textId="77777777" w:rsidR="00715500" w:rsidRPr="00FB38E1" w:rsidRDefault="00715500" w:rsidP="00715500">
            <w:pPr>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Net Bilanço Pozisyonu</w:t>
            </w:r>
          </w:p>
        </w:tc>
        <w:tc>
          <w:tcPr>
            <w:tcW w:w="585" w:type="pct"/>
            <w:tcBorders>
              <w:top w:val="nil"/>
              <w:bottom w:val="nil"/>
            </w:tcBorders>
            <w:vAlign w:val="bottom"/>
          </w:tcPr>
          <w:p w14:paraId="6AB57E0A" w14:textId="01ED91A9" w:rsidR="00715500" w:rsidRPr="00FB38E1" w:rsidRDefault="00715500" w:rsidP="00715500">
            <w:pPr>
              <w:jc w:val="righ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rPr>
              <w:t>64.188.812</w:t>
            </w:r>
          </w:p>
        </w:tc>
        <w:tc>
          <w:tcPr>
            <w:tcW w:w="612" w:type="pct"/>
            <w:tcBorders>
              <w:top w:val="nil"/>
              <w:bottom w:val="nil"/>
            </w:tcBorders>
            <w:vAlign w:val="bottom"/>
          </w:tcPr>
          <w:p w14:paraId="4FB13B45" w14:textId="35872BE4" w:rsidR="00715500" w:rsidRPr="00FB38E1" w:rsidRDefault="00715500" w:rsidP="00715500">
            <w:pPr>
              <w:jc w:val="righ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rPr>
              <w:t>(93.231.838)</w:t>
            </w:r>
          </w:p>
        </w:tc>
        <w:tc>
          <w:tcPr>
            <w:tcW w:w="584" w:type="pct"/>
            <w:tcBorders>
              <w:top w:val="nil"/>
              <w:bottom w:val="nil"/>
            </w:tcBorders>
            <w:vAlign w:val="bottom"/>
          </w:tcPr>
          <w:p w14:paraId="5D3BA6A6" w14:textId="5BAD148F" w:rsidR="00715500" w:rsidRPr="00FB38E1" w:rsidRDefault="00715500" w:rsidP="00715500">
            <w:pPr>
              <w:jc w:val="righ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rPr>
              <w:t>(20.076.672)</w:t>
            </w:r>
          </w:p>
        </w:tc>
        <w:tc>
          <w:tcPr>
            <w:tcW w:w="577" w:type="pct"/>
            <w:tcBorders>
              <w:top w:val="nil"/>
              <w:bottom w:val="nil"/>
            </w:tcBorders>
            <w:vAlign w:val="bottom"/>
          </w:tcPr>
          <w:p w14:paraId="54750D50" w14:textId="4035837D" w:rsidR="00715500" w:rsidRPr="00FB38E1" w:rsidRDefault="00715500" w:rsidP="0071550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(49.119.698)</w:t>
            </w:r>
          </w:p>
        </w:tc>
      </w:tr>
      <w:tr w:rsidR="00715500" w:rsidRPr="00FB38E1" w14:paraId="1FC6F637" w14:textId="77777777" w:rsidTr="00D6109C">
        <w:tc>
          <w:tcPr>
            <w:tcW w:w="2642" w:type="pct"/>
            <w:tcBorders>
              <w:top w:val="nil"/>
              <w:bottom w:val="nil"/>
            </w:tcBorders>
            <w:vAlign w:val="bottom"/>
          </w:tcPr>
          <w:p w14:paraId="1250CD62" w14:textId="77777777" w:rsidR="00715500" w:rsidRPr="00FB38E1" w:rsidRDefault="00715500" w:rsidP="0071550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 Nazım Hesap Pozisyonu</w:t>
            </w:r>
          </w:p>
        </w:tc>
        <w:tc>
          <w:tcPr>
            <w:tcW w:w="585" w:type="pct"/>
            <w:tcBorders>
              <w:top w:val="nil"/>
              <w:bottom w:val="nil"/>
            </w:tcBorders>
            <w:vAlign w:val="bottom"/>
          </w:tcPr>
          <w:p w14:paraId="40E3EA50" w14:textId="4E5445D4" w:rsidR="00715500" w:rsidRPr="00FB38E1" w:rsidRDefault="00715500" w:rsidP="0071550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(70.595.541)</w:t>
            </w:r>
          </w:p>
        </w:tc>
        <w:tc>
          <w:tcPr>
            <w:tcW w:w="612" w:type="pct"/>
            <w:tcBorders>
              <w:top w:val="nil"/>
              <w:bottom w:val="nil"/>
            </w:tcBorders>
            <w:vAlign w:val="bottom"/>
          </w:tcPr>
          <w:p w14:paraId="02A0E45F" w14:textId="4A73E76E" w:rsidR="00715500" w:rsidRPr="00FB38E1" w:rsidRDefault="00715500" w:rsidP="0071550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90.635.972</w:t>
            </w:r>
          </w:p>
        </w:tc>
        <w:tc>
          <w:tcPr>
            <w:tcW w:w="584" w:type="pct"/>
            <w:tcBorders>
              <w:top w:val="nil"/>
              <w:bottom w:val="nil"/>
            </w:tcBorders>
            <w:vAlign w:val="bottom"/>
          </w:tcPr>
          <w:p w14:paraId="7165B3CD" w14:textId="309217E9" w:rsidR="00715500" w:rsidRPr="00FB38E1" w:rsidRDefault="00715500" w:rsidP="0071550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21.896.602</w:t>
            </w:r>
          </w:p>
        </w:tc>
        <w:tc>
          <w:tcPr>
            <w:tcW w:w="577" w:type="pct"/>
            <w:tcBorders>
              <w:top w:val="nil"/>
              <w:bottom w:val="nil"/>
            </w:tcBorders>
            <w:vAlign w:val="bottom"/>
          </w:tcPr>
          <w:p w14:paraId="65AFAE84" w14:textId="3857D432" w:rsidR="00715500" w:rsidRPr="00FB38E1" w:rsidRDefault="00715500" w:rsidP="0071550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41.937.033</w:t>
            </w:r>
          </w:p>
        </w:tc>
      </w:tr>
      <w:tr w:rsidR="00715500" w:rsidRPr="00FB38E1" w14:paraId="457F9DB6" w14:textId="77777777" w:rsidTr="000A4377">
        <w:tc>
          <w:tcPr>
            <w:tcW w:w="2642" w:type="pct"/>
            <w:tcBorders>
              <w:top w:val="nil"/>
              <w:bottom w:val="nil"/>
            </w:tcBorders>
            <w:vAlign w:val="bottom"/>
          </w:tcPr>
          <w:p w14:paraId="2EE063EA" w14:textId="77777777" w:rsidR="00715500" w:rsidRPr="00FB38E1" w:rsidRDefault="00715500" w:rsidP="00715500">
            <w:pPr>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Türev Finansal Araçlardan Alacaklar</w:t>
            </w:r>
          </w:p>
        </w:tc>
        <w:tc>
          <w:tcPr>
            <w:tcW w:w="585" w:type="pct"/>
            <w:tcBorders>
              <w:top w:val="nil"/>
              <w:bottom w:val="nil"/>
            </w:tcBorders>
            <w:vAlign w:val="center"/>
          </w:tcPr>
          <w:p w14:paraId="7165C9DE" w14:textId="35343878"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15.163.791</w:t>
            </w:r>
          </w:p>
        </w:tc>
        <w:tc>
          <w:tcPr>
            <w:tcW w:w="612" w:type="pct"/>
            <w:tcBorders>
              <w:top w:val="nil"/>
              <w:bottom w:val="nil"/>
            </w:tcBorders>
            <w:vAlign w:val="center"/>
          </w:tcPr>
          <w:p w14:paraId="68FE3CE3" w14:textId="240D4F96"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153.258.758</w:t>
            </w:r>
          </w:p>
        </w:tc>
        <w:tc>
          <w:tcPr>
            <w:tcW w:w="584" w:type="pct"/>
            <w:tcBorders>
              <w:top w:val="nil"/>
              <w:bottom w:val="nil"/>
            </w:tcBorders>
            <w:vAlign w:val="center"/>
          </w:tcPr>
          <w:p w14:paraId="7C72B863" w14:textId="433692B7"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33.922.032</w:t>
            </w:r>
          </w:p>
        </w:tc>
        <w:tc>
          <w:tcPr>
            <w:tcW w:w="577" w:type="pct"/>
            <w:tcBorders>
              <w:top w:val="nil"/>
              <w:bottom w:val="nil"/>
            </w:tcBorders>
            <w:vAlign w:val="bottom"/>
          </w:tcPr>
          <w:p w14:paraId="5818ABB2" w14:textId="6DB34EA3"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b/>
                <w:bCs/>
                <w:color w:val="000000"/>
                <w:sz w:val="16"/>
                <w:szCs w:val="16"/>
              </w:rPr>
              <w:t>202.344.581</w:t>
            </w:r>
          </w:p>
        </w:tc>
      </w:tr>
      <w:tr w:rsidR="00715500" w:rsidRPr="00FB38E1" w14:paraId="7359F1C7" w14:textId="77777777" w:rsidTr="000A4377">
        <w:tc>
          <w:tcPr>
            <w:tcW w:w="2642" w:type="pct"/>
            <w:tcBorders>
              <w:top w:val="nil"/>
              <w:bottom w:val="nil"/>
            </w:tcBorders>
            <w:vAlign w:val="bottom"/>
          </w:tcPr>
          <w:p w14:paraId="4BD224FC" w14:textId="77777777" w:rsidR="00715500" w:rsidRPr="00FB38E1" w:rsidRDefault="00715500" w:rsidP="0071550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Türev Finansal Araçlardan Borçlar</w:t>
            </w:r>
          </w:p>
        </w:tc>
        <w:tc>
          <w:tcPr>
            <w:tcW w:w="585" w:type="pct"/>
            <w:tcBorders>
              <w:top w:val="nil"/>
              <w:bottom w:val="nil"/>
            </w:tcBorders>
            <w:vAlign w:val="center"/>
          </w:tcPr>
          <w:p w14:paraId="57E1B787" w14:textId="35B2A620" w:rsidR="00715500" w:rsidRPr="00FB38E1" w:rsidRDefault="00715500" w:rsidP="0071550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(85.759.332)</w:t>
            </w:r>
          </w:p>
        </w:tc>
        <w:tc>
          <w:tcPr>
            <w:tcW w:w="612" w:type="pct"/>
            <w:tcBorders>
              <w:top w:val="nil"/>
              <w:bottom w:val="nil"/>
            </w:tcBorders>
            <w:vAlign w:val="center"/>
          </w:tcPr>
          <w:p w14:paraId="094AAA09" w14:textId="7598DC41" w:rsidR="00715500" w:rsidRPr="00FB38E1" w:rsidRDefault="00715500" w:rsidP="0071550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(62.622.786)</w:t>
            </w:r>
          </w:p>
        </w:tc>
        <w:tc>
          <w:tcPr>
            <w:tcW w:w="584" w:type="pct"/>
            <w:tcBorders>
              <w:top w:val="nil"/>
              <w:bottom w:val="nil"/>
            </w:tcBorders>
            <w:vAlign w:val="center"/>
          </w:tcPr>
          <w:p w14:paraId="1069D5A4" w14:textId="256C2E92" w:rsidR="00715500" w:rsidRPr="00FB38E1" w:rsidRDefault="00715500" w:rsidP="0071550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(12.025.430)</w:t>
            </w:r>
          </w:p>
        </w:tc>
        <w:tc>
          <w:tcPr>
            <w:tcW w:w="577" w:type="pct"/>
            <w:tcBorders>
              <w:top w:val="nil"/>
              <w:bottom w:val="nil"/>
            </w:tcBorders>
            <w:vAlign w:val="bottom"/>
          </w:tcPr>
          <w:p w14:paraId="4735BB29" w14:textId="2B9F8F57"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b/>
                <w:bCs/>
                <w:color w:val="404040"/>
                <w:sz w:val="16"/>
                <w:szCs w:val="16"/>
              </w:rPr>
              <w:t>(160.407.548)</w:t>
            </w:r>
          </w:p>
        </w:tc>
      </w:tr>
      <w:tr w:rsidR="00715500" w:rsidRPr="00FB38E1" w14:paraId="49D087F2" w14:textId="77777777" w:rsidTr="00D6109C">
        <w:trPr>
          <w:trHeight w:val="70"/>
        </w:trPr>
        <w:tc>
          <w:tcPr>
            <w:tcW w:w="2642" w:type="pct"/>
            <w:tcBorders>
              <w:top w:val="nil"/>
              <w:bottom w:val="nil"/>
            </w:tcBorders>
            <w:vAlign w:val="bottom"/>
          </w:tcPr>
          <w:p w14:paraId="5C9D4FFC" w14:textId="77777777" w:rsidR="00715500" w:rsidRPr="00FB38E1" w:rsidRDefault="00715500" w:rsidP="00715500">
            <w:pPr>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Net Pozisyon</w:t>
            </w:r>
          </w:p>
        </w:tc>
        <w:tc>
          <w:tcPr>
            <w:tcW w:w="585" w:type="pct"/>
            <w:tcBorders>
              <w:top w:val="nil"/>
              <w:bottom w:val="nil"/>
            </w:tcBorders>
            <w:vAlign w:val="bottom"/>
          </w:tcPr>
          <w:p w14:paraId="1A125795" w14:textId="07D29372" w:rsidR="00715500" w:rsidRPr="00FB38E1" w:rsidRDefault="00715500" w:rsidP="00715500">
            <w:pPr>
              <w:jc w:val="righ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rPr>
              <w:t>(6.406.729)</w:t>
            </w:r>
          </w:p>
        </w:tc>
        <w:tc>
          <w:tcPr>
            <w:tcW w:w="612" w:type="pct"/>
            <w:tcBorders>
              <w:top w:val="nil"/>
              <w:bottom w:val="nil"/>
            </w:tcBorders>
            <w:vAlign w:val="bottom"/>
          </w:tcPr>
          <w:p w14:paraId="4CB6AB39" w14:textId="280BB552" w:rsidR="00715500" w:rsidRPr="00FB38E1" w:rsidRDefault="00715500" w:rsidP="00715500">
            <w:pPr>
              <w:jc w:val="righ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rPr>
              <w:t>(2.595.866)</w:t>
            </w:r>
          </w:p>
        </w:tc>
        <w:tc>
          <w:tcPr>
            <w:tcW w:w="584" w:type="pct"/>
            <w:tcBorders>
              <w:top w:val="nil"/>
              <w:bottom w:val="nil"/>
            </w:tcBorders>
            <w:vAlign w:val="bottom"/>
          </w:tcPr>
          <w:p w14:paraId="16D3771C" w14:textId="4E4531EE" w:rsidR="00715500" w:rsidRPr="00FB38E1" w:rsidRDefault="00715500" w:rsidP="00715500">
            <w:pPr>
              <w:jc w:val="righ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rPr>
              <w:t>1.819.930</w:t>
            </w:r>
          </w:p>
        </w:tc>
        <w:tc>
          <w:tcPr>
            <w:tcW w:w="577" w:type="pct"/>
            <w:tcBorders>
              <w:top w:val="nil"/>
              <w:bottom w:val="nil"/>
            </w:tcBorders>
            <w:vAlign w:val="bottom"/>
          </w:tcPr>
          <w:p w14:paraId="498D3900" w14:textId="4674F84B" w:rsidR="00715500" w:rsidRPr="00FB38E1" w:rsidRDefault="00715500" w:rsidP="0071550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(7.182.665)</w:t>
            </w:r>
          </w:p>
        </w:tc>
      </w:tr>
      <w:tr w:rsidR="00715500" w:rsidRPr="00FB38E1" w14:paraId="237D9D09" w14:textId="77777777" w:rsidTr="000A4377">
        <w:tc>
          <w:tcPr>
            <w:tcW w:w="2642" w:type="pct"/>
            <w:tcBorders>
              <w:top w:val="nil"/>
              <w:bottom w:val="thickThinSmallGap" w:sz="24" w:space="0" w:color="auto"/>
            </w:tcBorders>
            <w:vAlign w:val="bottom"/>
          </w:tcPr>
          <w:p w14:paraId="5FFC2BAC" w14:textId="77777777" w:rsidR="00715500" w:rsidRPr="00FB38E1" w:rsidRDefault="00715500" w:rsidP="00715500">
            <w:pPr>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Gayri Nakdi Krediler</w:t>
            </w:r>
          </w:p>
        </w:tc>
        <w:tc>
          <w:tcPr>
            <w:tcW w:w="585" w:type="pct"/>
            <w:tcBorders>
              <w:top w:val="nil"/>
              <w:bottom w:val="thickThinSmallGap" w:sz="24" w:space="0" w:color="auto"/>
            </w:tcBorders>
            <w:vAlign w:val="center"/>
          </w:tcPr>
          <w:p w14:paraId="682460BD" w14:textId="3B151192"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35.754.169</w:t>
            </w:r>
          </w:p>
        </w:tc>
        <w:tc>
          <w:tcPr>
            <w:tcW w:w="612" w:type="pct"/>
            <w:tcBorders>
              <w:top w:val="nil"/>
              <w:bottom w:val="thickThinSmallGap" w:sz="24" w:space="0" w:color="auto"/>
            </w:tcBorders>
            <w:vAlign w:val="center"/>
          </w:tcPr>
          <w:p w14:paraId="56A02B25" w14:textId="3D01259C"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42.756.661</w:t>
            </w:r>
          </w:p>
        </w:tc>
        <w:tc>
          <w:tcPr>
            <w:tcW w:w="584" w:type="pct"/>
            <w:tcBorders>
              <w:top w:val="nil"/>
              <w:bottom w:val="thickThinSmallGap" w:sz="24" w:space="0" w:color="auto"/>
            </w:tcBorders>
            <w:vAlign w:val="center"/>
          </w:tcPr>
          <w:p w14:paraId="59A40747" w14:textId="32B1E007"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3.542.163</w:t>
            </w:r>
          </w:p>
        </w:tc>
        <w:tc>
          <w:tcPr>
            <w:tcW w:w="577" w:type="pct"/>
            <w:tcBorders>
              <w:top w:val="nil"/>
              <w:bottom w:val="thickThinSmallGap" w:sz="24" w:space="0" w:color="auto"/>
            </w:tcBorders>
            <w:vAlign w:val="bottom"/>
          </w:tcPr>
          <w:p w14:paraId="04B80AA9" w14:textId="3E6EF99F" w:rsidR="00715500" w:rsidRPr="00FB38E1" w:rsidRDefault="00715500" w:rsidP="00715500">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b/>
                <w:bCs/>
                <w:color w:val="000000"/>
                <w:sz w:val="16"/>
                <w:szCs w:val="16"/>
              </w:rPr>
              <w:t>82.052.993</w:t>
            </w:r>
          </w:p>
        </w:tc>
      </w:tr>
    </w:tbl>
    <w:p w14:paraId="2554EFD8" w14:textId="5AE3C189" w:rsidR="000165C5" w:rsidRPr="00FB38E1" w:rsidRDefault="000165C5" w:rsidP="00DD4B14">
      <w:pPr>
        <w:pStyle w:val="BodyTextIndent"/>
        <w:tabs>
          <w:tab w:val="left" w:pos="284"/>
          <w:tab w:val="left" w:pos="426"/>
        </w:tabs>
        <w:spacing w:before="60" w:after="0"/>
        <w:ind w:left="0"/>
        <w:rPr>
          <w:rFonts w:ascii="Microsoft Sans Serif" w:hAnsi="Microsoft Sans Serif" w:cs="Microsoft Sans Serif"/>
          <w:color w:val="404040" w:themeColor="text1" w:themeTint="BF"/>
          <w:sz w:val="6"/>
          <w:szCs w:val="16"/>
        </w:rPr>
      </w:pPr>
    </w:p>
    <w:p w14:paraId="5B0A48B5" w14:textId="13DA4BC8" w:rsidR="00BC4158" w:rsidRPr="00FB38E1" w:rsidRDefault="00BC4158" w:rsidP="00DD4B14">
      <w:pPr>
        <w:pStyle w:val="BodyTextIndent"/>
        <w:tabs>
          <w:tab w:val="left" w:pos="284"/>
        </w:tabs>
        <w:spacing w:after="0"/>
        <w:ind w:left="426" w:hanging="426"/>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r w:rsidRPr="00FB38E1">
        <w:rPr>
          <w:rFonts w:ascii="Microsoft Sans Serif" w:hAnsi="Microsoft Sans Serif" w:cs="Microsoft Sans Serif"/>
          <w:color w:val="404040" w:themeColor="text1" w:themeTint="BF"/>
          <w:sz w:val="16"/>
          <w:szCs w:val="16"/>
        </w:rPr>
        <w:tab/>
        <w:t>:</w:t>
      </w:r>
      <w:r w:rsidRPr="00FB38E1">
        <w:rPr>
          <w:rFonts w:ascii="Microsoft Sans Serif" w:hAnsi="Microsoft Sans Serif" w:cs="Microsoft Sans Serif"/>
          <w:color w:val="404040" w:themeColor="text1" w:themeTint="BF"/>
          <w:sz w:val="16"/>
          <w:szCs w:val="16"/>
        </w:rPr>
        <w:tab/>
      </w:r>
      <w:r w:rsidR="00C35D32" w:rsidRPr="00FB38E1">
        <w:rPr>
          <w:rFonts w:ascii="Microsoft Sans Serif" w:hAnsi="Microsoft Sans Serif" w:cs="Microsoft Sans Serif"/>
          <w:color w:val="404040" w:themeColor="text1" w:themeTint="BF"/>
          <w:sz w:val="16"/>
          <w:szCs w:val="16"/>
        </w:rPr>
        <w:t>7</w:t>
      </w:r>
      <w:r w:rsidR="00213077" w:rsidRPr="00FB38E1">
        <w:rPr>
          <w:rFonts w:ascii="Microsoft Sans Serif" w:hAnsi="Microsoft Sans Serif" w:cs="Microsoft Sans Serif"/>
          <w:color w:val="404040" w:themeColor="text1" w:themeTint="BF"/>
          <w:sz w:val="16"/>
          <w:szCs w:val="16"/>
        </w:rPr>
        <w:t>.</w:t>
      </w:r>
      <w:r w:rsidR="00C35D32" w:rsidRPr="00FB38E1">
        <w:rPr>
          <w:rFonts w:ascii="Microsoft Sans Serif" w:hAnsi="Microsoft Sans Serif" w:cs="Microsoft Sans Serif"/>
          <w:color w:val="404040" w:themeColor="text1" w:themeTint="BF"/>
          <w:sz w:val="16"/>
          <w:szCs w:val="16"/>
        </w:rPr>
        <w:t>182</w:t>
      </w:r>
      <w:r w:rsidR="00213077" w:rsidRPr="00FB38E1">
        <w:rPr>
          <w:rFonts w:ascii="Microsoft Sans Serif" w:hAnsi="Microsoft Sans Serif" w:cs="Microsoft Sans Serif"/>
          <w:color w:val="404040" w:themeColor="text1" w:themeTint="BF"/>
          <w:sz w:val="16"/>
          <w:szCs w:val="16"/>
        </w:rPr>
        <w:t>.</w:t>
      </w:r>
      <w:r w:rsidR="00C35D32" w:rsidRPr="00FB38E1">
        <w:rPr>
          <w:rFonts w:ascii="Microsoft Sans Serif" w:hAnsi="Microsoft Sans Serif" w:cs="Microsoft Sans Serif"/>
          <w:color w:val="404040" w:themeColor="text1" w:themeTint="BF"/>
          <w:sz w:val="16"/>
          <w:szCs w:val="16"/>
        </w:rPr>
        <w:t>922</w:t>
      </w:r>
      <w:r w:rsidRPr="00FB38E1">
        <w:rPr>
          <w:rFonts w:ascii="Microsoft Sans Serif" w:hAnsi="Microsoft Sans Serif" w:cs="Microsoft Sans Serif"/>
          <w:color w:val="404040" w:themeColor="text1" w:themeTint="BF"/>
          <w:sz w:val="16"/>
          <w:szCs w:val="16"/>
        </w:rPr>
        <w:t xml:space="preserve"> TL tutarındaki türev finansal varlıklara ait kur farkları dahil edilmemiştir.</w:t>
      </w:r>
    </w:p>
    <w:p w14:paraId="468203E4" w14:textId="63ECB74A" w:rsidR="000165C5" w:rsidRPr="00FB38E1" w:rsidRDefault="00ED0C63" w:rsidP="00DD4B14">
      <w:pPr>
        <w:pStyle w:val="BodyTextIndent"/>
        <w:tabs>
          <w:tab w:val="left" w:pos="284"/>
        </w:tabs>
        <w:spacing w:after="0"/>
        <w:ind w:left="426" w:hanging="426"/>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r w:rsidR="00BC4158" w:rsidRPr="00FB38E1">
        <w:rPr>
          <w:rFonts w:ascii="Microsoft Sans Serif" w:hAnsi="Microsoft Sans Serif" w:cs="Microsoft Sans Serif"/>
          <w:color w:val="404040" w:themeColor="text1" w:themeTint="BF"/>
          <w:sz w:val="16"/>
          <w:szCs w:val="16"/>
        </w:rPr>
        <w:t>2</w:t>
      </w:r>
      <w:r w:rsidRPr="00FB38E1">
        <w:rPr>
          <w:rFonts w:ascii="Microsoft Sans Serif" w:hAnsi="Microsoft Sans Serif" w:cs="Microsoft Sans Serif"/>
          <w:color w:val="404040" w:themeColor="text1" w:themeTint="BF"/>
          <w:sz w:val="16"/>
          <w:szCs w:val="16"/>
        </w:rPr>
        <w:t>)</w:t>
      </w:r>
      <w:r w:rsidRPr="00FB38E1">
        <w:rPr>
          <w:rFonts w:ascii="Microsoft Sans Serif" w:hAnsi="Microsoft Sans Serif" w:cs="Microsoft Sans Serif"/>
          <w:color w:val="404040" w:themeColor="text1" w:themeTint="BF"/>
          <w:sz w:val="16"/>
          <w:szCs w:val="16"/>
        </w:rPr>
        <w:tab/>
      </w:r>
      <w:r w:rsidR="000165C5" w:rsidRPr="00FB38E1">
        <w:rPr>
          <w:rFonts w:ascii="Microsoft Sans Serif" w:hAnsi="Microsoft Sans Serif" w:cs="Microsoft Sans Serif"/>
          <w:color w:val="404040" w:themeColor="text1" w:themeTint="BF"/>
          <w:sz w:val="16"/>
          <w:szCs w:val="16"/>
        </w:rPr>
        <w:t>:</w:t>
      </w:r>
      <w:r w:rsidR="000165C5" w:rsidRPr="00FB38E1">
        <w:rPr>
          <w:rFonts w:ascii="Microsoft Sans Serif" w:hAnsi="Microsoft Sans Serif" w:cs="Microsoft Sans Serif"/>
          <w:color w:val="404040" w:themeColor="text1" w:themeTint="BF"/>
          <w:sz w:val="16"/>
          <w:szCs w:val="16"/>
        </w:rPr>
        <w:tab/>
      </w:r>
      <w:r w:rsidR="000B442A" w:rsidRPr="00FB38E1">
        <w:rPr>
          <w:rFonts w:ascii="Microsoft Sans Serif" w:hAnsi="Microsoft Sans Serif" w:cs="Microsoft Sans Serif"/>
          <w:color w:val="404040" w:themeColor="text1" w:themeTint="BF"/>
          <w:sz w:val="16"/>
          <w:szCs w:val="16"/>
        </w:rPr>
        <w:t>325</w:t>
      </w:r>
      <w:r w:rsidR="00213077" w:rsidRPr="00FB38E1">
        <w:rPr>
          <w:rFonts w:ascii="Microsoft Sans Serif" w:hAnsi="Microsoft Sans Serif" w:cs="Microsoft Sans Serif"/>
          <w:color w:val="404040" w:themeColor="text1" w:themeTint="BF"/>
          <w:sz w:val="16"/>
          <w:szCs w:val="16"/>
        </w:rPr>
        <w:t>.</w:t>
      </w:r>
      <w:r w:rsidR="000B442A" w:rsidRPr="00FB38E1">
        <w:rPr>
          <w:rFonts w:ascii="Microsoft Sans Serif" w:hAnsi="Microsoft Sans Serif" w:cs="Microsoft Sans Serif"/>
          <w:color w:val="404040" w:themeColor="text1" w:themeTint="BF"/>
          <w:sz w:val="16"/>
          <w:szCs w:val="16"/>
        </w:rPr>
        <w:t>483</w:t>
      </w:r>
      <w:r w:rsidR="000165C5" w:rsidRPr="00FB38E1">
        <w:rPr>
          <w:rFonts w:ascii="Microsoft Sans Serif" w:hAnsi="Microsoft Sans Serif" w:cs="Microsoft Sans Serif"/>
          <w:color w:val="404040" w:themeColor="text1" w:themeTint="BF"/>
          <w:sz w:val="16"/>
          <w:szCs w:val="16"/>
        </w:rPr>
        <w:t xml:space="preserve"> TL tutarında dövize endeksli krediler dahil edilmiştir</w:t>
      </w:r>
      <w:r w:rsidR="00BC4158" w:rsidRPr="00FB38E1">
        <w:rPr>
          <w:rFonts w:ascii="Microsoft Sans Serif" w:hAnsi="Microsoft Sans Serif" w:cs="Microsoft Sans Serif"/>
          <w:color w:val="404040" w:themeColor="text1" w:themeTint="BF"/>
          <w:sz w:val="16"/>
          <w:szCs w:val="16"/>
        </w:rPr>
        <w:t>.</w:t>
      </w:r>
    </w:p>
    <w:p w14:paraId="04DC142E" w14:textId="11DE5F3F" w:rsidR="000165C5" w:rsidRPr="00FB38E1" w:rsidRDefault="000165C5" w:rsidP="00DD4B14">
      <w:pPr>
        <w:pStyle w:val="BodyTextIndent"/>
        <w:tabs>
          <w:tab w:val="left" w:pos="284"/>
          <w:tab w:val="left" w:pos="426"/>
        </w:tabs>
        <w:spacing w:after="0"/>
        <w:ind w:left="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r w:rsidR="00BC4158" w:rsidRPr="00FB38E1">
        <w:rPr>
          <w:rFonts w:ascii="Microsoft Sans Serif" w:hAnsi="Microsoft Sans Serif" w:cs="Microsoft Sans Serif"/>
          <w:color w:val="404040" w:themeColor="text1" w:themeTint="BF"/>
          <w:sz w:val="16"/>
          <w:szCs w:val="16"/>
        </w:rPr>
        <w:t>3</w:t>
      </w:r>
      <w:r w:rsidRPr="00FB38E1">
        <w:rPr>
          <w:rFonts w:ascii="Microsoft Sans Serif" w:hAnsi="Microsoft Sans Serif" w:cs="Microsoft Sans Serif"/>
          <w:color w:val="404040" w:themeColor="text1" w:themeTint="BF"/>
          <w:sz w:val="16"/>
          <w:szCs w:val="16"/>
        </w:rPr>
        <w:t>)</w:t>
      </w:r>
      <w:r w:rsidRPr="00FB38E1">
        <w:rPr>
          <w:rFonts w:ascii="Microsoft Sans Serif" w:hAnsi="Microsoft Sans Serif" w:cs="Microsoft Sans Serif"/>
          <w:color w:val="404040" w:themeColor="text1" w:themeTint="BF"/>
          <w:sz w:val="16"/>
          <w:szCs w:val="16"/>
        </w:rPr>
        <w:tab/>
        <w:t>:</w:t>
      </w:r>
      <w:r w:rsidRPr="00FB38E1">
        <w:rPr>
          <w:rFonts w:ascii="Microsoft Sans Serif" w:hAnsi="Microsoft Sans Serif" w:cs="Microsoft Sans Serif"/>
          <w:color w:val="404040" w:themeColor="text1" w:themeTint="BF"/>
          <w:sz w:val="16"/>
          <w:szCs w:val="16"/>
        </w:rPr>
        <w:tab/>
      </w:r>
      <w:r w:rsidR="009A398A" w:rsidRPr="00FB38E1">
        <w:rPr>
          <w:rFonts w:ascii="Microsoft Sans Serif" w:hAnsi="Microsoft Sans Serif" w:cs="Microsoft Sans Serif"/>
          <w:color w:val="404040" w:themeColor="text1" w:themeTint="BF"/>
          <w:sz w:val="16"/>
          <w:szCs w:val="16"/>
        </w:rPr>
        <w:t>531</w:t>
      </w:r>
      <w:r w:rsidR="00213077" w:rsidRPr="00FB38E1">
        <w:rPr>
          <w:rFonts w:ascii="Microsoft Sans Serif" w:hAnsi="Microsoft Sans Serif" w:cs="Microsoft Sans Serif"/>
          <w:color w:val="404040" w:themeColor="text1" w:themeTint="BF"/>
          <w:sz w:val="16"/>
          <w:szCs w:val="16"/>
        </w:rPr>
        <w:t>.</w:t>
      </w:r>
      <w:r w:rsidR="009A398A" w:rsidRPr="00FB38E1">
        <w:rPr>
          <w:rFonts w:ascii="Microsoft Sans Serif" w:hAnsi="Microsoft Sans Serif" w:cs="Microsoft Sans Serif"/>
          <w:color w:val="404040" w:themeColor="text1" w:themeTint="BF"/>
          <w:sz w:val="16"/>
          <w:szCs w:val="16"/>
        </w:rPr>
        <w:t>456</w:t>
      </w:r>
      <w:r w:rsidR="0043552D" w:rsidRPr="00FB38E1">
        <w:rPr>
          <w:rFonts w:ascii="Microsoft Sans Serif" w:hAnsi="Microsoft Sans Serif" w:cs="Microsoft Sans Serif"/>
          <w:color w:val="404040" w:themeColor="text1" w:themeTint="BF"/>
          <w:sz w:val="16"/>
          <w:szCs w:val="16"/>
        </w:rPr>
        <w:t xml:space="preserve"> TL tutarında peşin ödenmiş giderler dahil edilmemiştir</w:t>
      </w:r>
      <w:r w:rsidR="00A479F4" w:rsidRPr="00FB38E1">
        <w:rPr>
          <w:rFonts w:ascii="Microsoft Sans Serif" w:hAnsi="Microsoft Sans Serif" w:cs="Microsoft Sans Serif"/>
          <w:color w:val="404040" w:themeColor="text1" w:themeTint="BF"/>
          <w:sz w:val="16"/>
          <w:szCs w:val="16"/>
        </w:rPr>
        <w:t>.</w:t>
      </w:r>
    </w:p>
    <w:p w14:paraId="09FECDBB" w14:textId="065E9162" w:rsidR="000165C5" w:rsidRPr="00FB38E1" w:rsidRDefault="000165C5" w:rsidP="00DD4B14">
      <w:pPr>
        <w:pStyle w:val="BodyTextIndent"/>
        <w:tabs>
          <w:tab w:val="left" w:pos="284"/>
          <w:tab w:val="left" w:pos="426"/>
        </w:tabs>
        <w:spacing w:after="0"/>
        <w:ind w:left="425" w:hanging="425"/>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r w:rsidR="00BC4158" w:rsidRPr="00FB38E1">
        <w:rPr>
          <w:rFonts w:ascii="Microsoft Sans Serif" w:hAnsi="Microsoft Sans Serif" w:cs="Microsoft Sans Serif"/>
          <w:color w:val="404040" w:themeColor="text1" w:themeTint="BF"/>
          <w:sz w:val="16"/>
          <w:szCs w:val="16"/>
        </w:rPr>
        <w:t>4</w:t>
      </w:r>
      <w:r w:rsidRPr="00FB38E1">
        <w:rPr>
          <w:rFonts w:ascii="Microsoft Sans Serif" w:hAnsi="Microsoft Sans Serif" w:cs="Microsoft Sans Serif"/>
          <w:color w:val="404040" w:themeColor="text1" w:themeTint="BF"/>
          <w:sz w:val="16"/>
          <w:szCs w:val="16"/>
        </w:rPr>
        <w:t>)</w:t>
      </w:r>
      <w:r w:rsidRPr="00FB38E1">
        <w:rPr>
          <w:rFonts w:ascii="Microsoft Sans Serif" w:hAnsi="Microsoft Sans Serif" w:cs="Microsoft Sans Serif"/>
          <w:color w:val="404040" w:themeColor="text1" w:themeTint="BF"/>
          <w:sz w:val="16"/>
          <w:szCs w:val="16"/>
        </w:rPr>
        <w:tab/>
        <w:t>:</w:t>
      </w:r>
      <w:r w:rsidRPr="00FB38E1">
        <w:rPr>
          <w:rFonts w:ascii="Microsoft Sans Serif" w:hAnsi="Microsoft Sans Serif" w:cs="Microsoft Sans Serif"/>
          <w:color w:val="404040" w:themeColor="text1" w:themeTint="BF"/>
          <w:sz w:val="16"/>
          <w:szCs w:val="16"/>
        </w:rPr>
        <w:tab/>
      </w:r>
      <w:r w:rsidR="0043552D" w:rsidRPr="00FB38E1">
        <w:rPr>
          <w:rFonts w:ascii="Microsoft Sans Serif" w:hAnsi="Microsoft Sans Serif" w:cs="Microsoft Sans Serif"/>
          <w:color w:val="404040" w:themeColor="text1" w:themeTint="BF"/>
          <w:sz w:val="16"/>
          <w:szCs w:val="16"/>
        </w:rPr>
        <w:t xml:space="preserve">Toplam varlıklar içerisinde </w:t>
      </w:r>
      <w:r w:rsidR="00A479F4" w:rsidRPr="00FB38E1">
        <w:rPr>
          <w:rFonts w:ascii="Microsoft Sans Serif" w:hAnsi="Microsoft Sans Serif" w:cs="Microsoft Sans Serif"/>
          <w:color w:val="404040" w:themeColor="text1" w:themeTint="BF"/>
          <w:sz w:val="16"/>
          <w:szCs w:val="16"/>
        </w:rPr>
        <w:t>14.267.625</w:t>
      </w:r>
      <w:r w:rsidR="0043552D" w:rsidRPr="00FB38E1">
        <w:rPr>
          <w:rFonts w:ascii="Microsoft Sans Serif" w:hAnsi="Microsoft Sans Serif" w:cs="Microsoft Sans Serif"/>
          <w:color w:val="404040" w:themeColor="text1" w:themeTint="BF"/>
          <w:sz w:val="16"/>
          <w:szCs w:val="16"/>
        </w:rPr>
        <w:t xml:space="preserve"> TL tutarında, toplam yükümlülüklerin içerisinde ise </w:t>
      </w:r>
      <w:r w:rsidR="00A479F4" w:rsidRPr="00FB38E1">
        <w:rPr>
          <w:rFonts w:ascii="Microsoft Sans Serif" w:hAnsi="Microsoft Sans Serif" w:cs="Microsoft Sans Serif"/>
          <w:color w:val="404040" w:themeColor="text1" w:themeTint="BF"/>
          <w:sz w:val="16"/>
          <w:szCs w:val="16"/>
        </w:rPr>
        <w:t>28.282.819</w:t>
      </w:r>
      <w:r w:rsidR="0043552D" w:rsidRPr="00FB38E1">
        <w:rPr>
          <w:rFonts w:ascii="Microsoft Sans Serif" w:hAnsi="Microsoft Sans Serif" w:cs="Microsoft Sans Serif"/>
          <w:color w:val="404040" w:themeColor="text1" w:themeTint="BF"/>
          <w:sz w:val="16"/>
          <w:szCs w:val="16"/>
        </w:rPr>
        <w:t xml:space="preserve"> TL tutarında altın bakiyeleri mevcuttur</w:t>
      </w:r>
      <w:r w:rsidRPr="00FB38E1">
        <w:rPr>
          <w:rFonts w:ascii="Microsoft Sans Serif" w:hAnsi="Microsoft Sans Serif" w:cs="Microsoft Sans Serif"/>
          <w:color w:val="404040" w:themeColor="text1" w:themeTint="BF"/>
          <w:sz w:val="16"/>
          <w:szCs w:val="16"/>
        </w:rPr>
        <w:t>.</w:t>
      </w:r>
    </w:p>
    <w:p w14:paraId="0F272813" w14:textId="034F9478" w:rsidR="000165C5" w:rsidRPr="00FB38E1" w:rsidRDefault="000165C5" w:rsidP="00DD4B14">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r w:rsidR="00BC4158" w:rsidRPr="00FB38E1">
        <w:rPr>
          <w:rFonts w:ascii="Microsoft Sans Serif" w:hAnsi="Microsoft Sans Serif" w:cs="Microsoft Sans Serif"/>
          <w:color w:val="404040" w:themeColor="text1" w:themeTint="BF"/>
          <w:sz w:val="16"/>
          <w:szCs w:val="16"/>
        </w:rPr>
        <w:t>5</w:t>
      </w:r>
      <w:r w:rsidRPr="00FB38E1">
        <w:rPr>
          <w:rFonts w:ascii="Microsoft Sans Serif" w:hAnsi="Microsoft Sans Serif" w:cs="Microsoft Sans Serif"/>
          <w:color w:val="404040" w:themeColor="text1" w:themeTint="BF"/>
          <w:sz w:val="16"/>
          <w:szCs w:val="16"/>
        </w:rPr>
        <w:t>)</w:t>
      </w:r>
      <w:r w:rsidRPr="00FB38E1">
        <w:rPr>
          <w:rFonts w:ascii="Microsoft Sans Serif" w:hAnsi="Microsoft Sans Serif" w:cs="Microsoft Sans Serif"/>
          <w:color w:val="404040" w:themeColor="text1" w:themeTint="BF"/>
          <w:sz w:val="16"/>
          <w:szCs w:val="16"/>
        </w:rPr>
        <w:tab/>
        <w:t>:</w:t>
      </w:r>
      <w:r w:rsidRPr="00FB38E1">
        <w:rPr>
          <w:rFonts w:ascii="Microsoft Sans Serif" w:hAnsi="Microsoft Sans Serif" w:cs="Microsoft Sans Serif"/>
          <w:color w:val="404040" w:themeColor="text1" w:themeTint="BF"/>
          <w:sz w:val="16"/>
          <w:szCs w:val="16"/>
        </w:rPr>
        <w:tab/>
      </w:r>
      <w:r w:rsidR="00A479F4" w:rsidRPr="00FB38E1">
        <w:rPr>
          <w:rFonts w:ascii="Microsoft Sans Serif" w:hAnsi="Microsoft Sans Serif" w:cs="Microsoft Sans Serif"/>
          <w:color w:val="404040" w:themeColor="text1" w:themeTint="BF"/>
          <w:sz w:val="16"/>
          <w:szCs w:val="16"/>
        </w:rPr>
        <w:t>(</w:t>
      </w:r>
      <w:r w:rsidR="00E810B6" w:rsidRPr="00FB38E1">
        <w:rPr>
          <w:rFonts w:ascii="Microsoft Sans Serif" w:hAnsi="Microsoft Sans Serif" w:cs="Microsoft Sans Serif"/>
          <w:color w:val="404040" w:themeColor="text1" w:themeTint="BF"/>
          <w:sz w:val="16"/>
          <w:szCs w:val="16"/>
        </w:rPr>
        <w:t>373.552</w:t>
      </w:r>
      <w:r w:rsidR="00A479F4" w:rsidRPr="00FB38E1">
        <w:rPr>
          <w:rFonts w:ascii="Microsoft Sans Serif" w:hAnsi="Microsoft Sans Serif" w:cs="Microsoft Sans Serif"/>
          <w:color w:val="404040" w:themeColor="text1" w:themeTint="BF"/>
          <w:sz w:val="16"/>
          <w:szCs w:val="16"/>
        </w:rPr>
        <w:t>)</w:t>
      </w:r>
      <w:r w:rsidR="0043552D" w:rsidRPr="00FB38E1">
        <w:rPr>
          <w:rFonts w:ascii="Microsoft Sans Serif" w:hAnsi="Microsoft Sans Serif" w:cs="Microsoft Sans Serif"/>
          <w:color w:val="404040" w:themeColor="text1" w:themeTint="BF"/>
          <w:sz w:val="16"/>
          <w:szCs w:val="16"/>
        </w:rPr>
        <w:t xml:space="preserve"> TL tutarında YP özkaynaklar</w:t>
      </w:r>
      <w:r w:rsidR="00AB5B84" w:rsidRPr="00FB38E1">
        <w:rPr>
          <w:rFonts w:ascii="Microsoft Sans Serif" w:hAnsi="Microsoft Sans Serif" w:cs="Microsoft Sans Serif"/>
          <w:color w:val="404040" w:themeColor="text1" w:themeTint="BF"/>
          <w:sz w:val="16"/>
          <w:szCs w:val="16"/>
        </w:rPr>
        <w:t>,</w:t>
      </w:r>
      <w:r w:rsidR="0043552D" w:rsidRPr="00FB38E1">
        <w:rPr>
          <w:rFonts w:ascii="Microsoft Sans Serif" w:hAnsi="Microsoft Sans Serif" w:cs="Microsoft Sans Serif"/>
          <w:color w:val="404040" w:themeColor="text1" w:themeTint="BF"/>
          <w:sz w:val="16"/>
          <w:szCs w:val="16"/>
        </w:rPr>
        <w:t xml:space="preserve"> </w:t>
      </w:r>
      <w:r w:rsidR="00ED3B85" w:rsidRPr="00FB38E1">
        <w:rPr>
          <w:rFonts w:ascii="Microsoft Sans Serif" w:hAnsi="Microsoft Sans Serif" w:cs="Microsoft Sans Serif"/>
          <w:color w:val="404040" w:themeColor="text1" w:themeTint="BF"/>
          <w:sz w:val="16"/>
          <w:szCs w:val="16"/>
        </w:rPr>
        <w:t>4.234.734</w:t>
      </w:r>
      <w:r w:rsidR="001964FF" w:rsidRPr="00FB38E1">
        <w:rPr>
          <w:rFonts w:ascii="Microsoft Sans Serif" w:hAnsi="Microsoft Sans Serif" w:cs="Microsoft Sans Serif"/>
          <w:color w:val="404040" w:themeColor="text1" w:themeTint="BF"/>
          <w:sz w:val="16"/>
          <w:szCs w:val="16"/>
        </w:rPr>
        <w:t xml:space="preserve"> </w:t>
      </w:r>
      <w:r w:rsidR="0043552D" w:rsidRPr="00FB38E1">
        <w:rPr>
          <w:rFonts w:ascii="Microsoft Sans Serif" w:hAnsi="Microsoft Sans Serif" w:cs="Microsoft Sans Serif"/>
          <w:color w:val="404040" w:themeColor="text1" w:themeTint="BF"/>
          <w:sz w:val="16"/>
          <w:szCs w:val="16"/>
        </w:rPr>
        <w:t>TL tutarında türev finansal borçlara ait kur farkları</w:t>
      </w:r>
      <w:r w:rsidR="00C75811" w:rsidRPr="00FB38E1">
        <w:rPr>
          <w:rFonts w:ascii="Microsoft Sans Serif" w:hAnsi="Microsoft Sans Serif" w:cs="Microsoft Sans Serif"/>
          <w:color w:val="404040" w:themeColor="text1" w:themeTint="BF"/>
          <w:sz w:val="16"/>
          <w:szCs w:val="16"/>
        </w:rPr>
        <w:t xml:space="preserve"> </w:t>
      </w:r>
      <w:r w:rsidR="0043552D" w:rsidRPr="00FB38E1">
        <w:rPr>
          <w:rFonts w:ascii="Microsoft Sans Serif" w:hAnsi="Microsoft Sans Serif" w:cs="Microsoft Sans Serif"/>
          <w:color w:val="404040" w:themeColor="text1" w:themeTint="BF"/>
          <w:sz w:val="16"/>
          <w:szCs w:val="16"/>
        </w:rPr>
        <w:t>dahil edilmemiştir</w:t>
      </w:r>
      <w:r w:rsidRPr="00FB38E1">
        <w:rPr>
          <w:rFonts w:ascii="Microsoft Sans Serif" w:hAnsi="Microsoft Sans Serif" w:cs="Microsoft Sans Serif"/>
          <w:color w:val="404040" w:themeColor="text1" w:themeTint="BF"/>
          <w:sz w:val="16"/>
          <w:szCs w:val="16"/>
        </w:rPr>
        <w:t>.</w:t>
      </w:r>
      <w:r w:rsidR="00AA3491" w:rsidRPr="00FB38E1">
        <w:rPr>
          <w:rFonts w:ascii="Microsoft Sans Serif" w:hAnsi="Microsoft Sans Serif" w:cs="Microsoft Sans Serif"/>
          <w:color w:val="404040" w:themeColor="text1" w:themeTint="BF"/>
          <w:sz w:val="16"/>
          <w:szCs w:val="16"/>
        </w:rPr>
        <w:t xml:space="preserve"> Durdurulan faaliyetlere ilişkin </w:t>
      </w:r>
      <w:r w:rsidR="003A7E05" w:rsidRPr="00FB38E1">
        <w:rPr>
          <w:rFonts w:ascii="Microsoft Sans Serif" w:hAnsi="Microsoft Sans Serif" w:cs="Microsoft Sans Serif"/>
          <w:color w:val="404040" w:themeColor="text1" w:themeTint="BF"/>
          <w:sz w:val="16"/>
          <w:szCs w:val="16"/>
        </w:rPr>
        <w:t>duran varlık</w:t>
      </w:r>
      <w:r w:rsidR="00AA3491" w:rsidRPr="00FB38E1">
        <w:rPr>
          <w:rFonts w:ascii="Microsoft Sans Serif" w:hAnsi="Microsoft Sans Serif" w:cs="Microsoft Sans Serif"/>
          <w:color w:val="404040" w:themeColor="text1" w:themeTint="BF"/>
          <w:sz w:val="16"/>
          <w:szCs w:val="16"/>
        </w:rPr>
        <w:t xml:space="preserve"> borçlarını da içermektedir.</w:t>
      </w:r>
    </w:p>
    <w:p w14:paraId="1EFFA317" w14:textId="53AC1297" w:rsidR="00F45BEE" w:rsidRPr="00FB38E1" w:rsidRDefault="000165C5" w:rsidP="004C4799">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r w:rsidR="00BC4158" w:rsidRPr="00FB38E1">
        <w:rPr>
          <w:rFonts w:ascii="Microsoft Sans Serif" w:hAnsi="Microsoft Sans Serif" w:cs="Microsoft Sans Serif"/>
          <w:color w:val="404040" w:themeColor="text1" w:themeTint="BF"/>
          <w:sz w:val="16"/>
          <w:szCs w:val="16"/>
        </w:rPr>
        <w:t>6</w:t>
      </w:r>
      <w:r w:rsidRPr="00FB38E1">
        <w:rPr>
          <w:rFonts w:ascii="Microsoft Sans Serif" w:hAnsi="Microsoft Sans Serif" w:cs="Microsoft Sans Serif"/>
          <w:color w:val="404040" w:themeColor="text1" w:themeTint="BF"/>
          <w:sz w:val="16"/>
          <w:szCs w:val="16"/>
        </w:rPr>
        <w:t>)</w:t>
      </w:r>
      <w:r w:rsidRPr="00FB38E1">
        <w:rPr>
          <w:rFonts w:ascii="Microsoft Sans Serif" w:hAnsi="Microsoft Sans Serif" w:cs="Microsoft Sans Serif"/>
          <w:color w:val="404040" w:themeColor="text1" w:themeTint="BF"/>
          <w:sz w:val="16"/>
          <w:szCs w:val="16"/>
        </w:rPr>
        <w:tab/>
        <w:t>:</w:t>
      </w:r>
      <w:r w:rsidRPr="00FB38E1">
        <w:rPr>
          <w:rFonts w:ascii="Microsoft Sans Serif" w:hAnsi="Microsoft Sans Serif" w:cs="Microsoft Sans Serif"/>
          <w:color w:val="404040" w:themeColor="text1" w:themeTint="BF"/>
          <w:sz w:val="16"/>
          <w:szCs w:val="16"/>
        </w:rPr>
        <w:tab/>
      </w:r>
      <w:r w:rsidR="0043552D" w:rsidRPr="00FB38E1">
        <w:rPr>
          <w:rFonts w:ascii="Microsoft Sans Serif" w:hAnsi="Microsoft Sans Serif" w:cs="Microsoft Sans Serif"/>
          <w:color w:val="404040" w:themeColor="text1" w:themeTint="BF"/>
          <w:sz w:val="16"/>
          <w:szCs w:val="16"/>
        </w:rPr>
        <w:t>Türev finansal araçlardan alacaklar ile türev finansal araçlardan borçların netini göstermektedir. Finansal tablolarda “Vadeli aktif değer alım taahhütleri” kalemi altında gösterilen spot döviz alım/satım işlemleri “Net nazım hesap pozisyonu”na dahil edilmiştir</w:t>
      </w:r>
      <w:r w:rsidRPr="00FB38E1">
        <w:rPr>
          <w:rFonts w:ascii="Microsoft Sans Serif" w:hAnsi="Microsoft Sans Serif" w:cs="Microsoft Sans Serif"/>
          <w:color w:val="404040" w:themeColor="text1" w:themeTint="BF"/>
          <w:sz w:val="16"/>
          <w:szCs w:val="16"/>
        </w:rPr>
        <w:t>.</w:t>
      </w:r>
    </w:p>
    <w:p w14:paraId="7B2ACDE4" w14:textId="77777777" w:rsidR="004C4799" w:rsidRPr="00FB38E1" w:rsidRDefault="004C4799" w:rsidP="004C4799">
      <w:pPr>
        <w:numPr>
          <w:ilvl w:val="0"/>
          <w:numId w:val="13"/>
        </w:numPr>
        <w:spacing w:before="240" w:after="120" w:line="240" w:lineRule="exact"/>
        <w:ind w:left="0" w:hanging="567"/>
        <w:rPr>
          <w:rFonts w:ascii="Microsoft Sans Serif" w:eastAsia="Times New Roman" w:hAnsi="Microsoft Sans Serif" w:cs="Microsoft Sans Serif"/>
          <w:b/>
          <w:bCs/>
          <w:sz w:val="20"/>
          <w:szCs w:val="20"/>
        </w:rPr>
      </w:pPr>
      <w:r w:rsidRPr="00FB38E1">
        <w:rPr>
          <w:rFonts w:ascii="Microsoft Sans Serif" w:eastAsia="Times New Roman" w:hAnsi="Microsoft Sans Serif" w:cs="Microsoft Sans Serif"/>
          <w:b/>
          <w:bCs/>
          <w:sz w:val="20"/>
          <w:szCs w:val="20"/>
        </w:rPr>
        <w:t>Maruz kalınan kur riskine ilişkin bilgiler</w:t>
      </w:r>
    </w:p>
    <w:p w14:paraId="3429A096" w14:textId="24F0B294" w:rsidR="004C4799" w:rsidRPr="00FB38E1" w:rsidRDefault="004C4799" w:rsidP="004C4799">
      <w:pPr>
        <w:spacing w:before="120" w:after="120" w:line="220" w:lineRule="exact"/>
        <w:rPr>
          <w:rFonts w:ascii="Microsoft Sans Serif" w:eastAsia="Times New Roman" w:hAnsi="Microsoft Sans Serif" w:cs="Microsoft Sans Serif"/>
          <w:color w:val="404040" w:themeColor="text1" w:themeTint="BF"/>
          <w:sz w:val="20"/>
          <w:szCs w:val="20"/>
          <w:lang w:eastAsia="tr-TR"/>
        </w:rPr>
      </w:pPr>
      <w:r w:rsidRPr="00FB38E1">
        <w:rPr>
          <w:rFonts w:ascii="Microsoft Sans Serif" w:eastAsia="Times New Roman" w:hAnsi="Microsoft Sans Serif" w:cs="Microsoft Sans Serif"/>
          <w:color w:val="404040" w:themeColor="text1" w:themeTint="BF"/>
          <w:sz w:val="20"/>
          <w:szCs w:val="20"/>
          <w:lang w:eastAsia="tr-TR"/>
        </w:rPr>
        <w:t>TL’nin aşağıdaki para birimleri karşısında yüzde 10 değer kaybına uğradığı t</w:t>
      </w:r>
      <w:r w:rsidR="007B2A90" w:rsidRPr="00FB38E1">
        <w:rPr>
          <w:rFonts w:ascii="Microsoft Sans Serif" w:eastAsia="Times New Roman" w:hAnsi="Microsoft Sans Serif" w:cs="Microsoft Sans Serif"/>
          <w:color w:val="404040" w:themeColor="text1" w:themeTint="BF"/>
          <w:sz w:val="20"/>
          <w:szCs w:val="20"/>
          <w:lang w:eastAsia="tr-TR"/>
        </w:rPr>
        <w:t>akdirde 31 Aralık 2024</w:t>
      </w:r>
      <w:r w:rsidRPr="00FB38E1">
        <w:rPr>
          <w:rFonts w:ascii="Microsoft Sans Serif" w:eastAsia="Times New Roman" w:hAnsi="Microsoft Sans Serif" w:cs="Microsoft Sans Serif"/>
          <w:color w:val="404040" w:themeColor="text1" w:themeTint="BF"/>
          <w:sz w:val="20"/>
          <w:szCs w:val="20"/>
          <w:lang w:eastAsia="tr-TR"/>
        </w:rPr>
        <w:t xml:space="preserve"> ve 202</w:t>
      </w:r>
      <w:r w:rsidR="007B2A90" w:rsidRPr="00FB38E1">
        <w:rPr>
          <w:rFonts w:ascii="Microsoft Sans Serif" w:eastAsia="Times New Roman" w:hAnsi="Microsoft Sans Serif" w:cs="Microsoft Sans Serif"/>
          <w:color w:val="404040" w:themeColor="text1" w:themeTint="BF"/>
          <w:sz w:val="20"/>
          <w:szCs w:val="20"/>
          <w:lang w:eastAsia="tr-TR"/>
        </w:rPr>
        <w:t>3</w:t>
      </w:r>
      <w:r w:rsidRPr="00FB38E1">
        <w:rPr>
          <w:rFonts w:ascii="Microsoft Sans Serif" w:eastAsia="Times New Roman" w:hAnsi="Microsoft Sans Serif" w:cs="Microsoft Sans Serif"/>
          <w:color w:val="404040" w:themeColor="text1" w:themeTint="BF"/>
          <w:sz w:val="20"/>
          <w:szCs w:val="20"/>
          <w:lang w:eastAsia="tr-TR"/>
        </w:rPr>
        <w:t xml:space="preserve"> tarihleri itibarıyla özkaynaklarda ve gelir tablosunda (vergi etkisi hariç) oluşabilecek artış ve azalış aşağıdaki tabloda gösterilmiştir. Bu analiz tüm diğer değişkenlerin, özellikle faiz oranlarının, sabit kaldığı varsayımıyla hazırlanmıştır.</w:t>
      </w:r>
    </w:p>
    <w:tbl>
      <w:tblPr>
        <w:tblStyle w:val="TableGrid1"/>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755"/>
        <w:gridCol w:w="1477"/>
        <w:gridCol w:w="1467"/>
        <w:gridCol w:w="1479"/>
        <w:gridCol w:w="1461"/>
      </w:tblGrid>
      <w:tr w:rsidR="004C4799" w:rsidRPr="00FB38E1" w14:paraId="0EB80E76" w14:textId="77777777" w:rsidTr="00836EF2">
        <w:tc>
          <w:tcPr>
            <w:tcW w:w="1948" w:type="pct"/>
            <w:tcBorders>
              <w:top w:val="thinThickSmallGap" w:sz="24" w:space="0" w:color="auto"/>
              <w:bottom w:val="nil"/>
            </w:tcBorders>
            <w:vAlign w:val="bottom"/>
          </w:tcPr>
          <w:p w14:paraId="3C025E9A" w14:textId="77777777" w:rsidR="004C4799" w:rsidRPr="00FB38E1" w:rsidRDefault="004C4799" w:rsidP="00836EF2">
            <w:pPr>
              <w:rPr>
                <w:rFonts w:ascii="Microsoft Sans Serif" w:hAnsi="Microsoft Sans Serif" w:cs="Microsoft Sans Serif"/>
                <w:color w:val="000000"/>
                <w:sz w:val="16"/>
                <w:szCs w:val="16"/>
              </w:rPr>
            </w:pPr>
          </w:p>
        </w:tc>
        <w:tc>
          <w:tcPr>
            <w:tcW w:w="1527" w:type="pct"/>
            <w:gridSpan w:val="2"/>
            <w:tcBorders>
              <w:top w:val="thinThickSmallGap" w:sz="24" w:space="0" w:color="auto"/>
              <w:bottom w:val="single" w:sz="4" w:space="0" w:color="auto"/>
            </w:tcBorders>
            <w:vAlign w:val="bottom"/>
          </w:tcPr>
          <w:p w14:paraId="41F4180E"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525" w:type="pct"/>
            <w:gridSpan w:val="2"/>
            <w:tcBorders>
              <w:top w:val="thinThickSmallGap" w:sz="24" w:space="0" w:color="auto"/>
              <w:bottom w:val="single" w:sz="4" w:space="0" w:color="auto"/>
            </w:tcBorders>
            <w:vAlign w:val="bottom"/>
          </w:tcPr>
          <w:p w14:paraId="4C4BB052"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4C4799" w:rsidRPr="00FB38E1" w14:paraId="414E04B4" w14:textId="77777777" w:rsidTr="00836EF2">
        <w:tc>
          <w:tcPr>
            <w:tcW w:w="1948" w:type="pct"/>
            <w:tcBorders>
              <w:top w:val="nil"/>
              <w:bottom w:val="single" w:sz="4" w:space="0" w:color="auto"/>
            </w:tcBorders>
            <w:vAlign w:val="center"/>
          </w:tcPr>
          <w:p w14:paraId="460F8215" w14:textId="77777777" w:rsidR="004C4799" w:rsidRPr="00FB38E1" w:rsidRDefault="004C4799" w:rsidP="00836EF2">
            <w:pPr>
              <w:rPr>
                <w:rFonts w:ascii="Microsoft Sans Serif" w:hAnsi="Microsoft Sans Serif" w:cs="Microsoft Sans Serif"/>
                <w:color w:val="404040"/>
                <w:sz w:val="16"/>
                <w:szCs w:val="16"/>
              </w:rPr>
            </w:pPr>
          </w:p>
        </w:tc>
        <w:tc>
          <w:tcPr>
            <w:tcW w:w="766" w:type="pct"/>
            <w:tcBorders>
              <w:top w:val="single" w:sz="4" w:space="0" w:color="auto"/>
              <w:bottom w:val="single" w:sz="4" w:space="0" w:color="auto"/>
            </w:tcBorders>
            <w:vAlign w:val="bottom"/>
          </w:tcPr>
          <w:p w14:paraId="5BFE48D4" w14:textId="77777777" w:rsidR="004C4799" w:rsidRPr="00FB38E1" w:rsidRDefault="004C4799"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Dönem Kar </w:t>
            </w:r>
          </w:p>
          <w:p w14:paraId="453CC7C1" w14:textId="77777777" w:rsidR="004C4799" w:rsidRPr="00FB38E1" w:rsidRDefault="004C4799"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veya Zararı</w:t>
            </w:r>
          </w:p>
        </w:tc>
        <w:tc>
          <w:tcPr>
            <w:tcW w:w="761" w:type="pct"/>
            <w:tcBorders>
              <w:top w:val="single" w:sz="4" w:space="0" w:color="auto"/>
              <w:bottom w:val="single" w:sz="4" w:space="0" w:color="auto"/>
            </w:tcBorders>
            <w:vAlign w:val="bottom"/>
          </w:tcPr>
          <w:p w14:paraId="47C80FAE" w14:textId="77777777" w:rsidR="004C4799" w:rsidRPr="00FB38E1" w:rsidRDefault="004C4799"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Özkaynak</w:t>
            </w:r>
          </w:p>
        </w:tc>
        <w:tc>
          <w:tcPr>
            <w:tcW w:w="767" w:type="pct"/>
            <w:tcBorders>
              <w:top w:val="single" w:sz="4" w:space="0" w:color="auto"/>
              <w:bottom w:val="single" w:sz="4" w:space="0" w:color="auto"/>
            </w:tcBorders>
            <w:vAlign w:val="bottom"/>
          </w:tcPr>
          <w:p w14:paraId="610E5482" w14:textId="77777777" w:rsidR="004C4799" w:rsidRPr="00FB38E1" w:rsidRDefault="004C4799"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Dönem Kar </w:t>
            </w:r>
          </w:p>
          <w:p w14:paraId="7DCCF84F" w14:textId="77777777" w:rsidR="004C4799" w:rsidRPr="00FB38E1" w:rsidRDefault="004C4799" w:rsidP="00836EF2">
            <w:pPr>
              <w:jc w:val="right"/>
              <w:rPr>
                <w:rFonts w:ascii="Microsoft Sans Serif" w:hAnsi="Microsoft Sans Serif" w:cs="Microsoft Sans Serif"/>
                <w:sz w:val="16"/>
                <w:szCs w:val="16"/>
              </w:rPr>
            </w:pPr>
            <w:r w:rsidRPr="00FB38E1">
              <w:rPr>
                <w:rFonts w:ascii="Microsoft Sans Serif" w:hAnsi="Microsoft Sans Serif" w:cs="Microsoft Sans Serif"/>
                <w:b/>
                <w:sz w:val="16"/>
                <w:szCs w:val="16"/>
              </w:rPr>
              <w:t>veya Zararı</w:t>
            </w:r>
          </w:p>
        </w:tc>
        <w:tc>
          <w:tcPr>
            <w:tcW w:w="758" w:type="pct"/>
            <w:tcBorders>
              <w:top w:val="single" w:sz="4" w:space="0" w:color="auto"/>
              <w:bottom w:val="single" w:sz="4" w:space="0" w:color="auto"/>
            </w:tcBorders>
            <w:vAlign w:val="bottom"/>
          </w:tcPr>
          <w:p w14:paraId="3B5EDCEB" w14:textId="77777777" w:rsidR="004C4799" w:rsidRPr="00FB38E1" w:rsidRDefault="004C4799" w:rsidP="00836EF2">
            <w:pPr>
              <w:jc w:val="right"/>
              <w:rPr>
                <w:rFonts w:ascii="Microsoft Sans Serif" w:hAnsi="Microsoft Sans Serif" w:cs="Microsoft Sans Serif"/>
                <w:sz w:val="16"/>
                <w:szCs w:val="16"/>
              </w:rPr>
            </w:pPr>
            <w:r w:rsidRPr="00FB38E1">
              <w:rPr>
                <w:rFonts w:ascii="Microsoft Sans Serif" w:hAnsi="Microsoft Sans Serif" w:cs="Microsoft Sans Serif"/>
                <w:b/>
                <w:sz w:val="16"/>
                <w:szCs w:val="16"/>
              </w:rPr>
              <w:t>Özkaynak</w:t>
            </w:r>
          </w:p>
        </w:tc>
      </w:tr>
      <w:tr w:rsidR="009A1A17" w:rsidRPr="00FB38E1" w14:paraId="1355B1F8" w14:textId="77777777" w:rsidTr="00836EF2">
        <w:tc>
          <w:tcPr>
            <w:tcW w:w="1948" w:type="pct"/>
            <w:tcBorders>
              <w:top w:val="single" w:sz="4" w:space="0" w:color="auto"/>
              <w:bottom w:val="nil"/>
            </w:tcBorders>
            <w:vAlign w:val="center"/>
          </w:tcPr>
          <w:p w14:paraId="6917455B" w14:textId="77777777" w:rsidR="009A1A17" w:rsidRPr="00FB38E1" w:rsidRDefault="009A1A17" w:rsidP="009A1A17">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ABD Doları</w:t>
            </w:r>
          </w:p>
        </w:tc>
        <w:tc>
          <w:tcPr>
            <w:tcW w:w="766" w:type="pct"/>
            <w:tcBorders>
              <w:top w:val="single" w:sz="4" w:space="0" w:color="auto"/>
              <w:bottom w:val="nil"/>
            </w:tcBorders>
            <w:vAlign w:val="center"/>
          </w:tcPr>
          <w:p w14:paraId="3CCC9757" w14:textId="1E6A688D"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(371.719)</w:t>
            </w:r>
          </w:p>
        </w:tc>
        <w:tc>
          <w:tcPr>
            <w:tcW w:w="761" w:type="pct"/>
            <w:tcBorders>
              <w:top w:val="single" w:sz="4" w:space="0" w:color="auto"/>
              <w:bottom w:val="nil"/>
            </w:tcBorders>
            <w:vAlign w:val="center"/>
          </w:tcPr>
          <w:p w14:paraId="0FD6B1EF" w14:textId="08E91AE7"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(408.695)</w:t>
            </w:r>
          </w:p>
        </w:tc>
        <w:tc>
          <w:tcPr>
            <w:tcW w:w="767" w:type="pct"/>
            <w:tcBorders>
              <w:top w:val="single" w:sz="4" w:space="0" w:color="auto"/>
              <w:bottom w:val="nil"/>
            </w:tcBorders>
            <w:vAlign w:val="center"/>
          </w:tcPr>
          <w:p w14:paraId="3A74E2AF" w14:textId="2F0EB0B1"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(318.322)</w:t>
            </w:r>
          </w:p>
        </w:tc>
        <w:tc>
          <w:tcPr>
            <w:tcW w:w="758" w:type="pct"/>
            <w:tcBorders>
              <w:top w:val="single" w:sz="4" w:space="0" w:color="auto"/>
              <w:bottom w:val="nil"/>
            </w:tcBorders>
            <w:vAlign w:val="center"/>
          </w:tcPr>
          <w:p w14:paraId="31292AA4" w14:textId="66C2B8AB"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(279.937)</w:t>
            </w:r>
          </w:p>
        </w:tc>
      </w:tr>
      <w:tr w:rsidR="009A1A17" w:rsidRPr="00FB38E1" w14:paraId="6D109EF2" w14:textId="77777777" w:rsidTr="00836EF2">
        <w:tc>
          <w:tcPr>
            <w:tcW w:w="1948" w:type="pct"/>
            <w:tcBorders>
              <w:top w:val="nil"/>
              <w:bottom w:val="single" w:sz="4" w:space="0" w:color="auto"/>
            </w:tcBorders>
            <w:vAlign w:val="center"/>
          </w:tcPr>
          <w:p w14:paraId="59992925" w14:textId="77777777" w:rsidR="009A1A17" w:rsidRPr="00FB38E1" w:rsidRDefault="009A1A17" w:rsidP="009A1A17">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Avro</w:t>
            </w:r>
          </w:p>
        </w:tc>
        <w:tc>
          <w:tcPr>
            <w:tcW w:w="766" w:type="pct"/>
            <w:tcBorders>
              <w:top w:val="nil"/>
              <w:bottom w:val="single" w:sz="4" w:space="0" w:color="auto"/>
            </w:tcBorders>
            <w:vAlign w:val="center"/>
          </w:tcPr>
          <w:p w14:paraId="63CC572B" w14:textId="004A3731"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(1.076.890)</w:t>
            </w:r>
          </w:p>
        </w:tc>
        <w:tc>
          <w:tcPr>
            <w:tcW w:w="761" w:type="pct"/>
            <w:tcBorders>
              <w:top w:val="nil"/>
              <w:bottom w:val="single" w:sz="4" w:space="0" w:color="auto"/>
            </w:tcBorders>
            <w:vAlign w:val="center"/>
          </w:tcPr>
          <w:p w14:paraId="3138E796" w14:textId="7A3A93F2"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(1.057.138)</w:t>
            </w:r>
          </w:p>
        </w:tc>
        <w:tc>
          <w:tcPr>
            <w:tcW w:w="767" w:type="pct"/>
            <w:tcBorders>
              <w:top w:val="nil"/>
              <w:bottom w:val="single" w:sz="4" w:space="0" w:color="auto"/>
            </w:tcBorders>
            <w:vAlign w:val="center"/>
          </w:tcPr>
          <w:p w14:paraId="6F192C99" w14:textId="6976FE09"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(628.544)</w:t>
            </w:r>
          </w:p>
        </w:tc>
        <w:tc>
          <w:tcPr>
            <w:tcW w:w="758" w:type="pct"/>
            <w:tcBorders>
              <w:top w:val="nil"/>
              <w:bottom w:val="single" w:sz="4" w:space="0" w:color="auto"/>
            </w:tcBorders>
            <w:vAlign w:val="center"/>
          </w:tcPr>
          <w:p w14:paraId="33D0D1E2" w14:textId="3520B473"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(628.903)</w:t>
            </w:r>
          </w:p>
        </w:tc>
      </w:tr>
      <w:tr w:rsidR="009A1A17" w:rsidRPr="00FB38E1" w14:paraId="2C71962A" w14:textId="77777777" w:rsidTr="00836EF2">
        <w:tc>
          <w:tcPr>
            <w:tcW w:w="1948" w:type="pct"/>
            <w:tcBorders>
              <w:top w:val="single" w:sz="4" w:space="0" w:color="auto"/>
              <w:bottom w:val="thickThinSmallGap" w:sz="24" w:space="0" w:color="auto"/>
            </w:tcBorders>
            <w:vAlign w:val="center"/>
          </w:tcPr>
          <w:p w14:paraId="31AE8D92" w14:textId="77777777" w:rsidR="009A1A17" w:rsidRPr="00FB38E1" w:rsidRDefault="009A1A17" w:rsidP="009A1A17">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 (Net)</w:t>
            </w:r>
          </w:p>
        </w:tc>
        <w:tc>
          <w:tcPr>
            <w:tcW w:w="766" w:type="pct"/>
            <w:tcBorders>
              <w:top w:val="single" w:sz="4" w:space="0" w:color="auto"/>
              <w:bottom w:val="thickThinSmallGap" w:sz="24" w:space="0" w:color="auto"/>
            </w:tcBorders>
            <w:vAlign w:val="center"/>
          </w:tcPr>
          <w:p w14:paraId="1079E3FF" w14:textId="2C8B5291" w:rsidR="009A1A17" w:rsidRPr="00FB38E1" w:rsidRDefault="009A1A17" w:rsidP="009A1A1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(1.448.609)</w:t>
            </w:r>
          </w:p>
        </w:tc>
        <w:tc>
          <w:tcPr>
            <w:tcW w:w="761" w:type="pct"/>
            <w:tcBorders>
              <w:top w:val="single" w:sz="4" w:space="0" w:color="auto"/>
              <w:bottom w:val="thickThinSmallGap" w:sz="24" w:space="0" w:color="auto"/>
            </w:tcBorders>
            <w:vAlign w:val="center"/>
          </w:tcPr>
          <w:p w14:paraId="2F2C6BD4" w14:textId="16D5D655" w:rsidR="009A1A17" w:rsidRPr="00FB38E1" w:rsidRDefault="009A1A17" w:rsidP="009A1A1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(1.465.833)</w:t>
            </w:r>
          </w:p>
        </w:tc>
        <w:tc>
          <w:tcPr>
            <w:tcW w:w="767" w:type="pct"/>
            <w:tcBorders>
              <w:top w:val="single" w:sz="4" w:space="0" w:color="auto"/>
              <w:bottom w:val="thickThinSmallGap" w:sz="24" w:space="0" w:color="auto"/>
            </w:tcBorders>
            <w:vAlign w:val="center"/>
          </w:tcPr>
          <w:p w14:paraId="563174B6" w14:textId="0FF0200B" w:rsidR="009A1A17" w:rsidRPr="00FB38E1" w:rsidRDefault="009A1A17" w:rsidP="009A1A1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(946.866)</w:t>
            </w:r>
          </w:p>
        </w:tc>
        <w:tc>
          <w:tcPr>
            <w:tcW w:w="758" w:type="pct"/>
            <w:tcBorders>
              <w:top w:val="single" w:sz="4" w:space="0" w:color="auto"/>
              <w:bottom w:val="thickThinSmallGap" w:sz="24" w:space="0" w:color="auto"/>
            </w:tcBorders>
            <w:vAlign w:val="center"/>
          </w:tcPr>
          <w:p w14:paraId="42575C02" w14:textId="3EA586BF" w:rsidR="009A1A17" w:rsidRPr="00FB38E1" w:rsidRDefault="009A1A17" w:rsidP="009A1A1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(908.840)</w:t>
            </w:r>
          </w:p>
        </w:tc>
      </w:tr>
    </w:tbl>
    <w:p w14:paraId="7C5C11AB" w14:textId="137964FA" w:rsidR="00F45BEE" w:rsidRPr="00FB38E1"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33237CF3" w14:textId="40B56717" w:rsidR="00F45BEE" w:rsidRPr="00FB38E1"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0A40AAD6" w14:textId="580E479C" w:rsidR="00F45BEE" w:rsidRPr="00FB38E1"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36DE17CB" w14:textId="2AD7A7AE" w:rsidR="00F45BEE" w:rsidRPr="00FB38E1" w:rsidRDefault="00F45BEE" w:rsidP="005A31F6">
      <w:pPr>
        <w:pStyle w:val="BodyTextIndent"/>
        <w:tabs>
          <w:tab w:val="left" w:pos="284"/>
        </w:tabs>
        <w:spacing w:after="0"/>
        <w:ind w:left="425" w:hanging="425"/>
        <w:rPr>
          <w:rFonts w:ascii="Microsoft Sans Serif" w:hAnsi="Microsoft Sans Serif" w:cs="Microsoft Sans Serif"/>
          <w:color w:val="404040" w:themeColor="text1" w:themeTint="BF"/>
          <w:sz w:val="16"/>
          <w:szCs w:val="16"/>
        </w:rPr>
      </w:pPr>
    </w:p>
    <w:p w14:paraId="6DDBE90C" w14:textId="77777777" w:rsidR="00F45BEE" w:rsidRPr="00FB38E1" w:rsidRDefault="00F45BEE" w:rsidP="004C4799">
      <w:pPr>
        <w:pStyle w:val="BodyTextIndent"/>
        <w:tabs>
          <w:tab w:val="left" w:pos="284"/>
        </w:tabs>
        <w:spacing w:after="0"/>
        <w:ind w:left="0"/>
        <w:rPr>
          <w:rFonts w:ascii="Microsoft Sans Serif" w:hAnsi="Microsoft Sans Serif" w:cs="Microsoft Sans Serif"/>
          <w:color w:val="404040" w:themeColor="text1" w:themeTint="BF"/>
          <w:sz w:val="16"/>
          <w:szCs w:val="16"/>
        </w:rPr>
      </w:pPr>
    </w:p>
    <w:p w14:paraId="541D1B48" w14:textId="5D78110E" w:rsidR="00E60D1B" w:rsidRPr="00FB38E1" w:rsidRDefault="00F45BEE" w:rsidP="00076C9E">
      <w:pPr>
        <w:pStyle w:val="BASLIK2"/>
        <w:keepNext/>
        <w:widowControl/>
        <w:numPr>
          <w:ilvl w:val="0"/>
          <w:numId w:val="12"/>
        </w:numPr>
        <w:spacing w:before="120" w:line="240" w:lineRule="exact"/>
        <w:ind w:left="0" w:hanging="851"/>
        <w:rPr>
          <w:rFonts w:ascii="Microsoft Sans Serif" w:hAnsi="Microsoft Sans Serif" w:cs="Microsoft Sans Serif"/>
        </w:rPr>
      </w:pPr>
      <w:r w:rsidRPr="00FB38E1">
        <w:rPr>
          <w:rFonts w:ascii="Microsoft Sans Serif" w:hAnsi="Microsoft Sans Serif" w:cs="Microsoft Sans Serif"/>
        </w:rPr>
        <w:t>Fa</w:t>
      </w:r>
      <w:r w:rsidR="00E60D1B" w:rsidRPr="00FB38E1">
        <w:rPr>
          <w:rFonts w:ascii="Microsoft Sans Serif" w:hAnsi="Microsoft Sans Serif" w:cs="Microsoft Sans Serif"/>
        </w:rPr>
        <w:t>iz oranı riskine ilişkin açıklamalar</w:t>
      </w:r>
    </w:p>
    <w:p w14:paraId="49CD0032" w14:textId="0953DEE8" w:rsidR="00B14215" w:rsidRPr="00FB38E1" w:rsidRDefault="00B14215" w:rsidP="00D46336">
      <w:pPr>
        <w:pStyle w:val="BDDKbalk1"/>
        <w:spacing w:before="120" w:line="220" w:lineRule="exact"/>
        <w:ind w:left="0"/>
        <w:rPr>
          <w:rFonts w:ascii="Microsoft Sans Serif" w:hAnsi="Microsoft Sans Serif" w:cs="Microsoft Sans Serif"/>
          <w:b w:val="0"/>
          <w:bCs w:val="0"/>
          <w:color w:val="404040" w:themeColor="text1" w:themeTint="BF"/>
          <w:sz w:val="20"/>
          <w:szCs w:val="20"/>
        </w:rPr>
      </w:pPr>
      <w:r w:rsidRPr="00FB38E1">
        <w:rPr>
          <w:rFonts w:ascii="Microsoft Sans Serif" w:hAnsi="Microsoft Sans Serif" w:cs="Microsoft Sans Serif"/>
          <w:b w:val="0"/>
          <w:bCs w:val="0"/>
          <w:color w:val="404040" w:themeColor="text1" w:themeTint="BF"/>
          <w:sz w:val="20"/>
          <w:szCs w:val="20"/>
        </w:rPr>
        <w:t>Faiz oranı riski, temel olarak aktif, pasif ve bilanço dışı kalemlerinin yeniden fiyatlanma tarihleri (değişken faizli ürünler için) veya vadeler (sabit faizli ürünler için) arasındaki uyuşmazlıklardan ileri gelmektedir. Bu uyuşmazlık, bankacılık sistemindeki yapısal bir durum olmakla beraber, faiz oranlarında beklenmedik değişiklikler olması halinde bankanın faiz gelir-giderini ve bilançonun ekonomik değerini etkileyebilir.</w:t>
      </w:r>
    </w:p>
    <w:p w14:paraId="060A7545" w14:textId="31E25460" w:rsidR="00F45BEE" w:rsidRPr="00FB38E1" w:rsidRDefault="00921B34" w:rsidP="00D46336">
      <w:pPr>
        <w:pStyle w:val="BDDKbalk1"/>
        <w:spacing w:before="120" w:line="220" w:lineRule="exact"/>
        <w:ind w:left="0"/>
        <w:rPr>
          <w:rFonts w:ascii="Microsoft Sans Serif" w:hAnsi="Microsoft Sans Serif" w:cs="Microsoft Sans Serif"/>
          <w:b w:val="0"/>
          <w:bCs w:val="0"/>
          <w:color w:val="404040" w:themeColor="text1" w:themeTint="BF"/>
          <w:sz w:val="20"/>
          <w:szCs w:val="20"/>
        </w:rPr>
      </w:pPr>
      <w:r w:rsidRPr="00FB38E1">
        <w:rPr>
          <w:rFonts w:ascii="Microsoft Sans Serif" w:hAnsi="Microsoft Sans Serif" w:cs="Microsoft Sans Serif"/>
          <w:b w:val="0"/>
          <w:bCs w:val="0"/>
          <w:color w:val="404040" w:themeColor="text1" w:themeTint="BF"/>
          <w:sz w:val="20"/>
          <w:szCs w:val="20"/>
        </w:rPr>
        <w:t>Faiz oranı riskinin yönetilmesine dair nihai sorumluluk Aktif Pasif Komitesi’ndedir (“APKO”). Ancak, Hazine Grubu ve Mali İşler Grubu faiz oranı riski yönetimi için en uygun stratejilerin belirlenmesinden ve karar mercilerine önerilmesinden sorumludurlar. Faiz riskinin kontrolüne yönelik olarak belirlenmiş Yönetim Kurulu onaylı limitler bulunmaktadır.</w:t>
      </w:r>
    </w:p>
    <w:p w14:paraId="2B9C1C7B" w14:textId="0D50E86D" w:rsidR="00867194" w:rsidRPr="00FB38E1" w:rsidRDefault="00B14215" w:rsidP="00076C9E">
      <w:pPr>
        <w:pStyle w:val="ListParagraph"/>
        <w:numPr>
          <w:ilvl w:val="0"/>
          <w:numId w:val="14"/>
        </w:numPr>
        <w:spacing w:before="240" w:after="120" w:line="240" w:lineRule="exact"/>
        <w:ind w:left="0" w:hanging="567"/>
        <w:rPr>
          <w:rFonts w:ascii="Microsoft Sans Serif" w:hAnsi="Microsoft Sans Serif" w:cs="Microsoft Sans Serif"/>
          <w:b/>
          <w:bCs/>
          <w:color w:val="000000" w:themeColor="text1"/>
          <w:sz w:val="20"/>
          <w:szCs w:val="20"/>
        </w:rPr>
      </w:pPr>
      <w:r w:rsidRPr="00FB38E1">
        <w:rPr>
          <w:rFonts w:ascii="Microsoft Sans Serif" w:hAnsi="Microsoft Sans Serif" w:cs="Microsoft Sans Serif"/>
          <w:b/>
          <w:color w:val="000000" w:themeColor="text1"/>
          <w:sz w:val="20"/>
          <w:szCs w:val="20"/>
        </w:rPr>
        <w:t>Varlıkların, yükümlülüklerin ve bilanço dışı kalemlerin faize duyarlılığı (Yeniden fiyatlandırmaya kalan süreler itibarıyla):</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84"/>
        <w:gridCol w:w="985"/>
        <w:gridCol w:w="1026"/>
        <w:gridCol w:w="979"/>
        <w:gridCol w:w="979"/>
        <w:gridCol w:w="981"/>
        <w:gridCol w:w="981"/>
        <w:gridCol w:w="1024"/>
      </w:tblGrid>
      <w:tr w:rsidR="00FD5D3B" w:rsidRPr="00FB38E1" w14:paraId="48D7E150" w14:textId="77777777" w:rsidTr="003D480A">
        <w:tc>
          <w:tcPr>
            <w:tcW w:w="1392" w:type="pct"/>
            <w:tcBorders>
              <w:top w:val="thinThickSmallGap" w:sz="24" w:space="0" w:color="auto"/>
              <w:bottom w:val="single" w:sz="4" w:space="0" w:color="auto"/>
            </w:tcBorders>
            <w:vAlign w:val="bottom"/>
          </w:tcPr>
          <w:p w14:paraId="606A7132" w14:textId="77777777" w:rsidR="00867194" w:rsidRPr="00FB38E1" w:rsidRDefault="00867194">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Cari Dönem Sonu</w:t>
            </w:r>
          </w:p>
        </w:tc>
        <w:tc>
          <w:tcPr>
            <w:tcW w:w="511" w:type="pct"/>
            <w:tcBorders>
              <w:top w:val="thinThickSmallGap" w:sz="24" w:space="0" w:color="auto"/>
              <w:bottom w:val="single" w:sz="4" w:space="0" w:color="auto"/>
            </w:tcBorders>
            <w:vAlign w:val="bottom"/>
          </w:tcPr>
          <w:p w14:paraId="0EA8E73A" w14:textId="0BABF78C" w:rsidR="00867194" w:rsidRPr="00FB38E1" w:rsidRDefault="00867194" w:rsidP="009F3DB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Aya</w:t>
            </w:r>
            <w:r w:rsidR="009F3DB6" w:rsidRPr="00FB38E1">
              <w:rPr>
                <w:rFonts w:ascii="Microsoft Sans Serif" w:hAnsi="Microsoft Sans Serif" w:cs="Microsoft Sans Serif"/>
                <w:b/>
                <w:bCs/>
                <w:color w:val="000000"/>
                <w:sz w:val="14"/>
                <w:szCs w:val="14"/>
              </w:rPr>
              <w:t xml:space="preserve"> </w:t>
            </w:r>
            <w:r w:rsidRPr="00FB38E1">
              <w:rPr>
                <w:rFonts w:ascii="Microsoft Sans Serif" w:hAnsi="Microsoft Sans Serif" w:cs="Microsoft Sans Serif"/>
                <w:b/>
                <w:bCs/>
                <w:color w:val="000000"/>
                <w:sz w:val="14"/>
                <w:szCs w:val="14"/>
              </w:rPr>
              <w:t>Kadar</w:t>
            </w:r>
          </w:p>
        </w:tc>
        <w:tc>
          <w:tcPr>
            <w:tcW w:w="532" w:type="pct"/>
            <w:tcBorders>
              <w:top w:val="thinThickSmallGap" w:sz="24" w:space="0" w:color="auto"/>
              <w:bottom w:val="single" w:sz="4" w:space="0" w:color="auto"/>
            </w:tcBorders>
            <w:vAlign w:val="bottom"/>
          </w:tcPr>
          <w:p w14:paraId="00BB6222" w14:textId="77777777" w:rsidR="00867194" w:rsidRPr="00FB38E1" w:rsidRDefault="0086719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 Ay</w:t>
            </w:r>
          </w:p>
        </w:tc>
        <w:tc>
          <w:tcPr>
            <w:tcW w:w="508" w:type="pct"/>
            <w:tcBorders>
              <w:top w:val="thinThickSmallGap" w:sz="24" w:space="0" w:color="auto"/>
              <w:bottom w:val="single" w:sz="4" w:space="0" w:color="auto"/>
            </w:tcBorders>
            <w:vAlign w:val="bottom"/>
          </w:tcPr>
          <w:p w14:paraId="2FB05F76" w14:textId="77777777" w:rsidR="00867194" w:rsidRPr="00FB38E1" w:rsidRDefault="0086719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3-12 Ay</w:t>
            </w:r>
          </w:p>
        </w:tc>
        <w:tc>
          <w:tcPr>
            <w:tcW w:w="508" w:type="pct"/>
            <w:tcBorders>
              <w:top w:val="thinThickSmallGap" w:sz="24" w:space="0" w:color="auto"/>
              <w:bottom w:val="single" w:sz="4" w:space="0" w:color="auto"/>
            </w:tcBorders>
            <w:vAlign w:val="bottom"/>
          </w:tcPr>
          <w:p w14:paraId="1C4AF2AF" w14:textId="77777777" w:rsidR="00867194" w:rsidRPr="00FB38E1" w:rsidRDefault="0086719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 Yıl</w:t>
            </w:r>
          </w:p>
        </w:tc>
        <w:tc>
          <w:tcPr>
            <w:tcW w:w="509" w:type="pct"/>
            <w:tcBorders>
              <w:top w:val="thinThickSmallGap" w:sz="24" w:space="0" w:color="auto"/>
              <w:bottom w:val="single" w:sz="4" w:space="0" w:color="auto"/>
            </w:tcBorders>
            <w:vAlign w:val="bottom"/>
          </w:tcPr>
          <w:p w14:paraId="024CE720" w14:textId="77777777" w:rsidR="00867194" w:rsidRPr="00FB38E1" w:rsidRDefault="0086719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 Yıl ve Üzeri</w:t>
            </w:r>
          </w:p>
        </w:tc>
        <w:tc>
          <w:tcPr>
            <w:tcW w:w="509" w:type="pct"/>
            <w:tcBorders>
              <w:top w:val="thinThickSmallGap" w:sz="24" w:space="0" w:color="auto"/>
              <w:bottom w:val="single" w:sz="4" w:space="0" w:color="auto"/>
            </w:tcBorders>
            <w:vAlign w:val="bottom"/>
          </w:tcPr>
          <w:p w14:paraId="5B4B73A7" w14:textId="77777777" w:rsidR="00867194" w:rsidRPr="00FB38E1" w:rsidRDefault="0086719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xml:space="preserve">Faizsiz </w:t>
            </w:r>
          </w:p>
        </w:tc>
        <w:tc>
          <w:tcPr>
            <w:tcW w:w="531" w:type="pct"/>
            <w:tcBorders>
              <w:top w:val="thinThickSmallGap" w:sz="24" w:space="0" w:color="auto"/>
              <w:bottom w:val="single" w:sz="4" w:space="0" w:color="auto"/>
            </w:tcBorders>
            <w:vAlign w:val="bottom"/>
          </w:tcPr>
          <w:p w14:paraId="78A0B8A1" w14:textId="77777777" w:rsidR="00867194" w:rsidRPr="00FB38E1" w:rsidRDefault="0086719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w:t>
            </w:r>
          </w:p>
        </w:tc>
      </w:tr>
      <w:tr w:rsidR="00FD5D3B" w:rsidRPr="00FB38E1" w14:paraId="005EDCC7" w14:textId="77777777" w:rsidTr="003D480A">
        <w:tc>
          <w:tcPr>
            <w:tcW w:w="1392" w:type="pct"/>
            <w:tcBorders>
              <w:top w:val="single" w:sz="4" w:space="0" w:color="auto"/>
            </w:tcBorders>
            <w:vAlign w:val="bottom"/>
          </w:tcPr>
          <w:p w14:paraId="1CEB9866" w14:textId="77777777" w:rsidR="00867194" w:rsidRPr="00FB38E1" w:rsidRDefault="00867194">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Varlıklar</w:t>
            </w:r>
          </w:p>
        </w:tc>
        <w:tc>
          <w:tcPr>
            <w:tcW w:w="511" w:type="pct"/>
            <w:tcBorders>
              <w:top w:val="single" w:sz="4" w:space="0" w:color="auto"/>
            </w:tcBorders>
            <w:vAlign w:val="bottom"/>
          </w:tcPr>
          <w:p w14:paraId="15424ED5" w14:textId="77777777" w:rsidR="00867194" w:rsidRPr="00FB38E1" w:rsidRDefault="00867194">
            <w:pPr>
              <w:rPr>
                <w:rFonts w:ascii="Microsoft Sans Serif" w:hAnsi="Microsoft Sans Serif" w:cs="Microsoft Sans Serif"/>
                <w:color w:val="000000"/>
                <w:sz w:val="14"/>
                <w:szCs w:val="14"/>
              </w:rPr>
            </w:pPr>
          </w:p>
        </w:tc>
        <w:tc>
          <w:tcPr>
            <w:tcW w:w="532" w:type="pct"/>
            <w:tcBorders>
              <w:top w:val="single" w:sz="4" w:space="0" w:color="auto"/>
            </w:tcBorders>
            <w:vAlign w:val="bottom"/>
          </w:tcPr>
          <w:p w14:paraId="2BD709B0" w14:textId="77777777" w:rsidR="00867194" w:rsidRPr="00FB38E1" w:rsidRDefault="00867194">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739B6346" w14:textId="77777777" w:rsidR="00867194" w:rsidRPr="00FB38E1" w:rsidRDefault="00867194">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2B3C796E" w14:textId="77777777" w:rsidR="00867194" w:rsidRPr="00FB38E1" w:rsidRDefault="00867194">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A0B3452" w14:textId="77777777" w:rsidR="00867194" w:rsidRPr="00FB38E1" w:rsidRDefault="00867194">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2AE312F2" w14:textId="77777777" w:rsidR="00867194" w:rsidRPr="00FB38E1" w:rsidRDefault="00867194">
            <w:pPr>
              <w:rPr>
                <w:rFonts w:ascii="Microsoft Sans Serif" w:hAnsi="Microsoft Sans Serif" w:cs="Microsoft Sans Serif"/>
                <w:color w:val="000000"/>
                <w:sz w:val="14"/>
                <w:szCs w:val="14"/>
              </w:rPr>
            </w:pPr>
          </w:p>
        </w:tc>
        <w:tc>
          <w:tcPr>
            <w:tcW w:w="531" w:type="pct"/>
            <w:tcBorders>
              <w:top w:val="single" w:sz="4" w:space="0" w:color="auto"/>
            </w:tcBorders>
            <w:vAlign w:val="bottom"/>
          </w:tcPr>
          <w:p w14:paraId="645A89A1" w14:textId="77777777" w:rsidR="00867194" w:rsidRPr="00FB38E1" w:rsidRDefault="00867194">
            <w:pPr>
              <w:rPr>
                <w:rFonts w:ascii="Microsoft Sans Serif" w:hAnsi="Microsoft Sans Serif" w:cs="Microsoft Sans Serif"/>
                <w:color w:val="000000"/>
                <w:sz w:val="14"/>
                <w:szCs w:val="14"/>
              </w:rPr>
            </w:pPr>
          </w:p>
        </w:tc>
      </w:tr>
      <w:tr w:rsidR="000A339B" w:rsidRPr="00FB38E1" w14:paraId="69071D8E" w14:textId="77777777" w:rsidTr="003D480A">
        <w:tc>
          <w:tcPr>
            <w:tcW w:w="1392" w:type="pct"/>
            <w:vAlign w:val="bottom"/>
          </w:tcPr>
          <w:p w14:paraId="5248785D" w14:textId="77777777" w:rsidR="000A339B" w:rsidRPr="00FB38E1" w:rsidRDefault="000A339B" w:rsidP="000A339B">
            <w:pPr>
              <w:ind w:left="142"/>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Nakit Değerler ve T.C. Merkez Bnk.</w:t>
            </w:r>
          </w:p>
        </w:tc>
        <w:tc>
          <w:tcPr>
            <w:tcW w:w="511" w:type="pct"/>
            <w:vAlign w:val="bottom"/>
          </w:tcPr>
          <w:p w14:paraId="413E58DC" w14:textId="413BBB9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3.673.620</w:t>
            </w:r>
          </w:p>
        </w:tc>
        <w:tc>
          <w:tcPr>
            <w:tcW w:w="532" w:type="pct"/>
            <w:vAlign w:val="bottom"/>
          </w:tcPr>
          <w:p w14:paraId="0FE3C651" w14:textId="072E95AA"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303BD576" w14:textId="54EB68D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0278E703" w14:textId="2EF17D80"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73431B14" w14:textId="1EEDA6FD"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7072C8EC" w14:textId="157397D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210.393.796</w:t>
            </w:r>
          </w:p>
        </w:tc>
        <w:tc>
          <w:tcPr>
            <w:tcW w:w="531" w:type="pct"/>
            <w:vAlign w:val="bottom"/>
          </w:tcPr>
          <w:p w14:paraId="7E9303D6" w14:textId="71A1E1D3"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214.067.416</w:t>
            </w:r>
          </w:p>
        </w:tc>
      </w:tr>
      <w:tr w:rsidR="000A339B" w:rsidRPr="00FB38E1" w14:paraId="5EAE8060" w14:textId="77777777" w:rsidTr="003D480A">
        <w:trPr>
          <w:trHeight w:val="53"/>
        </w:trPr>
        <w:tc>
          <w:tcPr>
            <w:tcW w:w="1392" w:type="pct"/>
            <w:vAlign w:val="bottom"/>
          </w:tcPr>
          <w:p w14:paraId="5105B151" w14:textId="22F47C60"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w:t>
            </w:r>
            <w:r w:rsidRPr="00FB38E1">
              <w:rPr>
                <w:rFonts w:ascii="Microsoft Sans Serif" w:hAnsi="Microsoft Sans Serif" w:cs="Microsoft Sans Serif"/>
                <w:color w:val="404040" w:themeColor="text1" w:themeTint="BF"/>
                <w:sz w:val="14"/>
                <w:szCs w:val="14"/>
                <w:vertAlign w:val="superscript"/>
              </w:rPr>
              <w:t>(1)</w:t>
            </w:r>
          </w:p>
        </w:tc>
        <w:tc>
          <w:tcPr>
            <w:tcW w:w="511" w:type="pct"/>
            <w:vAlign w:val="bottom"/>
          </w:tcPr>
          <w:p w14:paraId="62705D5F" w14:textId="35093707"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976.400</w:t>
            </w:r>
          </w:p>
        </w:tc>
        <w:tc>
          <w:tcPr>
            <w:tcW w:w="532" w:type="pct"/>
            <w:vAlign w:val="bottom"/>
          </w:tcPr>
          <w:p w14:paraId="0BBAE366" w14:textId="79572774"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1BB28A63" w14:textId="2BB1F44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2B73B2A3" w14:textId="1CCCDA28"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098D350" w14:textId="3B48A1A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51EF4B19" w14:textId="529B3BF4"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19.601.032</w:t>
            </w:r>
          </w:p>
        </w:tc>
        <w:tc>
          <w:tcPr>
            <w:tcW w:w="531" w:type="pct"/>
            <w:vAlign w:val="bottom"/>
          </w:tcPr>
          <w:p w14:paraId="6420F045" w14:textId="4CCC1A87"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20.577.432</w:t>
            </w:r>
          </w:p>
        </w:tc>
      </w:tr>
      <w:tr w:rsidR="000A339B" w:rsidRPr="00FB38E1" w14:paraId="4760DDA1" w14:textId="77777777" w:rsidTr="003D480A">
        <w:tc>
          <w:tcPr>
            <w:tcW w:w="1392" w:type="pct"/>
            <w:vAlign w:val="bottom"/>
          </w:tcPr>
          <w:p w14:paraId="677FBFA2" w14:textId="77777777" w:rsidR="000A339B" w:rsidRPr="00FB38E1" w:rsidRDefault="000A339B" w:rsidP="000A339B">
            <w:pPr>
              <w:ind w:left="142"/>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Gerçeğe Uygun Değer Farkı Kar veya Zarara Yansıtılan Fin.Var.</w:t>
            </w:r>
          </w:p>
        </w:tc>
        <w:tc>
          <w:tcPr>
            <w:tcW w:w="511" w:type="pct"/>
            <w:vAlign w:val="bottom"/>
          </w:tcPr>
          <w:p w14:paraId="2AE7A51C" w14:textId="42410AE4"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16.027</w:t>
            </w:r>
          </w:p>
        </w:tc>
        <w:tc>
          <w:tcPr>
            <w:tcW w:w="532" w:type="pct"/>
            <w:vAlign w:val="bottom"/>
          </w:tcPr>
          <w:p w14:paraId="13B5F54C" w14:textId="77062B9D"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108.572</w:t>
            </w:r>
          </w:p>
        </w:tc>
        <w:tc>
          <w:tcPr>
            <w:tcW w:w="508" w:type="pct"/>
            <w:vAlign w:val="bottom"/>
          </w:tcPr>
          <w:p w14:paraId="46901B15" w14:textId="7B4EF4A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50.809</w:t>
            </w:r>
          </w:p>
        </w:tc>
        <w:tc>
          <w:tcPr>
            <w:tcW w:w="508" w:type="pct"/>
            <w:vAlign w:val="bottom"/>
          </w:tcPr>
          <w:p w14:paraId="216BD07E" w14:textId="359C049C"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1.069.975</w:t>
            </w:r>
          </w:p>
        </w:tc>
        <w:tc>
          <w:tcPr>
            <w:tcW w:w="509" w:type="pct"/>
            <w:vAlign w:val="bottom"/>
          </w:tcPr>
          <w:p w14:paraId="402A3FC6" w14:textId="1941D5CF"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184.880</w:t>
            </w:r>
          </w:p>
        </w:tc>
        <w:tc>
          <w:tcPr>
            <w:tcW w:w="509" w:type="pct"/>
            <w:vAlign w:val="bottom"/>
          </w:tcPr>
          <w:p w14:paraId="2FDD6C24" w14:textId="53A2987D"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14.864.450</w:t>
            </w:r>
          </w:p>
        </w:tc>
        <w:tc>
          <w:tcPr>
            <w:tcW w:w="531" w:type="pct"/>
            <w:vAlign w:val="bottom"/>
          </w:tcPr>
          <w:p w14:paraId="5C8A796B" w14:textId="45A55E5B"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16.294.713</w:t>
            </w:r>
          </w:p>
        </w:tc>
      </w:tr>
      <w:tr w:rsidR="000A339B" w:rsidRPr="00FB38E1" w14:paraId="2CA1D21A" w14:textId="77777777" w:rsidTr="003D480A">
        <w:tc>
          <w:tcPr>
            <w:tcW w:w="1392" w:type="pct"/>
            <w:vAlign w:val="bottom"/>
          </w:tcPr>
          <w:p w14:paraId="6A234892" w14:textId="77777777"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Piyasalarından Alacaklar</w:t>
            </w:r>
          </w:p>
        </w:tc>
        <w:tc>
          <w:tcPr>
            <w:tcW w:w="511" w:type="pct"/>
            <w:vAlign w:val="bottom"/>
          </w:tcPr>
          <w:p w14:paraId="66A3F622" w14:textId="4C05659C"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76.567.876</w:t>
            </w:r>
          </w:p>
        </w:tc>
        <w:tc>
          <w:tcPr>
            <w:tcW w:w="532" w:type="pct"/>
            <w:vAlign w:val="bottom"/>
          </w:tcPr>
          <w:p w14:paraId="3B26622D" w14:textId="60F1B86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4A911A6F" w14:textId="793AD5B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3BAFF61B" w14:textId="786376A4"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68814538" w14:textId="0A996ED1"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42496643" w14:textId="2E6885E0"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14E4E7EB" w14:textId="31385CA2"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76.567.876</w:t>
            </w:r>
          </w:p>
        </w:tc>
      </w:tr>
      <w:tr w:rsidR="000A339B" w:rsidRPr="00FB38E1" w14:paraId="79E28AB1" w14:textId="77777777" w:rsidTr="003D480A">
        <w:tc>
          <w:tcPr>
            <w:tcW w:w="1392" w:type="pct"/>
            <w:vAlign w:val="bottom"/>
          </w:tcPr>
          <w:p w14:paraId="5705FDF8" w14:textId="3CFFAB4E" w:rsidR="000A339B" w:rsidRPr="00FB38E1" w:rsidRDefault="000A339B" w:rsidP="000A339B">
            <w:pPr>
              <w:ind w:left="142"/>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Gerçeğe Uygun Değer Farkı Diğer Kapsamlı Gelire Yansıtılan FV</w:t>
            </w:r>
          </w:p>
        </w:tc>
        <w:tc>
          <w:tcPr>
            <w:tcW w:w="511" w:type="pct"/>
            <w:vAlign w:val="bottom"/>
          </w:tcPr>
          <w:p w14:paraId="1BECFAB9" w14:textId="5C03DCD7"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17.748.472</w:t>
            </w:r>
          </w:p>
        </w:tc>
        <w:tc>
          <w:tcPr>
            <w:tcW w:w="532" w:type="pct"/>
            <w:vAlign w:val="bottom"/>
          </w:tcPr>
          <w:p w14:paraId="6D5B46B3" w14:textId="672842FB"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1.655.520</w:t>
            </w:r>
          </w:p>
        </w:tc>
        <w:tc>
          <w:tcPr>
            <w:tcW w:w="508" w:type="pct"/>
            <w:vAlign w:val="bottom"/>
          </w:tcPr>
          <w:p w14:paraId="61B42368" w14:textId="73119A6E"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23.303.491</w:t>
            </w:r>
          </w:p>
        </w:tc>
        <w:tc>
          <w:tcPr>
            <w:tcW w:w="508" w:type="pct"/>
            <w:vAlign w:val="bottom"/>
          </w:tcPr>
          <w:p w14:paraId="56BF39A7" w14:textId="114AE34E"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27.231.604</w:t>
            </w:r>
          </w:p>
        </w:tc>
        <w:tc>
          <w:tcPr>
            <w:tcW w:w="509" w:type="pct"/>
            <w:vAlign w:val="bottom"/>
          </w:tcPr>
          <w:p w14:paraId="01139297" w14:textId="4A6B22C3"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39.250.078</w:t>
            </w:r>
          </w:p>
        </w:tc>
        <w:tc>
          <w:tcPr>
            <w:tcW w:w="509" w:type="pct"/>
            <w:vAlign w:val="bottom"/>
          </w:tcPr>
          <w:p w14:paraId="66EB52F1" w14:textId="1D86BE83"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960</w:t>
            </w:r>
          </w:p>
        </w:tc>
        <w:tc>
          <w:tcPr>
            <w:tcW w:w="531" w:type="pct"/>
            <w:vAlign w:val="bottom"/>
          </w:tcPr>
          <w:p w14:paraId="6CD9C835" w14:textId="2F2119F8"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109.190.125</w:t>
            </w:r>
          </w:p>
        </w:tc>
      </w:tr>
      <w:tr w:rsidR="000A339B" w:rsidRPr="00FB38E1" w14:paraId="0C7BE9BB" w14:textId="77777777" w:rsidTr="003D480A">
        <w:tc>
          <w:tcPr>
            <w:tcW w:w="1392" w:type="pct"/>
            <w:vAlign w:val="bottom"/>
          </w:tcPr>
          <w:p w14:paraId="02EFA8CF" w14:textId="6715C4B2"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Verilen Krediler </w:t>
            </w:r>
            <w:r w:rsidRPr="00FB38E1">
              <w:rPr>
                <w:rFonts w:ascii="Microsoft Sans Serif" w:hAnsi="Microsoft Sans Serif" w:cs="Microsoft Sans Serif"/>
                <w:color w:val="404040"/>
                <w:sz w:val="14"/>
                <w:szCs w:val="14"/>
                <w:vertAlign w:val="superscript"/>
              </w:rPr>
              <w:t>(4)</w:t>
            </w:r>
          </w:p>
        </w:tc>
        <w:tc>
          <w:tcPr>
            <w:tcW w:w="511" w:type="pct"/>
            <w:vAlign w:val="bottom"/>
          </w:tcPr>
          <w:p w14:paraId="3F2BAE18" w14:textId="7C400888"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285.854.435</w:t>
            </w:r>
          </w:p>
        </w:tc>
        <w:tc>
          <w:tcPr>
            <w:tcW w:w="532" w:type="pct"/>
            <w:vAlign w:val="bottom"/>
          </w:tcPr>
          <w:p w14:paraId="09C29E99" w14:textId="382BE829"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100.987.629</w:t>
            </w:r>
          </w:p>
        </w:tc>
        <w:tc>
          <w:tcPr>
            <w:tcW w:w="508" w:type="pct"/>
            <w:vAlign w:val="bottom"/>
          </w:tcPr>
          <w:p w14:paraId="0A4B0FD4" w14:textId="5C9BED76"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180.895.153</w:t>
            </w:r>
          </w:p>
        </w:tc>
        <w:tc>
          <w:tcPr>
            <w:tcW w:w="508" w:type="pct"/>
            <w:vAlign w:val="bottom"/>
          </w:tcPr>
          <w:p w14:paraId="7CAAECFD" w14:textId="297E58C2"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105.850.193</w:t>
            </w:r>
          </w:p>
        </w:tc>
        <w:tc>
          <w:tcPr>
            <w:tcW w:w="509" w:type="pct"/>
            <w:vAlign w:val="bottom"/>
          </w:tcPr>
          <w:p w14:paraId="44528FDC" w14:textId="321FD049"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15.618.346</w:t>
            </w:r>
          </w:p>
        </w:tc>
        <w:tc>
          <w:tcPr>
            <w:tcW w:w="509" w:type="pct"/>
            <w:vAlign w:val="bottom"/>
          </w:tcPr>
          <w:p w14:paraId="2E65BEC5" w14:textId="7F9EEB9C"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10.976.927</w:t>
            </w:r>
          </w:p>
        </w:tc>
        <w:tc>
          <w:tcPr>
            <w:tcW w:w="531" w:type="pct"/>
            <w:vAlign w:val="bottom"/>
          </w:tcPr>
          <w:p w14:paraId="105448DC" w14:textId="3BDEEF9F"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700.182.683</w:t>
            </w:r>
          </w:p>
        </w:tc>
      </w:tr>
      <w:tr w:rsidR="000A339B" w:rsidRPr="00FB38E1" w14:paraId="61D7233A" w14:textId="77777777" w:rsidTr="003D480A">
        <w:tc>
          <w:tcPr>
            <w:tcW w:w="1392" w:type="pct"/>
            <w:vAlign w:val="bottom"/>
          </w:tcPr>
          <w:p w14:paraId="08C25B31" w14:textId="7042EA53" w:rsidR="000A339B" w:rsidRPr="00FB38E1" w:rsidRDefault="000A339B" w:rsidP="000A339B">
            <w:pPr>
              <w:ind w:left="142"/>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İtfa Edilmiş Maliyeti Üzerinden Değerlenen Finansal Varlıklar</w:t>
            </w:r>
            <w:r w:rsidRPr="00FB38E1">
              <w:rPr>
                <w:rFonts w:ascii="Microsoft Sans Serif" w:hAnsi="Microsoft Sans Serif" w:cs="Microsoft Sans Serif"/>
                <w:color w:val="404040"/>
                <w:sz w:val="14"/>
                <w:szCs w:val="14"/>
                <w:vertAlign w:val="superscript"/>
              </w:rPr>
              <w:t>(2)</w:t>
            </w:r>
          </w:p>
        </w:tc>
        <w:tc>
          <w:tcPr>
            <w:tcW w:w="511" w:type="pct"/>
            <w:vAlign w:val="bottom"/>
          </w:tcPr>
          <w:p w14:paraId="23311961" w14:textId="4FA1E826"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1.957.141</w:t>
            </w:r>
          </w:p>
        </w:tc>
        <w:tc>
          <w:tcPr>
            <w:tcW w:w="532" w:type="pct"/>
            <w:vAlign w:val="bottom"/>
          </w:tcPr>
          <w:p w14:paraId="2DA76905" w14:textId="56084857"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40.964.601</w:t>
            </w:r>
          </w:p>
        </w:tc>
        <w:tc>
          <w:tcPr>
            <w:tcW w:w="508" w:type="pct"/>
            <w:vAlign w:val="bottom"/>
          </w:tcPr>
          <w:p w14:paraId="0A74A2F0" w14:textId="2D13A3C2"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12.414.018</w:t>
            </w:r>
          </w:p>
        </w:tc>
        <w:tc>
          <w:tcPr>
            <w:tcW w:w="508" w:type="pct"/>
            <w:vAlign w:val="bottom"/>
          </w:tcPr>
          <w:p w14:paraId="379B748E" w14:textId="336E287A"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6.258.916</w:t>
            </w:r>
          </w:p>
        </w:tc>
        <w:tc>
          <w:tcPr>
            <w:tcW w:w="509" w:type="pct"/>
            <w:vAlign w:val="bottom"/>
          </w:tcPr>
          <w:p w14:paraId="61D33B3C" w14:textId="2156F9DD"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3.992.885</w:t>
            </w:r>
          </w:p>
        </w:tc>
        <w:tc>
          <w:tcPr>
            <w:tcW w:w="509" w:type="pct"/>
            <w:vAlign w:val="bottom"/>
          </w:tcPr>
          <w:p w14:paraId="7F9449DB" w14:textId="724F745F"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76E24753" w14:textId="7165FBF8"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65.587.561</w:t>
            </w:r>
          </w:p>
        </w:tc>
      </w:tr>
      <w:tr w:rsidR="000A339B" w:rsidRPr="00FB38E1" w14:paraId="1185ECB3" w14:textId="77777777" w:rsidTr="003D480A">
        <w:tc>
          <w:tcPr>
            <w:tcW w:w="1392" w:type="pct"/>
            <w:tcBorders>
              <w:bottom w:val="single" w:sz="4" w:space="0" w:color="auto"/>
            </w:tcBorders>
            <w:vAlign w:val="bottom"/>
          </w:tcPr>
          <w:p w14:paraId="156F4D74" w14:textId="1D188997"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Varlıklar</w:t>
            </w:r>
            <w:r w:rsidRPr="00FB38E1">
              <w:rPr>
                <w:rFonts w:ascii="Microsoft Sans Serif" w:hAnsi="Microsoft Sans Serif" w:cs="Microsoft Sans Serif"/>
                <w:color w:val="404040"/>
                <w:sz w:val="14"/>
                <w:szCs w:val="14"/>
                <w:vertAlign w:val="superscript"/>
              </w:rPr>
              <w:t>(3)</w:t>
            </w:r>
          </w:p>
        </w:tc>
        <w:tc>
          <w:tcPr>
            <w:tcW w:w="511" w:type="pct"/>
            <w:tcBorders>
              <w:bottom w:val="single" w:sz="4" w:space="0" w:color="auto"/>
            </w:tcBorders>
            <w:vAlign w:val="bottom"/>
          </w:tcPr>
          <w:p w14:paraId="69FB0566" w14:textId="063C5261"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5E0B04FA" w14:textId="19E43747"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67CACC60" w14:textId="449363BD"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6A0F6BBE" w14:textId="17B51679"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1.114.561</w:t>
            </w:r>
          </w:p>
        </w:tc>
        <w:tc>
          <w:tcPr>
            <w:tcW w:w="509" w:type="pct"/>
            <w:tcBorders>
              <w:bottom w:val="single" w:sz="4" w:space="0" w:color="auto"/>
            </w:tcBorders>
            <w:vAlign w:val="bottom"/>
          </w:tcPr>
          <w:p w14:paraId="6CA5554D" w14:textId="41441C08"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DC65FCA" w14:textId="6F51932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167.038.665</w:t>
            </w:r>
          </w:p>
        </w:tc>
        <w:tc>
          <w:tcPr>
            <w:tcW w:w="531" w:type="pct"/>
            <w:tcBorders>
              <w:bottom w:val="single" w:sz="4" w:space="0" w:color="auto"/>
            </w:tcBorders>
            <w:vAlign w:val="bottom"/>
          </w:tcPr>
          <w:p w14:paraId="5E5582C0" w14:textId="7B741F96"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168.153.226</w:t>
            </w:r>
          </w:p>
        </w:tc>
      </w:tr>
      <w:tr w:rsidR="000A339B" w:rsidRPr="00FB38E1" w14:paraId="249A9760" w14:textId="77777777" w:rsidTr="003D480A">
        <w:tc>
          <w:tcPr>
            <w:tcW w:w="1392" w:type="pct"/>
            <w:tcBorders>
              <w:top w:val="single" w:sz="4" w:space="0" w:color="auto"/>
              <w:bottom w:val="single" w:sz="4" w:space="0" w:color="auto"/>
            </w:tcBorders>
            <w:vAlign w:val="bottom"/>
          </w:tcPr>
          <w:p w14:paraId="59D6468C" w14:textId="77777777" w:rsidR="000A339B" w:rsidRPr="00FB38E1" w:rsidRDefault="000A339B" w:rsidP="000A339B">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Varlıklar</w:t>
            </w:r>
          </w:p>
        </w:tc>
        <w:tc>
          <w:tcPr>
            <w:tcW w:w="511" w:type="pct"/>
            <w:tcBorders>
              <w:top w:val="single" w:sz="4" w:space="0" w:color="auto"/>
              <w:bottom w:val="single" w:sz="4" w:space="0" w:color="auto"/>
            </w:tcBorders>
            <w:vAlign w:val="bottom"/>
          </w:tcPr>
          <w:p w14:paraId="0C5D598E" w14:textId="0510C92C"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386.793.971</w:t>
            </w:r>
          </w:p>
        </w:tc>
        <w:tc>
          <w:tcPr>
            <w:tcW w:w="532" w:type="pct"/>
            <w:tcBorders>
              <w:top w:val="single" w:sz="4" w:space="0" w:color="auto"/>
              <w:bottom w:val="single" w:sz="4" w:space="0" w:color="auto"/>
            </w:tcBorders>
            <w:vAlign w:val="bottom"/>
          </w:tcPr>
          <w:p w14:paraId="74415740" w14:textId="2262C139"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143.716.322</w:t>
            </w:r>
          </w:p>
        </w:tc>
        <w:tc>
          <w:tcPr>
            <w:tcW w:w="508" w:type="pct"/>
            <w:tcBorders>
              <w:top w:val="single" w:sz="4" w:space="0" w:color="auto"/>
              <w:bottom w:val="single" w:sz="4" w:space="0" w:color="auto"/>
            </w:tcBorders>
            <w:vAlign w:val="bottom"/>
          </w:tcPr>
          <w:p w14:paraId="09BD3B13" w14:textId="04E5739F"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216.663.471</w:t>
            </w:r>
          </w:p>
        </w:tc>
        <w:tc>
          <w:tcPr>
            <w:tcW w:w="508" w:type="pct"/>
            <w:tcBorders>
              <w:top w:val="single" w:sz="4" w:space="0" w:color="auto"/>
              <w:bottom w:val="single" w:sz="4" w:space="0" w:color="auto"/>
            </w:tcBorders>
            <w:vAlign w:val="bottom"/>
          </w:tcPr>
          <w:p w14:paraId="3B8FEF17" w14:textId="708FB384"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141.525.249</w:t>
            </w:r>
          </w:p>
        </w:tc>
        <w:tc>
          <w:tcPr>
            <w:tcW w:w="509" w:type="pct"/>
            <w:tcBorders>
              <w:top w:val="single" w:sz="4" w:space="0" w:color="auto"/>
              <w:bottom w:val="single" w:sz="4" w:space="0" w:color="auto"/>
            </w:tcBorders>
            <w:vAlign w:val="bottom"/>
          </w:tcPr>
          <w:p w14:paraId="1BD41F1F" w14:textId="577B10BA"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59.046.189</w:t>
            </w:r>
          </w:p>
        </w:tc>
        <w:tc>
          <w:tcPr>
            <w:tcW w:w="509" w:type="pct"/>
            <w:tcBorders>
              <w:top w:val="single" w:sz="4" w:space="0" w:color="auto"/>
              <w:bottom w:val="single" w:sz="4" w:space="0" w:color="auto"/>
            </w:tcBorders>
            <w:vAlign w:val="bottom"/>
          </w:tcPr>
          <w:p w14:paraId="33BAB2F7" w14:textId="00C45C30"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422.875.830</w:t>
            </w:r>
          </w:p>
        </w:tc>
        <w:tc>
          <w:tcPr>
            <w:tcW w:w="531" w:type="pct"/>
            <w:tcBorders>
              <w:top w:val="single" w:sz="4" w:space="0" w:color="auto"/>
              <w:bottom w:val="single" w:sz="4" w:space="0" w:color="auto"/>
            </w:tcBorders>
            <w:vAlign w:val="bottom"/>
          </w:tcPr>
          <w:p w14:paraId="1C708B3E" w14:textId="1C70C624"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1.370.621.032</w:t>
            </w:r>
          </w:p>
        </w:tc>
      </w:tr>
      <w:tr w:rsidR="00715500" w:rsidRPr="00FB38E1" w14:paraId="34FE8505" w14:textId="77777777" w:rsidTr="003D480A">
        <w:tc>
          <w:tcPr>
            <w:tcW w:w="1392" w:type="pct"/>
            <w:tcBorders>
              <w:top w:val="single" w:sz="4" w:space="0" w:color="auto"/>
            </w:tcBorders>
            <w:vAlign w:val="bottom"/>
          </w:tcPr>
          <w:p w14:paraId="59AE0D26" w14:textId="77777777" w:rsidR="00715500" w:rsidRPr="00FB38E1" w:rsidRDefault="00715500" w:rsidP="00715500">
            <w:pPr>
              <w:rPr>
                <w:rFonts w:ascii="Microsoft Sans Serif" w:hAnsi="Microsoft Sans Serif" w:cs="Microsoft Sans Serif"/>
                <w:color w:val="000000"/>
                <w:sz w:val="14"/>
                <w:szCs w:val="14"/>
              </w:rPr>
            </w:pPr>
          </w:p>
        </w:tc>
        <w:tc>
          <w:tcPr>
            <w:tcW w:w="511" w:type="pct"/>
            <w:tcBorders>
              <w:top w:val="single" w:sz="4" w:space="0" w:color="auto"/>
            </w:tcBorders>
            <w:vAlign w:val="bottom"/>
          </w:tcPr>
          <w:p w14:paraId="053B4B64" w14:textId="77777777" w:rsidR="00715500" w:rsidRPr="00FB38E1" w:rsidRDefault="00715500" w:rsidP="00715500">
            <w:pPr>
              <w:jc w:val="right"/>
              <w:rPr>
                <w:rFonts w:ascii="Microsoft Sans Serif" w:hAnsi="Microsoft Sans Serif" w:cs="Microsoft Sans Serif"/>
                <w:b/>
                <w:bCs/>
                <w:color w:val="000000"/>
                <w:sz w:val="14"/>
                <w:szCs w:val="14"/>
              </w:rPr>
            </w:pPr>
          </w:p>
        </w:tc>
        <w:tc>
          <w:tcPr>
            <w:tcW w:w="532" w:type="pct"/>
            <w:tcBorders>
              <w:top w:val="single" w:sz="4" w:space="0" w:color="auto"/>
            </w:tcBorders>
            <w:vAlign w:val="bottom"/>
          </w:tcPr>
          <w:p w14:paraId="4EC7F3F9" w14:textId="77777777" w:rsidR="00715500" w:rsidRPr="00FB38E1" w:rsidRDefault="00715500" w:rsidP="00715500">
            <w:pPr>
              <w:jc w:val="right"/>
              <w:rPr>
                <w:sz w:val="14"/>
                <w:szCs w:val="14"/>
              </w:rPr>
            </w:pPr>
          </w:p>
        </w:tc>
        <w:tc>
          <w:tcPr>
            <w:tcW w:w="508" w:type="pct"/>
            <w:tcBorders>
              <w:top w:val="single" w:sz="4" w:space="0" w:color="auto"/>
            </w:tcBorders>
            <w:vAlign w:val="bottom"/>
          </w:tcPr>
          <w:p w14:paraId="67E77D95" w14:textId="77777777" w:rsidR="00715500" w:rsidRPr="00FB38E1" w:rsidRDefault="00715500" w:rsidP="00715500">
            <w:pPr>
              <w:jc w:val="right"/>
              <w:rPr>
                <w:sz w:val="14"/>
                <w:szCs w:val="14"/>
              </w:rPr>
            </w:pPr>
          </w:p>
        </w:tc>
        <w:tc>
          <w:tcPr>
            <w:tcW w:w="508" w:type="pct"/>
            <w:tcBorders>
              <w:top w:val="single" w:sz="4" w:space="0" w:color="auto"/>
            </w:tcBorders>
            <w:vAlign w:val="bottom"/>
          </w:tcPr>
          <w:p w14:paraId="36C9AD13" w14:textId="77777777" w:rsidR="00715500" w:rsidRPr="00FB38E1" w:rsidRDefault="00715500" w:rsidP="00715500">
            <w:pPr>
              <w:jc w:val="right"/>
              <w:rPr>
                <w:sz w:val="14"/>
                <w:szCs w:val="14"/>
              </w:rPr>
            </w:pPr>
          </w:p>
        </w:tc>
        <w:tc>
          <w:tcPr>
            <w:tcW w:w="509" w:type="pct"/>
            <w:tcBorders>
              <w:top w:val="single" w:sz="4" w:space="0" w:color="auto"/>
            </w:tcBorders>
            <w:vAlign w:val="bottom"/>
          </w:tcPr>
          <w:p w14:paraId="7201739D" w14:textId="77777777" w:rsidR="00715500" w:rsidRPr="00FB38E1" w:rsidRDefault="00715500" w:rsidP="00715500">
            <w:pPr>
              <w:jc w:val="right"/>
              <w:rPr>
                <w:sz w:val="14"/>
                <w:szCs w:val="14"/>
              </w:rPr>
            </w:pPr>
          </w:p>
        </w:tc>
        <w:tc>
          <w:tcPr>
            <w:tcW w:w="509" w:type="pct"/>
            <w:tcBorders>
              <w:top w:val="single" w:sz="4" w:space="0" w:color="auto"/>
            </w:tcBorders>
            <w:vAlign w:val="bottom"/>
          </w:tcPr>
          <w:p w14:paraId="3CBD3357" w14:textId="77777777" w:rsidR="00715500" w:rsidRPr="00FB38E1" w:rsidRDefault="00715500" w:rsidP="00715500">
            <w:pPr>
              <w:jc w:val="right"/>
              <w:rPr>
                <w:sz w:val="14"/>
                <w:szCs w:val="14"/>
              </w:rPr>
            </w:pPr>
          </w:p>
        </w:tc>
        <w:tc>
          <w:tcPr>
            <w:tcW w:w="531" w:type="pct"/>
            <w:tcBorders>
              <w:top w:val="single" w:sz="4" w:space="0" w:color="auto"/>
            </w:tcBorders>
            <w:vAlign w:val="bottom"/>
          </w:tcPr>
          <w:p w14:paraId="41675A43" w14:textId="77777777" w:rsidR="00715500" w:rsidRPr="00FB38E1" w:rsidRDefault="00715500" w:rsidP="00715500">
            <w:pPr>
              <w:jc w:val="right"/>
              <w:rPr>
                <w:sz w:val="14"/>
                <w:szCs w:val="14"/>
              </w:rPr>
            </w:pPr>
          </w:p>
        </w:tc>
      </w:tr>
      <w:tr w:rsidR="00715500" w:rsidRPr="00FB38E1" w14:paraId="78751044" w14:textId="77777777" w:rsidTr="003D480A">
        <w:tc>
          <w:tcPr>
            <w:tcW w:w="1392" w:type="pct"/>
            <w:vAlign w:val="bottom"/>
          </w:tcPr>
          <w:p w14:paraId="2341F200" w14:textId="77777777" w:rsidR="00715500" w:rsidRPr="00FB38E1" w:rsidRDefault="00715500" w:rsidP="00715500">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Yükümlülükler</w:t>
            </w:r>
          </w:p>
        </w:tc>
        <w:tc>
          <w:tcPr>
            <w:tcW w:w="511" w:type="pct"/>
            <w:vAlign w:val="bottom"/>
          </w:tcPr>
          <w:p w14:paraId="33EDB408" w14:textId="77777777" w:rsidR="00715500" w:rsidRPr="00FB38E1" w:rsidRDefault="00715500" w:rsidP="00715500">
            <w:pPr>
              <w:jc w:val="right"/>
              <w:rPr>
                <w:sz w:val="14"/>
                <w:szCs w:val="14"/>
              </w:rPr>
            </w:pPr>
          </w:p>
        </w:tc>
        <w:tc>
          <w:tcPr>
            <w:tcW w:w="532" w:type="pct"/>
            <w:vAlign w:val="bottom"/>
          </w:tcPr>
          <w:p w14:paraId="41205C11" w14:textId="77777777" w:rsidR="00715500" w:rsidRPr="00FB38E1" w:rsidRDefault="00715500" w:rsidP="00715500">
            <w:pPr>
              <w:jc w:val="right"/>
              <w:rPr>
                <w:sz w:val="14"/>
                <w:szCs w:val="14"/>
              </w:rPr>
            </w:pPr>
          </w:p>
        </w:tc>
        <w:tc>
          <w:tcPr>
            <w:tcW w:w="508" w:type="pct"/>
            <w:vAlign w:val="bottom"/>
          </w:tcPr>
          <w:p w14:paraId="1178C4C1" w14:textId="77777777" w:rsidR="00715500" w:rsidRPr="00FB38E1" w:rsidRDefault="00715500" w:rsidP="00715500">
            <w:pPr>
              <w:jc w:val="right"/>
              <w:rPr>
                <w:sz w:val="14"/>
                <w:szCs w:val="14"/>
              </w:rPr>
            </w:pPr>
          </w:p>
        </w:tc>
        <w:tc>
          <w:tcPr>
            <w:tcW w:w="508" w:type="pct"/>
            <w:vAlign w:val="bottom"/>
          </w:tcPr>
          <w:p w14:paraId="6120EC04" w14:textId="77777777" w:rsidR="00715500" w:rsidRPr="00FB38E1" w:rsidRDefault="00715500" w:rsidP="00715500">
            <w:pPr>
              <w:jc w:val="right"/>
              <w:rPr>
                <w:sz w:val="14"/>
                <w:szCs w:val="14"/>
              </w:rPr>
            </w:pPr>
          </w:p>
        </w:tc>
        <w:tc>
          <w:tcPr>
            <w:tcW w:w="509" w:type="pct"/>
            <w:vAlign w:val="bottom"/>
          </w:tcPr>
          <w:p w14:paraId="470B2F5E" w14:textId="77777777" w:rsidR="00715500" w:rsidRPr="00FB38E1" w:rsidRDefault="00715500" w:rsidP="00715500">
            <w:pPr>
              <w:jc w:val="right"/>
              <w:rPr>
                <w:sz w:val="14"/>
                <w:szCs w:val="14"/>
              </w:rPr>
            </w:pPr>
          </w:p>
        </w:tc>
        <w:tc>
          <w:tcPr>
            <w:tcW w:w="509" w:type="pct"/>
            <w:vAlign w:val="bottom"/>
          </w:tcPr>
          <w:p w14:paraId="132501CB" w14:textId="77777777" w:rsidR="00715500" w:rsidRPr="00FB38E1" w:rsidRDefault="00715500" w:rsidP="00715500">
            <w:pPr>
              <w:jc w:val="right"/>
              <w:rPr>
                <w:sz w:val="14"/>
                <w:szCs w:val="14"/>
              </w:rPr>
            </w:pPr>
          </w:p>
        </w:tc>
        <w:tc>
          <w:tcPr>
            <w:tcW w:w="531" w:type="pct"/>
            <w:vAlign w:val="bottom"/>
          </w:tcPr>
          <w:p w14:paraId="0DC277A8" w14:textId="77777777" w:rsidR="00715500" w:rsidRPr="00FB38E1" w:rsidRDefault="00715500" w:rsidP="00715500">
            <w:pPr>
              <w:jc w:val="right"/>
              <w:rPr>
                <w:sz w:val="14"/>
                <w:szCs w:val="14"/>
              </w:rPr>
            </w:pPr>
          </w:p>
        </w:tc>
      </w:tr>
      <w:tr w:rsidR="000A339B" w:rsidRPr="00FB38E1" w14:paraId="46EE23EA" w14:textId="77777777" w:rsidTr="003D480A">
        <w:tc>
          <w:tcPr>
            <w:tcW w:w="1392" w:type="pct"/>
            <w:vAlign w:val="bottom"/>
          </w:tcPr>
          <w:p w14:paraId="3DFDEF4C" w14:textId="77777777"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 Mevduatı</w:t>
            </w:r>
          </w:p>
        </w:tc>
        <w:tc>
          <w:tcPr>
            <w:tcW w:w="511" w:type="pct"/>
            <w:vAlign w:val="bottom"/>
          </w:tcPr>
          <w:p w14:paraId="51D21458" w14:textId="26DEDEA9"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2.679.306</w:t>
            </w:r>
          </w:p>
        </w:tc>
        <w:tc>
          <w:tcPr>
            <w:tcW w:w="532" w:type="pct"/>
            <w:vAlign w:val="bottom"/>
          </w:tcPr>
          <w:p w14:paraId="036356BA" w14:textId="5281C21B"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770.573</w:t>
            </w:r>
          </w:p>
        </w:tc>
        <w:tc>
          <w:tcPr>
            <w:tcW w:w="508" w:type="pct"/>
            <w:vAlign w:val="bottom"/>
          </w:tcPr>
          <w:p w14:paraId="1502E07C" w14:textId="48280986"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2.070.076</w:t>
            </w:r>
          </w:p>
        </w:tc>
        <w:tc>
          <w:tcPr>
            <w:tcW w:w="508" w:type="pct"/>
            <w:vAlign w:val="bottom"/>
          </w:tcPr>
          <w:p w14:paraId="2A6AB064" w14:textId="45E40DF9"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59FDC0C5" w14:textId="5DFE3A3F"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76D93A9A" w14:textId="080F3631"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945.915</w:t>
            </w:r>
          </w:p>
        </w:tc>
        <w:tc>
          <w:tcPr>
            <w:tcW w:w="531" w:type="pct"/>
            <w:vAlign w:val="bottom"/>
          </w:tcPr>
          <w:p w14:paraId="06AA1B83" w14:textId="4135F878"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6.465.870</w:t>
            </w:r>
          </w:p>
        </w:tc>
      </w:tr>
      <w:tr w:rsidR="000A339B" w:rsidRPr="00FB38E1" w14:paraId="50937006" w14:textId="77777777" w:rsidTr="003D480A">
        <w:tc>
          <w:tcPr>
            <w:tcW w:w="1392" w:type="pct"/>
            <w:vAlign w:val="bottom"/>
          </w:tcPr>
          <w:p w14:paraId="38E4B21B" w14:textId="77777777"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Mevduat</w:t>
            </w:r>
          </w:p>
        </w:tc>
        <w:tc>
          <w:tcPr>
            <w:tcW w:w="511" w:type="pct"/>
            <w:vAlign w:val="bottom"/>
          </w:tcPr>
          <w:p w14:paraId="38919771" w14:textId="1BE252F3"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330.337.524</w:t>
            </w:r>
          </w:p>
        </w:tc>
        <w:tc>
          <w:tcPr>
            <w:tcW w:w="532" w:type="pct"/>
            <w:vAlign w:val="bottom"/>
          </w:tcPr>
          <w:p w14:paraId="446B9787" w14:textId="6F242D70"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153.940.086</w:t>
            </w:r>
          </w:p>
        </w:tc>
        <w:tc>
          <w:tcPr>
            <w:tcW w:w="508" w:type="pct"/>
            <w:vAlign w:val="bottom"/>
          </w:tcPr>
          <w:p w14:paraId="6EA0E8D6" w14:textId="6B7C432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92.201.251</w:t>
            </w:r>
          </w:p>
        </w:tc>
        <w:tc>
          <w:tcPr>
            <w:tcW w:w="508" w:type="pct"/>
            <w:vAlign w:val="bottom"/>
          </w:tcPr>
          <w:p w14:paraId="2E114EEE" w14:textId="4B7B3FF0"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2.733.135</w:t>
            </w:r>
          </w:p>
        </w:tc>
        <w:tc>
          <w:tcPr>
            <w:tcW w:w="509" w:type="pct"/>
            <w:vAlign w:val="bottom"/>
          </w:tcPr>
          <w:p w14:paraId="690DDD98" w14:textId="7F98455F"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53FB07F4" w14:textId="13A514F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176.763.950</w:t>
            </w:r>
          </w:p>
        </w:tc>
        <w:tc>
          <w:tcPr>
            <w:tcW w:w="531" w:type="pct"/>
            <w:vAlign w:val="bottom"/>
          </w:tcPr>
          <w:p w14:paraId="606CFF85" w14:textId="0B1E0BA0"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755.975.946</w:t>
            </w:r>
          </w:p>
        </w:tc>
      </w:tr>
      <w:tr w:rsidR="000A339B" w:rsidRPr="00FB38E1" w14:paraId="0940521D" w14:textId="77777777" w:rsidTr="003D480A">
        <w:tc>
          <w:tcPr>
            <w:tcW w:w="1392" w:type="pct"/>
            <w:vAlign w:val="bottom"/>
          </w:tcPr>
          <w:p w14:paraId="433D86CC" w14:textId="77777777"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Piyasalarına Borçlar</w:t>
            </w:r>
          </w:p>
        </w:tc>
        <w:tc>
          <w:tcPr>
            <w:tcW w:w="511" w:type="pct"/>
            <w:vAlign w:val="bottom"/>
          </w:tcPr>
          <w:p w14:paraId="2A691A2D" w14:textId="0744BCD6"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33.600.669</w:t>
            </w:r>
          </w:p>
        </w:tc>
        <w:tc>
          <w:tcPr>
            <w:tcW w:w="532" w:type="pct"/>
            <w:vAlign w:val="bottom"/>
          </w:tcPr>
          <w:p w14:paraId="1D1DF090" w14:textId="576E821C"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463.532</w:t>
            </w:r>
          </w:p>
        </w:tc>
        <w:tc>
          <w:tcPr>
            <w:tcW w:w="508" w:type="pct"/>
            <w:vAlign w:val="bottom"/>
          </w:tcPr>
          <w:p w14:paraId="20A29157" w14:textId="332362FC"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753.377</w:t>
            </w:r>
          </w:p>
        </w:tc>
        <w:tc>
          <w:tcPr>
            <w:tcW w:w="508" w:type="pct"/>
            <w:vAlign w:val="bottom"/>
          </w:tcPr>
          <w:p w14:paraId="17AE85F5" w14:textId="63422A6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D55C932" w14:textId="3C2C9C1C"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7F1437AF" w14:textId="09D1A16C"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45A94170" w14:textId="55D1E45C"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34.817.578</w:t>
            </w:r>
          </w:p>
        </w:tc>
      </w:tr>
      <w:tr w:rsidR="000A339B" w:rsidRPr="00FB38E1" w14:paraId="04309780" w14:textId="77777777" w:rsidTr="003D480A">
        <w:tc>
          <w:tcPr>
            <w:tcW w:w="1392" w:type="pct"/>
            <w:vAlign w:val="bottom"/>
          </w:tcPr>
          <w:p w14:paraId="039ACFA5" w14:textId="77777777"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Muhtelif Borçlar</w:t>
            </w:r>
          </w:p>
        </w:tc>
        <w:tc>
          <w:tcPr>
            <w:tcW w:w="511" w:type="pct"/>
            <w:vAlign w:val="bottom"/>
          </w:tcPr>
          <w:p w14:paraId="651CADC1" w14:textId="5ABA1B26"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vAlign w:val="bottom"/>
          </w:tcPr>
          <w:p w14:paraId="1842A387" w14:textId="7B0AA129"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4F88206C" w14:textId="5803D581"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3450B9C9" w14:textId="1A7EF512"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7F412BD" w14:textId="0BF9FA6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097F916A" w14:textId="13DC07FD"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7DFA3E2F" w14:textId="4587A3CC"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0A339B" w:rsidRPr="00FB38E1" w14:paraId="5643C9AE" w14:textId="77777777" w:rsidTr="003D480A">
        <w:tc>
          <w:tcPr>
            <w:tcW w:w="1392" w:type="pct"/>
            <w:vAlign w:val="bottom"/>
          </w:tcPr>
          <w:p w14:paraId="5730B7E1" w14:textId="77777777"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İhraç Edilen Menkul Değerler</w:t>
            </w:r>
          </w:p>
        </w:tc>
        <w:tc>
          <w:tcPr>
            <w:tcW w:w="511" w:type="pct"/>
            <w:vAlign w:val="bottom"/>
          </w:tcPr>
          <w:p w14:paraId="030B1D4A" w14:textId="413C7224"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3.737.511</w:t>
            </w:r>
          </w:p>
        </w:tc>
        <w:tc>
          <w:tcPr>
            <w:tcW w:w="532" w:type="pct"/>
            <w:vAlign w:val="bottom"/>
          </w:tcPr>
          <w:p w14:paraId="5C6F5E99" w14:textId="0EF9F625"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13.364.995</w:t>
            </w:r>
          </w:p>
        </w:tc>
        <w:tc>
          <w:tcPr>
            <w:tcW w:w="508" w:type="pct"/>
            <w:vAlign w:val="bottom"/>
          </w:tcPr>
          <w:p w14:paraId="378CEEB3" w14:textId="00994A5F"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34.091.346</w:t>
            </w:r>
          </w:p>
        </w:tc>
        <w:tc>
          <w:tcPr>
            <w:tcW w:w="508" w:type="pct"/>
            <w:vAlign w:val="bottom"/>
          </w:tcPr>
          <w:p w14:paraId="34AE0EB6" w14:textId="4ACC471B"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2.967.073</w:t>
            </w:r>
          </w:p>
        </w:tc>
        <w:tc>
          <w:tcPr>
            <w:tcW w:w="509" w:type="pct"/>
            <w:vAlign w:val="bottom"/>
          </w:tcPr>
          <w:p w14:paraId="1477331D" w14:textId="740349DF"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3BF08E97" w14:textId="58B7C673"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169B1365" w14:textId="00010407"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54.160.925</w:t>
            </w:r>
          </w:p>
        </w:tc>
      </w:tr>
      <w:tr w:rsidR="000A339B" w:rsidRPr="00FB38E1" w14:paraId="53E92090" w14:textId="77777777" w:rsidTr="003D480A">
        <w:tc>
          <w:tcPr>
            <w:tcW w:w="1392" w:type="pct"/>
            <w:vAlign w:val="bottom"/>
          </w:tcPr>
          <w:p w14:paraId="019CF6B3" w14:textId="77777777"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Mali Kurul. Sağl. Fonlar</w:t>
            </w:r>
          </w:p>
        </w:tc>
        <w:tc>
          <w:tcPr>
            <w:tcW w:w="511" w:type="pct"/>
            <w:vAlign w:val="bottom"/>
          </w:tcPr>
          <w:p w14:paraId="7DB0E65F" w14:textId="32F0FC29"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27.998.918</w:t>
            </w:r>
          </w:p>
        </w:tc>
        <w:tc>
          <w:tcPr>
            <w:tcW w:w="532" w:type="pct"/>
            <w:vAlign w:val="bottom"/>
          </w:tcPr>
          <w:p w14:paraId="0682D74F" w14:textId="2CF74326"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124.657.283</w:t>
            </w:r>
          </w:p>
        </w:tc>
        <w:tc>
          <w:tcPr>
            <w:tcW w:w="508" w:type="pct"/>
            <w:vAlign w:val="bottom"/>
          </w:tcPr>
          <w:p w14:paraId="648A960A" w14:textId="048F9A20"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76.887.564</w:t>
            </w:r>
          </w:p>
        </w:tc>
        <w:tc>
          <w:tcPr>
            <w:tcW w:w="508" w:type="pct"/>
            <w:vAlign w:val="bottom"/>
          </w:tcPr>
          <w:p w14:paraId="33AADB25" w14:textId="066D5E81"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933.302</w:t>
            </w:r>
          </w:p>
        </w:tc>
        <w:tc>
          <w:tcPr>
            <w:tcW w:w="509" w:type="pct"/>
            <w:vAlign w:val="bottom"/>
          </w:tcPr>
          <w:p w14:paraId="3CA5E84B" w14:textId="22A1D7BF"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12.021.609</w:t>
            </w:r>
          </w:p>
        </w:tc>
        <w:tc>
          <w:tcPr>
            <w:tcW w:w="509" w:type="pct"/>
            <w:vAlign w:val="bottom"/>
          </w:tcPr>
          <w:p w14:paraId="43CD5485" w14:textId="333A712A"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373052E6" w14:textId="715AAE39"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242.498.676</w:t>
            </w:r>
          </w:p>
        </w:tc>
      </w:tr>
      <w:tr w:rsidR="000A339B" w:rsidRPr="00FB38E1" w14:paraId="37F00CB4" w14:textId="77777777" w:rsidTr="003D480A">
        <w:tc>
          <w:tcPr>
            <w:tcW w:w="1392" w:type="pct"/>
            <w:tcBorders>
              <w:bottom w:val="single" w:sz="4" w:space="0" w:color="auto"/>
            </w:tcBorders>
            <w:vAlign w:val="bottom"/>
          </w:tcPr>
          <w:p w14:paraId="31931A71" w14:textId="485B65EF" w:rsidR="000A339B" w:rsidRPr="00FB38E1" w:rsidRDefault="000A339B" w:rsidP="000A339B">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Yükümlülükler</w:t>
            </w:r>
            <w:r w:rsidRPr="00FB38E1">
              <w:rPr>
                <w:rFonts w:ascii="Microsoft Sans Serif" w:hAnsi="Microsoft Sans Serif" w:cs="Microsoft Sans Serif"/>
                <w:color w:val="404040"/>
                <w:sz w:val="14"/>
                <w:szCs w:val="14"/>
                <w:vertAlign w:val="superscript"/>
              </w:rPr>
              <w:t>(5)</w:t>
            </w:r>
          </w:p>
        </w:tc>
        <w:tc>
          <w:tcPr>
            <w:tcW w:w="511" w:type="pct"/>
            <w:tcBorders>
              <w:bottom w:val="single" w:sz="4" w:space="0" w:color="auto"/>
            </w:tcBorders>
            <w:vAlign w:val="bottom"/>
          </w:tcPr>
          <w:p w14:paraId="736A2AA1" w14:textId="67AC0D76"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462.950</w:t>
            </w:r>
          </w:p>
        </w:tc>
        <w:tc>
          <w:tcPr>
            <w:tcW w:w="532" w:type="pct"/>
            <w:tcBorders>
              <w:bottom w:val="single" w:sz="4" w:space="0" w:color="auto"/>
            </w:tcBorders>
            <w:vAlign w:val="bottom"/>
          </w:tcPr>
          <w:p w14:paraId="4AF24A90" w14:textId="1E211747"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2.676.740</w:t>
            </w:r>
          </w:p>
        </w:tc>
        <w:tc>
          <w:tcPr>
            <w:tcW w:w="508" w:type="pct"/>
            <w:tcBorders>
              <w:bottom w:val="single" w:sz="4" w:space="0" w:color="auto"/>
            </w:tcBorders>
            <w:vAlign w:val="bottom"/>
          </w:tcPr>
          <w:p w14:paraId="4C235BB1" w14:textId="2CD0006F"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16.646.961</w:t>
            </w:r>
          </w:p>
        </w:tc>
        <w:tc>
          <w:tcPr>
            <w:tcW w:w="508" w:type="pct"/>
            <w:tcBorders>
              <w:bottom w:val="single" w:sz="4" w:space="0" w:color="auto"/>
            </w:tcBorders>
            <w:vAlign w:val="bottom"/>
          </w:tcPr>
          <w:p w14:paraId="038165ED" w14:textId="0FEC5DB3"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1.619.892</w:t>
            </w:r>
          </w:p>
        </w:tc>
        <w:tc>
          <w:tcPr>
            <w:tcW w:w="509" w:type="pct"/>
            <w:tcBorders>
              <w:bottom w:val="single" w:sz="4" w:space="0" w:color="auto"/>
            </w:tcBorders>
            <w:vAlign w:val="bottom"/>
          </w:tcPr>
          <w:p w14:paraId="162FF9A9" w14:textId="398FA5B1"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49898396" w14:textId="2AB81E10" w:rsidR="000A339B" w:rsidRPr="00FB38E1" w:rsidRDefault="000A339B" w:rsidP="000A339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255.295.494</w:t>
            </w:r>
          </w:p>
        </w:tc>
        <w:tc>
          <w:tcPr>
            <w:tcW w:w="531" w:type="pct"/>
            <w:tcBorders>
              <w:bottom w:val="single" w:sz="4" w:space="0" w:color="auto"/>
            </w:tcBorders>
            <w:vAlign w:val="bottom"/>
          </w:tcPr>
          <w:p w14:paraId="3B89FE5D" w14:textId="0980BA3B"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276.702.037</w:t>
            </w:r>
          </w:p>
        </w:tc>
      </w:tr>
      <w:tr w:rsidR="000A339B" w:rsidRPr="00FB38E1" w14:paraId="5D6CD1E8" w14:textId="77777777" w:rsidTr="003D480A">
        <w:tc>
          <w:tcPr>
            <w:tcW w:w="1392" w:type="pct"/>
            <w:tcBorders>
              <w:top w:val="single" w:sz="4" w:space="0" w:color="auto"/>
              <w:bottom w:val="single" w:sz="4" w:space="0" w:color="auto"/>
            </w:tcBorders>
            <w:vAlign w:val="bottom"/>
          </w:tcPr>
          <w:p w14:paraId="0F2423D8" w14:textId="77777777" w:rsidR="000A339B" w:rsidRPr="00FB38E1" w:rsidRDefault="000A339B" w:rsidP="000A339B">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Yükümlülükler</w:t>
            </w:r>
          </w:p>
        </w:tc>
        <w:tc>
          <w:tcPr>
            <w:tcW w:w="511" w:type="pct"/>
            <w:tcBorders>
              <w:top w:val="single" w:sz="4" w:space="0" w:color="auto"/>
              <w:bottom w:val="single" w:sz="4" w:space="0" w:color="auto"/>
            </w:tcBorders>
            <w:vAlign w:val="bottom"/>
          </w:tcPr>
          <w:p w14:paraId="787FCFC3" w14:textId="678D0337"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398.816.878</w:t>
            </w:r>
          </w:p>
        </w:tc>
        <w:tc>
          <w:tcPr>
            <w:tcW w:w="532" w:type="pct"/>
            <w:tcBorders>
              <w:top w:val="single" w:sz="4" w:space="0" w:color="auto"/>
              <w:bottom w:val="single" w:sz="4" w:space="0" w:color="auto"/>
            </w:tcBorders>
            <w:vAlign w:val="bottom"/>
          </w:tcPr>
          <w:p w14:paraId="5A5251D1" w14:textId="3B16A9FA"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295.873.209</w:t>
            </w:r>
          </w:p>
        </w:tc>
        <w:tc>
          <w:tcPr>
            <w:tcW w:w="508" w:type="pct"/>
            <w:tcBorders>
              <w:top w:val="single" w:sz="4" w:space="0" w:color="auto"/>
              <w:bottom w:val="single" w:sz="4" w:space="0" w:color="auto"/>
            </w:tcBorders>
            <w:vAlign w:val="bottom"/>
          </w:tcPr>
          <w:p w14:paraId="2319A102" w14:textId="294A782C"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222.650.575</w:t>
            </w:r>
          </w:p>
        </w:tc>
        <w:tc>
          <w:tcPr>
            <w:tcW w:w="508" w:type="pct"/>
            <w:tcBorders>
              <w:top w:val="single" w:sz="4" w:space="0" w:color="auto"/>
              <w:bottom w:val="single" w:sz="4" w:space="0" w:color="auto"/>
            </w:tcBorders>
            <w:vAlign w:val="bottom"/>
          </w:tcPr>
          <w:p w14:paraId="29429AA7" w14:textId="4240B341"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8.253.402</w:t>
            </w:r>
          </w:p>
        </w:tc>
        <w:tc>
          <w:tcPr>
            <w:tcW w:w="509" w:type="pct"/>
            <w:tcBorders>
              <w:top w:val="single" w:sz="4" w:space="0" w:color="auto"/>
              <w:bottom w:val="single" w:sz="4" w:space="0" w:color="auto"/>
            </w:tcBorders>
            <w:vAlign w:val="bottom"/>
          </w:tcPr>
          <w:p w14:paraId="7B33B2BC" w14:textId="243D47F8"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12.021.609</w:t>
            </w:r>
          </w:p>
        </w:tc>
        <w:tc>
          <w:tcPr>
            <w:tcW w:w="509" w:type="pct"/>
            <w:tcBorders>
              <w:top w:val="single" w:sz="4" w:space="0" w:color="auto"/>
              <w:bottom w:val="single" w:sz="4" w:space="0" w:color="auto"/>
            </w:tcBorders>
            <w:vAlign w:val="bottom"/>
          </w:tcPr>
          <w:p w14:paraId="095CCDBC" w14:textId="0E872FDA"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433.005.359</w:t>
            </w:r>
          </w:p>
        </w:tc>
        <w:tc>
          <w:tcPr>
            <w:tcW w:w="531" w:type="pct"/>
            <w:tcBorders>
              <w:top w:val="single" w:sz="4" w:space="0" w:color="auto"/>
              <w:bottom w:val="single" w:sz="4" w:space="0" w:color="auto"/>
            </w:tcBorders>
            <w:vAlign w:val="bottom"/>
          </w:tcPr>
          <w:p w14:paraId="484D6D74" w14:textId="7D38E77B" w:rsidR="000A339B" w:rsidRPr="00FB38E1" w:rsidRDefault="000A339B" w:rsidP="000A339B">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1.370.621.032</w:t>
            </w:r>
          </w:p>
        </w:tc>
      </w:tr>
      <w:tr w:rsidR="00715500" w:rsidRPr="00FB38E1" w14:paraId="7FCE4A7A" w14:textId="77777777" w:rsidTr="003D480A">
        <w:tc>
          <w:tcPr>
            <w:tcW w:w="1392" w:type="pct"/>
            <w:tcBorders>
              <w:top w:val="single" w:sz="4" w:space="0" w:color="auto"/>
            </w:tcBorders>
            <w:vAlign w:val="bottom"/>
          </w:tcPr>
          <w:p w14:paraId="32BD9829" w14:textId="77777777" w:rsidR="00715500" w:rsidRPr="00FB38E1" w:rsidRDefault="00715500" w:rsidP="00715500">
            <w:pPr>
              <w:rPr>
                <w:rFonts w:ascii="Microsoft Sans Serif" w:hAnsi="Microsoft Sans Serif" w:cs="Microsoft Sans Serif"/>
                <w:color w:val="000000"/>
                <w:sz w:val="14"/>
                <w:szCs w:val="14"/>
              </w:rPr>
            </w:pPr>
          </w:p>
        </w:tc>
        <w:tc>
          <w:tcPr>
            <w:tcW w:w="511" w:type="pct"/>
            <w:tcBorders>
              <w:top w:val="single" w:sz="4" w:space="0" w:color="auto"/>
            </w:tcBorders>
            <w:vAlign w:val="bottom"/>
          </w:tcPr>
          <w:p w14:paraId="2E831F6F" w14:textId="0C4B9413" w:rsidR="00715500" w:rsidRPr="00FB38E1" w:rsidRDefault="00715500" w:rsidP="00715500">
            <w:pPr>
              <w:jc w:val="right"/>
              <w:rPr>
                <w:rFonts w:ascii="Microsoft Sans Serif" w:hAnsi="Microsoft Sans Serif" w:cs="Microsoft Sans Serif"/>
                <w:b/>
                <w:bCs/>
                <w:color w:val="000000"/>
                <w:sz w:val="14"/>
                <w:szCs w:val="14"/>
              </w:rPr>
            </w:pPr>
          </w:p>
        </w:tc>
        <w:tc>
          <w:tcPr>
            <w:tcW w:w="532" w:type="pct"/>
            <w:tcBorders>
              <w:top w:val="single" w:sz="4" w:space="0" w:color="auto"/>
            </w:tcBorders>
            <w:vAlign w:val="bottom"/>
          </w:tcPr>
          <w:p w14:paraId="7759A430" w14:textId="1F693C4C" w:rsidR="00715500" w:rsidRPr="00FB38E1" w:rsidRDefault="00715500" w:rsidP="00540532">
            <w:pPr>
              <w:jc w:val="center"/>
              <w:rPr>
                <w:sz w:val="14"/>
                <w:szCs w:val="14"/>
              </w:rPr>
            </w:pPr>
          </w:p>
        </w:tc>
        <w:tc>
          <w:tcPr>
            <w:tcW w:w="508" w:type="pct"/>
            <w:tcBorders>
              <w:top w:val="single" w:sz="4" w:space="0" w:color="auto"/>
            </w:tcBorders>
            <w:vAlign w:val="bottom"/>
          </w:tcPr>
          <w:p w14:paraId="44FCAE7D" w14:textId="2A08FC69" w:rsidR="00715500" w:rsidRPr="00FB38E1" w:rsidRDefault="00715500" w:rsidP="00540532">
            <w:pPr>
              <w:jc w:val="center"/>
              <w:rPr>
                <w:sz w:val="14"/>
                <w:szCs w:val="14"/>
              </w:rPr>
            </w:pPr>
          </w:p>
        </w:tc>
        <w:tc>
          <w:tcPr>
            <w:tcW w:w="508" w:type="pct"/>
            <w:tcBorders>
              <w:top w:val="single" w:sz="4" w:space="0" w:color="auto"/>
            </w:tcBorders>
            <w:vAlign w:val="bottom"/>
          </w:tcPr>
          <w:p w14:paraId="2CBEBE5D" w14:textId="558B233B" w:rsidR="00715500" w:rsidRPr="00FB38E1" w:rsidRDefault="00715500" w:rsidP="00540532">
            <w:pPr>
              <w:jc w:val="center"/>
              <w:rPr>
                <w:sz w:val="14"/>
                <w:szCs w:val="14"/>
              </w:rPr>
            </w:pPr>
          </w:p>
        </w:tc>
        <w:tc>
          <w:tcPr>
            <w:tcW w:w="509" w:type="pct"/>
            <w:tcBorders>
              <w:top w:val="single" w:sz="4" w:space="0" w:color="auto"/>
            </w:tcBorders>
            <w:vAlign w:val="bottom"/>
          </w:tcPr>
          <w:p w14:paraId="2C99BE2B" w14:textId="2E5C08AD" w:rsidR="00715500" w:rsidRPr="00FB38E1" w:rsidRDefault="00715500" w:rsidP="00540532">
            <w:pPr>
              <w:jc w:val="center"/>
              <w:rPr>
                <w:sz w:val="14"/>
                <w:szCs w:val="14"/>
              </w:rPr>
            </w:pPr>
          </w:p>
        </w:tc>
        <w:tc>
          <w:tcPr>
            <w:tcW w:w="509" w:type="pct"/>
            <w:tcBorders>
              <w:top w:val="single" w:sz="4" w:space="0" w:color="auto"/>
            </w:tcBorders>
            <w:vAlign w:val="bottom"/>
          </w:tcPr>
          <w:p w14:paraId="21213CEF" w14:textId="41DD7036" w:rsidR="00715500" w:rsidRPr="00FB38E1" w:rsidRDefault="00715500" w:rsidP="00540532">
            <w:pPr>
              <w:rPr>
                <w:sz w:val="14"/>
                <w:szCs w:val="14"/>
              </w:rPr>
            </w:pPr>
          </w:p>
        </w:tc>
        <w:tc>
          <w:tcPr>
            <w:tcW w:w="531" w:type="pct"/>
            <w:tcBorders>
              <w:top w:val="single" w:sz="4" w:space="0" w:color="auto"/>
            </w:tcBorders>
            <w:vAlign w:val="bottom"/>
          </w:tcPr>
          <w:p w14:paraId="132B50FA" w14:textId="4DABE29B" w:rsidR="00715500" w:rsidRPr="00FB38E1" w:rsidRDefault="00715500" w:rsidP="00540532">
            <w:pPr>
              <w:rPr>
                <w:sz w:val="14"/>
                <w:szCs w:val="14"/>
              </w:rPr>
            </w:pPr>
          </w:p>
        </w:tc>
      </w:tr>
      <w:tr w:rsidR="001E5443" w:rsidRPr="00FB38E1" w14:paraId="1DAAF28A" w14:textId="77777777" w:rsidTr="003D480A">
        <w:tc>
          <w:tcPr>
            <w:tcW w:w="1392" w:type="pct"/>
            <w:vAlign w:val="bottom"/>
          </w:tcPr>
          <w:p w14:paraId="280C2B59" w14:textId="77777777" w:rsidR="001E5443" w:rsidRPr="00FB38E1" w:rsidRDefault="001E5443" w:rsidP="001E5443">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Bilançodaki Uzun Pozisyon</w:t>
            </w:r>
          </w:p>
        </w:tc>
        <w:tc>
          <w:tcPr>
            <w:tcW w:w="511" w:type="pct"/>
            <w:vAlign w:val="bottom"/>
          </w:tcPr>
          <w:p w14:paraId="75E7C713" w14:textId="077B6B44"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vAlign w:val="bottom"/>
          </w:tcPr>
          <w:p w14:paraId="57CD2A9F" w14:textId="2CA69BED"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74E90660" w14:textId="5ADB46DF"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2AA6914E" w14:textId="4D4DB6F6"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133.271.847</w:t>
            </w:r>
          </w:p>
        </w:tc>
        <w:tc>
          <w:tcPr>
            <w:tcW w:w="509" w:type="pct"/>
            <w:vAlign w:val="bottom"/>
          </w:tcPr>
          <w:p w14:paraId="53211DB3" w14:textId="376592CD"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47.024.580</w:t>
            </w:r>
          </w:p>
        </w:tc>
        <w:tc>
          <w:tcPr>
            <w:tcW w:w="509" w:type="pct"/>
            <w:vAlign w:val="bottom"/>
          </w:tcPr>
          <w:p w14:paraId="387D36FE" w14:textId="5759C651"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36B37562" w14:textId="407A34D5"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180.296.427</w:t>
            </w:r>
          </w:p>
        </w:tc>
      </w:tr>
      <w:tr w:rsidR="001E5443" w:rsidRPr="00FB38E1" w14:paraId="46657566" w14:textId="77777777" w:rsidTr="003D480A">
        <w:tc>
          <w:tcPr>
            <w:tcW w:w="1392" w:type="pct"/>
            <w:vAlign w:val="bottom"/>
          </w:tcPr>
          <w:p w14:paraId="42276BFA" w14:textId="77777777" w:rsidR="001E5443" w:rsidRPr="00FB38E1" w:rsidRDefault="001E5443" w:rsidP="001E5443">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Bilançodaki Kısa Pozisyon</w:t>
            </w:r>
          </w:p>
        </w:tc>
        <w:tc>
          <w:tcPr>
            <w:tcW w:w="511" w:type="pct"/>
            <w:vAlign w:val="bottom"/>
          </w:tcPr>
          <w:p w14:paraId="7D663979" w14:textId="41725799"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(12.022.907)</w:t>
            </w:r>
          </w:p>
        </w:tc>
        <w:tc>
          <w:tcPr>
            <w:tcW w:w="532" w:type="pct"/>
            <w:vAlign w:val="bottom"/>
          </w:tcPr>
          <w:p w14:paraId="55B7C720" w14:textId="7B180CE1"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(152.156.887)</w:t>
            </w:r>
          </w:p>
        </w:tc>
        <w:tc>
          <w:tcPr>
            <w:tcW w:w="508" w:type="pct"/>
            <w:vAlign w:val="bottom"/>
          </w:tcPr>
          <w:p w14:paraId="065EED52" w14:textId="449AFBAD"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(5.987.104)</w:t>
            </w:r>
          </w:p>
        </w:tc>
        <w:tc>
          <w:tcPr>
            <w:tcW w:w="508" w:type="pct"/>
            <w:vAlign w:val="bottom"/>
          </w:tcPr>
          <w:p w14:paraId="02C31C57" w14:textId="4637E2C6"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222D5E7" w14:textId="4D795EB1"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5D74BD69" w14:textId="61EEFDA3"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(10.129.529)</w:t>
            </w:r>
          </w:p>
        </w:tc>
        <w:tc>
          <w:tcPr>
            <w:tcW w:w="531" w:type="pct"/>
            <w:vAlign w:val="bottom"/>
          </w:tcPr>
          <w:p w14:paraId="6293425B" w14:textId="19073575"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(180.296.427)</w:t>
            </w:r>
          </w:p>
        </w:tc>
      </w:tr>
      <w:tr w:rsidR="001E5443" w:rsidRPr="00FB38E1" w14:paraId="7616C85D" w14:textId="77777777" w:rsidTr="003D480A">
        <w:tc>
          <w:tcPr>
            <w:tcW w:w="1392" w:type="pct"/>
            <w:vAlign w:val="bottom"/>
          </w:tcPr>
          <w:p w14:paraId="3D55A9D0" w14:textId="77777777" w:rsidR="001E5443" w:rsidRPr="00FB38E1" w:rsidRDefault="001E5443" w:rsidP="001E5443">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Nazım Hesaplardaki Uzun Pozisyon</w:t>
            </w:r>
          </w:p>
        </w:tc>
        <w:tc>
          <w:tcPr>
            <w:tcW w:w="511" w:type="pct"/>
            <w:vAlign w:val="bottom"/>
          </w:tcPr>
          <w:p w14:paraId="1A606FA6" w14:textId="7914F42F"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4.435.042</w:t>
            </w:r>
          </w:p>
        </w:tc>
        <w:tc>
          <w:tcPr>
            <w:tcW w:w="532" w:type="pct"/>
            <w:vAlign w:val="bottom"/>
          </w:tcPr>
          <w:p w14:paraId="00A7FA0B" w14:textId="7FD87120"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47301717" w14:textId="1134228E"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8.328.879</w:t>
            </w:r>
          </w:p>
        </w:tc>
        <w:tc>
          <w:tcPr>
            <w:tcW w:w="508" w:type="pct"/>
            <w:vAlign w:val="bottom"/>
          </w:tcPr>
          <w:p w14:paraId="1AF2B5CF" w14:textId="5F89AEC9"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6C358D14" w14:textId="54C4E41F"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1.121.893</w:t>
            </w:r>
          </w:p>
        </w:tc>
        <w:tc>
          <w:tcPr>
            <w:tcW w:w="509" w:type="pct"/>
            <w:vAlign w:val="bottom"/>
          </w:tcPr>
          <w:p w14:paraId="5D723206" w14:textId="0EBE0ECE"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00F5F077" w14:textId="4644C0F3"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13.885.814</w:t>
            </w:r>
          </w:p>
        </w:tc>
      </w:tr>
      <w:tr w:rsidR="001E5443" w:rsidRPr="00FB38E1" w14:paraId="409F0964" w14:textId="77777777" w:rsidTr="003D480A">
        <w:tc>
          <w:tcPr>
            <w:tcW w:w="1392" w:type="pct"/>
            <w:tcBorders>
              <w:bottom w:val="single" w:sz="4" w:space="0" w:color="auto"/>
            </w:tcBorders>
            <w:vAlign w:val="bottom"/>
          </w:tcPr>
          <w:p w14:paraId="63118E65" w14:textId="77777777" w:rsidR="001E5443" w:rsidRPr="00FB38E1" w:rsidRDefault="001E5443" w:rsidP="001E5443">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Nazım Hesaplardaki Kısa Pozisyon</w:t>
            </w:r>
          </w:p>
        </w:tc>
        <w:tc>
          <w:tcPr>
            <w:tcW w:w="511" w:type="pct"/>
            <w:tcBorders>
              <w:bottom w:val="single" w:sz="4" w:space="0" w:color="auto"/>
            </w:tcBorders>
            <w:vAlign w:val="bottom"/>
          </w:tcPr>
          <w:p w14:paraId="3390B2C0" w14:textId="7C844524"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51264578" w14:textId="10E5E176"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(3.134.145)</w:t>
            </w:r>
          </w:p>
        </w:tc>
        <w:tc>
          <w:tcPr>
            <w:tcW w:w="508" w:type="pct"/>
            <w:tcBorders>
              <w:bottom w:val="single" w:sz="4" w:space="0" w:color="auto"/>
            </w:tcBorders>
            <w:vAlign w:val="bottom"/>
          </w:tcPr>
          <w:p w14:paraId="4443DEA4" w14:textId="542D2EEA"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7AC10F71" w14:textId="5C6A3A62"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(21.856.697)</w:t>
            </w:r>
          </w:p>
        </w:tc>
        <w:tc>
          <w:tcPr>
            <w:tcW w:w="509" w:type="pct"/>
            <w:tcBorders>
              <w:bottom w:val="single" w:sz="4" w:space="0" w:color="auto"/>
            </w:tcBorders>
            <w:vAlign w:val="bottom"/>
          </w:tcPr>
          <w:p w14:paraId="5B7A6865" w14:textId="4DE481C1"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0203DEC2" w14:textId="49812272" w:rsidR="001E5443" w:rsidRPr="00FB38E1" w:rsidRDefault="001E5443" w:rsidP="001E544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tcBorders>
              <w:bottom w:val="single" w:sz="4" w:space="0" w:color="auto"/>
            </w:tcBorders>
            <w:vAlign w:val="bottom"/>
          </w:tcPr>
          <w:p w14:paraId="698579D0" w14:textId="53D3B2EB"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(24.990.842)</w:t>
            </w:r>
          </w:p>
        </w:tc>
      </w:tr>
      <w:tr w:rsidR="001E5443" w:rsidRPr="00FB38E1" w14:paraId="229E56E5" w14:textId="77777777" w:rsidTr="003D480A">
        <w:tc>
          <w:tcPr>
            <w:tcW w:w="1392" w:type="pct"/>
            <w:tcBorders>
              <w:top w:val="single" w:sz="4" w:space="0" w:color="auto"/>
              <w:bottom w:val="thickThinSmallGap" w:sz="24" w:space="0" w:color="auto"/>
            </w:tcBorders>
            <w:vAlign w:val="bottom"/>
          </w:tcPr>
          <w:p w14:paraId="3038103B" w14:textId="77777777" w:rsidR="001E5443" w:rsidRPr="00FB38E1" w:rsidRDefault="001E5443" w:rsidP="001E5443">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Pozisyon</w:t>
            </w:r>
          </w:p>
        </w:tc>
        <w:tc>
          <w:tcPr>
            <w:tcW w:w="511" w:type="pct"/>
            <w:tcBorders>
              <w:top w:val="single" w:sz="4" w:space="0" w:color="auto"/>
              <w:bottom w:val="thickThinSmallGap" w:sz="24" w:space="0" w:color="auto"/>
            </w:tcBorders>
            <w:vAlign w:val="bottom"/>
          </w:tcPr>
          <w:p w14:paraId="71D3652C" w14:textId="09444630"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(7.587.865)</w:t>
            </w:r>
          </w:p>
        </w:tc>
        <w:tc>
          <w:tcPr>
            <w:tcW w:w="532" w:type="pct"/>
            <w:tcBorders>
              <w:top w:val="single" w:sz="4" w:space="0" w:color="auto"/>
              <w:bottom w:val="thickThinSmallGap" w:sz="24" w:space="0" w:color="auto"/>
            </w:tcBorders>
            <w:vAlign w:val="bottom"/>
          </w:tcPr>
          <w:p w14:paraId="55DD3C99" w14:textId="4D45AFC8"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(155.291.032)</w:t>
            </w:r>
          </w:p>
        </w:tc>
        <w:tc>
          <w:tcPr>
            <w:tcW w:w="508" w:type="pct"/>
            <w:tcBorders>
              <w:top w:val="single" w:sz="4" w:space="0" w:color="auto"/>
              <w:bottom w:val="thickThinSmallGap" w:sz="24" w:space="0" w:color="auto"/>
            </w:tcBorders>
            <w:vAlign w:val="bottom"/>
          </w:tcPr>
          <w:p w14:paraId="236A9DEA" w14:textId="0705254F"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2.341.775</w:t>
            </w:r>
          </w:p>
        </w:tc>
        <w:tc>
          <w:tcPr>
            <w:tcW w:w="508" w:type="pct"/>
            <w:tcBorders>
              <w:top w:val="single" w:sz="4" w:space="0" w:color="auto"/>
              <w:bottom w:val="thickThinSmallGap" w:sz="24" w:space="0" w:color="auto"/>
            </w:tcBorders>
            <w:vAlign w:val="bottom"/>
          </w:tcPr>
          <w:p w14:paraId="4C38D5CD" w14:textId="00E349E3"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111.415.150</w:t>
            </w:r>
          </w:p>
        </w:tc>
        <w:tc>
          <w:tcPr>
            <w:tcW w:w="509" w:type="pct"/>
            <w:tcBorders>
              <w:top w:val="single" w:sz="4" w:space="0" w:color="auto"/>
              <w:bottom w:val="thickThinSmallGap" w:sz="24" w:space="0" w:color="auto"/>
            </w:tcBorders>
            <w:vAlign w:val="bottom"/>
          </w:tcPr>
          <w:p w14:paraId="3B6EF15D" w14:textId="60C3BA30"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48.146.473</w:t>
            </w:r>
          </w:p>
        </w:tc>
        <w:tc>
          <w:tcPr>
            <w:tcW w:w="509" w:type="pct"/>
            <w:tcBorders>
              <w:top w:val="single" w:sz="4" w:space="0" w:color="auto"/>
              <w:bottom w:val="thickThinSmallGap" w:sz="24" w:space="0" w:color="auto"/>
            </w:tcBorders>
            <w:vAlign w:val="bottom"/>
          </w:tcPr>
          <w:p w14:paraId="2A2E5919" w14:textId="2D77721E"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(10.129.529)</w:t>
            </w:r>
          </w:p>
        </w:tc>
        <w:tc>
          <w:tcPr>
            <w:tcW w:w="531" w:type="pct"/>
            <w:tcBorders>
              <w:top w:val="single" w:sz="4" w:space="0" w:color="auto"/>
              <w:bottom w:val="thickThinSmallGap" w:sz="24" w:space="0" w:color="auto"/>
            </w:tcBorders>
            <w:vAlign w:val="bottom"/>
          </w:tcPr>
          <w:p w14:paraId="4F1CE587" w14:textId="7098BF70" w:rsidR="001E5443" w:rsidRPr="00FB38E1" w:rsidRDefault="001E5443" w:rsidP="001E544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(11.105.028)</w:t>
            </w:r>
          </w:p>
        </w:tc>
      </w:tr>
    </w:tbl>
    <w:p w14:paraId="0CF7B612" w14:textId="40CB60B8" w:rsidR="00481D82" w:rsidRPr="00FB38E1" w:rsidRDefault="000C7222" w:rsidP="00D1663E">
      <w:pPr>
        <w:pStyle w:val="NormalWeb"/>
        <w:numPr>
          <w:ilvl w:val="0"/>
          <w:numId w:val="48"/>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6"/>
          <w:szCs w:val="16"/>
          <w:lang w:val="tr-TR"/>
        </w:rPr>
      </w:pPr>
      <w:r w:rsidRPr="00FB38E1">
        <w:rPr>
          <w:rFonts w:ascii="Microsoft Sans Serif" w:hAnsi="Microsoft Sans Serif" w:cs="Microsoft Sans Serif"/>
          <w:color w:val="404040" w:themeColor="text1" w:themeTint="BF"/>
          <w:sz w:val="16"/>
          <w:szCs w:val="16"/>
          <w:lang w:val="tr-TR"/>
        </w:rPr>
        <w:t>(</w:t>
      </w:r>
      <w:r w:rsidR="003C178B" w:rsidRPr="00FB38E1">
        <w:rPr>
          <w:rFonts w:ascii="Microsoft Sans Serif" w:hAnsi="Microsoft Sans Serif" w:cs="Microsoft Sans Serif"/>
          <w:color w:val="404040" w:themeColor="text1" w:themeTint="BF"/>
          <w:sz w:val="16"/>
          <w:szCs w:val="16"/>
          <w:lang w:val="tr-TR"/>
        </w:rPr>
        <w:t>695</w:t>
      </w:r>
      <w:r w:rsidRPr="00FB38E1">
        <w:rPr>
          <w:rFonts w:ascii="Microsoft Sans Serif" w:hAnsi="Microsoft Sans Serif" w:cs="Microsoft Sans Serif"/>
          <w:color w:val="404040" w:themeColor="text1" w:themeTint="BF"/>
          <w:sz w:val="16"/>
          <w:szCs w:val="16"/>
          <w:lang w:val="tr-TR"/>
        </w:rPr>
        <w:t>)</w:t>
      </w:r>
      <w:r w:rsidR="00481D82" w:rsidRPr="00FB38E1">
        <w:rPr>
          <w:rFonts w:ascii="Microsoft Sans Serif" w:hAnsi="Microsoft Sans Serif" w:cs="Microsoft Sans Serif"/>
          <w:color w:val="404040" w:themeColor="text1" w:themeTint="BF"/>
          <w:sz w:val="16"/>
          <w:szCs w:val="16"/>
          <w:lang w:val="tr-TR"/>
        </w:rPr>
        <w:t xml:space="preserve"> TL tutarında 1. ve 2. aşama beklenen zarar karşılıklarını içermektedir.</w:t>
      </w:r>
    </w:p>
    <w:p w14:paraId="2DEB7129" w14:textId="7A580927" w:rsidR="00481D82" w:rsidRPr="00FB38E1" w:rsidRDefault="000C7222" w:rsidP="00D1663E">
      <w:pPr>
        <w:pStyle w:val="NormalWeb"/>
        <w:numPr>
          <w:ilvl w:val="0"/>
          <w:numId w:val="48"/>
        </w:numPr>
        <w:tabs>
          <w:tab w:val="left" w:pos="284"/>
        </w:tabs>
        <w:spacing w:before="0" w:beforeAutospacing="0" w:after="0" w:afterAutospacing="0"/>
        <w:ind w:left="0" w:firstLine="0"/>
        <w:rPr>
          <w:rFonts w:ascii="Microsoft Sans Serif" w:hAnsi="Microsoft Sans Serif" w:cs="Microsoft Sans Serif"/>
          <w:color w:val="404040" w:themeColor="text1" w:themeTint="BF"/>
          <w:sz w:val="16"/>
          <w:szCs w:val="16"/>
          <w:lang w:val="tr-TR"/>
        </w:rPr>
      </w:pPr>
      <w:r w:rsidRPr="00FB38E1">
        <w:rPr>
          <w:rFonts w:ascii="Microsoft Sans Serif" w:hAnsi="Microsoft Sans Serif" w:cs="Microsoft Sans Serif"/>
          <w:color w:val="404040" w:themeColor="text1" w:themeTint="BF"/>
          <w:sz w:val="16"/>
          <w:szCs w:val="16"/>
          <w:lang w:val="tr-TR"/>
        </w:rPr>
        <w:t>(</w:t>
      </w:r>
      <w:r w:rsidR="007F3C60" w:rsidRPr="00FB38E1">
        <w:rPr>
          <w:rFonts w:ascii="Microsoft Sans Serif" w:hAnsi="Microsoft Sans Serif" w:cs="Microsoft Sans Serif"/>
          <w:color w:val="404040" w:themeColor="text1" w:themeTint="BF"/>
          <w:sz w:val="16"/>
          <w:szCs w:val="16"/>
          <w:lang w:val="tr-TR"/>
        </w:rPr>
        <w:t>7.</w:t>
      </w:r>
      <w:r w:rsidR="003C178B" w:rsidRPr="00FB38E1">
        <w:rPr>
          <w:rFonts w:ascii="Microsoft Sans Serif" w:hAnsi="Microsoft Sans Serif" w:cs="Microsoft Sans Serif"/>
          <w:color w:val="404040" w:themeColor="text1" w:themeTint="BF"/>
          <w:sz w:val="16"/>
          <w:szCs w:val="16"/>
          <w:lang w:val="tr-TR"/>
        </w:rPr>
        <w:t>830</w:t>
      </w:r>
      <w:r w:rsidRPr="00FB38E1">
        <w:rPr>
          <w:rFonts w:ascii="Microsoft Sans Serif" w:hAnsi="Microsoft Sans Serif" w:cs="Microsoft Sans Serif"/>
          <w:color w:val="404040" w:themeColor="text1" w:themeTint="BF"/>
          <w:sz w:val="16"/>
          <w:szCs w:val="16"/>
          <w:lang w:val="tr-TR"/>
        </w:rPr>
        <w:t>)</w:t>
      </w:r>
      <w:r w:rsidR="00481D82" w:rsidRPr="00FB38E1">
        <w:rPr>
          <w:rFonts w:ascii="Microsoft Sans Serif" w:hAnsi="Microsoft Sans Serif" w:cs="Microsoft Sans Serif"/>
          <w:color w:val="404040" w:themeColor="text1" w:themeTint="BF"/>
          <w:sz w:val="16"/>
          <w:szCs w:val="16"/>
          <w:lang w:val="tr-TR"/>
        </w:rPr>
        <w:t xml:space="preserve"> TL tutarında 1. ve 2. aşama beklenen zarar karşılıklarını içermektedir</w:t>
      </w:r>
      <w:r w:rsidR="00910FB0" w:rsidRPr="00FB38E1">
        <w:rPr>
          <w:rFonts w:ascii="Microsoft Sans Serif" w:hAnsi="Microsoft Sans Serif" w:cs="Microsoft Sans Serif"/>
          <w:color w:val="404040" w:themeColor="text1" w:themeTint="BF"/>
          <w:sz w:val="16"/>
          <w:szCs w:val="16"/>
          <w:lang w:val="tr-TR"/>
        </w:rPr>
        <w:t>.</w:t>
      </w:r>
    </w:p>
    <w:p w14:paraId="2F78436B" w14:textId="36A8A436" w:rsidR="00312C12" w:rsidRPr="00FB38E1" w:rsidRDefault="00481D82" w:rsidP="00910FB0">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FB38E1">
        <w:rPr>
          <w:rFonts w:ascii="Microsoft Sans Serif" w:hAnsi="Microsoft Sans Serif" w:cs="Microsoft Sans Serif"/>
          <w:color w:val="404040" w:themeColor="text1" w:themeTint="BF"/>
          <w:sz w:val="16"/>
          <w:szCs w:val="16"/>
          <w:lang w:val="tr-TR"/>
        </w:rPr>
        <w:t>(3</w:t>
      </w:r>
      <w:r w:rsidR="00312C12" w:rsidRPr="00FB38E1">
        <w:rPr>
          <w:rFonts w:ascii="Microsoft Sans Serif" w:hAnsi="Microsoft Sans Serif" w:cs="Microsoft Sans Serif"/>
          <w:color w:val="404040" w:themeColor="text1" w:themeTint="BF"/>
          <w:sz w:val="16"/>
          <w:szCs w:val="16"/>
          <w:lang w:val="tr-TR"/>
        </w:rPr>
        <w:t xml:space="preserve">) Diğer varlıklar-faizsiz; </w:t>
      </w:r>
      <w:r w:rsidR="003C178B" w:rsidRPr="00FB38E1">
        <w:rPr>
          <w:rFonts w:ascii="Microsoft Sans Serif" w:hAnsi="Microsoft Sans Serif" w:cs="Microsoft Sans Serif"/>
          <w:color w:val="404040" w:themeColor="text1" w:themeTint="BF"/>
          <w:sz w:val="16"/>
          <w:szCs w:val="16"/>
          <w:lang w:val="tr-TR"/>
        </w:rPr>
        <w:t>17.232.763</w:t>
      </w:r>
      <w:r w:rsidR="00B474F6" w:rsidRPr="00FB38E1">
        <w:rPr>
          <w:rFonts w:ascii="Microsoft Sans Serif" w:hAnsi="Microsoft Sans Serif" w:cs="Microsoft Sans Serif"/>
          <w:color w:val="404040" w:themeColor="text1" w:themeTint="BF"/>
          <w:sz w:val="16"/>
          <w:szCs w:val="16"/>
          <w:lang w:val="tr-TR"/>
        </w:rPr>
        <w:t xml:space="preserve"> </w:t>
      </w:r>
      <w:r w:rsidR="00312C12" w:rsidRPr="00FB38E1">
        <w:rPr>
          <w:rFonts w:ascii="Microsoft Sans Serif" w:hAnsi="Microsoft Sans Serif" w:cs="Microsoft Sans Serif"/>
          <w:color w:val="404040" w:themeColor="text1" w:themeTint="BF"/>
          <w:sz w:val="16"/>
          <w:szCs w:val="16"/>
          <w:lang w:val="tr-TR"/>
        </w:rPr>
        <w:t>TL tutarında maddi duran varlıklar,</w:t>
      </w:r>
      <w:r w:rsidR="003341C3" w:rsidRPr="00FB38E1">
        <w:rPr>
          <w:rFonts w:ascii="Microsoft Sans Serif" w:hAnsi="Microsoft Sans Serif" w:cs="Microsoft Sans Serif"/>
          <w:color w:val="404040" w:themeColor="text1" w:themeTint="BF"/>
          <w:sz w:val="16"/>
          <w:szCs w:val="16"/>
          <w:lang w:val="tr-TR"/>
        </w:rPr>
        <w:t xml:space="preserve"> </w:t>
      </w:r>
      <w:r w:rsidR="003C178B" w:rsidRPr="00FB38E1">
        <w:rPr>
          <w:rFonts w:ascii="Microsoft Sans Serif" w:hAnsi="Microsoft Sans Serif" w:cs="Microsoft Sans Serif"/>
          <w:color w:val="404040" w:themeColor="text1" w:themeTint="BF"/>
          <w:sz w:val="16"/>
          <w:szCs w:val="16"/>
          <w:lang w:val="tr-TR"/>
        </w:rPr>
        <w:t>4.865.774</w:t>
      </w:r>
      <w:r w:rsidR="00312C12" w:rsidRPr="00FB38E1">
        <w:rPr>
          <w:rFonts w:ascii="Microsoft Sans Serif" w:hAnsi="Microsoft Sans Serif" w:cs="Microsoft Sans Serif"/>
          <w:color w:val="404040" w:themeColor="text1" w:themeTint="BF"/>
          <w:sz w:val="16"/>
          <w:szCs w:val="16"/>
          <w:lang w:val="tr-TR"/>
        </w:rPr>
        <w:t xml:space="preserve"> TL tutarında maddi olmayan duran varlıklar, </w:t>
      </w:r>
      <w:r w:rsidR="003C178B" w:rsidRPr="00FB38E1">
        <w:rPr>
          <w:rFonts w:ascii="Microsoft Sans Serif" w:hAnsi="Microsoft Sans Serif" w:cs="Microsoft Sans Serif"/>
          <w:color w:val="404040" w:themeColor="text1" w:themeTint="BF"/>
          <w:sz w:val="16"/>
          <w:szCs w:val="16"/>
          <w:lang w:val="tr-TR"/>
        </w:rPr>
        <w:t>88.744.432</w:t>
      </w:r>
      <w:r w:rsidR="007C3411" w:rsidRPr="00FB38E1">
        <w:rPr>
          <w:rFonts w:ascii="Microsoft Sans Serif" w:hAnsi="Microsoft Sans Serif" w:cs="Microsoft Sans Serif"/>
          <w:color w:val="404040" w:themeColor="text1" w:themeTint="BF"/>
          <w:sz w:val="16"/>
          <w:szCs w:val="16"/>
          <w:lang w:val="tr-TR"/>
        </w:rPr>
        <w:t xml:space="preserve"> </w:t>
      </w:r>
      <w:r w:rsidR="00312C12" w:rsidRPr="00FB38E1">
        <w:rPr>
          <w:rFonts w:ascii="Microsoft Sans Serif" w:hAnsi="Microsoft Sans Serif" w:cs="Microsoft Sans Serif"/>
          <w:color w:val="404040" w:themeColor="text1" w:themeTint="BF"/>
          <w:sz w:val="16"/>
          <w:szCs w:val="16"/>
          <w:lang w:val="tr-TR"/>
        </w:rPr>
        <w:t xml:space="preserve">TL tutarında </w:t>
      </w:r>
      <w:r w:rsidR="007C3411" w:rsidRPr="00FB38E1">
        <w:rPr>
          <w:rFonts w:ascii="Microsoft Sans Serif" w:hAnsi="Microsoft Sans Serif" w:cs="Microsoft Sans Serif"/>
          <w:color w:val="404040" w:themeColor="text1" w:themeTint="BF"/>
          <w:sz w:val="16"/>
          <w:szCs w:val="16"/>
          <w:lang w:val="tr-TR"/>
        </w:rPr>
        <w:t>ortaklık yatırımları</w:t>
      </w:r>
      <w:r w:rsidR="00312C12" w:rsidRPr="00FB38E1">
        <w:rPr>
          <w:rFonts w:ascii="Microsoft Sans Serif" w:hAnsi="Microsoft Sans Serif" w:cs="Microsoft Sans Serif"/>
          <w:color w:val="404040" w:themeColor="text1" w:themeTint="BF"/>
          <w:sz w:val="16"/>
          <w:szCs w:val="16"/>
          <w:lang w:val="tr-TR"/>
        </w:rPr>
        <w:t xml:space="preserve">, </w:t>
      </w:r>
      <w:r w:rsidR="003C178B" w:rsidRPr="00FB38E1">
        <w:rPr>
          <w:rFonts w:ascii="Microsoft Sans Serif" w:hAnsi="Microsoft Sans Serif" w:cs="Microsoft Sans Serif"/>
          <w:color w:val="404040" w:themeColor="text1" w:themeTint="BF"/>
          <w:sz w:val="16"/>
          <w:szCs w:val="16"/>
          <w:lang w:val="tr-TR"/>
        </w:rPr>
        <w:t>4.756.787</w:t>
      </w:r>
      <w:r w:rsidR="00312C12" w:rsidRPr="00FB38E1">
        <w:rPr>
          <w:rFonts w:ascii="Microsoft Sans Serif" w:hAnsi="Microsoft Sans Serif" w:cs="Microsoft Sans Serif"/>
          <w:color w:val="404040" w:themeColor="text1" w:themeTint="BF"/>
          <w:sz w:val="16"/>
          <w:szCs w:val="16"/>
          <w:lang w:val="tr-TR"/>
        </w:rPr>
        <w:t xml:space="preserve"> TL tutarında vergi varlığı, </w:t>
      </w:r>
      <w:r w:rsidR="003C178B" w:rsidRPr="00FB38E1">
        <w:rPr>
          <w:rFonts w:ascii="Microsoft Sans Serif" w:hAnsi="Microsoft Sans Serif" w:cs="Microsoft Sans Serif"/>
          <w:color w:val="404040" w:themeColor="text1" w:themeTint="BF"/>
          <w:sz w:val="16"/>
          <w:szCs w:val="16"/>
          <w:lang w:val="tr-TR"/>
        </w:rPr>
        <w:t>17.456.251</w:t>
      </w:r>
      <w:r w:rsidR="00312C12" w:rsidRPr="00FB38E1">
        <w:rPr>
          <w:rFonts w:ascii="Microsoft Sans Serif" w:hAnsi="Microsoft Sans Serif" w:cs="Microsoft Sans Serif"/>
          <w:color w:val="404040" w:themeColor="text1" w:themeTint="BF"/>
          <w:sz w:val="16"/>
          <w:szCs w:val="16"/>
          <w:lang w:val="tr-TR"/>
        </w:rPr>
        <w:t xml:space="preserve"> TL tutarında </w:t>
      </w:r>
      <w:r w:rsidR="003F32DD" w:rsidRPr="00FB38E1">
        <w:rPr>
          <w:rFonts w:ascii="Microsoft Sans Serif" w:hAnsi="Microsoft Sans Serif" w:cs="Microsoft Sans Serif"/>
          <w:color w:val="404040" w:themeColor="text1" w:themeTint="BF"/>
          <w:sz w:val="16"/>
          <w:szCs w:val="16"/>
          <w:lang w:val="tr-TR"/>
        </w:rPr>
        <w:t>elden çıkarılacak kıymetleri, (</w:t>
      </w:r>
      <w:r w:rsidR="003C178B" w:rsidRPr="00FB38E1">
        <w:rPr>
          <w:rFonts w:ascii="Microsoft Sans Serif" w:hAnsi="Microsoft Sans Serif" w:cs="Microsoft Sans Serif"/>
          <w:color w:val="404040" w:themeColor="text1" w:themeTint="BF"/>
          <w:sz w:val="16"/>
          <w:szCs w:val="16"/>
          <w:lang w:val="tr-TR"/>
        </w:rPr>
        <w:t>61.879</w:t>
      </w:r>
      <w:r w:rsidR="003F32DD" w:rsidRPr="00FB38E1">
        <w:rPr>
          <w:rFonts w:ascii="Microsoft Sans Serif" w:hAnsi="Microsoft Sans Serif" w:cs="Microsoft Sans Serif"/>
          <w:color w:val="404040" w:themeColor="text1" w:themeTint="BF"/>
          <w:sz w:val="16"/>
          <w:szCs w:val="16"/>
          <w:lang w:val="tr-TR"/>
        </w:rPr>
        <w:t xml:space="preserve">) TL tutarında </w:t>
      </w:r>
      <w:r w:rsidR="00726879" w:rsidRPr="00FB38E1">
        <w:rPr>
          <w:rFonts w:ascii="Microsoft Sans Serif" w:hAnsi="Microsoft Sans Serif" w:cs="Microsoft Sans Serif"/>
          <w:color w:val="404040" w:themeColor="text1" w:themeTint="BF"/>
          <w:sz w:val="16"/>
          <w:szCs w:val="16"/>
          <w:lang w:val="tr-TR"/>
        </w:rPr>
        <w:t>diğer aktiflerin</w:t>
      </w:r>
      <w:r w:rsidR="003F32DD" w:rsidRPr="00FB38E1">
        <w:rPr>
          <w:rFonts w:ascii="Microsoft Sans Serif" w:hAnsi="Microsoft Sans Serif" w:cs="Microsoft Sans Serif"/>
          <w:color w:val="404040" w:themeColor="text1" w:themeTint="BF"/>
          <w:sz w:val="16"/>
          <w:szCs w:val="16"/>
          <w:lang w:val="tr-TR"/>
        </w:rPr>
        <w:t xml:space="preserve"> beklenen zarar karşılıklarını ve </w:t>
      </w:r>
      <w:r w:rsidR="003C178B" w:rsidRPr="00FB38E1">
        <w:rPr>
          <w:rFonts w:ascii="Microsoft Sans Serif" w:hAnsi="Microsoft Sans Serif" w:cs="Microsoft Sans Serif"/>
          <w:color w:val="404040" w:themeColor="text1" w:themeTint="BF"/>
          <w:sz w:val="16"/>
          <w:szCs w:val="16"/>
          <w:lang w:val="tr-TR"/>
        </w:rPr>
        <w:t>34.044.537</w:t>
      </w:r>
      <w:r w:rsidR="00312C12" w:rsidRPr="00FB38E1">
        <w:rPr>
          <w:rFonts w:ascii="Microsoft Sans Serif" w:hAnsi="Microsoft Sans Serif" w:cs="Microsoft Sans Serif"/>
          <w:color w:val="404040" w:themeColor="text1" w:themeTint="BF"/>
          <w:sz w:val="16"/>
          <w:szCs w:val="16"/>
          <w:lang w:val="tr-TR"/>
        </w:rPr>
        <w:t xml:space="preserve"> TL tutarında diğer aktifle</w:t>
      </w:r>
      <w:r w:rsidR="003F32DD" w:rsidRPr="00FB38E1">
        <w:rPr>
          <w:rFonts w:ascii="Microsoft Sans Serif" w:hAnsi="Microsoft Sans Serif" w:cs="Microsoft Sans Serif"/>
          <w:color w:val="404040" w:themeColor="text1" w:themeTint="BF"/>
          <w:sz w:val="16"/>
          <w:szCs w:val="16"/>
          <w:lang w:val="tr-TR"/>
        </w:rPr>
        <w:t>ri</w:t>
      </w:r>
      <w:r w:rsidR="00312C12" w:rsidRPr="00FB38E1">
        <w:rPr>
          <w:rFonts w:ascii="Microsoft Sans Serif" w:hAnsi="Microsoft Sans Serif" w:cs="Microsoft Sans Serif"/>
          <w:color w:val="404040" w:themeColor="text1" w:themeTint="BF"/>
          <w:sz w:val="16"/>
          <w:szCs w:val="16"/>
          <w:lang w:val="tr-TR"/>
        </w:rPr>
        <w:t xml:space="preserve"> içermektedir.</w:t>
      </w:r>
    </w:p>
    <w:p w14:paraId="6C24D0B9" w14:textId="142DDDA4" w:rsidR="002639AA" w:rsidRPr="00FB38E1" w:rsidRDefault="002639AA" w:rsidP="00910FB0">
      <w:pPr>
        <w:pStyle w:val="ListParagraph"/>
        <w:tabs>
          <w:tab w:val="left" w:pos="0"/>
          <w:tab w:val="left" w:pos="284"/>
        </w:tabs>
        <w:spacing w:after="120"/>
        <w:ind w:left="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 3. Aşama krediler net olarak “Faizsiz” olarak gösterilmiştir.</w:t>
      </w:r>
    </w:p>
    <w:p w14:paraId="33BF2A80" w14:textId="4CD6E270" w:rsidR="00312C12" w:rsidRPr="00FB38E1" w:rsidRDefault="00312C12"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r w:rsidR="002639AA" w:rsidRPr="00FB38E1">
        <w:rPr>
          <w:rFonts w:ascii="Microsoft Sans Serif" w:hAnsi="Microsoft Sans Serif" w:cs="Microsoft Sans Serif"/>
          <w:color w:val="404040" w:themeColor="text1" w:themeTint="BF"/>
          <w:sz w:val="16"/>
          <w:szCs w:val="16"/>
        </w:rPr>
        <w:t>5</w:t>
      </w:r>
      <w:r w:rsidRPr="00FB38E1">
        <w:rPr>
          <w:rFonts w:ascii="Microsoft Sans Serif" w:hAnsi="Microsoft Sans Serif" w:cs="Microsoft Sans Serif"/>
          <w:color w:val="404040" w:themeColor="text1" w:themeTint="BF"/>
          <w:sz w:val="16"/>
          <w:szCs w:val="16"/>
        </w:rPr>
        <w:t>) Diğer yükümlülükler-faizsiz;</w:t>
      </w:r>
      <w:r w:rsidR="00562085" w:rsidRPr="00FB38E1">
        <w:rPr>
          <w:rFonts w:ascii="Microsoft Sans Serif" w:hAnsi="Microsoft Sans Serif" w:cs="Microsoft Sans Serif"/>
          <w:color w:val="404040" w:themeColor="text1" w:themeTint="BF"/>
          <w:sz w:val="16"/>
          <w:szCs w:val="16"/>
        </w:rPr>
        <w:t xml:space="preserve"> </w:t>
      </w:r>
      <w:r w:rsidR="007F3C60" w:rsidRPr="00FB38E1">
        <w:rPr>
          <w:rFonts w:ascii="Microsoft Sans Serif" w:hAnsi="Microsoft Sans Serif" w:cs="Microsoft Sans Serif"/>
          <w:color w:val="404040" w:themeColor="text1" w:themeTint="BF"/>
          <w:sz w:val="16"/>
          <w:szCs w:val="16"/>
        </w:rPr>
        <w:t>1</w:t>
      </w:r>
      <w:r w:rsidR="00251369" w:rsidRPr="00FB38E1">
        <w:rPr>
          <w:rFonts w:ascii="Microsoft Sans Serif" w:hAnsi="Microsoft Sans Serif" w:cs="Microsoft Sans Serif"/>
          <w:color w:val="404040" w:themeColor="text1" w:themeTint="BF"/>
          <w:sz w:val="16"/>
          <w:szCs w:val="16"/>
        </w:rPr>
        <w:t>5</w:t>
      </w:r>
      <w:r w:rsidR="006C070B" w:rsidRPr="00FB38E1">
        <w:rPr>
          <w:rFonts w:ascii="Microsoft Sans Serif" w:hAnsi="Microsoft Sans Serif" w:cs="Microsoft Sans Serif"/>
          <w:color w:val="404040" w:themeColor="text1" w:themeTint="BF"/>
          <w:sz w:val="16"/>
          <w:szCs w:val="16"/>
        </w:rPr>
        <w:t>0</w:t>
      </w:r>
      <w:r w:rsidR="007F3C60" w:rsidRPr="00FB38E1">
        <w:rPr>
          <w:rFonts w:ascii="Microsoft Sans Serif" w:hAnsi="Microsoft Sans Serif" w:cs="Microsoft Sans Serif"/>
          <w:color w:val="404040" w:themeColor="text1" w:themeTint="BF"/>
          <w:sz w:val="16"/>
          <w:szCs w:val="16"/>
        </w:rPr>
        <w:t>.</w:t>
      </w:r>
      <w:r w:rsidR="00251369" w:rsidRPr="00FB38E1">
        <w:rPr>
          <w:rFonts w:ascii="Microsoft Sans Serif" w:hAnsi="Microsoft Sans Serif" w:cs="Microsoft Sans Serif"/>
          <w:color w:val="404040" w:themeColor="text1" w:themeTint="BF"/>
          <w:sz w:val="16"/>
          <w:szCs w:val="16"/>
        </w:rPr>
        <w:t>7</w:t>
      </w:r>
      <w:r w:rsidR="006C070B" w:rsidRPr="00FB38E1">
        <w:rPr>
          <w:rFonts w:ascii="Microsoft Sans Serif" w:hAnsi="Microsoft Sans Serif" w:cs="Microsoft Sans Serif"/>
          <w:color w:val="404040" w:themeColor="text1" w:themeTint="BF"/>
          <w:sz w:val="16"/>
          <w:szCs w:val="16"/>
        </w:rPr>
        <w:t>00</w:t>
      </w:r>
      <w:r w:rsidR="007F3C60" w:rsidRPr="00FB38E1">
        <w:rPr>
          <w:rFonts w:ascii="Microsoft Sans Serif" w:hAnsi="Microsoft Sans Serif" w:cs="Microsoft Sans Serif"/>
          <w:color w:val="404040" w:themeColor="text1" w:themeTint="BF"/>
          <w:sz w:val="16"/>
          <w:szCs w:val="16"/>
        </w:rPr>
        <w:t>.</w:t>
      </w:r>
      <w:r w:rsidR="006C070B" w:rsidRPr="00FB38E1">
        <w:rPr>
          <w:rFonts w:ascii="Microsoft Sans Serif" w:hAnsi="Microsoft Sans Serif" w:cs="Microsoft Sans Serif"/>
          <w:color w:val="404040" w:themeColor="text1" w:themeTint="BF"/>
          <w:sz w:val="16"/>
          <w:szCs w:val="16"/>
        </w:rPr>
        <w:t>718</w:t>
      </w:r>
      <w:r w:rsidRPr="00FB38E1">
        <w:rPr>
          <w:rFonts w:ascii="Microsoft Sans Serif" w:hAnsi="Microsoft Sans Serif" w:cs="Microsoft Sans Serif"/>
          <w:color w:val="404040" w:themeColor="text1" w:themeTint="BF"/>
          <w:sz w:val="16"/>
          <w:szCs w:val="16"/>
        </w:rPr>
        <w:t xml:space="preserve"> TL tutarında özkaynaklar, </w:t>
      </w:r>
      <w:r w:rsidR="003C178B" w:rsidRPr="00FB38E1">
        <w:rPr>
          <w:rFonts w:ascii="Microsoft Sans Serif" w:hAnsi="Microsoft Sans Serif" w:cs="Microsoft Sans Serif"/>
          <w:color w:val="404040" w:themeColor="text1" w:themeTint="BF"/>
          <w:sz w:val="16"/>
          <w:szCs w:val="16"/>
        </w:rPr>
        <w:t>72.156.441</w:t>
      </w:r>
      <w:r w:rsidRPr="00FB38E1">
        <w:rPr>
          <w:rFonts w:ascii="Microsoft Sans Serif" w:hAnsi="Microsoft Sans Serif" w:cs="Microsoft Sans Serif"/>
          <w:color w:val="404040" w:themeColor="text1" w:themeTint="BF"/>
          <w:sz w:val="16"/>
          <w:szCs w:val="16"/>
        </w:rPr>
        <w:t xml:space="preserve"> TL tutarında </w:t>
      </w:r>
      <w:r w:rsidR="003F32DD" w:rsidRPr="00FB38E1">
        <w:rPr>
          <w:rFonts w:ascii="Microsoft Sans Serif" w:hAnsi="Microsoft Sans Serif" w:cs="Microsoft Sans Serif"/>
          <w:color w:val="404040" w:themeColor="text1" w:themeTint="BF"/>
          <w:sz w:val="16"/>
          <w:szCs w:val="16"/>
        </w:rPr>
        <w:t>diğer yükümlülükler</w:t>
      </w:r>
      <w:r w:rsidR="00F936A5" w:rsidRPr="00FB38E1">
        <w:rPr>
          <w:rFonts w:ascii="Microsoft Sans Serif" w:hAnsi="Microsoft Sans Serif" w:cs="Microsoft Sans Serif"/>
          <w:color w:val="404040" w:themeColor="text1" w:themeTint="BF"/>
          <w:sz w:val="16"/>
          <w:szCs w:val="16"/>
        </w:rPr>
        <w:t>,</w:t>
      </w:r>
      <w:r w:rsidR="00715D36" w:rsidRPr="00FB38E1">
        <w:rPr>
          <w:rFonts w:ascii="Microsoft Sans Serif" w:hAnsi="Microsoft Sans Serif" w:cs="Microsoft Sans Serif"/>
          <w:color w:val="404040" w:themeColor="text1" w:themeTint="BF"/>
          <w:sz w:val="16"/>
          <w:szCs w:val="16"/>
        </w:rPr>
        <w:t xml:space="preserve"> </w:t>
      </w:r>
      <w:r w:rsidR="006C070B" w:rsidRPr="00FB38E1">
        <w:rPr>
          <w:rFonts w:ascii="Microsoft Sans Serif" w:hAnsi="Microsoft Sans Serif" w:cs="Microsoft Sans Serif"/>
          <w:color w:val="404040" w:themeColor="text1" w:themeTint="BF"/>
          <w:sz w:val="16"/>
          <w:szCs w:val="16"/>
        </w:rPr>
        <w:t>21</w:t>
      </w:r>
      <w:r w:rsidR="00290689" w:rsidRPr="00FB38E1">
        <w:rPr>
          <w:rFonts w:ascii="Microsoft Sans Serif" w:hAnsi="Microsoft Sans Serif" w:cs="Microsoft Sans Serif"/>
          <w:color w:val="404040" w:themeColor="text1" w:themeTint="BF"/>
          <w:sz w:val="16"/>
          <w:szCs w:val="16"/>
        </w:rPr>
        <w:t>.96</w:t>
      </w:r>
      <w:r w:rsidR="006C070B" w:rsidRPr="00FB38E1">
        <w:rPr>
          <w:rFonts w:ascii="Microsoft Sans Serif" w:hAnsi="Microsoft Sans Serif" w:cs="Microsoft Sans Serif"/>
          <w:color w:val="404040" w:themeColor="text1" w:themeTint="BF"/>
          <w:sz w:val="16"/>
          <w:szCs w:val="16"/>
        </w:rPr>
        <w:t>3</w:t>
      </w:r>
      <w:r w:rsidR="00290689" w:rsidRPr="00FB38E1">
        <w:rPr>
          <w:rFonts w:ascii="Microsoft Sans Serif" w:hAnsi="Microsoft Sans Serif" w:cs="Microsoft Sans Serif"/>
          <w:color w:val="404040" w:themeColor="text1" w:themeTint="BF"/>
          <w:sz w:val="16"/>
          <w:szCs w:val="16"/>
        </w:rPr>
        <w:t>.</w:t>
      </w:r>
      <w:r w:rsidR="006C070B" w:rsidRPr="00FB38E1">
        <w:rPr>
          <w:rFonts w:ascii="Microsoft Sans Serif" w:hAnsi="Microsoft Sans Serif" w:cs="Microsoft Sans Serif"/>
          <w:color w:val="404040" w:themeColor="text1" w:themeTint="BF"/>
          <w:sz w:val="16"/>
          <w:szCs w:val="16"/>
        </w:rPr>
        <w:t>404</w:t>
      </w:r>
      <w:r w:rsidR="003D0DE4" w:rsidRPr="00FB38E1">
        <w:rPr>
          <w:rFonts w:ascii="Microsoft Sans Serif" w:hAnsi="Microsoft Sans Serif" w:cs="Microsoft Sans Serif"/>
          <w:color w:val="404040" w:themeColor="text1" w:themeTint="BF"/>
          <w:sz w:val="16"/>
          <w:szCs w:val="16"/>
        </w:rPr>
        <w:t xml:space="preserve"> </w:t>
      </w:r>
      <w:r w:rsidRPr="00FB38E1">
        <w:rPr>
          <w:rFonts w:ascii="Microsoft Sans Serif" w:hAnsi="Microsoft Sans Serif" w:cs="Microsoft Sans Serif"/>
          <w:color w:val="404040" w:themeColor="text1" w:themeTint="BF"/>
          <w:sz w:val="16"/>
          <w:szCs w:val="16"/>
        </w:rPr>
        <w:t xml:space="preserve">TL tutarında karşılıklar, </w:t>
      </w:r>
      <w:r w:rsidR="00290689" w:rsidRPr="00FB38E1">
        <w:rPr>
          <w:rFonts w:ascii="Microsoft Sans Serif" w:hAnsi="Microsoft Sans Serif" w:cs="Microsoft Sans Serif"/>
          <w:color w:val="404040" w:themeColor="text1" w:themeTint="BF"/>
          <w:sz w:val="16"/>
          <w:szCs w:val="16"/>
        </w:rPr>
        <w:t>5.359.450</w:t>
      </w:r>
      <w:r w:rsidRPr="00FB38E1">
        <w:rPr>
          <w:rFonts w:ascii="Microsoft Sans Serif" w:hAnsi="Microsoft Sans Serif" w:cs="Microsoft Sans Serif"/>
          <w:color w:val="404040" w:themeColor="text1" w:themeTint="BF"/>
          <w:sz w:val="16"/>
          <w:szCs w:val="16"/>
        </w:rPr>
        <w:t xml:space="preserve"> TL tutarında vergi borcu</w:t>
      </w:r>
      <w:r w:rsidR="003154B3" w:rsidRPr="00FB38E1">
        <w:rPr>
          <w:rFonts w:ascii="Microsoft Sans Serif" w:hAnsi="Microsoft Sans Serif" w:cs="Microsoft Sans Serif"/>
          <w:color w:val="404040" w:themeColor="text1" w:themeTint="BF"/>
          <w:sz w:val="16"/>
          <w:szCs w:val="16"/>
        </w:rPr>
        <w:t>,</w:t>
      </w:r>
      <w:r w:rsidR="00967495" w:rsidRPr="00FB38E1">
        <w:rPr>
          <w:rFonts w:ascii="Microsoft Sans Serif" w:hAnsi="Microsoft Sans Serif" w:cs="Microsoft Sans Serif"/>
          <w:color w:val="404040" w:themeColor="text1" w:themeTint="BF"/>
          <w:sz w:val="16"/>
          <w:szCs w:val="16"/>
        </w:rPr>
        <w:t xml:space="preserve"> </w:t>
      </w:r>
      <w:r w:rsidR="00290689" w:rsidRPr="00FB38E1">
        <w:rPr>
          <w:rFonts w:ascii="Microsoft Sans Serif" w:hAnsi="Microsoft Sans Serif" w:cs="Microsoft Sans Serif"/>
          <w:color w:val="404040" w:themeColor="text1" w:themeTint="BF"/>
          <w:sz w:val="16"/>
          <w:szCs w:val="16"/>
        </w:rPr>
        <w:t>5.115.481</w:t>
      </w:r>
      <w:r w:rsidR="00033288" w:rsidRPr="00FB38E1">
        <w:rPr>
          <w:rFonts w:ascii="Microsoft Sans Serif" w:hAnsi="Microsoft Sans Serif" w:cs="Microsoft Sans Serif"/>
          <w:color w:val="404040" w:themeColor="text1" w:themeTint="BF"/>
          <w:sz w:val="16"/>
          <w:szCs w:val="16"/>
        </w:rPr>
        <w:t xml:space="preserve"> </w:t>
      </w:r>
      <w:r w:rsidR="002000F6" w:rsidRPr="00FB38E1">
        <w:rPr>
          <w:rFonts w:ascii="Microsoft Sans Serif" w:hAnsi="Microsoft Sans Serif" w:cs="Microsoft Sans Serif"/>
          <w:color w:val="404040" w:themeColor="text1" w:themeTint="BF"/>
          <w:sz w:val="16"/>
          <w:szCs w:val="16"/>
        </w:rPr>
        <w:t>TL tutarında türev finansal yükümlülükler</w:t>
      </w:r>
      <w:r w:rsidR="003154B3" w:rsidRPr="00FB38E1">
        <w:rPr>
          <w:rFonts w:ascii="Microsoft Sans Serif" w:hAnsi="Microsoft Sans Serif" w:cs="Microsoft Sans Serif"/>
          <w:color w:val="404040" w:themeColor="text1" w:themeTint="BF"/>
          <w:sz w:val="16"/>
          <w:szCs w:val="16"/>
        </w:rPr>
        <w:t xml:space="preserve"> </w:t>
      </w:r>
      <w:r w:rsidRPr="00FB38E1">
        <w:rPr>
          <w:rFonts w:ascii="Microsoft Sans Serif" w:hAnsi="Microsoft Sans Serif" w:cs="Microsoft Sans Serif"/>
          <w:color w:val="404040" w:themeColor="text1" w:themeTint="BF"/>
          <w:sz w:val="16"/>
          <w:szCs w:val="16"/>
        </w:rPr>
        <w:t>bakiyelerini içermektedir</w:t>
      </w:r>
      <w:r w:rsidRPr="00FB38E1">
        <w:rPr>
          <w:rFonts w:ascii="Microsoft Sans Serif" w:eastAsia="Arial Unicode MS" w:hAnsi="Microsoft Sans Serif" w:cs="Microsoft Sans Serif"/>
          <w:color w:val="404040" w:themeColor="text1" w:themeTint="BF"/>
          <w:sz w:val="16"/>
          <w:szCs w:val="16"/>
        </w:rPr>
        <w:t>.</w:t>
      </w:r>
    </w:p>
    <w:p w14:paraId="73607AFD" w14:textId="4E9961E1"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6D4CCDD3" w14:textId="556E0401"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789C6CEE" w14:textId="600F70DA"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4B6952DB" w14:textId="780884EC"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79E04319" w14:textId="0A76B9E8"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7C6AFC2" w14:textId="7E1D3843"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4204702E" w14:textId="1C361549"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61DB558D" w14:textId="3CF57F3B"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11EC4D7" w14:textId="32E22444"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289618C6" w14:textId="2C16FCCB"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8ECC9DF" w14:textId="5833B441"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529712E7" w14:textId="1CD2D67A"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5F7ACD20" w14:textId="522A5D0F"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E40E91B" w14:textId="17B90DEC"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3157C4BE" w14:textId="4AEA1EDD"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03F24BB6" w14:textId="34F2741C" w:rsidR="00E60D1B" w:rsidRPr="00FB38E1" w:rsidRDefault="00E60D1B" w:rsidP="00910FB0">
      <w:pPr>
        <w:pStyle w:val="ListParagraph"/>
        <w:tabs>
          <w:tab w:val="left" w:pos="0"/>
          <w:tab w:val="left" w:pos="284"/>
        </w:tabs>
        <w:spacing w:after="120"/>
        <w:ind w:left="0"/>
        <w:rPr>
          <w:rFonts w:ascii="Microsoft Sans Serif" w:eastAsia="Arial Unicode MS" w:hAnsi="Microsoft Sans Serif" w:cs="Microsoft Sans Serif"/>
          <w:color w:val="404040" w:themeColor="text1" w:themeTint="BF"/>
          <w:sz w:val="16"/>
          <w:szCs w:val="16"/>
        </w:rPr>
      </w:pPr>
    </w:p>
    <w:p w14:paraId="29FE3209" w14:textId="77C0F7E8" w:rsidR="00B050E3" w:rsidRPr="00FB38E1" w:rsidRDefault="00B050E3" w:rsidP="00312C12">
      <w:pPr>
        <w:pStyle w:val="ListParagraph"/>
        <w:tabs>
          <w:tab w:val="left" w:pos="0"/>
          <w:tab w:val="left" w:pos="284"/>
        </w:tabs>
        <w:spacing w:before="60" w:after="120"/>
        <w:ind w:left="0"/>
        <w:rPr>
          <w:rFonts w:ascii="Microsoft Sans Serif" w:eastAsia="Arial Unicode MS" w:hAnsi="Microsoft Sans Serif" w:cs="Microsoft Sans Serif"/>
          <w:color w:val="404040" w:themeColor="text1" w:themeTint="BF"/>
          <w:sz w:val="16"/>
          <w:szCs w:val="16"/>
        </w:rPr>
      </w:pPr>
      <w:r w:rsidRPr="00FB38E1">
        <w:rPr>
          <w:rFonts w:ascii="Microsoft Sans Serif" w:eastAsia="Arial Unicode MS" w:hAnsi="Microsoft Sans Serif" w:cs="Microsoft Sans Serif"/>
          <w:color w:val="404040" w:themeColor="text1" w:themeTint="BF"/>
          <w:sz w:val="16"/>
          <w:szCs w:val="16"/>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684"/>
        <w:gridCol w:w="985"/>
        <w:gridCol w:w="1026"/>
        <w:gridCol w:w="979"/>
        <w:gridCol w:w="979"/>
        <w:gridCol w:w="981"/>
        <w:gridCol w:w="981"/>
        <w:gridCol w:w="1024"/>
      </w:tblGrid>
      <w:tr w:rsidR="00172A55" w:rsidRPr="00FB38E1" w14:paraId="436C5D39" w14:textId="77777777" w:rsidTr="00ED08E2">
        <w:tc>
          <w:tcPr>
            <w:tcW w:w="1392" w:type="pct"/>
            <w:tcBorders>
              <w:top w:val="thinThickSmallGap" w:sz="24" w:space="0" w:color="auto"/>
              <w:bottom w:val="single" w:sz="4" w:space="0" w:color="auto"/>
            </w:tcBorders>
            <w:vAlign w:val="bottom"/>
          </w:tcPr>
          <w:p w14:paraId="4379471D" w14:textId="19BBF5EE" w:rsidR="00172A55" w:rsidRPr="00FB38E1" w:rsidRDefault="00172A55" w:rsidP="00ED08E2">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Önceki Dönem Sonu</w:t>
            </w:r>
          </w:p>
        </w:tc>
        <w:tc>
          <w:tcPr>
            <w:tcW w:w="511" w:type="pct"/>
            <w:tcBorders>
              <w:top w:val="thinThickSmallGap" w:sz="24" w:space="0" w:color="auto"/>
              <w:bottom w:val="single" w:sz="4" w:space="0" w:color="auto"/>
            </w:tcBorders>
            <w:vAlign w:val="bottom"/>
          </w:tcPr>
          <w:p w14:paraId="1EA9FE5A" w14:textId="77777777" w:rsidR="00172A55" w:rsidRPr="00FB38E1" w:rsidRDefault="00172A55" w:rsidP="00ED08E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Aya Kadar</w:t>
            </w:r>
          </w:p>
        </w:tc>
        <w:tc>
          <w:tcPr>
            <w:tcW w:w="532" w:type="pct"/>
            <w:tcBorders>
              <w:top w:val="thinThickSmallGap" w:sz="24" w:space="0" w:color="auto"/>
              <w:bottom w:val="single" w:sz="4" w:space="0" w:color="auto"/>
            </w:tcBorders>
            <w:vAlign w:val="bottom"/>
          </w:tcPr>
          <w:p w14:paraId="7A8F7BDD" w14:textId="77777777" w:rsidR="00172A55" w:rsidRPr="00FB38E1" w:rsidRDefault="00172A55" w:rsidP="00ED08E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 Ay</w:t>
            </w:r>
          </w:p>
        </w:tc>
        <w:tc>
          <w:tcPr>
            <w:tcW w:w="508" w:type="pct"/>
            <w:tcBorders>
              <w:top w:val="thinThickSmallGap" w:sz="24" w:space="0" w:color="auto"/>
              <w:bottom w:val="single" w:sz="4" w:space="0" w:color="auto"/>
            </w:tcBorders>
            <w:vAlign w:val="bottom"/>
          </w:tcPr>
          <w:p w14:paraId="6D8FBDD3" w14:textId="77777777" w:rsidR="00172A55" w:rsidRPr="00FB38E1" w:rsidRDefault="00172A55" w:rsidP="00ED08E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3-12 Ay</w:t>
            </w:r>
          </w:p>
        </w:tc>
        <w:tc>
          <w:tcPr>
            <w:tcW w:w="508" w:type="pct"/>
            <w:tcBorders>
              <w:top w:val="thinThickSmallGap" w:sz="24" w:space="0" w:color="auto"/>
              <w:bottom w:val="single" w:sz="4" w:space="0" w:color="auto"/>
            </w:tcBorders>
            <w:vAlign w:val="bottom"/>
          </w:tcPr>
          <w:p w14:paraId="3E724143" w14:textId="77777777" w:rsidR="00172A55" w:rsidRPr="00FB38E1" w:rsidRDefault="00172A55" w:rsidP="00ED08E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 Yıl</w:t>
            </w:r>
          </w:p>
        </w:tc>
        <w:tc>
          <w:tcPr>
            <w:tcW w:w="509" w:type="pct"/>
            <w:tcBorders>
              <w:top w:val="thinThickSmallGap" w:sz="24" w:space="0" w:color="auto"/>
              <w:bottom w:val="single" w:sz="4" w:space="0" w:color="auto"/>
            </w:tcBorders>
            <w:vAlign w:val="bottom"/>
          </w:tcPr>
          <w:p w14:paraId="403E79B0" w14:textId="77777777" w:rsidR="00172A55" w:rsidRPr="00FB38E1" w:rsidRDefault="00172A55" w:rsidP="00ED08E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 Yıl ve Üzeri</w:t>
            </w:r>
          </w:p>
        </w:tc>
        <w:tc>
          <w:tcPr>
            <w:tcW w:w="509" w:type="pct"/>
            <w:tcBorders>
              <w:top w:val="thinThickSmallGap" w:sz="24" w:space="0" w:color="auto"/>
              <w:bottom w:val="single" w:sz="4" w:space="0" w:color="auto"/>
            </w:tcBorders>
            <w:vAlign w:val="bottom"/>
          </w:tcPr>
          <w:p w14:paraId="37CF2051" w14:textId="77777777" w:rsidR="00172A55" w:rsidRPr="00FB38E1" w:rsidRDefault="00172A55" w:rsidP="00ED08E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xml:space="preserve">Faizsiz </w:t>
            </w:r>
          </w:p>
        </w:tc>
        <w:tc>
          <w:tcPr>
            <w:tcW w:w="531" w:type="pct"/>
            <w:tcBorders>
              <w:top w:val="thinThickSmallGap" w:sz="24" w:space="0" w:color="auto"/>
              <w:bottom w:val="single" w:sz="4" w:space="0" w:color="auto"/>
            </w:tcBorders>
            <w:vAlign w:val="bottom"/>
          </w:tcPr>
          <w:p w14:paraId="201792ED" w14:textId="77777777" w:rsidR="00172A55" w:rsidRPr="00FB38E1" w:rsidRDefault="00172A55" w:rsidP="00ED08E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w:t>
            </w:r>
          </w:p>
        </w:tc>
      </w:tr>
      <w:tr w:rsidR="00172A55" w:rsidRPr="00FB38E1" w14:paraId="1A537728" w14:textId="77777777" w:rsidTr="0096320D">
        <w:trPr>
          <w:trHeight w:val="44"/>
        </w:trPr>
        <w:tc>
          <w:tcPr>
            <w:tcW w:w="1392" w:type="pct"/>
            <w:tcBorders>
              <w:top w:val="single" w:sz="4" w:space="0" w:color="auto"/>
            </w:tcBorders>
            <w:vAlign w:val="bottom"/>
          </w:tcPr>
          <w:p w14:paraId="2F41265B" w14:textId="77777777" w:rsidR="00172A55" w:rsidRPr="00FB38E1" w:rsidRDefault="00172A55" w:rsidP="00ED08E2">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Varlıklar</w:t>
            </w:r>
          </w:p>
        </w:tc>
        <w:tc>
          <w:tcPr>
            <w:tcW w:w="511" w:type="pct"/>
            <w:tcBorders>
              <w:top w:val="single" w:sz="4" w:space="0" w:color="auto"/>
            </w:tcBorders>
            <w:vAlign w:val="bottom"/>
          </w:tcPr>
          <w:p w14:paraId="716931F2" w14:textId="77777777" w:rsidR="00172A55" w:rsidRPr="00FB38E1" w:rsidRDefault="00172A55" w:rsidP="00ED08E2">
            <w:pPr>
              <w:rPr>
                <w:rFonts w:ascii="Microsoft Sans Serif" w:hAnsi="Microsoft Sans Serif" w:cs="Microsoft Sans Serif"/>
                <w:color w:val="000000"/>
                <w:sz w:val="14"/>
                <w:szCs w:val="14"/>
              </w:rPr>
            </w:pPr>
          </w:p>
        </w:tc>
        <w:tc>
          <w:tcPr>
            <w:tcW w:w="532" w:type="pct"/>
            <w:tcBorders>
              <w:top w:val="single" w:sz="4" w:space="0" w:color="auto"/>
            </w:tcBorders>
            <w:vAlign w:val="bottom"/>
          </w:tcPr>
          <w:p w14:paraId="6BADF64A" w14:textId="77777777" w:rsidR="00172A55" w:rsidRPr="00FB38E1" w:rsidRDefault="00172A55" w:rsidP="00ED08E2">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0BCE6BF3" w14:textId="77777777" w:rsidR="00172A55" w:rsidRPr="00FB38E1" w:rsidRDefault="00172A55" w:rsidP="00ED08E2">
            <w:pPr>
              <w:rPr>
                <w:rFonts w:ascii="Microsoft Sans Serif" w:hAnsi="Microsoft Sans Serif" w:cs="Microsoft Sans Serif"/>
                <w:color w:val="000000"/>
                <w:sz w:val="14"/>
                <w:szCs w:val="14"/>
              </w:rPr>
            </w:pPr>
          </w:p>
        </w:tc>
        <w:tc>
          <w:tcPr>
            <w:tcW w:w="508" w:type="pct"/>
            <w:tcBorders>
              <w:top w:val="single" w:sz="4" w:space="0" w:color="auto"/>
            </w:tcBorders>
            <w:vAlign w:val="bottom"/>
          </w:tcPr>
          <w:p w14:paraId="090FEE85" w14:textId="77777777" w:rsidR="00172A55" w:rsidRPr="00FB38E1" w:rsidRDefault="00172A55" w:rsidP="00ED08E2">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33E225B" w14:textId="77777777" w:rsidR="00172A55" w:rsidRPr="00FB38E1" w:rsidRDefault="00172A55" w:rsidP="00ED08E2">
            <w:pPr>
              <w:rPr>
                <w:rFonts w:ascii="Microsoft Sans Serif" w:hAnsi="Microsoft Sans Serif" w:cs="Microsoft Sans Serif"/>
                <w:color w:val="000000"/>
                <w:sz w:val="14"/>
                <w:szCs w:val="14"/>
              </w:rPr>
            </w:pPr>
          </w:p>
        </w:tc>
        <w:tc>
          <w:tcPr>
            <w:tcW w:w="509" w:type="pct"/>
            <w:tcBorders>
              <w:top w:val="single" w:sz="4" w:space="0" w:color="auto"/>
            </w:tcBorders>
            <w:vAlign w:val="bottom"/>
          </w:tcPr>
          <w:p w14:paraId="41B8E62F" w14:textId="77777777" w:rsidR="00172A55" w:rsidRPr="00FB38E1" w:rsidRDefault="00172A55" w:rsidP="00ED08E2">
            <w:pPr>
              <w:rPr>
                <w:rFonts w:ascii="Microsoft Sans Serif" w:hAnsi="Microsoft Sans Serif" w:cs="Microsoft Sans Serif"/>
                <w:color w:val="000000"/>
                <w:sz w:val="14"/>
                <w:szCs w:val="14"/>
              </w:rPr>
            </w:pPr>
          </w:p>
        </w:tc>
        <w:tc>
          <w:tcPr>
            <w:tcW w:w="531" w:type="pct"/>
            <w:tcBorders>
              <w:top w:val="single" w:sz="4" w:space="0" w:color="auto"/>
            </w:tcBorders>
            <w:vAlign w:val="bottom"/>
          </w:tcPr>
          <w:p w14:paraId="6D636CD7" w14:textId="77777777" w:rsidR="00172A55" w:rsidRPr="00FB38E1" w:rsidRDefault="00172A55" w:rsidP="00ED08E2">
            <w:pPr>
              <w:rPr>
                <w:rFonts w:ascii="Microsoft Sans Serif" w:hAnsi="Microsoft Sans Serif" w:cs="Microsoft Sans Serif"/>
                <w:color w:val="000000"/>
                <w:sz w:val="14"/>
                <w:szCs w:val="14"/>
              </w:rPr>
            </w:pPr>
          </w:p>
        </w:tc>
      </w:tr>
      <w:tr w:rsidR="00F45BEE" w:rsidRPr="00FB38E1" w14:paraId="529226FC" w14:textId="77777777" w:rsidTr="00ED08E2">
        <w:tc>
          <w:tcPr>
            <w:tcW w:w="1392" w:type="pct"/>
            <w:vAlign w:val="bottom"/>
          </w:tcPr>
          <w:p w14:paraId="0F0F0789" w14:textId="77777777" w:rsidR="00F45BEE" w:rsidRPr="00FB38E1" w:rsidRDefault="00F45BEE" w:rsidP="00F45BEE">
            <w:pPr>
              <w:ind w:left="142"/>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Nakit Değerler ve T.C. Merkez Bnk.</w:t>
            </w:r>
          </w:p>
        </w:tc>
        <w:tc>
          <w:tcPr>
            <w:tcW w:w="511" w:type="pct"/>
            <w:vAlign w:val="bottom"/>
          </w:tcPr>
          <w:p w14:paraId="4EA0C99E" w14:textId="03D12F9C"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60.865.913</w:t>
            </w:r>
          </w:p>
        </w:tc>
        <w:tc>
          <w:tcPr>
            <w:tcW w:w="532" w:type="pct"/>
            <w:vAlign w:val="bottom"/>
          </w:tcPr>
          <w:p w14:paraId="09638ABE" w14:textId="5483928B"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4ACE546B" w14:textId="61055B23"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68896BF4" w14:textId="2B488EFA"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7AFF5CBC" w14:textId="718E04E9"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3195841F" w14:textId="14B288FF"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142.109.502</w:t>
            </w:r>
          </w:p>
        </w:tc>
        <w:tc>
          <w:tcPr>
            <w:tcW w:w="531" w:type="pct"/>
            <w:vAlign w:val="bottom"/>
          </w:tcPr>
          <w:p w14:paraId="4FFA5B6C" w14:textId="14A9D423"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202.975.415</w:t>
            </w:r>
          </w:p>
        </w:tc>
      </w:tr>
      <w:tr w:rsidR="00F45BEE" w:rsidRPr="00FB38E1" w14:paraId="6FAC508F" w14:textId="77777777" w:rsidTr="00ED08E2">
        <w:trPr>
          <w:trHeight w:val="53"/>
        </w:trPr>
        <w:tc>
          <w:tcPr>
            <w:tcW w:w="1392" w:type="pct"/>
            <w:vAlign w:val="bottom"/>
          </w:tcPr>
          <w:p w14:paraId="4BEE68D7" w14:textId="77777777" w:rsidR="00F45BEE" w:rsidRPr="00FB38E1" w:rsidRDefault="00F45BEE" w:rsidP="00F45BEE">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w:t>
            </w:r>
            <w:r w:rsidRPr="00FB38E1">
              <w:rPr>
                <w:rFonts w:ascii="Microsoft Sans Serif" w:hAnsi="Microsoft Sans Serif" w:cs="Microsoft Sans Serif"/>
                <w:color w:val="404040" w:themeColor="text1" w:themeTint="BF"/>
                <w:sz w:val="14"/>
                <w:szCs w:val="14"/>
                <w:vertAlign w:val="superscript"/>
              </w:rPr>
              <w:t>(1)</w:t>
            </w:r>
          </w:p>
        </w:tc>
        <w:tc>
          <w:tcPr>
            <w:tcW w:w="511" w:type="pct"/>
            <w:vAlign w:val="bottom"/>
          </w:tcPr>
          <w:p w14:paraId="1438CB09" w14:textId="63603073"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5.319.032</w:t>
            </w:r>
          </w:p>
        </w:tc>
        <w:tc>
          <w:tcPr>
            <w:tcW w:w="532" w:type="pct"/>
            <w:vAlign w:val="bottom"/>
          </w:tcPr>
          <w:p w14:paraId="61D1E452" w14:textId="4B2216A6"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4C3105A4" w14:textId="25192175"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0FB234FB" w14:textId="42D91AE3"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42A730D7" w14:textId="17A6F572"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23096FAA" w14:textId="0314E592"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13.707.913</w:t>
            </w:r>
          </w:p>
        </w:tc>
        <w:tc>
          <w:tcPr>
            <w:tcW w:w="531" w:type="pct"/>
            <w:vAlign w:val="bottom"/>
          </w:tcPr>
          <w:p w14:paraId="3C0D9224" w14:textId="4AEAB898"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19.026.945</w:t>
            </w:r>
          </w:p>
        </w:tc>
      </w:tr>
      <w:tr w:rsidR="00F45BEE" w:rsidRPr="00FB38E1" w14:paraId="6F75EFE9" w14:textId="77777777" w:rsidTr="00ED08E2">
        <w:tc>
          <w:tcPr>
            <w:tcW w:w="1392" w:type="pct"/>
            <w:vAlign w:val="bottom"/>
          </w:tcPr>
          <w:p w14:paraId="409B63DA" w14:textId="77777777" w:rsidR="00F45BEE" w:rsidRPr="00FB38E1" w:rsidRDefault="00F45BEE" w:rsidP="00F45BEE">
            <w:pPr>
              <w:ind w:left="142"/>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Gerçeğe Uygun Değer Farkı Kar veya Zarara Yansıtılan Fin.Var.</w:t>
            </w:r>
          </w:p>
        </w:tc>
        <w:tc>
          <w:tcPr>
            <w:tcW w:w="511" w:type="pct"/>
            <w:vAlign w:val="bottom"/>
          </w:tcPr>
          <w:p w14:paraId="24527D3C" w14:textId="261FD994"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489</w:t>
            </w:r>
          </w:p>
        </w:tc>
        <w:tc>
          <w:tcPr>
            <w:tcW w:w="532" w:type="pct"/>
            <w:vAlign w:val="bottom"/>
          </w:tcPr>
          <w:p w14:paraId="0B9B34E0" w14:textId="00A2B491"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20.080</w:t>
            </w:r>
          </w:p>
        </w:tc>
        <w:tc>
          <w:tcPr>
            <w:tcW w:w="508" w:type="pct"/>
            <w:vAlign w:val="bottom"/>
          </w:tcPr>
          <w:p w14:paraId="5C483330" w14:textId="7BFC65D0"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515.400</w:t>
            </w:r>
          </w:p>
        </w:tc>
        <w:tc>
          <w:tcPr>
            <w:tcW w:w="508" w:type="pct"/>
            <w:vAlign w:val="bottom"/>
          </w:tcPr>
          <w:p w14:paraId="58E0B305" w14:textId="149BCE36"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1.326.596</w:t>
            </w:r>
          </w:p>
        </w:tc>
        <w:tc>
          <w:tcPr>
            <w:tcW w:w="509" w:type="pct"/>
            <w:vAlign w:val="bottom"/>
          </w:tcPr>
          <w:p w14:paraId="3F40A6F3" w14:textId="6EBACC6F"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2.426.537</w:t>
            </w:r>
          </w:p>
        </w:tc>
        <w:tc>
          <w:tcPr>
            <w:tcW w:w="509" w:type="pct"/>
            <w:vAlign w:val="bottom"/>
          </w:tcPr>
          <w:p w14:paraId="2E5193D7" w14:textId="637CE94F"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9.057.416</w:t>
            </w:r>
          </w:p>
        </w:tc>
        <w:tc>
          <w:tcPr>
            <w:tcW w:w="531" w:type="pct"/>
            <w:vAlign w:val="bottom"/>
          </w:tcPr>
          <w:p w14:paraId="0AA17799" w14:textId="4CA15AA7"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13.346.518</w:t>
            </w:r>
          </w:p>
        </w:tc>
      </w:tr>
      <w:tr w:rsidR="00F45BEE" w:rsidRPr="00FB38E1" w14:paraId="54E1F69C" w14:textId="77777777" w:rsidTr="00ED08E2">
        <w:tc>
          <w:tcPr>
            <w:tcW w:w="1392" w:type="pct"/>
            <w:vAlign w:val="bottom"/>
          </w:tcPr>
          <w:p w14:paraId="1A81BADA" w14:textId="77777777" w:rsidR="00F45BEE" w:rsidRPr="00FB38E1" w:rsidRDefault="00F45BEE" w:rsidP="00F45BEE">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Piyasalarından Alacaklar</w:t>
            </w:r>
          </w:p>
        </w:tc>
        <w:tc>
          <w:tcPr>
            <w:tcW w:w="511" w:type="pct"/>
            <w:vAlign w:val="bottom"/>
          </w:tcPr>
          <w:p w14:paraId="7DEA04C0" w14:textId="08FC231D"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51.893.966</w:t>
            </w:r>
          </w:p>
        </w:tc>
        <w:tc>
          <w:tcPr>
            <w:tcW w:w="532" w:type="pct"/>
            <w:vAlign w:val="bottom"/>
          </w:tcPr>
          <w:p w14:paraId="15C52580" w14:textId="4C029729"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232.841</w:t>
            </w:r>
          </w:p>
        </w:tc>
        <w:tc>
          <w:tcPr>
            <w:tcW w:w="508" w:type="pct"/>
            <w:vAlign w:val="bottom"/>
          </w:tcPr>
          <w:p w14:paraId="473C5AC5" w14:textId="06A80C0C"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7173050A" w14:textId="531BA94E"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649549CA" w14:textId="5AFC22C2"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4E3CBFA5" w14:textId="29DEAFE3"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0B91010D" w14:textId="44F2F37A"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52.126.807</w:t>
            </w:r>
          </w:p>
        </w:tc>
      </w:tr>
      <w:tr w:rsidR="00F45BEE" w:rsidRPr="00FB38E1" w14:paraId="063490A6" w14:textId="77777777" w:rsidTr="00ED08E2">
        <w:tc>
          <w:tcPr>
            <w:tcW w:w="1392" w:type="pct"/>
            <w:vAlign w:val="bottom"/>
          </w:tcPr>
          <w:p w14:paraId="7BBEA2EC" w14:textId="77777777" w:rsidR="00F45BEE" w:rsidRPr="00FB38E1" w:rsidRDefault="00F45BEE" w:rsidP="00F45BEE">
            <w:pPr>
              <w:ind w:left="142"/>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Gerçeğe Uygun Değer Farkı Diğer Kapsamlı Gelire Yansıtılan FV</w:t>
            </w:r>
          </w:p>
        </w:tc>
        <w:tc>
          <w:tcPr>
            <w:tcW w:w="511" w:type="pct"/>
            <w:vAlign w:val="bottom"/>
          </w:tcPr>
          <w:p w14:paraId="5B7D3949" w14:textId="633408F1"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12.460.980</w:t>
            </w:r>
          </w:p>
        </w:tc>
        <w:tc>
          <w:tcPr>
            <w:tcW w:w="532" w:type="pct"/>
            <w:vAlign w:val="bottom"/>
          </w:tcPr>
          <w:p w14:paraId="6E0B819B" w14:textId="094E6E9A"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3.951.452</w:t>
            </w:r>
          </w:p>
        </w:tc>
        <w:tc>
          <w:tcPr>
            <w:tcW w:w="508" w:type="pct"/>
            <w:vAlign w:val="bottom"/>
          </w:tcPr>
          <w:p w14:paraId="4A77FA37" w14:textId="10D20E7E"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15.429.052</w:t>
            </w:r>
          </w:p>
        </w:tc>
        <w:tc>
          <w:tcPr>
            <w:tcW w:w="508" w:type="pct"/>
            <w:vAlign w:val="bottom"/>
          </w:tcPr>
          <w:p w14:paraId="77C6E0D3" w14:textId="622CB9B2"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24.871.429</w:t>
            </w:r>
          </w:p>
        </w:tc>
        <w:tc>
          <w:tcPr>
            <w:tcW w:w="509" w:type="pct"/>
            <w:vAlign w:val="bottom"/>
          </w:tcPr>
          <w:p w14:paraId="23ABFE7B" w14:textId="780F0A27"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30.707.308</w:t>
            </w:r>
          </w:p>
        </w:tc>
        <w:tc>
          <w:tcPr>
            <w:tcW w:w="509" w:type="pct"/>
            <w:vAlign w:val="bottom"/>
          </w:tcPr>
          <w:p w14:paraId="184E8A08" w14:textId="0E883F0B"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960</w:t>
            </w:r>
          </w:p>
        </w:tc>
        <w:tc>
          <w:tcPr>
            <w:tcW w:w="531" w:type="pct"/>
            <w:vAlign w:val="bottom"/>
          </w:tcPr>
          <w:p w14:paraId="1812041D" w14:textId="0F8690F6"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87.421.181</w:t>
            </w:r>
          </w:p>
        </w:tc>
      </w:tr>
      <w:tr w:rsidR="00F45BEE" w:rsidRPr="00FB38E1" w14:paraId="2E5FC70D" w14:textId="77777777" w:rsidTr="00ED08E2">
        <w:tc>
          <w:tcPr>
            <w:tcW w:w="1392" w:type="pct"/>
            <w:vAlign w:val="bottom"/>
          </w:tcPr>
          <w:p w14:paraId="299DE80E" w14:textId="77777777" w:rsidR="00F45BEE" w:rsidRPr="00FB38E1" w:rsidRDefault="00F45BEE" w:rsidP="00F45BEE">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Verilen Krediler </w:t>
            </w:r>
            <w:r w:rsidRPr="00FB38E1">
              <w:rPr>
                <w:rFonts w:ascii="Microsoft Sans Serif" w:hAnsi="Microsoft Sans Serif" w:cs="Microsoft Sans Serif"/>
                <w:color w:val="404040"/>
                <w:sz w:val="14"/>
                <w:szCs w:val="14"/>
                <w:vertAlign w:val="superscript"/>
              </w:rPr>
              <w:t>(4)</w:t>
            </w:r>
          </w:p>
        </w:tc>
        <w:tc>
          <w:tcPr>
            <w:tcW w:w="511" w:type="pct"/>
            <w:vAlign w:val="bottom"/>
          </w:tcPr>
          <w:p w14:paraId="29DC19F5" w14:textId="52B8F6CB"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178.924.107</w:t>
            </w:r>
          </w:p>
        </w:tc>
        <w:tc>
          <w:tcPr>
            <w:tcW w:w="532" w:type="pct"/>
            <w:vAlign w:val="bottom"/>
          </w:tcPr>
          <w:p w14:paraId="7BDCA0AB" w14:textId="708EC78F"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74.338.188</w:t>
            </w:r>
          </w:p>
        </w:tc>
        <w:tc>
          <w:tcPr>
            <w:tcW w:w="508" w:type="pct"/>
            <w:vAlign w:val="bottom"/>
          </w:tcPr>
          <w:p w14:paraId="5A0CCA10" w14:textId="52DCF6B6"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120.943.965</w:t>
            </w:r>
          </w:p>
        </w:tc>
        <w:tc>
          <w:tcPr>
            <w:tcW w:w="508" w:type="pct"/>
            <w:vAlign w:val="bottom"/>
          </w:tcPr>
          <w:p w14:paraId="37B0B116" w14:textId="281B15F2"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66.344.460</w:t>
            </w:r>
          </w:p>
        </w:tc>
        <w:tc>
          <w:tcPr>
            <w:tcW w:w="509" w:type="pct"/>
            <w:vAlign w:val="bottom"/>
          </w:tcPr>
          <w:p w14:paraId="10867AB4" w14:textId="6A64D9B2"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18.160.353</w:t>
            </w:r>
          </w:p>
        </w:tc>
        <w:tc>
          <w:tcPr>
            <w:tcW w:w="509" w:type="pct"/>
            <w:vAlign w:val="bottom"/>
          </w:tcPr>
          <w:p w14:paraId="121DF97A" w14:textId="3D35D958"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6.846.785</w:t>
            </w:r>
          </w:p>
        </w:tc>
        <w:tc>
          <w:tcPr>
            <w:tcW w:w="531" w:type="pct"/>
            <w:vAlign w:val="bottom"/>
          </w:tcPr>
          <w:p w14:paraId="22F865A2" w14:textId="05FB1954"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465.557.858</w:t>
            </w:r>
          </w:p>
        </w:tc>
      </w:tr>
      <w:tr w:rsidR="00F45BEE" w:rsidRPr="00FB38E1" w14:paraId="42496107" w14:textId="77777777" w:rsidTr="00ED08E2">
        <w:tc>
          <w:tcPr>
            <w:tcW w:w="1392" w:type="pct"/>
            <w:vAlign w:val="bottom"/>
          </w:tcPr>
          <w:p w14:paraId="2B641757" w14:textId="77777777" w:rsidR="00F45BEE" w:rsidRPr="00FB38E1" w:rsidRDefault="00F45BEE" w:rsidP="00F45BEE">
            <w:pPr>
              <w:ind w:left="142"/>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İtfa Edilmiş Maliyeti Üzerinden Değerlenen Finansal Varlıklar</w:t>
            </w:r>
            <w:r w:rsidRPr="00FB38E1">
              <w:rPr>
                <w:rFonts w:ascii="Microsoft Sans Serif" w:hAnsi="Microsoft Sans Serif" w:cs="Microsoft Sans Serif"/>
                <w:color w:val="404040"/>
                <w:sz w:val="14"/>
                <w:szCs w:val="14"/>
                <w:vertAlign w:val="superscript"/>
              </w:rPr>
              <w:t>(2)</w:t>
            </w:r>
          </w:p>
        </w:tc>
        <w:tc>
          <w:tcPr>
            <w:tcW w:w="511" w:type="pct"/>
            <w:vAlign w:val="bottom"/>
          </w:tcPr>
          <w:p w14:paraId="39E0215F" w14:textId="6CA66108"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1.359.493</w:t>
            </w:r>
          </w:p>
        </w:tc>
        <w:tc>
          <w:tcPr>
            <w:tcW w:w="532" w:type="pct"/>
            <w:vAlign w:val="bottom"/>
          </w:tcPr>
          <w:p w14:paraId="666D1F43" w14:textId="0D0DBF4E"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24.305.524</w:t>
            </w:r>
          </w:p>
        </w:tc>
        <w:tc>
          <w:tcPr>
            <w:tcW w:w="508" w:type="pct"/>
            <w:vAlign w:val="bottom"/>
          </w:tcPr>
          <w:p w14:paraId="035540CF" w14:textId="765D2431"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8.596.790</w:t>
            </w:r>
          </w:p>
        </w:tc>
        <w:tc>
          <w:tcPr>
            <w:tcW w:w="508" w:type="pct"/>
            <w:vAlign w:val="bottom"/>
          </w:tcPr>
          <w:p w14:paraId="78A3F526" w14:textId="039B2688"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12.981.168</w:t>
            </w:r>
          </w:p>
        </w:tc>
        <w:tc>
          <w:tcPr>
            <w:tcW w:w="509" w:type="pct"/>
            <w:vAlign w:val="bottom"/>
          </w:tcPr>
          <w:p w14:paraId="4500BC9A" w14:textId="1B0F327F"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3.987.452</w:t>
            </w:r>
          </w:p>
        </w:tc>
        <w:tc>
          <w:tcPr>
            <w:tcW w:w="509" w:type="pct"/>
            <w:vAlign w:val="bottom"/>
          </w:tcPr>
          <w:p w14:paraId="48502BD9" w14:textId="740B5E40"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46AEFDBF" w14:textId="6F74A3DE"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51.230.427</w:t>
            </w:r>
          </w:p>
        </w:tc>
      </w:tr>
      <w:tr w:rsidR="00F45BEE" w:rsidRPr="00FB38E1" w14:paraId="3527CAC2" w14:textId="77777777" w:rsidTr="00ED08E2">
        <w:tc>
          <w:tcPr>
            <w:tcW w:w="1392" w:type="pct"/>
            <w:tcBorders>
              <w:bottom w:val="single" w:sz="4" w:space="0" w:color="auto"/>
            </w:tcBorders>
            <w:vAlign w:val="bottom"/>
          </w:tcPr>
          <w:p w14:paraId="141C1ED0" w14:textId="77777777" w:rsidR="00F45BEE" w:rsidRPr="00FB38E1" w:rsidRDefault="00F45BEE" w:rsidP="00F45BEE">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Varlıklar</w:t>
            </w:r>
            <w:r w:rsidRPr="00FB38E1">
              <w:rPr>
                <w:rFonts w:ascii="Microsoft Sans Serif" w:hAnsi="Microsoft Sans Serif" w:cs="Microsoft Sans Serif"/>
                <w:color w:val="404040"/>
                <w:sz w:val="14"/>
                <w:szCs w:val="14"/>
                <w:vertAlign w:val="superscript"/>
              </w:rPr>
              <w:t>(3)</w:t>
            </w:r>
          </w:p>
        </w:tc>
        <w:tc>
          <w:tcPr>
            <w:tcW w:w="511" w:type="pct"/>
            <w:tcBorders>
              <w:bottom w:val="single" w:sz="4" w:space="0" w:color="auto"/>
            </w:tcBorders>
            <w:vAlign w:val="bottom"/>
          </w:tcPr>
          <w:p w14:paraId="15D6E02A" w14:textId="14D6EDC1"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tcBorders>
              <w:bottom w:val="single" w:sz="4" w:space="0" w:color="auto"/>
            </w:tcBorders>
            <w:vAlign w:val="bottom"/>
          </w:tcPr>
          <w:p w14:paraId="6F62737C" w14:textId="0774FDEA"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2EF56026" w14:textId="0ECAE482"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16764E46" w14:textId="4016E785"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715.971</w:t>
            </w:r>
          </w:p>
        </w:tc>
        <w:tc>
          <w:tcPr>
            <w:tcW w:w="509" w:type="pct"/>
            <w:tcBorders>
              <w:bottom w:val="single" w:sz="4" w:space="0" w:color="auto"/>
            </w:tcBorders>
            <w:vAlign w:val="bottom"/>
          </w:tcPr>
          <w:p w14:paraId="53A59D4F" w14:textId="675CF543"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390BD4A" w14:textId="6E44AE6C" w:rsidR="00F45BEE" w:rsidRPr="00FB38E1" w:rsidRDefault="00F45BEE" w:rsidP="00F45BEE">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115.307.939</w:t>
            </w:r>
          </w:p>
        </w:tc>
        <w:tc>
          <w:tcPr>
            <w:tcW w:w="531" w:type="pct"/>
            <w:tcBorders>
              <w:bottom w:val="single" w:sz="4" w:space="0" w:color="auto"/>
            </w:tcBorders>
            <w:vAlign w:val="bottom"/>
          </w:tcPr>
          <w:p w14:paraId="32BA6E57" w14:textId="5FCFFC94"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116.023.910</w:t>
            </w:r>
          </w:p>
        </w:tc>
      </w:tr>
      <w:tr w:rsidR="00F45BEE" w:rsidRPr="00FB38E1" w14:paraId="26CCA429" w14:textId="77777777" w:rsidTr="00ED08E2">
        <w:tc>
          <w:tcPr>
            <w:tcW w:w="1392" w:type="pct"/>
            <w:tcBorders>
              <w:top w:val="single" w:sz="4" w:space="0" w:color="auto"/>
              <w:bottom w:val="single" w:sz="4" w:space="0" w:color="auto"/>
            </w:tcBorders>
            <w:vAlign w:val="bottom"/>
          </w:tcPr>
          <w:p w14:paraId="529A556F" w14:textId="77777777" w:rsidR="00F45BEE" w:rsidRPr="00FB38E1" w:rsidRDefault="00F45BEE" w:rsidP="00F45BEE">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Varlıklar</w:t>
            </w:r>
          </w:p>
        </w:tc>
        <w:tc>
          <w:tcPr>
            <w:tcW w:w="511" w:type="pct"/>
            <w:tcBorders>
              <w:top w:val="single" w:sz="4" w:space="0" w:color="auto"/>
              <w:bottom w:val="single" w:sz="4" w:space="0" w:color="auto"/>
            </w:tcBorders>
            <w:vAlign w:val="bottom"/>
          </w:tcPr>
          <w:p w14:paraId="05CC5ED1" w14:textId="753213A0"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310.823.980</w:t>
            </w:r>
          </w:p>
        </w:tc>
        <w:tc>
          <w:tcPr>
            <w:tcW w:w="532" w:type="pct"/>
            <w:tcBorders>
              <w:top w:val="single" w:sz="4" w:space="0" w:color="auto"/>
              <w:bottom w:val="single" w:sz="4" w:space="0" w:color="auto"/>
            </w:tcBorders>
            <w:vAlign w:val="bottom"/>
          </w:tcPr>
          <w:p w14:paraId="0C5E2317" w14:textId="1B41A49E"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102.848.085</w:t>
            </w:r>
          </w:p>
        </w:tc>
        <w:tc>
          <w:tcPr>
            <w:tcW w:w="508" w:type="pct"/>
            <w:tcBorders>
              <w:top w:val="single" w:sz="4" w:space="0" w:color="auto"/>
              <w:bottom w:val="single" w:sz="4" w:space="0" w:color="auto"/>
            </w:tcBorders>
            <w:vAlign w:val="bottom"/>
          </w:tcPr>
          <w:p w14:paraId="1274CE73" w14:textId="16CA20F9"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145.485.207</w:t>
            </w:r>
          </w:p>
        </w:tc>
        <w:tc>
          <w:tcPr>
            <w:tcW w:w="508" w:type="pct"/>
            <w:tcBorders>
              <w:top w:val="single" w:sz="4" w:space="0" w:color="auto"/>
              <w:bottom w:val="single" w:sz="4" w:space="0" w:color="auto"/>
            </w:tcBorders>
            <w:vAlign w:val="bottom"/>
          </w:tcPr>
          <w:p w14:paraId="2620C1E2" w14:textId="66C7BD81"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106.239.624</w:t>
            </w:r>
          </w:p>
        </w:tc>
        <w:tc>
          <w:tcPr>
            <w:tcW w:w="509" w:type="pct"/>
            <w:tcBorders>
              <w:top w:val="single" w:sz="4" w:space="0" w:color="auto"/>
              <w:bottom w:val="single" w:sz="4" w:space="0" w:color="auto"/>
            </w:tcBorders>
            <w:vAlign w:val="bottom"/>
          </w:tcPr>
          <w:p w14:paraId="51BAC61B" w14:textId="6ADD70FB"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55.281.650</w:t>
            </w:r>
          </w:p>
        </w:tc>
        <w:tc>
          <w:tcPr>
            <w:tcW w:w="509" w:type="pct"/>
            <w:tcBorders>
              <w:top w:val="single" w:sz="4" w:space="0" w:color="auto"/>
              <w:bottom w:val="single" w:sz="4" w:space="0" w:color="auto"/>
            </w:tcBorders>
            <w:vAlign w:val="bottom"/>
          </w:tcPr>
          <w:p w14:paraId="054ECCD5" w14:textId="705A232A"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287.030.515</w:t>
            </w:r>
          </w:p>
        </w:tc>
        <w:tc>
          <w:tcPr>
            <w:tcW w:w="531" w:type="pct"/>
            <w:tcBorders>
              <w:top w:val="single" w:sz="4" w:space="0" w:color="auto"/>
              <w:bottom w:val="single" w:sz="4" w:space="0" w:color="auto"/>
            </w:tcBorders>
            <w:vAlign w:val="bottom"/>
          </w:tcPr>
          <w:p w14:paraId="3B14C4BF" w14:textId="2BF9708C" w:rsidR="00F45BEE" w:rsidRPr="00FB38E1" w:rsidRDefault="00F45BEE" w:rsidP="00F45BEE">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1.007.709.061</w:t>
            </w:r>
          </w:p>
        </w:tc>
      </w:tr>
      <w:tr w:rsidR="009F0AF5" w:rsidRPr="00FB38E1" w14:paraId="08456337" w14:textId="77777777" w:rsidTr="009F0AF5">
        <w:tc>
          <w:tcPr>
            <w:tcW w:w="1392" w:type="pct"/>
            <w:vAlign w:val="bottom"/>
          </w:tcPr>
          <w:p w14:paraId="13C28B65" w14:textId="3E277B9A" w:rsidR="009F0AF5" w:rsidRPr="00FB38E1" w:rsidRDefault="009F0AF5" w:rsidP="00F45BEE">
            <w:pPr>
              <w:rPr>
                <w:rFonts w:ascii="Microsoft Sans Serif" w:hAnsi="Microsoft Sans Serif" w:cs="Microsoft Sans Serif"/>
                <w:color w:val="000000"/>
                <w:sz w:val="14"/>
                <w:szCs w:val="14"/>
              </w:rPr>
            </w:pPr>
            <w:r w:rsidRPr="00FB38E1">
              <w:rPr>
                <w:rFonts w:ascii="Microsoft Sans Serif" w:hAnsi="Microsoft Sans Serif" w:cs="Microsoft Sans Serif"/>
                <w:b/>
                <w:bCs/>
                <w:color w:val="000000"/>
                <w:sz w:val="14"/>
                <w:szCs w:val="14"/>
              </w:rPr>
              <w:t>Yükümlülükler</w:t>
            </w:r>
          </w:p>
        </w:tc>
        <w:tc>
          <w:tcPr>
            <w:tcW w:w="511" w:type="pct"/>
            <w:vAlign w:val="bottom"/>
          </w:tcPr>
          <w:p w14:paraId="296A54A5" w14:textId="77777777" w:rsidR="009F0AF5" w:rsidRPr="00FB38E1" w:rsidRDefault="009F0AF5" w:rsidP="00F45BEE">
            <w:pPr>
              <w:jc w:val="right"/>
              <w:rPr>
                <w:rFonts w:ascii="Microsoft Sans Serif" w:hAnsi="Microsoft Sans Serif" w:cs="Microsoft Sans Serif"/>
                <w:b/>
                <w:bCs/>
                <w:color w:val="000000"/>
                <w:sz w:val="14"/>
                <w:szCs w:val="14"/>
              </w:rPr>
            </w:pPr>
          </w:p>
        </w:tc>
        <w:tc>
          <w:tcPr>
            <w:tcW w:w="532" w:type="pct"/>
            <w:vAlign w:val="bottom"/>
          </w:tcPr>
          <w:p w14:paraId="6F3E0532" w14:textId="77777777" w:rsidR="009F0AF5" w:rsidRPr="00FB38E1" w:rsidRDefault="009F0AF5" w:rsidP="00F45BEE">
            <w:pPr>
              <w:rPr>
                <w:sz w:val="14"/>
                <w:szCs w:val="14"/>
              </w:rPr>
            </w:pPr>
          </w:p>
        </w:tc>
        <w:tc>
          <w:tcPr>
            <w:tcW w:w="508" w:type="pct"/>
            <w:vAlign w:val="bottom"/>
          </w:tcPr>
          <w:p w14:paraId="395A4567" w14:textId="77777777" w:rsidR="009F0AF5" w:rsidRPr="00FB38E1" w:rsidRDefault="009F0AF5" w:rsidP="00F45BEE">
            <w:pPr>
              <w:rPr>
                <w:sz w:val="14"/>
                <w:szCs w:val="14"/>
              </w:rPr>
            </w:pPr>
          </w:p>
        </w:tc>
        <w:tc>
          <w:tcPr>
            <w:tcW w:w="508" w:type="pct"/>
            <w:vAlign w:val="bottom"/>
          </w:tcPr>
          <w:p w14:paraId="57254C2B" w14:textId="77777777" w:rsidR="009F0AF5" w:rsidRPr="00FB38E1" w:rsidRDefault="009F0AF5" w:rsidP="00F45BEE">
            <w:pPr>
              <w:rPr>
                <w:sz w:val="14"/>
                <w:szCs w:val="14"/>
              </w:rPr>
            </w:pPr>
          </w:p>
        </w:tc>
        <w:tc>
          <w:tcPr>
            <w:tcW w:w="509" w:type="pct"/>
            <w:vAlign w:val="bottom"/>
          </w:tcPr>
          <w:p w14:paraId="4CE7FFF6" w14:textId="77777777" w:rsidR="009F0AF5" w:rsidRPr="00FB38E1" w:rsidRDefault="009F0AF5" w:rsidP="00F45BEE">
            <w:pPr>
              <w:rPr>
                <w:sz w:val="14"/>
                <w:szCs w:val="14"/>
              </w:rPr>
            </w:pPr>
          </w:p>
        </w:tc>
        <w:tc>
          <w:tcPr>
            <w:tcW w:w="509" w:type="pct"/>
            <w:vAlign w:val="bottom"/>
          </w:tcPr>
          <w:p w14:paraId="7B53613F" w14:textId="77777777" w:rsidR="009F0AF5" w:rsidRPr="00FB38E1" w:rsidRDefault="009F0AF5" w:rsidP="00F45BEE">
            <w:pPr>
              <w:rPr>
                <w:sz w:val="14"/>
                <w:szCs w:val="14"/>
              </w:rPr>
            </w:pPr>
          </w:p>
        </w:tc>
        <w:tc>
          <w:tcPr>
            <w:tcW w:w="531" w:type="pct"/>
            <w:vAlign w:val="bottom"/>
          </w:tcPr>
          <w:p w14:paraId="48C6A8C5" w14:textId="77777777" w:rsidR="009F0AF5" w:rsidRPr="00FB38E1" w:rsidRDefault="009F0AF5" w:rsidP="00F45BEE">
            <w:pPr>
              <w:rPr>
                <w:sz w:val="14"/>
                <w:szCs w:val="14"/>
              </w:rPr>
            </w:pPr>
          </w:p>
        </w:tc>
      </w:tr>
      <w:tr w:rsidR="000050B8" w:rsidRPr="00FB38E1" w14:paraId="3CCAD7D6" w14:textId="77777777" w:rsidTr="000050B8">
        <w:tc>
          <w:tcPr>
            <w:tcW w:w="1392" w:type="pct"/>
            <w:vAlign w:val="bottom"/>
          </w:tcPr>
          <w:p w14:paraId="68FBD9B1" w14:textId="0659A3FE" w:rsidR="000050B8" w:rsidRPr="00FB38E1" w:rsidRDefault="000050B8" w:rsidP="000050B8">
            <w:pPr>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Bankalar Mevduatı</w:t>
            </w:r>
          </w:p>
        </w:tc>
        <w:tc>
          <w:tcPr>
            <w:tcW w:w="511" w:type="pct"/>
            <w:vAlign w:val="bottom"/>
          </w:tcPr>
          <w:p w14:paraId="20DB5BA8" w14:textId="3423A7C4"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2.990.294</w:t>
            </w:r>
          </w:p>
        </w:tc>
        <w:tc>
          <w:tcPr>
            <w:tcW w:w="532" w:type="pct"/>
            <w:vAlign w:val="bottom"/>
          </w:tcPr>
          <w:p w14:paraId="1A57F547" w14:textId="197A87CA"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1.218.277</w:t>
            </w:r>
          </w:p>
        </w:tc>
        <w:tc>
          <w:tcPr>
            <w:tcW w:w="508" w:type="pct"/>
            <w:vAlign w:val="bottom"/>
          </w:tcPr>
          <w:p w14:paraId="3B6975F1" w14:textId="0EDFADE7"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2.498.479</w:t>
            </w:r>
          </w:p>
        </w:tc>
        <w:tc>
          <w:tcPr>
            <w:tcW w:w="508" w:type="pct"/>
            <w:vAlign w:val="bottom"/>
          </w:tcPr>
          <w:p w14:paraId="57DE6D86" w14:textId="63F7FE61"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w:t>
            </w:r>
          </w:p>
        </w:tc>
        <w:tc>
          <w:tcPr>
            <w:tcW w:w="509" w:type="pct"/>
            <w:vAlign w:val="bottom"/>
          </w:tcPr>
          <w:p w14:paraId="0B1C98C1" w14:textId="1EAB8B01"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w:t>
            </w:r>
          </w:p>
        </w:tc>
        <w:tc>
          <w:tcPr>
            <w:tcW w:w="509" w:type="pct"/>
            <w:vAlign w:val="bottom"/>
          </w:tcPr>
          <w:p w14:paraId="631CED3E" w14:textId="483A2C4F"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1.212.506</w:t>
            </w:r>
          </w:p>
        </w:tc>
        <w:tc>
          <w:tcPr>
            <w:tcW w:w="531" w:type="pct"/>
            <w:vAlign w:val="bottom"/>
          </w:tcPr>
          <w:p w14:paraId="67C64826" w14:textId="1A47F176" w:rsidR="000050B8" w:rsidRPr="00FB38E1" w:rsidRDefault="000050B8" w:rsidP="000050B8">
            <w:pPr>
              <w:jc w:val="right"/>
              <w:rPr>
                <w:sz w:val="14"/>
                <w:szCs w:val="14"/>
              </w:rPr>
            </w:pPr>
            <w:r w:rsidRPr="00FB38E1">
              <w:rPr>
                <w:rFonts w:ascii="Microsoft Sans Serif" w:hAnsi="Microsoft Sans Serif" w:cs="Microsoft Sans Serif"/>
                <w:b/>
                <w:bCs/>
                <w:color w:val="000000"/>
                <w:sz w:val="14"/>
                <w:szCs w:val="14"/>
              </w:rPr>
              <w:t>7.919.556</w:t>
            </w:r>
          </w:p>
        </w:tc>
      </w:tr>
      <w:tr w:rsidR="000050B8" w:rsidRPr="00FB38E1" w14:paraId="104BCDDE" w14:textId="77777777" w:rsidTr="000050B8">
        <w:tc>
          <w:tcPr>
            <w:tcW w:w="1392" w:type="pct"/>
            <w:vAlign w:val="bottom"/>
          </w:tcPr>
          <w:p w14:paraId="4CC6F426" w14:textId="2EE2CC74"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Mevduat</w:t>
            </w:r>
          </w:p>
        </w:tc>
        <w:tc>
          <w:tcPr>
            <w:tcW w:w="511" w:type="pct"/>
            <w:vAlign w:val="bottom"/>
          </w:tcPr>
          <w:p w14:paraId="0791339E" w14:textId="08633A43"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204.830.233</w:t>
            </w:r>
          </w:p>
        </w:tc>
        <w:tc>
          <w:tcPr>
            <w:tcW w:w="532" w:type="pct"/>
            <w:vAlign w:val="bottom"/>
          </w:tcPr>
          <w:p w14:paraId="6875F7C2" w14:textId="70A491AE"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109.614.213</w:t>
            </w:r>
          </w:p>
        </w:tc>
        <w:tc>
          <w:tcPr>
            <w:tcW w:w="508" w:type="pct"/>
            <w:vAlign w:val="bottom"/>
          </w:tcPr>
          <w:p w14:paraId="10AEB2A2" w14:textId="63D97A76"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115.822.908</w:t>
            </w:r>
          </w:p>
        </w:tc>
        <w:tc>
          <w:tcPr>
            <w:tcW w:w="508" w:type="pct"/>
            <w:vAlign w:val="bottom"/>
          </w:tcPr>
          <w:p w14:paraId="1907AC92" w14:textId="7A250DB2"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187.702</w:t>
            </w:r>
          </w:p>
        </w:tc>
        <w:tc>
          <w:tcPr>
            <w:tcW w:w="509" w:type="pct"/>
            <w:vAlign w:val="bottom"/>
          </w:tcPr>
          <w:p w14:paraId="56742DF6" w14:textId="50798B46"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421416CD" w14:textId="0BCD8C9E"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164.618.025</w:t>
            </w:r>
          </w:p>
        </w:tc>
        <w:tc>
          <w:tcPr>
            <w:tcW w:w="531" w:type="pct"/>
            <w:vAlign w:val="bottom"/>
          </w:tcPr>
          <w:p w14:paraId="17BB878C" w14:textId="580D9BE8"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595.073.081</w:t>
            </w:r>
          </w:p>
        </w:tc>
      </w:tr>
      <w:tr w:rsidR="000050B8" w:rsidRPr="00FB38E1" w14:paraId="1795BDEF" w14:textId="77777777" w:rsidTr="000050B8">
        <w:tc>
          <w:tcPr>
            <w:tcW w:w="1392" w:type="pct"/>
            <w:vAlign w:val="bottom"/>
          </w:tcPr>
          <w:p w14:paraId="4725867B" w14:textId="6B5D6ED6"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Piyasalarına Borçlar</w:t>
            </w:r>
          </w:p>
        </w:tc>
        <w:tc>
          <w:tcPr>
            <w:tcW w:w="511" w:type="pct"/>
            <w:vAlign w:val="bottom"/>
          </w:tcPr>
          <w:p w14:paraId="05A4E571" w14:textId="6073C9FC"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36.083.666</w:t>
            </w:r>
          </w:p>
        </w:tc>
        <w:tc>
          <w:tcPr>
            <w:tcW w:w="532" w:type="pct"/>
            <w:vAlign w:val="bottom"/>
          </w:tcPr>
          <w:p w14:paraId="2202E1D7" w14:textId="2D5F7E89"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2.597.039</w:t>
            </w:r>
          </w:p>
        </w:tc>
        <w:tc>
          <w:tcPr>
            <w:tcW w:w="508" w:type="pct"/>
            <w:vAlign w:val="bottom"/>
          </w:tcPr>
          <w:p w14:paraId="639EBB03" w14:textId="09464467"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13.293.744</w:t>
            </w:r>
          </w:p>
        </w:tc>
        <w:tc>
          <w:tcPr>
            <w:tcW w:w="508" w:type="pct"/>
            <w:vAlign w:val="bottom"/>
          </w:tcPr>
          <w:p w14:paraId="5B794DFC" w14:textId="084B446A"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57B1ABF7" w14:textId="050A42AF"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561F0064" w14:textId="07AC926E"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7E5ED81D" w14:textId="2592D404"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51.974.449</w:t>
            </w:r>
          </w:p>
        </w:tc>
      </w:tr>
      <w:tr w:rsidR="000050B8" w:rsidRPr="00FB38E1" w14:paraId="0D172BE3" w14:textId="77777777" w:rsidTr="000050B8">
        <w:tc>
          <w:tcPr>
            <w:tcW w:w="1392" w:type="pct"/>
            <w:vAlign w:val="bottom"/>
          </w:tcPr>
          <w:p w14:paraId="66A434CA" w14:textId="1C11B945"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Muhtelif Borçlar</w:t>
            </w:r>
          </w:p>
        </w:tc>
        <w:tc>
          <w:tcPr>
            <w:tcW w:w="511" w:type="pct"/>
            <w:vAlign w:val="bottom"/>
          </w:tcPr>
          <w:p w14:paraId="448A27B6" w14:textId="0004AA7F"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vAlign w:val="bottom"/>
          </w:tcPr>
          <w:p w14:paraId="03225467" w14:textId="74E0F57E"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570C9A61" w14:textId="547230CB"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198B6677" w14:textId="511FCDF0"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3E6AAF1" w14:textId="5DC41650"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3388C83" w14:textId="713AA76E"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7B733076" w14:textId="21E84F40"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0050B8" w:rsidRPr="00FB38E1" w14:paraId="16AC9FBA" w14:textId="77777777" w:rsidTr="000050B8">
        <w:tc>
          <w:tcPr>
            <w:tcW w:w="1392" w:type="pct"/>
            <w:vAlign w:val="bottom"/>
          </w:tcPr>
          <w:p w14:paraId="4CFB513F" w14:textId="2EEC7191"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İhraç Edilen Menkul Değerler</w:t>
            </w:r>
          </w:p>
        </w:tc>
        <w:tc>
          <w:tcPr>
            <w:tcW w:w="511" w:type="pct"/>
            <w:vAlign w:val="bottom"/>
          </w:tcPr>
          <w:p w14:paraId="6068B70D" w14:textId="550A8DD3"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vAlign w:val="bottom"/>
          </w:tcPr>
          <w:p w14:paraId="2C434D68" w14:textId="5A5B93B2"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1.854.215</w:t>
            </w:r>
          </w:p>
        </w:tc>
        <w:tc>
          <w:tcPr>
            <w:tcW w:w="508" w:type="pct"/>
            <w:vAlign w:val="bottom"/>
          </w:tcPr>
          <w:p w14:paraId="2CFD66E6" w14:textId="15848939"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16.668.668</w:t>
            </w:r>
          </w:p>
        </w:tc>
        <w:tc>
          <w:tcPr>
            <w:tcW w:w="508" w:type="pct"/>
            <w:vAlign w:val="bottom"/>
          </w:tcPr>
          <w:p w14:paraId="10615069" w14:textId="0D763C49"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1.736.960</w:t>
            </w:r>
          </w:p>
        </w:tc>
        <w:tc>
          <w:tcPr>
            <w:tcW w:w="509" w:type="pct"/>
            <w:vAlign w:val="bottom"/>
          </w:tcPr>
          <w:p w14:paraId="0056913C" w14:textId="158F5623"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140E4A0C" w14:textId="08872BB2"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033B5806" w14:textId="62465C56"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20.259.843</w:t>
            </w:r>
          </w:p>
        </w:tc>
      </w:tr>
      <w:tr w:rsidR="000050B8" w:rsidRPr="00FB38E1" w14:paraId="292EC518" w14:textId="77777777" w:rsidTr="000050B8">
        <w:tc>
          <w:tcPr>
            <w:tcW w:w="1392" w:type="pct"/>
            <w:vAlign w:val="bottom"/>
          </w:tcPr>
          <w:p w14:paraId="77785B6C" w14:textId="28918271"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Mali Kurul. Sağl. Fonlar</w:t>
            </w:r>
          </w:p>
        </w:tc>
        <w:tc>
          <w:tcPr>
            <w:tcW w:w="511" w:type="pct"/>
            <w:vAlign w:val="bottom"/>
          </w:tcPr>
          <w:p w14:paraId="5F5831C1" w14:textId="056B1340"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15.829.042</w:t>
            </w:r>
          </w:p>
        </w:tc>
        <w:tc>
          <w:tcPr>
            <w:tcW w:w="532" w:type="pct"/>
            <w:vAlign w:val="bottom"/>
          </w:tcPr>
          <w:p w14:paraId="55799E57" w14:textId="3F085F34"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110.143.542</w:t>
            </w:r>
          </w:p>
        </w:tc>
        <w:tc>
          <w:tcPr>
            <w:tcW w:w="508" w:type="pct"/>
            <w:vAlign w:val="bottom"/>
          </w:tcPr>
          <w:p w14:paraId="35BC58A8" w14:textId="0FEC74A4"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16.383.417</w:t>
            </w:r>
          </w:p>
        </w:tc>
        <w:tc>
          <w:tcPr>
            <w:tcW w:w="508" w:type="pct"/>
            <w:vAlign w:val="bottom"/>
          </w:tcPr>
          <w:p w14:paraId="15A1F1D6" w14:textId="20A7F027"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6.124.075</w:t>
            </w:r>
          </w:p>
        </w:tc>
        <w:tc>
          <w:tcPr>
            <w:tcW w:w="509" w:type="pct"/>
            <w:vAlign w:val="bottom"/>
          </w:tcPr>
          <w:p w14:paraId="00C75931" w14:textId="65B14B05"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16.993.189</w:t>
            </w:r>
          </w:p>
        </w:tc>
        <w:tc>
          <w:tcPr>
            <w:tcW w:w="509" w:type="pct"/>
            <w:vAlign w:val="bottom"/>
          </w:tcPr>
          <w:p w14:paraId="7AB553FC" w14:textId="28001871"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1963EAAE" w14:textId="41A10654"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165.473.265</w:t>
            </w:r>
          </w:p>
        </w:tc>
      </w:tr>
      <w:tr w:rsidR="000050B8" w:rsidRPr="00FB38E1" w14:paraId="7E1AB811" w14:textId="77777777" w:rsidTr="000050B8">
        <w:tc>
          <w:tcPr>
            <w:tcW w:w="1392" w:type="pct"/>
            <w:tcBorders>
              <w:bottom w:val="single" w:sz="4" w:space="0" w:color="auto"/>
            </w:tcBorders>
            <w:vAlign w:val="bottom"/>
          </w:tcPr>
          <w:p w14:paraId="024BDFD2" w14:textId="1B581CA0"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Yükümlülükler</w:t>
            </w:r>
            <w:r w:rsidRPr="00FB38E1">
              <w:rPr>
                <w:rFonts w:ascii="Microsoft Sans Serif" w:hAnsi="Microsoft Sans Serif" w:cs="Microsoft Sans Serif"/>
                <w:color w:val="404040"/>
                <w:sz w:val="14"/>
                <w:szCs w:val="14"/>
                <w:vertAlign w:val="superscript"/>
              </w:rPr>
              <w:t>(5)</w:t>
            </w:r>
          </w:p>
        </w:tc>
        <w:tc>
          <w:tcPr>
            <w:tcW w:w="511" w:type="pct"/>
            <w:tcBorders>
              <w:bottom w:val="single" w:sz="4" w:space="0" w:color="auto"/>
            </w:tcBorders>
            <w:vAlign w:val="bottom"/>
          </w:tcPr>
          <w:p w14:paraId="33D63450" w14:textId="1DB410A5"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87.255</w:t>
            </w:r>
          </w:p>
        </w:tc>
        <w:tc>
          <w:tcPr>
            <w:tcW w:w="532" w:type="pct"/>
            <w:tcBorders>
              <w:bottom w:val="single" w:sz="4" w:space="0" w:color="auto"/>
            </w:tcBorders>
            <w:vAlign w:val="bottom"/>
          </w:tcPr>
          <w:p w14:paraId="3BA19D4F" w14:textId="3B94DB32"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421CABAD" w14:textId="0607C5F5"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10.790.246</w:t>
            </w:r>
          </w:p>
        </w:tc>
        <w:tc>
          <w:tcPr>
            <w:tcW w:w="508" w:type="pct"/>
            <w:tcBorders>
              <w:bottom w:val="single" w:sz="4" w:space="0" w:color="auto"/>
            </w:tcBorders>
            <w:vAlign w:val="bottom"/>
          </w:tcPr>
          <w:p w14:paraId="60F2ECBA" w14:textId="454DEFDF"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801.393</w:t>
            </w:r>
          </w:p>
        </w:tc>
        <w:tc>
          <w:tcPr>
            <w:tcW w:w="509" w:type="pct"/>
            <w:tcBorders>
              <w:bottom w:val="single" w:sz="4" w:space="0" w:color="auto"/>
            </w:tcBorders>
            <w:vAlign w:val="bottom"/>
          </w:tcPr>
          <w:p w14:paraId="62709673" w14:textId="2024BBEF"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1448B5C9" w14:textId="13B9AEA9"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155.329.973</w:t>
            </w:r>
          </w:p>
        </w:tc>
        <w:tc>
          <w:tcPr>
            <w:tcW w:w="531" w:type="pct"/>
            <w:tcBorders>
              <w:bottom w:val="single" w:sz="4" w:space="0" w:color="auto"/>
            </w:tcBorders>
            <w:vAlign w:val="bottom"/>
          </w:tcPr>
          <w:p w14:paraId="4472AB19" w14:textId="0002959F"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167.008.867</w:t>
            </w:r>
          </w:p>
        </w:tc>
      </w:tr>
      <w:tr w:rsidR="000050B8" w:rsidRPr="00FB38E1" w14:paraId="4A39DBDC" w14:textId="77777777" w:rsidTr="000050B8">
        <w:tc>
          <w:tcPr>
            <w:tcW w:w="1392" w:type="pct"/>
            <w:tcBorders>
              <w:top w:val="single" w:sz="4" w:space="0" w:color="auto"/>
              <w:bottom w:val="single" w:sz="4" w:space="0" w:color="auto"/>
            </w:tcBorders>
            <w:vAlign w:val="bottom"/>
          </w:tcPr>
          <w:p w14:paraId="62146A25" w14:textId="59FB79E7"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Toplam Yükümlülükler</w:t>
            </w:r>
          </w:p>
        </w:tc>
        <w:tc>
          <w:tcPr>
            <w:tcW w:w="511" w:type="pct"/>
            <w:tcBorders>
              <w:top w:val="single" w:sz="4" w:space="0" w:color="auto"/>
              <w:bottom w:val="single" w:sz="4" w:space="0" w:color="auto"/>
            </w:tcBorders>
            <w:vAlign w:val="bottom"/>
          </w:tcPr>
          <w:p w14:paraId="443904F4" w14:textId="76E04FAD"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259.820.490</w:t>
            </w:r>
          </w:p>
        </w:tc>
        <w:tc>
          <w:tcPr>
            <w:tcW w:w="532" w:type="pct"/>
            <w:tcBorders>
              <w:top w:val="single" w:sz="4" w:space="0" w:color="auto"/>
              <w:bottom w:val="single" w:sz="4" w:space="0" w:color="auto"/>
            </w:tcBorders>
            <w:vAlign w:val="bottom"/>
          </w:tcPr>
          <w:p w14:paraId="5A7FD39D" w14:textId="21D498D5"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225.427.286</w:t>
            </w:r>
          </w:p>
        </w:tc>
        <w:tc>
          <w:tcPr>
            <w:tcW w:w="508" w:type="pct"/>
            <w:tcBorders>
              <w:top w:val="single" w:sz="4" w:space="0" w:color="auto"/>
              <w:bottom w:val="single" w:sz="4" w:space="0" w:color="auto"/>
            </w:tcBorders>
            <w:vAlign w:val="bottom"/>
          </w:tcPr>
          <w:p w14:paraId="74E6191B" w14:textId="08DD1FFF"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175.457.462</w:t>
            </w:r>
          </w:p>
        </w:tc>
        <w:tc>
          <w:tcPr>
            <w:tcW w:w="508" w:type="pct"/>
            <w:tcBorders>
              <w:top w:val="single" w:sz="4" w:space="0" w:color="auto"/>
              <w:bottom w:val="single" w:sz="4" w:space="0" w:color="auto"/>
            </w:tcBorders>
            <w:vAlign w:val="bottom"/>
          </w:tcPr>
          <w:p w14:paraId="3A5E104D" w14:textId="63FFE9DB"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8.850.130</w:t>
            </w:r>
          </w:p>
        </w:tc>
        <w:tc>
          <w:tcPr>
            <w:tcW w:w="509" w:type="pct"/>
            <w:tcBorders>
              <w:top w:val="single" w:sz="4" w:space="0" w:color="auto"/>
              <w:bottom w:val="single" w:sz="4" w:space="0" w:color="auto"/>
            </w:tcBorders>
            <w:vAlign w:val="bottom"/>
          </w:tcPr>
          <w:p w14:paraId="45A43E9A" w14:textId="11662CE9"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16.993.189</w:t>
            </w:r>
          </w:p>
        </w:tc>
        <w:tc>
          <w:tcPr>
            <w:tcW w:w="509" w:type="pct"/>
            <w:tcBorders>
              <w:top w:val="single" w:sz="4" w:space="0" w:color="auto"/>
              <w:bottom w:val="single" w:sz="4" w:space="0" w:color="auto"/>
            </w:tcBorders>
            <w:vAlign w:val="bottom"/>
          </w:tcPr>
          <w:p w14:paraId="4902719C" w14:textId="7C353E83"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321.160.504</w:t>
            </w:r>
          </w:p>
        </w:tc>
        <w:tc>
          <w:tcPr>
            <w:tcW w:w="531" w:type="pct"/>
            <w:tcBorders>
              <w:top w:val="single" w:sz="4" w:space="0" w:color="auto"/>
              <w:bottom w:val="single" w:sz="4" w:space="0" w:color="auto"/>
            </w:tcBorders>
            <w:vAlign w:val="bottom"/>
          </w:tcPr>
          <w:p w14:paraId="7DCD5B70" w14:textId="631538C9"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1.007.709.061</w:t>
            </w:r>
          </w:p>
        </w:tc>
      </w:tr>
      <w:tr w:rsidR="000050B8" w:rsidRPr="00FB38E1" w14:paraId="26D97434" w14:textId="77777777" w:rsidTr="000050B8">
        <w:tc>
          <w:tcPr>
            <w:tcW w:w="1392" w:type="pct"/>
            <w:vAlign w:val="bottom"/>
          </w:tcPr>
          <w:p w14:paraId="28B470A6" w14:textId="0E0D8435" w:rsidR="000050B8" w:rsidRPr="00FB38E1" w:rsidRDefault="000050B8" w:rsidP="000050B8">
            <w:pPr>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Bilançodaki Uzun Pozisyon</w:t>
            </w:r>
          </w:p>
        </w:tc>
        <w:tc>
          <w:tcPr>
            <w:tcW w:w="511" w:type="pct"/>
            <w:vAlign w:val="bottom"/>
          </w:tcPr>
          <w:p w14:paraId="2D524F19" w14:textId="0570EF48"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51.003.490</w:t>
            </w:r>
          </w:p>
        </w:tc>
        <w:tc>
          <w:tcPr>
            <w:tcW w:w="532" w:type="pct"/>
            <w:vAlign w:val="bottom"/>
          </w:tcPr>
          <w:p w14:paraId="49B12DCD" w14:textId="68A1AE45"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08" w:type="pct"/>
            <w:vAlign w:val="bottom"/>
          </w:tcPr>
          <w:p w14:paraId="2D36E266" w14:textId="3B2EF7ED"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08" w:type="pct"/>
            <w:vAlign w:val="bottom"/>
          </w:tcPr>
          <w:p w14:paraId="2D981D20" w14:textId="16C8A0FE"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97.389.494</w:t>
            </w:r>
          </w:p>
        </w:tc>
        <w:tc>
          <w:tcPr>
            <w:tcW w:w="509" w:type="pct"/>
            <w:vAlign w:val="bottom"/>
          </w:tcPr>
          <w:p w14:paraId="3FA225B3" w14:textId="67BEE815"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38.288.461</w:t>
            </w:r>
          </w:p>
        </w:tc>
        <w:tc>
          <w:tcPr>
            <w:tcW w:w="509" w:type="pct"/>
            <w:vAlign w:val="bottom"/>
          </w:tcPr>
          <w:p w14:paraId="4A8D0C08" w14:textId="521F0849"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31" w:type="pct"/>
            <w:vAlign w:val="bottom"/>
          </w:tcPr>
          <w:p w14:paraId="20137E1A" w14:textId="56C69C2B"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186.681.445</w:t>
            </w:r>
          </w:p>
        </w:tc>
      </w:tr>
      <w:tr w:rsidR="000050B8" w:rsidRPr="00FB38E1" w14:paraId="4AAD7C15" w14:textId="77777777" w:rsidTr="000050B8">
        <w:tc>
          <w:tcPr>
            <w:tcW w:w="1392" w:type="pct"/>
            <w:vAlign w:val="bottom"/>
          </w:tcPr>
          <w:p w14:paraId="7F4BB0AD" w14:textId="57847558" w:rsidR="000050B8" w:rsidRPr="00FB38E1" w:rsidRDefault="000050B8" w:rsidP="000050B8">
            <w:pPr>
              <w:rPr>
                <w:rFonts w:ascii="Microsoft Sans Serif" w:hAnsi="Microsoft Sans Serif" w:cs="Microsoft Sans Serif"/>
                <w:color w:val="000000"/>
                <w:sz w:val="14"/>
                <w:szCs w:val="14"/>
              </w:rPr>
            </w:pPr>
            <w:r w:rsidRPr="00FB38E1">
              <w:rPr>
                <w:rFonts w:ascii="Microsoft Sans Serif" w:hAnsi="Microsoft Sans Serif" w:cs="Microsoft Sans Serif"/>
                <w:color w:val="404040"/>
                <w:sz w:val="14"/>
                <w:szCs w:val="14"/>
              </w:rPr>
              <w:t>Bilançodaki Kısa Pozisyon</w:t>
            </w:r>
          </w:p>
        </w:tc>
        <w:tc>
          <w:tcPr>
            <w:tcW w:w="511" w:type="pct"/>
            <w:vAlign w:val="bottom"/>
          </w:tcPr>
          <w:p w14:paraId="15C5C91F" w14:textId="78AF3562"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32" w:type="pct"/>
            <w:vAlign w:val="bottom"/>
          </w:tcPr>
          <w:p w14:paraId="5FC16FDE" w14:textId="389DACB9"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(122.579.201)</w:t>
            </w:r>
          </w:p>
        </w:tc>
        <w:tc>
          <w:tcPr>
            <w:tcW w:w="508" w:type="pct"/>
            <w:vAlign w:val="bottom"/>
          </w:tcPr>
          <w:p w14:paraId="1AED8E0A" w14:textId="2BD6AE85"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(29.972.255)</w:t>
            </w:r>
          </w:p>
        </w:tc>
        <w:tc>
          <w:tcPr>
            <w:tcW w:w="508" w:type="pct"/>
            <w:vAlign w:val="bottom"/>
          </w:tcPr>
          <w:p w14:paraId="266EC8D0" w14:textId="0CB3789B"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w:t>
            </w:r>
          </w:p>
        </w:tc>
        <w:tc>
          <w:tcPr>
            <w:tcW w:w="509" w:type="pct"/>
            <w:vAlign w:val="bottom"/>
          </w:tcPr>
          <w:p w14:paraId="031A895D" w14:textId="50231C72"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w:t>
            </w:r>
          </w:p>
        </w:tc>
        <w:tc>
          <w:tcPr>
            <w:tcW w:w="509" w:type="pct"/>
            <w:vAlign w:val="bottom"/>
          </w:tcPr>
          <w:p w14:paraId="2C14784C" w14:textId="21F81AED" w:rsidR="000050B8" w:rsidRPr="00FB38E1" w:rsidRDefault="000050B8" w:rsidP="000050B8">
            <w:pPr>
              <w:jc w:val="right"/>
              <w:rPr>
                <w:sz w:val="14"/>
                <w:szCs w:val="14"/>
              </w:rPr>
            </w:pPr>
            <w:r w:rsidRPr="00FB38E1">
              <w:rPr>
                <w:rFonts w:ascii="Microsoft Sans Serif" w:hAnsi="Microsoft Sans Serif" w:cs="Microsoft Sans Serif"/>
                <w:color w:val="404040"/>
                <w:sz w:val="14"/>
                <w:szCs w:val="14"/>
              </w:rPr>
              <w:t>(34.129.989)</w:t>
            </w:r>
          </w:p>
        </w:tc>
        <w:tc>
          <w:tcPr>
            <w:tcW w:w="531" w:type="pct"/>
            <w:vAlign w:val="bottom"/>
          </w:tcPr>
          <w:p w14:paraId="2857C857" w14:textId="61EEB124" w:rsidR="000050B8" w:rsidRPr="00FB38E1" w:rsidRDefault="000050B8" w:rsidP="000050B8">
            <w:pPr>
              <w:jc w:val="right"/>
              <w:rPr>
                <w:sz w:val="14"/>
                <w:szCs w:val="14"/>
              </w:rPr>
            </w:pPr>
            <w:r w:rsidRPr="00FB38E1">
              <w:rPr>
                <w:rFonts w:ascii="Microsoft Sans Serif" w:hAnsi="Microsoft Sans Serif" w:cs="Microsoft Sans Serif"/>
                <w:b/>
                <w:bCs/>
                <w:color w:val="000000"/>
                <w:sz w:val="14"/>
                <w:szCs w:val="14"/>
              </w:rPr>
              <w:t>(186.681.445)</w:t>
            </w:r>
          </w:p>
        </w:tc>
      </w:tr>
      <w:tr w:rsidR="000050B8" w:rsidRPr="00FB38E1" w14:paraId="7156AE15" w14:textId="77777777" w:rsidTr="000050B8">
        <w:tc>
          <w:tcPr>
            <w:tcW w:w="1392" w:type="pct"/>
            <w:vAlign w:val="bottom"/>
          </w:tcPr>
          <w:p w14:paraId="7C7E2098" w14:textId="3444A15A"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Nazım Hesaplardaki Uzun Pozisyon</w:t>
            </w:r>
          </w:p>
        </w:tc>
        <w:tc>
          <w:tcPr>
            <w:tcW w:w="511" w:type="pct"/>
            <w:vAlign w:val="bottom"/>
          </w:tcPr>
          <w:p w14:paraId="0DB567CD" w14:textId="5384B7BF"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2" w:type="pct"/>
            <w:vAlign w:val="bottom"/>
          </w:tcPr>
          <w:p w14:paraId="035BCB43" w14:textId="3B0608BD"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vAlign w:val="bottom"/>
          </w:tcPr>
          <w:p w14:paraId="73918E1F" w14:textId="59A2FFC6"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15.116.034</w:t>
            </w:r>
          </w:p>
        </w:tc>
        <w:tc>
          <w:tcPr>
            <w:tcW w:w="508" w:type="pct"/>
            <w:vAlign w:val="bottom"/>
          </w:tcPr>
          <w:p w14:paraId="320631B9" w14:textId="438648FF"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vAlign w:val="bottom"/>
          </w:tcPr>
          <w:p w14:paraId="32AE66CA" w14:textId="6DD3D252"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1.145.610</w:t>
            </w:r>
          </w:p>
        </w:tc>
        <w:tc>
          <w:tcPr>
            <w:tcW w:w="509" w:type="pct"/>
            <w:vAlign w:val="bottom"/>
          </w:tcPr>
          <w:p w14:paraId="67AA3264" w14:textId="7EAC535D"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vAlign w:val="bottom"/>
          </w:tcPr>
          <w:p w14:paraId="075C0C76" w14:textId="0DB0C92E"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16.261.644</w:t>
            </w:r>
          </w:p>
        </w:tc>
      </w:tr>
      <w:tr w:rsidR="000050B8" w:rsidRPr="00FB38E1" w14:paraId="7404DF67" w14:textId="77777777" w:rsidTr="000050B8">
        <w:tc>
          <w:tcPr>
            <w:tcW w:w="1392" w:type="pct"/>
            <w:tcBorders>
              <w:bottom w:val="single" w:sz="4" w:space="0" w:color="auto"/>
            </w:tcBorders>
            <w:vAlign w:val="bottom"/>
          </w:tcPr>
          <w:p w14:paraId="256143B5" w14:textId="774035EC"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Nazım Hesaplardaki Kısa Pozisyon</w:t>
            </w:r>
          </w:p>
        </w:tc>
        <w:tc>
          <w:tcPr>
            <w:tcW w:w="511" w:type="pct"/>
            <w:tcBorders>
              <w:bottom w:val="single" w:sz="4" w:space="0" w:color="auto"/>
            </w:tcBorders>
            <w:vAlign w:val="bottom"/>
          </w:tcPr>
          <w:p w14:paraId="1F6F35C5" w14:textId="154E281A"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(2.056.897)</w:t>
            </w:r>
          </w:p>
        </w:tc>
        <w:tc>
          <w:tcPr>
            <w:tcW w:w="532" w:type="pct"/>
            <w:tcBorders>
              <w:bottom w:val="single" w:sz="4" w:space="0" w:color="auto"/>
            </w:tcBorders>
            <w:vAlign w:val="bottom"/>
          </w:tcPr>
          <w:p w14:paraId="086E9731" w14:textId="307583D3"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(855.355)</w:t>
            </w:r>
          </w:p>
        </w:tc>
        <w:tc>
          <w:tcPr>
            <w:tcW w:w="508" w:type="pct"/>
            <w:tcBorders>
              <w:bottom w:val="single" w:sz="4" w:space="0" w:color="auto"/>
            </w:tcBorders>
            <w:vAlign w:val="bottom"/>
          </w:tcPr>
          <w:p w14:paraId="15AAF75D" w14:textId="1DDBB46A"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8" w:type="pct"/>
            <w:tcBorders>
              <w:bottom w:val="single" w:sz="4" w:space="0" w:color="auto"/>
            </w:tcBorders>
            <w:vAlign w:val="bottom"/>
          </w:tcPr>
          <w:p w14:paraId="5AE065FA" w14:textId="277B232A"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(23.716.272)</w:t>
            </w:r>
          </w:p>
        </w:tc>
        <w:tc>
          <w:tcPr>
            <w:tcW w:w="509" w:type="pct"/>
            <w:tcBorders>
              <w:bottom w:val="single" w:sz="4" w:space="0" w:color="auto"/>
            </w:tcBorders>
            <w:vAlign w:val="bottom"/>
          </w:tcPr>
          <w:p w14:paraId="6DB514B0" w14:textId="4B6D9AC2"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9" w:type="pct"/>
            <w:tcBorders>
              <w:bottom w:val="single" w:sz="4" w:space="0" w:color="auto"/>
            </w:tcBorders>
            <w:vAlign w:val="bottom"/>
          </w:tcPr>
          <w:p w14:paraId="56E7A137" w14:textId="3B97610C"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1" w:type="pct"/>
            <w:tcBorders>
              <w:bottom w:val="single" w:sz="4" w:space="0" w:color="auto"/>
            </w:tcBorders>
            <w:vAlign w:val="bottom"/>
          </w:tcPr>
          <w:p w14:paraId="0F20AFCC" w14:textId="071B71DC"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(26.628.524)</w:t>
            </w:r>
          </w:p>
        </w:tc>
      </w:tr>
      <w:tr w:rsidR="000050B8" w:rsidRPr="00FB38E1" w14:paraId="1DBE3EB2" w14:textId="77777777" w:rsidTr="000050B8">
        <w:tc>
          <w:tcPr>
            <w:tcW w:w="1392" w:type="pct"/>
            <w:tcBorders>
              <w:top w:val="single" w:sz="4" w:space="0" w:color="auto"/>
              <w:bottom w:val="thickThinSmallGap" w:sz="24" w:space="0" w:color="auto"/>
            </w:tcBorders>
            <w:vAlign w:val="bottom"/>
          </w:tcPr>
          <w:p w14:paraId="79FB5864" w14:textId="5345275A" w:rsidR="000050B8" w:rsidRPr="00FB38E1" w:rsidRDefault="000050B8" w:rsidP="000050B8">
            <w:pPr>
              <w:ind w:firstLineChars="100" w:firstLine="140"/>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Toplam Pozisyon</w:t>
            </w:r>
          </w:p>
        </w:tc>
        <w:tc>
          <w:tcPr>
            <w:tcW w:w="511" w:type="pct"/>
            <w:tcBorders>
              <w:top w:val="single" w:sz="4" w:space="0" w:color="auto"/>
              <w:bottom w:val="thickThinSmallGap" w:sz="24" w:space="0" w:color="auto"/>
            </w:tcBorders>
            <w:vAlign w:val="bottom"/>
          </w:tcPr>
          <w:p w14:paraId="3A7AFCC6" w14:textId="67393C4B"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48.946.593</w:t>
            </w:r>
          </w:p>
        </w:tc>
        <w:tc>
          <w:tcPr>
            <w:tcW w:w="532" w:type="pct"/>
            <w:tcBorders>
              <w:top w:val="single" w:sz="4" w:space="0" w:color="auto"/>
              <w:bottom w:val="thickThinSmallGap" w:sz="24" w:space="0" w:color="auto"/>
            </w:tcBorders>
            <w:vAlign w:val="bottom"/>
          </w:tcPr>
          <w:p w14:paraId="1B4008EE" w14:textId="1CDA5697"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(123.434.556)</w:t>
            </w:r>
          </w:p>
        </w:tc>
        <w:tc>
          <w:tcPr>
            <w:tcW w:w="508" w:type="pct"/>
            <w:tcBorders>
              <w:top w:val="single" w:sz="4" w:space="0" w:color="auto"/>
              <w:bottom w:val="thickThinSmallGap" w:sz="24" w:space="0" w:color="auto"/>
            </w:tcBorders>
            <w:vAlign w:val="bottom"/>
          </w:tcPr>
          <w:p w14:paraId="02A35381" w14:textId="3AC53C5C"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(14.856.221)</w:t>
            </w:r>
          </w:p>
        </w:tc>
        <w:tc>
          <w:tcPr>
            <w:tcW w:w="508" w:type="pct"/>
            <w:tcBorders>
              <w:top w:val="single" w:sz="4" w:space="0" w:color="auto"/>
              <w:bottom w:val="thickThinSmallGap" w:sz="24" w:space="0" w:color="auto"/>
            </w:tcBorders>
            <w:vAlign w:val="bottom"/>
          </w:tcPr>
          <w:p w14:paraId="4EC72273" w14:textId="6BA5CB76"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73.673.222</w:t>
            </w:r>
          </w:p>
        </w:tc>
        <w:tc>
          <w:tcPr>
            <w:tcW w:w="509" w:type="pct"/>
            <w:tcBorders>
              <w:top w:val="single" w:sz="4" w:space="0" w:color="auto"/>
              <w:bottom w:val="thickThinSmallGap" w:sz="24" w:space="0" w:color="auto"/>
            </w:tcBorders>
            <w:vAlign w:val="bottom"/>
          </w:tcPr>
          <w:p w14:paraId="48818486" w14:textId="620CD360"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39.434.071</w:t>
            </w:r>
          </w:p>
        </w:tc>
        <w:tc>
          <w:tcPr>
            <w:tcW w:w="509" w:type="pct"/>
            <w:tcBorders>
              <w:top w:val="single" w:sz="4" w:space="0" w:color="auto"/>
              <w:bottom w:val="thickThinSmallGap" w:sz="24" w:space="0" w:color="auto"/>
            </w:tcBorders>
            <w:vAlign w:val="bottom"/>
          </w:tcPr>
          <w:p w14:paraId="2BC5E4FE" w14:textId="5FDC1481" w:rsidR="000050B8" w:rsidRPr="00FB38E1" w:rsidRDefault="000050B8" w:rsidP="000050B8">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(34.129.989)</w:t>
            </w:r>
          </w:p>
        </w:tc>
        <w:tc>
          <w:tcPr>
            <w:tcW w:w="531" w:type="pct"/>
            <w:tcBorders>
              <w:top w:val="single" w:sz="4" w:space="0" w:color="auto"/>
              <w:bottom w:val="thickThinSmallGap" w:sz="24" w:space="0" w:color="auto"/>
            </w:tcBorders>
            <w:vAlign w:val="bottom"/>
          </w:tcPr>
          <w:p w14:paraId="61EEB5B8" w14:textId="69D43730" w:rsidR="000050B8" w:rsidRPr="00FB38E1" w:rsidRDefault="000050B8" w:rsidP="000050B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(10.366.880)</w:t>
            </w:r>
          </w:p>
        </w:tc>
      </w:tr>
    </w:tbl>
    <w:p w14:paraId="73405013" w14:textId="35C25200" w:rsidR="005824FF" w:rsidRPr="00FB38E1" w:rsidRDefault="0056335A" w:rsidP="00F45BEE">
      <w:pPr>
        <w:pStyle w:val="NormalWeb"/>
        <w:tabs>
          <w:tab w:val="left" w:pos="284"/>
        </w:tabs>
        <w:spacing w:before="60" w:beforeAutospacing="0" w:after="0" w:afterAutospacing="0"/>
        <w:rPr>
          <w:rFonts w:ascii="Microsoft Sans Serif" w:hAnsi="Microsoft Sans Serif" w:cs="Microsoft Sans Serif"/>
          <w:color w:val="404040" w:themeColor="text1" w:themeTint="BF"/>
          <w:sz w:val="16"/>
          <w:szCs w:val="16"/>
          <w:lang w:val="tr-TR"/>
        </w:rPr>
      </w:pPr>
      <w:r w:rsidRPr="00FB38E1">
        <w:rPr>
          <w:rFonts w:ascii="Microsoft Sans Serif" w:hAnsi="Microsoft Sans Serif" w:cs="Microsoft Sans Serif"/>
          <w:color w:val="404040" w:themeColor="text1" w:themeTint="BF"/>
          <w:sz w:val="16"/>
          <w:szCs w:val="16"/>
          <w:lang w:val="tr-TR"/>
        </w:rPr>
        <w:t>(1) (</w:t>
      </w:r>
      <w:r w:rsidR="00F45BEE" w:rsidRPr="00FB38E1">
        <w:rPr>
          <w:rFonts w:ascii="Microsoft Sans Serif" w:hAnsi="Microsoft Sans Serif" w:cs="Microsoft Sans Serif"/>
          <w:color w:val="404040" w:themeColor="text1" w:themeTint="BF"/>
          <w:sz w:val="16"/>
          <w:szCs w:val="16"/>
          <w:lang w:val="tr-TR"/>
        </w:rPr>
        <w:t>783</w:t>
      </w:r>
      <w:r w:rsidRPr="00FB38E1">
        <w:rPr>
          <w:rFonts w:ascii="Microsoft Sans Serif" w:hAnsi="Microsoft Sans Serif" w:cs="Microsoft Sans Serif"/>
          <w:color w:val="404040" w:themeColor="text1" w:themeTint="BF"/>
          <w:sz w:val="16"/>
          <w:szCs w:val="16"/>
          <w:lang w:val="tr-TR"/>
        </w:rPr>
        <w:t>) TL tutarında 1. ve 2. aşama beklenen zarar karşılıklarını içermektedir</w:t>
      </w:r>
      <w:r w:rsidR="005824FF" w:rsidRPr="00FB38E1">
        <w:rPr>
          <w:rFonts w:ascii="Microsoft Sans Serif" w:hAnsi="Microsoft Sans Serif" w:cs="Microsoft Sans Serif"/>
          <w:color w:val="404040" w:themeColor="text1" w:themeTint="BF"/>
          <w:sz w:val="16"/>
          <w:szCs w:val="16"/>
          <w:lang w:val="tr-TR"/>
        </w:rPr>
        <w:t>.</w:t>
      </w:r>
    </w:p>
    <w:p w14:paraId="054CEE81" w14:textId="582D156A" w:rsidR="005824FF" w:rsidRPr="00FB38E1" w:rsidRDefault="00CF5E30" w:rsidP="00F45BEE">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FB38E1">
        <w:rPr>
          <w:rFonts w:ascii="Microsoft Sans Serif" w:hAnsi="Microsoft Sans Serif" w:cs="Microsoft Sans Serif"/>
          <w:color w:val="404040" w:themeColor="text1" w:themeTint="BF"/>
          <w:sz w:val="16"/>
          <w:szCs w:val="16"/>
          <w:lang w:val="tr-TR"/>
        </w:rPr>
        <w:t>(2) (</w:t>
      </w:r>
      <w:r w:rsidR="00F45BEE" w:rsidRPr="00FB38E1">
        <w:rPr>
          <w:rFonts w:ascii="Microsoft Sans Serif" w:hAnsi="Microsoft Sans Serif" w:cs="Microsoft Sans Serif"/>
          <w:color w:val="404040" w:themeColor="text1" w:themeTint="BF"/>
          <w:sz w:val="16"/>
          <w:szCs w:val="16"/>
          <w:lang w:val="tr-TR"/>
        </w:rPr>
        <w:t>6.657</w:t>
      </w:r>
      <w:r w:rsidR="0056335A" w:rsidRPr="00FB38E1">
        <w:rPr>
          <w:rFonts w:ascii="Microsoft Sans Serif" w:hAnsi="Microsoft Sans Serif" w:cs="Microsoft Sans Serif"/>
          <w:color w:val="404040" w:themeColor="text1" w:themeTint="BF"/>
          <w:sz w:val="16"/>
          <w:szCs w:val="16"/>
          <w:lang w:val="tr-TR"/>
        </w:rPr>
        <w:t>) TL tutarında 1. ve 2. aşama beklenen zarar karşılıklarını içermektedir</w:t>
      </w:r>
      <w:r w:rsidR="005824FF" w:rsidRPr="00FB38E1">
        <w:rPr>
          <w:rFonts w:ascii="Microsoft Sans Serif" w:hAnsi="Microsoft Sans Serif" w:cs="Microsoft Sans Serif"/>
          <w:color w:val="404040" w:themeColor="text1" w:themeTint="BF"/>
          <w:sz w:val="16"/>
          <w:szCs w:val="16"/>
          <w:lang w:val="tr-TR"/>
        </w:rPr>
        <w:t>.</w:t>
      </w:r>
    </w:p>
    <w:p w14:paraId="2E28789B" w14:textId="307401CC" w:rsidR="00F45BEE" w:rsidRPr="00FB38E1" w:rsidRDefault="0056335A" w:rsidP="00F45BEE">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lang w:val="tr-TR"/>
        </w:rPr>
      </w:pPr>
      <w:r w:rsidRPr="00FB38E1">
        <w:rPr>
          <w:rFonts w:ascii="Microsoft Sans Serif" w:hAnsi="Microsoft Sans Serif" w:cs="Microsoft Sans Serif"/>
          <w:color w:val="404040" w:themeColor="text1" w:themeTint="BF"/>
          <w:sz w:val="16"/>
          <w:szCs w:val="16"/>
          <w:lang w:val="tr-TR"/>
        </w:rPr>
        <w:t xml:space="preserve">(3) </w:t>
      </w:r>
      <w:r w:rsidR="000050B8" w:rsidRPr="00FB38E1">
        <w:rPr>
          <w:rFonts w:ascii="Microsoft Sans Serif" w:hAnsi="Microsoft Sans Serif" w:cs="Microsoft Sans Serif"/>
          <w:color w:val="404040" w:themeColor="text1" w:themeTint="BF"/>
          <w:sz w:val="16"/>
          <w:szCs w:val="16"/>
          <w:lang w:val="tr-TR"/>
        </w:rPr>
        <w:t>Diğer varlıklar-faizsiz; 1.553.809 TL tutarında maddi duran varlıklar, 2.283.719 TL tutarında maddi olmayan duran varlıklar, 69.128.910 TL tutarında ortaklık yatırımları, 6.050.567 TL tutarında vergi varlığı, 11.990.377 TL tutarında elden çıkarılacak kıymetleri, (64.896) TL tutarında diğer aktiflerin beklenen zarar karşılıklarını ve 24.365.453 TL tutarında diğer aktifleri içermektedir</w:t>
      </w:r>
      <w:r w:rsidR="00F45BEE" w:rsidRPr="00FB38E1">
        <w:rPr>
          <w:rFonts w:ascii="Microsoft Sans Serif" w:hAnsi="Microsoft Sans Serif" w:cs="Microsoft Sans Serif"/>
          <w:color w:val="404040" w:themeColor="text1" w:themeTint="BF"/>
          <w:sz w:val="16"/>
          <w:szCs w:val="16"/>
          <w:lang w:val="tr-TR"/>
        </w:rPr>
        <w:t>.</w:t>
      </w:r>
    </w:p>
    <w:p w14:paraId="61A7A6FA" w14:textId="77777777" w:rsidR="00F45BEE" w:rsidRPr="00FB38E1" w:rsidRDefault="00F45BEE" w:rsidP="00F45BEE">
      <w:pPr>
        <w:pStyle w:val="ListParagraph"/>
        <w:tabs>
          <w:tab w:val="left" w:pos="0"/>
          <w:tab w:val="left" w:pos="284"/>
        </w:tabs>
        <w:spacing w:after="0"/>
        <w:ind w:left="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 3. Aşama krediler net olarak “Faizsiz” olarak gösterilmiştir.</w:t>
      </w:r>
    </w:p>
    <w:p w14:paraId="58F9D554" w14:textId="54D4EFB2" w:rsidR="00F45BEE" w:rsidRPr="00FB38E1" w:rsidRDefault="00F45BEE" w:rsidP="00F45BEE">
      <w:pPr>
        <w:pStyle w:val="NormalWeb"/>
        <w:tabs>
          <w:tab w:val="left" w:pos="284"/>
        </w:tabs>
        <w:spacing w:before="0" w:beforeAutospacing="0" w:after="0" w:afterAutospacing="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xml:space="preserve">(5) </w:t>
      </w:r>
      <w:r w:rsidR="000050B8" w:rsidRPr="00FB38E1">
        <w:rPr>
          <w:rFonts w:ascii="Microsoft Sans Serif" w:hAnsi="Microsoft Sans Serif" w:cs="Microsoft Sans Serif"/>
          <w:color w:val="404040" w:themeColor="text1" w:themeTint="BF"/>
          <w:sz w:val="16"/>
          <w:szCs w:val="16"/>
        </w:rPr>
        <w:t>Diğer yükümlülükler-faizsiz; 89.843.401 TL tutarında özkaynaklar, 44.998.768 TL tutarında diğer yükümlülükler, 15.820.136 TL tutarında karşılıklar, 1.821.303 TL tutarında vergi borcu, 2.846.365 TL tutarında türev finansal yükümlülükler bakiyelerini içermektedir</w:t>
      </w:r>
      <w:r w:rsidR="00175F21" w:rsidRPr="00FB38E1">
        <w:rPr>
          <w:rFonts w:ascii="Microsoft Sans Serif" w:hAnsi="Microsoft Sans Serif" w:cs="Microsoft Sans Serif"/>
          <w:color w:val="404040" w:themeColor="text1" w:themeTint="BF"/>
          <w:sz w:val="16"/>
          <w:szCs w:val="16"/>
        </w:rPr>
        <w:t>.</w:t>
      </w:r>
    </w:p>
    <w:p w14:paraId="4771E1CB" w14:textId="77777777" w:rsidR="00ED711D" w:rsidRPr="00FB38E1" w:rsidRDefault="00ED711D" w:rsidP="00290D92">
      <w:pPr>
        <w:pStyle w:val="BASLIK2"/>
        <w:widowControl/>
        <w:numPr>
          <w:ilvl w:val="0"/>
          <w:numId w:val="14"/>
        </w:numPr>
        <w:spacing w:line="240" w:lineRule="exact"/>
        <w:ind w:left="0" w:hanging="567"/>
        <w:rPr>
          <w:rFonts w:ascii="Microsoft Sans Serif" w:hAnsi="Microsoft Sans Serif" w:cs="Microsoft Sans Serif"/>
          <w:sz w:val="20"/>
          <w:szCs w:val="20"/>
        </w:rPr>
      </w:pPr>
      <w:bookmarkStart w:id="29" w:name="_Hlk165297687"/>
      <w:r w:rsidRPr="00FB38E1">
        <w:rPr>
          <w:rFonts w:ascii="Microsoft Sans Serif" w:hAnsi="Microsoft Sans Serif" w:cs="Microsoft Sans Serif"/>
          <w:sz w:val="20"/>
          <w:szCs w:val="20"/>
        </w:rPr>
        <w:t>Parasal finansal araçlara uygulanan ortalama faiz oranları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ED711D" w:rsidRPr="00FB38E1" w14:paraId="57734F5B" w14:textId="77777777" w:rsidTr="00622E75">
        <w:tc>
          <w:tcPr>
            <w:tcW w:w="2500" w:type="pct"/>
            <w:tcBorders>
              <w:top w:val="thinThickSmallGap" w:sz="24" w:space="0" w:color="auto"/>
              <w:bottom w:val="single" w:sz="4" w:space="0" w:color="auto"/>
            </w:tcBorders>
            <w:vAlign w:val="bottom"/>
          </w:tcPr>
          <w:p w14:paraId="76EFF89E" w14:textId="6ADD9E1D" w:rsidR="00ED711D" w:rsidRPr="00FB38E1" w:rsidRDefault="00ED711D" w:rsidP="00CF34A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Dönem: </w:t>
            </w:r>
            <w:r w:rsidR="004C4799" w:rsidRPr="00FB38E1">
              <w:rPr>
                <w:rFonts w:ascii="Microsoft Sans Serif" w:hAnsi="Microsoft Sans Serif" w:cs="Microsoft Sans Serif"/>
                <w:b/>
                <w:bCs/>
                <w:color w:val="000000"/>
                <w:sz w:val="16"/>
                <w:szCs w:val="16"/>
              </w:rPr>
              <w:t>31 Aralık 2024</w:t>
            </w:r>
          </w:p>
        </w:tc>
        <w:tc>
          <w:tcPr>
            <w:tcW w:w="589" w:type="pct"/>
            <w:tcBorders>
              <w:top w:val="thinThickSmallGap" w:sz="24" w:space="0" w:color="auto"/>
              <w:bottom w:val="single" w:sz="4" w:space="0" w:color="auto"/>
            </w:tcBorders>
            <w:vAlign w:val="bottom"/>
          </w:tcPr>
          <w:p w14:paraId="6F21CE5D" w14:textId="77777777" w:rsidR="00ED711D" w:rsidRPr="00FB38E1" w:rsidRDefault="00ED711D">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7EF6C77C" w14:textId="77777777" w:rsidR="00ED711D" w:rsidRPr="00FB38E1" w:rsidRDefault="00ED711D">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5C4FCA12" w14:textId="77777777" w:rsidR="00ED711D" w:rsidRPr="00FB38E1" w:rsidRDefault="00ED711D">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7C07EF46" w14:textId="77777777" w:rsidR="00ED711D" w:rsidRPr="00FB38E1" w:rsidRDefault="00ED711D">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TL %</w:t>
            </w:r>
          </w:p>
        </w:tc>
      </w:tr>
      <w:tr w:rsidR="00ED711D" w:rsidRPr="00FB38E1" w14:paraId="4EC7EBA8" w14:textId="77777777" w:rsidTr="00622E75">
        <w:tc>
          <w:tcPr>
            <w:tcW w:w="2500" w:type="pct"/>
            <w:tcBorders>
              <w:top w:val="single" w:sz="4" w:space="0" w:color="auto"/>
            </w:tcBorders>
            <w:vAlign w:val="bottom"/>
          </w:tcPr>
          <w:p w14:paraId="7DB84ADE" w14:textId="77777777" w:rsidR="00ED711D" w:rsidRPr="00FB38E1" w:rsidRDefault="00ED711D">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221D2DAC" w14:textId="77777777" w:rsidR="00ED711D" w:rsidRPr="00FB38E1" w:rsidRDefault="00ED711D">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546DDF3F" w14:textId="77777777" w:rsidR="00ED711D" w:rsidRPr="00FB38E1" w:rsidRDefault="00ED711D">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161A63D5" w14:textId="77777777" w:rsidR="00ED711D" w:rsidRPr="00FB38E1" w:rsidRDefault="00ED711D">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0D74A418" w14:textId="77777777" w:rsidR="00ED711D" w:rsidRPr="00FB38E1" w:rsidRDefault="00ED711D">
            <w:pPr>
              <w:jc w:val="center"/>
              <w:rPr>
                <w:rFonts w:ascii="Microsoft Sans Serif" w:hAnsi="Microsoft Sans Serif" w:cs="Microsoft Sans Serif"/>
                <w:b/>
                <w:bCs/>
                <w:color w:val="000000"/>
                <w:sz w:val="16"/>
                <w:szCs w:val="16"/>
              </w:rPr>
            </w:pPr>
          </w:p>
        </w:tc>
      </w:tr>
      <w:tr w:rsidR="001531F4" w:rsidRPr="00FB38E1" w14:paraId="24E164C3" w14:textId="77777777" w:rsidTr="00910FB0">
        <w:trPr>
          <w:trHeight w:val="55"/>
        </w:trPr>
        <w:tc>
          <w:tcPr>
            <w:tcW w:w="2500" w:type="pct"/>
            <w:vAlign w:val="bottom"/>
          </w:tcPr>
          <w:p w14:paraId="66A87C0C" w14:textId="490ABEA3"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68ABC767" w14:textId="66976091"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4,30</w:t>
            </w:r>
          </w:p>
        </w:tc>
        <w:tc>
          <w:tcPr>
            <w:tcW w:w="736" w:type="pct"/>
            <w:tcMar>
              <w:right w:w="567" w:type="dxa"/>
            </w:tcMar>
            <w:vAlign w:val="bottom"/>
          </w:tcPr>
          <w:p w14:paraId="210D9B9A" w14:textId="553CFE8C"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Mar>
              <w:right w:w="567" w:type="dxa"/>
            </w:tcMar>
            <w:vAlign w:val="bottom"/>
          </w:tcPr>
          <w:p w14:paraId="22172CFA" w14:textId="72C331A7"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6E2537FA" w14:textId="6128D101"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1531F4" w:rsidRPr="00FB38E1" w14:paraId="75A655B5" w14:textId="77777777" w:rsidTr="00910FB0">
        <w:trPr>
          <w:trHeight w:val="157"/>
        </w:trPr>
        <w:tc>
          <w:tcPr>
            <w:tcW w:w="2500" w:type="pct"/>
            <w:vAlign w:val="bottom"/>
          </w:tcPr>
          <w:p w14:paraId="75E358E4" w14:textId="1BBE2AA5"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2DD60AAE" w14:textId="095CA6DE" w:rsidR="001531F4" w:rsidRPr="00FB38E1" w:rsidRDefault="001531F4" w:rsidP="001531F4">
            <w:pPr>
              <w:ind w:left="1"/>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3,17</w:t>
            </w:r>
          </w:p>
        </w:tc>
        <w:tc>
          <w:tcPr>
            <w:tcW w:w="736" w:type="pct"/>
            <w:tcMar>
              <w:right w:w="567" w:type="dxa"/>
            </w:tcMar>
            <w:vAlign w:val="bottom"/>
          </w:tcPr>
          <w:p w14:paraId="076485C3" w14:textId="6859C5DD"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3,97</w:t>
            </w:r>
          </w:p>
        </w:tc>
        <w:tc>
          <w:tcPr>
            <w:tcW w:w="661" w:type="pct"/>
            <w:tcMar>
              <w:right w:w="567" w:type="dxa"/>
            </w:tcMar>
            <w:vAlign w:val="bottom"/>
          </w:tcPr>
          <w:p w14:paraId="366C476F" w14:textId="2DC51CD3"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72FD2CA3" w14:textId="003EC2BF"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47,60</w:t>
            </w:r>
          </w:p>
        </w:tc>
      </w:tr>
      <w:tr w:rsidR="001531F4" w:rsidRPr="00FB38E1" w14:paraId="7BA0B270" w14:textId="77777777" w:rsidTr="00622E75">
        <w:tc>
          <w:tcPr>
            <w:tcW w:w="2500" w:type="pct"/>
            <w:vAlign w:val="bottom"/>
          </w:tcPr>
          <w:p w14:paraId="0933018F" w14:textId="0DD1D865"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Gerçeğe Uygun Değer Farkı Kar veya Zarara Yansıtılan Fin.Var.</w:t>
            </w:r>
          </w:p>
        </w:tc>
        <w:tc>
          <w:tcPr>
            <w:tcW w:w="589" w:type="pct"/>
            <w:tcMar>
              <w:right w:w="397" w:type="dxa"/>
            </w:tcMar>
            <w:vAlign w:val="bottom"/>
          </w:tcPr>
          <w:p w14:paraId="04CF87B8" w14:textId="5E955AB3"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3,80</w:t>
            </w:r>
          </w:p>
        </w:tc>
        <w:tc>
          <w:tcPr>
            <w:tcW w:w="736" w:type="pct"/>
            <w:tcMar>
              <w:right w:w="567" w:type="dxa"/>
            </w:tcMar>
            <w:vAlign w:val="bottom"/>
          </w:tcPr>
          <w:p w14:paraId="28965D3C" w14:textId="0C55A0F6"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7,85</w:t>
            </w:r>
          </w:p>
        </w:tc>
        <w:tc>
          <w:tcPr>
            <w:tcW w:w="661" w:type="pct"/>
            <w:tcMar>
              <w:right w:w="567" w:type="dxa"/>
            </w:tcMar>
            <w:vAlign w:val="bottom"/>
          </w:tcPr>
          <w:p w14:paraId="2B8393E6" w14:textId="02DD8EF8"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71CDB4DF" w14:textId="1BEC5709"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41,72</w:t>
            </w:r>
          </w:p>
        </w:tc>
      </w:tr>
      <w:tr w:rsidR="001531F4" w:rsidRPr="00FB38E1" w14:paraId="125DD395" w14:textId="77777777" w:rsidTr="00622E75">
        <w:tc>
          <w:tcPr>
            <w:tcW w:w="2500" w:type="pct"/>
            <w:vAlign w:val="bottom"/>
          </w:tcPr>
          <w:p w14:paraId="5EEA7463" w14:textId="03400408"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637FE3FD" w14:textId="0BB7C213"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Mar>
              <w:right w:w="567" w:type="dxa"/>
            </w:tcMar>
            <w:vAlign w:val="bottom"/>
          </w:tcPr>
          <w:p w14:paraId="3C5A3B93" w14:textId="58331E1E"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Mar>
              <w:right w:w="567" w:type="dxa"/>
            </w:tcMar>
            <w:vAlign w:val="bottom"/>
          </w:tcPr>
          <w:p w14:paraId="6CAC47FF" w14:textId="6649C23D"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2852FA6C" w14:textId="56D9FBEE"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48,90</w:t>
            </w:r>
          </w:p>
        </w:tc>
      </w:tr>
      <w:tr w:rsidR="001531F4" w:rsidRPr="00FB38E1" w14:paraId="19C0CDCF" w14:textId="77777777" w:rsidTr="00622E75">
        <w:tc>
          <w:tcPr>
            <w:tcW w:w="2500" w:type="pct"/>
            <w:vAlign w:val="bottom"/>
          </w:tcPr>
          <w:p w14:paraId="348AC682" w14:textId="4AF6599D"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4AEE38BA" w14:textId="13160A89"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6,12</w:t>
            </w:r>
          </w:p>
        </w:tc>
        <w:tc>
          <w:tcPr>
            <w:tcW w:w="736" w:type="pct"/>
            <w:tcMar>
              <w:right w:w="567" w:type="dxa"/>
            </w:tcMar>
            <w:vAlign w:val="bottom"/>
          </w:tcPr>
          <w:p w14:paraId="300306B2" w14:textId="1FB6C7BD"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7,06</w:t>
            </w:r>
          </w:p>
        </w:tc>
        <w:tc>
          <w:tcPr>
            <w:tcW w:w="661" w:type="pct"/>
            <w:tcMar>
              <w:right w:w="567" w:type="dxa"/>
            </w:tcMar>
            <w:vAlign w:val="bottom"/>
          </w:tcPr>
          <w:p w14:paraId="7F24AD4E" w14:textId="13C0CA6B"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3D1996F3" w14:textId="61A08DFF"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45,67</w:t>
            </w:r>
          </w:p>
        </w:tc>
      </w:tr>
      <w:tr w:rsidR="001531F4" w:rsidRPr="00FB38E1" w14:paraId="0F997546" w14:textId="77777777" w:rsidTr="00622E75">
        <w:tc>
          <w:tcPr>
            <w:tcW w:w="2500" w:type="pct"/>
            <w:vAlign w:val="bottom"/>
          </w:tcPr>
          <w:p w14:paraId="14A43666" w14:textId="7EEBADDF"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Verilen Krediler</w:t>
            </w:r>
          </w:p>
        </w:tc>
        <w:tc>
          <w:tcPr>
            <w:tcW w:w="589" w:type="pct"/>
            <w:tcMar>
              <w:right w:w="397" w:type="dxa"/>
            </w:tcMar>
            <w:vAlign w:val="bottom"/>
          </w:tcPr>
          <w:p w14:paraId="7AC7A35E" w14:textId="74617169"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7,01</w:t>
            </w:r>
          </w:p>
        </w:tc>
        <w:tc>
          <w:tcPr>
            <w:tcW w:w="736" w:type="pct"/>
            <w:tcMar>
              <w:right w:w="567" w:type="dxa"/>
            </w:tcMar>
            <w:vAlign w:val="bottom"/>
          </w:tcPr>
          <w:p w14:paraId="57D355D1" w14:textId="56B4E06C"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7,79</w:t>
            </w:r>
          </w:p>
        </w:tc>
        <w:tc>
          <w:tcPr>
            <w:tcW w:w="661" w:type="pct"/>
            <w:tcMar>
              <w:right w:w="567" w:type="dxa"/>
            </w:tcMar>
            <w:vAlign w:val="bottom"/>
          </w:tcPr>
          <w:p w14:paraId="619018C0" w14:textId="0363D7E9"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6,00</w:t>
            </w:r>
          </w:p>
        </w:tc>
        <w:tc>
          <w:tcPr>
            <w:tcW w:w="514" w:type="pct"/>
            <w:tcMar>
              <w:right w:w="284" w:type="dxa"/>
            </w:tcMar>
            <w:vAlign w:val="bottom"/>
          </w:tcPr>
          <w:p w14:paraId="7012782E" w14:textId="56D955F2"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53,11</w:t>
            </w:r>
          </w:p>
        </w:tc>
      </w:tr>
      <w:tr w:rsidR="001531F4" w:rsidRPr="00FB38E1" w14:paraId="03020E54" w14:textId="77777777" w:rsidTr="00622E75">
        <w:tc>
          <w:tcPr>
            <w:tcW w:w="2500" w:type="pct"/>
            <w:vAlign w:val="bottom"/>
          </w:tcPr>
          <w:p w14:paraId="0D34BBF3" w14:textId="1877F9A4"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3B1B11A0" w14:textId="1D7DBF78"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Mar>
              <w:right w:w="567" w:type="dxa"/>
            </w:tcMar>
            <w:vAlign w:val="bottom"/>
          </w:tcPr>
          <w:p w14:paraId="187FF162" w14:textId="59E153AD"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4,64</w:t>
            </w:r>
          </w:p>
        </w:tc>
        <w:tc>
          <w:tcPr>
            <w:tcW w:w="661" w:type="pct"/>
            <w:tcMar>
              <w:right w:w="567" w:type="dxa"/>
            </w:tcMar>
            <w:vAlign w:val="bottom"/>
          </w:tcPr>
          <w:p w14:paraId="7F5BF04C" w14:textId="404E803D"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051EA08E" w14:textId="12FA88CD"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31,58</w:t>
            </w:r>
          </w:p>
        </w:tc>
      </w:tr>
      <w:tr w:rsidR="004026B9" w:rsidRPr="00FB38E1" w14:paraId="7213DFDD" w14:textId="77777777" w:rsidTr="009F0AF5">
        <w:trPr>
          <w:trHeight w:val="72"/>
        </w:trPr>
        <w:tc>
          <w:tcPr>
            <w:tcW w:w="2500" w:type="pct"/>
            <w:vAlign w:val="bottom"/>
          </w:tcPr>
          <w:p w14:paraId="7A9E05F9" w14:textId="5DE034B1" w:rsidR="004026B9" w:rsidRPr="00FB38E1" w:rsidRDefault="004026B9" w:rsidP="004026B9">
            <w:pPr>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1B580AF5" w14:textId="77777777" w:rsidR="004026B9" w:rsidRPr="00FB38E1" w:rsidRDefault="004026B9" w:rsidP="004026B9">
            <w:pPr>
              <w:jc w:val="right"/>
              <w:rPr>
                <w:rFonts w:ascii="Microsoft Sans Serif" w:hAnsi="Microsoft Sans Serif" w:cs="Microsoft Sans Serif"/>
                <w:color w:val="404040"/>
                <w:sz w:val="16"/>
                <w:szCs w:val="16"/>
              </w:rPr>
            </w:pPr>
          </w:p>
        </w:tc>
        <w:tc>
          <w:tcPr>
            <w:tcW w:w="736" w:type="pct"/>
            <w:tcMar>
              <w:right w:w="567" w:type="dxa"/>
            </w:tcMar>
            <w:vAlign w:val="bottom"/>
          </w:tcPr>
          <w:p w14:paraId="1BA92941" w14:textId="77777777" w:rsidR="004026B9" w:rsidRPr="00FB38E1" w:rsidRDefault="004026B9" w:rsidP="004026B9">
            <w:pPr>
              <w:jc w:val="right"/>
              <w:rPr>
                <w:rFonts w:ascii="Microsoft Sans Serif" w:hAnsi="Microsoft Sans Serif" w:cs="Microsoft Sans Serif"/>
                <w:color w:val="404040"/>
                <w:sz w:val="16"/>
                <w:szCs w:val="16"/>
              </w:rPr>
            </w:pPr>
          </w:p>
        </w:tc>
        <w:tc>
          <w:tcPr>
            <w:tcW w:w="661" w:type="pct"/>
            <w:tcMar>
              <w:right w:w="567" w:type="dxa"/>
            </w:tcMar>
            <w:vAlign w:val="bottom"/>
          </w:tcPr>
          <w:p w14:paraId="43A06AB2" w14:textId="77777777" w:rsidR="004026B9" w:rsidRPr="00FB38E1" w:rsidRDefault="004026B9" w:rsidP="004026B9">
            <w:pPr>
              <w:jc w:val="right"/>
              <w:rPr>
                <w:rFonts w:ascii="Microsoft Sans Serif" w:hAnsi="Microsoft Sans Serif" w:cs="Microsoft Sans Serif"/>
                <w:color w:val="404040"/>
                <w:sz w:val="16"/>
                <w:szCs w:val="16"/>
              </w:rPr>
            </w:pPr>
          </w:p>
        </w:tc>
        <w:tc>
          <w:tcPr>
            <w:tcW w:w="514" w:type="pct"/>
            <w:tcMar>
              <w:right w:w="284" w:type="dxa"/>
            </w:tcMar>
            <w:vAlign w:val="bottom"/>
          </w:tcPr>
          <w:p w14:paraId="7C29FE76" w14:textId="77777777" w:rsidR="004026B9" w:rsidRPr="00FB38E1" w:rsidRDefault="004026B9" w:rsidP="004026B9">
            <w:pPr>
              <w:jc w:val="right"/>
              <w:rPr>
                <w:rFonts w:ascii="Microsoft Sans Serif" w:hAnsi="Microsoft Sans Serif" w:cs="Microsoft Sans Serif"/>
                <w:color w:val="404040"/>
                <w:sz w:val="16"/>
                <w:szCs w:val="16"/>
              </w:rPr>
            </w:pPr>
          </w:p>
        </w:tc>
      </w:tr>
      <w:tr w:rsidR="001531F4" w:rsidRPr="00FB38E1" w14:paraId="7A9E2A75" w14:textId="77777777" w:rsidTr="00622E75">
        <w:tc>
          <w:tcPr>
            <w:tcW w:w="2500" w:type="pct"/>
            <w:vAlign w:val="bottom"/>
          </w:tcPr>
          <w:p w14:paraId="7F0A917B" w14:textId="7D5260AF"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 Mevduatı</w:t>
            </w:r>
          </w:p>
        </w:tc>
        <w:tc>
          <w:tcPr>
            <w:tcW w:w="589" w:type="pct"/>
            <w:tcMar>
              <w:right w:w="397" w:type="dxa"/>
            </w:tcMar>
            <w:vAlign w:val="bottom"/>
          </w:tcPr>
          <w:p w14:paraId="537C233A" w14:textId="31C4906E"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3,68</w:t>
            </w:r>
          </w:p>
        </w:tc>
        <w:tc>
          <w:tcPr>
            <w:tcW w:w="736" w:type="pct"/>
            <w:tcMar>
              <w:right w:w="567" w:type="dxa"/>
            </w:tcMar>
            <w:vAlign w:val="bottom"/>
          </w:tcPr>
          <w:p w14:paraId="5C605889" w14:textId="6D2E2826"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6,01</w:t>
            </w:r>
          </w:p>
        </w:tc>
        <w:tc>
          <w:tcPr>
            <w:tcW w:w="661" w:type="pct"/>
            <w:tcMar>
              <w:right w:w="567" w:type="dxa"/>
            </w:tcMar>
            <w:vAlign w:val="bottom"/>
          </w:tcPr>
          <w:p w14:paraId="77317242" w14:textId="4EF2F135"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3EF93CCC" w14:textId="586B9A1D"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42,97</w:t>
            </w:r>
          </w:p>
        </w:tc>
      </w:tr>
      <w:tr w:rsidR="001531F4" w:rsidRPr="00FB38E1" w14:paraId="34891C3B" w14:textId="77777777" w:rsidTr="00910FB0">
        <w:trPr>
          <w:trHeight w:val="59"/>
        </w:trPr>
        <w:tc>
          <w:tcPr>
            <w:tcW w:w="2500" w:type="pct"/>
            <w:vAlign w:val="bottom"/>
          </w:tcPr>
          <w:p w14:paraId="00EC5C79" w14:textId="0B6FC1FB" w:rsidR="001531F4" w:rsidRPr="00FB38E1" w:rsidRDefault="001531F4" w:rsidP="001531F4">
            <w:pPr>
              <w:ind w:firstLineChars="100" w:firstLine="160"/>
              <w:rPr>
                <w:rFonts w:ascii="Microsoft Sans Serif" w:hAnsi="Microsoft Sans Serif" w:cs="Microsoft Sans Serif"/>
                <w:color w:val="404040"/>
                <w:sz w:val="16"/>
                <w:szCs w:val="16"/>
              </w:rPr>
            </w:pPr>
            <w:bookmarkStart w:id="30" w:name="_Hlk165297646"/>
            <w:r w:rsidRPr="00FB38E1">
              <w:rPr>
                <w:rFonts w:ascii="Microsoft Sans Serif" w:hAnsi="Microsoft Sans Serif" w:cs="Microsoft Sans Serif"/>
                <w:color w:val="404040"/>
                <w:sz w:val="16"/>
                <w:szCs w:val="16"/>
              </w:rPr>
              <w:t>Diğer Mevduat</w:t>
            </w:r>
          </w:p>
        </w:tc>
        <w:tc>
          <w:tcPr>
            <w:tcW w:w="589" w:type="pct"/>
            <w:tcMar>
              <w:right w:w="397" w:type="dxa"/>
            </w:tcMar>
            <w:vAlign w:val="bottom"/>
          </w:tcPr>
          <w:p w14:paraId="06A44B08" w14:textId="3F8BCC7C"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0,92</w:t>
            </w:r>
          </w:p>
        </w:tc>
        <w:tc>
          <w:tcPr>
            <w:tcW w:w="736" w:type="pct"/>
            <w:tcMar>
              <w:right w:w="567" w:type="dxa"/>
            </w:tcMar>
            <w:vAlign w:val="bottom"/>
          </w:tcPr>
          <w:p w14:paraId="67DF1770" w14:textId="6F528C5E" w:rsidR="001531F4" w:rsidRPr="00FB38E1" w:rsidRDefault="001531F4" w:rsidP="001531F4">
            <w:pPr>
              <w:jc w:val="right"/>
              <w:rPr>
                <w:sz w:val="16"/>
                <w:szCs w:val="16"/>
              </w:rPr>
            </w:pPr>
            <w:r w:rsidRPr="00FB38E1">
              <w:rPr>
                <w:rFonts w:ascii="Microsoft Sans Serif" w:hAnsi="Microsoft Sans Serif" w:cs="Microsoft Sans Serif"/>
                <w:color w:val="404040"/>
                <w:sz w:val="16"/>
                <w:szCs w:val="16"/>
              </w:rPr>
              <w:t>2,08</w:t>
            </w:r>
          </w:p>
        </w:tc>
        <w:tc>
          <w:tcPr>
            <w:tcW w:w="661" w:type="pct"/>
            <w:tcMar>
              <w:right w:w="567" w:type="dxa"/>
            </w:tcMar>
            <w:vAlign w:val="bottom"/>
          </w:tcPr>
          <w:p w14:paraId="749310D6" w14:textId="41DDAC6E" w:rsidR="001531F4" w:rsidRPr="00FB38E1" w:rsidRDefault="001531F4" w:rsidP="001531F4">
            <w:pPr>
              <w:jc w:val="right"/>
              <w:rPr>
                <w:sz w:val="16"/>
                <w:szCs w:val="16"/>
              </w:rPr>
            </w:pPr>
            <w:r w:rsidRPr="00FB38E1">
              <w:rPr>
                <w:rFonts w:ascii="Microsoft Sans Serif" w:hAnsi="Microsoft Sans Serif" w:cs="Microsoft Sans Serif"/>
                <w:color w:val="404040"/>
                <w:sz w:val="16"/>
                <w:szCs w:val="16"/>
              </w:rPr>
              <w:t>0,01</w:t>
            </w:r>
          </w:p>
        </w:tc>
        <w:tc>
          <w:tcPr>
            <w:tcW w:w="514" w:type="pct"/>
            <w:tcMar>
              <w:right w:w="284" w:type="dxa"/>
            </w:tcMar>
            <w:vAlign w:val="bottom"/>
          </w:tcPr>
          <w:p w14:paraId="48F9DC66" w14:textId="0481BFBE" w:rsidR="001531F4" w:rsidRPr="00FB38E1" w:rsidRDefault="001531F4" w:rsidP="001531F4">
            <w:pPr>
              <w:jc w:val="right"/>
              <w:rPr>
                <w:sz w:val="16"/>
                <w:szCs w:val="16"/>
              </w:rPr>
            </w:pPr>
            <w:r w:rsidRPr="00FB38E1">
              <w:rPr>
                <w:rFonts w:ascii="Microsoft Sans Serif" w:hAnsi="Microsoft Sans Serif" w:cs="Microsoft Sans Serif"/>
                <w:color w:val="404040"/>
                <w:sz w:val="16"/>
                <w:szCs w:val="16"/>
              </w:rPr>
              <w:t>46,28</w:t>
            </w:r>
          </w:p>
        </w:tc>
      </w:tr>
      <w:tr w:rsidR="001531F4" w:rsidRPr="00FB38E1" w14:paraId="76B62819" w14:textId="77777777" w:rsidTr="00F21E8B">
        <w:trPr>
          <w:trHeight w:val="148"/>
        </w:trPr>
        <w:tc>
          <w:tcPr>
            <w:tcW w:w="2500" w:type="pct"/>
            <w:vAlign w:val="bottom"/>
          </w:tcPr>
          <w:p w14:paraId="0B0CE1D9" w14:textId="3E0DD5CC"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0840F037" w14:textId="67E4112C" w:rsidR="001531F4" w:rsidRPr="00FB38E1" w:rsidRDefault="001531F4" w:rsidP="001531F4">
            <w:pPr>
              <w:jc w:val="right"/>
              <w:rPr>
                <w:sz w:val="16"/>
                <w:szCs w:val="16"/>
              </w:rPr>
            </w:pPr>
            <w:r w:rsidRPr="00FB38E1">
              <w:rPr>
                <w:rFonts w:ascii="Microsoft Sans Serif" w:hAnsi="Microsoft Sans Serif" w:cs="Microsoft Sans Serif"/>
                <w:color w:val="404040"/>
                <w:sz w:val="16"/>
                <w:szCs w:val="16"/>
              </w:rPr>
              <w:t>2,65</w:t>
            </w:r>
          </w:p>
        </w:tc>
        <w:tc>
          <w:tcPr>
            <w:tcW w:w="736" w:type="pct"/>
            <w:tcMar>
              <w:right w:w="567" w:type="dxa"/>
            </w:tcMar>
            <w:vAlign w:val="bottom"/>
          </w:tcPr>
          <w:p w14:paraId="3E4C322A" w14:textId="7ADC6585" w:rsidR="001531F4" w:rsidRPr="00FB38E1" w:rsidRDefault="001531F4" w:rsidP="001531F4">
            <w:pPr>
              <w:jc w:val="right"/>
              <w:rPr>
                <w:sz w:val="16"/>
                <w:szCs w:val="16"/>
              </w:rPr>
            </w:pPr>
            <w:r w:rsidRPr="00FB38E1">
              <w:rPr>
                <w:rFonts w:ascii="Microsoft Sans Serif" w:hAnsi="Microsoft Sans Serif" w:cs="Microsoft Sans Serif"/>
                <w:color w:val="404040"/>
                <w:sz w:val="16"/>
                <w:szCs w:val="16"/>
              </w:rPr>
              <w:t>3,74</w:t>
            </w:r>
          </w:p>
        </w:tc>
        <w:tc>
          <w:tcPr>
            <w:tcW w:w="661" w:type="pct"/>
            <w:tcMar>
              <w:right w:w="567" w:type="dxa"/>
            </w:tcMar>
            <w:vAlign w:val="bottom"/>
          </w:tcPr>
          <w:p w14:paraId="0C2D5A57" w14:textId="19452E3F" w:rsidR="001531F4" w:rsidRPr="00FB38E1" w:rsidRDefault="001531F4" w:rsidP="001531F4">
            <w:pPr>
              <w:jc w:val="right"/>
              <w:rPr>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42EF705B" w14:textId="606C757B" w:rsidR="001531F4" w:rsidRPr="00FB38E1" w:rsidRDefault="001531F4" w:rsidP="001531F4">
            <w:pPr>
              <w:jc w:val="right"/>
              <w:rPr>
                <w:sz w:val="16"/>
                <w:szCs w:val="16"/>
              </w:rPr>
            </w:pPr>
            <w:r w:rsidRPr="00FB38E1">
              <w:rPr>
                <w:rFonts w:ascii="Microsoft Sans Serif" w:hAnsi="Microsoft Sans Serif" w:cs="Microsoft Sans Serif"/>
                <w:color w:val="404040"/>
                <w:sz w:val="16"/>
                <w:szCs w:val="16"/>
              </w:rPr>
              <w:t>48,73</w:t>
            </w:r>
          </w:p>
        </w:tc>
      </w:tr>
      <w:tr w:rsidR="001531F4" w:rsidRPr="00FB38E1" w14:paraId="0837A337" w14:textId="77777777" w:rsidTr="00622E75">
        <w:tc>
          <w:tcPr>
            <w:tcW w:w="2500" w:type="pct"/>
            <w:vAlign w:val="bottom"/>
          </w:tcPr>
          <w:p w14:paraId="452D4D81" w14:textId="18817CEF"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Muhtelif Borçlar</w:t>
            </w:r>
          </w:p>
        </w:tc>
        <w:tc>
          <w:tcPr>
            <w:tcW w:w="589" w:type="pct"/>
            <w:tcMar>
              <w:right w:w="397" w:type="dxa"/>
            </w:tcMar>
            <w:vAlign w:val="bottom"/>
          </w:tcPr>
          <w:p w14:paraId="7603229B" w14:textId="5B30099C"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Mar>
              <w:right w:w="567" w:type="dxa"/>
            </w:tcMar>
            <w:vAlign w:val="bottom"/>
          </w:tcPr>
          <w:p w14:paraId="71537EDB" w14:textId="23017F8F"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Mar>
              <w:right w:w="567" w:type="dxa"/>
            </w:tcMar>
            <w:vAlign w:val="bottom"/>
          </w:tcPr>
          <w:p w14:paraId="2B367CCA" w14:textId="628096ED"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645E1424" w14:textId="5DE1C2B4"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1531F4" w:rsidRPr="00FB38E1" w14:paraId="13A443C5" w14:textId="77777777" w:rsidTr="00622E75">
        <w:tc>
          <w:tcPr>
            <w:tcW w:w="2500" w:type="pct"/>
            <w:vAlign w:val="bottom"/>
          </w:tcPr>
          <w:p w14:paraId="597D2B4D" w14:textId="443CDB92"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31F31D43" w14:textId="2EBC5413"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4,81</w:t>
            </w:r>
          </w:p>
        </w:tc>
        <w:tc>
          <w:tcPr>
            <w:tcW w:w="736" w:type="pct"/>
            <w:tcMar>
              <w:right w:w="567" w:type="dxa"/>
            </w:tcMar>
            <w:vAlign w:val="bottom"/>
          </w:tcPr>
          <w:p w14:paraId="56B66995" w14:textId="2A2B3FB8"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6,23</w:t>
            </w:r>
          </w:p>
        </w:tc>
        <w:tc>
          <w:tcPr>
            <w:tcW w:w="661" w:type="pct"/>
            <w:tcMar>
              <w:right w:w="567" w:type="dxa"/>
            </w:tcMar>
            <w:vAlign w:val="bottom"/>
          </w:tcPr>
          <w:p w14:paraId="2EFD5597" w14:textId="4BE42A65"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47C9613D" w14:textId="7BE32D2D"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1531F4" w:rsidRPr="00FB38E1" w14:paraId="5C8F0735" w14:textId="77777777" w:rsidTr="00622E75">
        <w:tc>
          <w:tcPr>
            <w:tcW w:w="2500" w:type="pct"/>
            <w:vAlign w:val="bottom"/>
          </w:tcPr>
          <w:p w14:paraId="1FC8918B" w14:textId="1867D520" w:rsidR="001531F4" w:rsidRPr="00FB38E1" w:rsidRDefault="001531F4" w:rsidP="001531F4">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6C844514" w14:textId="7E36F937"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4,34</w:t>
            </w:r>
          </w:p>
        </w:tc>
        <w:tc>
          <w:tcPr>
            <w:tcW w:w="736" w:type="pct"/>
            <w:tcMar>
              <w:right w:w="567" w:type="dxa"/>
            </w:tcMar>
            <w:vAlign w:val="bottom"/>
          </w:tcPr>
          <w:p w14:paraId="295B0A53" w14:textId="0ED5A5A3"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6,36</w:t>
            </w:r>
          </w:p>
        </w:tc>
        <w:tc>
          <w:tcPr>
            <w:tcW w:w="661" w:type="pct"/>
            <w:tcMar>
              <w:right w:w="567" w:type="dxa"/>
            </w:tcMar>
            <w:vAlign w:val="bottom"/>
          </w:tcPr>
          <w:p w14:paraId="24A7E7F2" w14:textId="1A5B42DC"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587A07ED" w14:textId="74137A91" w:rsidR="001531F4" w:rsidRPr="00FB38E1" w:rsidRDefault="001531F4" w:rsidP="001531F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43,02</w:t>
            </w:r>
          </w:p>
        </w:tc>
      </w:tr>
      <w:bookmarkEnd w:id="29"/>
      <w:bookmarkEnd w:id="30"/>
    </w:tbl>
    <w:p w14:paraId="49BD6BDD" w14:textId="2D696653" w:rsidR="009F0AF5" w:rsidRPr="00FB38E1" w:rsidRDefault="009F0AF5" w:rsidP="00737A8F">
      <w:pPr>
        <w:pStyle w:val="ListParagraph"/>
        <w:spacing w:before="120" w:after="120"/>
        <w:ind w:left="0"/>
        <w:rPr>
          <w:rFonts w:ascii="Microsoft Sans Serif" w:hAnsi="Microsoft Sans Serif" w:cs="Microsoft Sans Serif"/>
          <w:b/>
          <w:color w:val="404040" w:themeColor="text1" w:themeTint="BF"/>
          <w:sz w:val="2"/>
          <w:szCs w:val="16"/>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820"/>
        <w:gridCol w:w="1135"/>
        <w:gridCol w:w="1419"/>
        <w:gridCol w:w="1274"/>
        <w:gridCol w:w="991"/>
      </w:tblGrid>
      <w:tr w:rsidR="0091372A" w:rsidRPr="00FB38E1" w14:paraId="1D6BA598" w14:textId="77777777" w:rsidTr="00087006">
        <w:tc>
          <w:tcPr>
            <w:tcW w:w="2500" w:type="pct"/>
            <w:tcBorders>
              <w:top w:val="thinThickSmallGap" w:sz="24" w:space="0" w:color="auto"/>
              <w:bottom w:val="single" w:sz="4" w:space="0" w:color="auto"/>
            </w:tcBorders>
            <w:vAlign w:val="bottom"/>
          </w:tcPr>
          <w:p w14:paraId="19774C21" w14:textId="36E2598E" w:rsidR="0091372A" w:rsidRPr="00FB38E1" w:rsidRDefault="00ED4AC6" w:rsidP="0091372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w:t>
            </w:r>
            <w:r w:rsidR="00DB3D7E" w:rsidRPr="00FB38E1">
              <w:rPr>
                <w:rFonts w:ascii="Microsoft Sans Serif" w:hAnsi="Microsoft Sans Serif" w:cs="Microsoft Sans Serif"/>
                <w:b/>
                <w:bCs/>
                <w:color w:val="000000"/>
                <w:sz w:val="16"/>
                <w:szCs w:val="16"/>
              </w:rPr>
              <w:t xml:space="preserve"> Dönem: 31 Aralık 202</w:t>
            </w:r>
            <w:r w:rsidR="00F45BEE" w:rsidRPr="00FB38E1">
              <w:rPr>
                <w:rFonts w:ascii="Microsoft Sans Serif" w:hAnsi="Microsoft Sans Serif" w:cs="Microsoft Sans Serif"/>
                <w:b/>
                <w:bCs/>
                <w:color w:val="000000"/>
                <w:sz w:val="16"/>
                <w:szCs w:val="16"/>
              </w:rPr>
              <w:t>3</w:t>
            </w:r>
          </w:p>
        </w:tc>
        <w:tc>
          <w:tcPr>
            <w:tcW w:w="589" w:type="pct"/>
            <w:tcBorders>
              <w:top w:val="thinThickSmallGap" w:sz="24" w:space="0" w:color="auto"/>
              <w:bottom w:val="single" w:sz="4" w:space="0" w:color="auto"/>
            </w:tcBorders>
            <w:vAlign w:val="bottom"/>
          </w:tcPr>
          <w:p w14:paraId="10B03B53" w14:textId="77777777" w:rsidR="0091372A" w:rsidRPr="00FB38E1" w:rsidRDefault="0091372A" w:rsidP="00087006">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Avro %</w:t>
            </w:r>
          </w:p>
        </w:tc>
        <w:tc>
          <w:tcPr>
            <w:tcW w:w="736" w:type="pct"/>
            <w:tcBorders>
              <w:top w:val="thinThickSmallGap" w:sz="24" w:space="0" w:color="auto"/>
              <w:bottom w:val="single" w:sz="4" w:space="0" w:color="auto"/>
            </w:tcBorders>
            <w:vAlign w:val="bottom"/>
          </w:tcPr>
          <w:p w14:paraId="53E08E82" w14:textId="77777777" w:rsidR="0091372A" w:rsidRPr="00FB38E1" w:rsidRDefault="0091372A" w:rsidP="00087006">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ABD Doları %</w:t>
            </w:r>
          </w:p>
        </w:tc>
        <w:tc>
          <w:tcPr>
            <w:tcW w:w="661" w:type="pct"/>
            <w:tcBorders>
              <w:top w:val="thinThickSmallGap" w:sz="24" w:space="0" w:color="auto"/>
              <w:bottom w:val="single" w:sz="4" w:space="0" w:color="auto"/>
            </w:tcBorders>
            <w:vAlign w:val="bottom"/>
          </w:tcPr>
          <w:p w14:paraId="68C7E345" w14:textId="77777777" w:rsidR="0091372A" w:rsidRPr="00FB38E1" w:rsidRDefault="0091372A" w:rsidP="00087006">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Japon Yeni %</w:t>
            </w:r>
          </w:p>
        </w:tc>
        <w:tc>
          <w:tcPr>
            <w:tcW w:w="514" w:type="pct"/>
            <w:tcBorders>
              <w:top w:val="thinThickSmallGap" w:sz="24" w:space="0" w:color="auto"/>
              <w:bottom w:val="single" w:sz="4" w:space="0" w:color="auto"/>
            </w:tcBorders>
            <w:vAlign w:val="bottom"/>
          </w:tcPr>
          <w:p w14:paraId="5766CA4C" w14:textId="77777777" w:rsidR="0091372A" w:rsidRPr="00FB38E1" w:rsidRDefault="0091372A" w:rsidP="00087006">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TL %</w:t>
            </w:r>
          </w:p>
        </w:tc>
      </w:tr>
      <w:tr w:rsidR="0091372A" w:rsidRPr="00FB38E1" w14:paraId="40D46AED" w14:textId="77777777" w:rsidTr="00087006">
        <w:tc>
          <w:tcPr>
            <w:tcW w:w="2500" w:type="pct"/>
            <w:tcBorders>
              <w:top w:val="single" w:sz="4" w:space="0" w:color="auto"/>
            </w:tcBorders>
            <w:vAlign w:val="bottom"/>
          </w:tcPr>
          <w:p w14:paraId="45BC85D8" w14:textId="77777777" w:rsidR="0091372A" w:rsidRPr="00FB38E1" w:rsidRDefault="0091372A" w:rsidP="00087006">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Varlıklar</w:t>
            </w:r>
          </w:p>
        </w:tc>
        <w:tc>
          <w:tcPr>
            <w:tcW w:w="589" w:type="pct"/>
            <w:tcBorders>
              <w:top w:val="single" w:sz="4" w:space="0" w:color="auto"/>
            </w:tcBorders>
            <w:vAlign w:val="bottom"/>
          </w:tcPr>
          <w:p w14:paraId="6C679033" w14:textId="77777777" w:rsidR="0091372A" w:rsidRPr="00FB38E1" w:rsidRDefault="0091372A" w:rsidP="00087006">
            <w:pPr>
              <w:jc w:val="center"/>
              <w:rPr>
                <w:rFonts w:ascii="Microsoft Sans Serif" w:hAnsi="Microsoft Sans Serif" w:cs="Microsoft Sans Serif"/>
                <w:b/>
                <w:bCs/>
                <w:color w:val="000000"/>
                <w:sz w:val="16"/>
                <w:szCs w:val="16"/>
              </w:rPr>
            </w:pPr>
          </w:p>
        </w:tc>
        <w:tc>
          <w:tcPr>
            <w:tcW w:w="736" w:type="pct"/>
            <w:tcBorders>
              <w:top w:val="single" w:sz="4" w:space="0" w:color="auto"/>
            </w:tcBorders>
            <w:vAlign w:val="bottom"/>
          </w:tcPr>
          <w:p w14:paraId="5C13E179" w14:textId="77777777" w:rsidR="0091372A" w:rsidRPr="00FB38E1" w:rsidRDefault="0091372A" w:rsidP="00087006">
            <w:pPr>
              <w:jc w:val="center"/>
              <w:rPr>
                <w:rFonts w:ascii="Microsoft Sans Serif" w:hAnsi="Microsoft Sans Serif" w:cs="Microsoft Sans Serif"/>
                <w:b/>
                <w:bCs/>
                <w:color w:val="000000"/>
                <w:sz w:val="16"/>
                <w:szCs w:val="16"/>
              </w:rPr>
            </w:pPr>
          </w:p>
        </w:tc>
        <w:tc>
          <w:tcPr>
            <w:tcW w:w="661" w:type="pct"/>
            <w:tcBorders>
              <w:top w:val="single" w:sz="4" w:space="0" w:color="auto"/>
            </w:tcBorders>
            <w:vAlign w:val="bottom"/>
          </w:tcPr>
          <w:p w14:paraId="01BDBCFF" w14:textId="77777777" w:rsidR="0091372A" w:rsidRPr="00FB38E1" w:rsidRDefault="0091372A" w:rsidP="00087006">
            <w:pPr>
              <w:jc w:val="center"/>
              <w:rPr>
                <w:rFonts w:ascii="Microsoft Sans Serif" w:hAnsi="Microsoft Sans Serif" w:cs="Microsoft Sans Serif"/>
                <w:b/>
                <w:bCs/>
                <w:color w:val="000000"/>
                <w:sz w:val="16"/>
                <w:szCs w:val="16"/>
              </w:rPr>
            </w:pPr>
          </w:p>
        </w:tc>
        <w:tc>
          <w:tcPr>
            <w:tcW w:w="514" w:type="pct"/>
            <w:tcBorders>
              <w:top w:val="single" w:sz="4" w:space="0" w:color="auto"/>
            </w:tcBorders>
            <w:vAlign w:val="bottom"/>
          </w:tcPr>
          <w:p w14:paraId="67083489" w14:textId="77777777" w:rsidR="0091372A" w:rsidRPr="00FB38E1" w:rsidRDefault="0091372A" w:rsidP="00087006">
            <w:pPr>
              <w:jc w:val="center"/>
              <w:rPr>
                <w:rFonts w:ascii="Microsoft Sans Serif" w:hAnsi="Microsoft Sans Serif" w:cs="Microsoft Sans Serif"/>
                <w:b/>
                <w:bCs/>
                <w:color w:val="000000"/>
                <w:sz w:val="16"/>
                <w:szCs w:val="16"/>
              </w:rPr>
            </w:pPr>
          </w:p>
        </w:tc>
      </w:tr>
      <w:tr w:rsidR="00175F21" w:rsidRPr="00FB38E1" w14:paraId="226F0792" w14:textId="77777777" w:rsidTr="00087006">
        <w:tc>
          <w:tcPr>
            <w:tcW w:w="2500" w:type="pct"/>
            <w:vAlign w:val="bottom"/>
          </w:tcPr>
          <w:p w14:paraId="3016D9F2" w14:textId="62CCB65A"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Nakit Değerler ve T.C. Merkez Bnk.</w:t>
            </w:r>
          </w:p>
        </w:tc>
        <w:tc>
          <w:tcPr>
            <w:tcW w:w="589" w:type="pct"/>
            <w:tcMar>
              <w:right w:w="397" w:type="dxa"/>
            </w:tcMar>
            <w:vAlign w:val="bottom"/>
          </w:tcPr>
          <w:p w14:paraId="77B3D634" w14:textId="6BFF9441"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4,75</w:t>
            </w:r>
          </w:p>
        </w:tc>
        <w:tc>
          <w:tcPr>
            <w:tcW w:w="736" w:type="pct"/>
            <w:tcMar>
              <w:right w:w="567" w:type="dxa"/>
            </w:tcMar>
            <w:vAlign w:val="bottom"/>
          </w:tcPr>
          <w:p w14:paraId="492D790F" w14:textId="38FEF106"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5,50</w:t>
            </w:r>
          </w:p>
        </w:tc>
        <w:tc>
          <w:tcPr>
            <w:tcW w:w="661" w:type="pct"/>
            <w:tcMar>
              <w:right w:w="567" w:type="dxa"/>
            </w:tcMar>
            <w:vAlign w:val="bottom"/>
          </w:tcPr>
          <w:p w14:paraId="708A0B23" w14:textId="3E8542EE"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7ADA43FC" w14:textId="67576E5F"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42,13</w:t>
            </w:r>
          </w:p>
        </w:tc>
      </w:tr>
      <w:tr w:rsidR="00175F21" w:rsidRPr="00FB38E1" w14:paraId="67CEC05C" w14:textId="77777777" w:rsidTr="00087006">
        <w:tc>
          <w:tcPr>
            <w:tcW w:w="2500" w:type="pct"/>
            <w:vAlign w:val="bottom"/>
          </w:tcPr>
          <w:p w14:paraId="18822A9B" w14:textId="13BBAE9C"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Bankalar </w:t>
            </w:r>
          </w:p>
        </w:tc>
        <w:tc>
          <w:tcPr>
            <w:tcW w:w="589" w:type="pct"/>
            <w:tcMar>
              <w:right w:w="397" w:type="dxa"/>
            </w:tcMar>
            <w:vAlign w:val="bottom"/>
          </w:tcPr>
          <w:p w14:paraId="54A9497C" w14:textId="40B68951"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3,75</w:t>
            </w:r>
          </w:p>
        </w:tc>
        <w:tc>
          <w:tcPr>
            <w:tcW w:w="736" w:type="pct"/>
            <w:tcMar>
              <w:right w:w="567" w:type="dxa"/>
            </w:tcMar>
            <w:vAlign w:val="bottom"/>
          </w:tcPr>
          <w:p w14:paraId="7D74F754" w14:textId="71ED5F59"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5,21</w:t>
            </w:r>
          </w:p>
        </w:tc>
        <w:tc>
          <w:tcPr>
            <w:tcW w:w="661" w:type="pct"/>
            <w:tcMar>
              <w:right w:w="567" w:type="dxa"/>
            </w:tcMar>
            <w:vAlign w:val="bottom"/>
          </w:tcPr>
          <w:p w14:paraId="0B415731" w14:textId="6CDCF269"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64BAA813" w14:textId="5F348F0A"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43,36</w:t>
            </w:r>
          </w:p>
        </w:tc>
      </w:tr>
      <w:tr w:rsidR="00175F21" w:rsidRPr="00FB38E1" w14:paraId="00F8ECD3" w14:textId="77777777" w:rsidTr="00087006">
        <w:tc>
          <w:tcPr>
            <w:tcW w:w="2500" w:type="pct"/>
            <w:vAlign w:val="bottom"/>
          </w:tcPr>
          <w:p w14:paraId="01B67300" w14:textId="42976C56"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Gerçeğe Uygun Değer Farkı Kar veya Zarara Yansıtılan Fin.Var.</w:t>
            </w:r>
          </w:p>
        </w:tc>
        <w:tc>
          <w:tcPr>
            <w:tcW w:w="589" w:type="pct"/>
            <w:tcMar>
              <w:right w:w="397" w:type="dxa"/>
            </w:tcMar>
            <w:vAlign w:val="bottom"/>
          </w:tcPr>
          <w:p w14:paraId="4F6677DA" w14:textId="51F1F224"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4,22</w:t>
            </w:r>
          </w:p>
        </w:tc>
        <w:tc>
          <w:tcPr>
            <w:tcW w:w="736" w:type="pct"/>
            <w:tcMar>
              <w:right w:w="567" w:type="dxa"/>
            </w:tcMar>
            <w:vAlign w:val="bottom"/>
          </w:tcPr>
          <w:p w14:paraId="2910D086" w14:textId="2D856FF0"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7,49</w:t>
            </w:r>
          </w:p>
        </w:tc>
        <w:tc>
          <w:tcPr>
            <w:tcW w:w="661" w:type="pct"/>
            <w:tcMar>
              <w:right w:w="567" w:type="dxa"/>
            </w:tcMar>
            <w:vAlign w:val="bottom"/>
          </w:tcPr>
          <w:p w14:paraId="051C657F" w14:textId="4995D419"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2D6E712F" w14:textId="77B2529C"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49,04</w:t>
            </w:r>
          </w:p>
        </w:tc>
      </w:tr>
      <w:tr w:rsidR="00175F21" w:rsidRPr="00FB38E1" w14:paraId="765BACB0" w14:textId="77777777" w:rsidTr="00087006">
        <w:tc>
          <w:tcPr>
            <w:tcW w:w="2500" w:type="pct"/>
            <w:vAlign w:val="bottom"/>
          </w:tcPr>
          <w:p w14:paraId="68A1F879" w14:textId="7158516D"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Para Piyasalarından Alacaklar</w:t>
            </w:r>
          </w:p>
        </w:tc>
        <w:tc>
          <w:tcPr>
            <w:tcW w:w="589" w:type="pct"/>
            <w:tcMar>
              <w:right w:w="397" w:type="dxa"/>
            </w:tcMar>
            <w:vAlign w:val="bottom"/>
          </w:tcPr>
          <w:p w14:paraId="28C61F0A" w14:textId="2B5FFA13"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Mar>
              <w:right w:w="567" w:type="dxa"/>
            </w:tcMar>
            <w:vAlign w:val="bottom"/>
          </w:tcPr>
          <w:p w14:paraId="53A182D8" w14:textId="31C0BB05"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Mar>
              <w:right w:w="567" w:type="dxa"/>
            </w:tcMar>
            <w:vAlign w:val="bottom"/>
          </w:tcPr>
          <w:p w14:paraId="76258BDB" w14:textId="5062A6E8"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19734646" w14:textId="57502464"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43,36</w:t>
            </w:r>
          </w:p>
        </w:tc>
      </w:tr>
      <w:tr w:rsidR="00175F21" w:rsidRPr="00FB38E1" w14:paraId="1E98B7EF" w14:textId="77777777" w:rsidTr="00087006">
        <w:tc>
          <w:tcPr>
            <w:tcW w:w="2500" w:type="pct"/>
            <w:vAlign w:val="bottom"/>
          </w:tcPr>
          <w:p w14:paraId="35FCE428" w14:textId="45089A1D"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Gerçeğe Uygun Değer Farkı Diğer Kapsamlı Gelire Yansıtılan FV</w:t>
            </w:r>
          </w:p>
        </w:tc>
        <w:tc>
          <w:tcPr>
            <w:tcW w:w="589" w:type="pct"/>
            <w:tcMar>
              <w:right w:w="397" w:type="dxa"/>
            </w:tcMar>
            <w:vAlign w:val="bottom"/>
          </w:tcPr>
          <w:p w14:paraId="41C9B510" w14:textId="2D48A4B4"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2,93</w:t>
            </w:r>
          </w:p>
        </w:tc>
        <w:tc>
          <w:tcPr>
            <w:tcW w:w="736" w:type="pct"/>
            <w:tcMar>
              <w:right w:w="567" w:type="dxa"/>
            </w:tcMar>
            <w:vAlign w:val="bottom"/>
          </w:tcPr>
          <w:p w14:paraId="7233FB2E" w14:textId="6C835989"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7,39</w:t>
            </w:r>
          </w:p>
        </w:tc>
        <w:tc>
          <w:tcPr>
            <w:tcW w:w="661" w:type="pct"/>
            <w:tcMar>
              <w:right w:w="567" w:type="dxa"/>
            </w:tcMar>
            <w:vAlign w:val="bottom"/>
          </w:tcPr>
          <w:p w14:paraId="4F3801C8" w14:textId="00602F51"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32A9290D" w14:textId="004B4A74"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44,34</w:t>
            </w:r>
          </w:p>
        </w:tc>
      </w:tr>
      <w:tr w:rsidR="00175F21" w:rsidRPr="00FB38E1" w14:paraId="04FE7634" w14:textId="77777777" w:rsidTr="00210AAB">
        <w:trPr>
          <w:trHeight w:val="101"/>
        </w:trPr>
        <w:tc>
          <w:tcPr>
            <w:tcW w:w="2500" w:type="pct"/>
            <w:vAlign w:val="bottom"/>
          </w:tcPr>
          <w:p w14:paraId="63D507FD" w14:textId="3AC3128D"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Verilen Krediler</w:t>
            </w:r>
          </w:p>
        </w:tc>
        <w:tc>
          <w:tcPr>
            <w:tcW w:w="589" w:type="pct"/>
            <w:tcMar>
              <w:right w:w="397" w:type="dxa"/>
            </w:tcMar>
            <w:vAlign w:val="bottom"/>
          </w:tcPr>
          <w:p w14:paraId="7EA06FA4" w14:textId="7028B009"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7,44</w:t>
            </w:r>
          </w:p>
        </w:tc>
        <w:tc>
          <w:tcPr>
            <w:tcW w:w="736" w:type="pct"/>
            <w:tcMar>
              <w:right w:w="567" w:type="dxa"/>
            </w:tcMar>
            <w:vAlign w:val="bottom"/>
          </w:tcPr>
          <w:p w14:paraId="6BE7D4A5" w14:textId="7B05D1C5"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8,22</w:t>
            </w:r>
          </w:p>
        </w:tc>
        <w:tc>
          <w:tcPr>
            <w:tcW w:w="661" w:type="pct"/>
            <w:tcMar>
              <w:right w:w="567" w:type="dxa"/>
            </w:tcMar>
            <w:vAlign w:val="bottom"/>
          </w:tcPr>
          <w:p w14:paraId="37D5B7B3" w14:textId="1CEACDDD"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6,00</w:t>
            </w:r>
          </w:p>
        </w:tc>
        <w:tc>
          <w:tcPr>
            <w:tcW w:w="514" w:type="pct"/>
            <w:tcMar>
              <w:right w:w="284" w:type="dxa"/>
            </w:tcMar>
            <w:vAlign w:val="bottom"/>
          </w:tcPr>
          <w:p w14:paraId="1CF52E50" w14:textId="494983D9"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42,03</w:t>
            </w:r>
          </w:p>
        </w:tc>
      </w:tr>
      <w:tr w:rsidR="00175F21" w:rsidRPr="00FB38E1" w14:paraId="159E0C15" w14:textId="77777777" w:rsidTr="00E60D1B">
        <w:trPr>
          <w:trHeight w:val="76"/>
        </w:trPr>
        <w:tc>
          <w:tcPr>
            <w:tcW w:w="2500" w:type="pct"/>
            <w:vAlign w:val="bottom"/>
          </w:tcPr>
          <w:p w14:paraId="310952C7" w14:textId="0B975A47"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İtfa Edilmiş Maliyeti Üzerinden Değerlenen Finansal Varlıklar</w:t>
            </w:r>
          </w:p>
        </w:tc>
        <w:tc>
          <w:tcPr>
            <w:tcW w:w="589" w:type="pct"/>
            <w:tcMar>
              <w:right w:w="397" w:type="dxa"/>
            </w:tcMar>
            <w:vAlign w:val="bottom"/>
          </w:tcPr>
          <w:p w14:paraId="4DB96460" w14:textId="42D3E6DD"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Mar>
              <w:right w:w="567" w:type="dxa"/>
            </w:tcMar>
            <w:vAlign w:val="bottom"/>
          </w:tcPr>
          <w:p w14:paraId="5C4C86AC" w14:textId="52EA3277"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5,07</w:t>
            </w:r>
          </w:p>
        </w:tc>
        <w:tc>
          <w:tcPr>
            <w:tcW w:w="661" w:type="pct"/>
            <w:tcMar>
              <w:right w:w="567" w:type="dxa"/>
            </w:tcMar>
            <w:vAlign w:val="bottom"/>
          </w:tcPr>
          <w:p w14:paraId="7ED75F7A" w14:textId="54110128"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2776DA36" w14:textId="0B25CEAB"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39,49</w:t>
            </w:r>
          </w:p>
        </w:tc>
      </w:tr>
      <w:tr w:rsidR="00175F21" w:rsidRPr="00FB38E1" w14:paraId="52CAB8F0" w14:textId="77777777" w:rsidTr="00E60D1B">
        <w:trPr>
          <w:trHeight w:val="76"/>
        </w:trPr>
        <w:tc>
          <w:tcPr>
            <w:tcW w:w="2500" w:type="pct"/>
            <w:vAlign w:val="bottom"/>
          </w:tcPr>
          <w:p w14:paraId="4EE8E1FB" w14:textId="77777777" w:rsidR="00175F21" w:rsidRPr="00FB38E1" w:rsidRDefault="00175F21" w:rsidP="00175F21">
            <w:pPr>
              <w:ind w:firstLineChars="100" w:firstLine="160"/>
              <w:rPr>
                <w:rFonts w:ascii="Microsoft Sans Serif" w:hAnsi="Microsoft Sans Serif" w:cs="Microsoft Sans Serif"/>
                <w:color w:val="404040"/>
                <w:sz w:val="16"/>
                <w:szCs w:val="16"/>
              </w:rPr>
            </w:pPr>
          </w:p>
        </w:tc>
        <w:tc>
          <w:tcPr>
            <w:tcW w:w="589" w:type="pct"/>
            <w:tcMar>
              <w:right w:w="397" w:type="dxa"/>
            </w:tcMar>
            <w:vAlign w:val="bottom"/>
          </w:tcPr>
          <w:p w14:paraId="57324BD9" w14:textId="77777777" w:rsidR="00175F21" w:rsidRPr="00FB38E1" w:rsidRDefault="00175F21" w:rsidP="00175F21">
            <w:pPr>
              <w:jc w:val="right"/>
              <w:rPr>
                <w:rFonts w:ascii="Microsoft Sans Serif" w:hAnsi="Microsoft Sans Serif" w:cs="Microsoft Sans Serif"/>
                <w:color w:val="404040"/>
                <w:sz w:val="16"/>
                <w:szCs w:val="16"/>
              </w:rPr>
            </w:pPr>
          </w:p>
        </w:tc>
        <w:tc>
          <w:tcPr>
            <w:tcW w:w="736" w:type="pct"/>
            <w:tcMar>
              <w:right w:w="567" w:type="dxa"/>
            </w:tcMar>
            <w:vAlign w:val="bottom"/>
          </w:tcPr>
          <w:p w14:paraId="3F94B2BA" w14:textId="77777777" w:rsidR="00175F21" w:rsidRPr="00FB38E1" w:rsidRDefault="00175F21" w:rsidP="00175F21">
            <w:pPr>
              <w:jc w:val="right"/>
              <w:rPr>
                <w:rFonts w:ascii="Microsoft Sans Serif" w:hAnsi="Microsoft Sans Serif" w:cs="Microsoft Sans Serif"/>
                <w:color w:val="404040"/>
                <w:sz w:val="16"/>
                <w:szCs w:val="16"/>
              </w:rPr>
            </w:pPr>
          </w:p>
        </w:tc>
        <w:tc>
          <w:tcPr>
            <w:tcW w:w="661" w:type="pct"/>
            <w:tcMar>
              <w:right w:w="567" w:type="dxa"/>
            </w:tcMar>
            <w:vAlign w:val="bottom"/>
          </w:tcPr>
          <w:p w14:paraId="46995CD1" w14:textId="77777777" w:rsidR="00175F21" w:rsidRPr="00FB38E1" w:rsidRDefault="00175F21" w:rsidP="00175F21">
            <w:pPr>
              <w:jc w:val="right"/>
              <w:rPr>
                <w:rFonts w:ascii="Microsoft Sans Serif" w:hAnsi="Microsoft Sans Serif" w:cs="Microsoft Sans Serif"/>
                <w:color w:val="404040"/>
                <w:sz w:val="16"/>
                <w:szCs w:val="16"/>
              </w:rPr>
            </w:pPr>
          </w:p>
        </w:tc>
        <w:tc>
          <w:tcPr>
            <w:tcW w:w="514" w:type="pct"/>
            <w:tcMar>
              <w:right w:w="284" w:type="dxa"/>
            </w:tcMar>
            <w:vAlign w:val="bottom"/>
          </w:tcPr>
          <w:p w14:paraId="048A9033" w14:textId="77777777" w:rsidR="00175F21" w:rsidRPr="00FB38E1" w:rsidRDefault="00175F21" w:rsidP="00175F21">
            <w:pPr>
              <w:jc w:val="right"/>
              <w:rPr>
                <w:rFonts w:ascii="Microsoft Sans Serif" w:hAnsi="Microsoft Sans Serif" w:cs="Microsoft Sans Serif"/>
                <w:color w:val="404040"/>
                <w:sz w:val="16"/>
                <w:szCs w:val="16"/>
              </w:rPr>
            </w:pPr>
          </w:p>
        </w:tc>
      </w:tr>
      <w:tr w:rsidR="00175F21" w:rsidRPr="00FB38E1" w14:paraId="6EDEAEC2" w14:textId="77777777" w:rsidTr="00087006">
        <w:trPr>
          <w:trHeight w:val="53"/>
        </w:trPr>
        <w:tc>
          <w:tcPr>
            <w:tcW w:w="2500" w:type="pct"/>
            <w:vAlign w:val="bottom"/>
          </w:tcPr>
          <w:p w14:paraId="6B423986" w14:textId="1DD3B20A" w:rsidR="00175F21" w:rsidRPr="00FB38E1" w:rsidRDefault="00175F21" w:rsidP="00175F21">
            <w:pPr>
              <w:rPr>
                <w:rFonts w:ascii="Microsoft Sans Serif" w:hAnsi="Microsoft Sans Serif" w:cs="Microsoft Sans Serif"/>
                <w:color w:val="000000"/>
                <w:sz w:val="8"/>
                <w:szCs w:val="8"/>
              </w:rPr>
            </w:pPr>
            <w:r w:rsidRPr="00FB38E1">
              <w:rPr>
                <w:rFonts w:ascii="Microsoft Sans Serif" w:hAnsi="Microsoft Sans Serif" w:cs="Microsoft Sans Serif"/>
                <w:b/>
                <w:bCs/>
                <w:color w:val="000000"/>
                <w:sz w:val="16"/>
                <w:szCs w:val="16"/>
              </w:rPr>
              <w:t>Yükümlülükler</w:t>
            </w:r>
          </w:p>
        </w:tc>
        <w:tc>
          <w:tcPr>
            <w:tcW w:w="589" w:type="pct"/>
            <w:tcMar>
              <w:right w:w="397" w:type="dxa"/>
            </w:tcMar>
            <w:vAlign w:val="bottom"/>
          </w:tcPr>
          <w:p w14:paraId="66A5B6D9" w14:textId="77777777" w:rsidR="00175F21" w:rsidRPr="00FB38E1" w:rsidRDefault="00175F21" w:rsidP="00175F21">
            <w:pPr>
              <w:jc w:val="right"/>
              <w:rPr>
                <w:rFonts w:ascii="Microsoft Sans Serif" w:hAnsi="Microsoft Sans Serif" w:cs="Microsoft Sans Serif"/>
                <w:color w:val="404040"/>
                <w:sz w:val="8"/>
                <w:szCs w:val="8"/>
              </w:rPr>
            </w:pPr>
          </w:p>
        </w:tc>
        <w:tc>
          <w:tcPr>
            <w:tcW w:w="736" w:type="pct"/>
            <w:tcMar>
              <w:right w:w="567" w:type="dxa"/>
            </w:tcMar>
            <w:vAlign w:val="bottom"/>
          </w:tcPr>
          <w:p w14:paraId="7E6495B2" w14:textId="77777777" w:rsidR="00175F21" w:rsidRPr="00FB38E1" w:rsidRDefault="00175F21" w:rsidP="00175F21">
            <w:pPr>
              <w:jc w:val="right"/>
              <w:rPr>
                <w:sz w:val="8"/>
                <w:szCs w:val="8"/>
              </w:rPr>
            </w:pPr>
          </w:p>
        </w:tc>
        <w:tc>
          <w:tcPr>
            <w:tcW w:w="661" w:type="pct"/>
            <w:tcMar>
              <w:right w:w="567" w:type="dxa"/>
            </w:tcMar>
            <w:vAlign w:val="bottom"/>
          </w:tcPr>
          <w:p w14:paraId="73CFB8F5" w14:textId="77777777" w:rsidR="00175F21" w:rsidRPr="00FB38E1" w:rsidRDefault="00175F21" w:rsidP="00175F21">
            <w:pPr>
              <w:jc w:val="right"/>
              <w:rPr>
                <w:sz w:val="8"/>
                <w:szCs w:val="8"/>
              </w:rPr>
            </w:pPr>
          </w:p>
        </w:tc>
        <w:tc>
          <w:tcPr>
            <w:tcW w:w="514" w:type="pct"/>
            <w:tcMar>
              <w:right w:w="284" w:type="dxa"/>
            </w:tcMar>
            <w:vAlign w:val="bottom"/>
          </w:tcPr>
          <w:p w14:paraId="02F79368" w14:textId="77777777" w:rsidR="00175F21" w:rsidRPr="00FB38E1" w:rsidRDefault="00175F21" w:rsidP="00175F21">
            <w:pPr>
              <w:jc w:val="right"/>
              <w:rPr>
                <w:sz w:val="8"/>
                <w:szCs w:val="8"/>
              </w:rPr>
            </w:pPr>
          </w:p>
        </w:tc>
      </w:tr>
      <w:tr w:rsidR="00175F21" w:rsidRPr="00FB38E1" w14:paraId="6688B358" w14:textId="77777777" w:rsidTr="00087006">
        <w:trPr>
          <w:trHeight w:val="148"/>
        </w:trPr>
        <w:tc>
          <w:tcPr>
            <w:tcW w:w="2500" w:type="pct"/>
            <w:vAlign w:val="bottom"/>
          </w:tcPr>
          <w:p w14:paraId="6FE3283C" w14:textId="0EE5076A" w:rsidR="00175F21" w:rsidRPr="00FB38E1" w:rsidRDefault="00175F21" w:rsidP="00D2205D">
            <w:pPr>
              <w:ind w:firstLineChars="100" w:firstLine="160"/>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Bankalar Mevduatı</w:t>
            </w:r>
          </w:p>
        </w:tc>
        <w:tc>
          <w:tcPr>
            <w:tcW w:w="589" w:type="pct"/>
            <w:tcMar>
              <w:right w:w="397" w:type="dxa"/>
            </w:tcMar>
            <w:vAlign w:val="bottom"/>
          </w:tcPr>
          <w:p w14:paraId="788B7BF5" w14:textId="37AAE543" w:rsidR="00175F21" w:rsidRPr="00FB38E1" w:rsidRDefault="00175F21" w:rsidP="00175F21">
            <w:pPr>
              <w:jc w:val="right"/>
              <w:rPr>
                <w:sz w:val="16"/>
                <w:szCs w:val="16"/>
              </w:rPr>
            </w:pPr>
            <w:r w:rsidRPr="00FB38E1">
              <w:rPr>
                <w:rFonts w:ascii="Microsoft Sans Serif" w:hAnsi="Microsoft Sans Serif" w:cs="Microsoft Sans Serif"/>
                <w:color w:val="404040"/>
                <w:sz w:val="16"/>
                <w:szCs w:val="16"/>
              </w:rPr>
              <w:t>5,26</w:t>
            </w:r>
          </w:p>
        </w:tc>
        <w:tc>
          <w:tcPr>
            <w:tcW w:w="736" w:type="pct"/>
            <w:tcMar>
              <w:right w:w="567" w:type="dxa"/>
            </w:tcMar>
            <w:vAlign w:val="bottom"/>
          </w:tcPr>
          <w:p w14:paraId="1A1F5114" w14:textId="11B80BB1" w:rsidR="00175F21" w:rsidRPr="00FB38E1" w:rsidRDefault="00175F21" w:rsidP="00175F21">
            <w:pPr>
              <w:jc w:val="right"/>
              <w:rPr>
                <w:sz w:val="16"/>
                <w:szCs w:val="16"/>
              </w:rPr>
            </w:pPr>
            <w:r w:rsidRPr="00FB38E1">
              <w:rPr>
                <w:rFonts w:ascii="Microsoft Sans Serif" w:hAnsi="Microsoft Sans Serif" w:cs="Microsoft Sans Serif"/>
                <w:color w:val="404040"/>
                <w:sz w:val="16"/>
                <w:szCs w:val="16"/>
              </w:rPr>
              <w:t>6,47</w:t>
            </w:r>
          </w:p>
        </w:tc>
        <w:tc>
          <w:tcPr>
            <w:tcW w:w="661" w:type="pct"/>
            <w:tcMar>
              <w:right w:w="567" w:type="dxa"/>
            </w:tcMar>
            <w:vAlign w:val="bottom"/>
          </w:tcPr>
          <w:p w14:paraId="3E763579" w14:textId="48A865AA" w:rsidR="00175F21" w:rsidRPr="00FB38E1" w:rsidRDefault="00175F21" w:rsidP="00175F21">
            <w:pPr>
              <w:jc w:val="right"/>
              <w:rPr>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57EE2831" w14:textId="626C5047" w:rsidR="00175F21" w:rsidRPr="00FB38E1" w:rsidRDefault="00175F21" w:rsidP="00175F21">
            <w:pPr>
              <w:jc w:val="right"/>
              <w:rPr>
                <w:sz w:val="16"/>
                <w:szCs w:val="16"/>
              </w:rPr>
            </w:pPr>
            <w:r w:rsidRPr="00FB38E1">
              <w:rPr>
                <w:rFonts w:ascii="Microsoft Sans Serif" w:hAnsi="Microsoft Sans Serif" w:cs="Microsoft Sans Serif"/>
                <w:color w:val="404040"/>
                <w:sz w:val="16"/>
                <w:szCs w:val="16"/>
              </w:rPr>
              <w:t>40,55</w:t>
            </w:r>
          </w:p>
        </w:tc>
      </w:tr>
      <w:tr w:rsidR="00175F21" w:rsidRPr="00FB38E1" w14:paraId="05675C4A" w14:textId="77777777" w:rsidTr="00087006">
        <w:tc>
          <w:tcPr>
            <w:tcW w:w="2500" w:type="pct"/>
            <w:vAlign w:val="bottom"/>
          </w:tcPr>
          <w:p w14:paraId="2555251E" w14:textId="10C5538D"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Mevduat</w:t>
            </w:r>
          </w:p>
        </w:tc>
        <w:tc>
          <w:tcPr>
            <w:tcW w:w="589" w:type="pct"/>
            <w:tcMar>
              <w:right w:w="397" w:type="dxa"/>
            </w:tcMar>
            <w:vAlign w:val="bottom"/>
          </w:tcPr>
          <w:p w14:paraId="4E7DA3D3" w14:textId="6052EF1F"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1,38</w:t>
            </w:r>
          </w:p>
        </w:tc>
        <w:tc>
          <w:tcPr>
            <w:tcW w:w="736" w:type="pct"/>
            <w:tcMar>
              <w:right w:w="567" w:type="dxa"/>
            </w:tcMar>
            <w:vAlign w:val="bottom"/>
          </w:tcPr>
          <w:p w14:paraId="4502AAC5" w14:textId="3837E5B3"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2,65</w:t>
            </w:r>
          </w:p>
        </w:tc>
        <w:tc>
          <w:tcPr>
            <w:tcW w:w="661" w:type="pct"/>
            <w:tcMar>
              <w:right w:w="567" w:type="dxa"/>
            </w:tcMar>
            <w:vAlign w:val="bottom"/>
          </w:tcPr>
          <w:p w14:paraId="125E2E99" w14:textId="204F9119"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0,01</w:t>
            </w:r>
          </w:p>
        </w:tc>
        <w:tc>
          <w:tcPr>
            <w:tcW w:w="514" w:type="pct"/>
            <w:tcMar>
              <w:right w:w="284" w:type="dxa"/>
            </w:tcMar>
            <w:vAlign w:val="bottom"/>
          </w:tcPr>
          <w:p w14:paraId="422E4DB1" w14:textId="2D8A773E"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35,79</w:t>
            </w:r>
          </w:p>
        </w:tc>
      </w:tr>
      <w:tr w:rsidR="00175F21" w:rsidRPr="00FB38E1" w14:paraId="5C73833F" w14:textId="77777777" w:rsidTr="00087006">
        <w:tc>
          <w:tcPr>
            <w:tcW w:w="2500" w:type="pct"/>
            <w:vAlign w:val="bottom"/>
          </w:tcPr>
          <w:p w14:paraId="694C4651" w14:textId="526D67FC"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Para Piyasalarına Borçlar</w:t>
            </w:r>
          </w:p>
        </w:tc>
        <w:tc>
          <w:tcPr>
            <w:tcW w:w="589" w:type="pct"/>
            <w:tcMar>
              <w:right w:w="397" w:type="dxa"/>
            </w:tcMar>
            <w:vAlign w:val="bottom"/>
          </w:tcPr>
          <w:p w14:paraId="2E327D8C" w14:textId="7D64233C"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2,50</w:t>
            </w:r>
          </w:p>
        </w:tc>
        <w:tc>
          <w:tcPr>
            <w:tcW w:w="736" w:type="pct"/>
            <w:tcMar>
              <w:right w:w="567" w:type="dxa"/>
            </w:tcMar>
            <w:vAlign w:val="bottom"/>
          </w:tcPr>
          <w:p w14:paraId="620741D1" w14:textId="31A5303C"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7,46</w:t>
            </w:r>
          </w:p>
        </w:tc>
        <w:tc>
          <w:tcPr>
            <w:tcW w:w="661" w:type="pct"/>
            <w:tcMar>
              <w:right w:w="567" w:type="dxa"/>
            </w:tcMar>
            <w:vAlign w:val="bottom"/>
          </w:tcPr>
          <w:p w14:paraId="4B74E696" w14:textId="6D2FC042"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5EBEE567" w14:textId="1104C6B5"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43,57</w:t>
            </w:r>
          </w:p>
        </w:tc>
      </w:tr>
      <w:tr w:rsidR="00175F21" w:rsidRPr="00FB38E1" w14:paraId="5473AB3A" w14:textId="77777777" w:rsidTr="00087006">
        <w:tc>
          <w:tcPr>
            <w:tcW w:w="2500" w:type="pct"/>
            <w:vAlign w:val="bottom"/>
          </w:tcPr>
          <w:p w14:paraId="567EF821" w14:textId="08F65033"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Muhtelif Borçlar</w:t>
            </w:r>
          </w:p>
        </w:tc>
        <w:tc>
          <w:tcPr>
            <w:tcW w:w="589" w:type="pct"/>
            <w:tcMar>
              <w:right w:w="397" w:type="dxa"/>
            </w:tcMar>
            <w:vAlign w:val="bottom"/>
          </w:tcPr>
          <w:p w14:paraId="6001E792" w14:textId="01C0C419"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Mar>
              <w:right w:w="567" w:type="dxa"/>
            </w:tcMar>
            <w:vAlign w:val="bottom"/>
          </w:tcPr>
          <w:p w14:paraId="441DC739" w14:textId="4C945EF4"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Mar>
              <w:right w:w="567" w:type="dxa"/>
            </w:tcMar>
            <w:vAlign w:val="bottom"/>
          </w:tcPr>
          <w:p w14:paraId="4570A0DC" w14:textId="1D98B186"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0CD7F8E2" w14:textId="59FC340C"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175F21" w:rsidRPr="00FB38E1" w14:paraId="74261530" w14:textId="77777777" w:rsidTr="00087006">
        <w:tc>
          <w:tcPr>
            <w:tcW w:w="2500" w:type="pct"/>
            <w:vAlign w:val="bottom"/>
          </w:tcPr>
          <w:p w14:paraId="747CA197" w14:textId="0899E7EF"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İhraç Edilen Menkul Değerler</w:t>
            </w:r>
          </w:p>
        </w:tc>
        <w:tc>
          <w:tcPr>
            <w:tcW w:w="589" w:type="pct"/>
            <w:tcMar>
              <w:right w:w="397" w:type="dxa"/>
            </w:tcMar>
            <w:vAlign w:val="bottom"/>
          </w:tcPr>
          <w:p w14:paraId="6C500FAB" w14:textId="437900EC"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Mar>
              <w:right w:w="567" w:type="dxa"/>
            </w:tcMar>
            <w:vAlign w:val="bottom"/>
          </w:tcPr>
          <w:p w14:paraId="56761007" w14:textId="70D22B17"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8,38</w:t>
            </w:r>
          </w:p>
        </w:tc>
        <w:tc>
          <w:tcPr>
            <w:tcW w:w="661" w:type="pct"/>
            <w:tcMar>
              <w:right w:w="567" w:type="dxa"/>
            </w:tcMar>
            <w:vAlign w:val="bottom"/>
          </w:tcPr>
          <w:p w14:paraId="0A51AE98" w14:textId="356B6574"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7AA3ACB8" w14:textId="08B640A4"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175F21" w:rsidRPr="00FB38E1" w14:paraId="0FF93790" w14:textId="77777777" w:rsidTr="00087006">
        <w:tc>
          <w:tcPr>
            <w:tcW w:w="2500" w:type="pct"/>
            <w:vAlign w:val="bottom"/>
          </w:tcPr>
          <w:p w14:paraId="7407C680" w14:textId="6E7107E1" w:rsidR="00175F21" w:rsidRPr="00FB38E1" w:rsidRDefault="00175F21" w:rsidP="00175F2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Mali Kuruluşlardan Sağlanan Fonlar</w:t>
            </w:r>
          </w:p>
        </w:tc>
        <w:tc>
          <w:tcPr>
            <w:tcW w:w="589" w:type="pct"/>
            <w:tcMar>
              <w:right w:w="397" w:type="dxa"/>
            </w:tcMar>
            <w:vAlign w:val="bottom"/>
          </w:tcPr>
          <w:p w14:paraId="69570446" w14:textId="27619465"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6,08</w:t>
            </w:r>
          </w:p>
        </w:tc>
        <w:tc>
          <w:tcPr>
            <w:tcW w:w="736" w:type="pct"/>
            <w:tcMar>
              <w:right w:w="567" w:type="dxa"/>
            </w:tcMar>
            <w:vAlign w:val="bottom"/>
          </w:tcPr>
          <w:p w14:paraId="4A4BE14C" w14:textId="7967A32F"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8,43</w:t>
            </w:r>
          </w:p>
        </w:tc>
        <w:tc>
          <w:tcPr>
            <w:tcW w:w="661" w:type="pct"/>
            <w:tcMar>
              <w:right w:w="567" w:type="dxa"/>
            </w:tcMar>
            <w:vAlign w:val="bottom"/>
          </w:tcPr>
          <w:p w14:paraId="5C0F01B7" w14:textId="5D6CB2E7"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Mar>
              <w:right w:w="284" w:type="dxa"/>
            </w:tcMar>
            <w:vAlign w:val="bottom"/>
          </w:tcPr>
          <w:p w14:paraId="46C1B2E8" w14:textId="6E9D439A" w:rsidR="00175F21" w:rsidRPr="00FB38E1" w:rsidRDefault="00175F21" w:rsidP="00175F2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34,92</w:t>
            </w:r>
          </w:p>
        </w:tc>
      </w:tr>
    </w:tbl>
    <w:p w14:paraId="01AD1ECF" w14:textId="620B74BC" w:rsidR="000E7273" w:rsidRPr="00FB38E1" w:rsidRDefault="000E7273" w:rsidP="000E7273">
      <w:pPr>
        <w:pStyle w:val="ListParagraph"/>
        <w:spacing w:before="240" w:after="120" w:line="240" w:lineRule="exact"/>
        <w:ind w:left="0"/>
        <w:rPr>
          <w:rFonts w:ascii="Microsoft Sans Serif" w:hAnsi="Microsoft Sans Serif" w:cs="Microsoft Sans Serif"/>
          <w:b/>
          <w:color w:val="404040" w:themeColor="text1" w:themeTint="BF"/>
          <w:sz w:val="20"/>
          <w:szCs w:val="20"/>
        </w:rPr>
      </w:pPr>
    </w:p>
    <w:p w14:paraId="10649A01" w14:textId="77777777" w:rsidR="004C4799" w:rsidRPr="00FB38E1" w:rsidRDefault="004C4799" w:rsidP="004C4799">
      <w:pPr>
        <w:pStyle w:val="BASLIK2"/>
        <w:widowControl/>
        <w:numPr>
          <w:ilvl w:val="0"/>
          <w:numId w:val="14"/>
        </w:numPr>
        <w:spacing w:line="240" w:lineRule="exact"/>
        <w:ind w:left="0" w:hanging="567"/>
        <w:rPr>
          <w:rFonts w:ascii="Microsoft Sans Serif" w:hAnsi="Microsoft Sans Serif" w:cs="Microsoft Sans Serif"/>
          <w:sz w:val="20"/>
          <w:szCs w:val="20"/>
        </w:rPr>
      </w:pPr>
      <w:r w:rsidRPr="00FB38E1">
        <w:rPr>
          <w:rFonts w:ascii="Microsoft Sans Serif" w:hAnsi="Microsoft Sans Serif" w:cs="Microsoft Sans Serif"/>
          <w:sz w:val="20"/>
          <w:szCs w:val="20"/>
        </w:rPr>
        <w:t xml:space="preserve">Bankacılık hesaplarından kaynaklanan faiz oranı riski </w:t>
      </w:r>
    </w:p>
    <w:p w14:paraId="7E74D1D4" w14:textId="77777777" w:rsidR="004C4799" w:rsidRPr="00FB38E1" w:rsidRDefault="004C4799" w:rsidP="004C4799">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Bankacılık hesaplarından kaynaklanan faiz oranı riski “Faiz Oranı Riski Yönetimi Politikası”nda belirtilen esaslara göre yönetilmektedir. </w:t>
      </w:r>
    </w:p>
    <w:p w14:paraId="62A2BE6E" w14:textId="77777777" w:rsidR="004C4799" w:rsidRPr="00FB38E1" w:rsidRDefault="004C4799" w:rsidP="004C4799">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Banka tarafından piyasadaki muhtemel olumsuz gelişmelere yönelik olarak duyarlılık limitleri belirlenmiştir. Takip edilen metrikler arasında; bilançonun net bugünkü değerinin  ve net faiz gelirinin belirli faiz değişimlerine duyarlılığı ve faiz oranı gap analizleri bulunmaktadır. Söz konusu ölçütler haftalık APKO’larda takip edilmenin yanında, risk iştahı beyanına konu limitler nedeniyle, üst yönetim ve Yönetim Kurulu’na da sunulmaktadır. </w:t>
      </w:r>
    </w:p>
    <w:p w14:paraId="18706B17" w14:textId="77777777" w:rsidR="004C4799" w:rsidRPr="00FB38E1" w:rsidRDefault="004C4799" w:rsidP="004C4799">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Bankacılık hesaplarından kaynaklanan faiz oranı riski hesaplaması ve raporlaması 23 Ağustos 2011 tarih ve 28034 sayılı Resmi Gazete’de yayımlanan “Bankacılık Hesaplarından Kaynaklanan Faiz Oranı Riskinin Standart Şok Yöntemiyle Ölçülmesine ve Değerlendirilmesine İlişkin Yönetmelik” uyarınca Banka’nın solo bazda doğan ekonomik değer farkı aşağıdaki gibidir. İlgili rasyo, bankanın takip ettiği diğer faiz oranı metrikleri gibi ayda bir olarak hazırlanmaktadır. Bunun yanında, haftalık tahmin çalışmaları ile yakın takibi sağlanmakta ve APKO’ya sunulmaktadır.</w:t>
      </w:r>
    </w:p>
    <w:p w14:paraId="2BC8FEC3" w14:textId="77777777" w:rsidR="004C4799" w:rsidRPr="00FB38E1" w:rsidRDefault="004C4799" w:rsidP="004C4799">
      <w:pPr>
        <w:pStyle w:val="BASLIK2"/>
        <w:widowControl/>
        <w:spacing w:before="120" w:line="220" w:lineRule="exact"/>
        <w:ind w:firstLine="0"/>
        <w:rPr>
          <w:rFonts w:ascii="Microsoft Sans Serif" w:eastAsiaTheme="minorHAnsi" w:hAnsi="Microsoft Sans Serif" w:cs="Microsoft Sans Serif"/>
          <w:b w:val="0"/>
          <w:bCs w:val="0"/>
          <w:color w:val="404040" w:themeColor="text1" w:themeTint="BF"/>
          <w:sz w:val="20"/>
          <w:szCs w:val="20"/>
        </w:rPr>
      </w:pPr>
      <w:r w:rsidRPr="00FB38E1">
        <w:rPr>
          <w:rFonts w:ascii="Microsoft Sans Serif" w:eastAsiaTheme="minorHAnsi" w:hAnsi="Microsoft Sans Serif" w:cs="Microsoft Sans Serif"/>
          <w:b w:val="0"/>
          <w:bCs w:val="0"/>
          <w:color w:val="404040" w:themeColor="text1" w:themeTint="BF"/>
          <w:sz w:val="20"/>
          <w:szCs w:val="20"/>
        </w:rPr>
        <w:t>Faiz riskinin olumsuz etkilerinden korunma amaçlı 10 yıl vadeye kadar işlem yapma imkanı bulunan çapraz kur swapları veya faiz swapları kullanılmaktadır.</w:t>
      </w:r>
    </w:p>
    <w:p w14:paraId="58E25B86" w14:textId="23F66051" w:rsidR="004C4799" w:rsidRPr="00FB38E1" w:rsidRDefault="004C4799" w:rsidP="004C4799">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rPr>
      </w:pPr>
      <w:r w:rsidRPr="00FB38E1">
        <w:rPr>
          <w:rFonts w:ascii="Microsoft Sans Serif" w:hAnsi="Microsoft Sans Serif" w:cs="Microsoft Sans Serif"/>
          <w:b w:val="0"/>
          <w:bCs w:val="0"/>
          <w:color w:val="404040" w:themeColor="text1" w:themeTint="BF"/>
          <w:sz w:val="20"/>
          <w:szCs w:val="20"/>
        </w:rPr>
        <w:t>Bankanın farklı para birimlerine göre bölünmüş olarak, “Bankacılık Hesaplarından Kaynaklanan Faiz Oranı Riskinin Standart Şok Yöntemiyle Ölçülmesine ve Değerlendirilmesine İlişkin Yönetmelik” uyarınca faiz oranlarındaki dalgalanmalardan doğan ekonomik değer farkları 31 Aralık 2024 tarihi itibarıyla aşağıdaki tabloda belirtilmiştir:</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3"/>
        <w:gridCol w:w="2693"/>
        <w:gridCol w:w="2835"/>
        <w:gridCol w:w="2044"/>
        <w:gridCol w:w="1840"/>
      </w:tblGrid>
      <w:tr w:rsidR="004C4799" w:rsidRPr="00FB38E1" w14:paraId="5DB8D45B" w14:textId="77777777" w:rsidTr="00836EF2">
        <w:tc>
          <w:tcPr>
            <w:tcW w:w="146" w:type="pct"/>
            <w:tcBorders>
              <w:top w:val="thinThickSmallGap" w:sz="24" w:space="0" w:color="auto"/>
              <w:bottom w:val="single" w:sz="4" w:space="0" w:color="auto"/>
            </w:tcBorders>
          </w:tcPr>
          <w:p w14:paraId="7EDE17F7" w14:textId="77777777" w:rsidR="004C4799" w:rsidRPr="00FB38E1" w:rsidRDefault="004C4799" w:rsidP="00836EF2">
            <w:pPr>
              <w:rPr>
                <w:rFonts w:ascii="Microsoft Sans Serif" w:hAnsi="Microsoft Sans Serif" w:cs="Microsoft Sans Serif"/>
                <w:b/>
                <w:color w:val="000000"/>
                <w:sz w:val="16"/>
                <w:szCs w:val="16"/>
              </w:rPr>
            </w:pPr>
          </w:p>
        </w:tc>
        <w:tc>
          <w:tcPr>
            <w:tcW w:w="1389" w:type="pct"/>
            <w:tcBorders>
              <w:top w:val="thinThickSmallGap" w:sz="24" w:space="0" w:color="auto"/>
              <w:bottom w:val="single" w:sz="4" w:space="0" w:color="auto"/>
            </w:tcBorders>
            <w:vAlign w:val="bottom"/>
          </w:tcPr>
          <w:p w14:paraId="294A5B57" w14:textId="3BC6FBFE" w:rsidR="004C4799" w:rsidRPr="00FB38E1" w:rsidRDefault="004C4799" w:rsidP="00836EF2">
            <w:pP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Cari Dönem: 31 Aralık 2024</w:t>
            </w:r>
          </w:p>
          <w:p w14:paraId="249ECEC8" w14:textId="77777777" w:rsidR="004C4799" w:rsidRPr="00FB38E1" w:rsidRDefault="004C4799" w:rsidP="00836EF2">
            <w:pP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Para Birimi</w:t>
            </w:r>
          </w:p>
        </w:tc>
        <w:tc>
          <w:tcPr>
            <w:tcW w:w="1462" w:type="pct"/>
            <w:tcBorders>
              <w:top w:val="thinThickSmallGap" w:sz="24" w:space="0" w:color="auto"/>
              <w:bottom w:val="single" w:sz="4" w:space="0" w:color="auto"/>
            </w:tcBorders>
          </w:tcPr>
          <w:p w14:paraId="7B6F8EA4"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Uygulanan Sok</w:t>
            </w:r>
          </w:p>
          <w:p w14:paraId="01C02E6E"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 baz puan)</w:t>
            </w:r>
          </w:p>
        </w:tc>
        <w:tc>
          <w:tcPr>
            <w:tcW w:w="1054" w:type="pct"/>
            <w:tcBorders>
              <w:top w:val="thinThickSmallGap" w:sz="24" w:space="0" w:color="auto"/>
              <w:bottom w:val="single" w:sz="4" w:space="0" w:color="auto"/>
            </w:tcBorders>
            <w:vAlign w:val="bottom"/>
          </w:tcPr>
          <w:p w14:paraId="44C1E763"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Kazançlar/Kayıplar</w:t>
            </w:r>
          </w:p>
        </w:tc>
        <w:tc>
          <w:tcPr>
            <w:tcW w:w="949" w:type="pct"/>
            <w:tcBorders>
              <w:top w:val="thinThickSmallGap" w:sz="24" w:space="0" w:color="auto"/>
              <w:bottom w:val="single" w:sz="4" w:space="0" w:color="auto"/>
            </w:tcBorders>
            <w:vAlign w:val="bottom"/>
          </w:tcPr>
          <w:p w14:paraId="5DD687FF"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Kazançlar/Özkaynaklar</w:t>
            </w:r>
          </w:p>
          <w:p w14:paraId="0A2C39FA"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-Kayıplar/Özkaynaklar</w:t>
            </w:r>
          </w:p>
        </w:tc>
      </w:tr>
      <w:tr w:rsidR="00052250" w:rsidRPr="00FB38E1" w14:paraId="68F5001D" w14:textId="77777777" w:rsidTr="00836EF2">
        <w:tc>
          <w:tcPr>
            <w:tcW w:w="146" w:type="pct"/>
            <w:tcBorders>
              <w:top w:val="single" w:sz="4" w:space="0" w:color="auto"/>
            </w:tcBorders>
          </w:tcPr>
          <w:p w14:paraId="16B78B2A"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w:t>
            </w:r>
          </w:p>
        </w:tc>
        <w:tc>
          <w:tcPr>
            <w:tcW w:w="1389" w:type="pct"/>
            <w:tcBorders>
              <w:top w:val="single" w:sz="4" w:space="0" w:color="auto"/>
            </w:tcBorders>
            <w:vAlign w:val="center"/>
          </w:tcPr>
          <w:p w14:paraId="1A629783"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TL</w:t>
            </w:r>
          </w:p>
        </w:tc>
        <w:tc>
          <w:tcPr>
            <w:tcW w:w="1462" w:type="pct"/>
            <w:tcBorders>
              <w:top w:val="nil"/>
            </w:tcBorders>
            <w:vAlign w:val="center"/>
          </w:tcPr>
          <w:p w14:paraId="535B3A7B" w14:textId="77777777" w:rsidR="00052250" w:rsidRPr="00FB38E1" w:rsidRDefault="00052250" w:rsidP="0005225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500 baz puan</w:t>
            </w:r>
          </w:p>
        </w:tc>
        <w:tc>
          <w:tcPr>
            <w:tcW w:w="1054" w:type="pct"/>
            <w:tcBorders>
              <w:top w:val="nil"/>
              <w:left w:val="nil"/>
              <w:bottom w:val="nil"/>
              <w:right w:val="nil"/>
            </w:tcBorders>
            <w:shd w:val="clear" w:color="auto" w:fill="auto"/>
            <w:vAlign w:val="center"/>
          </w:tcPr>
          <w:p w14:paraId="6DDF5BDE" w14:textId="53C8F518"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(4.235.105)</w:t>
            </w:r>
          </w:p>
        </w:tc>
        <w:tc>
          <w:tcPr>
            <w:tcW w:w="949" w:type="pct"/>
            <w:tcBorders>
              <w:top w:val="single" w:sz="4" w:space="0" w:color="auto"/>
            </w:tcBorders>
            <w:vAlign w:val="center"/>
          </w:tcPr>
          <w:p w14:paraId="2CD45606" w14:textId="54182AF2"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(%2,57)</w:t>
            </w:r>
          </w:p>
        </w:tc>
      </w:tr>
      <w:tr w:rsidR="00052250" w:rsidRPr="00FB38E1" w14:paraId="6501EB0F" w14:textId="77777777" w:rsidTr="00836EF2">
        <w:tc>
          <w:tcPr>
            <w:tcW w:w="146" w:type="pct"/>
          </w:tcPr>
          <w:p w14:paraId="1A1253DF"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p>
        </w:tc>
        <w:tc>
          <w:tcPr>
            <w:tcW w:w="1389" w:type="pct"/>
            <w:vAlign w:val="center"/>
          </w:tcPr>
          <w:p w14:paraId="4C2844BD"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TL</w:t>
            </w:r>
          </w:p>
        </w:tc>
        <w:tc>
          <w:tcPr>
            <w:tcW w:w="1462" w:type="pct"/>
            <w:vAlign w:val="center"/>
          </w:tcPr>
          <w:p w14:paraId="3FE1DF60" w14:textId="77777777" w:rsidR="00052250" w:rsidRPr="00FB38E1" w:rsidRDefault="00052250" w:rsidP="0005225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400 baz puan</w:t>
            </w:r>
          </w:p>
        </w:tc>
        <w:tc>
          <w:tcPr>
            <w:tcW w:w="1054" w:type="pct"/>
            <w:tcBorders>
              <w:top w:val="nil"/>
              <w:left w:val="nil"/>
              <w:bottom w:val="nil"/>
              <w:right w:val="nil"/>
            </w:tcBorders>
            <w:shd w:val="clear" w:color="auto" w:fill="auto"/>
            <w:vAlign w:val="center"/>
          </w:tcPr>
          <w:p w14:paraId="5743421C" w14:textId="7A4A40C8"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3.710.671</w:t>
            </w:r>
          </w:p>
        </w:tc>
        <w:tc>
          <w:tcPr>
            <w:tcW w:w="949" w:type="pct"/>
            <w:vAlign w:val="center"/>
          </w:tcPr>
          <w:p w14:paraId="4A4C1D03" w14:textId="7014E271"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%2,25</w:t>
            </w:r>
          </w:p>
        </w:tc>
      </w:tr>
      <w:tr w:rsidR="00052250" w:rsidRPr="00FB38E1" w14:paraId="6853F80B" w14:textId="77777777" w:rsidTr="00836EF2">
        <w:tc>
          <w:tcPr>
            <w:tcW w:w="146" w:type="pct"/>
            <w:tcBorders>
              <w:bottom w:val="nil"/>
            </w:tcBorders>
          </w:tcPr>
          <w:p w14:paraId="15A378AA"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w:t>
            </w:r>
          </w:p>
        </w:tc>
        <w:tc>
          <w:tcPr>
            <w:tcW w:w="1389" w:type="pct"/>
            <w:tcBorders>
              <w:bottom w:val="nil"/>
            </w:tcBorders>
            <w:vAlign w:val="center"/>
          </w:tcPr>
          <w:p w14:paraId="3B58DFE9"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Avro</w:t>
            </w:r>
          </w:p>
        </w:tc>
        <w:tc>
          <w:tcPr>
            <w:tcW w:w="1462" w:type="pct"/>
            <w:tcBorders>
              <w:bottom w:val="nil"/>
            </w:tcBorders>
            <w:vAlign w:val="center"/>
          </w:tcPr>
          <w:p w14:paraId="5B92B26D" w14:textId="77777777" w:rsidR="00052250" w:rsidRPr="00FB38E1" w:rsidRDefault="00052250" w:rsidP="0005225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25D3F610" w14:textId="6E9EC092"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(114.859)</w:t>
            </w:r>
          </w:p>
        </w:tc>
        <w:tc>
          <w:tcPr>
            <w:tcW w:w="949" w:type="pct"/>
            <w:tcBorders>
              <w:bottom w:val="nil"/>
            </w:tcBorders>
            <w:vAlign w:val="center"/>
          </w:tcPr>
          <w:p w14:paraId="4F937DF5" w14:textId="6DEC4E8D"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(%0,07)</w:t>
            </w:r>
          </w:p>
        </w:tc>
      </w:tr>
      <w:tr w:rsidR="00052250" w:rsidRPr="00FB38E1" w14:paraId="7D983AD5" w14:textId="77777777" w:rsidTr="00836EF2">
        <w:tc>
          <w:tcPr>
            <w:tcW w:w="146" w:type="pct"/>
            <w:tcBorders>
              <w:bottom w:val="nil"/>
            </w:tcBorders>
          </w:tcPr>
          <w:p w14:paraId="785FA83E"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w:t>
            </w:r>
          </w:p>
        </w:tc>
        <w:tc>
          <w:tcPr>
            <w:tcW w:w="1389" w:type="pct"/>
            <w:tcBorders>
              <w:bottom w:val="nil"/>
            </w:tcBorders>
            <w:vAlign w:val="center"/>
          </w:tcPr>
          <w:p w14:paraId="08C64218"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Avro</w:t>
            </w:r>
          </w:p>
        </w:tc>
        <w:tc>
          <w:tcPr>
            <w:tcW w:w="1462" w:type="pct"/>
            <w:tcBorders>
              <w:bottom w:val="nil"/>
            </w:tcBorders>
            <w:vAlign w:val="center"/>
          </w:tcPr>
          <w:p w14:paraId="38E25807" w14:textId="77777777" w:rsidR="00052250" w:rsidRPr="00FB38E1" w:rsidRDefault="00052250" w:rsidP="0005225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5E57DF0E" w14:textId="7A3E284F"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379.300</w:t>
            </w:r>
          </w:p>
        </w:tc>
        <w:tc>
          <w:tcPr>
            <w:tcW w:w="949" w:type="pct"/>
            <w:tcBorders>
              <w:bottom w:val="nil"/>
            </w:tcBorders>
            <w:vAlign w:val="center"/>
          </w:tcPr>
          <w:p w14:paraId="6C15061B" w14:textId="584EC140"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%0,23</w:t>
            </w:r>
          </w:p>
        </w:tc>
      </w:tr>
      <w:tr w:rsidR="00052250" w:rsidRPr="00FB38E1" w14:paraId="07B3C16C" w14:textId="77777777" w:rsidTr="00836EF2">
        <w:tc>
          <w:tcPr>
            <w:tcW w:w="146" w:type="pct"/>
            <w:tcBorders>
              <w:bottom w:val="nil"/>
            </w:tcBorders>
          </w:tcPr>
          <w:p w14:paraId="5415F57D"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w:t>
            </w:r>
          </w:p>
        </w:tc>
        <w:tc>
          <w:tcPr>
            <w:tcW w:w="1389" w:type="pct"/>
            <w:tcBorders>
              <w:bottom w:val="nil"/>
            </w:tcBorders>
            <w:vAlign w:val="center"/>
          </w:tcPr>
          <w:p w14:paraId="69779CD7"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ABD Doları</w:t>
            </w:r>
          </w:p>
        </w:tc>
        <w:tc>
          <w:tcPr>
            <w:tcW w:w="1462" w:type="pct"/>
            <w:tcBorders>
              <w:bottom w:val="nil"/>
            </w:tcBorders>
            <w:vAlign w:val="center"/>
          </w:tcPr>
          <w:p w14:paraId="2CC8DB8B" w14:textId="77777777" w:rsidR="00052250" w:rsidRPr="00FB38E1" w:rsidRDefault="00052250" w:rsidP="0005225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309B2B81" w14:textId="3FCE7FD9"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(2.054.045)</w:t>
            </w:r>
          </w:p>
        </w:tc>
        <w:tc>
          <w:tcPr>
            <w:tcW w:w="949" w:type="pct"/>
            <w:tcBorders>
              <w:bottom w:val="nil"/>
            </w:tcBorders>
            <w:vAlign w:val="center"/>
          </w:tcPr>
          <w:p w14:paraId="4BE0BCB1" w14:textId="0374E0EE"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(%1,25)</w:t>
            </w:r>
          </w:p>
        </w:tc>
      </w:tr>
      <w:tr w:rsidR="00052250" w:rsidRPr="00FB38E1" w14:paraId="13AE7FC7" w14:textId="77777777" w:rsidTr="00836EF2">
        <w:tc>
          <w:tcPr>
            <w:tcW w:w="146" w:type="pct"/>
            <w:tcBorders>
              <w:top w:val="nil"/>
              <w:bottom w:val="single" w:sz="4" w:space="0" w:color="auto"/>
            </w:tcBorders>
          </w:tcPr>
          <w:p w14:paraId="16100E06"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w:t>
            </w:r>
          </w:p>
        </w:tc>
        <w:tc>
          <w:tcPr>
            <w:tcW w:w="1389" w:type="pct"/>
            <w:tcBorders>
              <w:top w:val="nil"/>
              <w:bottom w:val="single" w:sz="4" w:space="0" w:color="auto"/>
            </w:tcBorders>
            <w:vAlign w:val="center"/>
          </w:tcPr>
          <w:p w14:paraId="00F6C218" w14:textId="77777777" w:rsidR="00052250" w:rsidRPr="00FB38E1" w:rsidRDefault="00052250" w:rsidP="0005225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ABD Doları</w:t>
            </w:r>
          </w:p>
        </w:tc>
        <w:tc>
          <w:tcPr>
            <w:tcW w:w="1462" w:type="pct"/>
            <w:tcBorders>
              <w:top w:val="nil"/>
              <w:bottom w:val="single" w:sz="4" w:space="0" w:color="auto"/>
            </w:tcBorders>
            <w:vAlign w:val="center"/>
          </w:tcPr>
          <w:p w14:paraId="1580B1E4" w14:textId="77777777" w:rsidR="00052250" w:rsidRPr="00FB38E1" w:rsidRDefault="00052250" w:rsidP="00052250">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200 baz puan</w:t>
            </w:r>
          </w:p>
        </w:tc>
        <w:tc>
          <w:tcPr>
            <w:tcW w:w="1054" w:type="pct"/>
            <w:tcBorders>
              <w:top w:val="nil"/>
              <w:bottom w:val="single" w:sz="4" w:space="0" w:color="auto"/>
            </w:tcBorders>
            <w:vAlign w:val="center"/>
          </w:tcPr>
          <w:p w14:paraId="053540E3" w14:textId="485B8161"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2.598.319</w:t>
            </w:r>
          </w:p>
        </w:tc>
        <w:tc>
          <w:tcPr>
            <w:tcW w:w="949" w:type="pct"/>
            <w:tcBorders>
              <w:top w:val="nil"/>
              <w:bottom w:val="single" w:sz="4" w:space="0" w:color="auto"/>
            </w:tcBorders>
            <w:vAlign w:val="center"/>
          </w:tcPr>
          <w:p w14:paraId="67070743" w14:textId="2117D8F5" w:rsidR="00052250" w:rsidRPr="00FB38E1" w:rsidRDefault="00052250" w:rsidP="0005225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%1,58</w:t>
            </w:r>
          </w:p>
        </w:tc>
      </w:tr>
      <w:tr w:rsidR="00052250" w:rsidRPr="00FB38E1" w14:paraId="5FBEA767" w14:textId="77777777" w:rsidTr="00836EF2">
        <w:tc>
          <w:tcPr>
            <w:tcW w:w="146" w:type="pct"/>
            <w:tcBorders>
              <w:top w:val="single" w:sz="4" w:space="0" w:color="auto"/>
              <w:bottom w:val="nil"/>
            </w:tcBorders>
          </w:tcPr>
          <w:p w14:paraId="2868BCC7" w14:textId="77777777" w:rsidR="00052250" w:rsidRPr="00FB38E1" w:rsidRDefault="00052250" w:rsidP="00052250">
            <w:pPr>
              <w:rPr>
                <w:rFonts w:ascii="Microsoft Sans Serif" w:hAnsi="Microsoft Sans Serif" w:cs="Microsoft Sans Serif"/>
                <w:b/>
                <w:color w:val="404040"/>
                <w:sz w:val="16"/>
                <w:szCs w:val="16"/>
              </w:rPr>
            </w:pPr>
          </w:p>
        </w:tc>
        <w:tc>
          <w:tcPr>
            <w:tcW w:w="1389" w:type="pct"/>
            <w:tcBorders>
              <w:top w:val="single" w:sz="4" w:space="0" w:color="auto"/>
              <w:bottom w:val="nil"/>
            </w:tcBorders>
            <w:vAlign w:val="center"/>
          </w:tcPr>
          <w:p w14:paraId="551EDCB5" w14:textId="77777777" w:rsidR="00052250" w:rsidRPr="00FB38E1" w:rsidRDefault="00052250" w:rsidP="00052250">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Toplam (Pozitif Şoklar İçin)</w:t>
            </w:r>
          </w:p>
        </w:tc>
        <w:tc>
          <w:tcPr>
            <w:tcW w:w="1462" w:type="pct"/>
            <w:tcBorders>
              <w:top w:val="single" w:sz="4" w:space="0" w:color="auto"/>
              <w:bottom w:val="nil"/>
            </w:tcBorders>
            <w:vAlign w:val="center"/>
          </w:tcPr>
          <w:p w14:paraId="1C05F15C" w14:textId="77777777" w:rsidR="00052250" w:rsidRPr="00FB38E1" w:rsidRDefault="00052250" w:rsidP="00052250">
            <w:pPr>
              <w:jc w:val="center"/>
              <w:rPr>
                <w:rFonts w:ascii="Microsoft Sans Serif" w:hAnsi="Microsoft Sans Serif" w:cs="Microsoft Sans Serif"/>
                <w:b/>
                <w:color w:val="404040"/>
                <w:sz w:val="16"/>
                <w:szCs w:val="16"/>
              </w:rPr>
            </w:pPr>
          </w:p>
        </w:tc>
        <w:tc>
          <w:tcPr>
            <w:tcW w:w="1054" w:type="pct"/>
            <w:tcBorders>
              <w:top w:val="single" w:sz="4" w:space="0" w:color="auto"/>
              <w:bottom w:val="nil"/>
            </w:tcBorders>
            <w:vAlign w:val="center"/>
          </w:tcPr>
          <w:p w14:paraId="2B091597" w14:textId="13B9AF6C" w:rsidR="00052250" w:rsidRPr="00FB38E1" w:rsidRDefault="00052250" w:rsidP="00052250">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000000"/>
                <w:sz w:val="16"/>
                <w:szCs w:val="16"/>
              </w:rPr>
              <w:t>(6.404.009)</w:t>
            </w:r>
          </w:p>
        </w:tc>
        <w:tc>
          <w:tcPr>
            <w:tcW w:w="949" w:type="pct"/>
            <w:tcBorders>
              <w:top w:val="single" w:sz="4" w:space="0" w:color="auto"/>
              <w:bottom w:val="nil"/>
            </w:tcBorders>
            <w:vAlign w:val="center"/>
          </w:tcPr>
          <w:p w14:paraId="168DFA0E" w14:textId="640CC352" w:rsidR="00052250" w:rsidRPr="00FB38E1" w:rsidRDefault="00052250" w:rsidP="00052250">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000000"/>
                <w:sz w:val="16"/>
                <w:szCs w:val="16"/>
              </w:rPr>
              <w:t>(%3,89)</w:t>
            </w:r>
          </w:p>
        </w:tc>
      </w:tr>
      <w:tr w:rsidR="00052250" w:rsidRPr="00FB38E1" w14:paraId="42A61689" w14:textId="77777777" w:rsidTr="00836EF2">
        <w:tc>
          <w:tcPr>
            <w:tcW w:w="146" w:type="pct"/>
            <w:tcBorders>
              <w:top w:val="nil"/>
            </w:tcBorders>
          </w:tcPr>
          <w:p w14:paraId="3028FCBA" w14:textId="77777777" w:rsidR="00052250" w:rsidRPr="00FB38E1" w:rsidRDefault="00052250" w:rsidP="00052250">
            <w:pPr>
              <w:rPr>
                <w:rFonts w:ascii="Microsoft Sans Serif" w:hAnsi="Microsoft Sans Serif" w:cs="Microsoft Sans Serif"/>
                <w:b/>
                <w:color w:val="404040"/>
                <w:sz w:val="16"/>
                <w:szCs w:val="16"/>
              </w:rPr>
            </w:pPr>
          </w:p>
        </w:tc>
        <w:tc>
          <w:tcPr>
            <w:tcW w:w="1389" w:type="pct"/>
            <w:tcBorders>
              <w:top w:val="nil"/>
            </w:tcBorders>
            <w:vAlign w:val="center"/>
          </w:tcPr>
          <w:p w14:paraId="2F742B09" w14:textId="77777777" w:rsidR="00052250" w:rsidRPr="00FB38E1" w:rsidRDefault="00052250" w:rsidP="00052250">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Toplam (Negatif Şoklar İçin)</w:t>
            </w:r>
          </w:p>
        </w:tc>
        <w:tc>
          <w:tcPr>
            <w:tcW w:w="1462" w:type="pct"/>
            <w:tcBorders>
              <w:top w:val="nil"/>
            </w:tcBorders>
            <w:vAlign w:val="center"/>
          </w:tcPr>
          <w:p w14:paraId="16A3CC58" w14:textId="77777777" w:rsidR="00052250" w:rsidRPr="00FB38E1" w:rsidRDefault="00052250" w:rsidP="00052250">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bCs/>
                <w:color w:val="404040"/>
                <w:sz w:val="16"/>
                <w:szCs w:val="16"/>
              </w:rPr>
              <w:t> </w:t>
            </w:r>
          </w:p>
        </w:tc>
        <w:tc>
          <w:tcPr>
            <w:tcW w:w="1054" w:type="pct"/>
            <w:tcBorders>
              <w:top w:val="nil"/>
            </w:tcBorders>
            <w:vAlign w:val="center"/>
          </w:tcPr>
          <w:p w14:paraId="24E2F7CE" w14:textId="265AB9D1" w:rsidR="00052250" w:rsidRPr="00FB38E1" w:rsidRDefault="00052250" w:rsidP="00052250">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000000"/>
                <w:sz w:val="16"/>
                <w:szCs w:val="16"/>
              </w:rPr>
              <w:t>6.688.290</w:t>
            </w:r>
          </w:p>
        </w:tc>
        <w:tc>
          <w:tcPr>
            <w:tcW w:w="949" w:type="pct"/>
            <w:tcBorders>
              <w:top w:val="nil"/>
            </w:tcBorders>
            <w:vAlign w:val="center"/>
          </w:tcPr>
          <w:p w14:paraId="32495747" w14:textId="23ECF8F8" w:rsidR="00052250" w:rsidRPr="00FB38E1" w:rsidRDefault="00052250" w:rsidP="00052250">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000000"/>
                <w:sz w:val="16"/>
                <w:szCs w:val="16"/>
              </w:rPr>
              <w:t>%4,06</w:t>
            </w:r>
          </w:p>
        </w:tc>
      </w:tr>
    </w:tbl>
    <w:p w14:paraId="78BB5424" w14:textId="77777777" w:rsidR="004C4799" w:rsidRPr="00FB38E1" w:rsidRDefault="004C4799" w:rsidP="004C4799">
      <w:pPr>
        <w:pStyle w:val="BASLIK2"/>
        <w:widowControl/>
        <w:spacing w:before="120" w:after="0" w:line="220" w:lineRule="exact"/>
        <w:ind w:firstLine="0"/>
        <w:rPr>
          <w:rFonts w:ascii="Microsoft Sans Serif" w:hAnsi="Microsoft Sans Serif" w:cs="Microsoft Sans Serif"/>
          <w:sz w:val="20"/>
          <w:szCs w:val="20"/>
        </w:rPr>
      </w:pP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3"/>
        <w:gridCol w:w="2693"/>
        <w:gridCol w:w="2835"/>
        <w:gridCol w:w="2044"/>
        <w:gridCol w:w="1840"/>
      </w:tblGrid>
      <w:tr w:rsidR="004C4799" w:rsidRPr="00FB38E1" w14:paraId="525FBC70" w14:textId="77777777" w:rsidTr="00836EF2">
        <w:tc>
          <w:tcPr>
            <w:tcW w:w="146" w:type="pct"/>
            <w:tcBorders>
              <w:top w:val="thinThickSmallGap" w:sz="24" w:space="0" w:color="auto"/>
              <w:bottom w:val="single" w:sz="4" w:space="0" w:color="auto"/>
            </w:tcBorders>
          </w:tcPr>
          <w:p w14:paraId="4597E921" w14:textId="77777777" w:rsidR="004C4799" w:rsidRPr="00FB38E1" w:rsidRDefault="004C4799" w:rsidP="00836EF2">
            <w:pPr>
              <w:rPr>
                <w:rFonts w:ascii="Microsoft Sans Serif" w:hAnsi="Microsoft Sans Serif" w:cs="Microsoft Sans Serif"/>
                <w:b/>
                <w:color w:val="000000"/>
                <w:sz w:val="16"/>
                <w:szCs w:val="16"/>
              </w:rPr>
            </w:pPr>
          </w:p>
        </w:tc>
        <w:tc>
          <w:tcPr>
            <w:tcW w:w="1389" w:type="pct"/>
            <w:tcBorders>
              <w:top w:val="thinThickSmallGap" w:sz="24" w:space="0" w:color="auto"/>
              <w:bottom w:val="single" w:sz="4" w:space="0" w:color="auto"/>
            </w:tcBorders>
            <w:vAlign w:val="bottom"/>
          </w:tcPr>
          <w:p w14:paraId="6FD78129" w14:textId="757F4EF6" w:rsidR="004C4799" w:rsidRPr="00FB38E1" w:rsidRDefault="004C4799" w:rsidP="00836EF2">
            <w:pP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Önceki Dönem: 31 Aralık 2023</w:t>
            </w:r>
          </w:p>
          <w:p w14:paraId="3982EA7F" w14:textId="77777777" w:rsidR="004C4799" w:rsidRPr="00FB38E1" w:rsidRDefault="004C4799" w:rsidP="00836EF2">
            <w:pP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Para Birimi</w:t>
            </w:r>
          </w:p>
        </w:tc>
        <w:tc>
          <w:tcPr>
            <w:tcW w:w="1462" w:type="pct"/>
            <w:tcBorders>
              <w:top w:val="thinThickSmallGap" w:sz="24" w:space="0" w:color="auto"/>
              <w:bottom w:val="single" w:sz="4" w:space="0" w:color="auto"/>
            </w:tcBorders>
          </w:tcPr>
          <w:p w14:paraId="6E6AD37D"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Uygulanan Sok</w:t>
            </w:r>
          </w:p>
          <w:p w14:paraId="13405BF2"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 baz puan)</w:t>
            </w:r>
          </w:p>
        </w:tc>
        <w:tc>
          <w:tcPr>
            <w:tcW w:w="1054" w:type="pct"/>
            <w:tcBorders>
              <w:top w:val="thinThickSmallGap" w:sz="24" w:space="0" w:color="auto"/>
              <w:bottom w:val="single" w:sz="4" w:space="0" w:color="auto"/>
            </w:tcBorders>
            <w:vAlign w:val="bottom"/>
          </w:tcPr>
          <w:p w14:paraId="27141E5E"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Kazançlar/Kayıplar</w:t>
            </w:r>
          </w:p>
        </w:tc>
        <w:tc>
          <w:tcPr>
            <w:tcW w:w="949" w:type="pct"/>
            <w:tcBorders>
              <w:top w:val="thinThickSmallGap" w:sz="24" w:space="0" w:color="auto"/>
              <w:bottom w:val="single" w:sz="4" w:space="0" w:color="auto"/>
            </w:tcBorders>
            <w:vAlign w:val="bottom"/>
          </w:tcPr>
          <w:p w14:paraId="49DDD29E"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Kazançlar/Özkaynaklar</w:t>
            </w:r>
          </w:p>
          <w:p w14:paraId="5DE5C266" w14:textId="77777777" w:rsidR="004C4799" w:rsidRPr="00FB38E1" w:rsidRDefault="004C4799"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-Kayıplar/Özkaynaklar</w:t>
            </w:r>
          </w:p>
        </w:tc>
      </w:tr>
      <w:tr w:rsidR="004C4799" w:rsidRPr="00FB38E1" w14:paraId="3D02D587" w14:textId="77777777" w:rsidTr="00836EF2">
        <w:tc>
          <w:tcPr>
            <w:tcW w:w="146" w:type="pct"/>
            <w:tcBorders>
              <w:top w:val="single" w:sz="4" w:space="0" w:color="auto"/>
            </w:tcBorders>
          </w:tcPr>
          <w:p w14:paraId="3DCCF86B" w14:textId="77777777"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w:t>
            </w:r>
          </w:p>
        </w:tc>
        <w:tc>
          <w:tcPr>
            <w:tcW w:w="1389" w:type="pct"/>
            <w:tcBorders>
              <w:top w:val="single" w:sz="4" w:space="0" w:color="auto"/>
            </w:tcBorders>
            <w:vAlign w:val="center"/>
          </w:tcPr>
          <w:p w14:paraId="7B62F1A4" w14:textId="522197DB"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TL</w:t>
            </w:r>
          </w:p>
        </w:tc>
        <w:tc>
          <w:tcPr>
            <w:tcW w:w="1462" w:type="pct"/>
            <w:tcBorders>
              <w:top w:val="nil"/>
            </w:tcBorders>
            <w:vAlign w:val="center"/>
          </w:tcPr>
          <w:p w14:paraId="1DDD1971" w14:textId="3396ACBD" w:rsidR="004C4799" w:rsidRPr="00FB38E1" w:rsidRDefault="004C4799" w:rsidP="004C479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500 baz puan</w:t>
            </w:r>
          </w:p>
        </w:tc>
        <w:tc>
          <w:tcPr>
            <w:tcW w:w="1054" w:type="pct"/>
            <w:tcBorders>
              <w:top w:val="nil"/>
              <w:left w:val="nil"/>
              <w:bottom w:val="nil"/>
              <w:right w:val="nil"/>
            </w:tcBorders>
            <w:shd w:val="clear" w:color="auto" w:fill="auto"/>
            <w:vAlign w:val="center"/>
          </w:tcPr>
          <w:p w14:paraId="4625B714" w14:textId="23FDB52E"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(1.591.198)</w:t>
            </w:r>
          </w:p>
        </w:tc>
        <w:tc>
          <w:tcPr>
            <w:tcW w:w="949" w:type="pct"/>
            <w:tcBorders>
              <w:top w:val="single" w:sz="4" w:space="0" w:color="auto"/>
            </w:tcBorders>
            <w:vAlign w:val="center"/>
          </w:tcPr>
          <w:p w14:paraId="2FED487E" w14:textId="77B87F89"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(%1,38)</w:t>
            </w:r>
          </w:p>
        </w:tc>
      </w:tr>
      <w:tr w:rsidR="004C4799" w:rsidRPr="00FB38E1" w14:paraId="735EB589" w14:textId="77777777" w:rsidTr="00836EF2">
        <w:tc>
          <w:tcPr>
            <w:tcW w:w="146" w:type="pct"/>
          </w:tcPr>
          <w:p w14:paraId="30C66806" w14:textId="77777777"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p>
        </w:tc>
        <w:tc>
          <w:tcPr>
            <w:tcW w:w="1389" w:type="pct"/>
            <w:vAlign w:val="center"/>
          </w:tcPr>
          <w:p w14:paraId="469168B3" w14:textId="649C0023"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TL</w:t>
            </w:r>
          </w:p>
        </w:tc>
        <w:tc>
          <w:tcPr>
            <w:tcW w:w="1462" w:type="pct"/>
            <w:vAlign w:val="center"/>
          </w:tcPr>
          <w:p w14:paraId="536A6F8C" w14:textId="4CE8B86D" w:rsidR="004C4799" w:rsidRPr="00FB38E1" w:rsidRDefault="004C4799" w:rsidP="004C479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400 baz puan</w:t>
            </w:r>
          </w:p>
        </w:tc>
        <w:tc>
          <w:tcPr>
            <w:tcW w:w="1054" w:type="pct"/>
            <w:tcBorders>
              <w:top w:val="nil"/>
              <w:left w:val="nil"/>
              <w:bottom w:val="nil"/>
              <w:right w:val="nil"/>
            </w:tcBorders>
            <w:shd w:val="clear" w:color="auto" w:fill="auto"/>
            <w:vAlign w:val="center"/>
          </w:tcPr>
          <w:p w14:paraId="35462381" w14:textId="4658CD4E"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1.533.010</w:t>
            </w:r>
          </w:p>
        </w:tc>
        <w:tc>
          <w:tcPr>
            <w:tcW w:w="949" w:type="pct"/>
            <w:vAlign w:val="center"/>
          </w:tcPr>
          <w:p w14:paraId="5ECCD6F1" w14:textId="55972680"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%1,33</w:t>
            </w:r>
          </w:p>
        </w:tc>
      </w:tr>
      <w:tr w:rsidR="004C4799" w:rsidRPr="00FB38E1" w14:paraId="231E531B" w14:textId="77777777" w:rsidTr="00836EF2">
        <w:tc>
          <w:tcPr>
            <w:tcW w:w="146" w:type="pct"/>
            <w:tcBorders>
              <w:bottom w:val="nil"/>
            </w:tcBorders>
          </w:tcPr>
          <w:p w14:paraId="13674EBF" w14:textId="77777777"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w:t>
            </w:r>
          </w:p>
        </w:tc>
        <w:tc>
          <w:tcPr>
            <w:tcW w:w="1389" w:type="pct"/>
            <w:tcBorders>
              <w:bottom w:val="nil"/>
            </w:tcBorders>
            <w:vAlign w:val="center"/>
          </w:tcPr>
          <w:p w14:paraId="7D44A02B" w14:textId="5EDDB44A"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Avro</w:t>
            </w:r>
          </w:p>
        </w:tc>
        <w:tc>
          <w:tcPr>
            <w:tcW w:w="1462" w:type="pct"/>
            <w:tcBorders>
              <w:bottom w:val="nil"/>
            </w:tcBorders>
            <w:vAlign w:val="center"/>
          </w:tcPr>
          <w:p w14:paraId="4CC186F5" w14:textId="77F7FD4A" w:rsidR="004C4799" w:rsidRPr="00FB38E1" w:rsidRDefault="004C4799" w:rsidP="004C479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3763503A" w14:textId="0D2CC69C"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(312.672)</w:t>
            </w:r>
          </w:p>
        </w:tc>
        <w:tc>
          <w:tcPr>
            <w:tcW w:w="949" w:type="pct"/>
            <w:tcBorders>
              <w:bottom w:val="nil"/>
            </w:tcBorders>
            <w:vAlign w:val="center"/>
          </w:tcPr>
          <w:p w14:paraId="78099822" w14:textId="7327B5B7"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(%0,27)</w:t>
            </w:r>
          </w:p>
        </w:tc>
      </w:tr>
      <w:tr w:rsidR="004C4799" w:rsidRPr="00FB38E1" w14:paraId="5E2A0E45" w14:textId="77777777" w:rsidTr="00836EF2">
        <w:tc>
          <w:tcPr>
            <w:tcW w:w="146" w:type="pct"/>
            <w:tcBorders>
              <w:bottom w:val="nil"/>
            </w:tcBorders>
          </w:tcPr>
          <w:p w14:paraId="5D66E4EF" w14:textId="77777777"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w:t>
            </w:r>
          </w:p>
        </w:tc>
        <w:tc>
          <w:tcPr>
            <w:tcW w:w="1389" w:type="pct"/>
            <w:tcBorders>
              <w:bottom w:val="nil"/>
            </w:tcBorders>
            <w:vAlign w:val="center"/>
          </w:tcPr>
          <w:p w14:paraId="4F699285" w14:textId="3C0BC295"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Avro</w:t>
            </w:r>
          </w:p>
        </w:tc>
        <w:tc>
          <w:tcPr>
            <w:tcW w:w="1462" w:type="pct"/>
            <w:tcBorders>
              <w:bottom w:val="nil"/>
            </w:tcBorders>
            <w:vAlign w:val="center"/>
          </w:tcPr>
          <w:p w14:paraId="2026CF29" w14:textId="42DFF276" w:rsidR="004C4799" w:rsidRPr="00FB38E1" w:rsidRDefault="004C4799" w:rsidP="004C479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0BE61F61" w14:textId="63A37347"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499.266</w:t>
            </w:r>
          </w:p>
        </w:tc>
        <w:tc>
          <w:tcPr>
            <w:tcW w:w="949" w:type="pct"/>
            <w:tcBorders>
              <w:bottom w:val="nil"/>
            </w:tcBorders>
            <w:vAlign w:val="center"/>
          </w:tcPr>
          <w:p w14:paraId="164E8AA8" w14:textId="24BC9DE9"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%0,43</w:t>
            </w:r>
          </w:p>
        </w:tc>
      </w:tr>
      <w:tr w:rsidR="004C4799" w:rsidRPr="00FB38E1" w14:paraId="613ABF30" w14:textId="77777777" w:rsidTr="00836EF2">
        <w:tc>
          <w:tcPr>
            <w:tcW w:w="146" w:type="pct"/>
            <w:tcBorders>
              <w:bottom w:val="nil"/>
            </w:tcBorders>
          </w:tcPr>
          <w:p w14:paraId="0E725299" w14:textId="77777777"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w:t>
            </w:r>
          </w:p>
        </w:tc>
        <w:tc>
          <w:tcPr>
            <w:tcW w:w="1389" w:type="pct"/>
            <w:tcBorders>
              <w:bottom w:val="nil"/>
            </w:tcBorders>
            <w:vAlign w:val="center"/>
          </w:tcPr>
          <w:p w14:paraId="52D76FC7" w14:textId="4CB489AD"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ABD Doları</w:t>
            </w:r>
          </w:p>
        </w:tc>
        <w:tc>
          <w:tcPr>
            <w:tcW w:w="1462" w:type="pct"/>
            <w:tcBorders>
              <w:bottom w:val="nil"/>
            </w:tcBorders>
            <w:vAlign w:val="center"/>
          </w:tcPr>
          <w:p w14:paraId="2DE807FA" w14:textId="7506DF47" w:rsidR="004C4799" w:rsidRPr="00FB38E1" w:rsidRDefault="004C4799" w:rsidP="004C479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200 baz puan</w:t>
            </w:r>
          </w:p>
        </w:tc>
        <w:tc>
          <w:tcPr>
            <w:tcW w:w="1054" w:type="pct"/>
            <w:tcBorders>
              <w:top w:val="nil"/>
              <w:left w:val="nil"/>
              <w:bottom w:val="nil"/>
              <w:right w:val="nil"/>
            </w:tcBorders>
            <w:shd w:val="clear" w:color="auto" w:fill="auto"/>
            <w:vAlign w:val="center"/>
          </w:tcPr>
          <w:p w14:paraId="3986BDC3" w14:textId="48AD7148"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(259.650)</w:t>
            </w:r>
          </w:p>
        </w:tc>
        <w:tc>
          <w:tcPr>
            <w:tcW w:w="949" w:type="pct"/>
            <w:tcBorders>
              <w:bottom w:val="nil"/>
            </w:tcBorders>
            <w:vAlign w:val="center"/>
          </w:tcPr>
          <w:p w14:paraId="012AC7AC" w14:textId="6389F64B"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(%0,23)</w:t>
            </w:r>
          </w:p>
        </w:tc>
      </w:tr>
      <w:tr w:rsidR="004C4799" w:rsidRPr="00FB38E1" w14:paraId="37490FD5" w14:textId="77777777" w:rsidTr="00836EF2">
        <w:tc>
          <w:tcPr>
            <w:tcW w:w="146" w:type="pct"/>
            <w:tcBorders>
              <w:top w:val="nil"/>
              <w:bottom w:val="single" w:sz="4" w:space="0" w:color="auto"/>
            </w:tcBorders>
          </w:tcPr>
          <w:p w14:paraId="25C58D00" w14:textId="77777777"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w:t>
            </w:r>
          </w:p>
        </w:tc>
        <w:tc>
          <w:tcPr>
            <w:tcW w:w="1389" w:type="pct"/>
            <w:tcBorders>
              <w:top w:val="nil"/>
              <w:bottom w:val="single" w:sz="4" w:space="0" w:color="auto"/>
            </w:tcBorders>
            <w:vAlign w:val="center"/>
          </w:tcPr>
          <w:p w14:paraId="26BF01E8" w14:textId="16664DE9" w:rsidR="004C4799" w:rsidRPr="00FB38E1" w:rsidRDefault="004C4799" w:rsidP="004C47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ABD Doları</w:t>
            </w:r>
          </w:p>
        </w:tc>
        <w:tc>
          <w:tcPr>
            <w:tcW w:w="1462" w:type="pct"/>
            <w:tcBorders>
              <w:top w:val="nil"/>
              <w:bottom w:val="single" w:sz="4" w:space="0" w:color="auto"/>
            </w:tcBorders>
            <w:vAlign w:val="center"/>
          </w:tcPr>
          <w:p w14:paraId="08B8F102" w14:textId="1FCED17A" w:rsidR="004C4799" w:rsidRPr="00FB38E1" w:rsidRDefault="004C4799" w:rsidP="004C4799">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200 baz puan</w:t>
            </w:r>
          </w:p>
        </w:tc>
        <w:tc>
          <w:tcPr>
            <w:tcW w:w="1054" w:type="pct"/>
            <w:tcBorders>
              <w:top w:val="nil"/>
              <w:bottom w:val="single" w:sz="4" w:space="0" w:color="auto"/>
            </w:tcBorders>
            <w:vAlign w:val="center"/>
          </w:tcPr>
          <w:p w14:paraId="3A029765" w14:textId="2785E9F9"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551.632</w:t>
            </w:r>
          </w:p>
        </w:tc>
        <w:tc>
          <w:tcPr>
            <w:tcW w:w="949" w:type="pct"/>
            <w:tcBorders>
              <w:top w:val="nil"/>
              <w:bottom w:val="single" w:sz="4" w:space="0" w:color="auto"/>
            </w:tcBorders>
            <w:vAlign w:val="center"/>
          </w:tcPr>
          <w:p w14:paraId="1076C3FA" w14:textId="27BF8A6D"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%0,48</w:t>
            </w:r>
          </w:p>
        </w:tc>
      </w:tr>
      <w:tr w:rsidR="004C4799" w:rsidRPr="00FB38E1" w14:paraId="653786A1" w14:textId="77777777" w:rsidTr="00836EF2">
        <w:tc>
          <w:tcPr>
            <w:tcW w:w="146" w:type="pct"/>
            <w:tcBorders>
              <w:top w:val="single" w:sz="4" w:space="0" w:color="auto"/>
              <w:bottom w:val="nil"/>
            </w:tcBorders>
          </w:tcPr>
          <w:p w14:paraId="08F13932" w14:textId="77777777" w:rsidR="004C4799" w:rsidRPr="00FB38E1" w:rsidRDefault="004C4799" w:rsidP="004C4799">
            <w:pPr>
              <w:rPr>
                <w:rFonts w:ascii="Microsoft Sans Serif" w:hAnsi="Microsoft Sans Serif" w:cs="Microsoft Sans Serif"/>
                <w:b/>
                <w:color w:val="404040"/>
                <w:sz w:val="16"/>
                <w:szCs w:val="16"/>
              </w:rPr>
            </w:pPr>
          </w:p>
        </w:tc>
        <w:tc>
          <w:tcPr>
            <w:tcW w:w="1389" w:type="pct"/>
            <w:tcBorders>
              <w:top w:val="single" w:sz="4" w:space="0" w:color="auto"/>
              <w:bottom w:val="nil"/>
            </w:tcBorders>
            <w:vAlign w:val="center"/>
          </w:tcPr>
          <w:p w14:paraId="292BEC56" w14:textId="5A36F28E" w:rsidR="004C4799" w:rsidRPr="00FB38E1" w:rsidRDefault="004C4799" w:rsidP="004C4799">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Toplam (Pozitif Şoklar İçin)</w:t>
            </w:r>
          </w:p>
        </w:tc>
        <w:tc>
          <w:tcPr>
            <w:tcW w:w="1462" w:type="pct"/>
            <w:tcBorders>
              <w:top w:val="single" w:sz="4" w:space="0" w:color="auto"/>
              <w:bottom w:val="nil"/>
            </w:tcBorders>
            <w:vAlign w:val="center"/>
          </w:tcPr>
          <w:p w14:paraId="1516696D" w14:textId="77777777" w:rsidR="004C4799" w:rsidRPr="00FB38E1" w:rsidRDefault="004C4799" w:rsidP="004C4799">
            <w:pPr>
              <w:jc w:val="center"/>
              <w:rPr>
                <w:rFonts w:ascii="Microsoft Sans Serif" w:hAnsi="Microsoft Sans Serif" w:cs="Microsoft Sans Serif"/>
                <w:b/>
                <w:color w:val="404040"/>
                <w:sz w:val="16"/>
                <w:szCs w:val="16"/>
              </w:rPr>
            </w:pPr>
          </w:p>
        </w:tc>
        <w:tc>
          <w:tcPr>
            <w:tcW w:w="1054" w:type="pct"/>
            <w:tcBorders>
              <w:top w:val="single" w:sz="4" w:space="0" w:color="auto"/>
              <w:bottom w:val="nil"/>
            </w:tcBorders>
            <w:vAlign w:val="center"/>
          </w:tcPr>
          <w:p w14:paraId="17D72755" w14:textId="7A73AF0F" w:rsidR="004C4799" w:rsidRPr="00FB38E1" w:rsidRDefault="004C4799" w:rsidP="004C4799">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000000"/>
                <w:sz w:val="16"/>
                <w:szCs w:val="16"/>
              </w:rPr>
              <w:t>(2.163.520)</w:t>
            </w:r>
          </w:p>
        </w:tc>
        <w:tc>
          <w:tcPr>
            <w:tcW w:w="949" w:type="pct"/>
            <w:tcBorders>
              <w:top w:val="single" w:sz="4" w:space="0" w:color="auto"/>
              <w:bottom w:val="nil"/>
            </w:tcBorders>
            <w:vAlign w:val="center"/>
          </w:tcPr>
          <w:p w14:paraId="340CAC37" w14:textId="52C04F04" w:rsidR="004C4799" w:rsidRPr="00FB38E1" w:rsidRDefault="004C4799" w:rsidP="004C4799">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000000"/>
                <w:sz w:val="16"/>
                <w:szCs w:val="16"/>
              </w:rPr>
              <w:t>(%1,88)</w:t>
            </w:r>
          </w:p>
        </w:tc>
      </w:tr>
      <w:tr w:rsidR="004C4799" w:rsidRPr="00FB38E1" w14:paraId="3C30FC92" w14:textId="77777777" w:rsidTr="00836EF2">
        <w:tc>
          <w:tcPr>
            <w:tcW w:w="146" w:type="pct"/>
            <w:tcBorders>
              <w:top w:val="nil"/>
            </w:tcBorders>
          </w:tcPr>
          <w:p w14:paraId="1E34C7BA" w14:textId="77777777" w:rsidR="004C4799" w:rsidRPr="00FB38E1" w:rsidRDefault="004C4799" w:rsidP="004C4799">
            <w:pPr>
              <w:rPr>
                <w:rFonts w:ascii="Microsoft Sans Serif" w:hAnsi="Microsoft Sans Serif" w:cs="Microsoft Sans Serif"/>
                <w:b/>
                <w:color w:val="404040"/>
                <w:sz w:val="16"/>
                <w:szCs w:val="16"/>
              </w:rPr>
            </w:pPr>
          </w:p>
        </w:tc>
        <w:tc>
          <w:tcPr>
            <w:tcW w:w="1389" w:type="pct"/>
            <w:tcBorders>
              <w:top w:val="nil"/>
            </w:tcBorders>
            <w:vAlign w:val="center"/>
          </w:tcPr>
          <w:p w14:paraId="69DED9FF" w14:textId="52B1392B" w:rsidR="004C4799" w:rsidRPr="00FB38E1" w:rsidRDefault="004C4799" w:rsidP="004C4799">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Toplam (Negatif Şoklar İçin)</w:t>
            </w:r>
          </w:p>
        </w:tc>
        <w:tc>
          <w:tcPr>
            <w:tcW w:w="1462" w:type="pct"/>
            <w:tcBorders>
              <w:top w:val="nil"/>
            </w:tcBorders>
            <w:vAlign w:val="center"/>
          </w:tcPr>
          <w:p w14:paraId="255E0B04" w14:textId="18C2A8F3" w:rsidR="004C4799" w:rsidRPr="00FB38E1" w:rsidRDefault="004C4799" w:rsidP="004C4799">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bCs/>
                <w:color w:val="404040"/>
                <w:sz w:val="16"/>
                <w:szCs w:val="16"/>
              </w:rPr>
              <w:t> </w:t>
            </w:r>
          </w:p>
        </w:tc>
        <w:tc>
          <w:tcPr>
            <w:tcW w:w="1054" w:type="pct"/>
            <w:tcBorders>
              <w:top w:val="nil"/>
            </w:tcBorders>
            <w:vAlign w:val="center"/>
          </w:tcPr>
          <w:p w14:paraId="23D96A34" w14:textId="4504F098" w:rsidR="004C4799" w:rsidRPr="00FB38E1" w:rsidRDefault="004C4799" w:rsidP="004C4799">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000000"/>
                <w:sz w:val="16"/>
                <w:szCs w:val="16"/>
              </w:rPr>
              <w:t>2.583.908</w:t>
            </w:r>
          </w:p>
        </w:tc>
        <w:tc>
          <w:tcPr>
            <w:tcW w:w="949" w:type="pct"/>
            <w:tcBorders>
              <w:top w:val="nil"/>
            </w:tcBorders>
            <w:vAlign w:val="center"/>
          </w:tcPr>
          <w:p w14:paraId="66CC06E2" w14:textId="29CB5D88" w:rsidR="004C4799" w:rsidRPr="00FB38E1" w:rsidRDefault="004C4799" w:rsidP="004C4799">
            <w:pPr>
              <w:jc w:val="right"/>
              <w:rPr>
                <w:rFonts w:ascii="Microsoft Sans Serif" w:hAnsi="Microsoft Sans Serif" w:cs="Microsoft Sans Serif"/>
                <w:b/>
                <w:bCs/>
                <w:color w:val="404040" w:themeColor="text1" w:themeTint="BF"/>
                <w:sz w:val="16"/>
                <w:szCs w:val="16"/>
              </w:rPr>
            </w:pPr>
            <w:r w:rsidRPr="00FB38E1">
              <w:rPr>
                <w:rFonts w:ascii="Microsoft Sans Serif" w:hAnsi="Microsoft Sans Serif" w:cs="Microsoft Sans Serif"/>
                <w:b/>
                <w:bCs/>
                <w:color w:val="000000"/>
                <w:sz w:val="16"/>
                <w:szCs w:val="16"/>
              </w:rPr>
              <w:t>%2,24</w:t>
            </w:r>
          </w:p>
        </w:tc>
      </w:tr>
    </w:tbl>
    <w:p w14:paraId="6C8A4ACD" w14:textId="77777777" w:rsidR="004C4799" w:rsidRPr="00FB38E1" w:rsidRDefault="004C4799" w:rsidP="000E7273">
      <w:pPr>
        <w:pStyle w:val="ListParagraph"/>
        <w:spacing w:before="240" w:after="120" w:line="240" w:lineRule="exact"/>
        <w:ind w:left="0"/>
        <w:rPr>
          <w:rFonts w:ascii="Microsoft Sans Serif" w:hAnsi="Microsoft Sans Serif" w:cs="Microsoft Sans Serif"/>
          <w:b/>
          <w:color w:val="404040" w:themeColor="text1" w:themeTint="BF"/>
          <w:sz w:val="20"/>
          <w:szCs w:val="20"/>
        </w:rPr>
      </w:pPr>
    </w:p>
    <w:p w14:paraId="7D47ADFD" w14:textId="396F661C" w:rsidR="00F502CC" w:rsidRPr="00FB38E1" w:rsidRDefault="0034371C" w:rsidP="00076C9E">
      <w:pPr>
        <w:pStyle w:val="ListParagraph"/>
        <w:numPr>
          <w:ilvl w:val="0"/>
          <w:numId w:val="12"/>
        </w:numPr>
        <w:spacing w:before="240" w:after="120" w:line="240" w:lineRule="exact"/>
        <w:ind w:left="0" w:hanging="851"/>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rPr>
        <w:t>Bankacılık hesaplarından kaynaklanan hisse senedi pozisyon riski</w:t>
      </w:r>
    </w:p>
    <w:p w14:paraId="41EABB52" w14:textId="77777777" w:rsidR="0034371C" w:rsidRPr="00FB38E1" w:rsidRDefault="0034371C" w:rsidP="00076C9E">
      <w:pPr>
        <w:pStyle w:val="ListParagraph"/>
        <w:numPr>
          <w:ilvl w:val="0"/>
          <w:numId w:val="15"/>
        </w:numPr>
        <w:spacing w:before="240" w:after="120" w:line="240" w:lineRule="exact"/>
        <w:ind w:left="0" w:hanging="567"/>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b/>
          <w:sz w:val="20"/>
          <w:szCs w:val="20"/>
        </w:rPr>
        <w:t>Hisse senedi yatırımlarının bilanço değeri, gerçeğe uygun değer ve piyasa değeri karşılaştırma</w:t>
      </w:r>
    </w:p>
    <w:p w14:paraId="65210EBB" w14:textId="0AEEB667" w:rsidR="0034371C" w:rsidRPr="00FB38E1" w:rsidRDefault="0071675D" w:rsidP="00BB61F0">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color w:val="404040" w:themeColor="text1" w:themeTint="BF"/>
          <w:sz w:val="20"/>
          <w:szCs w:val="20"/>
          <w:lang w:eastAsia="tr-TR"/>
        </w:rPr>
        <w:t xml:space="preserve">Banka'nın, </w:t>
      </w:r>
      <w:r w:rsidR="00AD2A6F" w:rsidRPr="00FB38E1">
        <w:rPr>
          <w:rFonts w:ascii="Microsoft Sans Serif" w:hAnsi="Microsoft Sans Serif" w:cs="Microsoft Sans Serif"/>
          <w:b w:val="0"/>
          <w:color w:val="404040" w:themeColor="text1" w:themeTint="BF"/>
          <w:sz w:val="20"/>
          <w:szCs w:val="20"/>
          <w:lang w:eastAsia="tr-TR"/>
        </w:rPr>
        <w:t xml:space="preserve">31 Aralık 2024 </w:t>
      </w:r>
      <w:r w:rsidR="009C1D17" w:rsidRPr="00FB38E1">
        <w:rPr>
          <w:rFonts w:ascii="Microsoft Sans Serif" w:hAnsi="Microsoft Sans Serif" w:cs="Microsoft Sans Serif"/>
          <w:b w:val="0"/>
          <w:color w:val="404040" w:themeColor="text1" w:themeTint="BF"/>
          <w:sz w:val="20"/>
          <w:szCs w:val="20"/>
          <w:lang w:eastAsia="tr-TR"/>
        </w:rPr>
        <w:t xml:space="preserve">ve </w:t>
      </w:r>
      <w:r w:rsidR="00B11BA7" w:rsidRPr="00FB38E1">
        <w:rPr>
          <w:rFonts w:ascii="Microsoft Sans Serif" w:hAnsi="Microsoft Sans Serif" w:cs="Microsoft Sans Serif"/>
          <w:b w:val="0"/>
          <w:color w:val="404040" w:themeColor="text1" w:themeTint="BF"/>
          <w:sz w:val="20"/>
          <w:szCs w:val="20"/>
          <w:lang w:eastAsia="tr-TR"/>
        </w:rPr>
        <w:t>31 Aralık 202</w:t>
      </w:r>
      <w:r w:rsidR="00AF624B" w:rsidRPr="00FB38E1">
        <w:rPr>
          <w:rFonts w:ascii="Microsoft Sans Serif" w:hAnsi="Microsoft Sans Serif" w:cs="Microsoft Sans Serif"/>
          <w:b w:val="0"/>
          <w:color w:val="404040" w:themeColor="text1" w:themeTint="BF"/>
          <w:sz w:val="20"/>
          <w:szCs w:val="20"/>
          <w:lang w:eastAsia="tr-TR"/>
        </w:rPr>
        <w:t>3</w:t>
      </w:r>
      <w:r w:rsidR="009C1D17" w:rsidRPr="00FB38E1">
        <w:rPr>
          <w:rFonts w:ascii="Microsoft Sans Serif" w:hAnsi="Microsoft Sans Serif" w:cs="Microsoft Sans Serif"/>
          <w:b w:val="0"/>
          <w:color w:val="404040" w:themeColor="text1" w:themeTint="BF"/>
          <w:sz w:val="20"/>
          <w:szCs w:val="20"/>
          <w:lang w:eastAsia="tr-TR"/>
        </w:rPr>
        <w:t xml:space="preserve"> tarihleri </w:t>
      </w:r>
      <w:r w:rsidRPr="00FB38E1">
        <w:rPr>
          <w:rFonts w:ascii="Microsoft Sans Serif" w:hAnsi="Microsoft Sans Serif" w:cs="Microsoft Sans Serif"/>
          <w:b w:val="0"/>
          <w:color w:val="404040" w:themeColor="text1" w:themeTint="BF"/>
          <w:sz w:val="20"/>
          <w:szCs w:val="20"/>
          <w:lang w:eastAsia="tr-TR"/>
        </w:rPr>
        <w:t>itibarıyla BIST piyasalarında işlem gören ve konsolide olmayan mali tablolarda gerçeğe uygun değerleriyle gösterilen iştirak ve bağlı ortaklığı bulunmamaktadır</w:t>
      </w:r>
      <w:r w:rsidR="00E655DB" w:rsidRPr="00FB38E1">
        <w:rPr>
          <w:rFonts w:ascii="Microsoft Sans Serif" w:hAnsi="Microsoft Sans Serif" w:cs="Microsoft Sans Serif"/>
          <w:b w:val="0"/>
          <w:bCs w:val="0"/>
          <w:color w:val="404040" w:themeColor="text1" w:themeTint="BF"/>
          <w:sz w:val="20"/>
          <w:szCs w:val="20"/>
          <w:lang w:eastAsia="tr-TR"/>
        </w:rPr>
        <w:t>.</w:t>
      </w:r>
      <w:r w:rsidR="003D27F8" w:rsidRPr="00FB38E1">
        <w:rPr>
          <w:rFonts w:ascii="Microsoft Sans Serif" w:hAnsi="Microsoft Sans Serif" w:cs="Microsoft Sans Serif"/>
          <w:b w:val="0"/>
          <w:bCs w:val="0"/>
          <w:color w:val="404040" w:themeColor="text1" w:themeTint="BF"/>
          <w:sz w:val="20"/>
          <w:szCs w:val="20"/>
          <w:lang w:eastAsia="tr-TR"/>
        </w:rPr>
        <w:t xml:space="preserve"> </w:t>
      </w:r>
    </w:p>
    <w:p w14:paraId="403F02E3" w14:textId="77777777" w:rsidR="0034371C" w:rsidRPr="00FB38E1" w:rsidRDefault="0034371C" w:rsidP="00076C9E">
      <w:pPr>
        <w:pStyle w:val="ListParagraph"/>
        <w:numPr>
          <w:ilvl w:val="0"/>
          <w:numId w:val="15"/>
        </w:numPr>
        <w:spacing w:before="120" w:after="120" w:line="240" w:lineRule="exact"/>
        <w:ind w:left="0" w:hanging="567"/>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sz w:val="20"/>
          <w:szCs w:val="20"/>
        </w:rPr>
        <w:t>Hisse senedi yatırımlarının gerçekleşmiş kazanç veya kayıpları, yeniden değerleme değer artışlar ve gerçekleşmemiş kazanç veya kayıpları ile bunların ana ve katkı sermayeye dahil edilen tutarlarına ilişkin bilgiler</w:t>
      </w:r>
    </w:p>
    <w:p w14:paraId="07BF7983" w14:textId="67709D1C" w:rsidR="00F24774" w:rsidRPr="00FB38E1" w:rsidRDefault="009C1D17" w:rsidP="00A51C71">
      <w:pPr>
        <w:pStyle w:val="ListParagraph"/>
        <w:tabs>
          <w:tab w:val="left" w:pos="0"/>
          <w:tab w:val="left" w:pos="284"/>
        </w:tabs>
        <w:spacing w:before="60" w:after="120"/>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Bulunmamaktadır.</w:t>
      </w:r>
    </w:p>
    <w:p w14:paraId="664835FA" w14:textId="7B4BACDB" w:rsidR="004C4799" w:rsidRPr="00FB38E1" w:rsidRDefault="004C4799" w:rsidP="00A51C71">
      <w:pPr>
        <w:pStyle w:val="ListParagraph"/>
        <w:tabs>
          <w:tab w:val="left" w:pos="0"/>
          <w:tab w:val="left" w:pos="284"/>
        </w:tabs>
        <w:spacing w:before="60" w:after="120"/>
        <w:ind w:left="0"/>
        <w:contextualSpacing w:val="0"/>
        <w:rPr>
          <w:rFonts w:ascii="Microsoft Sans Serif" w:hAnsi="Microsoft Sans Serif" w:cs="Microsoft Sans Serif"/>
          <w:color w:val="404040" w:themeColor="text1" w:themeTint="BF"/>
          <w:sz w:val="20"/>
          <w:szCs w:val="20"/>
        </w:rPr>
      </w:pPr>
    </w:p>
    <w:p w14:paraId="21334320" w14:textId="46A2D5F3" w:rsidR="004C4799" w:rsidRPr="00FB38E1" w:rsidRDefault="004C4799" w:rsidP="00A51C71">
      <w:pPr>
        <w:pStyle w:val="ListParagraph"/>
        <w:tabs>
          <w:tab w:val="left" w:pos="0"/>
          <w:tab w:val="left" w:pos="284"/>
        </w:tabs>
        <w:spacing w:before="60" w:after="120"/>
        <w:ind w:left="0"/>
        <w:contextualSpacing w:val="0"/>
        <w:rPr>
          <w:rFonts w:ascii="Microsoft Sans Serif" w:hAnsi="Microsoft Sans Serif" w:cs="Microsoft Sans Serif"/>
          <w:color w:val="404040" w:themeColor="text1" w:themeTint="BF"/>
          <w:sz w:val="20"/>
          <w:szCs w:val="20"/>
        </w:rPr>
      </w:pPr>
    </w:p>
    <w:p w14:paraId="6FF6B560" w14:textId="66990581" w:rsidR="004C4799" w:rsidRPr="00FB38E1" w:rsidRDefault="004C4799" w:rsidP="00A51C71">
      <w:pPr>
        <w:pStyle w:val="ListParagraph"/>
        <w:tabs>
          <w:tab w:val="left" w:pos="0"/>
          <w:tab w:val="left" w:pos="284"/>
        </w:tabs>
        <w:spacing w:before="60" w:after="120"/>
        <w:ind w:left="0"/>
        <w:contextualSpacing w:val="0"/>
        <w:rPr>
          <w:rFonts w:ascii="Microsoft Sans Serif" w:hAnsi="Microsoft Sans Serif" w:cs="Microsoft Sans Serif"/>
          <w:color w:val="404040" w:themeColor="text1" w:themeTint="BF"/>
          <w:sz w:val="20"/>
          <w:szCs w:val="20"/>
        </w:rPr>
      </w:pPr>
    </w:p>
    <w:p w14:paraId="177519C8" w14:textId="026AC110" w:rsidR="004C4799" w:rsidRPr="00FB38E1" w:rsidRDefault="004C4799" w:rsidP="00A51C71">
      <w:pPr>
        <w:pStyle w:val="ListParagraph"/>
        <w:tabs>
          <w:tab w:val="left" w:pos="0"/>
          <w:tab w:val="left" w:pos="284"/>
        </w:tabs>
        <w:spacing w:before="60" w:after="120"/>
        <w:ind w:left="0"/>
        <w:contextualSpacing w:val="0"/>
        <w:rPr>
          <w:rFonts w:ascii="Microsoft Sans Serif" w:hAnsi="Microsoft Sans Serif" w:cs="Microsoft Sans Serif"/>
          <w:color w:val="404040" w:themeColor="text1" w:themeTint="BF"/>
          <w:sz w:val="20"/>
          <w:szCs w:val="20"/>
        </w:rPr>
      </w:pPr>
    </w:p>
    <w:p w14:paraId="547D2727" w14:textId="77777777" w:rsidR="004C4799" w:rsidRPr="00FB38E1" w:rsidRDefault="004C4799" w:rsidP="00A51C71">
      <w:pPr>
        <w:pStyle w:val="ListParagraph"/>
        <w:tabs>
          <w:tab w:val="left" w:pos="0"/>
          <w:tab w:val="left" w:pos="284"/>
        </w:tabs>
        <w:spacing w:before="60" w:after="120"/>
        <w:ind w:left="0"/>
        <w:contextualSpacing w:val="0"/>
        <w:rPr>
          <w:rFonts w:ascii="Microsoft Sans Serif" w:hAnsi="Microsoft Sans Serif" w:cs="Microsoft Sans Serif"/>
          <w:color w:val="404040" w:themeColor="text1" w:themeTint="BF"/>
          <w:sz w:val="20"/>
          <w:szCs w:val="20"/>
        </w:rPr>
      </w:pPr>
    </w:p>
    <w:p w14:paraId="61931633" w14:textId="5A368041" w:rsidR="0034371C" w:rsidRPr="00FB38E1" w:rsidRDefault="0071675D" w:rsidP="00076C9E">
      <w:pPr>
        <w:pStyle w:val="ListParagraph"/>
        <w:numPr>
          <w:ilvl w:val="0"/>
          <w:numId w:val="12"/>
        </w:numPr>
        <w:spacing w:before="240" w:after="120" w:line="240" w:lineRule="exact"/>
        <w:ind w:left="0" w:hanging="851"/>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rPr>
        <w:t>L</w:t>
      </w:r>
      <w:r w:rsidR="0034371C" w:rsidRPr="00FB38E1">
        <w:rPr>
          <w:rFonts w:ascii="Microsoft Sans Serif" w:hAnsi="Microsoft Sans Serif" w:cs="Microsoft Sans Serif"/>
          <w:b/>
        </w:rPr>
        <w:t xml:space="preserve">ikidite riski </w:t>
      </w:r>
      <w:r w:rsidR="00CB2D75" w:rsidRPr="00FB38E1">
        <w:rPr>
          <w:rFonts w:ascii="Microsoft Sans Serif" w:hAnsi="Microsoft Sans Serif" w:cs="Microsoft Sans Serif"/>
          <w:b/>
        </w:rPr>
        <w:t xml:space="preserve">yönetimi, likidite karşılama oranı ve net istikrarlı fonlama oranına </w:t>
      </w:r>
      <w:r w:rsidR="0034371C" w:rsidRPr="00FB38E1">
        <w:rPr>
          <w:rFonts w:ascii="Microsoft Sans Serif" w:hAnsi="Microsoft Sans Serif" w:cs="Microsoft Sans Serif"/>
          <w:b/>
        </w:rPr>
        <w:t>ilişkin açıklamalar</w:t>
      </w:r>
    </w:p>
    <w:p w14:paraId="62C78BF3" w14:textId="1C5497C0" w:rsidR="000D4255" w:rsidRPr="00FB38E1"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Likidite riski, genel anlamda fonlama riskinin oluşması veya piyasa likiditesinde meydana gelebilecek önemli değişiklikler sonucunda oluşabilmektedir</w:t>
      </w:r>
      <w:r w:rsidR="00D5139A" w:rsidRPr="00FB38E1">
        <w:rPr>
          <w:rFonts w:ascii="Microsoft Sans Serif" w:hAnsi="Microsoft Sans Serif" w:cs="Microsoft Sans Serif"/>
          <w:color w:val="404040" w:themeColor="text1" w:themeTint="BF"/>
          <w:sz w:val="20"/>
          <w:szCs w:val="20"/>
        </w:rPr>
        <w:t>.</w:t>
      </w:r>
      <w:r w:rsidRPr="00FB38E1">
        <w:rPr>
          <w:rFonts w:ascii="Microsoft Sans Serif" w:hAnsi="Microsoft Sans Serif" w:cs="Microsoft Sans Serif"/>
          <w:color w:val="404040" w:themeColor="text1" w:themeTint="BF"/>
          <w:sz w:val="20"/>
          <w:szCs w:val="20"/>
        </w:rPr>
        <w:t xml:space="preserve"> Fonlama riski; varlık ve yükümlülükler arasındaki vade uyumsuzluğu sonucunda Banka’nın nakit çıkışlarını tam olarak ve zamanında karşılayacak nitelikli nakit mevcuduna veya nakit girişine sahip olmaması durumudur. Piyasa likiditesi riski ise, yetersiz piyasa derinliği veya piyasa şartlarının bozulması gibi nedenlerle varlıkların nakde dönüştürülememe riskini ifade etmektedir.</w:t>
      </w:r>
      <w:r w:rsidR="000D4255" w:rsidRPr="00FB38E1">
        <w:rPr>
          <w:rFonts w:ascii="Microsoft Sans Serif" w:hAnsi="Microsoft Sans Serif" w:cs="Microsoft Sans Serif"/>
          <w:color w:val="404040" w:themeColor="text1" w:themeTint="BF"/>
          <w:sz w:val="20"/>
          <w:szCs w:val="20"/>
        </w:rPr>
        <w:t xml:space="preserve"> </w:t>
      </w:r>
    </w:p>
    <w:p w14:paraId="347A4C71" w14:textId="5A7DFA1A" w:rsidR="00633D85" w:rsidRPr="00FB38E1" w:rsidRDefault="00633D85" w:rsidP="00D82769">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Banka’nın risk kapasitesi, likidite riski yönetiminin sorumlulukları ve yapısı, likidite riskinin Banka içinde raporlaması, likidite riski stratejisinin, politika ve uygulamalarının yönetim kurulu ve iş kollarıyla iletişiminin nasıl sağlandığı hususları dâhil olmak üzere likidite riski yönetimine ilişkin bilgiler</w:t>
      </w:r>
      <w:r w:rsidR="00BC77FA" w:rsidRPr="00FB38E1">
        <w:rPr>
          <w:rFonts w:ascii="Microsoft Sans Serif" w:hAnsi="Microsoft Sans Serif" w:cs="Microsoft Sans Serif"/>
          <w:b/>
          <w:color w:val="404040" w:themeColor="text1" w:themeTint="BF"/>
          <w:sz w:val="20"/>
          <w:szCs w:val="20"/>
        </w:rPr>
        <w:t>:</w:t>
      </w:r>
    </w:p>
    <w:p w14:paraId="1C50D8EC" w14:textId="442C99A5" w:rsidR="000D4255" w:rsidRPr="00FB38E1"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 içerisinde, likidite riski yönetimine ilişkin usul ve esaslar, Yönetim Kurulu tarafından onaylanan “Likidite Riski Yönetimi Politikası” ile belirlenmiştir. Bu politikada ilgili yöntemler, prosedürler, kontroller ve raporlama çerçevesi de dâhil olmak üzere Banka içerisinde likidite risk yönetime ilişkin temel görev ve prensipler de yer almaktadır. Likidite Riski Yönetimi Politikası içerisinde “Likidite Acil Eylem Planı” oluşturulmuş ve beklenmedik likidite sıkışıklıklarına karşı alınabilecek önlemlere yer verilmiştir.</w:t>
      </w:r>
      <w:r w:rsidR="000D4255" w:rsidRPr="00FB38E1">
        <w:rPr>
          <w:rFonts w:ascii="Microsoft Sans Serif" w:hAnsi="Microsoft Sans Serif" w:cs="Microsoft Sans Serif"/>
          <w:color w:val="404040" w:themeColor="text1" w:themeTint="BF"/>
          <w:sz w:val="20"/>
          <w:szCs w:val="20"/>
        </w:rPr>
        <w:t xml:space="preserve"> </w:t>
      </w:r>
    </w:p>
    <w:p w14:paraId="649EA1EF" w14:textId="04B502D4" w:rsidR="000D4255" w:rsidRPr="00FB38E1" w:rsidRDefault="005C508B" w:rsidP="00D82769">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lang w:eastAsia="tr-TR"/>
        </w:rPr>
        <w:t>Banka’nın stratejisine ve finansal gücüne uygun olarak risklerin yönetilmesi için Yönetim Kurulu tarafından onaylanan “Risk İştahı Beyanı” yıllık olarak gözden geçirilmektedir. Risk İştahı Beyanı, diğer risk limitleri ile birlikte likidite riskine yönelik limitleri de içermektedir. Risk iştahı limitleri, risk yönetimi faaliyetleri kapsamında aylık olarak üst yönetime raporlanmaktadır. Risk iştahı beyanında (RİB), likidite riskine dair kredi / mevduat oranı, likidite karşılama oranı, stres koşullarında yaşam süresi ve mevduat yoğunlaşması gibi ölçütler üzerinden limitler belirlenmiştir. Bu metrikler dışında takip edilen diğer göstergeler; likidite tamponu, büyük tutarlı mevduat, çekirdek mevduat gibi analizler olarak sıralanabilir.</w:t>
      </w:r>
    </w:p>
    <w:p w14:paraId="34B7439D" w14:textId="03D3EEBC" w:rsidR="000D4255" w:rsidRPr="00FB38E1" w:rsidRDefault="00633D85" w:rsidP="00D82769">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Banka’nın kısa vadeli likidite yönetimi Hazine Grubu sorumluluğundadır. Hazine Grubu, likidite yapısı ile ilgili olarak haftalık bazda APKO</w:t>
      </w:r>
      <w:r w:rsidR="003D27F8" w:rsidRPr="00FB38E1">
        <w:rPr>
          <w:rFonts w:ascii="Microsoft Sans Serif" w:hAnsi="Microsoft Sans Serif" w:cs="Microsoft Sans Serif"/>
          <w:color w:val="404040" w:themeColor="text1" w:themeTint="BF"/>
          <w:sz w:val="20"/>
          <w:szCs w:val="20"/>
        </w:rPr>
        <w:t>’ya</w:t>
      </w:r>
      <w:r w:rsidRPr="00FB38E1">
        <w:rPr>
          <w:rFonts w:ascii="Microsoft Sans Serif" w:hAnsi="Microsoft Sans Serif" w:cs="Microsoft Sans Serif"/>
          <w:color w:val="404040" w:themeColor="text1" w:themeTint="BF"/>
          <w:sz w:val="20"/>
          <w:szCs w:val="20"/>
        </w:rPr>
        <w:t xml:space="preserve"> raporlama yapmaktadır. Yapısal likidite ve fonlama yönetimi konusunda nihai sorumluluk APKO’da bulunmaktadır. APKO, likidite ve fonlama yönetimi ile ilgili sistemlerin oluşturulmasının yanında izleme ve karar alma süreçlerinde aktif rol almaktadır. Mevcut likidite durumu ile yasal ve içsel likidite göstergelerinin izlenmesi, Banka stratejisi ve risk iştahı çerçevesini gözeterek likidite yönetimine ilişkin kararlar alınması APKO yetki ve sorumluluğundadır. Banka’daki Hazine Grubu, Finansal Kurumlar Grubu, Mali İşler Grubu, Risk Yönetimi Grubu gibi farklı bölümler APKO kararlarına istinaden Banka’nın likidite yönetimi sürecine katkıda bulunur ve ayrıca APKO’ya karar alma sürecinde ihtiyaç duyulan bilgi, analiz ve öneriler ile gerekli desteği sağlar.</w:t>
      </w:r>
      <w:r w:rsidR="000D4255" w:rsidRPr="00FB38E1">
        <w:rPr>
          <w:rFonts w:ascii="Microsoft Sans Serif" w:hAnsi="Microsoft Sans Serif" w:cs="Microsoft Sans Serif"/>
          <w:color w:val="404040" w:themeColor="text1" w:themeTint="BF"/>
          <w:sz w:val="20"/>
          <w:szCs w:val="20"/>
        </w:rPr>
        <w:t xml:space="preserve"> </w:t>
      </w:r>
    </w:p>
    <w:p w14:paraId="0F3A0E92" w14:textId="1CB06940" w:rsidR="00BC77FA" w:rsidRPr="00FB38E1" w:rsidRDefault="00BC77FA" w:rsidP="00D82769">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Likidite yönetiminin ve fonlama stratejisinin merkezileşme derecesi ile Banka’nın ortaklıkları arasındaki işleyişi hakkında bilgiler</w:t>
      </w:r>
    </w:p>
    <w:p w14:paraId="767151B4" w14:textId="118273FE" w:rsidR="00FD11D2" w:rsidRPr="00FB38E1" w:rsidRDefault="00FD11D2" w:rsidP="00D82769">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Likidite riski yönetimi konsolide olmayan ve konsolide bazda gerçekleştirilmektedir. Bu bağlamda, ortaklıklarda likidite takibi ve yönetimi ilgili ortaklık tarafından yapılmakla birlikte, Banka tarafından yakından izlenmektedir. Acil durumlarda ortaklıkların likidite ihtiyacını karşılamak amacıyla Banka tarafından limitler tahsis edilmiştir.</w:t>
      </w:r>
    </w:p>
    <w:p w14:paraId="0CCCE560" w14:textId="36C28408" w:rsidR="00FD11D2" w:rsidRPr="00FB38E1" w:rsidRDefault="00FD11D2" w:rsidP="00D82769">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Fon kaynaklarının ve sürelerinin çeşitliliğine ilişkin politikalar dâhil olmak üzere bankanın fonlama stratejisine ilişkin bilgiler</w:t>
      </w:r>
    </w:p>
    <w:p w14:paraId="70554585" w14:textId="17434C2E" w:rsidR="00FD11D2" w:rsidRPr="00FB38E1" w:rsidRDefault="00FD11D2" w:rsidP="00FD11D2">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Fonlamadan kaynaklanan likidite riski yönetimi, Banka’nın likidite yönetimi faaliyetlerinin temelini oluşturmaktadır. Mevduat kaynağı, Bankalardan sağlanan krediler ve diğer kaynaklara kıyasla daha istikrarlı bir fonlama olması ve çeşitlendirme etkisi nedeniyle Banka’nın ana fonlama kaynağı konumundadır. Ayrıca, fonlamanın vadesini uzatmak için menkul kıymet ihracı ve kredi kullanım faaliyetleri gerçekleştirilmektedir.</w:t>
      </w:r>
    </w:p>
    <w:p w14:paraId="4CE10A59" w14:textId="77777777" w:rsidR="00FF0ADD" w:rsidRPr="00FB38E1" w:rsidRDefault="00FF0ADD" w:rsidP="00FD11D2">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br w:type="page"/>
      </w:r>
    </w:p>
    <w:p w14:paraId="1C9055C6" w14:textId="16BF886A" w:rsidR="00FD11D2" w:rsidRPr="00FB38E1" w:rsidRDefault="00FD11D2" w:rsidP="00FD11D2">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Öte yandan, Banka’nın likidite riski yönetimi amacıyla taşıdığı menkul kıymetler portföyü, piyasadan kaynaklanan likidite riskinin asgari düzeye indirilmesi amacıyla, TCMB / BİST nezdinde gerçekleştirilen repo işlemlerine imkan sağladığı için büyük ölçüde T.C. Hazine Müsteşarlığı tarafından ihraç edilen hazine bonosu ve devlet tahvillerinden oluşacak şekilde yapılandırılmıştır. Bu portföye alınacak menkul kıymet yatırımlarına ilişkin kriter ve prensipler yazılı hale getirilmiş ve ilgili komite tarafından onaylanmıştır.</w:t>
      </w:r>
    </w:p>
    <w:p w14:paraId="6EE5494B" w14:textId="5F500131" w:rsidR="004A5F6B" w:rsidRPr="00FB38E1" w:rsidRDefault="004A5F6B" w:rsidP="00FD11D2">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Banka’nın toplam yükümlülüklerinin asgari yüzde beşini oluşturan para birimleri bazında likidite yönetimine ilişkin bilgiler</w:t>
      </w:r>
    </w:p>
    <w:p w14:paraId="135B25A2" w14:textId="1A06F088" w:rsidR="003A5EA2" w:rsidRPr="00FB38E1" w:rsidRDefault="004A5F6B" w:rsidP="00A51C71">
      <w:pPr>
        <w:pStyle w:val="ListParagraph"/>
        <w:tabs>
          <w:tab w:val="left" w:pos="0"/>
          <w:tab w:val="left" w:pos="284"/>
        </w:tabs>
        <w:spacing w:before="60" w:after="120"/>
        <w:ind w:left="0"/>
        <w:rPr>
          <w:rFonts w:ascii="Microsoft Sans Serif" w:eastAsia="Arial Unicode MS"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20"/>
          <w:szCs w:val="20"/>
        </w:rPr>
        <w:t>Banka yükümlülüklerinin büyük kısmı Türk Lirası, ABD Doları, Avro ve altın cinsinden oluşmaktadır. Banka’nın başlıca yabancı para fonlama kaynağını mevduat ve kredi kuruluşlarından alınan krediler oluşturmaktadır. Banka’nın yabancı para kaynaklarının, YP kredilerinden daha yüksek seviyede olması nedeniyle yabancı para likidite riski düşük seviyededir. Bu nedenle genellikle mevcut yabancı para likiditesi kullanılarak para swap işlemleri ile Türk Lirası yaratılmaktadır. Başka bir deyişle, Türk Lirası aktiflerin fonlanmasında yabancı para pasifler kullanılmaktadır.</w:t>
      </w:r>
      <w:r w:rsidR="009D0DF3" w:rsidRPr="00FB38E1">
        <w:rPr>
          <w:rFonts w:ascii="Microsoft Sans Serif" w:eastAsia="Arial Unicode MS" w:hAnsi="Microsoft Sans Serif" w:cs="Microsoft Sans Serif"/>
          <w:color w:val="404040" w:themeColor="text1" w:themeTint="BF"/>
          <w:sz w:val="16"/>
          <w:szCs w:val="16"/>
        </w:rPr>
        <w:t xml:space="preserve"> </w:t>
      </w:r>
    </w:p>
    <w:p w14:paraId="612DF16A" w14:textId="66DC5237" w:rsidR="004A5F6B" w:rsidRPr="00FB38E1" w:rsidRDefault="004A5F6B" w:rsidP="003D6FD3">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Kullanılan likidite riski azaltım tekniklerine ilişkin bilgiler</w:t>
      </w:r>
    </w:p>
    <w:p w14:paraId="6D545F6F" w14:textId="75A370A6" w:rsidR="004A5F6B" w:rsidRPr="00FB38E1" w:rsidRDefault="004A5F6B" w:rsidP="003D6F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Likidite riskinin azaltılması amacıyla muhtemel fon çıkışlarını karşılamak üzere likidite tamponu oluşturulmakta ve yakından takip edilmektedir. Kısa vadeli risklerin yönetilmesinde kullanılan repo için gerekli menkul kıymetler, belirli seviyede bilanço bünyesinde tutulmaktadır. Öte yandan yapısal likidite riskinin azaltılmasına yönelik fonlama kaynaklarının çeşitlendirilmesi ve vade yapısının uzatılması hedeflenmektedir. Mevduatta tabana yayılma stratejisi ise bir diğer önemli unsurdur.</w:t>
      </w:r>
    </w:p>
    <w:p w14:paraId="17BDD973" w14:textId="1B59A12F" w:rsidR="004A5F6B" w:rsidRPr="00FB38E1" w:rsidRDefault="004A5F6B" w:rsidP="003D6FD3">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Stres testinin kullanımına ilişkin açıklamalar</w:t>
      </w:r>
    </w:p>
    <w:p w14:paraId="0FBDCDF3" w14:textId="5C37020A" w:rsidR="004A5F6B" w:rsidRPr="00FB38E1" w:rsidRDefault="004A5F6B" w:rsidP="003D6F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Stres koşulları altında likidite seviyesini ölçmek için, daha önce yaşanmamış ve yaşanması muhtemel, likidite açısından önem arz eden özel koşulların dahil edildiği senaryo analizleri yapılmaktadır. Senaryo analizleri kapsamında, alınabilecek önlemler de değerlendirilerek, stres koşullarında dahi tüm yükümlülükleri karşılayacak yeterli miktarda likidite seviyesi hedeflenmektedir. Likidite stres testlerine ilişkin varsayımlar asgari yıllık bazda gözden geçirilmektedir. Belirlenen senaryolar dahilinde Risk Yönetimi Bölümü tarafından düzenli olarak stres testleri gerçekleştirilmekte ve likidite durumu izlenmekte, Banka’nın ayakta kalabileceği süre hesaplanarak, belirlenen limitler ile sonuçlar karşılaştırılmakta ve ilgili komitelere sunulmaktadır.</w:t>
      </w:r>
    </w:p>
    <w:p w14:paraId="45561AAA" w14:textId="5889588C" w:rsidR="004A5F6B" w:rsidRPr="00FB38E1" w:rsidRDefault="00DC3CBD" w:rsidP="003D6FD3">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Likidite acil ve beklenmedik durum planına ilişkin genel bilgiler</w:t>
      </w:r>
    </w:p>
    <w:p w14:paraId="43CDC4BC" w14:textId="77777777" w:rsidR="00DC3CBD" w:rsidRPr="00FB38E1" w:rsidRDefault="00DC3CBD" w:rsidP="00DC3CBD">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Yaşanabilecek likidite krizlerine karşı hazırlıklı olunması ve yönetiminin sağlıklı ve planlı olarak yapılabilmesi için, uygun süreçlerin düzenlendiği ve bu süreçlere kılavuzluk edecek “Likidite Beklenmedik Durum Planı Yönetmeliği” oluşturulmuştur. İlgili dokümanda, beklenmedik likidite durumunu tespit etmekte kullanılan erken uyarı göstergeleri, aksiyon planları, Banka bünyesindeki birimlerin görev ve sorumlulukları belirtilmektedir. </w:t>
      </w:r>
    </w:p>
    <w:p w14:paraId="08D95B31" w14:textId="3DD7C62E" w:rsidR="0034371C" w:rsidRPr="00FB38E1" w:rsidRDefault="0034371C" w:rsidP="00076C9E">
      <w:pPr>
        <w:pStyle w:val="BASLIK2"/>
        <w:widowControl/>
        <w:numPr>
          <w:ilvl w:val="0"/>
          <w:numId w:val="16"/>
        </w:numPr>
        <w:spacing w:line="240" w:lineRule="exact"/>
        <w:ind w:left="0" w:hanging="567"/>
        <w:rPr>
          <w:rFonts w:ascii="Microsoft Sans Serif" w:hAnsi="Microsoft Sans Serif" w:cs="Microsoft Sans Serif"/>
          <w:sz w:val="20"/>
          <w:szCs w:val="20"/>
        </w:rPr>
      </w:pPr>
      <w:r w:rsidRPr="00FB38E1">
        <w:rPr>
          <w:rFonts w:ascii="Microsoft Sans Serif" w:hAnsi="Microsoft Sans Serif" w:cs="Microsoft Sans Serif"/>
          <w:sz w:val="20"/>
          <w:szCs w:val="20"/>
        </w:rPr>
        <w:t>Likidite karşılama oranı</w:t>
      </w:r>
    </w:p>
    <w:p w14:paraId="19DA9AA5" w14:textId="33E6C6D9" w:rsidR="005C661D" w:rsidRPr="00FB38E1"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21 Mart 2014 tarihli ve 28948 sayılı Resmî Gazete'de yayımlanan Bankaların Likidite Karşılama Oranı Hesaplamasına İlişkin Yönetmelik uyarınca hesaplanan likidite karşılama oranları aşağıdaki gibidir. Son üç ay için haftalık olarak hesaplanan konsolide olmay</w:t>
      </w:r>
      <w:r w:rsidR="00A60C2C" w:rsidRPr="00FB38E1">
        <w:rPr>
          <w:rFonts w:ascii="Microsoft Sans Serif" w:hAnsi="Microsoft Sans Serif" w:cs="Microsoft Sans Serif"/>
          <w:color w:val="404040" w:themeColor="text1" w:themeTint="BF"/>
          <w:sz w:val="20"/>
          <w:szCs w:val="20"/>
        </w:rPr>
        <w:t xml:space="preserve">an yabancı para oranı en düşük </w:t>
      </w:r>
      <w:r w:rsidR="003C178B" w:rsidRPr="00FB38E1">
        <w:rPr>
          <w:rFonts w:ascii="Microsoft Sans Serif" w:hAnsi="Microsoft Sans Serif" w:cs="Microsoft Sans Serif"/>
          <w:color w:val="404040" w:themeColor="text1" w:themeTint="BF"/>
          <w:sz w:val="20"/>
          <w:szCs w:val="20"/>
        </w:rPr>
        <w:t>8</w:t>
      </w:r>
      <w:r w:rsidR="00D65553" w:rsidRPr="00FB38E1">
        <w:rPr>
          <w:rFonts w:ascii="Microsoft Sans Serif" w:hAnsi="Microsoft Sans Serif" w:cs="Microsoft Sans Serif"/>
          <w:color w:val="404040" w:themeColor="text1" w:themeTint="BF"/>
          <w:sz w:val="20"/>
          <w:szCs w:val="20"/>
        </w:rPr>
        <w:t xml:space="preserve"> </w:t>
      </w:r>
      <w:r w:rsidR="003C178B" w:rsidRPr="00FB38E1">
        <w:rPr>
          <w:rFonts w:ascii="Microsoft Sans Serif" w:hAnsi="Microsoft Sans Serif" w:cs="Microsoft Sans Serif"/>
          <w:color w:val="404040" w:themeColor="text1" w:themeTint="BF"/>
          <w:sz w:val="20"/>
          <w:szCs w:val="20"/>
        </w:rPr>
        <w:t>Kasım</w:t>
      </w:r>
      <w:r w:rsidRPr="00FB38E1">
        <w:rPr>
          <w:rFonts w:ascii="Microsoft Sans Serif" w:hAnsi="Microsoft Sans Serif" w:cs="Microsoft Sans Serif"/>
          <w:color w:val="404040" w:themeColor="text1" w:themeTint="BF"/>
          <w:sz w:val="20"/>
          <w:szCs w:val="20"/>
        </w:rPr>
        <w:t xml:space="preserve"> haftası </w:t>
      </w:r>
      <w:r w:rsidR="003C178B" w:rsidRPr="00FB38E1">
        <w:rPr>
          <w:rFonts w:ascii="Microsoft Sans Serif" w:hAnsi="Microsoft Sans Serif" w:cs="Microsoft Sans Serif"/>
          <w:color w:val="404040" w:themeColor="text1" w:themeTint="BF"/>
          <w:sz w:val="20"/>
          <w:szCs w:val="20"/>
        </w:rPr>
        <w:t>136,09</w:t>
      </w:r>
      <w:r w:rsidR="00731F45" w:rsidRPr="00FB38E1">
        <w:rPr>
          <w:rFonts w:ascii="Microsoft Sans Serif" w:hAnsi="Microsoft Sans Serif" w:cs="Microsoft Sans Serif"/>
          <w:color w:val="404040" w:themeColor="text1" w:themeTint="BF"/>
          <w:sz w:val="20"/>
          <w:szCs w:val="20"/>
        </w:rPr>
        <w:t xml:space="preserve">, en yüksek </w:t>
      </w:r>
      <w:r w:rsidR="003C178B" w:rsidRPr="00FB38E1">
        <w:rPr>
          <w:rFonts w:ascii="Microsoft Sans Serif" w:hAnsi="Microsoft Sans Serif" w:cs="Microsoft Sans Serif"/>
          <w:color w:val="404040" w:themeColor="text1" w:themeTint="BF"/>
          <w:sz w:val="20"/>
          <w:szCs w:val="20"/>
        </w:rPr>
        <w:t>6</w:t>
      </w:r>
      <w:r w:rsidR="001910D3" w:rsidRPr="00FB38E1">
        <w:rPr>
          <w:rFonts w:ascii="Microsoft Sans Serif" w:hAnsi="Microsoft Sans Serif" w:cs="Microsoft Sans Serif"/>
          <w:color w:val="404040" w:themeColor="text1" w:themeTint="BF"/>
          <w:sz w:val="20"/>
          <w:szCs w:val="20"/>
        </w:rPr>
        <w:t xml:space="preserve"> </w:t>
      </w:r>
      <w:r w:rsidR="003C178B" w:rsidRPr="00FB38E1">
        <w:rPr>
          <w:rFonts w:ascii="Microsoft Sans Serif" w:hAnsi="Microsoft Sans Serif" w:cs="Microsoft Sans Serif"/>
          <w:color w:val="404040" w:themeColor="text1" w:themeTint="BF"/>
          <w:sz w:val="20"/>
          <w:szCs w:val="20"/>
        </w:rPr>
        <w:t>Aralık</w:t>
      </w:r>
      <w:r w:rsidRPr="00FB38E1">
        <w:rPr>
          <w:rFonts w:ascii="Microsoft Sans Serif" w:hAnsi="Microsoft Sans Serif" w:cs="Microsoft Sans Serif"/>
          <w:color w:val="404040" w:themeColor="text1" w:themeTint="BF"/>
          <w:sz w:val="20"/>
          <w:szCs w:val="20"/>
        </w:rPr>
        <w:t xml:space="preserve"> haftası </w:t>
      </w:r>
      <w:r w:rsidR="00A506ED" w:rsidRPr="00FB38E1">
        <w:rPr>
          <w:rFonts w:ascii="Microsoft Sans Serif" w:hAnsi="Microsoft Sans Serif" w:cs="Microsoft Sans Serif"/>
          <w:color w:val="404040" w:themeColor="text1" w:themeTint="BF"/>
          <w:sz w:val="20"/>
          <w:szCs w:val="20"/>
        </w:rPr>
        <w:t>2</w:t>
      </w:r>
      <w:r w:rsidR="003C178B" w:rsidRPr="00FB38E1">
        <w:rPr>
          <w:rFonts w:ascii="Microsoft Sans Serif" w:hAnsi="Microsoft Sans Serif" w:cs="Microsoft Sans Serif"/>
          <w:color w:val="404040" w:themeColor="text1" w:themeTint="BF"/>
          <w:sz w:val="20"/>
          <w:szCs w:val="20"/>
        </w:rPr>
        <w:t>44</w:t>
      </w:r>
      <w:r w:rsidR="00A506ED" w:rsidRPr="00FB38E1">
        <w:rPr>
          <w:rFonts w:ascii="Microsoft Sans Serif" w:hAnsi="Microsoft Sans Serif" w:cs="Microsoft Sans Serif"/>
          <w:color w:val="404040" w:themeColor="text1" w:themeTint="BF"/>
          <w:sz w:val="20"/>
          <w:szCs w:val="20"/>
        </w:rPr>
        <w:t>,</w:t>
      </w:r>
      <w:r w:rsidR="003C178B" w:rsidRPr="00FB38E1">
        <w:rPr>
          <w:rFonts w:ascii="Microsoft Sans Serif" w:hAnsi="Microsoft Sans Serif" w:cs="Microsoft Sans Serif"/>
          <w:color w:val="404040" w:themeColor="text1" w:themeTint="BF"/>
          <w:sz w:val="20"/>
          <w:szCs w:val="20"/>
        </w:rPr>
        <w:t>2</w:t>
      </w:r>
      <w:r w:rsidR="00A506ED" w:rsidRPr="00FB38E1">
        <w:rPr>
          <w:rFonts w:ascii="Microsoft Sans Serif" w:hAnsi="Microsoft Sans Serif" w:cs="Microsoft Sans Serif"/>
          <w:color w:val="404040" w:themeColor="text1" w:themeTint="BF"/>
          <w:sz w:val="20"/>
          <w:szCs w:val="20"/>
        </w:rPr>
        <w:t>1</w:t>
      </w:r>
      <w:r w:rsidRPr="00FB38E1">
        <w:rPr>
          <w:rFonts w:ascii="Microsoft Sans Serif" w:hAnsi="Microsoft Sans Serif" w:cs="Microsoft Sans Serif"/>
          <w:color w:val="404040" w:themeColor="text1" w:themeTint="BF"/>
          <w:sz w:val="20"/>
          <w:szCs w:val="20"/>
        </w:rPr>
        <w:t xml:space="preserve"> ve toplam likidi</w:t>
      </w:r>
      <w:r w:rsidR="00A60C2C" w:rsidRPr="00FB38E1">
        <w:rPr>
          <w:rFonts w:ascii="Microsoft Sans Serif" w:hAnsi="Microsoft Sans Serif" w:cs="Microsoft Sans Serif"/>
          <w:color w:val="404040" w:themeColor="text1" w:themeTint="BF"/>
          <w:sz w:val="20"/>
          <w:szCs w:val="20"/>
        </w:rPr>
        <w:t xml:space="preserve">te karşılama oranının en düşük </w:t>
      </w:r>
      <w:r w:rsidR="003C178B" w:rsidRPr="00FB38E1">
        <w:rPr>
          <w:rFonts w:ascii="Microsoft Sans Serif" w:hAnsi="Microsoft Sans Serif" w:cs="Microsoft Sans Serif"/>
          <w:color w:val="404040" w:themeColor="text1" w:themeTint="BF"/>
          <w:sz w:val="20"/>
          <w:szCs w:val="20"/>
        </w:rPr>
        <w:t>27</w:t>
      </w:r>
      <w:r w:rsidR="00D65553" w:rsidRPr="00FB38E1">
        <w:rPr>
          <w:rFonts w:ascii="Microsoft Sans Serif" w:hAnsi="Microsoft Sans Serif" w:cs="Microsoft Sans Serif"/>
          <w:color w:val="404040" w:themeColor="text1" w:themeTint="BF"/>
          <w:sz w:val="20"/>
          <w:szCs w:val="20"/>
        </w:rPr>
        <w:t xml:space="preserve"> </w:t>
      </w:r>
      <w:r w:rsidR="003C178B" w:rsidRPr="00FB38E1">
        <w:rPr>
          <w:rFonts w:ascii="Microsoft Sans Serif" w:hAnsi="Microsoft Sans Serif" w:cs="Microsoft Sans Serif"/>
          <w:color w:val="404040" w:themeColor="text1" w:themeTint="BF"/>
          <w:sz w:val="20"/>
          <w:szCs w:val="20"/>
        </w:rPr>
        <w:t>Aralık</w:t>
      </w:r>
      <w:r w:rsidRPr="00FB38E1">
        <w:rPr>
          <w:rFonts w:ascii="Microsoft Sans Serif" w:hAnsi="Microsoft Sans Serif" w:cs="Microsoft Sans Serif"/>
          <w:color w:val="404040" w:themeColor="text1" w:themeTint="BF"/>
          <w:sz w:val="20"/>
          <w:szCs w:val="20"/>
        </w:rPr>
        <w:t xml:space="preserve"> haftası </w:t>
      </w:r>
      <w:r w:rsidR="003C178B" w:rsidRPr="00FB38E1">
        <w:rPr>
          <w:rFonts w:ascii="Microsoft Sans Serif" w:hAnsi="Microsoft Sans Serif" w:cs="Microsoft Sans Serif"/>
          <w:color w:val="404040" w:themeColor="text1" w:themeTint="BF"/>
          <w:sz w:val="20"/>
          <w:szCs w:val="20"/>
        </w:rPr>
        <w:t>168,98</w:t>
      </w:r>
      <w:r w:rsidRPr="00FB38E1">
        <w:rPr>
          <w:rFonts w:ascii="Microsoft Sans Serif" w:hAnsi="Microsoft Sans Serif" w:cs="Microsoft Sans Serif"/>
          <w:color w:val="404040" w:themeColor="text1" w:themeTint="BF"/>
          <w:sz w:val="20"/>
          <w:szCs w:val="20"/>
        </w:rPr>
        <w:t xml:space="preserve"> ve en yüksek </w:t>
      </w:r>
      <w:r w:rsidR="00A506ED" w:rsidRPr="00FB38E1">
        <w:rPr>
          <w:rFonts w:ascii="Microsoft Sans Serif" w:hAnsi="Microsoft Sans Serif" w:cs="Microsoft Sans Serif"/>
          <w:color w:val="404040" w:themeColor="text1" w:themeTint="BF"/>
          <w:sz w:val="20"/>
          <w:szCs w:val="20"/>
        </w:rPr>
        <w:t>2</w:t>
      </w:r>
      <w:r w:rsidR="003C178B" w:rsidRPr="00FB38E1">
        <w:rPr>
          <w:rFonts w:ascii="Microsoft Sans Serif" w:hAnsi="Microsoft Sans Serif" w:cs="Microsoft Sans Serif"/>
          <w:color w:val="404040" w:themeColor="text1" w:themeTint="BF"/>
          <w:sz w:val="20"/>
          <w:szCs w:val="20"/>
        </w:rPr>
        <w:t>5</w:t>
      </w:r>
      <w:r w:rsidR="00A506ED" w:rsidRPr="00FB38E1">
        <w:rPr>
          <w:rFonts w:ascii="Microsoft Sans Serif" w:hAnsi="Microsoft Sans Serif" w:cs="Microsoft Sans Serif"/>
          <w:color w:val="404040" w:themeColor="text1" w:themeTint="BF"/>
          <w:sz w:val="20"/>
          <w:szCs w:val="20"/>
        </w:rPr>
        <w:t xml:space="preserve"> </w:t>
      </w:r>
      <w:r w:rsidR="003C178B" w:rsidRPr="00FB38E1">
        <w:rPr>
          <w:rFonts w:ascii="Microsoft Sans Serif" w:hAnsi="Microsoft Sans Serif" w:cs="Microsoft Sans Serif"/>
          <w:color w:val="404040" w:themeColor="text1" w:themeTint="BF"/>
          <w:sz w:val="20"/>
          <w:szCs w:val="20"/>
        </w:rPr>
        <w:t>Ekim</w:t>
      </w:r>
      <w:r w:rsidR="00156DD0" w:rsidRPr="00FB38E1">
        <w:rPr>
          <w:rFonts w:ascii="Microsoft Sans Serif" w:hAnsi="Microsoft Sans Serif" w:cs="Microsoft Sans Serif"/>
          <w:color w:val="404040" w:themeColor="text1" w:themeTint="BF"/>
          <w:sz w:val="20"/>
          <w:szCs w:val="20"/>
        </w:rPr>
        <w:t xml:space="preserve"> </w:t>
      </w:r>
      <w:r w:rsidRPr="00FB38E1">
        <w:rPr>
          <w:rFonts w:ascii="Microsoft Sans Serif" w:hAnsi="Microsoft Sans Serif" w:cs="Microsoft Sans Serif"/>
          <w:color w:val="404040" w:themeColor="text1" w:themeTint="BF"/>
          <w:sz w:val="20"/>
          <w:szCs w:val="20"/>
        </w:rPr>
        <w:t xml:space="preserve">haftası </w:t>
      </w:r>
      <w:r w:rsidR="003C178B" w:rsidRPr="00FB38E1">
        <w:rPr>
          <w:rFonts w:ascii="Microsoft Sans Serif" w:hAnsi="Microsoft Sans Serif" w:cs="Microsoft Sans Serif"/>
          <w:color w:val="404040" w:themeColor="text1" w:themeTint="BF"/>
          <w:sz w:val="20"/>
          <w:szCs w:val="20"/>
        </w:rPr>
        <w:t>243,43</w:t>
      </w:r>
      <w:r w:rsidRPr="00FB38E1">
        <w:rPr>
          <w:rFonts w:ascii="Microsoft Sans Serif" w:hAnsi="Microsoft Sans Serif" w:cs="Microsoft Sans Serif"/>
          <w:color w:val="404040" w:themeColor="text1" w:themeTint="BF"/>
          <w:sz w:val="20"/>
          <w:szCs w:val="20"/>
        </w:rPr>
        <w:t xml:space="preserve"> olarak</w:t>
      </w:r>
      <w:r w:rsidR="00E835D1" w:rsidRPr="00FB38E1">
        <w:rPr>
          <w:rFonts w:ascii="Microsoft Sans Serif" w:hAnsi="Microsoft Sans Serif" w:cs="Microsoft Sans Serif"/>
          <w:color w:val="404040" w:themeColor="text1" w:themeTint="BF"/>
          <w:sz w:val="20"/>
          <w:szCs w:val="20"/>
        </w:rPr>
        <w:t xml:space="preserve"> </w:t>
      </w:r>
      <w:r w:rsidR="00E835D1" w:rsidRPr="00FB38E1">
        <w:rPr>
          <w:rFonts w:ascii="Microsoft Sans Serif" w:hAnsi="Microsoft Sans Serif" w:cs="Microsoft Sans Serif"/>
          <w:color w:val="404040" w:themeColor="text1" w:themeTint="BF"/>
          <w:sz w:val="20"/>
          <w:szCs w:val="20"/>
          <w:lang w:eastAsia="tr-TR"/>
        </w:rPr>
        <w:t>gerçekleşmiştir</w:t>
      </w:r>
      <w:r w:rsidRPr="00FB38E1">
        <w:rPr>
          <w:rFonts w:ascii="Microsoft Sans Serif" w:hAnsi="Microsoft Sans Serif" w:cs="Microsoft Sans Serif"/>
          <w:color w:val="404040" w:themeColor="text1" w:themeTint="BF"/>
          <w:sz w:val="20"/>
          <w:szCs w:val="20"/>
        </w:rPr>
        <w:t>.</w:t>
      </w:r>
    </w:p>
    <w:p w14:paraId="22AAE59B" w14:textId="09BBF810" w:rsidR="005C661D" w:rsidRPr="00FB38E1"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Likidite karşılama oranı hesaplama tablosu </w:t>
      </w:r>
      <w:r w:rsidR="001B0C44" w:rsidRPr="00FB38E1">
        <w:rPr>
          <w:rFonts w:ascii="Microsoft Sans Serif" w:hAnsi="Microsoft Sans Serif" w:cs="Microsoft Sans Serif"/>
          <w:color w:val="404040" w:themeColor="text1" w:themeTint="BF"/>
          <w:sz w:val="20"/>
          <w:szCs w:val="20"/>
        </w:rPr>
        <w:t>haftalık</w:t>
      </w:r>
      <w:r w:rsidRPr="00FB38E1">
        <w:rPr>
          <w:rFonts w:ascii="Microsoft Sans Serif" w:hAnsi="Microsoft Sans Serif" w:cs="Microsoft Sans Serif"/>
          <w:color w:val="404040" w:themeColor="text1" w:themeTint="BF"/>
          <w:sz w:val="20"/>
          <w:szCs w:val="20"/>
        </w:rPr>
        <w:t xml:space="preserve"> olarak BDDK’ya raporlanmakta, Banka içinde günlük olarak takip edilmektedir.</w:t>
      </w:r>
    </w:p>
    <w:p w14:paraId="0EBA8581" w14:textId="1538D428" w:rsidR="005C661D" w:rsidRPr="00FB38E1" w:rsidRDefault="005C661D" w:rsidP="00931840">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Rasyo hesabında yer alan yüksek kaliteli likit varlıklar; nakit değerler, TCMB’de tutulan rezervler ve serbest menkul kıymetlerden oluşmaktadır. Nakit çıkışları ise, mevduat, banka borçlanmaları, gayrinakdi krediler, türev ürünler ve vadesi belli olmayan diğer borçlardan oluşmaktadır. Bununla birlikte, şarta bağlı erken ödeme hükmü içermesi nedeniyle bazı banka borçlanmaları vadesine bakılmaksızın nakit çıkışı olarak gösterilmektedir. Ayrıca nakit çıkışları içerisinde türev işlemlerin gerçeğe uygun değerlerindeki olası değişimlerden kaynaklanabilecek ilave teminat yükümlülüğü yer almaktadır. Nakit girişleri ise, vadesi 30 günden daha kısa süreli, son ödeme tarihi kesin olan krediler ile bankalardan alacaklar ve türev ürünlerden oluşmaktadır.</w:t>
      </w:r>
    </w:p>
    <w:p w14:paraId="432D7EB6" w14:textId="259D1210" w:rsidR="00A332B2" w:rsidRPr="00FB38E1" w:rsidRDefault="0092285E" w:rsidP="003F2055">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LKO, Banka için önemli bir likidite yönetimi ölçütü olarak kabul edilmektedir. Banka likiditesini yabancı para için %80, toplamda ise %100 seviyesindeki asgari LKO limitleri çerçevesinde yönetmeyi başarmıştır. Risk İştahı Beyanında, LKO için yasal asgari limitlerin üzerinde dahili limitler belirlenmiş olup, ilgili rasyo APKO, üst yönetim ve Yönetim Kurulu seviyesinde raporlanmakta ve takip edilmektedir</w:t>
      </w:r>
      <w:r w:rsidR="005C661D" w:rsidRPr="00FB38E1">
        <w:rPr>
          <w:rFonts w:ascii="Microsoft Sans Serif" w:hAnsi="Microsoft Sans Serif" w:cs="Microsoft Sans Serif"/>
          <w:color w:val="404040" w:themeColor="text1" w:themeTint="BF"/>
          <w:sz w:val="20"/>
          <w:szCs w:val="20"/>
        </w:rPr>
        <w:t>.</w:t>
      </w:r>
      <w:r w:rsidR="00A332B2" w:rsidRPr="00FB38E1">
        <w:rPr>
          <w:rFonts w:ascii="Microsoft Sans Serif" w:hAnsi="Microsoft Sans Serif" w:cs="Microsoft Sans Serif"/>
          <w:sz w:val="20"/>
          <w:szCs w:val="20"/>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5"/>
        <w:gridCol w:w="4821"/>
        <w:gridCol w:w="1134"/>
        <w:gridCol w:w="1134"/>
        <w:gridCol w:w="1134"/>
        <w:gridCol w:w="1081"/>
      </w:tblGrid>
      <w:tr w:rsidR="00184116" w:rsidRPr="00FB38E1" w14:paraId="597F02A5" w14:textId="77777777" w:rsidTr="00F35FA5">
        <w:tc>
          <w:tcPr>
            <w:tcW w:w="174" w:type="pct"/>
            <w:shd w:val="clear" w:color="auto" w:fill="auto"/>
            <w:vAlign w:val="bottom"/>
          </w:tcPr>
          <w:p w14:paraId="158C1F26" w14:textId="77777777" w:rsidR="00184116" w:rsidRPr="00FB38E1" w:rsidRDefault="00184116">
            <w:pPr>
              <w:rPr>
                <w:rFonts w:ascii="Microsoft Sans Serif" w:hAnsi="Microsoft Sans Serif" w:cs="Microsoft Sans Serif"/>
                <w:color w:val="000000"/>
                <w:sz w:val="14"/>
                <w:szCs w:val="14"/>
              </w:rPr>
            </w:pPr>
          </w:p>
        </w:tc>
        <w:tc>
          <w:tcPr>
            <w:tcW w:w="2501" w:type="pct"/>
            <w:shd w:val="clear" w:color="auto" w:fill="auto"/>
            <w:vAlign w:val="bottom"/>
          </w:tcPr>
          <w:p w14:paraId="3B93BF0F" w14:textId="77777777" w:rsidR="00184116" w:rsidRPr="00FB38E1" w:rsidRDefault="00184116">
            <w:pPr>
              <w:rPr>
                <w:rFonts w:ascii="Microsoft Sans Serif" w:hAnsi="Microsoft Sans Serif" w:cs="Microsoft Sans Serif"/>
                <w:color w:val="000000"/>
                <w:sz w:val="14"/>
                <w:szCs w:val="14"/>
              </w:rPr>
            </w:pPr>
          </w:p>
        </w:tc>
        <w:tc>
          <w:tcPr>
            <w:tcW w:w="1176" w:type="pct"/>
            <w:gridSpan w:val="2"/>
            <w:tcBorders>
              <w:bottom w:val="nil"/>
            </w:tcBorders>
            <w:shd w:val="clear" w:color="auto" w:fill="auto"/>
            <w:vAlign w:val="bottom"/>
          </w:tcPr>
          <w:p w14:paraId="2E157C84" w14:textId="77777777" w:rsidR="00184116" w:rsidRPr="00FB38E1" w:rsidRDefault="0018411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Dikkate Alınma Oranı</w:t>
            </w:r>
          </w:p>
        </w:tc>
        <w:tc>
          <w:tcPr>
            <w:tcW w:w="1149" w:type="pct"/>
            <w:gridSpan w:val="2"/>
            <w:tcBorders>
              <w:bottom w:val="nil"/>
            </w:tcBorders>
            <w:shd w:val="clear" w:color="auto" w:fill="auto"/>
            <w:vAlign w:val="bottom"/>
          </w:tcPr>
          <w:p w14:paraId="0956942C" w14:textId="77777777" w:rsidR="00184116" w:rsidRPr="00FB38E1" w:rsidRDefault="00184116" w:rsidP="00EA03A4">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Dikkate Alınma Oranı</w:t>
            </w:r>
          </w:p>
        </w:tc>
      </w:tr>
      <w:tr w:rsidR="00184116" w:rsidRPr="00FB38E1" w14:paraId="7FCA102C" w14:textId="77777777" w:rsidTr="00F35FA5">
        <w:tc>
          <w:tcPr>
            <w:tcW w:w="174" w:type="pct"/>
            <w:tcBorders>
              <w:bottom w:val="nil"/>
            </w:tcBorders>
            <w:shd w:val="clear" w:color="auto" w:fill="auto"/>
            <w:vAlign w:val="bottom"/>
          </w:tcPr>
          <w:p w14:paraId="789569A7" w14:textId="77777777" w:rsidR="00184116" w:rsidRPr="00FB38E1" w:rsidRDefault="00184116">
            <w:pPr>
              <w:rPr>
                <w:rFonts w:ascii="Microsoft Sans Serif" w:hAnsi="Microsoft Sans Serif" w:cs="Microsoft Sans Serif"/>
                <w:color w:val="000000"/>
                <w:sz w:val="14"/>
                <w:szCs w:val="14"/>
              </w:rPr>
            </w:pPr>
          </w:p>
        </w:tc>
        <w:tc>
          <w:tcPr>
            <w:tcW w:w="2501" w:type="pct"/>
            <w:tcBorders>
              <w:bottom w:val="nil"/>
            </w:tcBorders>
            <w:shd w:val="clear" w:color="auto" w:fill="auto"/>
            <w:vAlign w:val="bottom"/>
          </w:tcPr>
          <w:p w14:paraId="17031339" w14:textId="77777777" w:rsidR="00184116" w:rsidRPr="00FB38E1" w:rsidRDefault="00184116">
            <w:pPr>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Cari Dönem</w:t>
            </w:r>
          </w:p>
        </w:tc>
        <w:tc>
          <w:tcPr>
            <w:tcW w:w="1176" w:type="pct"/>
            <w:gridSpan w:val="2"/>
            <w:tcBorders>
              <w:top w:val="nil"/>
              <w:bottom w:val="nil"/>
            </w:tcBorders>
            <w:shd w:val="clear" w:color="auto" w:fill="auto"/>
            <w:vAlign w:val="bottom"/>
          </w:tcPr>
          <w:p w14:paraId="6C052661" w14:textId="77777777" w:rsidR="00184116" w:rsidRPr="00FB38E1" w:rsidRDefault="0018411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shd w:val="clear" w:color="auto" w:fill="auto"/>
            <w:vAlign w:val="bottom"/>
          </w:tcPr>
          <w:p w14:paraId="1C9E4BAE" w14:textId="77777777" w:rsidR="00184116" w:rsidRPr="00FB38E1" w:rsidRDefault="00184116" w:rsidP="0018411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Uygulanmış Toplam Değer (*)</w:t>
            </w:r>
          </w:p>
        </w:tc>
      </w:tr>
      <w:tr w:rsidR="00184116" w:rsidRPr="00FB38E1" w14:paraId="52A30BE4" w14:textId="77777777" w:rsidTr="00F35FA5">
        <w:tc>
          <w:tcPr>
            <w:tcW w:w="174" w:type="pct"/>
            <w:tcBorders>
              <w:top w:val="nil"/>
              <w:bottom w:val="single" w:sz="4" w:space="0" w:color="auto"/>
            </w:tcBorders>
            <w:shd w:val="clear" w:color="auto" w:fill="auto"/>
            <w:vAlign w:val="bottom"/>
          </w:tcPr>
          <w:p w14:paraId="05DB7082" w14:textId="77777777" w:rsidR="00184116" w:rsidRPr="00FB38E1" w:rsidRDefault="00184116">
            <w:pPr>
              <w:rPr>
                <w:rFonts w:ascii="Microsoft Sans Serif" w:hAnsi="Microsoft Sans Serif" w:cs="Microsoft Sans Serif"/>
                <w:color w:val="000000"/>
                <w:sz w:val="14"/>
                <w:szCs w:val="14"/>
              </w:rPr>
            </w:pPr>
          </w:p>
        </w:tc>
        <w:tc>
          <w:tcPr>
            <w:tcW w:w="2501" w:type="pct"/>
            <w:tcBorders>
              <w:top w:val="nil"/>
              <w:bottom w:val="single" w:sz="4" w:space="0" w:color="auto"/>
            </w:tcBorders>
            <w:shd w:val="clear" w:color="auto" w:fill="auto"/>
            <w:vAlign w:val="bottom"/>
          </w:tcPr>
          <w:p w14:paraId="4E77DCE7" w14:textId="77777777" w:rsidR="00184116" w:rsidRPr="00FB38E1" w:rsidRDefault="00184116">
            <w:pPr>
              <w:rPr>
                <w:rFonts w:ascii="Microsoft Sans Serif" w:hAnsi="Microsoft Sans Serif" w:cs="Microsoft Sans Serif"/>
                <w:color w:val="000000"/>
                <w:sz w:val="14"/>
                <w:szCs w:val="14"/>
              </w:rPr>
            </w:pPr>
          </w:p>
        </w:tc>
        <w:tc>
          <w:tcPr>
            <w:tcW w:w="588" w:type="pct"/>
            <w:tcBorders>
              <w:top w:val="nil"/>
              <w:bottom w:val="single" w:sz="4" w:space="0" w:color="auto"/>
            </w:tcBorders>
            <w:shd w:val="clear" w:color="auto" w:fill="auto"/>
            <w:vAlign w:val="bottom"/>
          </w:tcPr>
          <w:p w14:paraId="6762742A" w14:textId="77777777" w:rsidR="00184116" w:rsidRPr="00FB38E1" w:rsidRDefault="0018411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TP+YP</w:t>
            </w:r>
          </w:p>
        </w:tc>
        <w:tc>
          <w:tcPr>
            <w:tcW w:w="588" w:type="pct"/>
            <w:tcBorders>
              <w:top w:val="nil"/>
              <w:bottom w:val="single" w:sz="4" w:space="0" w:color="auto"/>
            </w:tcBorders>
            <w:shd w:val="clear" w:color="auto" w:fill="auto"/>
            <w:vAlign w:val="bottom"/>
          </w:tcPr>
          <w:p w14:paraId="470F5ED3" w14:textId="77777777" w:rsidR="00184116" w:rsidRPr="00FB38E1" w:rsidRDefault="00B1075E">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Y</w:t>
            </w:r>
            <w:r w:rsidR="00184116" w:rsidRPr="00FB38E1">
              <w:rPr>
                <w:rFonts w:ascii="Microsoft Sans Serif" w:hAnsi="Microsoft Sans Serif" w:cs="Microsoft Sans Serif"/>
                <w:b/>
                <w:bCs/>
                <w:color w:val="000000"/>
                <w:sz w:val="14"/>
                <w:szCs w:val="14"/>
              </w:rPr>
              <w:t>P</w:t>
            </w:r>
          </w:p>
        </w:tc>
        <w:tc>
          <w:tcPr>
            <w:tcW w:w="588" w:type="pct"/>
            <w:tcBorders>
              <w:top w:val="nil"/>
              <w:bottom w:val="single" w:sz="4" w:space="0" w:color="auto"/>
            </w:tcBorders>
            <w:shd w:val="clear" w:color="auto" w:fill="auto"/>
            <w:vAlign w:val="bottom"/>
          </w:tcPr>
          <w:p w14:paraId="33B5B040" w14:textId="77777777" w:rsidR="00184116" w:rsidRPr="00FB38E1" w:rsidRDefault="0018411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TP+YP</w:t>
            </w:r>
          </w:p>
        </w:tc>
        <w:tc>
          <w:tcPr>
            <w:tcW w:w="561" w:type="pct"/>
            <w:tcBorders>
              <w:top w:val="nil"/>
              <w:bottom w:val="single" w:sz="4" w:space="0" w:color="auto"/>
            </w:tcBorders>
            <w:shd w:val="clear" w:color="auto" w:fill="auto"/>
            <w:vAlign w:val="bottom"/>
          </w:tcPr>
          <w:p w14:paraId="5C375ACB" w14:textId="77777777" w:rsidR="00184116" w:rsidRPr="00FB38E1" w:rsidRDefault="00B1075E">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Y</w:t>
            </w:r>
            <w:r w:rsidR="00184116" w:rsidRPr="00FB38E1">
              <w:rPr>
                <w:rFonts w:ascii="Microsoft Sans Serif" w:hAnsi="Microsoft Sans Serif" w:cs="Microsoft Sans Serif"/>
                <w:b/>
                <w:bCs/>
                <w:color w:val="000000"/>
                <w:sz w:val="14"/>
                <w:szCs w:val="14"/>
              </w:rPr>
              <w:t>P</w:t>
            </w:r>
          </w:p>
        </w:tc>
      </w:tr>
      <w:tr w:rsidR="00184116" w:rsidRPr="00FB38E1" w14:paraId="0912E9CC" w14:textId="77777777" w:rsidTr="00B7661E">
        <w:trPr>
          <w:trHeight w:val="47"/>
        </w:trPr>
        <w:tc>
          <w:tcPr>
            <w:tcW w:w="2675" w:type="pct"/>
            <w:gridSpan w:val="2"/>
            <w:tcBorders>
              <w:top w:val="single" w:sz="4" w:space="0" w:color="auto"/>
            </w:tcBorders>
            <w:shd w:val="clear" w:color="auto" w:fill="auto"/>
          </w:tcPr>
          <w:p w14:paraId="540C041E" w14:textId="77777777" w:rsidR="00184116" w:rsidRPr="00FB38E1" w:rsidRDefault="00184116" w:rsidP="00B7661E">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shd w:val="clear" w:color="auto" w:fill="auto"/>
            <w:vAlign w:val="bottom"/>
          </w:tcPr>
          <w:p w14:paraId="6C06C804" w14:textId="77777777" w:rsidR="00184116" w:rsidRPr="00FB38E1" w:rsidRDefault="0018411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5B34287A" w14:textId="77777777" w:rsidR="00184116" w:rsidRPr="00FB38E1" w:rsidRDefault="0018411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7B01C73A" w14:textId="77777777" w:rsidR="00184116" w:rsidRPr="00FB38E1" w:rsidRDefault="00184116">
            <w:pPr>
              <w:rPr>
                <w:rFonts w:ascii="Microsoft Sans Serif" w:hAnsi="Microsoft Sans Serif" w:cs="Microsoft Sans Serif"/>
                <w:color w:val="000000"/>
                <w:sz w:val="14"/>
                <w:szCs w:val="14"/>
              </w:rPr>
            </w:pPr>
          </w:p>
        </w:tc>
        <w:tc>
          <w:tcPr>
            <w:tcW w:w="561" w:type="pct"/>
            <w:tcBorders>
              <w:top w:val="single" w:sz="4" w:space="0" w:color="auto"/>
            </w:tcBorders>
            <w:shd w:val="clear" w:color="auto" w:fill="auto"/>
            <w:vAlign w:val="bottom"/>
          </w:tcPr>
          <w:p w14:paraId="0E450664" w14:textId="77777777" w:rsidR="00184116" w:rsidRPr="00FB38E1" w:rsidRDefault="00184116">
            <w:pPr>
              <w:rPr>
                <w:rFonts w:ascii="Microsoft Sans Serif" w:hAnsi="Microsoft Sans Serif" w:cs="Microsoft Sans Serif"/>
                <w:color w:val="000000"/>
                <w:sz w:val="14"/>
                <w:szCs w:val="14"/>
              </w:rPr>
            </w:pPr>
          </w:p>
        </w:tc>
      </w:tr>
      <w:tr w:rsidR="00B978E7" w:rsidRPr="00FB38E1" w14:paraId="39BB0514" w14:textId="77777777" w:rsidTr="00B7661E">
        <w:trPr>
          <w:trHeight w:val="53"/>
        </w:trPr>
        <w:tc>
          <w:tcPr>
            <w:tcW w:w="174" w:type="pct"/>
            <w:shd w:val="clear" w:color="auto" w:fill="auto"/>
            <w:vAlign w:val="bottom"/>
          </w:tcPr>
          <w:p w14:paraId="359FE4D1"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2501" w:type="pct"/>
            <w:shd w:val="clear" w:color="auto" w:fill="auto"/>
          </w:tcPr>
          <w:p w14:paraId="5219F81F" w14:textId="77777777" w:rsidR="00B978E7" w:rsidRPr="00FB38E1" w:rsidRDefault="00B978E7" w:rsidP="00B978E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Yüksek kaliteli likit varlıklar</w:t>
            </w:r>
          </w:p>
        </w:tc>
        <w:tc>
          <w:tcPr>
            <w:tcW w:w="588" w:type="pct"/>
            <w:shd w:val="clear" w:color="auto" w:fill="auto"/>
            <w:vAlign w:val="bottom"/>
          </w:tcPr>
          <w:p w14:paraId="4950A111" w14:textId="77777777" w:rsidR="00B978E7" w:rsidRPr="00FB38E1" w:rsidRDefault="00B978E7" w:rsidP="00B978E7">
            <w:pPr>
              <w:jc w:val="right"/>
              <w:rPr>
                <w:rFonts w:ascii="Microsoft Sans Serif" w:hAnsi="Microsoft Sans Serif" w:cs="Microsoft Sans Serif"/>
                <w:bCs/>
                <w:color w:val="404040"/>
                <w:sz w:val="14"/>
                <w:szCs w:val="14"/>
              </w:rPr>
            </w:pPr>
          </w:p>
        </w:tc>
        <w:tc>
          <w:tcPr>
            <w:tcW w:w="588" w:type="pct"/>
            <w:shd w:val="clear" w:color="auto" w:fill="auto"/>
            <w:vAlign w:val="bottom"/>
          </w:tcPr>
          <w:p w14:paraId="353FE0EB" w14:textId="77777777" w:rsidR="00B978E7" w:rsidRPr="00FB38E1" w:rsidRDefault="00B978E7" w:rsidP="00B978E7">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6EA465BE" w14:textId="33B76934"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244</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582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660</w:t>
            </w:r>
          </w:p>
        </w:tc>
        <w:tc>
          <w:tcPr>
            <w:tcW w:w="561" w:type="pct"/>
            <w:tcBorders>
              <w:top w:val="nil"/>
              <w:left w:val="nil"/>
              <w:bottom w:val="nil"/>
              <w:right w:val="nil"/>
            </w:tcBorders>
            <w:shd w:val="clear" w:color="auto" w:fill="auto"/>
            <w:vAlign w:val="bottom"/>
          </w:tcPr>
          <w:p w14:paraId="33E02A14" w14:textId="76329887"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122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595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131</w:t>
            </w:r>
          </w:p>
        </w:tc>
      </w:tr>
      <w:tr w:rsidR="00A506ED" w:rsidRPr="00FB38E1" w14:paraId="1453D058" w14:textId="77777777" w:rsidTr="00B7661E">
        <w:tc>
          <w:tcPr>
            <w:tcW w:w="2675" w:type="pct"/>
            <w:gridSpan w:val="2"/>
            <w:shd w:val="clear" w:color="auto" w:fill="auto"/>
          </w:tcPr>
          <w:p w14:paraId="56BE9280" w14:textId="77777777" w:rsidR="00A506ED" w:rsidRPr="00FB38E1" w:rsidRDefault="00A506ED" w:rsidP="00A506ED">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NAKİT ÇIKIŞLARI</w:t>
            </w:r>
          </w:p>
        </w:tc>
        <w:tc>
          <w:tcPr>
            <w:tcW w:w="588" w:type="pct"/>
            <w:shd w:val="clear" w:color="auto" w:fill="auto"/>
            <w:vAlign w:val="bottom"/>
          </w:tcPr>
          <w:p w14:paraId="68072837" w14:textId="77777777" w:rsidR="00A506ED" w:rsidRPr="00FB38E1" w:rsidRDefault="00A506ED" w:rsidP="00A506ED">
            <w:pPr>
              <w:jc w:val="right"/>
              <w:rPr>
                <w:rFonts w:ascii="Microsoft Sans Serif" w:hAnsi="Microsoft Sans Serif" w:cs="Microsoft Sans Serif"/>
                <w:bCs/>
                <w:color w:val="404040"/>
                <w:sz w:val="14"/>
                <w:szCs w:val="14"/>
              </w:rPr>
            </w:pPr>
          </w:p>
        </w:tc>
        <w:tc>
          <w:tcPr>
            <w:tcW w:w="588" w:type="pct"/>
            <w:shd w:val="clear" w:color="auto" w:fill="auto"/>
            <w:vAlign w:val="bottom"/>
          </w:tcPr>
          <w:p w14:paraId="759EBF83" w14:textId="77777777" w:rsidR="00A506ED" w:rsidRPr="00FB38E1" w:rsidRDefault="00A506ED" w:rsidP="00A506ED">
            <w:pPr>
              <w:jc w:val="right"/>
              <w:rPr>
                <w:rFonts w:ascii="Microsoft Sans Serif" w:hAnsi="Microsoft Sans Serif" w:cs="Microsoft Sans Serif"/>
                <w:bCs/>
                <w:color w:val="404040"/>
                <w:sz w:val="14"/>
                <w:szCs w:val="14"/>
              </w:rPr>
            </w:pPr>
          </w:p>
        </w:tc>
        <w:tc>
          <w:tcPr>
            <w:tcW w:w="588" w:type="pct"/>
            <w:shd w:val="clear" w:color="auto" w:fill="auto"/>
            <w:vAlign w:val="bottom"/>
          </w:tcPr>
          <w:p w14:paraId="6625F641" w14:textId="77777777" w:rsidR="00A506ED" w:rsidRPr="00FB38E1" w:rsidRDefault="00A506ED" w:rsidP="00A506ED">
            <w:pPr>
              <w:jc w:val="right"/>
              <w:rPr>
                <w:rFonts w:ascii="Microsoft Sans Serif" w:hAnsi="Microsoft Sans Serif" w:cs="Microsoft Sans Serif"/>
                <w:bCs/>
                <w:color w:val="404040"/>
                <w:sz w:val="14"/>
                <w:szCs w:val="14"/>
              </w:rPr>
            </w:pPr>
          </w:p>
        </w:tc>
        <w:tc>
          <w:tcPr>
            <w:tcW w:w="561" w:type="pct"/>
            <w:shd w:val="clear" w:color="auto" w:fill="auto"/>
            <w:vAlign w:val="bottom"/>
          </w:tcPr>
          <w:p w14:paraId="59650A95" w14:textId="77777777" w:rsidR="00A506ED" w:rsidRPr="00FB38E1" w:rsidRDefault="00A506ED" w:rsidP="00A506ED">
            <w:pPr>
              <w:jc w:val="right"/>
              <w:rPr>
                <w:rFonts w:ascii="Microsoft Sans Serif" w:hAnsi="Microsoft Sans Serif" w:cs="Microsoft Sans Serif"/>
                <w:bCs/>
                <w:color w:val="404040"/>
                <w:sz w:val="14"/>
                <w:szCs w:val="14"/>
              </w:rPr>
            </w:pPr>
          </w:p>
        </w:tc>
      </w:tr>
      <w:tr w:rsidR="00B978E7" w:rsidRPr="00FB38E1" w14:paraId="1A8DD41B" w14:textId="77777777" w:rsidTr="00510B6F">
        <w:tc>
          <w:tcPr>
            <w:tcW w:w="174" w:type="pct"/>
            <w:shd w:val="clear" w:color="auto" w:fill="auto"/>
            <w:vAlign w:val="bottom"/>
          </w:tcPr>
          <w:p w14:paraId="6E6C8E1E"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2501" w:type="pct"/>
            <w:shd w:val="clear" w:color="auto" w:fill="auto"/>
          </w:tcPr>
          <w:p w14:paraId="5595000B" w14:textId="77777777" w:rsidR="00B978E7" w:rsidRPr="00FB38E1" w:rsidRDefault="00B978E7" w:rsidP="00B978E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Gerçek kişi mevduat ve perakende mevduat</w:t>
            </w:r>
          </w:p>
        </w:tc>
        <w:tc>
          <w:tcPr>
            <w:tcW w:w="588" w:type="pct"/>
            <w:tcBorders>
              <w:top w:val="nil"/>
              <w:left w:val="nil"/>
              <w:bottom w:val="nil"/>
              <w:right w:val="nil"/>
            </w:tcBorders>
            <w:shd w:val="clear" w:color="auto" w:fill="auto"/>
            <w:vAlign w:val="bottom"/>
          </w:tcPr>
          <w:p w14:paraId="502F9C9B" w14:textId="4A4E6519"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251</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363</w:t>
            </w:r>
          </w:p>
        </w:tc>
        <w:tc>
          <w:tcPr>
            <w:tcW w:w="588" w:type="pct"/>
            <w:tcBorders>
              <w:top w:val="nil"/>
              <w:left w:val="nil"/>
              <w:bottom w:val="nil"/>
              <w:right w:val="nil"/>
            </w:tcBorders>
            <w:shd w:val="clear" w:color="auto" w:fill="auto"/>
            <w:vAlign w:val="bottom"/>
          </w:tcPr>
          <w:p w14:paraId="4D97D4C1" w14:textId="58B55EFF"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134</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833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353</w:t>
            </w:r>
          </w:p>
        </w:tc>
        <w:tc>
          <w:tcPr>
            <w:tcW w:w="588" w:type="pct"/>
            <w:tcBorders>
              <w:top w:val="nil"/>
              <w:left w:val="nil"/>
              <w:bottom w:val="nil"/>
              <w:right w:val="nil"/>
            </w:tcBorders>
            <w:shd w:val="clear" w:color="auto" w:fill="auto"/>
            <w:vAlign w:val="bottom"/>
          </w:tcPr>
          <w:p w14:paraId="54C9BFE9" w14:textId="40E36C39"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643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090</w:t>
            </w:r>
          </w:p>
        </w:tc>
        <w:tc>
          <w:tcPr>
            <w:tcW w:w="561" w:type="pct"/>
            <w:tcBorders>
              <w:top w:val="nil"/>
              <w:left w:val="nil"/>
              <w:bottom w:val="nil"/>
              <w:right w:val="nil"/>
            </w:tcBorders>
            <w:shd w:val="clear" w:color="auto" w:fill="auto"/>
            <w:vAlign w:val="bottom"/>
          </w:tcPr>
          <w:p w14:paraId="5AD438A4" w14:textId="3FA4C222"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483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335</w:t>
            </w:r>
          </w:p>
        </w:tc>
      </w:tr>
      <w:tr w:rsidR="00B978E7" w:rsidRPr="00FB38E1" w14:paraId="17FDC91D" w14:textId="77777777" w:rsidTr="00B7661E">
        <w:trPr>
          <w:trHeight w:val="76"/>
        </w:trPr>
        <w:tc>
          <w:tcPr>
            <w:tcW w:w="174" w:type="pct"/>
            <w:shd w:val="clear" w:color="auto" w:fill="auto"/>
            <w:vAlign w:val="bottom"/>
          </w:tcPr>
          <w:p w14:paraId="4E0ED232"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2501" w:type="pct"/>
            <w:shd w:val="clear" w:color="auto" w:fill="auto"/>
          </w:tcPr>
          <w:p w14:paraId="29A29F75" w14:textId="77777777" w:rsidR="00B978E7" w:rsidRPr="00FB38E1" w:rsidRDefault="00B978E7" w:rsidP="00B978E7">
            <w:pPr>
              <w:ind w:firstLineChars="160" w:firstLine="224"/>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İstikrarlı mevduat</w:t>
            </w:r>
          </w:p>
        </w:tc>
        <w:tc>
          <w:tcPr>
            <w:tcW w:w="588" w:type="pct"/>
            <w:tcBorders>
              <w:top w:val="nil"/>
              <w:left w:val="nil"/>
              <w:bottom w:val="nil"/>
              <w:right w:val="nil"/>
            </w:tcBorders>
            <w:shd w:val="clear" w:color="auto" w:fill="auto"/>
            <w:vAlign w:val="bottom"/>
          </w:tcPr>
          <w:p w14:paraId="5ECC166E" w14:textId="0AE5953E"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79</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640</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923</w:t>
            </w:r>
          </w:p>
        </w:tc>
        <w:tc>
          <w:tcPr>
            <w:tcW w:w="588" w:type="pct"/>
            <w:tcBorders>
              <w:top w:val="nil"/>
              <w:left w:val="nil"/>
              <w:bottom w:val="nil"/>
              <w:right w:val="nil"/>
            </w:tcBorders>
            <w:shd w:val="clear" w:color="auto" w:fill="auto"/>
            <w:vAlign w:val="bottom"/>
          </w:tcPr>
          <w:p w14:paraId="56856C60" w14:textId="7CA7919D"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579B86B9" w14:textId="517A7640"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982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046</w:t>
            </w:r>
          </w:p>
        </w:tc>
        <w:tc>
          <w:tcPr>
            <w:tcW w:w="561" w:type="pct"/>
            <w:tcBorders>
              <w:top w:val="nil"/>
              <w:left w:val="nil"/>
              <w:bottom w:val="nil"/>
              <w:right w:val="nil"/>
            </w:tcBorders>
            <w:shd w:val="clear" w:color="auto" w:fill="auto"/>
            <w:vAlign w:val="bottom"/>
          </w:tcPr>
          <w:p w14:paraId="048C5DF9" w14:textId="61ADB74C"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B978E7" w:rsidRPr="00FB38E1" w14:paraId="7BA4D98A" w14:textId="77777777" w:rsidTr="00510B6F">
        <w:tc>
          <w:tcPr>
            <w:tcW w:w="174" w:type="pct"/>
            <w:shd w:val="clear" w:color="auto" w:fill="auto"/>
            <w:vAlign w:val="bottom"/>
          </w:tcPr>
          <w:p w14:paraId="7E192517"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4</w:t>
            </w:r>
          </w:p>
        </w:tc>
        <w:tc>
          <w:tcPr>
            <w:tcW w:w="2501" w:type="pct"/>
            <w:shd w:val="clear" w:color="auto" w:fill="auto"/>
          </w:tcPr>
          <w:p w14:paraId="25B0CF1B" w14:textId="77777777" w:rsidR="00B978E7" w:rsidRPr="00FB38E1" w:rsidRDefault="00B978E7" w:rsidP="00B978E7">
            <w:pPr>
              <w:ind w:firstLineChars="160" w:firstLine="224"/>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Düşük istikrarlı mevduat</w:t>
            </w:r>
          </w:p>
        </w:tc>
        <w:tc>
          <w:tcPr>
            <w:tcW w:w="588" w:type="pct"/>
            <w:tcBorders>
              <w:top w:val="nil"/>
              <w:left w:val="nil"/>
              <w:bottom w:val="nil"/>
              <w:right w:val="nil"/>
            </w:tcBorders>
            <w:shd w:val="clear" w:color="auto" w:fill="auto"/>
            <w:vAlign w:val="bottom"/>
          </w:tcPr>
          <w:p w14:paraId="0B05FA15" w14:textId="23EAC58A"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610</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440</w:t>
            </w:r>
          </w:p>
        </w:tc>
        <w:tc>
          <w:tcPr>
            <w:tcW w:w="588" w:type="pct"/>
            <w:tcBorders>
              <w:top w:val="nil"/>
              <w:left w:val="nil"/>
              <w:bottom w:val="nil"/>
              <w:right w:val="nil"/>
            </w:tcBorders>
            <w:shd w:val="clear" w:color="auto" w:fill="auto"/>
            <w:vAlign w:val="bottom"/>
          </w:tcPr>
          <w:p w14:paraId="7F579EBD" w14:textId="33B76C72"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134</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833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353</w:t>
            </w:r>
          </w:p>
        </w:tc>
        <w:tc>
          <w:tcPr>
            <w:tcW w:w="588" w:type="pct"/>
            <w:tcBorders>
              <w:top w:val="nil"/>
              <w:left w:val="nil"/>
              <w:bottom w:val="nil"/>
              <w:right w:val="nil"/>
            </w:tcBorders>
            <w:shd w:val="clear" w:color="auto" w:fill="auto"/>
            <w:vAlign w:val="bottom"/>
          </w:tcPr>
          <w:p w14:paraId="5F71B1D1" w14:textId="3D25673A"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661</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044</w:t>
            </w:r>
          </w:p>
        </w:tc>
        <w:tc>
          <w:tcPr>
            <w:tcW w:w="561" w:type="pct"/>
            <w:tcBorders>
              <w:top w:val="nil"/>
              <w:left w:val="nil"/>
              <w:bottom w:val="nil"/>
              <w:right w:val="nil"/>
            </w:tcBorders>
            <w:shd w:val="clear" w:color="auto" w:fill="auto"/>
            <w:vAlign w:val="bottom"/>
          </w:tcPr>
          <w:p w14:paraId="27BF9431" w14:textId="168ADBA9"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483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335</w:t>
            </w:r>
          </w:p>
        </w:tc>
      </w:tr>
      <w:tr w:rsidR="00B978E7" w:rsidRPr="00FB38E1" w14:paraId="33E38FE7" w14:textId="77777777" w:rsidTr="00510B6F">
        <w:tc>
          <w:tcPr>
            <w:tcW w:w="174" w:type="pct"/>
            <w:shd w:val="clear" w:color="auto" w:fill="auto"/>
          </w:tcPr>
          <w:p w14:paraId="7E3A76BE"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5</w:t>
            </w:r>
          </w:p>
        </w:tc>
        <w:tc>
          <w:tcPr>
            <w:tcW w:w="2501" w:type="pct"/>
            <w:shd w:val="clear" w:color="auto" w:fill="auto"/>
          </w:tcPr>
          <w:p w14:paraId="23EA61B8" w14:textId="77777777" w:rsidR="00B978E7" w:rsidRPr="00FB38E1" w:rsidRDefault="00B978E7" w:rsidP="00B978E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tcBorders>
              <w:top w:val="nil"/>
              <w:left w:val="nil"/>
              <w:bottom w:val="nil"/>
              <w:right w:val="nil"/>
            </w:tcBorders>
            <w:shd w:val="clear" w:color="auto" w:fill="auto"/>
            <w:vAlign w:val="bottom"/>
          </w:tcPr>
          <w:p w14:paraId="71B38BB5" w14:textId="3C02A6AC"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846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358</w:t>
            </w:r>
          </w:p>
        </w:tc>
        <w:tc>
          <w:tcPr>
            <w:tcW w:w="588" w:type="pct"/>
            <w:tcBorders>
              <w:top w:val="nil"/>
              <w:left w:val="nil"/>
              <w:bottom w:val="nil"/>
              <w:right w:val="nil"/>
            </w:tcBorders>
            <w:shd w:val="clear" w:color="auto" w:fill="auto"/>
            <w:vAlign w:val="bottom"/>
          </w:tcPr>
          <w:p w14:paraId="1003A3FB" w14:textId="792CED65"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292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080</w:t>
            </w:r>
          </w:p>
        </w:tc>
        <w:tc>
          <w:tcPr>
            <w:tcW w:w="588" w:type="pct"/>
            <w:tcBorders>
              <w:top w:val="nil"/>
              <w:left w:val="nil"/>
              <w:bottom w:val="nil"/>
              <w:right w:val="nil"/>
            </w:tcBorders>
            <w:shd w:val="clear" w:color="auto" w:fill="auto"/>
            <w:vAlign w:val="bottom"/>
          </w:tcPr>
          <w:p w14:paraId="76B68628" w14:textId="4E3F187C"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687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823</w:t>
            </w:r>
          </w:p>
        </w:tc>
        <w:tc>
          <w:tcPr>
            <w:tcW w:w="561" w:type="pct"/>
            <w:tcBorders>
              <w:top w:val="nil"/>
              <w:left w:val="nil"/>
              <w:bottom w:val="nil"/>
              <w:right w:val="nil"/>
            </w:tcBorders>
            <w:shd w:val="clear" w:color="auto" w:fill="auto"/>
            <w:vAlign w:val="bottom"/>
          </w:tcPr>
          <w:p w14:paraId="5345B2A7" w14:textId="2158B4CD"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855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067</w:t>
            </w:r>
          </w:p>
        </w:tc>
      </w:tr>
      <w:tr w:rsidR="00B978E7" w:rsidRPr="00FB38E1" w14:paraId="02C14A8A" w14:textId="77777777" w:rsidTr="00510B6F">
        <w:tc>
          <w:tcPr>
            <w:tcW w:w="174" w:type="pct"/>
            <w:shd w:val="clear" w:color="auto" w:fill="auto"/>
            <w:vAlign w:val="bottom"/>
          </w:tcPr>
          <w:p w14:paraId="3C146596"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6</w:t>
            </w:r>
          </w:p>
        </w:tc>
        <w:tc>
          <w:tcPr>
            <w:tcW w:w="2501" w:type="pct"/>
            <w:shd w:val="clear" w:color="auto" w:fill="auto"/>
          </w:tcPr>
          <w:p w14:paraId="758A0F12" w14:textId="77777777" w:rsidR="00B978E7" w:rsidRPr="00FB38E1" w:rsidRDefault="00B978E7" w:rsidP="00B978E7">
            <w:pPr>
              <w:ind w:firstLineChars="160" w:firstLine="224"/>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Operasyonel mevduat</w:t>
            </w:r>
          </w:p>
        </w:tc>
        <w:tc>
          <w:tcPr>
            <w:tcW w:w="588" w:type="pct"/>
            <w:tcBorders>
              <w:top w:val="nil"/>
              <w:left w:val="nil"/>
              <w:bottom w:val="nil"/>
              <w:right w:val="nil"/>
            </w:tcBorders>
            <w:shd w:val="clear" w:color="auto" w:fill="auto"/>
            <w:vAlign w:val="bottom"/>
          </w:tcPr>
          <w:p w14:paraId="4C710EBD" w14:textId="744250C3"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035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435</w:t>
            </w:r>
          </w:p>
        </w:tc>
        <w:tc>
          <w:tcPr>
            <w:tcW w:w="588" w:type="pct"/>
            <w:tcBorders>
              <w:top w:val="nil"/>
              <w:left w:val="nil"/>
              <w:bottom w:val="nil"/>
              <w:right w:val="nil"/>
            </w:tcBorders>
            <w:shd w:val="clear" w:color="auto" w:fill="auto"/>
            <w:vAlign w:val="bottom"/>
          </w:tcPr>
          <w:p w14:paraId="284F4366" w14:textId="5FF6F201"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487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529</w:t>
            </w:r>
          </w:p>
        </w:tc>
        <w:tc>
          <w:tcPr>
            <w:tcW w:w="588" w:type="pct"/>
            <w:tcBorders>
              <w:top w:val="nil"/>
              <w:left w:val="nil"/>
              <w:bottom w:val="nil"/>
              <w:right w:val="nil"/>
            </w:tcBorders>
            <w:shd w:val="clear" w:color="auto" w:fill="auto"/>
            <w:vAlign w:val="bottom"/>
          </w:tcPr>
          <w:p w14:paraId="03D978A0" w14:textId="4EFEA1B2"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226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604</w:t>
            </w:r>
          </w:p>
        </w:tc>
        <w:tc>
          <w:tcPr>
            <w:tcW w:w="561" w:type="pct"/>
            <w:tcBorders>
              <w:top w:val="nil"/>
              <w:left w:val="nil"/>
              <w:bottom w:val="nil"/>
              <w:right w:val="nil"/>
            </w:tcBorders>
            <w:shd w:val="clear" w:color="auto" w:fill="auto"/>
            <w:vAlign w:val="bottom"/>
          </w:tcPr>
          <w:p w14:paraId="48F53A10" w14:textId="76BC2DF5"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721</w:t>
            </w:r>
          </w:p>
        </w:tc>
      </w:tr>
      <w:tr w:rsidR="00B978E7" w:rsidRPr="00FB38E1" w14:paraId="668F83B1" w14:textId="77777777" w:rsidTr="00510B6F">
        <w:tc>
          <w:tcPr>
            <w:tcW w:w="174" w:type="pct"/>
            <w:shd w:val="clear" w:color="auto" w:fill="auto"/>
            <w:vAlign w:val="bottom"/>
          </w:tcPr>
          <w:p w14:paraId="4C5531A0"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7</w:t>
            </w:r>
          </w:p>
        </w:tc>
        <w:tc>
          <w:tcPr>
            <w:tcW w:w="2501" w:type="pct"/>
            <w:shd w:val="clear" w:color="auto" w:fill="auto"/>
          </w:tcPr>
          <w:p w14:paraId="7B5DA862" w14:textId="77777777" w:rsidR="00B978E7" w:rsidRPr="00FB38E1" w:rsidRDefault="00B978E7" w:rsidP="00B978E7">
            <w:pPr>
              <w:ind w:firstLineChars="160" w:firstLine="224"/>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Operasyonel olmayan mevduat</w:t>
            </w:r>
          </w:p>
        </w:tc>
        <w:tc>
          <w:tcPr>
            <w:tcW w:w="588" w:type="pct"/>
            <w:tcBorders>
              <w:top w:val="nil"/>
              <w:left w:val="nil"/>
              <w:bottom w:val="nil"/>
              <w:right w:val="nil"/>
            </w:tcBorders>
            <w:shd w:val="clear" w:color="auto" w:fill="auto"/>
            <w:vAlign w:val="bottom"/>
          </w:tcPr>
          <w:p w14:paraId="53119F9A" w14:textId="64E79218"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392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505</w:t>
            </w:r>
          </w:p>
        </w:tc>
        <w:tc>
          <w:tcPr>
            <w:tcW w:w="588" w:type="pct"/>
            <w:tcBorders>
              <w:top w:val="nil"/>
              <w:left w:val="nil"/>
              <w:bottom w:val="nil"/>
              <w:right w:val="nil"/>
            </w:tcBorders>
            <w:shd w:val="clear" w:color="auto" w:fill="auto"/>
            <w:vAlign w:val="bottom"/>
          </w:tcPr>
          <w:p w14:paraId="6624B547" w14:textId="26F4B2BF"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878</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944</w:t>
            </w:r>
          </w:p>
        </w:tc>
        <w:tc>
          <w:tcPr>
            <w:tcW w:w="588" w:type="pct"/>
            <w:tcBorders>
              <w:top w:val="nil"/>
              <w:left w:val="nil"/>
              <w:bottom w:val="nil"/>
              <w:right w:val="nil"/>
            </w:tcBorders>
            <w:shd w:val="clear" w:color="auto" w:fill="auto"/>
            <w:vAlign w:val="bottom"/>
          </w:tcPr>
          <w:p w14:paraId="294B58EF" w14:textId="4747E1CC"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74</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042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801</w:t>
            </w:r>
          </w:p>
        </w:tc>
        <w:tc>
          <w:tcPr>
            <w:tcW w:w="561" w:type="pct"/>
            <w:tcBorders>
              <w:top w:val="nil"/>
              <w:left w:val="nil"/>
              <w:bottom w:val="nil"/>
              <w:right w:val="nil"/>
            </w:tcBorders>
            <w:shd w:val="clear" w:color="auto" w:fill="auto"/>
            <w:vAlign w:val="bottom"/>
          </w:tcPr>
          <w:p w14:paraId="4A9F9121" w14:textId="41D3DDEF"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311</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739</w:t>
            </w:r>
          </w:p>
        </w:tc>
      </w:tr>
      <w:tr w:rsidR="00B978E7" w:rsidRPr="00FB38E1" w14:paraId="6BDF74A5" w14:textId="77777777" w:rsidTr="00510B6F">
        <w:tc>
          <w:tcPr>
            <w:tcW w:w="174" w:type="pct"/>
            <w:shd w:val="clear" w:color="auto" w:fill="auto"/>
            <w:vAlign w:val="bottom"/>
          </w:tcPr>
          <w:p w14:paraId="2ABBFBF0"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8</w:t>
            </w:r>
          </w:p>
        </w:tc>
        <w:tc>
          <w:tcPr>
            <w:tcW w:w="2501" w:type="pct"/>
            <w:shd w:val="clear" w:color="auto" w:fill="auto"/>
          </w:tcPr>
          <w:p w14:paraId="08BCE97A" w14:textId="77777777" w:rsidR="00B978E7" w:rsidRPr="00FB38E1" w:rsidRDefault="00B978E7" w:rsidP="00B978E7">
            <w:pPr>
              <w:ind w:firstLineChars="160" w:firstLine="224"/>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teminatsız mevduat</w:t>
            </w:r>
          </w:p>
        </w:tc>
        <w:tc>
          <w:tcPr>
            <w:tcW w:w="588" w:type="pct"/>
            <w:tcBorders>
              <w:top w:val="nil"/>
              <w:left w:val="nil"/>
              <w:bottom w:val="nil"/>
              <w:right w:val="nil"/>
            </w:tcBorders>
            <w:shd w:val="clear" w:color="auto" w:fill="auto"/>
            <w:vAlign w:val="bottom"/>
          </w:tcPr>
          <w:p w14:paraId="5255A524" w14:textId="3779A80F"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418</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418</w:t>
            </w:r>
          </w:p>
        </w:tc>
        <w:tc>
          <w:tcPr>
            <w:tcW w:w="588" w:type="pct"/>
            <w:tcBorders>
              <w:top w:val="nil"/>
              <w:left w:val="nil"/>
              <w:bottom w:val="nil"/>
              <w:right w:val="nil"/>
            </w:tcBorders>
            <w:shd w:val="clear" w:color="auto" w:fill="auto"/>
            <w:vAlign w:val="bottom"/>
          </w:tcPr>
          <w:p w14:paraId="3AAD3C48" w14:textId="3B7AE2A3"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925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607</w:t>
            </w:r>
          </w:p>
        </w:tc>
        <w:tc>
          <w:tcPr>
            <w:tcW w:w="588" w:type="pct"/>
            <w:tcBorders>
              <w:top w:val="nil"/>
              <w:left w:val="nil"/>
              <w:bottom w:val="nil"/>
              <w:right w:val="nil"/>
            </w:tcBorders>
            <w:shd w:val="clear" w:color="auto" w:fill="auto"/>
            <w:vAlign w:val="bottom"/>
          </w:tcPr>
          <w:p w14:paraId="22EE66B5" w14:textId="629C280F"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418</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418</w:t>
            </w:r>
          </w:p>
        </w:tc>
        <w:tc>
          <w:tcPr>
            <w:tcW w:w="561" w:type="pct"/>
            <w:tcBorders>
              <w:top w:val="nil"/>
              <w:left w:val="nil"/>
              <w:bottom w:val="nil"/>
              <w:right w:val="nil"/>
            </w:tcBorders>
            <w:shd w:val="clear" w:color="auto" w:fill="auto"/>
            <w:vAlign w:val="bottom"/>
          </w:tcPr>
          <w:p w14:paraId="2EE6EB59" w14:textId="6F71E2BE" w:rsidR="00B978E7" w:rsidRPr="00FB38E1" w:rsidRDefault="00B978E7" w:rsidP="00B978E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925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607</w:t>
            </w:r>
          </w:p>
        </w:tc>
      </w:tr>
      <w:tr w:rsidR="00B978E7" w:rsidRPr="00FB38E1" w14:paraId="0D69389C" w14:textId="77777777" w:rsidTr="00510B6F">
        <w:tc>
          <w:tcPr>
            <w:tcW w:w="174" w:type="pct"/>
            <w:shd w:val="clear" w:color="auto" w:fill="auto"/>
            <w:vAlign w:val="bottom"/>
          </w:tcPr>
          <w:p w14:paraId="768ACA6F"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9</w:t>
            </w:r>
          </w:p>
        </w:tc>
        <w:tc>
          <w:tcPr>
            <w:tcW w:w="2501" w:type="pct"/>
            <w:shd w:val="clear" w:color="auto" w:fill="auto"/>
          </w:tcPr>
          <w:p w14:paraId="45850520" w14:textId="77777777" w:rsidR="00B978E7" w:rsidRPr="00FB38E1" w:rsidRDefault="00B978E7" w:rsidP="00B978E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Teminatlı borçlar</w:t>
            </w:r>
          </w:p>
        </w:tc>
        <w:tc>
          <w:tcPr>
            <w:tcW w:w="588" w:type="pct"/>
            <w:tcBorders>
              <w:top w:val="nil"/>
              <w:left w:val="nil"/>
              <w:bottom w:val="nil"/>
              <w:right w:val="nil"/>
            </w:tcBorders>
            <w:shd w:val="clear" w:color="auto" w:fill="auto"/>
            <w:vAlign w:val="bottom"/>
          </w:tcPr>
          <w:p w14:paraId="1B227FC2" w14:textId="77777777" w:rsidR="00B978E7" w:rsidRPr="00FB38E1" w:rsidRDefault="00B978E7" w:rsidP="00B978E7">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158BF4DE" w14:textId="77777777" w:rsidR="00B978E7" w:rsidRPr="00FB38E1" w:rsidRDefault="00B978E7" w:rsidP="00B978E7">
            <w:pPr>
              <w:jc w:val="right"/>
              <w:rPr>
                <w:rFonts w:ascii="Microsoft Sans Serif" w:hAnsi="Microsoft Sans Serif" w:cs="Microsoft Sans Serif"/>
                <w:bCs/>
                <w:color w:val="404040"/>
                <w:sz w:val="14"/>
                <w:szCs w:val="14"/>
              </w:rPr>
            </w:pPr>
          </w:p>
        </w:tc>
        <w:tc>
          <w:tcPr>
            <w:tcW w:w="588" w:type="pct"/>
            <w:tcBorders>
              <w:top w:val="nil"/>
              <w:left w:val="nil"/>
              <w:bottom w:val="nil"/>
              <w:right w:val="nil"/>
            </w:tcBorders>
            <w:shd w:val="clear" w:color="auto" w:fill="auto"/>
            <w:vAlign w:val="bottom"/>
          </w:tcPr>
          <w:p w14:paraId="353DB5C0" w14:textId="08985FA3"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067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372</w:t>
            </w:r>
          </w:p>
        </w:tc>
        <w:tc>
          <w:tcPr>
            <w:tcW w:w="561" w:type="pct"/>
            <w:tcBorders>
              <w:top w:val="nil"/>
              <w:left w:val="nil"/>
              <w:bottom w:val="nil"/>
              <w:right w:val="nil"/>
            </w:tcBorders>
            <w:shd w:val="clear" w:color="auto" w:fill="auto"/>
            <w:vAlign w:val="bottom"/>
          </w:tcPr>
          <w:p w14:paraId="1B725D12" w14:textId="7399F060"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067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372</w:t>
            </w:r>
          </w:p>
        </w:tc>
      </w:tr>
      <w:tr w:rsidR="00B978E7" w:rsidRPr="00FB38E1" w14:paraId="16EF7AA3" w14:textId="77777777" w:rsidTr="00510B6F">
        <w:tc>
          <w:tcPr>
            <w:tcW w:w="174" w:type="pct"/>
            <w:shd w:val="clear" w:color="auto" w:fill="auto"/>
            <w:vAlign w:val="bottom"/>
          </w:tcPr>
          <w:p w14:paraId="18AD6D93"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10</w:t>
            </w:r>
          </w:p>
        </w:tc>
        <w:tc>
          <w:tcPr>
            <w:tcW w:w="2501" w:type="pct"/>
            <w:shd w:val="clear" w:color="auto" w:fill="auto"/>
          </w:tcPr>
          <w:p w14:paraId="50515D05" w14:textId="77777777" w:rsidR="00B978E7" w:rsidRPr="00FB38E1" w:rsidRDefault="00B978E7" w:rsidP="00B978E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nakit çıkışları</w:t>
            </w:r>
          </w:p>
        </w:tc>
        <w:tc>
          <w:tcPr>
            <w:tcW w:w="588" w:type="pct"/>
            <w:tcBorders>
              <w:top w:val="nil"/>
              <w:left w:val="nil"/>
              <w:bottom w:val="nil"/>
              <w:right w:val="nil"/>
            </w:tcBorders>
            <w:shd w:val="clear" w:color="auto" w:fill="auto"/>
            <w:vAlign w:val="bottom"/>
          </w:tcPr>
          <w:p w14:paraId="5C6A60A2" w14:textId="722099E9"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8</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987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008</w:t>
            </w:r>
          </w:p>
        </w:tc>
        <w:tc>
          <w:tcPr>
            <w:tcW w:w="588" w:type="pct"/>
            <w:tcBorders>
              <w:top w:val="nil"/>
              <w:left w:val="nil"/>
              <w:bottom w:val="nil"/>
              <w:right w:val="nil"/>
            </w:tcBorders>
            <w:shd w:val="clear" w:color="auto" w:fill="auto"/>
            <w:vAlign w:val="bottom"/>
          </w:tcPr>
          <w:p w14:paraId="7809FC31" w14:textId="70195868"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653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988</w:t>
            </w:r>
          </w:p>
        </w:tc>
        <w:tc>
          <w:tcPr>
            <w:tcW w:w="588" w:type="pct"/>
            <w:tcBorders>
              <w:top w:val="nil"/>
              <w:left w:val="nil"/>
              <w:bottom w:val="nil"/>
              <w:right w:val="nil"/>
            </w:tcBorders>
            <w:shd w:val="clear" w:color="auto" w:fill="auto"/>
            <w:vAlign w:val="bottom"/>
          </w:tcPr>
          <w:p w14:paraId="321CDFBC" w14:textId="66BB6858"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368</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573</w:t>
            </w:r>
          </w:p>
        </w:tc>
        <w:tc>
          <w:tcPr>
            <w:tcW w:w="561" w:type="pct"/>
            <w:tcBorders>
              <w:top w:val="nil"/>
              <w:left w:val="nil"/>
              <w:bottom w:val="nil"/>
              <w:right w:val="nil"/>
            </w:tcBorders>
            <w:shd w:val="clear" w:color="auto" w:fill="auto"/>
            <w:vAlign w:val="bottom"/>
          </w:tcPr>
          <w:p w14:paraId="18BFF38F" w14:textId="15D63963"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533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834</w:t>
            </w:r>
          </w:p>
        </w:tc>
      </w:tr>
      <w:tr w:rsidR="00B978E7" w:rsidRPr="00FB38E1" w14:paraId="08316589" w14:textId="77777777" w:rsidTr="00510B6F">
        <w:tc>
          <w:tcPr>
            <w:tcW w:w="174" w:type="pct"/>
            <w:shd w:val="clear" w:color="auto" w:fill="auto"/>
            <w:vAlign w:val="bottom"/>
          </w:tcPr>
          <w:p w14:paraId="7C406FD7"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11</w:t>
            </w:r>
          </w:p>
        </w:tc>
        <w:tc>
          <w:tcPr>
            <w:tcW w:w="2501" w:type="pct"/>
            <w:shd w:val="clear" w:color="auto" w:fill="auto"/>
          </w:tcPr>
          <w:p w14:paraId="4F0F86E3" w14:textId="77777777" w:rsidR="00B978E7" w:rsidRPr="00FB38E1" w:rsidRDefault="00B978E7" w:rsidP="00B978E7">
            <w:pPr>
              <w:ind w:firstLineChars="160" w:firstLine="224"/>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Türev yükümlülükler teminat tamamlama yükümlülükleri</w:t>
            </w:r>
          </w:p>
        </w:tc>
        <w:tc>
          <w:tcPr>
            <w:tcW w:w="588" w:type="pct"/>
            <w:tcBorders>
              <w:top w:val="nil"/>
              <w:left w:val="nil"/>
              <w:bottom w:val="nil"/>
              <w:right w:val="nil"/>
            </w:tcBorders>
            <w:shd w:val="clear" w:color="auto" w:fill="auto"/>
            <w:vAlign w:val="bottom"/>
          </w:tcPr>
          <w:p w14:paraId="21B68F01" w14:textId="731A3147"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956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283</w:t>
            </w:r>
          </w:p>
        </w:tc>
        <w:tc>
          <w:tcPr>
            <w:tcW w:w="588" w:type="pct"/>
            <w:tcBorders>
              <w:top w:val="nil"/>
              <w:left w:val="nil"/>
              <w:bottom w:val="nil"/>
              <w:right w:val="nil"/>
            </w:tcBorders>
            <w:shd w:val="clear" w:color="auto" w:fill="auto"/>
            <w:vAlign w:val="bottom"/>
          </w:tcPr>
          <w:p w14:paraId="7398D959" w14:textId="78223C61"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11</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453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732</w:t>
            </w:r>
          </w:p>
        </w:tc>
        <w:tc>
          <w:tcPr>
            <w:tcW w:w="588" w:type="pct"/>
            <w:tcBorders>
              <w:top w:val="nil"/>
              <w:left w:val="nil"/>
              <w:bottom w:val="nil"/>
              <w:right w:val="nil"/>
            </w:tcBorders>
            <w:shd w:val="clear" w:color="auto" w:fill="auto"/>
            <w:vAlign w:val="bottom"/>
          </w:tcPr>
          <w:p w14:paraId="49D7302E" w14:textId="5ACD008E"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956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283</w:t>
            </w:r>
          </w:p>
        </w:tc>
        <w:tc>
          <w:tcPr>
            <w:tcW w:w="561" w:type="pct"/>
            <w:tcBorders>
              <w:top w:val="nil"/>
              <w:left w:val="nil"/>
              <w:bottom w:val="nil"/>
              <w:right w:val="nil"/>
            </w:tcBorders>
            <w:shd w:val="clear" w:color="auto" w:fill="auto"/>
            <w:vAlign w:val="bottom"/>
          </w:tcPr>
          <w:p w14:paraId="5F60307F" w14:textId="61471A4A"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11</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453</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732</w:t>
            </w:r>
          </w:p>
        </w:tc>
      </w:tr>
      <w:tr w:rsidR="00B978E7" w:rsidRPr="00FB38E1" w14:paraId="4C4359D8" w14:textId="77777777" w:rsidTr="00510B6F">
        <w:tc>
          <w:tcPr>
            <w:tcW w:w="174" w:type="pct"/>
            <w:shd w:val="clear" w:color="auto" w:fill="auto"/>
            <w:vAlign w:val="bottom"/>
          </w:tcPr>
          <w:p w14:paraId="6A10F3BC"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12</w:t>
            </w:r>
          </w:p>
        </w:tc>
        <w:tc>
          <w:tcPr>
            <w:tcW w:w="2501" w:type="pct"/>
            <w:shd w:val="clear" w:color="auto" w:fill="auto"/>
          </w:tcPr>
          <w:p w14:paraId="276371A1" w14:textId="77777777" w:rsidR="00B978E7" w:rsidRPr="00FB38E1" w:rsidRDefault="00B978E7" w:rsidP="00B978E7">
            <w:pPr>
              <w:ind w:firstLineChars="160" w:firstLine="224"/>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Yapılandırılmış finansal araçlardan borçlar</w:t>
            </w:r>
          </w:p>
        </w:tc>
        <w:tc>
          <w:tcPr>
            <w:tcW w:w="588" w:type="pct"/>
            <w:tcBorders>
              <w:top w:val="nil"/>
              <w:left w:val="nil"/>
              <w:bottom w:val="nil"/>
              <w:right w:val="nil"/>
            </w:tcBorders>
            <w:shd w:val="clear" w:color="auto" w:fill="auto"/>
            <w:vAlign w:val="bottom"/>
          </w:tcPr>
          <w:p w14:paraId="2D0AEA68" w14:textId="78D90E4D"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16CF651C" w14:textId="2B1371E8"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2D66A808" w14:textId="06A28B89"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564911F9" w14:textId="4FBE7958"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w:t>
            </w:r>
          </w:p>
        </w:tc>
      </w:tr>
      <w:tr w:rsidR="00B978E7" w:rsidRPr="00FB38E1" w14:paraId="2D7BC207" w14:textId="77777777" w:rsidTr="00510B6F">
        <w:tc>
          <w:tcPr>
            <w:tcW w:w="174" w:type="pct"/>
            <w:shd w:val="clear" w:color="auto" w:fill="auto"/>
          </w:tcPr>
          <w:p w14:paraId="4EDA8BE2"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13</w:t>
            </w:r>
          </w:p>
        </w:tc>
        <w:tc>
          <w:tcPr>
            <w:tcW w:w="2501" w:type="pct"/>
            <w:shd w:val="clear" w:color="auto" w:fill="auto"/>
          </w:tcPr>
          <w:p w14:paraId="313543D4" w14:textId="77777777" w:rsidR="00B978E7" w:rsidRPr="00FB38E1" w:rsidRDefault="00B978E7" w:rsidP="00B978E7">
            <w:pPr>
              <w:ind w:left="225"/>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tcBorders>
              <w:top w:val="nil"/>
              <w:left w:val="nil"/>
              <w:bottom w:val="nil"/>
              <w:right w:val="nil"/>
            </w:tcBorders>
            <w:shd w:val="clear" w:color="auto" w:fill="auto"/>
            <w:vAlign w:val="bottom"/>
          </w:tcPr>
          <w:p w14:paraId="6377F6FA" w14:textId="71DFA923"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030</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725</w:t>
            </w:r>
          </w:p>
        </w:tc>
        <w:tc>
          <w:tcPr>
            <w:tcW w:w="588" w:type="pct"/>
            <w:tcBorders>
              <w:top w:val="nil"/>
              <w:left w:val="nil"/>
              <w:bottom w:val="nil"/>
              <w:right w:val="nil"/>
            </w:tcBorders>
            <w:shd w:val="clear" w:color="auto" w:fill="auto"/>
            <w:vAlign w:val="bottom"/>
          </w:tcPr>
          <w:p w14:paraId="0C4AC24B" w14:textId="30D77C66"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200</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256</w:t>
            </w:r>
          </w:p>
        </w:tc>
        <w:tc>
          <w:tcPr>
            <w:tcW w:w="588" w:type="pct"/>
            <w:tcBorders>
              <w:top w:val="nil"/>
              <w:left w:val="nil"/>
              <w:bottom w:val="nil"/>
              <w:right w:val="nil"/>
            </w:tcBorders>
            <w:shd w:val="clear" w:color="auto" w:fill="auto"/>
            <w:vAlign w:val="bottom"/>
          </w:tcPr>
          <w:p w14:paraId="2B0C792F" w14:textId="7470FEAE"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412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290</w:t>
            </w:r>
          </w:p>
        </w:tc>
        <w:tc>
          <w:tcPr>
            <w:tcW w:w="561" w:type="pct"/>
            <w:tcBorders>
              <w:top w:val="nil"/>
              <w:left w:val="nil"/>
              <w:bottom w:val="nil"/>
              <w:right w:val="nil"/>
            </w:tcBorders>
            <w:shd w:val="clear" w:color="auto" w:fill="auto"/>
            <w:vAlign w:val="bottom"/>
          </w:tcPr>
          <w:p w14:paraId="1891D3EC" w14:textId="43648BBE"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2</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080</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102</w:t>
            </w:r>
          </w:p>
        </w:tc>
      </w:tr>
      <w:tr w:rsidR="00B978E7" w:rsidRPr="00FB38E1" w14:paraId="4981448B" w14:textId="77777777" w:rsidTr="00510B6F">
        <w:tc>
          <w:tcPr>
            <w:tcW w:w="174" w:type="pct"/>
            <w:shd w:val="clear" w:color="auto" w:fill="auto"/>
          </w:tcPr>
          <w:p w14:paraId="7FCF5058"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14</w:t>
            </w:r>
          </w:p>
        </w:tc>
        <w:tc>
          <w:tcPr>
            <w:tcW w:w="2501" w:type="pct"/>
            <w:shd w:val="clear" w:color="auto" w:fill="auto"/>
          </w:tcPr>
          <w:p w14:paraId="4F4A3CF3" w14:textId="77777777" w:rsidR="00B978E7" w:rsidRPr="00FB38E1" w:rsidRDefault="00B978E7" w:rsidP="00B978E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tcBorders>
              <w:top w:val="nil"/>
              <w:left w:val="nil"/>
              <w:bottom w:val="nil"/>
              <w:right w:val="nil"/>
            </w:tcBorders>
            <w:shd w:val="clear" w:color="auto" w:fill="auto"/>
            <w:vAlign w:val="bottom"/>
          </w:tcPr>
          <w:p w14:paraId="6E110F37" w14:textId="308694CA"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217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739</w:t>
            </w:r>
          </w:p>
        </w:tc>
        <w:tc>
          <w:tcPr>
            <w:tcW w:w="588" w:type="pct"/>
            <w:tcBorders>
              <w:top w:val="nil"/>
              <w:left w:val="nil"/>
              <w:bottom w:val="nil"/>
              <w:right w:val="nil"/>
            </w:tcBorders>
            <w:shd w:val="clear" w:color="auto" w:fill="auto"/>
            <w:vAlign w:val="bottom"/>
          </w:tcPr>
          <w:p w14:paraId="1F81A220" w14:textId="32215C28"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217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180</w:t>
            </w:r>
          </w:p>
        </w:tc>
        <w:tc>
          <w:tcPr>
            <w:tcW w:w="588" w:type="pct"/>
            <w:tcBorders>
              <w:top w:val="nil"/>
              <w:left w:val="nil"/>
              <w:bottom w:val="nil"/>
              <w:right w:val="nil"/>
            </w:tcBorders>
            <w:shd w:val="clear" w:color="auto" w:fill="auto"/>
            <w:vAlign w:val="bottom"/>
          </w:tcPr>
          <w:p w14:paraId="4B3563E4" w14:textId="55F0F38E"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217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208</w:t>
            </w:r>
          </w:p>
        </w:tc>
        <w:tc>
          <w:tcPr>
            <w:tcW w:w="561" w:type="pct"/>
            <w:tcBorders>
              <w:top w:val="nil"/>
              <w:left w:val="nil"/>
              <w:bottom w:val="nil"/>
              <w:right w:val="nil"/>
            </w:tcBorders>
            <w:shd w:val="clear" w:color="auto" w:fill="auto"/>
            <w:vAlign w:val="bottom"/>
          </w:tcPr>
          <w:p w14:paraId="5A45F97E" w14:textId="47BF2681"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15</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217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180</w:t>
            </w:r>
          </w:p>
        </w:tc>
      </w:tr>
      <w:tr w:rsidR="00B978E7" w:rsidRPr="00FB38E1" w14:paraId="37F42233" w14:textId="77777777" w:rsidTr="00510B6F">
        <w:tc>
          <w:tcPr>
            <w:tcW w:w="174" w:type="pct"/>
            <w:tcBorders>
              <w:bottom w:val="single" w:sz="4" w:space="0" w:color="auto"/>
            </w:tcBorders>
            <w:shd w:val="clear" w:color="auto" w:fill="auto"/>
          </w:tcPr>
          <w:p w14:paraId="7F2F664E" w14:textId="77777777" w:rsidR="00B978E7" w:rsidRPr="00FB38E1" w:rsidRDefault="00B978E7" w:rsidP="00B978E7">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15</w:t>
            </w:r>
          </w:p>
        </w:tc>
        <w:tc>
          <w:tcPr>
            <w:tcW w:w="2501" w:type="pct"/>
            <w:tcBorders>
              <w:bottom w:val="single" w:sz="4" w:space="0" w:color="auto"/>
            </w:tcBorders>
            <w:shd w:val="clear" w:color="auto" w:fill="auto"/>
          </w:tcPr>
          <w:p w14:paraId="5874A80F" w14:textId="77777777" w:rsidR="00B978E7" w:rsidRPr="00FB38E1" w:rsidRDefault="00B978E7" w:rsidP="00B978E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top w:val="nil"/>
              <w:left w:val="nil"/>
              <w:bottom w:val="single" w:sz="4" w:space="0" w:color="auto"/>
              <w:right w:val="nil"/>
            </w:tcBorders>
            <w:shd w:val="clear" w:color="auto" w:fill="auto"/>
            <w:vAlign w:val="bottom"/>
          </w:tcPr>
          <w:p w14:paraId="0E602CAE" w14:textId="354383D1"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696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954</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559</w:t>
            </w:r>
          </w:p>
        </w:tc>
        <w:tc>
          <w:tcPr>
            <w:tcW w:w="588" w:type="pct"/>
            <w:tcBorders>
              <w:top w:val="nil"/>
              <w:left w:val="nil"/>
              <w:bottom w:val="single" w:sz="4" w:space="0" w:color="auto"/>
              <w:right w:val="nil"/>
            </w:tcBorders>
            <w:shd w:val="clear" w:color="auto" w:fill="auto"/>
            <w:vAlign w:val="bottom"/>
          </w:tcPr>
          <w:p w14:paraId="1A9ED1E6" w14:textId="3F15E2C2"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116</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369</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441</w:t>
            </w:r>
          </w:p>
        </w:tc>
        <w:tc>
          <w:tcPr>
            <w:tcW w:w="588" w:type="pct"/>
            <w:tcBorders>
              <w:top w:val="nil"/>
              <w:left w:val="nil"/>
              <w:bottom w:val="single" w:sz="4" w:space="0" w:color="auto"/>
              <w:right w:val="nil"/>
            </w:tcBorders>
            <w:shd w:val="clear" w:color="auto" w:fill="auto"/>
            <w:vAlign w:val="bottom"/>
          </w:tcPr>
          <w:p w14:paraId="59E7315B" w14:textId="32866321"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47</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619</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533</w:t>
            </w:r>
          </w:p>
        </w:tc>
        <w:tc>
          <w:tcPr>
            <w:tcW w:w="561" w:type="pct"/>
            <w:tcBorders>
              <w:top w:val="nil"/>
              <w:left w:val="nil"/>
              <w:bottom w:val="single" w:sz="4" w:space="0" w:color="auto"/>
              <w:right w:val="nil"/>
            </w:tcBorders>
            <w:shd w:val="clear" w:color="auto" w:fill="auto"/>
            <w:vAlign w:val="bottom"/>
          </w:tcPr>
          <w:p w14:paraId="155D50DE" w14:textId="5DBD9A46" w:rsidR="00B978E7" w:rsidRPr="00FB38E1" w:rsidRDefault="00B978E7" w:rsidP="00B978E7">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11</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528</w:t>
            </w:r>
            <w:r w:rsidR="001571E6"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819</w:t>
            </w:r>
          </w:p>
        </w:tc>
      </w:tr>
      <w:tr w:rsidR="001571E6" w:rsidRPr="00FB38E1" w14:paraId="78C5C958" w14:textId="77777777" w:rsidTr="00510B6F">
        <w:tc>
          <w:tcPr>
            <w:tcW w:w="174" w:type="pct"/>
            <w:tcBorders>
              <w:top w:val="single" w:sz="4" w:space="0" w:color="auto"/>
              <w:bottom w:val="single" w:sz="4" w:space="0" w:color="auto"/>
            </w:tcBorders>
            <w:shd w:val="clear" w:color="auto" w:fill="auto"/>
            <w:vAlign w:val="bottom"/>
          </w:tcPr>
          <w:p w14:paraId="2BD0D84B" w14:textId="77777777" w:rsidR="001571E6" w:rsidRPr="00FB38E1" w:rsidRDefault="001571E6" w:rsidP="001571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w:t>
            </w:r>
          </w:p>
        </w:tc>
        <w:tc>
          <w:tcPr>
            <w:tcW w:w="2501" w:type="pct"/>
            <w:tcBorders>
              <w:top w:val="single" w:sz="4" w:space="0" w:color="auto"/>
              <w:bottom w:val="single" w:sz="4" w:space="0" w:color="auto"/>
            </w:tcBorders>
            <w:shd w:val="clear" w:color="auto" w:fill="auto"/>
          </w:tcPr>
          <w:p w14:paraId="06067FF4" w14:textId="77777777" w:rsidR="001571E6" w:rsidRPr="00FB38E1" w:rsidRDefault="001571E6" w:rsidP="001571E6">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shd w:val="clear" w:color="auto" w:fill="auto"/>
            <w:vAlign w:val="bottom"/>
          </w:tcPr>
          <w:p w14:paraId="42676ACA" w14:textId="3559CF2C"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shd w:val="clear" w:color="auto" w:fill="auto"/>
            <w:vAlign w:val="bottom"/>
          </w:tcPr>
          <w:p w14:paraId="1478953C" w14:textId="741A1E30" w:rsidR="001571E6" w:rsidRPr="00FB38E1" w:rsidRDefault="001571E6" w:rsidP="001571E6">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404040"/>
                <w:sz w:val="14"/>
                <w:szCs w:val="14"/>
              </w:rPr>
              <w:t> </w:t>
            </w:r>
          </w:p>
        </w:tc>
        <w:tc>
          <w:tcPr>
            <w:tcW w:w="588" w:type="pct"/>
            <w:tcBorders>
              <w:top w:val="single" w:sz="4" w:space="0" w:color="auto"/>
              <w:left w:val="nil"/>
              <w:bottom w:val="single" w:sz="4" w:space="0" w:color="auto"/>
              <w:right w:val="nil"/>
            </w:tcBorders>
            <w:shd w:val="clear" w:color="auto" w:fill="auto"/>
            <w:vAlign w:val="bottom"/>
          </w:tcPr>
          <w:p w14:paraId="7101EE11" w14:textId="3D2E27DE" w:rsidR="001571E6" w:rsidRPr="00FB38E1" w:rsidRDefault="001571E6" w:rsidP="001571E6">
            <w:pPr>
              <w:jc w:val="right"/>
              <w:rPr>
                <w:rFonts w:ascii="Microsoft Sans Serif" w:hAnsi="Microsoft Sans Serif" w:cs="Microsoft Sans Serif"/>
                <w:b/>
                <w:color w:val="404040"/>
                <w:sz w:val="14"/>
                <w:szCs w:val="14"/>
              </w:rPr>
            </w:pPr>
            <w:r w:rsidRPr="00FB38E1">
              <w:rPr>
                <w:rFonts w:ascii="Microsoft Sans Serif" w:hAnsi="Microsoft Sans Serif" w:cs="Microsoft Sans Serif"/>
                <w:b/>
                <w:bCs/>
                <w:color w:val="404040"/>
                <w:sz w:val="14"/>
                <w:szCs w:val="14"/>
              </w:rPr>
              <w:t>263.603.599</w:t>
            </w:r>
          </w:p>
        </w:tc>
        <w:tc>
          <w:tcPr>
            <w:tcW w:w="561" w:type="pct"/>
            <w:tcBorders>
              <w:top w:val="single" w:sz="4" w:space="0" w:color="auto"/>
              <w:left w:val="nil"/>
              <w:bottom w:val="single" w:sz="4" w:space="0" w:color="auto"/>
              <w:right w:val="nil"/>
            </w:tcBorders>
            <w:shd w:val="clear" w:color="auto" w:fill="auto"/>
            <w:vAlign w:val="bottom"/>
          </w:tcPr>
          <w:p w14:paraId="7217091E" w14:textId="42E9CBB0" w:rsidR="001571E6" w:rsidRPr="00FB38E1" w:rsidRDefault="001571E6" w:rsidP="001571E6">
            <w:pPr>
              <w:jc w:val="right"/>
              <w:rPr>
                <w:rFonts w:ascii="Microsoft Sans Serif" w:hAnsi="Microsoft Sans Serif" w:cs="Microsoft Sans Serif"/>
                <w:b/>
                <w:color w:val="404040"/>
                <w:sz w:val="14"/>
                <w:szCs w:val="14"/>
              </w:rPr>
            </w:pPr>
            <w:r w:rsidRPr="00FB38E1">
              <w:rPr>
                <w:rFonts w:ascii="Microsoft Sans Serif" w:hAnsi="Microsoft Sans Serif" w:cs="Microsoft Sans Serif"/>
                <w:b/>
                <w:bCs/>
                <w:color w:val="404040"/>
                <w:sz w:val="14"/>
                <w:szCs w:val="14"/>
              </w:rPr>
              <w:t>119.685.607</w:t>
            </w:r>
          </w:p>
        </w:tc>
      </w:tr>
      <w:tr w:rsidR="006A5AFE" w:rsidRPr="00FB38E1" w14:paraId="36ADF3DF" w14:textId="77777777" w:rsidTr="00B7661E">
        <w:tc>
          <w:tcPr>
            <w:tcW w:w="2675" w:type="pct"/>
            <w:gridSpan w:val="2"/>
            <w:tcBorders>
              <w:top w:val="single" w:sz="4" w:space="0" w:color="auto"/>
            </w:tcBorders>
            <w:shd w:val="clear" w:color="auto" w:fill="auto"/>
          </w:tcPr>
          <w:p w14:paraId="56CA2223" w14:textId="77777777" w:rsidR="006A5AFE" w:rsidRPr="00FB38E1" w:rsidRDefault="006A5AFE" w:rsidP="00B7661E">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NAKİT GİRİŞLERİ</w:t>
            </w:r>
          </w:p>
        </w:tc>
        <w:tc>
          <w:tcPr>
            <w:tcW w:w="588" w:type="pct"/>
            <w:tcBorders>
              <w:top w:val="single" w:sz="4" w:space="0" w:color="auto"/>
            </w:tcBorders>
            <w:shd w:val="clear" w:color="auto" w:fill="auto"/>
            <w:vAlign w:val="bottom"/>
          </w:tcPr>
          <w:p w14:paraId="238C8B95" w14:textId="77777777" w:rsidR="006A5AFE" w:rsidRPr="00FB38E1" w:rsidRDefault="006A5AFE" w:rsidP="006A5AFE">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61D39810" w14:textId="77777777" w:rsidR="006A5AFE" w:rsidRPr="00FB38E1" w:rsidRDefault="006A5AFE" w:rsidP="006A5AFE">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0D7D7BDA" w14:textId="77777777" w:rsidR="006A5AFE" w:rsidRPr="00FB38E1" w:rsidRDefault="006A5AFE" w:rsidP="006A5AFE">
            <w:pPr>
              <w:jc w:val="right"/>
              <w:rPr>
                <w:rFonts w:ascii="Microsoft Sans Serif" w:hAnsi="Microsoft Sans Serif" w:cs="Microsoft Sans Serif"/>
                <w:b/>
                <w:bCs/>
                <w:color w:val="404040"/>
                <w:sz w:val="14"/>
                <w:szCs w:val="14"/>
              </w:rPr>
            </w:pPr>
          </w:p>
        </w:tc>
        <w:tc>
          <w:tcPr>
            <w:tcW w:w="561" w:type="pct"/>
            <w:tcBorders>
              <w:top w:val="single" w:sz="4" w:space="0" w:color="auto"/>
            </w:tcBorders>
            <w:shd w:val="clear" w:color="auto" w:fill="auto"/>
            <w:vAlign w:val="bottom"/>
          </w:tcPr>
          <w:p w14:paraId="22050C1A" w14:textId="77777777" w:rsidR="006A5AFE" w:rsidRPr="00FB38E1" w:rsidRDefault="006A5AFE" w:rsidP="006A5AFE">
            <w:pPr>
              <w:jc w:val="right"/>
              <w:rPr>
                <w:rFonts w:ascii="Microsoft Sans Serif" w:hAnsi="Microsoft Sans Serif" w:cs="Microsoft Sans Serif"/>
                <w:b/>
                <w:bCs/>
                <w:color w:val="404040"/>
                <w:sz w:val="14"/>
                <w:szCs w:val="14"/>
              </w:rPr>
            </w:pPr>
          </w:p>
        </w:tc>
      </w:tr>
      <w:tr w:rsidR="001571E6" w:rsidRPr="00FB38E1" w14:paraId="6A5FA046" w14:textId="77777777" w:rsidTr="00510B6F">
        <w:tc>
          <w:tcPr>
            <w:tcW w:w="174" w:type="pct"/>
            <w:shd w:val="clear" w:color="auto" w:fill="auto"/>
            <w:vAlign w:val="bottom"/>
          </w:tcPr>
          <w:p w14:paraId="4A719537" w14:textId="77777777" w:rsidR="001571E6" w:rsidRPr="00FB38E1" w:rsidRDefault="001571E6" w:rsidP="001571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17</w:t>
            </w:r>
          </w:p>
        </w:tc>
        <w:tc>
          <w:tcPr>
            <w:tcW w:w="2501" w:type="pct"/>
            <w:shd w:val="clear" w:color="auto" w:fill="auto"/>
          </w:tcPr>
          <w:p w14:paraId="02764BB5" w14:textId="77777777" w:rsidR="001571E6" w:rsidRPr="00FB38E1" w:rsidRDefault="001571E6" w:rsidP="001571E6">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Teminatlı alacaklar</w:t>
            </w:r>
          </w:p>
        </w:tc>
        <w:tc>
          <w:tcPr>
            <w:tcW w:w="588" w:type="pct"/>
            <w:tcBorders>
              <w:top w:val="nil"/>
              <w:left w:val="nil"/>
              <w:bottom w:val="nil"/>
              <w:right w:val="nil"/>
            </w:tcBorders>
            <w:shd w:val="clear" w:color="auto" w:fill="auto"/>
            <w:vAlign w:val="bottom"/>
          </w:tcPr>
          <w:p w14:paraId="0F430160" w14:textId="01D85FA8"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2.172.648</w:t>
            </w:r>
          </w:p>
        </w:tc>
        <w:tc>
          <w:tcPr>
            <w:tcW w:w="588" w:type="pct"/>
            <w:tcBorders>
              <w:top w:val="nil"/>
              <w:left w:val="nil"/>
              <w:bottom w:val="nil"/>
              <w:right w:val="nil"/>
            </w:tcBorders>
            <w:shd w:val="clear" w:color="auto" w:fill="auto"/>
            <w:vAlign w:val="bottom"/>
          </w:tcPr>
          <w:p w14:paraId="18987035" w14:textId="597D56EF"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2B1571CE" w14:textId="2A1C1D43"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70BBA96D" w14:textId="47D8C783"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w:t>
            </w:r>
          </w:p>
        </w:tc>
      </w:tr>
      <w:tr w:rsidR="001571E6" w:rsidRPr="00FB38E1" w14:paraId="0957649A" w14:textId="77777777" w:rsidTr="00510B6F">
        <w:tc>
          <w:tcPr>
            <w:tcW w:w="174" w:type="pct"/>
            <w:shd w:val="clear" w:color="auto" w:fill="auto"/>
            <w:vAlign w:val="bottom"/>
          </w:tcPr>
          <w:p w14:paraId="71948A00" w14:textId="77777777" w:rsidR="001571E6" w:rsidRPr="00FB38E1" w:rsidRDefault="001571E6" w:rsidP="001571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18</w:t>
            </w:r>
          </w:p>
        </w:tc>
        <w:tc>
          <w:tcPr>
            <w:tcW w:w="2501" w:type="pct"/>
            <w:shd w:val="clear" w:color="auto" w:fill="auto"/>
          </w:tcPr>
          <w:p w14:paraId="6A7F0368" w14:textId="77777777" w:rsidR="001571E6" w:rsidRPr="00FB38E1" w:rsidRDefault="001571E6" w:rsidP="001571E6">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Teminatsız alacaklar</w:t>
            </w:r>
          </w:p>
        </w:tc>
        <w:tc>
          <w:tcPr>
            <w:tcW w:w="588" w:type="pct"/>
            <w:tcBorders>
              <w:top w:val="nil"/>
              <w:left w:val="nil"/>
              <w:bottom w:val="nil"/>
              <w:right w:val="nil"/>
            </w:tcBorders>
            <w:shd w:val="clear" w:color="auto" w:fill="auto"/>
            <w:vAlign w:val="bottom"/>
          </w:tcPr>
          <w:p w14:paraId="25B28BB8" w14:textId="57A26A19"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168.212.618</w:t>
            </w:r>
          </w:p>
        </w:tc>
        <w:tc>
          <w:tcPr>
            <w:tcW w:w="588" w:type="pct"/>
            <w:tcBorders>
              <w:top w:val="nil"/>
              <w:left w:val="nil"/>
              <w:bottom w:val="nil"/>
              <w:right w:val="nil"/>
            </w:tcBorders>
            <w:shd w:val="clear" w:color="auto" w:fill="auto"/>
            <w:vAlign w:val="bottom"/>
          </w:tcPr>
          <w:p w14:paraId="4DA6CAA4" w14:textId="2F32DAFC"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45.097.221</w:t>
            </w:r>
          </w:p>
        </w:tc>
        <w:tc>
          <w:tcPr>
            <w:tcW w:w="588" w:type="pct"/>
            <w:tcBorders>
              <w:top w:val="nil"/>
              <w:left w:val="nil"/>
              <w:bottom w:val="nil"/>
              <w:right w:val="nil"/>
            </w:tcBorders>
            <w:shd w:val="clear" w:color="auto" w:fill="auto"/>
            <w:vAlign w:val="bottom"/>
          </w:tcPr>
          <w:p w14:paraId="12B8C348" w14:textId="0D37593D"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134.198.375</w:t>
            </w:r>
          </w:p>
        </w:tc>
        <w:tc>
          <w:tcPr>
            <w:tcW w:w="561" w:type="pct"/>
            <w:tcBorders>
              <w:top w:val="nil"/>
              <w:left w:val="nil"/>
              <w:bottom w:val="nil"/>
              <w:right w:val="nil"/>
            </w:tcBorders>
            <w:shd w:val="clear" w:color="auto" w:fill="auto"/>
            <w:vAlign w:val="bottom"/>
          </w:tcPr>
          <w:p w14:paraId="5528627E" w14:textId="12DF6C4C"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39.655.087</w:t>
            </w:r>
          </w:p>
        </w:tc>
      </w:tr>
      <w:tr w:rsidR="001571E6" w:rsidRPr="00FB38E1" w14:paraId="2FE59647" w14:textId="77777777" w:rsidTr="00510B6F">
        <w:tc>
          <w:tcPr>
            <w:tcW w:w="174" w:type="pct"/>
            <w:tcBorders>
              <w:bottom w:val="single" w:sz="4" w:space="0" w:color="auto"/>
            </w:tcBorders>
            <w:shd w:val="clear" w:color="auto" w:fill="auto"/>
            <w:vAlign w:val="bottom"/>
          </w:tcPr>
          <w:p w14:paraId="78BB1FD7" w14:textId="77777777" w:rsidR="001571E6" w:rsidRPr="00FB38E1" w:rsidRDefault="001571E6" w:rsidP="001571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19</w:t>
            </w:r>
          </w:p>
        </w:tc>
        <w:tc>
          <w:tcPr>
            <w:tcW w:w="2501" w:type="pct"/>
            <w:tcBorders>
              <w:bottom w:val="single" w:sz="4" w:space="0" w:color="auto"/>
            </w:tcBorders>
            <w:shd w:val="clear" w:color="auto" w:fill="auto"/>
          </w:tcPr>
          <w:p w14:paraId="3DC16847" w14:textId="77777777" w:rsidR="001571E6" w:rsidRPr="00FB38E1" w:rsidRDefault="001571E6" w:rsidP="001571E6">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nakit girişleri</w:t>
            </w:r>
          </w:p>
        </w:tc>
        <w:tc>
          <w:tcPr>
            <w:tcW w:w="588" w:type="pct"/>
            <w:tcBorders>
              <w:top w:val="nil"/>
              <w:left w:val="nil"/>
              <w:bottom w:val="single" w:sz="4" w:space="0" w:color="auto"/>
              <w:right w:val="nil"/>
            </w:tcBorders>
            <w:shd w:val="clear" w:color="auto" w:fill="auto"/>
            <w:vAlign w:val="bottom"/>
          </w:tcPr>
          <w:p w14:paraId="3FCA384C" w14:textId="61A99EE6"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836.615</w:t>
            </w:r>
          </w:p>
        </w:tc>
        <w:tc>
          <w:tcPr>
            <w:tcW w:w="588" w:type="pct"/>
            <w:tcBorders>
              <w:top w:val="nil"/>
              <w:left w:val="nil"/>
              <w:bottom w:val="single" w:sz="4" w:space="0" w:color="auto"/>
              <w:right w:val="nil"/>
            </w:tcBorders>
            <w:shd w:val="clear" w:color="auto" w:fill="auto"/>
            <w:vAlign w:val="bottom"/>
          </w:tcPr>
          <w:p w14:paraId="4BDE808B" w14:textId="7AC7590D"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16.991.822</w:t>
            </w:r>
          </w:p>
        </w:tc>
        <w:tc>
          <w:tcPr>
            <w:tcW w:w="588" w:type="pct"/>
            <w:tcBorders>
              <w:top w:val="nil"/>
              <w:left w:val="nil"/>
              <w:bottom w:val="single" w:sz="4" w:space="0" w:color="auto"/>
              <w:right w:val="nil"/>
            </w:tcBorders>
            <w:shd w:val="clear" w:color="auto" w:fill="auto"/>
            <w:vAlign w:val="bottom"/>
          </w:tcPr>
          <w:p w14:paraId="31F63288" w14:textId="1E93C593"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836.615</w:t>
            </w:r>
          </w:p>
        </w:tc>
        <w:tc>
          <w:tcPr>
            <w:tcW w:w="561" w:type="pct"/>
            <w:tcBorders>
              <w:top w:val="nil"/>
              <w:left w:val="nil"/>
              <w:bottom w:val="single" w:sz="4" w:space="0" w:color="auto"/>
              <w:right w:val="nil"/>
            </w:tcBorders>
            <w:shd w:val="clear" w:color="auto" w:fill="auto"/>
            <w:vAlign w:val="bottom"/>
          </w:tcPr>
          <w:p w14:paraId="4CFD63AC" w14:textId="16A5355C" w:rsidR="001571E6" w:rsidRPr="00FB38E1" w:rsidRDefault="001571E6" w:rsidP="001571E6">
            <w:pPr>
              <w:jc w:val="right"/>
              <w:rPr>
                <w:rFonts w:ascii="Microsoft Sans Serif" w:hAnsi="Microsoft Sans Serif" w:cs="Microsoft Sans Serif"/>
                <w:bCs/>
                <w:color w:val="404040"/>
                <w:sz w:val="14"/>
                <w:szCs w:val="14"/>
              </w:rPr>
            </w:pPr>
            <w:r w:rsidRPr="00FB38E1">
              <w:rPr>
                <w:rFonts w:ascii="Microsoft Sans Serif" w:hAnsi="Microsoft Sans Serif" w:cs="Microsoft Sans Serif"/>
                <w:color w:val="404040"/>
                <w:sz w:val="14"/>
                <w:szCs w:val="14"/>
              </w:rPr>
              <w:t>16.991.822</w:t>
            </w:r>
          </w:p>
        </w:tc>
      </w:tr>
      <w:tr w:rsidR="001571E6" w:rsidRPr="00FB38E1" w14:paraId="01B55FB3" w14:textId="77777777" w:rsidTr="00510B6F">
        <w:tc>
          <w:tcPr>
            <w:tcW w:w="174" w:type="pct"/>
            <w:tcBorders>
              <w:top w:val="single" w:sz="4" w:space="0" w:color="auto"/>
              <w:bottom w:val="single" w:sz="4" w:space="0" w:color="auto"/>
            </w:tcBorders>
            <w:shd w:val="clear" w:color="auto" w:fill="auto"/>
            <w:vAlign w:val="bottom"/>
          </w:tcPr>
          <w:p w14:paraId="15C2DEA3" w14:textId="77777777" w:rsidR="001571E6" w:rsidRPr="00FB38E1" w:rsidRDefault="001571E6" w:rsidP="001571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w:t>
            </w:r>
          </w:p>
        </w:tc>
        <w:tc>
          <w:tcPr>
            <w:tcW w:w="2501" w:type="pct"/>
            <w:tcBorders>
              <w:top w:val="single" w:sz="4" w:space="0" w:color="auto"/>
              <w:bottom w:val="single" w:sz="4" w:space="0" w:color="auto"/>
            </w:tcBorders>
            <w:shd w:val="clear" w:color="auto" w:fill="auto"/>
          </w:tcPr>
          <w:p w14:paraId="6FE3D992" w14:textId="77777777" w:rsidR="001571E6" w:rsidRPr="00FB38E1" w:rsidRDefault="001571E6" w:rsidP="001571E6">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NAKİT GİRİŞLERİ</w:t>
            </w:r>
          </w:p>
        </w:tc>
        <w:tc>
          <w:tcPr>
            <w:tcW w:w="588" w:type="pct"/>
            <w:tcBorders>
              <w:top w:val="single" w:sz="4" w:space="0" w:color="auto"/>
              <w:left w:val="nil"/>
              <w:bottom w:val="single" w:sz="4" w:space="0" w:color="auto"/>
              <w:right w:val="nil"/>
            </w:tcBorders>
            <w:shd w:val="clear" w:color="auto" w:fill="auto"/>
            <w:vAlign w:val="bottom"/>
          </w:tcPr>
          <w:p w14:paraId="131EA563" w14:textId="6CA78A61"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171.221.881</w:t>
            </w:r>
          </w:p>
        </w:tc>
        <w:tc>
          <w:tcPr>
            <w:tcW w:w="588" w:type="pct"/>
            <w:tcBorders>
              <w:top w:val="single" w:sz="4" w:space="0" w:color="auto"/>
              <w:left w:val="nil"/>
              <w:bottom w:val="single" w:sz="4" w:space="0" w:color="auto"/>
              <w:right w:val="nil"/>
            </w:tcBorders>
            <w:shd w:val="clear" w:color="auto" w:fill="auto"/>
            <w:vAlign w:val="bottom"/>
          </w:tcPr>
          <w:p w14:paraId="19BB7772" w14:textId="2FB35DA6"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62.089.043</w:t>
            </w:r>
          </w:p>
        </w:tc>
        <w:tc>
          <w:tcPr>
            <w:tcW w:w="588" w:type="pct"/>
            <w:tcBorders>
              <w:top w:val="single" w:sz="4" w:space="0" w:color="auto"/>
              <w:left w:val="nil"/>
              <w:bottom w:val="single" w:sz="4" w:space="0" w:color="auto"/>
              <w:right w:val="nil"/>
            </w:tcBorders>
            <w:shd w:val="clear" w:color="auto" w:fill="auto"/>
            <w:vAlign w:val="bottom"/>
          </w:tcPr>
          <w:p w14:paraId="47E217E5" w14:textId="39AFFB36"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135.034.990</w:t>
            </w:r>
          </w:p>
        </w:tc>
        <w:tc>
          <w:tcPr>
            <w:tcW w:w="561" w:type="pct"/>
            <w:tcBorders>
              <w:top w:val="single" w:sz="4" w:space="0" w:color="auto"/>
              <w:left w:val="nil"/>
              <w:bottom w:val="single" w:sz="4" w:space="0" w:color="auto"/>
              <w:right w:val="nil"/>
            </w:tcBorders>
            <w:shd w:val="clear" w:color="auto" w:fill="auto"/>
            <w:vAlign w:val="bottom"/>
          </w:tcPr>
          <w:p w14:paraId="47BB90F8" w14:textId="7737C5D8"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56.646.909</w:t>
            </w:r>
          </w:p>
        </w:tc>
      </w:tr>
      <w:tr w:rsidR="00184116" w:rsidRPr="00FB38E1" w14:paraId="2A265108" w14:textId="77777777" w:rsidTr="00B7661E">
        <w:tc>
          <w:tcPr>
            <w:tcW w:w="174" w:type="pct"/>
            <w:tcBorders>
              <w:top w:val="single" w:sz="4" w:space="0" w:color="auto"/>
              <w:bottom w:val="single" w:sz="4" w:space="0" w:color="auto"/>
            </w:tcBorders>
            <w:shd w:val="clear" w:color="auto" w:fill="auto"/>
            <w:vAlign w:val="bottom"/>
          </w:tcPr>
          <w:p w14:paraId="26251532" w14:textId="77777777" w:rsidR="00184116" w:rsidRPr="00FB38E1" w:rsidRDefault="00184116">
            <w:pPr>
              <w:rPr>
                <w:rFonts w:ascii="Microsoft Sans Serif" w:hAnsi="Microsoft Sans Serif" w:cs="Microsoft Sans Serif"/>
                <w:color w:val="000000"/>
                <w:sz w:val="14"/>
                <w:szCs w:val="14"/>
              </w:rPr>
            </w:pPr>
          </w:p>
        </w:tc>
        <w:tc>
          <w:tcPr>
            <w:tcW w:w="2501" w:type="pct"/>
            <w:tcBorders>
              <w:top w:val="single" w:sz="4" w:space="0" w:color="auto"/>
              <w:bottom w:val="single" w:sz="4" w:space="0" w:color="auto"/>
            </w:tcBorders>
            <w:shd w:val="clear" w:color="auto" w:fill="auto"/>
          </w:tcPr>
          <w:p w14:paraId="77AAD75C" w14:textId="77777777" w:rsidR="00184116" w:rsidRPr="00FB38E1" w:rsidRDefault="00184116" w:rsidP="00B7661E">
            <w:pPr>
              <w:jc w:val="left"/>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7014DE1A" w14:textId="77777777" w:rsidR="00184116" w:rsidRPr="00FB38E1" w:rsidRDefault="00184116">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6B998B0C" w14:textId="77777777" w:rsidR="00184116" w:rsidRPr="00FB38E1" w:rsidRDefault="00184116">
            <w:pPr>
              <w:rPr>
                <w:rFonts w:ascii="Microsoft Sans Serif" w:hAnsi="Microsoft Sans Serif" w:cs="Microsoft Sans Serif"/>
                <w:color w:val="000000"/>
                <w:sz w:val="14"/>
                <w:szCs w:val="14"/>
              </w:rPr>
            </w:pPr>
          </w:p>
        </w:tc>
        <w:tc>
          <w:tcPr>
            <w:tcW w:w="1149" w:type="pct"/>
            <w:gridSpan w:val="2"/>
            <w:tcBorders>
              <w:top w:val="single" w:sz="4" w:space="0" w:color="auto"/>
              <w:bottom w:val="single" w:sz="4" w:space="0" w:color="auto"/>
            </w:tcBorders>
            <w:shd w:val="clear" w:color="auto" w:fill="auto"/>
            <w:vAlign w:val="bottom"/>
          </w:tcPr>
          <w:p w14:paraId="7C783215" w14:textId="77777777" w:rsidR="00184116" w:rsidRPr="00FB38E1" w:rsidRDefault="00184116" w:rsidP="005F4105">
            <w:pPr>
              <w:jc w:val="center"/>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Üst Sınır Uygulanmış Değerler</w:t>
            </w:r>
          </w:p>
        </w:tc>
      </w:tr>
      <w:tr w:rsidR="001571E6" w:rsidRPr="00FB38E1" w14:paraId="58B97C19" w14:textId="77777777" w:rsidTr="00510B6F">
        <w:tc>
          <w:tcPr>
            <w:tcW w:w="174" w:type="pct"/>
            <w:tcBorders>
              <w:top w:val="single" w:sz="4" w:space="0" w:color="auto"/>
              <w:bottom w:val="nil"/>
            </w:tcBorders>
            <w:shd w:val="clear" w:color="auto" w:fill="auto"/>
            <w:vAlign w:val="bottom"/>
          </w:tcPr>
          <w:p w14:paraId="1AFF6E0F" w14:textId="77777777" w:rsidR="001571E6" w:rsidRPr="00FB38E1" w:rsidRDefault="001571E6" w:rsidP="001571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w:t>
            </w:r>
          </w:p>
        </w:tc>
        <w:tc>
          <w:tcPr>
            <w:tcW w:w="2501" w:type="pct"/>
            <w:tcBorders>
              <w:top w:val="single" w:sz="4" w:space="0" w:color="auto"/>
              <w:bottom w:val="nil"/>
            </w:tcBorders>
            <w:shd w:val="clear" w:color="auto" w:fill="auto"/>
          </w:tcPr>
          <w:p w14:paraId="542DFA3C" w14:textId="77777777" w:rsidR="001571E6" w:rsidRPr="00FB38E1" w:rsidRDefault="001571E6" w:rsidP="001571E6">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shd w:val="clear" w:color="auto" w:fill="auto"/>
            <w:vAlign w:val="bottom"/>
          </w:tcPr>
          <w:p w14:paraId="02E59FE6" w14:textId="77777777" w:rsidR="001571E6" w:rsidRPr="00FB38E1" w:rsidRDefault="001571E6" w:rsidP="001571E6">
            <w:pPr>
              <w:rPr>
                <w:rFonts w:ascii="Microsoft Sans Serif" w:hAnsi="Microsoft Sans Serif" w:cs="Microsoft Sans Serif"/>
                <w:color w:val="404040"/>
                <w:sz w:val="14"/>
                <w:szCs w:val="14"/>
              </w:rPr>
            </w:pPr>
          </w:p>
        </w:tc>
        <w:tc>
          <w:tcPr>
            <w:tcW w:w="588" w:type="pct"/>
            <w:tcBorders>
              <w:top w:val="single" w:sz="4" w:space="0" w:color="auto"/>
              <w:bottom w:val="nil"/>
            </w:tcBorders>
            <w:shd w:val="clear" w:color="auto" w:fill="auto"/>
            <w:vAlign w:val="bottom"/>
          </w:tcPr>
          <w:p w14:paraId="3E33F4B3" w14:textId="77777777" w:rsidR="001571E6" w:rsidRPr="00FB38E1" w:rsidRDefault="001571E6" w:rsidP="001571E6">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A3F4F11" w14:textId="2852429A"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244.582.660</w:t>
            </w:r>
          </w:p>
        </w:tc>
        <w:tc>
          <w:tcPr>
            <w:tcW w:w="561" w:type="pct"/>
            <w:tcBorders>
              <w:top w:val="nil"/>
              <w:left w:val="nil"/>
              <w:bottom w:val="nil"/>
              <w:right w:val="nil"/>
            </w:tcBorders>
            <w:shd w:val="clear" w:color="auto" w:fill="auto"/>
            <w:vAlign w:val="bottom"/>
          </w:tcPr>
          <w:p w14:paraId="19C9406E" w14:textId="243C0BD1"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122.595.131</w:t>
            </w:r>
          </w:p>
        </w:tc>
      </w:tr>
      <w:tr w:rsidR="001571E6" w:rsidRPr="00FB38E1" w14:paraId="0FE3099A" w14:textId="77777777" w:rsidTr="00510B6F">
        <w:tc>
          <w:tcPr>
            <w:tcW w:w="174" w:type="pct"/>
            <w:tcBorders>
              <w:top w:val="nil"/>
              <w:bottom w:val="nil"/>
            </w:tcBorders>
            <w:shd w:val="clear" w:color="auto" w:fill="auto"/>
            <w:vAlign w:val="bottom"/>
          </w:tcPr>
          <w:p w14:paraId="5EDAB780" w14:textId="77777777" w:rsidR="001571E6" w:rsidRPr="00FB38E1" w:rsidRDefault="001571E6" w:rsidP="001571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22</w:t>
            </w:r>
          </w:p>
        </w:tc>
        <w:tc>
          <w:tcPr>
            <w:tcW w:w="2501" w:type="pct"/>
            <w:tcBorders>
              <w:top w:val="nil"/>
              <w:bottom w:val="nil"/>
            </w:tcBorders>
            <w:shd w:val="clear" w:color="auto" w:fill="auto"/>
          </w:tcPr>
          <w:p w14:paraId="07BEA356" w14:textId="77777777" w:rsidR="001571E6" w:rsidRPr="00FB38E1" w:rsidRDefault="001571E6" w:rsidP="001571E6">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NET NAKİT ÇIKIŞLARI</w:t>
            </w:r>
          </w:p>
        </w:tc>
        <w:tc>
          <w:tcPr>
            <w:tcW w:w="588" w:type="pct"/>
            <w:tcBorders>
              <w:top w:val="nil"/>
              <w:bottom w:val="nil"/>
            </w:tcBorders>
            <w:shd w:val="clear" w:color="auto" w:fill="auto"/>
            <w:vAlign w:val="bottom"/>
          </w:tcPr>
          <w:p w14:paraId="378CDB0E" w14:textId="77777777" w:rsidR="001571E6" w:rsidRPr="00FB38E1" w:rsidRDefault="001571E6" w:rsidP="001571E6">
            <w:pPr>
              <w:rPr>
                <w:rFonts w:ascii="Microsoft Sans Serif" w:hAnsi="Microsoft Sans Serif" w:cs="Microsoft Sans Serif"/>
                <w:color w:val="404040"/>
                <w:sz w:val="14"/>
                <w:szCs w:val="14"/>
              </w:rPr>
            </w:pPr>
          </w:p>
        </w:tc>
        <w:tc>
          <w:tcPr>
            <w:tcW w:w="588" w:type="pct"/>
            <w:tcBorders>
              <w:top w:val="nil"/>
              <w:bottom w:val="nil"/>
            </w:tcBorders>
            <w:shd w:val="clear" w:color="auto" w:fill="auto"/>
            <w:vAlign w:val="bottom"/>
          </w:tcPr>
          <w:p w14:paraId="31BC867F" w14:textId="77777777" w:rsidR="001571E6" w:rsidRPr="00FB38E1" w:rsidRDefault="001571E6" w:rsidP="001571E6">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28808AE2" w14:textId="371FB165"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128.568.608</w:t>
            </w:r>
          </w:p>
        </w:tc>
        <w:tc>
          <w:tcPr>
            <w:tcW w:w="561" w:type="pct"/>
            <w:tcBorders>
              <w:top w:val="nil"/>
              <w:left w:val="nil"/>
              <w:bottom w:val="nil"/>
              <w:right w:val="nil"/>
            </w:tcBorders>
            <w:shd w:val="clear" w:color="auto" w:fill="auto"/>
            <w:vAlign w:val="bottom"/>
          </w:tcPr>
          <w:p w14:paraId="665CC449" w14:textId="62F39FE2"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63.070.077</w:t>
            </w:r>
          </w:p>
        </w:tc>
      </w:tr>
      <w:tr w:rsidR="001571E6" w:rsidRPr="00FB38E1" w14:paraId="193CC17F" w14:textId="77777777" w:rsidTr="00510B6F">
        <w:tc>
          <w:tcPr>
            <w:tcW w:w="174" w:type="pct"/>
            <w:tcBorders>
              <w:top w:val="nil"/>
              <w:bottom w:val="thickThinSmallGap" w:sz="24" w:space="0" w:color="auto"/>
            </w:tcBorders>
            <w:shd w:val="clear" w:color="auto" w:fill="auto"/>
            <w:vAlign w:val="bottom"/>
          </w:tcPr>
          <w:p w14:paraId="13F40DB3" w14:textId="77777777" w:rsidR="001571E6" w:rsidRPr="00FB38E1" w:rsidRDefault="001571E6" w:rsidP="001571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w:t>
            </w:r>
          </w:p>
        </w:tc>
        <w:tc>
          <w:tcPr>
            <w:tcW w:w="2501" w:type="pct"/>
            <w:tcBorders>
              <w:top w:val="nil"/>
              <w:bottom w:val="thickThinSmallGap" w:sz="24" w:space="0" w:color="auto"/>
            </w:tcBorders>
            <w:shd w:val="clear" w:color="auto" w:fill="auto"/>
          </w:tcPr>
          <w:p w14:paraId="14BE3AB6" w14:textId="77777777" w:rsidR="001571E6" w:rsidRPr="00FB38E1" w:rsidRDefault="001571E6" w:rsidP="001571E6">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shd w:val="clear" w:color="auto" w:fill="auto"/>
            <w:vAlign w:val="bottom"/>
          </w:tcPr>
          <w:p w14:paraId="60DF11CF" w14:textId="1B32A38D" w:rsidR="001571E6" w:rsidRPr="00FB38E1" w:rsidRDefault="001571E6" w:rsidP="001571E6">
            <w:pPr>
              <w:rPr>
                <w:rFonts w:ascii="Microsoft Sans Serif" w:hAnsi="Microsoft Sans Serif" w:cs="Microsoft Sans Serif"/>
                <w:color w:val="404040"/>
                <w:sz w:val="14"/>
                <w:szCs w:val="14"/>
              </w:rPr>
            </w:pPr>
            <w:r w:rsidRPr="00FB38E1">
              <w:rPr>
                <w:rFonts w:ascii="Microsoft Sans Serif" w:hAnsi="Microsoft Sans Serif" w:cs="Microsoft Sans Serif"/>
                <w:b/>
                <w:bCs/>
                <w:color w:val="404040"/>
                <w:sz w:val="14"/>
                <w:szCs w:val="14"/>
              </w:rPr>
              <w:t> </w:t>
            </w:r>
          </w:p>
        </w:tc>
        <w:tc>
          <w:tcPr>
            <w:tcW w:w="588" w:type="pct"/>
            <w:tcBorders>
              <w:top w:val="nil"/>
              <w:bottom w:val="thickThinSmallGap" w:sz="24" w:space="0" w:color="auto"/>
            </w:tcBorders>
            <w:shd w:val="clear" w:color="auto" w:fill="auto"/>
            <w:vAlign w:val="bottom"/>
          </w:tcPr>
          <w:p w14:paraId="68BB2D28" w14:textId="59893B17"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 </w:t>
            </w:r>
          </w:p>
        </w:tc>
        <w:tc>
          <w:tcPr>
            <w:tcW w:w="588" w:type="pct"/>
            <w:tcBorders>
              <w:top w:val="nil"/>
              <w:left w:val="nil"/>
              <w:bottom w:val="thickThinSmallGap" w:sz="24" w:space="0" w:color="auto"/>
              <w:right w:val="nil"/>
            </w:tcBorders>
            <w:shd w:val="clear" w:color="auto" w:fill="auto"/>
            <w:vAlign w:val="bottom"/>
          </w:tcPr>
          <w:p w14:paraId="6FC03424" w14:textId="19267F6A"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193,2</w:t>
            </w:r>
          </w:p>
        </w:tc>
        <w:tc>
          <w:tcPr>
            <w:tcW w:w="561" w:type="pct"/>
            <w:tcBorders>
              <w:top w:val="nil"/>
              <w:left w:val="nil"/>
              <w:bottom w:val="thickThinSmallGap" w:sz="24" w:space="0" w:color="auto"/>
              <w:right w:val="nil"/>
            </w:tcBorders>
            <w:shd w:val="clear" w:color="auto" w:fill="auto"/>
            <w:vAlign w:val="bottom"/>
          </w:tcPr>
          <w:p w14:paraId="3B9D3666" w14:textId="21784D26" w:rsidR="001571E6" w:rsidRPr="00FB38E1" w:rsidRDefault="001571E6" w:rsidP="001571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202,3</w:t>
            </w:r>
          </w:p>
        </w:tc>
      </w:tr>
    </w:tbl>
    <w:p w14:paraId="7FE65B8E" w14:textId="2C48953B" w:rsidR="00E655DB" w:rsidRPr="00FB38E1" w:rsidRDefault="00D40CF5" w:rsidP="003A6389">
      <w:pPr>
        <w:pStyle w:val="BASLIK2"/>
        <w:widowControl/>
        <w:tabs>
          <w:tab w:val="left" w:pos="284"/>
        </w:tabs>
        <w:spacing w:before="60" w:after="240" w:line="240" w:lineRule="auto"/>
        <w:ind w:firstLine="0"/>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b w:val="0"/>
          <w:color w:val="404040" w:themeColor="text1" w:themeTint="BF"/>
          <w:sz w:val="16"/>
          <w:szCs w:val="16"/>
        </w:rPr>
        <w:t xml:space="preserve">(*) </w:t>
      </w:r>
      <w:r w:rsidR="00C65282" w:rsidRPr="00FB38E1">
        <w:rPr>
          <w:rFonts w:ascii="Microsoft Sans Serif" w:hAnsi="Microsoft Sans Serif" w:cs="Microsoft Sans Serif"/>
          <w:b w:val="0"/>
          <w:color w:val="404040" w:themeColor="text1" w:themeTint="BF"/>
          <w:sz w:val="16"/>
          <w:szCs w:val="16"/>
        </w:rPr>
        <w:t>Haftalık basit aritmetik ortalama alınmak suretiyle hesaplanan değerlerin son üç ay için hesaplanan basit aritmetik ortalaması</w:t>
      </w:r>
      <w:r w:rsidR="00325DD5" w:rsidRPr="00FB38E1">
        <w:rPr>
          <w:rFonts w:ascii="Microsoft Sans Serif" w:hAnsi="Microsoft Sans Serif" w:cs="Microsoft Sans Serif"/>
          <w:b w:val="0"/>
          <w:color w:val="404040" w:themeColor="text1" w:themeTint="BF"/>
          <w:sz w:val="16"/>
          <w:szCs w:val="16"/>
        </w:rPr>
        <w:t>.</w:t>
      </w:r>
    </w:p>
    <w:tbl>
      <w:tblPr>
        <w:tblStyle w:val="TableGrid"/>
        <w:tblW w:w="9645" w:type="dxa"/>
        <w:tblInd w:w="-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37"/>
        <w:gridCol w:w="4824"/>
        <w:gridCol w:w="1134"/>
        <w:gridCol w:w="1134"/>
        <w:gridCol w:w="1134"/>
        <w:gridCol w:w="1082"/>
      </w:tblGrid>
      <w:tr w:rsidR="003E4A94" w:rsidRPr="00FB38E1" w14:paraId="2D8CA2DC" w14:textId="77777777" w:rsidTr="00B7661E">
        <w:tc>
          <w:tcPr>
            <w:tcW w:w="174" w:type="pct"/>
            <w:shd w:val="clear" w:color="auto" w:fill="auto"/>
            <w:vAlign w:val="bottom"/>
          </w:tcPr>
          <w:p w14:paraId="2120B842" w14:textId="77777777" w:rsidR="003E4A94" w:rsidRPr="00FB38E1" w:rsidRDefault="003E4A94" w:rsidP="001D3726">
            <w:pPr>
              <w:rPr>
                <w:rFonts w:ascii="Microsoft Sans Serif" w:hAnsi="Microsoft Sans Serif" w:cs="Microsoft Sans Serif"/>
                <w:color w:val="000000"/>
                <w:sz w:val="14"/>
                <w:szCs w:val="14"/>
              </w:rPr>
            </w:pPr>
          </w:p>
        </w:tc>
        <w:tc>
          <w:tcPr>
            <w:tcW w:w="2500" w:type="pct"/>
            <w:shd w:val="clear" w:color="auto" w:fill="auto"/>
            <w:vAlign w:val="bottom"/>
          </w:tcPr>
          <w:p w14:paraId="7F4984E1" w14:textId="77777777" w:rsidR="003E4A94" w:rsidRPr="00FB38E1" w:rsidRDefault="003E4A94" w:rsidP="001D3726">
            <w:pPr>
              <w:rPr>
                <w:rFonts w:ascii="Microsoft Sans Serif" w:hAnsi="Microsoft Sans Serif" w:cs="Microsoft Sans Serif"/>
                <w:color w:val="000000"/>
                <w:sz w:val="14"/>
                <w:szCs w:val="14"/>
              </w:rPr>
            </w:pPr>
          </w:p>
        </w:tc>
        <w:tc>
          <w:tcPr>
            <w:tcW w:w="1176" w:type="pct"/>
            <w:gridSpan w:val="2"/>
            <w:tcBorders>
              <w:bottom w:val="nil"/>
            </w:tcBorders>
            <w:shd w:val="clear" w:color="auto" w:fill="auto"/>
            <w:vAlign w:val="bottom"/>
          </w:tcPr>
          <w:p w14:paraId="427BA1D3" w14:textId="77777777" w:rsidR="003E4A94" w:rsidRPr="00FB38E1" w:rsidRDefault="003E4A94" w:rsidP="001D372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Dikkate Alınma Oranı</w:t>
            </w:r>
          </w:p>
        </w:tc>
        <w:tc>
          <w:tcPr>
            <w:tcW w:w="1149" w:type="pct"/>
            <w:gridSpan w:val="2"/>
            <w:tcBorders>
              <w:bottom w:val="nil"/>
            </w:tcBorders>
            <w:shd w:val="clear" w:color="auto" w:fill="auto"/>
            <w:vAlign w:val="bottom"/>
          </w:tcPr>
          <w:p w14:paraId="1BFBFFAF" w14:textId="77777777" w:rsidR="003E4A94" w:rsidRPr="00FB38E1" w:rsidRDefault="003E4A94" w:rsidP="001D372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Dikkate Alınma Oranı</w:t>
            </w:r>
          </w:p>
        </w:tc>
      </w:tr>
      <w:tr w:rsidR="003E4A94" w:rsidRPr="00FB38E1" w14:paraId="7460768E" w14:textId="77777777" w:rsidTr="00B7661E">
        <w:tc>
          <w:tcPr>
            <w:tcW w:w="174" w:type="pct"/>
            <w:tcBorders>
              <w:bottom w:val="nil"/>
            </w:tcBorders>
            <w:shd w:val="clear" w:color="auto" w:fill="auto"/>
            <w:vAlign w:val="bottom"/>
          </w:tcPr>
          <w:p w14:paraId="075093F0" w14:textId="77777777" w:rsidR="003E4A94" w:rsidRPr="00FB38E1" w:rsidRDefault="003E4A94" w:rsidP="001D3726">
            <w:pPr>
              <w:rPr>
                <w:rFonts w:ascii="Microsoft Sans Serif" w:hAnsi="Microsoft Sans Serif" w:cs="Microsoft Sans Serif"/>
                <w:color w:val="000000"/>
                <w:sz w:val="14"/>
                <w:szCs w:val="14"/>
              </w:rPr>
            </w:pPr>
          </w:p>
        </w:tc>
        <w:tc>
          <w:tcPr>
            <w:tcW w:w="2500" w:type="pct"/>
            <w:tcBorders>
              <w:bottom w:val="nil"/>
            </w:tcBorders>
            <w:shd w:val="clear" w:color="auto" w:fill="auto"/>
            <w:vAlign w:val="bottom"/>
          </w:tcPr>
          <w:p w14:paraId="394812A3" w14:textId="1E984AA8" w:rsidR="003E4A94" w:rsidRPr="00FB38E1" w:rsidRDefault="003E4A94" w:rsidP="001D3726">
            <w:pPr>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Önceki Dönem</w:t>
            </w:r>
          </w:p>
        </w:tc>
        <w:tc>
          <w:tcPr>
            <w:tcW w:w="1176" w:type="pct"/>
            <w:gridSpan w:val="2"/>
            <w:tcBorders>
              <w:top w:val="nil"/>
              <w:bottom w:val="nil"/>
            </w:tcBorders>
            <w:shd w:val="clear" w:color="auto" w:fill="auto"/>
            <w:vAlign w:val="bottom"/>
          </w:tcPr>
          <w:p w14:paraId="1CFFD6C0" w14:textId="77777777" w:rsidR="003E4A94" w:rsidRPr="00FB38E1" w:rsidRDefault="003E4A94" w:rsidP="001D372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Uygulanmamış Toplam Değer (*)</w:t>
            </w:r>
          </w:p>
        </w:tc>
        <w:tc>
          <w:tcPr>
            <w:tcW w:w="1149" w:type="pct"/>
            <w:gridSpan w:val="2"/>
            <w:tcBorders>
              <w:top w:val="nil"/>
              <w:bottom w:val="nil"/>
            </w:tcBorders>
            <w:shd w:val="clear" w:color="auto" w:fill="auto"/>
            <w:vAlign w:val="bottom"/>
          </w:tcPr>
          <w:p w14:paraId="1DDE4DEE" w14:textId="77777777" w:rsidR="003E4A94" w:rsidRPr="00FB38E1" w:rsidRDefault="003E4A94" w:rsidP="001D372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Uygulanmış Toplam Değer (*)</w:t>
            </w:r>
          </w:p>
        </w:tc>
      </w:tr>
      <w:tr w:rsidR="003E4A94" w:rsidRPr="00FB38E1" w14:paraId="44826CA5" w14:textId="77777777" w:rsidTr="00B7661E">
        <w:tc>
          <w:tcPr>
            <w:tcW w:w="174" w:type="pct"/>
            <w:tcBorders>
              <w:top w:val="nil"/>
              <w:bottom w:val="single" w:sz="4" w:space="0" w:color="auto"/>
            </w:tcBorders>
            <w:shd w:val="clear" w:color="auto" w:fill="auto"/>
            <w:vAlign w:val="bottom"/>
          </w:tcPr>
          <w:p w14:paraId="33B11049" w14:textId="77777777" w:rsidR="003E4A94" w:rsidRPr="00FB38E1" w:rsidRDefault="003E4A94" w:rsidP="001D3726">
            <w:pPr>
              <w:rPr>
                <w:rFonts w:ascii="Microsoft Sans Serif" w:hAnsi="Microsoft Sans Serif" w:cs="Microsoft Sans Serif"/>
                <w:color w:val="000000"/>
                <w:sz w:val="14"/>
                <w:szCs w:val="14"/>
              </w:rPr>
            </w:pPr>
          </w:p>
        </w:tc>
        <w:tc>
          <w:tcPr>
            <w:tcW w:w="2500" w:type="pct"/>
            <w:tcBorders>
              <w:top w:val="nil"/>
              <w:bottom w:val="single" w:sz="4" w:space="0" w:color="auto"/>
            </w:tcBorders>
            <w:shd w:val="clear" w:color="auto" w:fill="auto"/>
            <w:vAlign w:val="bottom"/>
          </w:tcPr>
          <w:p w14:paraId="2ACA8D2C" w14:textId="77777777" w:rsidR="003E4A94" w:rsidRPr="00FB38E1" w:rsidRDefault="003E4A94" w:rsidP="001D3726">
            <w:pPr>
              <w:rPr>
                <w:rFonts w:ascii="Microsoft Sans Serif" w:hAnsi="Microsoft Sans Serif" w:cs="Microsoft Sans Serif"/>
                <w:color w:val="000000"/>
                <w:sz w:val="14"/>
                <w:szCs w:val="14"/>
              </w:rPr>
            </w:pPr>
          </w:p>
        </w:tc>
        <w:tc>
          <w:tcPr>
            <w:tcW w:w="588" w:type="pct"/>
            <w:tcBorders>
              <w:top w:val="nil"/>
              <w:bottom w:val="single" w:sz="4" w:space="0" w:color="auto"/>
            </w:tcBorders>
            <w:shd w:val="clear" w:color="auto" w:fill="auto"/>
            <w:vAlign w:val="bottom"/>
          </w:tcPr>
          <w:p w14:paraId="3796A3DB" w14:textId="77777777" w:rsidR="003E4A94" w:rsidRPr="00FB38E1" w:rsidRDefault="003E4A94" w:rsidP="001D372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TP+YP</w:t>
            </w:r>
          </w:p>
        </w:tc>
        <w:tc>
          <w:tcPr>
            <w:tcW w:w="588" w:type="pct"/>
            <w:tcBorders>
              <w:top w:val="nil"/>
              <w:bottom w:val="single" w:sz="4" w:space="0" w:color="auto"/>
            </w:tcBorders>
            <w:shd w:val="clear" w:color="auto" w:fill="auto"/>
            <w:vAlign w:val="bottom"/>
          </w:tcPr>
          <w:p w14:paraId="2918DE5A" w14:textId="77777777" w:rsidR="003E4A94" w:rsidRPr="00FB38E1" w:rsidRDefault="003E4A94" w:rsidP="001D372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YP</w:t>
            </w:r>
          </w:p>
        </w:tc>
        <w:tc>
          <w:tcPr>
            <w:tcW w:w="588" w:type="pct"/>
            <w:tcBorders>
              <w:top w:val="nil"/>
              <w:bottom w:val="single" w:sz="4" w:space="0" w:color="auto"/>
            </w:tcBorders>
            <w:shd w:val="clear" w:color="auto" w:fill="auto"/>
            <w:vAlign w:val="bottom"/>
          </w:tcPr>
          <w:p w14:paraId="3A16FBB6" w14:textId="77777777" w:rsidR="003E4A94" w:rsidRPr="00FB38E1" w:rsidRDefault="003E4A94" w:rsidP="001D372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TP+YP</w:t>
            </w:r>
          </w:p>
        </w:tc>
        <w:tc>
          <w:tcPr>
            <w:tcW w:w="561" w:type="pct"/>
            <w:tcBorders>
              <w:top w:val="nil"/>
              <w:bottom w:val="single" w:sz="4" w:space="0" w:color="auto"/>
            </w:tcBorders>
            <w:shd w:val="clear" w:color="auto" w:fill="auto"/>
            <w:vAlign w:val="bottom"/>
          </w:tcPr>
          <w:p w14:paraId="1EC346DE" w14:textId="77777777" w:rsidR="003E4A94" w:rsidRPr="00FB38E1" w:rsidRDefault="003E4A94" w:rsidP="001D3726">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YP</w:t>
            </w:r>
          </w:p>
        </w:tc>
      </w:tr>
      <w:tr w:rsidR="003E4A94" w:rsidRPr="00FB38E1" w14:paraId="32364ECF" w14:textId="77777777" w:rsidTr="00B7661E">
        <w:trPr>
          <w:trHeight w:val="47"/>
        </w:trPr>
        <w:tc>
          <w:tcPr>
            <w:tcW w:w="2674" w:type="pct"/>
            <w:gridSpan w:val="2"/>
            <w:tcBorders>
              <w:top w:val="single" w:sz="4" w:space="0" w:color="auto"/>
            </w:tcBorders>
            <w:shd w:val="clear" w:color="auto" w:fill="auto"/>
            <w:vAlign w:val="bottom"/>
          </w:tcPr>
          <w:p w14:paraId="5A8EC00B" w14:textId="77777777" w:rsidR="003E4A94" w:rsidRPr="00FB38E1" w:rsidRDefault="003E4A94" w:rsidP="001D3726">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YÜKSEK KALİTELİ LİKİT VARLIKLAR (YKLV)</w:t>
            </w:r>
          </w:p>
        </w:tc>
        <w:tc>
          <w:tcPr>
            <w:tcW w:w="588" w:type="pct"/>
            <w:tcBorders>
              <w:top w:val="single" w:sz="4" w:space="0" w:color="auto"/>
            </w:tcBorders>
            <w:shd w:val="clear" w:color="auto" w:fill="auto"/>
            <w:vAlign w:val="bottom"/>
          </w:tcPr>
          <w:p w14:paraId="316A587D" w14:textId="77777777" w:rsidR="003E4A94" w:rsidRPr="00FB38E1" w:rsidRDefault="003E4A94" w:rsidP="001D372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57D17BDD" w14:textId="77777777" w:rsidR="003E4A94" w:rsidRPr="00FB38E1" w:rsidRDefault="003E4A94" w:rsidP="001D3726">
            <w:pPr>
              <w:rPr>
                <w:rFonts w:ascii="Microsoft Sans Serif" w:hAnsi="Microsoft Sans Serif" w:cs="Microsoft Sans Serif"/>
                <w:color w:val="000000"/>
                <w:sz w:val="14"/>
                <w:szCs w:val="14"/>
              </w:rPr>
            </w:pPr>
          </w:p>
        </w:tc>
        <w:tc>
          <w:tcPr>
            <w:tcW w:w="588" w:type="pct"/>
            <w:tcBorders>
              <w:top w:val="single" w:sz="4" w:space="0" w:color="auto"/>
            </w:tcBorders>
            <w:shd w:val="clear" w:color="auto" w:fill="auto"/>
            <w:vAlign w:val="bottom"/>
          </w:tcPr>
          <w:p w14:paraId="1A89BFEE" w14:textId="77777777" w:rsidR="003E4A94" w:rsidRPr="00FB38E1" w:rsidRDefault="003E4A94" w:rsidP="001D3726">
            <w:pPr>
              <w:rPr>
                <w:rFonts w:ascii="Microsoft Sans Serif" w:hAnsi="Microsoft Sans Serif" w:cs="Microsoft Sans Serif"/>
                <w:color w:val="000000"/>
                <w:sz w:val="14"/>
                <w:szCs w:val="14"/>
              </w:rPr>
            </w:pPr>
          </w:p>
        </w:tc>
        <w:tc>
          <w:tcPr>
            <w:tcW w:w="561" w:type="pct"/>
            <w:tcBorders>
              <w:top w:val="single" w:sz="4" w:space="0" w:color="auto"/>
            </w:tcBorders>
            <w:shd w:val="clear" w:color="auto" w:fill="auto"/>
            <w:vAlign w:val="bottom"/>
          </w:tcPr>
          <w:p w14:paraId="3194BD7E" w14:textId="77777777" w:rsidR="003E4A94" w:rsidRPr="00FB38E1" w:rsidRDefault="003E4A94" w:rsidP="001D3726">
            <w:pPr>
              <w:rPr>
                <w:rFonts w:ascii="Microsoft Sans Serif" w:hAnsi="Microsoft Sans Serif" w:cs="Microsoft Sans Serif"/>
                <w:color w:val="000000"/>
                <w:sz w:val="14"/>
                <w:szCs w:val="14"/>
              </w:rPr>
            </w:pPr>
          </w:p>
        </w:tc>
      </w:tr>
      <w:tr w:rsidR="00401BBC" w:rsidRPr="00FB38E1" w14:paraId="622150A9" w14:textId="77777777" w:rsidTr="00B7661E">
        <w:trPr>
          <w:trHeight w:val="53"/>
        </w:trPr>
        <w:tc>
          <w:tcPr>
            <w:tcW w:w="174" w:type="pct"/>
            <w:shd w:val="clear" w:color="auto" w:fill="auto"/>
            <w:vAlign w:val="bottom"/>
          </w:tcPr>
          <w:p w14:paraId="687A3257"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2500" w:type="pct"/>
            <w:shd w:val="clear" w:color="auto" w:fill="auto"/>
            <w:vAlign w:val="bottom"/>
          </w:tcPr>
          <w:p w14:paraId="32EA16F6" w14:textId="77777777" w:rsidR="00401BBC" w:rsidRPr="00FB38E1" w:rsidRDefault="00401BBC" w:rsidP="00401BBC">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Yüksek kaliteli likit varlıklar</w:t>
            </w:r>
          </w:p>
        </w:tc>
        <w:tc>
          <w:tcPr>
            <w:tcW w:w="588" w:type="pct"/>
            <w:shd w:val="clear" w:color="auto" w:fill="auto"/>
            <w:vAlign w:val="bottom"/>
          </w:tcPr>
          <w:p w14:paraId="597FAFA9" w14:textId="77777777" w:rsidR="00401BBC" w:rsidRPr="00FB38E1" w:rsidRDefault="00401BBC" w:rsidP="00401BBC">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1282CD80" w14:textId="77777777" w:rsidR="00401BBC" w:rsidRPr="00FB38E1" w:rsidRDefault="00401BBC" w:rsidP="00401BBC">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3F125894" w14:textId="3F68C5E1"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188.325.967</w:t>
            </w:r>
          </w:p>
        </w:tc>
        <w:tc>
          <w:tcPr>
            <w:tcW w:w="561" w:type="pct"/>
            <w:tcBorders>
              <w:top w:val="nil"/>
              <w:left w:val="nil"/>
              <w:bottom w:val="nil"/>
              <w:right w:val="nil"/>
            </w:tcBorders>
            <w:shd w:val="clear" w:color="auto" w:fill="auto"/>
            <w:vAlign w:val="bottom"/>
          </w:tcPr>
          <w:p w14:paraId="3DDCFEA2" w14:textId="0224DAFE"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87.586.921</w:t>
            </w:r>
          </w:p>
        </w:tc>
      </w:tr>
      <w:tr w:rsidR="00401BBC" w:rsidRPr="00FB38E1" w14:paraId="4D35E5C6" w14:textId="77777777" w:rsidTr="00B7661E">
        <w:tc>
          <w:tcPr>
            <w:tcW w:w="2674" w:type="pct"/>
            <w:gridSpan w:val="2"/>
            <w:shd w:val="clear" w:color="auto" w:fill="auto"/>
            <w:vAlign w:val="bottom"/>
          </w:tcPr>
          <w:p w14:paraId="33204BFF" w14:textId="77777777" w:rsidR="00401BBC" w:rsidRPr="00FB38E1" w:rsidRDefault="00401BBC" w:rsidP="00401BBC">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NAKİT ÇIKIŞLARI</w:t>
            </w:r>
          </w:p>
        </w:tc>
        <w:tc>
          <w:tcPr>
            <w:tcW w:w="588" w:type="pct"/>
            <w:shd w:val="clear" w:color="auto" w:fill="auto"/>
            <w:vAlign w:val="bottom"/>
          </w:tcPr>
          <w:p w14:paraId="79103EFD" w14:textId="77777777" w:rsidR="00401BBC" w:rsidRPr="00FB38E1" w:rsidRDefault="00401BBC" w:rsidP="00401BBC">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7F4D6971" w14:textId="77777777" w:rsidR="00401BBC" w:rsidRPr="00FB38E1" w:rsidRDefault="00401BBC" w:rsidP="00401BBC">
            <w:pPr>
              <w:jc w:val="right"/>
              <w:rPr>
                <w:rFonts w:ascii="Microsoft Sans Serif" w:hAnsi="Microsoft Sans Serif" w:cs="Microsoft Sans Serif"/>
                <w:b/>
                <w:bCs/>
                <w:color w:val="404040"/>
                <w:sz w:val="14"/>
                <w:szCs w:val="14"/>
              </w:rPr>
            </w:pPr>
          </w:p>
        </w:tc>
        <w:tc>
          <w:tcPr>
            <w:tcW w:w="588" w:type="pct"/>
            <w:shd w:val="clear" w:color="auto" w:fill="auto"/>
            <w:vAlign w:val="bottom"/>
          </w:tcPr>
          <w:p w14:paraId="57D305DE" w14:textId="77777777" w:rsidR="00401BBC" w:rsidRPr="00FB38E1" w:rsidRDefault="00401BBC" w:rsidP="00401BBC">
            <w:pPr>
              <w:jc w:val="right"/>
              <w:rPr>
                <w:rFonts w:ascii="Microsoft Sans Serif" w:hAnsi="Microsoft Sans Serif" w:cs="Microsoft Sans Serif"/>
                <w:b/>
                <w:bCs/>
                <w:color w:val="404040"/>
                <w:sz w:val="14"/>
                <w:szCs w:val="14"/>
              </w:rPr>
            </w:pPr>
          </w:p>
        </w:tc>
        <w:tc>
          <w:tcPr>
            <w:tcW w:w="561" w:type="pct"/>
            <w:shd w:val="clear" w:color="auto" w:fill="auto"/>
            <w:vAlign w:val="bottom"/>
          </w:tcPr>
          <w:p w14:paraId="5594EC31" w14:textId="77777777" w:rsidR="00401BBC" w:rsidRPr="00FB38E1" w:rsidRDefault="00401BBC" w:rsidP="00401BBC">
            <w:pPr>
              <w:jc w:val="right"/>
              <w:rPr>
                <w:rFonts w:ascii="Microsoft Sans Serif" w:hAnsi="Microsoft Sans Serif" w:cs="Microsoft Sans Serif"/>
                <w:b/>
                <w:bCs/>
                <w:color w:val="404040"/>
                <w:sz w:val="14"/>
                <w:szCs w:val="14"/>
              </w:rPr>
            </w:pPr>
          </w:p>
        </w:tc>
      </w:tr>
      <w:tr w:rsidR="00401BBC" w:rsidRPr="00FB38E1" w14:paraId="20445AEF" w14:textId="77777777" w:rsidTr="00B7661E">
        <w:tc>
          <w:tcPr>
            <w:tcW w:w="174" w:type="pct"/>
            <w:shd w:val="clear" w:color="auto" w:fill="auto"/>
            <w:vAlign w:val="bottom"/>
          </w:tcPr>
          <w:p w14:paraId="27BCABD5"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2500" w:type="pct"/>
            <w:shd w:val="clear" w:color="auto" w:fill="auto"/>
            <w:vAlign w:val="bottom"/>
          </w:tcPr>
          <w:p w14:paraId="0C18C820" w14:textId="77777777" w:rsidR="00401BBC" w:rsidRPr="00FB38E1" w:rsidRDefault="00401BBC" w:rsidP="00B7661E">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Gerçek kişi mevduat ve perakende mevduat</w:t>
            </w:r>
          </w:p>
        </w:tc>
        <w:tc>
          <w:tcPr>
            <w:tcW w:w="588" w:type="pct"/>
            <w:tcBorders>
              <w:top w:val="nil"/>
              <w:left w:val="nil"/>
              <w:bottom w:val="nil"/>
              <w:right w:val="nil"/>
            </w:tcBorders>
            <w:shd w:val="clear" w:color="auto" w:fill="auto"/>
            <w:vAlign w:val="bottom"/>
          </w:tcPr>
          <w:p w14:paraId="2DC21A84" w14:textId="1105C610"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400.795.596</w:t>
            </w:r>
          </w:p>
        </w:tc>
        <w:tc>
          <w:tcPr>
            <w:tcW w:w="588" w:type="pct"/>
            <w:tcBorders>
              <w:top w:val="nil"/>
              <w:left w:val="nil"/>
              <w:bottom w:val="nil"/>
              <w:right w:val="nil"/>
            </w:tcBorders>
            <w:shd w:val="clear" w:color="auto" w:fill="auto"/>
            <w:vAlign w:val="bottom"/>
          </w:tcPr>
          <w:p w14:paraId="0A7FF7D9" w14:textId="09EBFD72"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135.487.478</w:t>
            </w:r>
          </w:p>
        </w:tc>
        <w:tc>
          <w:tcPr>
            <w:tcW w:w="588" w:type="pct"/>
            <w:tcBorders>
              <w:top w:val="nil"/>
              <w:left w:val="nil"/>
              <w:bottom w:val="nil"/>
              <w:right w:val="nil"/>
            </w:tcBorders>
            <w:shd w:val="clear" w:color="auto" w:fill="auto"/>
            <w:vAlign w:val="bottom"/>
          </w:tcPr>
          <w:p w14:paraId="6A53F4A7" w14:textId="2592C2B8"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37.068.450</w:t>
            </w:r>
          </w:p>
        </w:tc>
        <w:tc>
          <w:tcPr>
            <w:tcW w:w="561" w:type="pct"/>
            <w:tcBorders>
              <w:top w:val="nil"/>
              <w:left w:val="nil"/>
              <w:bottom w:val="nil"/>
              <w:right w:val="nil"/>
            </w:tcBorders>
            <w:shd w:val="clear" w:color="auto" w:fill="auto"/>
            <w:vAlign w:val="bottom"/>
          </w:tcPr>
          <w:p w14:paraId="31DDAD0B" w14:textId="0FF3BD84"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13.548.748</w:t>
            </w:r>
          </w:p>
        </w:tc>
      </w:tr>
      <w:tr w:rsidR="00401BBC" w:rsidRPr="00FB38E1" w14:paraId="044D4255" w14:textId="77777777" w:rsidTr="00B7661E">
        <w:tc>
          <w:tcPr>
            <w:tcW w:w="174" w:type="pct"/>
            <w:shd w:val="clear" w:color="auto" w:fill="auto"/>
            <w:vAlign w:val="bottom"/>
          </w:tcPr>
          <w:p w14:paraId="796157CA"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2500" w:type="pct"/>
            <w:shd w:val="clear" w:color="auto" w:fill="auto"/>
            <w:vAlign w:val="bottom"/>
          </w:tcPr>
          <w:p w14:paraId="2671DFD6" w14:textId="77777777" w:rsidR="00401BBC" w:rsidRPr="00FB38E1" w:rsidRDefault="00401BBC" w:rsidP="00B7661E">
            <w:pPr>
              <w:ind w:firstLineChars="160" w:firstLine="224"/>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İstikrarlı mevduat</w:t>
            </w:r>
          </w:p>
        </w:tc>
        <w:tc>
          <w:tcPr>
            <w:tcW w:w="588" w:type="pct"/>
            <w:tcBorders>
              <w:top w:val="nil"/>
              <w:left w:val="nil"/>
              <w:bottom w:val="nil"/>
              <w:right w:val="nil"/>
            </w:tcBorders>
            <w:shd w:val="clear" w:color="auto" w:fill="auto"/>
            <w:vAlign w:val="bottom"/>
          </w:tcPr>
          <w:p w14:paraId="79A4ED87" w14:textId="47251E54"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60.222.195</w:t>
            </w:r>
          </w:p>
        </w:tc>
        <w:tc>
          <w:tcPr>
            <w:tcW w:w="588" w:type="pct"/>
            <w:tcBorders>
              <w:top w:val="nil"/>
              <w:left w:val="nil"/>
              <w:bottom w:val="nil"/>
              <w:right w:val="nil"/>
            </w:tcBorders>
            <w:shd w:val="clear" w:color="auto" w:fill="auto"/>
            <w:vAlign w:val="bottom"/>
          </w:tcPr>
          <w:p w14:paraId="47395D9C" w14:textId="5D51691A"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7EC91664" w14:textId="2644B02C"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3.011.110</w:t>
            </w:r>
          </w:p>
        </w:tc>
        <w:tc>
          <w:tcPr>
            <w:tcW w:w="561" w:type="pct"/>
            <w:tcBorders>
              <w:top w:val="nil"/>
              <w:left w:val="nil"/>
              <w:bottom w:val="nil"/>
              <w:right w:val="nil"/>
            </w:tcBorders>
            <w:shd w:val="clear" w:color="auto" w:fill="auto"/>
            <w:vAlign w:val="bottom"/>
          </w:tcPr>
          <w:p w14:paraId="036CE9AD" w14:textId="6276D4A3"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r>
      <w:tr w:rsidR="00401BBC" w:rsidRPr="00FB38E1" w14:paraId="46B8755D" w14:textId="77777777" w:rsidTr="00B7661E">
        <w:tc>
          <w:tcPr>
            <w:tcW w:w="174" w:type="pct"/>
            <w:shd w:val="clear" w:color="auto" w:fill="auto"/>
            <w:vAlign w:val="bottom"/>
          </w:tcPr>
          <w:p w14:paraId="22F65800"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4</w:t>
            </w:r>
          </w:p>
        </w:tc>
        <w:tc>
          <w:tcPr>
            <w:tcW w:w="2500" w:type="pct"/>
            <w:shd w:val="clear" w:color="auto" w:fill="auto"/>
            <w:vAlign w:val="bottom"/>
          </w:tcPr>
          <w:p w14:paraId="5F9AB66A" w14:textId="77777777" w:rsidR="00401BBC" w:rsidRPr="00FB38E1" w:rsidRDefault="00401BBC" w:rsidP="00B7661E">
            <w:pPr>
              <w:ind w:firstLineChars="160" w:firstLine="224"/>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Düşük istikrarlı mevduat</w:t>
            </w:r>
          </w:p>
        </w:tc>
        <w:tc>
          <w:tcPr>
            <w:tcW w:w="588" w:type="pct"/>
            <w:tcBorders>
              <w:top w:val="nil"/>
              <w:left w:val="nil"/>
              <w:bottom w:val="nil"/>
              <w:right w:val="nil"/>
            </w:tcBorders>
            <w:shd w:val="clear" w:color="auto" w:fill="auto"/>
            <w:vAlign w:val="bottom"/>
          </w:tcPr>
          <w:p w14:paraId="4D54E61C" w14:textId="39A8BF15"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340.573.401</w:t>
            </w:r>
          </w:p>
        </w:tc>
        <w:tc>
          <w:tcPr>
            <w:tcW w:w="588" w:type="pct"/>
            <w:tcBorders>
              <w:top w:val="nil"/>
              <w:left w:val="nil"/>
              <w:bottom w:val="nil"/>
              <w:right w:val="nil"/>
            </w:tcBorders>
            <w:shd w:val="clear" w:color="auto" w:fill="auto"/>
            <w:vAlign w:val="bottom"/>
          </w:tcPr>
          <w:p w14:paraId="4D0CA5B3" w14:textId="28A305CA"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135.487.478</w:t>
            </w:r>
          </w:p>
        </w:tc>
        <w:tc>
          <w:tcPr>
            <w:tcW w:w="588" w:type="pct"/>
            <w:tcBorders>
              <w:top w:val="nil"/>
              <w:left w:val="nil"/>
              <w:bottom w:val="nil"/>
              <w:right w:val="nil"/>
            </w:tcBorders>
            <w:shd w:val="clear" w:color="auto" w:fill="auto"/>
            <w:vAlign w:val="bottom"/>
          </w:tcPr>
          <w:p w14:paraId="793DA295" w14:textId="5A3DF817"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34.057.340</w:t>
            </w:r>
          </w:p>
        </w:tc>
        <w:tc>
          <w:tcPr>
            <w:tcW w:w="561" w:type="pct"/>
            <w:tcBorders>
              <w:top w:val="nil"/>
              <w:left w:val="nil"/>
              <w:bottom w:val="nil"/>
              <w:right w:val="nil"/>
            </w:tcBorders>
            <w:shd w:val="clear" w:color="auto" w:fill="auto"/>
            <w:vAlign w:val="bottom"/>
          </w:tcPr>
          <w:p w14:paraId="4C93372C" w14:textId="7FBC902D"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13.548.748</w:t>
            </w:r>
          </w:p>
        </w:tc>
      </w:tr>
      <w:tr w:rsidR="00401BBC" w:rsidRPr="00FB38E1" w14:paraId="38B9D95B" w14:textId="77777777" w:rsidTr="00B7661E">
        <w:tc>
          <w:tcPr>
            <w:tcW w:w="174" w:type="pct"/>
            <w:shd w:val="clear" w:color="auto" w:fill="auto"/>
          </w:tcPr>
          <w:p w14:paraId="2D7B5D95"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5</w:t>
            </w:r>
          </w:p>
        </w:tc>
        <w:tc>
          <w:tcPr>
            <w:tcW w:w="2500" w:type="pct"/>
            <w:shd w:val="clear" w:color="auto" w:fill="auto"/>
            <w:vAlign w:val="bottom"/>
          </w:tcPr>
          <w:p w14:paraId="70C1ED13" w14:textId="77777777" w:rsidR="00401BBC" w:rsidRPr="00FB38E1" w:rsidRDefault="00401BBC" w:rsidP="00B7661E">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Gerçek kişi mevduat ve perakende mevduat dışında kalan teminatsız borçlar</w:t>
            </w:r>
          </w:p>
        </w:tc>
        <w:tc>
          <w:tcPr>
            <w:tcW w:w="588" w:type="pct"/>
            <w:tcBorders>
              <w:top w:val="nil"/>
              <w:left w:val="nil"/>
              <w:bottom w:val="nil"/>
              <w:right w:val="nil"/>
            </w:tcBorders>
            <w:shd w:val="clear" w:color="auto" w:fill="auto"/>
            <w:vAlign w:val="bottom"/>
          </w:tcPr>
          <w:p w14:paraId="5AB0EAD6" w14:textId="4EEADF79"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146.199.089</w:t>
            </w:r>
          </w:p>
        </w:tc>
        <w:tc>
          <w:tcPr>
            <w:tcW w:w="588" w:type="pct"/>
            <w:tcBorders>
              <w:top w:val="nil"/>
              <w:left w:val="nil"/>
              <w:bottom w:val="nil"/>
              <w:right w:val="nil"/>
            </w:tcBorders>
            <w:shd w:val="clear" w:color="auto" w:fill="auto"/>
            <w:vAlign w:val="bottom"/>
          </w:tcPr>
          <w:p w14:paraId="502DF42D" w14:textId="4BF172D5"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82.795.795</w:t>
            </w:r>
          </w:p>
        </w:tc>
        <w:tc>
          <w:tcPr>
            <w:tcW w:w="588" w:type="pct"/>
            <w:tcBorders>
              <w:top w:val="nil"/>
              <w:left w:val="nil"/>
              <w:bottom w:val="nil"/>
              <w:right w:val="nil"/>
            </w:tcBorders>
            <w:shd w:val="clear" w:color="auto" w:fill="auto"/>
            <w:vAlign w:val="bottom"/>
          </w:tcPr>
          <w:p w14:paraId="0DFD336C" w14:textId="123EA765"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88.532.469</w:t>
            </w:r>
          </w:p>
        </w:tc>
        <w:tc>
          <w:tcPr>
            <w:tcW w:w="561" w:type="pct"/>
            <w:tcBorders>
              <w:top w:val="nil"/>
              <w:left w:val="nil"/>
              <w:bottom w:val="nil"/>
              <w:right w:val="nil"/>
            </w:tcBorders>
            <w:shd w:val="clear" w:color="auto" w:fill="auto"/>
            <w:vAlign w:val="bottom"/>
          </w:tcPr>
          <w:p w14:paraId="45AA7E3E" w14:textId="43C65C6A"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48.151.487</w:t>
            </w:r>
          </w:p>
        </w:tc>
      </w:tr>
      <w:tr w:rsidR="00401BBC" w:rsidRPr="00FB38E1" w14:paraId="651CC47D" w14:textId="77777777" w:rsidTr="00B7661E">
        <w:tc>
          <w:tcPr>
            <w:tcW w:w="174" w:type="pct"/>
            <w:shd w:val="clear" w:color="auto" w:fill="auto"/>
            <w:vAlign w:val="bottom"/>
          </w:tcPr>
          <w:p w14:paraId="4CD440D0"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6</w:t>
            </w:r>
          </w:p>
        </w:tc>
        <w:tc>
          <w:tcPr>
            <w:tcW w:w="2500" w:type="pct"/>
            <w:shd w:val="clear" w:color="auto" w:fill="auto"/>
            <w:vAlign w:val="bottom"/>
          </w:tcPr>
          <w:p w14:paraId="05C753B7" w14:textId="77777777" w:rsidR="00401BBC" w:rsidRPr="00FB38E1" w:rsidRDefault="00401BBC" w:rsidP="00B7661E">
            <w:pPr>
              <w:ind w:firstLineChars="160" w:firstLine="224"/>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Operasyonel mevduat</w:t>
            </w:r>
          </w:p>
        </w:tc>
        <w:tc>
          <w:tcPr>
            <w:tcW w:w="588" w:type="pct"/>
            <w:tcBorders>
              <w:top w:val="nil"/>
              <w:left w:val="nil"/>
              <w:bottom w:val="nil"/>
              <w:right w:val="nil"/>
            </w:tcBorders>
            <w:shd w:val="clear" w:color="auto" w:fill="auto"/>
            <w:vAlign w:val="bottom"/>
          </w:tcPr>
          <w:p w14:paraId="4AE35963" w14:textId="03C3BF87"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5.897.667</w:t>
            </w:r>
          </w:p>
        </w:tc>
        <w:tc>
          <w:tcPr>
            <w:tcW w:w="588" w:type="pct"/>
            <w:tcBorders>
              <w:top w:val="nil"/>
              <w:left w:val="nil"/>
              <w:bottom w:val="nil"/>
              <w:right w:val="nil"/>
            </w:tcBorders>
            <w:shd w:val="clear" w:color="auto" w:fill="auto"/>
            <w:vAlign w:val="bottom"/>
          </w:tcPr>
          <w:p w14:paraId="0EE916DD" w14:textId="526CF501"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3.440.648</w:t>
            </w:r>
          </w:p>
        </w:tc>
        <w:tc>
          <w:tcPr>
            <w:tcW w:w="588" w:type="pct"/>
            <w:tcBorders>
              <w:top w:val="nil"/>
              <w:left w:val="nil"/>
              <w:bottom w:val="nil"/>
              <w:right w:val="nil"/>
            </w:tcBorders>
            <w:shd w:val="clear" w:color="auto" w:fill="auto"/>
            <w:vAlign w:val="bottom"/>
          </w:tcPr>
          <w:p w14:paraId="1F1EE558" w14:textId="53F54EA0"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1.449.157</w:t>
            </w:r>
          </w:p>
        </w:tc>
        <w:tc>
          <w:tcPr>
            <w:tcW w:w="561" w:type="pct"/>
            <w:tcBorders>
              <w:top w:val="nil"/>
              <w:left w:val="nil"/>
              <w:bottom w:val="nil"/>
              <w:right w:val="nil"/>
            </w:tcBorders>
            <w:shd w:val="clear" w:color="auto" w:fill="auto"/>
            <w:vAlign w:val="bottom"/>
          </w:tcPr>
          <w:p w14:paraId="7F511843" w14:textId="28F1E4F0"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856.435</w:t>
            </w:r>
          </w:p>
        </w:tc>
      </w:tr>
      <w:tr w:rsidR="00401BBC" w:rsidRPr="00FB38E1" w14:paraId="288157F7" w14:textId="77777777" w:rsidTr="00B7661E">
        <w:tc>
          <w:tcPr>
            <w:tcW w:w="174" w:type="pct"/>
            <w:shd w:val="clear" w:color="auto" w:fill="auto"/>
            <w:vAlign w:val="bottom"/>
          </w:tcPr>
          <w:p w14:paraId="1BAADCE2"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7</w:t>
            </w:r>
          </w:p>
        </w:tc>
        <w:tc>
          <w:tcPr>
            <w:tcW w:w="2500" w:type="pct"/>
            <w:shd w:val="clear" w:color="auto" w:fill="auto"/>
            <w:vAlign w:val="bottom"/>
          </w:tcPr>
          <w:p w14:paraId="04E88C0B" w14:textId="77777777" w:rsidR="00401BBC" w:rsidRPr="00FB38E1" w:rsidRDefault="00401BBC" w:rsidP="00B7661E">
            <w:pPr>
              <w:ind w:firstLineChars="160" w:firstLine="224"/>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Operasyonel olmayan mevduat</w:t>
            </w:r>
          </w:p>
        </w:tc>
        <w:tc>
          <w:tcPr>
            <w:tcW w:w="588" w:type="pct"/>
            <w:tcBorders>
              <w:top w:val="nil"/>
              <w:left w:val="nil"/>
              <w:bottom w:val="nil"/>
              <w:right w:val="nil"/>
            </w:tcBorders>
            <w:shd w:val="clear" w:color="auto" w:fill="auto"/>
            <w:vAlign w:val="bottom"/>
          </w:tcPr>
          <w:p w14:paraId="68512F7A" w14:textId="0D360716"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96.730.278</w:t>
            </w:r>
          </w:p>
        </w:tc>
        <w:tc>
          <w:tcPr>
            <w:tcW w:w="588" w:type="pct"/>
            <w:tcBorders>
              <w:top w:val="nil"/>
              <w:left w:val="nil"/>
              <w:bottom w:val="nil"/>
              <w:right w:val="nil"/>
            </w:tcBorders>
            <w:shd w:val="clear" w:color="auto" w:fill="auto"/>
            <w:vAlign w:val="bottom"/>
          </w:tcPr>
          <w:p w14:paraId="0D973EFA" w14:textId="4DA39524"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57.335.259</w:t>
            </w:r>
          </w:p>
        </w:tc>
        <w:tc>
          <w:tcPr>
            <w:tcW w:w="588" w:type="pct"/>
            <w:tcBorders>
              <w:top w:val="nil"/>
              <w:left w:val="nil"/>
              <w:bottom w:val="nil"/>
              <w:right w:val="nil"/>
            </w:tcBorders>
            <w:shd w:val="clear" w:color="auto" w:fill="auto"/>
            <w:vAlign w:val="bottom"/>
          </w:tcPr>
          <w:p w14:paraId="7E57C69F" w14:textId="0D1EF8E8"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43.512.168</w:t>
            </w:r>
          </w:p>
        </w:tc>
        <w:tc>
          <w:tcPr>
            <w:tcW w:w="561" w:type="pct"/>
            <w:tcBorders>
              <w:top w:val="nil"/>
              <w:left w:val="nil"/>
              <w:bottom w:val="nil"/>
              <w:right w:val="nil"/>
            </w:tcBorders>
            <w:shd w:val="clear" w:color="auto" w:fill="auto"/>
            <w:vAlign w:val="bottom"/>
          </w:tcPr>
          <w:p w14:paraId="086BBEBF" w14:textId="39FF1133"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25.275.164</w:t>
            </w:r>
          </w:p>
        </w:tc>
      </w:tr>
      <w:tr w:rsidR="00401BBC" w:rsidRPr="00FB38E1" w14:paraId="65BC8F88" w14:textId="77777777" w:rsidTr="00B7661E">
        <w:tc>
          <w:tcPr>
            <w:tcW w:w="174" w:type="pct"/>
            <w:shd w:val="clear" w:color="auto" w:fill="auto"/>
            <w:vAlign w:val="bottom"/>
          </w:tcPr>
          <w:p w14:paraId="05186983"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8</w:t>
            </w:r>
          </w:p>
        </w:tc>
        <w:tc>
          <w:tcPr>
            <w:tcW w:w="2500" w:type="pct"/>
            <w:shd w:val="clear" w:color="auto" w:fill="auto"/>
            <w:vAlign w:val="bottom"/>
          </w:tcPr>
          <w:p w14:paraId="149484B5" w14:textId="77777777" w:rsidR="00401BBC" w:rsidRPr="00FB38E1" w:rsidRDefault="00401BBC" w:rsidP="00B7661E">
            <w:pPr>
              <w:ind w:firstLineChars="160" w:firstLine="224"/>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teminatsız mevduat</w:t>
            </w:r>
          </w:p>
        </w:tc>
        <w:tc>
          <w:tcPr>
            <w:tcW w:w="588" w:type="pct"/>
            <w:tcBorders>
              <w:top w:val="nil"/>
              <w:left w:val="nil"/>
              <w:bottom w:val="nil"/>
              <w:right w:val="nil"/>
            </w:tcBorders>
            <w:shd w:val="clear" w:color="auto" w:fill="auto"/>
            <w:vAlign w:val="bottom"/>
          </w:tcPr>
          <w:p w14:paraId="20B3DD7C" w14:textId="045703B8"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43.571.144</w:t>
            </w:r>
          </w:p>
        </w:tc>
        <w:tc>
          <w:tcPr>
            <w:tcW w:w="588" w:type="pct"/>
            <w:tcBorders>
              <w:top w:val="nil"/>
              <w:left w:val="nil"/>
              <w:bottom w:val="nil"/>
              <w:right w:val="nil"/>
            </w:tcBorders>
            <w:shd w:val="clear" w:color="auto" w:fill="auto"/>
            <w:vAlign w:val="bottom"/>
          </w:tcPr>
          <w:p w14:paraId="2F44ADB2" w14:textId="5802894D"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22.019.888</w:t>
            </w:r>
          </w:p>
        </w:tc>
        <w:tc>
          <w:tcPr>
            <w:tcW w:w="588" w:type="pct"/>
            <w:tcBorders>
              <w:top w:val="nil"/>
              <w:left w:val="nil"/>
              <w:bottom w:val="nil"/>
              <w:right w:val="nil"/>
            </w:tcBorders>
            <w:shd w:val="clear" w:color="auto" w:fill="auto"/>
            <w:vAlign w:val="bottom"/>
          </w:tcPr>
          <w:p w14:paraId="78C862B9" w14:textId="4454E8C8"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43.571.144</w:t>
            </w:r>
          </w:p>
        </w:tc>
        <w:tc>
          <w:tcPr>
            <w:tcW w:w="561" w:type="pct"/>
            <w:tcBorders>
              <w:top w:val="nil"/>
              <w:left w:val="nil"/>
              <w:bottom w:val="nil"/>
              <w:right w:val="nil"/>
            </w:tcBorders>
            <w:shd w:val="clear" w:color="auto" w:fill="auto"/>
            <w:vAlign w:val="bottom"/>
          </w:tcPr>
          <w:p w14:paraId="3A8043FA" w14:textId="44DD3403"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22.019.888</w:t>
            </w:r>
          </w:p>
        </w:tc>
      </w:tr>
      <w:tr w:rsidR="00401BBC" w:rsidRPr="00FB38E1" w14:paraId="65EF9407" w14:textId="77777777" w:rsidTr="00B7661E">
        <w:tc>
          <w:tcPr>
            <w:tcW w:w="174" w:type="pct"/>
            <w:shd w:val="clear" w:color="auto" w:fill="auto"/>
            <w:vAlign w:val="bottom"/>
          </w:tcPr>
          <w:p w14:paraId="0DDB39B6"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9</w:t>
            </w:r>
          </w:p>
        </w:tc>
        <w:tc>
          <w:tcPr>
            <w:tcW w:w="2500" w:type="pct"/>
            <w:shd w:val="clear" w:color="auto" w:fill="auto"/>
            <w:vAlign w:val="bottom"/>
          </w:tcPr>
          <w:p w14:paraId="2E41C4C6" w14:textId="77777777" w:rsidR="00401BBC" w:rsidRPr="00FB38E1" w:rsidRDefault="00401BBC" w:rsidP="00B7661E">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Teminatlı borçlar</w:t>
            </w:r>
          </w:p>
        </w:tc>
        <w:tc>
          <w:tcPr>
            <w:tcW w:w="588" w:type="pct"/>
            <w:tcBorders>
              <w:top w:val="nil"/>
              <w:left w:val="nil"/>
              <w:bottom w:val="nil"/>
              <w:right w:val="nil"/>
            </w:tcBorders>
            <w:shd w:val="clear" w:color="auto" w:fill="auto"/>
            <w:vAlign w:val="bottom"/>
          </w:tcPr>
          <w:p w14:paraId="2C26A89D" w14:textId="77777777" w:rsidR="00401BBC" w:rsidRPr="00FB38E1" w:rsidRDefault="00401BBC" w:rsidP="00401BBC">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21F49DA" w14:textId="77777777" w:rsidR="00401BBC" w:rsidRPr="00FB38E1" w:rsidRDefault="00401BBC" w:rsidP="00401BBC">
            <w:pPr>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65612096" w14:textId="16A69D64"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5A2C0603" w14:textId="0232D75E"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r>
      <w:tr w:rsidR="00401BBC" w:rsidRPr="00FB38E1" w14:paraId="6C07FE2B" w14:textId="77777777" w:rsidTr="00B7661E">
        <w:tc>
          <w:tcPr>
            <w:tcW w:w="174" w:type="pct"/>
            <w:shd w:val="clear" w:color="auto" w:fill="auto"/>
            <w:vAlign w:val="bottom"/>
          </w:tcPr>
          <w:p w14:paraId="330EC2CF"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10</w:t>
            </w:r>
          </w:p>
        </w:tc>
        <w:tc>
          <w:tcPr>
            <w:tcW w:w="2500" w:type="pct"/>
            <w:shd w:val="clear" w:color="auto" w:fill="auto"/>
            <w:vAlign w:val="bottom"/>
          </w:tcPr>
          <w:p w14:paraId="5854591D" w14:textId="77777777" w:rsidR="00401BBC" w:rsidRPr="00FB38E1" w:rsidRDefault="00401BBC" w:rsidP="00B7661E">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nakit çıkışları</w:t>
            </w:r>
          </w:p>
        </w:tc>
        <w:tc>
          <w:tcPr>
            <w:tcW w:w="588" w:type="pct"/>
            <w:tcBorders>
              <w:top w:val="nil"/>
              <w:left w:val="nil"/>
              <w:bottom w:val="nil"/>
              <w:right w:val="nil"/>
            </w:tcBorders>
            <w:shd w:val="clear" w:color="auto" w:fill="auto"/>
            <w:vAlign w:val="bottom"/>
          </w:tcPr>
          <w:p w14:paraId="36EB862D" w14:textId="1A52D4AE"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6.603.235</w:t>
            </w:r>
          </w:p>
        </w:tc>
        <w:tc>
          <w:tcPr>
            <w:tcW w:w="588" w:type="pct"/>
            <w:tcBorders>
              <w:top w:val="nil"/>
              <w:left w:val="nil"/>
              <w:bottom w:val="nil"/>
              <w:right w:val="nil"/>
            </w:tcBorders>
            <w:shd w:val="clear" w:color="auto" w:fill="auto"/>
            <w:vAlign w:val="bottom"/>
          </w:tcPr>
          <w:p w14:paraId="0487419F" w14:textId="3932FC55"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13.137.831</w:t>
            </w:r>
          </w:p>
        </w:tc>
        <w:tc>
          <w:tcPr>
            <w:tcW w:w="588" w:type="pct"/>
            <w:tcBorders>
              <w:top w:val="nil"/>
              <w:left w:val="nil"/>
              <w:bottom w:val="nil"/>
              <w:right w:val="nil"/>
            </w:tcBorders>
            <w:shd w:val="clear" w:color="auto" w:fill="auto"/>
            <w:vAlign w:val="bottom"/>
          </w:tcPr>
          <w:p w14:paraId="53ED18FF" w14:textId="4ED1D547"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3.716.736</w:t>
            </w:r>
          </w:p>
        </w:tc>
        <w:tc>
          <w:tcPr>
            <w:tcW w:w="561" w:type="pct"/>
            <w:tcBorders>
              <w:top w:val="nil"/>
              <w:left w:val="nil"/>
              <w:bottom w:val="nil"/>
              <w:right w:val="nil"/>
            </w:tcBorders>
            <w:shd w:val="clear" w:color="auto" w:fill="auto"/>
            <w:vAlign w:val="bottom"/>
          </w:tcPr>
          <w:p w14:paraId="49E4DD3B" w14:textId="26A74540"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10.689.811</w:t>
            </w:r>
          </w:p>
        </w:tc>
      </w:tr>
      <w:tr w:rsidR="00401BBC" w:rsidRPr="00FB38E1" w14:paraId="55CEF4F6" w14:textId="77777777" w:rsidTr="00B7661E">
        <w:tc>
          <w:tcPr>
            <w:tcW w:w="174" w:type="pct"/>
            <w:shd w:val="clear" w:color="auto" w:fill="auto"/>
            <w:vAlign w:val="bottom"/>
          </w:tcPr>
          <w:p w14:paraId="09AE9A61"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11</w:t>
            </w:r>
          </w:p>
        </w:tc>
        <w:tc>
          <w:tcPr>
            <w:tcW w:w="2500" w:type="pct"/>
            <w:shd w:val="clear" w:color="auto" w:fill="auto"/>
            <w:vAlign w:val="bottom"/>
          </w:tcPr>
          <w:p w14:paraId="0A653E4D" w14:textId="77777777" w:rsidR="00401BBC" w:rsidRPr="00FB38E1" w:rsidRDefault="00401BBC" w:rsidP="00B7661E">
            <w:pPr>
              <w:ind w:firstLineChars="160" w:firstLine="224"/>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Türev yükümlülükler teminat tamamlama yükümlülükleri</w:t>
            </w:r>
          </w:p>
        </w:tc>
        <w:tc>
          <w:tcPr>
            <w:tcW w:w="588" w:type="pct"/>
            <w:tcBorders>
              <w:top w:val="nil"/>
              <w:left w:val="nil"/>
              <w:bottom w:val="nil"/>
              <w:right w:val="nil"/>
            </w:tcBorders>
            <w:shd w:val="clear" w:color="auto" w:fill="auto"/>
            <w:vAlign w:val="bottom"/>
          </w:tcPr>
          <w:p w14:paraId="6913D940" w14:textId="16D0DA39"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1.792.403</w:t>
            </w:r>
          </w:p>
        </w:tc>
        <w:tc>
          <w:tcPr>
            <w:tcW w:w="588" w:type="pct"/>
            <w:tcBorders>
              <w:top w:val="nil"/>
              <w:left w:val="nil"/>
              <w:bottom w:val="nil"/>
              <w:right w:val="nil"/>
            </w:tcBorders>
            <w:shd w:val="clear" w:color="auto" w:fill="auto"/>
            <w:vAlign w:val="bottom"/>
          </w:tcPr>
          <w:p w14:paraId="39825ED1" w14:textId="5C4271D8"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9.057.798</w:t>
            </w:r>
          </w:p>
        </w:tc>
        <w:tc>
          <w:tcPr>
            <w:tcW w:w="588" w:type="pct"/>
            <w:tcBorders>
              <w:top w:val="nil"/>
              <w:left w:val="nil"/>
              <w:bottom w:val="nil"/>
              <w:right w:val="nil"/>
            </w:tcBorders>
            <w:shd w:val="clear" w:color="auto" w:fill="auto"/>
            <w:vAlign w:val="bottom"/>
          </w:tcPr>
          <w:p w14:paraId="597C4759" w14:textId="01224EB3"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1.792.403</w:t>
            </w:r>
          </w:p>
        </w:tc>
        <w:tc>
          <w:tcPr>
            <w:tcW w:w="561" w:type="pct"/>
            <w:tcBorders>
              <w:top w:val="nil"/>
              <w:left w:val="nil"/>
              <w:bottom w:val="nil"/>
              <w:right w:val="nil"/>
            </w:tcBorders>
            <w:shd w:val="clear" w:color="auto" w:fill="auto"/>
            <w:vAlign w:val="bottom"/>
          </w:tcPr>
          <w:p w14:paraId="0FCA0FDB" w14:textId="3D3EB10F"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9.057.798</w:t>
            </w:r>
          </w:p>
        </w:tc>
      </w:tr>
      <w:tr w:rsidR="00401BBC" w:rsidRPr="00FB38E1" w14:paraId="32729B4C" w14:textId="77777777" w:rsidTr="00B7661E">
        <w:tc>
          <w:tcPr>
            <w:tcW w:w="174" w:type="pct"/>
            <w:shd w:val="clear" w:color="auto" w:fill="auto"/>
            <w:vAlign w:val="bottom"/>
          </w:tcPr>
          <w:p w14:paraId="7F98683D"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12</w:t>
            </w:r>
          </w:p>
        </w:tc>
        <w:tc>
          <w:tcPr>
            <w:tcW w:w="2500" w:type="pct"/>
            <w:shd w:val="clear" w:color="auto" w:fill="auto"/>
            <w:vAlign w:val="bottom"/>
          </w:tcPr>
          <w:p w14:paraId="14E3FB6D" w14:textId="77777777" w:rsidR="00401BBC" w:rsidRPr="00FB38E1" w:rsidRDefault="00401BBC" w:rsidP="00B7661E">
            <w:pPr>
              <w:ind w:firstLineChars="160" w:firstLine="224"/>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Yapılandırılmış finansal araçlardan borçlar</w:t>
            </w:r>
          </w:p>
        </w:tc>
        <w:tc>
          <w:tcPr>
            <w:tcW w:w="588" w:type="pct"/>
            <w:tcBorders>
              <w:top w:val="nil"/>
              <w:left w:val="nil"/>
              <w:bottom w:val="nil"/>
              <w:right w:val="nil"/>
            </w:tcBorders>
            <w:shd w:val="clear" w:color="auto" w:fill="auto"/>
            <w:vAlign w:val="bottom"/>
          </w:tcPr>
          <w:p w14:paraId="09314377" w14:textId="191D9E75"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41F5EEEB" w14:textId="69417294"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12DB7A2D" w14:textId="30C132F6"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08EACACC" w14:textId="117EA73E"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r>
      <w:tr w:rsidR="00401BBC" w:rsidRPr="00FB38E1" w14:paraId="20A55454" w14:textId="77777777" w:rsidTr="00B7661E">
        <w:tc>
          <w:tcPr>
            <w:tcW w:w="174" w:type="pct"/>
            <w:shd w:val="clear" w:color="auto" w:fill="auto"/>
          </w:tcPr>
          <w:p w14:paraId="71BC8C5F"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13</w:t>
            </w:r>
          </w:p>
        </w:tc>
        <w:tc>
          <w:tcPr>
            <w:tcW w:w="2500" w:type="pct"/>
            <w:shd w:val="clear" w:color="auto" w:fill="auto"/>
            <w:vAlign w:val="bottom"/>
          </w:tcPr>
          <w:p w14:paraId="69620994" w14:textId="77777777" w:rsidR="00401BBC" w:rsidRPr="00FB38E1" w:rsidRDefault="00401BBC" w:rsidP="00B7661E">
            <w:pPr>
              <w:ind w:left="225"/>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Finansal piyasalara olan borçlar ve verilen ödeme taahhütleri ile diğer bilanço dışı yükümlülükler</w:t>
            </w:r>
          </w:p>
        </w:tc>
        <w:tc>
          <w:tcPr>
            <w:tcW w:w="588" w:type="pct"/>
            <w:tcBorders>
              <w:top w:val="nil"/>
              <w:left w:val="nil"/>
              <w:bottom w:val="nil"/>
              <w:right w:val="nil"/>
            </w:tcBorders>
            <w:shd w:val="clear" w:color="auto" w:fill="auto"/>
            <w:vAlign w:val="bottom"/>
          </w:tcPr>
          <w:p w14:paraId="71165059" w14:textId="10348BBD"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4.810.832</w:t>
            </w:r>
          </w:p>
        </w:tc>
        <w:tc>
          <w:tcPr>
            <w:tcW w:w="588" w:type="pct"/>
            <w:tcBorders>
              <w:top w:val="nil"/>
              <w:left w:val="nil"/>
              <w:bottom w:val="nil"/>
              <w:right w:val="nil"/>
            </w:tcBorders>
            <w:shd w:val="clear" w:color="auto" w:fill="auto"/>
            <w:vAlign w:val="bottom"/>
          </w:tcPr>
          <w:p w14:paraId="00156185" w14:textId="4A9A8BEB"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4.080.033</w:t>
            </w:r>
          </w:p>
        </w:tc>
        <w:tc>
          <w:tcPr>
            <w:tcW w:w="588" w:type="pct"/>
            <w:tcBorders>
              <w:top w:val="nil"/>
              <w:left w:val="nil"/>
              <w:bottom w:val="nil"/>
              <w:right w:val="nil"/>
            </w:tcBorders>
            <w:shd w:val="clear" w:color="auto" w:fill="auto"/>
            <w:vAlign w:val="bottom"/>
          </w:tcPr>
          <w:p w14:paraId="4F4AD01B" w14:textId="7FED2EF0"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1.924.333</w:t>
            </w:r>
          </w:p>
        </w:tc>
        <w:tc>
          <w:tcPr>
            <w:tcW w:w="561" w:type="pct"/>
            <w:tcBorders>
              <w:top w:val="nil"/>
              <w:left w:val="nil"/>
              <w:bottom w:val="nil"/>
              <w:right w:val="nil"/>
            </w:tcBorders>
            <w:shd w:val="clear" w:color="auto" w:fill="auto"/>
            <w:vAlign w:val="bottom"/>
          </w:tcPr>
          <w:p w14:paraId="041E7CC5" w14:textId="21034CF4"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1.632.013</w:t>
            </w:r>
          </w:p>
        </w:tc>
      </w:tr>
      <w:tr w:rsidR="00401BBC" w:rsidRPr="00FB38E1" w14:paraId="5B0BAFCF" w14:textId="77777777" w:rsidTr="00B7661E">
        <w:tc>
          <w:tcPr>
            <w:tcW w:w="174" w:type="pct"/>
            <w:shd w:val="clear" w:color="auto" w:fill="auto"/>
          </w:tcPr>
          <w:p w14:paraId="01A0EE4A"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14</w:t>
            </w:r>
          </w:p>
        </w:tc>
        <w:tc>
          <w:tcPr>
            <w:tcW w:w="2500" w:type="pct"/>
            <w:shd w:val="clear" w:color="auto" w:fill="auto"/>
            <w:vAlign w:val="bottom"/>
          </w:tcPr>
          <w:p w14:paraId="15E24335" w14:textId="77777777" w:rsidR="00401BBC" w:rsidRPr="00FB38E1" w:rsidRDefault="00401BBC" w:rsidP="00B7661E">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Herhangi bir şarta bağlı olmaksızın cayılabilir bilanço dışı diğer yükümlülükler ile sözleşmeye dayalı diğer yükümlülükler</w:t>
            </w:r>
          </w:p>
        </w:tc>
        <w:tc>
          <w:tcPr>
            <w:tcW w:w="588" w:type="pct"/>
            <w:tcBorders>
              <w:top w:val="nil"/>
              <w:left w:val="nil"/>
              <w:bottom w:val="nil"/>
              <w:right w:val="nil"/>
            </w:tcBorders>
            <w:shd w:val="clear" w:color="auto" w:fill="auto"/>
            <w:vAlign w:val="bottom"/>
          </w:tcPr>
          <w:p w14:paraId="2439162F" w14:textId="5D767167"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14.824.669</w:t>
            </w:r>
          </w:p>
        </w:tc>
        <w:tc>
          <w:tcPr>
            <w:tcW w:w="588" w:type="pct"/>
            <w:tcBorders>
              <w:top w:val="nil"/>
              <w:left w:val="nil"/>
              <w:bottom w:val="nil"/>
              <w:right w:val="nil"/>
            </w:tcBorders>
            <w:shd w:val="clear" w:color="auto" w:fill="auto"/>
            <w:vAlign w:val="bottom"/>
          </w:tcPr>
          <w:p w14:paraId="3D14C475" w14:textId="4A318D0D"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14.824.110</w:t>
            </w:r>
          </w:p>
        </w:tc>
        <w:tc>
          <w:tcPr>
            <w:tcW w:w="588" w:type="pct"/>
            <w:tcBorders>
              <w:top w:val="nil"/>
              <w:left w:val="nil"/>
              <w:bottom w:val="nil"/>
              <w:right w:val="nil"/>
            </w:tcBorders>
            <w:shd w:val="clear" w:color="auto" w:fill="auto"/>
            <w:vAlign w:val="bottom"/>
          </w:tcPr>
          <w:p w14:paraId="60C18140" w14:textId="2DB9753B"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14.824.138</w:t>
            </w:r>
          </w:p>
        </w:tc>
        <w:tc>
          <w:tcPr>
            <w:tcW w:w="561" w:type="pct"/>
            <w:tcBorders>
              <w:top w:val="nil"/>
              <w:left w:val="nil"/>
              <w:bottom w:val="nil"/>
              <w:right w:val="nil"/>
            </w:tcBorders>
            <w:shd w:val="clear" w:color="auto" w:fill="auto"/>
            <w:vAlign w:val="bottom"/>
          </w:tcPr>
          <w:p w14:paraId="7A885401" w14:textId="46F49C56"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14.824.110</w:t>
            </w:r>
          </w:p>
        </w:tc>
      </w:tr>
      <w:tr w:rsidR="00401BBC" w:rsidRPr="00FB38E1" w14:paraId="4AF2C6DA" w14:textId="77777777" w:rsidTr="00B7661E">
        <w:tc>
          <w:tcPr>
            <w:tcW w:w="174" w:type="pct"/>
            <w:tcBorders>
              <w:bottom w:val="single" w:sz="4" w:space="0" w:color="auto"/>
            </w:tcBorders>
            <w:shd w:val="clear" w:color="auto" w:fill="auto"/>
          </w:tcPr>
          <w:p w14:paraId="6A64855E"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15</w:t>
            </w:r>
          </w:p>
        </w:tc>
        <w:tc>
          <w:tcPr>
            <w:tcW w:w="2500" w:type="pct"/>
            <w:tcBorders>
              <w:bottom w:val="single" w:sz="4" w:space="0" w:color="auto"/>
            </w:tcBorders>
            <w:shd w:val="clear" w:color="auto" w:fill="auto"/>
            <w:vAlign w:val="bottom"/>
          </w:tcPr>
          <w:p w14:paraId="2D5D59F1" w14:textId="77777777" w:rsidR="00401BBC" w:rsidRPr="00FB38E1" w:rsidRDefault="00401BBC" w:rsidP="00B7661E">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cayılamaz veya şarta bağlı olarak cayılabilir bilanço dışı borçlar</w:t>
            </w:r>
          </w:p>
        </w:tc>
        <w:tc>
          <w:tcPr>
            <w:tcW w:w="588" w:type="pct"/>
            <w:tcBorders>
              <w:top w:val="nil"/>
              <w:left w:val="nil"/>
              <w:bottom w:val="single" w:sz="4" w:space="0" w:color="auto"/>
              <w:right w:val="nil"/>
            </w:tcBorders>
            <w:shd w:val="clear" w:color="auto" w:fill="auto"/>
            <w:vAlign w:val="bottom"/>
          </w:tcPr>
          <w:p w14:paraId="71503084" w14:textId="74D211E5"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455.322.951</w:t>
            </w:r>
          </w:p>
        </w:tc>
        <w:tc>
          <w:tcPr>
            <w:tcW w:w="588" w:type="pct"/>
            <w:tcBorders>
              <w:top w:val="nil"/>
              <w:left w:val="nil"/>
              <w:bottom w:val="single" w:sz="4" w:space="0" w:color="auto"/>
              <w:right w:val="nil"/>
            </w:tcBorders>
            <w:shd w:val="clear" w:color="auto" w:fill="auto"/>
            <w:vAlign w:val="bottom"/>
          </w:tcPr>
          <w:p w14:paraId="2C621A1C" w14:textId="7F645F4B"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82.766.460</w:t>
            </w:r>
          </w:p>
        </w:tc>
        <w:tc>
          <w:tcPr>
            <w:tcW w:w="588" w:type="pct"/>
            <w:tcBorders>
              <w:top w:val="nil"/>
              <w:left w:val="nil"/>
              <w:bottom w:val="single" w:sz="4" w:space="0" w:color="auto"/>
              <w:right w:val="nil"/>
            </w:tcBorders>
            <w:shd w:val="clear" w:color="auto" w:fill="auto"/>
            <w:vAlign w:val="bottom"/>
          </w:tcPr>
          <w:p w14:paraId="4A907C36" w14:textId="0ECBD801"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31.150.837</w:t>
            </w:r>
          </w:p>
        </w:tc>
        <w:tc>
          <w:tcPr>
            <w:tcW w:w="561" w:type="pct"/>
            <w:tcBorders>
              <w:top w:val="nil"/>
              <w:left w:val="nil"/>
              <w:bottom w:val="single" w:sz="4" w:space="0" w:color="auto"/>
              <w:right w:val="nil"/>
            </w:tcBorders>
            <w:shd w:val="clear" w:color="auto" w:fill="auto"/>
            <w:vAlign w:val="bottom"/>
          </w:tcPr>
          <w:p w14:paraId="23FA0DDE" w14:textId="1DF0FB7E"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8.146.867</w:t>
            </w:r>
          </w:p>
        </w:tc>
      </w:tr>
      <w:tr w:rsidR="00401BBC" w:rsidRPr="00FB38E1" w14:paraId="1C4378BC" w14:textId="77777777" w:rsidTr="00B7661E">
        <w:tc>
          <w:tcPr>
            <w:tcW w:w="174" w:type="pct"/>
            <w:tcBorders>
              <w:top w:val="single" w:sz="4" w:space="0" w:color="auto"/>
              <w:bottom w:val="single" w:sz="4" w:space="0" w:color="auto"/>
            </w:tcBorders>
            <w:shd w:val="clear" w:color="auto" w:fill="auto"/>
            <w:vAlign w:val="bottom"/>
          </w:tcPr>
          <w:p w14:paraId="5EC384CA" w14:textId="77777777" w:rsidR="00401BBC" w:rsidRPr="00FB38E1" w:rsidRDefault="00401BBC" w:rsidP="00401BB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w:t>
            </w:r>
          </w:p>
        </w:tc>
        <w:tc>
          <w:tcPr>
            <w:tcW w:w="2500" w:type="pct"/>
            <w:tcBorders>
              <w:top w:val="single" w:sz="4" w:space="0" w:color="auto"/>
              <w:bottom w:val="single" w:sz="4" w:space="0" w:color="auto"/>
            </w:tcBorders>
            <w:shd w:val="clear" w:color="auto" w:fill="auto"/>
            <w:vAlign w:val="bottom"/>
          </w:tcPr>
          <w:p w14:paraId="0DCA334B" w14:textId="77777777" w:rsidR="00401BBC" w:rsidRPr="00FB38E1" w:rsidRDefault="00401BBC" w:rsidP="00401BBC">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NAKİT ÇIKIŞLARI</w:t>
            </w:r>
          </w:p>
        </w:tc>
        <w:tc>
          <w:tcPr>
            <w:tcW w:w="588" w:type="pct"/>
            <w:tcBorders>
              <w:top w:val="single" w:sz="4" w:space="0" w:color="auto"/>
              <w:bottom w:val="single" w:sz="4" w:space="0" w:color="auto"/>
            </w:tcBorders>
            <w:shd w:val="clear" w:color="auto" w:fill="auto"/>
            <w:vAlign w:val="bottom"/>
          </w:tcPr>
          <w:p w14:paraId="211E8C08" w14:textId="580BE795"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 </w:t>
            </w:r>
          </w:p>
        </w:tc>
        <w:tc>
          <w:tcPr>
            <w:tcW w:w="588" w:type="pct"/>
            <w:tcBorders>
              <w:top w:val="single" w:sz="4" w:space="0" w:color="auto"/>
              <w:bottom w:val="single" w:sz="4" w:space="0" w:color="auto"/>
            </w:tcBorders>
            <w:shd w:val="clear" w:color="auto" w:fill="auto"/>
            <w:vAlign w:val="bottom"/>
          </w:tcPr>
          <w:p w14:paraId="2BEEC2D5" w14:textId="750EC24E"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 </w:t>
            </w:r>
          </w:p>
        </w:tc>
        <w:tc>
          <w:tcPr>
            <w:tcW w:w="588" w:type="pct"/>
            <w:tcBorders>
              <w:top w:val="single" w:sz="4" w:space="0" w:color="auto"/>
              <w:left w:val="nil"/>
              <w:bottom w:val="single" w:sz="4" w:space="0" w:color="auto"/>
              <w:right w:val="nil"/>
            </w:tcBorders>
            <w:shd w:val="clear" w:color="auto" w:fill="auto"/>
            <w:vAlign w:val="bottom"/>
          </w:tcPr>
          <w:p w14:paraId="01B53A80" w14:textId="2615C3D2"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175.292.630</w:t>
            </w:r>
          </w:p>
        </w:tc>
        <w:tc>
          <w:tcPr>
            <w:tcW w:w="561" w:type="pct"/>
            <w:tcBorders>
              <w:top w:val="single" w:sz="4" w:space="0" w:color="auto"/>
              <w:left w:val="nil"/>
              <w:bottom w:val="single" w:sz="4" w:space="0" w:color="auto"/>
              <w:right w:val="nil"/>
            </w:tcBorders>
            <w:shd w:val="clear" w:color="auto" w:fill="auto"/>
            <w:vAlign w:val="bottom"/>
          </w:tcPr>
          <w:p w14:paraId="2092012A" w14:textId="7F067AF7"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95.361.023</w:t>
            </w:r>
          </w:p>
        </w:tc>
      </w:tr>
      <w:tr w:rsidR="009F0AF5" w:rsidRPr="00FB38E1" w14:paraId="049C75A9" w14:textId="77777777" w:rsidTr="00B7661E">
        <w:tc>
          <w:tcPr>
            <w:tcW w:w="2674" w:type="pct"/>
            <w:gridSpan w:val="2"/>
            <w:tcBorders>
              <w:top w:val="single" w:sz="4" w:space="0" w:color="auto"/>
            </w:tcBorders>
            <w:shd w:val="clear" w:color="auto" w:fill="auto"/>
            <w:vAlign w:val="bottom"/>
          </w:tcPr>
          <w:p w14:paraId="637B91EC" w14:textId="77777777" w:rsidR="009F0AF5" w:rsidRPr="00FB38E1" w:rsidRDefault="009F0AF5" w:rsidP="009F0AF5">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NAKİT GİRİŞLERİ</w:t>
            </w:r>
          </w:p>
        </w:tc>
        <w:tc>
          <w:tcPr>
            <w:tcW w:w="588" w:type="pct"/>
            <w:tcBorders>
              <w:top w:val="single" w:sz="4" w:space="0" w:color="auto"/>
            </w:tcBorders>
            <w:shd w:val="clear" w:color="auto" w:fill="auto"/>
            <w:vAlign w:val="bottom"/>
          </w:tcPr>
          <w:p w14:paraId="1699EB78" w14:textId="77777777" w:rsidR="009F0AF5" w:rsidRPr="00FB38E1" w:rsidRDefault="009F0AF5" w:rsidP="009F0AF5">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29EB212E" w14:textId="77777777" w:rsidR="009F0AF5" w:rsidRPr="00FB38E1" w:rsidRDefault="009F0AF5" w:rsidP="009F0AF5">
            <w:pPr>
              <w:jc w:val="right"/>
              <w:rPr>
                <w:rFonts w:ascii="Microsoft Sans Serif" w:hAnsi="Microsoft Sans Serif" w:cs="Microsoft Sans Serif"/>
                <w:b/>
                <w:bCs/>
                <w:color w:val="404040"/>
                <w:sz w:val="14"/>
                <w:szCs w:val="14"/>
              </w:rPr>
            </w:pPr>
          </w:p>
        </w:tc>
        <w:tc>
          <w:tcPr>
            <w:tcW w:w="588" w:type="pct"/>
            <w:tcBorders>
              <w:top w:val="single" w:sz="4" w:space="0" w:color="auto"/>
            </w:tcBorders>
            <w:shd w:val="clear" w:color="auto" w:fill="auto"/>
            <w:vAlign w:val="bottom"/>
          </w:tcPr>
          <w:p w14:paraId="3C64993C" w14:textId="77777777" w:rsidR="009F0AF5" w:rsidRPr="00FB38E1" w:rsidRDefault="009F0AF5" w:rsidP="009F0AF5">
            <w:pPr>
              <w:jc w:val="right"/>
              <w:rPr>
                <w:rFonts w:ascii="Microsoft Sans Serif" w:hAnsi="Microsoft Sans Serif" w:cs="Microsoft Sans Serif"/>
                <w:b/>
                <w:bCs/>
                <w:color w:val="404040"/>
                <w:sz w:val="14"/>
                <w:szCs w:val="14"/>
              </w:rPr>
            </w:pPr>
          </w:p>
        </w:tc>
        <w:tc>
          <w:tcPr>
            <w:tcW w:w="561" w:type="pct"/>
            <w:tcBorders>
              <w:top w:val="single" w:sz="4" w:space="0" w:color="auto"/>
            </w:tcBorders>
            <w:shd w:val="clear" w:color="auto" w:fill="auto"/>
            <w:vAlign w:val="bottom"/>
          </w:tcPr>
          <w:p w14:paraId="7A575D1F" w14:textId="77777777" w:rsidR="009F0AF5" w:rsidRPr="00FB38E1" w:rsidRDefault="009F0AF5" w:rsidP="009F0AF5">
            <w:pPr>
              <w:jc w:val="right"/>
              <w:rPr>
                <w:rFonts w:ascii="Microsoft Sans Serif" w:hAnsi="Microsoft Sans Serif" w:cs="Microsoft Sans Serif"/>
                <w:b/>
                <w:bCs/>
                <w:color w:val="404040"/>
                <w:sz w:val="14"/>
                <w:szCs w:val="14"/>
              </w:rPr>
            </w:pPr>
          </w:p>
        </w:tc>
      </w:tr>
      <w:tr w:rsidR="00401BBC" w:rsidRPr="00FB38E1" w14:paraId="5DB6DB29" w14:textId="77777777" w:rsidTr="00B7661E">
        <w:tc>
          <w:tcPr>
            <w:tcW w:w="174" w:type="pct"/>
            <w:shd w:val="clear" w:color="auto" w:fill="auto"/>
            <w:vAlign w:val="bottom"/>
          </w:tcPr>
          <w:p w14:paraId="015A9091"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17</w:t>
            </w:r>
          </w:p>
        </w:tc>
        <w:tc>
          <w:tcPr>
            <w:tcW w:w="2500" w:type="pct"/>
            <w:shd w:val="clear" w:color="auto" w:fill="auto"/>
            <w:vAlign w:val="bottom"/>
          </w:tcPr>
          <w:p w14:paraId="0A68B8AF" w14:textId="77777777" w:rsidR="00401BBC" w:rsidRPr="00FB38E1" w:rsidRDefault="00401BBC" w:rsidP="00401BBC">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Teminatlı alacaklar</w:t>
            </w:r>
          </w:p>
        </w:tc>
        <w:tc>
          <w:tcPr>
            <w:tcW w:w="588" w:type="pct"/>
            <w:tcBorders>
              <w:top w:val="nil"/>
              <w:left w:val="nil"/>
              <w:bottom w:val="nil"/>
              <w:right w:val="nil"/>
            </w:tcBorders>
            <w:shd w:val="clear" w:color="auto" w:fill="auto"/>
            <w:vAlign w:val="bottom"/>
          </w:tcPr>
          <w:p w14:paraId="6E81D947" w14:textId="5DF475F3"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27.799.900</w:t>
            </w:r>
          </w:p>
        </w:tc>
        <w:tc>
          <w:tcPr>
            <w:tcW w:w="588" w:type="pct"/>
            <w:tcBorders>
              <w:top w:val="nil"/>
              <w:left w:val="nil"/>
              <w:bottom w:val="nil"/>
              <w:right w:val="nil"/>
            </w:tcBorders>
            <w:shd w:val="clear" w:color="auto" w:fill="auto"/>
            <w:vAlign w:val="bottom"/>
          </w:tcPr>
          <w:p w14:paraId="06797DFB" w14:textId="58AA4730"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c>
          <w:tcPr>
            <w:tcW w:w="588" w:type="pct"/>
            <w:tcBorders>
              <w:top w:val="nil"/>
              <w:left w:val="nil"/>
              <w:bottom w:val="nil"/>
              <w:right w:val="nil"/>
            </w:tcBorders>
            <w:shd w:val="clear" w:color="auto" w:fill="auto"/>
            <w:vAlign w:val="bottom"/>
          </w:tcPr>
          <w:p w14:paraId="7DE2C7BE" w14:textId="388B6E8D"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c>
          <w:tcPr>
            <w:tcW w:w="561" w:type="pct"/>
            <w:tcBorders>
              <w:top w:val="nil"/>
              <w:left w:val="nil"/>
              <w:bottom w:val="nil"/>
              <w:right w:val="nil"/>
            </w:tcBorders>
            <w:shd w:val="clear" w:color="auto" w:fill="auto"/>
            <w:vAlign w:val="bottom"/>
          </w:tcPr>
          <w:p w14:paraId="0015C1C2" w14:textId="68CECAB1"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r>
      <w:tr w:rsidR="00401BBC" w:rsidRPr="00FB38E1" w14:paraId="024F6865" w14:textId="77777777" w:rsidTr="00B7661E">
        <w:tc>
          <w:tcPr>
            <w:tcW w:w="174" w:type="pct"/>
            <w:shd w:val="clear" w:color="auto" w:fill="auto"/>
            <w:vAlign w:val="bottom"/>
          </w:tcPr>
          <w:p w14:paraId="4B0289C3"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18</w:t>
            </w:r>
          </w:p>
        </w:tc>
        <w:tc>
          <w:tcPr>
            <w:tcW w:w="2500" w:type="pct"/>
            <w:shd w:val="clear" w:color="auto" w:fill="auto"/>
            <w:vAlign w:val="bottom"/>
          </w:tcPr>
          <w:p w14:paraId="3B6BEB76" w14:textId="77777777" w:rsidR="00401BBC" w:rsidRPr="00FB38E1" w:rsidRDefault="00401BBC" w:rsidP="00401BBC">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Teminatsız alacaklar</w:t>
            </w:r>
          </w:p>
        </w:tc>
        <w:tc>
          <w:tcPr>
            <w:tcW w:w="588" w:type="pct"/>
            <w:tcBorders>
              <w:top w:val="nil"/>
              <w:left w:val="nil"/>
              <w:bottom w:val="nil"/>
              <w:right w:val="nil"/>
            </w:tcBorders>
            <w:shd w:val="clear" w:color="auto" w:fill="auto"/>
            <w:vAlign w:val="bottom"/>
          </w:tcPr>
          <w:p w14:paraId="3634DDBE" w14:textId="7CF3672D"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123.737.786</w:t>
            </w:r>
          </w:p>
        </w:tc>
        <w:tc>
          <w:tcPr>
            <w:tcW w:w="588" w:type="pct"/>
            <w:tcBorders>
              <w:top w:val="nil"/>
              <w:left w:val="nil"/>
              <w:bottom w:val="nil"/>
              <w:right w:val="nil"/>
            </w:tcBorders>
            <w:shd w:val="clear" w:color="auto" w:fill="auto"/>
            <w:vAlign w:val="bottom"/>
          </w:tcPr>
          <w:p w14:paraId="252B8DA1" w14:textId="06E25563"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26.234.925</w:t>
            </w:r>
          </w:p>
        </w:tc>
        <w:tc>
          <w:tcPr>
            <w:tcW w:w="588" w:type="pct"/>
            <w:tcBorders>
              <w:top w:val="nil"/>
              <w:left w:val="nil"/>
              <w:bottom w:val="nil"/>
              <w:right w:val="nil"/>
            </w:tcBorders>
            <w:shd w:val="clear" w:color="auto" w:fill="auto"/>
            <w:vAlign w:val="bottom"/>
          </w:tcPr>
          <w:p w14:paraId="12E51788" w14:textId="7609E14C"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104.581.888</w:t>
            </w:r>
          </w:p>
        </w:tc>
        <w:tc>
          <w:tcPr>
            <w:tcW w:w="561" w:type="pct"/>
            <w:tcBorders>
              <w:top w:val="nil"/>
              <w:left w:val="nil"/>
              <w:bottom w:val="nil"/>
              <w:right w:val="nil"/>
            </w:tcBorders>
            <w:shd w:val="clear" w:color="auto" w:fill="auto"/>
            <w:vAlign w:val="bottom"/>
          </w:tcPr>
          <w:p w14:paraId="79C47F2A" w14:textId="687C0A09"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23.088.542</w:t>
            </w:r>
          </w:p>
        </w:tc>
      </w:tr>
      <w:tr w:rsidR="00401BBC" w:rsidRPr="00FB38E1" w14:paraId="57A0B6E7" w14:textId="77777777" w:rsidTr="00B7661E">
        <w:tc>
          <w:tcPr>
            <w:tcW w:w="174" w:type="pct"/>
            <w:tcBorders>
              <w:bottom w:val="single" w:sz="4" w:space="0" w:color="auto"/>
            </w:tcBorders>
            <w:shd w:val="clear" w:color="auto" w:fill="auto"/>
            <w:vAlign w:val="bottom"/>
          </w:tcPr>
          <w:p w14:paraId="3B64A12A" w14:textId="77777777" w:rsidR="00401BBC" w:rsidRPr="00FB38E1" w:rsidRDefault="00401BBC" w:rsidP="00401BBC">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19</w:t>
            </w:r>
          </w:p>
        </w:tc>
        <w:tc>
          <w:tcPr>
            <w:tcW w:w="2500" w:type="pct"/>
            <w:tcBorders>
              <w:bottom w:val="single" w:sz="4" w:space="0" w:color="auto"/>
            </w:tcBorders>
            <w:shd w:val="clear" w:color="auto" w:fill="auto"/>
            <w:vAlign w:val="bottom"/>
          </w:tcPr>
          <w:p w14:paraId="1E87A420" w14:textId="77777777" w:rsidR="00401BBC" w:rsidRPr="00FB38E1" w:rsidRDefault="00401BBC" w:rsidP="00401BBC">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nakit girişleri</w:t>
            </w:r>
          </w:p>
        </w:tc>
        <w:tc>
          <w:tcPr>
            <w:tcW w:w="588" w:type="pct"/>
            <w:tcBorders>
              <w:top w:val="nil"/>
              <w:left w:val="nil"/>
              <w:bottom w:val="single" w:sz="4" w:space="0" w:color="auto"/>
              <w:right w:val="nil"/>
            </w:tcBorders>
            <w:shd w:val="clear" w:color="auto" w:fill="auto"/>
            <w:vAlign w:val="bottom"/>
          </w:tcPr>
          <w:p w14:paraId="54B01E44" w14:textId="21293B76"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844.115</w:t>
            </w:r>
          </w:p>
        </w:tc>
        <w:tc>
          <w:tcPr>
            <w:tcW w:w="588" w:type="pct"/>
            <w:tcBorders>
              <w:top w:val="nil"/>
              <w:left w:val="nil"/>
              <w:bottom w:val="single" w:sz="4" w:space="0" w:color="auto"/>
              <w:right w:val="nil"/>
            </w:tcBorders>
            <w:shd w:val="clear" w:color="auto" w:fill="auto"/>
            <w:vAlign w:val="bottom"/>
          </w:tcPr>
          <w:p w14:paraId="0385EADA" w14:textId="7A2A45C5"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29.496.162</w:t>
            </w:r>
          </w:p>
        </w:tc>
        <w:tc>
          <w:tcPr>
            <w:tcW w:w="588" w:type="pct"/>
            <w:tcBorders>
              <w:top w:val="nil"/>
              <w:left w:val="nil"/>
              <w:bottom w:val="single" w:sz="4" w:space="0" w:color="auto"/>
              <w:right w:val="nil"/>
            </w:tcBorders>
            <w:shd w:val="clear" w:color="auto" w:fill="auto"/>
            <w:vAlign w:val="bottom"/>
          </w:tcPr>
          <w:p w14:paraId="438F5FFF" w14:textId="64BB1277"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844.114</w:t>
            </w:r>
          </w:p>
        </w:tc>
        <w:tc>
          <w:tcPr>
            <w:tcW w:w="561" w:type="pct"/>
            <w:tcBorders>
              <w:top w:val="nil"/>
              <w:left w:val="nil"/>
              <w:bottom w:val="single" w:sz="4" w:space="0" w:color="auto"/>
              <w:right w:val="nil"/>
            </w:tcBorders>
            <w:shd w:val="clear" w:color="auto" w:fill="auto"/>
            <w:vAlign w:val="bottom"/>
          </w:tcPr>
          <w:p w14:paraId="6E629951" w14:textId="28FD63CD"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29.496.162</w:t>
            </w:r>
          </w:p>
        </w:tc>
      </w:tr>
      <w:tr w:rsidR="00401BBC" w:rsidRPr="00FB38E1" w14:paraId="7E307861" w14:textId="77777777" w:rsidTr="00B7661E">
        <w:tc>
          <w:tcPr>
            <w:tcW w:w="174" w:type="pct"/>
            <w:tcBorders>
              <w:top w:val="single" w:sz="4" w:space="0" w:color="auto"/>
              <w:bottom w:val="single" w:sz="4" w:space="0" w:color="auto"/>
            </w:tcBorders>
            <w:shd w:val="clear" w:color="auto" w:fill="auto"/>
            <w:vAlign w:val="bottom"/>
          </w:tcPr>
          <w:p w14:paraId="4B95AD22" w14:textId="77777777" w:rsidR="00401BBC" w:rsidRPr="00FB38E1" w:rsidRDefault="00401BBC" w:rsidP="00401BB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w:t>
            </w:r>
          </w:p>
        </w:tc>
        <w:tc>
          <w:tcPr>
            <w:tcW w:w="2500" w:type="pct"/>
            <w:tcBorders>
              <w:top w:val="single" w:sz="4" w:space="0" w:color="auto"/>
              <w:bottom w:val="single" w:sz="4" w:space="0" w:color="auto"/>
            </w:tcBorders>
            <w:shd w:val="clear" w:color="auto" w:fill="auto"/>
            <w:vAlign w:val="bottom"/>
          </w:tcPr>
          <w:p w14:paraId="481FDCCC" w14:textId="77777777" w:rsidR="00401BBC" w:rsidRPr="00FB38E1" w:rsidRDefault="00401BBC" w:rsidP="00401BBC">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NAKİT GİRİŞLERİ</w:t>
            </w:r>
          </w:p>
        </w:tc>
        <w:tc>
          <w:tcPr>
            <w:tcW w:w="588" w:type="pct"/>
            <w:tcBorders>
              <w:top w:val="single" w:sz="4" w:space="0" w:color="auto"/>
              <w:left w:val="nil"/>
              <w:bottom w:val="single" w:sz="4" w:space="0" w:color="auto"/>
              <w:right w:val="nil"/>
            </w:tcBorders>
            <w:shd w:val="clear" w:color="auto" w:fill="auto"/>
            <w:vAlign w:val="bottom"/>
          </w:tcPr>
          <w:p w14:paraId="09666A16" w14:textId="0D7AAC91"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152.381.801</w:t>
            </w:r>
          </w:p>
        </w:tc>
        <w:tc>
          <w:tcPr>
            <w:tcW w:w="588" w:type="pct"/>
            <w:tcBorders>
              <w:top w:val="single" w:sz="4" w:space="0" w:color="auto"/>
              <w:left w:val="nil"/>
              <w:bottom w:val="single" w:sz="4" w:space="0" w:color="auto"/>
              <w:right w:val="nil"/>
            </w:tcBorders>
            <w:shd w:val="clear" w:color="auto" w:fill="auto"/>
            <w:vAlign w:val="bottom"/>
          </w:tcPr>
          <w:p w14:paraId="390077A7" w14:textId="10BC433C"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55.731.087</w:t>
            </w:r>
          </w:p>
        </w:tc>
        <w:tc>
          <w:tcPr>
            <w:tcW w:w="588" w:type="pct"/>
            <w:tcBorders>
              <w:top w:val="single" w:sz="4" w:space="0" w:color="auto"/>
              <w:left w:val="nil"/>
              <w:bottom w:val="single" w:sz="4" w:space="0" w:color="auto"/>
              <w:right w:val="nil"/>
            </w:tcBorders>
            <w:shd w:val="clear" w:color="auto" w:fill="auto"/>
            <w:vAlign w:val="bottom"/>
          </w:tcPr>
          <w:p w14:paraId="61FB1B35" w14:textId="4A01A608"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105.426.002</w:t>
            </w:r>
          </w:p>
        </w:tc>
        <w:tc>
          <w:tcPr>
            <w:tcW w:w="561" w:type="pct"/>
            <w:tcBorders>
              <w:top w:val="single" w:sz="4" w:space="0" w:color="auto"/>
              <w:left w:val="nil"/>
              <w:bottom w:val="single" w:sz="4" w:space="0" w:color="auto"/>
              <w:right w:val="nil"/>
            </w:tcBorders>
            <w:shd w:val="clear" w:color="auto" w:fill="auto"/>
            <w:vAlign w:val="bottom"/>
          </w:tcPr>
          <w:p w14:paraId="794F9C6A" w14:textId="30CB6FBC"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52.584.704</w:t>
            </w:r>
          </w:p>
        </w:tc>
      </w:tr>
      <w:tr w:rsidR="009F0AF5" w:rsidRPr="00FB38E1" w14:paraId="27F52424" w14:textId="77777777" w:rsidTr="00B7661E">
        <w:tc>
          <w:tcPr>
            <w:tcW w:w="174" w:type="pct"/>
            <w:tcBorders>
              <w:top w:val="single" w:sz="4" w:space="0" w:color="auto"/>
              <w:bottom w:val="single" w:sz="4" w:space="0" w:color="auto"/>
            </w:tcBorders>
            <w:shd w:val="clear" w:color="auto" w:fill="auto"/>
            <w:vAlign w:val="bottom"/>
          </w:tcPr>
          <w:p w14:paraId="24871468" w14:textId="77777777" w:rsidR="009F0AF5" w:rsidRPr="00FB38E1" w:rsidRDefault="009F0AF5" w:rsidP="009F0AF5">
            <w:pPr>
              <w:rPr>
                <w:rFonts w:ascii="Microsoft Sans Serif" w:hAnsi="Microsoft Sans Serif" w:cs="Microsoft Sans Serif"/>
                <w:color w:val="000000"/>
                <w:sz w:val="14"/>
                <w:szCs w:val="14"/>
              </w:rPr>
            </w:pPr>
          </w:p>
        </w:tc>
        <w:tc>
          <w:tcPr>
            <w:tcW w:w="2500" w:type="pct"/>
            <w:tcBorders>
              <w:top w:val="single" w:sz="4" w:space="0" w:color="auto"/>
              <w:bottom w:val="single" w:sz="4" w:space="0" w:color="auto"/>
            </w:tcBorders>
            <w:shd w:val="clear" w:color="auto" w:fill="auto"/>
            <w:vAlign w:val="bottom"/>
          </w:tcPr>
          <w:p w14:paraId="6D26944C" w14:textId="77777777" w:rsidR="009F0AF5" w:rsidRPr="00FB38E1" w:rsidRDefault="009F0AF5" w:rsidP="009F0AF5">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7C14227D" w14:textId="77777777" w:rsidR="009F0AF5" w:rsidRPr="00FB38E1" w:rsidRDefault="009F0AF5" w:rsidP="009F0AF5">
            <w:pPr>
              <w:rPr>
                <w:rFonts w:ascii="Microsoft Sans Serif" w:hAnsi="Microsoft Sans Serif" w:cs="Microsoft Sans Serif"/>
                <w:color w:val="000000"/>
                <w:sz w:val="14"/>
                <w:szCs w:val="14"/>
              </w:rPr>
            </w:pPr>
          </w:p>
        </w:tc>
        <w:tc>
          <w:tcPr>
            <w:tcW w:w="588" w:type="pct"/>
            <w:tcBorders>
              <w:top w:val="single" w:sz="4" w:space="0" w:color="auto"/>
              <w:bottom w:val="single" w:sz="4" w:space="0" w:color="auto"/>
            </w:tcBorders>
            <w:shd w:val="clear" w:color="auto" w:fill="auto"/>
            <w:vAlign w:val="bottom"/>
          </w:tcPr>
          <w:p w14:paraId="2B7C116B" w14:textId="77777777" w:rsidR="009F0AF5" w:rsidRPr="00FB38E1" w:rsidRDefault="009F0AF5" w:rsidP="009F0AF5">
            <w:pPr>
              <w:rPr>
                <w:rFonts w:ascii="Microsoft Sans Serif" w:hAnsi="Microsoft Sans Serif" w:cs="Microsoft Sans Serif"/>
                <w:color w:val="000000"/>
                <w:sz w:val="14"/>
                <w:szCs w:val="14"/>
              </w:rPr>
            </w:pPr>
          </w:p>
        </w:tc>
        <w:tc>
          <w:tcPr>
            <w:tcW w:w="1149" w:type="pct"/>
            <w:gridSpan w:val="2"/>
            <w:tcBorders>
              <w:top w:val="single" w:sz="4" w:space="0" w:color="auto"/>
              <w:bottom w:val="single" w:sz="4" w:space="0" w:color="auto"/>
            </w:tcBorders>
            <w:shd w:val="clear" w:color="auto" w:fill="auto"/>
            <w:vAlign w:val="bottom"/>
          </w:tcPr>
          <w:p w14:paraId="51B50106" w14:textId="30C90B36" w:rsidR="009F0AF5" w:rsidRPr="00FB38E1" w:rsidRDefault="009F0AF5" w:rsidP="009F0AF5">
            <w:pPr>
              <w:jc w:val="center"/>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Üst Sınır Uygulanmış Değerler</w:t>
            </w:r>
          </w:p>
        </w:tc>
      </w:tr>
      <w:tr w:rsidR="00401BBC" w:rsidRPr="00FB38E1" w14:paraId="521EBD85" w14:textId="77777777" w:rsidTr="00B7661E">
        <w:tc>
          <w:tcPr>
            <w:tcW w:w="174" w:type="pct"/>
            <w:tcBorders>
              <w:top w:val="single" w:sz="4" w:space="0" w:color="auto"/>
              <w:bottom w:val="nil"/>
            </w:tcBorders>
            <w:shd w:val="clear" w:color="auto" w:fill="auto"/>
            <w:vAlign w:val="bottom"/>
          </w:tcPr>
          <w:p w14:paraId="02782E35" w14:textId="77777777" w:rsidR="00401BBC" w:rsidRPr="00FB38E1" w:rsidRDefault="00401BBC" w:rsidP="00401BB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w:t>
            </w:r>
          </w:p>
        </w:tc>
        <w:tc>
          <w:tcPr>
            <w:tcW w:w="2500" w:type="pct"/>
            <w:tcBorders>
              <w:top w:val="single" w:sz="4" w:space="0" w:color="auto"/>
              <w:bottom w:val="nil"/>
            </w:tcBorders>
            <w:shd w:val="clear" w:color="auto" w:fill="auto"/>
            <w:vAlign w:val="bottom"/>
          </w:tcPr>
          <w:p w14:paraId="57915269" w14:textId="77777777" w:rsidR="00401BBC" w:rsidRPr="00FB38E1" w:rsidRDefault="00401BBC" w:rsidP="00401BBC">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YKLV STOKU</w:t>
            </w:r>
          </w:p>
        </w:tc>
        <w:tc>
          <w:tcPr>
            <w:tcW w:w="588" w:type="pct"/>
            <w:tcBorders>
              <w:top w:val="single" w:sz="4" w:space="0" w:color="auto"/>
              <w:bottom w:val="nil"/>
            </w:tcBorders>
            <w:shd w:val="clear" w:color="auto" w:fill="auto"/>
            <w:vAlign w:val="bottom"/>
          </w:tcPr>
          <w:p w14:paraId="7D1377F6" w14:textId="77777777" w:rsidR="00401BBC" w:rsidRPr="00FB38E1" w:rsidRDefault="00401BBC" w:rsidP="00401BBC">
            <w:pPr>
              <w:rPr>
                <w:rFonts w:ascii="Microsoft Sans Serif" w:hAnsi="Microsoft Sans Serif" w:cs="Microsoft Sans Serif"/>
                <w:color w:val="404040"/>
                <w:sz w:val="14"/>
                <w:szCs w:val="14"/>
              </w:rPr>
            </w:pPr>
          </w:p>
        </w:tc>
        <w:tc>
          <w:tcPr>
            <w:tcW w:w="588" w:type="pct"/>
            <w:tcBorders>
              <w:top w:val="single" w:sz="4" w:space="0" w:color="auto"/>
              <w:bottom w:val="nil"/>
            </w:tcBorders>
            <w:shd w:val="clear" w:color="auto" w:fill="auto"/>
            <w:vAlign w:val="bottom"/>
          </w:tcPr>
          <w:p w14:paraId="6EEE05D6" w14:textId="77777777" w:rsidR="00401BBC" w:rsidRPr="00FB38E1" w:rsidRDefault="00401BBC" w:rsidP="00401BBC">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3C62CB1E" w14:textId="359BFFA3"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188.325.967</w:t>
            </w:r>
          </w:p>
        </w:tc>
        <w:tc>
          <w:tcPr>
            <w:tcW w:w="561" w:type="pct"/>
            <w:tcBorders>
              <w:top w:val="nil"/>
              <w:left w:val="nil"/>
              <w:bottom w:val="nil"/>
              <w:right w:val="nil"/>
            </w:tcBorders>
            <w:shd w:val="clear" w:color="auto" w:fill="auto"/>
            <w:vAlign w:val="bottom"/>
          </w:tcPr>
          <w:p w14:paraId="351718CA" w14:textId="0349939E"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87.586.921</w:t>
            </w:r>
          </w:p>
        </w:tc>
      </w:tr>
      <w:tr w:rsidR="00401BBC" w:rsidRPr="00FB38E1" w14:paraId="001B2CC6" w14:textId="77777777" w:rsidTr="00B7661E">
        <w:tc>
          <w:tcPr>
            <w:tcW w:w="174" w:type="pct"/>
            <w:tcBorders>
              <w:top w:val="nil"/>
              <w:bottom w:val="nil"/>
            </w:tcBorders>
            <w:shd w:val="clear" w:color="auto" w:fill="auto"/>
            <w:vAlign w:val="bottom"/>
          </w:tcPr>
          <w:p w14:paraId="005983BE" w14:textId="77777777" w:rsidR="00401BBC" w:rsidRPr="00FB38E1" w:rsidRDefault="00401BBC" w:rsidP="00401BB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22</w:t>
            </w:r>
          </w:p>
        </w:tc>
        <w:tc>
          <w:tcPr>
            <w:tcW w:w="2500" w:type="pct"/>
            <w:tcBorders>
              <w:top w:val="nil"/>
              <w:bottom w:val="nil"/>
            </w:tcBorders>
            <w:shd w:val="clear" w:color="auto" w:fill="auto"/>
            <w:vAlign w:val="bottom"/>
          </w:tcPr>
          <w:p w14:paraId="051FBD22" w14:textId="77777777" w:rsidR="00401BBC" w:rsidRPr="00FB38E1" w:rsidRDefault="00401BBC" w:rsidP="00401BBC">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NET NAKİT ÇIKIŞLARI</w:t>
            </w:r>
          </w:p>
        </w:tc>
        <w:tc>
          <w:tcPr>
            <w:tcW w:w="588" w:type="pct"/>
            <w:tcBorders>
              <w:top w:val="nil"/>
              <w:bottom w:val="nil"/>
            </w:tcBorders>
            <w:shd w:val="clear" w:color="auto" w:fill="auto"/>
            <w:vAlign w:val="bottom"/>
          </w:tcPr>
          <w:p w14:paraId="2DA7822B" w14:textId="77777777" w:rsidR="00401BBC" w:rsidRPr="00FB38E1" w:rsidRDefault="00401BBC" w:rsidP="00401BBC">
            <w:pPr>
              <w:rPr>
                <w:rFonts w:ascii="Microsoft Sans Serif" w:hAnsi="Microsoft Sans Serif" w:cs="Microsoft Sans Serif"/>
                <w:color w:val="404040"/>
                <w:sz w:val="14"/>
                <w:szCs w:val="14"/>
              </w:rPr>
            </w:pPr>
          </w:p>
        </w:tc>
        <w:tc>
          <w:tcPr>
            <w:tcW w:w="588" w:type="pct"/>
            <w:tcBorders>
              <w:top w:val="nil"/>
              <w:bottom w:val="nil"/>
            </w:tcBorders>
            <w:shd w:val="clear" w:color="auto" w:fill="auto"/>
            <w:vAlign w:val="bottom"/>
          </w:tcPr>
          <w:p w14:paraId="0E39720B" w14:textId="77777777" w:rsidR="00401BBC" w:rsidRPr="00FB38E1" w:rsidRDefault="00401BBC" w:rsidP="00401BBC">
            <w:pPr>
              <w:jc w:val="right"/>
              <w:rPr>
                <w:rFonts w:ascii="Microsoft Sans Serif" w:hAnsi="Microsoft Sans Serif" w:cs="Microsoft Sans Serif"/>
                <w:b/>
                <w:bCs/>
                <w:color w:val="404040"/>
                <w:sz w:val="14"/>
                <w:szCs w:val="14"/>
              </w:rPr>
            </w:pPr>
          </w:p>
        </w:tc>
        <w:tc>
          <w:tcPr>
            <w:tcW w:w="588" w:type="pct"/>
            <w:tcBorders>
              <w:top w:val="nil"/>
              <w:left w:val="nil"/>
              <w:bottom w:val="nil"/>
              <w:right w:val="nil"/>
            </w:tcBorders>
            <w:shd w:val="clear" w:color="auto" w:fill="auto"/>
            <w:vAlign w:val="bottom"/>
          </w:tcPr>
          <w:p w14:paraId="4CD8C90E" w14:textId="6F1C2320"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70.375.147</w:t>
            </w:r>
          </w:p>
        </w:tc>
        <w:tc>
          <w:tcPr>
            <w:tcW w:w="561" w:type="pct"/>
            <w:tcBorders>
              <w:top w:val="nil"/>
              <w:left w:val="nil"/>
              <w:bottom w:val="nil"/>
              <w:right w:val="nil"/>
            </w:tcBorders>
            <w:shd w:val="clear" w:color="auto" w:fill="auto"/>
            <w:vAlign w:val="bottom"/>
          </w:tcPr>
          <w:p w14:paraId="33A5F0FF" w14:textId="35438A4C"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42.788.944</w:t>
            </w:r>
          </w:p>
        </w:tc>
      </w:tr>
      <w:tr w:rsidR="00401BBC" w:rsidRPr="00FB38E1" w14:paraId="6798FD7C" w14:textId="77777777" w:rsidTr="00B7661E">
        <w:tc>
          <w:tcPr>
            <w:tcW w:w="174" w:type="pct"/>
            <w:tcBorders>
              <w:top w:val="nil"/>
              <w:bottom w:val="thickThinSmallGap" w:sz="24" w:space="0" w:color="auto"/>
            </w:tcBorders>
            <w:shd w:val="clear" w:color="auto" w:fill="auto"/>
            <w:vAlign w:val="bottom"/>
          </w:tcPr>
          <w:p w14:paraId="2D915C02" w14:textId="77777777" w:rsidR="00401BBC" w:rsidRPr="00FB38E1" w:rsidRDefault="00401BBC" w:rsidP="00401BBC">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w:t>
            </w:r>
          </w:p>
        </w:tc>
        <w:tc>
          <w:tcPr>
            <w:tcW w:w="2500" w:type="pct"/>
            <w:tcBorders>
              <w:top w:val="nil"/>
              <w:bottom w:val="thickThinSmallGap" w:sz="24" w:space="0" w:color="auto"/>
            </w:tcBorders>
            <w:shd w:val="clear" w:color="auto" w:fill="auto"/>
            <w:vAlign w:val="bottom"/>
          </w:tcPr>
          <w:p w14:paraId="3C83756C" w14:textId="77777777" w:rsidR="00401BBC" w:rsidRPr="00FB38E1" w:rsidRDefault="00401BBC" w:rsidP="00401BBC">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LİKİDİTE KARŞILAMA ORANI (%)</w:t>
            </w:r>
          </w:p>
        </w:tc>
        <w:tc>
          <w:tcPr>
            <w:tcW w:w="588" w:type="pct"/>
            <w:tcBorders>
              <w:top w:val="nil"/>
              <w:bottom w:val="thickThinSmallGap" w:sz="24" w:space="0" w:color="auto"/>
            </w:tcBorders>
            <w:shd w:val="clear" w:color="auto" w:fill="auto"/>
            <w:vAlign w:val="bottom"/>
          </w:tcPr>
          <w:p w14:paraId="1A3C770B" w14:textId="62CA6E0E" w:rsidR="00401BBC" w:rsidRPr="00FB38E1" w:rsidRDefault="00401BBC" w:rsidP="00401BBC">
            <w:pPr>
              <w:rPr>
                <w:rFonts w:ascii="Microsoft Sans Serif" w:hAnsi="Microsoft Sans Serif" w:cs="Microsoft Sans Serif"/>
                <w:color w:val="404040"/>
                <w:sz w:val="14"/>
                <w:szCs w:val="14"/>
              </w:rPr>
            </w:pPr>
            <w:r w:rsidRPr="00FB38E1">
              <w:rPr>
                <w:rFonts w:ascii="Microsoft Sans Serif" w:hAnsi="Microsoft Sans Serif" w:cs="Microsoft Sans Serif"/>
                <w:b/>
                <w:bCs/>
                <w:color w:val="404040"/>
                <w:sz w:val="14"/>
                <w:szCs w:val="14"/>
              </w:rPr>
              <w:t> </w:t>
            </w:r>
          </w:p>
        </w:tc>
        <w:tc>
          <w:tcPr>
            <w:tcW w:w="588" w:type="pct"/>
            <w:tcBorders>
              <w:top w:val="nil"/>
              <w:bottom w:val="thickThinSmallGap" w:sz="24" w:space="0" w:color="auto"/>
            </w:tcBorders>
            <w:shd w:val="clear" w:color="auto" w:fill="auto"/>
            <w:vAlign w:val="bottom"/>
          </w:tcPr>
          <w:p w14:paraId="1CAFAD6D" w14:textId="4184D1AB"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 </w:t>
            </w:r>
          </w:p>
        </w:tc>
        <w:tc>
          <w:tcPr>
            <w:tcW w:w="588" w:type="pct"/>
            <w:tcBorders>
              <w:top w:val="nil"/>
              <w:left w:val="nil"/>
              <w:bottom w:val="thickThinSmallGap" w:sz="24" w:space="0" w:color="auto"/>
              <w:right w:val="nil"/>
            </w:tcBorders>
            <w:shd w:val="clear" w:color="auto" w:fill="auto"/>
            <w:vAlign w:val="bottom"/>
          </w:tcPr>
          <w:p w14:paraId="1A9CEC91" w14:textId="2FBB7DC5"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278,9</w:t>
            </w:r>
          </w:p>
        </w:tc>
        <w:tc>
          <w:tcPr>
            <w:tcW w:w="561" w:type="pct"/>
            <w:tcBorders>
              <w:top w:val="nil"/>
              <w:left w:val="nil"/>
              <w:bottom w:val="thickThinSmallGap" w:sz="24" w:space="0" w:color="auto"/>
              <w:right w:val="nil"/>
            </w:tcBorders>
            <w:shd w:val="clear" w:color="auto" w:fill="auto"/>
            <w:vAlign w:val="bottom"/>
          </w:tcPr>
          <w:p w14:paraId="112C3279" w14:textId="6C698BD4" w:rsidR="00401BBC" w:rsidRPr="00FB38E1" w:rsidRDefault="00401BBC" w:rsidP="00401BBC">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212,4</w:t>
            </w:r>
          </w:p>
        </w:tc>
      </w:tr>
    </w:tbl>
    <w:p w14:paraId="73A77B5C" w14:textId="1C53913D" w:rsidR="002C59DA" w:rsidRPr="00FB38E1" w:rsidRDefault="003E4A94"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b w:val="0"/>
          <w:color w:val="404040" w:themeColor="text1" w:themeTint="BF"/>
          <w:sz w:val="16"/>
          <w:szCs w:val="16"/>
        </w:rPr>
        <w:t xml:space="preserve"> </w:t>
      </w:r>
      <w:r w:rsidR="00EA1C4E" w:rsidRPr="00FB38E1">
        <w:rPr>
          <w:rFonts w:ascii="Microsoft Sans Serif" w:hAnsi="Microsoft Sans Serif" w:cs="Microsoft Sans Serif"/>
          <w:b w:val="0"/>
          <w:color w:val="404040" w:themeColor="text1" w:themeTint="BF"/>
          <w:sz w:val="16"/>
          <w:szCs w:val="16"/>
        </w:rPr>
        <w:t>(*) Haftalık basit aritmetik ortalama alınmak suretiyle hesaplanan değerlerin son üç ay için hesaplanan basit aritmetik ortalaması</w:t>
      </w:r>
      <w:r w:rsidR="008A6B5A" w:rsidRPr="00FB38E1">
        <w:rPr>
          <w:rFonts w:ascii="Microsoft Sans Serif" w:hAnsi="Microsoft Sans Serif" w:cs="Microsoft Sans Serif"/>
          <w:b w:val="0"/>
          <w:color w:val="404040" w:themeColor="text1" w:themeTint="BF"/>
          <w:sz w:val="16"/>
          <w:szCs w:val="16"/>
        </w:rPr>
        <w:t>.</w:t>
      </w:r>
    </w:p>
    <w:p w14:paraId="4CF7A29B" w14:textId="51A9E055" w:rsidR="00A82C39" w:rsidRPr="00FB38E1"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7D0FEB07" w14:textId="117DCC34" w:rsidR="00A82C39" w:rsidRPr="00FB38E1"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220FB2F2" w14:textId="622AE0A7" w:rsidR="00A82C39" w:rsidRPr="00FB38E1"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21F961ED" w14:textId="39967118" w:rsidR="00A82C39" w:rsidRPr="00FB38E1"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5B7D6721" w14:textId="35440170" w:rsidR="00A82C39" w:rsidRPr="00FB38E1"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76E9A924" w14:textId="354C7318" w:rsidR="00A82C39" w:rsidRPr="00FB38E1" w:rsidRDefault="00A82C39" w:rsidP="002C59DA">
      <w:pPr>
        <w:pStyle w:val="BASLIK2"/>
        <w:widowControl/>
        <w:tabs>
          <w:tab w:val="left" w:pos="284"/>
        </w:tabs>
        <w:spacing w:before="0" w:line="240" w:lineRule="exact"/>
        <w:ind w:firstLine="0"/>
        <w:rPr>
          <w:rFonts w:ascii="Microsoft Sans Serif" w:hAnsi="Microsoft Sans Serif" w:cs="Microsoft Sans Serif"/>
          <w:b w:val="0"/>
          <w:color w:val="404040" w:themeColor="text1" w:themeTint="BF"/>
          <w:sz w:val="16"/>
          <w:szCs w:val="16"/>
        </w:rPr>
      </w:pPr>
    </w:p>
    <w:p w14:paraId="6FFEC0C1" w14:textId="6E9E4A7A" w:rsidR="00CB2D75" w:rsidRPr="00FB38E1" w:rsidRDefault="00CB2D75" w:rsidP="00076C9E">
      <w:pPr>
        <w:pStyle w:val="BASLIK2"/>
        <w:widowControl/>
        <w:numPr>
          <w:ilvl w:val="0"/>
          <w:numId w:val="16"/>
        </w:numPr>
        <w:spacing w:before="0" w:line="240" w:lineRule="auto"/>
        <w:ind w:left="0" w:hanging="567"/>
        <w:rPr>
          <w:rFonts w:ascii="Microsoft Sans Serif" w:hAnsi="Microsoft Sans Serif" w:cs="Microsoft Sans Serif"/>
          <w:sz w:val="20"/>
          <w:szCs w:val="20"/>
        </w:rPr>
      </w:pPr>
      <w:r w:rsidRPr="00FB38E1">
        <w:rPr>
          <w:rFonts w:ascii="Microsoft Sans Serif" w:hAnsi="Microsoft Sans Serif" w:cs="Microsoft Sans Serif"/>
          <w:sz w:val="20"/>
          <w:szCs w:val="20"/>
        </w:rPr>
        <w:t>Aktif ve pasif kalemlerin kalan vadelerine göre gösterimi</w:t>
      </w:r>
    </w:p>
    <w:tbl>
      <w:tblPr>
        <w:tblStyle w:val="TableGrid"/>
        <w:tblW w:w="9923"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2140"/>
        <w:gridCol w:w="919"/>
        <w:gridCol w:w="997"/>
        <w:gridCol w:w="996"/>
        <w:gridCol w:w="997"/>
        <w:gridCol w:w="919"/>
        <w:gridCol w:w="919"/>
        <w:gridCol w:w="1015"/>
        <w:gridCol w:w="1021"/>
      </w:tblGrid>
      <w:tr w:rsidR="00375544" w:rsidRPr="00FB38E1" w14:paraId="18A1F706" w14:textId="77777777" w:rsidTr="00426146">
        <w:trPr>
          <w:trHeight w:val="20"/>
        </w:trPr>
        <w:tc>
          <w:tcPr>
            <w:tcW w:w="1078" w:type="pct"/>
            <w:tcBorders>
              <w:top w:val="thinThickSmallGap" w:sz="24" w:space="0" w:color="auto"/>
              <w:bottom w:val="single" w:sz="4" w:space="0" w:color="auto"/>
            </w:tcBorders>
            <w:shd w:val="clear" w:color="auto" w:fill="auto"/>
            <w:vAlign w:val="bottom"/>
          </w:tcPr>
          <w:p w14:paraId="3757E656" w14:textId="77777777" w:rsidR="00375544" w:rsidRPr="00FB38E1" w:rsidRDefault="00375544" w:rsidP="00163D13">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Cari Dönem Sonu</w:t>
            </w:r>
          </w:p>
        </w:tc>
        <w:tc>
          <w:tcPr>
            <w:tcW w:w="463" w:type="pct"/>
            <w:tcBorders>
              <w:top w:val="thinThickSmallGap" w:sz="24" w:space="0" w:color="auto"/>
              <w:bottom w:val="single" w:sz="4" w:space="0" w:color="auto"/>
            </w:tcBorders>
            <w:shd w:val="clear" w:color="auto" w:fill="auto"/>
            <w:vAlign w:val="bottom"/>
          </w:tcPr>
          <w:p w14:paraId="422C42D7" w14:textId="77777777" w:rsidR="00375544" w:rsidRPr="00FB38E1" w:rsidRDefault="00375544" w:rsidP="00163D1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Vadesiz</w:t>
            </w:r>
          </w:p>
        </w:tc>
        <w:tc>
          <w:tcPr>
            <w:tcW w:w="502" w:type="pct"/>
            <w:tcBorders>
              <w:top w:val="thinThickSmallGap" w:sz="24" w:space="0" w:color="auto"/>
              <w:bottom w:val="single" w:sz="4" w:space="0" w:color="auto"/>
            </w:tcBorders>
            <w:shd w:val="clear" w:color="auto" w:fill="auto"/>
            <w:vAlign w:val="bottom"/>
          </w:tcPr>
          <w:p w14:paraId="370D0487" w14:textId="77777777" w:rsidR="00375544" w:rsidRPr="00FB38E1" w:rsidRDefault="00375544" w:rsidP="00163D1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aya kadar</w:t>
            </w:r>
          </w:p>
        </w:tc>
        <w:tc>
          <w:tcPr>
            <w:tcW w:w="502" w:type="pct"/>
            <w:tcBorders>
              <w:top w:val="thinThickSmallGap" w:sz="24" w:space="0" w:color="auto"/>
              <w:bottom w:val="single" w:sz="4" w:space="0" w:color="auto"/>
            </w:tcBorders>
            <w:shd w:val="clear" w:color="auto" w:fill="auto"/>
            <w:vAlign w:val="bottom"/>
          </w:tcPr>
          <w:p w14:paraId="09738165" w14:textId="77777777" w:rsidR="00375544" w:rsidRPr="00FB38E1" w:rsidRDefault="00375544" w:rsidP="00163D1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 Ay</w:t>
            </w:r>
          </w:p>
        </w:tc>
        <w:tc>
          <w:tcPr>
            <w:tcW w:w="502" w:type="pct"/>
            <w:tcBorders>
              <w:top w:val="thinThickSmallGap" w:sz="24" w:space="0" w:color="auto"/>
              <w:bottom w:val="single" w:sz="4" w:space="0" w:color="auto"/>
            </w:tcBorders>
            <w:shd w:val="clear" w:color="auto" w:fill="auto"/>
            <w:vAlign w:val="bottom"/>
          </w:tcPr>
          <w:p w14:paraId="2F37A4B5" w14:textId="77777777" w:rsidR="00375544" w:rsidRPr="00FB38E1" w:rsidRDefault="00375544" w:rsidP="00163D1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3-12 Ay</w:t>
            </w:r>
          </w:p>
        </w:tc>
        <w:tc>
          <w:tcPr>
            <w:tcW w:w="463" w:type="pct"/>
            <w:tcBorders>
              <w:top w:val="thinThickSmallGap" w:sz="24" w:space="0" w:color="auto"/>
              <w:bottom w:val="single" w:sz="4" w:space="0" w:color="auto"/>
            </w:tcBorders>
            <w:shd w:val="clear" w:color="auto" w:fill="auto"/>
            <w:vAlign w:val="bottom"/>
          </w:tcPr>
          <w:p w14:paraId="04B68342" w14:textId="77777777" w:rsidR="00375544" w:rsidRPr="00FB38E1" w:rsidRDefault="00375544" w:rsidP="00163D1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 Yıl</w:t>
            </w:r>
          </w:p>
        </w:tc>
        <w:tc>
          <w:tcPr>
            <w:tcW w:w="463" w:type="pct"/>
            <w:tcBorders>
              <w:top w:val="thinThickSmallGap" w:sz="24" w:space="0" w:color="auto"/>
              <w:bottom w:val="single" w:sz="4" w:space="0" w:color="auto"/>
            </w:tcBorders>
            <w:shd w:val="clear" w:color="auto" w:fill="auto"/>
            <w:vAlign w:val="bottom"/>
          </w:tcPr>
          <w:p w14:paraId="68D623BC" w14:textId="77777777" w:rsidR="00375544" w:rsidRPr="00FB38E1" w:rsidRDefault="00375544" w:rsidP="00163D1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 Yıl ve Üzeri</w:t>
            </w:r>
          </w:p>
        </w:tc>
        <w:tc>
          <w:tcPr>
            <w:tcW w:w="511" w:type="pct"/>
            <w:tcBorders>
              <w:top w:val="thinThickSmallGap" w:sz="24" w:space="0" w:color="auto"/>
              <w:bottom w:val="single" w:sz="4" w:space="0" w:color="auto"/>
            </w:tcBorders>
            <w:shd w:val="clear" w:color="auto" w:fill="auto"/>
            <w:vAlign w:val="bottom"/>
          </w:tcPr>
          <w:p w14:paraId="7A25DC4E" w14:textId="77777777" w:rsidR="00375544" w:rsidRPr="00FB38E1" w:rsidRDefault="00375544" w:rsidP="00163D1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Dağıtılamayan (*)</w:t>
            </w:r>
          </w:p>
        </w:tc>
        <w:tc>
          <w:tcPr>
            <w:tcW w:w="514" w:type="pct"/>
            <w:tcBorders>
              <w:top w:val="thinThickSmallGap" w:sz="24" w:space="0" w:color="auto"/>
              <w:bottom w:val="single" w:sz="4" w:space="0" w:color="auto"/>
            </w:tcBorders>
            <w:shd w:val="clear" w:color="auto" w:fill="auto"/>
            <w:vAlign w:val="bottom"/>
          </w:tcPr>
          <w:p w14:paraId="19818397" w14:textId="77777777" w:rsidR="00375544" w:rsidRPr="00FB38E1" w:rsidRDefault="00375544" w:rsidP="00163D1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w:t>
            </w:r>
          </w:p>
        </w:tc>
      </w:tr>
      <w:tr w:rsidR="00375544" w:rsidRPr="00FB38E1" w14:paraId="17726B66" w14:textId="77777777" w:rsidTr="00426146">
        <w:trPr>
          <w:trHeight w:val="20"/>
        </w:trPr>
        <w:tc>
          <w:tcPr>
            <w:tcW w:w="1078" w:type="pct"/>
            <w:tcBorders>
              <w:top w:val="single" w:sz="4" w:space="0" w:color="auto"/>
            </w:tcBorders>
            <w:shd w:val="clear" w:color="auto" w:fill="auto"/>
            <w:vAlign w:val="bottom"/>
          </w:tcPr>
          <w:p w14:paraId="188E5961" w14:textId="77777777" w:rsidR="00375544" w:rsidRPr="00FB38E1" w:rsidRDefault="00375544" w:rsidP="00163D13">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Varlıklar</w:t>
            </w:r>
          </w:p>
        </w:tc>
        <w:tc>
          <w:tcPr>
            <w:tcW w:w="463" w:type="pct"/>
            <w:tcBorders>
              <w:top w:val="single" w:sz="4" w:space="0" w:color="auto"/>
            </w:tcBorders>
            <w:shd w:val="clear" w:color="auto" w:fill="auto"/>
            <w:vAlign w:val="bottom"/>
          </w:tcPr>
          <w:p w14:paraId="28079A8F" w14:textId="77777777" w:rsidR="00375544" w:rsidRPr="00FB38E1" w:rsidRDefault="00375544" w:rsidP="00163D13">
            <w:pPr>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 </w:t>
            </w:r>
          </w:p>
        </w:tc>
        <w:tc>
          <w:tcPr>
            <w:tcW w:w="502" w:type="pct"/>
            <w:tcBorders>
              <w:top w:val="single" w:sz="4" w:space="0" w:color="auto"/>
            </w:tcBorders>
            <w:shd w:val="clear" w:color="auto" w:fill="auto"/>
            <w:vAlign w:val="bottom"/>
          </w:tcPr>
          <w:p w14:paraId="46C11BE4" w14:textId="77777777" w:rsidR="00375544" w:rsidRPr="00FB38E1" w:rsidRDefault="00375544" w:rsidP="00163D13">
            <w:pPr>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 </w:t>
            </w:r>
          </w:p>
        </w:tc>
        <w:tc>
          <w:tcPr>
            <w:tcW w:w="502" w:type="pct"/>
            <w:tcBorders>
              <w:top w:val="single" w:sz="4" w:space="0" w:color="auto"/>
            </w:tcBorders>
            <w:shd w:val="clear" w:color="auto" w:fill="auto"/>
            <w:vAlign w:val="bottom"/>
          </w:tcPr>
          <w:p w14:paraId="7957DFA7" w14:textId="77777777" w:rsidR="00375544" w:rsidRPr="00FB38E1" w:rsidRDefault="00375544" w:rsidP="00163D13">
            <w:pPr>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 </w:t>
            </w:r>
          </w:p>
        </w:tc>
        <w:tc>
          <w:tcPr>
            <w:tcW w:w="502" w:type="pct"/>
            <w:tcBorders>
              <w:top w:val="single" w:sz="4" w:space="0" w:color="auto"/>
            </w:tcBorders>
            <w:shd w:val="clear" w:color="auto" w:fill="auto"/>
            <w:vAlign w:val="bottom"/>
          </w:tcPr>
          <w:p w14:paraId="3B2C041A" w14:textId="77777777" w:rsidR="00375544" w:rsidRPr="00FB38E1" w:rsidRDefault="00375544" w:rsidP="00163D13">
            <w:pPr>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 </w:t>
            </w:r>
          </w:p>
        </w:tc>
        <w:tc>
          <w:tcPr>
            <w:tcW w:w="463" w:type="pct"/>
            <w:tcBorders>
              <w:top w:val="single" w:sz="4" w:space="0" w:color="auto"/>
            </w:tcBorders>
            <w:shd w:val="clear" w:color="auto" w:fill="auto"/>
            <w:vAlign w:val="bottom"/>
          </w:tcPr>
          <w:p w14:paraId="22A62BCB" w14:textId="77777777" w:rsidR="00375544" w:rsidRPr="00FB38E1" w:rsidRDefault="00375544" w:rsidP="00163D13">
            <w:pPr>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 </w:t>
            </w:r>
          </w:p>
        </w:tc>
        <w:tc>
          <w:tcPr>
            <w:tcW w:w="463" w:type="pct"/>
            <w:tcBorders>
              <w:top w:val="single" w:sz="4" w:space="0" w:color="auto"/>
            </w:tcBorders>
            <w:shd w:val="clear" w:color="auto" w:fill="auto"/>
            <w:vAlign w:val="bottom"/>
          </w:tcPr>
          <w:p w14:paraId="5BEAD61F" w14:textId="77777777" w:rsidR="00375544" w:rsidRPr="00FB38E1" w:rsidRDefault="00375544" w:rsidP="00163D13">
            <w:pPr>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 </w:t>
            </w:r>
          </w:p>
        </w:tc>
        <w:tc>
          <w:tcPr>
            <w:tcW w:w="511" w:type="pct"/>
            <w:tcBorders>
              <w:top w:val="single" w:sz="4" w:space="0" w:color="auto"/>
            </w:tcBorders>
            <w:shd w:val="clear" w:color="auto" w:fill="auto"/>
            <w:vAlign w:val="bottom"/>
          </w:tcPr>
          <w:p w14:paraId="5B25591F" w14:textId="77777777" w:rsidR="00375544" w:rsidRPr="00FB38E1" w:rsidRDefault="00375544" w:rsidP="00163D13">
            <w:pPr>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 </w:t>
            </w:r>
          </w:p>
        </w:tc>
        <w:tc>
          <w:tcPr>
            <w:tcW w:w="514" w:type="pct"/>
            <w:tcBorders>
              <w:top w:val="single" w:sz="4" w:space="0" w:color="auto"/>
            </w:tcBorders>
            <w:shd w:val="clear" w:color="auto" w:fill="auto"/>
            <w:vAlign w:val="bottom"/>
          </w:tcPr>
          <w:p w14:paraId="42D8EFC0" w14:textId="77777777" w:rsidR="00375544" w:rsidRPr="00FB38E1" w:rsidRDefault="00375544" w:rsidP="00163D13">
            <w:pPr>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 </w:t>
            </w:r>
          </w:p>
        </w:tc>
      </w:tr>
      <w:tr w:rsidR="001531F4" w:rsidRPr="00FB38E1" w14:paraId="2D268217" w14:textId="77777777" w:rsidTr="00426146">
        <w:trPr>
          <w:trHeight w:val="20"/>
        </w:trPr>
        <w:tc>
          <w:tcPr>
            <w:tcW w:w="1078" w:type="pct"/>
            <w:shd w:val="clear" w:color="auto" w:fill="auto"/>
            <w:vAlign w:val="bottom"/>
          </w:tcPr>
          <w:p w14:paraId="1B8EE8F2"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Nakit Değerler ve TCMB</w:t>
            </w:r>
          </w:p>
        </w:tc>
        <w:tc>
          <w:tcPr>
            <w:tcW w:w="463" w:type="pct"/>
            <w:shd w:val="clear" w:color="auto" w:fill="auto"/>
            <w:vAlign w:val="bottom"/>
          </w:tcPr>
          <w:p w14:paraId="548B4AEE" w14:textId="7E2A34C6"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210.393.796</w:t>
            </w:r>
          </w:p>
        </w:tc>
        <w:tc>
          <w:tcPr>
            <w:tcW w:w="502" w:type="pct"/>
            <w:shd w:val="clear" w:color="auto" w:fill="auto"/>
            <w:vAlign w:val="bottom"/>
          </w:tcPr>
          <w:p w14:paraId="7EC65D15" w14:textId="4481A1A8"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3.673.620</w:t>
            </w:r>
          </w:p>
        </w:tc>
        <w:tc>
          <w:tcPr>
            <w:tcW w:w="502" w:type="pct"/>
            <w:shd w:val="clear" w:color="auto" w:fill="auto"/>
            <w:vAlign w:val="bottom"/>
          </w:tcPr>
          <w:p w14:paraId="1AEDD98E" w14:textId="73CC39E6"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31BFD7DB" w14:textId="3EFE861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27C8BA09" w14:textId="5D5F45EA"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5A95BE10" w14:textId="3CF218C2"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1" w:type="pct"/>
            <w:shd w:val="clear" w:color="auto" w:fill="auto"/>
            <w:vAlign w:val="bottom"/>
          </w:tcPr>
          <w:p w14:paraId="3DA96100" w14:textId="2F2014F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25FB1A23" w14:textId="7F08A830"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214.067.416</w:t>
            </w:r>
          </w:p>
        </w:tc>
      </w:tr>
      <w:tr w:rsidR="001531F4" w:rsidRPr="00FB38E1" w14:paraId="763D76C0" w14:textId="77777777" w:rsidTr="00426146">
        <w:trPr>
          <w:trHeight w:val="20"/>
        </w:trPr>
        <w:tc>
          <w:tcPr>
            <w:tcW w:w="1078" w:type="pct"/>
            <w:shd w:val="clear" w:color="auto" w:fill="auto"/>
            <w:vAlign w:val="bottom"/>
          </w:tcPr>
          <w:p w14:paraId="395969DF"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w:t>
            </w:r>
            <w:r w:rsidRPr="00FB38E1">
              <w:rPr>
                <w:rFonts w:ascii="Microsoft Sans Serif" w:hAnsi="Microsoft Sans Serif" w:cs="Microsoft Sans Serif"/>
                <w:color w:val="404040"/>
                <w:sz w:val="14"/>
                <w:szCs w:val="14"/>
                <w:vertAlign w:val="superscript"/>
              </w:rPr>
              <w:t>(1)</w:t>
            </w:r>
          </w:p>
        </w:tc>
        <w:tc>
          <w:tcPr>
            <w:tcW w:w="463" w:type="pct"/>
            <w:shd w:val="clear" w:color="auto" w:fill="auto"/>
            <w:vAlign w:val="bottom"/>
          </w:tcPr>
          <w:p w14:paraId="363F6EB9" w14:textId="51403A2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19.601.032</w:t>
            </w:r>
          </w:p>
        </w:tc>
        <w:tc>
          <w:tcPr>
            <w:tcW w:w="502" w:type="pct"/>
            <w:shd w:val="clear" w:color="auto" w:fill="auto"/>
            <w:vAlign w:val="bottom"/>
          </w:tcPr>
          <w:p w14:paraId="3A877976" w14:textId="4294E4D8"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976.400</w:t>
            </w:r>
          </w:p>
        </w:tc>
        <w:tc>
          <w:tcPr>
            <w:tcW w:w="502" w:type="pct"/>
            <w:shd w:val="clear" w:color="auto" w:fill="auto"/>
            <w:vAlign w:val="bottom"/>
          </w:tcPr>
          <w:p w14:paraId="7A4B7DEE" w14:textId="6C382C7D"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3D2AFA0A" w14:textId="6B0D4CF1"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34C71EBC" w14:textId="56D969E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55F2E89D" w14:textId="408A6FF2"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1" w:type="pct"/>
            <w:shd w:val="clear" w:color="auto" w:fill="auto"/>
            <w:vAlign w:val="bottom"/>
          </w:tcPr>
          <w:p w14:paraId="62D2B277" w14:textId="77B9F05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48155A7E" w14:textId="70389F5F"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20.577.432</w:t>
            </w:r>
          </w:p>
        </w:tc>
      </w:tr>
      <w:tr w:rsidR="001531F4" w:rsidRPr="00FB38E1" w14:paraId="1FBB324B" w14:textId="77777777" w:rsidTr="00426146">
        <w:trPr>
          <w:trHeight w:val="20"/>
        </w:trPr>
        <w:tc>
          <w:tcPr>
            <w:tcW w:w="1078" w:type="pct"/>
            <w:shd w:val="clear" w:color="auto" w:fill="auto"/>
            <w:vAlign w:val="bottom"/>
          </w:tcPr>
          <w:p w14:paraId="2F01A1EE"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Gerçeğe Uygun  Değer Farkı Kar veya Zarara Yansıtılan Fin.Var    </w:t>
            </w:r>
          </w:p>
        </w:tc>
        <w:tc>
          <w:tcPr>
            <w:tcW w:w="463" w:type="pct"/>
            <w:shd w:val="clear" w:color="auto" w:fill="auto"/>
            <w:vAlign w:val="bottom"/>
          </w:tcPr>
          <w:p w14:paraId="6CADFCCD" w14:textId="54C6F705"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2.984.900</w:t>
            </w:r>
          </w:p>
        </w:tc>
        <w:tc>
          <w:tcPr>
            <w:tcW w:w="502" w:type="pct"/>
            <w:shd w:val="clear" w:color="auto" w:fill="auto"/>
            <w:vAlign w:val="bottom"/>
          </w:tcPr>
          <w:p w14:paraId="69C84067" w14:textId="25D15985"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4.579.068</w:t>
            </w:r>
          </w:p>
        </w:tc>
        <w:tc>
          <w:tcPr>
            <w:tcW w:w="502" w:type="pct"/>
            <w:shd w:val="clear" w:color="auto" w:fill="auto"/>
            <w:vAlign w:val="bottom"/>
          </w:tcPr>
          <w:p w14:paraId="425B9A0B" w14:textId="2DC6F855"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2.697.717</w:t>
            </w:r>
          </w:p>
        </w:tc>
        <w:tc>
          <w:tcPr>
            <w:tcW w:w="502" w:type="pct"/>
            <w:shd w:val="clear" w:color="auto" w:fill="auto"/>
            <w:vAlign w:val="bottom"/>
          </w:tcPr>
          <w:p w14:paraId="4F315DAE" w14:textId="3EBBC73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1.264.649</w:t>
            </w:r>
          </w:p>
        </w:tc>
        <w:tc>
          <w:tcPr>
            <w:tcW w:w="463" w:type="pct"/>
            <w:shd w:val="clear" w:color="auto" w:fill="auto"/>
            <w:vAlign w:val="bottom"/>
          </w:tcPr>
          <w:p w14:paraId="33E3B334" w14:textId="74B4AECD"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4.046.679</w:t>
            </w:r>
          </w:p>
        </w:tc>
        <w:tc>
          <w:tcPr>
            <w:tcW w:w="463" w:type="pct"/>
            <w:shd w:val="clear" w:color="auto" w:fill="auto"/>
            <w:vAlign w:val="bottom"/>
          </w:tcPr>
          <w:p w14:paraId="415EA74F" w14:textId="50C7C7D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721.700</w:t>
            </w:r>
          </w:p>
        </w:tc>
        <w:tc>
          <w:tcPr>
            <w:tcW w:w="511" w:type="pct"/>
            <w:shd w:val="clear" w:color="auto" w:fill="auto"/>
            <w:vAlign w:val="bottom"/>
          </w:tcPr>
          <w:p w14:paraId="67455E3C" w14:textId="217B1D86"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6B3D0A26" w14:textId="38DD85A4" w:rsidR="001531F4" w:rsidRPr="00FB38E1" w:rsidRDefault="001531F4" w:rsidP="001531F4">
            <w:pPr>
              <w:bidi/>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tl/>
              </w:rPr>
              <w:t>16.294.713</w:t>
            </w:r>
          </w:p>
        </w:tc>
      </w:tr>
      <w:tr w:rsidR="001531F4" w:rsidRPr="00FB38E1" w14:paraId="44566C43" w14:textId="77777777" w:rsidTr="00426146">
        <w:trPr>
          <w:trHeight w:val="20"/>
        </w:trPr>
        <w:tc>
          <w:tcPr>
            <w:tcW w:w="1078" w:type="pct"/>
            <w:shd w:val="clear" w:color="auto" w:fill="auto"/>
            <w:vAlign w:val="bottom"/>
          </w:tcPr>
          <w:p w14:paraId="6B851CAB"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Piyasalarından Alacaklar</w:t>
            </w:r>
          </w:p>
        </w:tc>
        <w:tc>
          <w:tcPr>
            <w:tcW w:w="463" w:type="pct"/>
            <w:shd w:val="clear" w:color="auto" w:fill="auto"/>
            <w:vAlign w:val="bottom"/>
          </w:tcPr>
          <w:p w14:paraId="6CA9B984" w14:textId="1BC59D92" w:rsidR="001531F4" w:rsidRPr="00FB38E1" w:rsidRDefault="001531F4" w:rsidP="001531F4">
            <w:pPr>
              <w:jc w:val="right"/>
              <w:rPr>
                <w:rFonts w:ascii="Microsoft Sans Serif" w:hAnsi="Microsoft Sans Serif" w:cs="Microsoft Sans Serif"/>
                <w:color w:val="404040"/>
                <w:sz w:val="14"/>
                <w:szCs w:val="14"/>
                <w:rtl/>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463EDE49" w14:textId="1C4C75D0"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76.567.876</w:t>
            </w:r>
          </w:p>
        </w:tc>
        <w:tc>
          <w:tcPr>
            <w:tcW w:w="502" w:type="pct"/>
            <w:shd w:val="clear" w:color="auto" w:fill="auto"/>
            <w:vAlign w:val="bottom"/>
          </w:tcPr>
          <w:p w14:paraId="74E26E8F" w14:textId="72CD11F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2DB84E33" w14:textId="4C0DBB70"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129CC3E3" w14:textId="3BECC10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23138846" w14:textId="416261F7"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1" w:type="pct"/>
            <w:shd w:val="clear" w:color="auto" w:fill="auto"/>
            <w:vAlign w:val="bottom"/>
          </w:tcPr>
          <w:p w14:paraId="3F5FB0BC" w14:textId="3A7BBE1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550BE4D4" w14:textId="61083A69"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76.567.876</w:t>
            </w:r>
          </w:p>
        </w:tc>
      </w:tr>
      <w:tr w:rsidR="001531F4" w:rsidRPr="00FB38E1" w14:paraId="19A85F4C" w14:textId="77777777" w:rsidTr="00426146">
        <w:trPr>
          <w:trHeight w:val="20"/>
        </w:trPr>
        <w:tc>
          <w:tcPr>
            <w:tcW w:w="1078" w:type="pct"/>
            <w:shd w:val="clear" w:color="auto" w:fill="auto"/>
            <w:vAlign w:val="bottom"/>
          </w:tcPr>
          <w:p w14:paraId="4284189C"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Gerçeğe Uygun Değer Farkı Diğer Kapsamlı Gelire Yansıtılan FV</w:t>
            </w:r>
          </w:p>
        </w:tc>
        <w:tc>
          <w:tcPr>
            <w:tcW w:w="463" w:type="pct"/>
            <w:shd w:val="clear" w:color="auto" w:fill="auto"/>
            <w:vAlign w:val="bottom"/>
          </w:tcPr>
          <w:p w14:paraId="60B10371" w14:textId="7A906A9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960</w:t>
            </w:r>
          </w:p>
        </w:tc>
        <w:tc>
          <w:tcPr>
            <w:tcW w:w="502" w:type="pct"/>
            <w:shd w:val="clear" w:color="auto" w:fill="auto"/>
            <w:vAlign w:val="bottom"/>
          </w:tcPr>
          <w:p w14:paraId="01DE000A" w14:textId="02B673D2"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1.188.049</w:t>
            </w:r>
          </w:p>
        </w:tc>
        <w:tc>
          <w:tcPr>
            <w:tcW w:w="502" w:type="pct"/>
            <w:shd w:val="clear" w:color="auto" w:fill="auto"/>
            <w:vAlign w:val="bottom"/>
          </w:tcPr>
          <w:p w14:paraId="3CB42805" w14:textId="6F58D106"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66701DFC" w14:textId="005FAEE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13.086.053</w:t>
            </w:r>
          </w:p>
        </w:tc>
        <w:tc>
          <w:tcPr>
            <w:tcW w:w="463" w:type="pct"/>
            <w:shd w:val="clear" w:color="auto" w:fill="auto"/>
            <w:vAlign w:val="bottom"/>
          </w:tcPr>
          <w:p w14:paraId="763B390A" w14:textId="2A75DBBB"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46.709.077</w:t>
            </w:r>
          </w:p>
        </w:tc>
        <w:tc>
          <w:tcPr>
            <w:tcW w:w="463" w:type="pct"/>
            <w:shd w:val="clear" w:color="auto" w:fill="auto"/>
            <w:vAlign w:val="bottom"/>
          </w:tcPr>
          <w:p w14:paraId="5908356F" w14:textId="37479A43"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48.205.986</w:t>
            </w:r>
          </w:p>
        </w:tc>
        <w:tc>
          <w:tcPr>
            <w:tcW w:w="511" w:type="pct"/>
            <w:shd w:val="clear" w:color="auto" w:fill="auto"/>
            <w:vAlign w:val="bottom"/>
          </w:tcPr>
          <w:p w14:paraId="2AF6C675" w14:textId="503295B1"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582835E4" w14:textId="745E202D"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109.190.125</w:t>
            </w:r>
          </w:p>
        </w:tc>
      </w:tr>
      <w:tr w:rsidR="001531F4" w:rsidRPr="00FB38E1" w14:paraId="60F9C3FF" w14:textId="77777777" w:rsidTr="00426146">
        <w:trPr>
          <w:trHeight w:val="20"/>
        </w:trPr>
        <w:tc>
          <w:tcPr>
            <w:tcW w:w="1078" w:type="pct"/>
            <w:shd w:val="clear" w:color="auto" w:fill="auto"/>
            <w:vAlign w:val="bottom"/>
          </w:tcPr>
          <w:p w14:paraId="6B5C9690"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Verilen Krediler</w:t>
            </w:r>
          </w:p>
        </w:tc>
        <w:tc>
          <w:tcPr>
            <w:tcW w:w="463" w:type="pct"/>
            <w:shd w:val="clear" w:color="auto" w:fill="auto"/>
            <w:vAlign w:val="bottom"/>
          </w:tcPr>
          <w:p w14:paraId="5A08F5BE" w14:textId="58204710"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24C8555D" w14:textId="65313EB1"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133.951.635</w:t>
            </w:r>
          </w:p>
        </w:tc>
        <w:tc>
          <w:tcPr>
            <w:tcW w:w="502" w:type="pct"/>
            <w:shd w:val="clear" w:color="auto" w:fill="auto"/>
            <w:vAlign w:val="bottom"/>
          </w:tcPr>
          <w:p w14:paraId="347F945F" w14:textId="739ABC6C"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216.229.681</w:t>
            </w:r>
          </w:p>
        </w:tc>
        <w:tc>
          <w:tcPr>
            <w:tcW w:w="502" w:type="pct"/>
            <w:shd w:val="clear" w:color="auto" w:fill="auto"/>
            <w:vAlign w:val="bottom"/>
          </w:tcPr>
          <w:p w14:paraId="1D6BD436" w14:textId="0EEABC38"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160.810.296</w:t>
            </w:r>
          </w:p>
        </w:tc>
        <w:tc>
          <w:tcPr>
            <w:tcW w:w="463" w:type="pct"/>
            <w:shd w:val="clear" w:color="auto" w:fill="auto"/>
            <w:vAlign w:val="bottom"/>
          </w:tcPr>
          <w:p w14:paraId="4CB8CAF9" w14:textId="0DD3680D"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152.798.159</w:t>
            </w:r>
          </w:p>
        </w:tc>
        <w:tc>
          <w:tcPr>
            <w:tcW w:w="463" w:type="pct"/>
            <w:shd w:val="clear" w:color="auto" w:fill="auto"/>
            <w:vAlign w:val="bottom"/>
          </w:tcPr>
          <w:p w14:paraId="684F8480" w14:textId="12ECB207"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25.415.985</w:t>
            </w:r>
          </w:p>
        </w:tc>
        <w:tc>
          <w:tcPr>
            <w:tcW w:w="511" w:type="pct"/>
            <w:shd w:val="clear" w:color="auto" w:fill="auto"/>
            <w:vAlign w:val="bottom"/>
          </w:tcPr>
          <w:p w14:paraId="4D9B1EBB" w14:textId="4879F1A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10.976.927</w:t>
            </w:r>
          </w:p>
        </w:tc>
        <w:tc>
          <w:tcPr>
            <w:tcW w:w="514" w:type="pct"/>
            <w:shd w:val="clear" w:color="auto" w:fill="auto"/>
            <w:vAlign w:val="bottom"/>
          </w:tcPr>
          <w:p w14:paraId="52F6CBEA" w14:textId="41A4E85B"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700.182.683</w:t>
            </w:r>
          </w:p>
        </w:tc>
      </w:tr>
      <w:tr w:rsidR="001531F4" w:rsidRPr="00FB38E1" w14:paraId="7661B0DF" w14:textId="77777777" w:rsidTr="00426146">
        <w:trPr>
          <w:trHeight w:val="20"/>
        </w:trPr>
        <w:tc>
          <w:tcPr>
            <w:tcW w:w="1078" w:type="pct"/>
            <w:shd w:val="clear" w:color="auto" w:fill="auto"/>
            <w:vAlign w:val="bottom"/>
          </w:tcPr>
          <w:p w14:paraId="68E0EE5E"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İtfa Edilmiş Maliyeti Üzerinden Değerlenen Finansal Varlıklar</w:t>
            </w:r>
            <w:r w:rsidRPr="00FB38E1">
              <w:rPr>
                <w:rFonts w:ascii="Microsoft Sans Serif" w:hAnsi="Microsoft Sans Serif" w:cs="Microsoft Sans Serif"/>
                <w:color w:val="404040"/>
                <w:sz w:val="14"/>
                <w:szCs w:val="14"/>
                <w:vertAlign w:val="superscript"/>
              </w:rPr>
              <w:t>(2)</w:t>
            </w:r>
          </w:p>
        </w:tc>
        <w:tc>
          <w:tcPr>
            <w:tcW w:w="463" w:type="pct"/>
            <w:shd w:val="clear" w:color="auto" w:fill="auto"/>
            <w:vAlign w:val="bottom"/>
          </w:tcPr>
          <w:p w14:paraId="18257919" w14:textId="7A283A00"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70A36B9A" w14:textId="4103F1B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4863E3A3" w14:textId="19069A7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7.867.788</w:t>
            </w:r>
          </w:p>
        </w:tc>
        <w:tc>
          <w:tcPr>
            <w:tcW w:w="502" w:type="pct"/>
            <w:shd w:val="clear" w:color="auto" w:fill="auto"/>
            <w:vAlign w:val="bottom"/>
          </w:tcPr>
          <w:p w14:paraId="3B20C53F" w14:textId="168D634A"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733BE457" w14:textId="5D6C07D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8.216.057</w:t>
            </w:r>
          </w:p>
        </w:tc>
        <w:tc>
          <w:tcPr>
            <w:tcW w:w="463" w:type="pct"/>
            <w:shd w:val="clear" w:color="auto" w:fill="auto"/>
            <w:vAlign w:val="bottom"/>
          </w:tcPr>
          <w:p w14:paraId="5BB3D15E" w14:textId="28149E31"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49.503.716</w:t>
            </w:r>
          </w:p>
        </w:tc>
        <w:tc>
          <w:tcPr>
            <w:tcW w:w="511" w:type="pct"/>
            <w:shd w:val="clear" w:color="auto" w:fill="auto"/>
            <w:vAlign w:val="bottom"/>
          </w:tcPr>
          <w:p w14:paraId="1C73F56B" w14:textId="7974AB4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279ABD6C" w14:textId="0664DAAD"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65.587.561</w:t>
            </w:r>
          </w:p>
        </w:tc>
      </w:tr>
      <w:tr w:rsidR="001531F4" w:rsidRPr="00FB38E1" w14:paraId="7CEFDC1B" w14:textId="77777777" w:rsidTr="00426146">
        <w:trPr>
          <w:trHeight w:val="20"/>
        </w:trPr>
        <w:tc>
          <w:tcPr>
            <w:tcW w:w="1078" w:type="pct"/>
            <w:tcBorders>
              <w:bottom w:val="single" w:sz="4" w:space="0" w:color="auto"/>
            </w:tcBorders>
            <w:shd w:val="clear" w:color="auto" w:fill="auto"/>
            <w:vAlign w:val="bottom"/>
          </w:tcPr>
          <w:p w14:paraId="1CCB56A5"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Diğer Varlıklar </w:t>
            </w:r>
          </w:p>
        </w:tc>
        <w:tc>
          <w:tcPr>
            <w:tcW w:w="463" w:type="pct"/>
            <w:tcBorders>
              <w:bottom w:val="single" w:sz="4" w:space="0" w:color="auto"/>
            </w:tcBorders>
            <w:shd w:val="clear" w:color="auto" w:fill="auto"/>
            <w:vAlign w:val="bottom"/>
          </w:tcPr>
          <w:p w14:paraId="3FC7C6B1" w14:textId="4DFBCAB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58.650.810</w:t>
            </w:r>
          </w:p>
        </w:tc>
        <w:tc>
          <w:tcPr>
            <w:tcW w:w="502" w:type="pct"/>
            <w:tcBorders>
              <w:bottom w:val="single" w:sz="4" w:space="0" w:color="auto"/>
            </w:tcBorders>
            <w:shd w:val="clear" w:color="auto" w:fill="auto"/>
            <w:vAlign w:val="bottom"/>
          </w:tcPr>
          <w:p w14:paraId="6E1E4A77" w14:textId="112CAE71"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tcBorders>
              <w:bottom w:val="single" w:sz="4" w:space="0" w:color="auto"/>
            </w:tcBorders>
            <w:shd w:val="clear" w:color="auto" w:fill="auto"/>
            <w:vAlign w:val="bottom"/>
          </w:tcPr>
          <w:p w14:paraId="1B1BB317" w14:textId="2894E106"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tcBorders>
              <w:bottom w:val="single" w:sz="4" w:space="0" w:color="auto"/>
            </w:tcBorders>
            <w:shd w:val="clear" w:color="auto" w:fill="auto"/>
            <w:vAlign w:val="bottom"/>
          </w:tcPr>
          <w:p w14:paraId="10B23693" w14:textId="1BC825F2"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tcBorders>
              <w:bottom w:val="single" w:sz="4" w:space="0" w:color="auto"/>
            </w:tcBorders>
            <w:shd w:val="clear" w:color="auto" w:fill="auto"/>
            <w:vAlign w:val="bottom"/>
          </w:tcPr>
          <w:p w14:paraId="1FE4683E" w14:textId="6F84104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tcBorders>
              <w:bottom w:val="single" w:sz="4" w:space="0" w:color="auto"/>
            </w:tcBorders>
            <w:shd w:val="clear" w:color="auto" w:fill="auto"/>
            <w:vAlign w:val="bottom"/>
          </w:tcPr>
          <w:p w14:paraId="187FC6E7" w14:textId="1D3B2E8D"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1" w:type="pct"/>
            <w:tcBorders>
              <w:bottom w:val="single" w:sz="4" w:space="0" w:color="auto"/>
            </w:tcBorders>
            <w:shd w:val="clear" w:color="auto" w:fill="auto"/>
            <w:vAlign w:val="bottom"/>
          </w:tcPr>
          <w:p w14:paraId="78FE3E1E" w14:textId="146C750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109.502.416</w:t>
            </w:r>
          </w:p>
        </w:tc>
        <w:tc>
          <w:tcPr>
            <w:tcW w:w="514" w:type="pct"/>
            <w:tcBorders>
              <w:bottom w:val="single" w:sz="4" w:space="0" w:color="auto"/>
            </w:tcBorders>
            <w:shd w:val="clear" w:color="auto" w:fill="auto"/>
            <w:vAlign w:val="bottom"/>
          </w:tcPr>
          <w:p w14:paraId="4CA1F990" w14:textId="3855053D"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168.153.226</w:t>
            </w:r>
          </w:p>
        </w:tc>
      </w:tr>
      <w:tr w:rsidR="001531F4" w:rsidRPr="00FB38E1" w14:paraId="2AF2CC42" w14:textId="77777777" w:rsidTr="00426146">
        <w:trPr>
          <w:trHeight w:val="20"/>
        </w:trPr>
        <w:tc>
          <w:tcPr>
            <w:tcW w:w="1078" w:type="pct"/>
            <w:tcBorders>
              <w:top w:val="single" w:sz="4" w:space="0" w:color="auto"/>
              <w:bottom w:val="single" w:sz="4" w:space="0" w:color="auto"/>
            </w:tcBorders>
            <w:shd w:val="clear" w:color="auto" w:fill="auto"/>
            <w:vAlign w:val="bottom"/>
          </w:tcPr>
          <w:p w14:paraId="18DBED00" w14:textId="77777777" w:rsidR="001531F4" w:rsidRPr="00FB38E1" w:rsidRDefault="001531F4" w:rsidP="001531F4">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Varlıklar</w:t>
            </w:r>
          </w:p>
        </w:tc>
        <w:tc>
          <w:tcPr>
            <w:tcW w:w="463" w:type="pct"/>
            <w:tcBorders>
              <w:top w:val="single" w:sz="4" w:space="0" w:color="auto"/>
              <w:bottom w:val="single" w:sz="4" w:space="0" w:color="auto"/>
            </w:tcBorders>
            <w:shd w:val="clear" w:color="auto" w:fill="auto"/>
            <w:vAlign w:val="bottom"/>
          </w:tcPr>
          <w:p w14:paraId="481FCFC6" w14:textId="079ECB8C"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291.631.498</w:t>
            </w:r>
          </w:p>
        </w:tc>
        <w:tc>
          <w:tcPr>
            <w:tcW w:w="502" w:type="pct"/>
            <w:tcBorders>
              <w:top w:val="single" w:sz="4" w:space="0" w:color="auto"/>
              <w:bottom w:val="single" w:sz="4" w:space="0" w:color="auto"/>
            </w:tcBorders>
            <w:shd w:val="clear" w:color="auto" w:fill="auto"/>
            <w:vAlign w:val="bottom"/>
          </w:tcPr>
          <w:p w14:paraId="0772B04E" w14:textId="52EC15CD"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220.936.648</w:t>
            </w:r>
          </w:p>
        </w:tc>
        <w:tc>
          <w:tcPr>
            <w:tcW w:w="502" w:type="pct"/>
            <w:tcBorders>
              <w:top w:val="single" w:sz="4" w:space="0" w:color="auto"/>
              <w:bottom w:val="single" w:sz="4" w:space="0" w:color="auto"/>
            </w:tcBorders>
            <w:shd w:val="clear" w:color="auto" w:fill="auto"/>
            <w:vAlign w:val="bottom"/>
          </w:tcPr>
          <w:p w14:paraId="55E25DDA" w14:textId="31DC86AC"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226.795.186</w:t>
            </w:r>
          </w:p>
        </w:tc>
        <w:tc>
          <w:tcPr>
            <w:tcW w:w="502" w:type="pct"/>
            <w:tcBorders>
              <w:top w:val="single" w:sz="4" w:space="0" w:color="auto"/>
              <w:bottom w:val="single" w:sz="4" w:space="0" w:color="auto"/>
            </w:tcBorders>
            <w:shd w:val="clear" w:color="auto" w:fill="auto"/>
            <w:vAlign w:val="bottom"/>
          </w:tcPr>
          <w:p w14:paraId="683752E7" w14:textId="03E4873E"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175.160.998</w:t>
            </w:r>
          </w:p>
        </w:tc>
        <w:tc>
          <w:tcPr>
            <w:tcW w:w="463" w:type="pct"/>
            <w:tcBorders>
              <w:top w:val="single" w:sz="4" w:space="0" w:color="auto"/>
              <w:bottom w:val="single" w:sz="4" w:space="0" w:color="auto"/>
            </w:tcBorders>
            <w:shd w:val="clear" w:color="auto" w:fill="auto"/>
            <w:vAlign w:val="bottom"/>
          </w:tcPr>
          <w:p w14:paraId="2D745889" w14:textId="33B004BB"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211.769.972</w:t>
            </w:r>
          </w:p>
        </w:tc>
        <w:tc>
          <w:tcPr>
            <w:tcW w:w="463" w:type="pct"/>
            <w:tcBorders>
              <w:top w:val="single" w:sz="4" w:space="0" w:color="auto"/>
              <w:bottom w:val="single" w:sz="4" w:space="0" w:color="auto"/>
            </w:tcBorders>
            <w:shd w:val="clear" w:color="auto" w:fill="auto"/>
            <w:vAlign w:val="bottom"/>
          </w:tcPr>
          <w:p w14:paraId="637559D5" w14:textId="2D201873"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123.847.387</w:t>
            </w:r>
          </w:p>
        </w:tc>
        <w:tc>
          <w:tcPr>
            <w:tcW w:w="511" w:type="pct"/>
            <w:tcBorders>
              <w:top w:val="single" w:sz="4" w:space="0" w:color="auto"/>
              <w:bottom w:val="single" w:sz="4" w:space="0" w:color="auto"/>
            </w:tcBorders>
            <w:shd w:val="clear" w:color="auto" w:fill="auto"/>
            <w:vAlign w:val="bottom"/>
          </w:tcPr>
          <w:p w14:paraId="280426F5" w14:textId="3CA4BF27"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120.479.343</w:t>
            </w:r>
          </w:p>
        </w:tc>
        <w:tc>
          <w:tcPr>
            <w:tcW w:w="514" w:type="pct"/>
            <w:tcBorders>
              <w:top w:val="single" w:sz="4" w:space="0" w:color="auto"/>
              <w:bottom w:val="single" w:sz="4" w:space="0" w:color="auto"/>
            </w:tcBorders>
            <w:shd w:val="clear" w:color="auto" w:fill="auto"/>
            <w:vAlign w:val="bottom"/>
          </w:tcPr>
          <w:p w14:paraId="42575208" w14:textId="1B263F7B"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1.370.621.032</w:t>
            </w:r>
          </w:p>
        </w:tc>
      </w:tr>
      <w:tr w:rsidR="00715500" w:rsidRPr="00FB38E1" w14:paraId="1667FF52" w14:textId="77777777" w:rsidTr="00426146">
        <w:trPr>
          <w:trHeight w:val="20"/>
        </w:trPr>
        <w:tc>
          <w:tcPr>
            <w:tcW w:w="1078" w:type="pct"/>
            <w:shd w:val="clear" w:color="auto" w:fill="auto"/>
            <w:vAlign w:val="bottom"/>
          </w:tcPr>
          <w:p w14:paraId="3F92C12A" w14:textId="77777777" w:rsidR="00715500" w:rsidRPr="00FB38E1" w:rsidRDefault="00715500" w:rsidP="00715500">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Yükümlülükler</w:t>
            </w:r>
          </w:p>
        </w:tc>
        <w:tc>
          <w:tcPr>
            <w:tcW w:w="463" w:type="pct"/>
            <w:shd w:val="clear" w:color="auto" w:fill="auto"/>
            <w:vAlign w:val="bottom"/>
          </w:tcPr>
          <w:p w14:paraId="7C094324" w14:textId="77777777" w:rsidR="00715500" w:rsidRPr="00FB38E1" w:rsidRDefault="00715500" w:rsidP="00715500">
            <w:pPr>
              <w:jc w:val="right"/>
              <w:rPr>
                <w:sz w:val="14"/>
                <w:szCs w:val="14"/>
              </w:rPr>
            </w:pPr>
          </w:p>
        </w:tc>
        <w:tc>
          <w:tcPr>
            <w:tcW w:w="502" w:type="pct"/>
            <w:shd w:val="clear" w:color="auto" w:fill="auto"/>
            <w:vAlign w:val="bottom"/>
          </w:tcPr>
          <w:p w14:paraId="0A61C8F2" w14:textId="77777777" w:rsidR="00715500" w:rsidRPr="00FB38E1" w:rsidRDefault="00715500" w:rsidP="00715500">
            <w:pPr>
              <w:rPr>
                <w:sz w:val="14"/>
                <w:szCs w:val="14"/>
              </w:rPr>
            </w:pPr>
          </w:p>
        </w:tc>
        <w:tc>
          <w:tcPr>
            <w:tcW w:w="502" w:type="pct"/>
            <w:shd w:val="clear" w:color="auto" w:fill="auto"/>
            <w:vAlign w:val="bottom"/>
          </w:tcPr>
          <w:p w14:paraId="6466B1F8" w14:textId="77777777" w:rsidR="00715500" w:rsidRPr="00FB38E1" w:rsidRDefault="00715500" w:rsidP="00715500">
            <w:pPr>
              <w:rPr>
                <w:sz w:val="14"/>
                <w:szCs w:val="14"/>
              </w:rPr>
            </w:pPr>
          </w:p>
        </w:tc>
        <w:tc>
          <w:tcPr>
            <w:tcW w:w="502" w:type="pct"/>
            <w:shd w:val="clear" w:color="auto" w:fill="auto"/>
            <w:vAlign w:val="bottom"/>
          </w:tcPr>
          <w:p w14:paraId="52C670ED" w14:textId="77777777" w:rsidR="00715500" w:rsidRPr="00FB38E1" w:rsidRDefault="00715500" w:rsidP="00715500">
            <w:pPr>
              <w:rPr>
                <w:sz w:val="14"/>
                <w:szCs w:val="14"/>
              </w:rPr>
            </w:pPr>
          </w:p>
        </w:tc>
        <w:tc>
          <w:tcPr>
            <w:tcW w:w="463" w:type="pct"/>
            <w:shd w:val="clear" w:color="auto" w:fill="auto"/>
            <w:vAlign w:val="bottom"/>
          </w:tcPr>
          <w:p w14:paraId="21E71B47" w14:textId="77777777" w:rsidR="00715500" w:rsidRPr="00FB38E1" w:rsidRDefault="00715500" w:rsidP="00715500">
            <w:pPr>
              <w:rPr>
                <w:sz w:val="14"/>
                <w:szCs w:val="14"/>
              </w:rPr>
            </w:pPr>
          </w:p>
        </w:tc>
        <w:tc>
          <w:tcPr>
            <w:tcW w:w="463" w:type="pct"/>
            <w:shd w:val="clear" w:color="auto" w:fill="auto"/>
            <w:vAlign w:val="bottom"/>
          </w:tcPr>
          <w:p w14:paraId="3A0E2AD7" w14:textId="77777777" w:rsidR="00715500" w:rsidRPr="00FB38E1" w:rsidRDefault="00715500" w:rsidP="00715500">
            <w:pPr>
              <w:rPr>
                <w:sz w:val="14"/>
                <w:szCs w:val="14"/>
              </w:rPr>
            </w:pPr>
          </w:p>
        </w:tc>
        <w:tc>
          <w:tcPr>
            <w:tcW w:w="511" w:type="pct"/>
            <w:shd w:val="clear" w:color="auto" w:fill="auto"/>
            <w:vAlign w:val="bottom"/>
          </w:tcPr>
          <w:p w14:paraId="4C8E4ED9" w14:textId="77777777" w:rsidR="00715500" w:rsidRPr="00FB38E1" w:rsidRDefault="00715500" w:rsidP="00715500">
            <w:pPr>
              <w:rPr>
                <w:sz w:val="14"/>
                <w:szCs w:val="14"/>
              </w:rPr>
            </w:pPr>
          </w:p>
        </w:tc>
        <w:tc>
          <w:tcPr>
            <w:tcW w:w="514" w:type="pct"/>
            <w:shd w:val="clear" w:color="auto" w:fill="auto"/>
            <w:vAlign w:val="bottom"/>
          </w:tcPr>
          <w:p w14:paraId="0A73C562" w14:textId="77777777" w:rsidR="00715500" w:rsidRPr="00FB38E1" w:rsidRDefault="00715500" w:rsidP="00715500">
            <w:pPr>
              <w:rPr>
                <w:sz w:val="14"/>
                <w:szCs w:val="14"/>
              </w:rPr>
            </w:pPr>
          </w:p>
        </w:tc>
      </w:tr>
      <w:tr w:rsidR="001531F4" w:rsidRPr="00FB38E1" w14:paraId="69EE69D4" w14:textId="77777777" w:rsidTr="00426146">
        <w:trPr>
          <w:trHeight w:val="20"/>
        </w:trPr>
        <w:tc>
          <w:tcPr>
            <w:tcW w:w="1078" w:type="pct"/>
            <w:shd w:val="clear" w:color="auto" w:fill="auto"/>
            <w:vAlign w:val="bottom"/>
          </w:tcPr>
          <w:p w14:paraId="2EBAA18A"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Bankalar Mevduatı</w:t>
            </w:r>
          </w:p>
        </w:tc>
        <w:tc>
          <w:tcPr>
            <w:tcW w:w="463" w:type="pct"/>
            <w:shd w:val="clear" w:color="auto" w:fill="auto"/>
            <w:vAlign w:val="bottom"/>
          </w:tcPr>
          <w:p w14:paraId="48D4002D" w14:textId="46BE5A22"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945.915</w:t>
            </w:r>
          </w:p>
        </w:tc>
        <w:tc>
          <w:tcPr>
            <w:tcW w:w="502" w:type="pct"/>
            <w:shd w:val="clear" w:color="auto" w:fill="auto"/>
            <w:vAlign w:val="bottom"/>
          </w:tcPr>
          <w:p w14:paraId="08179E69" w14:textId="5B04009C"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2.679.306</w:t>
            </w:r>
          </w:p>
        </w:tc>
        <w:tc>
          <w:tcPr>
            <w:tcW w:w="502" w:type="pct"/>
            <w:shd w:val="clear" w:color="auto" w:fill="auto"/>
            <w:vAlign w:val="bottom"/>
          </w:tcPr>
          <w:p w14:paraId="0D24D061" w14:textId="462875CD"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770.573</w:t>
            </w:r>
          </w:p>
        </w:tc>
        <w:tc>
          <w:tcPr>
            <w:tcW w:w="502" w:type="pct"/>
            <w:shd w:val="clear" w:color="auto" w:fill="auto"/>
            <w:vAlign w:val="bottom"/>
          </w:tcPr>
          <w:p w14:paraId="585ACF7C" w14:textId="0EE63EF3"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2.070.076</w:t>
            </w:r>
          </w:p>
        </w:tc>
        <w:tc>
          <w:tcPr>
            <w:tcW w:w="463" w:type="pct"/>
            <w:shd w:val="clear" w:color="auto" w:fill="auto"/>
            <w:vAlign w:val="bottom"/>
          </w:tcPr>
          <w:p w14:paraId="2ED6B55E" w14:textId="1E876CEB"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7DF8B182" w14:textId="230A3A5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1" w:type="pct"/>
            <w:shd w:val="clear" w:color="auto" w:fill="auto"/>
            <w:vAlign w:val="bottom"/>
          </w:tcPr>
          <w:p w14:paraId="48BECAAD" w14:textId="26A2A7F1"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5A7231D4" w14:textId="0B2BD11F"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6.465.870</w:t>
            </w:r>
          </w:p>
        </w:tc>
      </w:tr>
      <w:tr w:rsidR="001531F4" w:rsidRPr="00FB38E1" w14:paraId="3B57E528" w14:textId="77777777" w:rsidTr="00426146">
        <w:trPr>
          <w:trHeight w:val="20"/>
        </w:trPr>
        <w:tc>
          <w:tcPr>
            <w:tcW w:w="1078" w:type="pct"/>
            <w:shd w:val="clear" w:color="auto" w:fill="auto"/>
            <w:vAlign w:val="bottom"/>
          </w:tcPr>
          <w:p w14:paraId="7A5EE5B8"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Mevduat</w:t>
            </w:r>
          </w:p>
        </w:tc>
        <w:tc>
          <w:tcPr>
            <w:tcW w:w="463" w:type="pct"/>
            <w:shd w:val="clear" w:color="auto" w:fill="auto"/>
            <w:vAlign w:val="bottom"/>
          </w:tcPr>
          <w:p w14:paraId="259FBFC7" w14:textId="4201F82A"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176.763.950</w:t>
            </w:r>
          </w:p>
        </w:tc>
        <w:tc>
          <w:tcPr>
            <w:tcW w:w="502" w:type="pct"/>
            <w:shd w:val="clear" w:color="auto" w:fill="auto"/>
            <w:vAlign w:val="bottom"/>
          </w:tcPr>
          <w:p w14:paraId="7C8CF98D" w14:textId="53DBD70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330.335.862</w:t>
            </w:r>
          </w:p>
        </w:tc>
        <w:tc>
          <w:tcPr>
            <w:tcW w:w="502" w:type="pct"/>
            <w:shd w:val="clear" w:color="auto" w:fill="auto"/>
            <w:vAlign w:val="bottom"/>
          </w:tcPr>
          <w:p w14:paraId="474E8245" w14:textId="5E0B91E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153.936.913</w:t>
            </w:r>
          </w:p>
        </w:tc>
        <w:tc>
          <w:tcPr>
            <w:tcW w:w="502" w:type="pct"/>
            <w:shd w:val="clear" w:color="auto" w:fill="auto"/>
            <w:vAlign w:val="bottom"/>
          </w:tcPr>
          <w:p w14:paraId="29E86836" w14:textId="60B36825"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92.196.632</w:t>
            </w:r>
          </w:p>
        </w:tc>
        <w:tc>
          <w:tcPr>
            <w:tcW w:w="463" w:type="pct"/>
            <w:shd w:val="clear" w:color="auto" w:fill="auto"/>
            <w:vAlign w:val="bottom"/>
          </w:tcPr>
          <w:p w14:paraId="53F29C9C" w14:textId="0F26BA6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2.742.589</w:t>
            </w:r>
          </w:p>
        </w:tc>
        <w:tc>
          <w:tcPr>
            <w:tcW w:w="463" w:type="pct"/>
            <w:shd w:val="clear" w:color="auto" w:fill="auto"/>
            <w:vAlign w:val="bottom"/>
          </w:tcPr>
          <w:p w14:paraId="1D6EE0F8" w14:textId="061C687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1" w:type="pct"/>
            <w:shd w:val="clear" w:color="auto" w:fill="auto"/>
            <w:vAlign w:val="bottom"/>
          </w:tcPr>
          <w:p w14:paraId="41B94AD5" w14:textId="47268083"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7C78A4D1" w14:textId="24876766"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755.975.946</w:t>
            </w:r>
          </w:p>
        </w:tc>
      </w:tr>
      <w:tr w:rsidR="001531F4" w:rsidRPr="00FB38E1" w14:paraId="27D6153F" w14:textId="77777777" w:rsidTr="00426146">
        <w:trPr>
          <w:trHeight w:val="20"/>
        </w:trPr>
        <w:tc>
          <w:tcPr>
            <w:tcW w:w="1078" w:type="pct"/>
            <w:shd w:val="clear" w:color="auto" w:fill="auto"/>
            <w:vAlign w:val="bottom"/>
          </w:tcPr>
          <w:p w14:paraId="35FEF37E"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Mali Kuruluşlardan Sağlanan Fonlar</w:t>
            </w:r>
          </w:p>
        </w:tc>
        <w:tc>
          <w:tcPr>
            <w:tcW w:w="463" w:type="pct"/>
            <w:shd w:val="clear" w:color="auto" w:fill="auto"/>
            <w:vAlign w:val="bottom"/>
          </w:tcPr>
          <w:p w14:paraId="10CFF8F3" w14:textId="2140C2F7"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158E4365" w14:textId="5D4F5F4D"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15.734.017</w:t>
            </w:r>
          </w:p>
        </w:tc>
        <w:tc>
          <w:tcPr>
            <w:tcW w:w="502" w:type="pct"/>
            <w:shd w:val="clear" w:color="auto" w:fill="auto"/>
            <w:vAlign w:val="bottom"/>
          </w:tcPr>
          <w:p w14:paraId="0DBC2740" w14:textId="01F6560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20.072.191</w:t>
            </w:r>
          </w:p>
        </w:tc>
        <w:tc>
          <w:tcPr>
            <w:tcW w:w="502" w:type="pct"/>
            <w:shd w:val="clear" w:color="auto" w:fill="auto"/>
            <w:vAlign w:val="bottom"/>
          </w:tcPr>
          <w:p w14:paraId="063A8683" w14:textId="06488D6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135.024.682</w:t>
            </w:r>
          </w:p>
        </w:tc>
        <w:tc>
          <w:tcPr>
            <w:tcW w:w="463" w:type="pct"/>
            <w:shd w:val="clear" w:color="auto" w:fill="auto"/>
            <w:vAlign w:val="bottom"/>
          </w:tcPr>
          <w:p w14:paraId="0E471547" w14:textId="2D31A9E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58.687.760</w:t>
            </w:r>
          </w:p>
        </w:tc>
        <w:tc>
          <w:tcPr>
            <w:tcW w:w="463" w:type="pct"/>
            <w:shd w:val="clear" w:color="auto" w:fill="auto"/>
            <w:vAlign w:val="bottom"/>
          </w:tcPr>
          <w:p w14:paraId="5807F56C" w14:textId="4068004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12.980.026</w:t>
            </w:r>
          </w:p>
        </w:tc>
        <w:tc>
          <w:tcPr>
            <w:tcW w:w="511" w:type="pct"/>
            <w:shd w:val="clear" w:color="auto" w:fill="auto"/>
            <w:vAlign w:val="bottom"/>
          </w:tcPr>
          <w:p w14:paraId="445F05A7" w14:textId="6B562543"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0C68B435" w14:textId="49982205"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242.498.676</w:t>
            </w:r>
          </w:p>
        </w:tc>
      </w:tr>
      <w:tr w:rsidR="001531F4" w:rsidRPr="00FB38E1" w14:paraId="5D09F65F" w14:textId="77777777" w:rsidTr="00426146">
        <w:trPr>
          <w:trHeight w:val="20"/>
        </w:trPr>
        <w:tc>
          <w:tcPr>
            <w:tcW w:w="1078" w:type="pct"/>
            <w:shd w:val="clear" w:color="auto" w:fill="auto"/>
            <w:vAlign w:val="bottom"/>
          </w:tcPr>
          <w:p w14:paraId="5AF9CA02"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Piyasalarına Borçlar</w:t>
            </w:r>
          </w:p>
        </w:tc>
        <w:tc>
          <w:tcPr>
            <w:tcW w:w="463" w:type="pct"/>
            <w:shd w:val="clear" w:color="auto" w:fill="auto"/>
            <w:vAlign w:val="bottom"/>
          </w:tcPr>
          <w:p w14:paraId="3BC78A70" w14:textId="002130E8"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7116D11D" w14:textId="5E053B38"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33.600.669</w:t>
            </w:r>
          </w:p>
        </w:tc>
        <w:tc>
          <w:tcPr>
            <w:tcW w:w="502" w:type="pct"/>
            <w:shd w:val="clear" w:color="auto" w:fill="auto"/>
            <w:vAlign w:val="bottom"/>
          </w:tcPr>
          <w:p w14:paraId="13612AFE" w14:textId="4DC648F1"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463.532</w:t>
            </w:r>
          </w:p>
        </w:tc>
        <w:tc>
          <w:tcPr>
            <w:tcW w:w="502" w:type="pct"/>
            <w:shd w:val="clear" w:color="auto" w:fill="auto"/>
            <w:vAlign w:val="bottom"/>
          </w:tcPr>
          <w:p w14:paraId="11BB03A8" w14:textId="6E6E5997"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753.377</w:t>
            </w:r>
          </w:p>
        </w:tc>
        <w:tc>
          <w:tcPr>
            <w:tcW w:w="463" w:type="pct"/>
            <w:shd w:val="clear" w:color="auto" w:fill="auto"/>
            <w:vAlign w:val="bottom"/>
          </w:tcPr>
          <w:p w14:paraId="4E87EC0B" w14:textId="389DAE48"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4F773BAF" w14:textId="24AC1865"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1" w:type="pct"/>
            <w:shd w:val="clear" w:color="auto" w:fill="auto"/>
            <w:vAlign w:val="bottom"/>
          </w:tcPr>
          <w:p w14:paraId="2C3992AD" w14:textId="5C009D4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37BCB21E" w14:textId="310D966E"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34.817.578</w:t>
            </w:r>
          </w:p>
        </w:tc>
      </w:tr>
      <w:tr w:rsidR="001531F4" w:rsidRPr="00FB38E1" w14:paraId="40F27667" w14:textId="77777777" w:rsidTr="00426146">
        <w:trPr>
          <w:trHeight w:val="20"/>
        </w:trPr>
        <w:tc>
          <w:tcPr>
            <w:tcW w:w="1078" w:type="pct"/>
            <w:shd w:val="clear" w:color="auto" w:fill="auto"/>
            <w:vAlign w:val="bottom"/>
          </w:tcPr>
          <w:p w14:paraId="623D93AB"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İhraç Edilen Menkul Değerler</w:t>
            </w:r>
          </w:p>
        </w:tc>
        <w:tc>
          <w:tcPr>
            <w:tcW w:w="463" w:type="pct"/>
            <w:shd w:val="clear" w:color="auto" w:fill="auto"/>
            <w:vAlign w:val="bottom"/>
          </w:tcPr>
          <w:p w14:paraId="6F56FC4E" w14:textId="03E30BD0"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771A3FD5" w14:textId="2575FABC"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3.737.511</w:t>
            </w:r>
          </w:p>
        </w:tc>
        <w:tc>
          <w:tcPr>
            <w:tcW w:w="502" w:type="pct"/>
            <w:shd w:val="clear" w:color="auto" w:fill="auto"/>
            <w:vAlign w:val="bottom"/>
          </w:tcPr>
          <w:p w14:paraId="450FC630" w14:textId="431D428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13.364.995</w:t>
            </w:r>
          </w:p>
        </w:tc>
        <w:tc>
          <w:tcPr>
            <w:tcW w:w="502" w:type="pct"/>
            <w:shd w:val="clear" w:color="auto" w:fill="auto"/>
            <w:vAlign w:val="bottom"/>
          </w:tcPr>
          <w:p w14:paraId="09330A5D" w14:textId="0DD02F87"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32.621.898</w:t>
            </w:r>
          </w:p>
        </w:tc>
        <w:tc>
          <w:tcPr>
            <w:tcW w:w="463" w:type="pct"/>
            <w:shd w:val="clear" w:color="auto" w:fill="auto"/>
            <w:vAlign w:val="bottom"/>
          </w:tcPr>
          <w:p w14:paraId="06214CFB" w14:textId="5EECE3F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4.436.521</w:t>
            </w:r>
          </w:p>
        </w:tc>
        <w:tc>
          <w:tcPr>
            <w:tcW w:w="463" w:type="pct"/>
            <w:shd w:val="clear" w:color="auto" w:fill="auto"/>
            <w:vAlign w:val="bottom"/>
          </w:tcPr>
          <w:p w14:paraId="4692FFB1" w14:textId="125A1BF7"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1" w:type="pct"/>
            <w:shd w:val="clear" w:color="auto" w:fill="auto"/>
            <w:vAlign w:val="bottom"/>
          </w:tcPr>
          <w:p w14:paraId="10680039" w14:textId="71866AB7"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00DD32CC" w14:textId="73C0DE73"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54.160.925</w:t>
            </w:r>
          </w:p>
        </w:tc>
      </w:tr>
      <w:tr w:rsidR="001531F4" w:rsidRPr="00FB38E1" w14:paraId="19D46BFE" w14:textId="77777777" w:rsidTr="00426146">
        <w:trPr>
          <w:trHeight w:val="20"/>
        </w:trPr>
        <w:tc>
          <w:tcPr>
            <w:tcW w:w="1078" w:type="pct"/>
            <w:shd w:val="clear" w:color="auto" w:fill="auto"/>
            <w:vAlign w:val="bottom"/>
          </w:tcPr>
          <w:p w14:paraId="30B53366"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Muhtelif Borçlar</w:t>
            </w:r>
          </w:p>
        </w:tc>
        <w:tc>
          <w:tcPr>
            <w:tcW w:w="463" w:type="pct"/>
            <w:shd w:val="clear" w:color="auto" w:fill="auto"/>
            <w:vAlign w:val="bottom"/>
          </w:tcPr>
          <w:p w14:paraId="3281972A" w14:textId="11231579"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3090E832" w14:textId="1211CE6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42289A02" w14:textId="59146B87"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2AA92262" w14:textId="3A6DFD0A"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3598D368" w14:textId="6576C73C"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3" w:type="pct"/>
            <w:shd w:val="clear" w:color="auto" w:fill="auto"/>
            <w:vAlign w:val="bottom"/>
          </w:tcPr>
          <w:p w14:paraId="42F31366" w14:textId="05A707D2"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1" w:type="pct"/>
            <w:shd w:val="clear" w:color="auto" w:fill="auto"/>
            <w:vAlign w:val="bottom"/>
          </w:tcPr>
          <w:p w14:paraId="023C0900" w14:textId="00CD9B8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5431E96A" w14:textId="10BE3990"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1531F4" w:rsidRPr="00FB38E1" w14:paraId="33250852" w14:textId="77777777" w:rsidTr="00426146">
        <w:trPr>
          <w:trHeight w:val="20"/>
        </w:trPr>
        <w:tc>
          <w:tcPr>
            <w:tcW w:w="1078" w:type="pct"/>
            <w:tcBorders>
              <w:bottom w:val="single" w:sz="4" w:space="0" w:color="auto"/>
            </w:tcBorders>
            <w:shd w:val="clear" w:color="auto" w:fill="auto"/>
            <w:vAlign w:val="bottom"/>
          </w:tcPr>
          <w:p w14:paraId="053FA9A6" w14:textId="77777777" w:rsidR="001531F4" w:rsidRPr="00FB38E1" w:rsidRDefault="001531F4" w:rsidP="001531F4">
            <w:pPr>
              <w:ind w:left="85"/>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Yükümlülükler</w:t>
            </w:r>
          </w:p>
        </w:tc>
        <w:tc>
          <w:tcPr>
            <w:tcW w:w="463" w:type="pct"/>
            <w:tcBorders>
              <w:bottom w:val="single" w:sz="4" w:space="0" w:color="auto"/>
            </w:tcBorders>
            <w:shd w:val="clear" w:color="auto" w:fill="auto"/>
            <w:vAlign w:val="bottom"/>
          </w:tcPr>
          <w:p w14:paraId="765BE585" w14:textId="425A10F3"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91.943.097</w:t>
            </w:r>
          </w:p>
        </w:tc>
        <w:tc>
          <w:tcPr>
            <w:tcW w:w="502" w:type="pct"/>
            <w:tcBorders>
              <w:bottom w:val="single" w:sz="4" w:space="0" w:color="auto"/>
            </w:tcBorders>
            <w:shd w:val="clear" w:color="auto" w:fill="auto"/>
            <w:vAlign w:val="bottom"/>
          </w:tcPr>
          <w:p w14:paraId="3E812391" w14:textId="4A13A7B0"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7.466.050</w:t>
            </w:r>
          </w:p>
        </w:tc>
        <w:tc>
          <w:tcPr>
            <w:tcW w:w="502" w:type="pct"/>
            <w:tcBorders>
              <w:bottom w:val="single" w:sz="4" w:space="0" w:color="auto"/>
            </w:tcBorders>
            <w:shd w:val="clear" w:color="auto" w:fill="auto"/>
            <w:vAlign w:val="bottom"/>
          </w:tcPr>
          <w:p w14:paraId="7B3E3C14" w14:textId="476AF3E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3.832.253</w:t>
            </w:r>
          </w:p>
        </w:tc>
        <w:tc>
          <w:tcPr>
            <w:tcW w:w="502" w:type="pct"/>
            <w:tcBorders>
              <w:bottom w:val="single" w:sz="4" w:space="0" w:color="auto"/>
            </w:tcBorders>
            <w:shd w:val="clear" w:color="auto" w:fill="auto"/>
            <w:vAlign w:val="bottom"/>
          </w:tcPr>
          <w:p w14:paraId="1D93B345" w14:textId="6E8F595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17.258.328</w:t>
            </w:r>
          </w:p>
        </w:tc>
        <w:tc>
          <w:tcPr>
            <w:tcW w:w="463" w:type="pct"/>
            <w:tcBorders>
              <w:bottom w:val="single" w:sz="4" w:space="0" w:color="auto"/>
            </w:tcBorders>
            <w:shd w:val="clear" w:color="auto" w:fill="auto"/>
            <w:vAlign w:val="bottom"/>
          </w:tcPr>
          <w:p w14:paraId="4651160A" w14:textId="49E8845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443.126</w:t>
            </w:r>
          </w:p>
        </w:tc>
        <w:tc>
          <w:tcPr>
            <w:tcW w:w="463" w:type="pct"/>
            <w:tcBorders>
              <w:bottom w:val="single" w:sz="4" w:space="0" w:color="auto"/>
            </w:tcBorders>
            <w:shd w:val="clear" w:color="auto" w:fill="auto"/>
            <w:vAlign w:val="bottom"/>
          </w:tcPr>
          <w:p w14:paraId="2FC74B69" w14:textId="1F681ED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484.779</w:t>
            </w:r>
          </w:p>
        </w:tc>
        <w:tc>
          <w:tcPr>
            <w:tcW w:w="511" w:type="pct"/>
            <w:tcBorders>
              <w:bottom w:val="single" w:sz="4" w:space="0" w:color="auto"/>
            </w:tcBorders>
            <w:shd w:val="clear" w:color="auto" w:fill="auto"/>
            <w:vAlign w:val="bottom"/>
          </w:tcPr>
          <w:p w14:paraId="0BA4C374" w14:textId="74D40E0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155.274.404</w:t>
            </w:r>
          </w:p>
        </w:tc>
        <w:tc>
          <w:tcPr>
            <w:tcW w:w="514" w:type="pct"/>
            <w:tcBorders>
              <w:bottom w:val="single" w:sz="4" w:space="0" w:color="auto"/>
            </w:tcBorders>
            <w:shd w:val="clear" w:color="auto" w:fill="auto"/>
            <w:vAlign w:val="bottom"/>
          </w:tcPr>
          <w:p w14:paraId="4AEAF77B" w14:textId="6C9E9AAC"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276.702.037</w:t>
            </w:r>
          </w:p>
        </w:tc>
      </w:tr>
      <w:tr w:rsidR="001531F4" w:rsidRPr="00FB38E1" w14:paraId="27930F10" w14:textId="77777777" w:rsidTr="00426146">
        <w:trPr>
          <w:trHeight w:val="20"/>
        </w:trPr>
        <w:tc>
          <w:tcPr>
            <w:tcW w:w="1078" w:type="pct"/>
            <w:tcBorders>
              <w:top w:val="single" w:sz="4" w:space="0" w:color="auto"/>
              <w:bottom w:val="single" w:sz="4" w:space="0" w:color="auto"/>
            </w:tcBorders>
            <w:shd w:val="clear" w:color="auto" w:fill="auto"/>
            <w:vAlign w:val="bottom"/>
          </w:tcPr>
          <w:p w14:paraId="2EBCF513" w14:textId="77777777" w:rsidR="001531F4" w:rsidRPr="00FB38E1" w:rsidRDefault="001531F4" w:rsidP="001531F4">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 Yükümlülükler</w:t>
            </w:r>
          </w:p>
        </w:tc>
        <w:tc>
          <w:tcPr>
            <w:tcW w:w="463" w:type="pct"/>
            <w:tcBorders>
              <w:top w:val="single" w:sz="4" w:space="0" w:color="auto"/>
              <w:bottom w:val="single" w:sz="4" w:space="0" w:color="auto"/>
            </w:tcBorders>
            <w:shd w:val="clear" w:color="auto" w:fill="auto"/>
            <w:vAlign w:val="bottom"/>
          </w:tcPr>
          <w:p w14:paraId="2212B817" w14:textId="1A41E12F"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269.652.962</w:t>
            </w:r>
          </w:p>
        </w:tc>
        <w:tc>
          <w:tcPr>
            <w:tcW w:w="502" w:type="pct"/>
            <w:tcBorders>
              <w:top w:val="single" w:sz="4" w:space="0" w:color="auto"/>
              <w:bottom w:val="single" w:sz="4" w:space="0" w:color="auto"/>
            </w:tcBorders>
            <w:shd w:val="clear" w:color="auto" w:fill="auto"/>
            <w:vAlign w:val="bottom"/>
          </w:tcPr>
          <w:p w14:paraId="432D0A32" w14:textId="32182FAE"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393.553.415</w:t>
            </w:r>
          </w:p>
        </w:tc>
        <w:tc>
          <w:tcPr>
            <w:tcW w:w="502" w:type="pct"/>
            <w:tcBorders>
              <w:top w:val="single" w:sz="4" w:space="0" w:color="auto"/>
              <w:bottom w:val="single" w:sz="4" w:space="0" w:color="auto"/>
            </w:tcBorders>
            <w:shd w:val="clear" w:color="auto" w:fill="auto"/>
            <w:vAlign w:val="bottom"/>
          </w:tcPr>
          <w:p w14:paraId="31ECF0B7" w14:textId="4857B4E3"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192.440.457</w:t>
            </w:r>
          </w:p>
        </w:tc>
        <w:tc>
          <w:tcPr>
            <w:tcW w:w="502" w:type="pct"/>
            <w:tcBorders>
              <w:top w:val="single" w:sz="4" w:space="0" w:color="auto"/>
              <w:bottom w:val="single" w:sz="4" w:space="0" w:color="auto"/>
            </w:tcBorders>
            <w:shd w:val="clear" w:color="auto" w:fill="auto"/>
            <w:vAlign w:val="bottom"/>
          </w:tcPr>
          <w:p w14:paraId="69DB5A12" w14:textId="731252AE"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279.924.993</w:t>
            </w:r>
          </w:p>
        </w:tc>
        <w:tc>
          <w:tcPr>
            <w:tcW w:w="463" w:type="pct"/>
            <w:tcBorders>
              <w:top w:val="single" w:sz="4" w:space="0" w:color="auto"/>
              <w:bottom w:val="single" w:sz="4" w:space="0" w:color="auto"/>
            </w:tcBorders>
            <w:shd w:val="clear" w:color="auto" w:fill="auto"/>
            <w:vAlign w:val="bottom"/>
          </w:tcPr>
          <w:p w14:paraId="1F1B4A38" w14:textId="269F96BF"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66.309.996</w:t>
            </w:r>
          </w:p>
        </w:tc>
        <w:tc>
          <w:tcPr>
            <w:tcW w:w="463" w:type="pct"/>
            <w:tcBorders>
              <w:top w:val="single" w:sz="4" w:space="0" w:color="auto"/>
              <w:bottom w:val="single" w:sz="4" w:space="0" w:color="auto"/>
            </w:tcBorders>
            <w:shd w:val="clear" w:color="auto" w:fill="auto"/>
            <w:vAlign w:val="bottom"/>
          </w:tcPr>
          <w:p w14:paraId="74FB0C79" w14:textId="3C4F2D7C"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13.464.805</w:t>
            </w:r>
          </w:p>
        </w:tc>
        <w:tc>
          <w:tcPr>
            <w:tcW w:w="511" w:type="pct"/>
            <w:tcBorders>
              <w:top w:val="single" w:sz="4" w:space="0" w:color="auto"/>
              <w:bottom w:val="single" w:sz="4" w:space="0" w:color="auto"/>
            </w:tcBorders>
            <w:shd w:val="clear" w:color="auto" w:fill="auto"/>
            <w:vAlign w:val="bottom"/>
          </w:tcPr>
          <w:p w14:paraId="5E1A7EC2" w14:textId="7B2A9015"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155.274.404</w:t>
            </w:r>
          </w:p>
        </w:tc>
        <w:tc>
          <w:tcPr>
            <w:tcW w:w="514" w:type="pct"/>
            <w:tcBorders>
              <w:top w:val="single" w:sz="4" w:space="0" w:color="auto"/>
              <w:bottom w:val="single" w:sz="4" w:space="0" w:color="auto"/>
            </w:tcBorders>
            <w:shd w:val="clear" w:color="auto" w:fill="auto"/>
            <w:vAlign w:val="bottom"/>
          </w:tcPr>
          <w:p w14:paraId="397DBB9B" w14:textId="6D824044"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1.370.621.032</w:t>
            </w:r>
          </w:p>
        </w:tc>
      </w:tr>
      <w:tr w:rsidR="001531F4" w:rsidRPr="00FB38E1" w14:paraId="0560EF67" w14:textId="77777777" w:rsidTr="00426146">
        <w:trPr>
          <w:trHeight w:val="20"/>
        </w:trPr>
        <w:tc>
          <w:tcPr>
            <w:tcW w:w="1078" w:type="pct"/>
            <w:tcBorders>
              <w:top w:val="single" w:sz="4" w:space="0" w:color="auto"/>
              <w:bottom w:val="single" w:sz="4" w:space="0" w:color="auto"/>
            </w:tcBorders>
            <w:shd w:val="clear" w:color="auto" w:fill="auto"/>
            <w:vAlign w:val="bottom"/>
          </w:tcPr>
          <w:p w14:paraId="4FB5A5EA" w14:textId="77777777" w:rsidR="001531F4" w:rsidRPr="00FB38E1" w:rsidRDefault="001531F4" w:rsidP="001531F4">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Likidite Açığı</w:t>
            </w:r>
          </w:p>
        </w:tc>
        <w:tc>
          <w:tcPr>
            <w:tcW w:w="463" w:type="pct"/>
            <w:tcBorders>
              <w:top w:val="single" w:sz="4" w:space="0" w:color="auto"/>
              <w:bottom w:val="single" w:sz="4" w:space="0" w:color="auto"/>
            </w:tcBorders>
            <w:shd w:val="clear" w:color="auto" w:fill="auto"/>
            <w:vAlign w:val="bottom"/>
          </w:tcPr>
          <w:p w14:paraId="06AAD854" w14:textId="64D96DF5"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21.978.536</w:t>
            </w:r>
          </w:p>
        </w:tc>
        <w:tc>
          <w:tcPr>
            <w:tcW w:w="502" w:type="pct"/>
            <w:tcBorders>
              <w:top w:val="single" w:sz="4" w:space="0" w:color="auto"/>
              <w:bottom w:val="single" w:sz="4" w:space="0" w:color="auto"/>
            </w:tcBorders>
            <w:shd w:val="clear" w:color="auto" w:fill="auto"/>
            <w:vAlign w:val="bottom"/>
          </w:tcPr>
          <w:p w14:paraId="6339CB95" w14:textId="29E27E47"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(172.616.767)</w:t>
            </w:r>
          </w:p>
        </w:tc>
        <w:tc>
          <w:tcPr>
            <w:tcW w:w="502" w:type="pct"/>
            <w:tcBorders>
              <w:top w:val="single" w:sz="4" w:space="0" w:color="auto"/>
              <w:bottom w:val="single" w:sz="4" w:space="0" w:color="auto"/>
            </w:tcBorders>
            <w:shd w:val="clear" w:color="auto" w:fill="auto"/>
            <w:vAlign w:val="bottom"/>
          </w:tcPr>
          <w:p w14:paraId="3B43EE64" w14:textId="0B869850"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34.354.729</w:t>
            </w:r>
          </w:p>
        </w:tc>
        <w:tc>
          <w:tcPr>
            <w:tcW w:w="502" w:type="pct"/>
            <w:tcBorders>
              <w:top w:val="single" w:sz="4" w:space="0" w:color="auto"/>
              <w:bottom w:val="single" w:sz="4" w:space="0" w:color="auto"/>
            </w:tcBorders>
            <w:shd w:val="clear" w:color="auto" w:fill="auto"/>
            <w:vAlign w:val="bottom"/>
          </w:tcPr>
          <w:p w14:paraId="381D554F" w14:textId="00AF53E7"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(104.763.995)</w:t>
            </w:r>
          </w:p>
        </w:tc>
        <w:tc>
          <w:tcPr>
            <w:tcW w:w="463" w:type="pct"/>
            <w:tcBorders>
              <w:top w:val="single" w:sz="4" w:space="0" w:color="auto"/>
              <w:bottom w:val="single" w:sz="4" w:space="0" w:color="auto"/>
            </w:tcBorders>
            <w:shd w:val="clear" w:color="auto" w:fill="auto"/>
            <w:vAlign w:val="bottom"/>
          </w:tcPr>
          <w:p w14:paraId="585E8F84" w14:textId="6846A561"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145.459.976</w:t>
            </w:r>
          </w:p>
        </w:tc>
        <w:tc>
          <w:tcPr>
            <w:tcW w:w="463" w:type="pct"/>
            <w:tcBorders>
              <w:top w:val="single" w:sz="4" w:space="0" w:color="auto"/>
              <w:bottom w:val="single" w:sz="4" w:space="0" w:color="auto"/>
            </w:tcBorders>
            <w:shd w:val="clear" w:color="auto" w:fill="auto"/>
            <w:vAlign w:val="bottom"/>
          </w:tcPr>
          <w:p w14:paraId="3EB4904C" w14:textId="15092F97"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110.382.582</w:t>
            </w:r>
          </w:p>
        </w:tc>
        <w:tc>
          <w:tcPr>
            <w:tcW w:w="511" w:type="pct"/>
            <w:tcBorders>
              <w:top w:val="single" w:sz="4" w:space="0" w:color="auto"/>
              <w:bottom w:val="single" w:sz="4" w:space="0" w:color="auto"/>
            </w:tcBorders>
            <w:shd w:val="clear" w:color="auto" w:fill="auto"/>
            <w:vAlign w:val="bottom"/>
          </w:tcPr>
          <w:p w14:paraId="3010892E" w14:textId="14A82EB7"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(34.795.061)</w:t>
            </w:r>
          </w:p>
        </w:tc>
        <w:tc>
          <w:tcPr>
            <w:tcW w:w="514" w:type="pct"/>
            <w:tcBorders>
              <w:top w:val="single" w:sz="4" w:space="0" w:color="auto"/>
              <w:bottom w:val="single" w:sz="4" w:space="0" w:color="auto"/>
            </w:tcBorders>
            <w:shd w:val="clear" w:color="auto" w:fill="auto"/>
            <w:vAlign w:val="bottom"/>
          </w:tcPr>
          <w:p w14:paraId="056B6DD3" w14:textId="6AEFB5DC"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1531F4" w:rsidRPr="00FB38E1" w14:paraId="13BA3992" w14:textId="77777777" w:rsidTr="00426146">
        <w:trPr>
          <w:trHeight w:val="20"/>
        </w:trPr>
        <w:tc>
          <w:tcPr>
            <w:tcW w:w="1078" w:type="pct"/>
            <w:tcBorders>
              <w:top w:val="single" w:sz="4" w:space="0" w:color="auto"/>
            </w:tcBorders>
            <w:shd w:val="clear" w:color="auto" w:fill="auto"/>
            <w:vAlign w:val="bottom"/>
          </w:tcPr>
          <w:p w14:paraId="72CCFB49" w14:textId="77777777" w:rsidR="001531F4" w:rsidRPr="00FB38E1" w:rsidRDefault="001531F4" w:rsidP="001531F4">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Net Bilanço dışı pozisyonu</w:t>
            </w:r>
          </w:p>
        </w:tc>
        <w:tc>
          <w:tcPr>
            <w:tcW w:w="463" w:type="pct"/>
            <w:tcBorders>
              <w:top w:val="single" w:sz="4" w:space="0" w:color="auto"/>
            </w:tcBorders>
            <w:shd w:val="clear" w:color="auto" w:fill="auto"/>
            <w:vAlign w:val="bottom"/>
          </w:tcPr>
          <w:p w14:paraId="3CD11A8D" w14:textId="5762EC31"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02" w:type="pct"/>
            <w:tcBorders>
              <w:top w:val="single" w:sz="4" w:space="0" w:color="auto"/>
            </w:tcBorders>
            <w:shd w:val="clear" w:color="auto" w:fill="auto"/>
            <w:vAlign w:val="bottom"/>
          </w:tcPr>
          <w:p w14:paraId="3CF476F4" w14:textId="1167A1D8"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1.961.442</w:t>
            </w:r>
          </w:p>
        </w:tc>
        <w:tc>
          <w:tcPr>
            <w:tcW w:w="502" w:type="pct"/>
            <w:tcBorders>
              <w:top w:val="single" w:sz="4" w:space="0" w:color="auto"/>
            </w:tcBorders>
            <w:shd w:val="clear" w:color="auto" w:fill="auto"/>
            <w:vAlign w:val="bottom"/>
          </w:tcPr>
          <w:p w14:paraId="09843F6B" w14:textId="7692C89C"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952.734</w:t>
            </w:r>
          </w:p>
        </w:tc>
        <w:tc>
          <w:tcPr>
            <w:tcW w:w="502" w:type="pct"/>
            <w:tcBorders>
              <w:top w:val="single" w:sz="4" w:space="0" w:color="auto"/>
            </w:tcBorders>
            <w:shd w:val="clear" w:color="auto" w:fill="auto"/>
            <w:vAlign w:val="bottom"/>
          </w:tcPr>
          <w:p w14:paraId="31819801" w14:textId="09C64AFE"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547.740</w:t>
            </w:r>
          </w:p>
        </w:tc>
        <w:tc>
          <w:tcPr>
            <w:tcW w:w="463" w:type="pct"/>
            <w:tcBorders>
              <w:top w:val="single" w:sz="4" w:space="0" w:color="auto"/>
            </w:tcBorders>
            <w:shd w:val="clear" w:color="auto" w:fill="auto"/>
            <w:vAlign w:val="bottom"/>
          </w:tcPr>
          <w:p w14:paraId="53B137AD" w14:textId="4FE0E5C3"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1.336</w:t>
            </w:r>
          </w:p>
        </w:tc>
        <w:tc>
          <w:tcPr>
            <w:tcW w:w="463" w:type="pct"/>
            <w:tcBorders>
              <w:top w:val="single" w:sz="4" w:space="0" w:color="auto"/>
            </w:tcBorders>
            <w:shd w:val="clear" w:color="auto" w:fill="auto"/>
            <w:vAlign w:val="bottom"/>
          </w:tcPr>
          <w:p w14:paraId="50B1D578" w14:textId="65D30F21"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11" w:type="pct"/>
            <w:tcBorders>
              <w:top w:val="single" w:sz="4" w:space="0" w:color="auto"/>
            </w:tcBorders>
            <w:shd w:val="clear" w:color="auto" w:fill="auto"/>
            <w:vAlign w:val="bottom"/>
          </w:tcPr>
          <w:p w14:paraId="51572C77" w14:textId="0B63D31F"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14" w:type="pct"/>
            <w:tcBorders>
              <w:top w:val="single" w:sz="4" w:space="0" w:color="auto"/>
            </w:tcBorders>
            <w:shd w:val="clear" w:color="auto" w:fill="auto"/>
            <w:vAlign w:val="bottom"/>
          </w:tcPr>
          <w:p w14:paraId="1851C333" w14:textId="6D2789AE"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3.463.252</w:t>
            </w:r>
          </w:p>
        </w:tc>
      </w:tr>
      <w:tr w:rsidR="001531F4" w:rsidRPr="00FB38E1" w14:paraId="6C1CEB42" w14:textId="77777777" w:rsidTr="00426146">
        <w:trPr>
          <w:trHeight w:val="20"/>
        </w:trPr>
        <w:tc>
          <w:tcPr>
            <w:tcW w:w="1078" w:type="pct"/>
            <w:shd w:val="clear" w:color="auto" w:fill="auto"/>
            <w:vAlign w:val="bottom"/>
          </w:tcPr>
          <w:p w14:paraId="6A3F58CC" w14:textId="77777777" w:rsidR="001531F4" w:rsidRPr="00FB38E1" w:rsidRDefault="001531F4" w:rsidP="001531F4">
            <w:pPr>
              <w:ind w:left="142"/>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finansal araçlardan alacaklar</w:t>
            </w:r>
          </w:p>
        </w:tc>
        <w:tc>
          <w:tcPr>
            <w:tcW w:w="463" w:type="pct"/>
            <w:shd w:val="clear" w:color="auto" w:fill="auto"/>
            <w:vAlign w:val="bottom"/>
          </w:tcPr>
          <w:p w14:paraId="1B3E843F" w14:textId="02F9265A"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48641B36" w14:textId="114C4C48"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171.702.179</w:t>
            </w:r>
          </w:p>
        </w:tc>
        <w:tc>
          <w:tcPr>
            <w:tcW w:w="502" w:type="pct"/>
            <w:shd w:val="clear" w:color="auto" w:fill="auto"/>
            <w:vAlign w:val="bottom"/>
          </w:tcPr>
          <w:p w14:paraId="4374B48B" w14:textId="7B1DB79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91.112.522</w:t>
            </w:r>
          </w:p>
        </w:tc>
        <w:tc>
          <w:tcPr>
            <w:tcW w:w="502" w:type="pct"/>
            <w:shd w:val="clear" w:color="auto" w:fill="auto"/>
            <w:vAlign w:val="bottom"/>
          </w:tcPr>
          <w:p w14:paraId="6F3F0EBC" w14:textId="6E85F055"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36.178.201</w:t>
            </w:r>
          </w:p>
        </w:tc>
        <w:tc>
          <w:tcPr>
            <w:tcW w:w="463" w:type="pct"/>
            <w:shd w:val="clear" w:color="auto" w:fill="auto"/>
            <w:vAlign w:val="bottom"/>
          </w:tcPr>
          <w:p w14:paraId="6125451F" w14:textId="0E98E5DE"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62.872.210</w:t>
            </w:r>
          </w:p>
        </w:tc>
        <w:tc>
          <w:tcPr>
            <w:tcW w:w="463" w:type="pct"/>
            <w:shd w:val="clear" w:color="auto" w:fill="auto"/>
            <w:vAlign w:val="bottom"/>
          </w:tcPr>
          <w:p w14:paraId="6DD995CB" w14:textId="2A756E7B"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22.391.771</w:t>
            </w:r>
          </w:p>
        </w:tc>
        <w:tc>
          <w:tcPr>
            <w:tcW w:w="511" w:type="pct"/>
            <w:shd w:val="clear" w:color="auto" w:fill="auto"/>
            <w:vAlign w:val="bottom"/>
          </w:tcPr>
          <w:p w14:paraId="4F547D4A" w14:textId="455B57A1"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77575320" w14:textId="74D99C89"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384.256.883</w:t>
            </w:r>
          </w:p>
        </w:tc>
      </w:tr>
      <w:tr w:rsidR="001531F4" w:rsidRPr="00FB38E1" w14:paraId="51B480EB" w14:textId="77777777" w:rsidTr="00426146">
        <w:trPr>
          <w:trHeight w:val="20"/>
        </w:trPr>
        <w:tc>
          <w:tcPr>
            <w:tcW w:w="1078" w:type="pct"/>
            <w:shd w:val="clear" w:color="auto" w:fill="auto"/>
            <w:vAlign w:val="bottom"/>
          </w:tcPr>
          <w:p w14:paraId="2C7A2DE7" w14:textId="77777777" w:rsidR="001531F4" w:rsidRPr="00FB38E1" w:rsidRDefault="001531F4" w:rsidP="001531F4">
            <w:pPr>
              <w:ind w:left="142"/>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finansal araçlardan borçlar</w:t>
            </w:r>
          </w:p>
        </w:tc>
        <w:tc>
          <w:tcPr>
            <w:tcW w:w="463" w:type="pct"/>
            <w:shd w:val="clear" w:color="auto" w:fill="auto"/>
            <w:vAlign w:val="bottom"/>
          </w:tcPr>
          <w:p w14:paraId="663FB22F" w14:textId="0F81C300"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34A3A8EA" w14:textId="2E9188E0"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(169.740.737)</w:t>
            </w:r>
          </w:p>
        </w:tc>
        <w:tc>
          <w:tcPr>
            <w:tcW w:w="502" w:type="pct"/>
            <w:shd w:val="clear" w:color="auto" w:fill="auto"/>
            <w:vAlign w:val="bottom"/>
          </w:tcPr>
          <w:p w14:paraId="0593EBCF" w14:textId="1CD06312"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(90.159.788)</w:t>
            </w:r>
          </w:p>
        </w:tc>
        <w:tc>
          <w:tcPr>
            <w:tcW w:w="502" w:type="pct"/>
            <w:shd w:val="clear" w:color="auto" w:fill="auto"/>
            <w:vAlign w:val="bottom"/>
          </w:tcPr>
          <w:p w14:paraId="16CA0CAA" w14:textId="50B8CEDA"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(35.630.461)</w:t>
            </w:r>
          </w:p>
        </w:tc>
        <w:tc>
          <w:tcPr>
            <w:tcW w:w="463" w:type="pct"/>
            <w:shd w:val="clear" w:color="auto" w:fill="auto"/>
            <w:vAlign w:val="bottom"/>
          </w:tcPr>
          <w:p w14:paraId="60548C87" w14:textId="113EF350"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(62.870.874)</w:t>
            </w:r>
          </w:p>
        </w:tc>
        <w:tc>
          <w:tcPr>
            <w:tcW w:w="463" w:type="pct"/>
            <w:shd w:val="clear" w:color="auto" w:fill="auto"/>
            <w:vAlign w:val="bottom"/>
          </w:tcPr>
          <w:p w14:paraId="26A00EC8" w14:textId="60AC27FD"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(22.391.771)</w:t>
            </w:r>
          </w:p>
        </w:tc>
        <w:tc>
          <w:tcPr>
            <w:tcW w:w="511" w:type="pct"/>
            <w:shd w:val="clear" w:color="auto" w:fill="auto"/>
            <w:vAlign w:val="bottom"/>
          </w:tcPr>
          <w:p w14:paraId="6563CC2C" w14:textId="0466A87B"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409C92B2" w14:textId="7116C4FB"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(380.793.631)</w:t>
            </w:r>
          </w:p>
        </w:tc>
      </w:tr>
      <w:tr w:rsidR="001531F4" w:rsidRPr="00FB38E1" w14:paraId="2FBEE366" w14:textId="77777777" w:rsidTr="00426146">
        <w:trPr>
          <w:trHeight w:val="20"/>
        </w:trPr>
        <w:tc>
          <w:tcPr>
            <w:tcW w:w="1078" w:type="pct"/>
            <w:shd w:val="clear" w:color="auto" w:fill="auto"/>
            <w:vAlign w:val="bottom"/>
          </w:tcPr>
          <w:p w14:paraId="14C29170" w14:textId="77777777" w:rsidR="001531F4" w:rsidRPr="00FB38E1" w:rsidRDefault="001531F4" w:rsidP="001531F4">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Gayrinakdi krediler</w:t>
            </w:r>
          </w:p>
        </w:tc>
        <w:tc>
          <w:tcPr>
            <w:tcW w:w="463" w:type="pct"/>
            <w:shd w:val="clear" w:color="auto" w:fill="auto"/>
            <w:vAlign w:val="bottom"/>
          </w:tcPr>
          <w:p w14:paraId="075235E8" w14:textId="28452DAA"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bottom"/>
          </w:tcPr>
          <w:p w14:paraId="77EAABF1" w14:textId="2782CD0D"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31.994.816</w:t>
            </w:r>
          </w:p>
        </w:tc>
        <w:tc>
          <w:tcPr>
            <w:tcW w:w="502" w:type="pct"/>
            <w:shd w:val="clear" w:color="auto" w:fill="auto"/>
            <w:vAlign w:val="bottom"/>
          </w:tcPr>
          <w:p w14:paraId="00D33244" w14:textId="7E60E2BF"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20.804.687</w:t>
            </w:r>
          </w:p>
        </w:tc>
        <w:tc>
          <w:tcPr>
            <w:tcW w:w="502" w:type="pct"/>
            <w:shd w:val="clear" w:color="auto" w:fill="auto"/>
            <w:vAlign w:val="bottom"/>
          </w:tcPr>
          <w:p w14:paraId="413C1BF7" w14:textId="29AC8315"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67.175.507</w:t>
            </w:r>
          </w:p>
        </w:tc>
        <w:tc>
          <w:tcPr>
            <w:tcW w:w="463" w:type="pct"/>
            <w:shd w:val="clear" w:color="auto" w:fill="auto"/>
            <w:vAlign w:val="bottom"/>
          </w:tcPr>
          <w:p w14:paraId="3A09B497" w14:textId="0FD6EFF2"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80.961.157</w:t>
            </w:r>
          </w:p>
        </w:tc>
        <w:tc>
          <w:tcPr>
            <w:tcW w:w="463" w:type="pct"/>
            <w:shd w:val="clear" w:color="auto" w:fill="auto"/>
            <w:vAlign w:val="bottom"/>
          </w:tcPr>
          <w:p w14:paraId="2161CC57" w14:textId="281F492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3.156.914</w:t>
            </w:r>
          </w:p>
        </w:tc>
        <w:tc>
          <w:tcPr>
            <w:tcW w:w="511" w:type="pct"/>
            <w:shd w:val="clear" w:color="auto" w:fill="auto"/>
            <w:vAlign w:val="bottom"/>
          </w:tcPr>
          <w:p w14:paraId="3FE8E405" w14:textId="062F2F14" w:rsidR="001531F4" w:rsidRPr="00FB38E1" w:rsidRDefault="001531F4" w:rsidP="001531F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6480796B" w14:textId="138479C6" w:rsidR="001531F4" w:rsidRPr="00FB38E1" w:rsidRDefault="001531F4" w:rsidP="001531F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204.093.081</w:t>
            </w:r>
          </w:p>
        </w:tc>
      </w:tr>
      <w:tr w:rsidR="00715500" w:rsidRPr="00FB38E1" w14:paraId="2A05C372" w14:textId="77777777" w:rsidTr="00426146">
        <w:trPr>
          <w:trHeight w:val="20"/>
        </w:trPr>
        <w:tc>
          <w:tcPr>
            <w:tcW w:w="1078" w:type="pct"/>
            <w:shd w:val="clear" w:color="auto" w:fill="auto"/>
            <w:vAlign w:val="bottom"/>
          </w:tcPr>
          <w:p w14:paraId="49269E9D" w14:textId="77777777" w:rsidR="00715500" w:rsidRPr="00FB38E1" w:rsidRDefault="00715500" w:rsidP="00715500">
            <w:pPr>
              <w:jc w:val="left"/>
              <w:rPr>
                <w:rFonts w:ascii="Microsoft Sans Serif" w:hAnsi="Microsoft Sans Serif" w:cs="Microsoft Sans Serif"/>
                <w:color w:val="000000"/>
                <w:sz w:val="14"/>
                <w:szCs w:val="14"/>
              </w:rPr>
            </w:pPr>
            <w:r w:rsidRPr="00FB38E1">
              <w:rPr>
                <w:rFonts w:ascii="Microsoft Sans Serif" w:hAnsi="Microsoft Sans Serif" w:cs="Microsoft Sans Serif"/>
                <w:b/>
                <w:bCs/>
                <w:color w:val="000000"/>
                <w:sz w:val="14"/>
                <w:szCs w:val="14"/>
              </w:rPr>
              <w:t>Önceki Dönem Sonu</w:t>
            </w:r>
          </w:p>
        </w:tc>
        <w:tc>
          <w:tcPr>
            <w:tcW w:w="463" w:type="pct"/>
            <w:shd w:val="clear" w:color="auto" w:fill="auto"/>
            <w:vAlign w:val="bottom"/>
          </w:tcPr>
          <w:p w14:paraId="699FCFB7" w14:textId="394557F2" w:rsidR="00715500" w:rsidRPr="00FB38E1" w:rsidRDefault="00715500" w:rsidP="00715500">
            <w:pPr>
              <w:jc w:val="right"/>
              <w:rPr>
                <w:rFonts w:ascii="Microsoft Sans Serif" w:hAnsi="Microsoft Sans Serif" w:cs="Microsoft Sans Serif"/>
                <w:color w:val="000000"/>
                <w:sz w:val="14"/>
                <w:szCs w:val="14"/>
              </w:rPr>
            </w:pPr>
          </w:p>
        </w:tc>
        <w:tc>
          <w:tcPr>
            <w:tcW w:w="502" w:type="pct"/>
            <w:shd w:val="clear" w:color="auto" w:fill="auto"/>
            <w:vAlign w:val="bottom"/>
          </w:tcPr>
          <w:p w14:paraId="32F081CA" w14:textId="08622C2C" w:rsidR="00715500" w:rsidRPr="00FB38E1" w:rsidRDefault="00715500" w:rsidP="00715500">
            <w:pPr>
              <w:jc w:val="right"/>
              <w:rPr>
                <w:rFonts w:ascii="Microsoft Sans Serif" w:hAnsi="Microsoft Sans Serif" w:cs="Microsoft Sans Serif"/>
                <w:color w:val="000000"/>
                <w:sz w:val="14"/>
                <w:szCs w:val="14"/>
              </w:rPr>
            </w:pPr>
          </w:p>
        </w:tc>
        <w:tc>
          <w:tcPr>
            <w:tcW w:w="502" w:type="pct"/>
            <w:shd w:val="clear" w:color="auto" w:fill="auto"/>
            <w:vAlign w:val="bottom"/>
          </w:tcPr>
          <w:p w14:paraId="4FAFE1D9" w14:textId="704B0094" w:rsidR="00715500" w:rsidRPr="00FB38E1" w:rsidRDefault="00715500" w:rsidP="00715500">
            <w:pPr>
              <w:jc w:val="right"/>
              <w:rPr>
                <w:rFonts w:ascii="Microsoft Sans Serif" w:hAnsi="Microsoft Sans Serif" w:cs="Microsoft Sans Serif"/>
                <w:color w:val="000000"/>
                <w:sz w:val="14"/>
                <w:szCs w:val="14"/>
              </w:rPr>
            </w:pPr>
          </w:p>
        </w:tc>
        <w:tc>
          <w:tcPr>
            <w:tcW w:w="502" w:type="pct"/>
            <w:shd w:val="clear" w:color="auto" w:fill="auto"/>
            <w:vAlign w:val="bottom"/>
          </w:tcPr>
          <w:p w14:paraId="297815E7" w14:textId="0FD81930" w:rsidR="00715500" w:rsidRPr="00FB38E1" w:rsidRDefault="00715500" w:rsidP="00715500">
            <w:pPr>
              <w:jc w:val="right"/>
              <w:rPr>
                <w:rFonts w:ascii="Microsoft Sans Serif" w:hAnsi="Microsoft Sans Serif" w:cs="Microsoft Sans Serif"/>
                <w:color w:val="000000"/>
                <w:sz w:val="14"/>
                <w:szCs w:val="14"/>
              </w:rPr>
            </w:pPr>
          </w:p>
        </w:tc>
        <w:tc>
          <w:tcPr>
            <w:tcW w:w="463" w:type="pct"/>
            <w:shd w:val="clear" w:color="auto" w:fill="auto"/>
            <w:vAlign w:val="bottom"/>
          </w:tcPr>
          <w:p w14:paraId="7EED111C" w14:textId="22FAF00E" w:rsidR="00715500" w:rsidRPr="00FB38E1" w:rsidRDefault="00715500" w:rsidP="00715500">
            <w:pPr>
              <w:jc w:val="right"/>
              <w:rPr>
                <w:rFonts w:ascii="Microsoft Sans Serif" w:hAnsi="Microsoft Sans Serif" w:cs="Microsoft Sans Serif"/>
                <w:color w:val="000000"/>
                <w:sz w:val="14"/>
                <w:szCs w:val="14"/>
              </w:rPr>
            </w:pPr>
          </w:p>
        </w:tc>
        <w:tc>
          <w:tcPr>
            <w:tcW w:w="463" w:type="pct"/>
            <w:shd w:val="clear" w:color="auto" w:fill="auto"/>
            <w:vAlign w:val="bottom"/>
          </w:tcPr>
          <w:p w14:paraId="67B66956" w14:textId="18EEFA09" w:rsidR="00715500" w:rsidRPr="00FB38E1" w:rsidRDefault="00715500" w:rsidP="00715500">
            <w:pPr>
              <w:jc w:val="right"/>
              <w:rPr>
                <w:rFonts w:ascii="Microsoft Sans Serif" w:hAnsi="Microsoft Sans Serif" w:cs="Microsoft Sans Serif"/>
                <w:color w:val="000000"/>
                <w:sz w:val="14"/>
                <w:szCs w:val="14"/>
              </w:rPr>
            </w:pPr>
          </w:p>
        </w:tc>
        <w:tc>
          <w:tcPr>
            <w:tcW w:w="511" w:type="pct"/>
            <w:shd w:val="clear" w:color="auto" w:fill="auto"/>
            <w:vAlign w:val="bottom"/>
          </w:tcPr>
          <w:p w14:paraId="5BF40658" w14:textId="10F8194B" w:rsidR="00715500" w:rsidRPr="00FB38E1" w:rsidRDefault="00715500" w:rsidP="00715500">
            <w:pPr>
              <w:jc w:val="right"/>
              <w:rPr>
                <w:rFonts w:ascii="Microsoft Sans Serif" w:hAnsi="Microsoft Sans Serif" w:cs="Microsoft Sans Serif"/>
                <w:color w:val="000000"/>
                <w:sz w:val="14"/>
                <w:szCs w:val="14"/>
              </w:rPr>
            </w:pPr>
          </w:p>
        </w:tc>
        <w:tc>
          <w:tcPr>
            <w:tcW w:w="514" w:type="pct"/>
            <w:shd w:val="clear" w:color="auto" w:fill="auto"/>
            <w:vAlign w:val="bottom"/>
          </w:tcPr>
          <w:p w14:paraId="3BA452B5" w14:textId="0849C430" w:rsidR="00715500" w:rsidRPr="00FB38E1" w:rsidRDefault="00715500" w:rsidP="00715500">
            <w:pPr>
              <w:jc w:val="right"/>
              <w:rPr>
                <w:rFonts w:ascii="Microsoft Sans Serif" w:hAnsi="Microsoft Sans Serif" w:cs="Microsoft Sans Serif"/>
                <w:b/>
                <w:bCs/>
                <w:color w:val="000000"/>
                <w:sz w:val="14"/>
                <w:szCs w:val="14"/>
              </w:rPr>
            </w:pPr>
          </w:p>
        </w:tc>
      </w:tr>
      <w:tr w:rsidR="0051661D" w:rsidRPr="00FB38E1" w14:paraId="55E95D26" w14:textId="77777777" w:rsidTr="00A506ED">
        <w:trPr>
          <w:trHeight w:val="20"/>
        </w:trPr>
        <w:tc>
          <w:tcPr>
            <w:tcW w:w="1078" w:type="pct"/>
            <w:shd w:val="clear" w:color="auto" w:fill="auto"/>
            <w:vAlign w:val="bottom"/>
          </w:tcPr>
          <w:p w14:paraId="3A27B026" w14:textId="77777777" w:rsidR="0051661D" w:rsidRPr="00FB38E1" w:rsidRDefault="0051661D" w:rsidP="0051661D">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Toplam Varlıklar</w:t>
            </w:r>
          </w:p>
        </w:tc>
        <w:tc>
          <w:tcPr>
            <w:tcW w:w="463" w:type="pct"/>
            <w:shd w:val="clear" w:color="auto" w:fill="auto"/>
            <w:vAlign w:val="center"/>
          </w:tcPr>
          <w:p w14:paraId="1F9D8370" w14:textId="03D9886D" w:rsidR="0051661D" w:rsidRPr="00FB38E1" w:rsidRDefault="0051661D" w:rsidP="0051661D">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198.976.221</w:t>
            </w:r>
          </w:p>
        </w:tc>
        <w:tc>
          <w:tcPr>
            <w:tcW w:w="502" w:type="pct"/>
            <w:shd w:val="clear" w:color="auto" w:fill="auto"/>
            <w:vAlign w:val="center"/>
          </w:tcPr>
          <w:p w14:paraId="78C82D29" w14:textId="4B535D24" w:rsidR="0051661D" w:rsidRPr="00FB38E1" w:rsidRDefault="0051661D" w:rsidP="0051661D">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201.574.720</w:t>
            </w:r>
          </w:p>
        </w:tc>
        <w:tc>
          <w:tcPr>
            <w:tcW w:w="502" w:type="pct"/>
            <w:shd w:val="clear" w:color="auto" w:fill="auto"/>
            <w:vAlign w:val="center"/>
          </w:tcPr>
          <w:p w14:paraId="3279770E" w14:textId="582919F9" w:rsidR="0051661D" w:rsidRPr="00FB38E1" w:rsidRDefault="0051661D" w:rsidP="0051661D">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144.237.373</w:t>
            </w:r>
          </w:p>
        </w:tc>
        <w:tc>
          <w:tcPr>
            <w:tcW w:w="502" w:type="pct"/>
            <w:shd w:val="clear" w:color="auto" w:fill="auto"/>
            <w:vAlign w:val="center"/>
          </w:tcPr>
          <w:p w14:paraId="78D922FB" w14:textId="3BD654E0" w:rsidR="0051661D" w:rsidRPr="00FB38E1" w:rsidRDefault="0051661D" w:rsidP="0051661D">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115.732.562</w:t>
            </w:r>
          </w:p>
        </w:tc>
        <w:tc>
          <w:tcPr>
            <w:tcW w:w="463" w:type="pct"/>
            <w:shd w:val="clear" w:color="auto" w:fill="auto"/>
            <w:vAlign w:val="center"/>
          </w:tcPr>
          <w:p w14:paraId="3D2001A7" w14:textId="2882F30A" w:rsidR="0051661D" w:rsidRPr="00FB38E1" w:rsidRDefault="0051661D" w:rsidP="0051661D">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163.449.070</w:t>
            </w:r>
          </w:p>
        </w:tc>
        <w:tc>
          <w:tcPr>
            <w:tcW w:w="463" w:type="pct"/>
            <w:shd w:val="clear" w:color="auto" w:fill="auto"/>
            <w:vAlign w:val="center"/>
          </w:tcPr>
          <w:p w14:paraId="0FEC30EC" w14:textId="42B27C0F" w:rsidR="0051661D" w:rsidRPr="00FB38E1" w:rsidRDefault="0051661D" w:rsidP="0051661D">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103.012.994</w:t>
            </w:r>
          </w:p>
        </w:tc>
        <w:tc>
          <w:tcPr>
            <w:tcW w:w="511" w:type="pct"/>
            <w:shd w:val="clear" w:color="auto" w:fill="auto"/>
            <w:vAlign w:val="center"/>
          </w:tcPr>
          <w:p w14:paraId="731D8B9F" w14:textId="544E127B" w:rsidR="0051661D" w:rsidRPr="00FB38E1" w:rsidRDefault="0051661D" w:rsidP="0051661D">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80.726.121</w:t>
            </w:r>
          </w:p>
        </w:tc>
        <w:tc>
          <w:tcPr>
            <w:tcW w:w="514" w:type="pct"/>
            <w:shd w:val="clear" w:color="auto" w:fill="auto"/>
            <w:vAlign w:val="bottom"/>
          </w:tcPr>
          <w:p w14:paraId="4F825450" w14:textId="5227DA04"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1.007.709.061</w:t>
            </w:r>
          </w:p>
        </w:tc>
      </w:tr>
      <w:tr w:rsidR="0051661D" w:rsidRPr="00FB38E1" w14:paraId="28AB7981" w14:textId="77777777" w:rsidTr="00A506ED">
        <w:trPr>
          <w:trHeight w:val="20"/>
        </w:trPr>
        <w:tc>
          <w:tcPr>
            <w:tcW w:w="1078" w:type="pct"/>
            <w:shd w:val="clear" w:color="auto" w:fill="auto"/>
            <w:vAlign w:val="bottom"/>
          </w:tcPr>
          <w:p w14:paraId="74A75DB5" w14:textId="77777777" w:rsidR="0051661D" w:rsidRPr="00FB38E1" w:rsidRDefault="0051661D" w:rsidP="0051661D">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Toplam Yükümlülükler</w:t>
            </w:r>
          </w:p>
        </w:tc>
        <w:tc>
          <w:tcPr>
            <w:tcW w:w="463" w:type="pct"/>
            <w:shd w:val="clear" w:color="auto" w:fill="auto"/>
            <w:vAlign w:val="center"/>
          </w:tcPr>
          <w:p w14:paraId="53C2DFF7" w14:textId="5DE3A36B"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color w:val="000000"/>
                <w:sz w:val="14"/>
                <w:szCs w:val="14"/>
              </w:rPr>
              <w:t>221.558.793</w:t>
            </w:r>
          </w:p>
        </w:tc>
        <w:tc>
          <w:tcPr>
            <w:tcW w:w="502" w:type="pct"/>
            <w:shd w:val="clear" w:color="auto" w:fill="auto"/>
            <w:vAlign w:val="center"/>
          </w:tcPr>
          <w:p w14:paraId="7616E044" w14:textId="01012328"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color w:val="000000"/>
                <w:sz w:val="14"/>
                <w:szCs w:val="14"/>
              </w:rPr>
              <w:t>243.322.807</w:t>
            </w:r>
          </w:p>
        </w:tc>
        <w:tc>
          <w:tcPr>
            <w:tcW w:w="502" w:type="pct"/>
            <w:shd w:val="clear" w:color="auto" w:fill="auto"/>
            <w:vAlign w:val="center"/>
          </w:tcPr>
          <w:p w14:paraId="66A6933A" w14:textId="23AE5C7F"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color w:val="000000"/>
                <w:sz w:val="14"/>
                <w:szCs w:val="14"/>
              </w:rPr>
              <w:t>147.482.570</w:t>
            </w:r>
          </w:p>
        </w:tc>
        <w:tc>
          <w:tcPr>
            <w:tcW w:w="502" w:type="pct"/>
            <w:shd w:val="clear" w:color="auto" w:fill="auto"/>
            <w:vAlign w:val="center"/>
          </w:tcPr>
          <w:p w14:paraId="1F6B0219" w14:textId="731F38FF"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color w:val="000000"/>
                <w:sz w:val="14"/>
                <w:szCs w:val="14"/>
              </w:rPr>
              <w:t>244.907.829</w:t>
            </w:r>
          </w:p>
        </w:tc>
        <w:tc>
          <w:tcPr>
            <w:tcW w:w="463" w:type="pct"/>
            <w:shd w:val="clear" w:color="auto" w:fill="auto"/>
            <w:vAlign w:val="center"/>
          </w:tcPr>
          <w:p w14:paraId="673C2D61" w14:textId="0FDA7135"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color w:val="000000"/>
                <w:sz w:val="14"/>
                <w:szCs w:val="14"/>
              </w:rPr>
              <w:t>34.847.523</w:t>
            </w:r>
          </w:p>
        </w:tc>
        <w:tc>
          <w:tcPr>
            <w:tcW w:w="463" w:type="pct"/>
            <w:shd w:val="clear" w:color="auto" w:fill="auto"/>
            <w:vAlign w:val="center"/>
          </w:tcPr>
          <w:p w14:paraId="0AA5DA34" w14:textId="4A35C2F6"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color w:val="000000"/>
                <w:sz w:val="14"/>
                <w:szCs w:val="14"/>
              </w:rPr>
              <w:t>19.853.641</w:t>
            </w:r>
          </w:p>
        </w:tc>
        <w:tc>
          <w:tcPr>
            <w:tcW w:w="511" w:type="pct"/>
            <w:shd w:val="clear" w:color="auto" w:fill="auto"/>
            <w:vAlign w:val="center"/>
          </w:tcPr>
          <w:p w14:paraId="17B0A8F4" w14:textId="0B8546DD"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color w:val="000000"/>
                <w:sz w:val="14"/>
                <w:szCs w:val="14"/>
              </w:rPr>
              <w:t>95.735.898</w:t>
            </w:r>
          </w:p>
        </w:tc>
        <w:tc>
          <w:tcPr>
            <w:tcW w:w="514" w:type="pct"/>
            <w:shd w:val="clear" w:color="auto" w:fill="auto"/>
            <w:vAlign w:val="bottom"/>
          </w:tcPr>
          <w:p w14:paraId="6F4E449F" w14:textId="12FC4A8E"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404040"/>
                <w:sz w:val="14"/>
                <w:szCs w:val="14"/>
              </w:rPr>
              <w:t>1.007.709.061</w:t>
            </w:r>
          </w:p>
        </w:tc>
      </w:tr>
      <w:tr w:rsidR="0051661D" w:rsidRPr="00FB38E1" w14:paraId="573B3129" w14:textId="77777777" w:rsidTr="00A506ED">
        <w:trPr>
          <w:trHeight w:val="20"/>
        </w:trPr>
        <w:tc>
          <w:tcPr>
            <w:tcW w:w="1078" w:type="pct"/>
            <w:shd w:val="clear" w:color="auto" w:fill="auto"/>
            <w:vAlign w:val="bottom"/>
          </w:tcPr>
          <w:p w14:paraId="55611983" w14:textId="77777777" w:rsidR="0051661D" w:rsidRPr="00FB38E1" w:rsidRDefault="0051661D" w:rsidP="0051661D">
            <w:pPr>
              <w:jc w:val="lef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Likidite Açığı</w:t>
            </w:r>
          </w:p>
        </w:tc>
        <w:tc>
          <w:tcPr>
            <w:tcW w:w="463" w:type="pct"/>
            <w:shd w:val="clear" w:color="auto" w:fill="auto"/>
            <w:vAlign w:val="bottom"/>
          </w:tcPr>
          <w:p w14:paraId="091C93A8" w14:textId="620E243C"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
                <w:bCs/>
                <w:color w:val="000000"/>
                <w:sz w:val="14"/>
                <w:szCs w:val="14"/>
              </w:rPr>
              <w:t>(22.582.572)</w:t>
            </w:r>
          </w:p>
        </w:tc>
        <w:tc>
          <w:tcPr>
            <w:tcW w:w="502" w:type="pct"/>
            <w:shd w:val="clear" w:color="auto" w:fill="auto"/>
            <w:vAlign w:val="bottom"/>
          </w:tcPr>
          <w:p w14:paraId="28593813" w14:textId="7A47D6E6"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
                <w:bCs/>
                <w:color w:val="000000"/>
                <w:sz w:val="14"/>
                <w:szCs w:val="14"/>
              </w:rPr>
              <w:t>(41.748.087)</w:t>
            </w:r>
          </w:p>
        </w:tc>
        <w:tc>
          <w:tcPr>
            <w:tcW w:w="502" w:type="pct"/>
            <w:shd w:val="clear" w:color="auto" w:fill="auto"/>
            <w:vAlign w:val="bottom"/>
          </w:tcPr>
          <w:p w14:paraId="01C8F28B" w14:textId="3D8B18CF"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
                <w:bCs/>
                <w:color w:val="000000"/>
                <w:sz w:val="14"/>
                <w:szCs w:val="14"/>
              </w:rPr>
              <w:t>(3.245.197)</w:t>
            </w:r>
          </w:p>
        </w:tc>
        <w:tc>
          <w:tcPr>
            <w:tcW w:w="502" w:type="pct"/>
            <w:shd w:val="clear" w:color="auto" w:fill="auto"/>
            <w:vAlign w:val="bottom"/>
          </w:tcPr>
          <w:p w14:paraId="150D7678" w14:textId="673455BE"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
                <w:bCs/>
                <w:color w:val="000000"/>
                <w:sz w:val="14"/>
                <w:szCs w:val="14"/>
              </w:rPr>
              <w:t>(129.175.267)</w:t>
            </w:r>
          </w:p>
        </w:tc>
        <w:tc>
          <w:tcPr>
            <w:tcW w:w="463" w:type="pct"/>
            <w:shd w:val="clear" w:color="auto" w:fill="auto"/>
            <w:vAlign w:val="bottom"/>
          </w:tcPr>
          <w:p w14:paraId="4086A75F" w14:textId="35FA1FFF"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
                <w:bCs/>
                <w:color w:val="000000"/>
                <w:sz w:val="14"/>
                <w:szCs w:val="14"/>
              </w:rPr>
              <w:t>128.601.547</w:t>
            </w:r>
          </w:p>
        </w:tc>
        <w:tc>
          <w:tcPr>
            <w:tcW w:w="463" w:type="pct"/>
            <w:shd w:val="clear" w:color="auto" w:fill="auto"/>
            <w:vAlign w:val="bottom"/>
          </w:tcPr>
          <w:p w14:paraId="08CFC6D3" w14:textId="387D0D18"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
                <w:bCs/>
                <w:color w:val="000000"/>
                <w:sz w:val="14"/>
                <w:szCs w:val="14"/>
              </w:rPr>
              <w:t>83.159.353</w:t>
            </w:r>
          </w:p>
        </w:tc>
        <w:tc>
          <w:tcPr>
            <w:tcW w:w="511" w:type="pct"/>
            <w:shd w:val="clear" w:color="auto" w:fill="auto"/>
            <w:vAlign w:val="bottom"/>
          </w:tcPr>
          <w:p w14:paraId="260B41EE" w14:textId="3E9F57D7" w:rsidR="0051661D" w:rsidRPr="00FB38E1" w:rsidRDefault="0051661D" w:rsidP="0051661D">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
                <w:bCs/>
                <w:color w:val="000000"/>
                <w:sz w:val="14"/>
                <w:szCs w:val="14"/>
              </w:rPr>
              <w:t>(15.009.777)</w:t>
            </w:r>
          </w:p>
        </w:tc>
        <w:tc>
          <w:tcPr>
            <w:tcW w:w="514" w:type="pct"/>
            <w:shd w:val="clear" w:color="auto" w:fill="auto"/>
            <w:vAlign w:val="bottom"/>
          </w:tcPr>
          <w:p w14:paraId="18ED008F" w14:textId="620DB5DA"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A45985" w:rsidRPr="00FB38E1" w14:paraId="715E2100" w14:textId="77777777" w:rsidTr="00A506ED">
        <w:trPr>
          <w:trHeight w:val="20"/>
        </w:trPr>
        <w:tc>
          <w:tcPr>
            <w:tcW w:w="1078" w:type="pct"/>
            <w:shd w:val="clear" w:color="auto" w:fill="auto"/>
            <w:vAlign w:val="bottom"/>
          </w:tcPr>
          <w:p w14:paraId="14D9C91D" w14:textId="77777777" w:rsidR="00A45985" w:rsidRPr="00FB38E1" w:rsidRDefault="00A45985" w:rsidP="00A45985">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Net Bilanço dışı pozisyonu</w:t>
            </w:r>
          </w:p>
        </w:tc>
        <w:tc>
          <w:tcPr>
            <w:tcW w:w="463" w:type="pct"/>
            <w:shd w:val="clear" w:color="auto" w:fill="auto"/>
            <w:vAlign w:val="bottom"/>
          </w:tcPr>
          <w:p w14:paraId="02052180" w14:textId="65CA6CA3" w:rsidR="00A45985" w:rsidRPr="00FB38E1" w:rsidRDefault="00A45985" w:rsidP="00A459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02" w:type="pct"/>
            <w:shd w:val="clear" w:color="auto" w:fill="auto"/>
            <w:vAlign w:val="bottom"/>
          </w:tcPr>
          <w:p w14:paraId="19E2D550" w14:textId="74412590" w:rsidR="00A45985" w:rsidRPr="00FB38E1" w:rsidRDefault="00A45985" w:rsidP="00A459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(1.042.432)</w:t>
            </w:r>
          </w:p>
        </w:tc>
        <w:tc>
          <w:tcPr>
            <w:tcW w:w="502" w:type="pct"/>
            <w:shd w:val="clear" w:color="auto" w:fill="auto"/>
            <w:vAlign w:val="bottom"/>
          </w:tcPr>
          <w:p w14:paraId="2E1E1F2E" w14:textId="10A70728" w:rsidR="00A45985" w:rsidRPr="00FB38E1" w:rsidRDefault="00A45985" w:rsidP="00A459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(1.503.702)</w:t>
            </w:r>
          </w:p>
        </w:tc>
        <w:tc>
          <w:tcPr>
            <w:tcW w:w="502" w:type="pct"/>
            <w:shd w:val="clear" w:color="auto" w:fill="auto"/>
            <w:vAlign w:val="bottom"/>
          </w:tcPr>
          <w:p w14:paraId="549EEC45" w14:textId="52710B76" w:rsidR="00A45985" w:rsidRPr="00FB38E1" w:rsidRDefault="00A45985" w:rsidP="00A459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2.408.130</w:t>
            </w:r>
          </w:p>
        </w:tc>
        <w:tc>
          <w:tcPr>
            <w:tcW w:w="463" w:type="pct"/>
            <w:shd w:val="clear" w:color="auto" w:fill="auto"/>
            <w:vAlign w:val="bottom"/>
          </w:tcPr>
          <w:p w14:paraId="6FDAF49F" w14:textId="54D0FA1A" w:rsidR="00A45985" w:rsidRPr="00FB38E1" w:rsidRDefault="00A45985" w:rsidP="00A459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82.873</w:t>
            </w:r>
          </w:p>
        </w:tc>
        <w:tc>
          <w:tcPr>
            <w:tcW w:w="463" w:type="pct"/>
            <w:shd w:val="clear" w:color="auto" w:fill="auto"/>
            <w:vAlign w:val="bottom"/>
          </w:tcPr>
          <w:p w14:paraId="3DE764A2" w14:textId="56D3A529" w:rsidR="00A45985" w:rsidRPr="00FB38E1" w:rsidRDefault="00A45985" w:rsidP="00A459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w:t>
            </w:r>
          </w:p>
        </w:tc>
        <w:tc>
          <w:tcPr>
            <w:tcW w:w="511" w:type="pct"/>
            <w:shd w:val="clear" w:color="auto" w:fill="auto"/>
            <w:vAlign w:val="bottom"/>
          </w:tcPr>
          <w:p w14:paraId="710C71D7" w14:textId="4B33CBCC" w:rsidR="00A45985" w:rsidRPr="00FB38E1" w:rsidRDefault="00A45985" w:rsidP="00A459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14" w:type="pct"/>
            <w:shd w:val="clear" w:color="auto" w:fill="auto"/>
            <w:vAlign w:val="bottom"/>
          </w:tcPr>
          <w:p w14:paraId="057840E4" w14:textId="279C5262" w:rsidR="00A45985" w:rsidRPr="00FB38E1" w:rsidRDefault="00A45985" w:rsidP="00A459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(55.128)</w:t>
            </w:r>
          </w:p>
        </w:tc>
      </w:tr>
      <w:tr w:rsidR="0051661D" w:rsidRPr="00FB38E1" w14:paraId="1D7072D4" w14:textId="77777777" w:rsidTr="00A506ED">
        <w:trPr>
          <w:trHeight w:val="20"/>
        </w:trPr>
        <w:tc>
          <w:tcPr>
            <w:tcW w:w="1078" w:type="pct"/>
            <w:shd w:val="clear" w:color="auto" w:fill="auto"/>
            <w:vAlign w:val="bottom"/>
          </w:tcPr>
          <w:p w14:paraId="4324E35A" w14:textId="77777777" w:rsidR="0051661D" w:rsidRPr="00FB38E1" w:rsidRDefault="0051661D" w:rsidP="0051661D">
            <w:pPr>
              <w:jc w:val="lef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Türev finansal araçlardan alacaklar</w:t>
            </w:r>
          </w:p>
        </w:tc>
        <w:tc>
          <w:tcPr>
            <w:tcW w:w="463" w:type="pct"/>
            <w:shd w:val="clear" w:color="auto" w:fill="auto"/>
            <w:vAlign w:val="center"/>
          </w:tcPr>
          <w:p w14:paraId="7932D254" w14:textId="007E40BC"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center"/>
          </w:tcPr>
          <w:p w14:paraId="2DBBCA2A" w14:textId="6269A182"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128.285.627</w:t>
            </w:r>
          </w:p>
        </w:tc>
        <w:tc>
          <w:tcPr>
            <w:tcW w:w="502" w:type="pct"/>
            <w:shd w:val="clear" w:color="auto" w:fill="auto"/>
            <w:vAlign w:val="center"/>
          </w:tcPr>
          <w:p w14:paraId="18478B98" w14:textId="2273673B"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68.024.413</w:t>
            </w:r>
          </w:p>
        </w:tc>
        <w:tc>
          <w:tcPr>
            <w:tcW w:w="502" w:type="pct"/>
            <w:shd w:val="clear" w:color="auto" w:fill="auto"/>
            <w:vAlign w:val="center"/>
          </w:tcPr>
          <w:p w14:paraId="0BC313FF" w14:textId="3F28462B"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40.696.144</w:t>
            </w:r>
          </w:p>
        </w:tc>
        <w:tc>
          <w:tcPr>
            <w:tcW w:w="463" w:type="pct"/>
            <w:shd w:val="clear" w:color="auto" w:fill="auto"/>
            <w:vAlign w:val="center"/>
          </w:tcPr>
          <w:p w14:paraId="55E2E5F1" w14:textId="592E2572"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50.677.863</w:t>
            </w:r>
          </w:p>
        </w:tc>
        <w:tc>
          <w:tcPr>
            <w:tcW w:w="463" w:type="pct"/>
            <w:shd w:val="clear" w:color="auto" w:fill="auto"/>
            <w:vAlign w:val="center"/>
          </w:tcPr>
          <w:p w14:paraId="7C9C3340" w14:textId="192481F8"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30.189.301</w:t>
            </w:r>
          </w:p>
        </w:tc>
        <w:tc>
          <w:tcPr>
            <w:tcW w:w="511" w:type="pct"/>
            <w:shd w:val="clear" w:color="auto" w:fill="auto"/>
            <w:vAlign w:val="center"/>
          </w:tcPr>
          <w:p w14:paraId="0F672340" w14:textId="528429C1"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02C0119D" w14:textId="20AAB88C"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317.873.348</w:t>
            </w:r>
          </w:p>
        </w:tc>
      </w:tr>
      <w:tr w:rsidR="0051661D" w:rsidRPr="00FB38E1" w14:paraId="5E87D959" w14:textId="77777777" w:rsidTr="00A506ED">
        <w:trPr>
          <w:trHeight w:val="20"/>
        </w:trPr>
        <w:tc>
          <w:tcPr>
            <w:tcW w:w="1078" w:type="pct"/>
            <w:shd w:val="clear" w:color="auto" w:fill="auto"/>
            <w:vAlign w:val="bottom"/>
          </w:tcPr>
          <w:p w14:paraId="7DF1EABB" w14:textId="77777777" w:rsidR="0051661D" w:rsidRPr="00FB38E1" w:rsidRDefault="0051661D" w:rsidP="0051661D">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finansal araçlardan borçlar</w:t>
            </w:r>
          </w:p>
        </w:tc>
        <w:tc>
          <w:tcPr>
            <w:tcW w:w="463" w:type="pct"/>
            <w:shd w:val="clear" w:color="auto" w:fill="auto"/>
            <w:vAlign w:val="center"/>
          </w:tcPr>
          <w:p w14:paraId="44C71639" w14:textId="6F45B4D1"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center"/>
          </w:tcPr>
          <w:p w14:paraId="24AC6026" w14:textId="29D13188"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(129.328.059)</w:t>
            </w:r>
          </w:p>
        </w:tc>
        <w:tc>
          <w:tcPr>
            <w:tcW w:w="502" w:type="pct"/>
            <w:shd w:val="clear" w:color="auto" w:fill="auto"/>
            <w:vAlign w:val="center"/>
          </w:tcPr>
          <w:p w14:paraId="03F16AAC" w14:textId="3A48CB35"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(69.528.115)</w:t>
            </w:r>
          </w:p>
        </w:tc>
        <w:tc>
          <w:tcPr>
            <w:tcW w:w="502" w:type="pct"/>
            <w:shd w:val="clear" w:color="auto" w:fill="auto"/>
            <w:vAlign w:val="center"/>
          </w:tcPr>
          <w:p w14:paraId="5F960C4B" w14:textId="7B0C0BD0"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(38.288.014)</w:t>
            </w:r>
          </w:p>
        </w:tc>
        <w:tc>
          <w:tcPr>
            <w:tcW w:w="463" w:type="pct"/>
            <w:shd w:val="clear" w:color="auto" w:fill="auto"/>
            <w:vAlign w:val="center"/>
          </w:tcPr>
          <w:p w14:paraId="1A6281D9" w14:textId="3EB28CF2"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(50.594.990)</w:t>
            </w:r>
          </w:p>
        </w:tc>
        <w:tc>
          <w:tcPr>
            <w:tcW w:w="463" w:type="pct"/>
            <w:shd w:val="clear" w:color="auto" w:fill="auto"/>
            <w:vAlign w:val="center"/>
          </w:tcPr>
          <w:p w14:paraId="501C2B30" w14:textId="4798BEBD"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(30.189.298)</w:t>
            </w:r>
          </w:p>
        </w:tc>
        <w:tc>
          <w:tcPr>
            <w:tcW w:w="511" w:type="pct"/>
            <w:shd w:val="clear" w:color="auto" w:fill="auto"/>
            <w:vAlign w:val="center"/>
          </w:tcPr>
          <w:p w14:paraId="63B1A39B" w14:textId="54C173CC"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bottom"/>
          </w:tcPr>
          <w:p w14:paraId="30DE62FA" w14:textId="18F66B2E"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(317.928.476)</w:t>
            </w:r>
          </w:p>
        </w:tc>
      </w:tr>
      <w:tr w:rsidR="0051661D" w:rsidRPr="00FB38E1" w14:paraId="5EA7D2FB" w14:textId="77777777" w:rsidTr="00A506ED">
        <w:trPr>
          <w:trHeight w:val="20"/>
        </w:trPr>
        <w:tc>
          <w:tcPr>
            <w:tcW w:w="1078" w:type="pct"/>
            <w:shd w:val="clear" w:color="auto" w:fill="auto"/>
            <w:vAlign w:val="bottom"/>
          </w:tcPr>
          <w:p w14:paraId="1CAA24F1" w14:textId="77777777" w:rsidR="0051661D" w:rsidRPr="00FB38E1" w:rsidRDefault="0051661D" w:rsidP="0051661D">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Gayrinakdi krediler</w:t>
            </w:r>
          </w:p>
        </w:tc>
        <w:tc>
          <w:tcPr>
            <w:tcW w:w="463" w:type="pct"/>
            <w:shd w:val="clear" w:color="auto" w:fill="auto"/>
            <w:vAlign w:val="center"/>
          </w:tcPr>
          <w:p w14:paraId="465803D2" w14:textId="398DEC52"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shd w:val="clear" w:color="auto" w:fill="auto"/>
            <w:vAlign w:val="center"/>
          </w:tcPr>
          <w:p w14:paraId="39977A10" w14:textId="3803AD9B"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25.155.517</w:t>
            </w:r>
          </w:p>
        </w:tc>
        <w:tc>
          <w:tcPr>
            <w:tcW w:w="502" w:type="pct"/>
            <w:shd w:val="clear" w:color="auto" w:fill="auto"/>
            <w:vAlign w:val="center"/>
          </w:tcPr>
          <w:p w14:paraId="03328B70" w14:textId="12AE2B6D"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14.755.792</w:t>
            </w:r>
          </w:p>
        </w:tc>
        <w:tc>
          <w:tcPr>
            <w:tcW w:w="502" w:type="pct"/>
            <w:shd w:val="clear" w:color="auto" w:fill="auto"/>
            <w:vAlign w:val="center"/>
          </w:tcPr>
          <w:p w14:paraId="451BF013" w14:textId="1956E21C"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50.984.034</w:t>
            </w:r>
          </w:p>
        </w:tc>
        <w:tc>
          <w:tcPr>
            <w:tcW w:w="463" w:type="pct"/>
            <w:shd w:val="clear" w:color="auto" w:fill="auto"/>
            <w:vAlign w:val="center"/>
          </w:tcPr>
          <w:p w14:paraId="5BD5DF12" w14:textId="1A8C12A7"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59.151.906</w:t>
            </w:r>
          </w:p>
        </w:tc>
        <w:tc>
          <w:tcPr>
            <w:tcW w:w="463" w:type="pct"/>
            <w:shd w:val="clear" w:color="auto" w:fill="auto"/>
            <w:vAlign w:val="center"/>
          </w:tcPr>
          <w:p w14:paraId="36DBA209" w14:textId="40F78D7E"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3.113.764</w:t>
            </w:r>
          </w:p>
        </w:tc>
        <w:tc>
          <w:tcPr>
            <w:tcW w:w="511" w:type="pct"/>
            <w:shd w:val="clear" w:color="auto" w:fill="auto"/>
            <w:vAlign w:val="center"/>
          </w:tcPr>
          <w:p w14:paraId="22E40DB6" w14:textId="23C73E01" w:rsidR="0051661D" w:rsidRPr="00FB38E1" w:rsidRDefault="0051661D" w:rsidP="0051661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4" w:type="pct"/>
            <w:shd w:val="clear" w:color="auto" w:fill="auto"/>
            <w:vAlign w:val="center"/>
          </w:tcPr>
          <w:p w14:paraId="21EEBBD0" w14:textId="499F88A3" w:rsidR="0051661D" w:rsidRPr="00FB38E1" w:rsidRDefault="0051661D" w:rsidP="0051661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404040"/>
                <w:sz w:val="14"/>
                <w:szCs w:val="14"/>
              </w:rPr>
              <w:t>153.161.013</w:t>
            </w:r>
          </w:p>
        </w:tc>
      </w:tr>
    </w:tbl>
    <w:p w14:paraId="3981F093" w14:textId="6F414696" w:rsidR="00CB2D75" w:rsidRPr="00FB38E1" w:rsidRDefault="00CB2D75" w:rsidP="00D1663E">
      <w:pPr>
        <w:pStyle w:val="NormalWeb"/>
        <w:numPr>
          <w:ilvl w:val="0"/>
          <w:numId w:val="49"/>
        </w:numPr>
        <w:tabs>
          <w:tab w:val="left" w:pos="284"/>
        </w:tabs>
        <w:spacing w:before="60" w:beforeAutospacing="0" w:after="0" w:afterAutospacing="0"/>
        <w:ind w:left="0" w:firstLine="0"/>
        <w:rPr>
          <w:rFonts w:ascii="Microsoft Sans Serif" w:hAnsi="Microsoft Sans Serif" w:cs="Microsoft Sans Serif"/>
          <w:color w:val="404040" w:themeColor="text1" w:themeTint="BF"/>
          <w:sz w:val="14"/>
          <w:szCs w:val="14"/>
          <w:lang w:val="tr-TR"/>
        </w:rPr>
      </w:pPr>
      <w:r w:rsidRPr="00FB38E1">
        <w:rPr>
          <w:rFonts w:ascii="Microsoft Sans Serif" w:hAnsi="Microsoft Sans Serif" w:cs="Microsoft Sans Serif"/>
          <w:color w:val="404040" w:themeColor="text1" w:themeTint="BF"/>
          <w:sz w:val="14"/>
          <w:szCs w:val="14"/>
          <w:lang w:val="tr-TR"/>
        </w:rPr>
        <w:t>(</w:t>
      </w:r>
      <w:r w:rsidR="004205EE" w:rsidRPr="00FB38E1">
        <w:rPr>
          <w:rFonts w:ascii="Microsoft Sans Serif" w:hAnsi="Microsoft Sans Serif" w:cs="Microsoft Sans Serif"/>
          <w:color w:val="404040" w:themeColor="text1" w:themeTint="BF"/>
          <w:sz w:val="14"/>
          <w:szCs w:val="14"/>
          <w:lang w:val="tr-TR"/>
        </w:rPr>
        <w:t>695</w:t>
      </w:r>
      <w:r w:rsidRPr="00FB38E1">
        <w:rPr>
          <w:rFonts w:ascii="Microsoft Sans Serif" w:hAnsi="Microsoft Sans Serif" w:cs="Microsoft Sans Serif"/>
          <w:color w:val="404040" w:themeColor="text1" w:themeTint="BF"/>
          <w:sz w:val="14"/>
          <w:szCs w:val="14"/>
          <w:lang w:val="tr-TR"/>
        </w:rPr>
        <w:t>) TL tutarında 1. ve 2. aşama beklenen zarar karşılıklarını içermektedir.</w:t>
      </w:r>
    </w:p>
    <w:p w14:paraId="48F70ED8" w14:textId="39D47FA8" w:rsidR="00CB2D75" w:rsidRPr="00FB38E1" w:rsidRDefault="00CB2D75" w:rsidP="00D1663E">
      <w:pPr>
        <w:pStyle w:val="NormalWeb"/>
        <w:numPr>
          <w:ilvl w:val="0"/>
          <w:numId w:val="49"/>
        </w:numPr>
        <w:tabs>
          <w:tab w:val="left" w:pos="284"/>
        </w:tabs>
        <w:spacing w:before="0" w:beforeAutospacing="0" w:after="0" w:afterAutospacing="0"/>
        <w:ind w:left="0" w:firstLine="0"/>
        <w:rPr>
          <w:rFonts w:ascii="Microsoft Sans Serif" w:hAnsi="Microsoft Sans Serif" w:cs="Microsoft Sans Serif"/>
          <w:color w:val="404040" w:themeColor="text1" w:themeTint="BF"/>
          <w:sz w:val="14"/>
          <w:szCs w:val="14"/>
          <w:lang w:val="tr-TR"/>
        </w:rPr>
      </w:pPr>
      <w:r w:rsidRPr="00FB38E1">
        <w:rPr>
          <w:rFonts w:ascii="Microsoft Sans Serif" w:hAnsi="Microsoft Sans Serif" w:cs="Microsoft Sans Serif"/>
          <w:color w:val="404040" w:themeColor="text1" w:themeTint="BF"/>
          <w:sz w:val="14"/>
          <w:szCs w:val="14"/>
          <w:lang w:val="tr-TR"/>
        </w:rPr>
        <w:t>(</w:t>
      </w:r>
      <w:r w:rsidR="002478C2" w:rsidRPr="00FB38E1">
        <w:rPr>
          <w:rFonts w:ascii="Microsoft Sans Serif" w:hAnsi="Microsoft Sans Serif" w:cs="Microsoft Sans Serif"/>
          <w:color w:val="404040" w:themeColor="text1" w:themeTint="BF"/>
          <w:sz w:val="14"/>
          <w:szCs w:val="14"/>
          <w:lang w:val="tr-TR"/>
        </w:rPr>
        <w:t>7.</w:t>
      </w:r>
      <w:r w:rsidR="004205EE" w:rsidRPr="00FB38E1">
        <w:rPr>
          <w:rFonts w:ascii="Microsoft Sans Serif" w:hAnsi="Microsoft Sans Serif" w:cs="Microsoft Sans Serif"/>
          <w:color w:val="404040" w:themeColor="text1" w:themeTint="BF"/>
          <w:sz w:val="14"/>
          <w:szCs w:val="14"/>
          <w:lang w:val="tr-TR"/>
        </w:rPr>
        <w:t>830</w:t>
      </w:r>
      <w:r w:rsidRPr="00FB38E1">
        <w:rPr>
          <w:rFonts w:ascii="Microsoft Sans Serif" w:hAnsi="Microsoft Sans Serif" w:cs="Microsoft Sans Serif"/>
          <w:color w:val="404040" w:themeColor="text1" w:themeTint="BF"/>
          <w:sz w:val="14"/>
          <w:szCs w:val="14"/>
          <w:lang w:val="tr-TR"/>
        </w:rPr>
        <w:t>) TL tutarında 1. ve 2. aşama beklenen zarar karşılıklarını içermektedir.</w:t>
      </w:r>
    </w:p>
    <w:p w14:paraId="0CDF5811" w14:textId="7F2EC249" w:rsidR="004C4799" w:rsidRPr="00FB38E1" w:rsidRDefault="00CB2D75" w:rsidP="00CB2D75">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w:t>
      </w:r>
      <w:r w:rsidRPr="00FB38E1">
        <w:rPr>
          <w:rFonts w:ascii="Microsoft Sans Serif" w:hAnsi="Microsoft Sans Serif" w:cs="Microsoft Sans Serif"/>
          <w:b w:val="0"/>
          <w:color w:val="404040" w:themeColor="text1" w:themeTint="BF"/>
          <w:sz w:val="14"/>
          <w:szCs w:val="14"/>
        </w:rPr>
        <w:tab/>
        <w:t>Bilançoyu oluşturan aktif hesaplardan sabit kıymetler, iştirakler, birlikte kontrol edilen ortaklıklar, bağlı ortaklıklar, ayniyat mevcudu, takipteki kredi alacakları (net) ve peşin ödenmiş giderler gibi bankacılık faaliyetinin sürdürülmesi için gereksinim duyulan, kısa zamanda nakde dönüşme şansı bulunmayan diğer aktif nitelikli hesaplar burada gösterilmektedir.</w:t>
      </w:r>
    </w:p>
    <w:p w14:paraId="3FE0748A" w14:textId="6AC9E319" w:rsidR="007B2A90" w:rsidRPr="00FB38E1" w:rsidRDefault="007B2A90" w:rsidP="00CB2D75">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p>
    <w:p w14:paraId="171D3F13" w14:textId="225FFD27" w:rsidR="007B2A90" w:rsidRPr="00FB38E1" w:rsidRDefault="007B2A90" w:rsidP="007B2A90">
      <w:pPr>
        <w:pStyle w:val="BASLIK2"/>
        <w:widowControl/>
        <w:numPr>
          <w:ilvl w:val="0"/>
          <w:numId w:val="16"/>
        </w:numPr>
        <w:spacing w:before="0" w:line="240" w:lineRule="auto"/>
        <w:ind w:left="0" w:hanging="567"/>
        <w:rPr>
          <w:rFonts w:ascii="Microsoft Sans Serif" w:hAnsi="Microsoft Sans Serif" w:cs="Microsoft Sans Serif"/>
          <w:sz w:val="20"/>
          <w:szCs w:val="20"/>
        </w:rPr>
      </w:pPr>
      <w:r w:rsidRPr="00FB38E1">
        <w:rPr>
          <w:rFonts w:ascii="Microsoft Sans Serif" w:hAnsi="Microsoft Sans Serif" w:cs="Microsoft Sans Serif"/>
          <w:sz w:val="20"/>
          <w:szCs w:val="20"/>
        </w:rPr>
        <w:t>Net istikrarlı fonlama oranı</w:t>
      </w:r>
    </w:p>
    <w:p w14:paraId="65C866C3" w14:textId="30E69FB5" w:rsidR="007B2A90" w:rsidRPr="00FB38E1" w:rsidRDefault="007B2A90" w:rsidP="007B2A90">
      <w:pPr>
        <w:tabs>
          <w:tab w:val="left" w:pos="0"/>
        </w:tabs>
        <w:spacing w:before="120" w:after="12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Likidite karşılama oranı kısa vadeli likidite seviyesini ölçmek için kullanılmakta iken net istikrarlı fonlama oranı bankaların uzun vadede maruz kalabilecekleri fonlama riskinin likidite düzeylerini ölçmek için kullanılmaktadır. Net istikrarlı fonlama oranı, mevcut istikrarlı fon tutarının gerekli istikrarlı fon tutarına bölünmesi suretiyle konsolide ve konsolide olmayan bazda hesaplanmaktadır. Mevcut istikrarlı fon, bankaların yükümlülük ve özkaynaklarının kalıcı olması beklenen kısmını; gerekli istikrarlı fon ise, bankaların bilanço içi varlıklarının ve bilanço dışı borçlarının niteliği ve vadesi dikkate alınarak oluşturduğu fonlama ihtiyacını ifade etmektedir. Bu oran  bankanın uzun vadeli varlıklarını fonlamak için yeterli ve istikrarlı finansman kaynaklarına sahip olup olmadığını gösteren bir ölçüt olup bu bakımdan likidite riski yönetimi açısından likidite karşılama oranını tamamlayıcı bir  metrik olarak düşünülmektedir.</w:t>
      </w:r>
    </w:p>
    <w:p w14:paraId="541B43BF" w14:textId="77777777" w:rsidR="007B2A90" w:rsidRPr="00FB38E1" w:rsidRDefault="007B2A90" w:rsidP="007B2A90">
      <w:pPr>
        <w:tabs>
          <w:tab w:val="left" w:pos="0"/>
        </w:tabs>
        <w:spacing w:before="120" w:after="12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Aylık olarak hesaplanan konsolide ve konsolide olmayan net istikrarlı fonlama oranının Mart, Haziran, Eylül ve Aralık dönemleri itibarıyla üç aylık basit aritmetik ortalaması yüzde yüzden az olamaz. Ayrıca, Banka’nın risk iştahına bağlı olarak, yasal alt sınırdan daha muhafazakar olacak şekilde içsel limitler de belirlenmekte ve bu çerçevede yönetilmektedir.  </w:t>
      </w:r>
    </w:p>
    <w:p w14:paraId="3502C85C" w14:textId="558398BC" w:rsidR="007B2A90" w:rsidRPr="00FB38E1"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26 Mayıs 2023 tarihli ve 32202 sayılı Resmî Gazete’de yayımlanan Bankaların Net İstikrarlı Fonlama Oranı Hesaplamasına İlişkin Yönetmelik uyarınca hesaplanan net istikrarlı fonlama oranı ve bu orana ilişkin kalemler cari ve önceki dönem sonu için aşağıda yer almaktadır.</w:t>
      </w:r>
    </w:p>
    <w:p w14:paraId="34874F4C" w14:textId="517B36ED" w:rsidR="007B2A90" w:rsidRPr="00FB38E1"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p>
    <w:p w14:paraId="7EF6FACF" w14:textId="77777777" w:rsidR="007B2A90" w:rsidRPr="00FB38E1" w:rsidRDefault="007B2A90" w:rsidP="007B2A90">
      <w:pPr>
        <w:pStyle w:val="BASLIK2"/>
        <w:widowControl/>
        <w:spacing w:before="120" w:line="240" w:lineRule="auto"/>
        <w:ind w:firstLine="0"/>
        <w:rPr>
          <w:rFonts w:ascii="Microsoft Sans Serif" w:hAnsi="Microsoft Sans Serif" w:cs="Microsoft Sans Serif"/>
          <w:b w:val="0"/>
          <w:color w:val="404040" w:themeColor="text1" w:themeTint="BF"/>
          <w:sz w:val="20"/>
          <w:szCs w:val="20"/>
        </w:r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4172"/>
        <w:gridCol w:w="1089"/>
        <w:gridCol w:w="1033"/>
        <w:gridCol w:w="996"/>
        <w:gridCol w:w="998"/>
        <w:gridCol w:w="946"/>
      </w:tblGrid>
      <w:tr w:rsidR="007B2A90" w:rsidRPr="00FB38E1" w14:paraId="10906822" w14:textId="77777777" w:rsidTr="007B2A90">
        <w:trPr>
          <w:trHeight w:val="25"/>
        </w:trPr>
        <w:tc>
          <w:tcPr>
            <w:tcW w:w="190" w:type="pct"/>
            <w:tcBorders>
              <w:top w:val="thinThickSmallGap" w:sz="24" w:space="0" w:color="auto"/>
              <w:left w:val="nil"/>
              <w:bottom w:val="nil"/>
              <w:right w:val="nil"/>
            </w:tcBorders>
          </w:tcPr>
          <w:p w14:paraId="46CD4052" w14:textId="77777777" w:rsidR="007B2A90" w:rsidRPr="00FB38E1" w:rsidRDefault="007B2A90">
            <w:pPr>
              <w:rPr>
                <w:rFonts w:ascii="Microsoft Sans Serif" w:hAnsi="Microsoft Sans Serif" w:cs="Microsoft Sans Serif"/>
                <w:b/>
                <w:bCs/>
                <w:color w:val="000000"/>
                <w:sz w:val="14"/>
                <w:szCs w:val="14"/>
              </w:rPr>
            </w:pPr>
            <w:bookmarkStart w:id="31" w:name="_Hlk165393345"/>
          </w:p>
        </w:tc>
        <w:tc>
          <w:tcPr>
            <w:tcW w:w="2173" w:type="pct"/>
            <w:tcBorders>
              <w:top w:val="thinThickSmallGap" w:sz="24" w:space="0" w:color="auto"/>
              <w:left w:val="nil"/>
              <w:bottom w:val="nil"/>
              <w:right w:val="nil"/>
            </w:tcBorders>
            <w:vAlign w:val="bottom"/>
            <w:hideMark/>
          </w:tcPr>
          <w:p w14:paraId="4B296DE5" w14:textId="77777777" w:rsidR="007B2A90" w:rsidRPr="00FB38E1" w:rsidRDefault="007B2A90">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Cari Dönem Sonu</w:t>
            </w:r>
          </w:p>
        </w:tc>
        <w:tc>
          <w:tcPr>
            <w:tcW w:w="567" w:type="pct"/>
            <w:tcBorders>
              <w:top w:val="thinThickSmallGap" w:sz="24" w:space="0" w:color="auto"/>
              <w:left w:val="nil"/>
              <w:bottom w:val="single" w:sz="4" w:space="0" w:color="auto"/>
              <w:right w:val="nil"/>
            </w:tcBorders>
            <w:vAlign w:val="bottom"/>
            <w:hideMark/>
          </w:tcPr>
          <w:p w14:paraId="0F69B772"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a</w:t>
            </w:r>
          </w:p>
        </w:tc>
        <w:tc>
          <w:tcPr>
            <w:tcW w:w="538" w:type="pct"/>
            <w:tcBorders>
              <w:top w:val="thinThickSmallGap" w:sz="24" w:space="0" w:color="auto"/>
              <w:left w:val="nil"/>
              <w:bottom w:val="single" w:sz="4" w:space="0" w:color="auto"/>
              <w:right w:val="nil"/>
            </w:tcBorders>
            <w:vAlign w:val="bottom"/>
            <w:hideMark/>
          </w:tcPr>
          <w:p w14:paraId="65AF4E4E"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b</w:t>
            </w:r>
          </w:p>
        </w:tc>
        <w:tc>
          <w:tcPr>
            <w:tcW w:w="519" w:type="pct"/>
            <w:tcBorders>
              <w:top w:val="thinThickSmallGap" w:sz="24" w:space="0" w:color="auto"/>
              <w:left w:val="nil"/>
              <w:bottom w:val="single" w:sz="4" w:space="0" w:color="auto"/>
              <w:right w:val="nil"/>
            </w:tcBorders>
            <w:vAlign w:val="bottom"/>
            <w:hideMark/>
          </w:tcPr>
          <w:p w14:paraId="115BE187"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c</w:t>
            </w:r>
          </w:p>
        </w:tc>
        <w:tc>
          <w:tcPr>
            <w:tcW w:w="520" w:type="pct"/>
            <w:tcBorders>
              <w:top w:val="thinThickSmallGap" w:sz="24" w:space="0" w:color="auto"/>
              <w:left w:val="nil"/>
              <w:bottom w:val="single" w:sz="4" w:space="0" w:color="auto"/>
              <w:right w:val="nil"/>
            </w:tcBorders>
            <w:vAlign w:val="bottom"/>
            <w:hideMark/>
          </w:tcPr>
          <w:p w14:paraId="0CE7ADB2"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ç</w:t>
            </w:r>
          </w:p>
        </w:tc>
        <w:tc>
          <w:tcPr>
            <w:tcW w:w="493" w:type="pct"/>
            <w:tcBorders>
              <w:top w:val="thinThickSmallGap" w:sz="24" w:space="0" w:color="auto"/>
              <w:left w:val="nil"/>
              <w:bottom w:val="single" w:sz="4" w:space="0" w:color="auto"/>
              <w:right w:val="nil"/>
            </w:tcBorders>
            <w:vAlign w:val="bottom"/>
            <w:hideMark/>
          </w:tcPr>
          <w:p w14:paraId="2EFF3B3D"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w:t>
            </w:r>
          </w:p>
        </w:tc>
      </w:tr>
      <w:tr w:rsidR="007B2A90" w:rsidRPr="00FB38E1" w14:paraId="7725E13C" w14:textId="77777777" w:rsidTr="007B2A90">
        <w:trPr>
          <w:trHeight w:val="25"/>
        </w:trPr>
        <w:tc>
          <w:tcPr>
            <w:tcW w:w="190" w:type="pct"/>
          </w:tcPr>
          <w:p w14:paraId="0EF79315" w14:textId="77777777" w:rsidR="007B2A90" w:rsidRPr="00FB38E1" w:rsidRDefault="007B2A90">
            <w:pPr>
              <w:rPr>
                <w:rFonts w:ascii="Microsoft Sans Serif" w:hAnsi="Microsoft Sans Serif" w:cs="Microsoft Sans Serif"/>
                <w:b/>
                <w:bCs/>
                <w:color w:val="000000"/>
                <w:sz w:val="14"/>
                <w:szCs w:val="14"/>
              </w:rPr>
            </w:pPr>
          </w:p>
        </w:tc>
        <w:tc>
          <w:tcPr>
            <w:tcW w:w="2173" w:type="pct"/>
            <w:vAlign w:val="bottom"/>
          </w:tcPr>
          <w:p w14:paraId="4AD23EFB" w14:textId="77777777" w:rsidR="007B2A90" w:rsidRPr="00FB38E1" w:rsidRDefault="007B2A90">
            <w:pPr>
              <w:rPr>
                <w:rFonts w:ascii="Microsoft Sans Serif" w:hAnsi="Microsoft Sans Serif" w:cs="Microsoft Sans Serif"/>
                <w:b/>
                <w:bCs/>
                <w:color w:val="000000"/>
                <w:sz w:val="14"/>
                <w:szCs w:val="14"/>
              </w:rPr>
            </w:pPr>
          </w:p>
        </w:tc>
        <w:tc>
          <w:tcPr>
            <w:tcW w:w="2144" w:type="pct"/>
            <w:gridSpan w:val="4"/>
            <w:tcBorders>
              <w:top w:val="single" w:sz="4" w:space="0" w:color="auto"/>
              <w:left w:val="nil"/>
              <w:bottom w:val="single" w:sz="6" w:space="0" w:color="auto"/>
              <w:right w:val="nil"/>
            </w:tcBorders>
            <w:vAlign w:val="bottom"/>
            <w:hideMark/>
          </w:tcPr>
          <w:p w14:paraId="7EC6FF6B"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Kalan Vadesine Göre, Dikkate Alma Oranı Uygulanmamış Tutar</w:t>
            </w:r>
          </w:p>
        </w:tc>
        <w:tc>
          <w:tcPr>
            <w:tcW w:w="493" w:type="pct"/>
            <w:vMerge w:val="restart"/>
            <w:tcBorders>
              <w:top w:val="single" w:sz="4" w:space="0" w:color="auto"/>
              <w:left w:val="nil"/>
              <w:bottom w:val="single" w:sz="6" w:space="0" w:color="auto"/>
              <w:right w:val="nil"/>
            </w:tcBorders>
            <w:vAlign w:val="bottom"/>
            <w:hideMark/>
          </w:tcPr>
          <w:p w14:paraId="33419CB7"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color w:val="000000"/>
                <w:sz w:val="14"/>
                <w:szCs w:val="14"/>
              </w:rPr>
              <w:t>Dikkate Alma Oranı Uygulanmış Toplam Tutar</w:t>
            </w:r>
          </w:p>
        </w:tc>
      </w:tr>
      <w:tr w:rsidR="007B2A90" w:rsidRPr="00FB38E1" w14:paraId="442E76AE" w14:textId="77777777" w:rsidTr="007B2A90">
        <w:trPr>
          <w:trHeight w:val="25"/>
        </w:trPr>
        <w:tc>
          <w:tcPr>
            <w:tcW w:w="190" w:type="pct"/>
            <w:tcBorders>
              <w:top w:val="nil"/>
              <w:left w:val="nil"/>
              <w:bottom w:val="single" w:sz="6" w:space="0" w:color="auto"/>
              <w:right w:val="nil"/>
            </w:tcBorders>
          </w:tcPr>
          <w:p w14:paraId="033EA2F4" w14:textId="77777777" w:rsidR="007B2A90" w:rsidRPr="00FB38E1" w:rsidRDefault="007B2A90">
            <w:pPr>
              <w:rPr>
                <w:rFonts w:ascii="Microsoft Sans Serif" w:hAnsi="Microsoft Sans Serif" w:cs="Microsoft Sans Serif"/>
                <w:b/>
                <w:bCs/>
                <w:color w:val="000000"/>
                <w:sz w:val="14"/>
                <w:szCs w:val="14"/>
              </w:rPr>
            </w:pPr>
          </w:p>
        </w:tc>
        <w:tc>
          <w:tcPr>
            <w:tcW w:w="2173" w:type="pct"/>
            <w:tcBorders>
              <w:top w:val="nil"/>
              <w:left w:val="nil"/>
              <w:bottom w:val="single" w:sz="6" w:space="0" w:color="auto"/>
              <w:right w:val="nil"/>
            </w:tcBorders>
            <w:vAlign w:val="bottom"/>
          </w:tcPr>
          <w:p w14:paraId="14FE0A57" w14:textId="77777777" w:rsidR="007B2A90" w:rsidRPr="00FB38E1" w:rsidRDefault="007B2A90">
            <w:pPr>
              <w:rPr>
                <w:rFonts w:ascii="Microsoft Sans Serif" w:hAnsi="Microsoft Sans Serif" w:cs="Microsoft Sans Serif"/>
                <w:b/>
                <w:bCs/>
                <w:color w:val="000000"/>
                <w:sz w:val="14"/>
                <w:szCs w:val="14"/>
              </w:rPr>
            </w:pPr>
          </w:p>
        </w:tc>
        <w:tc>
          <w:tcPr>
            <w:tcW w:w="567" w:type="pct"/>
            <w:tcBorders>
              <w:top w:val="single" w:sz="6" w:space="0" w:color="auto"/>
              <w:left w:val="nil"/>
              <w:bottom w:val="single" w:sz="6" w:space="0" w:color="auto"/>
              <w:right w:val="nil"/>
            </w:tcBorders>
            <w:vAlign w:val="bottom"/>
            <w:hideMark/>
          </w:tcPr>
          <w:p w14:paraId="70DF58B6" w14:textId="77777777" w:rsidR="007B2A90" w:rsidRPr="00FB38E1" w:rsidRDefault="007B2A90">
            <w:pPr>
              <w:jc w:val="righ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Vadesiz</w:t>
            </w:r>
          </w:p>
        </w:tc>
        <w:tc>
          <w:tcPr>
            <w:tcW w:w="538" w:type="pct"/>
            <w:tcBorders>
              <w:top w:val="single" w:sz="6" w:space="0" w:color="auto"/>
              <w:left w:val="nil"/>
              <w:bottom w:val="single" w:sz="6" w:space="0" w:color="auto"/>
              <w:right w:val="nil"/>
            </w:tcBorders>
            <w:vAlign w:val="bottom"/>
            <w:hideMark/>
          </w:tcPr>
          <w:p w14:paraId="435B3C4C" w14:textId="77777777" w:rsidR="007B2A90" w:rsidRPr="00FB38E1" w:rsidRDefault="007B2A90">
            <w:pPr>
              <w:jc w:val="righ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6 Aydan Kısa Vadeli</w:t>
            </w:r>
          </w:p>
        </w:tc>
        <w:tc>
          <w:tcPr>
            <w:tcW w:w="519" w:type="pct"/>
            <w:tcBorders>
              <w:top w:val="single" w:sz="6" w:space="0" w:color="auto"/>
              <w:left w:val="nil"/>
              <w:bottom w:val="single" w:sz="6" w:space="0" w:color="auto"/>
              <w:right w:val="nil"/>
            </w:tcBorders>
            <w:vAlign w:val="bottom"/>
            <w:hideMark/>
          </w:tcPr>
          <w:p w14:paraId="1E2504F5" w14:textId="77777777" w:rsidR="007B2A90" w:rsidRPr="00FB38E1" w:rsidRDefault="007B2A90">
            <w:pPr>
              <w:jc w:val="righ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6 Ay ile 6 Aydan Uzun 1 Yıldan Kısa Vadeli</w:t>
            </w:r>
          </w:p>
        </w:tc>
        <w:tc>
          <w:tcPr>
            <w:tcW w:w="520" w:type="pct"/>
            <w:tcBorders>
              <w:top w:val="single" w:sz="6" w:space="0" w:color="auto"/>
              <w:left w:val="nil"/>
              <w:bottom w:val="single" w:sz="6" w:space="0" w:color="auto"/>
              <w:right w:val="nil"/>
            </w:tcBorders>
            <w:vAlign w:val="bottom"/>
            <w:hideMark/>
          </w:tcPr>
          <w:p w14:paraId="0D3BDA36" w14:textId="77777777" w:rsidR="007B2A90" w:rsidRPr="00FB38E1" w:rsidRDefault="007B2A90">
            <w:pPr>
              <w:jc w:val="righ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1 Yıl ve 1 Yıldan Uzun Vadeli</w:t>
            </w:r>
          </w:p>
        </w:tc>
        <w:tc>
          <w:tcPr>
            <w:tcW w:w="0" w:type="auto"/>
            <w:vMerge/>
            <w:tcBorders>
              <w:top w:val="single" w:sz="4" w:space="0" w:color="auto"/>
              <w:left w:val="nil"/>
              <w:bottom w:val="single" w:sz="6" w:space="0" w:color="auto"/>
              <w:right w:val="nil"/>
            </w:tcBorders>
            <w:vAlign w:val="center"/>
            <w:hideMark/>
          </w:tcPr>
          <w:p w14:paraId="4C2F0DBA" w14:textId="77777777" w:rsidR="007B2A90" w:rsidRPr="00FB38E1" w:rsidRDefault="007B2A90">
            <w:pPr>
              <w:rPr>
                <w:rFonts w:ascii="Microsoft Sans Serif" w:hAnsi="Microsoft Sans Serif" w:cs="Microsoft Sans Serif"/>
                <w:b/>
                <w:bCs/>
                <w:color w:val="000000"/>
                <w:sz w:val="14"/>
                <w:szCs w:val="14"/>
              </w:rPr>
            </w:pPr>
          </w:p>
        </w:tc>
      </w:tr>
      <w:tr w:rsidR="007B2A90" w:rsidRPr="00FB38E1" w14:paraId="1FC87A16" w14:textId="77777777" w:rsidTr="007B2A90">
        <w:trPr>
          <w:trHeight w:val="25"/>
        </w:trPr>
        <w:tc>
          <w:tcPr>
            <w:tcW w:w="5000" w:type="pct"/>
            <w:gridSpan w:val="7"/>
            <w:tcBorders>
              <w:top w:val="single" w:sz="6" w:space="0" w:color="auto"/>
              <w:left w:val="nil"/>
              <w:bottom w:val="single" w:sz="6" w:space="0" w:color="auto"/>
              <w:right w:val="nil"/>
            </w:tcBorders>
            <w:vAlign w:val="center"/>
            <w:hideMark/>
          </w:tcPr>
          <w:p w14:paraId="458BD072" w14:textId="77777777" w:rsidR="007B2A90" w:rsidRPr="00FB38E1" w:rsidRDefault="007B2A90">
            <w:pPr>
              <w:jc w:val="left"/>
              <w:rPr>
                <w:rFonts w:ascii="Microsoft Sans Serif" w:hAnsi="Microsoft Sans Serif" w:cs="Microsoft Sans Serif"/>
                <w:color w:val="000000"/>
                <w:sz w:val="14"/>
                <w:szCs w:val="14"/>
              </w:rPr>
            </w:pPr>
            <w:r w:rsidRPr="00FB38E1">
              <w:rPr>
                <w:rFonts w:ascii="Microsoft Sans Serif" w:hAnsi="Microsoft Sans Serif" w:cs="Microsoft Sans Serif"/>
                <w:b/>
                <w:bCs/>
                <w:color w:val="000000"/>
                <w:sz w:val="14"/>
                <w:szCs w:val="14"/>
              </w:rPr>
              <w:t>Mevcut İstikrarlı Fon</w:t>
            </w:r>
          </w:p>
        </w:tc>
      </w:tr>
      <w:tr w:rsidR="00E6597F" w:rsidRPr="00FB38E1" w14:paraId="2210CB42" w14:textId="77777777" w:rsidTr="007B2A90">
        <w:trPr>
          <w:trHeight w:val="25"/>
        </w:trPr>
        <w:tc>
          <w:tcPr>
            <w:tcW w:w="190" w:type="pct"/>
            <w:tcBorders>
              <w:top w:val="single" w:sz="6" w:space="0" w:color="auto"/>
              <w:left w:val="nil"/>
              <w:bottom w:val="nil"/>
              <w:right w:val="nil"/>
            </w:tcBorders>
            <w:tcMar>
              <w:top w:w="0" w:type="dxa"/>
              <w:left w:w="28" w:type="dxa"/>
              <w:bottom w:w="0" w:type="dxa"/>
              <w:right w:w="62" w:type="dxa"/>
            </w:tcMar>
            <w:hideMark/>
          </w:tcPr>
          <w:p w14:paraId="69005B35" w14:textId="77777777" w:rsidR="00E6597F" w:rsidRPr="00FB38E1" w:rsidRDefault="00E6597F" w:rsidP="00E6597F">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w:t>
            </w:r>
          </w:p>
        </w:tc>
        <w:tc>
          <w:tcPr>
            <w:tcW w:w="2173" w:type="pct"/>
            <w:tcBorders>
              <w:top w:val="single" w:sz="6" w:space="0" w:color="auto"/>
              <w:left w:val="nil"/>
              <w:bottom w:val="nil"/>
              <w:right w:val="nil"/>
            </w:tcBorders>
            <w:tcMar>
              <w:top w:w="0" w:type="dxa"/>
              <w:left w:w="0" w:type="dxa"/>
              <w:bottom w:w="0" w:type="dxa"/>
              <w:right w:w="62" w:type="dxa"/>
            </w:tcMar>
            <w:vAlign w:val="bottom"/>
            <w:hideMark/>
          </w:tcPr>
          <w:p w14:paraId="4DB7E974" w14:textId="77777777" w:rsidR="00E6597F" w:rsidRPr="00FB38E1" w:rsidRDefault="00E6597F" w:rsidP="00E6597F">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Özkaynak Unsurları</w:t>
            </w:r>
          </w:p>
        </w:tc>
        <w:tc>
          <w:tcPr>
            <w:tcW w:w="567" w:type="pct"/>
            <w:tcBorders>
              <w:top w:val="single" w:sz="6" w:space="0" w:color="auto"/>
              <w:left w:val="nil"/>
              <w:bottom w:val="nil"/>
              <w:right w:val="nil"/>
            </w:tcBorders>
            <w:vAlign w:val="center"/>
            <w:hideMark/>
          </w:tcPr>
          <w:p w14:paraId="2383E1E1" w14:textId="368C3B32" w:rsidR="00E6597F" w:rsidRPr="00FB38E1" w:rsidRDefault="00E6597F" w:rsidP="00E6597F">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w:t>
            </w:r>
          </w:p>
        </w:tc>
        <w:tc>
          <w:tcPr>
            <w:tcW w:w="538" w:type="pct"/>
            <w:tcBorders>
              <w:top w:val="single" w:sz="6" w:space="0" w:color="auto"/>
              <w:left w:val="nil"/>
              <w:bottom w:val="nil"/>
              <w:right w:val="nil"/>
            </w:tcBorders>
            <w:vAlign w:val="center"/>
            <w:hideMark/>
          </w:tcPr>
          <w:p w14:paraId="157D4D4E" w14:textId="55C01354" w:rsidR="00E6597F" w:rsidRPr="00FB38E1" w:rsidRDefault="00E6597F" w:rsidP="00E6597F">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w:t>
            </w:r>
          </w:p>
        </w:tc>
        <w:tc>
          <w:tcPr>
            <w:tcW w:w="519" w:type="pct"/>
            <w:tcBorders>
              <w:top w:val="single" w:sz="6" w:space="0" w:color="auto"/>
              <w:left w:val="nil"/>
              <w:bottom w:val="nil"/>
              <w:right w:val="nil"/>
            </w:tcBorders>
            <w:vAlign w:val="center"/>
            <w:hideMark/>
          </w:tcPr>
          <w:p w14:paraId="030B77A4" w14:textId="0BD06D13" w:rsidR="00E6597F" w:rsidRPr="00FB38E1" w:rsidRDefault="00E6597F" w:rsidP="00E6597F">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w:t>
            </w:r>
          </w:p>
        </w:tc>
        <w:tc>
          <w:tcPr>
            <w:tcW w:w="520" w:type="pct"/>
            <w:tcBorders>
              <w:top w:val="single" w:sz="6" w:space="0" w:color="auto"/>
              <w:left w:val="nil"/>
              <w:bottom w:val="nil"/>
              <w:right w:val="nil"/>
            </w:tcBorders>
            <w:vAlign w:val="center"/>
            <w:hideMark/>
          </w:tcPr>
          <w:p w14:paraId="69F97AEF" w14:textId="3F435219" w:rsidR="00E6597F" w:rsidRPr="00FB38E1" w:rsidRDefault="00E6597F" w:rsidP="00E6597F">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159</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493</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201</w:t>
            </w:r>
          </w:p>
        </w:tc>
        <w:tc>
          <w:tcPr>
            <w:tcW w:w="493" w:type="pct"/>
            <w:tcBorders>
              <w:top w:val="single" w:sz="6" w:space="0" w:color="auto"/>
              <w:left w:val="nil"/>
              <w:bottom w:val="nil"/>
              <w:right w:val="nil"/>
            </w:tcBorders>
            <w:vAlign w:val="center"/>
            <w:hideMark/>
          </w:tcPr>
          <w:p w14:paraId="22EE110C" w14:textId="07137BBA" w:rsidR="00E6597F" w:rsidRPr="00FB38E1" w:rsidRDefault="00E6597F" w:rsidP="00E6597F">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159</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493</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201</w:t>
            </w:r>
          </w:p>
        </w:tc>
      </w:tr>
      <w:tr w:rsidR="00E6597F" w:rsidRPr="00FB38E1" w14:paraId="587CBBD5" w14:textId="77777777" w:rsidTr="007B2A90">
        <w:trPr>
          <w:trHeight w:val="25"/>
        </w:trPr>
        <w:tc>
          <w:tcPr>
            <w:tcW w:w="190" w:type="pct"/>
            <w:tcMar>
              <w:top w:w="0" w:type="dxa"/>
              <w:left w:w="28" w:type="dxa"/>
              <w:bottom w:w="0" w:type="dxa"/>
              <w:right w:w="62" w:type="dxa"/>
            </w:tcMar>
            <w:hideMark/>
          </w:tcPr>
          <w:p w14:paraId="79526AE8" w14:textId="77777777" w:rsidR="00E6597F" w:rsidRPr="00FB38E1" w:rsidRDefault="00E6597F" w:rsidP="00E6597F">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w:t>
            </w:r>
          </w:p>
        </w:tc>
        <w:tc>
          <w:tcPr>
            <w:tcW w:w="2173" w:type="pct"/>
            <w:tcMar>
              <w:top w:w="0" w:type="dxa"/>
              <w:left w:w="227" w:type="dxa"/>
              <w:bottom w:w="0" w:type="dxa"/>
              <w:right w:w="62" w:type="dxa"/>
            </w:tcMar>
            <w:vAlign w:val="bottom"/>
            <w:hideMark/>
          </w:tcPr>
          <w:p w14:paraId="69DC2E81" w14:textId="77777777" w:rsidR="00E6597F" w:rsidRPr="00FB38E1" w:rsidRDefault="00E6597F" w:rsidP="00E6597F">
            <w:pPr>
              <w:ind w:left="100"/>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Ana sermaye ve katkı sermaye</w:t>
            </w:r>
          </w:p>
        </w:tc>
        <w:tc>
          <w:tcPr>
            <w:tcW w:w="567" w:type="pct"/>
            <w:vAlign w:val="center"/>
            <w:hideMark/>
          </w:tcPr>
          <w:p w14:paraId="3EF0FE2E" w14:textId="5A6F7443"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3E53F318" w14:textId="2F541385"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35A1A507" w14:textId="3B81B108"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1544D80F" w14:textId="69218BBC"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159</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493</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201</w:t>
            </w:r>
          </w:p>
        </w:tc>
        <w:tc>
          <w:tcPr>
            <w:tcW w:w="493" w:type="pct"/>
            <w:vAlign w:val="center"/>
            <w:hideMark/>
          </w:tcPr>
          <w:p w14:paraId="0D217B1D" w14:textId="41F89D4F"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159</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493</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201</w:t>
            </w:r>
          </w:p>
        </w:tc>
      </w:tr>
      <w:tr w:rsidR="00E6597F" w:rsidRPr="00FB38E1" w14:paraId="481050BD" w14:textId="77777777" w:rsidTr="007B2A90">
        <w:trPr>
          <w:trHeight w:val="25"/>
        </w:trPr>
        <w:tc>
          <w:tcPr>
            <w:tcW w:w="190" w:type="pct"/>
            <w:tcMar>
              <w:top w:w="0" w:type="dxa"/>
              <w:left w:w="28" w:type="dxa"/>
              <w:bottom w:w="0" w:type="dxa"/>
              <w:right w:w="62" w:type="dxa"/>
            </w:tcMar>
            <w:hideMark/>
          </w:tcPr>
          <w:p w14:paraId="443ED257" w14:textId="77777777" w:rsidR="00E6597F" w:rsidRPr="00FB38E1" w:rsidRDefault="00E6597F" w:rsidP="00E6597F">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w:t>
            </w:r>
          </w:p>
        </w:tc>
        <w:tc>
          <w:tcPr>
            <w:tcW w:w="2173" w:type="pct"/>
            <w:tcMar>
              <w:top w:w="0" w:type="dxa"/>
              <w:left w:w="227" w:type="dxa"/>
              <w:bottom w:w="0" w:type="dxa"/>
              <w:right w:w="62" w:type="dxa"/>
            </w:tcMar>
            <w:vAlign w:val="bottom"/>
            <w:hideMark/>
          </w:tcPr>
          <w:p w14:paraId="39182607" w14:textId="77777777" w:rsidR="00E6597F" w:rsidRPr="00FB38E1" w:rsidRDefault="00E6597F" w:rsidP="00E6597F">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Diğer özkaynak unsurları    </w:t>
            </w:r>
          </w:p>
        </w:tc>
        <w:tc>
          <w:tcPr>
            <w:tcW w:w="567" w:type="pct"/>
            <w:vAlign w:val="center"/>
            <w:hideMark/>
          </w:tcPr>
          <w:p w14:paraId="6E77ACE3" w14:textId="613D2187"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00307236" w14:textId="7C52710F"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5D9A2AE7" w14:textId="7A5A1529"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7E6CBCFA" w14:textId="045D05BE"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2C9AC1FA" w14:textId="6B315F57"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6597F" w:rsidRPr="00FB38E1" w14:paraId="7797B59D" w14:textId="77777777" w:rsidTr="007B2A90">
        <w:trPr>
          <w:trHeight w:val="25"/>
        </w:trPr>
        <w:tc>
          <w:tcPr>
            <w:tcW w:w="190" w:type="pct"/>
            <w:tcMar>
              <w:top w:w="0" w:type="dxa"/>
              <w:left w:w="28" w:type="dxa"/>
              <w:bottom w:w="0" w:type="dxa"/>
              <w:right w:w="62" w:type="dxa"/>
            </w:tcMar>
            <w:hideMark/>
          </w:tcPr>
          <w:p w14:paraId="34F62FFD" w14:textId="77777777" w:rsidR="00E6597F" w:rsidRPr="00FB38E1" w:rsidRDefault="00E6597F" w:rsidP="00E6597F">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w:t>
            </w:r>
          </w:p>
        </w:tc>
        <w:tc>
          <w:tcPr>
            <w:tcW w:w="2173" w:type="pct"/>
            <w:tcMar>
              <w:top w:w="0" w:type="dxa"/>
              <w:left w:w="0" w:type="dxa"/>
              <w:bottom w:w="0" w:type="dxa"/>
              <w:right w:w="62" w:type="dxa"/>
            </w:tcMar>
            <w:vAlign w:val="bottom"/>
            <w:hideMark/>
          </w:tcPr>
          <w:p w14:paraId="639BC1C4" w14:textId="77777777" w:rsidR="00E6597F" w:rsidRPr="00FB38E1" w:rsidRDefault="00E6597F" w:rsidP="00E6597F">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Gerçek kişi perakende müşteri mevduatı/katım fonu</w:t>
            </w:r>
          </w:p>
        </w:tc>
        <w:tc>
          <w:tcPr>
            <w:tcW w:w="567" w:type="pct"/>
            <w:vAlign w:val="center"/>
            <w:hideMark/>
          </w:tcPr>
          <w:p w14:paraId="696579A2" w14:textId="1A217B30"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126</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685</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839</w:t>
            </w:r>
          </w:p>
        </w:tc>
        <w:tc>
          <w:tcPr>
            <w:tcW w:w="538" w:type="pct"/>
            <w:vAlign w:val="center"/>
            <w:hideMark/>
          </w:tcPr>
          <w:p w14:paraId="74F8183C" w14:textId="040E1420" w:rsidR="00E6597F" w:rsidRPr="00FB38E1" w:rsidRDefault="00E6597F" w:rsidP="00E6597F">
            <w:pPr>
              <w:jc w:val="right"/>
              <w:rPr>
                <w:rFonts w:ascii="Microsoft Sans Serif" w:hAnsi="Microsoft Sans Serif" w:cs="Microsoft Sans Serif"/>
                <w:color w:val="404040"/>
                <w:sz w:val="14"/>
                <w:szCs w:val="14"/>
                <w:rtl/>
              </w:rPr>
            </w:pPr>
            <w:r w:rsidRPr="00FB38E1">
              <w:rPr>
                <w:rFonts w:ascii="Microsoft Sans Serif" w:hAnsi="Microsoft Sans Serif" w:cs="Microsoft Sans Serif"/>
                <w:color w:val="404040"/>
                <w:sz w:val="14"/>
                <w:szCs w:val="14"/>
              </w:rPr>
              <w:t>377</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149</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903</w:t>
            </w:r>
          </w:p>
        </w:tc>
        <w:tc>
          <w:tcPr>
            <w:tcW w:w="519" w:type="pct"/>
            <w:vAlign w:val="center"/>
            <w:hideMark/>
          </w:tcPr>
          <w:p w14:paraId="6CC6B493" w14:textId="018153CB"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178</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119</w:t>
            </w:r>
          </w:p>
        </w:tc>
        <w:tc>
          <w:tcPr>
            <w:tcW w:w="520" w:type="pct"/>
            <w:vAlign w:val="center"/>
            <w:hideMark/>
          </w:tcPr>
          <w:p w14:paraId="1E0A5222" w14:textId="5B0052AB"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726</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243</w:t>
            </w:r>
          </w:p>
        </w:tc>
        <w:tc>
          <w:tcPr>
            <w:tcW w:w="493" w:type="pct"/>
            <w:vAlign w:val="center"/>
            <w:hideMark/>
          </w:tcPr>
          <w:p w14:paraId="0CFD9708" w14:textId="48A8E0AD"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471</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880</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600</w:t>
            </w:r>
          </w:p>
        </w:tc>
      </w:tr>
      <w:tr w:rsidR="00E6597F" w:rsidRPr="00FB38E1" w14:paraId="52D6C4D3" w14:textId="77777777" w:rsidTr="007B2A90">
        <w:trPr>
          <w:trHeight w:val="25"/>
        </w:trPr>
        <w:tc>
          <w:tcPr>
            <w:tcW w:w="190" w:type="pct"/>
            <w:tcMar>
              <w:top w:w="0" w:type="dxa"/>
              <w:left w:w="28" w:type="dxa"/>
              <w:bottom w:w="0" w:type="dxa"/>
              <w:right w:w="62" w:type="dxa"/>
            </w:tcMar>
            <w:hideMark/>
          </w:tcPr>
          <w:p w14:paraId="121F5295" w14:textId="77777777" w:rsidR="00E6597F" w:rsidRPr="00FB38E1" w:rsidRDefault="00E6597F" w:rsidP="00E6597F">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w:t>
            </w:r>
          </w:p>
        </w:tc>
        <w:tc>
          <w:tcPr>
            <w:tcW w:w="2173" w:type="pct"/>
            <w:tcMar>
              <w:top w:w="0" w:type="dxa"/>
              <w:left w:w="227" w:type="dxa"/>
              <w:bottom w:w="0" w:type="dxa"/>
              <w:right w:w="62" w:type="dxa"/>
            </w:tcMar>
            <w:vAlign w:val="bottom"/>
            <w:hideMark/>
          </w:tcPr>
          <w:p w14:paraId="56AFCC0F" w14:textId="77777777" w:rsidR="00E6597F" w:rsidRPr="00FB38E1" w:rsidRDefault="00E6597F" w:rsidP="00E6597F">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İstikrarlı mevduat/katılım fonu</w:t>
            </w:r>
          </w:p>
        </w:tc>
        <w:tc>
          <w:tcPr>
            <w:tcW w:w="567" w:type="pct"/>
            <w:vAlign w:val="center"/>
            <w:hideMark/>
          </w:tcPr>
          <w:p w14:paraId="3134428D" w14:textId="16FFCEE7"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507</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932</w:t>
            </w:r>
          </w:p>
        </w:tc>
        <w:tc>
          <w:tcPr>
            <w:tcW w:w="538" w:type="pct"/>
            <w:vAlign w:val="center"/>
            <w:hideMark/>
          </w:tcPr>
          <w:p w14:paraId="3CE9F2AA" w14:textId="19E057E0"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56</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348</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319</w:t>
            </w:r>
          </w:p>
        </w:tc>
        <w:tc>
          <w:tcPr>
            <w:tcW w:w="519" w:type="pct"/>
            <w:vAlign w:val="center"/>
            <w:hideMark/>
          </w:tcPr>
          <w:p w14:paraId="760F3C9F" w14:textId="35286C36"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411</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244</w:t>
            </w:r>
          </w:p>
        </w:tc>
        <w:tc>
          <w:tcPr>
            <w:tcW w:w="520" w:type="pct"/>
            <w:vAlign w:val="center"/>
            <w:hideMark/>
          </w:tcPr>
          <w:p w14:paraId="419589EF" w14:textId="340489AE"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625</w:t>
            </w:r>
          </w:p>
        </w:tc>
        <w:tc>
          <w:tcPr>
            <w:tcW w:w="493" w:type="pct"/>
            <w:vAlign w:val="center"/>
            <w:hideMark/>
          </w:tcPr>
          <w:p w14:paraId="20D97E80" w14:textId="12C87C9A"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78</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175</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615</w:t>
            </w:r>
          </w:p>
        </w:tc>
      </w:tr>
      <w:tr w:rsidR="00E6597F" w:rsidRPr="00FB38E1" w14:paraId="77D7691C" w14:textId="77777777" w:rsidTr="007B2A90">
        <w:trPr>
          <w:trHeight w:val="25"/>
        </w:trPr>
        <w:tc>
          <w:tcPr>
            <w:tcW w:w="190" w:type="pct"/>
            <w:tcMar>
              <w:top w:w="0" w:type="dxa"/>
              <w:left w:w="28" w:type="dxa"/>
              <w:bottom w:w="0" w:type="dxa"/>
              <w:right w:w="62" w:type="dxa"/>
            </w:tcMar>
            <w:hideMark/>
          </w:tcPr>
          <w:p w14:paraId="1449A1B4" w14:textId="77777777" w:rsidR="00E6597F" w:rsidRPr="00FB38E1" w:rsidRDefault="00E6597F" w:rsidP="00E6597F">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w:t>
            </w:r>
          </w:p>
        </w:tc>
        <w:tc>
          <w:tcPr>
            <w:tcW w:w="2173" w:type="pct"/>
            <w:tcMar>
              <w:top w:w="0" w:type="dxa"/>
              <w:left w:w="227" w:type="dxa"/>
              <w:bottom w:w="0" w:type="dxa"/>
              <w:right w:w="62" w:type="dxa"/>
            </w:tcMar>
            <w:vAlign w:val="bottom"/>
            <w:hideMark/>
          </w:tcPr>
          <w:p w14:paraId="67CD4211" w14:textId="77777777" w:rsidR="00E6597F" w:rsidRPr="00FB38E1" w:rsidRDefault="00E6597F" w:rsidP="00E6597F">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Düşük istikrarlı mevduat/katılım fonu</w:t>
            </w:r>
          </w:p>
        </w:tc>
        <w:tc>
          <w:tcPr>
            <w:tcW w:w="567" w:type="pct"/>
            <w:vAlign w:val="center"/>
            <w:hideMark/>
          </w:tcPr>
          <w:p w14:paraId="486C718C" w14:textId="48300415"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101</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177</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907</w:t>
            </w:r>
          </w:p>
        </w:tc>
        <w:tc>
          <w:tcPr>
            <w:tcW w:w="538" w:type="pct"/>
            <w:vAlign w:val="center"/>
            <w:hideMark/>
          </w:tcPr>
          <w:p w14:paraId="034CECDE" w14:textId="6AB35E03"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320</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801</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583</w:t>
            </w:r>
          </w:p>
        </w:tc>
        <w:tc>
          <w:tcPr>
            <w:tcW w:w="519" w:type="pct"/>
            <w:vAlign w:val="center"/>
            <w:hideMark/>
          </w:tcPr>
          <w:p w14:paraId="3927AE6E" w14:textId="7123B2B0"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766</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875</w:t>
            </w:r>
          </w:p>
        </w:tc>
        <w:tc>
          <w:tcPr>
            <w:tcW w:w="520" w:type="pct"/>
            <w:vAlign w:val="center"/>
            <w:hideMark/>
          </w:tcPr>
          <w:p w14:paraId="425B8B21" w14:textId="66A53ABC"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703</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618</w:t>
            </w:r>
          </w:p>
        </w:tc>
        <w:tc>
          <w:tcPr>
            <w:tcW w:w="493" w:type="pct"/>
            <w:vAlign w:val="center"/>
            <w:hideMark/>
          </w:tcPr>
          <w:p w14:paraId="4CF54150" w14:textId="0170B9BD"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393</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704</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985</w:t>
            </w:r>
          </w:p>
        </w:tc>
      </w:tr>
      <w:tr w:rsidR="00E6597F" w:rsidRPr="00FB38E1" w14:paraId="11E3C623" w14:textId="77777777" w:rsidTr="007B2A90">
        <w:trPr>
          <w:trHeight w:val="25"/>
        </w:trPr>
        <w:tc>
          <w:tcPr>
            <w:tcW w:w="190" w:type="pct"/>
            <w:tcMar>
              <w:top w:w="0" w:type="dxa"/>
              <w:left w:w="28" w:type="dxa"/>
              <w:bottom w:w="0" w:type="dxa"/>
              <w:right w:w="62" w:type="dxa"/>
            </w:tcMar>
            <w:hideMark/>
          </w:tcPr>
          <w:p w14:paraId="1DE84937" w14:textId="77777777" w:rsidR="00E6597F" w:rsidRPr="00FB38E1" w:rsidRDefault="00E6597F" w:rsidP="00E6597F">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w:t>
            </w:r>
          </w:p>
        </w:tc>
        <w:tc>
          <w:tcPr>
            <w:tcW w:w="2173" w:type="pct"/>
            <w:tcMar>
              <w:top w:w="0" w:type="dxa"/>
              <w:left w:w="0" w:type="dxa"/>
              <w:bottom w:w="0" w:type="dxa"/>
              <w:right w:w="62" w:type="dxa"/>
            </w:tcMar>
            <w:vAlign w:val="bottom"/>
            <w:hideMark/>
          </w:tcPr>
          <w:p w14:paraId="734D8823" w14:textId="77777777" w:rsidR="00E6597F" w:rsidRPr="00FB38E1" w:rsidRDefault="00E6597F" w:rsidP="00E6597F">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kişilere borçlar</w:t>
            </w:r>
          </w:p>
        </w:tc>
        <w:tc>
          <w:tcPr>
            <w:tcW w:w="567" w:type="pct"/>
            <w:vAlign w:val="center"/>
            <w:hideMark/>
          </w:tcPr>
          <w:p w14:paraId="006C99A9" w14:textId="00725487"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614F8E15" w14:textId="69FEC2A6"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378</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621</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159</w:t>
            </w:r>
          </w:p>
        </w:tc>
        <w:tc>
          <w:tcPr>
            <w:tcW w:w="519" w:type="pct"/>
            <w:vAlign w:val="center"/>
            <w:hideMark/>
          </w:tcPr>
          <w:p w14:paraId="440AA37B" w14:textId="03753B47"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113</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588</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945</w:t>
            </w:r>
          </w:p>
        </w:tc>
        <w:tc>
          <w:tcPr>
            <w:tcW w:w="520" w:type="pct"/>
            <w:vAlign w:val="center"/>
            <w:hideMark/>
          </w:tcPr>
          <w:p w14:paraId="672E818B" w14:textId="48DFFE0B"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49</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067</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761</w:t>
            </w:r>
          </w:p>
        </w:tc>
        <w:tc>
          <w:tcPr>
            <w:tcW w:w="493" w:type="pct"/>
            <w:vAlign w:val="center"/>
            <w:hideMark/>
          </w:tcPr>
          <w:p w14:paraId="7E2CA5DB" w14:textId="32A5CC10"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200</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712</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920</w:t>
            </w:r>
          </w:p>
        </w:tc>
      </w:tr>
      <w:tr w:rsidR="00E6597F" w:rsidRPr="00FB38E1" w14:paraId="75BC2DF6" w14:textId="77777777" w:rsidTr="007B2A90">
        <w:trPr>
          <w:trHeight w:val="126"/>
        </w:trPr>
        <w:tc>
          <w:tcPr>
            <w:tcW w:w="190" w:type="pct"/>
            <w:tcMar>
              <w:top w:w="0" w:type="dxa"/>
              <w:left w:w="28" w:type="dxa"/>
              <w:bottom w:w="0" w:type="dxa"/>
              <w:right w:w="62" w:type="dxa"/>
            </w:tcMar>
            <w:hideMark/>
          </w:tcPr>
          <w:p w14:paraId="6A34DEB1" w14:textId="77777777" w:rsidR="00E6597F" w:rsidRPr="00FB38E1" w:rsidRDefault="00E6597F" w:rsidP="00E6597F">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w:t>
            </w:r>
          </w:p>
        </w:tc>
        <w:tc>
          <w:tcPr>
            <w:tcW w:w="2173" w:type="pct"/>
            <w:tcMar>
              <w:top w:w="0" w:type="dxa"/>
              <w:left w:w="227" w:type="dxa"/>
              <w:bottom w:w="0" w:type="dxa"/>
              <w:right w:w="62" w:type="dxa"/>
            </w:tcMar>
            <w:vAlign w:val="bottom"/>
            <w:hideMark/>
          </w:tcPr>
          <w:p w14:paraId="09500C10" w14:textId="77777777" w:rsidR="00E6597F" w:rsidRPr="00FB38E1" w:rsidRDefault="00E6597F" w:rsidP="00E6597F">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Operasyonel mevduat/katılım fonu </w:t>
            </w:r>
          </w:p>
        </w:tc>
        <w:tc>
          <w:tcPr>
            <w:tcW w:w="567" w:type="pct"/>
            <w:vAlign w:val="center"/>
            <w:hideMark/>
          </w:tcPr>
          <w:p w14:paraId="5EEB7A88" w14:textId="5DB6AFB0"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0AC8A081" w14:textId="6269FA94"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168</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273</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386</w:t>
            </w:r>
          </w:p>
        </w:tc>
        <w:tc>
          <w:tcPr>
            <w:tcW w:w="519" w:type="pct"/>
            <w:vAlign w:val="center"/>
            <w:hideMark/>
          </w:tcPr>
          <w:p w14:paraId="4DC23A52" w14:textId="7F12B27B"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259</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414</w:t>
            </w:r>
          </w:p>
        </w:tc>
        <w:tc>
          <w:tcPr>
            <w:tcW w:w="520" w:type="pct"/>
            <w:vAlign w:val="center"/>
            <w:hideMark/>
          </w:tcPr>
          <w:p w14:paraId="2F44443E" w14:textId="568D72DF"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68FAB9F0" w14:textId="60AB3EB8"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88</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266</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400</w:t>
            </w:r>
          </w:p>
        </w:tc>
      </w:tr>
      <w:tr w:rsidR="00E6597F" w:rsidRPr="00FB38E1" w14:paraId="444EA960" w14:textId="77777777" w:rsidTr="007B2A90">
        <w:trPr>
          <w:trHeight w:val="25"/>
        </w:trPr>
        <w:tc>
          <w:tcPr>
            <w:tcW w:w="190" w:type="pct"/>
            <w:tcMar>
              <w:top w:w="0" w:type="dxa"/>
              <w:left w:w="28" w:type="dxa"/>
              <w:bottom w:w="0" w:type="dxa"/>
              <w:right w:w="62" w:type="dxa"/>
            </w:tcMar>
            <w:hideMark/>
          </w:tcPr>
          <w:p w14:paraId="4F3C2749" w14:textId="77777777" w:rsidR="00E6597F" w:rsidRPr="00FB38E1" w:rsidRDefault="00E6597F" w:rsidP="00E6597F">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w:t>
            </w:r>
          </w:p>
        </w:tc>
        <w:tc>
          <w:tcPr>
            <w:tcW w:w="2173" w:type="pct"/>
            <w:tcMar>
              <w:top w:w="0" w:type="dxa"/>
              <w:left w:w="227" w:type="dxa"/>
              <w:bottom w:w="0" w:type="dxa"/>
              <w:right w:w="62" w:type="dxa"/>
            </w:tcMar>
            <w:vAlign w:val="bottom"/>
            <w:hideMark/>
          </w:tcPr>
          <w:p w14:paraId="51BBEB2B" w14:textId="77777777" w:rsidR="00E6597F" w:rsidRPr="00FB38E1" w:rsidRDefault="00E6597F" w:rsidP="00E6597F">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borçlar</w:t>
            </w:r>
          </w:p>
        </w:tc>
        <w:tc>
          <w:tcPr>
            <w:tcW w:w="567" w:type="pct"/>
            <w:vAlign w:val="center"/>
            <w:hideMark/>
          </w:tcPr>
          <w:p w14:paraId="3139ADAF" w14:textId="27666A94"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0CC8DCFB" w14:textId="1817ADC7"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210</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347</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772</w:t>
            </w:r>
          </w:p>
        </w:tc>
        <w:tc>
          <w:tcPr>
            <w:tcW w:w="519" w:type="pct"/>
            <w:vAlign w:val="center"/>
            <w:hideMark/>
          </w:tcPr>
          <w:p w14:paraId="10D24AD3" w14:textId="115247FF"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105</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329</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531</w:t>
            </w:r>
          </w:p>
        </w:tc>
        <w:tc>
          <w:tcPr>
            <w:tcW w:w="520" w:type="pct"/>
            <w:vAlign w:val="center"/>
            <w:hideMark/>
          </w:tcPr>
          <w:p w14:paraId="6E8D389F" w14:textId="283FDE92"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49</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067</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761</w:t>
            </w:r>
          </w:p>
        </w:tc>
        <w:tc>
          <w:tcPr>
            <w:tcW w:w="493" w:type="pct"/>
            <w:vAlign w:val="center"/>
            <w:hideMark/>
          </w:tcPr>
          <w:p w14:paraId="3AC21FE7" w14:textId="621A5965" w:rsidR="00E6597F" w:rsidRPr="00FB38E1" w:rsidRDefault="00E6597F" w:rsidP="00E6597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112</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446</w:t>
            </w:r>
            <w:r w:rsidR="00862674" w:rsidRPr="00FB38E1">
              <w:rPr>
                <w:rFonts w:ascii="Microsoft Sans Serif" w:hAnsi="Microsoft Sans Serif" w:cs="Microsoft Sans Serif"/>
                <w:color w:val="404040"/>
                <w:sz w:val="14"/>
                <w:szCs w:val="14"/>
              </w:rPr>
              <w:t>.</w:t>
            </w:r>
            <w:r w:rsidRPr="00FB38E1">
              <w:rPr>
                <w:rFonts w:ascii="Microsoft Sans Serif" w:hAnsi="Microsoft Sans Serif" w:cs="Microsoft Sans Serif"/>
                <w:color w:val="404040"/>
                <w:sz w:val="14"/>
                <w:szCs w:val="14"/>
              </w:rPr>
              <w:t>520</w:t>
            </w:r>
          </w:p>
        </w:tc>
      </w:tr>
      <w:tr w:rsidR="007B2A90" w:rsidRPr="00FB38E1" w14:paraId="04F08696" w14:textId="77777777" w:rsidTr="007B2A90">
        <w:trPr>
          <w:trHeight w:val="25"/>
        </w:trPr>
        <w:tc>
          <w:tcPr>
            <w:tcW w:w="190" w:type="pct"/>
            <w:tcMar>
              <w:top w:w="0" w:type="dxa"/>
              <w:left w:w="28" w:type="dxa"/>
              <w:bottom w:w="0" w:type="dxa"/>
              <w:right w:w="62" w:type="dxa"/>
            </w:tcMar>
            <w:hideMark/>
          </w:tcPr>
          <w:p w14:paraId="18C49428"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w:t>
            </w:r>
          </w:p>
        </w:tc>
        <w:tc>
          <w:tcPr>
            <w:tcW w:w="2173" w:type="pct"/>
            <w:tcMar>
              <w:top w:w="0" w:type="dxa"/>
              <w:left w:w="0" w:type="dxa"/>
              <w:bottom w:w="0" w:type="dxa"/>
              <w:right w:w="62" w:type="dxa"/>
            </w:tcMar>
            <w:vAlign w:val="bottom"/>
            <w:hideMark/>
          </w:tcPr>
          <w:p w14:paraId="4874728F"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Birbirine bağlı varlıklara eşdeğer yükümlülükler</w:t>
            </w:r>
          </w:p>
        </w:tc>
        <w:tc>
          <w:tcPr>
            <w:tcW w:w="567" w:type="pct"/>
            <w:shd w:val="clear" w:color="auto" w:fill="000000" w:themeFill="text1"/>
            <w:vAlign w:val="center"/>
            <w:hideMark/>
          </w:tcPr>
          <w:p w14:paraId="365BC259"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793BA778"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shd w:val="clear" w:color="auto" w:fill="000000" w:themeFill="text1"/>
            <w:vAlign w:val="center"/>
            <w:hideMark/>
          </w:tcPr>
          <w:p w14:paraId="0094B05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633CC18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2CD866E7"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7B2A90" w:rsidRPr="00FB38E1" w14:paraId="06523F6D" w14:textId="77777777" w:rsidTr="007B2A90">
        <w:trPr>
          <w:trHeight w:val="25"/>
        </w:trPr>
        <w:tc>
          <w:tcPr>
            <w:tcW w:w="190" w:type="pct"/>
            <w:tcMar>
              <w:top w:w="0" w:type="dxa"/>
              <w:left w:w="28" w:type="dxa"/>
              <w:bottom w:w="0" w:type="dxa"/>
              <w:right w:w="62" w:type="dxa"/>
            </w:tcMar>
            <w:hideMark/>
          </w:tcPr>
          <w:p w14:paraId="1A67D3BA"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w:t>
            </w:r>
          </w:p>
        </w:tc>
        <w:tc>
          <w:tcPr>
            <w:tcW w:w="2173" w:type="pct"/>
            <w:tcMar>
              <w:top w:w="0" w:type="dxa"/>
              <w:left w:w="0" w:type="dxa"/>
              <w:bottom w:w="0" w:type="dxa"/>
              <w:right w:w="62" w:type="dxa"/>
            </w:tcMar>
            <w:vAlign w:val="bottom"/>
            <w:hideMark/>
          </w:tcPr>
          <w:p w14:paraId="1C3258FE"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Yükümlülükler</w:t>
            </w:r>
          </w:p>
        </w:tc>
        <w:tc>
          <w:tcPr>
            <w:tcW w:w="567" w:type="pct"/>
            <w:vAlign w:val="center"/>
            <w:hideMark/>
          </w:tcPr>
          <w:p w14:paraId="528CDA9E" w14:textId="694E5037"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124.047.284</w:t>
            </w:r>
          </w:p>
        </w:tc>
        <w:tc>
          <w:tcPr>
            <w:tcW w:w="538" w:type="pct"/>
            <w:tcBorders>
              <w:top w:val="nil"/>
              <w:left w:val="nil"/>
              <w:bottom w:val="single" w:sz="4" w:space="0" w:color="404040" w:themeColor="text1" w:themeTint="BF"/>
              <w:right w:val="nil"/>
            </w:tcBorders>
            <w:vAlign w:val="center"/>
            <w:hideMark/>
          </w:tcPr>
          <w:p w14:paraId="00ABD12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tcBorders>
              <w:top w:val="nil"/>
              <w:left w:val="nil"/>
              <w:bottom w:val="single" w:sz="4" w:space="0" w:color="404040" w:themeColor="text1" w:themeTint="BF"/>
              <w:right w:val="nil"/>
            </w:tcBorders>
            <w:vAlign w:val="center"/>
            <w:hideMark/>
          </w:tcPr>
          <w:p w14:paraId="5A83219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tcBorders>
              <w:top w:val="nil"/>
              <w:left w:val="nil"/>
              <w:bottom w:val="single" w:sz="4" w:space="0" w:color="404040" w:themeColor="text1" w:themeTint="BF"/>
              <w:right w:val="nil"/>
            </w:tcBorders>
            <w:vAlign w:val="center"/>
            <w:hideMark/>
          </w:tcPr>
          <w:p w14:paraId="73ABF9E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279E7DF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70796E0C" w14:textId="77777777" w:rsidTr="007B2A90">
        <w:trPr>
          <w:trHeight w:val="25"/>
        </w:trPr>
        <w:tc>
          <w:tcPr>
            <w:tcW w:w="190" w:type="pct"/>
            <w:tcMar>
              <w:top w:w="0" w:type="dxa"/>
              <w:left w:w="28" w:type="dxa"/>
              <w:bottom w:w="0" w:type="dxa"/>
              <w:right w:w="62" w:type="dxa"/>
            </w:tcMar>
            <w:hideMark/>
          </w:tcPr>
          <w:p w14:paraId="1C57E6E8"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w:t>
            </w:r>
          </w:p>
        </w:tc>
        <w:tc>
          <w:tcPr>
            <w:tcW w:w="2173" w:type="pct"/>
            <w:tcMar>
              <w:top w:w="0" w:type="dxa"/>
              <w:left w:w="227" w:type="dxa"/>
              <w:bottom w:w="0" w:type="dxa"/>
              <w:right w:w="62" w:type="dxa"/>
            </w:tcMar>
            <w:vAlign w:val="bottom"/>
            <w:hideMark/>
          </w:tcPr>
          <w:p w14:paraId="73420F7F"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yükümlülükler</w:t>
            </w:r>
          </w:p>
        </w:tc>
        <w:tc>
          <w:tcPr>
            <w:tcW w:w="567" w:type="pct"/>
            <w:tcBorders>
              <w:top w:val="nil"/>
              <w:left w:val="nil"/>
              <w:bottom w:val="nil"/>
              <w:right w:val="single" w:sz="4" w:space="0" w:color="404040" w:themeColor="text1" w:themeTint="BF"/>
            </w:tcBorders>
            <w:shd w:val="clear" w:color="auto" w:fill="000000" w:themeFill="text1"/>
            <w:vAlign w:val="bottom"/>
          </w:tcPr>
          <w:p w14:paraId="48596456" w14:textId="77777777" w:rsidR="007B2A90" w:rsidRPr="00FB38E1" w:rsidRDefault="007B2A90">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bottom"/>
            <w:hideMark/>
          </w:tcPr>
          <w:p w14:paraId="286B11FB" w14:textId="7AA0AC2C" w:rsidR="007B2A90" w:rsidRPr="00FB38E1" w:rsidRDefault="00862674" w:rsidP="00862674">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4.666.007</w:t>
            </w:r>
          </w:p>
        </w:tc>
        <w:tc>
          <w:tcPr>
            <w:tcW w:w="493" w:type="pct"/>
            <w:tcBorders>
              <w:top w:val="nil"/>
              <w:left w:val="single" w:sz="4" w:space="0" w:color="404040" w:themeColor="text1" w:themeTint="BF"/>
              <w:bottom w:val="nil"/>
              <w:right w:val="nil"/>
            </w:tcBorders>
            <w:shd w:val="clear" w:color="auto" w:fill="000000" w:themeFill="text1"/>
            <w:vAlign w:val="bottom"/>
          </w:tcPr>
          <w:p w14:paraId="2E9DA2C0" w14:textId="77777777" w:rsidR="007B2A90" w:rsidRPr="00FB38E1" w:rsidRDefault="007B2A90">
            <w:pPr>
              <w:jc w:val="right"/>
              <w:rPr>
                <w:rFonts w:ascii="Microsoft Sans Serif" w:hAnsi="Microsoft Sans Serif" w:cs="Microsoft Sans Serif"/>
                <w:color w:val="404040"/>
                <w:sz w:val="14"/>
                <w:szCs w:val="14"/>
              </w:rPr>
            </w:pPr>
          </w:p>
        </w:tc>
      </w:tr>
      <w:tr w:rsidR="007B2A90" w:rsidRPr="00FB38E1" w14:paraId="46511452" w14:textId="77777777" w:rsidTr="007B2A90">
        <w:trPr>
          <w:trHeight w:val="25"/>
        </w:trPr>
        <w:tc>
          <w:tcPr>
            <w:tcW w:w="190" w:type="pct"/>
            <w:tcMar>
              <w:top w:w="0" w:type="dxa"/>
              <w:left w:w="28" w:type="dxa"/>
              <w:bottom w:w="0" w:type="dxa"/>
              <w:right w:w="62" w:type="dxa"/>
            </w:tcMar>
            <w:hideMark/>
          </w:tcPr>
          <w:p w14:paraId="7D7FBB71"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w:t>
            </w:r>
          </w:p>
        </w:tc>
        <w:tc>
          <w:tcPr>
            <w:tcW w:w="2173" w:type="pct"/>
            <w:tcMar>
              <w:top w:w="0" w:type="dxa"/>
              <w:left w:w="227" w:type="dxa"/>
              <w:bottom w:w="0" w:type="dxa"/>
              <w:right w:w="62" w:type="dxa"/>
            </w:tcMar>
            <w:vAlign w:val="bottom"/>
            <w:hideMark/>
          </w:tcPr>
          <w:p w14:paraId="2846CC46"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Yukarıda yer almayan diğer özkaynak unsurları ve yükümlülükler</w:t>
            </w:r>
          </w:p>
        </w:tc>
        <w:tc>
          <w:tcPr>
            <w:tcW w:w="567" w:type="pct"/>
            <w:vAlign w:val="center"/>
            <w:hideMark/>
          </w:tcPr>
          <w:p w14:paraId="3F175466" w14:textId="63AC2B04"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119.381.277</w:t>
            </w:r>
          </w:p>
        </w:tc>
        <w:tc>
          <w:tcPr>
            <w:tcW w:w="538" w:type="pct"/>
            <w:tcBorders>
              <w:top w:val="single" w:sz="4" w:space="0" w:color="404040" w:themeColor="text1" w:themeTint="BF"/>
              <w:left w:val="nil"/>
              <w:bottom w:val="nil"/>
              <w:right w:val="nil"/>
            </w:tcBorders>
            <w:vAlign w:val="center"/>
            <w:hideMark/>
          </w:tcPr>
          <w:p w14:paraId="7D0DA504"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0F80941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52BE507B"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6A2270D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504F6844" w14:textId="77777777" w:rsidTr="007B2A90">
        <w:trPr>
          <w:trHeight w:val="25"/>
        </w:trPr>
        <w:tc>
          <w:tcPr>
            <w:tcW w:w="190" w:type="pct"/>
            <w:tcBorders>
              <w:top w:val="nil"/>
              <w:left w:val="nil"/>
              <w:bottom w:val="single" w:sz="4" w:space="0" w:color="auto"/>
              <w:right w:val="nil"/>
            </w:tcBorders>
            <w:tcMar>
              <w:top w:w="0" w:type="dxa"/>
              <w:left w:w="28" w:type="dxa"/>
              <w:bottom w:w="0" w:type="dxa"/>
              <w:right w:w="62" w:type="dxa"/>
            </w:tcMar>
            <w:hideMark/>
          </w:tcPr>
          <w:p w14:paraId="2F856A8D"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w:t>
            </w:r>
          </w:p>
        </w:tc>
        <w:tc>
          <w:tcPr>
            <w:tcW w:w="2173" w:type="pct"/>
            <w:tcBorders>
              <w:top w:val="nil"/>
              <w:left w:val="nil"/>
              <w:bottom w:val="single" w:sz="4" w:space="0" w:color="auto"/>
              <w:right w:val="nil"/>
            </w:tcBorders>
            <w:tcMar>
              <w:top w:w="0" w:type="dxa"/>
              <w:left w:w="0" w:type="dxa"/>
              <w:bottom w:w="0" w:type="dxa"/>
              <w:right w:w="62" w:type="dxa"/>
            </w:tcMar>
            <w:vAlign w:val="bottom"/>
            <w:hideMark/>
          </w:tcPr>
          <w:p w14:paraId="2C55781E"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Mevcut istikrarlı fon</w:t>
            </w:r>
          </w:p>
        </w:tc>
        <w:tc>
          <w:tcPr>
            <w:tcW w:w="567" w:type="pct"/>
            <w:tcBorders>
              <w:top w:val="nil"/>
              <w:left w:val="nil"/>
              <w:bottom w:val="single" w:sz="4" w:space="0" w:color="auto"/>
              <w:right w:val="nil"/>
            </w:tcBorders>
            <w:shd w:val="clear" w:color="auto" w:fill="000000" w:themeFill="text1"/>
            <w:vAlign w:val="center"/>
            <w:hideMark/>
          </w:tcPr>
          <w:p w14:paraId="65EDE90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38" w:type="pct"/>
            <w:tcBorders>
              <w:top w:val="nil"/>
              <w:left w:val="nil"/>
              <w:bottom w:val="single" w:sz="4" w:space="0" w:color="auto"/>
              <w:right w:val="nil"/>
            </w:tcBorders>
            <w:shd w:val="clear" w:color="auto" w:fill="000000" w:themeFill="text1"/>
            <w:vAlign w:val="center"/>
            <w:hideMark/>
          </w:tcPr>
          <w:p w14:paraId="731141A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19" w:type="pct"/>
            <w:tcBorders>
              <w:top w:val="nil"/>
              <w:left w:val="nil"/>
              <w:bottom w:val="single" w:sz="4" w:space="0" w:color="auto"/>
              <w:right w:val="nil"/>
            </w:tcBorders>
            <w:shd w:val="clear" w:color="auto" w:fill="000000" w:themeFill="text1"/>
            <w:vAlign w:val="center"/>
            <w:hideMark/>
          </w:tcPr>
          <w:p w14:paraId="78107F87"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20" w:type="pct"/>
            <w:tcBorders>
              <w:top w:val="nil"/>
              <w:left w:val="nil"/>
              <w:bottom w:val="single" w:sz="4" w:space="0" w:color="auto"/>
              <w:right w:val="nil"/>
            </w:tcBorders>
            <w:shd w:val="clear" w:color="auto" w:fill="000000" w:themeFill="text1"/>
            <w:vAlign w:val="center"/>
            <w:hideMark/>
          </w:tcPr>
          <w:p w14:paraId="2BF9528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493" w:type="pct"/>
            <w:tcBorders>
              <w:top w:val="nil"/>
              <w:left w:val="nil"/>
              <w:bottom w:val="single" w:sz="4" w:space="0" w:color="auto"/>
              <w:right w:val="nil"/>
            </w:tcBorders>
            <w:vAlign w:val="center"/>
            <w:hideMark/>
          </w:tcPr>
          <w:p w14:paraId="16E0FCD0" w14:textId="1E6F93B3"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832.086.721</w:t>
            </w:r>
          </w:p>
        </w:tc>
      </w:tr>
      <w:tr w:rsidR="007B2A90" w:rsidRPr="00FB38E1" w14:paraId="247EABC6" w14:textId="77777777" w:rsidTr="007B2A90">
        <w:trPr>
          <w:trHeight w:val="25"/>
        </w:trPr>
        <w:tc>
          <w:tcPr>
            <w:tcW w:w="5000" w:type="pct"/>
            <w:gridSpan w:val="7"/>
            <w:tcBorders>
              <w:top w:val="single" w:sz="4" w:space="0" w:color="auto"/>
              <w:left w:val="nil"/>
              <w:bottom w:val="single" w:sz="4" w:space="0" w:color="auto"/>
              <w:right w:val="nil"/>
            </w:tcBorders>
            <w:tcMar>
              <w:top w:w="0" w:type="dxa"/>
              <w:left w:w="28" w:type="dxa"/>
              <w:bottom w:w="0" w:type="dxa"/>
              <w:right w:w="62" w:type="dxa"/>
            </w:tcMar>
            <w:vAlign w:val="bottom"/>
            <w:hideMark/>
          </w:tcPr>
          <w:p w14:paraId="115FD518" w14:textId="77777777" w:rsidR="007B2A90" w:rsidRPr="00FB38E1" w:rsidRDefault="007B2A90">
            <w:pPr>
              <w:jc w:val="left"/>
              <w:rPr>
                <w:rFonts w:ascii="Microsoft Sans Serif" w:hAnsi="Microsoft Sans Serif" w:cs="Microsoft Sans Serif"/>
                <w:b/>
                <w:color w:val="000000"/>
                <w:sz w:val="14"/>
                <w:szCs w:val="14"/>
              </w:rPr>
            </w:pPr>
            <w:r w:rsidRPr="00FB38E1">
              <w:rPr>
                <w:rFonts w:ascii="Microsoft Sans Serif" w:hAnsi="Microsoft Sans Serif" w:cs="Microsoft Sans Serif"/>
                <w:b/>
                <w:bCs/>
                <w:color w:val="000000"/>
                <w:sz w:val="14"/>
                <w:szCs w:val="14"/>
              </w:rPr>
              <w:t>Gerekli İstikrarlı Fon</w:t>
            </w:r>
          </w:p>
        </w:tc>
      </w:tr>
      <w:tr w:rsidR="007B2A90" w:rsidRPr="00FB38E1" w14:paraId="3954D2B6" w14:textId="77777777" w:rsidTr="007B2A90">
        <w:trPr>
          <w:trHeight w:val="25"/>
        </w:trPr>
        <w:tc>
          <w:tcPr>
            <w:tcW w:w="190" w:type="pct"/>
            <w:tcBorders>
              <w:top w:val="single" w:sz="4" w:space="0" w:color="auto"/>
              <w:left w:val="nil"/>
              <w:bottom w:val="nil"/>
              <w:right w:val="nil"/>
            </w:tcBorders>
            <w:tcMar>
              <w:top w:w="0" w:type="dxa"/>
              <w:left w:w="28" w:type="dxa"/>
              <w:bottom w:w="0" w:type="dxa"/>
              <w:right w:w="62" w:type="dxa"/>
            </w:tcMar>
            <w:hideMark/>
          </w:tcPr>
          <w:p w14:paraId="2A908B4B"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w:t>
            </w:r>
          </w:p>
        </w:tc>
        <w:tc>
          <w:tcPr>
            <w:tcW w:w="2173" w:type="pct"/>
            <w:tcBorders>
              <w:top w:val="single" w:sz="4" w:space="0" w:color="auto"/>
              <w:left w:val="nil"/>
              <w:bottom w:val="nil"/>
              <w:right w:val="nil"/>
            </w:tcBorders>
            <w:tcMar>
              <w:top w:w="0" w:type="dxa"/>
              <w:left w:w="0" w:type="dxa"/>
              <w:bottom w:w="0" w:type="dxa"/>
              <w:right w:w="62" w:type="dxa"/>
            </w:tcMar>
            <w:vAlign w:val="bottom"/>
            <w:hideMark/>
          </w:tcPr>
          <w:p w14:paraId="063C9737"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Yüksek kaliteli likit varlıklar</w:t>
            </w:r>
          </w:p>
        </w:tc>
        <w:tc>
          <w:tcPr>
            <w:tcW w:w="567" w:type="pct"/>
            <w:tcBorders>
              <w:top w:val="single" w:sz="4" w:space="0" w:color="auto"/>
              <w:left w:val="nil"/>
              <w:bottom w:val="nil"/>
              <w:right w:val="nil"/>
            </w:tcBorders>
            <w:shd w:val="clear" w:color="auto" w:fill="000000" w:themeFill="text1"/>
            <w:vAlign w:val="center"/>
            <w:hideMark/>
          </w:tcPr>
          <w:p w14:paraId="5D81B9B9"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tcBorders>
              <w:top w:val="single" w:sz="4" w:space="0" w:color="auto"/>
              <w:left w:val="nil"/>
              <w:bottom w:val="nil"/>
              <w:right w:val="nil"/>
            </w:tcBorders>
            <w:shd w:val="clear" w:color="auto" w:fill="000000" w:themeFill="text1"/>
            <w:vAlign w:val="center"/>
            <w:hideMark/>
          </w:tcPr>
          <w:p w14:paraId="54BED68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tcBorders>
              <w:top w:val="single" w:sz="4" w:space="0" w:color="auto"/>
              <w:left w:val="nil"/>
              <w:bottom w:val="nil"/>
              <w:right w:val="nil"/>
            </w:tcBorders>
            <w:shd w:val="clear" w:color="auto" w:fill="000000" w:themeFill="text1"/>
            <w:vAlign w:val="center"/>
            <w:hideMark/>
          </w:tcPr>
          <w:p w14:paraId="38380D1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tcBorders>
              <w:top w:val="single" w:sz="4" w:space="0" w:color="auto"/>
              <w:left w:val="nil"/>
              <w:bottom w:val="nil"/>
              <w:right w:val="nil"/>
            </w:tcBorders>
            <w:shd w:val="clear" w:color="auto" w:fill="000000" w:themeFill="text1"/>
            <w:vAlign w:val="center"/>
            <w:hideMark/>
          </w:tcPr>
          <w:p w14:paraId="595A4F3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tcBorders>
              <w:top w:val="single" w:sz="4" w:space="0" w:color="auto"/>
              <w:left w:val="nil"/>
              <w:bottom w:val="nil"/>
              <w:right w:val="nil"/>
            </w:tcBorders>
            <w:vAlign w:val="center"/>
            <w:hideMark/>
          </w:tcPr>
          <w:p w14:paraId="789CFAF7" w14:textId="7A9C1A2D"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38.622.972</w:t>
            </w:r>
          </w:p>
        </w:tc>
      </w:tr>
      <w:tr w:rsidR="00862674" w:rsidRPr="00FB38E1" w14:paraId="4A635E6D" w14:textId="77777777" w:rsidTr="007B2A90">
        <w:trPr>
          <w:trHeight w:val="25"/>
        </w:trPr>
        <w:tc>
          <w:tcPr>
            <w:tcW w:w="190" w:type="pct"/>
            <w:tcMar>
              <w:top w:w="0" w:type="dxa"/>
              <w:left w:w="28" w:type="dxa"/>
              <w:bottom w:w="0" w:type="dxa"/>
              <w:right w:w="62" w:type="dxa"/>
            </w:tcMar>
            <w:hideMark/>
          </w:tcPr>
          <w:p w14:paraId="06246910" w14:textId="77777777" w:rsidR="00862674" w:rsidRPr="00FB38E1" w:rsidRDefault="00862674" w:rsidP="00862674">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w:t>
            </w:r>
          </w:p>
        </w:tc>
        <w:tc>
          <w:tcPr>
            <w:tcW w:w="2173" w:type="pct"/>
            <w:tcMar>
              <w:top w:w="0" w:type="dxa"/>
              <w:left w:w="0" w:type="dxa"/>
              <w:bottom w:w="0" w:type="dxa"/>
              <w:right w:w="62" w:type="dxa"/>
            </w:tcMar>
            <w:vAlign w:val="bottom"/>
            <w:hideMark/>
          </w:tcPr>
          <w:p w14:paraId="3DDF2F3A"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 kuruluşları veya finansal kuruluşlara depo edilen operasyonel mevduat/katılım fonu</w:t>
            </w:r>
          </w:p>
        </w:tc>
        <w:tc>
          <w:tcPr>
            <w:tcW w:w="567" w:type="pct"/>
            <w:vAlign w:val="center"/>
            <w:hideMark/>
          </w:tcPr>
          <w:p w14:paraId="3623A88D" w14:textId="065CE8B2"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1105F2F5" w14:textId="116B60A7"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31.366.688</w:t>
            </w:r>
          </w:p>
        </w:tc>
        <w:tc>
          <w:tcPr>
            <w:tcW w:w="519" w:type="pct"/>
            <w:vAlign w:val="center"/>
            <w:hideMark/>
          </w:tcPr>
          <w:p w14:paraId="2C464A4A" w14:textId="3D8E95D1"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1F9CD5F2" w14:textId="732CC5F8"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5.772.723</w:t>
            </w:r>
          </w:p>
        </w:tc>
        <w:tc>
          <w:tcPr>
            <w:tcW w:w="493" w:type="pct"/>
            <w:vAlign w:val="center"/>
            <w:hideMark/>
          </w:tcPr>
          <w:p w14:paraId="5EC86F51" w14:textId="6971CE26"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10.477.726</w:t>
            </w:r>
          </w:p>
        </w:tc>
      </w:tr>
      <w:tr w:rsidR="00862674" w:rsidRPr="00FB38E1" w14:paraId="227906B9" w14:textId="77777777" w:rsidTr="007B2A90">
        <w:trPr>
          <w:trHeight w:val="25"/>
        </w:trPr>
        <w:tc>
          <w:tcPr>
            <w:tcW w:w="190" w:type="pct"/>
            <w:tcMar>
              <w:top w:w="0" w:type="dxa"/>
              <w:left w:w="28" w:type="dxa"/>
              <w:bottom w:w="0" w:type="dxa"/>
              <w:right w:w="62" w:type="dxa"/>
            </w:tcMar>
            <w:hideMark/>
          </w:tcPr>
          <w:p w14:paraId="612A59EE" w14:textId="77777777" w:rsidR="00862674" w:rsidRPr="00FB38E1" w:rsidRDefault="00862674" w:rsidP="00862674">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w:t>
            </w:r>
          </w:p>
        </w:tc>
        <w:tc>
          <w:tcPr>
            <w:tcW w:w="2173" w:type="pct"/>
            <w:tcMar>
              <w:top w:w="0" w:type="dxa"/>
              <w:left w:w="0" w:type="dxa"/>
              <w:bottom w:w="0" w:type="dxa"/>
              <w:right w:w="62" w:type="dxa"/>
            </w:tcMar>
            <w:vAlign w:val="bottom"/>
            <w:hideMark/>
          </w:tcPr>
          <w:p w14:paraId="30C8F39A"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Canlı alacaklar</w:t>
            </w:r>
          </w:p>
        </w:tc>
        <w:tc>
          <w:tcPr>
            <w:tcW w:w="567" w:type="pct"/>
            <w:vAlign w:val="center"/>
            <w:hideMark/>
          </w:tcPr>
          <w:p w14:paraId="28362341" w14:textId="25384AC2"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3FF332F4" w14:textId="218A6F91"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276.457.779</w:t>
            </w:r>
          </w:p>
        </w:tc>
        <w:tc>
          <w:tcPr>
            <w:tcW w:w="519" w:type="pct"/>
            <w:vAlign w:val="center"/>
            <w:hideMark/>
          </w:tcPr>
          <w:p w14:paraId="6FF69946" w14:textId="17BA1456"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90.664.436</w:t>
            </w:r>
          </w:p>
        </w:tc>
        <w:tc>
          <w:tcPr>
            <w:tcW w:w="520" w:type="pct"/>
            <w:vAlign w:val="center"/>
            <w:hideMark/>
          </w:tcPr>
          <w:p w14:paraId="6262FC14" w14:textId="41D2FDF8"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325.574.547</w:t>
            </w:r>
          </w:p>
        </w:tc>
        <w:tc>
          <w:tcPr>
            <w:tcW w:w="493" w:type="pct"/>
            <w:vAlign w:val="center"/>
            <w:hideMark/>
          </w:tcPr>
          <w:p w14:paraId="0A6D699B" w14:textId="64BF7116"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449.818.038</w:t>
            </w:r>
          </w:p>
        </w:tc>
      </w:tr>
      <w:tr w:rsidR="00862674" w:rsidRPr="00FB38E1" w14:paraId="571C079B" w14:textId="77777777" w:rsidTr="007B2A90">
        <w:trPr>
          <w:trHeight w:val="142"/>
        </w:trPr>
        <w:tc>
          <w:tcPr>
            <w:tcW w:w="190" w:type="pct"/>
            <w:tcMar>
              <w:top w:w="0" w:type="dxa"/>
              <w:left w:w="28" w:type="dxa"/>
              <w:bottom w:w="0" w:type="dxa"/>
              <w:right w:w="62" w:type="dxa"/>
            </w:tcMar>
            <w:hideMark/>
          </w:tcPr>
          <w:p w14:paraId="1803AF84" w14:textId="77777777" w:rsidR="00862674" w:rsidRPr="00FB38E1" w:rsidRDefault="00862674" w:rsidP="00862674">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w:t>
            </w:r>
          </w:p>
        </w:tc>
        <w:tc>
          <w:tcPr>
            <w:tcW w:w="2173" w:type="pct"/>
            <w:tcMar>
              <w:top w:w="0" w:type="dxa"/>
              <w:left w:w="227" w:type="dxa"/>
              <w:bottom w:w="0" w:type="dxa"/>
              <w:right w:w="62" w:type="dxa"/>
            </w:tcMar>
            <w:vAlign w:val="bottom"/>
            <w:hideMark/>
          </w:tcPr>
          <w:p w14:paraId="6071194B"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Teminatı birinci kalite likit varlık olan, kredi kuruluşları veya finansal kuruluşlardan alacaklar</w:t>
            </w:r>
          </w:p>
        </w:tc>
        <w:tc>
          <w:tcPr>
            <w:tcW w:w="567" w:type="pct"/>
            <w:vAlign w:val="center"/>
            <w:hideMark/>
          </w:tcPr>
          <w:p w14:paraId="6DE430E1" w14:textId="6F70FB91"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66341163" w14:textId="2915CA5A"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25.028.404</w:t>
            </w:r>
          </w:p>
        </w:tc>
        <w:tc>
          <w:tcPr>
            <w:tcW w:w="519" w:type="pct"/>
            <w:vAlign w:val="center"/>
            <w:hideMark/>
          </w:tcPr>
          <w:p w14:paraId="768BE14C" w14:textId="32134CAD"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6F4F14BF" w14:textId="7A71534F"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47DBD235" w14:textId="3A19E65A"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2.502.840</w:t>
            </w:r>
          </w:p>
        </w:tc>
      </w:tr>
      <w:tr w:rsidR="00862674" w:rsidRPr="00FB38E1" w14:paraId="0486B4EA" w14:textId="77777777" w:rsidTr="007B2A90">
        <w:trPr>
          <w:trHeight w:val="25"/>
        </w:trPr>
        <w:tc>
          <w:tcPr>
            <w:tcW w:w="190" w:type="pct"/>
            <w:tcMar>
              <w:top w:w="0" w:type="dxa"/>
              <w:left w:w="28" w:type="dxa"/>
              <w:bottom w:w="0" w:type="dxa"/>
              <w:right w:w="62" w:type="dxa"/>
            </w:tcMar>
            <w:hideMark/>
          </w:tcPr>
          <w:p w14:paraId="695CA2AB" w14:textId="77777777" w:rsidR="00862674" w:rsidRPr="00FB38E1" w:rsidRDefault="00862674" w:rsidP="00862674">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w:t>
            </w:r>
          </w:p>
        </w:tc>
        <w:tc>
          <w:tcPr>
            <w:tcW w:w="2173" w:type="pct"/>
            <w:tcMar>
              <w:top w:w="0" w:type="dxa"/>
              <w:left w:w="227" w:type="dxa"/>
              <w:bottom w:w="0" w:type="dxa"/>
              <w:right w:w="62" w:type="dxa"/>
            </w:tcMar>
            <w:vAlign w:val="bottom"/>
            <w:hideMark/>
          </w:tcPr>
          <w:p w14:paraId="21D96066"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67" w:type="pct"/>
            <w:vAlign w:val="center"/>
            <w:hideMark/>
          </w:tcPr>
          <w:p w14:paraId="2B540093" w14:textId="4D582972"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50A6C0DF" w14:textId="4F26E530"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28421111" w14:textId="24374EF9"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09957BCA" w14:textId="626AADFB"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46BABA37" w14:textId="1773263B"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862674" w:rsidRPr="00FB38E1" w14:paraId="73BB9B92" w14:textId="77777777" w:rsidTr="007B2A90">
        <w:trPr>
          <w:trHeight w:val="25"/>
        </w:trPr>
        <w:tc>
          <w:tcPr>
            <w:tcW w:w="190" w:type="pct"/>
            <w:tcMar>
              <w:top w:w="0" w:type="dxa"/>
              <w:left w:w="28" w:type="dxa"/>
              <w:bottom w:w="0" w:type="dxa"/>
              <w:right w:w="62" w:type="dxa"/>
            </w:tcMar>
            <w:hideMark/>
          </w:tcPr>
          <w:p w14:paraId="3ED71BD2" w14:textId="77777777" w:rsidR="00862674" w:rsidRPr="00FB38E1" w:rsidRDefault="00862674" w:rsidP="00862674">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2173" w:type="pct"/>
            <w:tcMar>
              <w:top w:w="0" w:type="dxa"/>
              <w:left w:w="227" w:type="dxa"/>
              <w:bottom w:w="0" w:type="dxa"/>
              <w:right w:w="62" w:type="dxa"/>
            </w:tcMar>
            <w:vAlign w:val="bottom"/>
            <w:hideMark/>
          </w:tcPr>
          <w:p w14:paraId="5D532493"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67" w:type="pct"/>
            <w:vAlign w:val="center"/>
            <w:hideMark/>
          </w:tcPr>
          <w:p w14:paraId="59AEFAB6" w14:textId="6B4BF06F"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28D4F3C2" w14:textId="4337E2B8"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251.429.376</w:t>
            </w:r>
          </w:p>
        </w:tc>
        <w:tc>
          <w:tcPr>
            <w:tcW w:w="519" w:type="pct"/>
            <w:vAlign w:val="center"/>
            <w:hideMark/>
          </w:tcPr>
          <w:p w14:paraId="0C981293" w14:textId="6CE01EB6"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90.664.436</w:t>
            </w:r>
          </w:p>
        </w:tc>
        <w:tc>
          <w:tcPr>
            <w:tcW w:w="520" w:type="pct"/>
            <w:vAlign w:val="center"/>
            <w:hideMark/>
          </w:tcPr>
          <w:p w14:paraId="410D549D" w14:textId="18AD36FC"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320.355.516</w:t>
            </w:r>
          </w:p>
        </w:tc>
        <w:tc>
          <w:tcPr>
            <w:tcW w:w="493" w:type="pct"/>
            <w:vAlign w:val="center"/>
            <w:hideMark/>
          </w:tcPr>
          <w:p w14:paraId="3773E241" w14:textId="1A3BE9CF"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443.349.094</w:t>
            </w:r>
          </w:p>
        </w:tc>
      </w:tr>
      <w:tr w:rsidR="00862674" w:rsidRPr="00FB38E1" w14:paraId="46BCE4A0" w14:textId="77777777" w:rsidTr="007B2A90">
        <w:trPr>
          <w:trHeight w:val="25"/>
        </w:trPr>
        <w:tc>
          <w:tcPr>
            <w:tcW w:w="190" w:type="pct"/>
            <w:hideMark/>
          </w:tcPr>
          <w:p w14:paraId="7F4C2692" w14:textId="77777777" w:rsidR="00862674" w:rsidRPr="00FB38E1" w:rsidRDefault="00862674" w:rsidP="00862674">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w:t>
            </w:r>
          </w:p>
        </w:tc>
        <w:tc>
          <w:tcPr>
            <w:tcW w:w="2173" w:type="pct"/>
            <w:tcMar>
              <w:top w:w="0" w:type="dxa"/>
              <w:left w:w="454" w:type="dxa"/>
              <w:bottom w:w="0" w:type="dxa"/>
              <w:right w:w="62" w:type="dxa"/>
            </w:tcMar>
            <w:vAlign w:val="bottom"/>
            <w:hideMark/>
          </w:tcPr>
          <w:p w14:paraId="2770BD08"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2B10977A" w14:textId="0B1B0225"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368FE64F" w14:textId="4AF59517"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49832703" w14:textId="2E0720C3"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477C6E6A" w14:textId="7D877810"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0BA4A790" w14:textId="51886AC0"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862674" w:rsidRPr="00FB38E1" w14:paraId="3FFC9DD2" w14:textId="77777777" w:rsidTr="007B2A90">
        <w:trPr>
          <w:trHeight w:val="25"/>
        </w:trPr>
        <w:tc>
          <w:tcPr>
            <w:tcW w:w="190" w:type="pct"/>
            <w:hideMark/>
          </w:tcPr>
          <w:p w14:paraId="579BB97F" w14:textId="77777777" w:rsidR="00862674" w:rsidRPr="00FB38E1" w:rsidRDefault="00862674" w:rsidP="00862674">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w:t>
            </w:r>
          </w:p>
        </w:tc>
        <w:tc>
          <w:tcPr>
            <w:tcW w:w="2173" w:type="pct"/>
            <w:tcMar>
              <w:top w:w="0" w:type="dxa"/>
              <w:left w:w="227" w:type="dxa"/>
              <w:bottom w:w="0" w:type="dxa"/>
              <w:right w:w="62" w:type="dxa"/>
            </w:tcMar>
            <w:vAlign w:val="bottom"/>
            <w:hideMark/>
          </w:tcPr>
          <w:p w14:paraId="0C282225"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İkamet amaçlı gayrimenkul ipoteği ile teminatlandırılan alacaklar</w:t>
            </w:r>
          </w:p>
        </w:tc>
        <w:tc>
          <w:tcPr>
            <w:tcW w:w="567" w:type="pct"/>
            <w:vAlign w:val="center"/>
            <w:hideMark/>
          </w:tcPr>
          <w:p w14:paraId="7AB29338" w14:textId="7A2D6D83"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2FC6CADF" w14:textId="168E20D3"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7861ACD8" w14:textId="14CD684A"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5630C085" w14:textId="0D7648D9"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27569771" w14:textId="4E74E184"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862674" w:rsidRPr="00FB38E1" w14:paraId="3DB66F8F" w14:textId="77777777" w:rsidTr="007B2A90">
        <w:trPr>
          <w:trHeight w:val="25"/>
        </w:trPr>
        <w:tc>
          <w:tcPr>
            <w:tcW w:w="190" w:type="pct"/>
            <w:hideMark/>
          </w:tcPr>
          <w:p w14:paraId="593F5DF9" w14:textId="77777777" w:rsidR="00862674" w:rsidRPr="00FB38E1" w:rsidRDefault="00862674" w:rsidP="00862674">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23</w:t>
            </w:r>
          </w:p>
        </w:tc>
        <w:tc>
          <w:tcPr>
            <w:tcW w:w="2173" w:type="pct"/>
            <w:tcMar>
              <w:top w:w="0" w:type="dxa"/>
              <w:left w:w="454" w:type="dxa"/>
              <w:bottom w:w="0" w:type="dxa"/>
              <w:right w:w="62" w:type="dxa"/>
            </w:tcMar>
            <w:vAlign w:val="bottom"/>
            <w:hideMark/>
          </w:tcPr>
          <w:p w14:paraId="6F050DBE"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2FED2EA1" w14:textId="127F6FE5" w:rsidR="00862674" w:rsidRPr="00FB38E1" w:rsidRDefault="00862674" w:rsidP="0086267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3922B307" w14:textId="6080DC0D" w:rsidR="00862674" w:rsidRPr="00FB38E1" w:rsidRDefault="00862674" w:rsidP="0086267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033AD389" w14:textId="31349204" w:rsidR="00862674" w:rsidRPr="00FB38E1" w:rsidRDefault="00862674" w:rsidP="0086267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02D1E6E5" w14:textId="4B09DB5A" w:rsidR="00862674" w:rsidRPr="00FB38E1" w:rsidRDefault="00862674" w:rsidP="0086267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4993948B" w14:textId="754F6E81" w:rsidR="00862674" w:rsidRPr="00FB38E1" w:rsidRDefault="00862674" w:rsidP="00862674">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404040"/>
                <w:sz w:val="14"/>
                <w:szCs w:val="14"/>
              </w:rPr>
              <w:t>--</w:t>
            </w:r>
          </w:p>
        </w:tc>
      </w:tr>
      <w:tr w:rsidR="00862674" w:rsidRPr="00FB38E1" w14:paraId="43BD3661" w14:textId="77777777" w:rsidTr="007B2A90">
        <w:trPr>
          <w:trHeight w:val="25"/>
        </w:trPr>
        <w:tc>
          <w:tcPr>
            <w:tcW w:w="190" w:type="pct"/>
            <w:hideMark/>
          </w:tcPr>
          <w:p w14:paraId="1AE295B2" w14:textId="77777777" w:rsidR="00862674" w:rsidRPr="00FB38E1" w:rsidRDefault="00862674" w:rsidP="00862674">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24</w:t>
            </w:r>
          </w:p>
        </w:tc>
        <w:tc>
          <w:tcPr>
            <w:tcW w:w="2173" w:type="pct"/>
            <w:tcMar>
              <w:top w:w="0" w:type="dxa"/>
              <w:left w:w="227" w:type="dxa"/>
              <w:bottom w:w="0" w:type="dxa"/>
              <w:right w:w="62" w:type="dxa"/>
            </w:tcMar>
            <w:vAlign w:val="bottom"/>
            <w:hideMark/>
          </w:tcPr>
          <w:p w14:paraId="019591DA"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67" w:type="pct"/>
            <w:vAlign w:val="center"/>
            <w:hideMark/>
          </w:tcPr>
          <w:p w14:paraId="620916E9" w14:textId="12C36B27" w:rsidR="00862674" w:rsidRPr="00FB38E1" w:rsidRDefault="00862674" w:rsidP="00862674">
            <w:pPr>
              <w:jc w:val="right"/>
              <w:rPr>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11C0C3C3" w14:textId="07DE0586" w:rsidR="00862674" w:rsidRPr="00FB38E1" w:rsidRDefault="00862674" w:rsidP="00862674">
            <w:pPr>
              <w:jc w:val="right"/>
              <w:rPr>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2B22C9FC" w14:textId="2899C395" w:rsidR="00862674" w:rsidRPr="00FB38E1" w:rsidRDefault="00862674" w:rsidP="00862674">
            <w:pPr>
              <w:jc w:val="right"/>
              <w:rPr>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70ABA096" w14:textId="0FAC00E7" w:rsidR="00862674" w:rsidRPr="00FB38E1" w:rsidRDefault="00862674" w:rsidP="00862674">
            <w:pPr>
              <w:jc w:val="right"/>
              <w:rPr>
                <w:sz w:val="14"/>
                <w:szCs w:val="14"/>
              </w:rPr>
            </w:pPr>
            <w:r w:rsidRPr="00FB38E1">
              <w:rPr>
                <w:rFonts w:ascii="Microsoft Sans Serif" w:hAnsi="Microsoft Sans Serif" w:cs="Microsoft Sans Serif"/>
                <w:color w:val="404040"/>
                <w:sz w:val="14"/>
                <w:szCs w:val="14"/>
              </w:rPr>
              <w:t>5.219.031</w:t>
            </w:r>
          </w:p>
        </w:tc>
        <w:tc>
          <w:tcPr>
            <w:tcW w:w="493" w:type="pct"/>
            <w:vAlign w:val="center"/>
            <w:hideMark/>
          </w:tcPr>
          <w:p w14:paraId="033C84BF" w14:textId="11FAF838" w:rsidR="00862674" w:rsidRPr="00FB38E1" w:rsidRDefault="00862674" w:rsidP="00862674">
            <w:pPr>
              <w:jc w:val="right"/>
              <w:rPr>
                <w:sz w:val="14"/>
                <w:szCs w:val="14"/>
              </w:rPr>
            </w:pPr>
            <w:r w:rsidRPr="00FB38E1">
              <w:rPr>
                <w:rFonts w:ascii="Microsoft Sans Serif" w:hAnsi="Microsoft Sans Serif" w:cs="Microsoft Sans Serif"/>
                <w:color w:val="404040"/>
                <w:sz w:val="14"/>
                <w:szCs w:val="14"/>
              </w:rPr>
              <w:t>3.966.103</w:t>
            </w:r>
          </w:p>
        </w:tc>
      </w:tr>
      <w:tr w:rsidR="007B2A90" w:rsidRPr="00FB38E1" w14:paraId="525961B7" w14:textId="77777777" w:rsidTr="007B2A90">
        <w:trPr>
          <w:trHeight w:val="25"/>
        </w:trPr>
        <w:tc>
          <w:tcPr>
            <w:tcW w:w="190" w:type="pct"/>
            <w:hideMark/>
          </w:tcPr>
          <w:p w14:paraId="4CDBFA69"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w:t>
            </w:r>
          </w:p>
        </w:tc>
        <w:tc>
          <w:tcPr>
            <w:tcW w:w="2173" w:type="pct"/>
            <w:tcMar>
              <w:top w:w="0" w:type="dxa"/>
              <w:left w:w="0" w:type="dxa"/>
              <w:bottom w:w="0" w:type="dxa"/>
              <w:right w:w="62" w:type="dxa"/>
            </w:tcMar>
            <w:vAlign w:val="bottom"/>
            <w:hideMark/>
          </w:tcPr>
          <w:p w14:paraId="2E227074"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Birbirlerine bağlı yükümlülüklere eşdeğer varlıklar</w:t>
            </w:r>
          </w:p>
        </w:tc>
        <w:tc>
          <w:tcPr>
            <w:tcW w:w="567" w:type="pct"/>
            <w:shd w:val="clear" w:color="auto" w:fill="000000" w:themeFill="text1"/>
            <w:vAlign w:val="center"/>
            <w:hideMark/>
          </w:tcPr>
          <w:p w14:paraId="7A40D19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23B5FB6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19" w:type="pct"/>
            <w:shd w:val="clear" w:color="auto" w:fill="000000" w:themeFill="text1"/>
            <w:vAlign w:val="center"/>
            <w:hideMark/>
          </w:tcPr>
          <w:p w14:paraId="17798A9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2CC667D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528BA58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7B2A90" w:rsidRPr="00FB38E1" w14:paraId="1E0B9017" w14:textId="77777777" w:rsidTr="007B2A90">
        <w:trPr>
          <w:trHeight w:val="25"/>
        </w:trPr>
        <w:tc>
          <w:tcPr>
            <w:tcW w:w="190" w:type="pct"/>
            <w:hideMark/>
          </w:tcPr>
          <w:p w14:paraId="4A067C20"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w:t>
            </w:r>
          </w:p>
        </w:tc>
        <w:tc>
          <w:tcPr>
            <w:tcW w:w="2173" w:type="pct"/>
            <w:tcMar>
              <w:top w:w="0" w:type="dxa"/>
              <w:left w:w="0" w:type="dxa"/>
              <w:bottom w:w="0" w:type="dxa"/>
              <w:right w:w="62" w:type="dxa"/>
            </w:tcMar>
            <w:vAlign w:val="bottom"/>
            <w:hideMark/>
          </w:tcPr>
          <w:p w14:paraId="75D4BEE0"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varlıklar</w:t>
            </w:r>
          </w:p>
        </w:tc>
        <w:tc>
          <w:tcPr>
            <w:tcW w:w="567" w:type="pct"/>
            <w:vAlign w:val="center"/>
            <w:hideMark/>
          </w:tcPr>
          <w:p w14:paraId="7DAB7CC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36DDC8D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756D9F2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097FF2A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0C8D268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70893E07" w14:textId="77777777" w:rsidTr="007B2A90">
        <w:trPr>
          <w:trHeight w:val="25"/>
        </w:trPr>
        <w:tc>
          <w:tcPr>
            <w:tcW w:w="190" w:type="pct"/>
            <w:hideMark/>
          </w:tcPr>
          <w:p w14:paraId="3CA378AE"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w:t>
            </w:r>
          </w:p>
        </w:tc>
        <w:tc>
          <w:tcPr>
            <w:tcW w:w="2173" w:type="pct"/>
            <w:tcMar>
              <w:top w:w="0" w:type="dxa"/>
              <w:left w:w="227" w:type="dxa"/>
              <w:bottom w:w="0" w:type="dxa"/>
              <w:right w:w="62" w:type="dxa"/>
            </w:tcMar>
            <w:vAlign w:val="bottom"/>
            <w:hideMark/>
          </w:tcPr>
          <w:p w14:paraId="66597922"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Altın dahil fiziki teminatlı emtia</w:t>
            </w:r>
          </w:p>
        </w:tc>
        <w:tc>
          <w:tcPr>
            <w:tcW w:w="567" w:type="pct"/>
            <w:vAlign w:val="center"/>
            <w:hideMark/>
          </w:tcPr>
          <w:p w14:paraId="118909F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tcBorders>
              <w:top w:val="nil"/>
              <w:left w:val="nil"/>
              <w:bottom w:val="single" w:sz="4" w:space="0" w:color="404040" w:themeColor="text1" w:themeTint="BF"/>
              <w:right w:val="nil"/>
            </w:tcBorders>
            <w:shd w:val="clear" w:color="auto" w:fill="000000" w:themeFill="text1"/>
            <w:vAlign w:val="center"/>
            <w:hideMark/>
          </w:tcPr>
          <w:p w14:paraId="514FD877"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19" w:type="pct"/>
            <w:tcBorders>
              <w:top w:val="nil"/>
              <w:left w:val="nil"/>
              <w:bottom w:val="single" w:sz="4" w:space="0" w:color="404040" w:themeColor="text1" w:themeTint="BF"/>
              <w:right w:val="nil"/>
            </w:tcBorders>
            <w:shd w:val="clear" w:color="auto" w:fill="000000" w:themeFill="text1"/>
            <w:vAlign w:val="center"/>
            <w:hideMark/>
          </w:tcPr>
          <w:p w14:paraId="7F302C9C"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20" w:type="pct"/>
            <w:tcBorders>
              <w:top w:val="nil"/>
              <w:left w:val="nil"/>
              <w:bottom w:val="single" w:sz="4" w:space="0" w:color="404040" w:themeColor="text1" w:themeTint="BF"/>
              <w:right w:val="nil"/>
            </w:tcBorders>
            <w:shd w:val="clear" w:color="auto" w:fill="000000" w:themeFill="text1"/>
            <w:vAlign w:val="center"/>
            <w:hideMark/>
          </w:tcPr>
          <w:p w14:paraId="762C65A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493" w:type="pct"/>
            <w:vAlign w:val="center"/>
            <w:hideMark/>
          </w:tcPr>
          <w:p w14:paraId="20441FEB" w14:textId="2C395E51"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1.491.474</w:t>
            </w:r>
          </w:p>
        </w:tc>
      </w:tr>
      <w:tr w:rsidR="007B2A90" w:rsidRPr="00FB38E1" w14:paraId="1F895631" w14:textId="77777777" w:rsidTr="007B2A90">
        <w:trPr>
          <w:trHeight w:val="25"/>
        </w:trPr>
        <w:tc>
          <w:tcPr>
            <w:tcW w:w="190" w:type="pct"/>
            <w:hideMark/>
          </w:tcPr>
          <w:p w14:paraId="5C1D9391"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w:t>
            </w:r>
          </w:p>
        </w:tc>
        <w:tc>
          <w:tcPr>
            <w:tcW w:w="2173" w:type="pct"/>
            <w:tcMar>
              <w:top w:w="0" w:type="dxa"/>
              <w:left w:w="227" w:type="dxa"/>
              <w:bottom w:w="0" w:type="dxa"/>
              <w:right w:w="62" w:type="dxa"/>
            </w:tcMar>
            <w:vAlign w:val="bottom"/>
            <w:hideMark/>
          </w:tcPr>
          <w:p w14:paraId="75B319C8"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sözleşmelerinin başlangıç teminatı veya merkezi karşı tarafa verilen garanti fonu</w:t>
            </w:r>
          </w:p>
        </w:tc>
        <w:tc>
          <w:tcPr>
            <w:tcW w:w="567" w:type="pct"/>
            <w:tcBorders>
              <w:top w:val="nil"/>
              <w:left w:val="nil"/>
              <w:bottom w:val="nil"/>
              <w:right w:val="single" w:sz="4" w:space="0" w:color="404040" w:themeColor="text1" w:themeTint="BF"/>
            </w:tcBorders>
            <w:shd w:val="clear" w:color="auto" w:fill="000000" w:themeFill="text1"/>
            <w:vAlign w:val="bottom"/>
          </w:tcPr>
          <w:p w14:paraId="72F11460" w14:textId="77777777" w:rsidR="007B2A90" w:rsidRPr="00FB38E1" w:rsidRDefault="007B2A90">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25A7977F" w14:textId="77777777" w:rsidR="007B2A90" w:rsidRPr="00FB38E1" w:rsidRDefault="007B2A90">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tcBorders>
              <w:top w:val="nil"/>
              <w:left w:val="single" w:sz="4" w:space="0" w:color="404040" w:themeColor="text1" w:themeTint="BF"/>
              <w:bottom w:val="nil"/>
              <w:right w:val="nil"/>
            </w:tcBorders>
            <w:vAlign w:val="center"/>
            <w:hideMark/>
          </w:tcPr>
          <w:p w14:paraId="296B96E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862674" w:rsidRPr="00FB38E1" w14:paraId="12FCAEFB" w14:textId="77777777" w:rsidTr="007B2A90">
        <w:trPr>
          <w:trHeight w:val="25"/>
        </w:trPr>
        <w:tc>
          <w:tcPr>
            <w:tcW w:w="190" w:type="pct"/>
            <w:hideMark/>
          </w:tcPr>
          <w:p w14:paraId="72BC5EB4" w14:textId="77777777" w:rsidR="00862674" w:rsidRPr="00FB38E1" w:rsidRDefault="00862674" w:rsidP="00862674">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w:t>
            </w:r>
          </w:p>
        </w:tc>
        <w:tc>
          <w:tcPr>
            <w:tcW w:w="2173" w:type="pct"/>
            <w:tcMar>
              <w:top w:w="0" w:type="dxa"/>
              <w:left w:w="227" w:type="dxa"/>
              <w:bottom w:w="0" w:type="dxa"/>
              <w:right w:w="62" w:type="dxa"/>
            </w:tcMar>
            <w:vAlign w:val="bottom"/>
            <w:hideMark/>
          </w:tcPr>
          <w:p w14:paraId="3F8A157A"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varlıklar</w:t>
            </w:r>
          </w:p>
        </w:tc>
        <w:tc>
          <w:tcPr>
            <w:tcW w:w="567" w:type="pct"/>
            <w:tcBorders>
              <w:top w:val="nil"/>
              <w:left w:val="nil"/>
              <w:bottom w:val="nil"/>
              <w:right w:val="single" w:sz="4" w:space="0" w:color="404040" w:themeColor="text1" w:themeTint="BF"/>
            </w:tcBorders>
            <w:shd w:val="clear" w:color="auto" w:fill="000000" w:themeFill="text1"/>
            <w:vAlign w:val="bottom"/>
          </w:tcPr>
          <w:p w14:paraId="2F66CD5A" w14:textId="77777777" w:rsidR="00862674" w:rsidRPr="00FB38E1" w:rsidRDefault="00862674" w:rsidP="0086267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15E0BBFB" w14:textId="15CA6D90" w:rsidR="00862674" w:rsidRPr="00FB38E1" w:rsidRDefault="00862674" w:rsidP="00862674">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10.325.855</w:t>
            </w:r>
          </w:p>
        </w:tc>
        <w:tc>
          <w:tcPr>
            <w:tcW w:w="493" w:type="pct"/>
            <w:tcBorders>
              <w:top w:val="nil"/>
              <w:left w:val="single" w:sz="4" w:space="0" w:color="404040" w:themeColor="text1" w:themeTint="BF"/>
              <w:bottom w:val="nil"/>
              <w:right w:val="nil"/>
            </w:tcBorders>
            <w:vAlign w:val="center"/>
            <w:hideMark/>
          </w:tcPr>
          <w:p w14:paraId="69984E31" w14:textId="119555BE"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4.674.963</w:t>
            </w:r>
          </w:p>
        </w:tc>
      </w:tr>
      <w:tr w:rsidR="00862674" w:rsidRPr="00FB38E1" w14:paraId="04E494F0" w14:textId="77777777" w:rsidTr="007B2A90">
        <w:trPr>
          <w:trHeight w:val="25"/>
        </w:trPr>
        <w:tc>
          <w:tcPr>
            <w:tcW w:w="190" w:type="pct"/>
            <w:hideMark/>
          </w:tcPr>
          <w:p w14:paraId="02D18C5C" w14:textId="77777777" w:rsidR="00862674" w:rsidRPr="00FB38E1" w:rsidRDefault="00862674" w:rsidP="00862674">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w:t>
            </w:r>
          </w:p>
        </w:tc>
        <w:tc>
          <w:tcPr>
            <w:tcW w:w="2173" w:type="pct"/>
            <w:tcMar>
              <w:top w:w="0" w:type="dxa"/>
              <w:left w:w="227" w:type="dxa"/>
              <w:bottom w:w="0" w:type="dxa"/>
              <w:right w:w="62" w:type="dxa"/>
            </w:tcMar>
            <w:vAlign w:val="bottom"/>
            <w:hideMark/>
          </w:tcPr>
          <w:p w14:paraId="3C02493D" w14:textId="77777777" w:rsidR="00862674" w:rsidRPr="00FB38E1" w:rsidRDefault="00862674" w:rsidP="00862674">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yükümlülüklerin değişim teminatı düşülmeden önceki tutarı</w:t>
            </w:r>
          </w:p>
        </w:tc>
        <w:tc>
          <w:tcPr>
            <w:tcW w:w="567" w:type="pct"/>
            <w:tcBorders>
              <w:top w:val="nil"/>
              <w:left w:val="nil"/>
              <w:bottom w:val="nil"/>
              <w:right w:val="single" w:sz="4" w:space="0" w:color="404040" w:themeColor="text1" w:themeTint="BF"/>
            </w:tcBorders>
            <w:shd w:val="clear" w:color="auto" w:fill="000000" w:themeFill="text1"/>
            <w:vAlign w:val="bottom"/>
          </w:tcPr>
          <w:p w14:paraId="3EC07C42" w14:textId="77777777" w:rsidR="00862674" w:rsidRPr="00FB38E1" w:rsidRDefault="00862674" w:rsidP="00862674">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hideMark/>
          </w:tcPr>
          <w:p w14:paraId="796BCB50" w14:textId="11D0F451" w:rsidR="00862674" w:rsidRPr="00FB38E1" w:rsidRDefault="00862674" w:rsidP="00862674">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466.601</w:t>
            </w:r>
          </w:p>
        </w:tc>
        <w:tc>
          <w:tcPr>
            <w:tcW w:w="493" w:type="pct"/>
            <w:tcBorders>
              <w:top w:val="nil"/>
              <w:left w:val="single" w:sz="4" w:space="0" w:color="404040" w:themeColor="text1" w:themeTint="BF"/>
              <w:bottom w:val="nil"/>
              <w:right w:val="nil"/>
            </w:tcBorders>
            <w:vAlign w:val="center"/>
            <w:hideMark/>
          </w:tcPr>
          <w:p w14:paraId="3763A603" w14:textId="7251C8E3" w:rsidR="00862674"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466.601</w:t>
            </w:r>
          </w:p>
        </w:tc>
      </w:tr>
      <w:tr w:rsidR="007B2A90" w:rsidRPr="00FB38E1" w14:paraId="763F3446" w14:textId="77777777" w:rsidTr="007B2A90">
        <w:trPr>
          <w:trHeight w:val="25"/>
        </w:trPr>
        <w:tc>
          <w:tcPr>
            <w:tcW w:w="190" w:type="pct"/>
            <w:hideMark/>
          </w:tcPr>
          <w:p w14:paraId="5032787A"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w:t>
            </w:r>
          </w:p>
        </w:tc>
        <w:tc>
          <w:tcPr>
            <w:tcW w:w="2173" w:type="pct"/>
            <w:tcMar>
              <w:top w:w="0" w:type="dxa"/>
              <w:left w:w="227" w:type="dxa"/>
              <w:bottom w:w="0" w:type="dxa"/>
              <w:right w:w="62" w:type="dxa"/>
            </w:tcMar>
            <w:vAlign w:val="bottom"/>
            <w:hideMark/>
          </w:tcPr>
          <w:p w14:paraId="3B44D07D"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Yukarıda yer almayan diğer varlıklar</w:t>
            </w:r>
          </w:p>
        </w:tc>
        <w:tc>
          <w:tcPr>
            <w:tcW w:w="567" w:type="pct"/>
            <w:vAlign w:val="center"/>
            <w:hideMark/>
          </w:tcPr>
          <w:p w14:paraId="59FF2207" w14:textId="35224BFE"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189.918.675</w:t>
            </w:r>
          </w:p>
        </w:tc>
        <w:tc>
          <w:tcPr>
            <w:tcW w:w="538" w:type="pct"/>
            <w:tcBorders>
              <w:top w:val="single" w:sz="4" w:space="0" w:color="404040" w:themeColor="text1" w:themeTint="BF"/>
              <w:left w:val="nil"/>
              <w:bottom w:val="nil"/>
              <w:right w:val="nil"/>
            </w:tcBorders>
            <w:vAlign w:val="center"/>
            <w:hideMark/>
          </w:tcPr>
          <w:p w14:paraId="2BC93F7C"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629542D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13317D2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6C9A4B14" w14:textId="4B9F5E79"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189.918.675</w:t>
            </w:r>
          </w:p>
        </w:tc>
      </w:tr>
      <w:tr w:rsidR="007B2A90" w:rsidRPr="00FB38E1" w14:paraId="056EE960" w14:textId="77777777" w:rsidTr="007B2A90">
        <w:trPr>
          <w:trHeight w:val="25"/>
        </w:trPr>
        <w:tc>
          <w:tcPr>
            <w:tcW w:w="190" w:type="pct"/>
            <w:hideMark/>
          </w:tcPr>
          <w:p w14:paraId="71C564ED" w14:textId="77777777" w:rsidR="007B2A90" w:rsidRPr="00FB38E1" w:rsidRDefault="007B2A90">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32</w:t>
            </w:r>
          </w:p>
        </w:tc>
        <w:tc>
          <w:tcPr>
            <w:tcW w:w="2173" w:type="pct"/>
            <w:tcMar>
              <w:top w:w="0" w:type="dxa"/>
              <w:left w:w="0" w:type="dxa"/>
              <w:bottom w:w="0" w:type="dxa"/>
              <w:right w:w="62" w:type="dxa"/>
            </w:tcMar>
            <w:vAlign w:val="bottom"/>
            <w:hideMark/>
          </w:tcPr>
          <w:p w14:paraId="3CBDCFE9"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Bilanço dışı borçlar</w:t>
            </w:r>
          </w:p>
        </w:tc>
        <w:tc>
          <w:tcPr>
            <w:tcW w:w="567" w:type="pct"/>
            <w:shd w:val="clear" w:color="auto" w:fill="000000" w:themeFill="text1"/>
            <w:vAlign w:val="center"/>
            <w:hideMark/>
          </w:tcPr>
          <w:p w14:paraId="58DDE234"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38" w:type="pct"/>
            <w:vAlign w:val="center"/>
            <w:hideMark/>
          </w:tcPr>
          <w:p w14:paraId="533BC672" w14:textId="24FF416B"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703.411.265</w:t>
            </w:r>
          </w:p>
        </w:tc>
        <w:tc>
          <w:tcPr>
            <w:tcW w:w="519" w:type="pct"/>
            <w:vAlign w:val="center"/>
            <w:hideMark/>
          </w:tcPr>
          <w:p w14:paraId="3738F049"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w:t>
            </w:r>
          </w:p>
        </w:tc>
        <w:tc>
          <w:tcPr>
            <w:tcW w:w="520" w:type="pct"/>
            <w:vAlign w:val="center"/>
            <w:hideMark/>
          </w:tcPr>
          <w:p w14:paraId="1E66F770"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w:t>
            </w:r>
          </w:p>
        </w:tc>
        <w:tc>
          <w:tcPr>
            <w:tcW w:w="493" w:type="pct"/>
            <w:vAlign w:val="center"/>
            <w:hideMark/>
          </w:tcPr>
          <w:p w14:paraId="6F2F5223" w14:textId="601D4BD0"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35.170.563</w:t>
            </w:r>
          </w:p>
        </w:tc>
      </w:tr>
      <w:tr w:rsidR="007B2A90" w:rsidRPr="00FB38E1" w14:paraId="14A5AAA5" w14:textId="77777777" w:rsidTr="007B2A90">
        <w:trPr>
          <w:trHeight w:val="25"/>
        </w:trPr>
        <w:tc>
          <w:tcPr>
            <w:tcW w:w="190" w:type="pct"/>
            <w:hideMark/>
          </w:tcPr>
          <w:p w14:paraId="0AFBC7A4" w14:textId="77777777" w:rsidR="007B2A90" w:rsidRPr="00FB38E1" w:rsidRDefault="007B2A90">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33</w:t>
            </w:r>
          </w:p>
        </w:tc>
        <w:tc>
          <w:tcPr>
            <w:tcW w:w="2173" w:type="pct"/>
            <w:tcMar>
              <w:top w:w="0" w:type="dxa"/>
              <w:left w:w="0" w:type="dxa"/>
              <w:bottom w:w="0" w:type="dxa"/>
              <w:right w:w="62" w:type="dxa"/>
            </w:tcMar>
            <w:vAlign w:val="bottom"/>
            <w:hideMark/>
          </w:tcPr>
          <w:p w14:paraId="7826A828"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Gerekli istikrarlı fon</w:t>
            </w:r>
          </w:p>
        </w:tc>
        <w:tc>
          <w:tcPr>
            <w:tcW w:w="567" w:type="pct"/>
            <w:shd w:val="clear" w:color="auto" w:fill="000000" w:themeFill="text1"/>
            <w:vAlign w:val="center"/>
            <w:hideMark/>
          </w:tcPr>
          <w:p w14:paraId="7E0DEE9A"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38" w:type="pct"/>
            <w:shd w:val="clear" w:color="auto" w:fill="000000" w:themeFill="text1"/>
            <w:vAlign w:val="center"/>
            <w:hideMark/>
          </w:tcPr>
          <w:p w14:paraId="778795AF"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19" w:type="pct"/>
            <w:shd w:val="clear" w:color="auto" w:fill="000000" w:themeFill="text1"/>
            <w:vAlign w:val="center"/>
            <w:hideMark/>
          </w:tcPr>
          <w:p w14:paraId="278651A3"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20" w:type="pct"/>
            <w:shd w:val="clear" w:color="auto" w:fill="000000" w:themeFill="text1"/>
            <w:vAlign w:val="center"/>
            <w:hideMark/>
          </w:tcPr>
          <w:p w14:paraId="66F6A5D1"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493" w:type="pct"/>
            <w:vAlign w:val="center"/>
            <w:hideMark/>
          </w:tcPr>
          <w:p w14:paraId="1F442755" w14:textId="45A08B3C" w:rsidR="007B2A90" w:rsidRPr="00FB38E1" w:rsidRDefault="00862674" w:rsidP="00862674">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730.641.012</w:t>
            </w:r>
          </w:p>
        </w:tc>
      </w:tr>
      <w:tr w:rsidR="007B2A90" w:rsidRPr="00FB38E1" w14:paraId="16F33F49" w14:textId="77777777" w:rsidTr="007B2A90">
        <w:trPr>
          <w:trHeight w:val="25"/>
        </w:trPr>
        <w:tc>
          <w:tcPr>
            <w:tcW w:w="190" w:type="pct"/>
            <w:tcBorders>
              <w:top w:val="nil"/>
              <w:left w:val="nil"/>
              <w:bottom w:val="thickThinSmallGap" w:sz="24" w:space="0" w:color="auto"/>
              <w:right w:val="nil"/>
            </w:tcBorders>
            <w:hideMark/>
          </w:tcPr>
          <w:p w14:paraId="32902959" w14:textId="77777777" w:rsidR="007B2A90" w:rsidRPr="00FB38E1" w:rsidRDefault="007B2A90">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34</w:t>
            </w:r>
          </w:p>
        </w:tc>
        <w:tc>
          <w:tcPr>
            <w:tcW w:w="2173" w:type="pct"/>
            <w:tcBorders>
              <w:top w:val="nil"/>
              <w:left w:val="nil"/>
              <w:bottom w:val="thickThinSmallGap" w:sz="24" w:space="0" w:color="auto"/>
              <w:right w:val="nil"/>
            </w:tcBorders>
            <w:tcMar>
              <w:top w:w="0" w:type="dxa"/>
              <w:left w:w="0" w:type="dxa"/>
              <w:bottom w:w="0" w:type="dxa"/>
              <w:right w:w="62" w:type="dxa"/>
            </w:tcMar>
            <w:vAlign w:val="bottom"/>
            <w:hideMark/>
          </w:tcPr>
          <w:p w14:paraId="5F8F1804"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Net istikrarlı fonlama oranı</w:t>
            </w:r>
          </w:p>
        </w:tc>
        <w:tc>
          <w:tcPr>
            <w:tcW w:w="567" w:type="pct"/>
            <w:tcBorders>
              <w:top w:val="nil"/>
              <w:left w:val="nil"/>
              <w:bottom w:val="thickThinSmallGap" w:sz="24" w:space="0" w:color="auto"/>
              <w:right w:val="nil"/>
            </w:tcBorders>
            <w:shd w:val="clear" w:color="auto" w:fill="000000" w:themeFill="text1"/>
            <w:vAlign w:val="center"/>
            <w:hideMark/>
          </w:tcPr>
          <w:p w14:paraId="0F9945BF"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38" w:type="pct"/>
            <w:tcBorders>
              <w:top w:val="nil"/>
              <w:left w:val="nil"/>
              <w:bottom w:val="thickThinSmallGap" w:sz="24" w:space="0" w:color="auto"/>
              <w:right w:val="nil"/>
            </w:tcBorders>
            <w:shd w:val="clear" w:color="auto" w:fill="000000" w:themeFill="text1"/>
            <w:vAlign w:val="center"/>
            <w:hideMark/>
          </w:tcPr>
          <w:p w14:paraId="06156045"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19" w:type="pct"/>
            <w:tcBorders>
              <w:top w:val="nil"/>
              <w:left w:val="nil"/>
              <w:bottom w:val="thickThinSmallGap" w:sz="24" w:space="0" w:color="auto"/>
              <w:right w:val="nil"/>
            </w:tcBorders>
            <w:shd w:val="clear" w:color="auto" w:fill="000000" w:themeFill="text1"/>
            <w:vAlign w:val="center"/>
            <w:hideMark/>
          </w:tcPr>
          <w:p w14:paraId="7D1AED29"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20" w:type="pct"/>
            <w:tcBorders>
              <w:top w:val="nil"/>
              <w:left w:val="nil"/>
              <w:bottom w:val="thickThinSmallGap" w:sz="24" w:space="0" w:color="auto"/>
              <w:right w:val="nil"/>
            </w:tcBorders>
            <w:shd w:val="clear" w:color="auto" w:fill="000000" w:themeFill="text1"/>
            <w:vAlign w:val="center"/>
            <w:hideMark/>
          </w:tcPr>
          <w:p w14:paraId="0D0943A5"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493" w:type="pct"/>
            <w:tcBorders>
              <w:top w:val="nil"/>
              <w:left w:val="nil"/>
              <w:bottom w:val="thickThinSmallGap" w:sz="24" w:space="0" w:color="auto"/>
              <w:right w:val="nil"/>
            </w:tcBorders>
            <w:vAlign w:val="center"/>
            <w:hideMark/>
          </w:tcPr>
          <w:p w14:paraId="3774CD42" w14:textId="61D7B8E9"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113</w:t>
            </w:r>
            <w:r w:rsidR="00862674" w:rsidRPr="00FB38E1">
              <w:rPr>
                <w:rFonts w:ascii="Microsoft Sans Serif" w:hAnsi="Microsoft Sans Serif" w:cs="Microsoft Sans Serif"/>
                <w:color w:val="000000"/>
                <w:sz w:val="14"/>
                <w:szCs w:val="14"/>
              </w:rPr>
              <w:t>,</w:t>
            </w:r>
            <w:r w:rsidRPr="00FB38E1">
              <w:rPr>
                <w:rFonts w:ascii="Microsoft Sans Serif" w:hAnsi="Microsoft Sans Serif" w:cs="Microsoft Sans Serif"/>
                <w:color w:val="000000"/>
                <w:sz w:val="14"/>
                <w:szCs w:val="14"/>
              </w:rPr>
              <w:t>9</w:t>
            </w:r>
            <w:r w:rsidR="00862674" w:rsidRPr="00FB38E1">
              <w:rPr>
                <w:rFonts w:ascii="Microsoft Sans Serif" w:hAnsi="Microsoft Sans Serif" w:cs="Microsoft Sans Serif"/>
                <w:color w:val="000000"/>
                <w:sz w:val="14"/>
                <w:szCs w:val="14"/>
              </w:rPr>
              <w:t>7</w:t>
            </w:r>
          </w:p>
        </w:tc>
      </w:tr>
    </w:tbl>
    <w:bookmarkEnd w:id="31"/>
    <w:p w14:paraId="0CCF92FD" w14:textId="77777777" w:rsidR="007B2A90" w:rsidRPr="00FB38E1" w:rsidRDefault="007B2A90" w:rsidP="007B2A90">
      <w:pPr>
        <w:pStyle w:val="ListParagraph"/>
        <w:spacing w:before="120" w:after="120" w:line="220" w:lineRule="exact"/>
        <w:ind w:left="0"/>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color w:val="404040" w:themeColor="text1" w:themeTint="BF"/>
          <w:sz w:val="14"/>
          <w:szCs w:val="14"/>
        </w:rPr>
        <w:t>Son üç aya ilişkin net istikrarlı fonlama değerlerinin üç aylık basit aritmetik ortalamasıdır.</w:t>
      </w:r>
    </w:p>
    <w:p w14:paraId="1246A19F" w14:textId="77777777" w:rsidR="007B2A90" w:rsidRPr="00FB38E1" w:rsidRDefault="007B2A90" w:rsidP="007B2A90">
      <w:pPr>
        <w:spacing w:after="0"/>
        <w:jc w:val="left"/>
        <w:rPr>
          <w:rFonts w:ascii="Microsoft Sans Serif" w:hAnsi="Microsoft Sans Serif" w:cs="Microsoft Sans Serif"/>
          <w:b/>
          <w:color w:val="404040" w:themeColor="text1" w:themeTint="BF"/>
          <w:sz w:val="14"/>
          <w:szCs w:val="14"/>
        </w:rPr>
        <w:sectPr w:rsidR="007B2A90" w:rsidRPr="00FB38E1">
          <w:pgSz w:w="11906" w:h="16838"/>
          <w:pgMar w:top="-1985" w:right="567" w:bottom="-862" w:left="1701" w:header="709" w:footer="306" w:gutter="0"/>
          <w:cols w:space="708"/>
        </w:sectPr>
      </w:pPr>
    </w:p>
    <w:tbl>
      <w:tblPr>
        <w:tblStyle w:val="TableGrid"/>
        <w:tblW w:w="95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2" w:type="dxa"/>
          <w:right w:w="62" w:type="dxa"/>
        </w:tblCellMar>
        <w:tblLook w:val="04A0" w:firstRow="1" w:lastRow="0" w:firstColumn="1" w:lastColumn="0" w:noHBand="0" w:noVBand="1"/>
      </w:tblPr>
      <w:tblGrid>
        <w:gridCol w:w="365"/>
        <w:gridCol w:w="4172"/>
        <w:gridCol w:w="1089"/>
        <w:gridCol w:w="1033"/>
        <w:gridCol w:w="996"/>
        <w:gridCol w:w="998"/>
        <w:gridCol w:w="946"/>
      </w:tblGrid>
      <w:tr w:rsidR="007B2A90" w:rsidRPr="00FB38E1" w14:paraId="52E593E5" w14:textId="77777777" w:rsidTr="007B2A90">
        <w:trPr>
          <w:trHeight w:val="25"/>
        </w:trPr>
        <w:tc>
          <w:tcPr>
            <w:tcW w:w="190" w:type="pct"/>
            <w:tcBorders>
              <w:top w:val="thinThickSmallGap" w:sz="24" w:space="0" w:color="auto"/>
              <w:left w:val="nil"/>
              <w:bottom w:val="nil"/>
              <w:right w:val="nil"/>
            </w:tcBorders>
          </w:tcPr>
          <w:p w14:paraId="3AB2FC98" w14:textId="77777777" w:rsidR="007B2A90" w:rsidRPr="00FB38E1" w:rsidRDefault="007B2A90">
            <w:pPr>
              <w:rPr>
                <w:rFonts w:ascii="Microsoft Sans Serif" w:hAnsi="Microsoft Sans Serif" w:cs="Microsoft Sans Serif"/>
                <w:b/>
                <w:bCs/>
                <w:color w:val="000000"/>
                <w:sz w:val="14"/>
                <w:szCs w:val="14"/>
              </w:rPr>
            </w:pPr>
          </w:p>
        </w:tc>
        <w:tc>
          <w:tcPr>
            <w:tcW w:w="2173" w:type="pct"/>
            <w:tcBorders>
              <w:top w:val="thinThickSmallGap" w:sz="24" w:space="0" w:color="auto"/>
              <w:left w:val="nil"/>
              <w:bottom w:val="nil"/>
              <w:right w:val="nil"/>
            </w:tcBorders>
            <w:vAlign w:val="bottom"/>
            <w:hideMark/>
          </w:tcPr>
          <w:p w14:paraId="7F913705" w14:textId="77777777" w:rsidR="007B2A90" w:rsidRPr="00FB38E1" w:rsidRDefault="007B2A90">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Önceki Dönem Sonu</w:t>
            </w:r>
          </w:p>
        </w:tc>
        <w:tc>
          <w:tcPr>
            <w:tcW w:w="567" w:type="pct"/>
            <w:tcBorders>
              <w:top w:val="thinThickSmallGap" w:sz="24" w:space="0" w:color="auto"/>
              <w:left w:val="nil"/>
              <w:bottom w:val="single" w:sz="4" w:space="0" w:color="auto"/>
              <w:right w:val="nil"/>
            </w:tcBorders>
            <w:vAlign w:val="bottom"/>
            <w:hideMark/>
          </w:tcPr>
          <w:p w14:paraId="00F8B8ED"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a</w:t>
            </w:r>
          </w:p>
        </w:tc>
        <w:tc>
          <w:tcPr>
            <w:tcW w:w="538" w:type="pct"/>
            <w:tcBorders>
              <w:top w:val="thinThickSmallGap" w:sz="24" w:space="0" w:color="auto"/>
              <w:left w:val="nil"/>
              <w:bottom w:val="single" w:sz="4" w:space="0" w:color="auto"/>
              <w:right w:val="nil"/>
            </w:tcBorders>
            <w:vAlign w:val="bottom"/>
            <w:hideMark/>
          </w:tcPr>
          <w:p w14:paraId="60DB042F"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b</w:t>
            </w:r>
          </w:p>
        </w:tc>
        <w:tc>
          <w:tcPr>
            <w:tcW w:w="519" w:type="pct"/>
            <w:tcBorders>
              <w:top w:val="thinThickSmallGap" w:sz="24" w:space="0" w:color="auto"/>
              <w:left w:val="nil"/>
              <w:bottom w:val="single" w:sz="4" w:space="0" w:color="auto"/>
              <w:right w:val="nil"/>
            </w:tcBorders>
            <w:vAlign w:val="bottom"/>
            <w:hideMark/>
          </w:tcPr>
          <w:p w14:paraId="4D3C5FBB"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c</w:t>
            </w:r>
          </w:p>
        </w:tc>
        <w:tc>
          <w:tcPr>
            <w:tcW w:w="520" w:type="pct"/>
            <w:tcBorders>
              <w:top w:val="thinThickSmallGap" w:sz="24" w:space="0" w:color="auto"/>
              <w:left w:val="nil"/>
              <w:bottom w:val="single" w:sz="4" w:space="0" w:color="auto"/>
              <w:right w:val="nil"/>
            </w:tcBorders>
            <w:vAlign w:val="bottom"/>
            <w:hideMark/>
          </w:tcPr>
          <w:p w14:paraId="20317A61"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ç</w:t>
            </w:r>
          </w:p>
        </w:tc>
        <w:tc>
          <w:tcPr>
            <w:tcW w:w="493" w:type="pct"/>
            <w:tcBorders>
              <w:top w:val="thinThickSmallGap" w:sz="24" w:space="0" w:color="auto"/>
              <w:left w:val="nil"/>
              <w:bottom w:val="single" w:sz="4" w:space="0" w:color="auto"/>
              <w:right w:val="nil"/>
            </w:tcBorders>
            <w:vAlign w:val="bottom"/>
            <w:hideMark/>
          </w:tcPr>
          <w:p w14:paraId="25308EDE" w14:textId="77777777" w:rsidR="007B2A90" w:rsidRPr="00FB38E1" w:rsidRDefault="007B2A90">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w:t>
            </w:r>
          </w:p>
        </w:tc>
      </w:tr>
      <w:tr w:rsidR="007B2A90" w:rsidRPr="00FB38E1" w14:paraId="30C2286D" w14:textId="77777777" w:rsidTr="007B2A90">
        <w:trPr>
          <w:trHeight w:val="25"/>
        </w:trPr>
        <w:tc>
          <w:tcPr>
            <w:tcW w:w="190" w:type="pct"/>
          </w:tcPr>
          <w:p w14:paraId="4C678957" w14:textId="77777777" w:rsidR="007B2A90" w:rsidRPr="00FB38E1" w:rsidRDefault="007B2A90">
            <w:pPr>
              <w:rPr>
                <w:rFonts w:ascii="Microsoft Sans Serif" w:hAnsi="Microsoft Sans Serif" w:cs="Microsoft Sans Serif"/>
                <w:b/>
                <w:bCs/>
                <w:color w:val="000000"/>
                <w:sz w:val="14"/>
                <w:szCs w:val="14"/>
              </w:rPr>
            </w:pPr>
          </w:p>
        </w:tc>
        <w:tc>
          <w:tcPr>
            <w:tcW w:w="2173" w:type="pct"/>
            <w:vAlign w:val="bottom"/>
          </w:tcPr>
          <w:p w14:paraId="3B0C9D95" w14:textId="77777777" w:rsidR="007B2A90" w:rsidRPr="00FB38E1" w:rsidRDefault="007B2A90">
            <w:pPr>
              <w:rPr>
                <w:rFonts w:ascii="Microsoft Sans Serif" w:hAnsi="Microsoft Sans Serif" w:cs="Microsoft Sans Serif"/>
                <w:b/>
                <w:bCs/>
                <w:color w:val="000000"/>
                <w:sz w:val="14"/>
                <w:szCs w:val="14"/>
              </w:rPr>
            </w:pPr>
          </w:p>
        </w:tc>
        <w:tc>
          <w:tcPr>
            <w:tcW w:w="2144" w:type="pct"/>
            <w:gridSpan w:val="4"/>
            <w:tcBorders>
              <w:top w:val="single" w:sz="4" w:space="0" w:color="auto"/>
              <w:left w:val="nil"/>
              <w:bottom w:val="single" w:sz="6" w:space="0" w:color="auto"/>
              <w:right w:val="nil"/>
            </w:tcBorders>
            <w:vAlign w:val="bottom"/>
            <w:hideMark/>
          </w:tcPr>
          <w:p w14:paraId="6E0621D6"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Kalan Vadesine Göre, Dikkate Alma Oranı Uygulanmamış Tutar</w:t>
            </w:r>
          </w:p>
        </w:tc>
        <w:tc>
          <w:tcPr>
            <w:tcW w:w="493" w:type="pct"/>
            <w:vMerge w:val="restart"/>
            <w:tcBorders>
              <w:top w:val="single" w:sz="4" w:space="0" w:color="auto"/>
              <w:left w:val="nil"/>
              <w:bottom w:val="single" w:sz="6" w:space="0" w:color="auto"/>
              <w:right w:val="nil"/>
            </w:tcBorders>
            <w:vAlign w:val="bottom"/>
            <w:hideMark/>
          </w:tcPr>
          <w:p w14:paraId="7C4CFE3B"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color w:val="000000"/>
                <w:sz w:val="14"/>
                <w:szCs w:val="14"/>
              </w:rPr>
              <w:t>Dikkate Alma Oranı Uygulanmış Toplam Tutar</w:t>
            </w:r>
          </w:p>
        </w:tc>
      </w:tr>
      <w:tr w:rsidR="007B2A90" w:rsidRPr="00FB38E1" w14:paraId="6B1CDFD2" w14:textId="77777777" w:rsidTr="007B2A90">
        <w:trPr>
          <w:trHeight w:val="25"/>
        </w:trPr>
        <w:tc>
          <w:tcPr>
            <w:tcW w:w="190" w:type="pct"/>
            <w:tcBorders>
              <w:top w:val="nil"/>
              <w:left w:val="nil"/>
              <w:bottom w:val="single" w:sz="6" w:space="0" w:color="auto"/>
              <w:right w:val="nil"/>
            </w:tcBorders>
          </w:tcPr>
          <w:p w14:paraId="2395B557" w14:textId="77777777" w:rsidR="007B2A90" w:rsidRPr="00FB38E1" w:rsidRDefault="007B2A90">
            <w:pPr>
              <w:rPr>
                <w:rFonts w:ascii="Microsoft Sans Serif" w:hAnsi="Microsoft Sans Serif" w:cs="Microsoft Sans Serif"/>
                <w:b/>
                <w:bCs/>
                <w:color w:val="000000"/>
                <w:sz w:val="14"/>
                <w:szCs w:val="14"/>
              </w:rPr>
            </w:pPr>
          </w:p>
        </w:tc>
        <w:tc>
          <w:tcPr>
            <w:tcW w:w="2173" w:type="pct"/>
            <w:tcBorders>
              <w:top w:val="nil"/>
              <w:left w:val="nil"/>
              <w:bottom w:val="single" w:sz="6" w:space="0" w:color="auto"/>
              <w:right w:val="nil"/>
            </w:tcBorders>
            <w:vAlign w:val="bottom"/>
          </w:tcPr>
          <w:p w14:paraId="415A98FB" w14:textId="77777777" w:rsidR="007B2A90" w:rsidRPr="00FB38E1" w:rsidRDefault="007B2A90">
            <w:pPr>
              <w:rPr>
                <w:rFonts w:ascii="Microsoft Sans Serif" w:hAnsi="Microsoft Sans Serif" w:cs="Microsoft Sans Serif"/>
                <w:b/>
                <w:bCs/>
                <w:color w:val="000000"/>
                <w:sz w:val="14"/>
                <w:szCs w:val="14"/>
              </w:rPr>
            </w:pPr>
          </w:p>
        </w:tc>
        <w:tc>
          <w:tcPr>
            <w:tcW w:w="567" w:type="pct"/>
            <w:tcBorders>
              <w:top w:val="single" w:sz="6" w:space="0" w:color="auto"/>
              <w:left w:val="nil"/>
              <w:bottom w:val="single" w:sz="6" w:space="0" w:color="auto"/>
              <w:right w:val="nil"/>
            </w:tcBorders>
            <w:vAlign w:val="bottom"/>
            <w:hideMark/>
          </w:tcPr>
          <w:p w14:paraId="4BABAEDF" w14:textId="77777777" w:rsidR="007B2A90" w:rsidRPr="00FB38E1" w:rsidRDefault="007B2A90">
            <w:pPr>
              <w:jc w:val="righ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Vadesiz</w:t>
            </w:r>
          </w:p>
        </w:tc>
        <w:tc>
          <w:tcPr>
            <w:tcW w:w="538" w:type="pct"/>
            <w:tcBorders>
              <w:top w:val="single" w:sz="6" w:space="0" w:color="auto"/>
              <w:left w:val="nil"/>
              <w:bottom w:val="single" w:sz="6" w:space="0" w:color="auto"/>
              <w:right w:val="nil"/>
            </w:tcBorders>
            <w:vAlign w:val="bottom"/>
            <w:hideMark/>
          </w:tcPr>
          <w:p w14:paraId="14608B1D" w14:textId="77777777" w:rsidR="007B2A90" w:rsidRPr="00FB38E1" w:rsidRDefault="007B2A90">
            <w:pPr>
              <w:jc w:val="righ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6 Aydan Kısa Vadeli</w:t>
            </w:r>
          </w:p>
        </w:tc>
        <w:tc>
          <w:tcPr>
            <w:tcW w:w="519" w:type="pct"/>
            <w:tcBorders>
              <w:top w:val="single" w:sz="6" w:space="0" w:color="auto"/>
              <w:left w:val="nil"/>
              <w:bottom w:val="single" w:sz="6" w:space="0" w:color="auto"/>
              <w:right w:val="nil"/>
            </w:tcBorders>
            <w:vAlign w:val="bottom"/>
            <w:hideMark/>
          </w:tcPr>
          <w:p w14:paraId="56C592CD" w14:textId="77777777" w:rsidR="007B2A90" w:rsidRPr="00FB38E1" w:rsidRDefault="007B2A90">
            <w:pPr>
              <w:jc w:val="righ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6 Ay ile 6 Aydan Uzun 1 Yıldan Kısa Vadeli</w:t>
            </w:r>
          </w:p>
        </w:tc>
        <w:tc>
          <w:tcPr>
            <w:tcW w:w="520" w:type="pct"/>
            <w:tcBorders>
              <w:top w:val="single" w:sz="6" w:space="0" w:color="auto"/>
              <w:left w:val="nil"/>
              <w:bottom w:val="single" w:sz="6" w:space="0" w:color="auto"/>
              <w:right w:val="nil"/>
            </w:tcBorders>
            <w:vAlign w:val="bottom"/>
            <w:hideMark/>
          </w:tcPr>
          <w:p w14:paraId="749DB64F" w14:textId="77777777" w:rsidR="007B2A90" w:rsidRPr="00FB38E1" w:rsidRDefault="007B2A90">
            <w:pPr>
              <w:jc w:val="righ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1 Yıl ve 1 Yıldan Uzun Vadeli</w:t>
            </w:r>
          </w:p>
        </w:tc>
        <w:tc>
          <w:tcPr>
            <w:tcW w:w="0" w:type="auto"/>
            <w:vMerge/>
            <w:tcBorders>
              <w:top w:val="single" w:sz="4" w:space="0" w:color="auto"/>
              <w:left w:val="nil"/>
              <w:bottom w:val="single" w:sz="6" w:space="0" w:color="auto"/>
              <w:right w:val="nil"/>
            </w:tcBorders>
            <w:vAlign w:val="center"/>
            <w:hideMark/>
          </w:tcPr>
          <w:p w14:paraId="6167EDDB" w14:textId="77777777" w:rsidR="007B2A90" w:rsidRPr="00FB38E1" w:rsidRDefault="007B2A90">
            <w:pPr>
              <w:rPr>
                <w:rFonts w:ascii="Microsoft Sans Serif" w:hAnsi="Microsoft Sans Serif" w:cs="Microsoft Sans Serif"/>
                <w:b/>
                <w:bCs/>
                <w:color w:val="000000"/>
                <w:sz w:val="14"/>
                <w:szCs w:val="14"/>
              </w:rPr>
            </w:pPr>
          </w:p>
        </w:tc>
      </w:tr>
      <w:tr w:rsidR="007B2A90" w:rsidRPr="00FB38E1" w14:paraId="5B2F72F1" w14:textId="77777777" w:rsidTr="007B2A90">
        <w:trPr>
          <w:trHeight w:val="25"/>
        </w:trPr>
        <w:tc>
          <w:tcPr>
            <w:tcW w:w="5000" w:type="pct"/>
            <w:gridSpan w:val="7"/>
            <w:tcBorders>
              <w:top w:val="single" w:sz="6" w:space="0" w:color="auto"/>
              <w:left w:val="nil"/>
              <w:bottom w:val="single" w:sz="6" w:space="0" w:color="auto"/>
              <w:right w:val="nil"/>
            </w:tcBorders>
            <w:vAlign w:val="center"/>
            <w:hideMark/>
          </w:tcPr>
          <w:p w14:paraId="4DC35F65" w14:textId="77777777" w:rsidR="007B2A90" w:rsidRPr="00FB38E1" w:rsidRDefault="007B2A90">
            <w:pPr>
              <w:jc w:val="left"/>
              <w:rPr>
                <w:rFonts w:ascii="Microsoft Sans Serif" w:hAnsi="Microsoft Sans Serif" w:cs="Microsoft Sans Serif"/>
                <w:color w:val="000000"/>
                <w:sz w:val="14"/>
                <w:szCs w:val="14"/>
              </w:rPr>
            </w:pPr>
            <w:r w:rsidRPr="00FB38E1">
              <w:rPr>
                <w:rFonts w:ascii="Microsoft Sans Serif" w:hAnsi="Microsoft Sans Serif" w:cs="Microsoft Sans Serif"/>
                <w:b/>
                <w:bCs/>
                <w:color w:val="000000"/>
                <w:sz w:val="14"/>
                <w:szCs w:val="14"/>
              </w:rPr>
              <w:t>Mevcut İstikrarlı Fon</w:t>
            </w:r>
          </w:p>
        </w:tc>
      </w:tr>
      <w:tr w:rsidR="007B2A90" w:rsidRPr="00FB38E1" w14:paraId="2BD5EAEC" w14:textId="77777777" w:rsidTr="007B2A90">
        <w:trPr>
          <w:trHeight w:val="25"/>
        </w:trPr>
        <w:tc>
          <w:tcPr>
            <w:tcW w:w="190" w:type="pct"/>
            <w:tcBorders>
              <w:top w:val="single" w:sz="6" w:space="0" w:color="auto"/>
              <w:left w:val="nil"/>
              <w:bottom w:val="nil"/>
              <w:right w:val="nil"/>
            </w:tcBorders>
            <w:tcMar>
              <w:top w:w="0" w:type="dxa"/>
              <w:left w:w="28" w:type="dxa"/>
              <w:bottom w:w="0" w:type="dxa"/>
              <w:right w:w="62" w:type="dxa"/>
            </w:tcMar>
            <w:hideMark/>
          </w:tcPr>
          <w:p w14:paraId="46596BCE"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w:t>
            </w:r>
          </w:p>
        </w:tc>
        <w:tc>
          <w:tcPr>
            <w:tcW w:w="2173" w:type="pct"/>
            <w:tcBorders>
              <w:top w:val="single" w:sz="6" w:space="0" w:color="auto"/>
              <w:left w:val="nil"/>
              <w:bottom w:val="nil"/>
              <w:right w:val="nil"/>
            </w:tcBorders>
            <w:tcMar>
              <w:top w:w="0" w:type="dxa"/>
              <w:left w:w="0" w:type="dxa"/>
              <w:bottom w:w="0" w:type="dxa"/>
              <w:right w:w="62" w:type="dxa"/>
            </w:tcMar>
            <w:vAlign w:val="bottom"/>
            <w:hideMark/>
          </w:tcPr>
          <w:p w14:paraId="6F899905"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Özkaynak Unsurları</w:t>
            </w:r>
          </w:p>
        </w:tc>
        <w:tc>
          <w:tcPr>
            <w:tcW w:w="567" w:type="pct"/>
            <w:tcBorders>
              <w:top w:val="single" w:sz="6" w:space="0" w:color="auto"/>
              <w:left w:val="nil"/>
              <w:bottom w:val="nil"/>
              <w:right w:val="nil"/>
            </w:tcBorders>
            <w:vAlign w:val="center"/>
            <w:hideMark/>
          </w:tcPr>
          <w:p w14:paraId="0CC05732" w14:textId="77777777" w:rsidR="007B2A90" w:rsidRPr="00FB38E1" w:rsidRDefault="007B2A90">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w:t>
            </w:r>
          </w:p>
        </w:tc>
        <w:tc>
          <w:tcPr>
            <w:tcW w:w="538" w:type="pct"/>
            <w:tcBorders>
              <w:top w:val="single" w:sz="6" w:space="0" w:color="auto"/>
              <w:left w:val="nil"/>
              <w:bottom w:val="nil"/>
              <w:right w:val="nil"/>
            </w:tcBorders>
            <w:vAlign w:val="center"/>
            <w:hideMark/>
          </w:tcPr>
          <w:p w14:paraId="49DDCEBD" w14:textId="77777777" w:rsidR="007B2A90" w:rsidRPr="00FB38E1" w:rsidRDefault="007B2A90">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w:t>
            </w:r>
          </w:p>
        </w:tc>
        <w:tc>
          <w:tcPr>
            <w:tcW w:w="519" w:type="pct"/>
            <w:tcBorders>
              <w:top w:val="single" w:sz="6" w:space="0" w:color="auto"/>
              <w:left w:val="nil"/>
              <w:bottom w:val="nil"/>
              <w:right w:val="nil"/>
            </w:tcBorders>
            <w:vAlign w:val="center"/>
            <w:hideMark/>
          </w:tcPr>
          <w:p w14:paraId="5D50FDA1" w14:textId="77777777" w:rsidR="007B2A90" w:rsidRPr="00FB38E1" w:rsidRDefault="007B2A90">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w:t>
            </w:r>
          </w:p>
        </w:tc>
        <w:tc>
          <w:tcPr>
            <w:tcW w:w="520" w:type="pct"/>
            <w:tcBorders>
              <w:top w:val="single" w:sz="6" w:space="0" w:color="auto"/>
              <w:left w:val="nil"/>
              <w:bottom w:val="nil"/>
              <w:right w:val="nil"/>
            </w:tcBorders>
            <w:vAlign w:val="center"/>
            <w:hideMark/>
          </w:tcPr>
          <w:p w14:paraId="071EE295" w14:textId="77777777" w:rsidR="007B2A90" w:rsidRPr="00FB38E1" w:rsidRDefault="007B2A90">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108.284.119</w:t>
            </w:r>
          </w:p>
        </w:tc>
        <w:tc>
          <w:tcPr>
            <w:tcW w:w="493" w:type="pct"/>
            <w:tcBorders>
              <w:top w:val="single" w:sz="6" w:space="0" w:color="auto"/>
              <w:left w:val="nil"/>
              <w:bottom w:val="nil"/>
              <w:right w:val="nil"/>
            </w:tcBorders>
            <w:vAlign w:val="center"/>
            <w:hideMark/>
          </w:tcPr>
          <w:p w14:paraId="46E7207B" w14:textId="77777777" w:rsidR="007B2A90" w:rsidRPr="00FB38E1" w:rsidRDefault="007B2A90">
            <w:pPr>
              <w:jc w:val="right"/>
              <w:rPr>
                <w:rFonts w:ascii="Microsoft Sans Serif" w:hAnsi="Microsoft Sans Serif" w:cs="Microsoft Sans Serif"/>
                <w:b/>
                <w:color w:val="404040"/>
                <w:sz w:val="14"/>
                <w:szCs w:val="14"/>
              </w:rPr>
            </w:pPr>
            <w:r w:rsidRPr="00FB38E1">
              <w:rPr>
                <w:rFonts w:ascii="Microsoft Sans Serif" w:hAnsi="Microsoft Sans Serif" w:cs="Microsoft Sans Serif"/>
                <w:color w:val="404040"/>
                <w:sz w:val="14"/>
                <w:szCs w:val="14"/>
              </w:rPr>
              <w:t>108.284.119</w:t>
            </w:r>
          </w:p>
        </w:tc>
      </w:tr>
      <w:tr w:rsidR="007B2A90" w:rsidRPr="00FB38E1" w14:paraId="17F5CA3B" w14:textId="77777777" w:rsidTr="007B2A90">
        <w:trPr>
          <w:trHeight w:val="25"/>
        </w:trPr>
        <w:tc>
          <w:tcPr>
            <w:tcW w:w="190" w:type="pct"/>
            <w:tcMar>
              <w:top w:w="0" w:type="dxa"/>
              <w:left w:w="28" w:type="dxa"/>
              <w:bottom w:w="0" w:type="dxa"/>
              <w:right w:w="62" w:type="dxa"/>
            </w:tcMar>
            <w:hideMark/>
          </w:tcPr>
          <w:p w14:paraId="48A22A37"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w:t>
            </w:r>
          </w:p>
        </w:tc>
        <w:tc>
          <w:tcPr>
            <w:tcW w:w="2173" w:type="pct"/>
            <w:tcMar>
              <w:top w:w="0" w:type="dxa"/>
              <w:left w:w="57" w:type="dxa"/>
              <w:bottom w:w="0" w:type="dxa"/>
              <w:right w:w="62" w:type="dxa"/>
            </w:tcMar>
            <w:vAlign w:val="bottom"/>
            <w:hideMark/>
          </w:tcPr>
          <w:p w14:paraId="103A4897" w14:textId="77777777" w:rsidR="007B2A90" w:rsidRPr="00FB38E1" w:rsidRDefault="007B2A90">
            <w:pPr>
              <w:ind w:left="99"/>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Ana sermaye ve katkı sermaye</w:t>
            </w:r>
          </w:p>
        </w:tc>
        <w:tc>
          <w:tcPr>
            <w:tcW w:w="567" w:type="pct"/>
            <w:vAlign w:val="center"/>
            <w:hideMark/>
          </w:tcPr>
          <w:p w14:paraId="26FF7CB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325FF9E8"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2702FE1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38D9A24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108.284.119</w:t>
            </w:r>
          </w:p>
        </w:tc>
        <w:tc>
          <w:tcPr>
            <w:tcW w:w="493" w:type="pct"/>
            <w:vAlign w:val="center"/>
            <w:hideMark/>
          </w:tcPr>
          <w:p w14:paraId="103337F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108.284.119</w:t>
            </w:r>
          </w:p>
        </w:tc>
      </w:tr>
      <w:tr w:rsidR="007B2A90" w:rsidRPr="00FB38E1" w14:paraId="627F71AD" w14:textId="77777777" w:rsidTr="007B2A90">
        <w:trPr>
          <w:trHeight w:val="25"/>
        </w:trPr>
        <w:tc>
          <w:tcPr>
            <w:tcW w:w="190" w:type="pct"/>
            <w:tcMar>
              <w:top w:w="0" w:type="dxa"/>
              <w:left w:w="28" w:type="dxa"/>
              <w:bottom w:w="0" w:type="dxa"/>
              <w:right w:w="62" w:type="dxa"/>
            </w:tcMar>
            <w:hideMark/>
          </w:tcPr>
          <w:p w14:paraId="4B5BFD51"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w:t>
            </w:r>
          </w:p>
        </w:tc>
        <w:tc>
          <w:tcPr>
            <w:tcW w:w="2173" w:type="pct"/>
            <w:tcMar>
              <w:top w:w="0" w:type="dxa"/>
              <w:left w:w="57" w:type="dxa"/>
              <w:bottom w:w="0" w:type="dxa"/>
              <w:right w:w="62" w:type="dxa"/>
            </w:tcMar>
            <w:vAlign w:val="bottom"/>
            <w:hideMark/>
          </w:tcPr>
          <w:p w14:paraId="2311FBFF"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Diğer özkaynak unsurları    </w:t>
            </w:r>
          </w:p>
        </w:tc>
        <w:tc>
          <w:tcPr>
            <w:tcW w:w="567" w:type="pct"/>
            <w:vAlign w:val="center"/>
            <w:hideMark/>
          </w:tcPr>
          <w:p w14:paraId="03FD2AE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2262808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37EAB5BB"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424AA139"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4417DCD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2B2C17DE" w14:textId="77777777" w:rsidTr="007B2A90">
        <w:trPr>
          <w:trHeight w:val="25"/>
        </w:trPr>
        <w:tc>
          <w:tcPr>
            <w:tcW w:w="190" w:type="pct"/>
            <w:tcMar>
              <w:top w:w="0" w:type="dxa"/>
              <w:left w:w="28" w:type="dxa"/>
              <w:bottom w:w="0" w:type="dxa"/>
              <w:right w:w="62" w:type="dxa"/>
            </w:tcMar>
            <w:hideMark/>
          </w:tcPr>
          <w:p w14:paraId="4E38F0AF"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w:t>
            </w:r>
          </w:p>
        </w:tc>
        <w:tc>
          <w:tcPr>
            <w:tcW w:w="2173" w:type="pct"/>
            <w:tcMar>
              <w:top w:w="0" w:type="dxa"/>
              <w:left w:w="0" w:type="dxa"/>
              <w:bottom w:w="0" w:type="dxa"/>
              <w:right w:w="62" w:type="dxa"/>
            </w:tcMar>
            <w:vAlign w:val="bottom"/>
            <w:hideMark/>
          </w:tcPr>
          <w:p w14:paraId="7976468F"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Gerçek kişi perakende müşteri mevduatı/katım fonu</w:t>
            </w:r>
          </w:p>
        </w:tc>
        <w:tc>
          <w:tcPr>
            <w:tcW w:w="567" w:type="pct"/>
            <w:vAlign w:val="center"/>
            <w:hideMark/>
          </w:tcPr>
          <w:p w14:paraId="497DC5B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113.318.211</w:t>
            </w:r>
          </w:p>
        </w:tc>
        <w:tc>
          <w:tcPr>
            <w:tcW w:w="538" w:type="pct"/>
            <w:vAlign w:val="center"/>
            <w:hideMark/>
          </w:tcPr>
          <w:p w14:paraId="79181C81" w14:textId="77777777" w:rsidR="007B2A90" w:rsidRPr="00FB38E1" w:rsidRDefault="007B2A90">
            <w:pPr>
              <w:jc w:val="right"/>
              <w:rPr>
                <w:rFonts w:ascii="Microsoft Sans Serif" w:hAnsi="Microsoft Sans Serif" w:cs="Microsoft Sans Serif"/>
                <w:color w:val="404040"/>
                <w:sz w:val="14"/>
                <w:szCs w:val="14"/>
                <w:rtl/>
              </w:rPr>
            </w:pPr>
            <w:r w:rsidRPr="00FB38E1">
              <w:rPr>
                <w:rFonts w:ascii="Microsoft Sans Serif" w:hAnsi="Microsoft Sans Serif" w:cs="Microsoft Sans Serif"/>
                <w:color w:val="404040"/>
                <w:sz w:val="14"/>
                <w:szCs w:val="14"/>
              </w:rPr>
              <w:t>281.716.207</w:t>
            </w:r>
          </w:p>
        </w:tc>
        <w:tc>
          <w:tcPr>
            <w:tcW w:w="519" w:type="pct"/>
            <w:vAlign w:val="center"/>
            <w:hideMark/>
          </w:tcPr>
          <w:p w14:paraId="2D0A853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18.813.079</w:t>
            </w:r>
          </w:p>
        </w:tc>
        <w:tc>
          <w:tcPr>
            <w:tcW w:w="520" w:type="pct"/>
            <w:vAlign w:val="center"/>
            <w:hideMark/>
          </w:tcPr>
          <w:p w14:paraId="07A453E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827.454</w:t>
            </w:r>
          </w:p>
        </w:tc>
        <w:tc>
          <w:tcPr>
            <w:tcW w:w="493" w:type="pct"/>
            <w:vAlign w:val="center"/>
            <w:hideMark/>
          </w:tcPr>
          <w:p w14:paraId="4632EFF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376.276.958</w:t>
            </w:r>
          </w:p>
        </w:tc>
      </w:tr>
      <w:tr w:rsidR="007B2A90" w:rsidRPr="00FB38E1" w14:paraId="74974701" w14:textId="77777777" w:rsidTr="007B2A90">
        <w:trPr>
          <w:trHeight w:val="25"/>
        </w:trPr>
        <w:tc>
          <w:tcPr>
            <w:tcW w:w="190" w:type="pct"/>
            <w:tcMar>
              <w:top w:w="0" w:type="dxa"/>
              <w:left w:w="28" w:type="dxa"/>
              <w:bottom w:w="0" w:type="dxa"/>
              <w:right w:w="62" w:type="dxa"/>
            </w:tcMar>
            <w:hideMark/>
          </w:tcPr>
          <w:p w14:paraId="559C6A47"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w:t>
            </w:r>
          </w:p>
        </w:tc>
        <w:tc>
          <w:tcPr>
            <w:tcW w:w="2173" w:type="pct"/>
            <w:tcMar>
              <w:top w:w="0" w:type="dxa"/>
              <w:left w:w="57" w:type="dxa"/>
              <w:bottom w:w="0" w:type="dxa"/>
              <w:right w:w="62" w:type="dxa"/>
            </w:tcMar>
            <w:vAlign w:val="bottom"/>
            <w:hideMark/>
          </w:tcPr>
          <w:p w14:paraId="6CA5FC55"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İstikrarlı mevduat/katılım fonu</w:t>
            </w:r>
          </w:p>
        </w:tc>
        <w:tc>
          <w:tcPr>
            <w:tcW w:w="567" w:type="pct"/>
            <w:vAlign w:val="center"/>
            <w:hideMark/>
          </w:tcPr>
          <w:p w14:paraId="36CE4137"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20.161.873</w:t>
            </w:r>
          </w:p>
        </w:tc>
        <w:tc>
          <w:tcPr>
            <w:tcW w:w="538" w:type="pct"/>
            <w:vAlign w:val="center"/>
            <w:hideMark/>
          </w:tcPr>
          <w:p w14:paraId="21A8AA08"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40.721.536</w:t>
            </w:r>
          </w:p>
        </w:tc>
        <w:tc>
          <w:tcPr>
            <w:tcW w:w="519" w:type="pct"/>
            <w:vAlign w:val="center"/>
            <w:hideMark/>
          </w:tcPr>
          <w:p w14:paraId="5E8FC09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484.048</w:t>
            </w:r>
          </w:p>
        </w:tc>
        <w:tc>
          <w:tcPr>
            <w:tcW w:w="520" w:type="pct"/>
            <w:vAlign w:val="center"/>
            <w:hideMark/>
          </w:tcPr>
          <w:p w14:paraId="4BDBFF8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22.562</w:t>
            </w:r>
          </w:p>
        </w:tc>
        <w:tc>
          <w:tcPr>
            <w:tcW w:w="493" w:type="pct"/>
            <w:vAlign w:val="center"/>
            <w:hideMark/>
          </w:tcPr>
          <w:p w14:paraId="51E5B68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58.320.519</w:t>
            </w:r>
          </w:p>
        </w:tc>
      </w:tr>
      <w:tr w:rsidR="007B2A90" w:rsidRPr="00FB38E1" w14:paraId="1E5F7982" w14:textId="77777777" w:rsidTr="007B2A90">
        <w:trPr>
          <w:trHeight w:val="25"/>
        </w:trPr>
        <w:tc>
          <w:tcPr>
            <w:tcW w:w="190" w:type="pct"/>
            <w:tcMar>
              <w:top w:w="0" w:type="dxa"/>
              <w:left w:w="28" w:type="dxa"/>
              <w:bottom w:w="0" w:type="dxa"/>
              <w:right w:w="62" w:type="dxa"/>
            </w:tcMar>
            <w:hideMark/>
          </w:tcPr>
          <w:p w14:paraId="6A8BF0E4"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w:t>
            </w:r>
          </w:p>
        </w:tc>
        <w:tc>
          <w:tcPr>
            <w:tcW w:w="2173" w:type="pct"/>
            <w:tcMar>
              <w:top w:w="0" w:type="dxa"/>
              <w:left w:w="57" w:type="dxa"/>
              <w:bottom w:w="0" w:type="dxa"/>
              <w:right w:w="62" w:type="dxa"/>
            </w:tcMar>
            <w:vAlign w:val="bottom"/>
            <w:hideMark/>
          </w:tcPr>
          <w:p w14:paraId="15A53AAA"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Düşük istikrarlı mevduat/katılım fonu</w:t>
            </w:r>
          </w:p>
        </w:tc>
        <w:tc>
          <w:tcPr>
            <w:tcW w:w="567" w:type="pct"/>
            <w:vAlign w:val="center"/>
            <w:hideMark/>
          </w:tcPr>
          <w:p w14:paraId="7EC84B7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93.156.338</w:t>
            </w:r>
          </w:p>
        </w:tc>
        <w:tc>
          <w:tcPr>
            <w:tcW w:w="538" w:type="pct"/>
            <w:vAlign w:val="center"/>
            <w:hideMark/>
          </w:tcPr>
          <w:p w14:paraId="65033D6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240.994.671</w:t>
            </w:r>
          </w:p>
        </w:tc>
        <w:tc>
          <w:tcPr>
            <w:tcW w:w="519" w:type="pct"/>
            <w:vAlign w:val="center"/>
            <w:hideMark/>
          </w:tcPr>
          <w:p w14:paraId="4856EB3C"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18.329.031</w:t>
            </w:r>
          </w:p>
        </w:tc>
        <w:tc>
          <w:tcPr>
            <w:tcW w:w="520" w:type="pct"/>
            <w:vAlign w:val="center"/>
            <w:hideMark/>
          </w:tcPr>
          <w:p w14:paraId="498B48B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804.892</w:t>
            </w:r>
          </w:p>
        </w:tc>
        <w:tc>
          <w:tcPr>
            <w:tcW w:w="493" w:type="pct"/>
            <w:vAlign w:val="center"/>
            <w:hideMark/>
          </w:tcPr>
          <w:p w14:paraId="7F709DB7"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317.956.439</w:t>
            </w:r>
          </w:p>
        </w:tc>
      </w:tr>
      <w:tr w:rsidR="007B2A90" w:rsidRPr="00FB38E1" w14:paraId="1EDD50C3" w14:textId="77777777" w:rsidTr="007B2A90">
        <w:trPr>
          <w:trHeight w:val="25"/>
        </w:trPr>
        <w:tc>
          <w:tcPr>
            <w:tcW w:w="190" w:type="pct"/>
            <w:tcMar>
              <w:top w:w="0" w:type="dxa"/>
              <w:left w:w="28" w:type="dxa"/>
              <w:bottom w:w="0" w:type="dxa"/>
              <w:right w:w="62" w:type="dxa"/>
            </w:tcMar>
            <w:hideMark/>
          </w:tcPr>
          <w:p w14:paraId="4FC525CD"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w:t>
            </w:r>
          </w:p>
        </w:tc>
        <w:tc>
          <w:tcPr>
            <w:tcW w:w="2173" w:type="pct"/>
            <w:tcMar>
              <w:top w:w="0" w:type="dxa"/>
              <w:left w:w="0" w:type="dxa"/>
              <w:bottom w:w="0" w:type="dxa"/>
              <w:right w:w="62" w:type="dxa"/>
            </w:tcMar>
            <w:vAlign w:val="bottom"/>
            <w:hideMark/>
          </w:tcPr>
          <w:p w14:paraId="5947FE71"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kişilere borçlar</w:t>
            </w:r>
          </w:p>
        </w:tc>
        <w:tc>
          <w:tcPr>
            <w:tcW w:w="567" w:type="pct"/>
            <w:vAlign w:val="center"/>
            <w:hideMark/>
          </w:tcPr>
          <w:p w14:paraId="39F90E24"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22A053CC"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248.769.958</w:t>
            </w:r>
          </w:p>
        </w:tc>
        <w:tc>
          <w:tcPr>
            <w:tcW w:w="519" w:type="pct"/>
            <w:vAlign w:val="center"/>
            <w:hideMark/>
          </w:tcPr>
          <w:p w14:paraId="7BBB6EFB"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91.190.429</w:t>
            </w:r>
          </w:p>
        </w:tc>
        <w:tc>
          <w:tcPr>
            <w:tcW w:w="520" w:type="pct"/>
            <w:vAlign w:val="center"/>
            <w:hideMark/>
          </w:tcPr>
          <w:p w14:paraId="609D840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29.474.787</w:t>
            </w:r>
          </w:p>
        </w:tc>
        <w:tc>
          <w:tcPr>
            <w:tcW w:w="493" w:type="pct"/>
            <w:vAlign w:val="center"/>
            <w:hideMark/>
          </w:tcPr>
          <w:p w14:paraId="15DEC94D"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144.879.518</w:t>
            </w:r>
          </w:p>
        </w:tc>
      </w:tr>
      <w:tr w:rsidR="007B2A90" w:rsidRPr="00FB38E1" w14:paraId="4225AA9D" w14:textId="77777777" w:rsidTr="007B2A90">
        <w:trPr>
          <w:trHeight w:val="25"/>
        </w:trPr>
        <w:tc>
          <w:tcPr>
            <w:tcW w:w="190" w:type="pct"/>
            <w:tcMar>
              <w:top w:w="0" w:type="dxa"/>
              <w:left w:w="28" w:type="dxa"/>
              <w:bottom w:w="0" w:type="dxa"/>
              <w:right w:w="62" w:type="dxa"/>
            </w:tcMar>
            <w:hideMark/>
          </w:tcPr>
          <w:p w14:paraId="2B700EC0"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w:t>
            </w:r>
          </w:p>
        </w:tc>
        <w:tc>
          <w:tcPr>
            <w:tcW w:w="2173" w:type="pct"/>
            <w:tcMar>
              <w:top w:w="0" w:type="dxa"/>
              <w:left w:w="57" w:type="dxa"/>
              <w:bottom w:w="0" w:type="dxa"/>
              <w:right w:w="62" w:type="dxa"/>
            </w:tcMar>
            <w:vAlign w:val="bottom"/>
            <w:hideMark/>
          </w:tcPr>
          <w:p w14:paraId="04F2A14A"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xml:space="preserve">Operasyonel mevduat/katılım fonu </w:t>
            </w:r>
          </w:p>
        </w:tc>
        <w:tc>
          <w:tcPr>
            <w:tcW w:w="567" w:type="pct"/>
            <w:vAlign w:val="center"/>
            <w:hideMark/>
          </w:tcPr>
          <w:p w14:paraId="6B22369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1A94831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128.829.297</w:t>
            </w:r>
          </w:p>
        </w:tc>
        <w:tc>
          <w:tcPr>
            <w:tcW w:w="519" w:type="pct"/>
            <w:vAlign w:val="center"/>
            <w:hideMark/>
          </w:tcPr>
          <w:p w14:paraId="4E74D8C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7.391.837</w:t>
            </w:r>
          </w:p>
        </w:tc>
        <w:tc>
          <w:tcPr>
            <w:tcW w:w="520" w:type="pct"/>
            <w:vAlign w:val="center"/>
            <w:hideMark/>
          </w:tcPr>
          <w:p w14:paraId="73AC12B7"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2B56F5E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68.110.567</w:t>
            </w:r>
          </w:p>
        </w:tc>
      </w:tr>
      <w:tr w:rsidR="007B2A90" w:rsidRPr="00FB38E1" w14:paraId="4CDA47E8" w14:textId="77777777" w:rsidTr="007B2A90">
        <w:trPr>
          <w:trHeight w:val="25"/>
        </w:trPr>
        <w:tc>
          <w:tcPr>
            <w:tcW w:w="190" w:type="pct"/>
            <w:tcMar>
              <w:top w:w="0" w:type="dxa"/>
              <w:left w:w="28" w:type="dxa"/>
              <w:bottom w:w="0" w:type="dxa"/>
              <w:right w:w="62" w:type="dxa"/>
            </w:tcMar>
            <w:hideMark/>
          </w:tcPr>
          <w:p w14:paraId="3A0F2C3E"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w:t>
            </w:r>
          </w:p>
        </w:tc>
        <w:tc>
          <w:tcPr>
            <w:tcW w:w="2173" w:type="pct"/>
            <w:tcMar>
              <w:top w:w="0" w:type="dxa"/>
              <w:left w:w="57" w:type="dxa"/>
              <w:bottom w:w="0" w:type="dxa"/>
              <w:right w:w="62" w:type="dxa"/>
            </w:tcMar>
            <w:vAlign w:val="bottom"/>
            <w:hideMark/>
          </w:tcPr>
          <w:p w14:paraId="73210CE1"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borçlar</w:t>
            </w:r>
          </w:p>
        </w:tc>
        <w:tc>
          <w:tcPr>
            <w:tcW w:w="567" w:type="pct"/>
            <w:vAlign w:val="center"/>
            <w:hideMark/>
          </w:tcPr>
          <w:p w14:paraId="55F8031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269B1379"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119.940.662</w:t>
            </w:r>
          </w:p>
        </w:tc>
        <w:tc>
          <w:tcPr>
            <w:tcW w:w="519" w:type="pct"/>
            <w:vAlign w:val="center"/>
            <w:hideMark/>
          </w:tcPr>
          <w:p w14:paraId="2646D07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83.798.592</w:t>
            </w:r>
          </w:p>
        </w:tc>
        <w:tc>
          <w:tcPr>
            <w:tcW w:w="520" w:type="pct"/>
            <w:vAlign w:val="center"/>
            <w:hideMark/>
          </w:tcPr>
          <w:p w14:paraId="05B73D78"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29.474.787</w:t>
            </w:r>
          </w:p>
        </w:tc>
        <w:tc>
          <w:tcPr>
            <w:tcW w:w="493" w:type="pct"/>
            <w:vAlign w:val="center"/>
            <w:hideMark/>
          </w:tcPr>
          <w:p w14:paraId="61BDE3D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76.768.951</w:t>
            </w:r>
          </w:p>
        </w:tc>
      </w:tr>
      <w:tr w:rsidR="007B2A90" w:rsidRPr="00FB38E1" w14:paraId="3E99EED4" w14:textId="77777777" w:rsidTr="007B2A90">
        <w:trPr>
          <w:trHeight w:val="25"/>
        </w:trPr>
        <w:tc>
          <w:tcPr>
            <w:tcW w:w="190" w:type="pct"/>
            <w:tcMar>
              <w:top w:w="0" w:type="dxa"/>
              <w:left w:w="28" w:type="dxa"/>
              <w:bottom w:w="0" w:type="dxa"/>
              <w:right w:w="62" w:type="dxa"/>
            </w:tcMar>
            <w:hideMark/>
          </w:tcPr>
          <w:p w14:paraId="6D056DD7"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w:t>
            </w:r>
          </w:p>
        </w:tc>
        <w:tc>
          <w:tcPr>
            <w:tcW w:w="2173" w:type="pct"/>
            <w:tcMar>
              <w:top w:w="0" w:type="dxa"/>
              <w:left w:w="57" w:type="dxa"/>
              <w:bottom w:w="0" w:type="dxa"/>
              <w:right w:w="62" w:type="dxa"/>
            </w:tcMar>
            <w:vAlign w:val="bottom"/>
            <w:hideMark/>
          </w:tcPr>
          <w:p w14:paraId="0453B3CA"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Birbirine bağlı varlıklara eşdeğer yükümlülükler</w:t>
            </w:r>
          </w:p>
        </w:tc>
        <w:tc>
          <w:tcPr>
            <w:tcW w:w="567" w:type="pct"/>
            <w:shd w:val="clear" w:color="auto" w:fill="000000" w:themeFill="text1"/>
            <w:vAlign w:val="center"/>
            <w:hideMark/>
          </w:tcPr>
          <w:p w14:paraId="1A250867"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19C01DD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19" w:type="pct"/>
            <w:shd w:val="clear" w:color="auto" w:fill="000000" w:themeFill="text1"/>
            <w:vAlign w:val="center"/>
            <w:hideMark/>
          </w:tcPr>
          <w:p w14:paraId="7A460424"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6B19D20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589A9D8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7B2A90" w:rsidRPr="00FB38E1" w14:paraId="53DC8685" w14:textId="77777777" w:rsidTr="007B2A90">
        <w:trPr>
          <w:trHeight w:val="25"/>
        </w:trPr>
        <w:tc>
          <w:tcPr>
            <w:tcW w:w="190" w:type="pct"/>
            <w:tcMar>
              <w:top w:w="0" w:type="dxa"/>
              <w:left w:w="28" w:type="dxa"/>
              <w:bottom w:w="0" w:type="dxa"/>
              <w:right w:w="62" w:type="dxa"/>
            </w:tcMar>
            <w:hideMark/>
          </w:tcPr>
          <w:p w14:paraId="326C09FE"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w:t>
            </w:r>
          </w:p>
        </w:tc>
        <w:tc>
          <w:tcPr>
            <w:tcW w:w="2173" w:type="pct"/>
            <w:tcMar>
              <w:top w:w="0" w:type="dxa"/>
              <w:left w:w="57" w:type="dxa"/>
              <w:bottom w:w="0" w:type="dxa"/>
              <w:right w:w="62" w:type="dxa"/>
            </w:tcMar>
            <w:vAlign w:val="bottom"/>
            <w:hideMark/>
          </w:tcPr>
          <w:p w14:paraId="75C819FB"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Yükümlülükler</w:t>
            </w:r>
          </w:p>
        </w:tc>
        <w:tc>
          <w:tcPr>
            <w:tcW w:w="567" w:type="pct"/>
            <w:vAlign w:val="center"/>
            <w:hideMark/>
          </w:tcPr>
          <w:p w14:paraId="1899A1AE"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63.048.517</w:t>
            </w:r>
          </w:p>
        </w:tc>
        <w:tc>
          <w:tcPr>
            <w:tcW w:w="538" w:type="pct"/>
            <w:tcBorders>
              <w:top w:val="nil"/>
              <w:left w:val="nil"/>
              <w:bottom w:val="single" w:sz="4" w:space="0" w:color="404040" w:themeColor="text1" w:themeTint="BF"/>
              <w:right w:val="nil"/>
            </w:tcBorders>
            <w:vAlign w:val="center"/>
            <w:hideMark/>
          </w:tcPr>
          <w:p w14:paraId="58DC4E7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tcBorders>
              <w:top w:val="nil"/>
              <w:left w:val="nil"/>
              <w:bottom w:val="single" w:sz="4" w:space="0" w:color="404040" w:themeColor="text1" w:themeTint="BF"/>
              <w:right w:val="nil"/>
            </w:tcBorders>
            <w:vAlign w:val="center"/>
            <w:hideMark/>
          </w:tcPr>
          <w:p w14:paraId="16BB75FD"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tcBorders>
              <w:top w:val="nil"/>
              <w:left w:val="nil"/>
              <w:bottom w:val="single" w:sz="4" w:space="0" w:color="404040" w:themeColor="text1" w:themeTint="BF"/>
              <w:right w:val="nil"/>
            </w:tcBorders>
            <w:vAlign w:val="center"/>
            <w:hideMark/>
          </w:tcPr>
          <w:p w14:paraId="30AA325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0C592B3D"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709D2EE8" w14:textId="77777777" w:rsidTr="007B2A90">
        <w:trPr>
          <w:trHeight w:val="25"/>
        </w:trPr>
        <w:tc>
          <w:tcPr>
            <w:tcW w:w="190" w:type="pct"/>
            <w:tcMar>
              <w:top w:w="0" w:type="dxa"/>
              <w:left w:w="28" w:type="dxa"/>
              <w:bottom w:w="0" w:type="dxa"/>
              <w:right w:w="62" w:type="dxa"/>
            </w:tcMar>
            <w:hideMark/>
          </w:tcPr>
          <w:p w14:paraId="4E218178"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w:t>
            </w:r>
          </w:p>
        </w:tc>
        <w:tc>
          <w:tcPr>
            <w:tcW w:w="2173" w:type="pct"/>
            <w:tcMar>
              <w:top w:w="0" w:type="dxa"/>
              <w:left w:w="57" w:type="dxa"/>
              <w:bottom w:w="0" w:type="dxa"/>
              <w:right w:w="62" w:type="dxa"/>
            </w:tcMar>
            <w:vAlign w:val="bottom"/>
            <w:hideMark/>
          </w:tcPr>
          <w:p w14:paraId="7670BAAC"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yükümlülükler</w:t>
            </w:r>
          </w:p>
        </w:tc>
        <w:tc>
          <w:tcPr>
            <w:tcW w:w="567" w:type="pct"/>
            <w:tcBorders>
              <w:top w:val="nil"/>
              <w:left w:val="nil"/>
              <w:bottom w:val="nil"/>
              <w:right w:val="single" w:sz="4" w:space="0" w:color="404040" w:themeColor="text1" w:themeTint="BF"/>
            </w:tcBorders>
            <w:shd w:val="clear" w:color="auto" w:fill="000000" w:themeFill="text1"/>
            <w:vAlign w:val="bottom"/>
          </w:tcPr>
          <w:p w14:paraId="5DB64FC5" w14:textId="77777777" w:rsidR="007B2A90" w:rsidRPr="00FB38E1" w:rsidRDefault="007B2A90">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bottom"/>
            <w:hideMark/>
          </w:tcPr>
          <w:p w14:paraId="361F1900" w14:textId="77777777" w:rsidR="007B2A90" w:rsidRPr="00FB38E1" w:rsidRDefault="007B2A90">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2.905.437</w:t>
            </w:r>
          </w:p>
        </w:tc>
        <w:tc>
          <w:tcPr>
            <w:tcW w:w="493" w:type="pct"/>
            <w:tcBorders>
              <w:top w:val="nil"/>
              <w:left w:val="single" w:sz="4" w:space="0" w:color="404040" w:themeColor="text1" w:themeTint="BF"/>
              <w:bottom w:val="nil"/>
              <w:right w:val="nil"/>
            </w:tcBorders>
            <w:shd w:val="clear" w:color="auto" w:fill="000000" w:themeFill="text1"/>
            <w:vAlign w:val="bottom"/>
          </w:tcPr>
          <w:p w14:paraId="620EE612" w14:textId="77777777" w:rsidR="007B2A90" w:rsidRPr="00FB38E1" w:rsidRDefault="007B2A90">
            <w:pPr>
              <w:jc w:val="right"/>
              <w:rPr>
                <w:rFonts w:ascii="Microsoft Sans Serif" w:hAnsi="Microsoft Sans Serif" w:cs="Microsoft Sans Serif"/>
                <w:color w:val="404040"/>
                <w:sz w:val="14"/>
                <w:szCs w:val="14"/>
              </w:rPr>
            </w:pPr>
          </w:p>
        </w:tc>
      </w:tr>
      <w:tr w:rsidR="007B2A90" w:rsidRPr="00FB38E1" w14:paraId="4D412808" w14:textId="77777777" w:rsidTr="007B2A90">
        <w:trPr>
          <w:trHeight w:val="25"/>
        </w:trPr>
        <w:tc>
          <w:tcPr>
            <w:tcW w:w="190" w:type="pct"/>
            <w:tcMar>
              <w:top w:w="0" w:type="dxa"/>
              <w:left w:w="28" w:type="dxa"/>
              <w:bottom w:w="0" w:type="dxa"/>
              <w:right w:w="62" w:type="dxa"/>
            </w:tcMar>
            <w:hideMark/>
          </w:tcPr>
          <w:p w14:paraId="591D6979"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w:t>
            </w:r>
          </w:p>
        </w:tc>
        <w:tc>
          <w:tcPr>
            <w:tcW w:w="2173" w:type="pct"/>
            <w:tcMar>
              <w:top w:w="0" w:type="dxa"/>
              <w:left w:w="57" w:type="dxa"/>
              <w:bottom w:w="0" w:type="dxa"/>
              <w:right w:w="62" w:type="dxa"/>
            </w:tcMar>
            <w:vAlign w:val="bottom"/>
            <w:hideMark/>
          </w:tcPr>
          <w:p w14:paraId="58643613"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Yukarıda yer almayan diğer özkaynak unsurları ve yükümlülükler</w:t>
            </w:r>
          </w:p>
        </w:tc>
        <w:tc>
          <w:tcPr>
            <w:tcW w:w="567" w:type="pct"/>
            <w:vAlign w:val="center"/>
            <w:hideMark/>
          </w:tcPr>
          <w:p w14:paraId="177B5F0E"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60.143.080</w:t>
            </w:r>
          </w:p>
        </w:tc>
        <w:tc>
          <w:tcPr>
            <w:tcW w:w="538" w:type="pct"/>
            <w:tcBorders>
              <w:top w:val="single" w:sz="4" w:space="0" w:color="404040" w:themeColor="text1" w:themeTint="BF"/>
              <w:left w:val="nil"/>
              <w:bottom w:val="nil"/>
              <w:right w:val="nil"/>
            </w:tcBorders>
            <w:vAlign w:val="center"/>
            <w:hideMark/>
          </w:tcPr>
          <w:p w14:paraId="72FA61FE"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0A8E392C"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0D34160B"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223E5B4C"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1FD7BB0A" w14:textId="77777777" w:rsidTr="007B2A90">
        <w:trPr>
          <w:trHeight w:val="25"/>
        </w:trPr>
        <w:tc>
          <w:tcPr>
            <w:tcW w:w="190" w:type="pct"/>
            <w:tcBorders>
              <w:top w:val="nil"/>
              <w:left w:val="nil"/>
              <w:bottom w:val="single" w:sz="4" w:space="0" w:color="auto"/>
              <w:right w:val="nil"/>
            </w:tcBorders>
            <w:tcMar>
              <w:top w:w="0" w:type="dxa"/>
              <w:left w:w="28" w:type="dxa"/>
              <w:bottom w:w="0" w:type="dxa"/>
              <w:right w:w="62" w:type="dxa"/>
            </w:tcMar>
            <w:hideMark/>
          </w:tcPr>
          <w:p w14:paraId="57A9A84D"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w:t>
            </w:r>
          </w:p>
        </w:tc>
        <w:tc>
          <w:tcPr>
            <w:tcW w:w="2173" w:type="pct"/>
            <w:tcBorders>
              <w:top w:val="nil"/>
              <w:left w:val="nil"/>
              <w:bottom w:val="single" w:sz="4" w:space="0" w:color="auto"/>
              <w:right w:val="nil"/>
            </w:tcBorders>
            <w:tcMar>
              <w:top w:w="0" w:type="dxa"/>
              <w:left w:w="0" w:type="dxa"/>
              <w:bottom w:w="0" w:type="dxa"/>
              <w:right w:w="62" w:type="dxa"/>
            </w:tcMar>
            <w:vAlign w:val="bottom"/>
            <w:hideMark/>
          </w:tcPr>
          <w:p w14:paraId="22AA734E"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Mevcut istikrarlı fon</w:t>
            </w:r>
          </w:p>
        </w:tc>
        <w:tc>
          <w:tcPr>
            <w:tcW w:w="567" w:type="pct"/>
            <w:tcBorders>
              <w:top w:val="nil"/>
              <w:left w:val="nil"/>
              <w:bottom w:val="single" w:sz="4" w:space="0" w:color="auto"/>
              <w:right w:val="nil"/>
            </w:tcBorders>
            <w:shd w:val="clear" w:color="auto" w:fill="000000" w:themeFill="text1"/>
            <w:vAlign w:val="center"/>
            <w:hideMark/>
          </w:tcPr>
          <w:p w14:paraId="00164F4E"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38" w:type="pct"/>
            <w:tcBorders>
              <w:top w:val="nil"/>
              <w:left w:val="nil"/>
              <w:bottom w:val="single" w:sz="4" w:space="0" w:color="auto"/>
              <w:right w:val="nil"/>
            </w:tcBorders>
            <w:shd w:val="clear" w:color="auto" w:fill="000000" w:themeFill="text1"/>
            <w:vAlign w:val="center"/>
            <w:hideMark/>
          </w:tcPr>
          <w:p w14:paraId="72ED204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19" w:type="pct"/>
            <w:tcBorders>
              <w:top w:val="nil"/>
              <w:left w:val="nil"/>
              <w:bottom w:val="single" w:sz="4" w:space="0" w:color="auto"/>
              <w:right w:val="nil"/>
            </w:tcBorders>
            <w:shd w:val="clear" w:color="auto" w:fill="000000" w:themeFill="text1"/>
            <w:vAlign w:val="center"/>
            <w:hideMark/>
          </w:tcPr>
          <w:p w14:paraId="0DFB2AF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20" w:type="pct"/>
            <w:tcBorders>
              <w:top w:val="nil"/>
              <w:left w:val="nil"/>
              <w:bottom w:val="single" w:sz="4" w:space="0" w:color="auto"/>
              <w:right w:val="nil"/>
            </w:tcBorders>
            <w:shd w:val="clear" w:color="auto" w:fill="000000" w:themeFill="text1"/>
            <w:vAlign w:val="center"/>
            <w:hideMark/>
          </w:tcPr>
          <w:p w14:paraId="77AB323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493" w:type="pct"/>
            <w:tcBorders>
              <w:top w:val="nil"/>
              <w:left w:val="nil"/>
              <w:bottom w:val="single" w:sz="4" w:space="0" w:color="auto"/>
              <w:right w:val="nil"/>
            </w:tcBorders>
            <w:vAlign w:val="center"/>
            <w:hideMark/>
          </w:tcPr>
          <w:p w14:paraId="7DB18F69"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629.440.594</w:t>
            </w:r>
          </w:p>
        </w:tc>
      </w:tr>
      <w:tr w:rsidR="007B2A90" w:rsidRPr="00FB38E1" w14:paraId="55F45591" w14:textId="77777777" w:rsidTr="007B2A90">
        <w:trPr>
          <w:trHeight w:val="25"/>
        </w:trPr>
        <w:tc>
          <w:tcPr>
            <w:tcW w:w="5000" w:type="pct"/>
            <w:gridSpan w:val="7"/>
            <w:tcBorders>
              <w:top w:val="single" w:sz="4" w:space="0" w:color="auto"/>
              <w:left w:val="nil"/>
              <w:bottom w:val="single" w:sz="4" w:space="0" w:color="auto"/>
              <w:right w:val="nil"/>
            </w:tcBorders>
            <w:tcMar>
              <w:top w:w="0" w:type="dxa"/>
              <w:left w:w="28" w:type="dxa"/>
              <w:bottom w:w="0" w:type="dxa"/>
              <w:right w:w="62" w:type="dxa"/>
            </w:tcMar>
            <w:vAlign w:val="bottom"/>
            <w:hideMark/>
          </w:tcPr>
          <w:p w14:paraId="322F26E8" w14:textId="77777777" w:rsidR="007B2A90" w:rsidRPr="00FB38E1" w:rsidRDefault="007B2A90">
            <w:pPr>
              <w:jc w:val="left"/>
              <w:rPr>
                <w:rFonts w:ascii="Microsoft Sans Serif" w:hAnsi="Microsoft Sans Serif" w:cs="Microsoft Sans Serif"/>
                <w:b/>
                <w:color w:val="000000"/>
                <w:sz w:val="14"/>
                <w:szCs w:val="14"/>
              </w:rPr>
            </w:pPr>
            <w:r w:rsidRPr="00FB38E1">
              <w:rPr>
                <w:rFonts w:ascii="Microsoft Sans Serif" w:hAnsi="Microsoft Sans Serif" w:cs="Microsoft Sans Serif"/>
                <w:b/>
                <w:bCs/>
                <w:color w:val="000000"/>
                <w:sz w:val="14"/>
                <w:szCs w:val="14"/>
              </w:rPr>
              <w:t>Gerekli İstikrarlı Fon</w:t>
            </w:r>
          </w:p>
        </w:tc>
      </w:tr>
      <w:tr w:rsidR="007B2A90" w:rsidRPr="00FB38E1" w14:paraId="6A89BAC6" w14:textId="77777777" w:rsidTr="007B2A90">
        <w:trPr>
          <w:trHeight w:val="25"/>
        </w:trPr>
        <w:tc>
          <w:tcPr>
            <w:tcW w:w="190" w:type="pct"/>
            <w:tcBorders>
              <w:top w:val="single" w:sz="4" w:space="0" w:color="auto"/>
              <w:left w:val="nil"/>
              <w:bottom w:val="nil"/>
              <w:right w:val="nil"/>
            </w:tcBorders>
            <w:tcMar>
              <w:top w:w="0" w:type="dxa"/>
              <w:left w:w="28" w:type="dxa"/>
              <w:bottom w:w="0" w:type="dxa"/>
              <w:right w:w="62" w:type="dxa"/>
            </w:tcMar>
            <w:hideMark/>
          </w:tcPr>
          <w:p w14:paraId="198379DD"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w:t>
            </w:r>
          </w:p>
        </w:tc>
        <w:tc>
          <w:tcPr>
            <w:tcW w:w="2173" w:type="pct"/>
            <w:tcBorders>
              <w:top w:val="single" w:sz="4" w:space="0" w:color="auto"/>
              <w:left w:val="nil"/>
              <w:bottom w:val="nil"/>
              <w:right w:val="nil"/>
            </w:tcBorders>
            <w:tcMar>
              <w:top w:w="0" w:type="dxa"/>
              <w:left w:w="0" w:type="dxa"/>
              <w:bottom w:w="0" w:type="dxa"/>
              <w:right w:w="62" w:type="dxa"/>
            </w:tcMar>
            <w:vAlign w:val="bottom"/>
            <w:hideMark/>
          </w:tcPr>
          <w:p w14:paraId="63E6D31F"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Yüksek kaliteli likit varlıklar</w:t>
            </w:r>
          </w:p>
        </w:tc>
        <w:tc>
          <w:tcPr>
            <w:tcW w:w="567" w:type="pct"/>
            <w:tcBorders>
              <w:top w:val="single" w:sz="4" w:space="0" w:color="auto"/>
              <w:left w:val="nil"/>
              <w:bottom w:val="nil"/>
              <w:right w:val="nil"/>
            </w:tcBorders>
            <w:shd w:val="clear" w:color="auto" w:fill="000000" w:themeFill="text1"/>
            <w:vAlign w:val="center"/>
            <w:hideMark/>
          </w:tcPr>
          <w:p w14:paraId="293E432D"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tcBorders>
              <w:top w:val="single" w:sz="4" w:space="0" w:color="auto"/>
              <w:left w:val="nil"/>
              <w:bottom w:val="nil"/>
              <w:right w:val="nil"/>
            </w:tcBorders>
            <w:shd w:val="clear" w:color="auto" w:fill="000000" w:themeFill="text1"/>
            <w:vAlign w:val="center"/>
            <w:hideMark/>
          </w:tcPr>
          <w:p w14:paraId="54A3D2F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tcBorders>
              <w:top w:val="single" w:sz="4" w:space="0" w:color="auto"/>
              <w:left w:val="nil"/>
              <w:bottom w:val="nil"/>
              <w:right w:val="nil"/>
            </w:tcBorders>
            <w:shd w:val="clear" w:color="auto" w:fill="000000" w:themeFill="text1"/>
            <w:vAlign w:val="center"/>
            <w:hideMark/>
          </w:tcPr>
          <w:p w14:paraId="2BE026DE"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tcBorders>
              <w:top w:val="single" w:sz="4" w:space="0" w:color="auto"/>
              <w:left w:val="nil"/>
              <w:bottom w:val="nil"/>
              <w:right w:val="nil"/>
            </w:tcBorders>
            <w:shd w:val="clear" w:color="auto" w:fill="000000" w:themeFill="text1"/>
            <w:vAlign w:val="center"/>
            <w:hideMark/>
          </w:tcPr>
          <w:p w14:paraId="513FD8C8"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tcBorders>
              <w:top w:val="single" w:sz="4" w:space="0" w:color="auto"/>
              <w:left w:val="nil"/>
              <w:bottom w:val="nil"/>
              <w:right w:val="nil"/>
            </w:tcBorders>
            <w:vAlign w:val="center"/>
            <w:hideMark/>
          </w:tcPr>
          <w:p w14:paraId="196C4B19"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38.203.334</w:t>
            </w:r>
          </w:p>
        </w:tc>
      </w:tr>
      <w:tr w:rsidR="007B2A90" w:rsidRPr="00FB38E1" w14:paraId="5CCD807D" w14:textId="77777777" w:rsidTr="007B2A90">
        <w:trPr>
          <w:trHeight w:val="25"/>
        </w:trPr>
        <w:tc>
          <w:tcPr>
            <w:tcW w:w="190" w:type="pct"/>
            <w:tcMar>
              <w:top w:w="0" w:type="dxa"/>
              <w:left w:w="28" w:type="dxa"/>
              <w:bottom w:w="0" w:type="dxa"/>
              <w:right w:w="62" w:type="dxa"/>
            </w:tcMar>
            <w:hideMark/>
          </w:tcPr>
          <w:p w14:paraId="40CF1CB7"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w:t>
            </w:r>
          </w:p>
        </w:tc>
        <w:tc>
          <w:tcPr>
            <w:tcW w:w="2173" w:type="pct"/>
            <w:tcMar>
              <w:top w:w="0" w:type="dxa"/>
              <w:left w:w="0" w:type="dxa"/>
              <w:bottom w:w="0" w:type="dxa"/>
              <w:right w:w="62" w:type="dxa"/>
            </w:tcMar>
            <w:vAlign w:val="bottom"/>
            <w:hideMark/>
          </w:tcPr>
          <w:p w14:paraId="648D69B3"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 kuruluşları veya finansal kuruluşlara depo edilen operasyonel mevduat/katılım fonu</w:t>
            </w:r>
          </w:p>
        </w:tc>
        <w:tc>
          <w:tcPr>
            <w:tcW w:w="567" w:type="pct"/>
            <w:vAlign w:val="center"/>
            <w:hideMark/>
          </w:tcPr>
          <w:p w14:paraId="201CF45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11D647D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67.604.343</w:t>
            </w:r>
          </w:p>
        </w:tc>
        <w:tc>
          <w:tcPr>
            <w:tcW w:w="519" w:type="pct"/>
            <w:vAlign w:val="center"/>
            <w:hideMark/>
          </w:tcPr>
          <w:p w14:paraId="648E7FE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49CCE23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1.225.765</w:t>
            </w:r>
          </w:p>
        </w:tc>
        <w:tc>
          <w:tcPr>
            <w:tcW w:w="493" w:type="pct"/>
            <w:vAlign w:val="center"/>
            <w:hideMark/>
          </w:tcPr>
          <w:p w14:paraId="540EF4AD"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11.366.417</w:t>
            </w:r>
          </w:p>
        </w:tc>
      </w:tr>
      <w:tr w:rsidR="007B2A90" w:rsidRPr="00FB38E1" w14:paraId="36089448" w14:textId="77777777" w:rsidTr="007B2A90">
        <w:trPr>
          <w:trHeight w:val="25"/>
        </w:trPr>
        <w:tc>
          <w:tcPr>
            <w:tcW w:w="190" w:type="pct"/>
            <w:tcMar>
              <w:top w:w="0" w:type="dxa"/>
              <w:left w:w="28" w:type="dxa"/>
              <w:bottom w:w="0" w:type="dxa"/>
              <w:right w:w="62" w:type="dxa"/>
            </w:tcMar>
            <w:hideMark/>
          </w:tcPr>
          <w:p w14:paraId="52C72DFA"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w:t>
            </w:r>
          </w:p>
        </w:tc>
        <w:tc>
          <w:tcPr>
            <w:tcW w:w="2173" w:type="pct"/>
            <w:tcMar>
              <w:top w:w="0" w:type="dxa"/>
              <w:left w:w="0" w:type="dxa"/>
              <w:bottom w:w="0" w:type="dxa"/>
              <w:right w:w="62" w:type="dxa"/>
            </w:tcMar>
            <w:vAlign w:val="bottom"/>
            <w:hideMark/>
          </w:tcPr>
          <w:p w14:paraId="3E3B9F3F"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Canlı alacaklar</w:t>
            </w:r>
          </w:p>
        </w:tc>
        <w:tc>
          <w:tcPr>
            <w:tcW w:w="567" w:type="pct"/>
            <w:vAlign w:val="center"/>
            <w:hideMark/>
          </w:tcPr>
          <w:p w14:paraId="1058FC0C"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40CA08C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201.029.618</w:t>
            </w:r>
          </w:p>
        </w:tc>
        <w:tc>
          <w:tcPr>
            <w:tcW w:w="519" w:type="pct"/>
            <w:vAlign w:val="center"/>
            <w:hideMark/>
          </w:tcPr>
          <w:p w14:paraId="21BF07B8"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62.281.106</w:t>
            </w:r>
          </w:p>
        </w:tc>
        <w:tc>
          <w:tcPr>
            <w:tcW w:w="520" w:type="pct"/>
            <w:vAlign w:val="center"/>
            <w:hideMark/>
          </w:tcPr>
          <w:p w14:paraId="3897E06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213.297.447</w:t>
            </w:r>
          </w:p>
        </w:tc>
        <w:tc>
          <w:tcPr>
            <w:tcW w:w="493" w:type="pct"/>
            <w:vAlign w:val="center"/>
            <w:hideMark/>
          </w:tcPr>
          <w:p w14:paraId="3587CE78"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300.559.964</w:t>
            </w:r>
          </w:p>
        </w:tc>
      </w:tr>
      <w:tr w:rsidR="007B2A90" w:rsidRPr="00FB38E1" w14:paraId="4F7C23FC" w14:textId="77777777" w:rsidTr="007B2A90">
        <w:trPr>
          <w:trHeight w:val="25"/>
        </w:trPr>
        <w:tc>
          <w:tcPr>
            <w:tcW w:w="190" w:type="pct"/>
            <w:tcMar>
              <w:top w:w="0" w:type="dxa"/>
              <w:left w:w="28" w:type="dxa"/>
              <w:bottom w:w="0" w:type="dxa"/>
              <w:right w:w="62" w:type="dxa"/>
            </w:tcMar>
            <w:hideMark/>
          </w:tcPr>
          <w:p w14:paraId="022D5AF6"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w:t>
            </w:r>
          </w:p>
        </w:tc>
        <w:tc>
          <w:tcPr>
            <w:tcW w:w="2173" w:type="pct"/>
            <w:tcMar>
              <w:top w:w="0" w:type="dxa"/>
              <w:left w:w="57" w:type="dxa"/>
              <w:bottom w:w="0" w:type="dxa"/>
              <w:right w:w="62" w:type="dxa"/>
            </w:tcMar>
            <w:vAlign w:val="bottom"/>
            <w:hideMark/>
          </w:tcPr>
          <w:p w14:paraId="210749D0"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Teminatı birinci kalite likit varlık olan, kredi kuruluşları veya finansal kuruluşlardan alacaklar</w:t>
            </w:r>
          </w:p>
        </w:tc>
        <w:tc>
          <w:tcPr>
            <w:tcW w:w="567" w:type="pct"/>
            <w:vAlign w:val="center"/>
            <w:hideMark/>
          </w:tcPr>
          <w:p w14:paraId="2FA77E1E"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479E0F4D"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30.157.078</w:t>
            </w:r>
          </w:p>
        </w:tc>
        <w:tc>
          <w:tcPr>
            <w:tcW w:w="519" w:type="pct"/>
            <w:vAlign w:val="center"/>
            <w:hideMark/>
          </w:tcPr>
          <w:p w14:paraId="15BDE4F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310602CB"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4EA5F38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3.015.708</w:t>
            </w:r>
          </w:p>
        </w:tc>
      </w:tr>
      <w:tr w:rsidR="007B2A90" w:rsidRPr="00FB38E1" w14:paraId="29A39861" w14:textId="77777777" w:rsidTr="007B2A90">
        <w:trPr>
          <w:trHeight w:val="25"/>
        </w:trPr>
        <w:tc>
          <w:tcPr>
            <w:tcW w:w="190" w:type="pct"/>
            <w:tcMar>
              <w:top w:w="0" w:type="dxa"/>
              <w:left w:w="28" w:type="dxa"/>
              <w:bottom w:w="0" w:type="dxa"/>
              <w:right w:w="62" w:type="dxa"/>
            </w:tcMar>
            <w:hideMark/>
          </w:tcPr>
          <w:p w14:paraId="687D5F40"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w:t>
            </w:r>
          </w:p>
        </w:tc>
        <w:tc>
          <w:tcPr>
            <w:tcW w:w="2173" w:type="pct"/>
            <w:tcMar>
              <w:top w:w="0" w:type="dxa"/>
              <w:left w:w="57" w:type="dxa"/>
              <w:bottom w:w="0" w:type="dxa"/>
              <w:right w:w="62" w:type="dxa"/>
            </w:tcMar>
            <w:vAlign w:val="bottom"/>
            <w:hideMark/>
          </w:tcPr>
          <w:p w14:paraId="2CBBF8E3"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 kuruluşları veya finansal kuruluşlardan teminatsız veya teminatı birinci kalite likit varlık olmayan teminatlı alacaklar</w:t>
            </w:r>
          </w:p>
        </w:tc>
        <w:tc>
          <w:tcPr>
            <w:tcW w:w="567" w:type="pct"/>
            <w:vAlign w:val="center"/>
            <w:hideMark/>
          </w:tcPr>
          <w:p w14:paraId="4247DFC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5A5FA6E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22940507"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2391AE18"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26D08C5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37CA6B45" w14:textId="77777777" w:rsidTr="007B2A90">
        <w:trPr>
          <w:trHeight w:val="25"/>
        </w:trPr>
        <w:tc>
          <w:tcPr>
            <w:tcW w:w="190" w:type="pct"/>
            <w:tcMar>
              <w:top w:w="0" w:type="dxa"/>
              <w:left w:w="28" w:type="dxa"/>
              <w:bottom w:w="0" w:type="dxa"/>
              <w:right w:w="62" w:type="dxa"/>
            </w:tcMar>
            <w:hideMark/>
          </w:tcPr>
          <w:p w14:paraId="04198760"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w:t>
            </w:r>
          </w:p>
        </w:tc>
        <w:tc>
          <w:tcPr>
            <w:tcW w:w="2173" w:type="pct"/>
            <w:tcMar>
              <w:top w:w="0" w:type="dxa"/>
              <w:left w:w="57" w:type="dxa"/>
              <w:bottom w:w="0" w:type="dxa"/>
              <w:right w:w="62" w:type="dxa"/>
            </w:tcMar>
            <w:vAlign w:val="bottom"/>
            <w:hideMark/>
          </w:tcPr>
          <w:p w14:paraId="626B21F3"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 kuruluşları veya finansal kuruluşlar dışındaki kurumsal müşteriler,kuruluşlar, gerçek kişi ve perakende müşteriler, merkezi yönetimler, merkez bankaları ile kamu kuruluşlarından olan alacaklar</w:t>
            </w:r>
          </w:p>
        </w:tc>
        <w:tc>
          <w:tcPr>
            <w:tcW w:w="567" w:type="pct"/>
            <w:vAlign w:val="center"/>
            <w:hideMark/>
          </w:tcPr>
          <w:p w14:paraId="43024A5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49EA7DA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170.798.333</w:t>
            </w:r>
          </w:p>
        </w:tc>
        <w:tc>
          <w:tcPr>
            <w:tcW w:w="519" w:type="pct"/>
            <w:vAlign w:val="center"/>
            <w:hideMark/>
          </w:tcPr>
          <w:p w14:paraId="43E3B3FB"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62.220.094</w:t>
            </w:r>
          </w:p>
        </w:tc>
        <w:tc>
          <w:tcPr>
            <w:tcW w:w="520" w:type="pct"/>
            <w:vAlign w:val="center"/>
            <w:hideMark/>
          </w:tcPr>
          <w:p w14:paraId="117C7A2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210.451.231</w:t>
            </w:r>
          </w:p>
        </w:tc>
        <w:tc>
          <w:tcPr>
            <w:tcW w:w="493" w:type="pct"/>
            <w:vAlign w:val="center"/>
            <w:hideMark/>
          </w:tcPr>
          <w:p w14:paraId="6F66049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295.392.760</w:t>
            </w:r>
          </w:p>
        </w:tc>
      </w:tr>
      <w:tr w:rsidR="007B2A90" w:rsidRPr="00FB38E1" w14:paraId="2D27FD24" w14:textId="77777777" w:rsidTr="007B2A90">
        <w:trPr>
          <w:trHeight w:val="25"/>
        </w:trPr>
        <w:tc>
          <w:tcPr>
            <w:tcW w:w="190" w:type="pct"/>
            <w:hideMark/>
          </w:tcPr>
          <w:p w14:paraId="6B82173F"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w:t>
            </w:r>
          </w:p>
        </w:tc>
        <w:tc>
          <w:tcPr>
            <w:tcW w:w="2173" w:type="pct"/>
            <w:tcMar>
              <w:top w:w="0" w:type="dxa"/>
              <w:left w:w="454" w:type="dxa"/>
              <w:bottom w:w="0" w:type="dxa"/>
              <w:right w:w="62" w:type="dxa"/>
            </w:tcMar>
            <w:vAlign w:val="bottom"/>
            <w:hideMark/>
          </w:tcPr>
          <w:p w14:paraId="78C2BC47"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61BDDB5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4B937F14"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747EF52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458F158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1D38F55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460085ED" w14:textId="77777777" w:rsidTr="007B2A90">
        <w:trPr>
          <w:trHeight w:val="25"/>
        </w:trPr>
        <w:tc>
          <w:tcPr>
            <w:tcW w:w="190" w:type="pct"/>
            <w:hideMark/>
          </w:tcPr>
          <w:p w14:paraId="72272A50"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w:t>
            </w:r>
          </w:p>
        </w:tc>
        <w:tc>
          <w:tcPr>
            <w:tcW w:w="2173" w:type="pct"/>
            <w:tcMar>
              <w:top w:w="0" w:type="dxa"/>
              <w:left w:w="57" w:type="dxa"/>
              <w:bottom w:w="0" w:type="dxa"/>
              <w:right w:w="62" w:type="dxa"/>
            </w:tcMar>
            <w:vAlign w:val="bottom"/>
            <w:hideMark/>
          </w:tcPr>
          <w:p w14:paraId="638F2FE7"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İkamet amaçlı gayrimenkul ipoteği ile teminatlandırılan alacaklar</w:t>
            </w:r>
          </w:p>
        </w:tc>
        <w:tc>
          <w:tcPr>
            <w:tcW w:w="567" w:type="pct"/>
            <w:vAlign w:val="center"/>
            <w:hideMark/>
          </w:tcPr>
          <w:p w14:paraId="072DA00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7C61616B"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74.207</w:t>
            </w:r>
          </w:p>
        </w:tc>
        <w:tc>
          <w:tcPr>
            <w:tcW w:w="519" w:type="pct"/>
            <w:vAlign w:val="center"/>
            <w:hideMark/>
          </w:tcPr>
          <w:p w14:paraId="3EE3322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61.012</w:t>
            </w:r>
          </w:p>
        </w:tc>
        <w:tc>
          <w:tcPr>
            <w:tcW w:w="520" w:type="pct"/>
            <w:vAlign w:val="center"/>
            <w:hideMark/>
          </w:tcPr>
          <w:p w14:paraId="2D077B0D"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201.234</w:t>
            </w:r>
          </w:p>
        </w:tc>
        <w:tc>
          <w:tcPr>
            <w:tcW w:w="493" w:type="pct"/>
            <w:vAlign w:val="center"/>
            <w:hideMark/>
          </w:tcPr>
          <w:p w14:paraId="130871C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198.412</w:t>
            </w:r>
          </w:p>
        </w:tc>
      </w:tr>
      <w:tr w:rsidR="007B2A90" w:rsidRPr="00FB38E1" w14:paraId="345687B6" w14:textId="77777777" w:rsidTr="007B2A90">
        <w:trPr>
          <w:trHeight w:val="25"/>
        </w:trPr>
        <w:tc>
          <w:tcPr>
            <w:tcW w:w="190" w:type="pct"/>
            <w:hideMark/>
          </w:tcPr>
          <w:p w14:paraId="1D1EB143" w14:textId="77777777" w:rsidR="007B2A90" w:rsidRPr="00FB38E1" w:rsidRDefault="007B2A90">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23</w:t>
            </w:r>
          </w:p>
        </w:tc>
        <w:tc>
          <w:tcPr>
            <w:tcW w:w="2173" w:type="pct"/>
            <w:tcMar>
              <w:top w:w="0" w:type="dxa"/>
              <w:left w:w="454" w:type="dxa"/>
              <w:bottom w:w="0" w:type="dxa"/>
              <w:right w:w="62" w:type="dxa"/>
            </w:tcMar>
            <w:vAlign w:val="bottom"/>
            <w:hideMark/>
          </w:tcPr>
          <w:p w14:paraId="3D831ADA"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 ya da daha düşük risk ağırlığına tabi alacaklar</w:t>
            </w:r>
          </w:p>
        </w:tc>
        <w:tc>
          <w:tcPr>
            <w:tcW w:w="567" w:type="pct"/>
            <w:vAlign w:val="center"/>
            <w:hideMark/>
          </w:tcPr>
          <w:p w14:paraId="69A9E9EB"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w:t>
            </w:r>
          </w:p>
        </w:tc>
        <w:tc>
          <w:tcPr>
            <w:tcW w:w="538" w:type="pct"/>
            <w:vAlign w:val="center"/>
            <w:hideMark/>
          </w:tcPr>
          <w:p w14:paraId="367FDC93"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74.207</w:t>
            </w:r>
          </w:p>
        </w:tc>
        <w:tc>
          <w:tcPr>
            <w:tcW w:w="519" w:type="pct"/>
            <w:vAlign w:val="center"/>
            <w:hideMark/>
          </w:tcPr>
          <w:p w14:paraId="623DC513"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61.012</w:t>
            </w:r>
          </w:p>
        </w:tc>
        <w:tc>
          <w:tcPr>
            <w:tcW w:w="520" w:type="pct"/>
            <w:vAlign w:val="center"/>
            <w:hideMark/>
          </w:tcPr>
          <w:p w14:paraId="76BE434A"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201.234</w:t>
            </w:r>
          </w:p>
        </w:tc>
        <w:tc>
          <w:tcPr>
            <w:tcW w:w="493" w:type="pct"/>
            <w:vAlign w:val="center"/>
            <w:hideMark/>
          </w:tcPr>
          <w:p w14:paraId="7C286278"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198.412</w:t>
            </w:r>
          </w:p>
        </w:tc>
      </w:tr>
      <w:tr w:rsidR="007B2A90" w:rsidRPr="00FB38E1" w14:paraId="26728A8B" w14:textId="77777777" w:rsidTr="007B2A90">
        <w:trPr>
          <w:trHeight w:val="25"/>
        </w:trPr>
        <w:tc>
          <w:tcPr>
            <w:tcW w:w="190" w:type="pct"/>
            <w:hideMark/>
          </w:tcPr>
          <w:p w14:paraId="76A11D2B" w14:textId="77777777" w:rsidR="007B2A90" w:rsidRPr="00FB38E1" w:rsidRDefault="007B2A90">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24</w:t>
            </w:r>
          </w:p>
        </w:tc>
        <w:tc>
          <w:tcPr>
            <w:tcW w:w="2173" w:type="pct"/>
            <w:tcMar>
              <w:top w:w="0" w:type="dxa"/>
              <w:left w:w="57" w:type="dxa"/>
              <w:bottom w:w="0" w:type="dxa"/>
              <w:right w:w="62" w:type="dxa"/>
            </w:tcMar>
            <w:vAlign w:val="bottom"/>
            <w:hideMark/>
          </w:tcPr>
          <w:p w14:paraId="1DE8E279"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Yüksek kaliteli likit varlık niteliğini haiz olmayan, borsada işlem gören hisse senetleri ile borçlanma araçları</w:t>
            </w:r>
          </w:p>
        </w:tc>
        <w:tc>
          <w:tcPr>
            <w:tcW w:w="567" w:type="pct"/>
            <w:vAlign w:val="center"/>
            <w:hideMark/>
          </w:tcPr>
          <w:p w14:paraId="0A450C82" w14:textId="77777777" w:rsidR="007B2A90" w:rsidRPr="00FB38E1" w:rsidRDefault="007B2A90">
            <w:pPr>
              <w:jc w:val="right"/>
              <w:rPr>
                <w:sz w:val="14"/>
                <w:szCs w:val="14"/>
              </w:rPr>
            </w:pPr>
            <w:r w:rsidRPr="00FB38E1">
              <w:rPr>
                <w:rFonts w:ascii="Microsoft Sans Serif" w:hAnsi="Microsoft Sans Serif" w:cs="Microsoft Sans Serif"/>
                <w:color w:val="000000"/>
                <w:sz w:val="14"/>
                <w:szCs w:val="14"/>
              </w:rPr>
              <w:t>--</w:t>
            </w:r>
          </w:p>
        </w:tc>
        <w:tc>
          <w:tcPr>
            <w:tcW w:w="538" w:type="pct"/>
            <w:vAlign w:val="center"/>
            <w:hideMark/>
          </w:tcPr>
          <w:p w14:paraId="15FD94D2" w14:textId="77777777" w:rsidR="007B2A90" w:rsidRPr="00FB38E1" w:rsidRDefault="007B2A90">
            <w:pPr>
              <w:rPr>
                <w:sz w:val="14"/>
                <w:szCs w:val="14"/>
              </w:rPr>
            </w:pPr>
            <w:r w:rsidRPr="00FB38E1">
              <w:rPr>
                <w:rFonts w:ascii="Microsoft Sans Serif" w:hAnsi="Microsoft Sans Serif" w:cs="Microsoft Sans Serif"/>
                <w:color w:val="000000"/>
                <w:sz w:val="14"/>
                <w:szCs w:val="14"/>
              </w:rPr>
              <w:t>--</w:t>
            </w:r>
          </w:p>
        </w:tc>
        <w:tc>
          <w:tcPr>
            <w:tcW w:w="519" w:type="pct"/>
            <w:vAlign w:val="center"/>
            <w:hideMark/>
          </w:tcPr>
          <w:p w14:paraId="3C42FB9B" w14:textId="77777777" w:rsidR="007B2A90" w:rsidRPr="00FB38E1" w:rsidRDefault="007B2A90">
            <w:pPr>
              <w:rPr>
                <w:sz w:val="14"/>
                <w:szCs w:val="14"/>
              </w:rPr>
            </w:pPr>
            <w:r w:rsidRPr="00FB38E1">
              <w:rPr>
                <w:rFonts w:ascii="Microsoft Sans Serif" w:hAnsi="Microsoft Sans Serif" w:cs="Microsoft Sans Serif"/>
                <w:color w:val="000000"/>
                <w:sz w:val="14"/>
                <w:szCs w:val="14"/>
              </w:rPr>
              <w:t>--</w:t>
            </w:r>
          </w:p>
        </w:tc>
        <w:tc>
          <w:tcPr>
            <w:tcW w:w="520" w:type="pct"/>
            <w:vAlign w:val="center"/>
            <w:hideMark/>
          </w:tcPr>
          <w:p w14:paraId="70BB2F70" w14:textId="77777777" w:rsidR="007B2A90" w:rsidRPr="00FB38E1" w:rsidRDefault="007B2A90">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2.644.982</w:t>
            </w:r>
          </w:p>
        </w:tc>
        <w:tc>
          <w:tcPr>
            <w:tcW w:w="493" w:type="pct"/>
            <w:vAlign w:val="center"/>
            <w:hideMark/>
          </w:tcPr>
          <w:p w14:paraId="5817DC7D" w14:textId="77777777" w:rsidR="007B2A90" w:rsidRPr="00FB38E1" w:rsidRDefault="007B2A90">
            <w:pPr>
              <w:jc w:val="right"/>
              <w:rPr>
                <w:rFonts w:ascii="Microsoft Sans Serif" w:hAnsi="Microsoft Sans Serif" w:cs="Microsoft Sans Serif"/>
                <w:sz w:val="14"/>
                <w:szCs w:val="14"/>
              </w:rPr>
            </w:pPr>
            <w:r w:rsidRPr="00FB38E1">
              <w:rPr>
                <w:rFonts w:ascii="Microsoft Sans Serif" w:hAnsi="Microsoft Sans Serif" w:cs="Microsoft Sans Serif"/>
                <w:color w:val="000000"/>
                <w:sz w:val="14"/>
                <w:szCs w:val="14"/>
              </w:rPr>
              <w:t>1.953.085</w:t>
            </w:r>
          </w:p>
        </w:tc>
      </w:tr>
      <w:tr w:rsidR="007B2A90" w:rsidRPr="00FB38E1" w14:paraId="355B5C9B" w14:textId="77777777" w:rsidTr="007B2A90">
        <w:trPr>
          <w:trHeight w:val="25"/>
        </w:trPr>
        <w:tc>
          <w:tcPr>
            <w:tcW w:w="190" w:type="pct"/>
            <w:hideMark/>
          </w:tcPr>
          <w:p w14:paraId="1339B5E3"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w:t>
            </w:r>
          </w:p>
        </w:tc>
        <w:tc>
          <w:tcPr>
            <w:tcW w:w="2173" w:type="pct"/>
            <w:tcMar>
              <w:top w:w="0" w:type="dxa"/>
              <w:left w:w="0" w:type="dxa"/>
              <w:bottom w:w="0" w:type="dxa"/>
              <w:right w:w="62" w:type="dxa"/>
            </w:tcMar>
            <w:vAlign w:val="bottom"/>
            <w:hideMark/>
          </w:tcPr>
          <w:p w14:paraId="28039291"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Birbirlerine bağlı yükümlülüklere eşdeğer varlıklar</w:t>
            </w:r>
          </w:p>
        </w:tc>
        <w:tc>
          <w:tcPr>
            <w:tcW w:w="567" w:type="pct"/>
            <w:shd w:val="clear" w:color="auto" w:fill="000000" w:themeFill="text1"/>
            <w:vAlign w:val="center"/>
            <w:hideMark/>
          </w:tcPr>
          <w:p w14:paraId="2C1A9AF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38" w:type="pct"/>
            <w:shd w:val="clear" w:color="auto" w:fill="000000" w:themeFill="text1"/>
            <w:vAlign w:val="center"/>
            <w:hideMark/>
          </w:tcPr>
          <w:p w14:paraId="13B8E5B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19" w:type="pct"/>
            <w:shd w:val="clear" w:color="auto" w:fill="000000" w:themeFill="text1"/>
            <w:vAlign w:val="center"/>
            <w:hideMark/>
          </w:tcPr>
          <w:p w14:paraId="375105A7"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20" w:type="pct"/>
            <w:shd w:val="clear" w:color="auto" w:fill="000000" w:themeFill="text1"/>
            <w:vAlign w:val="center"/>
            <w:hideMark/>
          </w:tcPr>
          <w:p w14:paraId="3A52BAA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493" w:type="pct"/>
            <w:shd w:val="clear" w:color="auto" w:fill="000000" w:themeFill="text1"/>
            <w:vAlign w:val="center"/>
            <w:hideMark/>
          </w:tcPr>
          <w:p w14:paraId="12CF4A2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7B2A90" w:rsidRPr="00FB38E1" w14:paraId="48B7C9DA" w14:textId="77777777" w:rsidTr="007B2A90">
        <w:trPr>
          <w:trHeight w:val="25"/>
        </w:trPr>
        <w:tc>
          <w:tcPr>
            <w:tcW w:w="190" w:type="pct"/>
            <w:hideMark/>
          </w:tcPr>
          <w:p w14:paraId="0CFC7BE1"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w:t>
            </w:r>
          </w:p>
        </w:tc>
        <w:tc>
          <w:tcPr>
            <w:tcW w:w="2173" w:type="pct"/>
            <w:tcMar>
              <w:top w:w="0" w:type="dxa"/>
              <w:left w:w="0" w:type="dxa"/>
              <w:bottom w:w="0" w:type="dxa"/>
              <w:right w:w="62" w:type="dxa"/>
            </w:tcMar>
            <w:vAlign w:val="bottom"/>
            <w:hideMark/>
          </w:tcPr>
          <w:p w14:paraId="4D292AD9"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Diğer varlıklar</w:t>
            </w:r>
          </w:p>
        </w:tc>
        <w:tc>
          <w:tcPr>
            <w:tcW w:w="567" w:type="pct"/>
            <w:vAlign w:val="center"/>
            <w:hideMark/>
          </w:tcPr>
          <w:p w14:paraId="3F5DA4F1"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vAlign w:val="center"/>
            <w:hideMark/>
          </w:tcPr>
          <w:p w14:paraId="068D90C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vAlign w:val="center"/>
            <w:hideMark/>
          </w:tcPr>
          <w:p w14:paraId="7FF843A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vAlign w:val="center"/>
            <w:hideMark/>
          </w:tcPr>
          <w:p w14:paraId="72499A84"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0CB9A33B"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7D3E7577" w14:textId="77777777" w:rsidTr="007B2A90">
        <w:trPr>
          <w:trHeight w:val="25"/>
        </w:trPr>
        <w:tc>
          <w:tcPr>
            <w:tcW w:w="190" w:type="pct"/>
            <w:hideMark/>
          </w:tcPr>
          <w:p w14:paraId="4DC78B9B"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w:t>
            </w:r>
          </w:p>
        </w:tc>
        <w:tc>
          <w:tcPr>
            <w:tcW w:w="2173" w:type="pct"/>
            <w:tcMar>
              <w:top w:w="0" w:type="dxa"/>
              <w:left w:w="57" w:type="dxa"/>
              <w:bottom w:w="0" w:type="dxa"/>
              <w:right w:w="62" w:type="dxa"/>
            </w:tcMar>
            <w:vAlign w:val="bottom"/>
            <w:hideMark/>
          </w:tcPr>
          <w:p w14:paraId="7B43AA39"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Altın dahil fiziki teminatlı emtia</w:t>
            </w:r>
          </w:p>
        </w:tc>
        <w:tc>
          <w:tcPr>
            <w:tcW w:w="567" w:type="pct"/>
            <w:vAlign w:val="center"/>
            <w:hideMark/>
          </w:tcPr>
          <w:p w14:paraId="6DE642A4"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38" w:type="pct"/>
            <w:tcBorders>
              <w:top w:val="nil"/>
              <w:left w:val="nil"/>
              <w:bottom w:val="single" w:sz="4" w:space="0" w:color="404040" w:themeColor="text1" w:themeTint="BF"/>
              <w:right w:val="nil"/>
            </w:tcBorders>
            <w:shd w:val="clear" w:color="auto" w:fill="000000" w:themeFill="text1"/>
            <w:vAlign w:val="center"/>
            <w:hideMark/>
          </w:tcPr>
          <w:p w14:paraId="35978A2F"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19" w:type="pct"/>
            <w:tcBorders>
              <w:top w:val="nil"/>
              <w:left w:val="nil"/>
              <w:bottom w:val="single" w:sz="4" w:space="0" w:color="404040" w:themeColor="text1" w:themeTint="BF"/>
              <w:right w:val="nil"/>
            </w:tcBorders>
            <w:shd w:val="clear" w:color="auto" w:fill="000000" w:themeFill="text1"/>
            <w:vAlign w:val="center"/>
            <w:hideMark/>
          </w:tcPr>
          <w:p w14:paraId="119D099D"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520" w:type="pct"/>
            <w:tcBorders>
              <w:top w:val="nil"/>
              <w:left w:val="nil"/>
              <w:bottom w:val="single" w:sz="4" w:space="0" w:color="404040" w:themeColor="text1" w:themeTint="BF"/>
              <w:right w:val="nil"/>
            </w:tcBorders>
            <w:shd w:val="clear" w:color="auto" w:fill="000000" w:themeFill="text1"/>
            <w:vAlign w:val="center"/>
            <w:hideMark/>
          </w:tcPr>
          <w:p w14:paraId="50868C0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493" w:type="pct"/>
            <w:vAlign w:val="center"/>
            <w:hideMark/>
          </w:tcPr>
          <w:p w14:paraId="54B6A0AA"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1.025.447</w:t>
            </w:r>
          </w:p>
        </w:tc>
      </w:tr>
      <w:tr w:rsidR="007B2A90" w:rsidRPr="00FB38E1" w14:paraId="2AFD3D6B" w14:textId="77777777" w:rsidTr="007B2A90">
        <w:trPr>
          <w:trHeight w:val="25"/>
        </w:trPr>
        <w:tc>
          <w:tcPr>
            <w:tcW w:w="190" w:type="pct"/>
            <w:hideMark/>
          </w:tcPr>
          <w:p w14:paraId="602D6305"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w:t>
            </w:r>
          </w:p>
        </w:tc>
        <w:tc>
          <w:tcPr>
            <w:tcW w:w="2173" w:type="pct"/>
            <w:tcMar>
              <w:top w:w="0" w:type="dxa"/>
              <w:left w:w="57" w:type="dxa"/>
              <w:bottom w:w="0" w:type="dxa"/>
              <w:right w:w="62" w:type="dxa"/>
            </w:tcMar>
            <w:vAlign w:val="bottom"/>
            <w:hideMark/>
          </w:tcPr>
          <w:p w14:paraId="483C9C58"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sözleşmelerinin başlangıç teminatı veya merkezi karşı tarafa verilen garanti fonu</w:t>
            </w:r>
          </w:p>
        </w:tc>
        <w:tc>
          <w:tcPr>
            <w:tcW w:w="567" w:type="pct"/>
            <w:shd w:val="clear" w:color="auto" w:fill="000000" w:themeFill="text1"/>
            <w:vAlign w:val="bottom"/>
          </w:tcPr>
          <w:p w14:paraId="5846BA87" w14:textId="77777777" w:rsidR="007B2A90" w:rsidRPr="00FB38E1" w:rsidRDefault="007B2A90">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2C6EAFBA" w14:textId="77777777" w:rsidR="007B2A90" w:rsidRPr="00FB38E1" w:rsidRDefault="007B2A90">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tcBorders>
              <w:top w:val="nil"/>
              <w:left w:val="single" w:sz="4" w:space="0" w:color="404040" w:themeColor="text1" w:themeTint="BF"/>
              <w:bottom w:val="nil"/>
              <w:right w:val="nil"/>
            </w:tcBorders>
            <w:vAlign w:val="center"/>
            <w:hideMark/>
          </w:tcPr>
          <w:p w14:paraId="2D582E84"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7B2A90" w:rsidRPr="00FB38E1" w14:paraId="59D734A5" w14:textId="77777777" w:rsidTr="007B2A90">
        <w:trPr>
          <w:trHeight w:val="25"/>
        </w:trPr>
        <w:tc>
          <w:tcPr>
            <w:tcW w:w="190" w:type="pct"/>
            <w:hideMark/>
          </w:tcPr>
          <w:p w14:paraId="502A05F1"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w:t>
            </w:r>
          </w:p>
        </w:tc>
        <w:tc>
          <w:tcPr>
            <w:tcW w:w="2173" w:type="pct"/>
            <w:tcMar>
              <w:top w:w="0" w:type="dxa"/>
              <w:left w:w="57" w:type="dxa"/>
              <w:bottom w:w="0" w:type="dxa"/>
              <w:right w:w="62" w:type="dxa"/>
            </w:tcMar>
            <w:vAlign w:val="bottom"/>
            <w:hideMark/>
          </w:tcPr>
          <w:p w14:paraId="7732C0BE"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varlıklar</w:t>
            </w:r>
          </w:p>
        </w:tc>
        <w:tc>
          <w:tcPr>
            <w:tcW w:w="567" w:type="pct"/>
            <w:shd w:val="clear" w:color="auto" w:fill="000000" w:themeFill="text1"/>
            <w:vAlign w:val="bottom"/>
          </w:tcPr>
          <w:p w14:paraId="71194330" w14:textId="77777777" w:rsidR="007B2A90" w:rsidRPr="00FB38E1" w:rsidRDefault="007B2A90">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7133868A" w14:textId="77777777" w:rsidR="007B2A90" w:rsidRPr="00FB38E1" w:rsidRDefault="007B2A90">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9.828.604</w:t>
            </w:r>
          </w:p>
        </w:tc>
        <w:tc>
          <w:tcPr>
            <w:tcW w:w="493" w:type="pct"/>
            <w:tcBorders>
              <w:top w:val="nil"/>
              <w:left w:val="single" w:sz="4" w:space="0" w:color="404040" w:themeColor="text1" w:themeTint="BF"/>
              <w:bottom w:val="nil"/>
              <w:right w:val="nil"/>
            </w:tcBorders>
            <w:vAlign w:val="center"/>
            <w:hideMark/>
          </w:tcPr>
          <w:p w14:paraId="60BD50F2"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9.828.604</w:t>
            </w:r>
          </w:p>
        </w:tc>
      </w:tr>
      <w:tr w:rsidR="007B2A90" w:rsidRPr="00FB38E1" w14:paraId="13BD5E4E" w14:textId="77777777" w:rsidTr="007B2A90">
        <w:trPr>
          <w:trHeight w:val="25"/>
        </w:trPr>
        <w:tc>
          <w:tcPr>
            <w:tcW w:w="190" w:type="pct"/>
            <w:hideMark/>
          </w:tcPr>
          <w:p w14:paraId="300B8AE3"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w:t>
            </w:r>
          </w:p>
        </w:tc>
        <w:tc>
          <w:tcPr>
            <w:tcW w:w="2173" w:type="pct"/>
            <w:tcMar>
              <w:top w:w="0" w:type="dxa"/>
              <w:left w:w="57" w:type="dxa"/>
              <w:bottom w:w="0" w:type="dxa"/>
              <w:right w:w="62" w:type="dxa"/>
            </w:tcMar>
            <w:vAlign w:val="bottom"/>
            <w:hideMark/>
          </w:tcPr>
          <w:p w14:paraId="45DC045A"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Türev yükümlülüklerin değişim teminatı düşülmeden önceki tutarı</w:t>
            </w:r>
          </w:p>
        </w:tc>
        <w:tc>
          <w:tcPr>
            <w:tcW w:w="567" w:type="pct"/>
            <w:shd w:val="clear" w:color="auto" w:fill="000000" w:themeFill="text1"/>
            <w:vAlign w:val="bottom"/>
          </w:tcPr>
          <w:p w14:paraId="249FBB07" w14:textId="77777777" w:rsidR="007B2A90" w:rsidRPr="00FB38E1" w:rsidRDefault="007B2A90">
            <w:pPr>
              <w:jc w:val="right"/>
              <w:rPr>
                <w:rFonts w:ascii="Microsoft Sans Serif" w:hAnsi="Microsoft Sans Serif" w:cs="Microsoft Sans Serif"/>
                <w:color w:val="404040"/>
                <w:sz w:val="14"/>
                <w:szCs w:val="14"/>
              </w:rPr>
            </w:pPr>
          </w:p>
        </w:tc>
        <w:tc>
          <w:tcPr>
            <w:tcW w:w="1577" w:type="pct"/>
            <w:gridSpan w:val="3"/>
            <w:tcBorders>
              <w:top w:val="single" w:sz="4" w:space="0" w:color="404040" w:themeColor="text1" w:themeTint="BF"/>
              <w:left w:val="nil"/>
              <w:bottom w:val="single" w:sz="4" w:space="0" w:color="404040" w:themeColor="text1" w:themeTint="BF"/>
              <w:right w:val="single" w:sz="4" w:space="0" w:color="404040" w:themeColor="text1" w:themeTint="BF"/>
            </w:tcBorders>
            <w:vAlign w:val="center"/>
            <w:hideMark/>
          </w:tcPr>
          <w:p w14:paraId="1ED6B637" w14:textId="77777777" w:rsidR="007B2A90" w:rsidRPr="00FB38E1" w:rsidRDefault="007B2A90">
            <w:pPr>
              <w:jc w:val="cente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290.544</w:t>
            </w:r>
          </w:p>
        </w:tc>
        <w:tc>
          <w:tcPr>
            <w:tcW w:w="493" w:type="pct"/>
            <w:tcBorders>
              <w:top w:val="nil"/>
              <w:left w:val="single" w:sz="4" w:space="0" w:color="404040" w:themeColor="text1" w:themeTint="BF"/>
              <w:bottom w:val="nil"/>
              <w:right w:val="nil"/>
            </w:tcBorders>
            <w:vAlign w:val="center"/>
            <w:hideMark/>
          </w:tcPr>
          <w:p w14:paraId="2E19181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290.544</w:t>
            </w:r>
          </w:p>
        </w:tc>
      </w:tr>
      <w:tr w:rsidR="007B2A90" w:rsidRPr="00FB38E1" w14:paraId="7F5883AD" w14:textId="77777777" w:rsidTr="007B2A90">
        <w:trPr>
          <w:trHeight w:val="25"/>
        </w:trPr>
        <w:tc>
          <w:tcPr>
            <w:tcW w:w="190" w:type="pct"/>
            <w:hideMark/>
          </w:tcPr>
          <w:p w14:paraId="62D7A229" w14:textId="77777777" w:rsidR="007B2A90" w:rsidRPr="00FB38E1" w:rsidRDefault="007B2A90">
            <w:pPr>
              <w:ind w:left="85"/>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w:t>
            </w:r>
          </w:p>
        </w:tc>
        <w:tc>
          <w:tcPr>
            <w:tcW w:w="2173" w:type="pct"/>
            <w:tcMar>
              <w:top w:w="0" w:type="dxa"/>
              <w:left w:w="57" w:type="dxa"/>
              <w:bottom w:w="0" w:type="dxa"/>
              <w:right w:w="62" w:type="dxa"/>
            </w:tcMar>
            <w:vAlign w:val="bottom"/>
            <w:hideMark/>
          </w:tcPr>
          <w:p w14:paraId="0574F835"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Yukarıda yer almayan diğer varlıklar</w:t>
            </w:r>
          </w:p>
        </w:tc>
        <w:tc>
          <w:tcPr>
            <w:tcW w:w="567" w:type="pct"/>
            <w:vAlign w:val="center"/>
            <w:hideMark/>
          </w:tcPr>
          <w:p w14:paraId="7362BFA6"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116.845.759</w:t>
            </w:r>
          </w:p>
        </w:tc>
        <w:tc>
          <w:tcPr>
            <w:tcW w:w="538" w:type="pct"/>
            <w:tcBorders>
              <w:top w:val="single" w:sz="4" w:space="0" w:color="404040" w:themeColor="text1" w:themeTint="BF"/>
              <w:left w:val="nil"/>
              <w:bottom w:val="nil"/>
              <w:right w:val="nil"/>
            </w:tcBorders>
            <w:vAlign w:val="center"/>
            <w:hideMark/>
          </w:tcPr>
          <w:p w14:paraId="2E5F3E90"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9" w:type="pct"/>
            <w:tcBorders>
              <w:top w:val="single" w:sz="4" w:space="0" w:color="404040" w:themeColor="text1" w:themeTint="BF"/>
              <w:left w:val="nil"/>
              <w:bottom w:val="nil"/>
              <w:right w:val="nil"/>
            </w:tcBorders>
            <w:vAlign w:val="center"/>
            <w:hideMark/>
          </w:tcPr>
          <w:p w14:paraId="16EFEC83"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0" w:type="pct"/>
            <w:tcBorders>
              <w:top w:val="single" w:sz="4" w:space="0" w:color="404040" w:themeColor="text1" w:themeTint="BF"/>
              <w:left w:val="nil"/>
              <w:bottom w:val="nil"/>
              <w:right w:val="nil"/>
            </w:tcBorders>
            <w:vAlign w:val="center"/>
            <w:hideMark/>
          </w:tcPr>
          <w:p w14:paraId="0D511B09"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3" w:type="pct"/>
            <w:vAlign w:val="center"/>
            <w:hideMark/>
          </w:tcPr>
          <w:p w14:paraId="7B86D9A5" w14:textId="77777777" w:rsidR="007B2A90" w:rsidRPr="00FB38E1" w:rsidRDefault="007B2A90">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116.845.759</w:t>
            </w:r>
          </w:p>
        </w:tc>
      </w:tr>
      <w:tr w:rsidR="007B2A90" w:rsidRPr="00FB38E1" w14:paraId="70F20BE8" w14:textId="77777777" w:rsidTr="007B2A90">
        <w:trPr>
          <w:trHeight w:val="25"/>
        </w:trPr>
        <w:tc>
          <w:tcPr>
            <w:tcW w:w="190" w:type="pct"/>
            <w:hideMark/>
          </w:tcPr>
          <w:p w14:paraId="01C0840E" w14:textId="77777777" w:rsidR="007B2A90" w:rsidRPr="00FB38E1" w:rsidRDefault="007B2A90">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32</w:t>
            </w:r>
          </w:p>
        </w:tc>
        <w:tc>
          <w:tcPr>
            <w:tcW w:w="2173" w:type="pct"/>
            <w:tcMar>
              <w:top w:w="0" w:type="dxa"/>
              <w:left w:w="0" w:type="dxa"/>
              <w:bottom w:w="0" w:type="dxa"/>
              <w:right w:w="62" w:type="dxa"/>
            </w:tcMar>
            <w:vAlign w:val="bottom"/>
            <w:hideMark/>
          </w:tcPr>
          <w:p w14:paraId="5196B878"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Bilanço dışı borçlar</w:t>
            </w:r>
          </w:p>
        </w:tc>
        <w:tc>
          <w:tcPr>
            <w:tcW w:w="567" w:type="pct"/>
            <w:shd w:val="clear" w:color="auto" w:fill="000000" w:themeFill="text1"/>
            <w:vAlign w:val="center"/>
            <w:hideMark/>
          </w:tcPr>
          <w:p w14:paraId="1E2FB3F5"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38" w:type="pct"/>
            <w:vAlign w:val="center"/>
            <w:hideMark/>
          </w:tcPr>
          <w:p w14:paraId="271778C0"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480.859.984</w:t>
            </w:r>
          </w:p>
        </w:tc>
        <w:tc>
          <w:tcPr>
            <w:tcW w:w="519" w:type="pct"/>
            <w:vAlign w:val="center"/>
            <w:hideMark/>
          </w:tcPr>
          <w:p w14:paraId="4A8020CF"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w:t>
            </w:r>
          </w:p>
        </w:tc>
        <w:tc>
          <w:tcPr>
            <w:tcW w:w="520" w:type="pct"/>
            <w:vAlign w:val="center"/>
            <w:hideMark/>
          </w:tcPr>
          <w:p w14:paraId="307794D8"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w:t>
            </w:r>
          </w:p>
        </w:tc>
        <w:tc>
          <w:tcPr>
            <w:tcW w:w="493" w:type="pct"/>
            <w:vAlign w:val="center"/>
            <w:hideMark/>
          </w:tcPr>
          <w:p w14:paraId="7695EEAB"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24.042.999</w:t>
            </w:r>
          </w:p>
        </w:tc>
      </w:tr>
      <w:tr w:rsidR="007B2A90" w:rsidRPr="00FB38E1" w14:paraId="499FD0E1" w14:textId="77777777" w:rsidTr="007B2A90">
        <w:trPr>
          <w:trHeight w:val="25"/>
        </w:trPr>
        <w:tc>
          <w:tcPr>
            <w:tcW w:w="190" w:type="pct"/>
            <w:hideMark/>
          </w:tcPr>
          <w:p w14:paraId="10BFB1CE" w14:textId="77777777" w:rsidR="007B2A90" w:rsidRPr="00FB38E1" w:rsidRDefault="007B2A90">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33</w:t>
            </w:r>
          </w:p>
        </w:tc>
        <w:tc>
          <w:tcPr>
            <w:tcW w:w="2173" w:type="pct"/>
            <w:tcMar>
              <w:top w:w="0" w:type="dxa"/>
              <w:left w:w="0" w:type="dxa"/>
              <w:bottom w:w="0" w:type="dxa"/>
              <w:right w:w="62" w:type="dxa"/>
            </w:tcMar>
            <w:vAlign w:val="bottom"/>
            <w:hideMark/>
          </w:tcPr>
          <w:p w14:paraId="2514DC51"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Gerekli istikrarlı fon</w:t>
            </w:r>
          </w:p>
        </w:tc>
        <w:tc>
          <w:tcPr>
            <w:tcW w:w="567" w:type="pct"/>
            <w:shd w:val="clear" w:color="auto" w:fill="000000" w:themeFill="text1"/>
            <w:vAlign w:val="center"/>
            <w:hideMark/>
          </w:tcPr>
          <w:p w14:paraId="2C54D6E9"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38" w:type="pct"/>
            <w:shd w:val="clear" w:color="auto" w:fill="000000" w:themeFill="text1"/>
            <w:vAlign w:val="center"/>
            <w:hideMark/>
          </w:tcPr>
          <w:p w14:paraId="4DC5670F"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19" w:type="pct"/>
            <w:shd w:val="clear" w:color="auto" w:fill="000000" w:themeFill="text1"/>
            <w:vAlign w:val="center"/>
            <w:hideMark/>
          </w:tcPr>
          <w:p w14:paraId="290F900E"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20" w:type="pct"/>
            <w:shd w:val="clear" w:color="auto" w:fill="000000" w:themeFill="text1"/>
            <w:vAlign w:val="center"/>
            <w:hideMark/>
          </w:tcPr>
          <w:p w14:paraId="55162840"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493" w:type="pct"/>
            <w:vAlign w:val="center"/>
            <w:hideMark/>
          </w:tcPr>
          <w:p w14:paraId="4E12FDCF"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495.575.923</w:t>
            </w:r>
          </w:p>
        </w:tc>
      </w:tr>
      <w:tr w:rsidR="007B2A90" w:rsidRPr="00FB38E1" w14:paraId="0BE83F10" w14:textId="77777777" w:rsidTr="007B2A90">
        <w:trPr>
          <w:trHeight w:val="25"/>
        </w:trPr>
        <w:tc>
          <w:tcPr>
            <w:tcW w:w="190" w:type="pct"/>
            <w:tcBorders>
              <w:top w:val="nil"/>
              <w:left w:val="nil"/>
              <w:bottom w:val="thickThinSmallGap" w:sz="24" w:space="0" w:color="auto"/>
              <w:right w:val="nil"/>
            </w:tcBorders>
            <w:hideMark/>
          </w:tcPr>
          <w:p w14:paraId="131D2A0C" w14:textId="77777777" w:rsidR="007B2A90" w:rsidRPr="00FB38E1" w:rsidRDefault="007B2A90">
            <w:pPr>
              <w:jc w:val="right"/>
              <w:rPr>
                <w:rFonts w:ascii="Microsoft Sans Serif" w:hAnsi="Microsoft Sans Serif" w:cs="Microsoft Sans Serif"/>
                <w:bCs/>
                <w:color w:val="000000"/>
                <w:sz w:val="14"/>
                <w:szCs w:val="14"/>
              </w:rPr>
            </w:pPr>
            <w:r w:rsidRPr="00FB38E1">
              <w:rPr>
                <w:rFonts w:ascii="Microsoft Sans Serif" w:hAnsi="Microsoft Sans Serif" w:cs="Microsoft Sans Serif"/>
                <w:bCs/>
                <w:color w:val="000000"/>
                <w:sz w:val="14"/>
                <w:szCs w:val="14"/>
              </w:rPr>
              <w:t>34</w:t>
            </w:r>
          </w:p>
        </w:tc>
        <w:tc>
          <w:tcPr>
            <w:tcW w:w="2173" w:type="pct"/>
            <w:tcBorders>
              <w:top w:val="nil"/>
              <w:left w:val="nil"/>
              <w:bottom w:val="thickThinSmallGap" w:sz="24" w:space="0" w:color="auto"/>
              <w:right w:val="nil"/>
            </w:tcBorders>
            <w:tcMar>
              <w:top w:w="0" w:type="dxa"/>
              <w:left w:w="0" w:type="dxa"/>
              <w:bottom w:w="0" w:type="dxa"/>
              <w:right w:w="62" w:type="dxa"/>
            </w:tcMar>
            <w:vAlign w:val="bottom"/>
            <w:hideMark/>
          </w:tcPr>
          <w:p w14:paraId="60E2CDD2" w14:textId="77777777" w:rsidR="007B2A90" w:rsidRPr="00FB38E1" w:rsidRDefault="007B2A90">
            <w:pPr>
              <w:ind w:left="85"/>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Net istikrarlı fonlama oranı</w:t>
            </w:r>
          </w:p>
        </w:tc>
        <w:tc>
          <w:tcPr>
            <w:tcW w:w="567" w:type="pct"/>
            <w:tcBorders>
              <w:top w:val="nil"/>
              <w:left w:val="nil"/>
              <w:bottom w:val="thickThinSmallGap" w:sz="24" w:space="0" w:color="auto"/>
              <w:right w:val="nil"/>
            </w:tcBorders>
            <w:shd w:val="clear" w:color="auto" w:fill="000000" w:themeFill="text1"/>
            <w:vAlign w:val="center"/>
            <w:hideMark/>
          </w:tcPr>
          <w:p w14:paraId="77FEEBB8"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38" w:type="pct"/>
            <w:tcBorders>
              <w:top w:val="nil"/>
              <w:left w:val="nil"/>
              <w:bottom w:val="thickThinSmallGap" w:sz="24" w:space="0" w:color="auto"/>
              <w:right w:val="nil"/>
            </w:tcBorders>
            <w:shd w:val="clear" w:color="auto" w:fill="000000" w:themeFill="text1"/>
            <w:vAlign w:val="center"/>
            <w:hideMark/>
          </w:tcPr>
          <w:p w14:paraId="09A5EA68"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19" w:type="pct"/>
            <w:tcBorders>
              <w:top w:val="nil"/>
              <w:left w:val="nil"/>
              <w:bottom w:val="thickThinSmallGap" w:sz="24" w:space="0" w:color="auto"/>
              <w:right w:val="nil"/>
            </w:tcBorders>
            <w:shd w:val="clear" w:color="auto" w:fill="000000" w:themeFill="text1"/>
            <w:vAlign w:val="center"/>
            <w:hideMark/>
          </w:tcPr>
          <w:p w14:paraId="3D1E554C"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520" w:type="pct"/>
            <w:tcBorders>
              <w:top w:val="nil"/>
              <w:left w:val="nil"/>
              <w:bottom w:val="thickThinSmallGap" w:sz="24" w:space="0" w:color="auto"/>
              <w:right w:val="nil"/>
            </w:tcBorders>
            <w:shd w:val="clear" w:color="auto" w:fill="000000" w:themeFill="text1"/>
            <w:vAlign w:val="center"/>
            <w:hideMark/>
          </w:tcPr>
          <w:p w14:paraId="4FBB2351"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 </w:t>
            </w:r>
          </w:p>
        </w:tc>
        <w:tc>
          <w:tcPr>
            <w:tcW w:w="493" w:type="pct"/>
            <w:tcBorders>
              <w:top w:val="nil"/>
              <w:left w:val="nil"/>
              <w:bottom w:val="thickThinSmallGap" w:sz="24" w:space="0" w:color="auto"/>
              <w:right w:val="nil"/>
            </w:tcBorders>
            <w:vAlign w:val="center"/>
            <w:hideMark/>
          </w:tcPr>
          <w:p w14:paraId="5946CB0B" w14:textId="77777777" w:rsidR="007B2A90" w:rsidRPr="00FB38E1" w:rsidRDefault="007B2A90">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color w:val="000000"/>
                <w:sz w:val="14"/>
                <w:szCs w:val="14"/>
              </w:rPr>
              <w:t>127,02</w:t>
            </w:r>
          </w:p>
        </w:tc>
      </w:tr>
    </w:tbl>
    <w:p w14:paraId="67C80906" w14:textId="77777777" w:rsidR="007B2A90" w:rsidRPr="00FB38E1" w:rsidRDefault="007B2A90" w:rsidP="007B2A90">
      <w:pPr>
        <w:pStyle w:val="ListParagraph"/>
        <w:spacing w:before="120" w:after="120" w:line="220" w:lineRule="exact"/>
        <w:ind w:left="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Son üç aya ilişkin net istikrarlı fonlama değerlerinin üç aylık basit aritmetik ortalamasıdır.</w:t>
      </w:r>
    </w:p>
    <w:p w14:paraId="155BA130" w14:textId="3127B3F3" w:rsidR="007B2A90" w:rsidRPr="00FB38E1" w:rsidRDefault="007B2A90" w:rsidP="007B2A90">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20"/>
          <w:szCs w:val="20"/>
        </w:rPr>
        <w:t>Net istikrarlı fonlama oranını önemli derecede etkileyen bilanço kalemleri değerlendirildiğinde, mevcut istikrarlı fon hesaplamasında özkaynak unsurları ve bir yıldan uzun vadeli borçlanmalar %100, gerçek kişi ve parekende müşteri mevduatları %95 veya %90, kalan vadesi bir yıldan az olan diğer mevduat ve borçlanmalar karşı tarafına göre %50 veya %0 ile ağırlıklandırılmaktadır. Gerekli istikrarlı fon hesaplamasında ise kasa ve merkez bankasından alacaklar %0, teminata konu edilmemiş veya teminata konu edilme süresi altı aydan az olan yüksek kaliteli likit varlıklar %5, gayrinakdi krediler %5, teminatlı alacaklar %10, finansal kuruluşlardan kalan vadesi 6 aydan kısa olan alacaklar %15, kalan vadesi 1 yıldan kısa olan krediler %50, bir yıldan uzun vadeli ve yönetmelikte belirtilen şartları sağlayan konut kredileri %65, bir yıldan uzun vadeli krediler %85, bilanço içine yansıyan net türev ürünler ve bir yıldan uzun vadeli diğer alacaklar %100 ile ağırlıklandırılmaktadır.</w:t>
      </w:r>
    </w:p>
    <w:p w14:paraId="229A490D" w14:textId="77777777" w:rsidR="004C4799" w:rsidRPr="00FB38E1" w:rsidRDefault="004C4799" w:rsidP="004C4799">
      <w:pPr>
        <w:pStyle w:val="BASLIK2"/>
        <w:widowControl/>
        <w:numPr>
          <w:ilvl w:val="0"/>
          <w:numId w:val="16"/>
        </w:numPr>
        <w:spacing w:line="240" w:lineRule="exact"/>
        <w:ind w:left="0" w:hanging="567"/>
        <w:rPr>
          <w:rFonts w:ascii="Microsoft Sans Serif" w:hAnsi="Microsoft Sans Serif" w:cs="Microsoft Sans Serif"/>
          <w:b w:val="0"/>
          <w:sz w:val="20"/>
          <w:szCs w:val="20"/>
        </w:rPr>
      </w:pPr>
      <w:r w:rsidRPr="00FB38E1">
        <w:rPr>
          <w:rFonts w:ascii="Microsoft Sans Serif" w:hAnsi="Microsoft Sans Serif" w:cs="Microsoft Sans Serif"/>
          <w:sz w:val="20"/>
          <w:szCs w:val="20"/>
        </w:rPr>
        <w:t>Finansal yükümlülüklerin sözleşmeleri uyarınca kalan vadelerine göre gösterimi</w:t>
      </w:r>
    </w:p>
    <w:p w14:paraId="13F1388A" w14:textId="77777777" w:rsidR="004C4799" w:rsidRPr="00FB38E1" w:rsidRDefault="004C4799" w:rsidP="004C4799">
      <w:pPr>
        <w:pStyle w:val="BASLIK2"/>
        <w:widowControl/>
        <w:spacing w:before="120" w:line="220" w:lineRule="exact"/>
        <w:ind w:firstLine="0"/>
        <w:rPr>
          <w:rFonts w:ascii="Microsoft Sans Serif" w:hAnsi="Microsoft Sans Serif" w:cs="Microsoft Sans Serif"/>
          <w:b w:val="0"/>
          <w:sz w:val="20"/>
          <w:szCs w:val="20"/>
        </w:rPr>
      </w:pPr>
      <w:r w:rsidRPr="00FB38E1">
        <w:rPr>
          <w:rFonts w:ascii="Microsoft Sans Serif" w:hAnsi="Microsoft Sans Serif" w:cs="Microsoft Sans Serif"/>
          <w:b w:val="0"/>
          <w:color w:val="404040" w:themeColor="text1" w:themeTint="BF"/>
          <w:sz w:val="20"/>
          <w:szCs w:val="20"/>
        </w:rPr>
        <w:t>Banka’nın türev niteliğinde olmayan belli başlı finansal yükümlülüklerinin sözleşmeye bağlanmış vade sonu değerlerinin iskontolanmamış vade dağılımı aşağıdaki tabloda yer almaktadır. Söz konusu varlık ve yükümlülülükler üzerinden ödenecek faizler ilgili vade dilimlerine dahil edilmiştir.</w:t>
      </w: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375"/>
        <w:gridCol w:w="1113"/>
        <w:gridCol w:w="1113"/>
        <w:gridCol w:w="1005"/>
        <w:gridCol w:w="1005"/>
        <w:gridCol w:w="957"/>
        <w:gridCol w:w="989"/>
        <w:gridCol w:w="1139"/>
      </w:tblGrid>
      <w:tr w:rsidR="004C4799" w:rsidRPr="00FB38E1" w14:paraId="3F393E62" w14:textId="77777777" w:rsidTr="00836EF2">
        <w:tc>
          <w:tcPr>
            <w:tcW w:w="1235" w:type="pct"/>
            <w:tcBorders>
              <w:top w:val="thinThickSmallGap" w:sz="24" w:space="0" w:color="auto"/>
              <w:bottom w:val="single" w:sz="4" w:space="0" w:color="auto"/>
            </w:tcBorders>
            <w:vAlign w:val="bottom"/>
          </w:tcPr>
          <w:p w14:paraId="2812BE2E" w14:textId="77777777" w:rsidR="004C4799" w:rsidRPr="00FB38E1" w:rsidRDefault="004C4799" w:rsidP="00836EF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 Sonu</w:t>
            </w:r>
          </w:p>
        </w:tc>
        <w:tc>
          <w:tcPr>
            <w:tcW w:w="584" w:type="pct"/>
            <w:tcBorders>
              <w:top w:val="thinThickSmallGap" w:sz="24" w:space="0" w:color="auto"/>
              <w:bottom w:val="single" w:sz="4" w:space="0" w:color="auto"/>
            </w:tcBorders>
            <w:vAlign w:val="bottom"/>
          </w:tcPr>
          <w:p w14:paraId="7216BF74"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Vadesiz</w:t>
            </w:r>
          </w:p>
        </w:tc>
        <w:tc>
          <w:tcPr>
            <w:tcW w:w="584" w:type="pct"/>
            <w:tcBorders>
              <w:top w:val="thinThickSmallGap" w:sz="24" w:space="0" w:color="auto"/>
              <w:bottom w:val="single" w:sz="4" w:space="0" w:color="auto"/>
            </w:tcBorders>
            <w:vAlign w:val="bottom"/>
          </w:tcPr>
          <w:p w14:paraId="6DBBAFB0"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 Aya Kadar</w:t>
            </w:r>
          </w:p>
        </w:tc>
        <w:tc>
          <w:tcPr>
            <w:tcW w:w="520" w:type="pct"/>
            <w:tcBorders>
              <w:top w:val="thinThickSmallGap" w:sz="24" w:space="0" w:color="auto"/>
              <w:bottom w:val="single" w:sz="4" w:space="0" w:color="auto"/>
            </w:tcBorders>
            <w:vAlign w:val="bottom"/>
          </w:tcPr>
          <w:p w14:paraId="544FD82A"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 Ay</w:t>
            </w:r>
          </w:p>
        </w:tc>
        <w:tc>
          <w:tcPr>
            <w:tcW w:w="520" w:type="pct"/>
            <w:tcBorders>
              <w:top w:val="thinThickSmallGap" w:sz="24" w:space="0" w:color="auto"/>
              <w:bottom w:val="single" w:sz="4" w:space="0" w:color="auto"/>
            </w:tcBorders>
            <w:vAlign w:val="bottom"/>
          </w:tcPr>
          <w:p w14:paraId="1624AC63"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3-12 Ay</w:t>
            </w:r>
          </w:p>
        </w:tc>
        <w:tc>
          <w:tcPr>
            <w:tcW w:w="520" w:type="pct"/>
            <w:tcBorders>
              <w:top w:val="thinThickSmallGap" w:sz="24" w:space="0" w:color="auto"/>
              <w:bottom w:val="single" w:sz="4" w:space="0" w:color="auto"/>
            </w:tcBorders>
            <w:vAlign w:val="bottom"/>
          </w:tcPr>
          <w:p w14:paraId="17F5FF60"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 Yıl</w:t>
            </w:r>
          </w:p>
        </w:tc>
        <w:tc>
          <w:tcPr>
            <w:tcW w:w="520" w:type="pct"/>
            <w:tcBorders>
              <w:top w:val="thinThickSmallGap" w:sz="24" w:space="0" w:color="auto"/>
              <w:bottom w:val="single" w:sz="4" w:space="0" w:color="auto"/>
            </w:tcBorders>
            <w:vAlign w:val="bottom"/>
          </w:tcPr>
          <w:p w14:paraId="5352BC32"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 Yıl ve Üzeri</w:t>
            </w:r>
          </w:p>
        </w:tc>
        <w:tc>
          <w:tcPr>
            <w:tcW w:w="518" w:type="pct"/>
            <w:tcBorders>
              <w:top w:val="thinThickSmallGap" w:sz="24" w:space="0" w:color="auto"/>
              <w:bottom w:val="single" w:sz="4" w:space="0" w:color="auto"/>
            </w:tcBorders>
            <w:vAlign w:val="bottom"/>
          </w:tcPr>
          <w:p w14:paraId="280ABE74"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4C4799" w:rsidRPr="00FB38E1" w14:paraId="7659A74D" w14:textId="77777777" w:rsidTr="00836EF2">
        <w:trPr>
          <w:trHeight w:val="140"/>
        </w:trPr>
        <w:tc>
          <w:tcPr>
            <w:tcW w:w="1235" w:type="pct"/>
            <w:tcBorders>
              <w:top w:val="single" w:sz="4" w:space="0" w:color="auto"/>
            </w:tcBorders>
            <w:vAlign w:val="bottom"/>
          </w:tcPr>
          <w:p w14:paraId="121B1211" w14:textId="77777777" w:rsidR="004C4799" w:rsidRPr="00FB38E1" w:rsidRDefault="004C4799" w:rsidP="00836EF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Yükümlülükler</w:t>
            </w:r>
          </w:p>
        </w:tc>
        <w:tc>
          <w:tcPr>
            <w:tcW w:w="584" w:type="pct"/>
            <w:tcBorders>
              <w:top w:val="single" w:sz="4" w:space="0" w:color="auto"/>
            </w:tcBorders>
            <w:vAlign w:val="bottom"/>
          </w:tcPr>
          <w:p w14:paraId="3390CF33" w14:textId="77777777" w:rsidR="004C4799" w:rsidRPr="00FB38E1" w:rsidRDefault="004C4799" w:rsidP="00836EF2">
            <w:pPr>
              <w:rPr>
                <w:rFonts w:ascii="Microsoft Sans Serif" w:hAnsi="Microsoft Sans Serif" w:cs="Microsoft Sans Serif"/>
                <w:color w:val="000000"/>
                <w:sz w:val="16"/>
                <w:szCs w:val="16"/>
              </w:rPr>
            </w:pPr>
          </w:p>
        </w:tc>
        <w:tc>
          <w:tcPr>
            <w:tcW w:w="584" w:type="pct"/>
            <w:tcBorders>
              <w:top w:val="single" w:sz="4" w:space="0" w:color="auto"/>
            </w:tcBorders>
            <w:vAlign w:val="bottom"/>
          </w:tcPr>
          <w:p w14:paraId="556993C5" w14:textId="77777777" w:rsidR="004C4799" w:rsidRPr="00FB38E1" w:rsidRDefault="004C4799" w:rsidP="00836EF2">
            <w:pPr>
              <w:rPr>
                <w:rFonts w:ascii="Microsoft Sans Serif" w:hAnsi="Microsoft Sans Serif" w:cs="Microsoft Sans Serif"/>
                <w:color w:val="000000"/>
                <w:sz w:val="16"/>
                <w:szCs w:val="16"/>
              </w:rPr>
            </w:pPr>
          </w:p>
        </w:tc>
        <w:tc>
          <w:tcPr>
            <w:tcW w:w="520" w:type="pct"/>
            <w:tcBorders>
              <w:top w:val="single" w:sz="4" w:space="0" w:color="auto"/>
            </w:tcBorders>
            <w:vAlign w:val="bottom"/>
          </w:tcPr>
          <w:p w14:paraId="4E56C7E7" w14:textId="77777777" w:rsidR="004C4799" w:rsidRPr="00FB38E1" w:rsidRDefault="004C4799" w:rsidP="00836EF2">
            <w:pPr>
              <w:rPr>
                <w:rFonts w:ascii="Microsoft Sans Serif" w:hAnsi="Microsoft Sans Serif" w:cs="Microsoft Sans Serif"/>
                <w:color w:val="000000"/>
                <w:sz w:val="16"/>
                <w:szCs w:val="16"/>
              </w:rPr>
            </w:pPr>
          </w:p>
        </w:tc>
        <w:tc>
          <w:tcPr>
            <w:tcW w:w="520" w:type="pct"/>
            <w:tcBorders>
              <w:top w:val="single" w:sz="4" w:space="0" w:color="auto"/>
            </w:tcBorders>
            <w:vAlign w:val="bottom"/>
          </w:tcPr>
          <w:p w14:paraId="723FD2DD" w14:textId="77777777" w:rsidR="004C4799" w:rsidRPr="00FB38E1" w:rsidRDefault="004C4799" w:rsidP="00836EF2">
            <w:pPr>
              <w:rPr>
                <w:rFonts w:ascii="Microsoft Sans Serif" w:hAnsi="Microsoft Sans Serif" w:cs="Microsoft Sans Serif"/>
                <w:color w:val="000000"/>
                <w:sz w:val="16"/>
                <w:szCs w:val="16"/>
              </w:rPr>
            </w:pPr>
          </w:p>
        </w:tc>
        <w:tc>
          <w:tcPr>
            <w:tcW w:w="520" w:type="pct"/>
            <w:tcBorders>
              <w:top w:val="single" w:sz="4" w:space="0" w:color="auto"/>
            </w:tcBorders>
            <w:vAlign w:val="bottom"/>
          </w:tcPr>
          <w:p w14:paraId="15896259" w14:textId="77777777" w:rsidR="004C4799" w:rsidRPr="00FB38E1" w:rsidRDefault="004C4799" w:rsidP="00836EF2">
            <w:pPr>
              <w:rPr>
                <w:rFonts w:ascii="Microsoft Sans Serif" w:hAnsi="Microsoft Sans Serif" w:cs="Microsoft Sans Serif"/>
                <w:color w:val="000000"/>
                <w:sz w:val="16"/>
                <w:szCs w:val="16"/>
              </w:rPr>
            </w:pPr>
          </w:p>
        </w:tc>
        <w:tc>
          <w:tcPr>
            <w:tcW w:w="520" w:type="pct"/>
            <w:tcBorders>
              <w:top w:val="single" w:sz="4" w:space="0" w:color="auto"/>
            </w:tcBorders>
            <w:vAlign w:val="bottom"/>
          </w:tcPr>
          <w:p w14:paraId="528E9FC3" w14:textId="77777777" w:rsidR="004C4799" w:rsidRPr="00FB38E1" w:rsidRDefault="004C4799" w:rsidP="00836EF2">
            <w:pPr>
              <w:rPr>
                <w:rFonts w:ascii="Microsoft Sans Serif" w:hAnsi="Microsoft Sans Serif" w:cs="Microsoft Sans Serif"/>
                <w:color w:val="000000"/>
                <w:sz w:val="16"/>
                <w:szCs w:val="16"/>
              </w:rPr>
            </w:pPr>
          </w:p>
        </w:tc>
        <w:tc>
          <w:tcPr>
            <w:tcW w:w="518" w:type="pct"/>
            <w:tcBorders>
              <w:top w:val="single" w:sz="4" w:space="0" w:color="auto"/>
            </w:tcBorders>
            <w:vAlign w:val="bottom"/>
          </w:tcPr>
          <w:p w14:paraId="4493D4DB" w14:textId="77777777" w:rsidR="004C4799" w:rsidRPr="00FB38E1" w:rsidRDefault="004C4799" w:rsidP="00836EF2">
            <w:pPr>
              <w:rPr>
                <w:rFonts w:ascii="Microsoft Sans Serif" w:hAnsi="Microsoft Sans Serif" w:cs="Microsoft Sans Serif"/>
                <w:color w:val="000000"/>
                <w:sz w:val="16"/>
                <w:szCs w:val="16"/>
              </w:rPr>
            </w:pPr>
          </w:p>
        </w:tc>
      </w:tr>
      <w:tr w:rsidR="003022BF" w:rsidRPr="00FB38E1" w14:paraId="79549FFB" w14:textId="77777777" w:rsidTr="00836EF2">
        <w:tc>
          <w:tcPr>
            <w:tcW w:w="1235" w:type="pct"/>
            <w:vAlign w:val="bottom"/>
          </w:tcPr>
          <w:p w14:paraId="68743BB1" w14:textId="77777777" w:rsidR="003022BF" w:rsidRPr="00FB38E1" w:rsidRDefault="003022BF" w:rsidP="003022B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Mevduat</w:t>
            </w:r>
          </w:p>
        </w:tc>
        <w:tc>
          <w:tcPr>
            <w:tcW w:w="584" w:type="pct"/>
            <w:vAlign w:val="center"/>
          </w:tcPr>
          <w:p w14:paraId="4E22E5EB" w14:textId="11D7144B"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177.709.865</w:t>
            </w:r>
          </w:p>
        </w:tc>
        <w:tc>
          <w:tcPr>
            <w:tcW w:w="584" w:type="pct"/>
            <w:tcBorders>
              <w:top w:val="nil"/>
              <w:left w:val="nil"/>
              <w:bottom w:val="nil"/>
              <w:right w:val="nil"/>
            </w:tcBorders>
            <w:shd w:val="clear" w:color="auto" w:fill="auto"/>
            <w:vAlign w:val="center"/>
          </w:tcPr>
          <w:p w14:paraId="2BDB4270" w14:textId="38A768AC"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337.703.384</w:t>
            </w:r>
          </w:p>
        </w:tc>
        <w:tc>
          <w:tcPr>
            <w:tcW w:w="520" w:type="pct"/>
            <w:tcBorders>
              <w:top w:val="nil"/>
              <w:left w:val="nil"/>
              <w:bottom w:val="nil"/>
              <w:right w:val="nil"/>
            </w:tcBorders>
            <w:shd w:val="clear" w:color="auto" w:fill="auto"/>
            <w:vAlign w:val="center"/>
          </w:tcPr>
          <w:p w14:paraId="159082E7" w14:textId="5E22EBF3"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161.932.023</w:t>
            </w:r>
          </w:p>
        </w:tc>
        <w:tc>
          <w:tcPr>
            <w:tcW w:w="520" w:type="pct"/>
            <w:tcBorders>
              <w:top w:val="nil"/>
              <w:left w:val="nil"/>
              <w:bottom w:val="nil"/>
              <w:right w:val="nil"/>
            </w:tcBorders>
            <w:shd w:val="clear" w:color="auto" w:fill="auto"/>
            <w:vAlign w:val="center"/>
          </w:tcPr>
          <w:p w14:paraId="63FAA4F1" w14:textId="51EA2837"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107.633.892</w:t>
            </w:r>
          </w:p>
        </w:tc>
        <w:tc>
          <w:tcPr>
            <w:tcW w:w="520" w:type="pct"/>
            <w:tcBorders>
              <w:top w:val="nil"/>
              <w:left w:val="nil"/>
              <w:bottom w:val="nil"/>
              <w:right w:val="nil"/>
            </w:tcBorders>
            <w:shd w:val="clear" w:color="auto" w:fill="auto"/>
            <w:vAlign w:val="center"/>
          </w:tcPr>
          <w:p w14:paraId="2196A744" w14:textId="1EA92A0C"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3.784.269</w:t>
            </w:r>
          </w:p>
        </w:tc>
        <w:tc>
          <w:tcPr>
            <w:tcW w:w="520" w:type="pct"/>
            <w:tcBorders>
              <w:top w:val="nil"/>
              <w:left w:val="nil"/>
              <w:bottom w:val="nil"/>
              <w:right w:val="nil"/>
            </w:tcBorders>
            <w:shd w:val="clear" w:color="auto" w:fill="auto"/>
            <w:vAlign w:val="center"/>
          </w:tcPr>
          <w:p w14:paraId="2B9B9CE4" w14:textId="63080172"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8" w:type="pct"/>
            <w:tcBorders>
              <w:top w:val="nil"/>
              <w:left w:val="nil"/>
              <w:bottom w:val="nil"/>
              <w:right w:val="nil"/>
            </w:tcBorders>
            <w:shd w:val="clear" w:color="auto" w:fill="auto"/>
            <w:vAlign w:val="center"/>
          </w:tcPr>
          <w:p w14:paraId="0BDEB1B8" w14:textId="5455B328"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788.763.433</w:t>
            </w:r>
          </w:p>
        </w:tc>
      </w:tr>
      <w:tr w:rsidR="003022BF" w:rsidRPr="00FB38E1" w14:paraId="2F129CFC" w14:textId="77777777" w:rsidTr="00836EF2">
        <w:tc>
          <w:tcPr>
            <w:tcW w:w="1235" w:type="pct"/>
            <w:vAlign w:val="bottom"/>
          </w:tcPr>
          <w:p w14:paraId="3E8A4C9B" w14:textId="77777777" w:rsidR="003022BF" w:rsidRPr="00FB38E1" w:rsidRDefault="003022BF" w:rsidP="003022B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Alınan krediler (*)</w:t>
            </w:r>
          </w:p>
        </w:tc>
        <w:tc>
          <w:tcPr>
            <w:tcW w:w="584" w:type="pct"/>
            <w:vAlign w:val="center"/>
          </w:tcPr>
          <w:p w14:paraId="5AA9A9DA" w14:textId="489078DF"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tcBorders>
              <w:top w:val="nil"/>
              <w:left w:val="nil"/>
              <w:bottom w:val="nil"/>
              <w:right w:val="nil"/>
            </w:tcBorders>
            <w:shd w:val="clear" w:color="auto" w:fill="auto"/>
            <w:vAlign w:val="center"/>
          </w:tcPr>
          <w:p w14:paraId="39E5FE57" w14:textId="01EF7652"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15.819.892</w:t>
            </w:r>
          </w:p>
        </w:tc>
        <w:tc>
          <w:tcPr>
            <w:tcW w:w="520" w:type="pct"/>
            <w:tcBorders>
              <w:top w:val="nil"/>
              <w:left w:val="nil"/>
              <w:bottom w:val="nil"/>
              <w:right w:val="nil"/>
            </w:tcBorders>
            <w:shd w:val="clear" w:color="auto" w:fill="auto"/>
            <w:vAlign w:val="center"/>
          </w:tcPr>
          <w:p w14:paraId="475B29E5" w14:textId="02C646C7"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20.924.469</w:t>
            </w:r>
          </w:p>
        </w:tc>
        <w:tc>
          <w:tcPr>
            <w:tcW w:w="520" w:type="pct"/>
            <w:tcBorders>
              <w:top w:val="nil"/>
              <w:left w:val="nil"/>
              <w:bottom w:val="nil"/>
              <w:right w:val="nil"/>
            </w:tcBorders>
            <w:shd w:val="clear" w:color="auto" w:fill="auto"/>
            <w:vAlign w:val="center"/>
          </w:tcPr>
          <w:p w14:paraId="0F630B50" w14:textId="1170CCDC"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140.206.208</w:t>
            </w:r>
          </w:p>
        </w:tc>
        <w:tc>
          <w:tcPr>
            <w:tcW w:w="520" w:type="pct"/>
            <w:tcBorders>
              <w:top w:val="nil"/>
              <w:left w:val="nil"/>
              <w:bottom w:val="nil"/>
              <w:right w:val="nil"/>
            </w:tcBorders>
            <w:shd w:val="clear" w:color="auto" w:fill="auto"/>
            <w:vAlign w:val="center"/>
          </w:tcPr>
          <w:p w14:paraId="65B5BCB9" w14:textId="6CAE9BDB"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65.651.731</w:t>
            </w:r>
          </w:p>
        </w:tc>
        <w:tc>
          <w:tcPr>
            <w:tcW w:w="520" w:type="pct"/>
            <w:tcBorders>
              <w:top w:val="nil"/>
              <w:left w:val="nil"/>
              <w:bottom w:val="nil"/>
              <w:right w:val="nil"/>
            </w:tcBorders>
            <w:shd w:val="clear" w:color="auto" w:fill="auto"/>
            <w:vAlign w:val="center"/>
          </w:tcPr>
          <w:p w14:paraId="0815FC0C" w14:textId="27D93775"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17.205.049</w:t>
            </w:r>
          </w:p>
        </w:tc>
        <w:tc>
          <w:tcPr>
            <w:tcW w:w="518" w:type="pct"/>
            <w:tcBorders>
              <w:top w:val="nil"/>
              <w:left w:val="nil"/>
              <w:bottom w:val="nil"/>
              <w:right w:val="nil"/>
            </w:tcBorders>
            <w:shd w:val="clear" w:color="auto" w:fill="auto"/>
            <w:vAlign w:val="center"/>
          </w:tcPr>
          <w:p w14:paraId="4E730EFB" w14:textId="2298728A"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259.807.349</w:t>
            </w:r>
          </w:p>
        </w:tc>
      </w:tr>
      <w:tr w:rsidR="003022BF" w:rsidRPr="00FB38E1" w14:paraId="18399081" w14:textId="77777777" w:rsidTr="00836EF2">
        <w:tc>
          <w:tcPr>
            <w:tcW w:w="1235" w:type="pct"/>
            <w:vAlign w:val="bottom"/>
          </w:tcPr>
          <w:p w14:paraId="781D354D" w14:textId="77777777" w:rsidR="003022BF" w:rsidRPr="00FB38E1" w:rsidRDefault="003022BF" w:rsidP="003022BF">
            <w:pPr>
              <w:ind w:left="142"/>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Para piyasalarına borçlar</w:t>
            </w:r>
          </w:p>
        </w:tc>
        <w:tc>
          <w:tcPr>
            <w:tcW w:w="584" w:type="pct"/>
            <w:vAlign w:val="center"/>
          </w:tcPr>
          <w:p w14:paraId="1392CF4D" w14:textId="319C6DC8"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tcBorders>
              <w:top w:val="nil"/>
              <w:left w:val="nil"/>
              <w:bottom w:val="nil"/>
              <w:right w:val="nil"/>
            </w:tcBorders>
            <w:shd w:val="clear" w:color="auto" w:fill="auto"/>
            <w:vAlign w:val="center"/>
          </w:tcPr>
          <w:p w14:paraId="0227680F" w14:textId="14F73D69"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33.588.653</w:t>
            </w:r>
          </w:p>
        </w:tc>
        <w:tc>
          <w:tcPr>
            <w:tcW w:w="520" w:type="pct"/>
            <w:tcBorders>
              <w:top w:val="nil"/>
              <w:left w:val="nil"/>
              <w:bottom w:val="nil"/>
              <w:right w:val="nil"/>
            </w:tcBorders>
            <w:shd w:val="clear" w:color="auto" w:fill="auto"/>
            <w:vAlign w:val="center"/>
          </w:tcPr>
          <w:p w14:paraId="3CCFCBEF" w14:textId="3056E3B3"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465.934</w:t>
            </w:r>
          </w:p>
        </w:tc>
        <w:tc>
          <w:tcPr>
            <w:tcW w:w="520" w:type="pct"/>
            <w:tcBorders>
              <w:top w:val="nil"/>
              <w:left w:val="nil"/>
              <w:bottom w:val="nil"/>
              <w:right w:val="nil"/>
            </w:tcBorders>
            <w:shd w:val="clear" w:color="auto" w:fill="auto"/>
            <w:vAlign w:val="center"/>
          </w:tcPr>
          <w:p w14:paraId="0ACF6A6B" w14:textId="50B5A6ED"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765.030</w:t>
            </w:r>
          </w:p>
        </w:tc>
        <w:tc>
          <w:tcPr>
            <w:tcW w:w="520" w:type="pct"/>
            <w:tcBorders>
              <w:top w:val="nil"/>
              <w:left w:val="nil"/>
              <w:bottom w:val="nil"/>
              <w:right w:val="nil"/>
            </w:tcBorders>
            <w:shd w:val="clear" w:color="auto" w:fill="auto"/>
            <w:vAlign w:val="center"/>
          </w:tcPr>
          <w:p w14:paraId="52324623" w14:textId="7F3956C9"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0" w:type="pct"/>
            <w:tcBorders>
              <w:top w:val="nil"/>
              <w:left w:val="nil"/>
              <w:bottom w:val="nil"/>
              <w:right w:val="nil"/>
            </w:tcBorders>
            <w:shd w:val="clear" w:color="auto" w:fill="auto"/>
            <w:vAlign w:val="center"/>
          </w:tcPr>
          <w:p w14:paraId="6DB9A08D" w14:textId="41C27221"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8" w:type="pct"/>
            <w:tcBorders>
              <w:top w:val="nil"/>
              <w:left w:val="nil"/>
              <w:bottom w:val="nil"/>
              <w:right w:val="nil"/>
            </w:tcBorders>
            <w:shd w:val="clear" w:color="auto" w:fill="auto"/>
            <w:vAlign w:val="center"/>
          </w:tcPr>
          <w:p w14:paraId="05513A63" w14:textId="50DD4BBB"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34.819.617</w:t>
            </w:r>
          </w:p>
        </w:tc>
      </w:tr>
      <w:tr w:rsidR="003022BF" w:rsidRPr="00FB38E1" w14:paraId="29E25578" w14:textId="77777777" w:rsidTr="00836EF2">
        <w:tc>
          <w:tcPr>
            <w:tcW w:w="1235" w:type="pct"/>
            <w:tcBorders>
              <w:bottom w:val="single" w:sz="6" w:space="0" w:color="auto"/>
            </w:tcBorders>
            <w:vAlign w:val="bottom"/>
          </w:tcPr>
          <w:p w14:paraId="7369629A" w14:textId="77777777" w:rsidR="003022BF" w:rsidRPr="00FB38E1" w:rsidRDefault="003022BF" w:rsidP="003022B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İhraç edilen menkul değerler</w:t>
            </w:r>
          </w:p>
        </w:tc>
        <w:tc>
          <w:tcPr>
            <w:tcW w:w="584" w:type="pct"/>
            <w:tcBorders>
              <w:bottom w:val="single" w:sz="6" w:space="0" w:color="auto"/>
            </w:tcBorders>
            <w:vAlign w:val="center"/>
          </w:tcPr>
          <w:p w14:paraId="2CF8A190" w14:textId="60E8594F"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tcBorders>
              <w:top w:val="nil"/>
              <w:left w:val="nil"/>
              <w:bottom w:val="single" w:sz="6" w:space="0" w:color="auto"/>
              <w:right w:val="nil"/>
            </w:tcBorders>
            <w:shd w:val="clear" w:color="auto" w:fill="auto"/>
            <w:vAlign w:val="center"/>
          </w:tcPr>
          <w:p w14:paraId="595ACF47" w14:textId="294FF7C6"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3.812.758</w:t>
            </w:r>
          </w:p>
        </w:tc>
        <w:tc>
          <w:tcPr>
            <w:tcW w:w="520" w:type="pct"/>
            <w:tcBorders>
              <w:top w:val="nil"/>
              <w:left w:val="nil"/>
              <w:bottom w:val="single" w:sz="6" w:space="0" w:color="auto"/>
              <w:right w:val="nil"/>
            </w:tcBorders>
            <w:shd w:val="clear" w:color="auto" w:fill="auto"/>
            <w:vAlign w:val="center"/>
          </w:tcPr>
          <w:p w14:paraId="0BCEB8F4" w14:textId="094850B8"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13.565.455</w:t>
            </w:r>
          </w:p>
        </w:tc>
        <w:tc>
          <w:tcPr>
            <w:tcW w:w="520" w:type="pct"/>
            <w:tcBorders>
              <w:top w:val="nil"/>
              <w:left w:val="nil"/>
              <w:bottom w:val="single" w:sz="6" w:space="0" w:color="auto"/>
              <w:right w:val="nil"/>
            </w:tcBorders>
            <w:shd w:val="clear" w:color="auto" w:fill="auto"/>
            <w:vAlign w:val="center"/>
          </w:tcPr>
          <w:p w14:paraId="149A1A2C" w14:textId="50D58F5F"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33.848.154</w:t>
            </w:r>
          </w:p>
        </w:tc>
        <w:tc>
          <w:tcPr>
            <w:tcW w:w="520" w:type="pct"/>
            <w:tcBorders>
              <w:top w:val="nil"/>
              <w:left w:val="nil"/>
              <w:bottom w:val="single" w:sz="6" w:space="0" w:color="auto"/>
              <w:right w:val="nil"/>
            </w:tcBorders>
            <w:shd w:val="clear" w:color="auto" w:fill="auto"/>
            <w:vAlign w:val="center"/>
          </w:tcPr>
          <w:p w14:paraId="76EABFEE" w14:textId="4FF66B04"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5.519.514</w:t>
            </w:r>
          </w:p>
        </w:tc>
        <w:tc>
          <w:tcPr>
            <w:tcW w:w="520" w:type="pct"/>
            <w:tcBorders>
              <w:top w:val="nil"/>
              <w:left w:val="nil"/>
              <w:bottom w:val="single" w:sz="6" w:space="0" w:color="auto"/>
              <w:right w:val="nil"/>
            </w:tcBorders>
            <w:shd w:val="clear" w:color="auto" w:fill="auto"/>
            <w:vAlign w:val="center"/>
          </w:tcPr>
          <w:p w14:paraId="26D20546" w14:textId="7B3D799E"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8" w:type="pct"/>
            <w:tcBorders>
              <w:top w:val="nil"/>
              <w:left w:val="nil"/>
              <w:bottom w:val="single" w:sz="6" w:space="0" w:color="auto"/>
              <w:right w:val="nil"/>
            </w:tcBorders>
            <w:shd w:val="clear" w:color="auto" w:fill="auto"/>
            <w:vAlign w:val="center"/>
          </w:tcPr>
          <w:p w14:paraId="622112FD" w14:textId="55B24035"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56.745.881</w:t>
            </w:r>
          </w:p>
        </w:tc>
      </w:tr>
      <w:tr w:rsidR="003022BF" w:rsidRPr="00FB38E1" w14:paraId="1CDDD360" w14:textId="77777777" w:rsidTr="00836EF2">
        <w:tc>
          <w:tcPr>
            <w:tcW w:w="1235" w:type="pct"/>
            <w:tcBorders>
              <w:top w:val="single" w:sz="6" w:space="0" w:color="auto"/>
              <w:bottom w:val="thickThinSmallGap" w:sz="24" w:space="0" w:color="auto"/>
            </w:tcBorders>
            <w:vAlign w:val="bottom"/>
          </w:tcPr>
          <w:p w14:paraId="6AF5A319" w14:textId="77777777" w:rsidR="003022BF" w:rsidRPr="00FB38E1" w:rsidRDefault="003022BF" w:rsidP="003022B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84" w:type="pct"/>
            <w:tcBorders>
              <w:top w:val="single" w:sz="6" w:space="0" w:color="auto"/>
              <w:bottom w:val="thickThinSmallGap" w:sz="24" w:space="0" w:color="auto"/>
            </w:tcBorders>
            <w:vAlign w:val="center"/>
          </w:tcPr>
          <w:p w14:paraId="6C7EF35C" w14:textId="2D66ED27"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177.709.865</w:t>
            </w:r>
          </w:p>
        </w:tc>
        <w:tc>
          <w:tcPr>
            <w:tcW w:w="584" w:type="pct"/>
            <w:tcBorders>
              <w:top w:val="single" w:sz="6" w:space="0" w:color="auto"/>
              <w:left w:val="nil"/>
              <w:bottom w:val="thickThinSmallGap" w:sz="24" w:space="0" w:color="auto"/>
              <w:right w:val="nil"/>
            </w:tcBorders>
            <w:shd w:val="clear" w:color="auto" w:fill="auto"/>
            <w:vAlign w:val="center"/>
          </w:tcPr>
          <w:p w14:paraId="5D4B053C" w14:textId="2BE7AA97"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390.924.687</w:t>
            </w:r>
          </w:p>
        </w:tc>
        <w:tc>
          <w:tcPr>
            <w:tcW w:w="520" w:type="pct"/>
            <w:tcBorders>
              <w:top w:val="single" w:sz="6" w:space="0" w:color="auto"/>
              <w:left w:val="nil"/>
              <w:bottom w:val="thickThinSmallGap" w:sz="24" w:space="0" w:color="auto"/>
              <w:right w:val="nil"/>
            </w:tcBorders>
            <w:shd w:val="clear" w:color="auto" w:fill="auto"/>
            <w:vAlign w:val="center"/>
          </w:tcPr>
          <w:p w14:paraId="2214AF88" w14:textId="123CCDF6"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196.887.881</w:t>
            </w:r>
          </w:p>
        </w:tc>
        <w:tc>
          <w:tcPr>
            <w:tcW w:w="520" w:type="pct"/>
            <w:tcBorders>
              <w:top w:val="single" w:sz="6" w:space="0" w:color="auto"/>
              <w:left w:val="nil"/>
              <w:bottom w:val="thickThinSmallGap" w:sz="24" w:space="0" w:color="auto"/>
              <w:right w:val="nil"/>
            </w:tcBorders>
            <w:shd w:val="clear" w:color="auto" w:fill="auto"/>
            <w:vAlign w:val="center"/>
          </w:tcPr>
          <w:p w14:paraId="0E9EBAFE" w14:textId="7FA47523"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282.453.284</w:t>
            </w:r>
          </w:p>
        </w:tc>
        <w:tc>
          <w:tcPr>
            <w:tcW w:w="520" w:type="pct"/>
            <w:tcBorders>
              <w:top w:val="single" w:sz="6" w:space="0" w:color="auto"/>
              <w:left w:val="nil"/>
              <w:bottom w:val="thickThinSmallGap" w:sz="24" w:space="0" w:color="auto"/>
              <w:right w:val="nil"/>
            </w:tcBorders>
            <w:shd w:val="clear" w:color="auto" w:fill="auto"/>
            <w:vAlign w:val="center"/>
          </w:tcPr>
          <w:p w14:paraId="7A7859CB" w14:textId="13742CE6"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74.955.514</w:t>
            </w:r>
          </w:p>
        </w:tc>
        <w:tc>
          <w:tcPr>
            <w:tcW w:w="520" w:type="pct"/>
            <w:tcBorders>
              <w:top w:val="single" w:sz="6" w:space="0" w:color="auto"/>
              <w:left w:val="nil"/>
              <w:bottom w:val="thickThinSmallGap" w:sz="24" w:space="0" w:color="auto"/>
              <w:right w:val="nil"/>
            </w:tcBorders>
            <w:shd w:val="clear" w:color="auto" w:fill="auto"/>
            <w:vAlign w:val="center"/>
          </w:tcPr>
          <w:p w14:paraId="7619B16F" w14:textId="59341BDD"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17.205.049</w:t>
            </w:r>
          </w:p>
        </w:tc>
        <w:tc>
          <w:tcPr>
            <w:tcW w:w="518" w:type="pct"/>
            <w:tcBorders>
              <w:top w:val="single" w:sz="6" w:space="0" w:color="auto"/>
              <w:left w:val="nil"/>
              <w:bottom w:val="thickThinSmallGap" w:sz="24" w:space="0" w:color="auto"/>
              <w:right w:val="nil"/>
            </w:tcBorders>
            <w:shd w:val="clear" w:color="auto" w:fill="auto"/>
            <w:vAlign w:val="center"/>
          </w:tcPr>
          <w:p w14:paraId="52B8F6B8" w14:textId="758C5B5C" w:rsidR="003022BF" w:rsidRPr="00FB38E1" w:rsidRDefault="003022BF" w:rsidP="003022B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1.140.136.280</w:t>
            </w:r>
          </w:p>
        </w:tc>
      </w:tr>
    </w:tbl>
    <w:p w14:paraId="0502DE40" w14:textId="77777777" w:rsidR="004C4799" w:rsidRPr="00FB38E1" w:rsidRDefault="004C4799" w:rsidP="004C4799">
      <w:pPr>
        <w:pStyle w:val="BASLIK2"/>
        <w:widowControl/>
        <w:tabs>
          <w:tab w:val="left" w:pos="284"/>
        </w:tabs>
        <w:spacing w:before="60" w:after="24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 Sermaye benzeri kredileri de içermektedir.</w:t>
      </w:r>
    </w:p>
    <w:tbl>
      <w:tblPr>
        <w:tblStyle w:val="TableGrid"/>
        <w:tblW w:w="969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395"/>
        <w:gridCol w:w="1132"/>
        <w:gridCol w:w="1132"/>
        <w:gridCol w:w="1008"/>
        <w:gridCol w:w="1008"/>
        <w:gridCol w:w="1008"/>
        <w:gridCol w:w="1008"/>
        <w:gridCol w:w="1005"/>
      </w:tblGrid>
      <w:tr w:rsidR="004C4799" w:rsidRPr="00FB38E1" w14:paraId="3E308174" w14:textId="77777777" w:rsidTr="00836EF2">
        <w:tc>
          <w:tcPr>
            <w:tcW w:w="1235" w:type="pct"/>
            <w:tcBorders>
              <w:top w:val="thinThickSmallGap" w:sz="24" w:space="0" w:color="auto"/>
              <w:bottom w:val="single" w:sz="4" w:space="0" w:color="auto"/>
            </w:tcBorders>
            <w:vAlign w:val="bottom"/>
          </w:tcPr>
          <w:p w14:paraId="5A14DE98" w14:textId="77777777" w:rsidR="004C4799" w:rsidRPr="00FB38E1" w:rsidRDefault="004C4799" w:rsidP="00836EF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 Sonu</w:t>
            </w:r>
          </w:p>
        </w:tc>
        <w:tc>
          <w:tcPr>
            <w:tcW w:w="584" w:type="pct"/>
            <w:tcBorders>
              <w:top w:val="thinThickSmallGap" w:sz="24" w:space="0" w:color="auto"/>
              <w:bottom w:val="single" w:sz="4" w:space="0" w:color="auto"/>
            </w:tcBorders>
            <w:vAlign w:val="bottom"/>
          </w:tcPr>
          <w:p w14:paraId="6DAC4089"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Vadesiz</w:t>
            </w:r>
          </w:p>
        </w:tc>
        <w:tc>
          <w:tcPr>
            <w:tcW w:w="584" w:type="pct"/>
            <w:tcBorders>
              <w:top w:val="thinThickSmallGap" w:sz="24" w:space="0" w:color="auto"/>
              <w:bottom w:val="single" w:sz="4" w:space="0" w:color="auto"/>
            </w:tcBorders>
            <w:vAlign w:val="bottom"/>
          </w:tcPr>
          <w:p w14:paraId="0434C760"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 Aya Kadar</w:t>
            </w:r>
          </w:p>
        </w:tc>
        <w:tc>
          <w:tcPr>
            <w:tcW w:w="520" w:type="pct"/>
            <w:tcBorders>
              <w:top w:val="thinThickSmallGap" w:sz="24" w:space="0" w:color="auto"/>
              <w:bottom w:val="single" w:sz="4" w:space="0" w:color="auto"/>
            </w:tcBorders>
            <w:vAlign w:val="bottom"/>
          </w:tcPr>
          <w:p w14:paraId="77D16E3C"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 Ay</w:t>
            </w:r>
          </w:p>
        </w:tc>
        <w:tc>
          <w:tcPr>
            <w:tcW w:w="520" w:type="pct"/>
            <w:tcBorders>
              <w:top w:val="thinThickSmallGap" w:sz="24" w:space="0" w:color="auto"/>
              <w:bottom w:val="single" w:sz="4" w:space="0" w:color="auto"/>
            </w:tcBorders>
            <w:vAlign w:val="bottom"/>
          </w:tcPr>
          <w:p w14:paraId="387EF520"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3-12 Ay</w:t>
            </w:r>
          </w:p>
        </w:tc>
        <w:tc>
          <w:tcPr>
            <w:tcW w:w="520" w:type="pct"/>
            <w:tcBorders>
              <w:top w:val="thinThickSmallGap" w:sz="24" w:space="0" w:color="auto"/>
              <w:bottom w:val="single" w:sz="4" w:space="0" w:color="auto"/>
            </w:tcBorders>
            <w:vAlign w:val="bottom"/>
          </w:tcPr>
          <w:p w14:paraId="798E93E1"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 Yıl</w:t>
            </w:r>
          </w:p>
        </w:tc>
        <w:tc>
          <w:tcPr>
            <w:tcW w:w="520" w:type="pct"/>
            <w:tcBorders>
              <w:top w:val="thinThickSmallGap" w:sz="24" w:space="0" w:color="auto"/>
              <w:bottom w:val="single" w:sz="4" w:space="0" w:color="auto"/>
            </w:tcBorders>
            <w:vAlign w:val="bottom"/>
          </w:tcPr>
          <w:p w14:paraId="6DCC14F9"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 Yıl ve Üzeri</w:t>
            </w:r>
          </w:p>
        </w:tc>
        <w:tc>
          <w:tcPr>
            <w:tcW w:w="518" w:type="pct"/>
            <w:tcBorders>
              <w:top w:val="thinThickSmallGap" w:sz="24" w:space="0" w:color="auto"/>
              <w:bottom w:val="single" w:sz="4" w:space="0" w:color="auto"/>
            </w:tcBorders>
            <w:vAlign w:val="bottom"/>
          </w:tcPr>
          <w:p w14:paraId="494D8693" w14:textId="77777777" w:rsidR="004C4799" w:rsidRPr="00FB38E1" w:rsidRDefault="004C4799"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4C4799" w:rsidRPr="00FB38E1" w14:paraId="3D811AE8" w14:textId="77777777" w:rsidTr="00836EF2">
        <w:trPr>
          <w:trHeight w:val="69"/>
        </w:trPr>
        <w:tc>
          <w:tcPr>
            <w:tcW w:w="1235" w:type="pct"/>
            <w:tcBorders>
              <w:top w:val="single" w:sz="4" w:space="0" w:color="auto"/>
            </w:tcBorders>
            <w:vAlign w:val="bottom"/>
          </w:tcPr>
          <w:p w14:paraId="65E326FD" w14:textId="77777777" w:rsidR="004C4799" w:rsidRPr="00FB38E1" w:rsidRDefault="004C4799" w:rsidP="00836EF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Yükümlülükler</w:t>
            </w:r>
          </w:p>
        </w:tc>
        <w:tc>
          <w:tcPr>
            <w:tcW w:w="584" w:type="pct"/>
            <w:tcBorders>
              <w:top w:val="single" w:sz="4" w:space="0" w:color="auto"/>
            </w:tcBorders>
            <w:vAlign w:val="bottom"/>
          </w:tcPr>
          <w:p w14:paraId="565BAEAC" w14:textId="77777777" w:rsidR="004C4799" w:rsidRPr="00FB38E1" w:rsidRDefault="004C4799" w:rsidP="00836EF2">
            <w:pPr>
              <w:rPr>
                <w:rFonts w:ascii="Microsoft Sans Serif" w:hAnsi="Microsoft Sans Serif" w:cs="Microsoft Sans Serif"/>
                <w:color w:val="000000"/>
                <w:sz w:val="16"/>
                <w:szCs w:val="16"/>
              </w:rPr>
            </w:pPr>
          </w:p>
        </w:tc>
        <w:tc>
          <w:tcPr>
            <w:tcW w:w="584" w:type="pct"/>
            <w:tcBorders>
              <w:top w:val="single" w:sz="4" w:space="0" w:color="auto"/>
            </w:tcBorders>
            <w:vAlign w:val="bottom"/>
          </w:tcPr>
          <w:p w14:paraId="1648D281" w14:textId="77777777" w:rsidR="004C4799" w:rsidRPr="00FB38E1" w:rsidRDefault="004C4799" w:rsidP="00836EF2">
            <w:pPr>
              <w:rPr>
                <w:rFonts w:ascii="Microsoft Sans Serif" w:hAnsi="Microsoft Sans Serif" w:cs="Microsoft Sans Serif"/>
                <w:color w:val="000000"/>
                <w:sz w:val="16"/>
                <w:szCs w:val="16"/>
              </w:rPr>
            </w:pPr>
          </w:p>
        </w:tc>
        <w:tc>
          <w:tcPr>
            <w:tcW w:w="520" w:type="pct"/>
            <w:tcBorders>
              <w:top w:val="single" w:sz="4" w:space="0" w:color="auto"/>
            </w:tcBorders>
            <w:vAlign w:val="bottom"/>
          </w:tcPr>
          <w:p w14:paraId="02C0666D" w14:textId="77777777" w:rsidR="004C4799" w:rsidRPr="00FB38E1" w:rsidRDefault="004C4799" w:rsidP="00836EF2">
            <w:pPr>
              <w:rPr>
                <w:rFonts w:ascii="Microsoft Sans Serif" w:hAnsi="Microsoft Sans Serif" w:cs="Microsoft Sans Serif"/>
                <w:color w:val="000000"/>
                <w:sz w:val="16"/>
                <w:szCs w:val="16"/>
              </w:rPr>
            </w:pPr>
          </w:p>
        </w:tc>
        <w:tc>
          <w:tcPr>
            <w:tcW w:w="520" w:type="pct"/>
            <w:tcBorders>
              <w:top w:val="single" w:sz="4" w:space="0" w:color="auto"/>
            </w:tcBorders>
            <w:vAlign w:val="bottom"/>
          </w:tcPr>
          <w:p w14:paraId="2A26029F" w14:textId="77777777" w:rsidR="004C4799" w:rsidRPr="00FB38E1" w:rsidRDefault="004C4799" w:rsidP="00836EF2">
            <w:pPr>
              <w:rPr>
                <w:rFonts w:ascii="Microsoft Sans Serif" w:hAnsi="Microsoft Sans Serif" w:cs="Microsoft Sans Serif"/>
                <w:color w:val="000000"/>
                <w:sz w:val="16"/>
                <w:szCs w:val="16"/>
              </w:rPr>
            </w:pPr>
          </w:p>
        </w:tc>
        <w:tc>
          <w:tcPr>
            <w:tcW w:w="520" w:type="pct"/>
            <w:tcBorders>
              <w:top w:val="single" w:sz="4" w:space="0" w:color="auto"/>
            </w:tcBorders>
            <w:vAlign w:val="bottom"/>
          </w:tcPr>
          <w:p w14:paraId="0F3F48E3" w14:textId="77777777" w:rsidR="004C4799" w:rsidRPr="00FB38E1" w:rsidRDefault="004C4799" w:rsidP="00836EF2">
            <w:pPr>
              <w:rPr>
                <w:rFonts w:ascii="Microsoft Sans Serif" w:hAnsi="Microsoft Sans Serif" w:cs="Microsoft Sans Serif"/>
                <w:color w:val="000000"/>
                <w:sz w:val="16"/>
                <w:szCs w:val="16"/>
              </w:rPr>
            </w:pPr>
          </w:p>
        </w:tc>
        <w:tc>
          <w:tcPr>
            <w:tcW w:w="520" w:type="pct"/>
            <w:tcBorders>
              <w:top w:val="single" w:sz="4" w:space="0" w:color="auto"/>
            </w:tcBorders>
            <w:vAlign w:val="bottom"/>
          </w:tcPr>
          <w:p w14:paraId="09DBDCA6" w14:textId="77777777" w:rsidR="004C4799" w:rsidRPr="00FB38E1" w:rsidRDefault="004C4799" w:rsidP="00836EF2">
            <w:pPr>
              <w:rPr>
                <w:rFonts w:ascii="Microsoft Sans Serif" w:hAnsi="Microsoft Sans Serif" w:cs="Microsoft Sans Serif"/>
                <w:color w:val="000000"/>
                <w:sz w:val="16"/>
                <w:szCs w:val="16"/>
              </w:rPr>
            </w:pPr>
          </w:p>
        </w:tc>
        <w:tc>
          <w:tcPr>
            <w:tcW w:w="518" w:type="pct"/>
            <w:tcBorders>
              <w:top w:val="single" w:sz="4" w:space="0" w:color="auto"/>
            </w:tcBorders>
            <w:vAlign w:val="bottom"/>
          </w:tcPr>
          <w:p w14:paraId="52AC77EA" w14:textId="77777777" w:rsidR="004C4799" w:rsidRPr="00FB38E1" w:rsidRDefault="004C4799" w:rsidP="00836EF2">
            <w:pPr>
              <w:rPr>
                <w:rFonts w:ascii="Microsoft Sans Serif" w:hAnsi="Microsoft Sans Serif" w:cs="Microsoft Sans Serif"/>
                <w:color w:val="000000"/>
                <w:sz w:val="16"/>
                <w:szCs w:val="16"/>
              </w:rPr>
            </w:pPr>
          </w:p>
        </w:tc>
      </w:tr>
      <w:tr w:rsidR="004C4799" w:rsidRPr="00FB38E1" w14:paraId="4BFFEFF8" w14:textId="77777777" w:rsidTr="00836EF2">
        <w:tc>
          <w:tcPr>
            <w:tcW w:w="1235" w:type="pct"/>
            <w:vAlign w:val="bottom"/>
          </w:tcPr>
          <w:p w14:paraId="1CF21A63" w14:textId="77777777" w:rsidR="004C4799" w:rsidRPr="00FB38E1" w:rsidRDefault="004C4799" w:rsidP="004C4799">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Mevduat</w:t>
            </w:r>
          </w:p>
        </w:tc>
        <w:tc>
          <w:tcPr>
            <w:tcW w:w="584" w:type="pct"/>
            <w:vAlign w:val="center"/>
          </w:tcPr>
          <w:p w14:paraId="0EEB1538" w14:textId="3F468469"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165.830.407</w:t>
            </w:r>
          </w:p>
        </w:tc>
        <w:tc>
          <w:tcPr>
            <w:tcW w:w="584" w:type="pct"/>
            <w:tcBorders>
              <w:top w:val="nil"/>
              <w:left w:val="nil"/>
              <w:bottom w:val="nil"/>
              <w:right w:val="nil"/>
            </w:tcBorders>
            <w:shd w:val="clear" w:color="auto" w:fill="auto"/>
            <w:vAlign w:val="center"/>
          </w:tcPr>
          <w:p w14:paraId="6B99C33B" w14:textId="69D55920"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206.729.666</w:t>
            </w:r>
          </w:p>
        </w:tc>
        <w:tc>
          <w:tcPr>
            <w:tcW w:w="520" w:type="pct"/>
            <w:tcBorders>
              <w:top w:val="nil"/>
              <w:left w:val="nil"/>
              <w:bottom w:val="nil"/>
              <w:right w:val="nil"/>
            </w:tcBorders>
            <w:shd w:val="clear" w:color="auto" w:fill="auto"/>
            <w:vAlign w:val="center"/>
          </w:tcPr>
          <w:p w14:paraId="04E3AFFD" w14:textId="150BED10"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118.336.554</w:t>
            </w:r>
          </w:p>
        </w:tc>
        <w:tc>
          <w:tcPr>
            <w:tcW w:w="520" w:type="pct"/>
            <w:tcBorders>
              <w:top w:val="nil"/>
              <w:left w:val="nil"/>
              <w:bottom w:val="nil"/>
              <w:right w:val="nil"/>
            </w:tcBorders>
            <w:shd w:val="clear" w:color="auto" w:fill="auto"/>
            <w:vAlign w:val="center"/>
          </w:tcPr>
          <w:p w14:paraId="2DE332A3" w14:textId="57EA4CA9"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131.549.348</w:t>
            </w:r>
          </w:p>
        </w:tc>
        <w:tc>
          <w:tcPr>
            <w:tcW w:w="520" w:type="pct"/>
            <w:tcBorders>
              <w:top w:val="nil"/>
              <w:left w:val="nil"/>
              <w:bottom w:val="nil"/>
              <w:right w:val="nil"/>
            </w:tcBorders>
            <w:shd w:val="clear" w:color="auto" w:fill="auto"/>
            <w:vAlign w:val="center"/>
          </w:tcPr>
          <w:p w14:paraId="001A53C3" w14:textId="5AA7D274"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252.143</w:t>
            </w:r>
          </w:p>
        </w:tc>
        <w:tc>
          <w:tcPr>
            <w:tcW w:w="520" w:type="pct"/>
            <w:tcBorders>
              <w:top w:val="nil"/>
              <w:left w:val="nil"/>
              <w:bottom w:val="nil"/>
              <w:right w:val="nil"/>
            </w:tcBorders>
            <w:shd w:val="clear" w:color="auto" w:fill="auto"/>
            <w:vAlign w:val="center"/>
          </w:tcPr>
          <w:p w14:paraId="0D0C0A54" w14:textId="37F96F1A"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8" w:type="pct"/>
            <w:tcBorders>
              <w:top w:val="nil"/>
              <w:left w:val="nil"/>
              <w:bottom w:val="nil"/>
              <w:right w:val="nil"/>
            </w:tcBorders>
            <w:shd w:val="clear" w:color="auto" w:fill="auto"/>
            <w:vAlign w:val="center"/>
          </w:tcPr>
          <w:p w14:paraId="21F4EB9F" w14:textId="5466EDD1"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622.698.118</w:t>
            </w:r>
          </w:p>
        </w:tc>
      </w:tr>
      <w:tr w:rsidR="004C4799" w:rsidRPr="00FB38E1" w14:paraId="2BDAC7E5" w14:textId="77777777" w:rsidTr="00836EF2">
        <w:tc>
          <w:tcPr>
            <w:tcW w:w="1235" w:type="pct"/>
            <w:vAlign w:val="bottom"/>
          </w:tcPr>
          <w:p w14:paraId="34A5D70C" w14:textId="77777777" w:rsidR="004C4799" w:rsidRPr="00FB38E1" w:rsidRDefault="004C4799" w:rsidP="004C4799">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Alınan krediler (*)</w:t>
            </w:r>
          </w:p>
        </w:tc>
        <w:tc>
          <w:tcPr>
            <w:tcW w:w="584" w:type="pct"/>
            <w:vAlign w:val="center"/>
          </w:tcPr>
          <w:p w14:paraId="5937B057" w14:textId="1CEDEA0D"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tcBorders>
              <w:top w:val="nil"/>
              <w:left w:val="nil"/>
              <w:bottom w:val="nil"/>
              <w:right w:val="nil"/>
            </w:tcBorders>
            <w:shd w:val="clear" w:color="auto" w:fill="auto"/>
            <w:vAlign w:val="center"/>
          </w:tcPr>
          <w:p w14:paraId="4874D04C" w14:textId="103D2B52"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8.949.369</w:t>
            </w:r>
          </w:p>
        </w:tc>
        <w:tc>
          <w:tcPr>
            <w:tcW w:w="520" w:type="pct"/>
            <w:tcBorders>
              <w:top w:val="nil"/>
              <w:left w:val="nil"/>
              <w:bottom w:val="nil"/>
              <w:right w:val="nil"/>
            </w:tcBorders>
            <w:shd w:val="clear" w:color="auto" w:fill="auto"/>
            <w:vAlign w:val="center"/>
          </w:tcPr>
          <w:p w14:paraId="4467D385" w14:textId="283F1A34"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28.456.000</w:t>
            </w:r>
          </w:p>
        </w:tc>
        <w:tc>
          <w:tcPr>
            <w:tcW w:w="520" w:type="pct"/>
            <w:tcBorders>
              <w:top w:val="nil"/>
              <w:left w:val="nil"/>
              <w:bottom w:val="nil"/>
              <w:right w:val="nil"/>
            </w:tcBorders>
            <w:shd w:val="clear" w:color="auto" w:fill="auto"/>
            <w:vAlign w:val="center"/>
          </w:tcPr>
          <w:p w14:paraId="5E2A5BF9" w14:textId="13514890"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82.767.648</w:t>
            </w:r>
          </w:p>
        </w:tc>
        <w:tc>
          <w:tcPr>
            <w:tcW w:w="520" w:type="pct"/>
            <w:tcBorders>
              <w:top w:val="nil"/>
              <w:left w:val="nil"/>
              <w:bottom w:val="nil"/>
              <w:right w:val="nil"/>
            </w:tcBorders>
            <w:shd w:val="clear" w:color="auto" w:fill="auto"/>
            <w:vAlign w:val="center"/>
          </w:tcPr>
          <w:p w14:paraId="1A174450" w14:textId="73EE555C"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41.326.596</w:t>
            </w:r>
          </w:p>
        </w:tc>
        <w:tc>
          <w:tcPr>
            <w:tcW w:w="520" w:type="pct"/>
            <w:tcBorders>
              <w:top w:val="nil"/>
              <w:left w:val="nil"/>
              <w:bottom w:val="nil"/>
              <w:right w:val="nil"/>
            </w:tcBorders>
            <w:shd w:val="clear" w:color="auto" w:fill="auto"/>
            <w:vAlign w:val="center"/>
          </w:tcPr>
          <w:p w14:paraId="09A47746" w14:textId="52725B10"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19.969.562</w:t>
            </w:r>
          </w:p>
        </w:tc>
        <w:tc>
          <w:tcPr>
            <w:tcW w:w="518" w:type="pct"/>
            <w:tcBorders>
              <w:top w:val="nil"/>
              <w:left w:val="nil"/>
              <w:bottom w:val="nil"/>
              <w:right w:val="nil"/>
            </w:tcBorders>
            <w:shd w:val="clear" w:color="auto" w:fill="auto"/>
            <w:vAlign w:val="center"/>
          </w:tcPr>
          <w:p w14:paraId="0580737A" w14:textId="41BD05EF"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181.469.175</w:t>
            </w:r>
          </w:p>
        </w:tc>
      </w:tr>
      <w:tr w:rsidR="004C4799" w:rsidRPr="00FB38E1" w14:paraId="38611F0B" w14:textId="77777777" w:rsidTr="00836EF2">
        <w:tc>
          <w:tcPr>
            <w:tcW w:w="1235" w:type="pct"/>
            <w:vAlign w:val="bottom"/>
          </w:tcPr>
          <w:p w14:paraId="033354FE" w14:textId="77777777" w:rsidR="004C4799" w:rsidRPr="00FB38E1" w:rsidRDefault="004C4799" w:rsidP="004C4799">
            <w:pPr>
              <w:ind w:left="142"/>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Para piyasalarına borçlar</w:t>
            </w:r>
          </w:p>
        </w:tc>
        <w:tc>
          <w:tcPr>
            <w:tcW w:w="584" w:type="pct"/>
            <w:vAlign w:val="center"/>
          </w:tcPr>
          <w:p w14:paraId="63503B9C" w14:textId="1A329A0B"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tcBorders>
              <w:top w:val="nil"/>
              <w:left w:val="nil"/>
              <w:bottom w:val="nil"/>
              <w:right w:val="nil"/>
            </w:tcBorders>
            <w:shd w:val="clear" w:color="auto" w:fill="auto"/>
            <w:vAlign w:val="center"/>
          </w:tcPr>
          <w:p w14:paraId="180BB761" w14:textId="67CC6687"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26.976.638</w:t>
            </w:r>
          </w:p>
        </w:tc>
        <w:tc>
          <w:tcPr>
            <w:tcW w:w="520" w:type="pct"/>
            <w:tcBorders>
              <w:top w:val="nil"/>
              <w:left w:val="nil"/>
              <w:bottom w:val="nil"/>
              <w:right w:val="nil"/>
            </w:tcBorders>
            <w:shd w:val="clear" w:color="auto" w:fill="auto"/>
            <w:vAlign w:val="center"/>
          </w:tcPr>
          <w:p w14:paraId="1486B758" w14:textId="6203121B"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4.851.003</w:t>
            </w:r>
          </w:p>
        </w:tc>
        <w:tc>
          <w:tcPr>
            <w:tcW w:w="520" w:type="pct"/>
            <w:tcBorders>
              <w:top w:val="nil"/>
              <w:left w:val="nil"/>
              <w:bottom w:val="nil"/>
              <w:right w:val="nil"/>
            </w:tcBorders>
            <w:shd w:val="clear" w:color="auto" w:fill="auto"/>
            <w:vAlign w:val="center"/>
          </w:tcPr>
          <w:p w14:paraId="0F3459CD" w14:textId="1ADFCF20"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21.499.673</w:t>
            </w:r>
          </w:p>
        </w:tc>
        <w:tc>
          <w:tcPr>
            <w:tcW w:w="520" w:type="pct"/>
            <w:tcBorders>
              <w:top w:val="nil"/>
              <w:left w:val="nil"/>
              <w:bottom w:val="nil"/>
              <w:right w:val="nil"/>
            </w:tcBorders>
            <w:shd w:val="clear" w:color="auto" w:fill="auto"/>
            <w:vAlign w:val="center"/>
          </w:tcPr>
          <w:p w14:paraId="6665D51A" w14:textId="4EDE0C1C"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0" w:type="pct"/>
            <w:tcBorders>
              <w:top w:val="nil"/>
              <w:left w:val="nil"/>
              <w:bottom w:val="nil"/>
              <w:right w:val="nil"/>
            </w:tcBorders>
            <w:shd w:val="clear" w:color="auto" w:fill="auto"/>
            <w:vAlign w:val="center"/>
          </w:tcPr>
          <w:p w14:paraId="6BAD3928" w14:textId="47E964DF"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8" w:type="pct"/>
            <w:tcBorders>
              <w:top w:val="nil"/>
              <w:left w:val="nil"/>
              <w:bottom w:val="nil"/>
              <w:right w:val="nil"/>
            </w:tcBorders>
            <w:shd w:val="clear" w:color="auto" w:fill="auto"/>
            <w:vAlign w:val="center"/>
          </w:tcPr>
          <w:p w14:paraId="6F76B741" w14:textId="3CA8B807"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53.327.314</w:t>
            </w:r>
          </w:p>
        </w:tc>
      </w:tr>
      <w:tr w:rsidR="004C4799" w:rsidRPr="00FB38E1" w14:paraId="1D53E36E" w14:textId="77777777" w:rsidTr="00836EF2">
        <w:tc>
          <w:tcPr>
            <w:tcW w:w="1235" w:type="pct"/>
            <w:tcBorders>
              <w:bottom w:val="single" w:sz="6" w:space="0" w:color="auto"/>
            </w:tcBorders>
            <w:vAlign w:val="bottom"/>
          </w:tcPr>
          <w:p w14:paraId="00F0A82A" w14:textId="77777777" w:rsidR="004C4799" w:rsidRPr="00FB38E1" w:rsidRDefault="004C4799" w:rsidP="004C4799">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İhraç edilen menkul değerler</w:t>
            </w:r>
          </w:p>
        </w:tc>
        <w:tc>
          <w:tcPr>
            <w:tcW w:w="584" w:type="pct"/>
            <w:tcBorders>
              <w:bottom w:val="single" w:sz="6" w:space="0" w:color="auto"/>
            </w:tcBorders>
            <w:vAlign w:val="center"/>
          </w:tcPr>
          <w:p w14:paraId="2B700B75" w14:textId="77CD6512"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4" w:type="pct"/>
            <w:tcBorders>
              <w:top w:val="nil"/>
              <w:left w:val="nil"/>
              <w:bottom w:val="single" w:sz="6" w:space="0" w:color="auto"/>
              <w:right w:val="nil"/>
            </w:tcBorders>
            <w:shd w:val="clear" w:color="auto" w:fill="auto"/>
            <w:vAlign w:val="center"/>
          </w:tcPr>
          <w:p w14:paraId="047443D4" w14:textId="540CD71C"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32.404</w:t>
            </w:r>
          </w:p>
        </w:tc>
        <w:tc>
          <w:tcPr>
            <w:tcW w:w="520" w:type="pct"/>
            <w:tcBorders>
              <w:top w:val="nil"/>
              <w:left w:val="nil"/>
              <w:bottom w:val="single" w:sz="6" w:space="0" w:color="auto"/>
              <w:right w:val="nil"/>
            </w:tcBorders>
            <w:shd w:val="clear" w:color="auto" w:fill="auto"/>
            <w:vAlign w:val="center"/>
          </w:tcPr>
          <w:p w14:paraId="7B5ABD18" w14:textId="5C5772EC"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2.080.500</w:t>
            </w:r>
          </w:p>
        </w:tc>
        <w:tc>
          <w:tcPr>
            <w:tcW w:w="520" w:type="pct"/>
            <w:tcBorders>
              <w:top w:val="nil"/>
              <w:left w:val="nil"/>
              <w:bottom w:val="single" w:sz="6" w:space="0" w:color="auto"/>
              <w:right w:val="nil"/>
            </w:tcBorders>
            <w:shd w:val="clear" w:color="auto" w:fill="auto"/>
            <w:vAlign w:val="center"/>
          </w:tcPr>
          <w:p w14:paraId="63153631" w14:textId="41D433E0"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18.010.567</w:t>
            </w:r>
          </w:p>
        </w:tc>
        <w:tc>
          <w:tcPr>
            <w:tcW w:w="520" w:type="pct"/>
            <w:tcBorders>
              <w:top w:val="nil"/>
              <w:left w:val="nil"/>
              <w:bottom w:val="single" w:sz="6" w:space="0" w:color="auto"/>
              <w:right w:val="nil"/>
            </w:tcBorders>
            <w:shd w:val="clear" w:color="auto" w:fill="auto"/>
            <w:vAlign w:val="center"/>
          </w:tcPr>
          <w:p w14:paraId="3FCCF0C2" w14:textId="46058EEB"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1.827.983</w:t>
            </w:r>
          </w:p>
        </w:tc>
        <w:tc>
          <w:tcPr>
            <w:tcW w:w="520" w:type="pct"/>
            <w:tcBorders>
              <w:top w:val="nil"/>
              <w:left w:val="nil"/>
              <w:bottom w:val="single" w:sz="6" w:space="0" w:color="auto"/>
              <w:right w:val="nil"/>
            </w:tcBorders>
            <w:shd w:val="clear" w:color="auto" w:fill="auto"/>
            <w:vAlign w:val="center"/>
          </w:tcPr>
          <w:p w14:paraId="343D1F17" w14:textId="24ADEF82" w:rsidR="004C4799" w:rsidRPr="00FB38E1" w:rsidRDefault="004C4799" w:rsidP="004C47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8" w:type="pct"/>
            <w:tcBorders>
              <w:top w:val="nil"/>
              <w:left w:val="nil"/>
              <w:bottom w:val="single" w:sz="6" w:space="0" w:color="auto"/>
              <w:right w:val="nil"/>
            </w:tcBorders>
            <w:shd w:val="clear" w:color="auto" w:fill="auto"/>
            <w:vAlign w:val="center"/>
          </w:tcPr>
          <w:p w14:paraId="27DE7C50" w14:textId="43C44728"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21.951.454</w:t>
            </w:r>
          </w:p>
        </w:tc>
      </w:tr>
      <w:tr w:rsidR="004C4799" w:rsidRPr="00FB38E1" w14:paraId="178F98E5" w14:textId="77777777" w:rsidTr="00836EF2">
        <w:tc>
          <w:tcPr>
            <w:tcW w:w="1235" w:type="pct"/>
            <w:tcBorders>
              <w:top w:val="single" w:sz="6" w:space="0" w:color="auto"/>
              <w:bottom w:val="thickThinSmallGap" w:sz="24" w:space="0" w:color="auto"/>
            </w:tcBorders>
            <w:vAlign w:val="bottom"/>
          </w:tcPr>
          <w:p w14:paraId="3648A8AF" w14:textId="77777777" w:rsidR="004C4799" w:rsidRPr="00FB38E1" w:rsidRDefault="004C4799" w:rsidP="004C4799">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84" w:type="pct"/>
            <w:tcBorders>
              <w:top w:val="single" w:sz="6" w:space="0" w:color="auto"/>
              <w:bottom w:val="thickThinSmallGap" w:sz="24" w:space="0" w:color="auto"/>
            </w:tcBorders>
            <w:vAlign w:val="center"/>
          </w:tcPr>
          <w:p w14:paraId="1C7C247B" w14:textId="54E61589"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165.830.407</w:t>
            </w:r>
          </w:p>
        </w:tc>
        <w:tc>
          <w:tcPr>
            <w:tcW w:w="584" w:type="pct"/>
            <w:tcBorders>
              <w:top w:val="single" w:sz="6" w:space="0" w:color="auto"/>
              <w:left w:val="nil"/>
              <w:bottom w:val="thickThinSmallGap" w:sz="24" w:space="0" w:color="auto"/>
              <w:right w:val="nil"/>
            </w:tcBorders>
            <w:shd w:val="clear" w:color="auto" w:fill="auto"/>
            <w:vAlign w:val="center"/>
          </w:tcPr>
          <w:p w14:paraId="61905388" w14:textId="1BC38CFE"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242.688.077</w:t>
            </w:r>
          </w:p>
        </w:tc>
        <w:tc>
          <w:tcPr>
            <w:tcW w:w="520" w:type="pct"/>
            <w:tcBorders>
              <w:top w:val="single" w:sz="6" w:space="0" w:color="auto"/>
              <w:left w:val="nil"/>
              <w:bottom w:val="thickThinSmallGap" w:sz="24" w:space="0" w:color="auto"/>
              <w:right w:val="nil"/>
            </w:tcBorders>
            <w:shd w:val="clear" w:color="auto" w:fill="auto"/>
            <w:vAlign w:val="center"/>
          </w:tcPr>
          <w:p w14:paraId="78E161DE" w14:textId="277697A3"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153.724.057</w:t>
            </w:r>
          </w:p>
        </w:tc>
        <w:tc>
          <w:tcPr>
            <w:tcW w:w="520" w:type="pct"/>
            <w:tcBorders>
              <w:top w:val="single" w:sz="6" w:space="0" w:color="auto"/>
              <w:left w:val="nil"/>
              <w:bottom w:val="thickThinSmallGap" w:sz="24" w:space="0" w:color="auto"/>
              <w:right w:val="nil"/>
            </w:tcBorders>
            <w:shd w:val="clear" w:color="auto" w:fill="auto"/>
            <w:vAlign w:val="center"/>
          </w:tcPr>
          <w:p w14:paraId="79747D34" w14:textId="2D82A0E5"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253.827.236</w:t>
            </w:r>
          </w:p>
        </w:tc>
        <w:tc>
          <w:tcPr>
            <w:tcW w:w="520" w:type="pct"/>
            <w:tcBorders>
              <w:top w:val="single" w:sz="6" w:space="0" w:color="auto"/>
              <w:left w:val="nil"/>
              <w:bottom w:val="thickThinSmallGap" w:sz="24" w:space="0" w:color="auto"/>
              <w:right w:val="nil"/>
            </w:tcBorders>
            <w:shd w:val="clear" w:color="auto" w:fill="auto"/>
            <w:vAlign w:val="center"/>
          </w:tcPr>
          <w:p w14:paraId="04F421F7" w14:textId="06E92797"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43.406.722</w:t>
            </w:r>
          </w:p>
        </w:tc>
        <w:tc>
          <w:tcPr>
            <w:tcW w:w="520" w:type="pct"/>
            <w:tcBorders>
              <w:top w:val="single" w:sz="6" w:space="0" w:color="auto"/>
              <w:left w:val="nil"/>
              <w:bottom w:val="thickThinSmallGap" w:sz="24" w:space="0" w:color="auto"/>
              <w:right w:val="nil"/>
            </w:tcBorders>
            <w:shd w:val="clear" w:color="auto" w:fill="auto"/>
            <w:vAlign w:val="center"/>
          </w:tcPr>
          <w:p w14:paraId="24C7ADC4" w14:textId="5F163C78"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19.969.562</w:t>
            </w:r>
          </w:p>
        </w:tc>
        <w:tc>
          <w:tcPr>
            <w:tcW w:w="518" w:type="pct"/>
            <w:tcBorders>
              <w:top w:val="single" w:sz="6" w:space="0" w:color="auto"/>
              <w:left w:val="nil"/>
              <w:bottom w:val="thickThinSmallGap" w:sz="24" w:space="0" w:color="auto"/>
              <w:right w:val="nil"/>
            </w:tcBorders>
            <w:shd w:val="clear" w:color="auto" w:fill="auto"/>
            <w:vAlign w:val="center"/>
          </w:tcPr>
          <w:p w14:paraId="1B61F20D" w14:textId="6270314F" w:rsidR="004C4799" w:rsidRPr="00FB38E1" w:rsidRDefault="004C4799" w:rsidP="004C479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879.446.061</w:t>
            </w:r>
          </w:p>
        </w:tc>
      </w:tr>
    </w:tbl>
    <w:p w14:paraId="31403C31" w14:textId="154EE30C" w:rsidR="004C4799" w:rsidRPr="00FB38E1" w:rsidRDefault="004C4799" w:rsidP="004C4799">
      <w:pPr>
        <w:pStyle w:val="BASLIK2"/>
        <w:widowControl/>
        <w:tabs>
          <w:tab w:val="left" w:pos="284"/>
        </w:tabs>
        <w:spacing w:before="60" w:after="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 xml:space="preserve"> (*) Sermaye benzeri kredileri de içermektedir.</w:t>
      </w:r>
    </w:p>
    <w:p w14:paraId="0E690C31" w14:textId="77777777" w:rsidR="007B2A90" w:rsidRPr="00FB38E1" w:rsidRDefault="007B2A90" w:rsidP="004C4799">
      <w:pPr>
        <w:pStyle w:val="BASLIK2"/>
        <w:widowControl/>
        <w:tabs>
          <w:tab w:val="left" w:pos="284"/>
        </w:tabs>
        <w:spacing w:before="60" w:after="0" w:line="240" w:lineRule="auto"/>
        <w:ind w:firstLine="0"/>
        <w:rPr>
          <w:rFonts w:ascii="Microsoft Sans Serif" w:hAnsi="Microsoft Sans Serif" w:cs="Microsoft Sans Serif"/>
          <w:b w:val="0"/>
          <w:color w:val="404040" w:themeColor="text1" w:themeTint="BF"/>
          <w:sz w:val="14"/>
          <w:szCs w:val="14"/>
        </w:rPr>
      </w:pPr>
    </w:p>
    <w:p w14:paraId="66CFA709" w14:textId="445BEFCC" w:rsidR="00ED711D" w:rsidRPr="00FB38E1" w:rsidRDefault="00477B3B" w:rsidP="008D6249">
      <w:pPr>
        <w:pStyle w:val="ListParagraph"/>
        <w:numPr>
          <w:ilvl w:val="0"/>
          <w:numId w:val="12"/>
        </w:numPr>
        <w:spacing w:after="120" w:line="220" w:lineRule="exact"/>
        <w:ind w:left="0" w:hanging="851"/>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szCs w:val="20"/>
        </w:rPr>
        <w:t>K</w:t>
      </w:r>
      <w:r w:rsidR="00AF624B" w:rsidRPr="00FB38E1">
        <w:rPr>
          <w:rFonts w:ascii="Microsoft Sans Serif" w:hAnsi="Microsoft Sans Serif" w:cs="Microsoft Sans Serif"/>
          <w:b/>
          <w:szCs w:val="20"/>
        </w:rPr>
        <w:t>aldıraç</w:t>
      </w:r>
      <w:r w:rsidR="002D425D" w:rsidRPr="00FB38E1">
        <w:rPr>
          <w:rFonts w:ascii="Microsoft Sans Serif" w:hAnsi="Microsoft Sans Serif" w:cs="Microsoft Sans Serif"/>
          <w:b/>
          <w:szCs w:val="20"/>
        </w:rPr>
        <w:t xml:space="preserve"> oranına ilişkin açıklamalar</w:t>
      </w:r>
    </w:p>
    <w:p w14:paraId="4747FE07" w14:textId="2816CFD9" w:rsidR="002D425D" w:rsidRPr="00FB38E1" w:rsidRDefault="002D425D" w:rsidP="00693782">
      <w:pPr>
        <w:pStyle w:val="ListParagraph"/>
        <w:spacing w:before="120" w:after="120" w:line="240" w:lineRule="exact"/>
        <w:ind w:left="0"/>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Cari dönem ve önceki dönem kaldıraç oranı arasındaki farka sebe</w:t>
      </w:r>
      <w:r w:rsidR="00204133" w:rsidRPr="00FB38E1">
        <w:rPr>
          <w:rFonts w:ascii="Microsoft Sans Serif" w:hAnsi="Microsoft Sans Serif" w:cs="Microsoft Sans Serif"/>
          <w:b/>
          <w:sz w:val="20"/>
          <w:szCs w:val="20"/>
        </w:rPr>
        <w:t>p</w:t>
      </w:r>
      <w:r w:rsidRPr="00FB38E1">
        <w:rPr>
          <w:rFonts w:ascii="Microsoft Sans Serif" w:hAnsi="Microsoft Sans Serif" w:cs="Microsoft Sans Serif"/>
          <w:b/>
          <w:sz w:val="20"/>
          <w:szCs w:val="20"/>
        </w:rPr>
        <w:t xml:space="preserve"> olan hususlara ilişkin bilgi</w:t>
      </w:r>
    </w:p>
    <w:p w14:paraId="2FE932C1" w14:textId="6FDF7982" w:rsidR="002D425D" w:rsidRPr="00FB38E1" w:rsidRDefault="005D38C8" w:rsidP="00036E7D">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Banka’nın </w:t>
      </w:r>
      <w:r w:rsidR="00AD2A6F" w:rsidRPr="00FB38E1">
        <w:rPr>
          <w:rFonts w:ascii="Microsoft Sans Serif" w:hAnsi="Microsoft Sans Serif" w:cs="Microsoft Sans Serif"/>
          <w:color w:val="404040" w:themeColor="text1" w:themeTint="BF"/>
          <w:sz w:val="20"/>
          <w:szCs w:val="20"/>
        </w:rPr>
        <w:t xml:space="preserve">31 Aralık 2024 </w:t>
      </w:r>
      <w:r w:rsidR="008F60E7" w:rsidRPr="00FB38E1">
        <w:rPr>
          <w:rFonts w:ascii="Microsoft Sans Serif" w:hAnsi="Microsoft Sans Serif" w:cs="Microsoft Sans Serif"/>
          <w:color w:val="404040" w:themeColor="text1" w:themeTint="BF"/>
          <w:sz w:val="20"/>
          <w:szCs w:val="20"/>
        </w:rPr>
        <w:t>itibarıyla üç aylık ortalama tutardan hesaplanan kaldıraç oranı %</w:t>
      </w:r>
      <w:r w:rsidR="002B0C6A" w:rsidRPr="00FB38E1">
        <w:rPr>
          <w:rFonts w:ascii="Microsoft Sans Serif" w:hAnsi="Microsoft Sans Serif" w:cs="Microsoft Sans Serif"/>
          <w:color w:val="404040" w:themeColor="text1" w:themeTint="BF"/>
          <w:sz w:val="20"/>
          <w:szCs w:val="20"/>
        </w:rPr>
        <w:t>6,</w:t>
      </w:r>
      <w:r w:rsidR="003022BF" w:rsidRPr="00FB38E1">
        <w:rPr>
          <w:rFonts w:ascii="Microsoft Sans Serif" w:hAnsi="Microsoft Sans Serif" w:cs="Microsoft Sans Serif"/>
          <w:color w:val="404040" w:themeColor="text1" w:themeTint="BF"/>
          <w:sz w:val="20"/>
          <w:szCs w:val="20"/>
        </w:rPr>
        <w:t>74</w:t>
      </w:r>
      <w:r w:rsidR="002B0C6A" w:rsidRPr="00FB38E1">
        <w:rPr>
          <w:rFonts w:ascii="Microsoft Sans Serif" w:hAnsi="Microsoft Sans Serif" w:cs="Microsoft Sans Serif"/>
          <w:color w:val="404040" w:themeColor="text1" w:themeTint="BF"/>
          <w:sz w:val="20"/>
          <w:szCs w:val="20"/>
        </w:rPr>
        <w:t>’</w:t>
      </w:r>
      <w:r w:rsidR="00CE3F4D" w:rsidRPr="00FB38E1">
        <w:rPr>
          <w:rFonts w:ascii="Microsoft Sans Serif" w:hAnsi="Microsoft Sans Serif" w:cs="Microsoft Sans Serif"/>
          <w:color w:val="404040" w:themeColor="text1" w:themeTint="BF"/>
          <w:sz w:val="20"/>
          <w:szCs w:val="20"/>
        </w:rPr>
        <w:t>t</w:t>
      </w:r>
      <w:r w:rsidR="003022BF" w:rsidRPr="00FB38E1">
        <w:rPr>
          <w:rFonts w:ascii="Microsoft Sans Serif" w:hAnsi="Microsoft Sans Serif" w:cs="Microsoft Sans Serif"/>
          <w:color w:val="404040" w:themeColor="text1" w:themeTint="BF"/>
          <w:sz w:val="20"/>
          <w:szCs w:val="20"/>
        </w:rPr>
        <w:t>ü</w:t>
      </w:r>
      <w:r w:rsidR="00295AC9" w:rsidRPr="00FB38E1">
        <w:rPr>
          <w:rFonts w:ascii="Microsoft Sans Serif" w:hAnsi="Microsoft Sans Serif" w:cs="Microsoft Sans Serif"/>
          <w:color w:val="404040" w:themeColor="text1" w:themeTint="BF"/>
          <w:sz w:val="20"/>
          <w:szCs w:val="20"/>
        </w:rPr>
        <w:t>r</w:t>
      </w:r>
      <w:r w:rsidR="008F60E7" w:rsidRPr="00FB38E1">
        <w:rPr>
          <w:rFonts w:ascii="Microsoft Sans Serif" w:hAnsi="Microsoft Sans Serif" w:cs="Microsoft Sans Serif"/>
          <w:color w:val="404040" w:themeColor="text1" w:themeTint="BF"/>
          <w:sz w:val="20"/>
          <w:szCs w:val="20"/>
        </w:rPr>
        <w:t xml:space="preserve">. </w:t>
      </w:r>
      <w:r w:rsidR="00C86C60" w:rsidRPr="00FB38E1">
        <w:rPr>
          <w:rFonts w:ascii="Microsoft Sans Serif" w:hAnsi="Microsoft Sans Serif" w:cs="Microsoft Sans Serif"/>
          <w:color w:val="404040" w:themeColor="text1" w:themeTint="BF"/>
          <w:sz w:val="20"/>
          <w:szCs w:val="20"/>
        </w:rPr>
        <w:br/>
      </w:r>
      <w:r w:rsidR="003E4A94" w:rsidRPr="00FB38E1">
        <w:rPr>
          <w:rFonts w:ascii="Microsoft Sans Serif" w:hAnsi="Microsoft Sans Serif" w:cs="Microsoft Sans Serif"/>
          <w:color w:val="404040" w:themeColor="text1" w:themeTint="BF"/>
          <w:sz w:val="20"/>
          <w:szCs w:val="20"/>
        </w:rPr>
        <w:t>(31 Aralık 202</w:t>
      </w:r>
      <w:r w:rsidR="00AF624B" w:rsidRPr="00FB38E1">
        <w:rPr>
          <w:rFonts w:ascii="Microsoft Sans Serif" w:hAnsi="Microsoft Sans Serif" w:cs="Microsoft Sans Serif"/>
          <w:color w:val="404040" w:themeColor="text1" w:themeTint="BF"/>
          <w:sz w:val="20"/>
          <w:szCs w:val="20"/>
        </w:rPr>
        <w:t>3: %5,60</w:t>
      </w:r>
      <w:r w:rsidR="001C1785" w:rsidRPr="00FB38E1">
        <w:rPr>
          <w:rFonts w:ascii="Microsoft Sans Serif" w:hAnsi="Microsoft Sans Serif" w:cs="Microsoft Sans Serif"/>
          <w:color w:val="404040" w:themeColor="text1" w:themeTint="BF"/>
          <w:sz w:val="20"/>
          <w:szCs w:val="20"/>
        </w:rPr>
        <w:t xml:space="preserve">). </w:t>
      </w:r>
      <w:r w:rsidR="008F60E7" w:rsidRPr="00FB38E1">
        <w:rPr>
          <w:rFonts w:ascii="Microsoft Sans Serif" w:hAnsi="Microsoft Sans Serif" w:cs="Microsoft Sans Serif"/>
          <w:color w:val="404040" w:themeColor="text1" w:themeTint="BF"/>
          <w:sz w:val="20"/>
          <w:szCs w:val="20"/>
        </w:rPr>
        <w:t>Bu oran asgari oranın üzerindedir. Cari dönem ile önceki dönem kaldıraç oranı arasındaki farkın en önemli nedeni bilanço içi varlıklardaki artıştır</w:t>
      </w:r>
      <w:r w:rsidR="002D425D" w:rsidRPr="00FB38E1">
        <w:rPr>
          <w:rFonts w:ascii="Microsoft Sans Serif" w:hAnsi="Microsoft Sans Serif" w:cs="Microsoft Sans Serif"/>
          <w:color w:val="404040" w:themeColor="text1" w:themeTint="BF"/>
          <w:sz w:val="20"/>
          <w:szCs w:val="20"/>
        </w:rPr>
        <w:t>.</w:t>
      </w:r>
    </w:p>
    <w:p w14:paraId="204CD248" w14:textId="0E307B45" w:rsidR="002D425D" w:rsidRPr="00FB38E1" w:rsidRDefault="002D425D" w:rsidP="0074365D">
      <w:pPr>
        <w:pStyle w:val="ListParagraph"/>
        <w:spacing w:before="100" w:after="100" w:line="220" w:lineRule="exact"/>
        <w:ind w:left="0"/>
        <w:contextualSpacing w:val="0"/>
        <w:rPr>
          <w:rFonts w:ascii="Microsoft Sans Serif" w:hAnsi="Microsoft Sans Serif" w:cs="Microsoft Sans Serif"/>
          <w:b/>
          <w:sz w:val="20"/>
          <w:szCs w:val="20"/>
        </w:rPr>
      </w:pPr>
      <w:bookmarkStart w:id="32" w:name="OLE_LINK1"/>
      <w:r w:rsidRPr="00FB38E1">
        <w:rPr>
          <w:rFonts w:ascii="Microsoft Sans Serif" w:hAnsi="Microsoft Sans Serif" w:cs="Microsoft Sans Serif"/>
          <w:b/>
          <w:sz w:val="20"/>
          <w:szCs w:val="20"/>
        </w:rPr>
        <w:t>Kaldıraç oranı kamuya açıklama şablonu</w:t>
      </w:r>
    </w:p>
    <w:bookmarkEnd w:id="32"/>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91"/>
        <w:gridCol w:w="6657"/>
        <w:gridCol w:w="1417"/>
        <w:gridCol w:w="1274"/>
      </w:tblGrid>
      <w:tr w:rsidR="00A87DC2" w:rsidRPr="00FB38E1" w14:paraId="300CAAE0" w14:textId="77777777" w:rsidTr="00715500">
        <w:trPr>
          <w:trHeight w:val="20"/>
        </w:trPr>
        <w:tc>
          <w:tcPr>
            <w:tcW w:w="151" w:type="pct"/>
            <w:tcBorders>
              <w:top w:val="thinThickSmallGap" w:sz="24" w:space="0" w:color="auto"/>
              <w:bottom w:val="single" w:sz="4" w:space="0" w:color="auto"/>
            </w:tcBorders>
            <w:vAlign w:val="bottom"/>
          </w:tcPr>
          <w:p w14:paraId="3E2BE887" w14:textId="77777777" w:rsidR="00A87DC2" w:rsidRPr="00FB38E1" w:rsidRDefault="00A87DC2" w:rsidP="00152A12">
            <w:pPr>
              <w:jc w:val="right"/>
              <w:rPr>
                <w:rFonts w:ascii="Microsoft Sans Serif" w:hAnsi="Microsoft Sans Serif" w:cs="Microsoft Sans Serif"/>
                <w:color w:val="000000"/>
                <w:sz w:val="14"/>
                <w:szCs w:val="14"/>
              </w:rPr>
            </w:pPr>
          </w:p>
        </w:tc>
        <w:tc>
          <w:tcPr>
            <w:tcW w:w="3453" w:type="pct"/>
            <w:tcBorders>
              <w:top w:val="thinThickSmallGap" w:sz="24" w:space="0" w:color="auto"/>
              <w:bottom w:val="single" w:sz="4" w:space="0" w:color="auto"/>
            </w:tcBorders>
            <w:vAlign w:val="bottom"/>
          </w:tcPr>
          <w:p w14:paraId="35844AC0" w14:textId="77777777" w:rsidR="00A87DC2" w:rsidRPr="00FB38E1" w:rsidRDefault="00A87DC2" w:rsidP="00152A12">
            <w:pPr>
              <w:jc w:val="right"/>
              <w:rPr>
                <w:rFonts w:ascii="Microsoft Sans Serif" w:hAnsi="Microsoft Sans Serif" w:cs="Microsoft Sans Serif"/>
                <w:color w:val="000000"/>
                <w:sz w:val="14"/>
                <w:szCs w:val="14"/>
              </w:rPr>
            </w:pPr>
          </w:p>
        </w:tc>
        <w:tc>
          <w:tcPr>
            <w:tcW w:w="735" w:type="pct"/>
            <w:tcBorders>
              <w:top w:val="thinThickSmallGap" w:sz="24" w:space="0" w:color="auto"/>
              <w:bottom w:val="single" w:sz="4" w:space="0" w:color="auto"/>
            </w:tcBorders>
            <w:vAlign w:val="bottom"/>
          </w:tcPr>
          <w:p w14:paraId="08E05C32" w14:textId="5034772F" w:rsidR="00A87DC2" w:rsidRPr="00FB38E1" w:rsidRDefault="00152A12" w:rsidP="00152A1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xml:space="preserve">Cari </w:t>
            </w:r>
            <w:r w:rsidR="00A87DC2" w:rsidRPr="00FB38E1">
              <w:rPr>
                <w:rFonts w:ascii="Microsoft Sans Serif" w:hAnsi="Microsoft Sans Serif" w:cs="Microsoft Sans Serif"/>
                <w:b/>
                <w:bCs/>
                <w:color w:val="000000"/>
                <w:sz w:val="14"/>
                <w:szCs w:val="14"/>
              </w:rPr>
              <w:t>Dönem (*)</w:t>
            </w:r>
          </w:p>
        </w:tc>
        <w:tc>
          <w:tcPr>
            <w:tcW w:w="661" w:type="pct"/>
            <w:tcBorders>
              <w:top w:val="thinThickSmallGap" w:sz="24" w:space="0" w:color="auto"/>
              <w:bottom w:val="single" w:sz="4" w:space="0" w:color="auto"/>
            </w:tcBorders>
            <w:vAlign w:val="bottom"/>
          </w:tcPr>
          <w:p w14:paraId="0B623AC8" w14:textId="000F4C21" w:rsidR="00A87DC2" w:rsidRPr="00FB38E1" w:rsidRDefault="00152A12" w:rsidP="00152A1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xml:space="preserve">Önceki </w:t>
            </w:r>
            <w:r w:rsidR="00A87DC2" w:rsidRPr="00FB38E1">
              <w:rPr>
                <w:rFonts w:ascii="Microsoft Sans Serif" w:hAnsi="Microsoft Sans Serif" w:cs="Microsoft Sans Serif"/>
                <w:b/>
                <w:bCs/>
                <w:color w:val="000000"/>
                <w:sz w:val="14"/>
                <w:szCs w:val="14"/>
              </w:rPr>
              <w:t>Dönem (*)</w:t>
            </w:r>
          </w:p>
        </w:tc>
      </w:tr>
      <w:tr w:rsidR="00A87DC2" w:rsidRPr="00FB38E1" w14:paraId="764A99D3" w14:textId="77777777" w:rsidTr="00715500">
        <w:trPr>
          <w:trHeight w:val="20"/>
        </w:trPr>
        <w:tc>
          <w:tcPr>
            <w:tcW w:w="151" w:type="pct"/>
            <w:tcBorders>
              <w:top w:val="single" w:sz="4" w:space="0" w:color="auto"/>
            </w:tcBorders>
            <w:vAlign w:val="bottom"/>
          </w:tcPr>
          <w:p w14:paraId="710414EF" w14:textId="77777777" w:rsidR="00A87DC2" w:rsidRPr="00FB38E1" w:rsidRDefault="00A87DC2">
            <w:pPr>
              <w:rPr>
                <w:rFonts w:ascii="Microsoft Sans Serif" w:hAnsi="Microsoft Sans Serif" w:cs="Microsoft Sans Serif"/>
                <w:color w:val="000000"/>
                <w:sz w:val="14"/>
                <w:szCs w:val="14"/>
              </w:rPr>
            </w:pPr>
          </w:p>
        </w:tc>
        <w:tc>
          <w:tcPr>
            <w:tcW w:w="3453" w:type="pct"/>
            <w:tcBorders>
              <w:top w:val="single" w:sz="4" w:space="0" w:color="auto"/>
            </w:tcBorders>
            <w:vAlign w:val="bottom"/>
          </w:tcPr>
          <w:p w14:paraId="44A4128E" w14:textId="77777777" w:rsidR="00A87DC2" w:rsidRPr="00FB38E1" w:rsidRDefault="00A87DC2">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Bilanço içi varlıklar</w:t>
            </w:r>
          </w:p>
        </w:tc>
        <w:tc>
          <w:tcPr>
            <w:tcW w:w="735" w:type="pct"/>
            <w:tcBorders>
              <w:top w:val="single" w:sz="4" w:space="0" w:color="auto"/>
            </w:tcBorders>
            <w:vAlign w:val="bottom"/>
          </w:tcPr>
          <w:p w14:paraId="2EA20799" w14:textId="77777777" w:rsidR="00A87DC2" w:rsidRPr="00FB38E1" w:rsidRDefault="00A87DC2" w:rsidP="00A87DC2">
            <w:pPr>
              <w:jc w:val="right"/>
              <w:rPr>
                <w:rFonts w:ascii="Microsoft Sans Serif" w:hAnsi="Microsoft Sans Serif" w:cs="Microsoft Sans Serif"/>
                <w:color w:val="000000"/>
                <w:sz w:val="14"/>
                <w:szCs w:val="14"/>
              </w:rPr>
            </w:pPr>
          </w:p>
        </w:tc>
        <w:tc>
          <w:tcPr>
            <w:tcW w:w="661" w:type="pct"/>
            <w:tcBorders>
              <w:top w:val="single" w:sz="4" w:space="0" w:color="auto"/>
            </w:tcBorders>
            <w:vAlign w:val="bottom"/>
          </w:tcPr>
          <w:p w14:paraId="6568A3A1" w14:textId="223D8EF5" w:rsidR="00A87DC2" w:rsidRPr="00FB38E1" w:rsidRDefault="00A87DC2" w:rsidP="00A87DC2">
            <w:pPr>
              <w:jc w:val="right"/>
              <w:rPr>
                <w:rFonts w:ascii="Microsoft Sans Serif" w:hAnsi="Microsoft Sans Serif" w:cs="Microsoft Sans Serif"/>
                <w:color w:val="000000"/>
                <w:sz w:val="14"/>
                <w:szCs w:val="14"/>
              </w:rPr>
            </w:pPr>
          </w:p>
        </w:tc>
      </w:tr>
      <w:tr w:rsidR="003022BF" w:rsidRPr="00FB38E1" w14:paraId="2F7BC7EB" w14:textId="77777777" w:rsidTr="00715500">
        <w:trPr>
          <w:trHeight w:val="20"/>
        </w:trPr>
        <w:tc>
          <w:tcPr>
            <w:tcW w:w="151" w:type="pct"/>
            <w:vAlign w:val="bottom"/>
          </w:tcPr>
          <w:p w14:paraId="26FC27B8"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3453" w:type="pct"/>
            <w:vAlign w:val="bottom"/>
          </w:tcPr>
          <w:p w14:paraId="328C7F42"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Bilanço içi varlıklar (türev finansal araçlar ile kredi türevleri hariç, teminatlar dahil)</w:t>
            </w:r>
          </w:p>
        </w:tc>
        <w:tc>
          <w:tcPr>
            <w:tcW w:w="735" w:type="pct"/>
            <w:vAlign w:val="bottom"/>
          </w:tcPr>
          <w:p w14:paraId="3C480810" w14:textId="45C10F37"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1.316.111.542</w:t>
            </w:r>
          </w:p>
        </w:tc>
        <w:tc>
          <w:tcPr>
            <w:tcW w:w="661" w:type="pct"/>
            <w:tcBorders>
              <w:top w:val="nil"/>
              <w:left w:val="nil"/>
              <w:bottom w:val="nil"/>
              <w:right w:val="nil"/>
            </w:tcBorders>
            <w:shd w:val="clear" w:color="auto" w:fill="auto"/>
            <w:vAlign w:val="center"/>
          </w:tcPr>
          <w:p w14:paraId="52FAD068" w14:textId="75D1169B"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918.336.836</w:t>
            </w:r>
          </w:p>
        </w:tc>
      </w:tr>
      <w:tr w:rsidR="003022BF" w:rsidRPr="00FB38E1" w14:paraId="4C3DDE21" w14:textId="77777777" w:rsidTr="00715500">
        <w:trPr>
          <w:trHeight w:val="20"/>
        </w:trPr>
        <w:tc>
          <w:tcPr>
            <w:tcW w:w="151" w:type="pct"/>
            <w:tcBorders>
              <w:bottom w:val="nil"/>
            </w:tcBorders>
            <w:vAlign w:val="bottom"/>
          </w:tcPr>
          <w:p w14:paraId="3AB14B6D"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3453" w:type="pct"/>
            <w:tcBorders>
              <w:bottom w:val="nil"/>
            </w:tcBorders>
            <w:vAlign w:val="bottom"/>
          </w:tcPr>
          <w:p w14:paraId="3EA77242"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(Ana sermayeden indirilen varlıklar)</w:t>
            </w:r>
          </w:p>
        </w:tc>
        <w:tc>
          <w:tcPr>
            <w:tcW w:w="735" w:type="pct"/>
            <w:tcBorders>
              <w:bottom w:val="nil"/>
            </w:tcBorders>
            <w:vAlign w:val="bottom"/>
          </w:tcPr>
          <w:p w14:paraId="2B581C2C" w14:textId="10AB0EAE"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(4.888.026)</w:t>
            </w:r>
          </w:p>
        </w:tc>
        <w:tc>
          <w:tcPr>
            <w:tcW w:w="661" w:type="pct"/>
            <w:tcBorders>
              <w:top w:val="nil"/>
              <w:left w:val="nil"/>
              <w:bottom w:val="nil"/>
              <w:right w:val="nil"/>
            </w:tcBorders>
            <w:shd w:val="clear" w:color="auto" w:fill="auto"/>
            <w:vAlign w:val="center"/>
          </w:tcPr>
          <w:p w14:paraId="38D729C4" w14:textId="51374C3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-2.357.797</w:t>
            </w:r>
          </w:p>
        </w:tc>
      </w:tr>
      <w:tr w:rsidR="003022BF" w:rsidRPr="00FB38E1" w14:paraId="583DEA71" w14:textId="77777777" w:rsidTr="00715500">
        <w:trPr>
          <w:trHeight w:val="20"/>
        </w:trPr>
        <w:tc>
          <w:tcPr>
            <w:tcW w:w="151" w:type="pct"/>
            <w:tcBorders>
              <w:top w:val="nil"/>
              <w:bottom w:val="single" w:sz="4" w:space="0" w:color="auto"/>
            </w:tcBorders>
            <w:vAlign w:val="bottom"/>
          </w:tcPr>
          <w:p w14:paraId="7C7F6FF3"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3453" w:type="pct"/>
            <w:tcBorders>
              <w:top w:val="nil"/>
              <w:bottom w:val="single" w:sz="4" w:space="0" w:color="auto"/>
            </w:tcBorders>
            <w:vAlign w:val="bottom"/>
          </w:tcPr>
          <w:p w14:paraId="3FF6C6EC"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Bilanço içi varlıklara ilişkin toplam risk tutarı (1 ve 2 nci satırların toplamı)</w:t>
            </w:r>
          </w:p>
        </w:tc>
        <w:tc>
          <w:tcPr>
            <w:tcW w:w="735" w:type="pct"/>
            <w:tcBorders>
              <w:top w:val="nil"/>
              <w:bottom w:val="single" w:sz="4" w:space="0" w:color="auto"/>
            </w:tcBorders>
            <w:vAlign w:val="bottom"/>
          </w:tcPr>
          <w:p w14:paraId="4AA352EE" w14:textId="0CAC6D7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1.311.223.516</w:t>
            </w:r>
          </w:p>
        </w:tc>
        <w:tc>
          <w:tcPr>
            <w:tcW w:w="661" w:type="pct"/>
            <w:tcBorders>
              <w:top w:val="nil"/>
              <w:left w:val="nil"/>
              <w:bottom w:val="single" w:sz="4" w:space="0" w:color="auto"/>
              <w:right w:val="nil"/>
            </w:tcBorders>
            <w:shd w:val="clear" w:color="auto" w:fill="auto"/>
            <w:vAlign w:val="center"/>
          </w:tcPr>
          <w:p w14:paraId="793A1922" w14:textId="43B96CEE"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915.979.039</w:t>
            </w:r>
          </w:p>
        </w:tc>
      </w:tr>
      <w:tr w:rsidR="003022BF" w:rsidRPr="00FB38E1" w14:paraId="65A37E3A" w14:textId="77777777" w:rsidTr="00715500">
        <w:trPr>
          <w:trHeight w:val="20"/>
        </w:trPr>
        <w:tc>
          <w:tcPr>
            <w:tcW w:w="151" w:type="pct"/>
            <w:tcBorders>
              <w:top w:val="single" w:sz="4" w:space="0" w:color="auto"/>
              <w:bottom w:val="nil"/>
            </w:tcBorders>
            <w:vAlign w:val="bottom"/>
          </w:tcPr>
          <w:p w14:paraId="5A57CDD0" w14:textId="77777777" w:rsidR="003022BF" w:rsidRPr="00FB38E1" w:rsidRDefault="003022BF" w:rsidP="003022BF">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757F7974" w14:textId="77777777" w:rsidR="003022BF" w:rsidRPr="00FB38E1" w:rsidRDefault="003022BF" w:rsidP="003022BF">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Türev finansal araçlar ile kredi türevleri</w:t>
            </w:r>
          </w:p>
        </w:tc>
        <w:tc>
          <w:tcPr>
            <w:tcW w:w="735" w:type="pct"/>
            <w:tcBorders>
              <w:top w:val="single" w:sz="4" w:space="0" w:color="auto"/>
              <w:bottom w:val="nil"/>
            </w:tcBorders>
            <w:vAlign w:val="bottom"/>
          </w:tcPr>
          <w:p w14:paraId="0C912094" w14:textId="77777777" w:rsidR="003022BF" w:rsidRPr="00FB38E1" w:rsidRDefault="003022BF" w:rsidP="003022BF">
            <w:pPr>
              <w:jc w:val="right"/>
              <w:rPr>
                <w:rFonts w:ascii="Microsoft Sans Serif" w:hAnsi="Microsoft Sans Serif" w:cs="Microsoft Sans Serif"/>
                <w:color w:val="404040"/>
                <w:sz w:val="14"/>
                <w:szCs w:val="14"/>
              </w:rPr>
            </w:pPr>
          </w:p>
        </w:tc>
        <w:tc>
          <w:tcPr>
            <w:tcW w:w="661" w:type="pct"/>
            <w:tcBorders>
              <w:top w:val="single" w:sz="4" w:space="0" w:color="auto"/>
              <w:left w:val="nil"/>
              <w:bottom w:val="nil"/>
              <w:right w:val="nil"/>
            </w:tcBorders>
            <w:shd w:val="clear" w:color="auto" w:fill="auto"/>
            <w:vAlign w:val="center"/>
          </w:tcPr>
          <w:p w14:paraId="36634FA0" w14:textId="3B94B669"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3022BF" w:rsidRPr="00FB38E1" w14:paraId="08BBEC8C" w14:textId="77777777" w:rsidTr="00715500">
        <w:trPr>
          <w:trHeight w:val="20"/>
        </w:trPr>
        <w:tc>
          <w:tcPr>
            <w:tcW w:w="151" w:type="pct"/>
            <w:tcBorders>
              <w:top w:val="nil"/>
            </w:tcBorders>
            <w:vAlign w:val="bottom"/>
          </w:tcPr>
          <w:p w14:paraId="4C2E6B6F"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4</w:t>
            </w:r>
          </w:p>
        </w:tc>
        <w:tc>
          <w:tcPr>
            <w:tcW w:w="3453" w:type="pct"/>
            <w:tcBorders>
              <w:top w:val="nil"/>
            </w:tcBorders>
            <w:vAlign w:val="bottom"/>
          </w:tcPr>
          <w:p w14:paraId="2BDC5E89"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Türev finansal araçlar ile kredi türevlerinin yenileme maliyeti</w:t>
            </w:r>
          </w:p>
        </w:tc>
        <w:tc>
          <w:tcPr>
            <w:tcW w:w="735" w:type="pct"/>
            <w:tcBorders>
              <w:top w:val="nil"/>
            </w:tcBorders>
            <w:vAlign w:val="bottom"/>
          </w:tcPr>
          <w:p w14:paraId="05A6059D" w14:textId="76C43461"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10.325.855</w:t>
            </w:r>
          </w:p>
        </w:tc>
        <w:tc>
          <w:tcPr>
            <w:tcW w:w="661" w:type="pct"/>
            <w:tcBorders>
              <w:top w:val="nil"/>
              <w:left w:val="nil"/>
              <w:bottom w:val="nil"/>
              <w:right w:val="nil"/>
            </w:tcBorders>
            <w:shd w:val="clear" w:color="auto" w:fill="auto"/>
            <w:vAlign w:val="center"/>
          </w:tcPr>
          <w:p w14:paraId="4023861C" w14:textId="1B553BDB"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9.828.604</w:t>
            </w:r>
          </w:p>
        </w:tc>
      </w:tr>
      <w:tr w:rsidR="003022BF" w:rsidRPr="00FB38E1" w14:paraId="0079EED2" w14:textId="77777777" w:rsidTr="00715500">
        <w:trPr>
          <w:trHeight w:val="20"/>
        </w:trPr>
        <w:tc>
          <w:tcPr>
            <w:tcW w:w="151" w:type="pct"/>
            <w:tcBorders>
              <w:bottom w:val="nil"/>
            </w:tcBorders>
            <w:vAlign w:val="bottom"/>
          </w:tcPr>
          <w:p w14:paraId="2C6E7D98"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5</w:t>
            </w:r>
          </w:p>
        </w:tc>
        <w:tc>
          <w:tcPr>
            <w:tcW w:w="3453" w:type="pct"/>
            <w:tcBorders>
              <w:bottom w:val="nil"/>
            </w:tcBorders>
            <w:vAlign w:val="bottom"/>
          </w:tcPr>
          <w:p w14:paraId="25D4F5AE"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Türev finansal araçlar ile kredi türevlerinin potansiyel kredi risk tutarı</w:t>
            </w:r>
          </w:p>
        </w:tc>
        <w:tc>
          <w:tcPr>
            <w:tcW w:w="735" w:type="pct"/>
            <w:tcBorders>
              <w:bottom w:val="nil"/>
            </w:tcBorders>
            <w:vAlign w:val="bottom"/>
          </w:tcPr>
          <w:p w14:paraId="15AB1E59" w14:textId="71CE2F3F"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4.455.454</w:t>
            </w:r>
          </w:p>
        </w:tc>
        <w:tc>
          <w:tcPr>
            <w:tcW w:w="661" w:type="pct"/>
            <w:tcBorders>
              <w:top w:val="nil"/>
              <w:left w:val="nil"/>
              <w:bottom w:val="nil"/>
              <w:right w:val="nil"/>
            </w:tcBorders>
            <w:shd w:val="clear" w:color="auto" w:fill="auto"/>
            <w:vAlign w:val="center"/>
          </w:tcPr>
          <w:p w14:paraId="75E1D64B" w14:textId="06B72F8A"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3.798.020</w:t>
            </w:r>
          </w:p>
        </w:tc>
      </w:tr>
      <w:tr w:rsidR="003022BF" w:rsidRPr="00FB38E1" w14:paraId="1E21FA66" w14:textId="77777777" w:rsidTr="00715500">
        <w:trPr>
          <w:trHeight w:val="20"/>
        </w:trPr>
        <w:tc>
          <w:tcPr>
            <w:tcW w:w="151" w:type="pct"/>
            <w:tcBorders>
              <w:top w:val="nil"/>
              <w:bottom w:val="single" w:sz="4" w:space="0" w:color="auto"/>
            </w:tcBorders>
            <w:vAlign w:val="bottom"/>
          </w:tcPr>
          <w:p w14:paraId="60CB9985"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6</w:t>
            </w:r>
          </w:p>
        </w:tc>
        <w:tc>
          <w:tcPr>
            <w:tcW w:w="3453" w:type="pct"/>
            <w:tcBorders>
              <w:top w:val="nil"/>
              <w:bottom w:val="single" w:sz="4" w:space="0" w:color="auto"/>
            </w:tcBorders>
            <w:vAlign w:val="bottom"/>
          </w:tcPr>
          <w:p w14:paraId="7DCD7C19"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Türev finansal araçlar ile kredi türevlerine ilişkin toplam risk tutarı (4 ve 5 nci satırların toplamı)</w:t>
            </w:r>
          </w:p>
        </w:tc>
        <w:tc>
          <w:tcPr>
            <w:tcW w:w="735" w:type="pct"/>
            <w:tcBorders>
              <w:top w:val="nil"/>
              <w:bottom w:val="single" w:sz="4" w:space="0" w:color="auto"/>
            </w:tcBorders>
            <w:vAlign w:val="bottom"/>
          </w:tcPr>
          <w:p w14:paraId="0E070C63" w14:textId="677A0761"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14.781.309</w:t>
            </w:r>
          </w:p>
        </w:tc>
        <w:tc>
          <w:tcPr>
            <w:tcW w:w="661" w:type="pct"/>
            <w:tcBorders>
              <w:top w:val="nil"/>
              <w:left w:val="nil"/>
              <w:bottom w:val="single" w:sz="4" w:space="0" w:color="auto"/>
              <w:right w:val="nil"/>
            </w:tcBorders>
            <w:shd w:val="clear" w:color="auto" w:fill="auto"/>
            <w:vAlign w:val="center"/>
          </w:tcPr>
          <w:p w14:paraId="4F1ECF41" w14:textId="58BF0B3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13.626.624</w:t>
            </w:r>
          </w:p>
        </w:tc>
      </w:tr>
      <w:tr w:rsidR="003022BF" w:rsidRPr="00FB38E1" w14:paraId="4532DD0E" w14:textId="77777777" w:rsidTr="00715500">
        <w:trPr>
          <w:trHeight w:val="20"/>
        </w:trPr>
        <w:tc>
          <w:tcPr>
            <w:tcW w:w="151" w:type="pct"/>
            <w:tcBorders>
              <w:top w:val="single" w:sz="4" w:space="0" w:color="auto"/>
              <w:bottom w:val="nil"/>
            </w:tcBorders>
            <w:vAlign w:val="bottom"/>
          </w:tcPr>
          <w:p w14:paraId="188FD6ED" w14:textId="77777777" w:rsidR="003022BF" w:rsidRPr="00FB38E1" w:rsidRDefault="003022BF" w:rsidP="003022BF">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6134FA98" w14:textId="77777777" w:rsidR="003022BF" w:rsidRPr="00FB38E1" w:rsidRDefault="003022BF" w:rsidP="003022BF">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Menkul kıymet veya emtia teminatlı finansman işlemleri</w:t>
            </w:r>
          </w:p>
        </w:tc>
        <w:tc>
          <w:tcPr>
            <w:tcW w:w="735" w:type="pct"/>
            <w:tcBorders>
              <w:top w:val="single" w:sz="4" w:space="0" w:color="auto"/>
              <w:bottom w:val="nil"/>
            </w:tcBorders>
            <w:vAlign w:val="bottom"/>
          </w:tcPr>
          <w:p w14:paraId="38B310E0" w14:textId="77777777" w:rsidR="003022BF" w:rsidRPr="00FB38E1" w:rsidRDefault="003022BF" w:rsidP="003022BF">
            <w:pPr>
              <w:jc w:val="right"/>
              <w:rPr>
                <w:rFonts w:ascii="Microsoft Sans Serif" w:hAnsi="Microsoft Sans Serif" w:cs="Microsoft Sans Serif"/>
                <w:color w:val="404040"/>
                <w:sz w:val="14"/>
                <w:szCs w:val="14"/>
              </w:rPr>
            </w:pPr>
          </w:p>
        </w:tc>
        <w:tc>
          <w:tcPr>
            <w:tcW w:w="661" w:type="pct"/>
            <w:tcBorders>
              <w:top w:val="single" w:sz="4" w:space="0" w:color="auto"/>
              <w:left w:val="nil"/>
              <w:bottom w:val="nil"/>
              <w:right w:val="nil"/>
            </w:tcBorders>
            <w:shd w:val="clear" w:color="auto" w:fill="auto"/>
            <w:vAlign w:val="center"/>
          </w:tcPr>
          <w:p w14:paraId="487E7169" w14:textId="341D935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3022BF" w:rsidRPr="00FB38E1" w14:paraId="4CF86254" w14:textId="77777777" w:rsidTr="00715500">
        <w:trPr>
          <w:trHeight w:val="20"/>
        </w:trPr>
        <w:tc>
          <w:tcPr>
            <w:tcW w:w="151" w:type="pct"/>
            <w:tcBorders>
              <w:top w:val="nil"/>
            </w:tcBorders>
            <w:vAlign w:val="bottom"/>
          </w:tcPr>
          <w:p w14:paraId="4B574E6F"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7</w:t>
            </w:r>
          </w:p>
        </w:tc>
        <w:tc>
          <w:tcPr>
            <w:tcW w:w="3453" w:type="pct"/>
            <w:tcBorders>
              <w:top w:val="nil"/>
            </w:tcBorders>
            <w:vAlign w:val="bottom"/>
          </w:tcPr>
          <w:p w14:paraId="6F68C4D3"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Menkul kıymet veya emtia teminatlı finansman işlemlerinin risk tutarı (Bilanço içi hariç)</w:t>
            </w:r>
          </w:p>
        </w:tc>
        <w:tc>
          <w:tcPr>
            <w:tcW w:w="735" w:type="pct"/>
            <w:tcBorders>
              <w:top w:val="nil"/>
            </w:tcBorders>
            <w:vAlign w:val="bottom"/>
          </w:tcPr>
          <w:p w14:paraId="04869250" w14:textId="16E841D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38.270.540</w:t>
            </w:r>
          </w:p>
        </w:tc>
        <w:tc>
          <w:tcPr>
            <w:tcW w:w="661" w:type="pct"/>
            <w:tcBorders>
              <w:top w:val="nil"/>
              <w:left w:val="nil"/>
              <w:bottom w:val="nil"/>
              <w:right w:val="nil"/>
            </w:tcBorders>
            <w:shd w:val="clear" w:color="auto" w:fill="auto"/>
            <w:vAlign w:val="center"/>
          </w:tcPr>
          <w:p w14:paraId="2153BDF4" w14:textId="4AB4B94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24.321.489</w:t>
            </w:r>
          </w:p>
        </w:tc>
      </w:tr>
      <w:tr w:rsidR="003022BF" w:rsidRPr="00FB38E1" w14:paraId="264C98D4" w14:textId="77777777" w:rsidTr="00715500">
        <w:trPr>
          <w:trHeight w:val="20"/>
        </w:trPr>
        <w:tc>
          <w:tcPr>
            <w:tcW w:w="151" w:type="pct"/>
            <w:tcBorders>
              <w:bottom w:val="nil"/>
            </w:tcBorders>
            <w:vAlign w:val="bottom"/>
          </w:tcPr>
          <w:p w14:paraId="6FE1094E"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8</w:t>
            </w:r>
          </w:p>
        </w:tc>
        <w:tc>
          <w:tcPr>
            <w:tcW w:w="3453" w:type="pct"/>
            <w:tcBorders>
              <w:bottom w:val="nil"/>
            </w:tcBorders>
            <w:vAlign w:val="bottom"/>
          </w:tcPr>
          <w:p w14:paraId="272ED88B"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Aracılık edilen işlemlerden kaynaklı risk tutarı</w:t>
            </w:r>
          </w:p>
        </w:tc>
        <w:tc>
          <w:tcPr>
            <w:tcW w:w="735" w:type="pct"/>
            <w:tcBorders>
              <w:bottom w:val="nil"/>
            </w:tcBorders>
            <w:vAlign w:val="bottom"/>
          </w:tcPr>
          <w:p w14:paraId="747DBCDA" w14:textId="15EA62DB" w:rsidR="003022BF" w:rsidRPr="00FB38E1" w:rsidRDefault="003022BF" w:rsidP="003022BF">
            <w:pPr>
              <w:jc w:val="right"/>
              <w:rPr>
                <w:rFonts w:ascii="Microsoft Sans Serif" w:hAnsi="Microsoft Sans Serif" w:cs="Microsoft Sans Serif"/>
                <w:color w:val="404040"/>
                <w:sz w:val="14"/>
                <w:szCs w:val="14"/>
              </w:rPr>
            </w:pPr>
          </w:p>
        </w:tc>
        <w:tc>
          <w:tcPr>
            <w:tcW w:w="661" w:type="pct"/>
            <w:tcBorders>
              <w:top w:val="nil"/>
              <w:left w:val="nil"/>
              <w:bottom w:val="nil"/>
              <w:right w:val="nil"/>
            </w:tcBorders>
            <w:shd w:val="clear" w:color="auto" w:fill="auto"/>
            <w:vAlign w:val="center"/>
          </w:tcPr>
          <w:p w14:paraId="4B3612DA" w14:textId="12357466"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3022BF" w:rsidRPr="00FB38E1" w14:paraId="76EB13D2" w14:textId="77777777" w:rsidTr="00715500">
        <w:trPr>
          <w:trHeight w:val="20"/>
        </w:trPr>
        <w:tc>
          <w:tcPr>
            <w:tcW w:w="151" w:type="pct"/>
            <w:tcBorders>
              <w:top w:val="nil"/>
              <w:bottom w:val="single" w:sz="4" w:space="0" w:color="auto"/>
            </w:tcBorders>
          </w:tcPr>
          <w:p w14:paraId="638FB6A2"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9</w:t>
            </w:r>
          </w:p>
        </w:tc>
        <w:tc>
          <w:tcPr>
            <w:tcW w:w="3453" w:type="pct"/>
            <w:tcBorders>
              <w:top w:val="nil"/>
              <w:bottom w:val="single" w:sz="4" w:space="0" w:color="auto"/>
            </w:tcBorders>
            <w:vAlign w:val="bottom"/>
          </w:tcPr>
          <w:p w14:paraId="1B5E58D8"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Menkul kıymet veya emtia teminatlı finansman işlemlerine ilişkin toplam risk tutarı (7 ve 8 inci satırların toplamı)</w:t>
            </w:r>
          </w:p>
        </w:tc>
        <w:tc>
          <w:tcPr>
            <w:tcW w:w="735" w:type="pct"/>
            <w:tcBorders>
              <w:top w:val="nil"/>
              <w:bottom w:val="single" w:sz="4" w:space="0" w:color="auto"/>
            </w:tcBorders>
            <w:vAlign w:val="bottom"/>
          </w:tcPr>
          <w:p w14:paraId="4E387138" w14:textId="02986C30"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38.270.540</w:t>
            </w:r>
          </w:p>
        </w:tc>
        <w:tc>
          <w:tcPr>
            <w:tcW w:w="661" w:type="pct"/>
            <w:tcBorders>
              <w:top w:val="nil"/>
              <w:left w:val="nil"/>
              <w:bottom w:val="single" w:sz="4" w:space="0" w:color="auto"/>
              <w:right w:val="nil"/>
            </w:tcBorders>
            <w:shd w:val="clear" w:color="auto" w:fill="auto"/>
            <w:vAlign w:val="center"/>
          </w:tcPr>
          <w:p w14:paraId="0D8310D7" w14:textId="7B38E35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24.321.489</w:t>
            </w:r>
          </w:p>
        </w:tc>
      </w:tr>
      <w:tr w:rsidR="003022BF" w:rsidRPr="00FB38E1" w14:paraId="2450F8C2" w14:textId="77777777" w:rsidTr="00715500">
        <w:trPr>
          <w:trHeight w:val="20"/>
        </w:trPr>
        <w:tc>
          <w:tcPr>
            <w:tcW w:w="151" w:type="pct"/>
            <w:tcBorders>
              <w:top w:val="single" w:sz="4" w:space="0" w:color="auto"/>
              <w:bottom w:val="nil"/>
            </w:tcBorders>
            <w:vAlign w:val="bottom"/>
          </w:tcPr>
          <w:p w14:paraId="3364500F" w14:textId="77777777" w:rsidR="003022BF" w:rsidRPr="00FB38E1" w:rsidRDefault="003022BF" w:rsidP="003022BF">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2A60112A" w14:textId="77777777" w:rsidR="003022BF" w:rsidRPr="00FB38E1" w:rsidRDefault="003022BF" w:rsidP="003022BF">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Bilanço dışı işlemler</w:t>
            </w:r>
          </w:p>
        </w:tc>
        <w:tc>
          <w:tcPr>
            <w:tcW w:w="735" w:type="pct"/>
            <w:tcBorders>
              <w:top w:val="single" w:sz="4" w:space="0" w:color="auto"/>
              <w:bottom w:val="nil"/>
            </w:tcBorders>
            <w:vAlign w:val="bottom"/>
          </w:tcPr>
          <w:p w14:paraId="7D69BF7E" w14:textId="77777777" w:rsidR="003022BF" w:rsidRPr="00FB38E1" w:rsidRDefault="003022BF" w:rsidP="003022BF">
            <w:pPr>
              <w:jc w:val="right"/>
              <w:rPr>
                <w:rFonts w:ascii="Microsoft Sans Serif" w:hAnsi="Microsoft Sans Serif" w:cs="Microsoft Sans Serif"/>
                <w:color w:val="404040"/>
                <w:sz w:val="14"/>
                <w:szCs w:val="14"/>
              </w:rPr>
            </w:pPr>
          </w:p>
        </w:tc>
        <w:tc>
          <w:tcPr>
            <w:tcW w:w="661" w:type="pct"/>
            <w:tcBorders>
              <w:top w:val="single" w:sz="4" w:space="0" w:color="auto"/>
              <w:left w:val="nil"/>
              <w:bottom w:val="nil"/>
              <w:right w:val="nil"/>
            </w:tcBorders>
            <w:shd w:val="clear" w:color="auto" w:fill="auto"/>
            <w:vAlign w:val="center"/>
          </w:tcPr>
          <w:p w14:paraId="427F3733" w14:textId="5075E8C7"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3022BF" w:rsidRPr="00FB38E1" w14:paraId="633C2F70" w14:textId="77777777" w:rsidTr="00715500">
        <w:trPr>
          <w:trHeight w:val="20"/>
        </w:trPr>
        <w:tc>
          <w:tcPr>
            <w:tcW w:w="151" w:type="pct"/>
            <w:tcBorders>
              <w:top w:val="nil"/>
            </w:tcBorders>
            <w:vAlign w:val="bottom"/>
          </w:tcPr>
          <w:p w14:paraId="5163E54B"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10</w:t>
            </w:r>
          </w:p>
        </w:tc>
        <w:tc>
          <w:tcPr>
            <w:tcW w:w="3453" w:type="pct"/>
            <w:tcBorders>
              <w:top w:val="nil"/>
            </w:tcBorders>
            <w:vAlign w:val="bottom"/>
          </w:tcPr>
          <w:p w14:paraId="00605EA5"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Bilanço dışı işlemlerin nominal tutarı</w:t>
            </w:r>
          </w:p>
        </w:tc>
        <w:tc>
          <w:tcPr>
            <w:tcW w:w="735" w:type="pct"/>
            <w:tcBorders>
              <w:top w:val="nil"/>
            </w:tcBorders>
            <w:vAlign w:val="bottom"/>
          </w:tcPr>
          <w:p w14:paraId="3CCF55A3" w14:textId="0C510FAD"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711.951.990</w:t>
            </w:r>
          </w:p>
        </w:tc>
        <w:tc>
          <w:tcPr>
            <w:tcW w:w="661" w:type="pct"/>
            <w:tcBorders>
              <w:top w:val="nil"/>
              <w:left w:val="nil"/>
              <w:bottom w:val="nil"/>
              <w:right w:val="nil"/>
            </w:tcBorders>
            <w:shd w:val="clear" w:color="auto" w:fill="auto"/>
            <w:vAlign w:val="center"/>
          </w:tcPr>
          <w:p w14:paraId="0C1B7EBE" w14:textId="5B64083A"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486.188.020</w:t>
            </w:r>
          </w:p>
        </w:tc>
      </w:tr>
      <w:tr w:rsidR="003022BF" w:rsidRPr="00FB38E1" w14:paraId="0C6A841B" w14:textId="77777777" w:rsidTr="00715500">
        <w:trPr>
          <w:trHeight w:val="20"/>
        </w:trPr>
        <w:tc>
          <w:tcPr>
            <w:tcW w:w="151" w:type="pct"/>
            <w:tcBorders>
              <w:bottom w:val="nil"/>
            </w:tcBorders>
            <w:vAlign w:val="bottom"/>
          </w:tcPr>
          <w:p w14:paraId="16F4C7ED"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11</w:t>
            </w:r>
          </w:p>
        </w:tc>
        <w:tc>
          <w:tcPr>
            <w:tcW w:w="3453" w:type="pct"/>
            <w:tcBorders>
              <w:bottom w:val="nil"/>
            </w:tcBorders>
            <w:vAlign w:val="bottom"/>
          </w:tcPr>
          <w:p w14:paraId="47A67E01"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(Krediye dönüştürme oranlarıyla çarpımından kaynaklanan düzeltme tutarı)</w:t>
            </w:r>
          </w:p>
        </w:tc>
        <w:tc>
          <w:tcPr>
            <w:tcW w:w="735" w:type="pct"/>
            <w:tcBorders>
              <w:bottom w:val="nil"/>
            </w:tcBorders>
            <w:vAlign w:val="bottom"/>
          </w:tcPr>
          <w:p w14:paraId="3D607F3B" w14:textId="676E3646"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(503)</w:t>
            </w:r>
          </w:p>
        </w:tc>
        <w:tc>
          <w:tcPr>
            <w:tcW w:w="661" w:type="pct"/>
            <w:tcBorders>
              <w:top w:val="nil"/>
              <w:left w:val="nil"/>
              <w:bottom w:val="nil"/>
              <w:right w:val="nil"/>
            </w:tcBorders>
            <w:shd w:val="clear" w:color="auto" w:fill="auto"/>
            <w:vAlign w:val="center"/>
          </w:tcPr>
          <w:p w14:paraId="593CBAF6" w14:textId="6D5C20F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-503</w:t>
            </w:r>
          </w:p>
        </w:tc>
      </w:tr>
      <w:tr w:rsidR="003022BF" w:rsidRPr="00FB38E1" w14:paraId="4E2D9319" w14:textId="77777777" w:rsidTr="00715500">
        <w:trPr>
          <w:trHeight w:val="20"/>
        </w:trPr>
        <w:tc>
          <w:tcPr>
            <w:tcW w:w="151" w:type="pct"/>
            <w:tcBorders>
              <w:top w:val="nil"/>
              <w:bottom w:val="single" w:sz="4" w:space="0" w:color="auto"/>
            </w:tcBorders>
            <w:vAlign w:val="bottom"/>
          </w:tcPr>
          <w:p w14:paraId="6D5ABC33"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12</w:t>
            </w:r>
          </w:p>
        </w:tc>
        <w:tc>
          <w:tcPr>
            <w:tcW w:w="3453" w:type="pct"/>
            <w:tcBorders>
              <w:top w:val="nil"/>
              <w:bottom w:val="single" w:sz="4" w:space="0" w:color="auto"/>
            </w:tcBorders>
            <w:vAlign w:val="bottom"/>
          </w:tcPr>
          <w:p w14:paraId="4CF2D9CD"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Bilanço dışı işlemlere ilişkin tplam risk tutarı (10 ve 11 inci satırların toplamı)</w:t>
            </w:r>
          </w:p>
        </w:tc>
        <w:tc>
          <w:tcPr>
            <w:tcW w:w="735" w:type="pct"/>
            <w:tcBorders>
              <w:top w:val="nil"/>
              <w:bottom w:val="single" w:sz="4" w:space="0" w:color="auto"/>
            </w:tcBorders>
            <w:vAlign w:val="bottom"/>
          </w:tcPr>
          <w:p w14:paraId="5872225C" w14:textId="47CDDF2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711.951.487</w:t>
            </w:r>
          </w:p>
        </w:tc>
        <w:tc>
          <w:tcPr>
            <w:tcW w:w="661" w:type="pct"/>
            <w:tcBorders>
              <w:top w:val="nil"/>
              <w:left w:val="nil"/>
              <w:bottom w:val="single" w:sz="4" w:space="0" w:color="auto"/>
              <w:right w:val="nil"/>
            </w:tcBorders>
            <w:shd w:val="clear" w:color="auto" w:fill="auto"/>
            <w:vAlign w:val="center"/>
          </w:tcPr>
          <w:p w14:paraId="1B9A6F42" w14:textId="2650AEBA"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486.187.517</w:t>
            </w:r>
          </w:p>
        </w:tc>
      </w:tr>
      <w:tr w:rsidR="003022BF" w:rsidRPr="00FB38E1" w14:paraId="4FF9F0D1" w14:textId="77777777" w:rsidTr="00715500">
        <w:trPr>
          <w:trHeight w:val="20"/>
        </w:trPr>
        <w:tc>
          <w:tcPr>
            <w:tcW w:w="151" w:type="pct"/>
            <w:tcBorders>
              <w:top w:val="single" w:sz="4" w:space="0" w:color="auto"/>
              <w:bottom w:val="nil"/>
            </w:tcBorders>
            <w:vAlign w:val="bottom"/>
          </w:tcPr>
          <w:p w14:paraId="4570F5A8" w14:textId="77777777" w:rsidR="003022BF" w:rsidRPr="00FB38E1" w:rsidRDefault="003022BF" w:rsidP="003022BF">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198D0420" w14:textId="77777777" w:rsidR="003022BF" w:rsidRPr="00FB38E1" w:rsidRDefault="003022BF" w:rsidP="003022BF">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Sermaye ve toplam risk</w:t>
            </w:r>
          </w:p>
        </w:tc>
        <w:tc>
          <w:tcPr>
            <w:tcW w:w="735" w:type="pct"/>
            <w:tcBorders>
              <w:top w:val="single" w:sz="4" w:space="0" w:color="auto"/>
              <w:bottom w:val="nil"/>
            </w:tcBorders>
            <w:vAlign w:val="bottom"/>
          </w:tcPr>
          <w:p w14:paraId="7E7E190A" w14:textId="77777777" w:rsidR="003022BF" w:rsidRPr="00FB38E1" w:rsidRDefault="003022BF" w:rsidP="003022BF">
            <w:pPr>
              <w:jc w:val="right"/>
              <w:rPr>
                <w:rFonts w:ascii="Microsoft Sans Serif" w:hAnsi="Microsoft Sans Serif" w:cs="Microsoft Sans Serif"/>
                <w:color w:val="404040"/>
                <w:sz w:val="14"/>
                <w:szCs w:val="14"/>
              </w:rPr>
            </w:pPr>
          </w:p>
        </w:tc>
        <w:tc>
          <w:tcPr>
            <w:tcW w:w="661" w:type="pct"/>
            <w:tcBorders>
              <w:top w:val="single" w:sz="4" w:space="0" w:color="auto"/>
              <w:left w:val="nil"/>
              <w:bottom w:val="nil"/>
              <w:right w:val="nil"/>
            </w:tcBorders>
            <w:shd w:val="clear" w:color="auto" w:fill="auto"/>
            <w:vAlign w:val="center"/>
          </w:tcPr>
          <w:p w14:paraId="51E40E26" w14:textId="004BDAB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3022BF" w:rsidRPr="00FB38E1" w14:paraId="79C5DDA6" w14:textId="77777777" w:rsidTr="00715500">
        <w:trPr>
          <w:trHeight w:val="20"/>
        </w:trPr>
        <w:tc>
          <w:tcPr>
            <w:tcW w:w="151" w:type="pct"/>
            <w:tcBorders>
              <w:top w:val="nil"/>
              <w:bottom w:val="nil"/>
            </w:tcBorders>
            <w:vAlign w:val="bottom"/>
          </w:tcPr>
          <w:p w14:paraId="4298644F"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13</w:t>
            </w:r>
          </w:p>
        </w:tc>
        <w:tc>
          <w:tcPr>
            <w:tcW w:w="3453" w:type="pct"/>
            <w:tcBorders>
              <w:top w:val="nil"/>
              <w:bottom w:val="nil"/>
            </w:tcBorders>
            <w:vAlign w:val="bottom"/>
          </w:tcPr>
          <w:p w14:paraId="6B4CF121"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Ana sermaye</w:t>
            </w:r>
          </w:p>
        </w:tc>
        <w:tc>
          <w:tcPr>
            <w:tcW w:w="735" w:type="pct"/>
            <w:tcBorders>
              <w:top w:val="nil"/>
              <w:bottom w:val="nil"/>
            </w:tcBorders>
            <w:vAlign w:val="bottom"/>
          </w:tcPr>
          <w:p w14:paraId="23AE0AED" w14:textId="5AD49E9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139.853.597</w:t>
            </w:r>
          </w:p>
        </w:tc>
        <w:tc>
          <w:tcPr>
            <w:tcW w:w="661" w:type="pct"/>
            <w:tcBorders>
              <w:top w:val="nil"/>
              <w:left w:val="nil"/>
              <w:bottom w:val="nil"/>
              <w:right w:val="nil"/>
            </w:tcBorders>
            <w:shd w:val="clear" w:color="auto" w:fill="auto"/>
            <w:vAlign w:val="center"/>
          </w:tcPr>
          <w:p w14:paraId="01CB754E" w14:textId="4208979E"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79.497.233</w:t>
            </w:r>
          </w:p>
        </w:tc>
      </w:tr>
      <w:tr w:rsidR="003022BF" w:rsidRPr="00FB38E1" w14:paraId="0130BF96" w14:textId="77777777" w:rsidTr="00715500">
        <w:trPr>
          <w:trHeight w:val="20"/>
        </w:trPr>
        <w:tc>
          <w:tcPr>
            <w:tcW w:w="151" w:type="pct"/>
            <w:tcBorders>
              <w:top w:val="nil"/>
              <w:bottom w:val="single" w:sz="4" w:space="0" w:color="auto"/>
            </w:tcBorders>
            <w:vAlign w:val="bottom"/>
          </w:tcPr>
          <w:p w14:paraId="36D525C3"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14</w:t>
            </w:r>
          </w:p>
        </w:tc>
        <w:tc>
          <w:tcPr>
            <w:tcW w:w="3453" w:type="pct"/>
            <w:tcBorders>
              <w:top w:val="nil"/>
              <w:bottom w:val="single" w:sz="4" w:space="0" w:color="auto"/>
            </w:tcBorders>
            <w:vAlign w:val="bottom"/>
          </w:tcPr>
          <w:p w14:paraId="2A167871"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Toplam risk tutarı (3,6,9 ve 12. satırların toplamı)</w:t>
            </w:r>
          </w:p>
        </w:tc>
        <w:tc>
          <w:tcPr>
            <w:tcW w:w="735" w:type="pct"/>
            <w:tcBorders>
              <w:top w:val="nil"/>
              <w:bottom w:val="single" w:sz="4" w:space="0" w:color="auto"/>
            </w:tcBorders>
            <w:vAlign w:val="bottom"/>
          </w:tcPr>
          <w:p w14:paraId="1E50E61D" w14:textId="50592036"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2.076.226.852</w:t>
            </w:r>
          </w:p>
        </w:tc>
        <w:tc>
          <w:tcPr>
            <w:tcW w:w="661" w:type="pct"/>
            <w:tcBorders>
              <w:top w:val="nil"/>
              <w:left w:val="nil"/>
              <w:bottom w:val="single" w:sz="4" w:space="0" w:color="auto"/>
              <w:right w:val="nil"/>
            </w:tcBorders>
            <w:shd w:val="clear" w:color="auto" w:fill="auto"/>
            <w:vAlign w:val="center"/>
          </w:tcPr>
          <w:p w14:paraId="3B174F48" w14:textId="733E9E3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1.440.114.669</w:t>
            </w:r>
          </w:p>
        </w:tc>
      </w:tr>
      <w:tr w:rsidR="003022BF" w:rsidRPr="00FB38E1" w14:paraId="60730873" w14:textId="77777777" w:rsidTr="00715500">
        <w:trPr>
          <w:trHeight w:val="20"/>
        </w:trPr>
        <w:tc>
          <w:tcPr>
            <w:tcW w:w="151" w:type="pct"/>
            <w:tcBorders>
              <w:top w:val="single" w:sz="4" w:space="0" w:color="auto"/>
              <w:bottom w:val="nil"/>
            </w:tcBorders>
            <w:vAlign w:val="bottom"/>
          </w:tcPr>
          <w:p w14:paraId="4632A067" w14:textId="77777777" w:rsidR="003022BF" w:rsidRPr="00FB38E1" w:rsidRDefault="003022BF" w:rsidP="003022BF">
            <w:pPr>
              <w:rPr>
                <w:rFonts w:ascii="Microsoft Sans Serif" w:hAnsi="Microsoft Sans Serif" w:cs="Microsoft Sans Serif"/>
                <w:color w:val="000000"/>
                <w:sz w:val="14"/>
                <w:szCs w:val="14"/>
              </w:rPr>
            </w:pPr>
          </w:p>
        </w:tc>
        <w:tc>
          <w:tcPr>
            <w:tcW w:w="3453" w:type="pct"/>
            <w:tcBorders>
              <w:top w:val="single" w:sz="4" w:space="0" w:color="auto"/>
              <w:bottom w:val="nil"/>
            </w:tcBorders>
            <w:vAlign w:val="bottom"/>
          </w:tcPr>
          <w:p w14:paraId="1F407121" w14:textId="77777777" w:rsidR="003022BF" w:rsidRPr="00FB38E1" w:rsidRDefault="003022BF" w:rsidP="003022BF">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Kaldıraç oranı</w:t>
            </w:r>
          </w:p>
        </w:tc>
        <w:tc>
          <w:tcPr>
            <w:tcW w:w="735" w:type="pct"/>
            <w:tcBorders>
              <w:top w:val="single" w:sz="4" w:space="0" w:color="auto"/>
              <w:bottom w:val="nil"/>
            </w:tcBorders>
            <w:vAlign w:val="bottom"/>
          </w:tcPr>
          <w:p w14:paraId="1DEB2221" w14:textId="77777777" w:rsidR="003022BF" w:rsidRPr="00FB38E1" w:rsidRDefault="003022BF" w:rsidP="003022BF">
            <w:pPr>
              <w:jc w:val="right"/>
              <w:rPr>
                <w:rFonts w:ascii="Microsoft Sans Serif" w:hAnsi="Microsoft Sans Serif" w:cs="Microsoft Sans Serif"/>
                <w:color w:val="404040"/>
                <w:sz w:val="14"/>
                <w:szCs w:val="14"/>
              </w:rPr>
            </w:pPr>
          </w:p>
        </w:tc>
        <w:tc>
          <w:tcPr>
            <w:tcW w:w="661" w:type="pct"/>
            <w:tcBorders>
              <w:top w:val="single" w:sz="4" w:space="0" w:color="auto"/>
              <w:bottom w:val="nil"/>
            </w:tcBorders>
            <w:vAlign w:val="center"/>
          </w:tcPr>
          <w:p w14:paraId="0640B889" w14:textId="4447FD8B"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r>
      <w:tr w:rsidR="003022BF" w:rsidRPr="00FB38E1" w14:paraId="6C08EFAD" w14:textId="77777777" w:rsidTr="00715500">
        <w:trPr>
          <w:trHeight w:val="20"/>
        </w:trPr>
        <w:tc>
          <w:tcPr>
            <w:tcW w:w="151" w:type="pct"/>
            <w:tcBorders>
              <w:top w:val="nil"/>
            </w:tcBorders>
            <w:vAlign w:val="bottom"/>
          </w:tcPr>
          <w:p w14:paraId="38181080"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15</w:t>
            </w:r>
          </w:p>
        </w:tc>
        <w:tc>
          <w:tcPr>
            <w:tcW w:w="3453" w:type="pct"/>
            <w:tcBorders>
              <w:top w:val="nil"/>
            </w:tcBorders>
            <w:vAlign w:val="bottom"/>
          </w:tcPr>
          <w:p w14:paraId="0E3DC77C"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Kaldıraç oranı</w:t>
            </w:r>
          </w:p>
        </w:tc>
        <w:tc>
          <w:tcPr>
            <w:tcW w:w="735" w:type="pct"/>
            <w:tcBorders>
              <w:top w:val="nil"/>
            </w:tcBorders>
            <w:vAlign w:val="bottom"/>
          </w:tcPr>
          <w:p w14:paraId="04471830" w14:textId="512DFAC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6,74</w:t>
            </w:r>
          </w:p>
        </w:tc>
        <w:tc>
          <w:tcPr>
            <w:tcW w:w="661" w:type="pct"/>
            <w:tcBorders>
              <w:top w:val="nil"/>
            </w:tcBorders>
            <w:vAlign w:val="center"/>
          </w:tcPr>
          <w:p w14:paraId="731A905F" w14:textId="0D0E8DB4"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5,60</w:t>
            </w:r>
          </w:p>
        </w:tc>
      </w:tr>
    </w:tbl>
    <w:p w14:paraId="485A1990" w14:textId="1840AFD7" w:rsidR="00413E63" w:rsidRPr="00FB38E1" w:rsidRDefault="00CF4FFB" w:rsidP="007A4534">
      <w:pPr>
        <w:pStyle w:val="ListParagraph"/>
        <w:spacing w:before="120" w:after="120"/>
        <w:ind w:left="284" w:hanging="284"/>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w:t>
      </w:r>
      <w:r w:rsidR="00A64840" w:rsidRPr="00FB38E1">
        <w:rPr>
          <w:rFonts w:ascii="Microsoft Sans Serif" w:hAnsi="Microsoft Sans Serif" w:cs="Microsoft Sans Serif"/>
          <w:color w:val="404040" w:themeColor="text1" w:themeTint="BF"/>
          <w:sz w:val="14"/>
          <w:szCs w:val="14"/>
        </w:rPr>
        <w:tab/>
      </w:r>
      <w:r w:rsidRPr="00FB38E1">
        <w:rPr>
          <w:rFonts w:ascii="Microsoft Sans Serif" w:hAnsi="Microsoft Sans Serif" w:cs="Microsoft Sans Serif"/>
          <w:color w:val="404040" w:themeColor="text1" w:themeTint="BF"/>
          <w:sz w:val="14"/>
          <w:szCs w:val="14"/>
        </w:rPr>
        <w:tab/>
        <w:t>Üç aylık ortalama tutarlardır.</w:t>
      </w:r>
    </w:p>
    <w:p w14:paraId="63AF4A17" w14:textId="6E6983B6" w:rsidR="002E57C0" w:rsidRPr="00FB38E1" w:rsidRDefault="002E57C0" w:rsidP="008D6249">
      <w:pPr>
        <w:pStyle w:val="ListParagraph"/>
        <w:numPr>
          <w:ilvl w:val="0"/>
          <w:numId w:val="12"/>
        </w:numPr>
        <w:spacing w:before="120" w:after="120" w:line="240" w:lineRule="exact"/>
        <w:ind w:left="0" w:hanging="851"/>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szCs w:val="20"/>
        </w:rPr>
        <w:t>Risk yönetimine ilişkin açıklamalar</w:t>
      </w:r>
    </w:p>
    <w:p w14:paraId="673407A3" w14:textId="74E636E2" w:rsidR="00ED08E2" w:rsidRPr="00FB38E1" w:rsidRDefault="002E57C0" w:rsidP="00AF624B">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23 Ekim 2015 tarihinde 29511 sayılı Resmi Gazete'de yayımlanan ve 3</w:t>
      </w:r>
      <w:r w:rsidR="008713C1" w:rsidRPr="00FB38E1">
        <w:rPr>
          <w:rFonts w:ascii="Microsoft Sans Serif" w:hAnsi="Microsoft Sans Serif" w:cs="Microsoft Sans Serif"/>
          <w:color w:val="404040" w:themeColor="text1" w:themeTint="BF"/>
          <w:sz w:val="20"/>
          <w:szCs w:val="20"/>
        </w:rPr>
        <w:t>1</w:t>
      </w:r>
      <w:r w:rsidRPr="00FB38E1">
        <w:rPr>
          <w:rFonts w:ascii="Microsoft Sans Serif" w:hAnsi="Microsoft Sans Serif" w:cs="Microsoft Sans Serif"/>
          <w:color w:val="404040" w:themeColor="text1" w:themeTint="BF"/>
          <w:sz w:val="20"/>
          <w:szCs w:val="20"/>
        </w:rPr>
        <w:t xml:space="preserve"> </w:t>
      </w:r>
      <w:r w:rsidR="008713C1" w:rsidRPr="00FB38E1">
        <w:rPr>
          <w:rFonts w:ascii="Microsoft Sans Serif" w:hAnsi="Microsoft Sans Serif" w:cs="Microsoft Sans Serif"/>
          <w:color w:val="404040" w:themeColor="text1" w:themeTint="BF"/>
          <w:sz w:val="20"/>
          <w:szCs w:val="20"/>
        </w:rPr>
        <w:t>Mart</w:t>
      </w:r>
      <w:r w:rsidRPr="00FB38E1">
        <w:rPr>
          <w:rFonts w:ascii="Microsoft Sans Serif" w:hAnsi="Microsoft Sans Serif" w:cs="Microsoft Sans Serif"/>
          <w:color w:val="404040" w:themeColor="text1" w:themeTint="BF"/>
          <w:sz w:val="20"/>
          <w:szCs w:val="20"/>
        </w:rPr>
        <w:t xml:space="preserve"> 2016 tarihi itibarıyla yürürlüğe giren Bankalarca </w:t>
      </w:r>
      <w:r w:rsidR="00DB2309" w:rsidRPr="00FB38E1">
        <w:rPr>
          <w:rFonts w:ascii="Microsoft Sans Serif" w:hAnsi="Microsoft Sans Serif" w:cs="Microsoft Sans Serif"/>
          <w:color w:val="404040" w:themeColor="text1" w:themeTint="BF"/>
          <w:sz w:val="20"/>
          <w:szCs w:val="20"/>
        </w:rPr>
        <w:t>“</w:t>
      </w:r>
      <w:r w:rsidRPr="00FB38E1">
        <w:rPr>
          <w:rFonts w:ascii="Microsoft Sans Serif" w:hAnsi="Microsoft Sans Serif" w:cs="Microsoft Sans Serif"/>
          <w:color w:val="404040" w:themeColor="text1" w:themeTint="BF"/>
          <w:sz w:val="20"/>
          <w:szCs w:val="20"/>
        </w:rPr>
        <w:t>Risk Yönetimine İlişkin Kamuya Yapılacak Açıklamalar Hakkında Tebliğ” uyarınca hazırlanan dipnotlar ve ilgili açıklamalar bu bölümde verilmektedir.</w:t>
      </w:r>
      <w:r w:rsidR="00A36482" w:rsidRPr="00FB38E1">
        <w:rPr>
          <w:rFonts w:ascii="Microsoft Sans Serif" w:hAnsi="Microsoft Sans Serif" w:cs="Microsoft Sans Serif"/>
          <w:color w:val="404040" w:themeColor="text1" w:themeTint="BF"/>
          <w:sz w:val="20"/>
          <w:szCs w:val="20"/>
        </w:rPr>
        <w:t xml:space="preserve"> </w:t>
      </w:r>
      <w:r w:rsidRPr="00FB38E1">
        <w:rPr>
          <w:rFonts w:ascii="Microsoft Sans Serif" w:hAnsi="Microsoft Sans Serif" w:cs="Microsoft Sans Serif"/>
          <w:color w:val="404040" w:themeColor="text1" w:themeTint="BF"/>
          <w:sz w:val="20"/>
          <w:szCs w:val="20"/>
        </w:rPr>
        <w:t>Banka’nın sermaye yeterliliği hesaplamasında standart yaklaşı</w:t>
      </w:r>
      <w:r w:rsidR="00EC4F8E" w:rsidRPr="00FB38E1">
        <w:rPr>
          <w:rFonts w:ascii="Microsoft Sans Serif" w:hAnsi="Microsoft Sans Serif" w:cs="Microsoft Sans Serif"/>
          <w:color w:val="404040" w:themeColor="text1" w:themeTint="BF"/>
          <w:sz w:val="20"/>
          <w:szCs w:val="20"/>
        </w:rPr>
        <w:t xml:space="preserve">m kullanıldığından, </w:t>
      </w:r>
      <w:r w:rsidR="00A36482" w:rsidRPr="00FB38E1">
        <w:rPr>
          <w:rFonts w:ascii="Microsoft Sans Serif" w:hAnsi="Microsoft Sans Serif" w:cs="Microsoft Sans Serif"/>
          <w:color w:val="404040" w:themeColor="text1" w:themeTint="BF"/>
          <w:sz w:val="20"/>
          <w:szCs w:val="20"/>
        </w:rPr>
        <w:t xml:space="preserve">İçsel Derecelendirmeye Dayalı Yaklaşım (İDD) kapsamında hazırlanması gereken tablolar </w:t>
      </w:r>
      <w:r w:rsidR="00AD2A6F" w:rsidRPr="00FB38E1">
        <w:rPr>
          <w:rFonts w:ascii="Microsoft Sans Serif" w:hAnsi="Microsoft Sans Serif" w:cs="Microsoft Sans Serif"/>
          <w:color w:val="404040" w:themeColor="text1" w:themeTint="BF"/>
          <w:sz w:val="20"/>
          <w:szCs w:val="20"/>
        </w:rPr>
        <w:t xml:space="preserve">31 Aralık 2024 </w:t>
      </w:r>
      <w:r w:rsidRPr="00FB38E1">
        <w:rPr>
          <w:rFonts w:ascii="Microsoft Sans Serif" w:hAnsi="Microsoft Sans Serif" w:cs="Microsoft Sans Serif"/>
          <w:color w:val="404040" w:themeColor="text1" w:themeTint="BF"/>
          <w:sz w:val="20"/>
          <w:szCs w:val="20"/>
        </w:rPr>
        <w:t>tarihi itibarıyla sunulmamıştır</w:t>
      </w:r>
      <w:r w:rsidR="00B66083" w:rsidRPr="00FB38E1">
        <w:rPr>
          <w:rFonts w:ascii="Microsoft Sans Serif" w:hAnsi="Microsoft Sans Serif" w:cs="Microsoft Sans Serif"/>
          <w:color w:val="404040" w:themeColor="text1" w:themeTint="BF"/>
          <w:sz w:val="20"/>
          <w:szCs w:val="20"/>
        </w:rPr>
        <w:t>.</w:t>
      </w:r>
      <w:r w:rsidR="00A054DB" w:rsidRPr="00FB38E1">
        <w:rPr>
          <w:rFonts w:ascii="Microsoft Sans Serif" w:hAnsi="Microsoft Sans Serif" w:cs="Microsoft Sans Serif"/>
          <w:color w:val="404040" w:themeColor="text1" w:themeTint="BF"/>
          <w:sz w:val="20"/>
          <w:szCs w:val="20"/>
        </w:rPr>
        <w:t>Risk yönetimi açıklamaları, Yönetim Kurulu tarafından kabul edilen iç kontrol süreci ile uyumlu olacak şekilde hazırlanmıştır.</w:t>
      </w:r>
      <w:bookmarkStart w:id="33" w:name="OLE_LINK3"/>
    </w:p>
    <w:p w14:paraId="0DEE34CC" w14:textId="5E37FCA7" w:rsidR="006179CF" w:rsidRPr="00FB38E1" w:rsidRDefault="006179CF" w:rsidP="008D6249">
      <w:pPr>
        <w:pStyle w:val="ListParagraph"/>
        <w:numPr>
          <w:ilvl w:val="0"/>
          <w:numId w:val="44"/>
        </w:numPr>
        <w:spacing w:before="120" w:after="120" w:line="220" w:lineRule="exact"/>
        <w:ind w:left="0" w:hanging="567"/>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b/>
          <w:sz w:val="20"/>
          <w:szCs w:val="20"/>
        </w:rPr>
        <w:t>Risk yönetimi yaklaşımı ve risk ağırlıklı tutarlar</w:t>
      </w:r>
    </w:p>
    <w:p w14:paraId="6B76B9A3" w14:textId="77777777" w:rsidR="00431596" w:rsidRPr="00FB38E1" w:rsidRDefault="00431596" w:rsidP="00431596">
      <w:pPr>
        <w:pStyle w:val="ListParagraph"/>
        <w:numPr>
          <w:ilvl w:val="3"/>
          <w:numId w:val="44"/>
        </w:numPr>
        <w:spacing w:before="240" w:after="120" w:line="220" w:lineRule="exact"/>
        <w:ind w:left="141" w:hanging="425"/>
        <w:contextualSpacing w:val="0"/>
        <w:rPr>
          <w:rFonts w:ascii="Microsoft Sans Serif" w:eastAsia="Arial Unicode MS" w:hAnsi="Microsoft Sans Serif" w:cs="Microsoft Sans Serif"/>
          <w:b/>
          <w:sz w:val="20"/>
          <w:szCs w:val="20"/>
        </w:rPr>
      </w:pPr>
      <w:r w:rsidRPr="00FB38E1">
        <w:rPr>
          <w:rFonts w:ascii="Microsoft Sans Serif" w:hAnsi="Microsoft Sans Serif" w:cs="Microsoft Sans Serif"/>
          <w:b/>
          <w:sz w:val="20"/>
          <w:szCs w:val="20"/>
        </w:rPr>
        <w:t>Risk yönetimi yaklaşımına ilişkin açıklamalar</w:t>
      </w:r>
    </w:p>
    <w:p w14:paraId="44BC880B" w14:textId="35167362" w:rsidR="00431596" w:rsidRPr="00FB38E1" w:rsidRDefault="007F79D4" w:rsidP="00431596">
      <w:pPr>
        <w:spacing w:before="120" w:after="0" w:line="220" w:lineRule="exact"/>
        <w:rPr>
          <w:rFonts w:ascii="Microsoft Sans Serif" w:hAnsi="Microsoft Sans Serif" w:cs="Microsoft Sans Serif"/>
          <w:color w:val="404040" w:themeColor="text1" w:themeTint="BF"/>
          <w:sz w:val="20"/>
          <w:szCs w:val="20"/>
        </w:rPr>
      </w:pPr>
      <w:bookmarkStart w:id="34" w:name="_Hlk154570091"/>
      <w:r w:rsidRPr="00FB38E1">
        <w:rPr>
          <w:rFonts w:ascii="Microsoft Sans Serif" w:hAnsi="Microsoft Sans Serif" w:cs="Microsoft Sans Serif"/>
          <w:color w:val="404040" w:themeColor="text1" w:themeTint="BF"/>
          <w:sz w:val="20"/>
          <w:szCs w:val="20"/>
        </w:rPr>
        <w:t>Banka’nın iş modeli neticesinde maruz kalınan riskler, Banka’nın risk belirleme ve önemlilik değerlendirme süreci ile konsolide bazda belirlenmektedir. Tespit edilen önemli riskler için risk azaltıcı faktörler ve izleme faaliyetleri oluşturulmaktadır. Banka’nın Risk İştahı Beyanında, önemli görülen riskler için limitler tanımlanmakta ve beyan Yönetim Kurulu tarafından onaylanmaktadır. Risk İştahı Beyanında belirlenen risk limitlerine ait gelişimler aylık bazda izlenmekte ve aşım durumunda risk iştahı beyanında öngörülen aksiyonlar uygulanmaktadır.</w:t>
      </w:r>
      <w:bookmarkEnd w:id="34"/>
    </w:p>
    <w:p w14:paraId="0FBBE225" w14:textId="2297AA8B" w:rsidR="00431596" w:rsidRPr="00FB38E1" w:rsidRDefault="007F79D4" w:rsidP="00431596">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Denizbank Risk Yönetimi Grubu Başkanlığı, Yönetim Kurulu’na bağlı olarak çalışan ve risk yönetimi faaliyetlerini yürütmekle görevli bir iç sistemler birimidir. Doğrudan Yönetim Kurulu’na raporlama yapar. Risk Yönetimi Grubu, Banka Üst Düzey Yönetimi ile Risk Yönetimi Grubu’nun belirlediği ve Yönetim Kurulu’nun onayladığı esaslar çerçevesinde, risklerin tanımlanması, ölçülmesi, risk politikaları ve uygulama usullerinin oluşturulması ve uygulanması, risklerin analizi ve izlenmesi, raporlanması süreçlerini yürütmekle görevlidir</w:t>
      </w:r>
    </w:p>
    <w:p w14:paraId="35DF583E" w14:textId="4AE9950F" w:rsidR="00431596" w:rsidRPr="00FB38E1" w:rsidRDefault="007F79D4" w:rsidP="00431596">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Bankada, müşteri ve müşterilerin oluşturduğu grupların delegasyon seviyeleri, Banka içinde limit ve kredi derecesi bileşenlerine göre oluşturulmuş risk kategorilerine göre belirlenir</w:t>
      </w:r>
      <w:r w:rsidR="00431596" w:rsidRPr="00FB38E1">
        <w:rPr>
          <w:rFonts w:ascii="Microsoft Sans Serif" w:hAnsi="Microsoft Sans Serif" w:cs="Microsoft Sans Serif"/>
          <w:color w:val="404040" w:themeColor="text1" w:themeTint="BF"/>
          <w:sz w:val="20"/>
          <w:szCs w:val="20"/>
        </w:rPr>
        <w:t>.</w:t>
      </w:r>
    </w:p>
    <w:p w14:paraId="14B2235F" w14:textId="06D8BBFD" w:rsidR="00431596" w:rsidRPr="00FB38E1" w:rsidRDefault="007F79D4" w:rsidP="007F79D4">
      <w:pPr>
        <w:spacing w:before="120" w:after="120" w:line="220" w:lineRule="exact"/>
        <w:rPr>
          <w:rFonts w:ascii="Microsoft Sans Serif" w:hAnsi="Microsoft Sans Serif" w:cs="Microsoft Sans Serif"/>
          <w:color w:val="404040" w:themeColor="text1" w:themeTint="BF"/>
          <w:sz w:val="20"/>
          <w:szCs w:val="20"/>
        </w:rPr>
      </w:pPr>
      <w:bookmarkStart w:id="35" w:name="_Hlk154570104"/>
      <w:r w:rsidRPr="00FB38E1">
        <w:rPr>
          <w:rFonts w:ascii="Microsoft Sans Serif" w:hAnsi="Microsoft Sans Serif" w:cs="Microsoft Sans Serif"/>
          <w:color w:val="404040" w:themeColor="text1" w:themeTint="BF"/>
          <w:sz w:val="20"/>
          <w:szCs w:val="20"/>
        </w:rPr>
        <w:t>Kredi Tahsis biriminin yürüttüğü derecelendirme süreci Risk Yönetimi Grubu tarafından izlenmekte ve raporlanmaktadır</w:t>
      </w:r>
      <w:r w:rsidR="00431596" w:rsidRPr="00FB38E1">
        <w:rPr>
          <w:rFonts w:ascii="Microsoft Sans Serif" w:hAnsi="Microsoft Sans Serif" w:cs="Microsoft Sans Serif"/>
          <w:color w:val="404040" w:themeColor="text1" w:themeTint="BF"/>
          <w:sz w:val="20"/>
          <w:szCs w:val="20"/>
        </w:rPr>
        <w:t>.</w:t>
      </w:r>
      <w:bookmarkEnd w:id="35"/>
    </w:p>
    <w:p w14:paraId="1103BE5E" w14:textId="77777777" w:rsidR="00431596" w:rsidRPr="00FB38E1" w:rsidRDefault="00431596" w:rsidP="00431596">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 xml:space="preserve">Risk ölçüm sistemlerinin ana unsurları ve kapsamı </w:t>
      </w:r>
    </w:p>
    <w:p w14:paraId="57AAE13B" w14:textId="4AAA7383" w:rsidR="00431596" w:rsidRPr="00FB38E1" w:rsidRDefault="007F79D4" w:rsidP="007F79D4">
      <w:pPr>
        <w:spacing w:before="120"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 bağlı ortaklıkları da dâhil olmak üzere, kapsamlı bir risk tanımlama sürecine sahiptir. Süreç, bankacılığın doğal olarak maruz kaldığı riskler de dâhil olmak üzere geniş bir liste üzerinden, banka özelinde önemli riskleri belirlemeyi amaçlar. Risklerin önemlilik düzeyini belirleme aşamasında banka içinde konunun uzmanı olan kişilerin görüş ve değerlendirmeleri alınır. Değerlendirme sonuçları her yıl güncellenerek rapora bağlanır ve bankanın içsel sermaye değerlendirme süreçlerine dayanak teşkil eder</w:t>
      </w:r>
      <w:r w:rsidR="00431596" w:rsidRPr="00FB38E1">
        <w:rPr>
          <w:rFonts w:ascii="Microsoft Sans Serif" w:hAnsi="Microsoft Sans Serif" w:cs="Microsoft Sans Serif"/>
          <w:color w:val="404040" w:themeColor="text1" w:themeTint="BF"/>
          <w:sz w:val="20"/>
          <w:szCs w:val="20"/>
        </w:rPr>
        <w:t>.</w:t>
      </w:r>
    </w:p>
    <w:p w14:paraId="518F8068" w14:textId="6B6E8CDF" w:rsidR="00431596" w:rsidRPr="00FB38E1" w:rsidRDefault="007F79D4" w:rsidP="007F79D4">
      <w:pPr>
        <w:spacing w:before="120" w:after="120" w:line="220" w:lineRule="exact"/>
        <w:rPr>
          <w:rFonts w:ascii="Microsoft Sans Serif" w:hAnsi="Microsoft Sans Serif" w:cs="Microsoft Sans Serif"/>
          <w:color w:val="404040" w:themeColor="text1" w:themeTint="BF"/>
          <w:sz w:val="20"/>
          <w:szCs w:val="20"/>
        </w:rPr>
      </w:pPr>
      <w:bookmarkStart w:id="36" w:name="_Hlk154570116"/>
      <w:r w:rsidRPr="00FB38E1">
        <w:rPr>
          <w:rFonts w:ascii="Microsoft Sans Serif" w:hAnsi="Microsoft Sans Serif" w:cs="Microsoft Sans Serif"/>
          <w:color w:val="404040" w:themeColor="text1" w:themeTint="BF"/>
          <w:sz w:val="20"/>
          <w:szCs w:val="20"/>
        </w:rPr>
        <w:t>Risklerin ölçülmesi kapsamında yapılan çalışmaların amacı, bankanın üstlendiği riskler ile beklenen kazançlar arasında ilişki kurulabilmek, banka ve iştiraklerinin maruz kaldığı finansal riskleri ölçmektir. Süreç, risk ölçümüne konu olan parametre ve varsayımların geçerliliğini sınanmasını içerir</w:t>
      </w:r>
      <w:r w:rsidR="00431596" w:rsidRPr="00FB38E1">
        <w:rPr>
          <w:rFonts w:ascii="Microsoft Sans Serif" w:hAnsi="Microsoft Sans Serif" w:cs="Microsoft Sans Serif"/>
          <w:color w:val="404040" w:themeColor="text1" w:themeTint="BF"/>
          <w:sz w:val="20"/>
          <w:szCs w:val="20"/>
        </w:rPr>
        <w:t>.</w:t>
      </w:r>
    </w:p>
    <w:p w14:paraId="093DE5CF" w14:textId="703CF62C" w:rsidR="00431596" w:rsidRPr="00FB38E1" w:rsidRDefault="007F79D4" w:rsidP="007F79D4">
      <w:pPr>
        <w:spacing w:before="120" w:after="120" w:line="220" w:lineRule="exact"/>
        <w:rPr>
          <w:rFonts w:ascii="Microsoft Sans Serif" w:hAnsi="Microsoft Sans Serif" w:cs="Microsoft Sans Serif"/>
          <w:color w:val="404040" w:themeColor="text1" w:themeTint="BF"/>
          <w:sz w:val="20"/>
          <w:szCs w:val="20"/>
        </w:rPr>
      </w:pPr>
      <w:bookmarkStart w:id="37" w:name="_Hlk154570127"/>
      <w:bookmarkEnd w:id="36"/>
      <w:r w:rsidRPr="00FB38E1">
        <w:rPr>
          <w:rFonts w:ascii="Microsoft Sans Serif" w:hAnsi="Microsoft Sans Serif" w:cs="Microsoft Sans Serif"/>
          <w:color w:val="404040" w:themeColor="text1" w:themeTint="BF"/>
          <w:sz w:val="20"/>
          <w:szCs w:val="20"/>
        </w:rPr>
        <w:t>Banka, konsolide ve solo olarak ne tür raporların hazırlanacağını ve kimlere iletileceğini belirler. Hedeflenen risk düzeyinin ve düzenleyici otoritenin belirlediği limitlerin üzerinde risk alınmasına engel olacak etkin bir iç denetim sisteminin oluşturulmasını sağlar. Risklerin kontrol ve raporlaması yapılırken her bir risk türü için Yönetim Kurulu tarafından onaylanmış olan risk limitleri dikkate alınır</w:t>
      </w:r>
      <w:r w:rsidR="00431596" w:rsidRPr="00FB38E1">
        <w:rPr>
          <w:rFonts w:ascii="Microsoft Sans Serif" w:hAnsi="Microsoft Sans Serif" w:cs="Microsoft Sans Serif"/>
          <w:color w:val="404040" w:themeColor="text1" w:themeTint="BF"/>
          <w:sz w:val="20"/>
          <w:szCs w:val="20"/>
        </w:rPr>
        <w:t>.</w:t>
      </w:r>
    </w:p>
    <w:bookmarkEnd w:id="37"/>
    <w:p w14:paraId="26A5E961" w14:textId="6D84E42E" w:rsidR="00431596" w:rsidRPr="00FB38E1" w:rsidRDefault="007F79D4" w:rsidP="007F79D4">
      <w:pPr>
        <w:spacing w:before="120"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Risk Yönetimi Grubu, içsel sermaye yeterliliği değerlendirme sürecinin (İSEDES) koordinasyonunu ve bankanın üstlendiği risklerin ölçümünü sağlar. İSEDES sürecinin sonucu olan yıllık İSEDES raporu ve 3 yıllık stratejik plan çerçevesinde makroekonomik değişkenlerin dikkate alındığı senaryoların banka sermaye ve likiditesine etkilerini sunan yıllık stres testi raporu BDDK’ya raporlanmaktadır. Banka içsel olarak sermaye gereksinim düzeyini aylık olarak izlemektedir</w:t>
      </w:r>
      <w:r w:rsidR="00431596" w:rsidRPr="00FB38E1">
        <w:rPr>
          <w:rFonts w:ascii="Microsoft Sans Serif" w:hAnsi="Microsoft Sans Serif" w:cs="Microsoft Sans Serif"/>
          <w:color w:val="404040" w:themeColor="text1" w:themeTint="BF"/>
          <w:sz w:val="20"/>
          <w:szCs w:val="20"/>
        </w:rPr>
        <w:t>.</w:t>
      </w:r>
    </w:p>
    <w:p w14:paraId="45F6E409" w14:textId="77777777" w:rsidR="00431596" w:rsidRPr="00FB38E1" w:rsidRDefault="00431596" w:rsidP="00431596">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Yönetim kuruluna ve üst yönetime sağlanan risk raporlama süreçleri hakkında açıklamalar, özellikle raporlamanın kapsamı ve ana içeriği</w:t>
      </w:r>
    </w:p>
    <w:p w14:paraId="2B971725" w14:textId="2BEF4163" w:rsidR="00431596" w:rsidRPr="00FB38E1" w:rsidRDefault="000007E6" w:rsidP="00431596">
      <w:pPr>
        <w:spacing w:before="120" w:after="0" w:line="220" w:lineRule="exact"/>
        <w:rPr>
          <w:rFonts w:ascii="Microsoft Sans Serif" w:hAnsi="Microsoft Sans Serif" w:cs="Microsoft Sans Serif"/>
          <w:color w:val="404040" w:themeColor="text1" w:themeTint="BF"/>
          <w:sz w:val="20"/>
          <w:szCs w:val="20"/>
        </w:rPr>
      </w:pPr>
      <w:bookmarkStart w:id="38" w:name="_Hlk154570140"/>
      <w:r w:rsidRPr="00FB38E1">
        <w:rPr>
          <w:rFonts w:ascii="Microsoft Sans Serif" w:hAnsi="Microsoft Sans Serif" w:cs="Microsoft Sans Serif"/>
          <w:color w:val="404040" w:themeColor="text1" w:themeTint="BF"/>
          <w:sz w:val="20"/>
          <w:szCs w:val="20"/>
        </w:rPr>
        <w:t>Risk Yönetimi Grubu; Denetim ve Risk Komitesi, Aktif Pasif Yönetimi Komitesi, Model Risk Yönetimi ve Validasyon Komitesi aracılığı ile Üst Yönetim ve Yönetim Kuruluna raporlama yapar</w:t>
      </w:r>
      <w:r w:rsidR="00431596" w:rsidRPr="00FB38E1">
        <w:rPr>
          <w:rFonts w:ascii="Microsoft Sans Serif" w:hAnsi="Microsoft Sans Serif" w:cs="Microsoft Sans Serif"/>
          <w:color w:val="404040" w:themeColor="text1" w:themeTint="BF"/>
          <w:sz w:val="20"/>
          <w:szCs w:val="20"/>
        </w:rPr>
        <w:t>.</w:t>
      </w:r>
    </w:p>
    <w:bookmarkEnd w:id="38"/>
    <w:p w14:paraId="5E5FB32B" w14:textId="77D609E1" w:rsidR="00431596" w:rsidRPr="00FB38E1" w:rsidRDefault="000007E6" w:rsidP="000007E6">
      <w:pPr>
        <w:spacing w:before="120"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Denetim ve Risk Komitesi: Olağan durumda üç ayda bir toplanır. Risk Yönetimi Grubu tarafından gerçekleştirilen faaliyetler ve risk göstergeleri komiteye sunulur</w:t>
      </w:r>
      <w:r w:rsidR="00431596" w:rsidRPr="00FB38E1">
        <w:rPr>
          <w:rFonts w:ascii="Microsoft Sans Serif" w:hAnsi="Microsoft Sans Serif" w:cs="Microsoft Sans Serif"/>
          <w:color w:val="404040" w:themeColor="text1" w:themeTint="BF"/>
          <w:sz w:val="20"/>
          <w:szCs w:val="20"/>
        </w:rPr>
        <w:t>.</w:t>
      </w:r>
    </w:p>
    <w:p w14:paraId="18695276" w14:textId="2B3E4961" w:rsidR="00431596" w:rsidRPr="00FB38E1" w:rsidRDefault="000007E6" w:rsidP="000007E6">
      <w:pPr>
        <w:spacing w:before="120"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Aktif Pasif Yönetimi Komitesi: Haftalık olarak toplanır. Faiz ve likidite riski, sermaye yeterliliği gibi göstergelere ilişkin risk-limit takibi ve detaylı analizler sunulur</w:t>
      </w:r>
      <w:r w:rsidR="00431596" w:rsidRPr="00FB38E1">
        <w:rPr>
          <w:rFonts w:ascii="Microsoft Sans Serif" w:hAnsi="Microsoft Sans Serif" w:cs="Microsoft Sans Serif"/>
          <w:color w:val="404040" w:themeColor="text1" w:themeTint="BF"/>
          <w:sz w:val="20"/>
          <w:szCs w:val="20"/>
        </w:rPr>
        <w:t>.</w:t>
      </w:r>
    </w:p>
    <w:p w14:paraId="1B8D4A8B" w14:textId="7BC42F40" w:rsidR="00431596" w:rsidRPr="00FB38E1" w:rsidRDefault="000007E6" w:rsidP="000007E6">
      <w:pPr>
        <w:spacing w:before="120"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Model Riski Yönetimi ve Validasyon Komitesi: Yıllık plan çerçevesinde risk modellerinin validasyon sonuçlarının sunulduğu ve modellerin onaylandığı komitedir</w:t>
      </w:r>
      <w:r w:rsidR="00431596" w:rsidRPr="00FB38E1">
        <w:rPr>
          <w:rFonts w:ascii="Microsoft Sans Serif" w:hAnsi="Microsoft Sans Serif" w:cs="Microsoft Sans Serif"/>
          <w:color w:val="404040" w:themeColor="text1" w:themeTint="BF"/>
          <w:sz w:val="20"/>
          <w:szCs w:val="20"/>
        </w:rPr>
        <w:t>.</w:t>
      </w:r>
    </w:p>
    <w:p w14:paraId="16716986" w14:textId="77777777" w:rsidR="00431596" w:rsidRPr="00FB38E1" w:rsidRDefault="00431596" w:rsidP="00431596">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Bankanın iş modelinden kaynaklanan risk yönetimi, koruması ve azaltılması stratejileri ve süreçleri ve korumaların ve azaltıcıların devam eden etkinliğini izleme süreçleri</w:t>
      </w:r>
    </w:p>
    <w:p w14:paraId="17EA07E8" w14:textId="69F4C146" w:rsidR="00431596" w:rsidRPr="00FB38E1" w:rsidRDefault="000007E6" w:rsidP="000007E6">
      <w:pPr>
        <w:spacing w:before="120"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Risk İştahı Beyanında, önemli görülen riskler için tanımlanan limitler aylık olarak izlenmekte, gerekli durumda risk iştahı beyanında belirlenen aksiyonlar alınmaktadır</w:t>
      </w:r>
      <w:r w:rsidR="00431596" w:rsidRPr="00FB38E1">
        <w:rPr>
          <w:rFonts w:ascii="Microsoft Sans Serif" w:hAnsi="Microsoft Sans Serif" w:cs="Microsoft Sans Serif"/>
          <w:color w:val="404040" w:themeColor="text1" w:themeTint="BF"/>
          <w:sz w:val="20"/>
          <w:szCs w:val="20"/>
        </w:rPr>
        <w:t xml:space="preserve">. </w:t>
      </w:r>
    </w:p>
    <w:p w14:paraId="083E1B0A" w14:textId="591BDECF" w:rsidR="00431596" w:rsidRPr="00FB38E1" w:rsidRDefault="000007E6" w:rsidP="000007E6">
      <w:pPr>
        <w:spacing w:before="120"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Bununla birlikte bankanın stres koşulları da dikkate alınarak stratejik hedeflerini yerine getirebilmesi amacıyla sermaye yeterliliğine ilişkin acil durum planı oluşturulmuştur</w:t>
      </w:r>
      <w:r w:rsidR="00431596" w:rsidRPr="00FB38E1">
        <w:rPr>
          <w:rFonts w:ascii="Microsoft Sans Serif" w:hAnsi="Microsoft Sans Serif" w:cs="Microsoft Sans Serif"/>
          <w:color w:val="404040" w:themeColor="text1" w:themeTint="BF"/>
          <w:sz w:val="20"/>
          <w:szCs w:val="20"/>
        </w:rPr>
        <w:t>.</w:t>
      </w:r>
    </w:p>
    <w:p w14:paraId="519FF43F" w14:textId="77777777" w:rsidR="00431596" w:rsidRPr="00FB38E1" w:rsidRDefault="00431596" w:rsidP="00431596">
      <w:pP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br w:type="page"/>
      </w:r>
    </w:p>
    <w:p w14:paraId="066C1EE0" w14:textId="67AA204C" w:rsidR="006179CF" w:rsidRPr="00FB38E1" w:rsidRDefault="00431596" w:rsidP="00431596">
      <w:pPr>
        <w:pStyle w:val="ListParagraph"/>
        <w:numPr>
          <w:ilvl w:val="3"/>
          <w:numId w:val="44"/>
        </w:numPr>
        <w:spacing w:before="120" w:after="120"/>
        <w:ind w:left="142" w:hanging="426"/>
        <w:rPr>
          <w:rFonts w:ascii="Microsoft Sans Serif" w:eastAsia="Arial Unicode MS" w:hAnsi="Microsoft Sans Serif" w:cs="Microsoft Sans Serif"/>
          <w:b/>
          <w:sz w:val="20"/>
          <w:szCs w:val="20"/>
        </w:rPr>
      </w:pPr>
      <w:r w:rsidRPr="00FB38E1">
        <w:rPr>
          <w:rFonts w:ascii="Microsoft Sans Serif" w:eastAsia="Arial Unicode MS" w:hAnsi="Microsoft Sans Serif" w:cs="Microsoft Sans Serif"/>
          <w:b/>
          <w:sz w:val="20"/>
          <w:szCs w:val="20"/>
        </w:rPr>
        <w:t xml:space="preserve">Risk ağırlıklı tutarlara genel bakış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23"/>
        <w:gridCol w:w="5347"/>
        <w:gridCol w:w="1560"/>
        <w:gridCol w:w="1124"/>
        <w:gridCol w:w="1285"/>
      </w:tblGrid>
      <w:tr w:rsidR="006179CF" w:rsidRPr="00FB38E1" w14:paraId="55CE44E3" w14:textId="77777777" w:rsidTr="00431596">
        <w:tc>
          <w:tcPr>
            <w:tcW w:w="323" w:type="dxa"/>
            <w:tcBorders>
              <w:top w:val="thinThickSmallGap" w:sz="24" w:space="0" w:color="auto"/>
              <w:bottom w:val="nil"/>
            </w:tcBorders>
          </w:tcPr>
          <w:p w14:paraId="7CE923A7" w14:textId="77777777" w:rsidR="006179CF" w:rsidRPr="00FB38E1" w:rsidRDefault="006179CF" w:rsidP="001279F1">
            <w:pPr>
              <w:rPr>
                <w:rFonts w:ascii="Microsoft Sans Serif" w:hAnsi="Microsoft Sans Serif" w:cs="Microsoft Sans Serif"/>
                <w:color w:val="404040" w:themeColor="text1" w:themeTint="BF"/>
                <w:sz w:val="14"/>
                <w:szCs w:val="14"/>
              </w:rPr>
            </w:pPr>
          </w:p>
        </w:tc>
        <w:tc>
          <w:tcPr>
            <w:tcW w:w="5347" w:type="dxa"/>
            <w:tcBorders>
              <w:top w:val="thinThickSmallGap" w:sz="24" w:space="0" w:color="auto"/>
              <w:bottom w:val="nil"/>
            </w:tcBorders>
          </w:tcPr>
          <w:p w14:paraId="1709CB49" w14:textId="77777777" w:rsidR="006179CF" w:rsidRPr="00FB38E1" w:rsidRDefault="006179CF" w:rsidP="001279F1">
            <w:pPr>
              <w:rPr>
                <w:rFonts w:ascii="Microsoft Sans Serif" w:hAnsi="Microsoft Sans Serif" w:cs="Microsoft Sans Serif"/>
                <w:color w:val="404040" w:themeColor="text1" w:themeTint="BF"/>
                <w:sz w:val="14"/>
                <w:szCs w:val="14"/>
              </w:rPr>
            </w:pPr>
          </w:p>
        </w:tc>
        <w:tc>
          <w:tcPr>
            <w:tcW w:w="1560" w:type="dxa"/>
            <w:tcBorders>
              <w:top w:val="thinThickSmallGap" w:sz="24" w:space="0" w:color="auto"/>
              <w:bottom w:val="nil"/>
            </w:tcBorders>
            <w:vAlign w:val="bottom"/>
          </w:tcPr>
          <w:p w14:paraId="6DC86EAE" w14:textId="77777777" w:rsidR="006179CF" w:rsidRPr="00FB38E1" w:rsidRDefault="006179CF" w:rsidP="001279F1">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 xml:space="preserve">Risk Ağırlıklı </w:t>
            </w:r>
          </w:p>
          <w:p w14:paraId="3D4B0E22" w14:textId="77777777" w:rsidR="006179CF" w:rsidRPr="00FB38E1" w:rsidRDefault="006179CF" w:rsidP="001279F1">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Tutarlar</w:t>
            </w:r>
          </w:p>
        </w:tc>
        <w:tc>
          <w:tcPr>
            <w:tcW w:w="1124" w:type="dxa"/>
            <w:tcBorders>
              <w:top w:val="thinThickSmallGap" w:sz="24" w:space="0" w:color="auto"/>
              <w:bottom w:val="nil"/>
            </w:tcBorders>
            <w:vAlign w:val="bottom"/>
          </w:tcPr>
          <w:p w14:paraId="036A1130" w14:textId="77777777" w:rsidR="006179CF" w:rsidRPr="00FB38E1" w:rsidRDefault="006179CF" w:rsidP="001279F1">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 xml:space="preserve">Risk Ağırlıklı </w:t>
            </w:r>
          </w:p>
          <w:p w14:paraId="172201F5" w14:textId="77777777" w:rsidR="006179CF" w:rsidRPr="00FB38E1" w:rsidRDefault="006179CF" w:rsidP="001279F1">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Tutarlar</w:t>
            </w:r>
          </w:p>
        </w:tc>
        <w:tc>
          <w:tcPr>
            <w:tcW w:w="1285" w:type="dxa"/>
            <w:tcBorders>
              <w:top w:val="thinThickSmallGap" w:sz="24" w:space="0" w:color="auto"/>
              <w:bottom w:val="nil"/>
            </w:tcBorders>
            <w:vAlign w:val="bottom"/>
          </w:tcPr>
          <w:p w14:paraId="0EB1CB3B" w14:textId="77777777" w:rsidR="006179CF" w:rsidRPr="00FB38E1" w:rsidRDefault="006179CF" w:rsidP="001279F1">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Asgari Sermaye Yükümlülüğü</w:t>
            </w:r>
          </w:p>
        </w:tc>
      </w:tr>
      <w:tr w:rsidR="006179CF" w:rsidRPr="00FB38E1" w14:paraId="04A445BB" w14:textId="77777777" w:rsidTr="00431596">
        <w:tc>
          <w:tcPr>
            <w:tcW w:w="323" w:type="dxa"/>
            <w:tcBorders>
              <w:top w:val="nil"/>
              <w:bottom w:val="single" w:sz="4" w:space="0" w:color="auto"/>
            </w:tcBorders>
            <w:vAlign w:val="bottom"/>
          </w:tcPr>
          <w:p w14:paraId="6535A9FB" w14:textId="77777777" w:rsidR="006179CF" w:rsidRPr="00FB38E1" w:rsidRDefault="006179CF" w:rsidP="001279F1">
            <w:pPr>
              <w:jc w:val="right"/>
              <w:rPr>
                <w:rFonts w:ascii="Microsoft Sans Serif" w:hAnsi="Microsoft Sans Serif" w:cs="Microsoft Sans Serif"/>
                <w:color w:val="404040" w:themeColor="text1" w:themeTint="BF"/>
                <w:sz w:val="14"/>
                <w:szCs w:val="14"/>
              </w:rPr>
            </w:pPr>
          </w:p>
        </w:tc>
        <w:tc>
          <w:tcPr>
            <w:tcW w:w="5347" w:type="dxa"/>
            <w:tcBorders>
              <w:top w:val="nil"/>
              <w:bottom w:val="single" w:sz="4" w:space="0" w:color="auto"/>
            </w:tcBorders>
            <w:vAlign w:val="bottom"/>
          </w:tcPr>
          <w:p w14:paraId="56C6E324" w14:textId="77777777" w:rsidR="006179CF" w:rsidRPr="00FB38E1" w:rsidRDefault="006179CF" w:rsidP="001279F1">
            <w:pPr>
              <w:rPr>
                <w:rFonts w:ascii="Microsoft Sans Serif" w:hAnsi="Microsoft Sans Serif" w:cs="Microsoft Sans Serif"/>
                <w:color w:val="404040" w:themeColor="text1" w:themeTint="BF"/>
                <w:sz w:val="14"/>
                <w:szCs w:val="14"/>
              </w:rPr>
            </w:pPr>
          </w:p>
        </w:tc>
        <w:tc>
          <w:tcPr>
            <w:tcW w:w="1560" w:type="dxa"/>
            <w:tcBorders>
              <w:top w:val="nil"/>
              <w:bottom w:val="single" w:sz="4" w:space="0" w:color="auto"/>
            </w:tcBorders>
            <w:vAlign w:val="bottom"/>
          </w:tcPr>
          <w:p w14:paraId="2704B791" w14:textId="77777777" w:rsidR="006179CF" w:rsidRPr="00FB38E1" w:rsidRDefault="006179CF" w:rsidP="001279F1">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Cari Dönem</w:t>
            </w:r>
          </w:p>
        </w:tc>
        <w:tc>
          <w:tcPr>
            <w:tcW w:w="1124" w:type="dxa"/>
            <w:tcBorders>
              <w:top w:val="nil"/>
              <w:bottom w:val="single" w:sz="4" w:space="0" w:color="auto"/>
            </w:tcBorders>
            <w:vAlign w:val="bottom"/>
          </w:tcPr>
          <w:p w14:paraId="7B030732" w14:textId="77777777" w:rsidR="006179CF" w:rsidRPr="00FB38E1" w:rsidRDefault="006179CF" w:rsidP="001279F1">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Önceki Dönem</w:t>
            </w:r>
          </w:p>
        </w:tc>
        <w:tc>
          <w:tcPr>
            <w:tcW w:w="1285" w:type="dxa"/>
            <w:tcBorders>
              <w:top w:val="nil"/>
              <w:bottom w:val="single" w:sz="4" w:space="0" w:color="auto"/>
            </w:tcBorders>
            <w:vAlign w:val="bottom"/>
          </w:tcPr>
          <w:p w14:paraId="3E37FAFB" w14:textId="77777777" w:rsidR="006179CF" w:rsidRPr="00FB38E1" w:rsidRDefault="006179CF" w:rsidP="001279F1">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Cari Dönem</w:t>
            </w:r>
          </w:p>
        </w:tc>
      </w:tr>
      <w:tr w:rsidR="004E4CE6" w:rsidRPr="00FB38E1" w14:paraId="2BC00309" w14:textId="77777777" w:rsidTr="00431596">
        <w:tc>
          <w:tcPr>
            <w:tcW w:w="323" w:type="dxa"/>
            <w:tcBorders>
              <w:top w:val="single" w:sz="4" w:space="0" w:color="auto"/>
            </w:tcBorders>
            <w:vAlign w:val="bottom"/>
          </w:tcPr>
          <w:p w14:paraId="2D13C28B"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5347" w:type="dxa"/>
            <w:tcBorders>
              <w:top w:val="single" w:sz="4" w:space="0" w:color="auto"/>
            </w:tcBorders>
            <w:vAlign w:val="bottom"/>
          </w:tcPr>
          <w:p w14:paraId="6A1B1D65"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Kredi riski (karşı taraf kredi riski hariç)</w:t>
            </w:r>
          </w:p>
        </w:tc>
        <w:tc>
          <w:tcPr>
            <w:tcW w:w="1560" w:type="dxa"/>
            <w:tcBorders>
              <w:top w:val="single" w:sz="4" w:space="0" w:color="auto"/>
            </w:tcBorders>
            <w:vAlign w:val="bottom"/>
          </w:tcPr>
          <w:p w14:paraId="2D438FCC" w14:textId="7AFD74E7"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763.737.433</w:t>
            </w:r>
          </w:p>
        </w:tc>
        <w:tc>
          <w:tcPr>
            <w:tcW w:w="1124" w:type="dxa"/>
            <w:tcBorders>
              <w:top w:val="single" w:sz="4" w:space="0" w:color="auto"/>
            </w:tcBorders>
            <w:vAlign w:val="bottom"/>
          </w:tcPr>
          <w:p w14:paraId="13F0525D" w14:textId="5CDF195D"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595.833.296</w:t>
            </w:r>
          </w:p>
        </w:tc>
        <w:tc>
          <w:tcPr>
            <w:tcW w:w="1285" w:type="dxa"/>
            <w:tcBorders>
              <w:top w:val="single" w:sz="4" w:space="0" w:color="auto"/>
            </w:tcBorders>
            <w:vAlign w:val="bottom"/>
          </w:tcPr>
          <w:p w14:paraId="059477AE" w14:textId="2D03F896"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61.098.995</w:t>
            </w:r>
          </w:p>
        </w:tc>
      </w:tr>
      <w:tr w:rsidR="004E4CE6" w:rsidRPr="00FB38E1" w14:paraId="6FA72038" w14:textId="77777777" w:rsidTr="00431596">
        <w:tc>
          <w:tcPr>
            <w:tcW w:w="323" w:type="dxa"/>
            <w:vAlign w:val="bottom"/>
          </w:tcPr>
          <w:p w14:paraId="00414C49"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5347" w:type="dxa"/>
            <w:vAlign w:val="bottom"/>
          </w:tcPr>
          <w:p w14:paraId="64184217"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Standart yaklaşım</w:t>
            </w:r>
          </w:p>
        </w:tc>
        <w:tc>
          <w:tcPr>
            <w:tcW w:w="1560" w:type="dxa"/>
            <w:vAlign w:val="bottom"/>
          </w:tcPr>
          <w:p w14:paraId="11AC67B1" w14:textId="488FCFC5"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763.737.433</w:t>
            </w:r>
          </w:p>
        </w:tc>
        <w:tc>
          <w:tcPr>
            <w:tcW w:w="1124" w:type="dxa"/>
            <w:vAlign w:val="bottom"/>
          </w:tcPr>
          <w:p w14:paraId="1E12B26A" w14:textId="356C70C3"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595.833.296</w:t>
            </w:r>
          </w:p>
        </w:tc>
        <w:tc>
          <w:tcPr>
            <w:tcW w:w="1285" w:type="dxa"/>
            <w:vAlign w:val="bottom"/>
          </w:tcPr>
          <w:p w14:paraId="4E53606D" w14:textId="00864E1F"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61.098.995</w:t>
            </w:r>
          </w:p>
        </w:tc>
      </w:tr>
      <w:tr w:rsidR="004E4CE6" w:rsidRPr="00FB38E1" w14:paraId="5794ABB9" w14:textId="77777777" w:rsidTr="00431596">
        <w:tc>
          <w:tcPr>
            <w:tcW w:w="323" w:type="dxa"/>
            <w:vAlign w:val="bottom"/>
          </w:tcPr>
          <w:p w14:paraId="798BF063"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5347" w:type="dxa"/>
            <w:vAlign w:val="bottom"/>
          </w:tcPr>
          <w:p w14:paraId="08920379"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İçsel derecelendirmeye dayalı yaklaşım</w:t>
            </w:r>
          </w:p>
        </w:tc>
        <w:tc>
          <w:tcPr>
            <w:tcW w:w="1560" w:type="dxa"/>
            <w:vAlign w:val="bottom"/>
          </w:tcPr>
          <w:p w14:paraId="649BF606" w14:textId="59771007"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4E3A1F71" w14:textId="49B2D617"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26D51508" w14:textId="43DA9980"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0A26A324" w14:textId="77777777" w:rsidTr="00431596">
        <w:tc>
          <w:tcPr>
            <w:tcW w:w="323" w:type="dxa"/>
            <w:vAlign w:val="bottom"/>
          </w:tcPr>
          <w:p w14:paraId="7D8CAD8C"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xml:space="preserve"> 4</w:t>
            </w:r>
          </w:p>
        </w:tc>
        <w:tc>
          <w:tcPr>
            <w:tcW w:w="5347" w:type="dxa"/>
            <w:vAlign w:val="bottom"/>
          </w:tcPr>
          <w:p w14:paraId="18EACFCB"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Karşı taraf kredi riski (*)</w:t>
            </w:r>
          </w:p>
        </w:tc>
        <w:tc>
          <w:tcPr>
            <w:tcW w:w="1560" w:type="dxa"/>
            <w:vAlign w:val="bottom"/>
          </w:tcPr>
          <w:p w14:paraId="03326303" w14:textId="193AC9DD"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15.126.440</w:t>
            </w:r>
          </w:p>
        </w:tc>
        <w:tc>
          <w:tcPr>
            <w:tcW w:w="1124" w:type="dxa"/>
            <w:vAlign w:val="bottom"/>
          </w:tcPr>
          <w:p w14:paraId="3F0D0969" w14:textId="68DE46C9"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9.650.928</w:t>
            </w:r>
          </w:p>
        </w:tc>
        <w:tc>
          <w:tcPr>
            <w:tcW w:w="1285" w:type="dxa"/>
            <w:vAlign w:val="bottom"/>
          </w:tcPr>
          <w:p w14:paraId="722ED823" w14:textId="088698A4"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1.210.115</w:t>
            </w:r>
          </w:p>
        </w:tc>
      </w:tr>
      <w:tr w:rsidR="004E4CE6" w:rsidRPr="00FB38E1" w14:paraId="4550EF53" w14:textId="77777777" w:rsidTr="00431596">
        <w:tc>
          <w:tcPr>
            <w:tcW w:w="323" w:type="dxa"/>
            <w:vAlign w:val="bottom"/>
          </w:tcPr>
          <w:p w14:paraId="074D4944"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5</w:t>
            </w:r>
          </w:p>
        </w:tc>
        <w:tc>
          <w:tcPr>
            <w:tcW w:w="5347" w:type="dxa"/>
            <w:vAlign w:val="bottom"/>
          </w:tcPr>
          <w:p w14:paraId="3B00571F"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Karşı taraf kredi riski için standart yaklaşım</w:t>
            </w:r>
          </w:p>
        </w:tc>
        <w:tc>
          <w:tcPr>
            <w:tcW w:w="1560" w:type="dxa"/>
            <w:vAlign w:val="bottom"/>
          </w:tcPr>
          <w:p w14:paraId="171B1A8E" w14:textId="77F6BF41"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15.126.440</w:t>
            </w:r>
          </w:p>
        </w:tc>
        <w:tc>
          <w:tcPr>
            <w:tcW w:w="1124" w:type="dxa"/>
            <w:vAlign w:val="bottom"/>
          </w:tcPr>
          <w:p w14:paraId="05D66858" w14:textId="070BBDBB"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9.650.928</w:t>
            </w:r>
          </w:p>
        </w:tc>
        <w:tc>
          <w:tcPr>
            <w:tcW w:w="1285" w:type="dxa"/>
            <w:vAlign w:val="bottom"/>
          </w:tcPr>
          <w:p w14:paraId="0D6DB8A3" w14:textId="79E0788C"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1.210.115</w:t>
            </w:r>
          </w:p>
        </w:tc>
      </w:tr>
      <w:tr w:rsidR="004E4CE6" w:rsidRPr="00FB38E1" w14:paraId="619E4E39" w14:textId="77777777" w:rsidTr="00431596">
        <w:tc>
          <w:tcPr>
            <w:tcW w:w="323" w:type="dxa"/>
            <w:vAlign w:val="bottom"/>
          </w:tcPr>
          <w:p w14:paraId="4CFA2023"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6</w:t>
            </w:r>
          </w:p>
        </w:tc>
        <w:tc>
          <w:tcPr>
            <w:tcW w:w="5347" w:type="dxa"/>
            <w:vAlign w:val="bottom"/>
          </w:tcPr>
          <w:p w14:paraId="32AFC884"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İçsel model yöntemi</w:t>
            </w:r>
          </w:p>
        </w:tc>
        <w:tc>
          <w:tcPr>
            <w:tcW w:w="1560" w:type="dxa"/>
            <w:vAlign w:val="bottom"/>
          </w:tcPr>
          <w:p w14:paraId="1CAC35B7" w14:textId="2DA3960A"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15956515" w14:textId="3D03C673"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1F538191" w14:textId="6FE20833"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26EDD564" w14:textId="77777777" w:rsidTr="00431596">
        <w:tc>
          <w:tcPr>
            <w:tcW w:w="323" w:type="dxa"/>
          </w:tcPr>
          <w:p w14:paraId="112BC38A"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7</w:t>
            </w:r>
          </w:p>
        </w:tc>
        <w:tc>
          <w:tcPr>
            <w:tcW w:w="5347" w:type="dxa"/>
            <w:vAlign w:val="bottom"/>
          </w:tcPr>
          <w:p w14:paraId="56F94F03"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Basit risk ağırlığı yaklaşımı veya içsel modeller yaklaşımında bankacılık hesabındaki hisse senedi pozisyonları</w:t>
            </w:r>
          </w:p>
        </w:tc>
        <w:tc>
          <w:tcPr>
            <w:tcW w:w="1560" w:type="dxa"/>
            <w:vAlign w:val="bottom"/>
          </w:tcPr>
          <w:p w14:paraId="355903AD" w14:textId="126A14C8"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32EED8AB" w14:textId="58E703F7"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0FFAE347" w14:textId="30FF2384"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03308BBC" w14:textId="77777777" w:rsidTr="00431596">
        <w:tc>
          <w:tcPr>
            <w:tcW w:w="323" w:type="dxa"/>
            <w:vAlign w:val="bottom"/>
          </w:tcPr>
          <w:p w14:paraId="0D201275"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8</w:t>
            </w:r>
          </w:p>
        </w:tc>
        <w:tc>
          <w:tcPr>
            <w:tcW w:w="5347" w:type="dxa"/>
            <w:vAlign w:val="bottom"/>
          </w:tcPr>
          <w:p w14:paraId="2270BDAA"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KYK'ya yapılan yatırımlar-içerik yöntemi</w:t>
            </w:r>
          </w:p>
        </w:tc>
        <w:tc>
          <w:tcPr>
            <w:tcW w:w="1560" w:type="dxa"/>
            <w:vAlign w:val="bottom"/>
          </w:tcPr>
          <w:p w14:paraId="5A28EE36" w14:textId="05106D06"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6F476415" w14:textId="7A5B9A12"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20D76AFF" w14:textId="3B7D8A50"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732F1694" w14:textId="77777777" w:rsidTr="00431596">
        <w:tc>
          <w:tcPr>
            <w:tcW w:w="323" w:type="dxa"/>
            <w:vAlign w:val="bottom"/>
          </w:tcPr>
          <w:p w14:paraId="786D6FA1"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9</w:t>
            </w:r>
          </w:p>
        </w:tc>
        <w:tc>
          <w:tcPr>
            <w:tcW w:w="5347" w:type="dxa"/>
            <w:vAlign w:val="bottom"/>
          </w:tcPr>
          <w:p w14:paraId="19606682"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KYK'ya yapılan yatırımlar-izahname yöntemi</w:t>
            </w:r>
          </w:p>
        </w:tc>
        <w:tc>
          <w:tcPr>
            <w:tcW w:w="1560" w:type="dxa"/>
            <w:vAlign w:val="bottom"/>
          </w:tcPr>
          <w:p w14:paraId="22494CBD" w14:textId="5EE682D3"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1.674.260</w:t>
            </w:r>
          </w:p>
        </w:tc>
        <w:tc>
          <w:tcPr>
            <w:tcW w:w="1124" w:type="dxa"/>
            <w:vAlign w:val="bottom"/>
          </w:tcPr>
          <w:p w14:paraId="7111BB62" w14:textId="5BA4ED41"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145.646</w:t>
            </w:r>
          </w:p>
        </w:tc>
        <w:tc>
          <w:tcPr>
            <w:tcW w:w="1285" w:type="dxa"/>
            <w:vAlign w:val="bottom"/>
          </w:tcPr>
          <w:p w14:paraId="504E9ECE" w14:textId="7CFC6CA1"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133.941</w:t>
            </w:r>
          </w:p>
        </w:tc>
      </w:tr>
      <w:tr w:rsidR="004E4CE6" w:rsidRPr="00FB38E1" w14:paraId="24078567" w14:textId="77777777" w:rsidTr="00431596">
        <w:tc>
          <w:tcPr>
            <w:tcW w:w="323" w:type="dxa"/>
            <w:vAlign w:val="bottom"/>
          </w:tcPr>
          <w:p w14:paraId="7082327C"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10</w:t>
            </w:r>
          </w:p>
        </w:tc>
        <w:tc>
          <w:tcPr>
            <w:tcW w:w="5347" w:type="dxa"/>
            <w:vAlign w:val="bottom"/>
          </w:tcPr>
          <w:p w14:paraId="4DD7AFAA"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KYK'ya yapılan yatırımlar-% 1250 risk ağırlığı yöntemi</w:t>
            </w:r>
          </w:p>
        </w:tc>
        <w:tc>
          <w:tcPr>
            <w:tcW w:w="1560" w:type="dxa"/>
            <w:vAlign w:val="bottom"/>
          </w:tcPr>
          <w:p w14:paraId="667AE6E5" w14:textId="47012FEC"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13F8CCBD" w14:textId="585C367E"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4AD33791" w14:textId="0D56585B"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2CCDF749" w14:textId="77777777" w:rsidTr="00431596">
        <w:tc>
          <w:tcPr>
            <w:tcW w:w="323" w:type="dxa"/>
            <w:vAlign w:val="bottom"/>
          </w:tcPr>
          <w:p w14:paraId="4F957E15"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11</w:t>
            </w:r>
          </w:p>
        </w:tc>
        <w:tc>
          <w:tcPr>
            <w:tcW w:w="5347" w:type="dxa"/>
            <w:vAlign w:val="bottom"/>
          </w:tcPr>
          <w:p w14:paraId="3512D847"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Takas riski</w:t>
            </w:r>
          </w:p>
        </w:tc>
        <w:tc>
          <w:tcPr>
            <w:tcW w:w="1560" w:type="dxa"/>
            <w:vAlign w:val="bottom"/>
          </w:tcPr>
          <w:p w14:paraId="2EFFDDCE" w14:textId="55746F6F"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28ED02A7" w14:textId="694192C0"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278B79D7" w14:textId="3F8C8929"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57A5DF7D" w14:textId="77777777" w:rsidTr="00431596">
        <w:tc>
          <w:tcPr>
            <w:tcW w:w="323" w:type="dxa"/>
            <w:vAlign w:val="bottom"/>
          </w:tcPr>
          <w:p w14:paraId="74947E9D"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12</w:t>
            </w:r>
          </w:p>
        </w:tc>
        <w:tc>
          <w:tcPr>
            <w:tcW w:w="5347" w:type="dxa"/>
            <w:vAlign w:val="bottom"/>
          </w:tcPr>
          <w:p w14:paraId="7FCA37BB"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Bankacılık hesaplarındaki menkul kıymetleştirme pozisyonları</w:t>
            </w:r>
          </w:p>
        </w:tc>
        <w:tc>
          <w:tcPr>
            <w:tcW w:w="1560" w:type="dxa"/>
            <w:vAlign w:val="bottom"/>
          </w:tcPr>
          <w:p w14:paraId="0BC8F3F4" w14:textId="3666BAB9"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37438439" w14:textId="23276BC3"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34345B78" w14:textId="2159884C"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6AF1FCE4" w14:textId="77777777" w:rsidTr="00431596">
        <w:tc>
          <w:tcPr>
            <w:tcW w:w="323" w:type="dxa"/>
            <w:vAlign w:val="bottom"/>
          </w:tcPr>
          <w:p w14:paraId="117B9089"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13</w:t>
            </w:r>
          </w:p>
        </w:tc>
        <w:tc>
          <w:tcPr>
            <w:tcW w:w="5347" w:type="dxa"/>
            <w:vAlign w:val="bottom"/>
          </w:tcPr>
          <w:p w14:paraId="4C648E3E"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İDD derecelendirmeye dayalı yaklaşım</w:t>
            </w:r>
          </w:p>
        </w:tc>
        <w:tc>
          <w:tcPr>
            <w:tcW w:w="1560" w:type="dxa"/>
            <w:vAlign w:val="bottom"/>
          </w:tcPr>
          <w:p w14:paraId="48B1BC63" w14:textId="4F00386A"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6594EFF7" w14:textId="3C870600"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1DC6B3F2" w14:textId="4994A225"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05BCCBAA" w14:textId="77777777" w:rsidTr="00431596">
        <w:tc>
          <w:tcPr>
            <w:tcW w:w="323" w:type="dxa"/>
            <w:vAlign w:val="bottom"/>
          </w:tcPr>
          <w:p w14:paraId="607F9696"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14</w:t>
            </w:r>
          </w:p>
        </w:tc>
        <w:tc>
          <w:tcPr>
            <w:tcW w:w="5347" w:type="dxa"/>
            <w:vAlign w:val="bottom"/>
          </w:tcPr>
          <w:p w14:paraId="19C0D7BB"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İDD denetim otoritesi formülü yaklaşımı</w:t>
            </w:r>
          </w:p>
        </w:tc>
        <w:tc>
          <w:tcPr>
            <w:tcW w:w="1560" w:type="dxa"/>
            <w:vAlign w:val="bottom"/>
          </w:tcPr>
          <w:p w14:paraId="1620CF3E" w14:textId="330D13F3"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03BB3ABE" w14:textId="081AA24A"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40C94DDC" w14:textId="08FAEDE4"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20494725" w14:textId="77777777" w:rsidTr="00431596">
        <w:tc>
          <w:tcPr>
            <w:tcW w:w="323" w:type="dxa"/>
            <w:vAlign w:val="bottom"/>
          </w:tcPr>
          <w:p w14:paraId="36DDEAF6"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15</w:t>
            </w:r>
          </w:p>
        </w:tc>
        <w:tc>
          <w:tcPr>
            <w:tcW w:w="5347" w:type="dxa"/>
            <w:vAlign w:val="bottom"/>
          </w:tcPr>
          <w:p w14:paraId="7A8BADAA"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Standart basitleştirilmiş denetim otoritesi formülü yaklaşımı</w:t>
            </w:r>
          </w:p>
        </w:tc>
        <w:tc>
          <w:tcPr>
            <w:tcW w:w="1560" w:type="dxa"/>
            <w:vAlign w:val="bottom"/>
          </w:tcPr>
          <w:p w14:paraId="5B924BD7" w14:textId="35656F0E"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16746554" w14:textId="5D1927CB"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0A60026A" w14:textId="0F866EBB"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0656E581" w14:textId="77777777" w:rsidTr="00431596">
        <w:tc>
          <w:tcPr>
            <w:tcW w:w="323" w:type="dxa"/>
            <w:vAlign w:val="bottom"/>
          </w:tcPr>
          <w:p w14:paraId="363B177B"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16</w:t>
            </w:r>
          </w:p>
        </w:tc>
        <w:tc>
          <w:tcPr>
            <w:tcW w:w="5347" w:type="dxa"/>
            <w:vAlign w:val="bottom"/>
          </w:tcPr>
          <w:p w14:paraId="140096A3"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Piyasa riski</w:t>
            </w:r>
          </w:p>
        </w:tc>
        <w:tc>
          <w:tcPr>
            <w:tcW w:w="1560" w:type="dxa"/>
            <w:vAlign w:val="bottom"/>
          </w:tcPr>
          <w:p w14:paraId="759FB398" w14:textId="4597C3FF"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23.728.591</w:t>
            </w:r>
          </w:p>
        </w:tc>
        <w:tc>
          <w:tcPr>
            <w:tcW w:w="1124" w:type="dxa"/>
            <w:vAlign w:val="bottom"/>
          </w:tcPr>
          <w:p w14:paraId="0AB9B9E5" w14:textId="2C8C8622"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20.462.863</w:t>
            </w:r>
          </w:p>
        </w:tc>
        <w:tc>
          <w:tcPr>
            <w:tcW w:w="1285" w:type="dxa"/>
            <w:vAlign w:val="bottom"/>
          </w:tcPr>
          <w:p w14:paraId="121D3A6B" w14:textId="046E1459"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1.898.287</w:t>
            </w:r>
          </w:p>
        </w:tc>
      </w:tr>
      <w:tr w:rsidR="004E4CE6" w:rsidRPr="00FB38E1" w14:paraId="023E7A2B" w14:textId="77777777" w:rsidTr="00431596">
        <w:tc>
          <w:tcPr>
            <w:tcW w:w="323" w:type="dxa"/>
            <w:vAlign w:val="bottom"/>
          </w:tcPr>
          <w:p w14:paraId="4EAF360B"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17</w:t>
            </w:r>
          </w:p>
        </w:tc>
        <w:tc>
          <w:tcPr>
            <w:tcW w:w="5347" w:type="dxa"/>
            <w:vAlign w:val="bottom"/>
          </w:tcPr>
          <w:p w14:paraId="32B915F8"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Standart yaklaşım</w:t>
            </w:r>
          </w:p>
        </w:tc>
        <w:tc>
          <w:tcPr>
            <w:tcW w:w="1560" w:type="dxa"/>
            <w:vAlign w:val="bottom"/>
          </w:tcPr>
          <w:p w14:paraId="018C99FF" w14:textId="3EB1F367"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23.728.591</w:t>
            </w:r>
          </w:p>
        </w:tc>
        <w:tc>
          <w:tcPr>
            <w:tcW w:w="1124" w:type="dxa"/>
            <w:vAlign w:val="bottom"/>
          </w:tcPr>
          <w:p w14:paraId="09FC8962" w14:textId="4D890C51"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20.462.863</w:t>
            </w:r>
          </w:p>
        </w:tc>
        <w:tc>
          <w:tcPr>
            <w:tcW w:w="1285" w:type="dxa"/>
            <w:vAlign w:val="bottom"/>
          </w:tcPr>
          <w:p w14:paraId="382F1B7E" w14:textId="7D5C6208"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1.898.287</w:t>
            </w:r>
          </w:p>
        </w:tc>
      </w:tr>
      <w:tr w:rsidR="004E4CE6" w:rsidRPr="00FB38E1" w14:paraId="1C256C79" w14:textId="77777777" w:rsidTr="00431596">
        <w:tc>
          <w:tcPr>
            <w:tcW w:w="323" w:type="dxa"/>
            <w:vAlign w:val="bottom"/>
          </w:tcPr>
          <w:p w14:paraId="31E1870F"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18</w:t>
            </w:r>
          </w:p>
        </w:tc>
        <w:tc>
          <w:tcPr>
            <w:tcW w:w="5347" w:type="dxa"/>
            <w:vAlign w:val="bottom"/>
          </w:tcPr>
          <w:p w14:paraId="34071036"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İçsel model yaklaşımları</w:t>
            </w:r>
          </w:p>
        </w:tc>
        <w:tc>
          <w:tcPr>
            <w:tcW w:w="1560" w:type="dxa"/>
            <w:vAlign w:val="bottom"/>
          </w:tcPr>
          <w:p w14:paraId="0E05B638" w14:textId="107FAC90"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0C2C4A94" w14:textId="2D34C019"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1A35C724" w14:textId="47C5FE57"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63C8737E" w14:textId="77777777" w:rsidTr="00431596">
        <w:tc>
          <w:tcPr>
            <w:tcW w:w="323" w:type="dxa"/>
            <w:vAlign w:val="bottom"/>
          </w:tcPr>
          <w:p w14:paraId="62BF20DE"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19</w:t>
            </w:r>
          </w:p>
        </w:tc>
        <w:tc>
          <w:tcPr>
            <w:tcW w:w="5347" w:type="dxa"/>
            <w:vAlign w:val="bottom"/>
          </w:tcPr>
          <w:p w14:paraId="595CC65B"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Operasyonel risk</w:t>
            </w:r>
          </w:p>
        </w:tc>
        <w:tc>
          <w:tcPr>
            <w:tcW w:w="1560" w:type="dxa"/>
            <w:vAlign w:val="bottom"/>
          </w:tcPr>
          <w:p w14:paraId="57326580" w14:textId="183D643B"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64.071.160</w:t>
            </w:r>
          </w:p>
        </w:tc>
        <w:tc>
          <w:tcPr>
            <w:tcW w:w="1124" w:type="dxa"/>
            <w:vAlign w:val="bottom"/>
          </w:tcPr>
          <w:p w14:paraId="436CD48A" w14:textId="14F27E6E"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41.417.304</w:t>
            </w:r>
          </w:p>
        </w:tc>
        <w:tc>
          <w:tcPr>
            <w:tcW w:w="1285" w:type="dxa"/>
            <w:vAlign w:val="bottom"/>
          </w:tcPr>
          <w:p w14:paraId="41228155" w14:textId="531AF8A1"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5.125.693</w:t>
            </w:r>
          </w:p>
        </w:tc>
      </w:tr>
      <w:tr w:rsidR="004E4CE6" w:rsidRPr="00FB38E1" w14:paraId="15C594C1" w14:textId="77777777" w:rsidTr="00431596">
        <w:tc>
          <w:tcPr>
            <w:tcW w:w="323" w:type="dxa"/>
            <w:vAlign w:val="bottom"/>
          </w:tcPr>
          <w:p w14:paraId="1C038BE8"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20</w:t>
            </w:r>
          </w:p>
        </w:tc>
        <w:tc>
          <w:tcPr>
            <w:tcW w:w="5347" w:type="dxa"/>
            <w:vAlign w:val="bottom"/>
          </w:tcPr>
          <w:p w14:paraId="4F1B02AC"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Temel gösterge yaklaşımı</w:t>
            </w:r>
          </w:p>
        </w:tc>
        <w:tc>
          <w:tcPr>
            <w:tcW w:w="1560" w:type="dxa"/>
            <w:vAlign w:val="bottom"/>
          </w:tcPr>
          <w:p w14:paraId="5A424D96" w14:textId="1A83ADF5"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64.071.160</w:t>
            </w:r>
          </w:p>
        </w:tc>
        <w:tc>
          <w:tcPr>
            <w:tcW w:w="1124" w:type="dxa"/>
            <w:vAlign w:val="bottom"/>
          </w:tcPr>
          <w:p w14:paraId="3CA749CF" w14:textId="45BD941E"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41.417.304</w:t>
            </w:r>
          </w:p>
        </w:tc>
        <w:tc>
          <w:tcPr>
            <w:tcW w:w="1285" w:type="dxa"/>
            <w:vAlign w:val="bottom"/>
          </w:tcPr>
          <w:p w14:paraId="78C76DA0" w14:textId="2841B729"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5.125.693</w:t>
            </w:r>
          </w:p>
        </w:tc>
      </w:tr>
      <w:tr w:rsidR="004E4CE6" w:rsidRPr="00FB38E1" w14:paraId="01CD7433" w14:textId="77777777" w:rsidTr="00431596">
        <w:tc>
          <w:tcPr>
            <w:tcW w:w="323" w:type="dxa"/>
            <w:vAlign w:val="bottom"/>
          </w:tcPr>
          <w:p w14:paraId="57E86CE1"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21</w:t>
            </w:r>
          </w:p>
        </w:tc>
        <w:tc>
          <w:tcPr>
            <w:tcW w:w="5347" w:type="dxa"/>
            <w:vAlign w:val="bottom"/>
          </w:tcPr>
          <w:p w14:paraId="0AA5D97F"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Standart yaklaşım</w:t>
            </w:r>
          </w:p>
        </w:tc>
        <w:tc>
          <w:tcPr>
            <w:tcW w:w="1560" w:type="dxa"/>
            <w:vAlign w:val="bottom"/>
          </w:tcPr>
          <w:p w14:paraId="179583E1" w14:textId="70B06BE6"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5DF0FEB1" w14:textId="277B1225"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0167AFBC" w14:textId="68CDB19E"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181F9484" w14:textId="77777777" w:rsidTr="00431596">
        <w:tc>
          <w:tcPr>
            <w:tcW w:w="323" w:type="dxa"/>
            <w:vAlign w:val="bottom"/>
          </w:tcPr>
          <w:p w14:paraId="41EF8525"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22</w:t>
            </w:r>
          </w:p>
        </w:tc>
        <w:tc>
          <w:tcPr>
            <w:tcW w:w="5347" w:type="dxa"/>
            <w:vAlign w:val="bottom"/>
          </w:tcPr>
          <w:p w14:paraId="1CD3BFC2" w14:textId="77777777" w:rsidR="004E4CE6" w:rsidRPr="00FB38E1" w:rsidRDefault="004E4CE6" w:rsidP="004E4CE6">
            <w:pPr>
              <w:ind w:left="113"/>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İleri ölçüm yaklaşımı</w:t>
            </w:r>
          </w:p>
        </w:tc>
        <w:tc>
          <w:tcPr>
            <w:tcW w:w="1560" w:type="dxa"/>
            <w:vAlign w:val="bottom"/>
          </w:tcPr>
          <w:p w14:paraId="02704282" w14:textId="14F9E936"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27B41E37" w14:textId="72C41073"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43F7E52C" w14:textId="1A271C17"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109F6B3E" w14:textId="77777777" w:rsidTr="00431596">
        <w:tc>
          <w:tcPr>
            <w:tcW w:w="323" w:type="dxa"/>
          </w:tcPr>
          <w:p w14:paraId="0E914307"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23</w:t>
            </w:r>
          </w:p>
        </w:tc>
        <w:tc>
          <w:tcPr>
            <w:tcW w:w="5347" w:type="dxa"/>
            <w:vAlign w:val="bottom"/>
          </w:tcPr>
          <w:p w14:paraId="75C52A6C" w14:textId="77777777" w:rsidR="004E4CE6" w:rsidRPr="00FB38E1" w:rsidRDefault="004E4CE6" w:rsidP="004E4CE6">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Özkaynaklardan indirim eşiklerinin altındaki tutarlar (%250 risk ağırlığına tabi)</w:t>
            </w:r>
          </w:p>
        </w:tc>
        <w:tc>
          <w:tcPr>
            <w:tcW w:w="1560" w:type="dxa"/>
            <w:vAlign w:val="bottom"/>
          </w:tcPr>
          <w:p w14:paraId="27F96AFF" w14:textId="57D1FC54"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vAlign w:val="bottom"/>
          </w:tcPr>
          <w:p w14:paraId="268A728F" w14:textId="3D37B35D"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vAlign w:val="bottom"/>
          </w:tcPr>
          <w:p w14:paraId="28599B16" w14:textId="2387176E"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3E9B6D47" w14:textId="77777777" w:rsidTr="00431596">
        <w:tc>
          <w:tcPr>
            <w:tcW w:w="323" w:type="dxa"/>
            <w:tcBorders>
              <w:bottom w:val="single" w:sz="4" w:space="0" w:color="auto"/>
            </w:tcBorders>
            <w:vAlign w:val="bottom"/>
          </w:tcPr>
          <w:p w14:paraId="4EE1F19B" w14:textId="77777777" w:rsidR="004E4CE6" w:rsidRPr="00FB38E1" w:rsidRDefault="004E4CE6" w:rsidP="004E4C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24</w:t>
            </w:r>
          </w:p>
        </w:tc>
        <w:tc>
          <w:tcPr>
            <w:tcW w:w="5347" w:type="dxa"/>
            <w:tcBorders>
              <w:bottom w:val="single" w:sz="4" w:space="0" w:color="auto"/>
            </w:tcBorders>
            <w:vAlign w:val="bottom"/>
          </w:tcPr>
          <w:p w14:paraId="4CFE971B" w14:textId="77777777" w:rsidR="004E4CE6" w:rsidRPr="00FB38E1" w:rsidRDefault="004E4CE6" w:rsidP="004E4CE6">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En düşük değer ayarlamaları</w:t>
            </w:r>
          </w:p>
        </w:tc>
        <w:tc>
          <w:tcPr>
            <w:tcW w:w="1560" w:type="dxa"/>
            <w:tcBorders>
              <w:bottom w:val="single" w:sz="4" w:space="0" w:color="auto"/>
            </w:tcBorders>
            <w:vAlign w:val="bottom"/>
          </w:tcPr>
          <w:p w14:paraId="5DF7D1CE" w14:textId="3C557907"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24" w:type="dxa"/>
            <w:tcBorders>
              <w:bottom w:val="single" w:sz="4" w:space="0" w:color="auto"/>
            </w:tcBorders>
            <w:vAlign w:val="bottom"/>
          </w:tcPr>
          <w:p w14:paraId="0738B45D" w14:textId="28C3D0E1"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285" w:type="dxa"/>
            <w:tcBorders>
              <w:bottom w:val="single" w:sz="4" w:space="0" w:color="auto"/>
            </w:tcBorders>
            <w:vAlign w:val="bottom"/>
          </w:tcPr>
          <w:p w14:paraId="256C162C" w14:textId="16BA59F6" w:rsidR="004E4CE6" w:rsidRPr="00FB38E1" w:rsidRDefault="004E4CE6" w:rsidP="004E4C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E4CE6" w:rsidRPr="00FB38E1" w14:paraId="7B062ECD" w14:textId="77777777" w:rsidTr="00431596">
        <w:tc>
          <w:tcPr>
            <w:tcW w:w="323" w:type="dxa"/>
            <w:tcBorders>
              <w:top w:val="single" w:sz="4" w:space="0" w:color="auto"/>
              <w:bottom w:val="thickThinSmallGap" w:sz="24" w:space="0" w:color="auto"/>
            </w:tcBorders>
            <w:vAlign w:val="bottom"/>
          </w:tcPr>
          <w:p w14:paraId="6BBC07B8" w14:textId="77777777" w:rsidR="004E4CE6" w:rsidRPr="00FB38E1" w:rsidRDefault="004E4CE6" w:rsidP="004E4CE6">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25</w:t>
            </w:r>
          </w:p>
        </w:tc>
        <w:tc>
          <w:tcPr>
            <w:tcW w:w="5347" w:type="dxa"/>
            <w:tcBorders>
              <w:top w:val="single" w:sz="4" w:space="0" w:color="auto"/>
              <w:bottom w:val="thickThinSmallGap" w:sz="24" w:space="0" w:color="auto"/>
            </w:tcBorders>
            <w:vAlign w:val="bottom"/>
          </w:tcPr>
          <w:p w14:paraId="27811043" w14:textId="77777777" w:rsidR="004E4CE6" w:rsidRPr="00FB38E1" w:rsidRDefault="004E4CE6" w:rsidP="004E4CE6">
            <w:pPr>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Toplam (1+4+7+8+9+10+11+12+16+19+23+24)</w:t>
            </w:r>
          </w:p>
        </w:tc>
        <w:tc>
          <w:tcPr>
            <w:tcW w:w="1560" w:type="dxa"/>
            <w:tcBorders>
              <w:top w:val="single" w:sz="4" w:space="0" w:color="auto"/>
              <w:bottom w:val="thickThinSmallGap" w:sz="24" w:space="0" w:color="auto"/>
            </w:tcBorders>
            <w:vAlign w:val="bottom"/>
          </w:tcPr>
          <w:p w14:paraId="1D599BE8" w14:textId="3FCB6FA1" w:rsidR="004E4CE6" w:rsidRPr="00FB38E1" w:rsidRDefault="004E4CE6" w:rsidP="004E4C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868.337.884</w:t>
            </w:r>
          </w:p>
        </w:tc>
        <w:tc>
          <w:tcPr>
            <w:tcW w:w="1124" w:type="dxa"/>
            <w:tcBorders>
              <w:top w:val="single" w:sz="4" w:space="0" w:color="auto"/>
              <w:bottom w:val="thickThinSmallGap" w:sz="24" w:space="0" w:color="auto"/>
            </w:tcBorders>
            <w:vAlign w:val="bottom"/>
          </w:tcPr>
          <w:p w14:paraId="11BEC44A" w14:textId="23FF3DAD" w:rsidR="004E4CE6" w:rsidRPr="00FB38E1" w:rsidRDefault="004E4CE6" w:rsidP="004E4C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667.510.037</w:t>
            </w:r>
          </w:p>
        </w:tc>
        <w:tc>
          <w:tcPr>
            <w:tcW w:w="1285" w:type="dxa"/>
            <w:tcBorders>
              <w:top w:val="single" w:sz="4" w:space="0" w:color="auto"/>
              <w:bottom w:val="thickThinSmallGap" w:sz="24" w:space="0" w:color="auto"/>
            </w:tcBorders>
            <w:vAlign w:val="bottom"/>
          </w:tcPr>
          <w:p w14:paraId="5E7CF66A" w14:textId="2CF4C5BA" w:rsidR="004E4CE6" w:rsidRPr="00FB38E1" w:rsidRDefault="004E4CE6" w:rsidP="004E4CE6">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69.467.031</w:t>
            </w:r>
          </w:p>
        </w:tc>
      </w:tr>
    </w:tbl>
    <w:p w14:paraId="47248A1D" w14:textId="25C29083" w:rsidR="00E036D3" w:rsidRPr="00FB38E1" w:rsidRDefault="006179CF"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xml:space="preserve">(*) Tabloda yer verilen tutarlara MKT-Garanti Fonu Tutarları Riskine Esas Tutar olan </w:t>
      </w:r>
      <w:r w:rsidR="004F5345" w:rsidRPr="00FB38E1">
        <w:rPr>
          <w:rFonts w:ascii="Microsoft Sans Serif" w:hAnsi="Microsoft Sans Serif" w:cs="Microsoft Sans Serif"/>
          <w:color w:val="404040" w:themeColor="text1" w:themeTint="BF"/>
          <w:sz w:val="14"/>
          <w:szCs w:val="14"/>
        </w:rPr>
        <w:t>1</w:t>
      </w:r>
      <w:r w:rsidR="004E4CE6" w:rsidRPr="00FB38E1">
        <w:rPr>
          <w:rFonts w:ascii="Microsoft Sans Serif" w:hAnsi="Microsoft Sans Serif" w:cs="Microsoft Sans Serif"/>
          <w:color w:val="404040" w:themeColor="text1" w:themeTint="BF"/>
          <w:sz w:val="14"/>
          <w:szCs w:val="14"/>
        </w:rPr>
        <w:t>09</w:t>
      </w:r>
      <w:r w:rsidRPr="00FB38E1">
        <w:rPr>
          <w:rFonts w:ascii="Microsoft Sans Serif" w:hAnsi="Microsoft Sans Serif" w:cs="Microsoft Sans Serif"/>
          <w:color w:val="404040" w:themeColor="text1" w:themeTint="BF"/>
          <w:sz w:val="14"/>
          <w:szCs w:val="14"/>
        </w:rPr>
        <w:t xml:space="preserve"> TL </w:t>
      </w:r>
      <w:r w:rsidR="0001080E" w:rsidRPr="00FB38E1">
        <w:rPr>
          <w:rFonts w:ascii="Microsoft Sans Serif" w:hAnsi="Microsoft Sans Serif" w:cs="Microsoft Sans Serif"/>
          <w:color w:val="404040" w:themeColor="text1" w:themeTint="BF"/>
          <w:sz w:val="14"/>
          <w:szCs w:val="14"/>
        </w:rPr>
        <w:t>(</w:t>
      </w:r>
      <w:bookmarkStart w:id="39" w:name="_Hlk188456283"/>
      <w:r w:rsidR="0001080E" w:rsidRPr="00FB38E1">
        <w:rPr>
          <w:rFonts w:ascii="Microsoft Sans Serif" w:hAnsi="Microsoft Sans Serif" w:cs="Microsoft Sans Serif"/>
          <w:color w:val="404040" w:themeColor="text1" w:themeTint="BF"/>
          <w:sz w:val="14"/>
          <w:szCs w:val="14"/>
        </w:rPr>
        <w:t>31 Aralık 2023: 115 TL)</w:t>
      </w:r>
      <w:bookmarkEnd w:id="39"/>
      <w:r w:rsidR="0001080E" w:rsidRPr="00FB38E1">
        <w:rPr>
          <w:rFonts w:ascii="Microsoft Sans Serif" w:hAnsi="Microsoft Sans Serif" w:cs="Microsoft Sans Serif"/>
          <w:color w:val="404040" w:themeColor="text1" w:themeTint="BF"/>
          <w:sz w:val="14"/>
          <w:szCs w:val="14"/>
        </w:rPr>
        <w:t xml:space="preserve"> </w:t>
      </w:r>
      <w:r w:rsidRPr="00FB38E1">
        <w:rPr>
          <w:rFonts w:ascii="Microsoft Sans Serif" w:hAnsi="Microsoft Sans Serif" w:cs="Microsoft Sans Serif"/>
          <w:color w:val="404040" w:themeColor="text1" w:themeTint="BF"/>
          <w:sz w:val="14"/>
          <w:szCs w:val="14"/>
        </w:rPr>
        <w:t>dahil değildir.</w:t>
      </w:r>
      <w:bookmarkEnd w:id="33"/>
    </w:p>
    <w:p w14:paraId="16549C80" w14:textId="4704A7C0"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18A45502" w14:textId="735DE28C"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73C9173B" w14:textId="048D34BD"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382CE557" w14:textId="2D671AAA"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6776C05A" w14:textId="51BE194E"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04DDB2A9" w14:textId="481BB165"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69714BC7" w14:textId="3A74F433"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33C91960" w14:textId="44DF5157"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46404BCD" w14:textId="2BA8BF1B"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03B83B2A" w14:textId="4DC27141"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377FB0E4" w14:textId="38B1F258"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1DAAF9CE" w14:textId="433E1386"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3F7FE4A8" w14:textId="2873C6DE"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7CA0F136" w14:textId="45529828"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0CA413F8" w14:textId="0D9ED7FB"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21D06538" w14:textId="52C7CF30"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566446F8" w14:textId="60036C76"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7E64D8EF" w14:textId="7DE34281"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127B4E78" w14:textId="1F7E11F6"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4283BEF8" w14:textId="5341F733"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24B547D4" w14:textId="599163DC"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39B0D294" w14:textId="4F8B4192"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2C5F54A8" w14:textId="77777777" w:rsidR="00B94420" w:rsidRPr="00FB38E1" w:rsidRDefault="00B9442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p>
    <w:p w14:paraId="77C53AA1" w14:textId="77777777" w:rsidR="00E036D3" w:rsidRPr="00FB38E1" w:rsidRDefault="00E036D3" w:rsidP="00E036D3">
      <w:pPr>
        <w:pStyle w:val="ListParagraph"/>
        <w:numPr>
          <w:ilvl w:val="0"/>
          <w:numId w:val="44"/>
        </w:numPr>
        <w:autoSpaceDE w:val="0"/>
        <w:autoSpaceDN w:val="0"/>
        <w:adjustRightInd w:val="0"/>
        <w:spacing w:before="60" w:after="120" w:line="240" w:lineRule="exact"/>
        <w:ind w:left="0" w:hanging="56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Finansal tablolar ve risk tutarları arasındaki bağlantılar</w:t>
      </w:r>
    </w:p>
    <w:p w14:paraId="64672B45" w14:textId="77777777" w:rsidR="00E036D3" w:rsidRPr="00FB38E1" w:rsidRDefault="00E036D3" w:rsidP="00364B59">
      <w:pPr>
        <w:numPr>
          <w:ilvl w:val="0"/>
          <w:numId w:val="54"/>
        </w:numPr>
        <w:spacing w:before="240" w:after="120" w:line="240" w:lineRule="exact"/>
        <w:ind w:left="0" w:hanging="425"/>
        <w:rPr>
          <w:rFonts w:ascii="Microsoft Sans Serif" w:hAnsi="Microsoft Sans Serif" w:cs="Microsoft Sans Serif"/>
          <w:b/>
          <w:sz w:val="20"/>
          <w:szCs w:val="20"/>
        </w:rPr>
      </w:pPr>
      <w:r w:rsidRPr="00FB38E1">
        <w:rPr>
          <w:rFonts w:ascii="Microsoft Sans Serif" w:hAnsi="Microsoft Sans Serif" w:cs="Microsoft Sans Serif"/>
          <w:b/>
          <w:sz w:val="20"/>
          <w:szCs w:val="20"/>
        </w:rPr>
        <w:t>Finansal tablolardaki TMS uyarınca değerlenmiş tutarlar ve eşleştirme</w:t>
      </w:r>
    </w:p>
    <w:tbl>
      <w:tblPr>
        <w:tblStyle w:val="TableGrid2"/>
        <w:tblW w:w="953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06"/>
        <w:gridCol w:w="139"/>
        <w:gridCol w:w="965"/>
        <w:gridCol w:w="1106"/>
        <w:gridCol w:w="765"/>
        <w:gridCol w:w="343"/>
        <w:gridCol w:w="650"/>
        <w:gridCol w:w="446"/>
        <w:gridCol w:w="402"/>
        <w:gridCol w:w="555"/>
        <w:gridCol w:w="933"/>
        <w:gridCol w:w="25"/>
      </w:tblGrid>
      <w:tr w:rsidR="00E036D3" w:rsidRPr="00FB38E1" w14:paraId="4EF6D6FF" w14:textId="77777777" w:rsidTr="00836EF2">
        <w:trPr>
          <w:gridAfter w:val="1"/>
          <w:wAfter w:w="13" w:type="pct"/>
        </w:trPr>
        <w:tc>
          <w:tcPr>
            <w:tcW w:w="1681" w:type="pct"/>
          </w:tcPr>
          <w:p w14:paraId="64F3EEC6" w14:textId="77777777" w:rsidR="00E036D3" w:rsidRPr="00FB38E1" w:rsidRDefault="00E036D3" w:rsidP="00836EF2">
            <w:pPr>
              <w:rPr>
                <w:rFonts w:ascii="Microsoft Sans Serif" w:hAnsi="Microsoft Sans Serif" w:cs="Microsoft Sans Serif"/>
                <w:sz w:val="14"/>
                <w:szCs w:val="14"/>
              </w:rPr>
            </w:pPr>
          </w:p>
        </w:tc>
        <w:tc>
          <w:tcPr>
            <w:tcW w:w="579" w:type="pct"/>
            <w:gridSpan w:val="2"/>
            <w:tcBorders>
              <w:top w:val="thinThickSmallGap" w:sz="24" w:space="0" w:color="auto"/>
              <w:bottom w:val="single" w:sz="4" w:space="0" w:color="auto"/>
            </w:tcBorders>
            <w:tcMar>
              <w:left w:w="0" w:type="dxa"/>
              <w:right w:w="0" w:type="dxa"/>
            </w:tcMar>
          </w:tcPr>
          <w:p w14:paraId="7D1C13AB"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a</w:t>
            </w:r>
          </w:p>
        </w:tc>
        <w:tc>
          <w:tcPr>
            <w:tcW w:w="580" w:type="pct"/>
            <w:tcBorders>
              <w:top w:val="thinThickSmallGap" w:sz="24" w:space="0" w:color="auto"/>
              <w:bottom w:val="single" w:sz="4" w:space="0" w:color="auto"/>
            </w:tcBorders>
            <w:tcMar>
              <w:left w:w="0" w:type="dxa"/>
              <w:right w:w="0" w:type="dxa"/>
            </w:tcMar>
          </w:tcPr>
          <w:p w14:paraId="392B7CFC"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c</w:t>
            </w:r>
          </w:p>
        </w:tc>
        <w:tc>
          <w:tcPr>
            <w:tcW w:w="581" w:type="pct"/>
            <w:gridSpan w:val="2"/>
            <w:tcBorders>
              <w:top w:val="thinThickSmallGap" w:sz="24" w:space="0" w:color="auto"/>
              <w:bottom w:val="single" w:sz="4" w:space="0" w:color="auto"/>
            </w:tcBorders>
            <w:tcMar>
              <w:left w:w="0" w:type="dxa"/>
              <w:right w:w="0" w:type="dxa"/>
            </w:tcMar>
          </w:tcPr>
          <w:p w14:paraId="54669EBF"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d</w:t>
            </w:r>
          </w:p>
        </w:tc>
        <w:tc>
          <w:tcPr>
            <w:tcW w:w="575" w:type="pct"/>
            <w:gridSpan w:val="2"/>
            <w:tcBorders>
              <w:top w:val="thinThickSmallGap" w:sz="24" w:space="0" w:color="auto"/>
              <w:bottom w:val="single" w:sz="4" w:space="0" w:color="auto"/>
            </w:tcBorders>
            <w:tcMar>
              <w:left w:w="0" w:type="dxa"/>
              <w:right w:w="0" w:type="dxa"/>
            </w:tcMar>
          </w:tcPr>
          <w:p w14:paraId="7FE4DEFF"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w:t>
            </w:r>
          </w:p>
        </w:tc>
        <w:tc>
          <w:tcPr>
            <w:tcW w:w="502" w:type="pct"/>
            <w:gridSpan w:val="2"/>
            <w:tcBorders>
              <w:top w:val="thinThickSmallGap" w:sz="24" w:space="0" w:color="auto"/>
              <w:bottom w:val="single" w:sz="4" w:space="0" w:color="auto"/>
            </w:tcBorders>
            <w:tcMar>
              <w:left w:w="0" w:type="dxa"/>
              <w:right w:w="0" w:type="dxa"/>
            </w:tcMar>
          </w:tcPr>
          <w:p w14:paraId="0A4BE62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f</w:t>
            </w:r>
          </w:p>
        </w:tc>
        <w:tc>
          <w:tcPr>
            <w:tcW w:w="489" w:type="pct"/>
            <w:tcBorders>
              <w:top w:val="thinThickSmallGap" w:sz="24" w:space="0" w:color="auto"/>
              <w:bottom w:val="single" w:sz="4" w:space="0" w:color="auto"/>
            </w:tcBorders>
            <w:tcMar>
              <w:left w:w="0" w:type="dxa"/>
              <w:right w:w="0" w:type="dxa"/>
            </w:tcMar>
          </w:tcPr>
          <w:p w14:paraId="1CC865D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g</w:t>
            </w:r>
          </w:p>
        </w:tc>
      </w:tr>
      <w:tr w:rsidR="00E036D3" w:rsidRPr="00FB38E1" w14:paraId="46D09F60" w14:textId="77777777" w:rsidTr="00431596">
        <w:tc>
          <w:tcPr>
            <w:tcW w:w="1754" w:type="pct"/>
            <w:gridSpan w:val="2"/>
            <w:tcBorders>
              <w:bottom w:val="nil"/>
            </w:tcBorders>
          </w:tcPr>
          <w:p w14:paraId="6EA2C6D5" w14:textId="77777777" w:rsidR="00E036D3" w:rsidRPr="00FB38E1" w:rsidRDefault="00E036D3" w:rsidP="00836EF2">
            <w:pPr>
              <w:rPr>
                <w:rFonts w:ascii="Microsoft Sans Serif" w:hAnsi="Microsoft Sans Serif" w:cs="Microsoft Sans Serif"/>
                <w:sz w:val="14"/>
                <w:szCs w:val="14"/>
              </w:rPr>
            </w:pPr>
          </w:p>
        </w:tc>
        <w:tc>
          <w:tcPr>
            <w:tcW w:w="506" w:type="pct"/>
            <w:vMerge w:val="restart"/>
            <w:tcBorders>
              <w:top w:val="single" w:sz="4" w:space="0" w:color="auto"/>
              <w:bottom w:val="nil"/>
            </w:tcBorders>
            <w:tcMar>
              <w:left w:w="28" w:type="dxa"/>
              <w:right w:w="28" w:type="dxa"/>
            </w:tcMar>
            <w:vAlign w:val="bottom"/>
          </w:tcPr>
          <w:p w14:paraId="75B2BD2E"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TMS uyarınca değerlenmiş tutar</w:t>
            </w:r>
          </w:p>
        </w:tc>
        <w:tc>
          <w:tcPr>
            <w:tcW w:w="2740" w:type="pct"/>
            <w:gridSpan w:val="9"/>
            <w:tcBorders>
              <w:top w:val="single" w:sz="4" w:space="0" w:color="auto"/>
              <w:bottom w:val="single" w:sz="4" w:space="0" w:color="auto"/>
            </w:tcBorders>
            <w:tcMar>
              <w:left w:w="28" w:type="dxa"/>
              <w:right w:w="28" w:type="dxa"/>
            </w:tcMar>
            <w:vAlign w:val="bottom"/>
          </w:tcPr>
          <w:p w14:paraId="65108BD0"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Kalemlerin TMS uyarınca değerlenmiş tutarı</w:t>
            </w:r>
          </w:p>
        </w:tc>
      </w:tr>
      <w:tr w:rsidR="00E036D3" w:rsidRPr="00FB38E1" w14:paraId="60EBEE9E" w14:textId="77777777" w:rsidTr="00431596">
        <w:trPr>
          <w:trHeight w:val="313"/>
        </w:trPr>
        <w:tc>
          <w:tcPr>
            <w:tcW w:w="1754" w:type="pct"/>
            <w:gridSpan w:val="2"/>
            <w:tcBorders>
              <w:top w:val="nil"/>
              <w:bottom w:val="single" w:sz="4" w:space="0" w:color="auto"/>
            </w:tcBorders>
            <w:vAlign w:val="center"/>
          </w:tcPr>
          <w:p w14:paraId="4C7F0688" w14:textId="77777777" w:rsidR="00E036D3" w:rsidRPr="00FB38E1" w:rsidRDefault="00E036D3" w:rsidP="00836EF2">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Cari Dönem</w:t>
            </w:r>
          </w:p>
        </w:tc>
        <w:tc>
          <w:tcPr>
            <w:tcW w:w="506" w:type="pct"/>
            <w:vMerge/>
            <w:tcBorders>
              <w:top w:val="nil"/>
              <w:bottom w:val="single" w:sz="4" w:space="0" w:color="auto"/>
            </w:tcBorders>
            <w:tcMar>
              <w:left w:w="28" w:type="dxa"/>
              <w:right w:w="28" w:type="dxa"/>
            </w:tcMar>
            <w:vAlign w:val="center"/>
          </w:tcPr>
          <w:p w14:paraId="402A7562" w14:textId="77777777" w:rsidR="00E036D3" w:rsidRPr="00FB38E1" w:rsidRDefault="00E036D3" w:rsidP="00836EF2">
            <w:pPr>
              <w:jc w:val="center"/>
              <w:rPr>
                <w:rFonts w:ascii="Microsoft Sans Serif" w:hAnsi="Microsoft Sans Serif" w:cs="Microsoft Sans Serif"/>
                <w:b/>
                <w:sz w:val="14"/>
                <w:szCs w:val="14"/>
              </w:rPr>
            </w:pPr>
          </w:p>
        </w:tc>
        <w:tc>
          <w:tcPr>
            <w:tcW w:w="580" w:type="pct"/>
            <w:tcBorders>
              <w:top w:val="single" w:sz="4" w:space="0" w:color="auto"/>
              <w:bottom w:val="single" w:sz="4" w:space="0" w:color="auto"/>
            </w:tcBorders>
            <w:tcMar>
              <w:left w:w="28" w:type="dxa"/>
              <w:right w:w="28" w:type="dxa"/>
            </w:tcMar>
            <w:vAlign w:val="center"/>
          </w:tcPr>
          <w:p w14:paraId="37E6129C"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Kredi riskine </w:t>
            </w:r>
          </w:p>
          <w:p w14:paraId="1064B4A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tabi</w:t>
            </w:r>
          </w:p>
        </w:tc>
        <w:tc>
          <w:tcPr>
            <w:tcW w:w="401" w:type="pct"/>
            <w:tcBorders>
              <w:top w:val="single" w:sz="4" w:space="0" w:color="auto"/>
              <w:bottom w:val="single" w:sz="4" w:space="0" w:color="auto"/>
            </w:tcBorders>
            <w:tcMar>
              <w:left w:w="28" w:type="dxa"/>
              <w:right w:w="28" w:type="dxa"/>
            </w:tcMar>
            <w:vAlign w:val="center"/>
          </w:tcPr>
          <w:p w14:paraId="027242AF"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Karşı taraf kredi riskine tabi</w:t>
            </w:r>
          </w:p>
        </w:tc>
        <w:tc>
          <w:tcPr>
            <w:tcW w:w="521" w:type="pct"/>
            <w:gridSpan w:val="2"/>
            <w:tcBorders>
              <w:top w:val="single" w:sz="4" w:space="0" w:color="auto"/>
              <w:bottom w:val="single" w:sz="4" w:space="0" w:color="auto"/>
            </w:tcBorders>
            <w:tcMar>
              <w:left w:w="28" w:type="dxa"/>
              <w:right w:w="28" w:type="dxa"/>
            </w:tcMar>
            <w:vAlign w:val="center"/>
          </w:tcPr>
          <w:p w14:paraId="7474DDE8"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Menkul kıymetleştirme pozisyonları</w:t>
            </w:r>
          </w:p>
        </w:tc>
        <w:tc>
          <w:tcPr>
            <w:tcW w:w="445" w:type="pct"/>
            <w:gridSpan w:val="2"/>
            <w:tcBorders>
              <w:top w:val="single" w:sz="4" w:space="0" w:color="auto"/>
              <w:bottom w:val="single" w:sz="4" w:space="0" w:color="auto"/>
            </w:tcBorders>
            <w:tcMar>
              <w:left w:w="28" w:type="dxa"/>
              <w:right w:w="28" w:type="dxa"/>
            </w:tcMar>
            <w:vAlign w:val="center"/>
          </w:tcPr>
          <w:p w14:paraId="4271FF2D"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Piyasa riskine tabi</w:t>
            </w:r>
          </w:p>
        </w:tc>
        <w:tc>
          <w:tcPr>
            <w:tcW w:w="793" w:type="pct"/>
            <w:gridSpan w:val="3"/>
            <w:tcBorders>
              <w:top w:val="single" w:sz="4" w:space="0" w:color="auto"/>
              <w:bottom w:val="single" w:sz="4" w:space="0" w:color="auto"/>
            </w:tcBorders>
            <w:tcMar>
              <w:left w:w="28" w:type="dxa"/>
              <w:right w:w="28" w:type="dxa"/>
            </w:tcMar>
            <w:vAlign w:val="center"/>
          </w:tcPr>
          <w:p w14:paraId="2A572F80"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Serm.</w:t>
            </w:r>
          </w:p>
          <w:p w14:paraId="6DC60648"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yüküm. tabi olmayan veya sermayeden indirilen</w:t>
            </w:r>
          </w:p>
        </w:tc>
      </w:tr>
      <w:tr w:rsidR="00E036D3" w:rsidRPr="00FB38E1" w14:paraId="63DE9190" w14:textId="77777777" w:rsidTr="00431596">
        <w:tc>
          <w:tcPr>
            <w:tcW w:w="1754" w:type="pct"/>
            <w:gridSpan w:val="2"/>
            <w:tcBorders>
              <w:top w:val="single" w:sz="4" w:space="0" w:color="auto"/>
              <w:bottom w:val="nil"/>
            </w:tcBorders>
            <w:tcMar>
              <w:left w:w="28" w:type="dxa"/>
            </w:tcMar>
          </w:tcPr>
          <w:p w14:paraId="562E03FB" w14:textId="77777777" w:rsidR="00E036D3" w:rsidRPr="00FB38E1" w:rsidRDefault="00E036D3" w:rsidP="00836EF2">
            <w:pPr>
              <w:rPr>
                <w:rFonts w:ascii="Microsoft Sans Serif" w:hAnsi="Microsoft Sans Serif" w:cs="Microsoft Sans Serif"/>
                <w:b/>
                <w:sz w:val="14"/>
                <w:szCs w:val="14"/>
              </w:rPr>
            </w:pPr>
            <w:r w:rsidRPr="00FB38E1">
              <w:rPr>
                <w:rFonts w:ascii="Microsoft Sans Serif" w:hAnsi="Microsoft Sans Serif" w:cs="Microsoft Sans Serif"/>
                <w:b/>
                <w:sz w:val="14"/>
                <w:szCs w:val="14"/>
              </w:rPr>
              <w:t>Varlıklar</w:t>
            </w:r>
          </w:p>
        </w:tc>
        <w:tc>
          <w:tcPr>
            <w:tcW w:w="506" w:type="pct"/>
            <w:tcBorders>
              <w:top w:val="single" w:sz="4" w:space="0" w:color="auto"/>
              <w:bottom w:val="nil"/>
            </w:tcBorders>
            <w:tcMar>
              <w:right w:w="57" w:type="dxa"/>
            </w:tcMar>
            <w:vAlign w:val="center"/>
          </w:tcPr>
          <w:p w14:paraId="3E5B9331" w14:textId="77777777" w:rsidR="00E036D3" w:rsidRPr="00FB38E1" w:rsidRDefault="00E036D3" w:rsidP="00836EF2">
            <w:pPr>
              <w:jc w:val="right"/>
              <w:rPr>
                <w:rFonts w:ascii="Microsoft Sans Serif" w:hAnsi="Microsoft Sans Serif" w:cs="Microsoft Sans Serif"/>
                <w:sz w:val="14"/>
                <w:szCs w:val="14"/>
              </w:rPr>
            </w:pPr>
          </w:p>
        </w:tc>
        <w:tc>
          <w:tcPr>
            <w:tcW w:w="580" w:type="pct"/>
            <w:tcBorders>
              <w:top w:val="single" w:sz="4" w:space="0" w:color="auto"/>
              <w:bottom w:val="nil"/>
            </w:tcBorders>
            <w:tcMar>
              <w:right w:w="57" w:type="dxa"/>
            </w:tcMar>
            <w:vAlign w:val="center"/>
          </w:tcPr>
          <w:p w14:paraId="5A2AA4ED" w14:textId="77777777" w:rsidR="00E036D3" w:rsidRPr="00FB38E1" w:rsidRDefault="00E036D3" w:rsidP="00836EF2">
            <w:pPr>
              <w:jc w:val="right"/>
              <w:rPr>
                <w:rFonts w:ascii="Microsoft Sans Serif" w:hAnsi="Microsoft Sans Serif" w:cs="Microsoft Sans Serif"/>
                <w:sz w:val="14"/>
                <w:szCs w:val="14"/>
              </w:rPr>
            </w:pPr>
          </w:p>
        </w:tc>
        <w:tc>
          <w:tcPr>
            <w:tcW w:w="401" w:type="pct"/>
            <w:tcBorders>
              <w:top w:val="single" w:sz="4" w:space="0" w:color="auto"/>
              <w:bottom w:val="nil"/>
            </w:tcBorders>
            <w:tcMar>
              <w:right w:w="57" w:type="dxa"/>
            </w:tcMar>
            <w:vAlign w:val="center"/>
          </w:tcPr>
          <w:p w14:paraId="3106080B" w14:textId="77777777" w:rsidR="00E036D3" w:rsidRPr="00FB38E1" w:rsidRDefault="00E036D3" w:rsidP="00836EF2">
            <w:pPr>
              <w:jc w:val="right"/>
              <w:rPr>
                <w:rFonts w:ascii="Microsoft Sans Serif" w:hAnsi="Microsoft Sans Serif" w:cs="Microsoft Sans Serif"/>
                <w:sz w:val="14"/>
                <w:szCs w:val="14"/>
              </w:rPr>
            </w:pPr>
          </w:p>
        </w:tc>
        <w:tc>
          <w:tcPr>
            <w:tcW w:w="521" w:type="pct"/>
            <w:gridSpan w:val="2"/>
            <w:tcBorders>
              <w:top w:val="single" w:sz="4" w:space="0" w:color="auto"/>
              <w:bottom w:val="nil"/>
            </w:tcBorders>
            <w:tcMar>
              <w:right w:w="57" w:type="dxa"/>
            </w:tcMar>
            <w:vAlign w:val="center"/>
          </w:tcPr>
          <w:p w14:paraId="4F6F4FB5" w14:textId="77777777" w:rsidR="00E036D3" w:rsidRPr="00FB38E1" w:rsidRDefault="00E036D3" w:rsidP="00836EF2">
            <w:pPr>
              <w:jc w:val="right"/>
              <w:rPr>
                <w:rFonts w:ascii="Microsoft Sans Serif" w:hAnsi="Microsoft Sans Serif" w:cs="Microsoft Sans Serif"/>
                <w:sz w:val="14"/>
                <w:szCs w:val="14"/>
              </w:rPr>
            </w:pPr>
          </w:p>
        </w:tc>
        <w:tc>
          <w:tcPr>
            <w:tcW w:w="445" w:type="pct"/>
            <w:gridSpan w:val="2"/>
            <w:tcBorders>
              <w:top w:val="single" w:sz="4" w:space="0" w:color="auto"/>
              <w:bottom w:val="nil"/>
            </w:tcBorders>
            <w:tcMar>
              <w:right w:w="57" w:type="dxa"/>
            </w:tcMar>
            <w:vAlign w:val="center"/>
          </w:tcPr>
          <w:p w14:paraId="7C51B80E" w14:textId="77777777" w:rsidR="00E036D3" w:rsidRPr="00FB38E1" w:rsidRDefault="00E036D3" w:rsidP="00836EF2">
            <w:pPr>
              <w:jc w:val="right"/>
              <w:rPr>
                <w:rFonts w:ascii="Microsoft Sans Serif" w:hAnsi="Microsoft Sans Serif" w:cs="Microsoft Sans Serif"/>
                <w:sz w:val="14"/>
                <w:szCs w:val="14"/>
              </w:rPr>
            </w:pPr>
          </w:p>
        </w:tc>
        <w:tc>
          <w:tcPr>
            <w:tcW w:w="793" w:type="pct"/>
            <w:gridSpan w:val="3"/>
            <w:tcBorders>
              <w:top w:val="single" w:sz="4" w:space="0" w:color="auto"/>
              <w:bottom w:val="nil"/>
            </w:tcBorders>
            <w:tcMar>
              <w:right w:w="57" w:type="dxa"/>
            </w:tcMar>
            <w:vAlign w:val="center"/>
          </w:tcPr>
          <w:p w14:paraId="660EE11A" w14:textId="77777777" w:rsidR="00E036D3" w:rsidRPr="00FB38E1" w:rsidRDefault="00E036D3" w:rsidP="00836EF2">
            <w:pPr>
              <w:jc w:val="right"/>
              <w:rPr>
                <w:rFonts w:ascii="Microsoft Sans Serif" w:hAnsi="Microsoft Sans Serif" w:cs="Microsoft Sans Serif"/>
                <w:sz w:val="14"/>
                <w:szCs w:val="14"/>
              </w:rPr>
            </w:pPr>
          </w:p>
        </w:tc>
      </w:tr>
      <w:tr w:rsidR="009A1A17" w:rsidRPr="00FB38E1" w14:paraId="584E6F23" w14:textId="77777777" w:rsidTr="00431596">
        <w:tc>
          <w:tcPr>
            <w:tcW w:w="1754" w:type="pct"/>
            <w:gridSpan w:val="2"/>
            <w:tcBorders>
              <w:top w:val="nil"/>
              <w:bottom w:val="nil"/>
            </w:tcBorders>
            <w:vAlign w:val="center"/>
          </w:tcPr>
          <w:p w14:paraId="6C832976"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Nakit değerler ve Merkez Bankası</w:t>
            </w:r>
          </w:p>
        </w:tc>
        <w:tc>
          <w:tcPr>
            <w:tcW w:w="506" w:type="pct"/>
            <w:tcBorders>
              <w:top w:val="nil"/>
              <w:left w:val="nil"/>
              <w:bottom w:val="nil"/>
              <w:right w:val="nil"/>
            </w:tcBorders>
            <w:shd w:val="clear" w:color="auto" w:fill="auto"/>
            <w:tcMar>
              <w:left w:w="0" w:type="dxa"/>
              <w:right w:w="57" w:type="dxa"/>
            </w:tcMar>
            <w:vAlign w:val="center"/>
          </w:tcPr>
          <w:p w14:paraId="7EDA8023" w14:textId="4A8E31D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214.067.416</w:t>
            </w:r>
          </w:p>
        </w:tc>
        <w:tc>
          <w:tcPr>
            <w:tcW w:w="580" w:type="pct"/>
            <w:tcBorders>
              <w:top w:val="nil"/>
              <w:left w:val="nil"/>
              <w:bottom w:val="nil"/>
              <w:right w:val="nil"/>
            </w:tcBorders>
            <w:shd w:val="clear" w:color="auto" w:fill="auto"/>
            <w:tcMar>
              <w:left w:w="0" w:type="dxa"/>
              <w:right w:w="57" w:type="dxa"/>
            </w:tcMar>
            <w:vAlign w:val="center"/>
          </w:tcPr>
          <w:p w14:paraId="1F72AAB0" w14:textId="47FD077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214.067.416</w:t>
            </w:r>
          </w:p>
        </w:tc>
        <w:tc>
          <w:tcPr>
            <w:tcW w:w="401" w:type="pct"/>
            <w:tcBorders>
              <w:top w:val="nil"/>
              <w:left w:val="nil"/>
              <w:bottom w:val="nil"/>
              <w:right w:val="nil"/>
            </w:tcBorders>
            <w:shd w:val="clear" w:color="auto" w:fill="auto"/>
            <w:tcMar>
              <w:left w:w="0" w:type="dxa"/>
              <w:right w:w="57" w:type="dxa"/>
            </w:tcMar>
            <w:vAlign w:val="center"/>
          </w:tcPr>
          <w:p w14:paraId="0D0AF20A" w14:textId="7C07FC6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77F423C6" w14:textId="7F28C51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6C0D6155" w14:textId="5934241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585BE433" w14:textId="4726FB2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0E654E01" w14:textId="77777777" w:rsidTr="00431596">
        <w:tc>
          <w:tcPr>
            <w:tcW w:w="1754" w:type="pct"/>
            <w:gridSpan w:val="2"/>
            <w:tcBorders>
              <w:top w:val="nil"/>
              <w:bottom w:val="nil"/>
            </w:tcBorders>
            <w:vAlign w:val="center"/>
          </w:tcPr>
          <w:p w14:paraId="540A8029"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Bankalar</w:t>
            </w:r>
          </w:p>
        </w:tc>
        <w:tc>
          <w:tcPr>
            <w:tcW w:w="506" w:type="pct"/>
            <w:tcBorders>
              <w:top w:val="nil"/>
              <w:left w:val="nil"/>
              <w:bottom w:val="nil"/>
              <w:right w:val="nil"/>
            </w:tcBorders>
            <w:shd w:val="clear" w:color="auto" w:fill="auto"/>
            <w:tcMar>
              <w:left w:w="0" w:type="dxa"/>
              <w:right w:w="57" w:type="dxa"/>
            </w:tcMar>
            <w:vAlign w:val="center"/>
          </w:tcPr>
          <w:p w14:paraId="31E374B2" w14:textId="7C8A616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20.577.432</w:t>
            </w:r>
          </w:p>
        </w:tc>
        <w:tc>
          <w:tcPr>
            <w:tcW w:w="580" w:type="pct"/>
            <w:tcBorders>
              <w:top w:val="nil"/>
              <w:left w:val="nil"/>
              <w:bottom w:val="nil"/>
              <w:right w:val="nil"/>
            </w:tcBorders>
            <w:shd w:val="clear" w:color="auto" w:fill="auto"/>
            <w:tcMar>
              <w:left w:w="0" w:type="dxa"/>
              <w:right w:w="57" w:type="dxa"/>
            </w:tcMar>
            <w:vAlign w:val="center"/>
          </w:tcPr>
          <w:p w14:paraId="7E00954B" w14:textId="645FEB2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20.578.127</w:t>
            </w:r>
          </w:p>
        </w:tc>
        <w:tc>
          <w:tcPr>
            <w:tcW w:w="401" w:type="pct"/>
            <w:tcBorders>
              <w:top w:val="nil"/>
              <w:left w:val="nil"/>
              <w:bottom w:val="nil"/>
              <w:right w:val="nil"/>
            </w:tcBorders>
            <w:shd w:val="clear" w:color="auto" w:fill="auto"/>
            <w:tcMar>
              <w:left w:w="0" w:type="dxa"/>
              <w:right w:w="57" w:type="dxa"/>
            </w:tcMar>
            <w:vAlign w:val="center"/>
          </w:tcPr>
          <w:p w14:paraId="776C6D22" w14:textId="3A9CC3E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15A39A2E" w14:textId="6127D73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405E8EAF" w14:textId="385A9FB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06949D5B" w14:textId="204DEFF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106AB519" w14:textId="77777777" w:rsidTr="00431596">
        <w:tc>
          <w:tcPr>
            <w:tcW w:w="1754" w:type="pct"/>
            <w:gridSpan w:val="2"/>
            <w:tcBorders>
              <w:top w:val="nil"/>
              <w:bottom w:val="nil"/>
            </w:tcBorders>
            <w:vAlign w:val="center"/>
          </w:tcPr>
          <w:p w14:paraId="5F6E3AB4"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Para piyasalarından alacaklar</w:t>
            </w:r>
          </w:p>
        </w:tc>
        <w:tc>
          <w:tcPr>
            <w:tcW w:w="506" w:type="pct"/>
            <w:tcBorders>
              <w:top w:val="nil"/>
              <w:left w:val="nil"/>
              <w:bottom w:val="nil"/>
              <w:right w:val="nil"/>
            </w:tcBorders>
            <w:shd w:val="clear" w:color="auto" w:fill="auto"/>
            <w:tcMar>
              <w:left w:w="0" w:type="dxa"/>
              <w:right w:w="57" w:type="dxa"/>
            </w:tcMar>
            <w:vAlign w:val="center"/>
          </w:tcPr>
          <w:p w14:paraId="22CEEA07" w14:textId="3DCE2E4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76.567.876</w:t>
            </w:r>
          </w:p>
        </w:tc>
        <w:tc>
          <w:tcPr>
            <w:tcW w:w="580" w:type="pct"/>
            <w:tcBorders>
              <w:top w:val="nil"/>
              <w:left w:val="nil"/>
              <w:bottom w:val="nil"/>
              <w:right w:val="nil"/>
            </w:tcBorders>
            <w:shd w:val="clear" w:color="auto" w:fill="auto"/>
            <w:tcMar>
              <w:left w:w="0" w:type="dxa"/>
              <w:right w:w="57" w:type="dxa"/>
            </w:tcMar>
            <w:vAlign w:val="center"/>
          </w:tcPr>
          <w:p w14:paraId="76F4D1D3" w14:textId="2E87688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29229034" w14:textId="5260E49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76.567.876</w:t>
            </w:r>
          </w:p>
        </w:tc>
        <w:tc>
          <w:tcPr>
            <w:tcW w:w="521" w:type="pct"/>
            <w:gridSpan w:val="2"/>
            <w:tcBorders>
              <w:top w:val="nil"/>
              <w:left w:val="nil"/>
              <w:bottom w:val="nil"/>
              <w:right w:val="nil"/>
            </w:tcBorders>
            <w:shd w:val="clear" w:color="auto" w:fill="auto"/>
            <w:tcMar>
              <w:left w:w="0" w:type="dxa"/>
              <w:right w:w="57" w:type="dxa"/>
            </w:tcMar>
            <w:vAlign w:val="center"/>
          </w:tcPr>
          <w:p w14:paraId="2E02DACE" w14:textId="298BF1E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E90E85A" w14:textId="696EDE9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582EA487" w14:textId="66DDF56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5755FB9A" w14:textId="77777777" w:rsidTr="00431596">
        <w:tc>
          <w:tcPr>
            <w:tcW w:w="1754" w:type="pct"/>
            <w:gridSpan w:val="2"/>
            <w:tcBorders>
              <w:top w:val="nil"/>
              <w:bottom w:val="nil"/>
            </w:tcBorders>
            <w:vAlign w:val="center"/>
          </w:tcPr>
          <w:p w14:paraId="68B242B1"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 xml:space="preserve">Gerçeğe uygun değer farkı kâr zarara yansıtılan finansal varlıklar </w:t>
            </w:r>
          </w:p>
        </w:tc>
        <w:tc>
          <w:tcPr>
            <w:tcW w:w="506" w:type="pct"/>
            <w:tcBorders>
              <w:top w:val="nil"/>
              <w:left w:val="nil"/>
              <w:bottom w:val="nil"/>
              <w:right w:val="nil"/>
            </w:tcBorders>
            <w:shd w:val="clear" w:color="auto" w:fill="auto"/>
            <w:tcMar>
              <w:left w:w="0" w:type="dxa"/>
              <w:right w:w="57" w:type="dxa"/>
            </w:tcMar>
            <w:vAlign w:val="center"/>
          </w:tcPr>
          <w:p w14:paraId="19B56C80" w14:textId="2FF8D98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4.414.851</w:t>
            </w:r>
          </w:p>
        </w:tc>
        <w:tc>
          <w:tcPr>
            <w:tcW w:w="580" w:type="pct"/>
            <w:tcBorders>
              <w:top w:val="nil"/>
              <w:left w:val="nil"/>
              <w:bottom w:val="nil"/>
              <w:right w:val="nil"/>
            </w:tcBorders>
            <w:shd w:val="clear" w:color="auto" w:fill="auto"/>
            <w:tcMar>
              <w:left w:w="0" w:type="dxa"/>
              <w:right w:w="57" w:type="dxa"/>
            </w:tcMar>
            <w:vAlign w:val="center"/>
          </w:tcPr>
          <w:p w14:paraId="60102910" w14:textId="0A7CB17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1.400.570</w:t>
            </w:r>
          </w:p>
        </w:tc>
        <w:tc>
          <w:tcPr>
            <w:tcW w:w="401" w:type="pct"/>
            <w:tcBorders>
              <w:top w:val="nil"/>
              <w:left w:val="nil"/>
              <w:bottom w:val="nil"/>
              <w:right w:val="nil"/>
            </w:tcBorders>
            <w:shd w:val="clear" w:color="auto" w:fill="auto"/>
            <w:tcMar>
              <w:left w:w="0" w:type="dxa"/>
              <w:right w:w="57" w:type="dxa"/>
            </w:tcMar>
            <w:vAlign w:val="center"/>
          </w:tcPr>
          <w:p w14:paraId="67043E5A" w14:textId="323A7A1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1.584.016</w:t>
            </w:r>
          </w:p>
        </w:tc>
        <w:tc>
          <w:tcPr>
            <w:tcW w:w="521" w:type="pct"/>
            <w:gridSpan w:val="2"/>
            <w:tcBorders>
              <w:top w:val="nil"/>
              <w:left w:val="nil"/>
              <w:bottom w:val="nil"/>
              <w:right w:val="nil"/>
            </w:tcBorders>
            <w:shd w:val="clear" w:color="auto" w:fill="auto"/>
            <w:tcMar>
              <w:left w:w="0" w:type="dxa"/>
              <w:right w:w="57" w:type="dxa"/>
            </w:tcMar>
            <w:vAlign w:val="center"/>
          </w:tcPr>
          <w:p w14:paraId="28D8DFFC" w14:textId="0839379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23157F7F" w14:textId="1A01287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1.430.265</w:t>
            </w:r>
          </w:p>
        </w:tc>
        <w:tc>
          <w:tcPr>
            <w:tcW w:w="793" w:type="pct"/>
            <w:gridSpan w:val="3"/>
            <w:tcBorders>
              <w:top w:val="nil"/>
              <w:left w:val="nil"/>
              <w:bottom w:val="nil"/>
              <w:right w:val="nil"/>
            </w:tcBorders>
            <w:shd w:val="clear" w:color="auto" w:fill="auto"/>
            <w:tcMar>
              <w:left w:w="0" w:type="dxa"/>
              <w:right w:w="57" w:type="dxa"/>
            </w:tcMar>
            <w:vAlign w:val="center"/>
          </w:tcPr>
          <w:p w14:paraId="0AC8E06A" w14:textId="321835F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0E7A6AC0" w14:textId="77777777" w:rsidTr="00431596">
        <w:tc>
          <w:tcPr>
            <w:tcW w:w="1754" w:type="pct"/>
            <w:gridSpan w:val="2"/>
            <w:tcBorders>
              <w:top w:val="nil"/>
              <w:bottom w:val="nil"/>
            </w:tcBorders>
            <w:vAlign w:val="center"/>
          </w:tcPr>
          <w:p w14:paraId="18A22C86" w14:textId="77777777" w:rsidR="009A1A17" w:rsidRPr="00FB38E1" w:rsidRDefault="009A1A17" w:rsidP="009A1A17">
            <w:pPr>
              <w:tabs>
                <w:tab w:val="left" w:pos="1984"/>
              </w:tabs>
              <w:ind w:right="-534"/>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Gerçeğe uygun değer farkı diğer kapsamlı gelire yansıtılan finansal varlıklar</w:t>
            </w:r>
          </w:p>
        </w:tc>
        <w:tc>
          <w:tcPr>
            <w:tcW w:w="506" w:type="pct"/>
            <w:tcBorders>
              <w:top w:val="nil"/>
              <w:left w:val="nil"/>
              <w:bottom w:val="nil"/>
              <w:right w:val="nil"/>
            </w:tcBorders>
            <w:shd w:val="clear" w:color="auto" w:fill="auto"/>
            <w:tcMar>
              <w:left w:w="0" w:type="dxa"/>
              <w:right w:w="57" w:type="dxa"/>
            </w:tcMar>
            <w:vAlign w:val="center"/>
          </w:tcPr>
          <w:p w14:paraId="2092C189" w14:textId="3843DA7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109.190.125</w:t>
            </w:r>
          </w:p>
        </w:tc>
        <w:tc>
          <w:tcPr>
            <w:tcW w:w="580" w:type="pct"/>
            <w:tcBorders>
              <w:top w:val="nil"/>
              <w:left w:val="nil"/>
              <w:bottom w:val="nil"/>
              <w:right w:val="nil"/>
            </w:tcBorders>
            <w:shd w:val="clear" w:color="auto" w:fill="auto"/>
            <w:tcMar>
              <w:left w:w="0" w:type="dxa"/>
              <w:right w:w="57" w:type="dxa"/>
            </w:tcMar>
            <w:vAlign w:val="center"/>
          </w:tcPr>
          <w:p w14:paraId="391768BB" w14:textId="61BCD31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109.190.125</w:t>
            </w:r>
          </w:p>
        </w:tc>
        <w:tc>
          <w:tcPr>
            <w:tcW w:w="401" w:type="pct"/>
            <w:tcBorders>
              <w:top w:val="nil"/>
              <w:left w:val="nil"/>
              <w:bottom w:val="nil"/>
              <w:right w:val="nil"/>
            </w:tcBorders>
            <w:shd w:val="clear" w:color="auto" w:fill="auto"/>
            <w:tcMar>
              <w:left w:w="0" w:type="dxa"/>
              <w:right w:w="57" w:type="dxa"/>
            </w:tcMar>
            <w:vAlign w:val="center"/>
          </w:tcPr>
          <w:p w14:paraId="52199E1B" w14:textId="6E3C4C3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BD35949" w14:textId="70BABC4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6151971" w14:textId="144BAAA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27DC84F" w14:textId="47C59D5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6879DB74" w14:textId="77777777" w:rsidTr="00431596">
        <w:tc>
          <w:tcPr>
            <w:tcW w:w="1754" w:type="pct"/>
            <w:gridSpan w:val="2"/>
            <w:tcBorders>
              <w:top w:val="nil"/>
              <w:bottom w:val="nil"/>
            </w:tcBorders>
            <w:vAlign w:val="center"/>
          </w:tcPr>
          <w:p w14:paraId="095DF862"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İtfa edilmiş maliyeti ile ölçülen finansal varlıklar</w:t>
            </w:r>
          </w:p>
        </w:tc>
        <w:tc>
          <w:tcPr>
            <w:tcW w:w="506" w:type="pct"/>
            <w:tcBorders>
              <w:top w:val="nil"/>
              <w:left w:val="nil"/>
              <w:bottom w:val="nil"/>
              <w:right w:val="nil"/>
            </w:tcBorders>
            <w:shd w:val="clear" w:color="auto" w:fill="auto"/>
            <w:tcMar>
              <w:left w:w="0" w:type="dxa"/>
              <w:right w:w="57" w:type="dxa"/>
            </w:tcMar>
            <w:vAlign w:val="center"/>
          </w:tcPr>
          <w:p w14:paraId="750E76A7" w14:textId="3F70B1F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65.587.561</w:t>
            </w:r>
          </w:p>
        </w:tc>
        <w:tc>
          <w:tcPr>
            <w:tcW w:w="580" w:type="pct"/>
            <w:tcBorders>
              <w:top w:val="nil"/>
              <w:left w:val="nil"/>
              <w:bottom w:val="nil"/>
              <w:right w:val="nil"/>
            </w:tcBorders>
            <w:shd w:val="clear" w:color="auto" w:fill="auto"/>
            <w:tcMar>
              <w:left w:w="0" w:type="dxa"/>
              <w:right w:w="57" w:type="dxa"/>
            </w:tcMar>
            <w:vAlign w:val="center"/>
          </w:tcPr>
          <w:p w14:paraId="46EAE791" w14:textId="75DC98B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65.595.391</w:t>
            </w:r>
          </w:p>
        </w:tc>
        <w:tc>
          <w:tcPr>
            <w:tcW w:w="401" w:type="pct"/>
            <w:tcBorders>
              <w:top w:val="nil"/>
              <w:left w:val="nil"/>
              <w:bottom w:val="nil"/>
              <w:right w:val="nil"/>
            </w:tcBorders>
            <w:shd w:val="clear" w:color="auto" w:fill="auto"/>
            <w:tcMar>
              <w:left w:w="0" w:type="dxa"/>
              <w:right w:w="57" w:type="dxa"/>
            </w:tcMar>
            <w:vAlign w:val="center"/>
          </w:tcPr>
          <w:p w14:paraId="3CC28C1A" w14:textId="30112AC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0E85A6E7" w14:textId="7F2BB19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8609D26" w14:textId="62224BD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D797B3E" w14:textId="24BA8BF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3D94C914" w14:textId="77777777" w:rsidTr="00431596">
        <w:tc>
          <w:tcPr>
            <w:tcW w:w="1754" w:type="pct"/>
            <w:gridSpan w:val="2"/>
            <w:tcBorders>
              <w:top w:val="nil"/>
              <w:bottom w:val="nil"/>
            </w:tcBorders>
            <w:vAlign w:val="center"/>
          </w:tcPr>
          <w:p w14:paraId="25E4DA91"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Türev finansal varlıklar</w:t>
            </w:r>
          </w:p>
        </w:tc>
        <w:tc>
          <w:tcPr>
            <w:tcW w:w="506" w:type="pct"/>
            <w:tcBorders>
              <w:top w:val="nil"/>
              <w:left w:val="nil"/>
              <w:bottom w:val="nil"/>
              <w:right w:val="nil"/>
            </w:tcBorders>
            <w:shd w:val="clear" w:color="auto" w:fill="auto"/>
            <w:tcMar>
              <w:left w:w="0" w:type="dxa"/>
              <w:right w:w="57" w:type="dxa"/>
            </w:tcMar>
            <w:vAlign w:val="center"/>
          </w:tcPr>
          <w:p w14:paraId="57A1B5F4" w14:textId="7FB7C4C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11.879.862</w:t>
            </w:r>
          </w:p>
        </w:tc>
        <w:tc>
          <w:tcPr>
            <w:tcW w:w="580" w:type="pct"/>
            <w:tcBorders>
              <w:top w:val="nil"/>
              <w:left w:val="nil"/>
              <w:bottom w:val="nil"/>
              <w:right w:val="nil"/>
            </w:tcBorders>
            <w:shd w:val="clear" w:color="auto" w:fill="auto"/>
            <w:tcMar>
              <w:left w:w="0" w:type="dxa"/>
              <w:right w:w="57" w:type="dxa"/>
            </w:tcMar>
            <w:vAlign w:val="center"/>
          </w:tcPr>
          <w:p w14:paraId="71CE4434" w14:textId="792F22A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111B74AE" w14:textId="1CAE179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11.879.862</w:t>
            </w:r>
          </w:p>
        </w:tc>
        <w:tc>
          <w:tcPr>
            <w:tcW w:w="521" w:type="pct"/>
            <w:gridSpan w:val="2"/>
            <w:tcBorders>
              <w:top w:val="nil"/>
              <w:left w:val="nil"/>
              <w:bottom w:val="nil"/>
              <w:right w:val="nil"/>
            </w:tcBorders>
            <w:shd w:val="clear" w:color="auto" w:fill="auto"/>
            <w:tcMar>
              <w:left w:w="0" w:type="dxa"/>
              <w:right w:w="57" w:type="dxa"/>
            </w:tcMar>
            <w:vAlign w:val="center"/>
          </w:tcPr>
          <w:p w14:paraId="6557FF5D" w14:textId="6AD2B8E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BEC8FE9" w14:textId="282A0DD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3D59EAE3" w14:textId="7B39356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3FCF0EE4" w14:textId="77777777" w:rsidTr="00431596">
        <w:tc>
          <w:tcPr>
            <w:tcW w:w="1754" w:type="pct"/>
            <w:gridSpan w:val="2"/>
            <w:tcBorders>
              <w:top w:val="nil"/>
              <w:bottom w:val="nil"/>
            </w:tcBorders>
            <w:vAlign w:val="center"/>
          </w:tcPr>
          <w:p w14:paraId="0FF2CA1A"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Krediler (net)</w:t>
            </w:r>
          </w:p>
        </w:tc>
        <w:tc>
          <w:tcPr>
            <w:tcW w:w="506" w:type="pct"/>
            <w:tcBorders>
              <w:top w:val="nil"/>
              <w:left w:val="nil"/>
              <w:bottom w:val="nil"/>
              <w:right w:val="nil"/>
            </w:tcBorders>
            <w:shd w:val="clear" w:color="auto" w:fill="auto"/>
            <w:tcMar>
              <w:left w:w="0" w:type="dxa"/>
              <w:right w:w="57" w:type="dxa"/>
            </w:tcMar>
            <w:vAlign w:val="center"/>
          </w:tcPr>
          <w:p w14:paraId="70400602" w14:textId="535DEC2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700.182.683</w:t>
            </w:r>
          </w:p>
        </w:tc>
        <w:tc>
          <w:tcPr>
            <w:tcW w:w="580" w:type="pct"/>
            <w:tcBorders>
              <w:top w:val="nil"/>
              <w:left w:val="nil"/>
              <w:bottom w:val="nil"/>
              <w:right w:val="nil"/>
            </w:tcBorders>
            <w:shd w:val="clear" w:color="auto" w:fill="auto"/>
            <w:tcMar>
              <w:left w:w="0" w:type="dxa"/>
              <w:right w:w="57" w:type="dxa"/>
            </w:tcMar>
            <w:vAlign w:val="center"/>
          </w:tcPr>
          <w:p w14:paraId="63336E44" w14:textId="342DA72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719.451.066</w:t>
            </w:r>
          </w:p>
        </w:tc>
        <w:tc>
          <w:tcPr>
            <w:tcW w:w="401" w:type="pct"/>
            <w:tcBorders>
              <w:top w:val="nil"/>
              <w:left w:val="nil"/>
              <w:bottom w:val="nil"/>
              <w:right w:val="nil"/>
            </w:tcBorders>
            <w:shd w:val="clear" w:color="auto" w:fill="auto"/>
            <w:tcMar>
              <w:left w:w="0" w:type="dxa"/>
              <w:right w:w="57" w:type="dxa"/>
            </w:tcMar>
            <w:vAlign w:val="center"/>
          </w:tcPr>
          <w:p w14:paraId="471A0423" w14:textId="55174C2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C1D9FF6" w14:textId="0513C6C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278E73C4" w14:textId="7C67684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1EFBE00D" w14:textId="0CF1E11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3.277.290</w:t>
            </w:r>
          </w:p>
        </w:tc>
      </w:tr>
      <w:tr w:rsidR="009A1A17" w:rsidRPr="00FB38E1" w14:paraId="1B4EB2EB" w14:textId="77777777" w:rsidTr="00431596">
        <w:tc>
          <w:tcPr>
            <w:tcW w:w="1754" w:type="pct"/>
            <w:gridSpan w:val="2"/>
            <w:tcBorders>
              <w:top w:val="nil"/>
              <w:bottom w:val="nil"/>
            </w:tcBorders>
            <w:vAlign w:val="center"/>
          </w:tcPr>
          <w:p w14:paraId="057B1534" w14:textId="77777777" w:rsidR="009A1A17" w:rsidRPr="00FB38E1" w:rsidRDefault="009A1A17" w:rsidP="009A1A17">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Satış amaçlı elde tutulan ve durdurulan faaliyetlere ilişkin duran varlıklar (net)</w:t>
            </w:r>
          </w:p>
        </w:tc>
        <w:tc>
          <w:tcPr>
            <w:tcW w:w="506" w:type="pct"/>
            <w:tcBorders>
              <w:top w:val="nil"/>
              <w:left w:val="nil"/>
              <w:bottom w:val="nil"/>
              <w:right w:val="nil"/>
            </w:tcBorders>
            <w:shd w:val="clear" w:color="auto" w:fill="auto"/>
            <w:tcMar>
              <w:left w:w="0" w:type="dxa"/>
              <w:right w:w="57" w:type="dxa"/>
            </w:tcMar>
            <w:vAlign w:val="center"/>
          </w:tcPr>
          <w:p w14:paraId="5DE90D3B" w14:textId="4F863F0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50AD8A1E" w14:textId="1C117B2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2C987A24" w14:textId="0F8D16A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7092775D" w14:textId="551A722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DFA2525" w14:textId="212ADC9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406FC7BF" w14:textId="363E3F6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591C98F8" w14:textId="77777777" w:rsidTr="00431596">
        <w:tc>
          <w:tcPr>
            <w:tcW w:w="1754" w:type="pct"/>
            <w:gridSpan w:val="2"/>
            <w:tcBorders>
              <w:top w:val="nil"/>
              <w:bottom w:val="nil"/>
            </w:tcBorders>
            <w:vAlign w:val="center"/>
          </w:tcPr>
          <w:p w14:paraId="3532B49E"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Ortaklık yatırımları</w:t>
            </w:r>
          </w:p>
        </w:tc>
        <w:tc>
          <w:tcPr>
            <w:tcW w:w="506" w:type="pct"/>
            <w:tcBorders>
              <w:top w:val="nil"/>
              <w:left w:val="nil"/>
              <w:bottom w:val="nil"/>
              <w:right w:val="nil"/>
            </w:tcBorders>
            <w:shd w:val="clear" w:color="auto" w:fill="auto"/>
            <w:tcMar>
              <w:left w:w="0" w:type="dxa"/>
              <w:right w:w="57" w:type="dxa"/>
            </w:tcMar>
            <w:vAlign w:val="center"/>
          </w:tcPr>
          <w:p w14:paraId="7547E3AB" w14:textId="4B5DDFB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88.744.432</w:t>
            </w:r>
          </w:p>
        </w:tc>
        <w:tc>
          <w:tcPr>
            <w:tcW w:w="580" w:type="pct"/>
            <w:tcBorders>
              <w:top w:val="nil"/>
              <w:left w:val="nil"/>
              <w:bottom w:val="nil"/>
              <w:right w:val="nil"/>
            </w:tcBorders>
            <w:shd w:val="clear" w:color="auto" w:fill="auto"/>
            <w:tcMar>
              <w:left w:w="0" w:type="dxa"/>
              <w:right w:w="57" w:type="dxa"/>
            </w:tcMar>
            <w:vAlign w:val="center"/>
          </w:tcPr>
          <w:p w14:paraId="61F601E4" w14:textId="6DE6365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88.744.432</w:t>
            </w:r>
          </w:p>
        </w:tc>
        <w:tc>
          <w:tcPr>
            <w:tcW w:w="401" w:type="pct"/>
            <w:tcBorders>
              <w:top w:val="nil"/>
              <w:left w:val="nil"/>
              <w:bottom w:val="nil"/>
              <w:right w:val="nil"/>
            </w:tcBorders>
            <w:shd w:val="clear" w:color="auto" w:fill="auto"/>
            <w:tcMar>
              <w:left w:w="0" w:type="dxa"/>
              <w:right w:w="57" w:type="dxa"/>
            </w:tcMar>
            <w:vAlign w:val="center"/>
          </w:tcPr>
          <w:p w14:paraId="35B381E3" w14:textId="618BB1C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28AB72F" w14:textId="02BAE24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5EA2581F" w14:textId="0103350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151B7322" w14:textId="146FD72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1A5B972D" w14:textId="77777777" w:rsidTr="00431596">
        <w:tc>
          <w:tcPr>
            <w:tcW w:w="1754" w:type="pct"/>
            <w:gridSpan w:val="2"/>
            <w:tcBorders>
              <w:top w:val="nil"/>
              <w:bottom w:val="nil"/>
            </w:tcBorders>
            <w:vAlign w:val="center"/>
          </w:tcPr>
          <w:p w14:paraId="39255615"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 xml:space="preserve">Maddi duran varlıklar (net) </w:t>
            </w:r>
          </w:p>
        </w:tc>
        <w:tc>
          <w:tcPr>
            <w:tcW w:w="506" w:type="pct"/>
            <w:tcBorders>
              <w:top w:val="nil"/>
              <w:left w:val="nil"/>
              <w:bottom w:val="nil"/>
              <w:right w:val="nil"/>
            </w:tcBorders>
            <w:shd w:val="clear" w:color="auto" w:fill="auto"/>
            <w:tcMar>
              <w:left w:w="0" w:type="dxa"/>
              <w:right w:w="57" w:type="dxa"/>
            </w:tcMar>
            <w:vAlign w:val="center"/>
          </w:tcPr>
          <w:p w14:paraId="6864445C" w14:textId="4D6A23A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18.347.324</w:t>
            </w:r>
          </w:p>
        </w:tc>
        <w:tc>
          <w:tcPr>
            <w:tcW w:w="580" w:type="pct"/>
            <w:tcBorders>
              <w:top w:val="nil"/>
              <w:left w:val="nil"/>
              <w:bottom w:val="nil"/>
              <w:right w:val="nil"/>
            </w:tcBorders>
            <w:shd w:val="clear" w:color="auto" w:fill="auto"/>
            <w:tcMar>
              <w:left w:w="0" w:type="dxa"/>
              <w:right w:w="57" w:type="dxa"/>
            </w:tcMar>
            <w:vAlign w:val="center"/>
          </w:tcPr>
          <w:p w14:paraId="699F6A5E" w14:textId="3F6D467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18.347.324</w:t>
            </w:r>
          </w:p>
        </w:tc>
        <w:tc>
          <w:tcPr>
            <w:tcW w:w="401" w:type="pct"/>
            <w:tcBorders>
              <w:top w:val="nil"/>
              <w:left w:val="nil"/>
              <w:bottom w:val="nil"/>
              <w:right w:val="nil"/>
            </w:tcBorders>
            <w:shd w:val="clear" w:color="auto" w:fill="auto"/>
            <w:tcMar>
              <w:left w:w="0" w:type="dxa"/>
              <w:right w:w="57" w:type="dxa"/>
            </w:tcMar>
            <w:vAlign w:val="center"/>
          </w:tcPr>
          <w:p w14:paraId="23C07609" w14:textId="53A13F8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297D019A" w14:textId="36DB281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BB32B9D" w14:textId="10B7614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39D087D" w14:textId="5D3EDB7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514.506</w:t>
            </w:r>
          </w:p>
        </w:tc>
      </w:tr>
      <w:tr w:rsidR="009A1A17" w:rsidRPr="00FB38E1" w14:paraId="6C111FB9" w14:textId="77777777" w:rsidTr="00431596">
        <w:tc>
          <w:tcPr>
            <w:tcW w:w="1754" w:type="pct"/>
            <w:gridSpan w:val="2"/>
            <w:tcBorders>
              <w:top w:val="nil"/>
              <w:bottom w:val="nil"/>
            </w:tcBorders>
            <w:vAlign w:val="center"/>
          </w:tcPr>
          <w:p w14:paraId="46C3652D"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Maddi olmayan duran varlıklar (net)</w:t>
            </w:r>
          </w:p>
        </w:tc>
        <w:tc>
          <w:tcPr>
            <w:tcW w:w="506" w:type="pct"/>
            <w:tcBorders>
              <w:top w:val="nil"/>
              <w:left w:val="nil"/>
              <w:bottom w:val="nil"/>
              <w:right w:val="nil"/>
            </w:tcBorders>
            <w:shd w:val="clear" w:color="auto" w:fill="auto"/>
            <w:tcMar>
              <w:left w:w="0" w:type="dxa"/>
              <w:right w:w="57" w:type="dxa"/>
            </w:tcMar>
            <w:vAlign w:val="center"/>
          </w:tcPr>
          <w:p w14:paraId="510D424B" w14:textId="29BEF10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4.865.774</w:t>
            </w:r>
          </w:p>
        </w:tc>
        <w:tc>
          <w:tcPr>
            <w:tcW w:w="580" w:type="pct"/>
            <w:tcBorders>
              <w:top w:val="nil"/>
              <w:left w:val="nil"/>
              <w:bottom w:val="nil"/>
              <w:right w:val="nil"/>
            </w:tcBorders>
            <w:shd w:val="clear" w:color="auto" w:fill="auto"/>
            <w:tcMar>
              <w:left w:w="0" w:type="dxa"/>
              <w:right w:w="57" w:type="dxa"/>
            </w:tcMar>
            <w:vAlign w:val="center"/>
          </w:tcPr>
          <w:p w14:paraId="04B51403" w14:textId="07FFC38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4.865.774</w:t>
            </w:r>
          </w:p>
        </w:tc>
        <w:tc>
          <w:tcPr>
            <w:tcW w:w="401" w:type="pct"/>
            <w:tcBorders>
              <w:top w:val="nil"/>
              <w:left w:val="nil"/>
              <w:bottom w:val="nil"/>
              <w:right w:val="nil"/>
            </w:tcBorders>
            <w:shd w:val="clear" w:color="auto" w:fill="auto"/>
            <w:tcMar>
              <w:left w:w="0" w:type="dxa"/>
              <w:right w:w="57" w:type="dxa"/>
            </w:tcMar>
            <w:vAlign w:val="center"/>
          </w:tcPr>
          <w:p w14:paraId="31CD659F" w14:textId="55878FA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2FC056E2" w14:textId="7C8DCB5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0D1F8F1" w14:textId="2127242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1247EB0D" w14:textId="7452F97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4.865.774</w:t>
            </w:r>
          </w:p>
        </w:tc>
      </w:tr>
      <w:tr w:rsidR="009A1A17" w:rsidRPr="00FB38E1" w14:paraId="6CC365B3" w14:textId="77777777" w:rsidTr="00431596">
        <w:tc>
          <w:tcPr>
            <w:tcW w:w="1754" w:type="pct"/>
            <w:gridSpan w:val="2"/>
            <w:tcBorders>
              <w:top w:val="nil"/>
              <w:bottom w:val="nil"/>
            </w:tcBorders>
            <w:vAlign w:val="center"/>
          </w:tcPr>
          <w:p w14:paraId="67FAE4EB"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Yatırım amaçlı gayrimenkuller (net)</w:t>
            </w:r>
          </w:p>
        </w:tc>
        <w:tc>
          <w:tcPr>
            <w:tcW w:w="506" w:type="pct"/>
            <w:tcBorders>
              <w:top w:val="nil"/>
              <w:left w:val="nil"/>
              <w:bottom w:val="nil"/>
              <w:right w:val="nil"/>
            </w:tcBorders>
            <w:shd w:val="clear" w:color="auto" w:fill="auto"/>
            <w:tcMar>
              <w:left w:w="0" w:type="dxa"/>
              <w:right w:w="57" w:type="dxa"/>
            </w:tcMar>
            <w:vAlign w:val="center"/>
          </w:tcPr>
          <w:p w14:paraId="1F2CF266" w14:textId="0A7BBC5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1A5C0388" w14:textId="4B96540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57002F07" w14:textId="799E30B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D190958" w14:textId="2E2C363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4883ABB" w14:textId="363AB08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7941CF87" w14:textId="3F2E171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1EF1AA60" w14:textId="77777777" w:rsidTr="00431596">
        <w:tc>
          <w:tcPr>
            <w:tcW w:w="1754" w:type="pct"/>
            <w:gridSpan w:val="2"/>
            <w:tcBorders>
              <w:top w:val="nil"/>
              <w:bottom w:val="nil"/>
            </w:tcBorders>
            <w:vAlign w:val="center"/>
          </w:tcPr>
          <w:p w14:paraId="1F218761"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Cari vergi varlığı</w:t>
            </w:r>
          </w:p>
        </w:tc>
        <w:tc>
          <w:tcPr>
            <w:tcW w:w="506" w:type="pct"/>
            <w:tcBorders>
              <w:top w:val="nil"/>
              <w:left w:val="nil"/>
              <w:bottom w:val="nil"/>
              <w:right w:val="nil"/>
            </w:tcBorders>
            <w:shd w:val="clear" w:color="auto" w:fill="auto"/>
            <w:tcMar>
              <w:left w:w="0" w:type="dxa"/>
              <w:right w:w="57" w:type="dxa"/>
            </w:tcMar>
            <w:vAlign w:val="center"/>
          </w:tcPr>
          <w:p w14:paraId="645357BF" w14:textId="4AF6D64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6C5A2D79" w14:textId="238862F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5A8F7B28" w14:textId="239D620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D74A5A4" w14:textId="564EFC7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F0364F0" w14:textId="75D5221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1044154B" w14:textId="4AFE8F6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16A59500" w14:textId="77777777" w:rsidTr="00431596">
        <w:tc>
          <w:tcPr>
            <w:tcW w:w="1754" w:type="pct"/>
            <w:gridSpan w:val="2"/>
            <w:tcBorders>
              <w:top w:val="nil"/>
              <w:bottom w:val="nil"/>
            </w:tcBorders>
            <w:vAlign w:val="center"/>
          </w:tcPr>
          <w:p w14:paraId="3821ED55"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Ertelenmiş vergi varlığı</w:t>
            </w:r>
          </w:p>
        </w:tc>
        <w:tc>
          <w:tcPr>
            <w:tcW w:w="506" w:type="pct"/>
            <w:tcBorders>
              <w:top w:val="nil"/>
              <w:left w:val="nil"/>
              <w:bottom w:val="nil"/>
              <w:right w:val="nil"/>
            </w:tcBorders>
            <w:shd w:val="clear" w:color="auto" w:fill="auto"/>
            <w:tcMar>
              <w:left w:w="0" w:type="dxa"/>
              <w:right w:w="57" w:type="dxa"/>
            </w:tcMar>
            <w:vAlign w:val="center"/>
          </w:tcPr>
          <w:p w14:paraId="089AA229" w14:textId="334F724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4.756.787</w:t>
            </w:r>
          </w:p>
        </w:tc>
        <w:tc>
          <w:tcPr>
            <w:tcW w:w="580" w:type="pct"/>
            <w:tcBorders>
              <w:top w:val="nil"/>
              <w:left w:val="nil"/>
              <w:bottom w:val="nil"/>
              <w:right w:val="nil"/>
            </w:tcBorders>
            <w:shd w:val="clear" w:color="auto" w:fill="auto"/>
            <w:tcMar>
              <w:left w:w="0" w:type="dxa"/>
              <w:right w:w="57" w:type="dxa"/>
            </w:tcMar>
            <w:vAlign w:val="center"/>
          </w:tcPr>
          <w:p w14:paraId="2F4BAEED" w14:textId="0D61B77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4.756.787</w:t>
            </w:r>
          </w:p>
        </w:tc>
        <w:tc>
          <w:tcPr>
            <w:tcW w:w="401" w:type="pct"/>
            <w:tcBorders>
              <w:top w:val="nil"/>
              <w:left w:val="nil"/>
              <w:bottom w:val="nil"/>
              <w:right w:val="nil"/>
            </w:tcBorders>
            <w:shd w:val="clear" w:color="auto" w:fill="auto"/>
            <w:tcMar>
              <w:left w:w="0" w:type="dxa"/>
              <w:right w:w="57" w:type="dxa"/>
            </w:tcMar>
            <w:vAlign w:val="center"/>
          </w:tcPr>
          <w:p w14:paraId="05827E23" w14:textId="3B2F3C8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7A2DB57D" w14:textId="1E58F37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46988621" w14:textId="6973F66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45E746E" w14:textId="47C44FF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702698DA" w14:textId="77777777" w:rsidTr="00431596">
        <w:tc>
          <w:tcPr>
            <w:tcW w:w="1754" w:type="pct"/>
            <w:gridSpan w:val="2"/>
            <w:tcBorders>
              <w:top w:val="nil"/>
              <w:bottom w:val="nil"/>
            </w:tcBorders>
            <w:vAlign w:val="center"/>
          </w:tcPr>
          <w:p w14:paraId="6951F032"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Diğer aktifler</w:t>
            </w:r>
          </w:p>
        </w:tc>
        <w:tc>
          <w:tcPr>
            <w:tcW w:w="506" w:type="pct"/>
            <w:tcBorders>
              <w:top w:val="nil"/>
              <w:left w:val="nil"/>
              <w:bottom w:val="nil"/>
              <w:right w:val="nil"/>
            </w:tcBorders>
            <w:shd w:val="clear" w:color="auto" w:fill="auto"/>
            <w:tcMar>
              <w:left w:w="0" w:type="dxa"/>
              <w:right w:w="57" w:type="dxa"/>
            </w:tcMar>
            <w:vAlign w:val="center"/>
          </w:tcPr>
          <w:p w14:paraId="0778AE25" w14:textId="1AA2CCC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51.438.909</w:t>
            </w:r>
          </w:p>
        </w:tc>
        <w:tc>
          <w:tcPr>
            <w:tcW w:w="580" w:type="pct"/>
            <w:tcBorders>
              <w:top w:val="nil"/>
              <w:left w:val="nil"/>
              <w:bottom w:val="nil"/>
              <w:right w:val="nil"/>
            </w:tcBorders>
            <w:shd w:val="clear" w:color="auto" w:fill="auto"/>
            <w:tcMar>
              <w:left w:w="0" w:type="dxa"/>
              <w:right w:w="57" w:type="dxa"/>
            </w:tcMar>
            <w:vAlign w:val="center"/>
          </w:tcPr>
          <w:p w14:paraId="3BBD7E35" w14:textId="3C63AEA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51.438.909</w:t>
            </w:r>
          </w:p>
        </w:tc>
        <w:tc>
          <w:tcPr>
            <w:tcW w:w="401" w:type="pct"/>
            <w:tcBorders>
              <w:top w:val="nil"/>
              <w:left w:val="nil"/>
              <w:bottom w:val="nil"/>
              <w:right w:val="nil"/>
            </w:tcBorders>
            <w:shd w:val="clear" w:color="auto" w:fill="auto"/>
            <w:tcMar>
              <w:left w:w="0" w:type="dxa"/>
              <w:right w:w="57" w:type="dxa"/>
            </w:tcMar>
            <w:vAlign w:val="center"/>
          </w:tcPr>
          <w:p w14:paraId="6F9F9D01" w14:textId="52B2613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595722D4" w14:textId="075707C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EDFF568" w14:textId="1821D4B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70D6812D" w14:textId="6F0E818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0CF6FCA9" w14:textId="77777777" w:rsidTr="00431596">
        <w:tc>
          <w:tcPr>
            <w:tcW w:w="1754" w:type="pct"/>
            <w:gridSpan w:val="2"/>
            <w:tcBorders>
              <w:top w:val="nil"/>
              <w:bottom w:val="single" w:sz="4" w:space="0" w:color="auto"/>
            </w:tcBorders>
          </w:tcPr>
          <w:p w14:paraId="13C2C6A1" w14:textId="77777777" w:rsidR="009A1A17" w:rsidRPr="00FB38E1" w:rsidRDefault="009A1A17" w:rsidP="009A1A17">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 varlıklar</w:t>
            </w:r>
          </w:p>
        </w:tc>
        <w:tc>
          <w:tcPr>
            <w:tcW w:w="506" w:type="pct"/>
            <w:tcBorders>
              <w:top w:val="nil"/>
              <w:left w:val="nil"/>
              <w:bottom w:val="single" w:sz="4" w:space="0" w:color="auto"/>
              <w:right w:val="nil"/>
            </w:tcBorders>
            <w:shd w:val="clear" w:color="auto" w:fill="auto"/>
            <w:tcMar>
              <w:left w:w="0" w:type="dxa"/>
              <w:right w:w="57" w:type="dxa"/>
            </w:tcMar>
            <w:vAlign w:val="center"/>
          </w:tcPr>
          <w:p w14:paraId="324AC377" w14:textId="295DA325"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1.370.621.032</w:t>
            </w:r>
          </w:p>
        </w:tc>
        <w:tc>
          <w:tcPr>
            <w:tcW w:w="580" w:type="pct"/>
            <w:tcBorders>
              <w:top w:val="nil"/>
              <w:left w:val="nil"/>
              <w:bottom w:val="single" w:sz="4" w:space="0" w:color="auto"/>
              <w:right w:val="nil"/>
            </w:tcBorders>
            <w:shd w:val="clear" w:color="auto" w:fill="auto"/>
            <w:tcMar>
              <w:left w:w="0" w:type="dxa"/>
              <w:right w:w="57" w:type="dxa"/>
            </w:tcMar>
            <w:vAlign w:val="center"/>
          </w:tcPr>
          <w:p w14:paraId="79396FD0" w14:textId="63CE7144"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1.298.435.921</w:t>
            </w:r>
          </w:p>
        </w:tc>
        <w:tc>
          <w:tcPr>
            <w:tcW w:w="401" w:type="pct"/>
            <w:tcBorders>
              <w:top w:val="nil"/>
              <w:left w:val="nil"/>
              <w:bottom w:val="single" w:sz="4" w:space="0" w:color="auto"/>
              <w:right w:val="nil"/>
            </w:tcBorders>
            <w:shd w:val="clear" w:color="auto" w:fill="auto"/>
            <w:tcMar>
              <w:left w:w="0" w:type="dxa"/>
              <w:right w:w="57" w:type="dxa"/>
            </w:tcMar>
            <w:vAlign w:val="center"/>
          </w:tcPr>
          <w:p w14:paraId="2B83789F" w14:textId="7845AA34"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90.031.754</w:t>
            </w:r>
          </w:p>
        </w:tc>
        <w:tc>
          <w:tcPr>
            <w:tcW w:w="521" w:type="pct"/>
            <w:gridSpan w:val="2"/>
            <w:tcBorders>
              <w:top w:val="nil"/>
              <w:left w:val="nil"/>
              <w:bottom w:val="single" w:sz="4" w:space="0" w:color="auto"/>
              <w:right w:val="nil"/>
            </w:tcBorders>
            <w:shd w:val="clear" w:color="auto" w:fill="auto"/>
            <w:tcMar>
              <w:left w:w="0" w:type="dxa"/>
              <w:right w:w="57" w:type="dxa"/>
            </w:tcMar>
            <w:vAlign w:val="center"/>
          </w:tcPr>
          <w:p w14:paraId="6DB7418D" w14:textId="37208692"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45" w:type="pct"/>
            <w:gridSpan w:val="2"/>
            <w:tcBorders>
              <w:top w:val="nil"/>
              <w:left w:val="nil"/>
              <w:bottom w:val="single" w:sz="4" w:space="0" w:color="auto"/>
              <w:right w:val="nil"/>
            </w:tcBorders>
            <w:shd w:val="clear" w:color="auto" w:fill="auto"/>
            <w:tcMar>
              <w:left w:w="0" w:type="dxa"/>
              <w:right w:w="57" w:type="dxa"/>
            </w:tcMar>
            <w:vAlign w:val="center"/>
          </w:tcPr>
          <w:p w14:paraId="2A5ABD9A" w14:textId="615E4E40"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1.430.265</w:t>
            </w:r>
          </w:p>
        </w:tc>
        <w:tc>
          <w:tcPr>
            <w:tcW w:w="793" w:type="pct"/>
            <w:gridSpan w:val="3"/>
            <w:tcBorders>
              <w:top w:val="nil"/>
              <w:left w:val="nil"/>
              <w:bottom w:val="single" w:sz="4" w:space="0" w:color="auto"/>
              <w:right w:val="nil"/>
            </w:tcBorders>
            <w:shd w:val="clear" w:color="auto" w:fill="auto"/>
            <w:tcMar>
              <w:left w:w="0" w:type="dxa"/>
              <w:right w:w="57" w:type="dxa"/>
            </w:tcMar>
            <w:vAlign w:val="center"/>
          </w:tcPr>
          <w:p w14:paraId="76288EB0" w14:textId="0B4E12A7"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8.657.570</w:t>
            </w:r>
          </w:p>
        </w:tc>
      </w:tr>
      <w:tr w:rsidR="00E036D3" w:rsidRPr="00FB38E1" w14:paraId="520BE922" w14:textId="77777777" w:rsidTr="00431596">
        <w:trPr>
          <w:trHeight w:val="56"/>
        </w:trPr>
        <w:tc>
          <w:tcPr>
            <w:tcW w:w="1754" w:type="pct"/>
            <w:gridSpan w:val="2"/>
            <w:tcBorders>
              <w:top w:val="single" w:sz="4" w:space="0" w:color="auto"/>
              <w:bottom w:val="nil"/>
            </w:tcBorders>
            <w:tcMar>
              <w:left w:w="28" w:type="dxa"/>
            </w:tcMar>
          </w:tcPr>
          <w:p w14:paraId="7A47A9A5" w14:textId="77777777" w:rsidR="00E036D3" w:rsidRPr="00FB38E1" w:rsidRDefault="00E036D3" w:rsidP="00836EF2">
            <w:pPr>
              <w:rPr>
                <w:rFonts w:ascii="Microsoft Sans Serif" w:hAnsi="Microsoft Sans Serif" w:cs="Microsoft Sans Serif"/>
                <w:b/>
                <w:sz w:val="14"/>
                <w:szCs w:val="14"/>
              </w:rPr>
            </w:pPr>
            <w:r w:rsidRPr="00FB38E1">
              <w:rPr>
                <w:rFonts w:ascii="Microsoft Sans Serif" w:hAnsi="Microsoft Sans Serif" w:cs="Microsoft Sans Serif"/>
                <w:b/>
                <w:sz w:val="14"/>
                <w:szCs w:val="14"/>
              </w:rPr>
              <w:t>Yükümlülükler</w:t>
            </w:r>
          </w:p>
        </w:tc>
        <w:tc>
          <w:tcPr>
            <w:tcW w:w="506" w:type="pct"/>
            <w:tcBorders>
              <w:top w:val="single" w:sz="4" w:space="0" w:color="auto"/>
              <w:bottom w:val="nil"/>
            </w:tcBorders>
            <w:tcMar>
              <w:left w:w="0" w:type="dxa"/>
              <w:right w:w="57" w:type="dxa"/>
            </w:tcMar>
            <w:vAlign w:val="center"/>
          </w:tcPr>
          <w:p w14:paraId="2A441F5F" w14:textId="77777777" w:rsidR="00E036D3" w:rsidRPr="00FB38E1" w:rsidRDefault="00E036D3" w:rsidP="00836EF2">
            <w:pPr>
              <w:jc w:val="right"/>
              <w:rPr>
                <w:rFonts w:ascii="Microsoft Sans Serif" w:hAnsi="Microsoft Sans Serif" w:cs="Microsoft Sans Serif"/>
                <w:b/>
                <w:bCs/>
                <w:color w:val="000000"/>
                <w:sz w:val="14"/>
                <w:szCs w:val="14"/>
              </w:rPr>
            </w:pPr>
          </w:p>
        </w:tc>
        <w:tc>
          <w:tcPr>
            <w:tcW w:w="580" w:type="pct"/>
            <w:tcBorders>
              <w:top w:val="single" w:sz="4" w:space="0" w:color="auto"/>
              <w:bottom w:val="nil"/>
            </w:tcBorders>
            <w:tcMar>
              <w:left w:w="0" w:type="dxa"/>
              <w:right w:w="57" w:type="dxa"/>
            </w:tcMar>
            <w:vAlign w:val="center"/>
          </w:tcPr>
          <w:p w14:paraId="12743FE1" w14:textId="77777777" w:rsidR="00E036D3" w:rsidRPr="00FB38E1" w:rsidRDefault="00E036D3" w:rsidP="00836EF2">
            <w:pPr>
              <w:jc w:val="right"/>
              <w:rPr>
                <w:sz w:val="14"/>
                <w:szCs w:val="14"/>
              </w:rPr>
            </w:pPr>
          </w:p>
        </w:tc>
        <w:tc>
          <w:tcPr>
            <w:tcW w:w="401" w:type="pct"/>
            <w:tcBorders>
              <w:top w:val="single" w:sz="4" w:space="0" w:color="auto"/>
              <w:bottom w:val="nil"/>
            </w:tcBorders>
            <w:tcMar>
              <w:left w:w="0" w:type="dxa"/>
              <w:right w:w="57" w:type="dxa"/>
            </w:tcMar>
            <w:vAlign w:val="center"/>
          </w:tcPr>
          <w:p w14:paraId="10C34F57" w14:textId="77777777" w:rsidR="00E036D3" w:rsidRPr="00FB38E1" w:rsidRDefault="00E036D3" w:rsidP="00836EF2">
            <w:pPr>
              <w:jc w:val="right"/>
              <w:rPr>
                <w:sz w:val="14"/>
                <w:szCs w:val="14"/>
              </w:rPr>
            </w:pPr>
          </w:p>
        </w:tc>
        <w:tc>
          <w:tcPr>
            <w:tcW w:w="521" w:type="pct"/>
            <w:gridSpan w:val="2"/>
            <w:tcBorders>
              <w:top w:val="single" w:sz="4" w:space="0" w:color="auto"/>
              <w:bottom w:val="nil"/>
            </w:tcBorders>
            <w:tcMar>
              <w:left w:w="0" w:type="dxa"/>
              <w:right w:w="57" w:type="dxa"/>
            </w:tcMar>
            <w:vAlign w:val="center"/>
          </w:tcPr>
          <w:p w14:paraId="2FC783B7" w14:textId="77777777" w:rsidR="00E036D3" w:rsidRPr="00FB38E1" w:rsidRDefault="00E036D3" w:rsidP="00836EF2">
            <w:pPr>
              <w:jc w:val="right"/>
              <w:rPr>
                <w:sz w:val="14"/>
                <w:szCs w:val="14"/>
              </w:rPr>
            </w:pPr>
          </w:p>
        </w:tc>
        <w:tc>
          <w:tcPr>
            <w:tcW w:w="445" w:type="pct"/>
            <w:gridSpan w:val="2"/>
            <w:tcBorders>
              <w:top w:val="single" w:sz="4" w:space="0" w:color="auto"/>
              <w:bottom w:val="nil"/>
            </w:tcBorders>
            <w:tcMar>
              <w:left w:w="0" w:type="dxa"/>
              <w:right w:w="57" w:type="dxa"/>
            </w:tcMar>
            <w:vAlign w:val="center"/>
          </w:tcPr>
          <w:p w14:paraId="1414C56C" w14:textId="77777777" w:rsidR="00E036D3" w:rsidRPr="00FB38E1" w:rsidRDefault="00E036D3" w:rsidP="00836EF2">
            <w:pPr>
              <w:jc w:val="right"/>
              <w:rPr>
                <w:sz w:val="14"/>
                <w:szCs w:val="14"/>
              </w:rPr>
            </w:pPr>
          </w:p>
        </w:tc>
        <w:tc>
          <w:tcPr>
            <w:tcW w:w="793" w:type="pct"/>
            <w:gridSpan w:val="3"/>
            <w:tcBorders>
              <w:top w:val="single" w:sz="4" w:space="0" w:color="auto"/>
              <w:bottom w:val="nil"/>
            </w:tcBorders>
            <w:tcMar>
              <w:left w:w="0" w:type="dxa"/>
              <w:right w:w="57" w:type="dxa"/>
            </w:tcMar>
            <w:vAlign w:val="center"/>
          </w:tcPr>
          <w:p w14:paraId="7BE66DB6" w14:textId="77777777" w:rsidR="00E036D3" w:rsidRPr="00FB38E1" w:rsidRDefault="00E036D3" w:rsidP="00836EF2">
            <w:pPr>
              <w:jc w:val="right"/>
              <w:rPr>
                <w:sz w:val="14"/>
                <w:szCs w:val="14"/>
              </w:rPr>
            </w:pPr>
          </w:p>
        </w:tc>
      </w:tr>
      <w:tr w:rsidR="009A1A17" w:rsidRPr="00FB38E1" w14:paraId="2B1A585C" w14:textId="77777777" w:rsidTr="00431596">
        <w:tc>
          <w:tcPr>
            <w:tcW w:w="1754" w:type="pct"/>
            <w:gridSpan w:val="2"/>
            <w:tcBorders>
              <w:top w:val="nil"/>
              <w:bottom w:val="nil"/>
            </w:tcBorders>
            <w:vAlign w:val="center"/>
          </w:tcPr>
          <w:p w14:paraId="2DFBADAC"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Mevduat</w:t>
            </w:r>
          </w:p>
        </w:tc>
        <w:tc>
          <w:tcPr>
            <w:tcW w:w="506" w:type="pct"/>
            <w:tcBorders>
              <w:top w:val="nil"/>
              <w:left w:val="nil"/>
              <w:bottom w:val="nil"/>
              <w:right w:val="nil"/>
            </w:tcBorders>
            <w:shd w:val="clear" w:color="auto" w:fill="auto"/>
            <w:tcMar>
              <w:left w:w="0" w:type="dxa"/>
              <w:right w:w="57" w:type="dxa"/>
            </w:tcMar>
            <w:vAlign w:val="center"/>
          </w:tcPr>
          <w:p w14:paraId="2B425DAD" w14:textId="5837F6B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762.441.816</w:t>
            </w:r>
          </w:p>
        </w:tc>
        <w:tc>
          <w:tcPr>
            <w:tcW w:w="580" w:type="pct"/>
            <w:tcBorders>
              <w:top w:val="nil"/>
              <w:left w:val="nil"/>
              <w:bottom w:val="nil"/>
              <w:right w:val="nil"/>
            </w:tcBorders>
            <w:shd w:val="clear" w:color="auto" w:fill="auto"/>
            <w:tcMar>
              <w:left w:w="0" w:type="dxa"/>
              <w:right w:w="57" w:type="dxa"/>
            </w:tcMar>
            <w:vAlign w:val="center"/>
          </w:tcPr>
          <w:p w14:paraId="2C10868C" w14:textId="40D8702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11067464" w14:textId="0B7984E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FABD767" w14:textId="2FC88F1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E73514D" w14:textId="1255EB0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902CA5E" w14:textId="7A0366D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762.441.816</w:t>
            </w:r>
          </w:p>
        </w:tc>
      </w:tr>
      <w:tr w:rsidR="009A1A17" w:rsidRPr="00FB38E1" w14:paraId="7993195A" w14:textId="77777777" w:rsidTr="00431596">
        <w:tc>
          <w:tcPr>
            <w:tcW w:w="1754" w:type="pct"/>
            <w:gridSpan w:val="2"/>
            <w:tcBorders>
              <w:top w:val="nil"/>
              <w:bottom w:val="nil"/>
            </w:tcBorders>
            <w:vAlign w:val="center"/>
          </w:tcPr>
          <w:p w14:paraId="2CBC7D97"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Alınan Krediler</w:t>
            </w:r>
          </w:p>
        </w:tc>
        <w:tc>
          <w:tcPr>
            <w:tcW w:w="506" w:type="pct"/>
            <w:tcBorders>
              <w:top w:val="nil"/>
              <w:left w:val="nil"/>
              <w:bottom w:val="nil"/>
              <w:right w:val="nil"/>
            </w:tcBorders>
            <w:shd w:val="clear" w:color="auto" w:fill="auto"/>
            <w:tcMar>
              <w:left w:w="0" w:type="dxa"/>
              <w:right w:w="57" w:type="dxa"/>
            </w:tcMar>
            <w:vAlign w:val="center"/>
          </w:tcPr>
          <w:p w14:paraId="562ADE39" w14:textId="1055039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230.361.574</w:t>
            </w:r>
          </w:p>
        </w:tc>
        <w:tc>
          <w:tcPr>
            <w:tcW w:w="580" w:type="pct"/>
            <w:tcBorders>
              <w:top w:val="nil"/>
              <w:left w:val="nil"/>
              <w:bottom w:val="nil"/>
              <w:right w:val="nil"/>
            </w:tcBorders>
            <w:shd w:val="clear" w:color="auto" w:fill="auto"/>
            <w:tcMar>
              <w:left w:w="0" w:type="dxa"/>
              <w:right w:w="57" w:type="dxa"/>
            </w:tcMar>
            <w:vAlign w:val="center"/>
          </w:tcPr>
          <w:p w14:paraId="459C1EC7" w14:textId="18AB31C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11558B9E" w14:textId="1442A2A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19D9DF47" w14:textId="33863AD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56576715" w14:textId="0A4402B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721A649F" w14:textId="443AF77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230.361.574</w:t>
            </w:r>
          </w:p>
        </w:tc>
      </w:tr>
      <w:tr w:rsidR="009A1A17" w:rsidRPr="00FB38E1" w14:paraId="4780047E" w14:textId="77777777" w:rsidTr="00431596">
        <w:tc>
          <w:tcPr>
            <w:tcW w:w="1754" w:type="pct"/>
            <w:gridSpan w:val="2"/>
            <w:tcBorders>
              <w:top w:val="nil"/>
              <w:bottom w:val="nil"/>
            </w:tcBorders>
            <w:vAlign w:val="center"/>
          </w:tcPr>
          <w:p w14:paraId="1B4079A0" w14:textId="39690745"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Para piyasalarına borçl</w:t>
            </w:r>
            <w:r w:rsidR="00FB22D8" w:rsidRPr="00FB38E1">
              <w:rPr>
                <w:rFonts w:ascii="Microsoft Sans Serif" w:hAnsi="Microsoft Sans Serif" w:cs="Microsoft Sans Serif"/>
                <w:color w:val="404040"/>
                <w:sz w:val="14"/>
                <w:szCs w:val="14"/>
              </w:rPr>
              <w:t>a</w:t>
            </w:r>
            <w:r w:rsidRPr="00FB38E1">
              <w:rPr>
                <w:rFonts w:ascii="Microsoft Sans Serif" w:hAnsi="Microsoft Sans Serif" w:cs="Microsoft Sans Serif"/>
                <w:color w:val="404040"/>
                <w:sz w:val="14"/>
                <w:szCs w:val="14"/>
              </w:rPr>
              <w:t>r</w:t>
            </w:r>
          </w:p>
        </w:tc>
        <w:tc>
          <w:tcPr>
            <w:tcW w:w="506" w:type="pct"/>
            <w:tcBorders>
              <w:top w:val="nil"/>
              <w:left w:val="nil"/>
              <w:bottom w:val="nil"/>
              <w:right w:val="nil"/>
            </w:tcBorders>
            <w:shd w:val="clear" w:color="auto" w:fill="auto"/>
            <w:tcMar>
              <w:left w:w="0" w:type="dxa"/>
              <w:right w:w="57" w:type="dxa"/>
            </w:tcMar>
            <w:vAlign w:val="center"/>
          </w:tcPr>
          <w:p w14:paraId="1386A035" w14:textId="76D34E0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34.817.578</w:t>
            </w:r>
          </w:p>
        </w:tc>
        <w:tc>
          <w:tcPr>
            <w:tcW w:w="580" w:type="pct"/>
            <w:tcBorders>
              <w:top w:val="nil"/>
              <w:left w:val="nil"/>
              <w:bottom w:val="nil"/>
              <w:right w:val="nil"/>
            </w:tcBorders>
            <w:shd w:val="clear" w:color="auto" w:fill="auto"/>
            <w:tcMar>
              <w:left w:w="0" w:type="dxa"/>
              <w:right w:w="57" w:type="dxa"/>
            </w:tcMar>
            <w:vAlign w:val="center"/>
          </w:tcPr>
          <w:p w14:paraId="2EBCC3C2" w14:textId="20657EC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1AAEAD4A" w14:textId="1E1DF45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34.817.578</w:t>
            </w:r>
          </w:p>
        </w:tc>
        <w:tc>
          <w:tcPr>
            <w:tcW w:w="521" w:type="pct"/>
            <w:gridSpan w:val="2"/>
            <w:tcBorders>
              <w:top w:val="nil"/>
              <w:left w:val="nil"/>
              <w:bottom w:val="nil"/>
              <w:right w:val="nil"/>
            </w:tcBorders>
            <w:shd w:val="clear" w:color="auto" w:fill="auto"/>
            <w:tcMar>
              <w:left w:w="0" w:type="dxa"/>
              <w:right w:w="57" w:type="dxa"/>
            </w:tcMar>
            <w:vAlign w:val="center"/>
          </w:tcPr>
          <w:p w14:paraId="3A3AB21F" w14:textId="0CCE08A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8D0189D" w14:textId="0AFF048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24D3891" w14:textId="61A47AD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34.817.578</w:t>
            </w:r>
          </w:p>
        </w:tc>
      </w:tr>
      <w:tr w:rsidR="009A1A17" w:rsidRPr="00FB38E1" w14:paraId="70A3DCD7" w14:textId="77777777" w:rsidTr="00431596">
        <w:tc>
          <w:tcPr>
            <w:tcW w:w="1754" w:type="pct"/>
            <w:gridSpan w:val="2"/>
            <w:tcBorders>
              <w:top w:val="nil"/>
              <w:bottom w:val="nil"/>
            </w:tcBorders>
            <w:vAlign w:val="center"/>
          </w:tcPr>
          <w:p w14:paraId="15392C3E"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İhraç edilen menkul kıymetler</w:t>
            </w:r>
          </w:p>
        </w:tc>
        <w:tc>
          <w:tcPr>
            <w:tcW w:w="506" w:type="pct"/>
            <w:tcBorders>
              <w:top w:val="nil"/>
              <w:left w:val="nil"/>
              <w:bottom w:val="nil"/>
              <w:right w:val="nil"/>
            </w:tcBorders>
            <w:shd w:val="clear" w:color="auto" w:fill="auto"/>
            <w:tcMar>
              <w:left w:w="0" w:type="dxa"/>
              <w:right w:w="57" w:type="dxa"/>
            </w:tcMar>
            <w:vAlign w:val="center"/>
          </w:tcPr>
          <w:p w14:paraId="4D631187" w14:textId="5B7CBB1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54.160.925</w:t>
            </w:r>
          </w:p>
        </w:tc>
        <w:tc>
          <w:tcPr>
            <w:tcW w:w="580" w:type="pct"/>
            <w:tcBorders>
              <w:top w:val="nil"/>
              <w:left w:val="nil"/>
              <w:bottom w:val="nil"/>
              <w:right w:val="nil"/>
            </w:tcBorders>
            <w:shd w:val="clear" w:color="auto" w:fill="auto"/>
            <w:tcMar>
              <w:left w:w="0" w:type="dxa"/>
              <w:right w:w="57" w:type="dxa"/>
            </w:tcMar>
            <w:vAlign w:val="center"/>
          </w:tcPr>
          <w:p w14:paraId="6CA43B10" w14:textId="39D8878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737AB88A" w14:textId="7FA738E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6067D58" w14:textId="618BDB9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2037283" w14:textId="5E4187B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594CC163" w14:textId="35BA219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54.160.925</w:t>
            </w:r>
          </w:p>
        </w:tc>
      </w:tr>
      <w:tr w:rsidR="009A1A17" w:rsidRPr="00FB38E1" w14:paraId="7F4FEA76" w14:textId="77777777" w:rsidTr="00431596">
        <w:tc>
          <w:tcPr>
            <w:tcW w:w="1754" w:type="pct"/>
            <w:gridSpan w:val="2"/>
            <w:tcBorders>
              <w:top w:val="nil"/>
              <w:bottom w:val="nil"/>
            </w:tcBorders>
            <w:vAlign w:val="center"/>
          </w:tcPr>
          <w:p w14:paraId="595C07D5"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Fonlar</w:t>
            </w:r>
          </w:p>
        </w:tc>
        <w:tc>
          <w:tcPr>
            <w:tcW w:w="506" w:type="pct"/>
            <w:tcBorders>
              <w:top w:val="nil"/>
              <w:left w:val="nil"/>
              <w:bottom w:val="nil"/>
              <w:right w:val="nil"/>
            </w:tcBorders>
            <w:shd w:val="clear" w:color="auto" w:fill="auto"/>
            <w:tcMar>
              <w:left w:w="0" w:type="dxa"/>
              <w:right w:w="57" w:type="dxa"/>
            </w:tcMar>
            <w:vAlign w:val="center"/>
          </w:tcPr>
          <w:p w14:paraId="3AA56D97" w14:textId="22B6BB5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776A1351" w14:textId="6D00A3D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3B7405FC" w14:textId="0369D1D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6D165C40" w14:textId="62C9B18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DDDFCF0" w14:textId="53B5A1C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183D3611" w14:textId="395496E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6EC7A24F" w14:textId="77777777" w:rsidTr="00431596">
        <w:tc>
          <w:tcPr>
            <w:tcW w:w="1754" w:type="pct"/>
            <w:gridSpan w:val="2"/>
            <w:tcBorders>
              <w:top w:val="nil"/>
              <w:bottom w:val="nil"/>
            </w:tcBorders>
            <w:vAlign w:val="center"/>
          </w:tcPr>
          <w:p w14:paraId="37E2AB3A"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Gerçeğe uygun değer farkı kar zarara yansıtılan finansal yükümlülükler</w:t>
            </w:r>
          </w:p>
        </w:tc>
        <w:tc>
          <w:tcPr>
            <w:tcW w:w="506" w:type="pct"/>
            <w:tcBorders>
              <w:top w:val="nil"/>
              <w:left w:val="nil"/>
              <w:bottom w:val="nil"/>
              <w:right w:val="nil"/>
            </w:tcBorders>
            <w:shd w:val="clear" w:color="auto" w:fill="auto"/>
            <w:tcMar>
              <w:left w:w="0" w:type="dxa"/>
              <w:right w:w="57" w:type="dxa"/>
            </w:tcMar>
            <w:vAlign w:val="center"/>
          </w:tcPr>
          <w:p w14:paraId="0DCF9B60" w14:textId="0DDA284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70887A67" w14:textId="287411A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3ECCBB07" w14:textId="31FAA02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F2FCDE3" w14:textId="73FC619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7FA6F34" w14:textId="1A01417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5D8913C0" w14:textId="6BCBF50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053F357F" w14:textId="77777777" w:rsidTr="00431596">
        <w:tc>
          <w:tcPr>
            <w:tcW w:w="1754" w:type="pct"/>
            <w:gridSpan w:val="2"/>
            <w:tcBorders>
              <w:top w:val="nil"/>
              <w:bottom w:val="nil"/>
            </w:tcBorders>
            <w:vAlign w:val="center"/>
          </w:tcPr>
          <w:p w14:paraId="7BAAB0AC"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Türev finansal yükümlülükler</w:t>
            </w:r>
          </w:p>
        </w:tc>
        <w:tc>
          <w:tcPr>
            <w:tcW w:w="506" w:type="pct"/>
            <w:tcBorders>
              <w:top w:val="nil"/>
              <w:left w:val="nil"/>
              <w:bottom w:val="nil"/>
              <w:right w:val="nil"/>
            </w:tcBorders>
            <w:shd w:val="clear" w:color="auto" w:fill="auto"/>
            <w:tcMar>
              <w:left w:w="0" w:type="dxa"/>
              <w:right w:w="57" w:type="dxa"/>
            </w:tcMar>
            <w:vAlign w:val="center"/>
          </w:tcPr>
          <w:p w14:paraId="5E48BFFA" w14:textId="13DFF68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5.115.481</w:t>
            </w:r>
          </w:p>
        </w:tc>
        <w:tc>
          <w:tcPr>
            <w:tcW w:w="580" w:type="pct"/>
            <w:tcBorders>
              <w:top w:val="nil"/>
              <w:left w:val="nil"/>
              <w:bottom w:val="nil"/>
              <w:right w:val="nil"/>
            </w:tcBorders>
            <w:shd w:val="clear" w:color="auto" w:fill="auto"/>
            <w:tcMar>
              <w:left w:w="0" w:type="dxa"/>
              <w:right w:w="57" w:type="dxa"/>
            </w:tcMar>
            <w:vAlign w:val="center"/>
          </w:tcPr>
          <w:p w14:paraId="27F9BFA6" w14:textId="310D2FB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333A1760" w14:textId="1A4F271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569F9012" w14:textId="7A60F85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4266E658" w14:textId="78DDCD6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009F95B7" w14:textId="21139BE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5.115.481</w:t>
            </w:r>
          </w:p>
        </w:tc>
      </w:tr>
      <w:tr w:rsidR="009A1A17" w:rsidRPr="00FB38E1" w14:paraId="1CC9B76B" w14:textId="77777777" w:rsidTr="00431596">
        <w:tc>
          <w:tcPr>
            <w:tcW w:w="1754" w:type="pct"/>
            <w:gridSpan w:val="2"/>
            <w:tcBorders>
              <w:top w:val="nil"/>
              <w:bottom w:val="nil"/>
            </w:tcBorders>
            <w:vAlign w:val="center"/>
          </w:tcPr>
          <w:p w14:paraId="64F3FC76"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Faktoring yükümlülükleri</w:t>
            </w:r>
          </w:p>
        </w:tc>
        <w:tc>
          <w:tcPr>
            <w:tcW w:w="506" w:type="pct"/>
            <w:tcBorders>
              <w:top w:val="nil"/>
              <w:left w:val="nil"/>
              <w:bottom w:val="nil"/>
              <w:right w:val="nil"/>
            </w:tcBorders>
            <w:shd w:val="clear" w:color="auto" w:fill="auto"/>
            <w:tcMar>
              <w:left w:w="0" w:type="dxa"/>
              <w:right w:w="57" w:type="dxa"/>
            </w:tcMar>
            <w:vAlign w:val="center"/>
          </w:tcPr>
          <w:p w14:paraId="7F293075" w14:textId="21C2A5A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6A35078A" w14:textId="737A732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0F6F2FE6" w14:textId="0560568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78D3A36" w14:textId="343D20C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FFEF12D" w14:textId="37642C5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327710BB" w14:textId="692FD8A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7CC4472F" w14:textId="77777777" w:rsidTr="00431596">
        <w:tc>
          <w:tcPr>
            <w:tcW w:w="1754" w:type="pct"/>
            <w:gridSpan w:val="2"/>
            <w:tcBorders>
              <w:top w:val="nil"/>
              <w:bottom w:val="nil"/>
            </w:tcBorders>
            <w:vAlign w:val="center"/>
          </w:tcPr>
          <w:p w14:paraId="018E436A"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Kiralama işlemlerinden yükümlülükler</w:t>
            </w:r>
          </w:p>
        </w:tc>
        <w:tc>
          <w:tcPr>
            <w:tcW w:w="506" w:type="pct"/>
            <w:tcBorders>
              <w:top w:val="nil"/>
              <w:left w:val="nil"/>
              <w:bottom w:val="nil"/>
              <w:right w:val="nil"/>
            </w:tcBorders>
            <w:shd w:val="clear" w:color="auto" w:fill="auto"/>
            <w:tcMar>
              <w:left w:w="0" w:type="dxa"/>
              <w:right w:w="57" w:type="dxa"/>
            </w:tcMar>
            <w:vAlign w:val="center"/>
          </w:tcPr>
          <w:p w14:paraId="49BCEE2F" w14:textId="5785038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1.619.892</w:t>
            </w:r>
          </w:p>
        </w:tc>
        <w:tc>
          <w:tcPr>
            <w:tcW w:w="580" w:type="pct"/>
            <w:tcBorders>
              <w:top w:val="nil"/>
              <w:left w:val="nil"/>
              <w:bottom w:val="nil"/>
              <w:right w:val="nil"/>
            </w:tcBorders>
            <w:shd w:val="clear" w:color="auto" w:fill="auto"/>
            <w:tcMar>
              <w:left w:w="0" w:type="dxa"/>
              <w:right w:w="57" w:type="dxa"/>
            </w:tcMar>
            <w:vAlign w:val="center"/>
          </w:tcPr>
          <w:p w14:paraId="700A4F26" w14:textId="0C858D1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568B5472" w14:textId="67A4CE0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A338C21" w14:textId="324851B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6693AB59" w14:textId="2F62A9E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4A215B9C" w14:textId="0A72B38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1.619.892</w:t>
            </w:r>
          </w:p>
        </w:tc>
      </w:tr>
      <w:tr w:rsidR="009A1A17" w:rsidRPr="00FB38E1" w14:paraId="7A2FC46F" w14:textId="77777777" w:rsidTr="00431596">
        <w:tc>
          <w:tcPr>
            <w:tcW w:w="1754" w:type="pct"/>
            <w:gridSpan w:val="2"/>
            <w:tcBorders>
              <w:top w:val="nil"/>
              <w:bottom w:val="nil"/>
            </w:tcBorders>
            <w:vAlign w:val="center"/>
          </w:tcPr>
          <w:p w14:paraId="10EBDC46"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Karşılıklar</w:t>
            </w:r>
          </w:p>
        </w:tc>
        <w:tc>
          <w:tcPr>
            <w:tcW w:w="506" w:type="pct"/>
            <w:tcBorders>
              <w:top w:val="nil"/>
              <w:left w:val="nil"/>
              <w:bottom w:val="nil"/>
              <w:right w:val="nil"/>
            </w:tcBorders>
            <w:shd w:val="clear" w:color="auto" w:fill="auto"/>
            <w:tcMar>
              <w:left w:w="0" w:type="dxa"/>
              <w:right w:w="57" w:type="dxa"/>
            </w:tcMar>
            <w:vAlign w:val="center"/>
          </w:tcPr>
          <w:p w14:paraId="436E2932" w14:textId="5AF3EDE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21.963.404</w:t>
            </w:r>
          </w:p>
        </w:tc>
        <w:tc>
          <w:tcPr>
            <w:tcW w:w="580" w:type="pct"/>
            <w:tcBorders>
              <w:top w:val="nil"/>
              <w:left w:val="nil"/>
              <w:bottom w:val="nil"/>
              <w:right w:val="nil"/>
            </w:tcBorders>
            <w:shd w:val="clear" w:color="auto" w:fill="auto"/>
            <w:tcMar>
              <w:left w:w="0" w:type="dxa"/>
              <w:right w:w="57" w:type="dxa"/>
            </w:tcMar>
            <w:vAlign w:val="center"/>
          </w:tcPr>
          <w:p w14:paraId="742F2CBE" w14:textId="7FF6F9D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50D45D19" w14:textId="558F14E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7E046D75" w14:textId="63EAAE8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AE8187E" w14:textId="6237C79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05005E56" w14:textId="6700EDA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21.963.404</w:t>
            </w:r>
          </w:p>
        </w:tc>
      </w:tr>
      <w:tr w:rsidR="009A1A17" w:rsidRPr="00FB38E1" w14:paraId="39B8E979" w14:textId="77777777" w:rsidTr="00431596">
        <w:tc>
          <w:tcPr>
            <w:tcW w:w="1754" w:type="pct"/>
            <w:gridSpan w:val="2"/>
            <w:tcBorders>
              <w:top w:val="nil"/>
              <w:bottom w:val="nil"/>
            </w:tcBorders>
            <w:vAlign w:val="center"/>
          </w:tcPr>
          <w:p w14:paraId="158FC333"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Cari vergi borcu</w:t>
            </w:r>
          </w:p>
        </w:tc>
        <w:tc>
          <w:tcPr>
            <w:tcW w:w="506" w:type="pct"/>
            <w:tcBorders>
              <w:top w:val="nil"/>
              <w:left w:val="nil"/>
              <w:bottom w:val="nil"/>
              <w:right w:val="nil"/>
            </w:tcBorders>
            <w:shd w:val="clear" w:color="auto" w:fill="auto"/>
            <w:tcMar>
              <w:left w:w="0" w:type="dxa"/>
              <w:right w:w="57" w:type="dxa"/>
            </w:tcMar>
            <w:vAlign w:val="center"/>
          </w:tcPr>
          <w:p w14:paraId="47402C28" w14:textId="090C872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5.359.450</w:t>
            </w:r>
          </w:p>
        </w:tc>
        <w:tc>
          <w:tcPr>
            <w:tcW w:w="580" w:type="pct"/>
            <w:tcBorders>
              <w:top w:val="nil"/>
              <w:left w:val="nil"/>
              <w:bottom w:val="nil"/>
              <w:right w:val="nil"/>
            </w:tcBorders>
            <w:shd w:val="clear" w:color="auto" w:fill="auto"/>
            <w:tcMar>
              <w:left w:w="0" w:type="dxa"/>
              <w:right w:w="57" w:type="dxa"/>
            </w:tcMar>
            <w:vAlign w:val="center"/>
          </w:tcPr>
          <w:p w14:paraId="03EACFF4" w14:textId="4A070FE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623879D0" w14:textId="3C20CF4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2BA606EB" w14:textId="304C280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1B641D7F" w14:textId="0225B7A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ACC467C" w14:textId="1D29D70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5.359.450</w:t>
            </w:r>
          </w:p>
        </w:tc>
      </w:tr>
      <w:tr w:rsidR="009A1A17" w:rsidRPr="00FB38E1" w14:paraId="459EB225" w14:textId="77777777" w:rsidTr="00431596">
        <w:tc>
          <w:tcPr>
            <w:tcW w:w="1754" w:type="pct"/>
            <w:gridSpan w:val="2"/>
            <w:tcBorders>
              <w:top w:val="nil"/>
              <w:bottom w:val="nil"/>
            </w:tcBorders>
            <w:vAlign w:val="center"/>
          </w:tcPr>
          <w:p w14:paraId="05E1AC7D"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Ertelenmiş vergi borcu</w:t>
            </w:r>
          </w:p>
        </w:tc>
        <w:tc>
          <w:tcPr>
            <w:tcW w:w="506" w:type="pct"/>
            <w:tcBorders>
              <w:top w:val="nil"/>
              <w:left w:val="nil"/>
              <w:bottom w:val="nil"/>
              <w:right w:val="nil"/>
            </w:tcBorders>
            <w:shd w:val="clear" w:color="auto" w:fill="auto"/>
            <w:tcMar>
              <w:left w:w="0" w:type="dxa"/>
              <w:right w:w="57" w:type="dxa"/>
            </w:tcMar>
            <w:vAlign w:val="center"/>
          </w:tcPr>
          <w:p w14:paraId="3DA2EF9B" w14:textId="258CAC4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2ECEEFFE" w14:textId="138ED3E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53D99F37" w14:textId="1B313D7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5EBDE6CE" w14:textId="31A8DAE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64C6745" w14:textId="2EEB2F8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2C229444" w14:textId="6788E62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57C74247" w14:textId="77777777" w:rsidTr="00431596">
        <w:tc>
          <w:tcPr>
            <w:tcW w:w="1754" w:type="pct"/>
            <w:gridSpan w:val="2"/>
            <w:tcBorders>
              <w:top w:val="nil"/>
              <w:bottom w:val="nil"/>
            </w:tcBorders>
            <w:vAlign w:val="center"/>
          </w:tcPr>
          <w:p w14:paraId="74250D2E" w14:textId="77777777" w:rsidR="009A1A17" w:rsidRPr="00FB38E1" w:rsidRDefault="009A1A17" w:rsidP="009A1A17">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Satış amaçlı elde tutulan ve durdurulan faaliyetlere ilişkin duran varlık borçları (Net)</w:t>
            </w:r>
          </w:p>
        </w:tc>
        <w:tc>
          <w:tcPr>
            <w:tcW w:w="506" w:type="pct"/>
            <w:tcBorders>
              <w:top w:val="nil"/>
              <w:left w:val="nil"/>
              <w:bottom w:val="nil"/>
              <w:right w:val="nil"/>
            </w:tcBorders>
            <w:shd w:val="clear" w:color="auto" w:fill="auto"/>
            <w:tcMar>
              <w:left w:w="0" w:type="dxa"/>
              <w:right w:w="57" w:type="dxa"/>
            </w:tcMar>
            <w:vAlign w:val="center"/>
          </w:tcPr>
          <w:p w14:paraId="4C779273" w14:textId="3018012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223A1F9E" w14:textId="0CEED97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2ADBC212" w14:textId="6745BFB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BB105EE" w14:textId="0366B43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613D49AF" w14:textId="3B0F08D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0740B0B2" w14:textId="15D503C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6B647A77" w14:textId="77777777" w:rsidTr="00431596">
        <w:tc>
          <w:tcPr>
            <w:tcW w:w="1754" w:type="pct"/>
            <w:gridSpan w:val="2"/>
            <w:tcBorders>
              <w:top w:val="nil"/>
              <w:bottom w:val="nil"/>
            </w:tcBorders>
            <w:vAlign w:val="center"/>
          </w:tcPr>
          <w:p w14:paraId="12467EAE"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Sermaye benzeri borçlanma araçları</w:t>
            </w:r>
          </w:p>
        </w:tc>
        <w:tc>
          <w:tcPr>
            <w:tcW w:w="506" w:type="pct"/>
            <w:tcBorders>
              <w:top w:val="nil"/>
              <w:left w:val="nil"/>
              <w:bottom w:val="nil"/>
              <w:right w:val="nil"/>
            </w:tcBorders>
            <w:shd w:val="clear" w:color="auto" w:fill="auto"/>
            <w:tcMar>
              <w:left w:w="0" w:type="dxa"/>
              <w:right w:w="57" w:type="dxa"/>
            </w:tcMar>
            <w:vAlign w:val="center"/>
          </w:tcPr>
          <w:p w14:paraId="3576875E" w14:textId="4844B3B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12.137.102</w:t>
            </w:r>
          </w:p>
        </w:tc>
        <w:tc>
          <w:tcPr>
            <w:tcW w:w="580" w:type="pct"/>
            <w:tcBorders>
              <w:top w:val="nil"/>
              <w:left w:val="nil"/>
              <w:bottom w:val="nil"/>
              <w:right w:val="nil"/>
            </w:tcBorders>
            <w:shd w:val="clear" w:color="auto" w:fill="auto"/>
            <w:tcMar>
              <w:left w:w="0" w:type="dxa"/>
              <w:right w:w="57" w:type="dxa"/>
            </w:tcMar>
            <w:vAlign w:val="center"/>
          </w:tcPr>
          <w:p w14:paraId="1F33F6CB" w14:textId="66278D6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278F94D3" w14:textId="3A4FCC3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A4D3CA4" w14:textId="26F105B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101C3F31" w14:textId="289DE31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26B0E596" w14:textId="33DD95E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12.137.102</w:t>
            </w:r>
          </w:p>
        </w:tc>
      </w:tr>
      <w:tr w:rsidR="009A1A17" w:rsidRPr="00FB38E1" w14:paraId="20123E8E" w14:textId="77777777" w:rsidTr="00431596">
        <w:tc>
          <w:tcPr>
            <w:tcW w:w="1754" w:type="pct"/>
            <w:gridSpan w:val="2"/>
            <w:tcBorders>
              <w:top w:val="nil"/>
              <w:bottom w:val="nil"/>
            </w:tcBorders>
            <w:vAlign w:val="center"/>
          </w:tcPr>
          <w:p w14:paraId="08BB124F"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Diğer yükümlülükler</w:t>
            </w:r>
          </w:p>
        </w:tc>
        <w:tc>
          <w:tcPr>
            <w:tcW w:w="506" w:type="pct"/>
            <w:tcBorders>
              <w:top w:val="nil"/>
              <w:left w:val="nil"/>
              <w:bottom w:val="nil"/>
              <w:right w:val="nil"/>
            </w:tcBorders>
            <w:shd w:val="clear" w:color="auto" w:fill="auto"/>
            <w:tcMar>
              <w:left w:w="0" w:type="dxa"/>
              <w:right w:w="57" w:type="dxa"/>
            </w:tcMar>
            <w:vAlign w:val="center"/>
          </w:tcPr>
          <w:p w14:paraId="0BBA038B" w14:textId="5E133A8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91.943.092</w:t>
            </w:r>
          </w:p>
        </w:tc>
        <w:tc>
          <w:tcPr>
            <w:tcW w:w="580" w:type="pct"/>
            <w:tcBorders>
              <w:top w:val="nil"/>
              <w:left w:val="nil"/>
              <w:bottom w:val="nil"/>
              <w:right w:val="nil"/>
            </w:tcBorders>
            <w:shd w:val="clear" w:color="auto" w:fill="auto"/>
            <w:tcMar>
              <w:left w:w="0" w:type="dxa"/>
              <w:right w:w="57" w:type="dxa"/>
            </w:tcMar>
            <w:vAlign w:val="center"/>
          </w:tcPr>
          <w:p w14:paraId="7A26B0BA" w14:textId="184DFDB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3956C97B" w14:textId="6EF2785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517C3B8A" w14:textId="1EAC6CB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2604FE64" w14:textId="5213F49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28A01354" w14:textId="218EB72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91.943.092</w:t>
            </w:r>
          </w:p>
        </w:tc>
      </w:tr>
      <w:tr w:rsidR="009A1A17" w:rsidRPr="00FB38E1" w14:paraId="0E3BBAC2" w14:textId="77777777" w:rsidTr="00431596">
        <w:tc>
          <w:tcPr>
            <w:tcW w:w="1754" w:type="pct"/>
            <w:gridSpan w:val="2"/>
            <w:tcBorders>
              <w:top w:val="nil"/>
              <w:bottom w:val="nil"/>
            </w:tcBorders>
            <w:vAlign w:val="center"/>
          </w:tcPr>
          <w:p w14:paraId="76F69A89"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Özkaynaklar</w:t>
            </w:r>
          </w:p>
        </w:tc>
        <w:tc>
          <w:tcPr>
            <w:tcW w:w="506" w:type="pct"/>
            <w:tcBorders>
              <w:top w:val="nil"/>
              <w:left w:val="nil"/>
              <w:bottom w:val="nil"/>
              <w:right w:val="nil"/>
            </w:tcBorders>
            <w:shd w:val="clear" w:color="auto" w:fill="auto"/>
            <w:tcMar>
              <w:left w:w="0" w:type="dxa"/>
              <w:right w:w="57" w:type="dxa"/>
            </w:tcMar>
            <w:vAlign w:val="center"/>
          </w:tcPr>
          <w:p w14:paraId="6D936883" w14:textId="697A2C8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150.700.718</w:t>
            </w:r>
          </w:p>
        </w:tc>
        <w:tc>
          <w:tcPr>
            <w:tcW w:w="580" w:type="pct"/>
            <w:tcBorders>
              <w:top w:val="nil"/>
              <w:left w:val="nil"/>
              <w:bottom w:val="nil"/>
              <w:right w:val="nil"/>
            </w:tcBorders>
            <w:shd w:val="clear" w:color="auto" w:fill="auto"/>
            <w:tcMar>
              <w:left w:w="0" w:type="dxa"/>
              <w:right w:w="57" w:type="dxa"/>
            </w:tcMar>
            <w:vAlign w:val="center"/>
          </w:tcPr>
          <w:p w14:paraId="4B1D5569" w14:textId="1EB452B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3F6285AB" w14:textId="651910E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1AED9DF" w14:textId="055CEB2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6BE9174D" w14:textId="46E03B6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82FD643" w14:textId="0265A84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150.700.718</w:t>
            </w:r>
          </w:p>
        </w:tc>
      </w:tr>
      <w:tr w:rsidR="009A1A17" w:rsidRPr="00FB38E1" w14:paraId="5D67180B" w14:textId="77777777" w:rsidTr="00431596">
        <w:tc>
          <w:tcPr>
            <w:tcW w:w="1754" w:type="pct"/>
            <w:gridSpan w:val="2"/>
            <w:tcBorders>
              <w:top w:val="nil"/>
              <w:bottom w:val="thickThinSmallGap" w:sz="24" w:space="0" w:color="auto"/>
            </w:tcBorders>
            <w:vAlign w:val="center"/>
          </w:tcPr>
          <w:p w14:paraId="247865F7" w14:textId="77777777" w:rsidR="009A1A17" w:rsidRPr="00FB38E1" w:rsidRDefault="009A1A17" w:rsidP="009A1A17">
            <w:pPr>
              <w:rPr>
                <w:rFonts w:ascii="Microsoft Sans Serif" w:hAnsi="Microsoft Sans Serif" w:cs="Microsoft Sans Serif"/>
                <w:b/>
                <w:sz w:val="14"/>
                <w:szCs w:val="14"/>
              </w:rPr>
            </w:pPr>
            <w:r w:rsidRPr="00FB38E1">
              <w:rPr>
                <w:rFonts w:ascii="Microsoft Sans Serif" w:hAnsi="Microsoft Sans Serif" w:cs="Microsoft Sans Serif"/>
                <w:b/>
                <w:bCs/>
                <w:color w:val="404040"/>
                <w:sz w:val="14"/>
                <w:szCs w:val="14"/>
              </w:rPr>
              <w:t>Toplam yükümlülükler</w:t>
            </w:r>
          </w:p>
        </w:tc>
        <w:tc>
          <w:tcPr>
            <w:tcW w:w="506" w:type="pct"/>
            <w:tcBorders>
              <w:top w:val="nil"/>
              <w:left w:val="nil"/>
              <w:bottom w:val="thickThinSmallGap" w:sz="24" w:space="0" w:color="auto"/>
              <w:right w:val="nil"/>
            </w:tcBorders>
            <w:shd w:val="clear" w:color="auto" w:fill="auto"/>
            <w:tcMar>
              <w:left w:w="0" w:type="dxa"/>
              <w:right w:w="57" w:type="dxa"/>
            </w:tcMar>
            <w:vAlign w:val="center"/>
          </w:tcPr>
          <w:p w14:paraId="39EC8521" w14:textId="5E5E1981"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1.370.621.032</w:t>
            </w:r>
          </w:p>
        </w:tc>
        <w:tc>
          <w:tcPr>
            <w:tcW w:w="580" w:type="pct"/>
            <w:tcBorders>
              <w:top w:val="nil"/>
              <w:left w:val="nil"/>
              <w:bottom w:val="thickThinSmallGap" w:sz="24" w:space="0" w:color="auto"/>
              <w:right w:val="nil"/>
            </w:tcBorders>
            <w:shd w:val="clear" w:color="auto" w:fill="auto"/>
            <w:tcMar>
              <w:left w:w="0" w:type="dxa"/>
              <w:right w:w="57" w:type="dxa"/>
            </w:tcMar>
            <w:vAlign w:val="center"/>
          </w:tcPr>
          <w:p w14:paraId="41BC1902" w14:textId="74EBF796"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01" w:type="pct"/>
            <w:tcBorders>
              <w:top w:val="nil"/>
              <w:left w:val="nil"/>
              <w:bottom w:val="thickThinSmallGap" w:sz="24" w:space="0" w:color="auto"/>
              <w:right w:val="nil"/>
            </w:tcBorders>
            <w:shd w:val="clear" w:color="auto" w:fill="auto"/>
            <w:tcMar>
              <w:left w:w="0" w:type="dxa"/>
              <w:right w:w="57" w:type="dxa"/>
            </w:tcMar>
            <w:vAlign w:val="center"/>
          </w:tcPr>
          <w:p w14:paraId="68182948" w14:textId="02AD8EB2"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34.817.578</w:t>
            </w:r>
          </w:p>
        </w:tc>
        <w:tc>
          <w:tcPr>
            <w:tcW w:w="521" w:type="pct"/>
            <w:gridSpan w:val="2"/>
            <w:tcBorders>
              <w:top w:val="nil"/>
              <w:left w:val="nil"/>
              <w:bottom w:val="thickThinSmallGap" w:sz="24" w:space="0" w:color="auto"/>
              <w:right w:val="nil"/>
            </w:tcBorders>
            <w:shd w:val="clear" w:color="auto" w:fill="auto"/>
            <w:tcMar>
              <w:left w:w="0" w:type="dxa"/>
              <w:right w:w="57" w:type="dxa"/>
            </w:tcMar>
            <w:vAlign w:val="center"/>
          </w:tcPr>
          <w:p w14:paraId="01F49AE8" w14:textId="7C33D1D9"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45" w:type="pct"/>
            <w:gridSpan w:val="2"/>
            <w:tcBorders>
              <w:top w:val="nil"/>
              <w:left w:val="nil"/>
              <w:bottom w:val="thickThinSmallGap" w:sz="24" w:space="0" w:color="auto"/>
              <w:right w:val="nil"/>
            </w:tcBorders>
            <w:shd w:val="clear" w:color="auto" w:fill="auto"/>
            <w:tcMar>
              <w:left w:w="0" w:type="dxa"/>
              <w:right w:w="57" w:type="dxa"/>
            </w:tcMar>
            <w:vAlign w:val="center"/>
          </w:tcPr>
          <w:p w14:paraId="1FE77167" w14:textId="6FED250D"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793" w:type="pct"/>
            <w:gridSpan w:val="3"/>
            <w:tcBorders>
              <w:top w:val="nil"/>
              <w:left w:val="nil"/>
              <w:bottom w:val="thickThinSmallGap" w:sz="24" w:space="0" w:color="auto"/>
              <w:right w:val="nil"/>
            </w:tcBorders>
            <w:shd w:val="clear" w:color="auto" w:fill="auto"/>
            <w:tcMar>
              <w:left w:w="0" w:type="dxa"/>
              <w:right w:w="57" w:type="dxa"/>
            </w:tcMar>
            <w:vAlign w:val="center"/>
          </w:tcPr>
          <w:p w14:paraId="0CF63BF7" w14:textId="3521EE78"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1.370.621.032</w:t>
            </w:r>
          </w:p>
        </w:tc>
      </w:tr>
    </w:tbl>
    <w:p w14:paraId="5712495E" w14:textId="77777777" w:rsidR="00E036D3" w:rsidRPr="00FB38E1" w:rsidRDefault="00E036D3" w:rsidP="00E036D3">
      <w:pPr>
        <w:tabs>
          <w:tab w:val="left" w:pos="1216"/>
        </w:tabs>
      </w:pPr>
    </w:p>
    <w:p w14:paraId="73958026" w14:textId="77777777" w:rsidR="00E036D3" w:rsidRPr="00FB38E1" w:rsidRDefault="00E036D3" w:rsidP="00E036D3">
      <w:r w:rsidRPr="00FB38E1">
        <w:br w:type="page"/>
      </w:r>
    </w:p>
    <w:tbl>
      <w:tblPr>
        <w:tblStyle w:val="TableGrid2"/>
        <w:tblW w:w="953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965"/>
        <w:gridCol w:w="1106"/>
        <w:gridCol w:w="765"/>
        <w:gridCol w:w="343"/>
        <w:gridCol w:w="650"/>
        <w:gridCol w:w="446"/>
        <w:gridCol w:w="402"/>
        <w:gridCol w:w="555"/>
        <w:gridCol w:w="933"/>
        <w:gridCol w:w="25"/>
      </w:tblGrid>
      <w:tr w:rsidR="00CA63C9" w:rsidRPr="00FB38E1" w14:paraId="190A948A" w14:textId="77777777" w:rsidTr="00AF49B9">
        <w:trPr>
          <w:gridAfter w:val="1"/>
          <w:wAfter w:w="13" w:type="pct"/>
        </w:trPr>
        <w:tc>
          <w:tcPr>
            <w:tcW w:w="1754" w:type="pct"/>
          </w:tcPr>
          <w:p w14:paraId="3DD6A811" w14:textId="77777777" w:rsidR="00CA63C9" w:rsidRPr="00FB38E1" w:rsidRDefault="00CA63C9" w:rsidP="002A31A1">
            <w:pPr>
              <w:rPr>
                <w:rFonts w:ascii="Microsoft Sans Serif" w:hAnsi="Microsoft Sans Serif" w:cs="Microsoft Sans Serif"/>
                <w:sz w:val="14"/>
                <w:szCs w:val="14"/>
              </w:rPr>
            </w:pPr>
          </w:p>
        </w:tc>
        <w:tc>
          <w:tcPr>
            <w:tcW w:w="506" w:type="pct"/>
            <w:tcBorders>
              <w:top w:val="thinThickSmallGap" w:sz="24" w:space="0" w:color="auto"/>
              <w:bottom w:val="single" w:sz="4" w:space="0" w:color="auto"/>
            </w:tcBorders>
            <w:tcMar>
              <w:left w:w="0" w:type="dxa"/>
              <w:right w:w="0" w:type="dxa"/>
            </w:tcMar>
          </w:tcPr>
          <w:p w14:paraId="6EFA74C1"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a</w:t>
            </w:r>
          </w:p>
        </w:tc>
        <w:tc>
          <w:tcPr>
            <w:tcW w:w="580" w:type="pct"/>
            <w:tcBorders>
              <w:top w:val="thinThickSmallGap" w:sz="24" w:space="0" w:color="auto"/>
              <w:bottom w:val="single" w:sz="4" w:space="0" w:color="auto"/>
            </w:tcBorders>
            <w:tcMar>
              <w:left w:w="0" w:type="dxa"/>
              <w:right w:w="0" w:type="dxa"/>
            </w:tcMar>
          </w:tcPr>
          <w:p w14:paraId="195E157D"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c</w:t>
            </w:r>
          </w:p>
        </w:tc>
        <w:tc>
          <w:tcPr>
            <w:tcW w:w="581" w:type="pct"/>
            <w:gridSpan w:val="2"/>
            <w:tcBorders>
              <w:top w:val="thinThickSmallGap" w:sz="24" w:space="0" w:color="auto"/>
              <w:bottom w:val="single" w:sz="4" w:space="0" w:color="auto"/>
            </w:tcBorders>
            <w:tcMar>
              <w:left w:w="0" w:type="dxa"/>
              <w:right w:w="0" w:type="dxa"/>
            </w:tcMar>
          </w:tcPr>
          <w:p w14:paraId="496B1C2D"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d</w:t>
            </w:r>
          </w:p>
        </w:tc>
        <w:tc>
          <w:tcPr>
            <w:tcW w:w="575" w:type="pct"/>
            <w:gridSpan w:val="2"/>
            <w:tcBorders>
              <w:top w:val="thinThickSmallGap" w:sz="24" w:space="0" w:color="auto"/>
              <w:bottom w:val="single" w:sz="4" w:space="0" w:color="auto"/>
            </w:tcBorders>
            <w:tcMar>
              <w:left w:w="0" w:type="dxa"/>
              <w:right w:w="0" w:type="dxa"/>
            </w:tcMar>
          </w:tcPr>
          <w:p w14:paraId="2D24B3EE"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w:t>
            </w:r>
          </w:p>
        </w:tc>
        <w:tc>
          <w:tcPr>
            <w:tcW w:w="502" w:type="pct"/>
            <w:gridSpan w:val="2"/>
            <w:tcBorders>
              <w:top w:val="thinThickSmallGap" w:sz="24" w:space="0" w:color="auto"/>
              <w:bottom w:val="single" w:sz="4" w:space="0" w:color="auto"/>
            </w:tcBorders>
            <w:tcMar>
              <w:left w:w="0" w:type="dxa"/>
              <w:right w:w="0" w:type="dxa"/>
            </w:tcMar>
          </w:tcPr>
          <w:p w14:paraId="7417732C"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f</w:t>
            </w:r>
          </w:p>
        </w:tc>
        <w:tc>
          <w:tcPr>
            <w:tcW w:w="489" w:type="pct"/>
            <w:tcBorders>
              <w:top w:val="thinThickSmallGap" w:sz="24" w:space="0" w:color="auto"/>
              <w:bottom w:val="single" w:sz="4" w:space="0" w:color="auto"/>
            </w:tcBorders>
            <w:tcMar>
              <w:left w:w="0" w:type="dxa"/>
              <w:right w:w="0" w:type="dxa"/>
            </w:tcMar>
          </w:tcPr>
          <w:p w14:paraId="42AA444A"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g</w:t>
            </w:r>
          </w:p>
        </w:tc>
      </w:tr>
      <w:tr w:rsidR="00CA63C9" w:rsidRPr="00FB38E1" w14:paraId="0E358109" w14:textId="77777777" w:rsidTr="002A31A1">
        <w:tc>
          <w:tcPr>
            <w:tcW w:w="1754" w:type="pct"/>
            <w:tcBorders>
              <w:bottom w:val="nil"/>
            </w:tcBorders>
          </w:tcPr>
          <w:p w14:paraId="45F13AD0" w14:textId="77777777" w:rsidR="00CA63C9" w:rsidRPr="00FB38E1" w:rsidRDefault="00CA63C9" w:rsidP="002A31A1">
            <w:pPr>
              <w:rPr>
                <w:rFonts w:ascii="Microsoft Sans Serif" w:hAnsi="Microsoft Sans Serif" w:cs="Microsoft Sans Serif"/>
                <w:sz w:val="14"/>
                <w:szCs w:val="14"/>
              </w:rPr>
            </w:pPr>
          </w:p>
        </w:tc>
        <w:tc>
          <w:tcPr>
            <w:tcW w:w="506" w:type="pct"/>
            <w:vMerge w:val="restart"/>
            <w:tcBorders>
              <w:top w:val="single" w:sz="4" w:space="0" w:color="auto"/>
              <w:bottom w:val="nil"/>
            </w:tcBorders>
            <w:tcMar>
              <w:left w:w="28" w:type="dxa"/>
              <w:right w:w="28" w:type="dxa"/>
            </w:tcMar>
            <w:vAlign w:val="bottom"/>
          </w:tcPr>
          <w:p w14:paraId="526A1EBE"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TMS uyarınca değerlenmiş tutar</w:t>
            </w:r>
          </w:p>
        </w:tc>
        <w:tc>
          <w:tcPr>
            <w:tcW w:w="2740" w:type="pct"/>
            <w:gridSpan w:val="9"/>
            <w:tcBorders>
              <w:top w:val="single" w:sz="4" w:space="0" w:color="auto"/>
              <w:bottom w:val="single" w:sz="4" w:space="0" w:color="auto"/>
            </w:tcBorders>
            <w:tcMar>
              <w:left w:w="28" w:type="dxa"/>
              <w:right w:w="28" w:type="dxa"/>
            </w:tcMar>
            <w:vAlign w:val="bottom"/>
          </w:tcPr>
          <w:p w14:paraId="4C2A4F6A"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Kalemlerin TMS uyarınca değerlenmiş tutarı</w:t>
            </w:r>
          </w:p>
        </w:tc>
      </w:tr>
      <w:tr w:rsidR="00CA63C9" w:rsidRPr="00FB38E1" w14:paraId="486D7ECA" w14:textId="77777777" w:rsidTr="002A31A1">
        <w:trPr>
          <w:trHeight w:val="313"/>
        </w:trPr>
        <w:tc>
          <w:tcPr>
            <w:tcW w:w="1754" w:type="pct"/>
            <w:tcBorders>
              <w:top w:val="nil"/>
              <w:bottom w:val="single" w:sz="4" w:space="0" w:color="auto"/>
            </w:tcBorders>
            <w:vAlign w:val="center"/>
          </w:tcPr>
          <w:p w14:paraId="35A3DC7C" w14:textId="4665C984" w:rsidR="00CA63C9" w:rsidRPr="00FB38E1" w:rsidRDefault="00CA63C9" w:rsidP="002A31A1">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Önceki Dönem</w:t>
            </w:r>
          </w:p>
        </w:tc>
        <w:tc>
          <w:tcPr>
            <w:tcW w:w="506" w:type="pct"/>
            <w:vMerge/>
            <w:tcBorders>
              <w:top w:val="nil"/>
              <w:bottom w:val="single" w:sz="4" w:space="0" w:color="auto"/>
            </w:tcBorders>
            <w:tcMar>
              <w:left w:w="28" w:type="dxa"/>
              <w:right w:w="28" w:type="dxa"/>
            </w:tcMar>
            <w:vAlign w:val="center"/>
          </w:tcPr>
          <w:p w14:paraId="6A4E4CF2" w14:textId="77777777" w:rsidR="00CA63C9" w:rsidRPr="00FB38E1" w:rsidRDefault="00CA63C9" w:rsidP="002A31A1">
            <w:pPr>
              <w:jc w:val="center"/>
              <w:rPr>
                <w:rFonts w:ascii="Microsoft Sans Serif" w:hAnsi="Microsoft Sans Serif" w:cs="Microsoft Sans Serif"/>
                <w:b/>
                <w:sz w:val="14"/>
                <w:szCs w:val="14"/>
              </w:rPr>
            </w:pPr>
          </w:p>
        </w:tc>
        <w:tc>
          <w:tcPr>
            <w:tcW w:w="580" w:type="pct"/>
            <w:tcBorders>
              <w:top w:val="single" w:sz="4" w:space="0" w:color="auto"/>
              <w:bottom w:val="single" w:sz="4" w:space="0" w:color="auto"/>
            </w:tcBorders>
            <w:tcMar>
              <w:left w:w="28" w:type="dxa"/>
              <w:right w:w="28" w:type="dxa"/>
            </w:tcMar>
            <w:vAlign w:val="center"/>
          </w:tcPr>
          <w:p w14:paraId="58EAE031"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Kredi riskine </w:t>
            </w:r>
          </w:p>
          <w:p w14:paraId="45A79071"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tabi</w:t>
            </w:r>
          </w:p>
        </w:tc>
        <w:tc>
          <w:tcPr>
            <w:tcW w:w="401" w:type="pct"/>
            <w:tcBorders>
              <w:top w:val="single" w:sz="4" w:space="0" w:color="auto"/>
              <w:bottom w:val="single" w:sz="4" w:space="0" w:color="auto"/>
            </w:tcBorders>
            <w:tcMar>
              <w:left w:w="28" w:type="dxa"/>
              <w:right w:w="28" w:type="dxa"/>
            </w:tcMar>
            <w:vAlign w:val="center"/>
          </w:tcPr>
          <w:p w14:paraId="485D1452"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Karşı taraf kredi riskine tabi</w:t>
            </w:r>
          </w:p>
        </w:tc>
        <w:tc>
          <w:tcPr>
            <w:tcW w:w="521" w:type="pct"/>
            <w:gridSpan w:val="2"/>
            <w:tcBorders>
              <w:top w:val="single" w:sz="4" w:space="0" w:color="auto"/>
              <w:bottom w:val="single" w:sz="4" w:space="0" w:color="auto"/>
            </w:tcBorders>
            <w:tcMar>
              <w:left w:w="28" w:type="dxa"/>
              <w:right w:w="28" w:type="dxa"/>
            </w:tcMar>
            <w:vAlign w:val="center"/>
          </w:tcPr>
          <w:p w14:paraId="35E15C64"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Menkul kıymetleştirme pozisyonları</w:t>
            </w:r>
          </w:p>
        </w:tc>
        <w:tc>
          <w:tcPr>
            <w:tcW w:w="445" w:type="pct"/>
            <w:gridSpan w:val="2"/>
            <w:tcBorders>
              <w:top w:val="single" w:sz="4" w:space="0" w:color="auto"/>
              <w:bottom w:val="single" w:sz="4" w:space="0" w:color="auto"/>
            </w:tcBorders>
            <w:tcMar>
              <w:left w:w="28" w:type="dxa"/>
              <w:right w:w="28" w:type="dxa"/>
            </w:tcMar>
            <w:vAlign w:val="center"/>
          </w:tcPr>
          <w:p w14:paraId="21A23090"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Piyasa riskine tabi</w:t>
            </w:r>
          </w:p>
        </w:tc>
        <w:tc>
          <w:tcPr>
            <w:tcW w:w="793" w:type="pct"/>
            <w:gridSpan w:val="3"/>
            <w:tcBorders>
              <w:top w:val="single" w:sz="4" w:space="0" w:color="auto"/>
              <w:bottom w:val="single" w:sz="4" w:space="0" w:color="auto"/>
            </w:tcBorders>
            <w:tcMar>
              <w:left w:w="28" w:type="dxa"/>
              <w:right w:w="28" w:type="dxa"/>
            </w:tcMar>
            <w:vAlign w:val="center"/>
          </w:tcPr>
          <w:p w14:paraId="662DBBAF"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Serm.</w:t>
            </w:r>
          </w:p>
          <w:p w14:paraId="03860B55" w14:textId="77777777" w:rsidR="00CA63C9" w:rsidRPr="00FB38E1" w:rsidRDefault="00CA63C9" w:rsidP="002A31A1">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yüküm. tabi olmayan veya sermayeden indirilen</w:t>
            </w:r>
          </w:p>
        </w:tc>
      </w:tr>
      <w:tr w:rsidR="00CA63C9" w:rsidRPr="00FB38E1" w14:paraId="2A82CF36" w14:textId="77777777" w:rsidTr="002A31A1">
        <w:tc>
          <w:tcPr>
            <w:tcW w:w="1754" w:type="pct"/>
            <w:tcBorders>
              <w:top w:val="single" w:sz="4" w:space="0" w:color="auto"/>
              <w:bottom w:val="nil"/>
            </w:tcBorders>
            <w:tcMar>
              <w:left w:w="28" w:type="dxa"/>
            </w:tcMar>
          </w:tcPr>
          <w:p w14:paraId="2BA5ED17" w14:textId="77777777" w:rsidR="00CA63C9" w:rsidRPr="00FB38E1" w:rsidRDefault="00CA63C9" w:rsidP="002A31A1">
            <w:pPr>
              <w:rPr>
                <w:rFonts w:ascii="Microsoft Sans Serif" w:hAnsi="Microsoft Sans Serif" w:cs="Microsoft Sans Serif"/>
                <w:b/>
                <w:sz w:val="14"/>
                <w:szCs w:val="14"/>
              </w:rPr>
            </w:pPr>
            <w:r w:rsidRPr="00FB38E1">
              <w:rPr>
                <w:rFonts w:ascii="Microsoft Sans Serif" w:hAnsi="Microsoft Sans Serif" w:cs="Microsoft Sans Serif"/>
                <w:b/>
                <w:sz w:val="14"/>
                <w:szCs w:val="14"/>
              </w:rPr>
              <w:t>Varlıklar</w:t>
            </w:r>
          </w:p>
        </w:tc>
        <w:tc>
          <w:tcPr>
            <w:tcW w:w="506" w:type="pct"/>
            <w:tcBorders>
              <w:top w:val="single" w:sz="4" w:space="0" w:color="auto"/>
              <w:bottom w:val="nil"/>
            </w:tcBorders>
            <w:tcMar>
              <w:right w:w="57" w:type="dxa"/>
            </w:tcMar>
            <w:vAlign w:val="center"/>
          </w:tcPr>
          <w:p w14:paraId="17855FCD" w14:textId="77777777" w:rsidR="00CA63C9" w:rsidRPr="00FB38E1" w:rsidRDefault="00CA63C9" w:rsidP="002A31A1">
            <w:pPr>
              <w:jc w:val="right"/>
              <w:rPr>
                <w:rFonts w:ascii="Microsoft Sans Serif" w:hAnsi="Microsoft Sans Serif" w:cs="Microsoft Sans Serif"/>
                <w:sz w:val="14"/>
                <w:szCs w:val="14"/>
              </w:rPr>
            </w:pPr>
          </w:p>
        </w:tc>
        <w:tc>
          <w:tcPr>
            <w:tcW w:w="580" w:type="pct"/>
            <w:tcBorders>
              <w:top w:val="single" w:sz="4" w:space="0" w:color="auto"/>
              <w:bottom w:val="nil"/>
            </w:tcBorders>
            <w:tcMar>
              <w:right w:w="57" w:type="dxa"/>
            </w:tcMar>
            <w:vAlign w:val="center"/>
          </w:tcPr>
          <w:p w14:paraId="72B90A25" w14:textId="77777777" w:rsidR="00CA63C9" w:rsidRPr="00FB38E1" w:rsidRDefault="00CA63C9" w:rsidP="002A31A1">
            <w:pPr>
              <w:jc w:val="right"/>
              <w:rPr>
                <w:rFonts w:ascii="Microsoft Sans Serif" w:hAnsi="Microsoft Sans Serif" w:cs="Microsoft Sans Serif"/>
                <w:sz w:val="14"/>
                <w:szCs w:val="14"/>
              </w:rPr>
            </w:pPr>
          </w:p>
        </w:tc>
        <w:tc>
          <w:tcPr>
            <w:tcW w:w="401" w:type="pct"/>
            <w:tcBorders>
              <w:top w:val="single" w:sz="4" w:space="0" w:color="auto"/>
              <w:bottom w:val="nil"/>
            </w:tcBorders>
            <w:tcMar>
              <w:right w:w="57" w:type="dxa"/>
            </w:tcMar>
            <w:vAlign w:val="center"/>
          </w:tcPr>
          <w:p w14:paraId="3FC72301" w14:textId="77777777" w:rsidR="00CA63C9" w:rsidRPr="00FB38E1" w:rsidRDefault="00CA63C9" w:rsidP="002A31A1">
            <w:pPr>
              <w:jc w:val="right"/>
              <w:rPr>
                <w:rFonts w:ascii="Microsoft Sans Serif" w:hAnsi="Microsoft Sans Serif" w:cs="Microsoft Sans Serif"/>
                <w:sz w:val="14"/>
                <w:szCs w:val="14"/>
              </w:rPr>
            </w:pPr>
          </w:p>
        </w:tc>
        <w:tc>
          <w:tcPr>
            <w:tcW w:w="521" w:type="pct"/>
            <w:gridSpan w:val="2"/>
            <w:tcBorders>
              <w:top w:val="single" w:sz="4" w:space="0" w:color="auto"/>
              <w:bottom w:val="nil"/>
            </w:tcBorders>
            <w:tcMar>
              <w:right w:w="57" w:type="dxa"/>
            </w:tcMar>
            <w:vAlign w:val="center"/>
          </w:tcPr>
          <w:p w14:paraId="5596B70D" w14:textId="77777777" w:rsidR="00CA63C9" w:rsidRPr="00FB38E1" w:rsidRDefault="00CA63C9" w:rsidP="002A31A1">
            <w:pPr>
              <w:jc w:val="right"/>
              <w:rPr>
                <w:rFonts w:ascii="Microsoft Sans Serif" w:hAnsi="Microsoft Sans Serif" w:cs="Microsoft Sans Serif"/>
                <w:sz w:val="14"/>
                <w:szCs w:val="14"/>
              </w:rPr>
            </w:pPr>
          </w:p>
        </w:tc>
        <w:tc>
          <w:tcPr>
            <w:tcW w:w="445" w:type="pct"/>
            <w:gridSpan w:val="2"/>
            <w:tcBorders>
              <w:top w:val="single" w:sz="4" w:space="0" w:color="auto"/>
              <w:bottom w:val="nil"/>
            </w:tcBorders>
            <w:tcMar>
              <w:right w:w="57" w:type="dxa"/>
            </w:tcMar>
            <w:vAlign w:val="center"/>
          </w:tcPr>
          <w:p w14:paraId="11F957D3" w14:textId="77777777" w:rsidR="00CA63C9" w:rsidRPr="00FB38E1" w:rsidRDefault="00CA63C9" w:rsidP="002A31A1">
            <w:pPr>
              <w:jc w:val="right"/>
              <w:rPr>
                <w:rFonts w:ascii="Microsoft Sans Serif" w:hAnsi="Microsoft Sans Serif" w:cs="Microsoft Sans Serif"/>
                <w:sz w:val="14"/>
                <w:szCs w:val="14"/>
              </w:rPr>
            </w:pPr>
          </w:p>
        </w:tc>
        <w:tc>
          <w:tcPr>
            <w:tcW w:w="793" w:type="pct"/>
            <w:gridSpan w:val="3"/>
            <w:tcBorders>
              <w:top w:val="single" w:sz="4" w:space="0" w:color="auto"/>
              <w:bottom w:val="nil"/>
            </w:tcBorders>
            <w:tcMar>
              <w:right w:w="57" w:type="dxa"/>
            </w:tcMar>
            <w:vAlign w:val="center"/>
          </w:tcPr>
          <w:p w14:paraId="25AAF4EC" w14:textId="77777777" w:rsidR="00CA63C9" w:rsidRPr="00FB38E1" w:rsidRDefault="00CA63C9" w:rsidP="002A31A1">
            <w:pPr>
              <w:jc w:val="right"/>
              <w:rPr>
                <w:rFonts w:ascii="Microsoft Sans Serif" w:hAnsi="Microsoft Sans Serif" w:cs="Microsoft Sans Serif"/>
                <w:sz w:val="14"/>
                <w:szCs w:val="14"/>
              </w:rPr>
            </w:pPr>
          </w:p>
        </w:tc>
      </w:tr>
      <w:tr w:rsidR="00CA63C9" w:rsidRPr="00FB38E1" w14:paraId="09769E9B" w14:textId="77777777" w:rsidTr="002A31A1">
        <w:tc>
          <w:tcPr>
            <w:tcW w:w="1754" w:type="pct"/>
            <w:tcBorders>
              <w:top w:val="nil"/>
              <w:bottom w:val="nil"/>
            </w:tcBorders>
            <w:vAlign w:val="center"/>
          </w:tcPr>
          <w:p w14:paraId="77541D69"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Nakit değerler ve Merkez Bankası</w:t>
            </w:r>
          </w:p>
        </w:tc>
        <w:tc>
          <w:tcPr>
            <w:tcW w:w="506" w:type="pct"/>
            <w:tcBorders>
              <w:top w:val="nil"/>
              <w:left w:val="nil"/>
              <w:bottom w:val="nil"/>
              <w:right w:val="nil"/>
            </w:tcBorders>
            <w:shd w:val="clear" w:color="auto" w:fill="auto"/>
            <w:tcMar>
              <w:left w:w="0" w:type="dxa"/>
              <w:right w:w="57" w:type="dxa"/>
            </w:tcMar>
            <w:vAlign w:val="center"/>
          </w:tcPr>
          <w:p w14:paraId="70F93A5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202.975.415</w:t>
            </w:r>
          </w:p>
        </w:tc>
        <w:tc>
          <w:tcPr>
            <w:tcW w:w="580" w:type="pct"/>
            <w:tcBorders>
              <w:top w:val="nil"/>
              <w:left w:val="nil"/>
              <w:bottom w:val="nil"/>
              <w:right w:val="nil"/>
            </w:tcBorders>
            <w:shd w:val="clear" w:color="auto" w:fill="auto"/>
            <w:tcMar>
              <w:left w:w="0" w:type="dxa"/>
              <w:right w:w="57" w:type="dxa"/>
            </w:tcMar>
            <w:vAlign w:val="center"/>
          </w:tcPr>
          <w:p w14:paraId="243FAC0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202.975.415</w:t>
            </w:r>
          </w:p>
        </w:tc>
        <w:tc>
          <w:tcPr>
            <w:tcW w:w="401" w:type="pct"/>
            <w:tcBorders>
              <w:top w:val="nil"/>
              <w:left w:val="nil"/>
              <w:bottom w:val="nil"/>
              <w:right w:val="nil"/>
            </w:tcBorders>
            <w:shd w:val="clear" w:color="auto" w:fill="auto"/>
            <w:tcMar>
              <w:left w:w="0" w:type="dxa"/>
              <w:right w:w="57" w:type="dxa"/>
            </w:tcMar>
            <w:vAlign w:val="center"/>
          </w:tcPr>
          <w:p w14:paraId="39B6E6E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8C4F06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6477A0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2F20695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6D3F26F7" w14:textId="77777777" w:rsidTr="002A31A1">
        <w:tc>
          <w:tcPr>
            <w:tcW w:w="1754" w:type="pct"/>
            <w:tcBorders>
              <w:top w:val="nil"/>
              <w:bottom w:val="nil"/>
            </w:tcBorders>
            <w:vAlign w:val="center"/>
          </w:tcPr>
          <w:p w14:paraId="26AF4BEB"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Bankalar</w:t>
            </w:r>
          </w:p>
        </w:tc>
        <w:tc>
          <w:tcPr>
            <w:tcW w:w="506" w:type="pct"/>
            <w:tcBorders>
              <w:top w:val="nil"/>
              <w:left w:val="nil"/>
              <w:bottom w:val="nil"/>
              <w:right w:val="nil"/>
            </w:tcBorders>
            <w:shd w:val="clear" w:color="auto" w:fill="auto"/>
            <w:tcMar>
              <w:left w:w="0" w:type="dxa"/>
              <w:right w:w="57" w:type="dxa"/>
            </w:tcMar>
            <w:vAlign w:val="center"/>
          </w:tcPr>
          <w:p w14:paraId="2E004546"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19.026.945</w:t>
            </w:r>
          </w:p>
        </w:tc>
        <w:tc>
          <w:tcPr>
            <w:tcW w:w="580" w:type="pct"/>
            <w:tcBorders>
              <w:top w:val="nil"/>
              <w:left w:val="nil"/>
              <w:bottom w:val="nil"/>
              <w:right w:val="nil"/>
            </w:tcBorders>
            <w:shd w:val="clear" w:color="auto" w:fill="auto"/>
            <w:tcMar>
              <w:left w:w="0" w:type="dxa"/>
              <w:right w:w="57" w:type="dxa"/>
            </w:tcMar>
            <w:vAlign w:val="center"/>
          </w:tcPr>
          <w:p w14:paraId="5B6E4C2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19.027.728</w:t>
            </w:r>
          </w:p>
        </w:tc>
        <w:tc>
          <w:tcPr>
            <w:tcW w:w="401" w:type="pct"/>
            <w:tcBorders>
              <w:top w:val="nil"/>
              <w:left w:val="nil"/>
              <w:bottom w:val="nil"/>
              <w:right w:val="nil"/>
            </w:tcBorders>
            <w:shd w:val="clear" w:color="auto" w:fill="auto"/>
            <w:tcMar>
              <w:left w:w="0" w:type="dxa"/>
              <w:right w:w="57" w:type="dxa"/>
            </w:tcMar>
            <w:vAlign w:val="center"/>
          </w:tcPr>
          <w:p w14:paraId="316D013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DD53F0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8E0B0E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1EEFB6A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44CC16F6" w14:textId="77777777" w:rsidTr="002A31A1">
        <w:tc>
          <w:tcPr>
            <w:tcW w:w="1754" w:type="pct"/>
            <w:tcBorders>
              <w:top w:val="nil"/>
              <w:bottom w:val="nil"/>
            </w:tcBorders>
            <w:vAlign w:val="center"/>
          </w:tcPr>
          <w:p w14:paraId="2AC6CD10"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Para piyasalarından alacaklar</w:t>
            </w:r>
          </w:p>
        </w:tc>
        <w:tc>
          <w:tcPr>
            <w:tcW w:w="506" w:type="pct"/>
            <w:tcBorders>
              <w:top w:val="nil"/>
              <w:left w:val="nil"/>
              <w:bottom w:val="nil"/>
              <w:right w:val="nil"/>
            </w:tcBorders>
            <w:shd w:val="clear" w:color="auto" w:fill="auto"/>
            <w:tcMar>
              <w:left w:w="0" w:type="dxa"/>
              <w:right w:w="57" w:type="dxa"/>
            </w:tcMar>
            <w:vAlign w:val="center"/>
          </w:tcPr>
          <w:p w14:paraId="27B5B80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52.126.807</w:t>
            </w:r>
          </w:p>
        </w:tc>
        <w:tc>
          <w:tcPr>
            <w:tcW w:w="580" w:type="pct"/>
            <w:tcBorders>
              <w:top w:val="nil"/>
              <w:left w:val="nil"/>
              <w:bottom w:val="nil"/>
              <w:right w:val="nil"/>
            </w:tcBorders>
            <w:shd w:val="clear" w:color="auto" w:fill="auto"/>
            <w:tcMar>
              <w:left w:w="0" w:type="dxa"/>
              <w:right w:w="57" w:type="dxa"/>
            </w:tcMar>
            <w:vAlign w:val="center"/>
          </w:tcPr>
          <w:p w14:paraId="0162B16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423B83D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52.126.807</w:t>
            </w:r>
          </w:p>
        </w:tc>
        <w:tc>
          <w:tcPr>
            <w:tcW w:w="521" w:type="pct"/>
            <w:gridSpan w:val="2"/>
            <w:tcBorders>
              <w:top w:val="nil"/>
              <w:left w:val="nil"/>
              <w:bottom w:val="nil"/>
              <w:right w:val="nil"/>
            </w:tcBorders>
            <w:shd w:val="clear" w:color="auto" w:fill="auto"/>
            <w:tcMar>
              <w:left w:w="0" w:type="dxa"/>
              <w:right w:w="57" w:type="dxa"/>
            </w:tcMar>
            <w:vAlign w:val="center"/>
          </w:tcPr>
          <w:p w14:paraId="003ECD3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454908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3B3A4093"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36D6216B" w14:textId="77777777" w:rsidTr="002A31A1">
        <w:tc>
          <w:tcPr>
            <w:tcW w:w="1754" w:type="pct"/>
            <w:tcBorders>
              <w:top w:val="nil"/>
              <w:bottom w:val="nil"/>
            </w:tcBorders>
            <w:vAlign w:val="center"/>
          </w:tcPr>
          <w:p w14:paraId="6499C0F8"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 xml:space="preserve">Gerçeğe uygun değer farkı kâr zarara yansıtılan finansal varlıklar </w:t>
            </w:r>
          </w:p>
        </w:tc>
        <w:tc>
          <w:tcPr>
            <w:tcW w:w="506" w:type="pct"/>
            <w:tcBorders>
              <w:top w:val="nil"/>
              <w:left w:val="nil"/>
              <w:bottom w:val="nil"/>
              <w:right w:val="nil"/>
            </w:tcBorders>
            <w:shd w:val="clear" w:color="auto" w:fill="auto"/>
            <w:tcMar>
              <w:left w:w="0" w:type="dxa"/>
              <w:right w:w="57" w:type="dxa"/>
            </w:tcMar>
            <w:vAlign w:val="center"/>
          </w:tcPr>
          <w:p w14:paraId="798CCF9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5.302.375</w:t>
            </w:r>
          </w:p>
        </w:tc>
        <w:tc>
          <w:tcPr>
            <w:tcW w:w="580" w:type="pct"/>
            <w:tcBorders>
              <w:top w:val="nil"/>
              <w:left w:val="nil"/>
              <w:bottom w:val="nil"/>
              <w:right w:val="nil"/>
            </w:tcBorders>
            <w:shd w:val="clear" w:color="auto" w:fill="auto"/>
            <w:tcMar>
              <w:left w:w="0" w:type="dxa"/>
              <w:right w:w="57" w:type="dxa"/>
            </w:tcMar>
            <w:vAlign w:val="center"/>
          </w:tcPr>
          <w:p w14:paraId="2A05E553"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896.056</w:t>
            </w:r>
          </w:p>
        </w:tc>
        <w:tc>
          <w:tcPr>
            <w:tcW w:w="401" w:type="pct"/>
            <w:tcBorders>
              <w:top w:val="nil"/>
              <w:left w:val="nil"/>
              <w:bottom w:val="nil"/>
              <w:right w:val="nil"/>
            </w:tcBorders>
            <w:shd w:val="clear" w:color="auto" w:fill="auto"/>
            <w:tcMar>
              <w:left w:w="0" w:type="dxa"/>
              <w:right w:w="57" w:type="dxa"/>
            </w:tcMar>
            <w:vAlign w:val="center"/>
          </w:tcPr>
          <w:p w14:paraId="3F3B5D9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117.217</w:t>
            </w:r>
          </w:p>
        </w:tc>
        <w:tc>
          <w:tcPr>
            <w:tcW w:w="521" w:type="pct"/>
            <w:gridSpan w:val="2"/>
            <w:tcBorders>
              <w:top w:val="nil"/>
              <w:left w:val="nil"/>
              <w:bottom w:val="nil"/>
              <w:right w:val="nil"/>
            </w:tcBorders>
            <w:shd w:val="clear" w:color="auto" w:fill="auto"/>
            <w:tcMar>
              <w:left w:w="0" w:type="dxa"/>
              <w:right w:w="57" w:type="dxa"/>
            </w:tcMar>
            <w:vAlign w:val="center"/>
          </w:tcPr>
          <w:p w14:paraId="638366A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43057F2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4.289.102</w:t>
            </w:r>
          </w:p>
        </w:tc>
        <w:tc>
          <w:tcPr>
            <w:tcW w:w="793" w:type="pct"/>
            <w:gridSpan w:val="3"/>
            <w:tcBorders>
              <w:top w:val="nil"/>
              <w:left w:val="nil"/>
              <w:bottom w:val="nil"/>
              <w:right w:val="nil"/>
            </w:tcBorders>
            <w:shd w:val="clear" w:color="auto" w:fill="auto"/>
            <w:tcMar>
              <w:left w:w="0" w:type="dxa"/>
              <w:right w:w="57" w:type="dxa"/>
            </w:tcMar>
            <w:vAlign w:val="center"/>
          </w:tcPr>
          <w:p w14:paraId="44EC431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6F1D0B47" w14:textId="77777777" w:rsidTr="002A31A1">
        <w:tc>
          <w:tcPr>
            <w:tcW w:w="1754" w:type="pct"/>
            <w:tcBorders>
              <w:top w:val="nil"/>
              <w:bottom w:val="nil"/>
            </w:tcBorders>
            <w:vAlign w:val="center"/>
          </w:tcPr>
          <w:p w14:paraId="4FCCE6D4" w14:textId="77777777" w:rsidR="00CA63C9" w:rsidRPr="00FB38E1" w:rsidRDefault="00CA63C9" w:rsidP="002A31A1">
            <w:pPr>
              <w:tabs>
                <w:tab w:val="left" w:pos="1984"/>
              </w:tabs>
              <w:ind w:right="-534"/>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Gerçeğe uygun değer farkı diğer kapsamlı gelire yansıtılan finansal varlıklar</w:t>
            </w:r>
          </w:p>
        </w:tc>
        <w:tc>
          <w:tcPr>
            <w:tcW w:w="506" w:type="pct"/>
            <w:tcBorders>
              <w:top w:val="nil"/>
              <w:left w:val="nil"/>
              <w:bottom w:val="nil"/>
              <w:right w:val="nil"/>
            </w:tcBorders>
            <w:shd w:val="clear" w:color="auto" w:fill="auto"/>
            <w:tcMar>
              <w:left w:w="0" w:type="dxa"/>
              <w:right w:w="57" w:type="dxa"/>
            </w:tcMar>
            <w:vAlign w:val="center"/>
          </w:tcPr>
          <w:p w14:paraId="02C02E8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87.421.181</w:t>
            </w:r>
          </w:p>
        </w:tc>
        <w:tc>
          <w:tcPr>
            <w:tcW w:w="580" w:type="pct"/>
            <w:tcBorders>
              <w:top w:val="nil"/>
              <w:left w:val="nil"/>
              <w:bottom w:val="nil"/>
              <w:right w:val="nil"/>
            </w:tcBorders>
            <w:shd w:val="clear" w:color="auto" w:fill="auto"/>
            <w:tcMar>
              <w:left w:w="0" w:type="dxa"/>
              <w:right w:w="57" w:type="dxa"/>
            </w:tcMar>
            <w:vAlign w:val="center"/>
          </w:tcPr>
          <w:p w14:paraId="21C4DC63"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87.421.181</w:t>
            </w:r>
          </w:p>
        </w:tc>
        <w:tc>
          <w:tcPr>
            <w:tcW w:w="401" w:type="pct"/>
            <w:tcBorders>
              <w:top w:val="nil"/>
              <w:left w:val="nil"/>
              <w:bottom w:val="nil"/>
              <w:right w:val="nil"/>
            </w:tcBorders>
            <w:shd w:val="clear" w:color="auto" w:fill="auto"/>
            <w:tcMar>
              <w:left w:w="0" w:type="dxa"/>
              <w:right w:w="57" w:type="dxa"/>
            </w:tcMar>
            <w:vAlign w:val="center"/>
          </w:tcPr>
          <w:p w14:paraId="18478D6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0C092F5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576A04E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194B0C2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26826FF0" w14:textId="77777777" w:rsidTr="002A31A1">
        <w:tc>
          <w:tcPr>
            <w:tcW w:w="1754" w:type="pct"/>
            <w:tcBorders>
              <w:top w:val="nil"/>
              <w:bottom w:val="nil"/>
            </w:tcBorders>
            <w:vAlign w:val="center"/>
          </w:tcPr>
          <w:p w14:paraId="484692F6"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İtfa edilmiş maliyeti ile ölçülen finansal varlıklar</w:t>
            </w:r>
          </w:p>
        </w:tc>
        <w:tc>
          <w:tcPr>
            <w:tcW w:w="506" w:type="pct"/>
            <w:tcBorders>
              <w:top w:val="nil"/>
              <w:left w:val="nil"/>
              <w:bottom w:val="nil"/>
              <w:right w:val="nil"/>
            </w:tcBorders>
            <w:shd w:val="clear" w:color="auto" w:fill="auto"/>
            <w:tcMar>
              <w:left w:w="0" w:type="dxa"/>
              <w:right w:w="57" w:type="dxa"/>
            </w:tcMar>
            <w:vAlign w:val="center"/>
          </w:tcPr>
          <w:p w14:paraId="5680BE0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51.230.427</w:t>
            </w:r>
          </w:p>
        </w:tc>
        <w:tc>
          <w:tcPr>
            <w:tcW w:w="580" w:type="pct"/>
            <w:tcBorders>
              <w:top w:val="nil"/>
              <w:left w:val="nil"/>
              <w:bottom w:val="nil"/>
              <w:right w:val="nil"/>
            </w:tcBorders>
            <w:shd w:val="clear" w:color="auto" w:fill="auto"/>
            <w:tcMar>
              <w:left w:w="0" w:type="dxa"/>
              <w:right w:w="57" w:type="dxa"/>
            </w:tcMar>
            <w:vAlign w:val="center"/>
          </w:tcPr>
          <w:p w14:paraId="2408255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51.237.084</w:t>
            </w:r>
          </w:p>
        </w:tc>
        <w:tc>
          <w:tcPr>
            <w:tcW w:w="401" w:type="pct"/>
            <w:tcBorders>
              <w:top w:val="nil"/>
              <w:left w:val="nil"/>
              <w:bottom w:val="nil"/>
              <w:right w:val="nil"/>
            </w:tcBorders>
            <w:shd w:val="clear" w:color="auto" w:fill="auto"/>
            <w:tcMar>
              <w:left w:w="0" w:type="dxa"/>
              <w:right w:w="57" w:type="dxa"/>
            </w:tcMar>
            <w:vAlign w:val="center"/>
          </w:tcPr>
          <w:p w14:paraId="678E011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DCC411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2FEB087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6B0C50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1F07AAE0" w14:textId="77777777" w:rsidTr="002A31A1">
        <w:tc>
          <w:tcPr>
            <w:tcW w:w="1754" w:type="pct"/>
            <w:tcBorders>
              <w:top w:val="nil"/>
              <w:bottom w:val="nil"/>
            </w:tcBorders>
            <w:vAlign w:val="center"/>
          </w:tcPr>
          <w:p w14:paraId="750D02FB"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Türev finansal varlıklar</w:t>
            </w:r>
          </w:p>
        </w:tc>
        <w:tc>
          <w:tcPr>
            <w:tcW w:w="506" w:type="pct"/>
            <w:tcBorders>
              <w:top w:val="nil"/>
              <w:left w:val="nil"/>
              <w:bottom w:val="nil"/>
              <w:right w:val="nil"/>
            </w:tcBorders>
            <w:shd w:val="clear" w:color="auto" w:fill="auto"/>
            <w:tcMar>
              <w:left w:w="0" w:type="dxa"/>
              <w:right w:w="57" w:type="dxa"/>
            </w:tcMar>
            <w:vAlign w:val="center"/>
          </w:tcPr>
          <w:p w14:paraId="0F384B4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8.044.143</w:t>
            </w:r>
          </w:p>
        </w:tc>
        <w:tc>
          <w:tcPr>
            <w:tcW w:w="580" w:type="pct"/>
            <w:tcBorders>
              <w:top w:val="nil"/>
              <w:left w:val="nil"/>
              <w:bottom w:val="nil"/>
              <w:right w:val="nil"/>
            </w:tcBorders>
            <w:shd w:val="clear" w:color="auto" w:fill="auto"/>
            <w:tcMar>
              <w:left w:w="0" w:type="dxa"/>
              <w:right w:w="57" w:type="dxa"/>
            </w:tcMar>
            <w:vAlign w:val="center"/>
          </w:tcPr>
          <w:p w14:paraId="7DAB97A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3AE61E3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8.044.143</w:t>
            </w:r>
          </w:p>
        </w:tc>
        <w:tc>
          <w:tcPr>
            <w:tcW w:w="521" w:type="pct"/>
            <w:gridSpan w:val="2"/>
            <w:tcBorders>
              <w:top w:val="nil"/>
              <w:left w:val="nil"/>
              <w:bottom w:val="nil"/>
              <w:right w:val="nil"/>
            </w:tcBorders>
            <w:shd w:val="clear" w:color="auto" w:fill="auto"/>
            <w:tcMar>
              <w:left w:w="0" w:type="dxa"/>
              <w:right w:w="57" w:type="dxa"/>
            </w:tcMar>
            <w:vAlign w:val="center"/>
          </w:tcPr>
          <w:p w14:paraId="2920F19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6FE081F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12E6103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6D42B2D4" w14:textId="77777777" w:rsidTr="002A31A1">
        <w:tc>
          <w:tcPr>
            <w:tcW w:w="1754" w:type="pct"/>
            <w:tcBorders>
              <w:top w:val="nil"/>
              <w:bottom w:val="nil"/>
            </w:tcBorders>
            <w:vAlign w:val="center"/>
          </w:tcPr>
          <w:p w14:paraId="04331803"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Krediler (net)</w:t>
            </w:r>
          </w:p>
        </w:tc>
        <w:tc>
          <w:tcPr>
            <w:tcW w:w="506" w:type="pct"/>
            <w:tcBorders>
              <w:top w:val="nil"/>
              <w:left w:val="nil"/>
              <w:bottom w:val="nil"/>
              <w:right w:val="nil"/>
            </w:tcBorders>
            <w:shd w:val="clear" w:color="auto" w:fill="auto"/>
            <w:tcMar>
              <w:left w:w="0" w:type="dxa"/>
              <w:right w:w="57" w:type="dxa"/>
            </w:tcMar>
            <w:vAlign w:val="center"/>
          </w:tcPr>
          <w:p w14:paraId="372CED4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465.557.858</w:t>
            </w:r>
          </w:p>
        </w:tc>
        <w:tc>
          <w:tcPr>
            <w:tcW w:w="580" w:type="pct"/>
            <w:tcBorders>
              <w:top w:val="nil"/>
              <w:left w:val="nil"/>
              <w:bottom w:val="nil"/>
              <w:right w:val="nil"/>
            </w:tcBorders>
            <w:shd w:val="clear" w:color="auto" w:fill="auto"/>
            <w:tcMar>
              <w:left w:w="0" w:type="dxa"/>
              <w:right w:w="57" w:type="dxa"/>
            </w:tcMar>
            <w:vAlign w:val="center"/>
          </w:tcPr>
          <w:p w14:paraId="5196990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486.080.195</w:t>
            </w:r>
          </w:p>
        </w:tc>
        <w:tc>
          <w:tcPr>
            <w:tcW w:w="401" w:type="pct"/>
            <w:tcBorders>
              <w:top w:val="nil"/>
              <w:left w:val="nil"/>
              <w:bottom w:val="nil"/>
              <w:right w:val="nil"/>
            </w:tcBorders>
            <w:shd w:val="clear" w:color="auto" w:fill="auto"/>
            <w:tcMar>
              <w:left w:w="0" w:type="dxa"/>
              <w:right w:w="57" w:type="dxa"/>
            </w:tcMar>
            <w:vAlign w:val="center"/>
          </w:tcPr>
          <w:p w14:paraId="19786C4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BDF442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F473E65"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B31B6E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2.757.688</w:t>
            </w:r>
          </w:p>
        </w:tc>
      </w:tr>
      <w:tr w:rsidR="00CA63C9" w:rsidRPr="00FB38E1" w14:paraId="25375903" w14:textId="77777777" w:rsidTr="002A31A1">
        <w:tc>
          <w:tcPr>
            <w:tcW w:w="1754" w:type="pct"/>
            <w:tcBorders>
              <w:top w:val="nil"/>
              <w:bottom w:val="nil"/>
            </w:tcBorders>
            <w:vAlign w:val="center"/>
          </w:tcPr>
          <w:p w14:paraId="32D3530C" w14:textId="77777777" w:rsidR="00CA63C9" w:rsidRPr="00FB38E1" w:rsidRDefault="00CA63C9" w:rsidP="002A31A1">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Satış amaçlı elde tutulan ve durdurulan faaliyetlere ilişkin duran varlıklar (net)</w:t>
            </w:r>
          </w:p>
        </w:tc>
        <w:tc>
          <w:tcPr>
            <w:tcW w:w="506" w:type="pct"/>
            <w:tcBorders>
              <w:top w:val="nil"/>
              <w:left w:val="nil"/>
              <w:bottom w:val="nil"/>
              <w:right w:val="nil"/>
            </w:tcBorders>
            <w:shd w:val="clear" w:color="auto" w:fill="auto"/>
            <w:tcMar>
              <w:left w:w="0" w:type="dxa"/>
              <w:right w:w="57" w:type="dxa"/>
            </w:tcMar>
            <w:vAlign w:val="center"/>
          </w:tcPr>
          <w:p w14:paraId="7025B9B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7.118</w:t>
            </w:r>
          </w:p>
        </w:tc>
        <w:tc>
          <w:tcPr>
            <w:tcW w:w="580" w:type="pct"/>
            <w:tcBorders>
              <w:top w:val="nil"/>
              <w:left w:val="nil"/>
              <w:bottom w:val="nil"/>
              <w:right w:val="nil"/>
            </w:tcBorders>
            <w:shd w:val="clear" w:color="auto" w:fill="auto"/>
            <w:tcMar>
              <w:left w:w="0" w:type="dxa"/>
              <w:right w:w="57" w:type="dxa"/>
            </w:tcMar>
            <w:vAlign w:val="center"/>
          </w:tcPr>
          <w:p w14:paraId="725290D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648AC57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AC760B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DD5520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4BB977D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5F4CDE25" w14:textId="77777777" w:rsidTr="002A31A1">
        <w:tc>
          <w:tcPr>
            <w:tcW w:w="1754" w:type="pct"/>
            <w:tcBorders>
              <w:top w:val="nil"/>
              <w:bottom w:val="nil"/>
            </w:tcBorders>
            <w:vAlign w:val="center"/>
          </w:tcPr>
          <w:p w14:paraId="575E7CC3"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Ortaklık yatırımları</w:t>
            </w:r>
          </w:p>
        </w:tc>
        <w:tc>
          <w:tcPr>
            <w:tcW w:w="506" w:type="pct"/>
            <w:tcBorders>
              <w:top w:val="nil"/>
              <w:left w:val="nil"/>
              <w:bottom w:val="nil"/>
              <w:right w:val="nil"/>
            </w:tcBorders>
            <w:shd w:val="clear" w:color="auto" w:fill="auto"/>
            <w:tcMar>
              <w:left w:w="0" w:type="dxa"/>
              <w:right w:w="57" w:type="dxa"/>
            </w:tcMar>
            <w:vAlign w:val="center"/>
          </w:tcPr>
          <w:p w14:paraId="5EE5394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69.128.910</w:t>
            </w:r>
          </w:p>
        </w:tc>
        <w:tc>
          <w:tcPr>
            <w:tcW w:w="580" w:type="pct"/>
            <w:tcBorders>
              <w:top w:val="nil"/>
              <w:left w:val="nil"/>
              <w:bottom w:val="nil"/>
              <w:right w:val="nil"/>
            </w:tcBorders>
            <w:shd w:val="clear" w:color="auto" w:fill="auto"/>
            <w:tcMar>
              <w:left w:w="0" w:type="dxa"/>
              <w:right w:w="57" w:type="dxa"/>
            </w:tcMar>
            <w:vAlign w:val="center"/>
          </w:tcPr>
          <w:p w14:paraId="1AD33CF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69.128.910</w:t>
            </w:r>
          </w:p>
        </w:tc>
        <w:tc>
          <w:tcPr>
            <w:tcW w:w="401" w:type="pct"/>
            <w:tcBorders>
              <w:top w:val="nil"/>
              <w:left w:val="nil"/>
              <w:bottom w:val="nil"/>
              <w:right w:val="nil"/>
            </w:tcBorders>
            <w:shd w:val="clear" w:color="auto" w:fill="auto"/>
            <w:tcMar>
              <w:left w:w="0" w:type="dxa"/>
              <w:right w:w="57" w:type="dxa"/>
            </w:tcMar>
            <w:vAlign w:val="center"/>
          </w:tcPr>
          <w:p w14:paraId="34D6F0A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4DBFCF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68504B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813EBE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6E9A1F3C" w14:textId="77777777" w:rsidTr="002A31A1">
        <w:tc>
          <w:tcPr>
            <w:tcW w:w="1754" w:type="pct"/>
            <w:tcBorders>
              <w:top w:val="nil"/>
              <w:bottom w:val="nil"/>
            </w:tcBorders>
            <w:vAlign w:val="center"/>
          </w:tcPr>
          <w:p w14:paraId="22F30F41"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 xml:space="preserve">Maddi duran varlıklar (net) </w:t>
            </w:r>
          </w:p>
        </w:tc>
        <w:tc>
          <w:tcPr>
            <w:tcW w:w="506" w:type="pct"/>
            <w:tcBorders>
              <w:top w:val="nil"/>
              <w:left w:val="nil"/>
              <w:bottom w:val="nil"/>
              <w:right w:val="nil"/>
            </w:tcBorders>
            <w:shd w:val="clear" w:color="auto" w:fill="auto"/>
            <w:tcMar>
              <w:left w:w="0" w:type="dxa"/>
              <w:right w:w="57" w:type="dxa"/>
            </w:tcMar>
            <w:vAlign w:val="center"/>
          </w:tcPr>
          <w:p w14:paraId="619CF3F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2.269.780</w:t>
            </w:r>
          </w:p>
        </w:tc>
        <w:tc>
          <w:tcPr>
            <w:tcW w:w="580" w:type="pct"/>
            <w:tcBorders>
              <w:top w:val="nil"/>
              <w:left w:val="nil"/>
              <w:bottom w:val="nil"/>
              <w:right w:val="nil"/>
            </w:tcBorders>
            <w:shd w:val="clear" w:color="auto" w:fill="auto"/>
            <w:tcMar>
              <w:left w:w="0" w:type="dxa"/>
              <w:right w:w="57" w:type="dxa"/>
            </w:tcMar>
            <w:vAlign w:val="center"/>
          </w:tcPr>
          <w:p w14:paraId="5D487C9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2.269.780</w:t>
            </w:r>
          </w:p>
        </w:tc>
        <w:tc>
          <w:tcPr>
            <w:tcW w:w="401" w:type="pct"/>
            <w:tcBorders>
              <w:top w:val="nil"/>
              <w:left w:val="nil"/>
              <w:bottom w:val="nil"/>
              <w:right w:val="nil"/>
            </w:tcBorders>
            <w:shd w:val="clear" w:color="auto" w:fill="auto"/>
            <w:tcMar>
              <w:left w:w="0" w:type="dxa"/>
              <w:right w:w="57" w:type="dxa"/>
            </w:tcMar>
            <w:vAlign w:val="center"/>
          </w:tcPr>
          <w:p w14:paraId="40E14EC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1E97130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24C220B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466D6A7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216.028</w:t>
            </w:r>
          </w:p>
        </w:tc>
      </w:tr>
      <w:tr w:rsidR="00CA63C9" w:rsidRPr="00FB38E1" w14:paraId="3A90DB9A" w14:textId="77777777" w:rsidTr="002A31A1">
        <w:tc>
          <w:tcPr>
            <w:tcW w:w="1754" w:type="pct"/>
            <w:tcBorders>
              <w:top w:val="nil"/>
              <w:bottom w:val="nil"/>
            </w:tcBorders>
            <w:vAlign w:val="center"/>
          </w:tcPr>
          <w:p w14:paraId="29AD2FFE"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Maddi olmayan duran varlıklar (net)</w:t>
            </w:r>
          </w:p>
        </w:tc>
        <w:tc>
          <w:tcPr>
            <w:tcW w:w="506" w:type="pct"/>
            <w:tcBorders>
              <w:top w:val="nil"/>
              <w:left w:val="nil"/>
              <w:bottom w:val="nil"/>
              <w:right w:val="nil"/>
            </w:tcBorders>
            <w:shd w:val="clear" w:color="auto" w:fill="auto"/>
            <w:tcMar>
              <w:left w:w="0" w:type="dxa"/>
              <w:right w:w="57" w:type="dxa"/>
            </w:tcMar>
            <w:vAlign w:val="center"/>
          </w:tcPr>
          <w:p w14:paraId="7416EC0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2.283.719</w:t>
            </w:r>
          </w:p>
        </w:tc>
        <w:tc>
          <w:tcPr>
            <w:tcW w:w="580" w:type="pct"/>
            <w:tcBorders>
              <w:top w:val="nil"/>
              <w:left w:val="nil"/>
              <w:bottom w:val="nil"/>
              <w:right w:val="nil"/>
            </w:tcBorders>
            <w:shd w:val="clear" w:color="auto" w:fill="auto"/>
            <w:tcMar>
              <w:left w:w="0" w:type="dxa"/>
              <w:right w:w="57" w:type="dxa"/>
            </w:tcMar>
            <w:vAlign w:val="center"/>
          </w:tcPr>
          <w:p w14:paraId="2E69B0B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2.283.719</w:t>
            </w:r>
          </w:p>
        </w:tc>
        <w:tc>
          <w:tcPr>
            <w:tcW w:w="401" w:type="pct"/>
            <w:tcBorders>
              <w:top w:val="nil"/>
              <w:left w:val="nil"/>
              <w:bottom w:val="nil"/>
              <w:right w:val="nil"/>
            </w:tcBorders>
            <w:shd w:val="clear" w:color="auto" w:fill="auto"/>
            <w:tcMar>
              <w:left w:w="0" w:type="dxa"/>
              <w:right w:w="57" w:type="dxa"/>
            </w:tcMar>
            <w:vAlign w:val="center"/>
          </w:tcPr>
          <w:p w14:paraId="27AC62B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1B5426A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65CA20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2AC09E9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2.283.719</w:t>
            </w:r>
          </w:p>
        </w:tc>
      </w:tr>
      <w:tr w:rsidR="00CA63C9" w:rsidRPr="00FB38E1" w14:paraId="33F33A1E" w14:textId="77777777" w:rsidTr="002A31A1">
        <w:tc>
          <w:tcPr>
            <w:tcW w:w="1754" w:type="pct"/>
            <w:tcBorders>
              <w:top w:val="nil"/>
              <w:bottom w:val="nil"/>
            </w:tcBorders>
            <w:vAlign w:val="center"/>
          </w:tcPr>
          <w:p w14:paraId="62456721"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Yatırım amaçlı gayrimenkuller (net)</w:t>
            </w:r>
          </w:p>
        </w:tc>
        <w:tc>
          <w:tcPr>
            <w:tcW w:w="506" w:type="pct"/>
            <w:tcBorders>
              <w:top w:val="nil"/>
              <w:left w:val="nil"/>
              <w:bottom w:val="nil"/>
              <w:right w:val="nil"/>
            </w:tcBorders>
            <w:shd w:val="clear" w:color="auto" w:fill="auto"/>
            <w:tcMar>
              <w:left w:w="0" w:type="dxa"/>
              <w:right w:w="57" w:type="dxa"/>
            </w:tcMar>
            <w:vAlign w:val="center"/>
          </w:tcPr>
          <w:p w14:paraId="1B92421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54FD614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178A28E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2A50EC2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D808F1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47FF9B3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2C93FC5F" w14:textId="77777777" w:rsidTr="002A31A1">
        <w:tc>
          <w:tcPr>
            <w:tcW w:w="1754" w:type="pct"/>
            <w:tcBorders>
              <w:top w:val="nil"/>
              <w:bottom w:val="nil"/>
            </w:tcBorders>
            <w:vAlign w:val="center"/>
          </w:tcPr>
          <w:p w14:paraId="15096B44"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Cari vergi varlığı</w:t>
            </w:r>
          </w:p>
        </w:tc>
        <w:tc>
          <w:tcPr>
            <w:tcW w:w="506" w:type="pct"/>
            <w:tcBorders>
              <w:top w:val="nil"/>
              <w:left w:val="nil"/>
              <w:bottom w:val="nil"/>
              <w:right w:val="nil"/>
            </w:tcBorders>
            <w:shd w:val="clear" w:color="auto" w:fill="auto"/>
            <w:tcMar>
              <w:left w:w="0" w:type="dxa"/>
              <w:right w:w="57" w:type="dxa"/>
            </w:tcMar>
            <w:vAlign w:val="center"/>
          </w:tcPr>
          <w:p w14:paraId="2564C56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1.877.045</w:t>
            </w:r>
          </w:p>
        </w:tc>
        <w:tc>
          <w:tcPr>
            <w:tcW w:w="580" w:type="pct"/>
            <w:tcBorders>
              <w:top w:val="nil"/>
              <w:left w:val="nil"/>
              <w:bottom w:val="nil"/>
              <w:right w:val="nil"/>
            </w:tcBorders>
            <w:shd w:val="clear" w:color="auto" w:fill="auto"/>
            <w:tcMar>
              <w:left w:w="0" w:type="dxa"/>
              <w:right w:w="57" w:type="dxa"/>
            </w:tcMar>
            <w:vAlign w:val="center"/>
          </w:tcPr>
          <w:p w14:paraId="25F6C98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1.877.045</w:t>
            </w:r>
          </w:p>
        </w:tc>
        <w:tc>
          <w:tcPr>
            <w:tcW w:w="401" w:type="pct"/>
            <w:tcBorders>
              <w:top w:val="nil"/>
              <w:left w:val="nil"/>
              <w:bottom w:val="nil"/>
              <w:right w:val="nil"/>
            </w:tcBorders>
            <w:shd w:val="clear" w:color="auto" w:fill="auto"/>
            <w:tcMar>
              <w:left w:w="0" w:type="dxa"/>
              <w:right w:w="57" w:type="dxa"/>
            </w:tcMar>
            <w:vAlign w:val="center"/>
          </w:tcPr>
          <w:p w14:paraId="079D2AB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37C6195"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45B86653"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4E3A45C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52ED5FE1" w14:textId="77777777" w:rsidTr="002A31A1">
        <w:tc>
          <w:tcPr>
            <w:tcW w:w="1754" w:type="pct"/>
            <w:tcBorders>
              <w:top w:val="nil"/>
              <w:bottom w:val="nil"/>
            </w:tcBorders>
            <w:vAlign w:val="center"/>
          </w:tcPr>
          <w:p w14:paraId="4445A5DF"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Ertelenmiş vergi varlığı</w:t>
            </w:r>
          </w:p>
        </w:tc>
        <w:tc>
          <w:tcPr>
            <w:tcW w:w="506" w:type="pct"/>
            <w:tcBorders>
              <w:top w:val="nil"/>
              <w:left w:val="nil"/>
              <w:bottom w:val="nil"/>
              <w:right w:val="nil"/>
            </w:tcBorders>
            <w:shd w:val="clear" w:color="auto" w:fill="auto"/>
            <w:tcMar>
              <w:left w:w="0" w:type="dxa"/>
              <w:right w:w="57" w:type="dxa"/>
            </w:tcMar>
            <w:vAlign w:val="center"/>
          </w:tcPr>
          <w:p w14:paraId="3EF9424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4.173.522</w:t>
            </w:r>
          </w:p>
        </w:tc>
        <w:tc>
          <w:tcPr>
            <w:tcW w:w="580" w:type="pct"/>
            <w:tcBorders>
              <w:top w:val="nil"/>
              <w:left w:val="nil"/>
              <w:bottom w:val="nil"/>
              <w:right w:val="nil"/>
            </w:tcBorders>
            <w:shd w:val="clear" w:color="auto" w:fill="auto"/>
            <w:tcMar>
              <w:left w:w="0" w:type="dxa"/>
              <w:right w:w="57" w:type="dxa"/>
            </w:tcMar>
            <w:vAlign w:val="center"/>
          </w:tcPr>
          <w:p w14:paraId="7B70E865"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4.173.522</w:t>
            </w:r>
          </w:p>
        </w:tc>
        <w:tc>
          <w:tcPr>
            <w:tcW w:w="401" w:type="pct"/>
            <w:tcBorders>
              <w:top w:val="nil"/>
              <w:left w:val="nil"/>
              <w:bottom w:val="nil"/>
              <w:right w:val="nil"/>
            </w:tcBorders>
            <w:shd w:val="clear" w:color="auto" w:fill="auto"/>
            <w:tcMar>
              <w:left w:w="0" w:type="dxa"/>
              <w:right w:w="57" w:type="dxa"/>
            </w:tcMar>
            <w:vAlign w:val="center"/>
          </w:tcPr>
          <w:p w14:paraId="359070E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01479A9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30282C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0260B43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1282C5C8" w14:textId="77777777" w:rsidTr="002A31A1">
        <w:tc>
          <w:tcPr>
            <w:tcW w:w="1754" w:type="pct"/>
            <w:tcBorders>
              <w:top w:val="nil"/>
              <w:bottom w:val="nil"/>
            </w:tcBorders>
            <w:vAlign w:val="center"/>
          </w:tcPr>
          <w:p w14:paraId="7784130A"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Diğer aktifler</w:t>
            </w:r>
          </w:p>
        </w:tc>
        <w:tc>
          <w:tcPr>
            <w:tcW w:w="506" w:type="pct"/>
            <w:tcBorders>
              <w:top w:val="nil"/>
              <w:left w:val="nil"/>
              <w:bottom w:val="nil"/>
              <w:right w:val="nil"/>
            </w:tcBorders>
            <w:shd w:val="clear" w:color="auto" w:fill="auto"/>
            <w:tcMar>
              <w:left w:w="0" w:type="dxa"/>
              <w:right w:w="57" w:type="dxa"/>
            </w:tcMar>
            <w:vAlign w:val="center"/>
          </w:tcPr>
          <w:p w14:paraId="20DB6D0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36.283.816</w:t>
            </w:r>
          </w:p>
        </w:tc>
        <w:tc>
          <w:tcPr>
            <w:tcW w:w="580" w:type="pct"/>
            <w:tcBorders>
              <w:top w:val="nil"/>
              <w:left w:val="nil"/>
              <w:bottom w:val="nil"/>
              <w:right w:val="nil"/>
            </w:tcBorders>
            <w:shd w:val="clear" w:color="auto" w:fill="auto"/>
            <w:tcMar>
              <w:left w:w="0" w:type="dxa"/>
              <w:right w:w="57" w:type="dxa"/>
            </w:tcMar>
            <w:vAlign w:val="center"/>
          </w:tcPr>
          <w:p w14:paraId="1CF386D5"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36.283.816</w:t>
            </w:r>
          </w:p>
        </w:tc>
        <w:tc>
          <w:tcPr>
            <w:tcW w:w="401" w:type="pct"/>
            <w:tcBorders>
              <w:top w:val="nil"/>
              <w:left w:val="nil"/>
              <w:bottom w:val="nil"/>
              <w:right w:val="nil"/>
            </w:tcBorders>
            <w:shd w:val="clear" w:color="auto" w:fill="auto"/>
            <w:tcMar>
              <w:left w:w="0" w:type="dxa"/>
              <w:right w:w="57" w:type="dxa"/>
            </w:tcMar>
            <w:vAlign w:val="center"/>
          </w:tcPr>
          <w:p w14:paraId="45885D9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1B7A4265"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C51D17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29DCB11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52F3F04C" w14:textId="77777777" w:rsidTr="002A31A1">
        <w:tc>
          <w:tcPr>
            <w:tcW w:w="1754" w:type="pct"/>
            <w:tcBorders>
              <w:top w:val="nil"/>
              <w:bottom w:val="single" w:sz="4" w:space="0" w:color="auto"/>
            </w:tcBorders>
          </w:tcPr>
          <w:p w14:paraId="3DEA37E3" w14:textId="77777777" w:rsidR="00CA63C9" w:rsidRPr="00FB38E1" w:rsidRDefault="00CA63C9" w:rsidP="002A31A1">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 varlıklar</w:t>
            </w:r>
          </w:p>
        </w:tc>
        <w:tc>
          <w:tcPr>
            <w:tcW w:w="506" w:type="pct"/>
            <w:tcBorders>
              <w:top w:val="nil"/>
              <w:left w:val="nil"/>
              <w:bottom w:val="single" w:sz="4" w:space="0" w:color="auto"/>
              <w:right w:val="nil"/>
            </w:tcBorders>
            <w:shd w:val="clear" w:color="auto" w:fill="auto"/>
            <w:tcMar>
              <w:left w:w="0" w:type="dxa"/>
              <w:right w:w="57" w:type="dxa"/>
            </w:tcMar>
            <w:vAlign w:val="center"/>
          </w:tcPr>
          <w:p w14:paraId="5D6EDC13"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1.007.709.061</w:t>
            </w:r>
          </w:p>
        </w:tc>
        <w:tc>
          <w:tcPr>
            <w:tcW w:w="580" w:type="pct"/>
            <w:tcBorders>
              <w:top w:val="nil"/>
              <w:left w:val="nil"/>
              <w:bottom w:val="single" w:sz="4" w:space="0" w:color="auto"/>
              <w:right w:val="nil"/>
            </w:tcBorders>
            <w:shd w:val="clear" w:color="auto" w:fill="auto"/>
            <w:tcMar>
              <w:left w:w="0" w:type="dxa"/>
              <w:right w:w="57" w:type="dxa"/>
            </w:tcMar>
            <w:vAlign w:val="center"/>
          </w:tcPr>
          <w:p w14:paraId="00FDB23A"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963.654.451</w:t>
            </w:r>
          </w:p>
        </w:tc>
        <w:tc>
          <w:tcPr>
            <w:tcW w:w="401" w:type="pct"/>
            <w:tcBorders>
              <w:top w:val="nil"/>
              <w:left w:val="nil"/>
              <w:bottom w:val="single" w:sz="4" w:space="0" w:color="auto"/>
              <w:right w:val="nil"/>
            </w:tcBorders>
            <w:shd w:val="clear" w:color="auto" w:fill="auto"/>
            <w:tcMar>
              <w:left w:w="0" w:type="dxa"/>
              <w:right w:w="57" w:type="dxa"/>
            </w:tcMar>
            <w:vAlign w:val="center"/>
          </w:tcPr>
          <w:p w14:paraId="1FAB0F13"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60.288.167</w:t>
            </w:r>
          </w:p>
        </w:tc>
        <w:tc>
          <w:tcPr>
            <w:tcW w:w="521" w:type="pct"/>
            <w:gridSpan w:val="2"/>
            <w:tcBorders>
              <w:top w:val="nil"/>
              <w:left w:val="nil"/>
              <w:bottom w:val="single" w:sz="4" w:space="0" w:color="auto"/>
              <w:right w:val="nil"/>
            </w:tcBorders>
            <w:shd w:val="clear" w:color="auto" w:fill="auto"/>
            <w:tcMar>
              <w:left w:w="0" w:type="dxa"/>
              <w:right w:w="57" w:type="dxa"/>
            </w:tcMar>
            <w:vAlign w:val="center"/>
          </w:tcPr>
          <w:p w14:paraId="006E01A2"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45" w:type="pct"/>
            <w:gridSpan w:val="2"/>
            <w:tcBorders>
              <w:top w:val="nil"/>
              <w:left w:val="nil"/>
              <w:bottom w:val="single" w:sz="4" w:space="0" w:color="auto"/>
              <w:right w:val="nil"/>
            </w:tcBorders>
            <w:shd w:val="clear" w:color="auto" w:fill="auto"/>
            <w:tcMar>
              <w:left w:w="0" w:type="dxa"/>
              <w:right w:w="57" w:type="dxa"/>
            </w:tcMar>
            <w:vAlign w:val="center"/>
          </w:tcPr>
          <w:p w14:paraId="17414589"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4.289.102</w:t>
            </w:r>
          </w:p>
        </w:tc>
        <w:tc>
          <w:tcPr>
            <w:tcW w:w="793" w:type="pct"/>
            <w:gridSpan w:val="3"/>
            <w:tcBorders>
              <w:top w:val="nil"/>
              <w:left w:val="nil"/>
              <w:bottom w:val="single" w:sz="4" w:space="0" w:color="auto"/>
              <w:right w:val="nil"/>
            </w:tcBorders>
            <w:shd w:val="clear" w:color="auto" w:fill="auto"/>
            <w:tcMar>
              <w:left w:w="0" w:type="dxa"/>
              <w:right w:w="57" w:type="dxa"/>
            </w:tcMar>
            <w:vAlign w:val="center"/>
          </w:tcPr>
          <w:p w14:paraId="3E1551E7"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color w:val="404040"/>
                <w:sz w:val="14"/>
                <w:szCs w:val="14"/>
              </w:rPr>
              <w:t>5.257.435</w:t>
            </w:r>
          </w:p>
        </w:tc>
      </w:tr>
      <w:tr w:rsidR="00CA63C9" w:rsidRPr="00FB38E1" w14:paraId="582BD247" w14:textId="77777777" w:rsidTr="002A31A1">
        <w:trPr>
          <w:trHeight w:val="56"/>
        </w:trPr>
        <w:tc>
          <w:tcPr>
            <w:tcW w:w="1754" w:type="pct"/>
            <w:tcBorders>
              <w:top w:val="single" w:sz="4" w:space="0" w:color="auto"/>
              <w:bottom w:val="nil"/>
            </w:tcBorders>
            <w:tcMar>
              <w:left w:w="28" w:type="dxa"/>
            </w:tcMar>
          </w:tcPr>
          <w:p w14:paraId="7356643B" w14:textId="77777777" w:rsidR="00CA63C9" w:rsidRPr="00FB38E1" w:rsidRDefault="00CA63C9" w:rsidP="002A31A1">
            <w:pPr>
              <w:rPr>
                <w:rFonts w:ascii="Microsoft Sans Serif" w:hAnsi="Microsoft Sans Serif" w:cs="Microsoft Sans Serif"/>
                <w:b/>
                <w:sz w:val="14"/>
                <w:szCs w:val="14"/>
              </w:rPr>
            </w:pPr>
            <w:r w:rsidRPr="00FB38E1">
              <w:rPr>
                <w:rFonts w:ascii="Microsoft Sans Serif" w:hAnsi="Microsoft Sans Serif" w:cs="Microsoft Sans Serif"/>
                <w:b/>
                <w:sz w:val="14"/>
                <w:szCs w:val="14"/>
              </w:rPr>
              <w:t>Yükümlülükler</w:t>
            </w:r>
          </w:p>
        </w:tc>
        <w:tc>
          <w:tcPr>
            <w:tcW w:w="506" w:type="pct"/>
            <w:tcBorders>
              <w:top w:val="single" w:sz="4" w:space="0" w:color="auto"/>
              <w:bottom w:val="nil"/>
            </w:tcBorders>
            <w:tcMar>
              <w:left w:w="0" w:type="dxa"/>
              <w:right w:w="57" w:type="dxa"/>
            </w:tcMar>
            <w:vAlign w:val="center"/>
          </w:tcPr>
          <w:p w14:paraId="5450165B" w14:textId="77777777" w:rsidR="00CA63C9" w:rsidRPr="00FB38E1" w:rsidRDefault="00CA63C9" w:rsidP="002A31A1">
            <w:pPr>
              <w:jc w:val="right"/>
              <w:rPr>
                <w:rFonts w:ascii="Microsoft Sans Serif" w:hAnsi="Microsoft Sans Serif" w:cs="Microsoft Sans Serif"/>
                <w:b/>
                <w:bCs/>
                <w:color w:val="000000"/>
                <w:sz w:val="14"/>
                <w:szCs w:val="14"/>
              </w:rPr>
            </w:pPr>
          </w:p>
        </w:tc>
        <w:tc>
          <w:tcPr>
            <w:tcW w:w="580" w:type="pct"/>
            <w:tcBorders>
              <w:top w:val="single" w:sz="4" w:space="0" w:color="auto"/>
              <w:bottom w:val="nil"/>
            </w:tcBorders>
            <w:tcMar>
              <w:left w:w="0" w:type="dxa"/>
              <w:right w:w="57" w:type="dxa"/>
            </w:tcMar>
            <w:vAlign w:val="center"/>
          </w:tcPr>
          <w:p w14:paraId="1F7682B1" w14:textId="77777777" w:rsidR="00CA63C9" w:rsidRPr="00FB38E1" w:rsidRDefault="00CA63C9" w:rsidP="002A31A1">
            <w:pPr>
              <w:jc w:val="right"/>
              <w:rPr>
                <w:sz w:val="14"/>
                <w:szCs w:val="14"/>
              </w:rPr>
            </w:pPr>
          </w:p>
        </w:tc>
        <w:tc>
          <w:tcPr>
            <w:tcW w:w="401" w:type="pct"/>
            <w:tcBorders>
              <w:top w:val="single" w:sz="4" w:space="0" w:color="auto"/>
              <w:bottom w:val="nil"/>
            </w:tcBorders>
            <w:tcMar>
              <w:left w:w="0" w:type="dxa"/>
              <w:right w:w="57" w:type="dxa"/>
            </w:tcMar>
            <w:vAlign w:val="center"/>
          </w:tcPr>
          <w:p w14:paraId="20808DC7" w14:textId="77777777" w:rsidR="00CA63C9" w:rsidRPr="00FB38E1" w:rsidRDefault="00CA63C9" w:rsidP="002A31A1">
            <w:pPr>
              <w:jc w:val="right"/>
              <w:rPr>
                <w:sz w:val="14"/>
                <w:szCs w:val="14"/>
              </w:rPr>
            </w:pPr>
          </w:p>
        </w:tc>
        <w:tc>
          <w:tcPr>
            <w:tcW w:w="521" w:type="pct"/>
            <w:gridSpan w:val="2"/>
            <w:tcBorders>
              <w:top w:val="single" w:sz="4" w:space="0" w:color="auto"/>
              <w:bottom w:val="nil"/>
            </w:tcBorders>
            <w:tcMar>
              <w:left w:w="0" w:type="dxa"/>
              <w:right w:w="57" w:type="dxa"/>
            </w:tcMar>
            <w:vAlign w:val="center"/>
          </w:tcPr>
          <w:p w14:paraId="7ECBDE16" w14:textId="77777777" w:rsidR="00CA63C9" w:rsidRPr="00FB38E1" w:rsidRDefault="00CA63C9" w:rsidP="002A31A1">
            <w:pPr>
              <w:jc w:val="right"/>
              <w:rPr>
                <w:sz w:val="14"/>
                <w:szCs w:val="14"/>
              </w:rPr>
            </w:pPr>
          </w:p>
        </w:tc>
        <w:tc>
          <w:tcPr>
            <w:tcW w:w="445" w:type="pct"/>
            <w:gridSpan w:val="2"/>
            <w:tcBorders>
              <w:top w:val="single" w:sz="4" w:space="0" w:color="auto"/>
              <w:bottom w:val="nil"/>
            </w:tcBorders>
            <w:tcMar>
              <w:left w:w="0" w:type="dxa"/>
              <w:right w:w="57" w:type="dxa"/>
            </w:tcMar>
            <w:vAlign w:val="center"/>
          </w:tcPr>
          <w:p w14:paraId="6E13E72D" w14:textId="77777777" w:rsidR="00CA63C9" w:rsidRPr="00FB38E1" w:rsidRDefault="00CA63C9" w:rsidP="002A31A1">
            <w:pPr>
              <w:jc w:val="right"/>
              <w:rPr>
                <w:sz w:val="14"/>
                <w:szCs w:val="14"/>
              </w:rPr>
            </w:pPr>
          </w:p>
        </w:tc>
        <w:tc>
          <w:tcPr>
            <w:tcW w:w="793" w:type="pct"/>
            <w:gridSpan w:val="3"/>
            <w:tcBorders>
              <w:top w:val="single" w:sz="4" w:space="0" w:color="auto"/>
              <w:bottom w:val="nil"/>
            </w:tcBorders>
            <w:tcMar>
              <w:left w:w="0" w:type="dxa"/>
              <w:right w:w="57" w:type="dxa"/>
            </w:tcMar>
            <w:vAlign w:val="center"/>
          </w:tcPr>
          <w:p w14:paraId="0C98ACDA" w14:textId="77777777" w:rsidR="00CA63C9" w:rsidRPr="00FB38E1" w:rsidRDefault="00CA63C9" w:rsidP="002A31A1">
            <w:pPr>
              <w:jc w:val="right"/>
              <w:rPr>
                <w:sz w:val="14"/>
                <w:szCs w:val="14"/>
              </w:rPr>
            </w:pPr>
          </w:p>
        </w:tc>
      </w:tr>
      <w:tr w:rsidR="00CA63C9" w:rsidRPr="00FB38E1" w14:paraId="1347E13E" w14:textId="77777777" w:rsidTr="002A31A1">
        <w:tc>
          <w:tcPr>
            <w:tcW w:w="1754" w:type="pct"/>
            <w:tcBorders>
              <w:top w:val="nil"/>
              <w:bottom w:val="nil"/>
            </w:tcBorders>
            <w:vAlign w:val="center"/>
          </w:tcPr>
          <w:p w14:paraId="242ED8A5"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Mevduat</w:t>
            </w:r>
          </w:p>
        </w:tc>
        <w:tc>
          <w:tcPr>
            <w:tcW w:w="506" w:type="pct"/>
            <w:tcBorders>
              <w:top w:val="nil"/>
              <w:left w:val="nil"/>
              <w:bottom w:val="nil"/>
              <w:right w:val="nil"/>
            </w:tcBorders>
            <w:shd w:val="clear" w:color="auto" w:fill="auto"/>
            <w:tcMar>
              <w:left w:w="0" w:type="dxa"/>
              <w:right w:w="57" w:type="dxa"/>
            </w:tcMar>
            <w:vAlign w:val="center"/>
          </w:tcPr>
          <w:p w14:paraId="3439E62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602.992.637</w:t>
            </w:r>
          </w:p>
        </w:tc>
        <w:tc>
          <w:tcPr>
            <w:tcW w:w="580" w:type="pct"/>
            <w:tcBorders>
              <w:top w:val="nil"/>
              <w:left w:val="nil"/>
              <w:bottom w:val="nil"/>
              <w:right w:val="nil"/>
            </w:tcBorders>
            <w:shd w:val="clear" w:color="auto" w:fill="auto"/>
            <w:tcMar>
              <w:left w:w="0" w:type="dxa"/>
              <w:right w:w="57" w:type="dxa"/>
            </w:tcMar>
            <w:vAlign w:val="center"/>
          </w:tcPr>
          <w:p w14:paraId="2C3FCA4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263ECFC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52B670B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C0F11B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29288A2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602.992.637</w:t>
            </w:r>
          </w:p>
        </w:tc>
      </w:tr>
      <w:tr w:rsidR="00CA63C9" w:rsidRPr="00FB38E1" w14:paraId="793C47F6" w14:textId="77777777" w:rsidTr="002A31A1">
        <w:tc>
          <w:tcPr>
            <w:tcW w:w="1754" w:type="pct"/>
            <w:tcBorders>
              <w:top w:val="nil"/>
              <w:bottom w:val="nil"/>
            </w:tcBorders>
            <w:vAlign w:val="center"/>
          </w:tcPr>
          <w:p w14:paraId="4798C56A"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Alınan Krediler</w:t>
            </w:r>
          </w:p>
        </w:tc>
        <w:tc>
          <w:tcPr>
            <w:tcW w:w="506" w:type="pct"/>
            <w:tcBorders>
              <w:top w:val="nil"/>
              <w:left w:val="nil"/>
              <w:bottom w:val="nil"/>
              <w:right w:val="nil"/>
            </w:tcBorders>
            <w:shd w:val="clear" w:color="auto" w:fill="auto"/>
            <w:tcMar>
              <w:left w:w="0" w:type="dxa"/>
              <w:right w:w="57" w:type="dxa"/>
            </w:tcMar>
            <w:vAlign w:val="center"/>
          </w:tcPr>
          <w:p w14:paraId="4ADA4EB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142.406.586</w:t>
            </w:r>
          </w:p>
        </w:tc>
        <w:tc>
          <w:tcPr>
            <w:tcW w:w="580" w:type="pct"/>
            <w:tcBorders>
              <w:top w:val="nil"/>
              <w:left w:val="nil"/>
              <w:bottom w:val="nil"/>
              <w:right w:val="nil"/>
            </w:tcBorders>
            <w:shd w:val="clear" w:color="auto" w:fill="auto"/>
            <w:tcMar>
              <w:left w:w="0" w:type="dxa"/>
              <w:right w:w="57" w:type="dxa"/>
            </w:tcMar>
            <w:vAlign w:val="center"/>
          </w:tcPr>
          <w:p w14:paraId="3409DEA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79B06EC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0096E9F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389B682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3CF76075"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142.406.586</w:t>
            </w:r>
          </w:p>
        </w:tc>
      </w:tr>
      <w:tr w:rsidR="00CA63C9" w:rsidRPr="00FB38E1" w14:paraId="385BA48B" w14:textId="77777777" w:rsidTr="002A31A1">
        <w:tc>
          <w:tcPr>
            <w:tcW w:w="1754" w:type="pct"/>
            <w:tcBorders>
              <w:top w:val="nil"/>
              <w:bottom w:val="nil"/>
            </w:tcBorders>
            <w:vAlign w:val="center"/>
          </w:tcPr>
          <w:p w14:paraId="18A191F2"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Para piyasalarına borçler</w:t>
            </w:r>
          </w:p>
        </w:tc>
        <w:tc>
          <w:tcPr>
            <w:tcW w:w="506" w:type="pct"/>
            <w:tcBorders>
              <w:top w:val="nil"/>
              <w:left w:val="nil"/>
              <w:bottom w:val="nil"/>
              <w:right w:val="nil"/>
            </w:tcBorders>
            <w:shd w:val="clear" w:color="auto" w:fill="auto"/>
            <w:tcMar>
              <w:left w:w="0" w:type="dxa"/>
              <w:right w:w="57" w:type="dxa"/>
            </w:tcMar>
            <w:vAlign w:val="center"/>
          </w:tcPr>
          <w:p w14:paraId="0968A1D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51.974.449</w:t>
            </w:r>
          </w:p>
        </w:tc>
        <w:tc>
          <w:tcPr>
            <w:tcW w:w="580" w:type="pct"/>
            <w:tcBorders>
              <w:top w:val="nil"/>
              <w:left w:val="nil"/>
              <w:bottom w:val="nil"/>
              <w:right w:val="nil"/>
            </w:tcBorders>
            <w:shd w:val="clear" w:color="auto" w:fill="auto"/>
            <w:tcMar>
              <w:left w:w="0" w:type="dxa"/>
              <w:right w:w="57" w:type="dxa"/>
            </w:tcMar>
            <w:vAlign w:val="center"/>
          </w:tcPr>
          <w:p w14:paraId="0E15A66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6F9D631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51.974.449</w:t>
            </w:r>
          </w:p>
        </w:tc>
        <w:tc>
          <w:tcPr>
            <w:tcW w:w="521" w:type="pct"/>
            <w:gridSpan w:val="2"/>
            <w:tcBorders>
              <w:top w:val="nil"/>
              <w:left w:val="nil"/>
              <w:bottom w:val="nil"/>
              <w:right w:val="nil"/>
            </w:tcBorders>
            <w:shd w:val="clear" w:color="auto" w:fill="auto"/>
            <w:tcMar>
              <w:left w:w="0" w:type="dxa"/>
              <w:right w:w="57" w:type="dxa"/>
            </w:tcMar>
            <w:vAlign w:val="center"/>
          </w:tcPr>
          <w:p w14:paraId="03EFEAA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260A25F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E5E728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51.974.449</w:t>
            </w:r>
          </w:p>
        </w:tc>
      </w:tr>
      <w:tr w:rsidR="00CA63C9" w:rsidRPr="00FB38E1" w14:paraId="5F77459C" w14:textId="77777777" w:rsidTr="002A31A1">
        <w:tc>
          <w:tcPr>
            <w:tcW w:w="1754" w:type="pct"/>
            <w:tcBorders>
              <w:top w:val="nil"/>
              <w:bottom w:val="nil"/>
            </w:tcBorders>
            <w:vAlign w:val="center"/>
          </w:tcPr>
          <w:p w14:paraId="2EC42EB5"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İhraç edilen menkul kıymetler</w:t>
            </w:r>
          </w:p>
        </w:tc>
        <w:tc>
          <w:tcPr>
            <w:tcW w:w="506" w:type="pct"/>
            <w:tcBorders>
              <w:top w:val="nil"/>
              <w:left w:val="nil"/>
              <w:bottom w:val="nil"/>
              <w:right w:val="nil"/>
            </w:tcBorders>
            <w:shd w:val="clear" w:color="auto" w:fill="auto"/>
            <w:tcMar>
              <w:left w:w="0" w:type="dxa"/>
              <w:right w:w="57" w:type="dxa"/>
            </w:tcMar>
            <w:vAlign w:val="center"/>
          </w:tcPr>
          <w:p w14:paraId="374090C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20.259.843</w:t>
            </w:r>
          </w:p>
        </w:tc>
        <w:tc>
          <w:tcPr>
            <w:tcW w:w="580" w:type="pct"/>
            <w:tcBorders>
              <w:top w:val="nil"/>
              <w:left w:val="nil"/>
              <w:bottom w:val="nil"/>
              <w:right w:val="nil"/>
            </w:tcBorders>
            <w:shd w:val="clear" w:color="auto" w:fill="auto"/>
            <w:tcMar>
              <w:left w:w="0" w:type="dxa"/>
              <w:right w:w="57" w:type="dxa"/>
            </w:tcMar>
            <w:vAlign w:val="center"/>
          </w:tcPr>
          <w:p w14:paraId="42FFC10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689DA22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0262A63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1D900D23"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3A54BA2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20.259.843</w:t>
            </w:r>
          </w:p>
        </w:tc>
      </w:tr>
      <w:tr w:rsidR="00CA63C9" w:rsidRPr="00FB38E1" w14:paraId="1B7B999A" w14:textId="77777777" w:rsidTr="002A31A1">
        <w:tc>
          <w:tcPr>
            <w:tcW w:w="1754" w:type="pct"/>
            <w:tcBorders>
              <w:top w:val="nil"/>
              <w:bottom w:val="nil"/>
            </w:tcBorders>
            <w:vAlign w:val="center"/>
          </w:tcPr>
          <w:p w14:paraId="7DB655C6"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Fonlar</w:t>
            </w:r>
          </w:p>
        </w:tc>
        <w:tc>
          <w:tcPr>
            <w:tcW w:w="506" w:type="pct"/>
            <w:tcBorders>
              <w:top w:val="nil"/>
              <w:left w:val="nil"/>
              <w:bottom w:val="nil"/>
              <w:right w:val="nil"/>
            </w:tcBorders>
            <w:shd w:val="clear" w:color="auto" w:fill="auto"/>
            <w:tcMar>
              <w:left w:w="0" w:type="dxa"/>
              <w:right w:w="57" w:type="dxa"/>
            </w:tcMar>
            <w:vAlign w:val="center"/>
          </w:tcPr>
          <w:p w14:paraId="5705808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092138D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5A8DD8C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0EC3551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6A42FA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13C5849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5EF1EC53" w14:textId="77777777" w:rsidTr="002A31A1">
        <w:tc>
          <w:tcPr>
            <w:tcW w:w="1754" w:type="pct"/>
            <w:tcBorders>
              <w:top w:val="nil"/>
              <w:bottom w:val="nil"/>
            </w:tcBorders>
            <w:vAlign w:val="center"/>
          </w:tcPr>
          <w:p w14:paraId="6FC06423"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Gerçeğe uygun değer farkı kar zarara yansıtılan finansal yükümlülükler</w:t>
            </w:r>
          </w:p>
        </w:tc>
        <w:tc>
          <w:tcPr>
            <w:tcW w:w="506" w:type="pct"/>
            <w:tcBorders>
              <w:top w:val="nil"/>
              <w:left w:val="nil"/>
              <w:bottom w:val="nil"/>
              <w:right w:val="nil"/>
            </w:tcBorders>
            <w:shd w:val="clear" w:color="auto" w:fill="auto"/>
            <w:tcMar>
              <w:left w:w="0" w:type="dxa"/>
              <w:right w:w="57" w:type="dxa"/>
            </w:tcMar>
            <w:vAlign w:val="center"/>
          </w:tcPr>
          <w:p w14:paraId="42CE7F96"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0701747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5DDE8E7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E0C47C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82A108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00C9F613"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78627815" w14:textId="77777777" w:rsidTr="002A31A1">
        <w:tc>
          <w:tcPr>
            <w:tcW w:w="1754" w:type="pct"/>
            <w:tcBorders>
              <w:top w:val="nil"/>
              <w:bottom w:val="nil"/>
            </w:tcBorders>
            <w:vAlign w:val="center"/>
          </w:tcPr>
          <w:p w14:paraId="0204198E"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Türev finansal yükümlülükler</w:t>
            </w:r>
          </w:p>
        </w:tc>
        <w:tc>
          <w:tcPr>
            <w:tcW w:w="506" w:type="pct"/>
            <w:tcBorders>
              <w:top w:val="nil"/>
              <w:left w:val="nil"/>
              <w:bottom w:val="nil"/>
              <w:right w:val="nil"/>
            </w:tcBorders>
            <w:shd w:val="clear" w:color="auto" w:fill="auto"/>
            <w:tcMar>
              <w:left w:w="0" w:type="dxa"/>
              <w:right w:w="57" w:type="dxa"/>
            </w:tcMar>
            <w:vAlign w:val="center"/>
          </w:tcPr>
          <w:p w14:paraId="7254FCA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2.846.365</w:t>
            </w:r>
          </w:p>
        </w:tc>
        <w:tc>
          <w:tcPr>
            <w:tcW w:w="580" w:type="pct"/>
            <w:tcBorders>
              <w:top w:val="nil"/>
              <w:left w:val="nil"/>
              <w:bottom w:val="nil"/>
              <w:right w:val="nil"/>
            </w:tcBorders>
            <w:shd w:val="clear" w:color="auto" w:fill="auto"/>
            <w:tcMar>
              <w:left w:w="0" w:type="dxa"/>
              <w:right w:w="57" w:type="dxa"/>
            </w:tcMar>
            <w:vAlign w:val="center"/>
          </w:tcPr>
          <w:p w14:paraId="416D88F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222CEEC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30D05FB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44F3F3A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5DD6114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2.846.365</w:t>
            </w:r>
          </w:p>
        </w:tc>
      </w:tr>
      <w:tr w:rsidR="00CA63C9" w:rsidRPr="00FB38E1" w14:paraId="372D60DC" w14:textId="77777777" w:rsidTr="002A31A1">
        <w:tc>
          <w:tcPr>
            <w:tcW w:w="1754" w:type="pct"/>
            <w:tcBorders>
              <w:top w:val="nil"/>
              <w:bottom w:val="nil"/>
            </w:tcBorders>
            <w:vAlign w:val="center"/>
          </w:tcPr>
          <w:p w14:paraId="74A5B7E9"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Faktoring yükümlülükleri</w:t>
            </w:r>
          </w:p>
        </w:tc>
        <w:tc>
          <w:tcPr>
            <w:tcW w:w="506" w:type="pct"/>
            <w:tcBorders>
              <w:top w:val="nil"/>
              <w:left w:val="nil"/>
              <w:bottom w:val="nil"/>
              <w:right w:val="nil"/>
            </w:tcBorders>
            <w:shd w:val="clear" w:color="auto" w:fill="auto"/>
            <w:tcMar>
              <w:left w:w="0" w:type="dxa"/>
              <w:right w:w="57" w:type="dxa"/>
            </w:tcMar>
            <w:vAlign w:val="center"/>
          </w:tcPr>
          <w:p w14:paraId="148D5045"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0C4D2CD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07BD789E"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0AC8F056"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59B8C9C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21222D37"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79BF33C5" w14:textId="77777777" w:rsidTr="002A31A1">
        <w:tc>
          <w:tcPr>
            <w:tcW w:w="1754" w:type="pct"/>
            <w:tcBorders>
              <w:top w:val="nil"/>
              <w:bottom w:val="nil"/>
            </w:tcBorders>
            <w:vAlign w:val="center"/>
          </w:tcPr>
          <w:p w14:paraId="62E9B581"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Kiralama işlemlerinden yükümlülükler</w:t>
            </w:r>
          </w:p>
        </w:tc>
        <w:tc>
          <w:tcPr>
            <w:tcW w:w="506" w:type="pct"/>
            <w:tcBorders>
              <w:top w:val="nil"/>
              <w:left w:val="nil"/>
              <w:bottom w:val="nil"/>
              <w:right w:val="nil"/>
            </w:tcBorders>
            <w:shd w:val="clear" w:color="auto" w:fill="auto"/>
            <w:tcMar>
              <w:left w:w="0" w:type="dxa"/>
              <w:right w:w="57" w:type="dxa"/>
            </w:tcMar>
            <w:vAlign w:val="center"/>
          </w:tcPr>
          <w:p w14:paraId="3AE5110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949.276</w:t>
            </w:r>
          </w:p>
        </w:tc>
        <w:tc>
          <w:tcPr>
            <w:tcW w:w="580" w:type="pct"/>
            <w:tcBorders>
              <w:top w:val="nil"/>
              <w:left w:val="nil"/>
              <w:bottom w:val="nil"/>
              <w:right w:val="nil"/>
            </w:tcBorders>
            <w:shd w:val="clear" w:color="auto" w:fill="auto"/>
            <w:tcMar>
              <w:left w:w="0" w:type="dxa"/>
              <w:right w:w="57" w:type="dxa"/>
            </w:tcMar>
            <w:vAlign w:val="center"/>
          </w:tcPr>
          <w:p w14:paraId="00CBC48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243EB68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14EDF45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7C3D75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7F29982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949.276</w:t>
            </w:r>
          </w:p>
        </w:tc>
      </w:tr>
      <w:tr w:rsidR="00CA63C9" w:rsidRPr="00FB38E1" w14:paraId="30B0AC5B" w14:textId="77777777" w:rsidTr="002A31A1">
        <w:tc>
          <w:tcPr>
            <w:tcW w:w="1754" w:type="pct"/>
            <w:tcBorders>
              <w:top w:val="nil"/>
              <w:bottom w:val="nil"/>
            </w:tcBorders>
            <w:vAlign w:val="center"/>
          </w:tcPr>
          <w:p w14:paraId="3732111E"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Karşılıklar</w:t>
            </w:r>
          </w:p>
        </w:tc>
        <w:tc>
          <w:tcPr>
            <w:tcW w:w="506" w:type="pct"/>
            <w:tcBorders>
              <w:top w:val="nil"/>
              <w:left w:val="nil"/>
              <w:bottom w:val="nil"/>
              <w:right w:val="nil"/>
            </w:tcBorders>
            <w:shd w:val="clear" w:color="auto" w:fill="auto"/>
            <w:tcMar>
              <w:left w:w="0" w:type="dxa"/>
              <w:right w:w="57" w:type="dxa"/>
            </w:tcMar>
            <w:vAlign w:val="center"/>
          </w:tcPr>
          <w:p w14:paraId="16C76BD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15.820.136</w:t>
            </w:r>
          </w:p>
        </w:tc>
        <w:tc>
          <w:tcPr>
            <w:tcW w:w="580" w:type="pct"/>
            <w:tcBorders>
              <w:top w:val="nil"/>
              <w:left w:val="nil"/>
              <w:bottom w:val="nil"/>
              <w:right w:val="nil"/>
            </w:tcBorders>
            <w:shd w:val="clear" w:color="auto" w:fill="auto"/>
            <w:tcMar>
              <w:left w:w="0" w:type="dxa"/>
              <w:right w:w="57" w:type="dxa"/>
            </w:tcMar>
            <w:vAlign w:val="center"/>
          </w:tcPr>
          <w:p w14:paraId="7B7FE213"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7410F91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4A311A36"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58C75345"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71D26D1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15.820.136</w:t>
            </w:r>
          </w:p>
        </w:tc>
      </w:tr>
      <w:tr w:rsidR="00CA63C9" w:rsidRPr="00FB38E1" w14:paraId="7207B87E" w14:textId="77777777" w:rsidTr="002A31A1">
        <w:tc>
          <w:tcPr>
            <w:tcW w:w="1754" w:type="pct"/>
            <w:tcBorders>
              <w:top w:val="nil"/>
              <w:bottom w:val="nil"/>
            </w:tcBorders>
            <w:vAlign w:val="center"/>
          </w:tcPr>
          <w:p w14:paraId="04D0E92B"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Cari vergi borcu</w:t>
            </w:r>
          </w:p>
        </w:tc>
        <w:tc>
          <w:tcPr>
            <w:tcW w:w="506" w:type="pct"/>
            <w:tcBorders>
              <w:top w:val="nil"/>
              <w:left w:val="nil"/>
              <w:bottom w:val="nil"/>
              <w:right w:val="nil"/>
            </w:tcBorders>
            <w:shd w:val="clear" w:color="auto" w:fill="auto"/>
            <w:tcMar>
              <w:left w:w="0" w:type="dxa"/>
              <w:right w:w="57" w:type="dxa"/>
            </w:tcMar>
            <w:vAlign w:val="center"/>
          </w:tcPr>
          <w:p w14:paraId="5D8DBC6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1.821.303</w:t>
            </w:r>
          </w:p>
        </w:tc>
        <w:tc>
          <w:tcPr>
            <w:tcW w:w="580" w:type="pct"/>
            <w:tcBorders>
              <w:top w:val="nil"/>
              <w:left w:val="nil"/>
              <w:bottom w:val="nil"/>
              <w:right w:val="nil"/>
            </w:tcBorders>
            <w:shd w:val="clear" w:color="auto" w:fill="auto"/>
            <w:tcMar>
              <w:left w:w="0" w:type="dxa"/>
              <w:right w:w="57" w:type="dxa"/>
            </w:tcMar>
            <w:vAlign w:val="center"/>
          </w:tcPr>
          <w:p w14:paraId="2180EA6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69ADFD82"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52E360F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780C679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0EEE9646"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1.821.303</w:t>
            </w:r>
          </w:p>
        </w:tc>
      </w:tr>
      <w:tr w:rsidR="00CA63C9" w:rsidRPr="00FB38E1" w14:paraId="2BB7EAC3" w14:textId="77777777" w:rsidTr="002A31A1">
        <w:tc>
          <w:tcPr>
            <w:tcW w:w="1754" w:type="pct"/>
            <w:tcBorders>
              <w:top w:val="nil"/>
              <w:bottom w:val="nil"/>
            </w:tcBorders>
            <w:vAlign w:val="center"/>
          </w:tcPr>
          <w:p w14:paraId="2D3DBB67"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Ertelenmiş vergi borcu</w:t>
            </w:r>
          </w:p>
        </w:tc>
        <w:tc>
          <w:tcPr>
            <w:tcW w:w="506" w:type="pct"/>
            <w:tcBorders>
              <w:top w:val="nil"/>
              <w:left w:val="nil"/>
              <w:bottom w:val="nil"/>
              <w:right w:val="nil"/>
            </w:tcBorders>
            <w:shd w:val="clear" w:color="auto" w:fill="auto"/>
            <w:tcMar>
              <w:left w:w="0" w:type="dxa"/>
              <w:right w:w="57" w:type="dxa"/>
            </w:tcMar>
            <w:vAlign w:val="center"/>
          </w:tcPr>
          <w:p w14:paraId="344B1B30"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0" w:type="pct"/>
            <w:tcBorders>
              <w:top w:val="nil"/>
              <w:left w:val="nil"/>
              <w:bottom w:val="nil"/>
              <w:right w:val="nil"/>
            </w:tcBorders>
            <w:shd w:val="clear" w:color="auto" w:fill="auto"/>
            <w:tcMar>
              <w:left w:w="0" w:type="dxa"/>
              <w:right w:w="57" w:type="dxa"/>
            </w:tcMar>
            <w:vAlign w:val="center"/>
          </w:tcPr>
          <w:p w14:paraId="405EBFD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0DF1F51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1655563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62D95F6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482E1A6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CA63C9" w:rsidRPr="00FB38E1" w14:paraId="609A54E7" w14:textId="77777777" w:rsidTr="002A31A1">
        <w:tc>
          <w:tcPr>
            <w:tcW w:w="1754" w:type="pct"/>
            <w:tcBorders>
              <w:top w:val="nil"/>
              <w:bottom w:val="nil"/>
            </w:tcBorders>
            <w:vAlign w:val="center"/>
          </w:tcPr>
          <w:p w14:paraId="49B612A8" w14:textId="77777777" w:rsidR="00CA63C9" w:rsidRPr="00FB38E1" w:rsidRDefault="00CA63C9" w:rsidP="002A31A1">
            <w:pPr>
              <w:jc w:val="lef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Satış amaçlı elde tutulan ve durdurulan faaliyetlere ilişkin duran varlık borçları (Net)</w:t>
            </w:r>
          </w:p>
        </w:tc>
        <w:tc>
          <w:tcPr>
            <w:tcW w:w="506" w:type="pct"/>
            <w:tcBorders>
              <w:top w:val="nil"/>
              <w:left w:val="nil"/>
              <w:bottom w:val="nil"/>
              <w:right w:val="nil"/>
            </w:tcBorders>
            <w:shd w:val="clear" w:color="auto" w:fill="auto"/>
            <w:tcMar>
              <w:left w:w="0" w:type="dxa"/>
              <w:right w:w="57" w:type="dxa"/>
            </w:tcMar>
            <w:vAlign w:val="center"/>
          </w:tcPr>
          <w:p w14:paraId="68F68C5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102.945</w:t>
            </w:r>
          </w:p>
        </w:tc>
        <w:tc>
          <w:tcPr>
            <w:tcW w:w="580" w:type="pct"/>
            <w:tcBorders>
              <w:top w:val="nil"/>
              <w:left w:val="nil"/>
              <w:bottom w:val="nil"/>
              <w:right w:val="nil"/>
            </w:tcBorders>
            <w:shd w:val="clear" w:color="auto" w:fill="auto"/>
            <w:tcMar>
              <w:left w:w="0" w:type="dxa"/>
              <w:right w:w="57" w:type="dxa"/>
            </w:tcMar>
            <w:vAlign w:val="center"/>
          </w:tcPr>
          <w:p w14:paraId="5574147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61411D86"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1A167BC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6B97D39D"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3A9E291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102.945</w:t>
            </w:r>
          </w:p>
        </w:tc>
      </w:tr>
      <w:tr w:rsidR="00CA63C9" w:rsidRPr="00FB38E1" w14:paraId="7DDE5EAE" w14:textId="77777777" w:rsidTr="002A31A1">
        <w:tc>
          <w:tcPr>
            <w:tcW w:w="1754" w:type="pct"/>
            <w:tcBorders>
              <w:top w:val="nil"/>
              <w:bottom w:val="nil"/>
            </w:tcBorders>
            <w:vAlign w:val="center"/>
          </w:tcPr>
          <w:p w14:paraId="1BB8190E"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Sermaye benzeri borçlanma araçları</w:t>
            </w:r>
          </w:p>
        </w:tc>
        <w:tc>
          <w:tcPr>
            <w:tcW w:w="506" w:type="pct"/>
            <w:tcBorders>
              <w:top w:val="nil"/>
              <w:left w:val="nil"/>
              <w:bottom w:val="nil"/>
              <w:right w:val="nil"/>
            </w:tcBorders>
            <w:shd w:val="clear" w:color="auto" w:fill="auto"/>
            <w:tcMar>
              <w:left w:w="0" w:type="dxa"/>
              <w:right w:w="57" w:type="dxa"/>
            </w:tcMar>
            <w:vAlign w:val="center"/>
          </w:tcPr>
          <w:p w14:paraId="00A60096"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23.066.679</w:t>
            </w:r>
          </w:p>
        </w:tc>
        <w:tc>
          <w:tcPr>
            <w:tcW w:w="580" w:type="pct"/>
            <w:tcBorders>
              <w:top w:val="nil"/>
              <w:left w:val="nil"/>
              <w:bottom w:val="nil"/>
              <w:right w:val="nil"/>
            </w:tcBorders>
            <w:shd w:val="clear" w:color="auto" w:fill="auto"/>
            <w:tcMar>
              <w:left w:w="0" w:type="dxa"/>
              <w:right w:w="57" w:type="dxa"/>
            </w:tcMar>
            <w:vAlign w:val="center"/>
          </w:tcPr>
          <w:p w14:paraId="7B712D7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3FE935AC"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70BCE2F8"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195C3BF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0275D7A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23.066.679</w:t>
            </w:r>
          </w:p>
        </w:tc>
      </w:tr>
      <w:tr w:rsidR="00CA63C9" w:rsidRPr="00FB38E1" w14:paraId="575A99F2" w14:textId="77777777" w:rsidTr="002A31A1">
        <w:tc>
          <w:tcPr>
            <w:tcW w:w="1754" w:type="pct"/>
            <w:tcBorders>
              <w:top w:val="nil"/>
              <w:bottom w:val="nil"/>
            </w:tcBorders>
            <w:vAlign w:val="center"/>
          </w:tcPr>
          <w:p w14:paraId="56E32A94"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Diğer yükümlülükler</w:t>
            </w:r>
          </w:p>
        </w:tc>
        <w:tc>
          <w:tcPr>
            <w:tcW w:w="506" w:type="pct"/>
            <w:tcBorders>
              <w:top w:val="nil"/>
              <w:left w:val="nil"/>
              <w:bottom w:val="nil"/>
              <w:right w:val="nil"/>
            </w:tcBorders>
            <w:shd w:val="clear" w:color="auto" w:fill="auto"/>
            <w:tcMar>
              <w:left w:w="0" w:type="dxa"/>
              <w:right w:w="57" w:type="dxa"/>
            </w:tcMar>
            <w:vAlign w:val="center"/>
          </w:tcPr>
          <w:p w14:paraId="63E559CA"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55.625.441</w:t>
            </w:r>
          </w:p>
        </w:tc>
        <w:tc>
          <w:tcPr>
            <w:tcW w:w="580" w:type="pct"/>
            <w:tcBorders>
              <w:top w:val="nil"/>
              <w:left w:val="nil"/>
              <w:bottom w:val="nil"/>
              <w:right w:val="nil"/>
            </w:tcBorders>
            <w:shd w:val="clear" w:color="auto" w:fill="auto"/>
            <w:tcMar>
              <w:left w:w="0" w:type="dxa"/>
              <w:right w:w="57" w:type="dxa"/>
            </w:tcMar>
            <w:vAlign w:val="center"/>
          </w:tcPr>
          <w:p w14:paraId="70B2750B"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09411EF6"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224D6F8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FBB5AD1"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2197CB2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55.625.441</w:t>
            </w:r>
          </w:p>
        </w:tc>
      </w:tr>
      <w:tr w:rsidR="00CA63C9" w:rsidRPr="00FB38E1" w14:paraId="026FFE7A" w14:textId="77777777" w:rsidTr="002A31A1">
        <w:tc>
          <w:tcPr>
            <w:tcW w:w="1754" w:type="pct"/>
            <w:tcBorders>
              <w:top w:val="nil"/>
              <w:bottom w:val="nil"/>
            </w:tcBorders>
            <w:vAlign w:val="center"/>
          </w:tcPr>
          <w:p w14:paraId="49D0CAE1" w14:textId="77777777" w:rsidR="00CA63C9" w:rsidRPr="00FB38E1" w:rsidRDefault="00CA63C9" w:rsidP="002A31A1">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Özkaynaklar</w:t>
            </w:r>
          </w:p>
        </w:tc>
        <w:tc>
          <w:tcPr>
            <w:tcW w:w="506" w:type="pct"/>
            <w:tcBorders>
              <w:top w:val="nil"/>
              <w:left w:val="nil"/>
              <w:bottom w:val="nil"/>
              <w:right w:val="nil"/>
            </w:tcBorders>
            <w:shd w:val="clear" w:color="auto" w:fill="auto"/>
            <w:tcMar>
              <w:left w:w="0" w:type="dxa"/>
              <w:right w:w="57" w:type="dxa"/>
            </w:tcMar>
            <w:vAlign w:val="center"/>
          </w:tcPr>
          <w:p w14:paraId="6A03FE2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89.843.401</w:t>
            </w:r>
          </w:p>
        </w:tc>
        <w:tc>
          <w:tcPr>
            <w:tcW w:w="580" w:type="pct"/>
            <w:tcBorders>
              <w:top w:val="nil"/>
              <w:left w:val="nil"/>
              <w:bottom w:val="nil"/>
              <w:right w:val="nil"/>
            </w:tcBorders>
            <w:shd w:val="clear" w:color="auto" w:fill="auto"/>
            <w:tcMar>
              <w:left w:w="0" w:type="dxa"/>
              <w:right w:w="57" w:type="dxa"/>
            </w:tcMar>
            <w:vAlign w:val="center"/>
          </w:tcPr>
          <w:p w14:paraId="3639943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01" w:type="pct"/>
            <w:tcBorders>
              <w:top w:val="nil"/>
              <w:left w:val="nil"/>
              <w:bottom w:val="nil"/>
              <w:right w:val="nil"/>
            </w:tcBorders>
            <w:shd w:val="clear" w:color="auto" w:fill="auto"/>
            <w:tcMar>
              <w:left w:w="0" w:type="dxa"/>
              <w:right w:w="57" w:type="dxa"/>
            </w:tcMar>
            <w:vAlign w:val="center"/>
          </w:tcPr>
          <w:p w14:paraId="59F762A9"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1" w:type="pct"/>
            <w:gridSpan w:val="2"/>
            <w:tcBorders>
              <w:top w:val="nil"/>
              <w:left w:val="nil"/>
              <w:bottom w:val="nil"/>
              <w:right w:val="nil"/>
            </w:tcBorders>
            <w:shd w:val="clear" w:color="auto" w:fill="auto"/>
            <w:tcMar>
              <w:left w:w="0" w:type="dxa"/>
              <w:right w:w="57" w:type="dxa"/>
            </w:tcMar>
            <w:vAlign w:val="center"/>
          </w:tcPr>
          <w:p w14:paraId="0290CA16"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45" w:type="pct"/>
            <w:gridSpan w:val="2"/>
            <w:tcBorders>
              <w:top w:val="nil"/>
              <w:left w:val="nil"/>
              <w:bottom w:val="nil"/>
              <w:right w:val="nil"/>
            </w:tcBorders>
            <w:shd w:val="clear" w:color="auto" w:fill="auto"/>
            <w:tcMar>
              <w:left w:w="0" w:type="dxa"/>
              <w:right w:w="57" w:type="dxa"/>
            </w:tcMar>
            <w:vAlign w:val="center"/>
          </w:tcPr>
          <w:p w14:paraId="07A5558F"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93" w:type="pct"/>
            <w:gridSpan w:val="3"/>
            <w:tcBorders>
              <w:top w:val="nil"/>
              <w:left w:val="nil"/>
              <w:bottom w:val="nil"/>
              <w:right w:val="nil"/>
            </w:tcBorders>
            <w:shd w:val="clear" w:color="auto" w:fill="auto"/>
            <w:tcMar>
              <w:left w:w="0" w:type="dxa"/>
              <w:right w:w="57" w:type="dxa"/>
            </w:tcMar>
            <w:vAlign w:val="center"/>
          </w:tcPr>
          <w:p w14:paraId="6CCFFED4" w14:textId="77777777" w:rsidR="00CA63C9" w:rsidRPr="00FB38E1" w:rsidRDefault="00CA63C9"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89.843.401</w:t>
            </w:r>
          </w:p>
        </w:tc>
      </w:tr>
      <w:tr w:rsidR="00CA63C9" w:rsidRPr="00FB38E1" w14:paraId="0F40E4A5" w14:textId="77777777" w:rsidTr="002A31A1">
        <w:tc>
          <w:tcPr>
            <w:tcW w:w="1754" w:type="pct"/>
            <w:tcBorders>
              <w:top w:val="nil"/>
              <w:bottom w:val="thickThinSmallGap" w:sz="24" w:space="0" w:color="auto"/>
            </w:tcBorders>
            <w:vAlign w:val="center"/>
          </w:tcPr>
          <w:p w14:paraId="1D822F11" w14:textId="77777777" w:rsidR="00CA63C9" w:rsidRPr="00FB38E1" w:rsidRDefault="00CA63C9" w:rsidP="002A31A1">
            <w:pPr>
              <w:rPr>
                <w:rFonts w:ascii="Microsoft Sans Serif" w:hAnsi="Microsoft Sans Serif" w:cs="Microsoft Sans Serif"/>
                <w:b/>
                <w:sz w:val="14"/>
                <w:szCs w:val="14"/>
              </w:rPr>
            </w:pPr>
            <w:r w:rsidRPr="00FB38E1">
              <w:rPr>
                <w:rFonts w:ascii="Microsoft Sans Serif" w:hAnsi="Microsoft Sans Serif" w:cs="Microsoft Sans Serif"/>
                <w:b/>
                <w:bCs/>
                <w:color w:val="404040"/>
                <w:sz w:val="14"/>
                <w:szCs w:val="14"/>
              </w:rPr>
              <w:t>Toplam yükümlülükler</w:t>
            </w:r>
          </w:p>
        </w:tc>
        <w:tc>
          <w:tcPr>
            <w:tcW w:w="506" w:type="pct"/>
            <w:tcBorders>
              <w:top w:val="nil"/>
              <w:left w:val="nil"/>
              <w:bottom w:val="thickThinSmallGap" w:sz="24" w:space="0" w:color="auto"/>
              <w:right w:val="nil"/>
            </w:tcBorders>
            <w:shd w:val="clear" w:color="auto" w:fill="auto"/>
            <w:tcMar>
              <w:left w:w="0" w:type="dxa"/>
              <w:right w:w="57" w:type="dxa"/>
            </w:tcMar>
            <w:vAlign w:val="center"/>
          </w:tcPr>
          <w:p w14:paraId="2654611E"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1.007.709.061</w:t>
            </w:r>
          </w:p>
        </w:tc>
        <w:tc>
          <w:tcPr>
            <w:tcW w:w="580" w:type="pct"/>
            <w:tcBorders>
              <w:top w:val="nil"/>
              <w:left w:val="nil"/>
              <w:bottom w:val="thickThinSmallGap" w:sz="24" w:space="0" w:color="auto"/>
              <w:right w:val="nil"/>
            </w:tcBorders>
            <w:shd w:val="clear" w:color="auto" w:fill="auto"/>
            <w:tcMar>
              <w:left w:w="0" w:type="dxa"/>
              <w:right w:w="57" w:type="dxa"/>
            </w:tcMar>
            <w:vAlign w:val="center"/>
          </w:tcPr>
          <w:p w14:paraId="0E1E8063"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01" w:type="pct"/>
            <w:tcBorders>
              <w:top w:val="nil"/>
              <w:left w:val="nil"/>
              <w:bottom w:val="thickThinSmallGap" w:sz="24" w:space="0" w:color="auto"/>
              <w:right w:val="nil"/>
            </w:tcBorders>
            <w:shd w:val="clear" w:color="auto" w:fill="auto"/>
            <w:tcMar>
              <w:left w:w="0" w:type="dxa"/>
              <w:right w:w="57" w:type="dxa"/>
            </w:tcMar>
            <w:vAlign w:val="center"/>
          </w:tcPr>
          <w:p w14:paraId="43300A31"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51.974.449</w:t>
            </w:r>
          </w:p>
        </w:tc>
        <w:tc>
          <w:tcPr>
            <w:tcW w:w="521" w:type="pct"/>
            <w:gridSpan w:val="2"/>
            <w:tcBorders>
              <w:top w:val="nil"/>
              <w:left w:val="nil"/>
              <w:bottom w:val="thickThinSmallGap" w:sz="24" w:space="0" w:color="auto"/>
              <w:right w:val="nil"/>
            </w:tcBorders>
            <w:shd w:val="clear" w:color="auto" w:fill="auto"/>
            <w:tcMar>
              <w:left w:w="0" w:type="dxa"/>
              <w:right w:w="57" w:type="dxa"/>
            </w:tcMar>
            <w:vAlign w:val="center"/>
          </w:tcPr>
          <w:p w14:paraId="2503C46E"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45" w:type="pct"/>
            <w:gridSpan w:val="2"/>
            <w:tcBorders>
              <w:top w:val="nil"/>
              <w:left w:val="nil"/>
              <w:bottom w:val="thickThinSmallGap" w:sz="24" w:space="0" w:color="auto"/>
              <w:right w:val="nil"/>
            </w:tcBorders>
            <w:shd w:val="clear" w:color="auto" w:fill="auto"/>
            <w:tcMar>
              <w:left w:w="0" w:type="dxa"/>
              <w:right w:w="57" w:type="dxa"/>
            </w:tcMar>
            <w:vAlign w:val="center"/>
          </w:tcPr>
          <w:p w14:paraId="1C938681"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793" w:type="pct"/>
            <w:gridSpan w:val="3"/>
            <w:tcBorders>
              <w:top w:val="nil"/>
              <w:left w:val="nil"/>
              <w:bottom w:val="thickThinSmallGap" w:sz="24" w:space="0" w:color="auto"/>
              <w:right w:val="nil"/>
            </w:tcBorders>
            <w:shd w:val="clear" w:color="auto" w:fill="auto"/>
            <w:tcMar>
              <w:left w:w="0" w:type="dxa"/>
              <w:right w:w="57" w:type="dxa"/>
            </w:tcMar>
            <w:vAlign w:val="center"/>
          </w:tcPr>
          <w:p w14:paraId="629BD4D5" w14:textId="77777777" w:rsidR="00CA63C9" w:rsidRPr="00FB38E1" w:rsidRDefault="00CA63C9"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1.007.709.061</w:t>
            </w:r>
          </w:p>
        </w:tc>
      </w:tr>
    </w:tbl>
    <w:p w14:paraId="0FCB47F9" w14:textId="77777777" w:rsidR="00E036D3" w:rsidRPr="00FB38E1" w:rsidRDefault="00E036D3" w:rsidP="00364B59">
      <w:pPr>
        <w:numPr>
          <w:ilvl w:val="0"/>
          <w:numId w:val="54"/>
        </w:numPr>
        <w:spacing w:before="240" w:after="120" w:line="240" w:lineRule="exact"/>
        <w:ind w:left="0" w:hanging="426"/>
        <w:rPr>
          <w:rFonts w:ascii="Microsoft Sans Serif" w:hAnsi="Microsoft Sans Serif" w:cs="Microsoft Sans Serif"/>
          <w:b/>
          <w:sz w:val="20"/>
          <w:szCs w:val="20"/>
        </w:rPr>
      </w:pPr>
      <w:r w:rsidRPr="00FB38E1">
        <w:rPr>
          <w:rFonts w:ascii="Microsoft Sans Serif" w:hAnsi="Microsoft Sans Serif" w:cs="Microsoft Sans Serif"/>
          <w:b/>
          <w:sz w:val="20"/>
          <w:szCs w:val="20"/>
        </w:rPr>
        <w:t xml:space="preserve">Risk tutarları ile finansal tablolardaki TMS uyarınca değerlenmiş tutarlar arasındaki farkların ana kaynakları </w:t>
      </w:r>
    </w:p>
    <w:tbl>
      <w:tblPr>
        <w:tblStyle w:val="TableGrid2"/>
        <w:tblW w:w="9695"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95"/>
        <w:gridCol w:w="3454"/>
        <w:gridCol w:w="1139"/>
        <w:gridCol w:w="1241"/>
        <w:gridCol w:w="1164"/>
        <w:gridCol w:w="1178"/>
        <w:gridCol w:w="1124"/>
      </w:tblGrid>
      <w:tr w:rsidR="00E036D3" w:rsidRPr="00FB38E1" w14:paraId="34FEB453" w14:textId="77777777" w:rsidTr="00836EF2">
        <w:tc>
          <w:tcPr>
            <w:tcW w:w="395" w:type="dxa"/>
            <w:tcBorders>
              <w:bottom w:val="nil"/>
            </w:tcBorders>
          </w:tcPr>
          <w:p w14:paraId="0494DE39" w14:textId="77777777" w:rsidR="00E036D3" w:rsidRPr="00FB38E1" w:rsidRDefault="00E036D3" w:rsidP="00836EF2">
            <w:pPr>
              <w:rPr>
                <w:rFonts w:ascii="Microsoft Sans Serif" w:hAnsi="Microsoft Sans Serif" w:cs="Microsoft Sans Serif"/>
                <w:b/>
                <w:sz w:val="16"/>
                <w:szCs w:val="16"/>
              </w:rPr>
            </w:pPr>
          </w:p>
        </w:tc>
        <w:tc>
          <w:tcPr>
            <w:tcW w:w="3454" w:type="dxa"/>
            <w:tcBorders>
              <w:bottom w:val="nil"/>
            </w:tcBorders>
            <w:tcMar>
              <w:left w:w="57" w:type="dxa"/>
              <w:right w:w="57" w:type="dxa"/>
            </w:tcMar>
          </w:tcPr>
          <w:p w14:paraId="5E1DDE1D" w14:textId="77777777" w:rsidR="00E036D3" w:rsidRPr="00FB38E1" w:rsidRDefault="00E036D3" w:rsidP="00836EF2">
            <w:pPr>
              <w:rPr>
                <w:rFonts w:ascii="Microsoft Sans Serif" w:hAnsi="Microsoft Sans Serif" w:cs="Microsoft Sans Serif"/>
                <w:b/>
                <w:sz w:val="16"/>
                <w:szCs w:val="16"/>
              </w:rPr>
            </w:pPr>
          </w:p>
        </w:tc>
        <w:tc>
          <w:tcPr>
            <w:tcW w:w="1139" w:type="dxa"/>
            <w:tcBorders>
              <w:top w:val="thinThickSmallGap" w:sz="24" w:space="0" w:color="auto"/>
              <w:bottom w:val="nil"/>
            </w:tcBorders>
            <w:tcMar>
              <w:left w:w="57" w:type="dxa"/>
              <w:right w:w="57" w:type="dxa"/>
            </w:tcMar>
            <w:vAlign w:val="bottom"/>
          </w:tcPr>
          <w:p w14:paraId="3ADEDB39"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1241" w:type="dxa"/>
            <w:tcBorders>
              <w:top w:val="thinThickSmallGap" w:sz="24" w:space="0" w:color="auto"/>
              <w:bottom w:val="nil"/>
            </w:tcBorders>
          </w:tcPr>
          <w:p w14:paraId="128CE7A3"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c>
          <w:tcPr>
            <w:tcW w:w="1164" w:type="dxa"/>
            <w:tcBorders>
              <w:top w:val="thinThickSmallGap" w:sz="24" w:space="0" w:color="auto"/>
              <w:bottom w:val="nil"/>
            </w:tcBorders>
            <w:tcMar>
              <w:left w:w="57" w:type="dxa"/>
              <w:right w:w="57" w:type="dxa"/>
            </w:tcMar>
            <w:vAlign w:val="bottom"/>
          </w:tcPr>
          <w:p w14:paraId="429F0818"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c</w:t>
            </w:r>
          </w:p>
        </w:tc>
        <w:tc>
          <w:tcPr>
            <w:tcW w:w="1178" w:type="dxa"/>
            <w:tcBorders>
              <w:top w:val="thinThickSmallGap" w:sz="24" w:space="0" w:color="auto"/>
              <w:bottom w:val="nil"/>
            </w:tcBorders>
            <w:tcMar>
              <w:left w:w="57" w:type="dxa"/>
              <w:right w:w="57" w:type="dxa"/>
            </w:tcMar>
            <w:vAlign w:val="bottom"/>
          </w:tcPr>
          <w:p w14:paraId="6A065D2E"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w:t>
            </w:r>
          </w:p>
        </w:tc>
        <w:tc>
          <w:tcPr>
            <w:tcW w:w="1124" w:type="dxa"/>
            <w:tcBorders>
              <w:top w:val="thinThickSmallGap" w:sz="24" w:space="0" w:color="auto"/>
              <w:bottom w:val="nil"/>
            </w:tcBorders>
            <w:tcMar>
              <w:left w:w="57" w:type="dxa"/>
              <w:right w:w="57" w:type="dxa"/>
            </w:tcMar>
            <w:vAlign w:val="bottom"/>
          </w:tcPr>
          <w:p w14:paraId="11318D19"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e</w:t>
            </w:r>
          </w:p>
        </w:tc>
      </w:tr>
      <w:tr w:rsidR="00E036D3" w:rsidRPr="00FB38E1" w14:paraId="3B271772" w14:textId="77777777" w:rsidTr="00836EF2">
        <w:tc>
          <w:tcPr>
            <w:tcW w:w="395" w:type="dxa"/>
            <w:tcBorders>
              <w:top w:val="nil"/>
              <w:bottom w:val="single" w:sz="4" w:space="0" w:color="auto"/>
            </w:tcBorders>
          </w:tcPr>
          <w:p w14:paraId="2A58AF7E" w14:textId="77777777" w:rsidR="00E036D3" w:rsidRPr="00FB38E1" w:rsidRDefault="00E036D3" w:rsidP="00836EF2">
            <w:pPr>
              <w:rPr>
                <w:rFonts w:ascii="Microsoft Sans Serif" w:hAnsi="Microsoft Sans Serif" w:cs="Microsoft Sans Serif"/>
                <w:b/>
                <w:color w:val="404040" w:themeColor="text1" w:themeTint="BF"/>
                <w:sz w:val="16"/>
                <w:szCs w:val="16"/>
              </w:rPr>
            </w:pPr>
          </w:p>
        </w:tc>
        <w:tc>
          <w:tcPr>
            <w:tcW w:w="3454" w:type="dxa"/>
            <w:tcBorders>
              <w:top w:val="nil"/>
              <w:bottom w:val="single" w:sz="4" w:space="0" w:color="auto"/>
            </w:tcBorders>
            <w:tcMar>
              <w:left w:w="57" w:type="dxa"/>
              <w:right w:w="57" w:type="dxa"/>
            </w:tcMar>
            <w:vAlign w:val="center"/>
          </w:tcPr>
          <w:p w14:paraId="2751385C" w14:textId="77777777" w:rsidR="00E036D3" w:rsidRPr="00FB38E1" w:rsidRDefault="00E036D3" w:rsidP="00836EF2">
            <w:pPr>
              <w:jc w:val="lef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Cari Dönem</w:t>
            </w:r>
          </w:p>
        </w:tc>
        <w:tc>
          <w:tcPr>
            <w:tcW w:w="1139" w:type="dxa"/>
            <w:tcBorders>
              <w:top w:val="nil"/>
              <w:bottom w:val="single" w:sz="4" w:space="0" w:color="auto"/>
            </w:tcBorders>
            <w:tcMar>
              <w:left w:w="57" w:type="dxa"/>
              <w:right w:w="57" w:type="dxa"/>
            </w:tcMar>
            <w:vAlign w:val="bottom"/>
          </w:tcPr>
          <w:p w14:paraId="71EBF51D"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1241" w:type="dxa"/>
            <w:tcBorders>
              <w:top w:val="nil"/>
              <w:bottom w:val="single" w:sz="4" w:space="0" w:color="auto"/>
            </w:tcBorders>
            <w:vAlign w:val="bottom"/>
          </w:tcPr>
          <w:p w14:paraId="0427559F"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Kredi riskine tabi</w:t>
            </w:r>
          </w:p>
        </w:tc>
        <w:tc>
          <w:tcPr>
            <w:tcW w:w="1164" w:type="dxa"/>
            <w:tcBorders>
              <w:top w:val="nil"/>
              <w:bottom w:val="single" w:sz="4" w:space="0" w:color="auto"/>
            </w:tcBorders>
            <w:tcMar>
              <w:left w:w="57" w:type="dxa"/>
              <w:right w:w="57" w:type="dxa"/>
            </w:tcMar>
            <w:vAlign w:val="bottom"/>
          </w:tcPr>
          <w:p w14:paraId="740C6071"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Menkul kıymetleştirme pozisyonları</w:t>
            </w:r>
          </w:p>
        </w:tc>
        <w:tc>
          <w:tcPr>
            <w:tcW w:w="1178" w:type="dxa"/>
            <w:tcBorders>
              <w:top w:val="nil"/>
              <w:bottom w:val="single" w:sz="4" w:space="0" w:color="auto"/>
            </w:tcBorders>
            <w:tcMar>
              <w:left w:w="57" w:type="dxa"/>
              <w:right w:w="57" w:type="dxa"/>
            </w:tcMar>
            <w:vAlign w:val="bottom"/>
          </w:tcPr>
          <w:p w14:paraId="19DCCB49"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Karşı taraf kredi riskine tabi</w:t>
            </w:r>
          </w:p>
        </w:tc>
        <w:tc>
          <w:tcPr>
            <w:tcW w:w="1124" w:type="dxa"/>
            <w:tcBorders>
              <w:top w:val="nil"/>
              <w:bottom w:val="single" w:sz="4" w:space="0" w:color="auto"/>
            </w:tcBorders>
            <w:tcMar>
              <w:left w:w="57" w:type="dxa"/>
              <w:right w:w="57" w:type="dxa"/>
            </w:tcMar>
            <w:vAlign w:val="bottom"/>
          </w:tcPr>
          <w:p w14:paraId="466F694A"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Piyasa riskine tabi (*)</w:t>
            </w:r>
          </w:p>
        </w:tc>
      </w:tr>
      <w:tr w:rsidR="009A1A17" w:rsidRPr="00FB38E1" w14:paraId="409D2B32" w14:textId="77777777" w:rsidTr="00836EF2">
        <w:tc>
          <w:tcPr>
            <w:tcW w:w="395" w:type="dxa"/>
            <w:tcBorders>
              <w:top w:val="single" w:sz="4" w:space="0" w:color="auto"/>
              <w:bottom w:val="nil"/>
            </w:tcBorders>
          </w:tcPr>
          <w:p w14:paraId="65BB48E7" w14:textId="77777777" w:rsidR="009A1A17" w:rsidRPr="00FB38E1" w:rsidRDefault="009A1A17" w:rsidP="009A1A17">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w:t>
            </w:r>
          </w:p>
        </w:tc>
        <w:tc>
          <w:tcPr>
            <w:tcW w:w="3454" w:type="dxa"/>
            <w:tcBorders>
              <w:top w:val="single" w:sz="4" w:space="0" w:color="auto"/>
              <w:bottom w:val="nil"/>
            </w:tcBorders>
            <w:tcMar>
              <w:left w:w="57" w:type="dxa"/>
              <w:right w:w="57" w:type="dxa"/>
            </w:tcMar>
            <w:vAlign w:val="bottom"/>
          </w:tcPr>
          <w:p w14:paraId="5CE8B39D" w14:textId="77777777" w:rsidR="009A1A17" w:rsidRPr="00FB38E1" w:rsidRDefault="009A1A17" w:rsidP="009A1A17">
            <w:pPr>
              <w:jc w:val="lef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Finansal tablolardaki varlıkların TMS uyarınca değerlenmiş tutarları</w:t>
            </w:r>
          </w:p>
        </w:tc>
        <w:tc>
          <w:tcPr>
            <w:tcW w:w="1139" w:type="dxa"/>
            <w:tcBorders>
              <w:top w:val="nil"/>
              <w:left w:val="nil"/>
              <w:bottom w:val="nil"/>
              <w:right w:val="nil"/>
            </w:tcBorders>
            <w:shd w:val="clear" w:color="auto" w:fill="auto"/>
            <w:tcMar>
              <w:left w:w="57" w:type="dxa"/>
              <w:right w:w="57" w:type="dxa"/>
            </w:tcMar>
            <w:vAlign w:val="center"/>
          </w:tcPr>
          <w:p w14:paraId="663F64E0" w14:textId="03998CB5" w:rsidR="009A1A17" w:rsidRPr="00FB38E1" w:rsidRDefault="009A1A17" w:rsidP="009A1A1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1.389.897.940</w:t>
            </w:r>
          </w:p>
        </w:tc>
        <w:tc>
          <w:tcPr>
            <w:tcW w:w="1241" w:type="dxa"/>
            <w:tcBorders>
              <w:top w:val="nil"/>
              <w:left w:val="nil"/>
              <w:bottom w:val="nil"/>
              <w:right w:val="nil"/>
            </w:tcBorders>
            <w:shd w:val="clear" w:color="auto" w:fill="auto"/>
            <w:vAlign w:val="center"/>
          </w:tcPr>
          <w:p w14:paraId="290DD339" w14:textId="0590BEB2" w:rsidR="009A1A17" w:rsidRPr="00FB38E1" w:rsidRDefault="009A1A17" w:rsidP="009A1A1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1.298.435.921</w:t>
            </w:r>
          </w:p>
        </w:tc>
        <w:tc>
          <w:tcPr>
            <w:tcW w:w="1164" w:type="dxa"/>
            <w:tcBorders>
              <w:top w:val="nil"/>
              <w:left w:val="nil"/>
              <w:bottom w:val="nil"/>
              <w:right w:val="nil"/>
            </w:tcBorders>
            <w:shd w:val="clear" w:color="auto" w:fill="auto"/>
            <w:tcMar>
              <w:left w:w="57" w:type="dxa"/>
              <w:right w:w="57" w:type="dxa"/>
            </w:tcMar>
            <w:vAlign w:val="center"/>
          </w:tcPr>
          <w:p w14:paraId="126CF020" w14:textId="4E547BB2" w:rsidR="009A1A17" w:rsidRPr="00FB38E1" w:rsidRDefault="009A1A17" w:rsidP="009A1A1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1178" w:type="dxa"/>
            <w:tcBorders>
              <w:top w:val="nil"/>
              <w:left w:val="nil"/>
              <w:bottom w:val="nil"/>
              <w:right w:val="nil"/>
            </w:tcBorders>
            <w:shd w:val="clear" w:color="auto" w:fill="auto"/>
            <w:tcMar>
              <w:left w:w="57" w:type="dxa"/>
              <w:right w:w="57" w:type="dxa"/>
            </w:tcMar>
            <w:vAlign w:val="center"/>
          </w:tcPr>
          <w:p w14:paraId="7844BADD" w14:textId="7D35487E" w:rsidR="009A1A17" w:rsidRPr="00FB38E1" w:rsidRDefault="009A1A17" w:rsidP="009A1A1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90.031.754</w:t>
            </w:r>
          </w:p>
        </w:tc>
        <w:tc>
          <w:tcPr>
            <w:tcW w:w="1124" w:type="dxa"/>
            <w:tcBorders>
              <w:top w:val="nil"/>
              <w:left w:val="nil"/>
              <w:bottom w:val="nil"/>
              <w:right w:val="nil"/>
            </w:tcBorders>
            <w:shd w:val="clear" w:color="auto" w:fill="auto"/>
            <w:tcMar>
              <w:left w:w="57" w:type="dxa"/>
              <w:right w:w="57" w:type="dxa"/>
            </w:tcMar>
            <w:vAlign w:val="center"/>
          </w:tcPr>
          <w:p w14:paraId="7FC195CF" w14:textId="0F5B3FDD" w:rsidR="009A1A17" w:rsidRPr="00FB38E1" w:rsidRDefault="009A1A17" w:rsidP="009A1A1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1.430.265</w:t>
            </w:r>
          </w:p>
        </w:tc>
      </w:tr>
      <w:tr w:rsidR="009A1A17" w:rsidRPr="00FB38E1" w14:paraId="4CA83CF2" w14:textId="77777777" w:rsidTr="00836EF2">
        <w:tc>
          <w:tcPr>
            <w:tcW w:w="395" w:type="dxa"/>
            <w:tcBorders>
              <w:top w:val="nil"/>
              <w:bottom w:val="nil"/>
            </w:tcBorders>
          </w:tcPr>
          <w:p w14:paraId="688F06E3" w14:textId="77777777" w:rsidR="009A1A17" w:rsidRPr="00FB38E1" w:rsidRDefault="009A1A17" w:rsidP="009A1A17">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3454" w:type="dxa"/>
            <w:tcBorders>
              <w:top w:val="nil"/>
              <w:bottom w:val="nil"/>
            </w:tcBorders>
            <w:tcMar>
              <w:left w:w="57" w:type="dxa"/>
              <w:right w:w="57" w:type="dxa"/>
            </w:tcMar>
            <w:vAlign w:val="bottom"/>
          </w:tcPr>
          <w:p w14:paraId="5208179E" w14:textId="77777777" w:rsidR="009A1A17" w:rsidRPr="00FB38E1" w:rsidRDefault="009A1A17" w:rsidP="009A1A17">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Finansal tablolardaki yükümlülüklerin TMS uyarınca değerlenmiş tutarları</w:t>
            </w:r>
          </w:p>
        </w:tc>
        <w:tc>
          <w:tcPr>
            <w:tcW w:w="1139" w:type="dxa"/>
            <w:tcBorders>
              <w:top w:val="nil"/>
              <w:left w:val="nil"/>
              <w:bottom w:val="nil"/>
              <w:right w:val="nil"/>
            </w:tcBorders>
            <w:shd w:val="clear" w:color="auto" w:fill="auto"/>
            <w:tcMar>
              <w:left w:w="57" w:type="dxa"/>
              <w:right w:w="57" w:type="dxa"/>
            </w:tcMar>
            <w:vAlign w:val="center"/>
          </w:tcPr>
          <w:p w14:paraId="1B7EEA7B" w14:textId="33BD6B3C"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34.817.578</w:t>
            </w:r>
          </w:p>
        </w:tc>
        <w:tc>
          <w:tcPr>
            <w:tcW w:w="1241" w:type="dxa"/>
            <w:tcBorders>
              <w:top w:val="nil"/>
              <w:left w:val="nil"/>
              <w:bottom w:val="nil"/>
              <w:right w:val="nil"/>
            </w:tcBorders>
            <w:shd w:val="clear" w:color="auto" w:fill="auto"/>
            <w:vAlign w:val="center"/>
          </w:tcPr>
          <w:p w14:paraId="6EF6419B" w14:textId="7CAADD67"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64" w:type="dxa"/>
            <w:tcBorders>
              <w:top w:val="nil"/>
              <w:left w:val="nil"/>
              <w:bottom w:val="nil"/>
              <w:right w:val="nil"/>
            </w:tcBorders>
            <w:shd w:val="clear" w:color="auto" w:fill="auto"/>
            <w:tcMar>
              <w:left w:w="57" w:type="dxa"/>
              <w:right w:w="57" w:type="dxa"/>
            </w:tcMar>
            <w:vAlign w:val="center"/>
          </w:tcPr>
          <w:p w14:paraId="783FB7BD" w14:textId="13EAE40D"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78" w:type="dxa"/>
            <w:tcBorders>
              <w:top w:val="nil"/>
              <w:left w:val="nil"/>
              <w:bottom w:val="nil"/>
              <w:right w:val="nil"/>
            </w:tcBorders>
            <w:shd w:val="clear" w:color="auto" w:fill="auto"/>
            <w:tcMar>
              <w:left w:w="57" w:type="dxa"/>
              <w:right w:w="57" w:type="dxa"/>
            </w:tcMar>
            <w:vAlign w:val="center"/>
          </w:tcPr>
          <w:p w14:paraId="3F78C52C" w14:textId="46D71C2C"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34.817.578</w:t>
            </w:r>
          </w:p>
        </w:tc>
        <w:tc>
          <w:tcPr>
            <w:tcW w:w="1124" w:type="dxa"/>
            <w:tcBorders>
              <w:top w:val="nil"/>
              <w:left w:val="nil"/>
              <w:bottom w:val="nil"/>
              <w:right w:val="nil"/>
            </w:tcBorders>
            <w:shd w:val="clear" w:color="auto" w:fill="auto"/>
            <w:tcMar>
              <w:left w:w="57" w:type="dxa"/>
              <w:right w:w="57" w:type="dxa"/>
            </w:tcMar>
            <w:vAlign w:val="center"/>
          </w:tcPr>
          <w:p w14:paraId="1730F809" w14:textId="26909975"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A1A17" w:rsidRPr="00FB38E1" w14:paraId="2E08D09D" w14:textId="77777777" w:rsidTr="00836EF2">
        <w:trPr>
          <w:trHeight w:val="57"/>
        </w:trPr>
        <w:tc>
          <w:tcPr>
            <w:tcW w:w="395" w:type="dxa"/>
            <w:tcBorders>
              <w:top w:val="nil"/>
              <w:bottom w:val="nil"/>
            </w:tcBorders>
          </w:tcPr>
          <w:p w14:paraId="6D36FB49" w14:textId="77777777" w:rsidR="009A1A17" w:rsidRPr="00FB38E1" w:rsidRDefault="009A1A17" w:rsidP="009A1A17">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3</w:t>
            </w:r>
          </w:p>
        </w:tc>
        <w:tc>
          <w:tcPr>
            <w:tcW w:w="3454" w:type="dxa"/>
            <w:tcBorders>
              <w:top w:val="nil"/>
              <w:bottom w:val="nil"/>
            </w:tcBorders>
            <w:tcMar>
              <w:left w:w="57" w:type="dxa"/>
              <w:right w:w="57" w:type="dxa"/>
            </w:tcMar>
            <w:vAlign w:val="bottom"/>
          </w:tcPr>
          <w:p w14:paraId="71530485" w14:textId="77777777" w:rsidR="009A1A17" w:rsidRPr="00FB38E1" w:rsidRDefault="009A1A17" w:rsidP="009A1A17">
            <w:pPr>
              <w:jc w:val="lef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Toplam net tutar</w:t>
            </w:r>
          </w:p>
        </w:tc>
        <w:tc>
          <w:tcPr>
            <w:tcW w:w="1139" w:type="dxa"/>
            <w:tcBorders>
              <w:top w:val="nil"/>
              <w:left w:val="nil"/>
              <w:bottom w:val="nil"/>
              <w:right w:val="nil"/>
            </w:tcBorders>
            <w:shd w:val="clear" w:color="auto" w:fill="auto"/>
            <w:tcMar>
              <w:left w:w="57" w:type="dxa"/>
              <w:right w:w="57" w:type="dxa"/>
            </w:tcMar>
            <w:vAlign w:val="center"/>
          </w:tcPr>
          <w:p w14:paraId="18E15CD4" w14:textId="21F9D885"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1.355.080.362</w:t>
            </w:r>
          </w:p>
        </w:tc>
        <w:tc>
          <w:tcPr>
            <w:tcW w:w="1241" w:type="dxa"/>
            <w:tcBorders>
              <w:top w:val="nil"/>
              <w:left w:val="nil"/>
              <w:bottom w:val="nil"/>
              <w:right w:val="nil"/>
            </w:tcBorders>
            <w:shd w:val="clear" w:color="auto" w:fill="auto"/>
            <w:vAlign w:val="center"/>
          </w:tcPr>
          <w:p w14:paraId="18B2E3E5" w14:textId="1BB8C271"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1.298.435.921</w:t>
            </w:r>
          </w:p>
        </w:tc>
        <w:tc>
          <w:tcPr>
            <w:tcW w:w="1164" w:type="dxa"/>
            <w:tcBorders>
              <w:top w:val="nil"/>
              <w:left w:val="nil"/>
              <w:bottom w:val="nil"/>
              <w:right w:val="nil"/>
            </w:tcBorders>
            <w:shd w:val="clear" w:color="auto" w:fill="auto"/>
            <w:tcMar>
              <w:left w:w="57" w:type="dxa"/>
              <w:right w:w="57" w:type="dxa"/>
            </w:tcMar>
            <w:vAlign w:val="center"/>
          </w:tcPr>
          <w:p w14:paraId="21DD887B" w14:textId="45018FCB"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w:t>
            </w:r>
          </w:p>
        </w:tc>
        <w:tc>
          <w:tcPr>
            <w:tcW w:w="1178" w:type="dxa"/>
            <w:tcBorders>
              <w:top w:val="nil"/>
              <w:left w:val="nil"/>
              <w:bottom w:val="nil"/>
              <w:right w:val="nil"/>
            </w:tcBorders>
            <w:shd w:val="clear" w:color="auto" w:fill="auto"/>
            <w:tcMar>
              <w:left w:w="57" w:type="dxa"/>
              <w:right w:w="57" w:type="dxa"/>
            </w:tcMar>
            <w:vAlign w:val="center"/>
          </w:tcPr>
          <w:p w14:paraId="4AC9AAAE" w14:textId="6975E03A"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55.214.176</w:t>
            </w:r>
          </w:p>
        </w:tc>
        <w:tc>
          <w:tcPr>
            <w:tcW w:w="1124" w:type="dxa"/>
            <w:tcBorders>
              <w:top w:val="nil"/>
              <w:left w:val="nil"/>
              <w:bottom w:val="nil"/>
              <w:right w:val="nil"/>
            </w:tcBorders>
            <w:shd w:val="clear" w:color="auto" w:fill="auto"/>
            <w:tcMar>
              <w:left w:w="57" w:type="dxa"/>
              <w:right w:w="57" w:type="dxa"/>
            </w:tcMar>
            <w:vAlign w:val="center"/>
          </w:tcPr>
          <w:p w14:paraId="35A5A071" w14:textId="1A238A88"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1.430.265</w:t>
            </w:r>
          </w:p>
        </w:tc>
      </w:tr>
      <w:tr w:rsidR="009A1A17" w:rsidRPr="00FB38E1" w14:paraId="23D6C552" w14:textId="77777777" w:rsidTr="00836EF2">
        <w:tc>
          <w:tcPr>
            <w:tcW w:w="395" w:type="dxa"/>
            <w:tcBorders>
              <w:top w:val="nil"/>
              <w:bottom w:val="nil"/>
            </w:tcBorders>
          </w:tcPr>
          <w:p w14:paraId="2337EE67" w14:textId="77777777" w:rsidR="009A1A17" w:rsidRPr="00FB38E1" w:rsidRDefault="009A1A17" w:rsidP="009A1A17">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w:t>
            </w:r>
          </w:p>
        </w:tc>
        <w:tc>
          <w:tcPr>
            <w:tcW w:w="3454" w:type="dxa"/>
            <w:tcBorders>
              <w:top w:val="nil"/>
              <w:bottom w:val="nil"/>
            </w:tcBorders>
            <w:tcMar>
              <w:left w:w="57" w:type="dxa"/>
              <w:right w:w="57" w:type="dxa"/>
            </w:tcMar>
            <w:vAlign w:val="bottom"/>
          </w:tcPr>
          <w:p w14:paraId="33C1B751" w14:textId="77777777" w:rsidR="009A1A17" w:rsidRPr="00FB38E1" w:rsidRDefault="009A1A17" w:rsidP="009A1A17">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Bilanço dışı tutarlar (**)</w:t>
            </w:r>
          </w:p>
        </w:tc>
        <w:tc>
          <w:tcPr>
            <w:tcW w:w="1139" w:type="dxa"/>
            <w:tcBorders>
              <w:top w:val="nil"/>
              <w:left w:val="nil"/>
              <w:bottom w:val="nil"/>
              <w:right w:val="nil"/>
            </w:tcBorders>
            <w:shd w:val="clear" w:color="auto" w:fill="auto"/>
            <w:tcMar>
              <w:left w:w="57" w:type="dxa"/>
              <w:right w:w="57" w:type="dxa"/>
            </w:tcMar>
            <w:vAlign w:val="center"/>
          </w:tcPr>
          <w:p w14:paraId="29A2665C" w14:textId="1B21C92D"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711.025.871</w:t>
            </w:r>
          </w:p>
        </w:tc>
        <w:tc>
          <w:tcPr>
            <w:tcW w:w="1241" w:type="dxa"/>
            <w:tcBorders>
              <w:top w:val="nil"/>
              <w:left w:val="nil"/>
              <w:bottom w:val="nil"/>
              <w:right w:val="nil"/>
            </w:tcBorders>
            <w:shd w:val="clear" w:color="auto" w:fill="auto"/>
            <w:vAlign w:val="center"/>
          </w:tcPr>
          <w:p w14:paraId="563D9948" w14:textId="0D4F8767"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124.681.337</w:t>
            </w:r>
          </w:p>
        </w:tc>
        <w:tc>
          <w:tcPr>
            <w:tcW w:w="1164" w:type="dxa"/>
            <w:tcBorders>
              <w:top w:val="nil"/>
              <w:left w:val="nil"/>
              <w:bottom w:val="nil"/>
              <w:right w:val="nil"/>
            </w:tcBorders>
            <w:shd w:val="clear" w:color="auto" w:fill="auto"/>
            <w:tcMar>
              <w:left w:w="57" w:type="dxa"/>
              <w:right w:w="57" w:type="dxa"/>
            </w:tcMar>
            <w:vAlign w:val="center"/>
          </w:tcPr>
          <w:p w14:paraId="142E5266" w14:textId="029592A1"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78" w:type="dxa"/>
            <w:tcBorders>
              <w:top w:val="nil"/>
              <w:left w:val="nil"/>
              <w:bottom w:val="nil"/>
              <w:right w:val="nil"/>
            </w:tcBorders>
            <w:shd w:val="clear" w:color="auto" w:fill="auto"/>
            <w:tcMar>
              <w:left w:w="57" w:type="dxa"/>
              <w:right w:w="57" w:type="dxa"/>
            </w:tcMar>
            <w:vAlign w:val="center"/>
          </w:tcPr>
          <w:p w14:paraId="501BD477" w14:textId="5082E563"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24" w:type="dxa"/>
            <w:tcBorders>
              <w:top w:val="nil"/>
              <w:left w:val="nil"/>
              <w:bottom w:val="nil"/>
              <w:right w:val="nil"/>
            </w:tcBorders>
            <w:shd w:val="clear" w:color="auto" w:fill="auto"/>
            <w:tcMar>
              <w:left w:w="57" w:type="dxa"/>
              <w:right w:w="57" w:type="dxa"/>
            </w:tcMar>
            <w:vAlign w:val="center"/>
          </w:tcPr>
          <w:p w14:paraId="56B2C906" w14:textId="474716C6"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A1A17" w:rsidRPr="00FB38E1" w14:paraId="21636F68" w14:textId="77777777" w:rsidTr="00836EF2">
        <w:tc>
          <w:tcPr>
            <w:tcW w:w="395" w:type="dxa"/>
            <w:tcBorders>
              <w:top w:val="nil"/>
              <w:bottom w:val="nil"/>
            </w:tcBorders>
          </w:tcPr>
          <w:p w14:paraId="015CA1FA" w14:textId="77777777" w:rsidR="009A1A17" w:rsidRPr="00FB38E1" w:rsidRDefault="009A1A17" w:rsidP="009A1A17">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5</w:t>
            </w:r>
          </w:p>
        </w:tc>
        <w:tc>
          <w:tcPr>
            <w:tcW w:w="3454" w:type="dxa"/>
            <w:tcBorders>
              <w:top w:val="nil"/>
              <w:bottom w:val="nil"/>
            </w:tcBorders>
            <w:tcMar>
              <w:left w:w="57" w:type="dxa"/>
              <w:right w:w="57" w:type="dxa"/>
            </w:tcMar>
            <w:vAlign w:val="bottom"/>
          </w:tcPr>
          <w:p w14:paraId="59BE965C" w14:textId="77777777" w:rsidR="009A1A17" w:rsidRPr="00FB38E1" w:rsidRDefault="009A1A17" w:rsidP="009A1A17">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Değerleme farkları</w:t>
            </w:r>
          </w:p>
        </w:tc>
        <w:tc>
          <w:tcPr>
            <w:tcW w:w="1139" w:type="dxa"/>
            <w:tcBorders>
              <w:top w:val="nil"/>
              <w:left w:val="nil"/>
              <w:bottom w:val="nil"/>
              <w:right w:val="nil"/>
            </w:tcBorders>
            <w:shd w:val="clear" w:color="auto" w:fill="FFFFFF" w:themeFill="background1"/>
            <w:tcMar>
              <w:left w:w="57" w:type="dxa"/>
              <w:right w:w="57" w:type="dxa"/>
            </w:tcMar>
            <w:vAlign w:val="center"/>
          </w:tcPr>
          <w:p w14:paraId="7F9B3D82" w14:textId="232CE7FA"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019393B9" w14:textId="0E735E1A"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64" w:type="dxa"/>
            <w:tcBorders>
              <w:top w:val="nil"/>
              <w:left w:val="nil"/>
              <w:bottom w:val="nil"/>
              <w:right w:val="nil"/>
            </w:tcBorders>
            <w:shd w:val="clear" w:color="auto" w:fill="auto"/>
            <w:tcMar>
              <w:left w:w="57" w:type="dxa"/>
              <w:right w:w="57" w:type="dxa"/>
            </w:tcMar>
            <w:vAlign w:val="center"/>
          </w:tcPr>
          <w:p w14:paraId="1596DE7A" w14:textId="0D2F9C01"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78" w:type="dxa"/>
            <w:tcBorders>
              <w:top w:val="nil"/>
              <w:left w:val="nil"/>
              <w:bottom w:val="nil"/>
              <w:right w:val="nil"/>
            </w:tcBorders>
            <w:shd w:val="clear" w:color="auto" w:fill="auto"/>
            <w:tcMar>
              <w:left w:w="57" w:type="dxa"/>
              <w:right w:w="57" w:type="dxa"/>
            </w:tcMar>
            <w:vAlign w:val="center"/>
          </w:tcPr>
          <w:p w14:paraId="57E19FA0" w14:textId="3E4D3BBD"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24" w:type="dxa"/>
            <w:tcBorders>
              <w:top w:val="nil"/>
              <w:left w:val="nil"/>
              <w:bottom w:val="nil"/>
              <w:right w:val="nil"/>
            </w:tcBorders>
            <w:shd w:val="clear" w:color="auto" w:fill="auto"/>
            <w:tcMar>
              <w:left w:w="57" w:type="dxa"/>
              <w:right w:w="57" w:type="dxa"/>
            </w:tcMar>
            <w:vAlign w:val="center"/>
          </w:tcPr>
          <w:p w14:paraId="05B59009" w14:textId="0B05C135"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A1A17" w:rsidRPr="00FB38E1" w14:paraId="66584A04" w14:textId="77777777" w:rsidTr="00836EF2">
        <w:tc>
          <w:tcPr>
            <w:tcW w:w="395" w:type="dxa"/>
            <w:tcBorders>
              <w:top w:val="nil"/>
              <w:bottom w:val="nil"/>
            </w:tcBorders>
          </w:tcPr>
          <w:p w14:paraId="7EB59CDA" w14:textId="77777777" w:rsidR="009A1A17" w:rsidRPr="00FB38E1" w:rsidRDefault="009A1A17" w:rsidP="009A1A17">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6</w:t>
            </w:r>
          </w:p>
        </w:tc>
        <w:tc>
          <w:tcPr>
            <w:tcW w:w="3454" w:type="dxa"/>
            <w:tcBorders>
              <w:top w:val="nil"/>
              <w:bottom w:val="nil"/>
            </w:tcBorders>
            <w:tcMar>
              <w:left w:w="57" w:type="dxa"/>
              <w:right w:w="57" w:type="dxa"/>
            </w:tcMar>
            <w:vAlign w:val="bottom"/>
          </w:tcPr>
          <w:p w14:paraId="184F609E" w14:textId="77777777" w:rsidR="009A1A17" w:rsidRPr="00FB38E1" w:rsidRDefault="009A1A17" w:rsidP="009A1A17">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Farklı netleştirme kurallarından kaynaklanan farklar (satır 2’ye konulanlar dışındaki)</w:t>
            </w:r>
          </w:p>
        </w:tc>
        <w:tc>
          <w:tcPr>
            <w:tcW w:w="1139" w:type="dxa"/>
            <w:tcBorders>
              <w:top w:val="nil"/>
              <w:left w:val="nil"/>
              <w:bottom w:val="nil"/>
              <w:right w:val="nil"/>
            </w:tcBorders>
            <w:shd w:val="clear" w:color="auto" w:fill="FFFFFF" w:themeFill="background1"/>
            <w:tcMar>
              <w:left w:w="57" w:type="dxa"/>
              <w:right w:w="57" w:type="dxa"/>
            </w:tcMar>
            <w:vAlign w:val="center"/>
          </w:tcPr>
          <w:p w14:paraId="383A45F8" w14:textId="6A3B1AFF"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2E9B1A41" w14:textId="05C72467"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64" w:type="dxa"/>
            <w:tcBorders>
              <w:top w:val="nil"/>
              <w:left w:val="nil"/>
              <w:bottom w:val="nil"/>
              <w:right w:val="nil"/>
            </w:tcBorders>
            <w:shd w:val="clear" w:color="auto" w:fill="auto"/>
            <w:tcMar>
              <w:left w:w="57" w:type="dxa"/>
              <w:right w:w="57" w:type="dxa"/>
            </w:tcMar>
            <w:vAlign w:val="center"/>
          </w:tcPr>
          <w:p w14:paraId="0F4AFD51" w14:textId="0F092258"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78" w:type="dxa"/>
            <w:tcBorders>
              <w:top w:val="nil"/>
              <w:left w:val="nil"/>
              <w:bottom w:val="nil"/>
              <w:right w:val="nil"/>
            </w:tcBorders>
            <w:shd w:val="clear" w:color="auto" w:fill="auto"/>
            <w:tcMar>
              <w:left w:w="57" w:type="dxa"/>
              <w:right w:w="57" w:type="dxa"/>
            </w:tcMar>
            <w:vAlign w:val="center"/>
          </w:tcPr>
          <w:p w14:paraId="4AE4CDC3" w14:textId="392625ED"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24" w:type="dxa"/>
            <w:tcBorders>
              <w:top w:val="nil"/>
              <w:left w:val="nil"/>
              <w:bottom w:val="nil"/>
              <w:right w:val="nil"/>
            </w:tcBorders>
            <w:shd w:val="clear" w:color="auto" w:fill="auto"/>
            <w:tcMar>
              <w:left w:w="57" w:type="dxa"/>
              <w:right w:w="57" w:type="dxa"/>
            </w:tcMar>
            <w:vAlign w:val="center"/>
          </w:tcPr>
          <w:p w14:paraId="46B69AAA" w14:textId="4CA6A0EE"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A1A17" w:rsidRPr="00FB38E1" w14:paraId="1CE197B9" w14:textId="77777777" w:rsidTr="00836EF2">
        <w:tc>
          <w:tcPr>
            <w:tcW w:w="395" w:type="dxa"/>
            <w:tcBorders>
              <w:top w:val="nil"/>
              <w:bottom w:val="nil"/>
            </w:tcBorders>
          </w:tcPr>
          <w:p w14:paraId="641C689F" w14:textId="77777777" w:rsidR="009A1A17" w:rsidRPr="00FB38E1" w:rsidRDefault="009A1A17" w:rsidP="009A1A17">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7</w:t>
            </w:r>
          </w:p>
        </w:tc>
        <w:tc>
          <w:tcPr>
            <w:tcW w:w="3454" w:type="dxa"/>
            <w:tcBorders>
              <w:top w:val="nil"/>
              <w:bottom w:val="nil"/>
            </w:tcBorders>
            <w:tcMar>
              <w:left w:w="57" w:type="dxa"/>
              <w:right w:w="57" w:type="dxa"/>
            </w:tcMar>
            <w:vAlign w:val="bottom"/>
          </w:tcPr>
          <w:p w14:paraId="30E68E8E" w14:textId="77777777" w:rsidR="009A1A17" w:rsidRPr="00FB38E1" w:rsidRDefault="009A1A17" w:rsidP="009A1A17">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Karşılıkların dikkate alınmasından kaynaklanan farklar</w:t>
            </w:r>
          </w:p>
        </w:tc>
        <w:tc>
          <w:tcPr>
            <w:tcW w:w="1139" w:type="dxa"/>
            <w:tcBorders>
              <w:top w:val="nil"/>
              <w:left w:val="nil"/>
              <w:bottom w:val="nil"/>
              <w:right w:val="nil"/>
            </w:tcBorders>
            <w:shd w:val="clear" w:color="auto" w:fill="FFFFFF" w:themeFill="background1"/>
            <w:tcMar>
              <w:left w:w="57" w:type="dxa"/>
              <w:right w:w="57" w:type="dxa"/>
            </w:tcMar>
            <w:vAlign w:val="center"/>
          </w:tcPr>
          <w:p w14:paraId="17F79B8E" w14:textId="4094C30B"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11175262" w14:textId="1CA49AB1"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64" w:type="dxa"/>
            <w:tcBorders>
              <w:top w:val="nil"/>
              <w:left w:val="nil"/>
              <w:bottom w:val="nil"/>
              <w:right w:val="nil"/>
            </w:tcBorders>
            <w:shd w:val="clear" w:color="auto" w:fill="auto"/>
            <w:tcMar>
              <w:left w:w="57" w:type="dxa"/>
              <w:right w:w="57" w:type="dxa"/>
            </w:tcMar>
            <w:vAlign w:val="center"/>
          </w:tcPr>
          <w:p w14:paraId="46C02B21" w14:textId="361F6853"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78" w:type="dxa"/>
            <w:tcBorders>
              <w:top w:val="nil"/>
              <w:left w:val="nil"/>
              <w:bottom w:val="nil"/>
              <w:right w:val="nil"/>
            </w:tcBorders>
            <w:shd w:val="clear" w:color="auto" w:fill="auto"/>
            <w:tcMar>
              <w:left w:w="57" w:type="dxa"/>
              <w:right w:w="57" w:type="dxa"/>
            </w:tcMar>
            <w:vAlign w:val="center"/>
          </w:tcPr>
          <w:p w14:paraId="55436D4D" w14:textId="79DA1841"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24" w:type="dxa"/>
            <w:tcBorders>
              <w:top w:val="nil"/>
              <w:left w:val="nil"/>
              <w:bottom w:val="nil"/>
              <w:right w:val="nil"/>
            </w:tcBorders>
            <w:shd w:val="clear" w:color="auto" w:fill="auto"/>
            <w:tcMar>
              <w:left w:w="57" w:type="dxa"/>
              <w:right w:w="57" w:type="dxa"/>
            </w:tcMar>
            <w:vAlign w:val="center"/>
          </w:tcPr>
          <w:p w14:paraId="16C4F46C" w14:textId="68DF36C7"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A1A17" w:rsidRPr="00FB38E1" w14:paraId="5B2FD0FE" w14:textId="77777777" w:rsidTr="00836EF2">
        <w:tc>
          <w:tcPr>
            <w:tcW w:w="395" w:type="dxa"/>
            <w:tcBorders>
              <w:top w:val="nil"/>
              <w:bottom w:val="nil"/>
            </w:tcBorders>
          </w:tcPr>
          <w:p w14:paraId="1586486F" w14:textId="77777777" w:rsidR="009A1A17" w:rsidRPr="00FB38E1" w:rsidRDefault="009A1A17" w:rsidP="009A1A17">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8</w:t>
            </w:r>
          </w:p>
        </w:tc>
        <w:tc>
          <w:tcPr>
            <w:tcW w:w="3454" w:type="dxa"/>
            <w:tcBorders>
              <w:top w:val="nil"/>
              <w:bottom w:val="nil"/>
            </w:tcBorders>
            <w:tcMar>
              <w:left w:w="57" w:type="dxa"/>
              <w:right w:w="57" w:type="dxa"/>
            </w:tcMar>
            <w:vAlign w:val="bottom"/>
          </w:tcPr>
          <w:p w14:paraId="5B9594F4" w14:textId="77777777" w:rsidR="009A1A17" w:rsidRPr="00FB38E1" w:rsidRDefault="009A1A17" w:rsidP="009A1A17">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Kurumun uygulamalarından kaynaklanan farklar</w:t>
            </w:r>
          </w:p>
        </w:tc>
        <w:tc>
          <w:tcPr>
            <w:tcW w:w="1139" w:type="dxa"/>
            <w:tcBorders>
              <w:top w:val="nil"/>
              <w:left w:val="nil"/>
              <w:bottom w:val="nil"/>
              <w:right w:val="nil"/>
            </w:tcBorders>
            <w:shd w:val="clear" w:color="auto" w:fill="FFFFFF" w:themeFill="background1"/>
            <w:tcMar>
              <w:left w:w="57" w:type="dxa"/>
              <w:right w:w="57" w:type="dxa"/>
            </w:tcMar>
            <w:vAlign w:val="center"/>
          </w:tcPr>
          <w:p w14:paraId="14802B30" w14:textId="3C6D5E30"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14057C0C" w14:textId="3A5DC3F6"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64" w:type="dxa"/>
            <w:tcBorders>
              <w:top w:val="nil"/>
              <w:left w:val="nil"/>
              <w:bottom w:val="nil"/>
              <w:right w:val="nil"/>
            </w:tcBorders>
            <w:shd w:val="clear" w:color="auto" w:fill="auto"/>
            <w:tcMar>
              <w:left w:w="57" w:type="dxa"/>
              <w:right w:w="57" w:type="dxa"/>
            </w:tcMar>
            <w:vAlign w:val="center"/>
          </w:tcPr>
          <w:p w14:paraId="3174A743" w14:textId="65CC8578"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78" w:type="dxa"/>
            <w:tcBorders>
              <w:top w:val="nil"/>
              <w:left w:val="nil"/>
              <w:bottom w:val="nil"/>
              <w:right w:val="nil"/>
            </w:tcBorders>
            <w:shd w:val="clear" w:color="auto" w:fill="auto"/>
            <w:tcMar>
              <w:left w:w="57" w:type="dxa"/>
              <w:right w:w="57" w:type="dxa"/>
            </w:tcMar>
            <w:vAlign w:val="center"/>
          </w:tcPr>
          <w:p w14:paraId="63417314" w14:textId="320D06F8"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24" w:type="dxa"/>
            <w:tcBorders>
              <w:top w:val="nil"/>
              <w:left w:val="nil"/>
              <w:bottom w:val="nil"/>
              <w:right w:val="nil"/>
            </w:tcBorders>
            <w:shd w:val="clear" w:color="auto" w:fill="auto"/>
            <w:tcMar>
              <w:left w:w="57" w:type="dxa"/>
              <w:right w:w="57" w:type="dxa"/>
            </w:tcMar>
            <w:vAlign w:val="center"/>
          </w:tcPr>
          <w:p w14:paraId="60E8B9E1" w14:textId="49CF0E04"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22.298.326</w:t>
            </w:r>
          </w:p>
        </w:tc>
      </w:tr>
      <w:tr w:rsidR="009A1A17" w:rsidRPr="00FB38E1" w14:paraId="46884D67" w14:textId="77777777" w:rsidTr="00836EF2">
        <w:tc>
          <w:tcPr>
            <w:tcW w:w="395" w:type="dxa"/>
            <w:tcBorders>
              <w:top w:val="nil"/>
              <w:bottom w:val="nil"/>
            </w:tcBorders>
          </w:tcPr>
          <w:p w14:paraId="54717B76" w14:textId="77777777" w:rsidR="009A1A17" w:rsidRPr="00FB38E1" w:rsidRDefault="009A1A17" w:rsidP="009A1A17">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9</w:t>
            </w:r>
          </w:p>
        </w:tc>
        <w:tc>
          <w:tcPr>
            <w:tcW w:w="3454" w:type="dxa"/>
            <w:tcBorders>
              <w:top w:val="nil"/>
              <w:bottom w:val="nil"/>
            </w:tcBorders>
            <w:tcMar>
              <w:left w:w="57" w:type="dxa"/>
              <w:right w:w="57" w:type="dxa"/>
            </w:tcMar>
            <w:vAlign w:val="bottom"/>
          </w:tcPr>
          <w:p w14:paraId="209A39E2" w14:textId="77777777" w:rsidR="009A1A17" w:rsidRPr="00FB38E1" w:rsidRDefault="009A1A17" w:rsidP="009A1A17">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Finansal teminatların dikkate alınmasından kaynaklanan farklar</w:t>
            </w:r>
          </w:p>
        </w:tc>
        <w:tc>
          <w:tcPr>
            <w:tcW w:w="1139" w:type="dxa"/>
            <w:tcBorders>
              <w:top w:val="nil"/>
              <w:left w:val="nil"/>
              <w:bottom w:val="nil"/>
              <w:right w:val="nil"/>
            </w:tcBorders>
            <w:shd w:val="clear" w:color="auto" w:fill="FFFFFF" w:themeFill="background1"/>
            <w:tcMar>
              <w:left w:w="57" w:type="dxa"/>
              <w:right w:w="57" w:type="dxa"/>
            </w:tcMar>
            <w:vAlign w:val="center"/>
          </w:tcPr>
          <w:p w14:paraId="57AB48AD" w14:textId="32E8FD6B"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610FE9D1" w14:textId="78DF0558"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(26.058.012)</w:t>
            </w:r>
          </w:p>
        </w:tc>
        <w:tc>
          <w:tcPr>
            <w:tcW w:w="1164" w:type="dxa"/>
            <w:tcBorders>
              <w:top w:val="nil"/>
              <w:left w:val="nil"/>
              <w:bottom w:val="nil"/>
              <w:right w:val="nil"/>
            </w:tcBorders>
            <w:shd w:val="clear" w:color="auto" w:fill="auto"/>
            <w:tcMar>
              <w:left w:w="57" w:type="dxa"/>
              <w:right w:w="57" w:type="dxa"/>
            </w:tcMar>
            <w:vAlign w:val="center"/>
          </w:tcPr>
          <w:p w14:paraId="3A89D004" w14:textId="1D8E9D3C"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78" w:type="dxa"/>
            <w:tcBorders>
              <w:top w:val="nil"/>
              <w:left w:val="nil"/>
              <w:bottom w:val="nil"/>
              <w:right w:val="nil"/>
            </w:tcBorders>
            <w:shd w:val="clear" w:color="auto" w:fill="auto"/>
            <w:tcMar>
              <w:left w:w="57" w:type="dxa"/>
              <w:right w:w="57" w:type="dxa"/>
            </w:tcMar>
            <w:vAlign w:val="center"/>
          </w:tcPr>
          <w:p w14:paraId="53FE022B" w14:textId="51148811"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24" w:type="dxa"/>
            <w:tcBorders>
              <w:top w:val="nil"/>
              <w:left w:val="nil"/>
              <w:bottom w:val="nil"/>
              <w:right w:val="nil"/>
            </w:tcBorders>
            <w:shd w:val="clear" w:color="auto" w:fill="auto"/>
            <w:tcMar>
              <w:left w:w="57" w:type="dxa"/>
              <w:right w:w="57" w:type="dxa"/>
            </w:tcMar>
            <w:vAlign w:val="center"/>
          </w:tcPr>
          <w:p w14:paraId="52A607DB" w14:textId="05D9CF65" w:rsidR="009A1A17" w:rsidRPr="00FB38E1" w:rsidRDefault="009A1A17" w:rsidP="009A1A1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A1A17" w:rsidRPr="00FB38E1" w14:paraId="32789E82" w14:textId="77777777" w:rsidTr="00836EF2">
        <w:tc>
          <w:tcPr>
            <w:tcW w:w="395" w:type="dxa"/>
            <w:tcBorders>
              <w:top w:val="nil"/>
              <w:bottom w:val="thickThinSmallGap" w:sz="24" w:space="0" w:color="auto"/>
            </w:tcBorders>
          </w:tcPr>
          <w:p w14:paraId="760E3105" w14:textId="77777777" w:rsidR="009A1A17" w:rsidRPr="00FB38E1" w:rsidRDefault="009A1A17" w:rsidP="009A1A17">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10</w:t>
            </w:r>
          </w:p>
        </w:tc>
        <w:tc>
          <w:tcPr>
            <w:tcW w:w="3454" w:type="dxa"/>
            <w:tcBorders>
              <w:top w:val="nil"/>
              <w:bottom w:val="thickThinSmallGap" w:sz="24" w:space="0" w:color="auto"/>
            </w:tcBorders>
            <w:tcMar>
              <w:left w:w="57" w:type="dxa"/>
              <w:right w:w="57" w:type="dxa"/>
            </w:tcMar>
            <w:vAlign w:val="bottom"/>
          </w:tcPr>
          <w:p w14:paraId="197B8D65" w14:textId="77777777" w:rsidR="009A1A17" w:rsidRPr="00FB38E1" w:rsidRDefault="009A1A17" w:rsidP="009A1A17">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Risk tutarları</w:t>
            </w:r>
          </w:p>
        </w:tc>
        <w:tc>
          <w:tcPr>
            <w:tcW w:w="1139" w:type="dxa"/>
            <w:tcBorders>
              <w:top w:val="nil"/>
              <w:bottom w:val="thickThinSmallGap" w:sz="24" w:space="0" w:color="auto"/>
            </w:tcBorders>
            <w:tcMar>
              <w:left w:w="57" w:type="dxa"/>
              <w:right w:w="57" w:type="dxa"/>
            </w:tcMar>
            <w:vAlign w:val="center"/>
          </w:tcPr>
          <w:p w14:paraId="33EC29D8" w14:textId="6C4C0DFB"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2.066.106.233</w:t>
            </w:r>
          </w:p>
        </w:tc>
        <w:tc>
          <w:tcPr>
            <w:tcW w:w="1241" w:type="dxa"/>
            <w:tcBorders>
              <w:top w:val="nil"/>
              <w:bottom w:val="thickThinSmallGap" w:sz="24" w:space="0" w:color="auto"/>
            </w:tcBorders>
            <w:vAlign w:val="center"/>
          </w:tcPr>
          <w:p w14:paraId="060E0842" w14:textId="5E783897"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1.397.059.246</w:t>
            </w:r>
          </w:p>
        </w:tc>
        <w:tc>
          <w:tcPr>
            <w:tcW w:w="1164" w:type="dxa"/>
            <w:tcBorders>
              <w:top w:val="nil"/>
              <w:bottom w:val="thickThinSmallGap" w:sz="24" w:space="0" w:color="auto"/>
            </w:tcBorders>
            <w:tcMar>
              <w:left w:w="57" w:type="dxa"/>
              <w:right w:w="57" w:type="dxa"/>
            </w:tcMar>
            <w:vAlign w:val="center"/>
          </w:tcPr>
          <w:p w14:paraId="635F75B6" w14:textId="75CAEFD1"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w:t>
            </w:r>
          </w:p>
        </w:tc>
        <w:tc>
          <w:tcPr>
            <w:tcW w:w="1178" w:type="dxa"/>
            <w:tcBorders>
              <w:top w:val="nil"/>
              <w:bottom w:val="thickThinSmallGap" w:sz="24" w:space="0" w:color="auto"/>
            </w:tcBorders>
            <w:tcMar>
              <w:left w:w="57" w:type="dxa"/>
              <w:right w:w="57" w:type="dxa"/>
            </w:tcMar>
            <w:vAlign w:val="center"/>
          </w:tcPr>
          <w:p w14:paraId="6033A7A0" w14:textId="2E6251D6"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55.214.176</w:t>
            </w:r>
          </w:p>
        </w:tc>
        <w:tc>
          <w:tcPr>
            <w:tcW w:w="1124" w:type="dxa"/>
            <w:tcBorders>
              <w:top w:val="nil"/>
              <w:bottom w:val="thickThinSmallGap" w:sz="24" w:space="0" w:color="auto"/>
            </w:tcBorders>
            <w:tcMar>
              <w:left w:w="57" w:type="dxa"/>
              <w:right w:w="57" w:type="dxa"/>
            </w:tcMar>
            <w:vAlign w:val="center"/>
          </w:tcPr>
          <w:p w14:paraId="38B27D2B" w14:textId="14A5C5B1" w:rsidR="009A1A17" w:rsidRPr="00FB38E1" w:rsidRDefault="009A1A17" w:rsidP="009A1A17">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23.728.591</w:t>
            </w:r>
          </w:p>
        </w:tc>
      </w:tr>
    </w:tbl>
    <w:p w14:paraId="5865AA6E" w14:textId="77777777" w:rsidR="00E036D3" w:rsidRPr="00FB38E1" w:rsidRDefault="00E036D3" w:rsidP="00E036D3">
      <w:pPr>
        <w:widowControl w:val="0"/>
        <w:spacing w:before="120" w:after="0"/>
        <w:rPr>
          <w:rFonts w:ascii="Microsoft Sans Serif" w:eastAsia="Times New Roman" w:hAnsi="Microsoft Sans Serif" w:cs="Microsoft Sans Serif"/>
          <w:bCs/>
          <w:color w:val="404040" w:themeColor="text1" w:themeTint="BF"/>
          <w:sz w:val="14"/>
          <w:szCs w:val="14"/>
          <w:lang w:eastAsia="tr-TR"/>
        </w:rPr>
      </w:pPr>
      <w:r w:rsidRPr="00FB38E1">
        <w:rPr>
          <w:rFonts w:ascii="Microsoft Sans Serif" w:eastAsia="Times New Roman" w:hAnsi="Microsoft Sans Serif" w:cs="Microsoft Sans Serif"/>
          <w:color w:val="404040" w:themeColor="text1" w:themeTint="BF"/>
          <w:sz w:val="14"/>
          <w:szCs w:val="14"/>
          <w:lang w:eastAsia="tr-TR"/>
        </w:rPr>
        <w:t xml:space="preserve">(*) Risk tutarları satırında “Bankaların Sermaye Yeterliliğinin Ölçülmesine ve Değerlendirilmesine İlişkin Yönetmelik”e göre alım satım hesaplarında yer alan finansal araçlar ve kur riski için hesaplanmış sermaye yükümlülüğünden kaynaklı piyasa </w:t>
      </w:r>
      <w:r w:rsidRPr="00FB38E1">
        <w:rPr>
          <w:rFonts w:ascii="Microsoft Sans Serif" w:eastAsia="Times New Roman" w:hAnsi="Microsoft Sans Serif" w:cs="Microsoft Sans Serif"/>
          <w:bCs/>
          <w:color w:val="404040" w:themeColor="text1" w:themeTint="BF"/>
          <w:sz w:val="14"/>
          <w:szCs w:val="14"/>
          <w:lang w:eastAsia="tr-TR"/>
        </w:rPr>
        <w:t>riskine esas tutara yer verilmiştir.</w:t>
      </w:r>
    </w:p>
    <w:p w14:paraId="4F48298F" w14:textId="77777777" w:rsidR="00E036D3" w:rsidRPr="00FB38E1" w:rsidRDefault="00E036D3" w:rsidP="00E036D3">
      <w:pPr>
        <w:widowControl w:val="0"/>
        <w:spacing w:after="0"/>
        <w:rPr>
          <w:rFonts w:ascii="Microsoft Sans Serif" w:eastAsia="Times New Roman" w:hAnsi="Microsoft Sans Serif" w:cs="Microsoft Sans Serif"/>
          <w:bCs/>
          <w:color w:val="404040" w:themeColor="text1" w:themeTint="BF"/>
          <w:sz w:val="14"/>
          <w:szCs w:val="14"/>
          <w:lang w:eastAsia="tr-TR"/>
        </w:rPr>
      </w:pPr>
      <w:r w:rsidRPr="00FB38E1">
        <w:rPr>
          <w:rFonts w:ascii="Microsoft Sans Serif" w:eastAsia="Times New Roman" w:hAnsi="Microsoft Sans Serif" w:cs="Microsoft Sans Serif"/>
          <w:bCs/>
          <w:color w:val="404040" w:themeColor="text1" w:themeTint="BF"/>
          <w:sz w:val="14"/>
          <w:szCs w:val="14"/>
          <w:lang w:eastAsia="tr-TR"/>
        </w:rPr>
        <w:t>(**) Kredi riski hesaplamasına konu olan riskleri içermektedir.</w:t>
      </w:r>
    </w:p>
    <w:p w14:paraId="1E6F267F" w14:textId="77777777" w:rsidR="00E036D3" w:rsidRPr="00FB38E1" w:rsidRDefault="00E036D3" w:rsidP="00E036D3">
      <w:pPr>
        <w:widowControl w:val="0"/>
        <w:spacing w:before="120" w:after="0"/>
        <w:rPr>
          <w:rFonts w:ascii="Microsoft Sans Serif" w:eastAsia="Times New Roman" w:hAnsi="Microsoft Sans Serif" w:cs="Microsoft Sans Serif"/>
          <w:bCs/>
          <w:color w:val="404040" w:themeColor="text1" w:themeTint="BF"/>
          <w:sz w:val="16"/>
          <w:szCs w:val="16"/>
          <w:lang w:eastAsia="tr-TR"/>
        </w:rPr>
      </w:pPr>
      <w:r w:rsidRPr="00FB38E1">
        <w:rPr>
          <w:rFonts w:ascii="Microsoft Sans Serif" w:eastAsia="Times New Roman" w:hAnsi="Microsoft Sans Serif" w:cs="Microsoft Sans Serif"/>
          <w:bCs/>
          <w:color w:val="404040" w:themeColor="text1" w:themeTint="BF"/>
          <w:sz w:val="16"/>
          <w:szCs w:val="16"/>
          <w:lang w:eastAsia="tr-TR"/>
        </w:rPr>
        <w:br w:type="page"/>
      </w:r>
    </w:p>
    <w:tbl>
      <w:tblPr>
        <w:tblStyle w:val="TableGrid2"/>
        <w:tblW w:w="9695"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95"/>
        <w:gridCol w:w="3575"/>
        <w:gridCol w:w="1139"/>
        <w:gridCol w:w="1241"/>
        <w:gridCol w:w="1158"/>
        <w:gridCol w:w="1114"/>
        <w:gridCol w:w="1073"/>
      </w:tblGrid>
      <w:tr w:rsidR="00E036D3" w:rsidRPr="00FB38E1" w14:paraId="460BCC3A" w14:textId="77777777" w:rsidTr="0058602B">
        <w:tc>
          <w:tcPr>
            <w:tcW w:w="395" w:type="dxa"/>
            <w:tcBorders>
              <w:bottom w:val="nil"/>
            </w:tcBorders>
          </w:tcPr>
          <w:p w14:paraId="29249DEB" w14:textId="77777777" w:rsidR="00E036D3" w:rsidRPr="00FB38E1" w:rsidRDefault="00E036D3" w:rsidP="00836EF2">
            <w:pPr>
              <w:rPr>
                <w:rFonts w:ascii="Microsoft Sans Serif" w:hAnsi="Microsoft Sans Serif" w:cs="Microsoft Sans Serif"/>
                <w:b/>
                <w:sz w:val="16"/>
                <w:szCs w:val="16"/>
              </w:rPr>
            </w:pPr>
          </w:p>
        </w:tc>
        <w:tc>
          <w:tcPr>
            <w:tcW w:w="3575" w:type="dxa"/>
            <w:tcBorders>
              <w:bottom w:val="nil"/>
            </w:tcBorders>
            <w:tcMar>
              <w:left w:w="57" w:type="dxa"/>
              <w:right w:w="57" w:type="dxa"/>
            </w:tcMar>
          </w:tcPr>
          <w:p w14:paraId="7CCB1AA8" w14:textId="77777777" w:rsidR="00E036D3" w:rsidRPr="00FB38E1" w:rsidRDefault="00E036D3" w:rsidP="00836EF2">
            <w:pPr>
              <w:rPr>
                <w:rFonts w:ascii="Microsoft Sans Serif" w:hAnsi="Microsoft Sans Serif" w:cs="Microsoft Sans Serif"/>
                <w:b/>
                <w:sz w:val="16"/>
                <w:szCs w:val="16"/>
              </w:rPr>
            </w:pPr>
          </w:p>
        </w:tc>
        <w:tc>
          <w:tcPr>
            <w:tcW w:w="1139" w:type="dxa"/>
            <w:tcBorders>
              <w:top w:val="thinThickSmallGap" w:sz="24" w:space="0" w:color="auto"/>
              <w:bottom w:val="nil"/>
            </w:tcBorders>
            <w:tcMar>
              <w:left w:w="57" w:type="dxa"/>
              <w:right w:w="57" w:type="dxa"/>
            </w:tcMar>
            <w:vAlign w:val="bottom"/>
          </w:tcPr>
          <w:p w14:paraId="16CA9A84"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1241" w:type="dxa"/>
            <w:tcBorders>
              <w:top w:val="thinThickSmallGap" w:sz="24" w:space="0" w:color="auto"/>
              <w:bottom w:val="nil"/>
            </w:tcBorders>
          </w:tcPr>
          <w:p w14:paraId="75967A9D"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c>
          <w:tcPr>
            <w:tcW w:w="1158" w:type="dxa"/>
            <w:tcBorders>
              <w:top w:val="thinThickSmallGap" w:sz="24" w:space="0" w:color="auto"/>
              <w:bottom w:val="nil"/>
            </w:tcBorders>
            <w:tcMar>
              <w:left w:w="57" w:type="dxa"/>
              <w:right w:w="57" w:type="dxa"/>
            </w:tcMar>
            <w:vAlign w:val="bottom"/>
          </w:tcPr>
          <w:p w14:paraId="28EACFE0"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c</w:t>
            </w:r>
          </w:p>
        </w:tc>
        <w:tc>
          <w:tcPr>
            <w:tcW w:w="1114" w:type="dxa"/>
            <w:tcBorders>
              <w:top w:val="thinThickSmallGap" w:sz="24" w:space="0" w:color="auto"/>
              <w:bottom w:val="nil"/>
            </w:tcBorders>
            <w:tcMar>
              <w:left w:w="57" w:type="dxa"/>
              <w:right w:w="57" w:type="dxa"/>
            </w:tcMar>
            <w:vAlign w:val="bottom"/>
          </w:tcPr>
          <w:p w14:paraId="53357B26"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w:t>
            </w:r>
          </w:p>
        </w:tc>
        <w:tc>
          <w:tcPr>
            <w:tcW w:w="1073" w:type="dxa"/>
            <w:tcBorders>
              <w:top w:val="thinThickSmallGap" w:sz="24" w:space="0" w:color="auto"/>
              <w:bottom w:val="nil"/>
            </w:tcBorders>
            <w:tcMar>
              <w:left w:w="57" w:type="dxa"/>
              <w:right w:w="57" w:type="dxa"/>
            </w:tcMar>
            <w:vAlign w:val="bottom"/>
          </w:tcPr>
          <w:p w14:paraId="45C2322D"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e</w:t>
            </w:r>
          </w:p>
        </w:tc>
      </w:tr>
      <w:tr w:rsidR="00E036D3" w:rsidRPr="00FB38E1" w14:paraId="7DE4FDB8" w14:textId="77777777" w:rsidTr="0058602B">
        <w:tc>
          <w:tcPr>
            <w:tcW w:w="395" w:type="dxa"/>
            <w:tcBorders>
              <w:top w:val="nil"/>
              <w:bottom w:val="single" w:sz="4" w:space="0" w:color="auto"/>
            </w:tcBorders>
          </w:tcPr>
          <w:p w14:paraId="4DA6ABC7" w14:textId="77777777" w:rsidR="00E036D3" w:rsidRPr="00FB38E1" w:rsidRDefault="00E036D3" w:rsidP="00836EF2">
            <w:pPr>
              <w:rPr>
                <w:rFonts w:ascii="Microsoft Sans Serif" w:hAnsi="Microsoft Sans Serif" w:cs="Microsoft Sans Serif"/>
                <w:b/>
                <w:color w:val="404040" w:themeColor="text1" w:themeTint="BF"/>
                <w:sz w:val="16"/>
                <w:szCs w:val="16"/>
              </w:rPr>
            </w:pPr>
          </w:p>
        </w:tc>
        <w:tc>
          <w:tcPr>
            <w:tcW w:w="3575" w:type="dxa"/>
            <w:tcBorders>
              <w:top w:val="nil"/>
              <w:bottom w:val="single" w:sz="4" w:space="0" w:color="auto"/>
            </w:tcBorders>
            <w:tcMar>
              <w:left w:w="57" w:type="dxa"/>
              <w:right w:w="57" w:type="dxa"/>
            </w:tcMar>
            <w:vAlign w:val="center"/>
          </w:tcPr>
          <w:p w14:paraId="0E18E1EA" w14:textId="77777777" w:rsidR="00E036D3" w:rsidRPr="00FB38E1" w:rsidRDefault="00E036D3" w:rsidP="00836EF2">
            <w:pPr>
              <w:jc w:val="lef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Önceki Dönem</w:t>
            </w:r>
          </w:p>
        </w:tc>
        <w:tc>
          <w:tcPr>
            <w:tcW w:w="1139" w:type="dxa"/>
            <w:tcBorders>
              <w:top w:val="nil"/>
              <w:bottom w:val="single" w:sz="4" w:space="0" w:color="auto"/>
            </w:tcBorders>
            <w:tcMar>
              <w:left w:w="57" w:type="dxa"/>
              <w:right w:w="57" w:type="dxa"/>
            </w:tcMar>
            <w:vAlign w:val="bottom"/>
          </w:tcPr>
          <w:p w14:paraId="6B9F81B5"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1241" w:type="dxa"/>
            <w:tcBorders>
              <w:top w:val="nil"/>
              <w:bottom w:val="single" w:sz="4" w:space="0" w:color="auto"/>
            </w:tcBorders>
            <w:vAlign w:val="bottom"/>
          </w:tcPr>
          <w:p w14:paraId="613FE354"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Kredi riskine tabi</w:t>
            </w:r>
          </w:p>
        </w:tc>
        <w:tc>
          <w:tcPr>
            <w:tcW w:w="1158" w:type="dxa"/>
            <w:tcBorders>
              <w:top w:val="nil"/>
              <w:bottom w:val="single" w:sz="4" w:space="0" w:color="auto"/>
            </w:tcBorders>
            <w:tcMar>
              <w:left w:w="57" w:type="dxa"/>
              <w:right w:w="57" w:type="dxa"/>
            </w:tcMar>
            <w:vAlign w:val="bottom"/>
          </w:tcPr>
          <w:p w14:paraId="6B0100FA"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Menkul kıymetleştirme pozisyonları</w:t>
            </w:r>
          </w:p>
        </w:tc>
        <w:tc>
          <w:tcPr>
            <w:tcW w:w="1114" w:type="dxa"/>
            <w:tcBorders>
              <w:top w:val="nil"/>
              <w:bottom w:val="single" w:sz="4" w:space="0" w:color="auto"/>
            </w:tcBorders>
            <w:tcMar>
              <w:left w:w="57" w:type="dxa"/>
              <w:right w:w="57" w:type="dxa"/>
            </w:tcMar>
            <w:vAlign w:val="bottom"/>
          </w:tcPr>
          <w:p w14:paraId="208F7381"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Karşı taraf kredi riskine tabi</w:t>
            </w:r>
          </w:p>
        </w:tc>
        <w:tc>
          <w:tcPr>
            <w:tcW w:w="1073" w:type="dxa"/>
            <w:tcBorders>
              <w:top w:val="nil"/>
              <w:bottom w:val="single" w:sz="4" w:space="0" w:color="auto"/>
            </w:tcBorders>
            <w:tcMar>
              <w:left w:w="57" w:type="dxa"/>
              <w:right w:w="57" w:type="dxa"/>
            </w:tcMar>
            <w:vAlign w:val="bottom"/>
          </w:tcPr>
          <w:p w14:paraId="3A4ED8EE"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Piyasa riskine tabi (*)</w:t>
            </w:r>
          </w:p>
        </w:tc>
      </w:tr>
      <w:tr w:rsidR="00E036D3" w:rsidRPr="00FB38E1" w14:paraId="26FF471C" w14:textId="77777777" w:rsidTr="0058602B">
        <w:tc>
          <w:tcPr>
            <w:tcW w:w="395" w:type="dxa"/>
            <w:tcBorders>
              <w:top w:val="single" w:sz="4" w:space="0" w:color="auto"/>
              <w:bottom w:val="nil"/>
            </w:tcBorders>
          </w:tcPr>
          <w:p w14:paraId="54E68530" w14:textId="77777777" w:rsidR="00E036D3" w:rsidRPr="00FB38E1" w:rsidRDefault="00E036D3" w:rsidP="00E036D3">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1</w:t>
            </w:r>
          </w:p>
        </w:tc>
        <w:tc>
          <w:tcPr>
            <w:tcW w:w="3575" w:type="dxa"/>
            <w:tcBorders>
              <w:top w:val="single" w:sz="4" w:space="0" w:color="auto"/>
              <w:bottom w:val="nil"/>
            </w:tcBorders>
            <w:tcMar>
              <w:left w:w="57" w:type="dxa"/>
              <w:right w:w="57" w:type="dxa"/>
            </w:tcMar>
            <w:vAlign w:val="bottom"/>
          </w:tcPr>
          <w:p w14:paraId="2A905A54" w14:textId="77777777" w:rsidR="00E036D3" w:rsidRPr="00FB38E1" w:rsidRDefault="00E036D3" w:rsidP="0004668E">
            <w:pPr>
              <w:jc w:val="lef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Finansal tablolardaki varlıkların TMS uyarınca değerlenmiş tutarları</w:t>
            </w:r>
          </w:p>
        </w:tc>
        <w:tc>
          <w:tcPr>
            <w:tcW w:w="1139" w:type="dxa"/>
            <w:tcBorders>
              <w:top w:val="nil"/>
              <w:left w:val="nil"/>
              <w:bottom w:val="nil"/>
              <w:right w:val="nil"/>
            </w:tcBorders>
            <w:shd w:val="clear" w:color="auto" w:fill="auto"/>
            <w:tcMar>
              <w:left w:w="57" w:type="dxa"/>
              <w:right w:w="57" w:type="dxa"/>
            </w:tcMar>
            <w:vAlign w:val="center"/>
          </w:tcPr>
          <w:p w14:paraId="7EE624D3" w14:textId="57087221" w:rsidR="00E036D3" w:rsidRPr="00FB38E1" w:rsidRDefault="00E036D3" w:rsidP="00E036D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1.028.231.720</w:t>
            </w:r>
          </w:p>
        </w:tc>
        <w:tc>
          <w:tcPr>
            <w:tcW w:w="1241" w:type="dxa"/>
            <w:tcBorders>
              <w:top w:val="nil"/>
              <w:left w:val="nil"/>
              <w:bottom w:val="nil"/>
              <w:right w:val="nil"/>
            </w:tcBorders>
            <w:shd w:val="clear" w:color="auto" w:fill="auto"/>
            <w:vAlign w:val="center"/>
          </w:tcPr>
          <w:p w14:paraId="5E1FAA76" w14:textId="34C4955C" w:rsidR="00E036D3" w:rsidRPr="00FB38E1" w:rsidRDefault="00E036D3" w:rsidP="00E036D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963.654.451</w:t>
            </w:r>
          </w:p>
        </w:tc>
        <w:tc>
          <w:tcPr>
            <w:tcW w:w="1158" w:type="dxa"/>
            <w:tcBorders>
              <w:top w:val="nil"/>
              <w:left w:val="nil"/>
              <w:bottom w:val="nil"/>
              <w:right w:val="nil"/>
            </w:tcBorders>
            <w:shd w:val="clear" w:color="auto" w:fill="auto"/>
            <w:tcMar>
              <w:left w:w="57" w:type="dxa"/>
              <w:right w:w="57" w:type="dxa"/>
            </w:tcMar>
            <w:vAlign w:val="center"/>
          </w:tcPr>
          <w:p w14:paraId="7FDB5BC9" w14:textId="23A08C65" w:rsidR="00E036D3" w:rsidRPr="00FB38E1" w:rsidRDefault="00E036D3" w:rsidP="00E036D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1114" w:type="dxa"/>
            <w:tcBorders>
              <w:top w:val="nil"/>
              <w:left w:val="nil"/>
              <w:bottom w:val="nil"/>
              <w:right w:val="nil"/>
            </w:tcBorders>
            <w:shd w:val="clear" w:color="auto" w:fill="auto"/>
            <w:tcMar>
              <w:left w:w="57" w:type="dxa"/>
              <w:right w:w="57" w:type="dxa"/>
            </w:tcMar>
            <w:vAlign w:val="center"/>
          </w:tcPr>
          <w:p w14:paraId="1D5D35F1" w14:textId="0A46EE55" w:rsidR="00E036D3" w:rsidRPr="00FB38E1" w:rsidRDefault="00E036D3" w:rsidP="00E036D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60.288.167</w:t>
            </w:r>
          </w:p>
        </w:tc>
        <w:tc>
          <w:tcPr>
            <w:tcW w:w="1073" w:type="dxa"/>
            <w:tcBorders>
              <w:top w:val="nil"/>
              <w:left w:val="nil"/>
              <w:bottom w:val="nil"/>
              <w:right w:val="nil"/>
            </w:tcBorders>
            <w:shd w:val="clear" w:color="auto" w:fill="auto"/>
            <w:tcMar>
              <w:left w:w="57" w:type="dxa"/>
              <w:right w:w="57" w:type="dxa"/>
            </w:tcMar>
            <w:vAlign w:val="center"/>
          </w:tcPr>
          <w:p w14:paraId="1BEB2536" w14:textId="3A7ECCD2" w:rsidR="00E036D3" w:rsidRPr="00FB38E1" w:rsidRDefault="00E036D3" w:rsidP="00E036D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4.289.102</w:t>
            </w:r>
          </w:p>
        </w:tc>
      </w:tr>
      <w:tr w:rsidR="00E036D3" w:rsidRPr="00FB38E1" w14:paraId="18F3C3CD" w14:textId="77777777" w:rsidTr="0058602B">
        <w:tc>
          <w:tcPr>
            <w:tcW w:w="395" w:type="dxa"/>
            <w:tcBorders>
              <w:top w:val="nil"/>
              <w:bottom w:val="nil"/>
            </w:tcBorders>
          </w:tcPr>
          <w:p w14:paraId="2A57C362"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3575" w:type="dxa"/>
            <w:tcBorders>
              <w:top w:val="nil"/>
              <w:bottom w:val="nil"/>
            </w:tcBorders>
            <w:tcMar>
              <w:left w:w="57" w:type="dxa"/>
              <w:right w:w="57" w:type="dxa"/>
            </w:tcMar>
            <w:vAlign w:val="bottom"/>
          </w:tcPr>
          <w:p w14:paraId="03EF41A6" w14:textId="77777777" w:rsidR="00E036D3" w:rsidRPr="00FB38E1" w:rsidRDefault="00E036D3" w:rsidP="0004668E">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Finansal tablolardaki yükümlülüklerin TMS uyarınca değerlenmiş tutarları</w:t>
            </w:r>
          </w:p>
        </w:tc>
        <w:tc>
          <w:tcPr>
            <w:tcW w:w="1139" w:type="dxa"/>
            <w:tcBorders>
              <w:top w:val="nil"/>
              <w:left w:val="nil"/>
              <w:bottom w:val="nil"/>
              <w:right w:val="nil"/>
            </w:tcBorders>
            <w:shd w:val="clear" w:color="auto" w:fill="auto"/>
            <w:tcMar>
              <w:left w:w="57" w:type="dxa"/>
              <w:right w:w="57" w:type="dxa"/>
            </w:tcMar>
            <w:vAlign w:val="center"/>
          </w:tcPr>
          <w:p w14:paraId="0CB635E1" w14:textId="48DE6390"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51.974.449</w:t>
            </w:r>
          </w:p>
        </w:tc>
        <w:tc>
          <w:tcPr>
            <w:tcW w:w="1241" w:type="dxa"/>
            <w:tcBorders>
              <w:top w:val="nil"/>
              <w:left w:val="nil"/>
              <w:bottom w:val="nil"/>
              <w:right w:val="nil"/>
            </w:tcBorders>
            <w:shd w:val="clear" w:color="auto" w:fill="auto"/>
            <w:vAlign w:val="center"/>
          </w:tcPr>
          <w:p w14:paraId="453DB189" w14:textId="546AA88C"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58" w:type="dxa"/>
            <w:tcBorders>
              <w:top w:val="nil"/>
              <w:left w:val="nil"/>
              <w:bottom w:val="nil"/>
              <w:right w:val="nil"/>
            </w:tcBorders>
            <w:shd w:val="clear" w:color="auto" w:fill="auto"/>
            <w:tcMar>
              <w:left w:w="57" w:type="dxa"/>
              <w:right w:w="57" w:type="dxa"/>
            </w:tcMar>
            <w:vAlign w:val="center"/>
          </w:tcPr>
          <w:p w14:paraId="6AD0A278" w14:textId="5BD777DE"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14" w:type="dxa"/>
            <w:tcBorders>
              <w:top w:val="nil"/>
              <w:left w:val="nil"/>
              <w:bottom w:val="nil"/>
              <w:right w:val="nil"/>
            </w:tcBorders>
            <w:shd w:val="clear" w:color="auto" w:fill="auto"/>
            <w:tcMar>
              <w:left w:w="57" w:type="dxa"/>
              <w:right w:w="57" w:type="dxa"/>
            </w:tcMar>
            <w:vAlign w:val="center"/>
          </w:tcPr>
          <w:p w14:paraId="60F5BD4B" w14:textId="4D728A07"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51.974.449</w:t>
            </w:r>
          </w:p>
        </w:tc>
        <w:tc>
          <w:tcPr>
            <w:tcW w:w="1073" w:type="dxa"/>
            <w:tcBorders>
              <w:top w:val="nil"/>
              <w:left w:val="nil"/>
              <w:bottom w:val="nil"/>
              <w:right w:val="nil"/>
            </w:tcBorders>
            <w:shd w:val="clear" w:color="auto" w:fill="auto"/>
            <w:tcMar>
              <w:left w:w="57" w:type="dxa"/>
              <w:right w:w="57" w:type="dxa"/>
            </w:tcMar>
            <w:vAlign w:val="center"/>
          </w:tcPr>
          <w:p w14:paraId="4E6BCF12" w14:textId="5427E8C1"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036D3" w:rsidRPr="00FB38E1" w14:paraId="3492C5DF" w14:textId="77777777" w:rsidTr="0058602B">
        <w:trPr>
          <w:trHeight w:val="57"/>
        </w:trPr>
        <w:tc>
          <w:tcPr>
            <w:tcW w:w="395" w:type="dxa"/>
            <w:tcBorders>
              <w:top w:val="nil"/>
              <w:bottom w:val="nil"/>
            </w:tcBorders>
          </w:tcPr>
          <w:p w14:paraId="5AAB5647" w14:textId="77777777" w:rsidR="00E036D3" w:rsidRPr="00FB38E1" w:rsidRDefault="00E036D3" w:rsidP="00E036D3">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3</w:t>
            </w:r>
          </w:p>
        </w:tc>
        <w:tc>
          <w:tcPr>
            <w:tcW w:w="3575" w:type="dxa"/>
            <w:tcBorders>
              <w:top w:val="nil"/>
              <w:bottom w:val="nil"/>
            </w:tcBorders>
            <w:tcMar>
              <w:left w:w="57" w:type="dxa"/>
              <w:right w:w="57" w:type="dxa"/>
            </w:tcMar>
            <w:vAlign w:val="bottom"/>
          </w:tcPr>
          <w:p w14:paraId="7A19D494" w14:textId="77777777" w:rsidR="00E036D3" w:rsidRPr="00FB38E1" w:rsidRDefault="00E036D3" w:rsidP="0004668E">
            <w:pPr>
              <w:jc w:val="lef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Toplam net tutar</w:t>
            </w:r>
          </w:p>
        </w:tc>
        <w:tc>
          <w:tcPr>
            <w:tcW w:w="1139" w:type="dxa"/>
            <w:tcBorders>
              <w:top w:val="nil"/>
              <w:left w:val="nil"/>
              <w:bottom w:val="nil"/>
              <w:right w:val="nil"/>
            </w:tcBorders>
            <w:shd w:val="clear" w:color="auto" w:fill="auto"/>
            <w:tcMar>
              <w:left w:w="57" w:type="dxa"/>
              <w:right w:w="57" w:type="dxa"/>
            </w:tcMar>
            <w:vAlign w:val="center"/>
          </w:tcPr>
          <w:p w14:paraId="4BFD3C75" w14:textId="516F3653"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976.257.271</w:t>
            </w:r>
          </w:p>
        </w:tc>
        <w:tc>
          <w:tcPr>
            <w:tcW w:w="1241" w:type="dxa"/>
            <w:tcBorders>
              <w:top w:val="nil"/>
              <w:left w:val="nil"/>
              <w:bottom w:val="nil"/>
              <w:right w:val="nil"/>
            </w:tcBorders>
            <w:shd w:val="clear" w:color="auto" w:fill="auto"/>
            <w:vAlign w:val="center"/>
          </w:tcPr>
          <w:p w14:paraId="4D0536BC" w14:textId="0AEEBB5C"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963.654.451</w:t>
            </w:r>
          </w:p>
        </w:tc>
        <w:tc>
          <w:tcPr>
            <w:tcW w:w="1158" w:type="dxa"/>
            <w:tcBorders>
              <w:top w:val="nil"/>
              <w:left w:val="nil"/>
              <w:bottom w:val="nil"/>
              <w:right w:val="nil"/>
            </w:tcBorders>
            <w:shd w:val="clear" w:color="auto" w:fill="auto"/>
            <w:tcMar>
              <w:left w:w="57" w:type="dxa"/>
              <w:right w:w="57" w:type="dxa"/>
            </w:tcMar>
            <w:vAlign w:val="center"/>
          </w:tcPr>
          <w:p w14:paraId="5C11A928" w14:textId="3EE3CF23"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w:t>
            </w:r>
          </w:p>
        </w:tc>
        <w:tc>
          <w:tcPr>
            <w:tcW w:w="1114" w:type="dxa"/>
            <w:tcBorders>
              <w:top w:val="nil"/>
              <w:left w:val="nil"/>
              <w:bottom w:val="nil"/>
              <w:right w:val="nil"/>
            </w:tcBorders>
            <w:shd w:val="clear" w:color="auto" w:fill="auto"/>
            <w:tcMar>
              <w:left w:w="57" w:type="dxa"/>
              <w:right w:w="57" w:type="dxa"/>
            </w:tcMar>
            <w:vAlign w:val="center"/>
          </w:tcPr>
          <w:p w14:paraId="2C933BB9" w14:textId="22CFCE6E"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8.313.718</w:t>
            </w:r>
          </w:p>
        </w:tc>
        <w:tc>
          <w:tcPr>
            <w:tcW w:w="1073" w:type="dxa"/>
            <w:tcBorders>
              <w:top w:val="nil"/>
              <w:left w:val="nil"/>
              <w:bottom w:val="nil"/>
              <w:right w:val="nil"/>
            </w:tcBorders>
            <w:shd w:val="clear" w:color="auto" w:fill="auto"/>
            <w:tcMar>
              <w:left w:w="57" w:type="dxa"/>
              <w:right w:w="57" w:type="dxa"/>
            </w:tcMar>
            <w:vAlign w:val="center"/>
          </w:tcPr>
          <w:p w14:paraId="2766FA08" w14:textId="40AD74C9"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404040"/>
                <w:sz w:val="16"/>
                <w:szCs w:val="16"/>
              </w:rPr>
              <w:t>4.289.102</w:t>
            </w:r>
          </w:p>
        </w:tc>
      </w:tr>
      <w:tr w:rsidR="00E036D3" w:rsidRPr="00FB38E1" w14:paraId="324E17F1" w14:textId="77777777" w:rsidTr="0058602B">
        <w:tc>
          <w:tcPr>
            <w:tcW w:w="395" w:type="dxa"/>
            <w:tcBorders>
              <w:top w:val="nil"/>
              <w:bottom w:val="nil"/>
            </w:tcBorders>
          </w:tcPr>
          <w:p w14:paraId="7DBDC1FE"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w:t>
            </w:r>
          </w:p>
        </w:tc>
        <w:tc>
          <w:tcPr>
            <w:tcW w:w="3575" w:type="dxa"/>
            <w:tcBorders>
              <w:top w:val="nil"/>
              <w:bottom w:val="nil"/>
            </w:tcBorders>
            <w:tcMar>
              <w:left w:w="57" w:type="dxa"/>
              <w:right w:w="57" w:type="dxa"/>
            </w:tcMar>
            <w:vAlign w:val="bottom"/>
          </w:tcPr>
          <w:p w14:paraId="73C82023" w14:textId="77777777" w:rsidR="00E036D3" w:rsidRPr="00FB38E1" w:rsidRDefault="00E036D3" w:rsidP="0004668E">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Bilanço dışı tutarlar (**)</w:t>
            </w:r>
          </w:p>
        </w:tc>
        <w:tc>
          <w:tcPr>
            <w:tcW w:w="1139" w:type="dxa"/>
            <w:tcBorders>
              <w:top w:val="nil"/>
              <w:left w:val="nil"/>
              <w:bottom w:val="nil"/>
              <w:right w:val="nil"/>
            </w:tcBorders>
            <w:shd w:val="clear" w:color="auto" w:fill="auto"/>
            <w:tcMar>
              <w:left w:w="57" w:type="dxa"/>
              <w:right w:w="57" w:type="dxa"/>
            </w:tcMar>
            <w:vAlign w:val="center"/>
          </w:tcPr>
          <w:p w14:paraId="5F85CA16" w14:textId="3B740C5B"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525.338.499</w:t>
            </w:r>
          </w:p>
        </w:tc>
        <w:tc>
          <w:tcPr>
            <w:tcW w:w="1241" w:type="dxa"/>
            <w:tcBorders>
              <w:top w:val="nil"/>
              <w:left w:val="nil"/>
              <w:bottom w:val="nil"/>
              <w:right w:val="nil"/>
            </w:tcBorders>
            <w:shd w:val="clear" w:color="auto" w:fill="auto"/>
            <w:vAlign w:val="center"/>
          </w:tcPr>
          <w:p w14:paraId="2AA69312" w14:textId="30948836"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84.171.171</w:t>
            </w:r>
          </w:p>
        </w:tc>
        <w:tc>
          <w:tcPr>
            <w:tcW w:w="1158" w:type="dxa"/>
            <w:tcBorders>
              <w:top w:val="nil"/>
              <w:left w:val="nil"/>
              <w:bottom w:val="nil"/>
              <w:right w:val="nil"/>
            </w:tcBorders>
            <w:shd w:val="clear" w:color="auto" w:fill="auto"/>
            <w:tcMar>
              <w:left w:w="57" w:type="dxa"/>
              <w:right w:w="57" w:type="dxa"/>
            </w:tcMar>
            <w:vAlign w:val="center"/>
          </w:tcPr>
          <w:p w14:paraId="5364F4A7" w14:textId="51503D24"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14" w:type="dxa"/>
            <w:tcBorders>
              <w:top w:val="nil"/>
              <w:left w:val="nil"/>
              <w:bottom w:val="nil"/>
              <w:right w:val="nil"/>
            </w:tcBorders>
            <w:shd w:val="clear" w:color="auto" w:fill="auto"/>
            <w:tcMar>
              <w:left w:w="57" w:type="dxa"/>
              <w:right w:w="57" w:type="dxa"/>
            </w:tcMar>
            <w:vAlign w:val="center"/>
          </w:tcPr>
          <w:p w14:paraId="630A7FB6" w14:textId="41718CFD"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73" w:type="dxa"/>
            <w:tcBorders>
              <w:top w:val="nil"/>
              <w:left w:val="nil"/>
              <w:bottom w:val="nil"/>
              <w:right w:val="nil"/>
            </w:tcBorders>
            <w:shd w:val="clear" w:color="auto" w:fill="auto"/>
            <w:tcMar>
              <w:left w:w="57" w:type="dxa"/>
              <w:right w:w="57" w:type="dxa"/>
            </w:tcMar>
            <w:vAlign w:val="center"/>
          </w:tcPr>
          <w:p w14:paraId="24D2492D" w14:textId="2D74786D"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036D3" w:rsidRPr="00FB38E1" w14:paraId="0E7B0CAC" w14:textId="77777777" w:rsidTr="0058602B">
        <w:tc>
          <w:tcPr>
            <w:tcW w:w="395" w:type="dxa"/>
            <w:tcBorders>
              <w:top w:val="nil"/>
              <w:bottom w:val="nil"/>
            </w:tcBorders>
          </w:tcPr>
          <w:p w14:paraId="78F95529"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5</w:t>
            </w:r>
          </w:p>
        </w:tc>
        <w:tc>
          <w:tcPr>
            <w:tcW w:w="3575" w:type="dxa"/>
            <w:tcBorders>
              <w:top w:val="nil"/>
              <w:bottom w:val="nil"/>
            </w:tcBorders>
            <w:tcMar>
              <w:left w:w="57" w:type="dxa"/>
              <w:right w:w="57" w:type="dxa"/>
            </w:tcMar>
            <w:vAlign w:val="bottom"/>
          </w:tcPr>
          <w:p w14:paraId="1044F338" w14:textId="77777777" w:rsidR="00E036D3" w:rsidRPr="00FB38E1" w:rsidRDefault="00E036D3" w:rsidP="0004668E">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Değerleme farkları</w:t>
            </w:r>
          </w:p>
        </w:tc>
        <w:tc>
          <w:tcPr>
            <w:tcW w:w="1139" w:type="dxa"/>
            <w:tcBorders>
              <w:top w:val="nil"/>
              <w:left w:val="nil"/>
              <w:bottom w:val="nil"/>
              <w:right w:val="nil"/>
            </w:tcBorders>
            <w:shd w:val="clear" w:color="auto" w:fill="FFFFFF" w:themeFill="background1"/>
            <w:tcMar>
              <w:left w:w="57" w:type="dxa"/>
              <w:right w:w="57" w:type="dxa"/>
            </w:tcMar>
            <w:vAlign w:val="center"/>
          </w:tcPr>
          <w:p w14:paraId="40335F6B" w14:textId="7E37AB4E"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0DE06EEE" w14:textId="64C63789"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58" w:type="dxa"/>
            <w:tcBorders>
              <w:top w:val="nil"/>
              <w:left w:val="nil"/>
              <w:bottom w:val="nil"/>
              <w:right w:val="nil"/>
            </w:tcBorders>
            <w:shd w:val="clear" w:color="auto" w:fill="auto"/>
            <w:tcMar>
              <w:left w:w="57" w:type="dxa"/>
              <w:right w:w="57" w:type="dxa"/>
            </w:tcMar>
            <w:vAlign w:val="center"/>
          </w:tcPr>
          <w:p w14:paraId="760C58E1" w14:textId="6A1D3BE2"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14" w:type="dxa"/>
            <w:tcBorders>
              <w:top w:val="nil"/>
              <w:left w:val="nil"/>
              <w:bottom w:val="nil"/>
              <w:right w:val="nil"/>
            </w:tcBorders>
            <w:shd w:val="clear" w:color="auto" w:fill="auto"/>
            <w:tcMar>
              <w:left w:w="57" w:type="dxa"/>
              <w:right w:w="57" w:type="dxa"/>
            </w:tcMar>
            <w:vAlign w:val="center"/>
          </w:tcPr>
          <w:p w14:paraId="52BAA753" w14:textId="5A47DE80"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73" w:type="dxa"/>
            <w:tcBorders>
              <w:top w:val="nil"/>
              <w:left w:val="nil"/>
              <w:bottom w:val="nil"/>
              <w:right w:val="nil"/>
            </w:tcBorders>
            <w:shd w:val="clear" w:color="auto" w:fill="auto"/>
            <w:tcMar>
              <w:left w:w="57" w:type="dxa"/>
              <w:right w:w="57" w:type="dxa"/>
            </w:tcMar>
            <w:vAlign w:val="center"/>
          </w:tcPr>
          <w:p w14:paraId="5DB1F118" w14:textId="499F1885"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036D3" w:rsidRPr="00FB38E1" w14:paraId="223E3BFB" w14:textId="77777777" w:rsidTr="0058602B">
        <w:tc>
          <w:tcPr>
            <w:tcW w:w="395" w:type="dxa"/>
            <w:tcBorders>
              <w:top w:val="nil"/>
              <w:bottom w:val="nil"/>
            </w:tcBorders>
          </w:tcPr>
          <w:p w14:paraId="21A1EBFE"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6</w:t>
            </w:r>
          </w:p>
        </w:tc>
        <w:tc>
          <w:tcPr>
            <w:tcW w:w="3575" w:type="dxa"/>
            <w:tcBorders>
              <w:top w:val="nil"/>
              <w:bottom w:val="nil"/>
            </w:tcBorders>
            <w:tcMar>
              <w:left w:w="57" w:type="dxa"/>
              <w:right w:w="57" w:type="dxa"/>
            </w:tcMar>
            <w:vAlign w:val="bottom"/>
          </w:tcPr>
          <w:p w14:paraId="5BE72A04" w14:textId="77777777" w:rsidR="00E036D3" w:rsidRPr="00FB38E1" w:rsidRDefault="00E036D3" w:rsidP="0004668E">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Farklı netleştirme kurallarından kaynaklanan farklar (satır 2’ye konulanlar dışındaki)</w:t>
            </w:r>
          </w:p>
        </w:tc>
        <w:tc>
          <w:tcPr>
            <w:tcW w:w="1139" w:type="dxa"/>
            <w:tcBorders>
              <w:top w:val="nil"/>
              <w:left w:val="nil"/>
              <w:bottom w:val="nil"/>
              <w:right w:val="nil"/>
            </w:tcBorders>
            <w:shd w:val="clear" w:color="auto" w:fill="FFFFFF" w:themeFill="background1"/>
            <w:tcMar>
              <w:left w:w="57" w:type="dxa"/>
              <w:right w:w="57" w:type="dxa"/>
            </w:tcMar>
            <w:vAlign w:val="center"/>
          </w:tcPr>
          <w:p w14:paraId="4E43C4E0" w14:textId="7E530FF1"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18E4B505" w14:textId="774B9CDC"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58" w:type="dxa"/>
            <w:tcBorders>
              <w:top w:val="nil"/>
              <w:left w:val="nil"/>
              <w:bottom w:val="nil"/>
              <w:right w:val="nil"/>
            </w:tcBorders>
            <w:shd w:val="clear" w:color="auto" w:fill="auto"/>
            <w:tcMar>
              <w:left w:w="57" w:type="dxa"/>
              <w:right w:w="57" w:type="dxa"/>
            </w:tcMar>
            <w:vAlign w:val="center"/>
          </w:tcPr>
          <w:p w14:paraId="19014D05" w14:textId="2BFEE9E4"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14" w:type="dxa"/>
            <w:tcBorders>
              <w:top w:val="nil"/>
              <w:left w:val="nil"/>
              <w:bottom w:val="nil"/>
              <w:right w:val="nil"/>
            </w:tcBorders>
            <w:shd w:val="clear" w:color="auto" w:fill="auto"/>
            <w:tcMar>
              <w:left w:w="57" w:type="dxa"/>
              <w:right w:w="57" w:type="dxa"/>
            </w:tcMar>
            <w:vAlign w:val="center"/>
          </w:tcPr>
          <w:p w14:paraId="61F4883D" w14:textId="08000DB0"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73" w:type="dxa"/>
            <w:tcBorders>
              <w:top w:val="nil"/>
              <w:left w:val="nil"/>
              <w:bottom w:val="nil"/>
              <w:right w:val="nil"/>
            </w:tcBorders>
            <w:shd w:val="clear" w:color="auto" w:fill="auto"/>
            <w:tcMar>
              <w:left w:w="57" w:type="dxa"/>
              <w:right w:w="57" w:type="dxa"/>
            </w:tcMar>
            <w:vAlign w:val="center"/>
          </w:tcPr>
          <w:p w14:paraId="7D1B7AAD" w14:textId="49C98FEC"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036D3" w:rsidRPr="00FB38E1" w14:paraId="2A26EFBD" w14:textId="77777777" w:rsidTr="0058602B">
        <w:tc>
          <w:tcPr>
            <w:tcW w:w="395" w:type="dxa"/>
            <w:tcBorders>
              <w:top w:val="nil"/>
              <w:bottom w:val="nil"/>
            </w:tcBorders>
          </w:tcPr>
          <w:p w14:paraId="488FCCD9"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7</w:t>
            </w:r>
          </w:p>
        </w:tc>
        <w:tc>
          <w:tcPr>
            <w:tcW w:w="3575" w:type="dxa"/>
            <w:tcBorders>
              <w:top w:val="nil"/>
              <w:bottom w:val="nil"/>
            </w:tcBorders>
            <w:tcMar>
              <w:left w:w="57" w:type="dxa"/>
              <w:right w:w="57" w:type="dxa"/>
            </w:tcMar>
            <w:vAlign w:val="bottom"/>
          </w:tcPr>
          <w:p w14:paraId="4FB2714E" w14:textId="77777777" w:rsidR="00E036D3" w:rsidRPr="00FB38E1" w:rsidRDefault="00E036D3" w:rsidP="0004668E">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Karşılıkların dikkate alınmasından kaynaklanan farklar</w:t>
            </w:r>
          </w:p>
        </w:tc>
        <w:tc>
          <w:tcPr>
            <w:tcW w:w="1139" w:type="dxa"/>
            <w:tcBorders>
              <w:top w:val="nil"/>
              <w:left w:val="nil"/>
              <w:bottom w:val="nil"/>
              <w:right w:val="nil"/>
            </w:tcBorders>
            <w:shd w:val="clear" w:color="auto" w:fill="FFFFFF" w:themeFill="background1"/>
            <w:tcMar>
              <w:left w:w="57" w:type="dxa"/>
              <w:right w:w="57" w:type="dxa"/>
            </w:tcMar>
            <w:vAlign w:val="center"/>
          </w:tcPr>
          <w:p w14:paraId="0BB19A53" w14:textId="1157AA14"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377A2597" w14:textId="733490F3"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58" w:type="dxa"/>
            <w:tcBorders>
              <w:top w:val="nil"/>
              <w:left w:val="nil"/>
              <w:bottom w:val="nil"/>
              <w:right w:val="nil"/>
            </w:tcBorders>
            <w:shd w:val="clear" w:color="auto" w:fill="auto"/>
            <w:tcMar>
              <w:left w:w="57" w:type="dxa"/>
              <w:right w:w="57" w:type="dxa"/>
            </w:tcMar>
            <w:vAlign w:val="center"/>
          </w:tcPr>
          <w:p w14:paraId="6400D79D" w14:textId="00420207"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14" w:type="dxa"/>
            <w:tcBorders>
              <w:top w:val="nil"/>
              <w:left w:val="nil"/>
              <w:bottom w:val="nil"/>
              <w:right w:val="nil"/>
            </w:tcBorders>
            <w:shd w:val="clear" w:color="auto" w:fill="auto"/>
            <w:tcMar>
              <w:left w:w="57" w:type="dxa"/>
              <w:right w:w="57" w:type="dxa"/>
            </w:tcMar>
            <w:vAlign w:val="center"/>
          </w:tcPr>
          <w:p w14:paraId="0F5C8000" w14:textId="65221746"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73" w:type="dxa"/>
            <w:tcBorders>
              <w:top w:val="nil"/>
              <w:left w:val="nil"/>
              <w:bottom w:val="nil"/>
              <w:right w:val="nil"/>
            </w:tcBorders>
            <w:shd w:val="clear" w:color="auto" w:fill="auto"/>
            <w:tcMar>
              <w:left w:w="57" w:type="dxa"/>
              <w:right w:w="57" w:type="dxa"/>
            </w:tcMar>
            <w:vAlign w:val="center"/>
          </w:tcPr>
          <w:p w14:paraId="6AA72AEE" w14:textId="29D55DB7"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036D3" w:rsidRPr="00FB38E1" w14:paraId="0C2FD90E" w14:textId="77777777" w:rsidTr="0058602B">
        <w:tc>
          <w:tcPr>
            <w:tcW w:w="395" w:type="dxa"/>
            <w:tcBorders>
              <w:top w:val="nil"/>
              <w:bottom w:val="nil"/>
            </w:tcBorders>
          </w:tcPr>
          <w:p w14:paraId="32C7E221"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8</w:t>
            </w:r>
          </w:p>
        </w:tc>
        <w:tc>
          <w:tcPr>
            <w:tcW w:w="3575" w:type="dxa"/>
            <w:tcBorders>
              <w:top w:val="nil"/>
              <w:bottom w:val="nil"/>
            </w:tcBorders>
            <w:tcMar>
              <w:left w:w="57" w:type="dxa"/>
              <w:right w:w="57" w:type="dxa"/>
            </w:tcMar>
            <w:vAlign w:val="bottom"/>
          </w:tcPr>
          <w:p w14:paraId="393AD5DE" w14:textId="77777777" w:rsidR="00E036D3" w:rsidRPr="00FB38E1" w:rsidRDefault="00E036D3" w:rsidP="0004668E">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Kurumun uygulamalarından kaynaklanan farklar</w:t>
            </w:r>
          </w:p>
        </w:tc>
        <w:tc>
          <w:tcPr>
            <w:tcW w:w="1139" w:type="dxa"/>
            <w:tcBorders>
              <w:top w:val="nil"/>
              <w:left w:val="nil"/>
              <w:bottom w:val="nil"/>
              <w:right w:val="nil"/>
            </w:tcBorders>
            <w:shd w:val="clear" w:color="auto" w:fill="FFFFFF" w:themeFill="background1"/>
            <w:tcMar>
              <w:left w:w="57" w:type="dxa"/>
              <w:right w:w="57" w:type="dxa"/>
            </w:tcMar>
            <w:vAlign w:val="center"/>
          </w:tcPr>
          <w:p w14:paraId="212B833C" w14:textId="33FD1215"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1D56699E" w14:textId="65C59243"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58" w:type="dxa"/>
            <w:tcBorders>
              <w:top w:val="nil"/>
              <w:left w:val="nil"/>
              <w:bottom w:val="nil"/>
              <w:right w:val="nil"/>
            </w:tcBorders>
            <w:shd w:val="clear" w:color="auto" w:fill="auto"/>
            <w:tcMar>
              <w:left w:w="57" w:type="dxa"/>
              <w:right w:w="57" w:type="dxa"/>
            </w:tcMar>
            <w:vAlign w:val="center"/>
          </w:tcPr>
          <w:p w14:paraId="171E9D8E" w14:textId="10D4AAF2"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14" w:type="dxa"/>
            <w:tcBorders>
              <w:top w:val="nil"/>
              <w:left w:val="nil"/>
              <w:bottom w:val="nil"/>
              <w:right w:val="nil"/>
            </w:tcBorders>
            <w:shd w:val="clear" w:color="auto" w:fill="auto"/>
            <w:tcMar>
              <w:left w:w="57" w:type="dxa"/>
              <w:right w:w="57" w:type="dxa"/>
            </w:tcMar>
            <w:vAlign w:val="center"/>
          </w:tcPr>
          <w:p w14:paraId="0C8F0B2F" w14:textId="52AE5919"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73" w:type="dxa"/>
            <w:tcBorders>
              <w:top w:val="nil"/>
              <w:left w:val="nil"/>
              <w:bottom w:val="nil"/>
              <w:right w:val="nil"/>
            </w:tcBorders>
            <w:shd w:val="clear" w:color="auto" w:fill="auto"/>
            <w:tcMar>
              <w:left w:w="57" w:type="dxa"/>
              <w:right w:w="57" w:type="dxa"/>
            </w:tcMar>
            <w:vAlign w:val="center"/>
          </w:tcPr>
          <w:p w14:paraId="66ACBF32" w14:textId="716E7C3F"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16.173.761</w:t>
            </w:r>
          </w:p>
        </w:tc>
      </w:tr>
      <w:tr w:rsidR="00E036D3" w:rsidRPr="00FB38E1" w14:paraId="3058E439" w14:textId="77777777" w:rsidTr="0058602B">
        <w:tc>
          <w:tcPr>
            <w:tcW w:w="395" w:type="dxa"/>
            <w:tcBorders>
              <w:top w:val="nil"/>
              <w:bottom w:val="nil"/>
            </w:tcBorders>
          </w:tcPr>
          <w:p w14:paraId="22A6932D"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9</w:t>
            </w:r>
          </w:p>
        </w:tc>
        <w:tc>
          <w:tcPr>
            <w:tcW w:w="3575" w:type="dxa"/>
            <w:tcBorders>
              <w:top w:val="nil"/>
              <w:bottom w:val="nil"/>
            </w:tcBorders>
            <w:tcMar>
              <w:left w:w="57" w:type="dxa"/>
              <w:right w:w="57" w:type="dxa"/>
            </w:tcMar>
            <w:vAlign w:val="bottom"/>
          </w:tcPr>
          <w:p w14:paraId="6B68FBD0" w14:textId="77777777" w:rsidR="00E036D3" w:rsidRPr="00FB38E1" w:rsidRDefault="00E036D3" w:rsidP="0004668E">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Finansal teminatların dikkate alınmasından kaynaklanan farklar</w:t>
            </w:r>
          </w:p>
        </w:tc>
        <w:tc>
          <w:tcPr>
            <w:tcW w:w="1139" w:type="dxa"/>
            <w:tcBorders>
              <w:top w:val="nil"/>
              <w:left w:val="nil"/>
              <w:bottom w:val="nil"/>
              <w:right w:val="nil"/>
            </w:tcBorders>
            <w:shd w:val="clear" w:color="auto" w:fill="FFFFFF" w:themeFill="background1"/>
            <w:tcMar>
              <w:left w:w="57" w:type="dxa"/>
              <w:right w:w="57" w:type="dxa"/>
            </w:tcMar>
            <w:vAlign w:val="center"/>
          </w:tcPr>
          <w:p w14:paraId="35914BEE" w14:textId="6BA7B458"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41" w:type="dxa"/>
            <w:tcBorders>
              <w:top w:val="nil"/>
              <w:left w:val="nil"/>
              <w:bottom w:val="nil"/>
              <w:right w:val="nil"/>
            </w:tcBorders>
            <w:shd w:val="clear" w:color="auto" w:fill="auto"/>
            <w:vAlign w:val="center"/>
          </w:tcPr>
          <w:p w14:paraId="221ABC8F" w14:textId="749883BB"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(26.353.071)</w:t>
            </w:r>
          </w:p>
        </w:tc>
        <w:tc>
          <w:tcPr>
            <w:tcW w:w="1158" w:type="dxa"/>
            <w:tcBorders>
              <w:top w:val="nil"/>
              <w:left w:val="nil"/>
              <w:bottom w:val="nil"/>
              <w:right w:val="nil"/>
            </w:tcBorders>
            <w:shd w:val="clear" w:color="auto" w:fill="auto"/>
            <w:tcMar>
              <w:left w:w="57" w:type="dxa"/>
              <w:right w:w="57" w:type="dxa"/>
            </w:tcMar>
            <w:vAlign w:val="center"/>
          </w:tcPr>
          <w:p w14:paraId="76C07E48" w14:textId="722AAFD6"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14" w:type="dxa"/>
            <w:tcBorders>
              <w:top w:val="nil"/>
              <w:left w:val="nil"/>
              <w:bottom w:val="nil"/>
              <w:right w:val="nil"/>
            </w:tcBorders>
            <w:shd w:val="clear" w:color="auto" w:fill="auto"/>
            <w:tcMar>
              <w:left w:w="57" w:type="dxa"/>
              <w:right w:w="57" w:type="dxa"/>
            </w:tcMar>
            <w:vAlign w:val="center"/>
          </w:tcPr>
          <w:p w14:paraId="51B9832C" w14:textId="5EBEF86C"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73" w:type="dxa"/>
            <w:tcBorders>
              <w:top w:val="nil"/>
              <w:left w:val="nil"/>
              <w:bottom w:val="nil"/>
              <w:right w:val="nil"/>
            </w:tcBorders>
            <w:shd w:val="clear" w:color="auto" w:fill="auto"/>
            <w:tcMar>
              <w:left w:w="57" w:type="dxa"/>
              <w:right w:w="57" w:type="dxa"/>
            </w:tcMar>
            <w:vAlign w:val="center"/>
          </w:tcPr>
          <w:p w14:paraId="54EA01EE" w14:textId="2DBB3EE9"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036D3" w:rsidRPr="00FB38E1" w14:paraId="30F56FF7" w14:textId="77777777" w:rsidTr="0058602B">
        <w:tc>
          <w:tcPr>
            <w:tcW w:w="395" w:type="dxa"/>
            <w:tcBorders>
              <w:top w:val="nil"/>
              <w:bottom w:val="thickThinSmallGap" w:sz="24" w:space="0" w:color="auto"/>
            </w:tcBorders>
          </w:tcPr>
          <w:p w14:paraId="5D383399" w14:textId="77777777" w:rsidR="00E036D3" w:rsidRPr="00FB38E1" w:rsidRDefault="00E036D3" w:rsidP="00E036D3">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10</w:t>
            </w:r>
          </w:p>
        </w:tc>
        <w:tc>
          <w:tcPr>
            <w:tcW w:w="3575" w:type="dxa"/>
            <w:tcBorders>
              <w:top w:val="nil"/>
              <w:bottom w:val="thickThinSmallGap" w:sz="24" w:space="0" w:color="auto"/>
            </w:tcBorders>
            <w:tcMar>
              <w:left w:w="57" w:type="dxa"/>
              <w:right w:w="57" w:type="dxa"/>
            </w:tcMar>
            <w:vAlign w:val="bottom"/>
          </w:tcPr>
          <w:p w14:paraId="50206D11" w14:textId="77777777" w:rsidR="00E036D3" w:rsidRPr="00FB38E1" w:rsidRDefault="00E036D3" w:rsidP="0004668E">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Risk tutarları</w:t>
            </w:r>
          </w:p>
        </w:tc>
        <w:tc>
          <w:tcPr>
            <w:tcW w:w="1139" w:type="dxa"/>
            <w:tcBorders>
              <w:top w:val="nil"/>
              <w:bottom w:val="thickThinSmallGap" w:sz="24" w:space="0" w:color="auto"/>
            </w:tcBorders>
            <w:tcMar>
              <w:left w:w="57" w:type="dxa"/>
              <w:right w:w="57" w:type="dxa"/>
            </w:tcMar>
            <w:vAlign w:val="center"/>
          </w:tcPr>
          <w:p w14:paraId="07050204" w14:textId="7827B68E"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1.501.595.770</w:t>
            </w:r>
          </w:p>
        </w:tc>
        <w:tc>
          <w:tcPr>
            <w:tcW w:w="1241" w:type="dxa"/>
            <w:tcBorders>
              <w:top w:val="nil"/>
              <w:bottom w:val="thickThinSmallGap" w:sz="24" w:space="0" w:color="auto"/>
            </w:tcBorders>
            <w:vAlign w:val="center"/>
          </w:tcPr>
          <w:p w14:paraId="662B08F3" w14:textId="7CBB0A79"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1.021.472.551</w:t>
            </w:r>
          </w:p>
        </w:tc>
        <w:tc>
          <w:tcPr>
            <w:tcW w:w="1158" w:type="dxa"/>
            <w:tcBorders>
              <w:top w:val="nil"/>
              <w:bottom w:val="thickThinSmallGap" w:sz="24" w:space="0" w:color="auto"/>
            </w:tcBorders>
            <w:tcMar>
              <w:left w:w="57" w:type="dxa"/>
              <w:right w:w="57" w:type="dxa"/>
            </w:tcMar>
            <w:vAlign w:val="center"/>
          </w:tcPr>
          <w:p w14:paraId="1C0346A5" w14:textId="0E9FD6BF"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w:t>
            </w:r>
          </w:p>
        </w:tc>
        <w:tc>
          <w:tcPr>
            <w:tcW w:w="1114" w:type="dxa"/>
            <w:tcBorders>
              <w:top w:val="nil"/>
              <w:bottom w:val="thickThinSmallGap" w:sz="24" w:space="0" w:color="auto"/>
            </w:tcBorders>
            <w:tcMar>
              <w:left w:w="57" w:type="dxa"/>
              <w:right w:w="57" w:type="dxa"/>
            </w:tcMar>
            <w:vAlign w:val="center"/>
          </w:tcPr>
          <w:p w14:paraId="44B9DECA" w14:textId="43D0C953"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8.313.718</w:t>
            </w:r>
          </w:p>
        </w:tc>
        <w:tc>
          <w:tcPr>
            <w:tcW w:w="1073" w:type="dxa"/>
            <w:tcBorders>
              <w:top w:val="nil"/>
              <w:bottom w:val="thickThinSmallGap" w:sz="24" w:space="0" w:color="auto"/>
            </w:tcBorders>
            <w:tcMar>
              <w:left w:w="57" w:type="dxa"/>
              <w:right w:w="57" w:type="dxa"/>
            </w:tcMar>
            <w:vAlign w:val="center"/>
          </w:tcPr>
          <w:p w14:paraId="29A4C3BA" w14:textId="0FA20B67"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20.462.863</w:t>
            </w:r>
          </w:p>
        </w:tc>
      </w:tr>
    </w:tbl>
    <w:p w14:paraId="52D535D0" w14:textId="77777777" w:rsidR="00E036D3" w:rsidRPr="00FB38E1" w:rsidRDefault="00E036D3" w:rsidP="00E036D3">
      <w:pPr>
        <w:widowControl w:val="0"/>
        <w:spacing w:before="120" w:after="0"/>
        <w:rPr>
          <w:rFonts w:ascii="Microsoft Sans Serif" w:eastAsia="Times New Roman" w:hAnsi="Microsoft Sans Serif" w:cs="Microsoft Sans Serif"/>
          <w:bCs/>
          <w:color w:val="404040" w:themeColor="text1" w:themeTint="BF"/>
          <w:sz w:val="14"/>
          <w:szCs w:val="14"/>
          <w:lang w:eastAsia="tr-TR"/>
        </w:rPr>
      </w:pPr>
      <w:r w:rsidRPr="00FB38E1">
        <w:rPr>
          <w:rFonts w:ascii="Microsoft Sans Serif" w:eastAsia="Times New Roman" w:hAnsi="Microsoft Sans Serif" w:cs="Microsoft Sans Serif"/>
          <w:color w:val="404040" w:themeColor="text1" w:themeTint="BF"/>
          <w:sz w:val="14"/>
          <w:szCs w:val="14"/>
          <w:lang w:eastAsia="tr-TR"/>
        </w:rPr>
        <w:t xml:space="preserve"> (*) Risk tutarları satırında “Bankaların Sermaye Yeterliliğinin Ölçülmesine ve Değerlendirilmesine İlişkin Yönetmelik”e göre alım satım hesaplarında yer alan finansal araçlar ve kur riski için hesaplanmış sermaye yükümlülüğünden kaynaklı piyasa </w:t>
      </w:r>
      <w:r w:rsidRPr="00FB38E1">
        <w:rPr>
          <w:rFonts w:ascii="Microsoft Sans Serif" w:eastAsia="Times New Roman" w:hAnsi="Microsoft Sans Serif" w:cs="Microsoft Sans Serif"/>
          <w:bCs/>
          <w:color w:val="404040" w:themeColor="text1" w:themeTint="BF"/>
          <w:sz w:val="14"/>
          <w:szCs w:val="14"/>
          <w:lang w:eastAsia="tr-TR"/>
        </w:rPr>
        <w:t>riskine esas tutara yer verilmiştir.</w:t>
      </w:r>
    </w:p>
    <w:p w14:paraId="587E59A8" w14:textId="77777777" w:rsidR="00E036D3" w:rsidRPr="00FB38E1" w:rsidRDefault="00E036D3" w:rsidP="00E036D3">
      <w:pPr>
        <w:widowControl w:val="0"/>
        <w:spacing w:after="0"/>
        <w:rPr>
          <w:rFonts w:ascii="Microsoft Sans Serif" w:eastAsia="Times New Roman" w:hAnsi="Microsoft Sans Serif" w:cs="Microsoft Sans Serif"/>
          <w:bCs/>
          <w:sz w:val="14"/>
          <w:szCs w:val="14"/>
        </w:rPr>
      </w:pPr>
      <w:r w:rsidRPr="00FB38E1">
        <w:rPr>
          <w:rFonts w:ascii="Microsoft Sans Serif" w:eastAsia="Times New Roman" w:hAnsi="Microsoft Sans Serif" w:cs="Microsoft Sans Serif"/>
          <w:bCs/>
          <w:color w:val="404040" w:themeColor="text1" w:themeTint="BF"/>
          <w:sz w:val="14"/>
          <w:szCs w:val="14"/>
          <w:lang w:eastAsia="tr-TR"/>
        </w:rPr>
        <w:t>(**) Kredi riski hesaplamasına konu olan riskleri içermektedir.</w:t>
      </w:r>
    </w:p>
    <w:p w14:paraId="02426DDB" w14:textId="77777777" w:rsidR="00E036D3" w:rsidRPr="00FB38E1" w:rsidRDefault="00E036D3" w:rsidP="00364B59">
      <w:pPr>
        <w:numPr>
          <w:ilvl w:val="0"/>
          <w:numId w:val="54"/>
        </w:numPr>
        <w:spacing w:before="240" w:after="120" w:line="240" w:lineRule="exact"/>
        <w:ind w:left="0" w:hanging="426"/>
        <w:rPr>
          <w:rFonts w:ascii="Microsoft Sans Serif" w:hAnsi="Microsoft Sans Serif" w:cs="Microsoft Sans Serif"/>
          <w:b/>
          <w:sz w:val="20"/>
          <w:szCs w:val="20"/>
        </w:rPr>
      </w:pPr>
      <w:r w:rsidRPr="00FB38E1">
        <w:rPr>
          <w:rFonts w:ascii="Microsoft Sans Serif" w:hAnsi="Microsoft Sans Serif" w:cs="Microsoft Sans Serif"/>
          <w:b/>
          <w:sz w:val="20"/>
          <w:szCs w:val="20"/>
        </w:rPr>
        <w:t>TMS uyarınca değerlenmiş tutarlar ile risk tutarları arasındaki farklara ilişkin açıklamalar</w:t>
      </w:r>
    </w:p>
    <w:p w14:paraId="497D2CA5" w14:textId="77777777" w:rsidR="00E036D3" w:rsidRPr="00FB38E1" w:rsidRDefault="00E036D3" w:rsidP="00E036D3">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TMS uyarınca değerlenmiş tutarlar ile risk tutarları arasındaki farklar:</w:t>
      </w:r>
    </w:p>
    <w:p w14:paraId="622697B9" w14:textId="2A02D25B" w:rsidR="00E036D3" w:rsidRPr="00FB38E1" w:rsidRDefault="000007E6" w:rsidP="00E036D3">
      <w:pPr>
        <w:spacing w:before="120" w:after="0" w:line="220" w:lineRule="exact"/>
        <w:rPr>
          <w:rFonts w:ascii="Microsoft Sans Serif" w:hAnsi="Microsoft Sans Serif" w:cs="Microsoft Sans Serif"/>
          <w:color w:val="404040" w:themeColor="text1" w:themeTint="BF"/>
          <w:sz w:val="20"/>
          <w:szCs w:val="20"/>
        </w:rPr>
      </w:pPr>
      <w:bookmarkStart w:id="40" w:name="_Hlk154570189"/>
      <w:r w:rsidRPr="00FB38E1">
        <w:rPr>
          <w:rFonts w:ascii="Microsoft Sans Serif" w:hAnsi="Microsoft Sans Serif" w:cs="Microsoft Sans Serif"/>
          <w:color w:val="404040" w:themeColor="text1" w:themeTint="BF"/>
          <w:sz w:val="20"/>
          <w:szCs w:val="20"/>
        </w:rPr>
        <w:t>Karşı taraf kredi riskine konu türev işlemlerinde risk tutarı sermaye yeterliliği düzelmelerindeki yer alan standart yönteme göre yenileme maliyeti ve gelecekteki potansiyel risk tutarlarının bileşimi ile hesaplanmaktadır. Repo ve ters repo işlemlerinde risk tutarı, işleme konu menkul değere yapılan volatilite ayarlamalı tutarın işleme konu nakit tutarı ile netleştirilmesi sonucu elde edilmektedir</w:t>
      </w:r>
      <w:r w:rsidR="00E036D3" w:rsidRPr="00FB38E1">
        <w:rPr>
          <w:rFonts w:ascii="Microsoft Sans Serif" w:hAnsi="Microsoft Sans Serif" w:cs="Microsoft Sans Serif"/>
          <w:color w:val="404040" w:themeColor="text1" w:themeTint="BF"/>
          <w:sz w:val="20"/>
          <w:szCs w:val="20"/>
        </w:rPr>
        <w:t>.</w:t>
      </w:r>
    </w:p>
    <w:bookmarkEnd w:id="40"/>
    <w:p w14:paraId="7D97869E" w14:textId="77777777" w:rsidR="00E036D3" w:rsidRPr="00FB38E1" w:rsidRDefault="00E036D3" w:rsidP="00E036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Piyasa riskine tabi kalemlerin TMS uyarınca değerlenmiş tutarları, gerçeğe uygun değer farkı kar zarara yansıtılan finansal varlıkların gerçeğe uygun değerini göstermektedir. Bu işlemlere ilişkin risk tutarı satırındaki tutarlar ise,  “Bankaların Sermaye Yeterliliğinin Ölçülmesine ve Değerlendirilmesine İlişkin Yönetmelik” kapsamında, faiz oranı riski, hisse senedi fiyat riski, kur riski gibi faktörlerin sebep olabileceği potansiyel zararlara ilişkin olarak hesaplanan sermaye yükümlülüğünden kaynaklı piyasa riskine esas tutarı ifade etmektedir.</w:t>
      </w:r>
    </w:p>
    <w:p w14:paraId="3914699D" w14:textId="77777777" w:rsidR="00E036D3" w:rsidRPr="00FB38E1" w:rsidRDefault="00E036D3" w:rsidP="00E036D3">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Bankaların Sermaye Yeterliliğinin Ölçülmesine ve Değerlendirilmesine İlişkin Yönetmeliğe ekli Ek-3’te yer alan ihtiyatlı değerleme ilke ve esaslarına göre, Banka’nın değerleme tahminlerinin ihtiyatlılığını ve güvenilirliğini sağlamak için kullanılan sistemler ve yapılan kontrollere ilişkin açıklamalar:</w:t>
      </w:r>
    </w:p>
    <w:p w14:paraId="5F247C95" w14:textId="77777777" w:rsidR="00E036D3" w:rsidRPr="00FB38E1" w:rsidRDefault="00E036D3" w:rsidP="00E036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Gerçeğe uygun değeri ile muhasebeleştirilen finansal araçların değerlemesinde piyasada geçen fiyatlar,  resmi kurumlarca açıklanan gösterge değerler veya piyasada gözlenen faiz ve volatilite gibi veriler dikkate alınarak değerleme yapılmaktadır. Banka prensip olarak derinliği bulunmayan piyasalarda işlem yapmamaktadır. Tezgahüstü işlem gören türev araçların değerlemelerinde genel olarak indirgenmiş nakit akışı modelleri kullanılmakla birlikte opsiyonalite içeren türev işlemler için işlemin doğasına uygun ve genel kabul görmüş değerleme modelleri kullanılmaktadır. </w:t>
      </w:r>
    </w:p>
    <w:p w14:paraId="15CC4416" w14:textId="77777777" w:rsidR="00E036D3" w:rsidRPr="00FB38E1" w:rsidRDefault="00E036D3" w:rsidP="00E036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Bağımsız fiyat değerleme süreci kapsamında, değerleme yöntemlerinin ve kullanılan verilerin doğruluğunun temini amacıyla aşağıdaki faaliyetler gerçekleştirilir:</w:t>
      </w:r>
    </w:p>
    <w:p w14:paraId="585CBF4E" w14:textId="77777777" w:rsidR="00E036D3" w:rsidRPr="00FB38E1" w:rsidRDefault="00E036D3" w:rsidP="00EA2415">
      <w:pPr>
        <w:numPr>
          <w:ilvl w:val="0"/>
          <w:numId w:val="62"/>
        </w:numPr>
        <w:spacing w:before="120" w:after="0" w:line="220" w:lineRule="exact"/>
        <w:ind w:left="714" w:hanging="357"/>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Bono, tahvil, hisse senedi ve organize piyasalarda işlem gören türev ürün fiyatları ile tezgahüstü işlem gören türev ürün değerlemelerinde kullanılacak verilerin girişi icracı birimlerden bağımsız olarak yapılır. </w:t>
      </w:r>
    </w:p>
    <w:p w14:paraId="7923FFD4" w14:textId="77777777" w:rsidR="00E036D3" w:rsidRPr="00FB38E1" w:rsidRDefault="00E036D3" w:rsidP="00364B59">
      <w:pPr>
        <w:numPr>
          <w:ilvl w:val="0"/>
          <w:numId w:val="62"/>
        </w:numPr>
        <w:spacing w:before="120" w:after="0" w:line="220" w:lineRule="exact"/>
        <w:contextualSpacing/>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Türev ürünlerin değerlemesinde kullanılacak modeller ile faiz ve volatilite verileri, icracı birimlerden bağımsız olarak belirlenir. </w:t>
      </w:r>
    </w:p>
    <w:p w14:paraId="751A68D0" w14:textId="77777777" w:rsidR="00E036D3" w:rsidRPr="00FB38E1" w:rsidRDefault="00E036D3" w:rsidP="00364B59">
      <w:pPr>
        <w:numPr>
          <w:ilvl w:val="0"/>
          <w:numId w:val="62"/>
        </w:numPr>
        <w:spacing w:before="120" w:after="0" w:line="220" w:lineRule="exact"/>
        <w:contextualSpacing/>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Değerlemelerde kullanılan piyasa verilerinin ve değerleme sonuçlarının periyodik olarak ikinci seviye kontrolü yapılır.</w:t>
      </w:r>
    </w:p>
    <w:p w14:paraId="1133FD0F" w14:textId="77777777" w:rsidR="00E036D3" w:rsidRPr="00FB38E1" w:rsidRDefault="00E036D3" w:rsidP="00364B59">
      <w:pPr>
        <w:numPr>
          <w:ilvl w:val="0"/>
          <w:numId w:val="62"/>
        </w:numPr>
        <w:spacing w:before="120" w:after="0" w:line="220" w:lineRule="exact"/>
        <w:contextualSpacing/>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Ürün değerlemelerinde kullanılan modeller ve veri girişlerine yönelik olarak değerleme süreci validasyonu gerçekleştirilir.</w:t>
      </w:r>
    </w:p>
    <w:p w14:paraId="127FE7EB" w14:textId="77777777" w:rsidR="00E036D3" w:rsidRPr="00FB38E1" w:rsidRDefault="00E036D3" w:rsidP="00364B59">
      <w:pPr>
        <w:numPr>
          <w:ilvl w:val="0"/>
          <w:numId w:val="62"/>
        </w:numPr>
        <w:spacing w:before="120" w:after="0" w:line="220" w:lineRule="exact"/>
        <w:contextualSpacing/>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Karşı taraf değerlemeleri ile banka değerlemeleri arasındaki farklar düzenli olarak takip edilir.</w:t>
      </w:r>
    </w:p>
    <w:p w14:paraId="4FF0D014" w14:textId="77777777" w:rsidR="00E036D3" w:rsidRPr="00FB38E1" w:rsidRDefault="00E036D3" w:rsidP="00E036D3">
      <w:pPr>
        <w:spacing w:before="120" w:after="0" w:line="220" w:lineRule="exact"/>
        <w:contextualSpacing/>
        <w:rPr>
          <w:rFonts w:ascii="Microsoft Sans Serif" w:hAnsi="Microsoft Sans Serif" w:cs="Microsoft Sans Serif"/>
          <w:color w:val="404040" w:themeColor="text1" w:themeTint="BF"/>
          <w:sz w:val="20"/>
          <w:szCs w:val="20"/>
        </w:rPr>
      </w:pPr>
    </w:p>
    <w:p w14:paraId="646B6176" w14:textId="77777777" w:rsidR="00E036D3" w:rsidRPr="00FB38E1" w:rsidRDefault="00E036D3" w:rsidP="00E036D3">
      <w:pPr>
        <w:spacing w:before="120" w:after="0" w:line="220" w:lineRule="exact"/>
        <w:contextualSpacing/>
        <w:rPr>
          <w:rFonts w:ascii="Microsoft Sans Serif" w:hAnsi="Microsoft Sans Serif" w:cs="Microsoft Sans Serif"/>
          <w:color w:val="404040" w:themeColor="text1" w:themeTint="BF"/>
          <w:sz w:val="20"/>
          <w:szCs w:val="20"/>
        </w:rPr>
      </w:pPr>
    </w:p>
    <w:p w14:paraId="0686CFAD" w14:textId="77777777" w:rsidR="00E036D3" w:rsidRPr="00FB38E1" w:rsidRDefault="00E036D3" w:rsidP="00E036D3">
      <w:pPr>
        <w:spacing w:before="120" w:after="0" w:line="220" w:lineRule="exact"/>
        <w:contextualSpacing/>
        <w:rPr>
          <w:rFonts w:ascii="Microsoft Sans Serif" w:hAnsi="Microsoft Sans Serif" w:cs="Microsoft Sans Serif"/>
          <w:color w:val="404040" w:themeColor="text1" w:themeTint="BF"/>
          <w:sz w:val="20"/>
          <w:szCs w:val="20"/>
        </w:rPr>
      </w:pPr>
    </w:p>
    <w:p w14:paraId="7CD9D139" w14:textId="77777777" w:rsidR="00E036D3" w:rsidRPr="00FB38E1" w:rsidRDefault="00E036D3" w:rsidP="00E036D3">
      <w:pPr>
        <w:spacing w:before="120" w:after="0" w:line="220" w:lineRule="exact"/>
        <w:contextualSpacing/>
        <w:rPr>
          <w:rFonts w:ascii="Microsoft Sans Serif" w:hAnsi="Microsoft Sans Serif" w:cs="Microsoft Sans Serif"/>
          <w:color w:val="404040" w:themeColor="text1" w:themeTint="BF"/>
          <w:sz w:val="20"/>
          <w:szCs w:val="20"/>
        </w:rPr>
      </w:pPr>
    </w:p>
    <w:p w14:paraId="4B3C6C72" w14:textId="77777777" w:rsidR="00E036D3" w:rsidRPr="00FB38E1" w:rsidRDefault="00E036D3" w:rsidP="00E036D3">
      <w:pPr>
        <w:spacing w:before="120" w:after="0" w:line="220" w:lineRule="exact"/>
        <w:contextualSpacing/>
        <w:rPr>
          <w:rFonts w:ascii="Microsoft Sans Serif" w:hAnsi="Microsoft Sans Serif" w:cs="Microsoft Sans Serif"/>
          <w:color w:val="404040" w:themeColor="text1" w:themeTint="BF"/>
          <w:sz w:val="20"/>
          <w:szCs w:val="20"/>
        </w:rPr>
      </w:pPr>
    </w:p>
    <w:p w14:paraId="68192B40" w14:textId="77777777" w:rsidR="00E036D3" w:rsidRPr="00FB38E1" w:rsidRDefault="00E036D3" w:rsidP="00E036D3">
      <w:pPr>
        <w:spacing w:before="120" w:after="0" w:line="220" w:lineRule="exact"/>
        <w:contextualSpacing/>
        <w:rPr>
          <w:rFonts w:ascii="Microsoft Sans Serif" w:hAnsi="Microsoft Sans Serif" w:cs="Microsoft Sans Serif"/>
          <w:color w:val="404040" w:themeColor="text1" w:themeTint="BF"/>
          <w:sz w:val="20"/>
          <w:szCs w:val="20"/>
        </w:rPr>
      </w:pPr>
    </w:p>
    <w:p w14:paraId="289D2E49" w14:textId="77777777" w:rsidR="00E036D3" w:rsidRPr="00FB38E1" w:rsidRDefault="00E036D3" w:rsidP="00E036D3">
      <w:pPr>
        <w:spacing w:before="120" w:after="0" w:line="220" w:lineRule="exact"/>
        <w:contextualSpacing/>
        <w:rPr>
          <w:rFonts w:ascii="Microsoft Sans Serif" w:hAnsi="Microsoft Sans Serif" w:cs="Microsoft Sans Serif"/>
          <w:color w:val="404040" w:themeColor="text1" w:themeTint="BF"/>
          <w:sz w:val="20"/>
          <w:szCs w:val="20"/>
        </w:rPr>
      </w:pPr>
    </w:p>
    <w:p w14:paraId="31057FE9" w14:textId="77777777" w:rsidR="00E036D3" w:rsidRPr="00FB38E1" w:rsidRDefault="00E036D3" w:rsidP="00E036D3">
      <w:pPr>
        <w:pStyle w:val="ListParagraph"/>
        <w:numPr>
          <w:ilvl w:val="0"/>
          <w:numId w:val="44"/>
        </w:numPr>
        <w:spacing w:before="240" w:after="120" w:line="240" w:lineRule="exact"/>
        <w:ind w:left="0" w:hanging="56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Kredi riski</w:t>
      </w:r>
    </w:p>
    <w:p w14:paraId="3B08DBDF" w14:textId="77777777" w:rsidR="00E036D3" w:rsidRPr="00FB38E1" w:rsidRDefault="00E036D3" w:rsidP="00364B59">
      <w:pPr>
        <w:pStyle w:val="ListParagraph"/>
        <w:numPr>
          <w:ilvl w:val="0"/>
          <w:numId w:val="55"/>
        </w:numPr>
        <w:spacing w:before="240" w:after="120" w:line="240" w:lineRule="exact"/>
        <w:ind w:left="0" w:hanging="425"/>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Kredi riskiyle ilgili genel bilgiler</w:t>
      </w:r>
    </w:p>
    <w:p w14:paraId="5DE7C5C3" w14:textId="77777777" w:rsidR="00E036D3" w:rsidRPr="00FB38E1" w:rsidRDefault="00E036D3" w:rsidP="00E036D3">
      <w:pPr>
        <w:pStyle w:val="ListParagraph"/>
        <w:spacing w:before="240" w:after="120" w:line="240" w:lineRule="exact"/>
        <w:ind w:left="0"/>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Bankanın iş modelinin, kredi riski profilindeki bileşenlere nasıl dönüştüğü</w:t>
      </w:r>
    </w:p>
    <w:p w14:paraId="1F9ABC2F" w14:textId="5C599359" w:rsidR="00E036D3" w:rsidRPr="00FB38E1" w:rsidRDefault="00E036D3" w:rsidP="00E036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Banka’da kredi riski, Yönetim Kurulu tarafından onaylanmış Kredi Risk Yönetimi Politikası ile çizilmiş çerçeve içerisinde yönetilmektedir. Bu politika d</w:t>
      </w:r>
      <w:r w:rsidR="000007E6" w:rsidRPr="00FB38E1">
        <w:rPr>
          <w:rFonts w:ascii="Microsoft Sans Serif" w:hAnsi="Microsoft Sans Serif" w:cs="Microsoft Sans Serif"/>
          <w:color w:val="404040" w:themeColor="text1" w:themeTint="BF"/>
          <w:sz w:val="20"/>
          <w:szCs w:val="20"/>
        </w:rPr>
        <w:t>o</w:t>
      </w:r>
      <w:r w:rsidRPr="00FB38E1">
        <w:rPr>
          <w:rFonts w:ascii="Microsoft Sans Serif" w:hAnsi="Microsoft Sans Serif" w:cs="Microsoft Sans Serif"/>
          <w:color w:val="404040" w:themeColor="text1" w:themeTint="BF"/>
          <w:sz w:val="20"/>
          <w:szCs w:val="20"/>
        </w:rPr>
        <w:t>kümanında krediye ilişkin riskler tanımlanmış, ilgili departmanların görevleri belirlenmiş ve kredi risk yönetiminin temel prensipleri ortaya konmuştur. Kredi yönetiminde görev alan bölümler ve yetki/sorumlulukları bu d</w:t>
      </w:r>
      <w:r w:rsidR="000007E6" w:rsidRPr="00FB38E1">
        <w:rPr>
          <w:rFonts w:ascii="Microsoft Sans Serif" w:hAnsi="Microsoft Sans Serif" w:cs="Microsoft Sans Serif"/>
          <w:color w:val="404040" w:themeColor="text1" w:themeTint="BF"/>
          <w:sz w:val="20"/>
          <w:szCs w:val="20"/>
        </w:rPr>
        <w:t>o</w:t>
      </w:r>
      <w:r w:rsidRPr="00FB38E1">
        <w:rPr>
          <w:rFonts w:ascii="Microsoft Sans Serif" w:hAnsi="Microsoft Sans Serif" w:cs="Microsoft Sans Serif"/>
          <w:color w:val="404040" w:themeColor="text1" w:themeTint="BF"/>
          <w:sz w:val="20"/>
          <w:szCs w:val="20"/>
        </w:rPr>
        <w:t xml:space="preserve">kümanda tanımlanmıştır. </w:t>
      </w:r>
    </w:p>
    <w:p w14:paraId="0E321199" w14:textId="77777777" w:rsidR="00E036D3" w:rsidRPr="00FB38E1" w:rsidRDefault="00E036D3" w:rsidP="00E036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Kredi tahsisi her bir borçlu ve borçlular grubu bazında belirlenen limitler dâhilinde yapılmaktadır. Kredi tahsisi sürecinde Banka’nın içsel derecelendirme süreci çerçevesinde birçok mali ve mali olmayan kriter dikkate alınmaktadır. Müşteri segmentleri ve sektörler bu kriterler içindedir. Kredilerin sektörel dağılımı yakından izlenmektedir. Banka kredi politikası gereği firmaların derecelendirilmesi kredi limitleri ve teminatlandırma süreci birlikte dikkate alınmakta, maruz kalınan kredi risklerinin izlenmesi gerçekleştirilmektedir. </w:t>
      </w:r>
    </w:p>
    <w:p w14:paraId="31D9C8BD" w14:textId="77777777" w:rsidR="00E036D3" w:rsidRPr="00FB38E1" w:rsidRDefault="00E036D3" w:rsidP="00E036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Bu kapsamda Bankanın kredi portföyü müşteri segmentleri ve sektörler açısından dağınık bir profil çizmektedir.</w:t>
      </w:r>
    </w:p>
    <w:p w14:paraId="0AF6D04F" w14:textId="77777777" w:rsidR="00E036D3" w:rsidRPr="00FB38E1" w:rsidRDefault="00E036D3" w:rsidP="00E036D3">
      <w:pPr>
        <w:pStyle w:val="ListParagraph"/>
        <w:spacing w:before="120" w:after="120" w:line="240" w:lineRule="exact"/>
        <w:ind w:left="0"/>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Kredi riski politikası ve kredi risk limitleri belirlenirken kullanılan kriterler ve yaklaşım</w:t>
      </w:r>
    </w:p>
    <w:p w14:paraId="39A20B6A" w14:textId="77777777" w:rsidR="00E036D3" w:rsidRPr="00FB38E1" w:rsidRDefault="00E036D3" w:rsidP="00E036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Kredi risklerinin izlenmesinde tüm karşı taraflara tanımlanan risk limitleri sistemler tarafından gerek ürün, gerek müşteri ve gerekse risk grupları tahtında ayrı ayrı takip edilmekte ve belirlenen limitlerin üzerinde risk alınmasına imkan verilmemektedir. Kredi limitleri belirlenirken ilgili karşı tarafın ödeme gücü, içerisinde bulunduğu sektörün özellikleri, coğrafi ve ekonomik koşulların olası etkileri gibi pek çok faktör göz önüne alınmaktadır. Uygun bulunduğu durumlarda gerekli risk azaltım teknikleri uygulanarak Banka’nın olası kayıpları en aza indirilmeye çalışılmaktadır. Kredi incelemeleri esnasında ilgili mevzuatın gerektirdiği tüm belgeler dikkate alınmaktadır. Çok kullanımlı olarak çıkartılan limitlerde karşı tarafın kredi değerliliği düzenli olarak kontrol edilmekte ve limitler karşı tarafın kredi değerliliğindeki değişiklikler ve ihtiyaçlar dikkate alınarak revize edilmektedir. Kredi tahsis yetkileri müşteri sınıflarına göre belirlenmekte ve gerek görüldüğünde değiştirilmektedir. </w:t>
      </w:r>
    </w:p>
    <w:p w14:paraId="189CBB80" w14:textId="77777777" w:rsidR="00E036D3" w:rsidRPr="00FB38E1" w:rsidRDefault="00E036D3" w:rsidP="00E036D3">
      <w:pPr>
        <w:pStyle w:val="ListParagraph"/>
        <w:spacing w:before="120" w:after="120" w:line="240" w:lineRule="exact"/>
        <w:ind w:left="0"/>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Kredi riski yönetim ve kontrol fonksiyonunun yapısı ve organizasyonu</w:t>
      </w:r>
    </w:p>
    <w:p w14:paraId="4FD1D6BF" w14:textId="77777777" w:rsidR="00E036D3" w:rsidRPr="00FB38E1" w:rsidRDefault="00E036D3" w:rsidP="00E036D3">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Kredi tahsisi ve izlenmesi, güçler ayrılığı prensipleri tahtında farklı birimler tarafından yerine getirilmekte ve bu şekilde kredinin hayatı boyunca objektif olarak değerlendirilmesi sağlanmaktadır. Gerek tahsis ve gerekse izleme gruplarında müşterinin kredi riskinin doğru ve objektif ölçülmesi için risk modelleri kullanılmaktadır. Kredili müşterilerin risklerinin takibi için sistemde tanımlanmış Erken Uyarı Sistemleri kullanılmakta olup İzleme grupları tarafından bu sistemlerden alınan sinyaller sürekli olarak takip edilmekte ve önceden belirlenmiş tetikleyicilerin saptanması durumunda tahsis grupları ile birlikte yine önceden belirlenmiş hareket planları devreye alınmaktadır. </w:t>
      </w:r>
    </w:p>
    <w:p w14:paraId="40282E89" w14:textId="42E3097F" w:rsidR="00E036D3" w:rsidRPr="00FB38E1" w:rsidRDefault="00E036D3" w:rsidP="00E036D3">
      <w:pPr>
        <w:pStyle w:val="ListParagraph"/>
        <w:spacing w:before="120" w:after="120" w:line="240" w:lineRule="exact"/>
        <w:ind w:left="0"/>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Kredi riski yönetimi, risk kontrol,</w:t>
      </w:r>
      <w:r w:rsidR="0079738F" w:rsidRPr="00FB38E1">
        <w:rPr>
          <w:rFonts w:ascii="Microsoft Sans Serif" w:hAnsi="Microsoft Sans Serif" w:cs="Microsoft Sans Serif"/>
          <w:b/>
          <w:color w:val="404040" w:themeColor="text1" w:themeTint="BF"/>
          <w:sz w:val="20"/>
          <w:szCs w:val="20"/>
        </w:rPr>
        <w:t xml:space="preserve"> </w:t>
      </w:r>
      <w:r w:rsidRPr="00FB38E1">
        <w:rPr>
          <w:rFonts w:ascii="Microsoft Sans Serif" w:hAnsi="Microsoft Sans Serif" w:cs="Microsoft Sans Serif"/>
          <w:b/>
          <w:color w:val="404040" w:themeColor="text1" w:themeTint="BF"/>
          <w:sz w:val="20"/>
          <w:szCs w:val="20"/>
        </w:rPr>
        <w:t>yasal uyum ve iç denetim fonksiyonları arasındaki ilişki</w:t>
      </w:r>
    </w:p>
    <w:p w14:paraId="608E0CBE" w14:textId="483CD424" w:rsidR="00E036D3" w:rsidRPr="00FB38E1" w:rsidRDefault="000007E6" w:rsidP="000007E6">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Yeni geliştirilen kredi riski modelleri uygulamaya alınmadan önce validasyon sürecinden geçer ve Banka’nın Model Riski Yönetimi ve Validasyon Komitesinin onayı sonrasında risk yönetimi süreçlerinde kullanılır.  Kullanımda olan kredi riski modellerinin validasyon süreci asgari yılda bir kez tekrarlanır ve sonuçları Model Riski Yönetimi ve Validasyon Komitesine sunulur</w:t>
      </w:r>
      <w:r w:rsidR="00E036D3" w:rsidRPr="00FB38E1">
        <w:rPr>
          <w:rFonts w:ascii="Microsoft Sans Serif" w:hAnsi="Microsoft Sans Serif" w:cs="Microsoft Sans Serif"/>
          <w:color w:val="404040" w:themeColor="text1" w:themeTint="BF"/>
          <w:sz w:val="20"/>
          <w:szCs w:val="20"/>
        </w:rPr>
        <w:t>.</w:t>
      </w:r>
    </w:p>
    <w:p w14:paraId="448BC019" w14:textId="794A9874" w:rsidR="00E036D3" w:rsidRPr="00FB38E1" w:rsidRDefault="000007E6" w:rsidP="000007E6">
      <w:pPr>
        <w:spacing w:before="120" w:after="0" w:line="220" w:lineRule="exact"/>
        <w:rPr>
          <w:rFonts w:ascii="Microsoft Sans Serif" w:hAnsi="Microsoft Sans Serif" w:cs="Microsoft Sans Serif"/>
          <w:color w:val="404040" w:themeColor="text1" w:themeTint="BF"/>
          <w:sz w:val="20"/>
          <w:szCs w:val="20"/>
        </w:rPr>
      </w:pPr>
      <w:bookmarkStart w:id="41" w:name="_Hlk188341755"/>
      <w:r w:rsidRPr="00FB38E1">
        <w:rPr>
          <w:rFonts w:ascii="Microsoft Sans Serif" w:hAnsi="Microsoft Sans Serif" w:cs="Microsoft Sans Serif"/>
          <w:color w:val="404040" w:themeColor="text1" w:themeTint="BF"/>
          <w:sz w:val="20"/>
          <w:szCs w:val="20"/>
        </w:rPr>
        <w:t xml:space="preserve">Kredi </w:t>
      </w:r>
      <w:r w:rsidR="0011213A" w:rsidRPr="00FB38E1">
        <w:rPr>
          <w:rFonts w:ascii="Microsoft Sans Serif" w:hAnsi="Microsoft Sans Serif" w:cs="Microsoft Sans Serif"/>
          <w:color w:val="404040" w:themeColor="text1" w:themeTint="BF"/>
          <w:sz w:val="20"/>
          <w:szCs w:val="20"/>
        </w:rPr>
        <w:t>R</w:t>
      </w:r>
      <w:r w:rsidRPr="00FB38E1">
        <w:rPr>
          <w:rFonts w:ascii="Microsoft Sans Serif" w:hAnsi="Microsoft Sans Serif" w:cs="Microsoft Sans Serif"/>
          <w:color w:val="404040" w:themeColor="text1" w:themeTint="BF"/>
          <w:sz w:val="20"/>
          <w:szCs w:val="20"/>
        </w:rPr>
        <w:t xml:space="preserve">iski </w:t>
      </w:r>
      <w:r w:rsidR="0011213A" w:rsidRPr="00FB38E1">
        <w:rPr>
          <w:rFonts w:ascii="Microsoft Sans Serif" w:hAnsi="Microsoft Sans Serif" w:cs="Microsoft Sans Serif"/>
          <w:color w:val="404040" w:themeColor="text1" w:themeTint="BF"/>
          <w:sz w:val="20"/>
          <w:szCs w:val="20"/>
        </w:rPr>
        <w:t>K</w:t>
      </w:r>
      <w:r w:rsidR="003C6B9F" w:rsidRPr="00FB38E1">
        <w:rPr>
          <w:rFonts w:ascii="Microsoft Sans Serif" w:hAnsi="Microsoft Sans Serif" w:cs="Microsoft Sans Serif"/>
          <w:color w:val="404040" w:themeColor="text1" w:themeTint="BF"/>
          <w:sz w:val="20"/>
          <w:szCs w:val="20"/>
        </w:rPr>
        <w:t>ontrol</w:t>
      </w:r>
      <w:r w:rsidRPr="00FB38E1">
        <w:rPr>
          <w:rFonts w:ascii="Microsoft Sans Serif" w:hAnsi="Microsoft Sans Serif" w:cs="Microsoft Sans Serif"/>
          <w:color w:val="404040" w:themeColor="text1" w:themeTint="BF"/>
          <w:sz w:val="20"/>
          <w:szCs w:val="20"/>
        </w:rPr>
        <w:t>, Banka’nın kredi riskinin süreçlerinde kullanılan reyting sistemlerinin işleyişi, kredi derecelendirme notlarının gelişimleri, kredi notunda yapılan değişiklikleri izler ve raporlar. Kredi Riski Kontrol faaliyetlerinin banka içi düzenlemelerine ve düzenleyici yönetmelik ve rehberlere uyumu, banka iç denetim birimleri tarafından düzenli olarak denetlenmekte ve geliştirilmesi gereken hususlar tespit edilerek takibi yapılmaktadır</w:t>
      </w:r>
      <w:r w:rsidR="00E036D3" w:rsidRPr="00FB38E1">
        <w:rPr>
          <w:rFonts w:ascii="Microsoft Sans Serif" w:hAnsi="Microsoft Sans Serif" w:cs="Microsoft Sans Serif"/>
          <w:color w:val="404040" w:themeColor="text1" w:themeTint="BF"/>
          <w:sz w:val="20"/>
          <w:szCs w:val="20"/>
        </w:rPr>
        <w:t>.</w:t>
      </w:r>
    </w:p>
    <w:bookmarkEnd w:id="41"/>
    <w:p w14:paraId="40554836" w14:textId="77777777" w:rsidR="00E036D3" w:rsidRPr="00FB38E1" w:rsidRDefault="00E036D3" w:rsidP="00E036D3">
      <w:pPr>
        <w:pStyle w:val="ListParagraph"/>
        <w:spacing w:before="120" w:after="120" w:line="240" w:lineRule="exact"/>
        <w:ind w:left="0"/>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Üst düzey yönetim ve yönetim kurulu üyelerine kredi riski yönetim fonksiyonu ve maruz kalınan kredi riski ile ilgili yapılacak raporlamadaki kapsam ve ana içerik</w:t>
      </w:r>
    </w:p>
    <w:p w14:paraId="22C0243F" w14:textId="320E15F4" w:rsidR="00E036D3" w:rsidRPr="00FB38E1" w:rsidRDefault="000007E6" w:rsidP="000007E6">
      <w:pPr>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Risk iştahı beyanı Banka Yönetim Kurulu tarafından onaylanır ve her yıl gözden geçirilir. Banka, risk iştahı beyanıyla, mevcut risk yönetimi araçlarını, süreçlerini, ilkelerini ve politikalarını tutarlı bir yaklaşımla birleştirir ve risk alma faaliyetlerinin mutabık kalınan sınırlar dâhilinde yönetilmesini sağlar. Böylece Banka genelinde risk uygulamalarının tutarlılığı artırılır</w:t>
      </w:r>
      <w:r w:rsidR="00E036D3" w:rsidRPr="00FB38E1">
        <w:rPr>
          <w:rFonts w:ascii="Microsoft Sans Serif" w:hAnsi="Microsoft Sans Serif" w:cs="Microsoft Sans Serif"/>
          <w:color w:val="404040" w:themeColor="text1" w:themeTint="BF"/>
          <w:sz w:val="20"/>
          <w:szCs w:val="20"/>
        </w:rPr>
        <w:t>.</w:t>
      </w:r>
    </w:p>
    <w:p w14:paraId="403B5C8E" w14:textId="77777777" w:rsidR="00E036D3" w:rsidRPr="00FB38E1" w:rsidRDefault="00E036D3" w:rsidP="00E036D3">
      <w:pPr>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br w:type="page"/>
      </w:r>
    </w:p>
    <w:p w14:paraId="405A7AFE" w14:textId="77777777" w:rsidR="00E036D3" w:rsidRPr="00FB38E1" w:rsidRDefault="00E036D3" w:rsidP="00364B59">
      <w:pPr>
        <w:pStyle w:val="ListParagraph"/>
        <w:numPr>
          <w:ilvl w:val="0"/>
          <w:numId w:val="55"/>
        </w:numPr>
        <w:spacing w:before="120" w:after="120" w:line="240" w:lineRule="exact"/>
        <w:ind w:left="-68" w:hanging="35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Varlıkların kredi kalitesi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908"/>
        <w:gridCol w:w="1595"/>
        <w:gridCol w:w="1595"/>
        <w:gridCol w:w="1715"/>
        <w:gridCol w:w="1577"/>
      </w:tblGrid>
      <w:tr w:rsidR="00E036D3" w:rsidRPr="00FB38E1" w14:paraId="1D723F44" w14:textId="77777777" w:rsidTr="00836EF2">
        <w:tc>
          <w:tcPr>
            <w:tcW w:w="249" w:type="dxa"/>
            <w:tcMar>
              <w:left w:w="57" w:type="dxa"/>
              <w:right w:w="57" w:type="dxa"/>
            </w:tcMar>
          </w:tcPr>
          <w:p w14:paraId="6A2D4015" w14:textId="77777777" w:rsidR="00E036D3" w:rsidRPr="00FB38E1" w:rsidRDefault="00E036D3" w:rsidP="00836EF2">
            <w:pPr>
              <w:rPr>
                <w:rFonts w:ascii="Microsoft Sans Serif" w:hAnsi="Microsoft Sans Serif" w:cs="Microsoft Sans Serif"/>
                <w:sz w:val="16"/>
                <w:szCs w:val="16"/>
              </w:rPr>
            </w:pPr>
          </w:p>
        </w:tc>
        <w:tc>
          <w:tcPr>
            <w:tcW w:w="2908" w:type="dxa"/>
            <w:tcMar>
              <w:left w:w="57" w:type="dxa"/>
              <w:right w:w="57" w:type="dxa"/>
            </w:tcMar>
          </w:tcPr>
          <w:p w14:paraId="65004F5A" w14:textId="77777777" w:rsidR="00E036D3" w:rsidRPr="00FB38E1" w:rsidRDefault="00E036D3" w:rsidP="00836EF2">
            <w:pPr>
              <w:rPr>
                <w:rFonts w:ascii="Microsoft Sans Serif" w:hAnsi="Microsoft Sans Serif" w:cs="Microsoft Sans Serif"/>
                <w:sz w:val="16"/>
                <w:szCs w:val="16"/>
              </w:rPr>
            </w:pPr>
          </w:p>
        </w:tc>
        <w:tc>
          <w:tcPr>
            <w:tcW w:w="1595" w:type="dxa"/>
            <w:tcBorders>
              <w:top w:val="thinThickSmallGap" w:sz="24" w:space="0" w:color="auto"/>
              <w:bottom w:val="single" w:sz="4" w:space="0" w:color="auto"/>
            </w:tcBorders>
            <w:tcMar>
              <w:left w:w="57" w:type="dxa"/>
              <w:right w:w="57" w:type="dxa"/>
            </w:tcMar>
            <w:vAlign w:val="bottom"/>
          </w:tcPr>
          <w:p w14:paraId="57F114D9"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1595" w:type="dxa"/>
            <w:tcBorders>
              <w:top w:val="thinThickSmallGap" w:sz="24" w:space="0" w:color="auto"/>
              <w:bottom w:val="single" w:sz="4" w:space="0" w:color="auto"/>
            </w:tcBorders>
            <w:tcMar>
              <w:left w:w="57" w:type="dxa"/>
              <w:right w:w="57" w:type="dxa"/>
            </w:tcMar>
            <w:vAlign w:val="bottom"/>
          </w:tcPr>
          <w:p w14:paraId="56B9AAE9"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c>
          <w:tcPr>
            <w:tcW w:w="1715" w:type="dxa"/>
            <w:tcBorders>
              <w:top w:val="thinThickSmallGap" w:sz="24" w:space="0" w:color="auto"/>
              <w:bottom w:val="single" w:sz="4" w:space="0" w:color="auto"/>
            </w:tcBorders>
            <w:tcMar>
              <w:left w:w="57" w:type="dxa"/>
              <w:right w:w="57" w:type="dxa"/>
            </w:tcMar>
            <w:vAlign w:val="bottom"/>
          </w:tcPr>
          <w:p w14:paraId="2BDEA3EF"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c</w:t>
            </w:r>
          </w:p>
        </w:tc>
        <w:tc>
          <w:tcPr>
            <w:tcW w:w="1577" w:type="dxa"/>
            <w:tcBorders>
              <w:top w:val="thinThickSmallGap" w:sz="24" w:space="0" w:color="auto"/>
              <w:bottom w:val="single" w:sz="4" w:space="0" w:color="auto"/>
            </w:tcBorders>
            <w:tcMar>
              <w:left w:w="57" w:type="dxa"/>
              <w:right w:w="57" w:type="dxa"/>
            </w:tcMar>
            <w:vAlign w:val="bottom"/>
          </w:tcPr>
          <w:p w14:paraId="1743C1E5"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w:t>
            </w:r>
          </w:p>
        </w:tc>
      </w:tr>
      <w:tr w:rsidR="00E036D3" w:rsidRPr="00FB38E1" w14:paraId="72DB69A2" w14:textId="77777777" w:rsidTr="00836EF2">
        <w:tc>
          <w:tcPr>
            <w:tcW w:w="249" w:type="dxa"/>
            <w:tcMar>
              <w:left w:w="57" w:type="dxa"/>
              <w:right w:w="57" w:type="dxa"/>
            </w:tcMar>
          </w:tcPr>
          <w:p w14:paraId="42F1DBB6" w14:textId="77777777" w:rsidR="00E036D3" w:rsidRPr="00FB38E1" w:rsidRDefault="00E036D3" w:rsidP="00836EF2">
            <w:pPr>
              <w:rPr>
                <w:rFonts w:ascii="Microsoft Sans Serif" w:hAnsi="Microsoft Sans Serif" w:cs="Microsoft Sans Serif"/>
                <w:sz w:val="16"/>
                <w:szCs w:val="16"/>
              </w:rPr>
            </w:pPr>
          </w:p>
        </w:tc>
        <w:tc>
          <w:tcPr>
            <w:tcW w:w="2908" w:type="dxa"/>
            <w:tcMar>
              <w:left w:w="57" w:type="dxa"/>
              <w:right w:w="57" w:type="dxa"/>
            </w:tcMar>
            <w:vAlign w:val="center"/>
          </w:tcPr>
          <w:p w14:paraId="53869DF2" w14:textId="77777777" w:rsidR="00E036D3" w:rsidRPr="00FB38E1" w:rsidRDefault="00E036D3" w:rsidP="00836EF2">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Cari Dönem</w:t>
            </w:r>
          </w:p>
        </w:tc>
        <w:tc>
          <w:tcPr>
            <w:tcW w:w="3190" w:type="dxa"/>
            <w:gridSpan w:val="2"/>
            <w:tcBorders>
              <w:top w:val="single" w:sz="4" w:space="0" w:color="auto"/>
              <w:bottom w:val="single" w:sz="4" w:space="0" w:color="auto"/>
            </w:tcBorders>
            <w:tcMar>
              <w:left w:w="57" w:type="dxa"/>
              <w:right w:w="57" w:type="dxa"/>
            </w:tcMar>
          </w:tcPr>
          <w:p w14:paraId="6E663C08"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Finansal tablolarda yer alan </w:t>
            </w:r>
          </w:p>
          <w:p w14:paraId="6319E70E"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TMS uyarınca değerlenmiş brüt tutar</w:t>
            </w:r>
          </w:p>
        </w:tc>
        <w:tc>
          <w:tcPr>
            <w:tcW w:w="1715" w:type="dxa"/>
            <w:vMerge w:val="restart"/>
            <w:tcBorders>
              <w:top w:val="single" w:sz="4" w:space="0" w:color="auto"/>
            </w:tcBorders>
            <w:tcMar>
              <w:left w:w="57" w:type="dxa"/>
              <w:right w:w="57" w:type="dxa"/>
            </w:tcMar>
            <w:vAlign w:val="bottom"/>
          </w:tcPr>
          <w:p w14:paraId="73C1F081"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Karşılıklar/</w:t>
            </w:r>
          </w:p>
          <w:p w14:paraId="72347EB2"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amortisman</w:t>
            </w:r>
          </w:p>
          <w:p w14:paraId="62ED59FD"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ve değer </w:t>
            </w:r>
          </w:p>
          <w:p w14:paraId="46A22B55"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düşüklüğü</w:t>
            </w:r>
          </w:p>
        </w:tc>
        <w:tc>
          <w:tcPr>
            <w:tcW w:w="1577" w:type="dxa"/>
            <w:vMerge w:val="restart"/>
            <w:tcBorders>
              <w:top w:val="single" w:sz="4" w:space="0" w:color="auto"/>
            </w:tcBorders>
            <w:tcMar>
              <w:left w:w="57" w:type="dxa"/>
              <w:right w:w="57" w:type="dxa"/>
            </w:tcMar>
            <w:vAlign w:val="bottom"/>
          </w:tcPr>
          <w:p w14:paraId="56652F59"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Net değer </w:t>
            </w:r>
          </w:p>
          <w:p w14:paraId="02D65083"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(a+b-c)</w:t>
            </w:r>
          </w:p>
        </w:tc>
      </w:tr>
      <w:tr w:rsidR="00E036D3" w:rsidRPr="00FB38E1" w14:paraId="7A0B75B1" w14:textId="77777777" w:rsidTr="00836EF2">
        <w:tc>
          <w:tcPr>
            <w:tcW w:w="249" w:type="dxa"/>
            <w:tcBorders>
              <w:bottom w:val="single" w:sz="4" w:space="0" w:color="auto"/>
            </w:tcBorders>
            <w:tcMar>
              <w:left w:w="57" w:type="dxa"/>
              <w:right w:w="57" w:type="dxa"/>
            </w:tcMar>
          </w:tcPr>
          <w:p w14:paraId="667066F6" w14:textId="77777777" w:rsidR="00E036D3" w:rsidRPr="00FB38E1" w:rsidRDefault="00E036D3" w:rsidP="00836EF2">
            <w:pPr>
              <w:rPr>
                <w:rFonts w:ascii="Microsoft Sans Serif" w:hAnsi="Microsoft Sans Serif" w:cs="Microsoft Sans Serif"/>
                <w:sz w:val="16"/>
                <w:szCs w:val="16"/>
              </w:rPr>
            </w:pPr>
          </w:p>
        </w:tc>
        <w:tc>
          <w:tcPr>
            <w:tcW w:w="2908" w:type="dxa"/>
            <w:tcBorders>
              <w:bottom w:val="single" w:sz="4" w:space="0" w:color="auto"/>
            </w:tcBorders>
            <w:tcMar>
              <w:left w:w="57" w:type="dxa"/>
              <w:right w:w="57" w:type="dxa"/>
            </w:tcMar>
          </w:tcPr>
          <w:p w14:paraId="012AC68F" w14:textId="77777777" w:rsidR="00E036D3" w:rsidRPr="00FB38E1" w:rsidRDefault="00E036D3" w:rsidP="00836EF2">
            <w:pPr>
              <w:rPr>
                <w:rFonts w:ascii="Microsoft Sans Serif" w:hAnsi="Microsoft Sans Serif" w:cs="Microsoft Sans Serif"/>
                <w:sz w:val="16"/>
                <w:szCs w:val="16"/>
              </w:rPr>
            </w:pPr>
          </w:p>
        </w:tc>
        <w:tc>
          <w:tcPr>
            <w:tcW w:w="1595" w:type="dxa"/>
            <w:tcBorders>
              <w:top w:val="single" w:sz="4" w:space="0" w:color="auto"/>
              <w:bottom w:val="single" w:sz="4" w:space="0" w:color="auto"/>
            </w:tcBorders>
            <w:tcMar>
              <w:left w:w="57" w:type="dxa"/>
              <w:right w:w="57" w:type="dxa"/>
            </w:tcMar>
          </w:tcPr>
          <w:p w14:paraId="61101199"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Temerrüt </w:t>
            </w:r>
          </w:p>
          <w:p w14:paraId="407FF685"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etmiş</w:t>
            </w:r>
          </w:p>
        </w:tc>
        <w:tc>
          <w:tcPr>
            <w:tcW w:w="1595" w:type="dxa"/>
            <w:tcBorders>
              <w:top w:val="single" w:sz="4" w:space="0" w:color="auto"/>
              <w:bottom w:val="single" w:sz="4" w:space="0" w:color="auto"/>
            </w:tcBorders>
            <w:tcMar>
              <w:left w:w="57" w:type="dxa"/>
              <w:right w:w="57" w:type="dxa"/>
            </w:tcMar>
          </w:tcPr>
          <w:p w14:paraId="08212CC1"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Temerrüt </w:t>
            </w:r>
          </w:p>
          <w:p w14:paraId="7BBE92D2"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etmemiş</w:t>
            </w:r>
          </w:p>
        </w:tc>
        <w:tc>
          <w:tcPr>
            <w:tcW w:w="1715" w:type="dxa"/>
            <w:vMerge/>
            <w:tcBorders>
              <w:bottom w:val="single" w:sz="4" w:space="0" w:color="auto"/>
            </w:tcBorders>
            <w:tcMar>
              <w:left w:w="57" w:type="dxa"/>
              <w:right w:w="57" w:type="dxa"/>
            </w:tcMar>
          </w:tcPr>
          <w:p w14:paraId="591370A8" w14:textId="77777777" w:rsidR="00E036D3" w:rsidRPr="00FB38E1" w:rsidRDefault="00E036D3" w:rsidP="00836EF2">
            <w:pPr>
              <w:jc w:val="center"/>
              <w:rPr>
                <w:rFonts w:ascii="Microsoft Sans Serif" w:hAnsi="Microsoft Sans Serif" w:cs="Microsoft Sans Serif"/>
                <w:sz w:val="16"/>
                <w:szCs w:val="16"/>
              </w:rPr>
            </w:pPr>
          </w:p>
        </w:tc>
        <w:tc>
          <w:tcPr>
            <w:tcW w:w="1577" w:type="dxa"/>
            <w:vMerge/>
            <w:tcBorders>
              <w:bottom w:val="single" w:sz="4" w:space="0" w:color="auto"/>
            </w:tcBorders>
            <w:tcMar>
              <w:left w:w="57" w:type="dxa"/>
              <w:right w:w="57" w:type="dxa"/>
            </w:tcMar>
          </w:tcPr>
          <w:p w14:paraId="59D5CC4C" w14:textId="77777777" w:rsidR="00E036D3" w:rsidRPr="00FB38E1" w:rsidRDefault="00E036D3" w:rsidP="00836EF2">
            <w:pPr>
              <w:jc w:val="center"/>
              <w:rPr>
                <w:rFonts w:ascii="Microsoft Sans Serif" w:hAnsi="Microsoft Sans Serif" w:cs="Microsoft Sans Serif"/>
                <w:sz w:val="16"/>
                <w:szCs w:val="16"/>
              </w:rPr>
            </w:pPr>
          </w:p>
        </w:tc>
      </w:tr>
      <w:tr w:rsidR="003022BF" w:rsidRPr="00FB38E1" w14:paraId="5B0D8C29" w14:textId="77777777" w:rsidTr="00836EF2">
        <w:tc>
          <w:tcPr>
            <w:tcW w:w="249" w:type="dxa"/>
            <w:tcBorders>
              <w:top w:val="single" w:sz="4" w:space="0" w:color="auto"/>
              <w:bottom w:val="nil"/>
            </w:tcBorders>
            <w:tcMar>
              <w:left w:w="57" w:type="dxa"/>
              <w:right w:w="57" w:type="dxa"/>
            </w:tcMar>
            <w:vAlign w:val="bottom"/>
          </w:tcPr>
          <w:p w14:paraId="24AF11B2" w14:textId="77777777"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p>
        </w:tc>
        <w:tc>
          <w:tcPr>
            <w:tcW w:w="2908" w:type="dxa"/>
            <w:tcBorders>
              <w:top w:val="single" w:sz="4" w:space="0" w:color="auto"/>
              <w:bottom w:val="nil"/>
            </w:tcBorders>
            <w:tcMar>
              <w:left w:w="57" w:type="dxa"/>
              <w:right w:w="57" w:type="dxa"/>
            </w:tcMar>
            <w:vAlign w:val="bottom"/>
          </w:tcPr>
          <w:p w14:paraId="6B46A005"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Krediler</w:t>
            </w:r>
          </w:p>
        </w:tc>
        <w:tc>
          <w:tcPr>
            <w:tcW w:w="1595" w:type="dxa"/>
            <w:tcBorders>
              <w:top w:val="nil"/>
              <w:left w:val="nil"/>
              <w:bottom w:val="nil"/>
              <w:right w:val="nil"/>
            </w:tcBorders>
            <w:shd w:val="clear" w:color="000000" w:fill="FFFFFF"/>
            <w:tcMar>
              <w:left w:w="57" w:type="dxa"/>
              <w:right w:w="57" w:type="dxa"/>
            </w:tcMar>
            <w:vAlign w:val="center"/>
          </w:tcPr>
          <w:p w14:paraId="0F75CF2A" w14:textId="24DAB5EC"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27.744.142</w:t>
            </w:r>
          </w:p>
        </w:tc>
        <w:tc>
          <w:tcPr>
            <w:tcW w:w="1595" w:type="dxa"/>
            <w:tcBorders>
              <w:top w:val="nil"/>
              <w:left w:val="nil"/>
              <w:bottom w:val="nil"/>
              <w:right w:val="nil"/>
            </w:tcBorders>
            <w:shd w:val="clear" w:color="000000" w:fill="FFFFFF"/>
            <w:tcMar>
              <w:left w:w="57" w:type="dxa"/>
              <w:right w:w="57" w:type="dxa"/>
            </w:tcMar>
            <w:vAlign w:val="center"/>
          </w:tcPr>
          <w:p w14:paraId="35992EBD" w14:textId="159FF749"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708.474.139</w:t>
            </w:r>
          </w:p>
        </w:tc>
        <w:tc>
          <w:tcPr>
            <w:tcW w:w="1715" w:type="dxa"/>
            <w:tcBorders>
              <w:top w:val="nil"/>
              <w:left w:val="nil"/>
              <w:bottom w:val="nil"/>
              <w:right w:val="nil"/>
            </w:tcBorders>
            <w:shd w:val="clear" w:color="auto" w:fill="auto"/>
            <w:tcMar>
              <w:left w:w="57" w:type="dxa"/>
              <w:right w:w="57" w:type="dxa"/>
            </w:tcMar>
            <w:vAlign w:val="center"/>
          </w:tcPr>
          <w:p w14:paraId="50A2D024" w14:textId="52C9A47B"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36.035.598</w:t>
            </w:r>
          </w:p>
        </w:tc>
        <w:tc>
          <w:tcPr>
            <w:tcW w:w="1577" w:type="dxa"/>
            <w:tcBorders>
              <w:top w:val="nil"/>
              <w:left w:val="nil"/>
              <w:bottom w:val="nil"/>
              <w:right w:val="nil"/>
            </w:tcBorders>
            <w:shd w:val="clear" w:color="auto" w:fill="auto"/>
            <w:tcMar>
              <w:left w:w="57" w:type="dxa"/>
              <w:right w:w="57" w:type="dxa"/>
            </w:tcMar>
            <w:vAlign w:val="center"/>
          </w:tcPr>
          <w:p w14:paraId="1117D9DC" w14:textId="53911DFD"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700.182.683</w:t>
            </w:r>
          </w:p>
        </w:tc>
      </w:tr>
      <w:tr w:rsidR="003022BF" w:rsidRPr="00FB38E1" w14:paraId="0E483CB4" w14:textId="77777777" w:rsidTr="00836EF2">
        <w:tc>
          <w:tcPr>
            <w:tcW w:w="249" w:type="dxa"/>
            <w:tcBorders>
              <w:top w:val="nil"/>
            </w:tcBorders>
            <w:tcMar>
              <w:left w:w="57" w:type="dxa"/>
              <w:right w:w="57" w:type="dxa"/>
            </w:tcMar>
            <w:vAlign w:val="bottom"/>
          </w:tcPr>
          <w:p w14:paraId="31C6E66C" w14:textId="77777777"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2908" w:type="dxa"/>
            <w:tcBorders>
              <w:top w:val="nil"/>
            </w:tcBorders>
            <w:tcMar>
              <w:left w:w="57" w:type="dxa"/>
              <w:right w:w="57" w:type="dxa"/>
            </w:tcMar>
            <w:vAlign w:val="bottom"/>
          </w:tcPr>
          <w:p w14:paraId="36829BCB"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Borçlanma araçları</w:t>
            </w:r>
          </w:p>
        </w:tc>
        <w:tc>
          <w:tcPr>
            <w:tcW w:w="1595" w:type="dxa"/>
            <w:tcBorders>
              <w:top w:val="nil"/>
              <w:left w:val="nil"/>
              <w:bottom w:val="nil"/>
              <w:right w:val="nil"/>
            </w:tcBorders>
            <w:shd w:val="clear" w:color="000000" w:fill="FFFFFF"/>
            <w:tcMar>
              <w:left w:w="57" w:type="dxa"/>
              <w:right w:w="57" w:type="dxa"/>
            </w:tcMar>
            <w:vAlign w:val="center"/>
          </w:tcPr>
          <w:p w14:paraId="4B9F9D6D" w14:textId="6BAB07F7"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595" w:type="dxa"/>
            <w:tcBorders>
              <w:top w:val="nil"/>
              <w:left w:val="nil"/>
              <w:bottom w:val="nil"/>
              <w:right w:val="nil"/>
            </w:tcBorders>
            <w:shd w:val="clear" w:color="000000" w:fill="FFFFFF"/>
            <w:tcMar>
              <w:left w:w="57" w:type="dxa"/>
              <w:right w:w="57" w:type="dxa"/>
            </w:tcMar>
            <w:vAlign w:val="center"/>
          </w:tcPr>
          <w:p w14:paraId="456740E7" w14:textId="6EA60B17"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174.784.556</w:t>
            </w:r>
          </w:p>
        </w:tc>
        <w:tc>
          <w:tcPr>
            <w:tcW w:w="1715" w:type="dxa"/>
            <w:tcBorders>
              <w:top w:val="nil"/>
              <w:left w:val="nil"/>
              <w:bottom w:val="nil"/>
              <w:right w:val="nil"/>
            </w:tcBorders>
            <w:shd w:val="clear" w:color="auto" w:fill="auto"/>
            <w:tcMar>
              <w:left w:w="57" w:type="dxa"/>
              <w:right w:w="57" w:type="dxa"/>
            </w:tcMar>
            <w:vAlign w:val="center"/>
          </w:tcPr>
          <w:p w14:paraId="2531C3BF" w14:textId="0C31F086"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7.830</w:t>
            </w:r>
          </w:p>
        </w:tc>
        <w:tc>
          <w:tcPr>
            <w:tcW w:w="1577" w:type="dxa"/>
            <w:tcBorders>
              <w:top w:val="nil"/>
              <w:left w:val="nil"/>
              <w:bottom w:val="nil"/>
              <w:right w:val="nil"/>
            </w:tcBorders>
            <w:shd w:val="clear" w:color="auto" w:fill="auto"/>
            <w:tcMar>
              <w:left w:w="57" w:type="dxa"/>
              <w:right w:w="57" w:type="dxa"/>
            </w:tcMar>
            <w:vAlign w:val="center"/>
          </w:tcPr>
          <w:p w14:paraId="012F4A76" w14:textId="57C2C92A"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174.776.726</w:t>
            </w:r>
          </w:p>
        </w:tc>
      </w:tr>
      <w:tr w:rsidR="003022BF" w:rsidRPr="00FB38E1" w14:paraId="4F2A5D8D" w14:textId="77777777" w:rsidTr="00836EF2">
        <w:tc>
          <w:tcPr>
            <w:tcW w:w="249" w:type="dxa"/>
            <w:tcBorders>
              <w:bottom w:val="single" w:sz="4" w:space="0" w:color="auto"/>
            </w:tcBorders>
            <w:tcMar>
              <w:left w:w="57" w:type="dxa"/>
              <w:right w:w="57" w:type="dxa"/>
            </w:tcMar>
            <w:vAlign w:val="bottom"/>
          </w:tcPr>
          <w:p w14:paraId="044D82D6" w14:textId="77777777"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3</w:t>
            </w:r>
          </w:p>
        </w:tc>
        <w:tc>
          <w:tcPr>
            <w:tcW w:w="2908" w:type="dxa"/>
            <w:tcBorders>
              <w:bottom w:val="single" w:sz="4" w:space="0" w:color="auto"/>
            </w:tcBorders>
            <w:tcMar>
              <w:left w:w="57" w:type="dxa"/>
              <w:right w:w="57" w:type="dxa"/>
            </w:tcMar>
            <w:vAlign w:val="bottom"/>
          </w:tcPr>
          <w:p w14:paraId="2CA1089F"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Bilanço dışı alacaklar (*)</w:t>
            </w:r>
          </w:p>
        </w:tc>
        <w:tc>
          <w:tcPr>
            <w:tcW w:w="1595" w:type="dxa"/>
            <w:tcBorders>
              <w:top w:val="nil"/>
              <w:left w:val="nil"/>
              <w:bottom w:val="single" w:sz="4" w:space="0" w:color="auto"/>
              <w:right w:val="nil"/>
            </w:tcBorders>
            <w:shd w:val="clear" w:color="000000" w:fill="FFFFFF"/>
            <w:tcMar>
              <w:left w:w="57" w:type="dxa"/>
              <w:right w:w="57" w:type="dxa"/>
            </w:tcMar>
            <w:vAlign w:val="center"/>
          </w:tcPr>
          <w:p w14:paraId="38D498C9" w14:textId="770E44C9"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4.406.529</w:t>
            </w:r>
          </w:p>
        </w:tc>
        <w:tc>
          <w:tcPr>
            <w:tcW w:w="1595" w:type="dxa"/>
            <w:tcBorders>
              <w:top w:val="nil"/>
              <w:left w:val="nil"/>
              <w:bottom w:val="single" w:sz="4" w:space="0" w:color="auto"/>
              <w:right w:val="nil"/>
            </w:tcBorders>
            <w:shd w:val="clear" w:color="000000" w:fill="FFFFFF"/>
            <w:tcMar>
              <w:left w:w="57" w:type="dxa"/>
              <w:right w:w="57" w:type="dxa"/>
            </w:tcMar>
            <w:vAlign w:val="center"/>
          </w:tcPr>
          <w:p w14:paraId="4EF6311F" w14:textId="1B3A6C11"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696.752.382</w:t>
            </w:r>
          </w:p>
        </w:tc>
        <w:tc>
          <w:tcPr>
            <w:tcW w:w="1715" w:type="dxa"/>
            <w:tcBorders>
              <w:top w:val="nil"/>
              <w:left w:val="nil"/>
              <w:bottom w:val="single" w:sz="4" w:space="0" w:color="auto"/>
              <w:right w:val="nil"/>
            </w:tcBorders>
            <w:shd w:val="clear" w:color="auto" w:fill="auto"/>
            <w:tcMar>
              <w:left w:w="57" w:type="dxa"/>
              <w:right w:w="57" w:type="dxa"/>
            </w:tcMar>
            <w:vAlign w:val="center"/>
          </w:tcPr>
          <w:p w14:paraId="55C7492D" w14:textId="4914CDCE"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5.080.278</w:t>
            </w:r>
          </w:p>
        </w:tc>
        <w:tc>
          <w:tcPr>
            <w:tcW w:w="1577" w:type="dxa"/>
            <w:tcBorders>
              <w:top w:val="nil"/>
              <w:left w:val="nil"/>
              <w:bottom w:val="single" w:sz="4" w:space="0" w:color="auto"/>
              <w:right w:val="nil"/>
            </w:tcBorders>
            <w:shd w:val="clear" w:color="auto" w:fill="auto"/>
            <w:tcMar>
              <w:left w:w="57" w:type="dxa"/>
              <w:right w:w="57" w:type="dxa"/>
            </w:tcMar>
            <w:vAlign w:val="center"/>
          </w:tcPr>
          <w:p w14:paraId="594F3829" w14:textId="291773BA"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696.078.633</w:t>
            </w:r>
          </w:p>
        </w:tc>
      </w:tr>
      <w:tr w:rsidR="003022BF" w:rsidRPr="00FB38E1" w14:paraId="6E4F7A7B" w14:textId="77777777" w:rsidTr="00836EF2">
        <w:tc>
          <w:tcPr>
            <w:tcW w:w="249" w:type="dxa"/>
            <w:tcBorders>
              <w:top w:val="single" w:sz="4" w:space="0" w:color="auto"/>
              <w:bottom w:val="thickThinSmallGap" w:sz="24" w:space="0" w:color="auto"/>
            </w:tcBorders>
            <w:tcMar>
              <w:left w:w="57" w:type="dxa"/>
              <w:right w:w="57" w:type="dxa"/>
            </w:tcMar>
            <w:vAlign w:val="bottom"/>
          </w:tcPr>
          <w:p w14:paraId="2753D034" w14:textId="77777777" w:rsidR="003022BF" w:rsidRPr="00FB38E1" w:rsidRDefault="003022BF" w:rsidP="003022BF">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4</w:t>
            </w:r>
          </w:p>
        </w:tc>
        <w:tc>
          <w:tcPr>
            <w:tcW w:w="2908" w:type="dxa"/>
            <w:tcBorders>
              <w:top w:val="single" w:sz="4" w:space="0" w:color="auto"/>
              <w:bottom w:val="thickThinSmallGap" w:sz="24" w:space="0" w:color="auto"/>
            </w:tcBorders>
            <w:tcMar>
              <w:left w:w="57" w:type="dxa"/>
              <w:right w:w="57" w:type="dxa"/>
            </w:tcMar>
            <w:vAlign w:val="bottom"/>
          </w:tcPr>
          <w:p w14:paraId="55671688" w14:textId="77777777" w:rsidR="003022BF" w:rsidRPr="00FB38E1" w:rsidRDefault="003022BF" w:rsidP="003022BF">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1595" w:type="dxa"/>
            <w:tcBorders>
              <w:top w:val="single" w:sz="4" w:space="0" w:color="auto"/>
              <w:bottom w:val="thickThinSmallGap" w:sz="24" w:space="0" w:color="auto"/>
            </w:tcBorders>
            <w:tcMar>
              <w:left w:w="57" w:type="dxa"/>
              <w:right w:w="57" w:type="dxa"/>
            </w:tcMar>
            <w:vAlign w:val="center"/>
          </w:tcPr>
          <w:p w14:paraId="6ED84FB9" w14:textId="60360149"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32.150.671</w:t>
            </w:r>
          </w:p>
        </w:tc>
        <w:tc>
          <w:tcPr>
            <w:tcW w:w="1595" w:type="dxa"/>
            <w:tcBorders>
              <w:top w:val="single" w:sz="4" w:space="0" w:color="auto"/>
              <w:bottom w:val="thickThinSmallGap" w:sz="24" w:space="0" w:color="auto"/>
            </w:tcBorders>
            <w:tcMar>
              <w:left w:w="57" w:type="dxa"/>
              <w:right w:w="57" w:type="dxa"/>
            </w:tcMar>
            <w:vAlign w:val="center"/>
          </w:tcPr>
          <w:p w14:paraId="7B7750C2" w14:textId="272314F4"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1.580.011.077</w:t>
            </w:r>
          </w:p>
        </w:tc>
        <w:tc>
          <w:tcPr>
            <w:tcW w:w="1715" w:type="dxa"/>
            <w:tcBorders>
              <w:top w:val="single" w:sz="4" w:space="0" w:color="auto"/>
              <w:bottom w:val="thickThinSmallGap" w:sz="24" w:space="0" w:color="auto"/>
            </w:tcBorders>
            <w:tcMar>
              <w:left w:w="57" w:type="dxa"/>
              <w:right w:w="57" w:type="dxa"/>
            </w:tcMar>
            <w:vAlign w:val="center"/>
          </w:tcPr>
          <w:p w14:paraId="2B6219B0" w14:textId="5954ED72"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41.123.706</w:t>
            </w:r>
          </w:p>
        </w:tc>
        <w:tc>
          <w:tcPr>
            <w:tcW w:w="1577" w:type="dxa"/>
            <w:tcBorders>
              <w:top w:val="single" w:sz="4" w:space="0" w:color="auto"/>
              <w:bottom w:val="thickThinSmallGap" w:sz="24" w:space="0" w:color="auto"/>
            </w:tcBorders>
            <w:tcMar>
              <w:left w:w="57" w:type="dxa"/>
              <w:right w:w="57" w:type="dxa"/>
            </w:tcMar>
            <w:vAlign w:val="center"/>
          </w:tcPr>
          <w:p w14:paraId="6D804E79" w14:textId="146745A1"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1.571.038.042</w:t>
            </w:r>
          </w:p>
        </w:tc>
      </w:tr>
    </w:tbl>
    <w:p w14:paraId="7A1AAAB4" w14:textId="77777777" w:rsidR="00E036D3" w:rsidRPr="00FB38E1" w:rsidRDefault="00E036D3" w:rsidP="00E036D3">
      <w:pPr>
        <w:spacing w:after="240" w:line="240" w:lineRule="exac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Cayılabilir taahhütler ve Vadeli Aktif Değerler Alım Satım Taahhütleri’ni içermemektedir.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9"/>
        <w:gridCol w:w="2908"/>
        <w:gridCol w:w="1595"/>
        <w:gridCol w:w="1595"/>
        <w:gridCol w:w="1715"/>
        <w:gridCol w:w="1577"/>
      </w:tblGrid>
      <w:tr w:rsidR="00E036D3" w:rsidRPr="00FB38E1" w14:paraId="6C23F637" w14:textId="77777777" w:rsidTr="00836EF2">
        <w:tc>
          <w:tcPr>
            <w:tcW w:w="249" w:type="dxa"/>
            <w:tcMar>
              <w:left w:w="57" w:type="dxa"/>
              <w:right w:w="57" w:type="dxa"/>
            </w:tcMar>
          </w:tcPr>
          <w:p w14:paraId="6C13BC7D" w14:textId="77777777" w:rsidR="00E036D3" w:rsidRPr="00FB38E1" w:rsidRDefault="00E036D3" w:rsidP="00836EF2">
            <w:pPr>
              <w:rPr>
                <w:rFonts w:ascii="Microsoft Sans Serif" w:hAnsi="Microsoft Sans Serif" w:cs="Microsoft Sans Serif"/>
                <w:sz w:val="16"/>
                <w:szCs w:val="16"/>
              </w:rPr>
            </w:pPr>
          </w:p>
        </w:tc>
        <w:tc>
          <w:tcPr>
            <w:tcW w:w="2908" w:type="dxa"/>
            <w:tcMar>
              <w:left w:w="57" w:type="dxa"/>
              <w:right w:w="57" w:type="dxa"/>
            </w:tcMar>
          </w:tcPr>
          <w:p w14:paraId="4C33066A" w14:textId="77777777" w:rsidR="00E036D3" w:rsidRPr="00FB38E1" w:rsidRDefault="00E036D3" w:rsidP="00836EF2">
            <w:pPr>
              <w:rPr>
                <w:rFonts w:ascii="Microsoft Sans Serif" w:hAnsi="Microsoft Sans Serif" w:cs="Microsoft Sans Serif"/>
                <w:sz w:val="16"/>
                <w:szCs w:val="16"/>
              </w:rPr>
            </w:pPr>
          </w:p>
        </w:tc>
        <w:tc>
          <w:tcPr>
            <w:tcW w:w="1595" w:type="dxa"/>
            <w:tcBorders>
              <w:top w:val="thinThickSmallGap" w:sz="24" w:space="0" w:color="auto"/>
              <w:bottom w:val="single" w:sz="4" w:space="0" w:color="auto"/>
            </w:tcBorders>
            <w:tcMar>
              <w:left w:w="57" w:type="dxa"/>
              <w:right w:w="57" w:type="dxa"/>
            </w:tcMar>
            <w:vAlign w:val="bottom"/>
          </w:tcPr>
          <w:p w14:paraId="5C89E5DA"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1595" w:type="dxa"/>
            <w:tcBorders>
              <w:top w:val="thinThickSmallGap" w:sz="24" w:space="0" w:color="auto"/>
              <w:bottom w:val="single" w:sz="4" w:space="0" w:color="auto"/>
            </w:tcBorders>
            <w:tcMar>
              <w:left w:w="57" w:type="dxa"/>
              <w:right w:w="57" w:type="dxa"/>
            </w:tcMar>
            <w:vAlign w:val="bottom"/>
          </w:tcPr>
          <w:p w14:paraId="3143B1C4"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c>
          <w:tcPr>
            <w:tcW w:w="1715" w:type="dxa"/>
            <w:tcBorders>
              <w:top w:val="thinThickSmallGap" w:sz="24" w:space="0" w:color="auto"/>
              <w:bottom w:val="single" w:sz="4" w:space="0" w:color="auto"/>
            </w:tcBorders>
            <w:tcMar>
              <w:left w:w="57" w:type="dxa"/>
              <w:right w:w="57" w:type="dxa"/>
            </w:tcMar>
            <w:vAlign w:val="bottom"/>
          </w:tcPr>
          <w:p w14:paraId="0D077051"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c</w:t>
            </w:r>
          </w:p>
        </w:tc>
        <w:tc>
          <w:tcPr>
            <w:tcW w:w="1577" w:type="dxa"/>
            <w:tcBorders>
              <w:top w:val="thinThickSmallGap" w:sz="24" w:space="0" w:color="auto"/>
              <w:bottom w:val="single" w:sz="4" w:space="0" w:color="auto"/>
            </w:tcBorders>
            <w:tcMar>
              <w:left w:w="57" w:type="dxa"/>
              <w:right w:w="57" w:type="dxa"/>
            </w:tcMar>
            <w:vAlign w:val="bottom"/>
          </w:tcPr>
          <w:p w14:paraId="716C8B2B"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w:t>
            </w:r>
          </w:p>
        </w:tc>
      </w:tr>
      <w:tr w:rsidR="00E036D3" w:rsidRPr="00FB38E1" w14:paraId="7A951F2B" w14:textId="77777777" w:rsidTr="00836EF2">
        <w:tc>
          <w:tcPr>
            <w:tcW w:w="249" w:type="dxa"/>
            <w:tcMar>
              <w:left w:w="57" w:type="dxa"/>
              <w:right w:w="57" w:type="dxa"/>
            </w:tcMar>
          </w:tcPr>
          <w:p w14:paraId="3AA99717" w14:textId="77777777" w:rsidR="00E036D3" w:rsidRPr="00FB38E1" w:rsidRDefault="00E036D3" w:rsidP="00836EF2">
            <w:pPr>
              <w:rPr>
                <w:rFonts w:ascii="Microsoft Sans Serif" w:hAnsi="Microsoft Sans Serif" w:cs="Microsoft Sans Serif"/>
                <w:sz w:val="16"/>
                <w:szCs w:val="16"/>
              </w:rPr>
            </w:pPr>
          </w:p>
        </w:tc>
        <w:tc>
          <w:tcPr>
            <w:tcW w:w="2908" w:type="dxa"/>
            <w:tcMar>
              <w:left w:w="57" w:type="dxa"/>
              <w:right w:w="57" w:type="dxa"/>
            </w:tcMar>
            <w:vAlign w:val="center"/>
          </w:tcPr>
          <w:p w14:paraId="1716119E" w14:textId="77777777" w:rsidR="00E036D3" w:rsidRPr="00FB38E1" w:rsidRDefault="00E036D3" w:rsidP="00836EF2">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Önceki Dönem</w:t>
            </w:r>
          </w:p>
        </w:tc>
        <w:tc>
          <w:tcPr>
            <w:tcW w:w="3190" w:type="dxa"/>
            <w:gridSpan w:val="2"/>
            <w:tcBorders>
              <w:top w:val="single" w:sz="4" w:space="0" w:color="auto"/>
              <w:bottom w:val="single" w:sz="4" w:space="0" w:color="auto"/>
            </w:tcBorders>
            <w:tcMar>
              <w:left w:w="57" w:type="dxa"/>
              <w:right w:w="57" w:type="dxa"/>
            </w:tcMar>
          </w:tcPr>
          <w:p w14:paraId="44AEA015"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Finansal tablolarda yer alan </w:t>
            </w:r>
          </w:p>
          <w:p w14:paraId="7A401C9E"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TMS uyarınca değerlenmiş brüt tutar</w:t>
            </w:r>
          </w:p>
        </w:tc>
        <w:tc>
          <w:tcPr>
            <w:tcW w:w="1715" w:type="dxa"/>
            <w:vMerge w:val="restart"/>
            <w:tcBorders>
              <w:top w:val="single" w:sz="4" w:space="0" w:color="auto"/>
            </w:tcBorders>
            <w:tcMar>
              <w:left w:w="57" w:type="dxa"/>
              <w:right w:w="57" w:type="dxa"/>
            </w:tcMar>
            <w:vAlign w:val="bottom"/>
          </w:tcPr>
          <w:p w14:paraId="0896D52F"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Karşılıklar/</w:t>
            </w:r>
          </w:p>
          <w:p w14:paraId="1D7D2240"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amortisman</w:t>
            </w:r>
          </w:p>
          <w:p w14:paraId="6497B13D"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ve değer </w:t>
            </w:r>
          </w:p>
          <w:p w14:paraId="2A774FA5"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düşüklüğü</w:t>
            </w:r>
          </w:p>
        </w:tc>
        <w:tc>
          <w:tcPr>
            <w:tcW w:w="1577" w:type="dxa"/>
            <w:vMerge w:val="restart"/>
            <w:tcBorders>
              <w:top w:val="single" w:sz="4" w:space="0" w:color="auto"/>
            </w:tcBorders>
            <w:tcMar>
              <w:left w:w="57" w:type="dxa"/>
              <w:right w:w="57" w:type="dxa"/>
            </w:tcMar>
            <w:vAlign w:val="bottom"/>
          </w:tcPr>
          <w:p w14:paraId="3E3748A7"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Net değer </w:t>
            </w:r>
          </w:p>
          <w:p w14:paraId="69EB1518"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(a+b-c)</w:t>
            </w:r>
          </w:p>
        </w:tc>
      </w:tr>
      <w:tr w:rsidR="00E036D3" w:rsidRPr="00FB38E1" w14:paraId="670F441C" w14:textId="77777777" w:rsidTr="00836EF2">
        <w:tc>
          <w:tcPr>
            <w:tcW w:w="249" w:type="dxa"/>
            <w:tcBorders>
              <w:bottom w:val="single" w:sz="4" w:space="0" w:color="auto"/>
            </w:tcBorders>
            <w:tcMar>
              <w:left w:w="57" w:type="dxa"/>
              <w:right w:w="57" w:type="dxa"/>
            </w:tcMar>
          </w:tcPr>
          <w:p w14:paraId="45D9B293" w14:textId="77777777" w:rsidR="00E036D3" w:rsidRPr="00FB38E1" w:rsidRDefault="00E036D3" w:rsidP="00836EF2">
            <w:pPr>
              <w:rPr>
                <w:rFonts w:ascii="Microsoft Sans Serif" w:hAnsi="Microsoft Sans Serif" w:cs="Microsoft Sans Serif"/>
                <w:sz w:val="16"/>
                <w:szCs w:val="16"/>
              </w:rPr>
            </w:pPr>
          </w:p>
        </w:tc>
        <w:tc>
          <w:tcPr>
            <w:tcW w:w="2908" w:type="dxa"/>
            <w:tcBorders>
              <w:bottom w:val="single" w:sz="4" w:space="0" w:color="auto"/>
            </w:tcBorders>
            <w:tcMar>
              <w:left w:w="57" w:type="dxa"/>
              <w:right w:w="57" w:type="dxa"/>
            </w:tcMar>
          </w:tcPr>
          <w:p w14:paraId="4BA49847" w14:textId="77777777" w:rsidR="00E036D3" w:rsidRPr="00FB38E1" w:rsidRDefault="00E036D3" w:rsidP="00836EF2">
            <w:pPr>
              <w:rPr>
                <w:rFonts w:ascii="Microsoft Sans Serif" w:hAnsi="Microsoft Sans Serif" w:cs="Microsoft Sans Serif"/>
                <w:sz w:val="16"/>
                <w:szCs w:val="16"/>
              </w:rPr>
            </w:pPr>
          </w:p>
        </w:tc>
        <w:tc>
          <w:tcPr>
            <w:tcW w:w="1595" w:type="dxa"/>
            <w:tcBorders>
              <w:top w:val="single" w:sz="4" w:space="0" w:color="auto"/>
              <w:bottom w:val="single" w:sz="4" w:space="0" w:color="auto"/>
            </w:tcBorders>
            <w:tcMar>
              <w:left w:w="57" w:type="dxa"/>
              <w:right w:w="57" w:type="dxa"/>
            </w:tcMar>
          </w:tcPr>
          <w:p w14:paraId="0472C4B2"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Temerrüt </w:t>
            </w:r>
          </w:p>
          <w:p w14:paraId="41F09F87"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etmiş</w:t>
            </w:r>
          </w:p>
        </w:tc>
        <w:tc>
          <w:tcPr>
            <w:tcW w:w="1595" w:type="dxa"/>
            <w:tcBorders>
              <w:top w:val="single" w:sz="4" w:space="0" w:color="auto"/>
              <w:bottom w:val="single" w:sz="4" w:space="0" w:color="auto"/>
            </w:tcBorders>
            <w:tcMar>
              <w:left w:w="57" w:type="dxa"/>
              <w:right w:w="57" w:type="dxa"/>
            </w:tcMar>
          </w:tcPr>
          <w:p w14:paraId="4724E718"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Temerrüt </w:t>
            </w:r>
          </w:p>
          <w:p w14:paraId="6DC25085"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etmemiş</w:t>
            </w:r>
          </w:p>
        </w:tc>
        <w:tc>
          <w:tcPr>
            <w:tcW w:w="1715" w:type="dxa"/>
            <w:vMerge/>
            <w:tcBorders>
              <w:bottom w:val="single" w:sz="4" w:space="0" w:color="auto"/>
            </w:tcBorders>
            <w:tcMar>
              <w:left w:w="57" w:type="dxa"/>
              <w:right w:w="57" w:type="dxa"/>
            </w:tcMar>
          </w:tcPr>
          <w:p w14:paraId="5297DF1F" w14:textId="77777777" w:rsidR="00E036D3" w:rsidRPr="00FB38E1" w:rsidRDefault="00E036D3" w:rsidP="00836EF2">
            <w:pPr>
              <w:jc w:val="center"/>
              <w:rPr>
                <w:rFonts w:ascii="Microsoft Sans Serif" w:hAnsi="Microsoft Sans Serif" w:cs="Microsoft Sans Serif"/>
                <w:sz w:val="16"/>
                <w:szCs w:val="16"/>
              </w:rPr>
            </w:pPr>
          </w:p>
        </w:tc>
        <w:tc>
          <w:tcPr>
            <w:tcW w:w="1577" w:type="dxa"/>
            <w:vMerge/>
            <w:tcBorders>
              <w:bottom w:val="single" w:sz="4" w:space="0" w:color="auto"/>
            </w:tcBorders>
            <w:tcMar>
              <w:left w:w="57" w:type="dxa"/>
              <w:right w:w="57" w:type="dxa"/>
            </w:tcMar>
          </w:tcPr>
          <w:p w14:paraId="27579C2D" w14:textId="77777777" w:rsidR="00E036D3" w:rsidRPr="00FB38E1" w:rsidRDefault="00E036D3" w:rsidP="00836EF2">
            <w:pPr>
              <w:jc w:val="center"/>
              <w:rPr>
                <w:rFonts w:ascii="Microsoft Sans Serif" w:hAnsi="Microsoft Sans Serif" w:cs="Microsoft Sans Serif"/>
                <w:sz w:val="16"/>
                <w:szCs w:val="16"/>
              </w:rPr>
            </w:pPr>
          </w:p>
        </w:tc>
      </w:tr>
      <w:tr w:rsidR="00E036D3" w:rsidRPr="00FB38E1" w14:paraId="012EC84C" w14:textId="77777777" w:rsidTr="00836EF2">
        <w:tc>
          <w:tcPr>
            <w:tcW w:w="249" w:type="dxa"/>
            <w:tcBorders>
              <w:top w:val="single" w:sz="4" w:space="0" w:color="auto"/>
              <w:bottom w:val="nil"/>
            </w:tcBorders>
            <w:tcMar>
              <w:left w:w="57" w:type="dxa"/>
              <w:right w:w="57" w:type="dxa"/>
            </w:tcMar>
            <w:vAlign w:val="bottom"/>
          </w:tcPr>
          <w:p w14:paraId="4FB4D73D"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p>
        </w:tc>
        <w:tc>
          <w:tcPr>
            <w:tcW w:w="2908" w:type="dxa"/>
            <w:tcBorders>
              <w:top w:val="single" w:sz="4" w:space="0" w:color="auto"/>
              <w:bottom w:val="nil"/>
            </w:tcBorders>
            <w:tcMar>
              <w:left w:w="57" w:type="dxa"/>
              <w:right w:w="57" w:type="dxa"/>
            </w:tcMar>
            <w:vAlign w:val="bottom"/>
          </w:tcPr>
          <w:p w14:paraId="67B21CAB"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Krediler</w:t>
            </w:r>
          </w:p>
        </w:tc>
        <w:tc>
          <w:tcPr>
            <w:tcW w:w="1595" w:type="dxa"/>
            <w:tcBorders>
              <w:top w:val="nil"/>
              <w:left w:val="nil"/>
              <w:bottom w:val="nil"/>
              <w:right w:val="nil"/>
            </w:tcBorders>
            <w:shd w:val="clear" w:color="000000" w:fill="FFFFFF"/>
            <w:tcMar>
              <w:left w:w="57" w:type="dxa"/>
              <w:right w:w="57" w:type="dxa"/>
            </w:tcMar>
            <w:vAlign w:val="center"/>
          </w:tcPr>
          <w:p w14:paraId="3702C056" w14:textId="74732804"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21.224.916</w:t>
            </w:r>
          </w:p>
        </w:tc>
        <w:tc>
          <w:tcPr>
            <w:tcW w:w="1595" w:type="dxa"/>
            <w:tcBorders>
              <w:top w:val="nil"/>
              <w:left w:val="nil"/>
              <w:bottom w:val="nil"/>
              <w:right w:val="nil"/>
            </w:tcBorders>
            <w:shd w:val="clear" w:color="000000" w:fill="FFFFFF"/>
            <w:tcMar>
              <w:left w:w="57" w:type="dxa"/>
              <w:right w:w="57" w:type="dxa"/>
            </w:tcMar>
            <w:vAlign w:val="center"/>
          </w:tcPr>
          <w:p w14:paraId="7F997283" w14:textId="3F0118E1"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479.233.410</w:t>
            </w:r>
          </w:p>
        </w:tc>
        <w:tc>
          <w:tcPr>
            <w:tcW w:w="1715" w:type="dxa"/>
            <w:tcBorders>
              <w:top w:val="nil"/>
              <w:left w:val="nil"/>
              <w:bottom w:val="nil"/>
              <w:right w:val="nil"/>
            </w:tcBorders>
            <w:shd w:val="clear" w:color="auto" w:fill="auto"/>
            <w:tcMar>
              <w:left w:w="57" w:type="dxa"/>
              <w:right w:w="57" w:type="dxa"/>
            </w:tcMar>
            <w:vAlign w:val="center"/>
          </w:tcPr>
          <w:p w14:paraId="3CCB1289" w14:textId="127837CB"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34.900.468</w:t>
            </w:r>
          </w:p>
        </w:tc>
        <w:tc>
          <w:tcPr>
            <w:tcW w:w="1577" w:type="dxa"/>
            <w:tcBorders>
              <w:top w:val="nil"/>
              <w:left w:val="nil"/>
              <w:bottom w:val="nil"/>
              <w:right w:val="nil"/>
            </w:tcBorders>
            <w:shd w:val="clear" w:color="auto" w:fill="auto"/>
            <w:tcMar>
              <w:left w:w="57" w:type="dxa"/>
              <w:right w:w="57" w:type="dxa"/>
            </w:tcMar>
            <w:vAlign w:val="center"/>
          </w:tcPr>
          <w:p w14:paraId="5592F0DA" w14:textId="2C407865"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465.557.858</w:t>
            </w:r>
          </w:p>
        </w:tc>
      </w:tr>
      <w:tr w:rsidR="00E036D3" w:rsidRPr="00FB38E1" w14:paraId="29A0F635" w14:textId="77777777" w:rsidTr="00836EF2">
        <w:tc>
          <w:tcPr>
            <w:tcW w:w="249" w:type="dxa"/>
            <w:tcBorders>
              <w:top w:val="nil"/>
            </w:tcBorders>
            <w:tcMar>
              <w:left w:w="57" w:type="dxa"/>
              <w:right w:w="57" w:type="dxa"/>
            </w:tcMar>
            <w:vAlign w:val="bottom"/>
          </w:tcPr>
          <w:p w14:paraId="7AC6AAB4"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2908" w:type="dxa"/>
            <w:tcBorders>
              <w:top w:val="nil"/>
            </w:tcBorders>
            <w:tcMar>
              <w:left w:w="57" w:type="dxa"/>
              <w:right w:w="57" w:type="dxa"/>
            </w:tcMar>
            <w:vAlign w:val="bottom"/>
          </w:tcPr>
          <w:p w14:paraId="328FA3D8"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Borçlanma araçları</w:t>
            </w:r>
          </w:p>
        </w:tc>
        <w:tc>
          <w:tcPr>
            <w:tcW w:w="1595" w:type="dxa"/>
            <w:tcBorders>
              <w:top w:val="nil"/>
              <w:left w:val="nil"/>
              <w:bottom w:val="nil"/>
              <w:right w:val="nil"/>
            </w:tcBorders>
            <w:shd w:val="clear" w:color="000000" w:fill="FFFFFF"/>
            <w:tcMar>
              <w:left w:w="57" w:type="dxa"/>
              <w:right w:w="57" w:type="dxa"/>
            </w:tcMar>
            <w:vAlign w:val="center"/>
          </w:tcPr>
          <w:p w14:paraId="4B8D5C6D" w14:textId="7957892E"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595" w:type="dxa"/>
            <w:tcBorders>
              <w:top w:val="nil"/>
              <w:left w:val="nil"/>
              <w:bottom w:val="nil"/>
              <w:right w:val="nil"/>
            </w:tcBorders>
            <w:shd w:val="clear" w:color="000000" w:fill="FFFFFF"/>
            <w:tcMar>
              <w:left w:w="57" w:type="dxa"/>
              <w:right w:w="57" w:type="dxa"/>
            </w:tcMar>
            <w:vAlign w:val="center"/>
          </w:tcPr>
          <w:p w14:paraId="091F9BF7" w14:textId="024985F3"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138.657.305</w:t>
            </w:r>
          </w:p>
        </w:tc>
        <w:tc>
          <w:tcPr>
            <w:tcW w:w="1715" w:type="dxa"/>
            <w:tcBorders>
              <w:top w:val="nil"/>
              <w:left w:val="nil"/>
              <w:bottom w:val="nil"/>
              <w:right w:val="nil"/>
            </w:tcBorders>
            <w:shd w:val="clear" w:color="auto" w:fill="auto"/>
            <w:tcMar>
              <w:left w:w="57" w:type="dxa"/>
              <w:right w:w="57" w:type="dxa"/>
            </w:tcMar>
            <w:vAlign w:val="center"/>
          </w:tcPr>
          <w:p w14:paraId="1CAF0875" w14:textId="124E29E8"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6.657</w:t>
            </w:r>
          </w:p>
        </w:tc>
        <w:tc>
          <w:tcPr>
            <w:tcW w:w="1577" w:type="dxa"/>
            <w:tcBorders>
              <w:top w:val="nil"/>
              <w:left w:val="nil"/>
              <w:bottom w:val="nil"/>
              <w:right w:val="nil"/>
            </w:tcBorders>
            <w:shd w:val="clear" w:color="auto" w:fill="auto"/>
            <w:tcMar>
              <w:left w:w="57" w:type="dxa"/>
              <w:right w:w="57" w:type="dxa"/>
            </w:tcMar>
            <w:vAlign w:val="center"/>
          </w:tcPr>
          <w:p w14:paraId="01E42D0D" w14:textId="317612FF"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138.650.648</w:t>
            </w:r>
          </w:p>
        </w:tc>
      </w:tr>
      <w:tr w:rsidR="00E036D3" w:rsidRPr="00FB38E1" w14:paraId="5AAF0718" w14:textId="77777777" w:rsidTr="00836EF2">
        <w:tc>
          <w:tcPr>
            <w:tcW w:w="249" w:type="dxa"/>
            <w:tcBorders>
              <w:bottom w:val="single" w:sz="4" w:space="0" w:color="auto"/>
            </w:tcBorders>
            <w:tcMar>
              <w:left w:w="57" w:type="dxa"/>
              <w:right w:w="57" w:type="dxa"/>
            </w:tcMar>
            <w:vAlign w:val="bottom"/>
          </w:tcPr>
          <w:p w14:paraId="1F1228B9" w14:textId="7777777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3</w:t>
            </w:r>
          </w:p>
        </w:tc>
        <w:tc>
          <w:tcPr>
            <w:tcW w:w="2908" w:type="dxa"/>
            <w:tcBorders>
              <w:bottom w:val="single" w:sz="4" w:space="0" w:color="auto"/>
            </w:tcBorders>
            <w:tcMar>
              <w:left w:w="57" w:type="dxa"/>
              <w:right w:w="57" w:type="dxa"/>
            </w:tcMar>
            <w:vAlign w:val="bottom"/>
          </w:tcPr>
          <w:p w14:paraId="16B1070B"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Bilanço dışı alacaklar (*)</w:t>
            </w:r>
          </w:p>
        </w:tc>
        <w:tc>
          <w:tcPr>
            <w:tcW w:w="1595" w:type="dxa"/>
            <w:tcBorders>
              <w:top w:val="nil"/>
              <w:left w:val="nil"/>
              <w:bottom w:val="single" w:sz="4" w:space="0" w:color="auto"/>
              <w:right w:val="nil"/>
            </w:tcBorders>
            <w:shd w:val="clear" w:color="000000" w:fill="FFFFFF"/>
            <w:tcMar>
              <w:left w:w="57" w:type="dxa"/>
              <w:right w:w="57" w:type="dxa"/>
            </w:tcMar>
            <w:vAlign w:val="center"/>
          </w:tcPr>
          <w:p w14:paraId="2067EF90" w14:textId="7C4FB6ED"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3.683.586</w:t>
            </w:r>
          </w:p>
        </w:tc>
        <w:tc>
          <w:tcPr>
            <w:tcW w:w="1595" w:type="dxa"/>
            <w:tcBorders>
              <w:top w:val="nil"/>
              <w:left w:val="nil"/>
              <w:bottom w:val="single" w:sz="4" w:space="0" w:color="auto"/>
              <w:right w:val="nil"/>
            </w:tcBorders>
            <w:shd w:val="clear" w:color="000000" w:fill="FFFFFF"/>
            <w:tcMar>
              <w:left w:w="57" w:type="dxa"/>
              <w:right w:w="57" w:type="dxa"/>
            </w:tcMar>
            <w:vAlign w:val="center"/>
          </w:tcPr>
          <w:p w14:paraId="4E5E347D" w14:textId="6B448CBD"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518.740.153</w:t>
            </w:r>
          </w:p>
        </w:tc>
        <w:tc>
          <w:tcPr>
            <w:tcW w:w="1715" w:type="dxa"/>
            <w:tcBorders>
              <w:top w:val="nil"/>
              <w:left w:val="nil"/>
              <w:bottom w:val="single" w:sz="4" w:space="0" w:color="auto"/>
              <w:right w:val="nil"/>
            </w:tcBorders>
            <w:shd w:val="clear" w:color="auto" w:fill="auto"/>
            <w:tcMar>
              <w:left w:w="57" w:type="dxa"/>
              <w:right w:w="57" w:type="dxa"/>
            </w:tcMar>
            <w:vAlign w:val="center"/>
          </w:tcPr>
          <w:p w14:paraId="0F107CB3" w14:textId="5F7734E7"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4.363.601</w:t>
            </w:r>
          </w:p>
        </w:tc>
        <w:tc>
          <w:tcPr>
            <w:tcW w:w="1577" w:type="dxa"/>
            <w:tcBorders>
              <w:top w:val="nil"/>
              <w:left w:val="nil"/>
              <w:bottom w:val="single" w:sz="4" w:space="0" w:color="auto"/>
              <w:right w:val="nil"/>
            </w:tcBorders>
            <w:shd w:val="clear" w:color="auto" w:fill="auto"/>
            <w:tcMar>
              <w:left w:w="57" w:type="dxa"/>
              <w:right w:w="57" w:type="dxa"/>
            </w:tcMar>
            <w:vAlign w:val="center"/>
          </w:tcPr>
          <w:p w14:paraId="068C97FA" w14:textId="48F41450"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518.060.138</w:t>
            </w:r>
          </w:p>
        </w:tc>
      </w:tr>
      <w:tr w:rsidR="00E036D3" w:rsidRPr="00FB38E1" w14:paraId="286646CC" w14:textId="77777777" w:rsidTr="00836EF2">
        <w:tc>
          <w:tcPr>
            <w:tcW w:w="249" w:type="dxa"/>
            <w:tcBorders>
              <w:top w:val="single" w:sz="4" w:space="0" w:color="auto"/>
              <w:bottom w:val="thickThinSmallGap" w:sz="24" w:space="0" w:color="auto"/>
            </w:tcBorders>
            <w:tcMar>
              <w:left w:w="57" w:type="dxa"/>
              <w:right w:w="57" w:type="dxa"/>
            </w:tcMar>
            <w:vAlign w:val="bottom"/>
          </w:tcPr>
          <w:p w14:paraId="07B0032E" w14:textId="77777777" w:rsidR="00E036D3" w:rsidRPr="00FB38E1" w:rsidRDefault="00E036D3" w:rsidP="00E036D3">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4</w:t>
            </w:r>
          </w:p>
        </w:tc>
        <w:tc>
          <w:tcPr>
            <w:tcW w:w="2908" w:type="dxa"/>
            <w:tcBorders>
              <w:top w:val="single" w:sz="4" w:space="0" w:color="auto"/>
              <w:bottom w:val="thickThinSmallGap" w:sz="24" w:space="0" w:color="auto"/>
            </w:tcBorders>
            <w:tcMar>
              <w:left w:w="57" w:type="dxa"/>
              <w:right w:w="57" w:type="dxa"/>
            </w:tcMar>
            <w:vAlign w:val="bottom"/>
          </w:tcPr>
          <w:p w14:paraId="0676BEED" w14:textId="77777777" w:rsidR="00E036D3" w:rsidRPr="00FB38E1" w:rsidRDefault="00E036D3" w:rsidP="00E036D3">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1595" w:type="dxa"/>
            <w:tcBorders>
              <w:top w:val="single" w:sz="4" w:space="0" w:color="auto"/>
              <w:bottom w:val="thickThinSmallGap" w:sz="24" w:space="0" w:color="auto"/>
            </w:tcBorders>
            <w:tcMar>
              <w:left w:w="57" w:type="dxa"/>
              <w:right w:w="57" w:type="dxa"/>
            </w:tcMar>
            <w:vAlign w:val="center"/>
          </w:tcPr>
          <w:p w14:paraId="14873AF4" w14:textId="0921A470"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24.908.502</w:t>
            </w:r>
          </w:p>
        </w:tc>
        <w:tc>
          <w:tcPr>
            <w:tcW w:w="1595" w:type="dxa"/>
            <w:tcBorders>
              <w:top w:val="single" w:sz="4" w:space="0" w:color="auto"/>
              <w:bottom w:val="thickThinSmallGap" w:sz="24" w:space="0" w:color="auto"/>
            </w:tcBorders>
            <w:tcMar>
              <w:left w:w="57" w:type="dxa"/>
              <w:right w:w="57" w:type="dxa"/>
            </w:tcMar>
            <w:vAlign w:val="center"/>
          </w:tcPr>
          <w:p w14:paraId="22ED669A" w14:textId="34B455A7"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1.136.630.868</w:t>
            </w:r>
          </w:p>
        </w:tc>
        <w:tc>
          <w:tcPr>
            <w:tcW w:w="1715" w:type="dxa"/>
            <w:tcBorders>
              <w:top w:val="single" w:sz="4" w:space="0" w:color="auto"/>
              <w:bottom w:val="thickThinSmallGap" w:sz="24" w:space="0" w:color="auto"/>
            </w:tcBorders>
            <w:tcMar>
              <w:left w:w="57" w:type="dxa"/>
              <w:right w:w="57" w:type="dxa"/>
            </w:tcMar>
            <w:vAlign w:val="center"/>
          </w:tcPr>
          <w:p w14:paraId="0885F21F" w14:textId="047AC0EC"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39.270.726</w:t>
            </w:r>
          </w:p>
        </w:tc>
        <w:tc>
          <w:tcPr>
            <w:tcW w:w="1577" w:type="dxa"/>
            <w:tcBorders>
              <w:top w:val="single" w:sz="4" w:space="0" w:color="auto"/>
              <w:bottom w:val="thickThinSmallGap" w:sz="24" w:space="0" w:color="auto"/>
            </w:tcBorders>
            <w:tcMar>
              <w:left w:w="57" w:type="dxa"/>
              <w:right w:w="57" w:type="dxa"/>
            </w:tcMar>
            <w:vAlign w:val="center"/>
          </w:tcPr>
          <w:p w14:paraId="15A65061" w14:textId="02D2CF0D"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1.122.268.644</w:t>
            </w:r>
          </w:p>
        </w:tc>
      </w:tr>
    </w:tbl>
    <w:p w14:paraId="76B6C45E" w14:textId="77777777" w:rsidR="00E036D3" w:rsidRPr="00FB38E1" w:rsidRDefault="00E036D3" w:rsidP="00E036D3">
      <w:pPr>
        <w:pStyle w:val="ListParagraph"/>
        <w:spacing w:after="0" w:line="240" w:lineRule="exact"/>
        <w:ind w:left="-68"/>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xml:space="preserve"> (*) Cayılabilir taahhütler ve Vadeli Aktif Değerler Alım Satım Taahhütleri’ni içermemektedir.</w:t>
      </w:r>
    </w:p>
    <w:p w14:paraId="5C983632" w14:textId="77777777" w:rsidR="00E036D3" w:rsidRPr="00FB38E1" w:rsidRDefault="00E036D3" w:rsidP="00364B59">
      <w:pPr>
        <w:pStyle w:val="ListParagraph"/>
        <w:numPr>
          <w:ilvl w:val="0"/>
          <w:numId w:val="55"/>
        </w:numPr>
        <w:spacing w:before="240" w:after="120" w:line="240" w:lineRule="exact"/>
        <w:ind w:left="-68" w:hanging="357"/>
        <w:contextualSpacing w:val="0"/>
        <w:rPr>
          <w:rFonts w:ascii="Microsoft Sans Serif" w:hAnsi="Microsoft Sans Serif" w:cs="Microsoft Sans Serif"/>
          <w:b/>
          <w:color w:val="7030A0"/>
          <w:sz w:val="20"/>
          <w:szCs w:val="20"/>
        </w:rPr>
      </w:pPr>
      <w:r w:rsidRPr="00FB38E1">
        <w:rPr>
          <w:rFonts w:ascii="Microsoft Sans Serif" w:hAnsi="Microsoft Sans Serif" w:cs="Microsoft Sans Serif"/>
          <w:b/>
          <w:sz w:val="20"/>
          <w:szCs w:val="20"/>
        </w:rPr>
        <w:t>Temerrüde düşmüş alacaklar ve borçlanma araçları stoğundaki değişimler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4"/>
        <w:gridCol w:w="7144"/>
        <w:gridCol w:w="1022"/>
        <w:gridCol w:w="1269"/>
      </w:tblGrid>
      <w:tr w:rsidR="00E036D3" w:rsidRPr="00FB38E1" w14:paraId="49EC433B" w14:textId="77777777" w:rsidTr="00836EF2">
        <w:trPr>
          <w:trHeight w:val="24"/>
        </w:trPr>
        <w:tc>
          <w:tcPr>
            <w:tcW w:w="107" w:type="pct"/>
            <w:tcBorders>
              <w:top w:val="thinThickSmallGap" w:sz="24" w:space="0" w:color="auto"/>
              <w:bottom w:val="single" w:sz="4" w:space="0" w:color="auto"/>
            </w:tcBorders>
            <w:vAlign w:val="bottom"/>
          </w:tcPr>
          <w:p w14:paraId="5663F34E" w14:textId="77777777" w:rsidR="00E036D3" w:rsidRPr="00FB38E1" w:rsidRDefault="00E036D3" w:rsidP="00836EF2">
            <w:pPr>
              <w:jc w:val="right"/>
              <w:rPr>
                <w:rFonts w:ascii="Microsoft Sans Serif" w:hAnsi="Microsoft Sans Serif" w:cs="Microsoft Sans Serif"/>
                <w:sz w:val="16"/>
                <w:szCs w:val="16"/>
              </w:rPr>
            </w:pPr>
          </w:p>
        </w:tc>
        <w:tc>
          <w:tcPr>
            <w:tcW w:w="3710" w:type="pct"/>
            <w:tcBorders>
              <w:top w:val="thinThickSmallGap" w:sz="24" w:space="0" w:color="auto"/>
              <w:bottom w:val="single" w:sz="4" w:space="0" w:color="auto"/>
            </w:tcBorders>
            <w:vAlign w:val="bottom"/>
          </w:tcPr>
          <w:p w14:paraId="5379DAB1" w14:textId="77777777" w:rsidR="00E036D3" w:rsidRPr="00FB38E1" w:rsidRDefault="00E036D3" w:rsidP="00836EF2">
            <w:pPr>
              <w:rPr>
                <w:rFonts w:ascii="Microsoft Sans Serif" w:hAnsi="Microsoft Sans Serif" w:cs="Microsoft Sans Serif"/>
                <w:sz w:val="16"/>
                <w:szCs w:val="16"/>
              </w:rPr>
            </w:pPr>
          </w:p>
        </w:tc>
        <w:tc>
          <w:tcPr>
            <w:tcW w:w="522" w:type="pct"/>
            <w:tcBorders>
              <w:top w:val="thinThickSmallGap" w:sz="24" w:space="0" w:color="auto"/>
              <w:bottom w:val="single" w:sz="4" w:space="0" w:color="auto"/>
            </w:tcBorders>
          </w:tcPr>
          <w:p w14:paraId="04C78C99"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Cari Dönem</w:t>
            </w:r>
          </w:p>
        </w:tc>
        <w:tc>
          <w:tcPr>
            <w:tcW w:w="661" w:type="pct"/>
            <w:tcBorders>
              <w:top w:val="thinThickSmallGap" w:sz="24" w:space="0" w:color="auto"/>
              <w:bottom w:val="single" w:sz="4" w:space="0" w:color="auto"/>
            </w:tcBorders>
          </w:tcPr>
          <w:p w14:paraId="76698A51"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Önceki Dönem</w:t>
            </w:r>
          </w:p>
        </w:tc>
      </w:tr>
      <w:tr w:rsidR="00E036D3" w:rsidRPr="00FB38E1" w14:paraId="7E81216A" w14:textId="77777777" w:rsidTr="00836EF2">
        <w:trPr>
          <w:trHeight w:val="47"/>
        </w:trPr>
        <w:tc>
          <w:tcPr>
            <w:tcW w:w="107" w:type="pct"/>
            <w:tcBorders>
              <w:top w:val="single" w:sz="4" w:space="0" w:color="auto"/>
            </w:tcBorders>
            <w:vAlign w:val="bottom"/>
          </w:tcPr>
          <w:p w14:paraId="07DC0761" w14:textId="77777777" w:rsidR="00E036D3" w:rsidRPr="00FB38E1" w:rsidRDefault="00E036D3" w:rsidP="00836EF2">
            <w:pPr>
              <w:jc w:val="right"/>
              <w:rPr>
                <w:rFonts w:ascii="Microsoft Sans Serif" w:hAnsi="Microsoft Sans Serif" w:cs="Microsoft Sans Serif"/>
                <w:sz w:val="16"/>
                <w:szCs w:val="16"/>
              </w:rPr>
            </w:pPr>
          </w:p>
        </w:tc>
        <w:tc>
          <w:tcPr>
            <w:tcW w:w="3710" w:type="pct"/>
            <w:tcBorders>
              <w:top w:val="single" w:sz="4" w:space="0" w:color="auto"/>
            </w:tcBorders>
            <w:vAlign w:val="bottom"/>
          </w:tcPr>
          <w:p w14:paraId="1F13B8A8" w14:textId="77777777" w:rsidR="00E036D3" w:rsidRPr="00FB38E1" w:rsidRDefault="00E036D3" w:rsidP="00836EF2">
            <w:pPr>
              <w:rPr>
                <w:rFonts w:ascii="Microsoft Sans Serif" w:hAnsi="Microsoft Sans Serif" w:cs="Microsoft Sans Serif"/>
                <w:sz w:val="16"/>
                <w:szCs w:val="16"/>
              </w:rPr>
            </w:pPr>
          </w:p>
        </w:tc>
        <w:tc>
          <w:tcPr>
            <w:tcW w:w="522" w:type="pct"/>
            <w:tcBorders>
              <w:top w:val="single" w:sz="4" w:space="0" w:color="auto"/>
            </w:tcBorders>
          </w:tcPr>
          <w:p w14:paraId="529FC325"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a  (*)</w:t>
            </w:r>
          </w:p>
        </w:tc>
        <w:tc>
          <w:tcPr>
            <w:tcW w:w="661" w:type="pct"/>
            <w:tcBorders>
              <w:top w:val="single" w:sz="4" w:space="0" w:color="auto"/>
            </w:tcBorders>
          </w:tcPr>
          <w:p w14:paraId="560E5288" w14:textId="77777777" w:rsidR="00E036D3" w:rsidRPr="00FB38E1" w:rsidRDefault="00E036D3" w:rsidP="00836EF2">
            <w:pPr>
              <w:jc w:val="right"/>
              <w:rPr>
                <w:rFonts w:ascii="Microsoft Sans Serif" w:hAnsi="Microsoft Sans Serif" w:cs="Microsoft Sans Serif"/>
                <w:b/>
                <w:bCs/>
                <w:sz w:val="16"/>
                <w:szCs w:val="16"/>
              </w:rPr>
            </w:pPr>
            <w:r w:rsidRPr="00FB38E1">
              <w:rPr>
                <w:rFonts w:ascii="Microsoft Sans Serif" w:hAnsi="Microsoft Sans Serif" w:cs="Microsoft Sans Serif"/>
                <w:b/>
                <w:sz w:val="16"/>
                <w:szCs w:val="16"/>
              </w:rPr>
              <w:t>a  (*)</w:t>
            </w:r>
          </w:p>
        </w:tc>
      </w:tr>
      <w:tr w:rsidR="003022BF" w:rsidRPr="00FB38E1" w14:paraId="2744F98F" w14:textId="77777777" w:rsidTr="00836EF2">
        <w:trPr>
          <w:trHeight w:val="77"/>
        </w:trPr>
        <w:tc>
          <w:tcPr>
            <w:tcW w:w="107" w:type="pct"/>
            <w:tcBorders>
              <w:top w:val="single" w:sz="4" w:space="0" w:color="auto"/>
            </w:tcBorders>
            <w:vAlign w:val="bottom"/>
          </w:tcPr>
          <w:p w14:paraId="3AEBE2EF" w14:textId="77777777"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1</w:t>
            </w:r>
          </w:p>
        </w:tc>
        <w:tc>
          <w:tcPr>
            <w:tcW w:w="3710" w:type="pct"/>
            <w:tcBorders>
              <w:top w:val="single" w:sz="4" w:space="0" w:color="auto"/>
            </w:tcBorders>
            <w:vAlign w:val="bottom"/>
          </w:tcPr>
          <w:p w14:paraId="066DB562" w14:textId="77777777" w:rsidR="003022BF" w:rsidRPr="00FB38E1" w:rsidRDefault="003022BF" w:rsidP="003022BF">
            <w:pPr>
              <w:rPr>
                <w:rFonts w:ascii="Microsoft Sans Serif" w:hAnsi="Microsoft Sans Serif" w:cs="Microsoft Sans Serif"/>
                <w:sz w:val="16"/>
                <w:szCs w:val="16"/>
              </w:rPr>
            </w:pPr>
            <w:r w:rsidRPr="00FB38E1">
              <w:rPr>
                <w:rFonts w:ascii="Microsoft Sans Serif" w:hAnsi="Microsoft Sans Serif" w:cs="Microsoft Sans Serif"/>
                <w:sz w:val="16"/>
                <w:szCs w:val="16"/>
              </w:rPr>
              <w:t>Önceki raporlama dönemi sonundaki temerrüt etmiş krediler ve borçlanma araçları tutarı</w:t>
            </w:r>
          </w:p>
        </w:tc>
        <w:tc>
          <w:tcPr>
            <w:tcW w:w="522" w:type="pct"/>
            <w:tcBorders>
              <w:top w:val="single" w:sz="4" w:space="0" w:color="auto"/>
            </w:tcBorders>
            <w:vAlign w:val="center"/>
          </w:tcPr>
          <w:p w14:paraId="39D419D0" w14:textId="73A39D81"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21.224.916</w:t>
            </w:r>
          </w:p>
        </w:tc>
        <w:tc>
          <w:tcPr>
            <w:tcW w:w="661" w:type="pct"/>
            <w:tcBorders>
              <w:top w:val="single" w:sz="4" w:space="0" w:color="auto"/>
            </w:tcBorders>
            <w:vAlign w:val="center"/>
          </w:tcPr>
          <w:p w14:paraId="18EF16A8" w14:textId="50233627"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16.676.627</w:t>
            </w:r>
          </w:p>
        </w:tc>
      </w:tr>
      <w:tr w:rsidR="003022BF" w:rsidRPr="00FB38E1" w14:paraId="2215C495" w14:textId="77777777" w:rsidTr="00836EF2">
        <w:trPr>
          <w:trHeight w:val="57"/>
        </w:trPr>
        <w:tc>
          <w:tcPr>
            <w:tcW w:w="107" w:type="pct"/>
            <w:vAlign w:val="bottom"/>
          </w:tcPr>
          <w:p w14:paraId="1C26A437" w14:textId="77777777"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3710" w:type="pct"/>
            <w:vAlign w:val="bottom"/>
          </w:tcPr>
          <w:p w14:paraId="11768D7A"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Son raporlama döneminden itibaren temerrüt eden krediler ve borçlanma araçları</w:t>
            </w:r>
          </w:p>
        </w:tc>
        <w:tc>
          <w:tcPr>
            <w:tcW w:w="522" w:type="pct"/>
            <w:vAlign w:val="center"/>
          </w:tcPr>
          <w:p w14:paraId="0C1E3D57" w14:textId="7B21EB79"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27.628.595</w:t>
            </w:r>
          </w:p>
        </w:tc>
        <w:tc>
          <w:tcPr>
            <w:tcW w:w="661" w:type="pct"/>
            <w:vAlign w:val="center"/>
          </w:tcPr>
          <w:p w14:paraId="7F23F909" w14:textId="6B3494FE"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14.201.631</w:t>
            </w:r>
          </w:p>
        </w:tc>
      </w:tr>
      <w:tr w:rsidR="003022BF" w:rsidRPr="00FB38E1" w14:paraId="30514EBF" w14:textId="77777777" w:rsidTr="00836EF2">
        <w:trPr>
          <w:trHeight w:val="57"/>
        </w:trPr>
        <w:tc>
          <w:tcPr>
            <w:tcW w:w="107" w:type="pct"/>
            <w:vAlign w:val="bottom"/>
          </w:tcPr>
          <w:p w14:paraId="38235AC7" w14:textId="77777777"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3</w:t>
            </w:r>
          </w:p>
        </w:tc>
        <w:tc>
          <w:tcPr>
            <w:tcW w:w="3710" w:type="pct"/>
            <w:vAlign w:val="bottom"/>
          </w:tcPr>
          <w:p w14:paraId="3F5E452E"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Tekrar temerrüt etmemiş durumuna gelen alacaklar</w:t>
            </w:r>
          </w:p>
        </w:tc>
        <w:tc>
          <w:tcPr>
            <w:tcW w:w="522" w:type="pct"/>
            <w:vAlign w:val="center"/>
          </w:tcPr>
          <w:p w14:paraId="1E90DB17" w14:textId="236EDE1F"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3.019.600</w:t>
            </w:r>
          </w:p>
        </w:tc>
        <w:tc>
          <w:tcPr>
            <w:tcW w:w="661" w:type="pct"/>
            <w:vAlign w:val="center"/>
          </w:tcPr>
          <w:p w14:paraId="3631D1FB" w14:textId="778A413E"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140.883</w:t>
            </w:r>
          </w:p>
        </w:tc>
      </w:tr>
      <w:tr w:rsidR="003022BF" w:rsidRPr="00FB38E1" w14:paraId="0ECBBD35" w14:textId="77777777" w:rsidTr="00836EF2">
        <w:trPr>
          <w:trHeight w:val="57"/>
        </w:trPr>
        <w:tc>
          <w:tcPr>
            <w:tcW w:w="107" w:type="pct"/>
            <w:vAlign w:val="bottom"/>
          </w:tcPr>
          <w:p w14:paraId="3A46B095" w14:textId="77777777"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w:t>
            </w:r>
          </w:p>
        </w:tc>
        <w:tc>
          <w:tcPr>
            <w:tcW w:w="3710" w:type="pct"/>
            <w:vAlign w:val="bottom"/>
          </w:tcPr>
          <w:p w14:paraId="44F10AA3"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Kayıttan düşülen/aktiften silinen tutarlar (**)</w:t>
            </w:r>
          </w:p>
        </w:tc>
        <w:tc>
          <w:tcPr>
            <w:tcW w:w="522" w:type="pct"/>
            <w:vAlign w:val="center"/>
          </w:tcPr>
          <w:p w14:paraId="6E31E621" w14:textId="53D6EF0B"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6.036.682</w:t>
            </w:r>
          </w:p>
        </w:tc>
        <w:tc>
          <w:tcPr>
            <w:tcW w:w="661" w:type="pct"/>
            <w:vAlign w:val="center"/>
          </w:tcPr>
          <w:p w14:paraId="0B5674CE" w14:textId="2A43E4DF"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2.386.138</w:t>
            </w:r>
          </w:p>
        </w:tc>
      </w:tr>
      <w:tr w:rsidR="003022BF" w:rsidRPr="00FB38E1" w14:paraId="68F68888" w14:textId="77777777" w:rsidTr="00836EF2">
        <w:trPr>
          <w:trHeight w:val="57"/>
        </w:trPr>
        <w:tc>
          <w:tcPr>
            <w:tcW w:w="107" w:type="pct"/>
            <w:tcBorders>
              <w:bottom w:val="single" w:sz="4" w:space="0" w:color="auto"/>
            </w:tcBorders>
            <w:vAlign w:val="bottom"/>
          </w:tcPr>
          <w:p w14:paraId="392660D6" w14:textId="77777777"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5</w:t>
            </w:r>
          </w:p>
        </w:tc>
        <w:tc>
          <w:tcPr>
            <w:tcW w:w="3710" w:type="pct"/>
            <w:tcBorders>
              <w:bottom w:val="single" w:sz="4" w:space="0" w:color="auto"/>
            </w:tcBorders>
            <w:vAlign w:val="bottom"/>
          </w:tcPr>
          <w:p w14:paraId="105DCFA1"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Diğer değişimler</w:t>
            </w:r>
          </w:p>
        </w:tc>
        <w:tc>
          <w:tcPr>
            <w:tcW w:w="522" w:type="pct"/>
            <w:tcBorders>
              <w:bottom w:val="single" w:sz="4" w:space="0" w:color="auto"/>
            </w:tcBorders>
            <w:vAlign w:val="center"/>
          </w:tcPr>
          <w:p w14:paraId="79F31DD0" w14:textId="6B5CD7F2"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(12.053.087)</w:t>
            </w:r>
          </w:p>
        </w:tc>
        <w:tc>
          <w:tcPr>
            <w:tcW w:w="661" w:type="pct"/>
            <w:tcBorders>
              <w:bottom w:val="single" w:sz="4" w:space="0" w:color="auto"/>
            </w:tcBorders>
            <w:vAlign w:val="center"/>
          </w:tcPr>
          <w:p w14:paraId="7ECBBBF4" w14:textId="4390D68C"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(7.126.321)</w:t>
            </w:r>
          </w:p>
        </w:tc>
      </w:tr>
      <w:tr w:rsidR="003022BF" w:rsidRPr="00FB38E1" w14:paraId="213A187E" w14:textId="77777777" w:rsidTr="00836EF2">
        <w:trPr>
          <w:trHeight w:val="47"/>
        </w:trPr>
        <w:tc>
          <w:tcPr>
            <w:tcW w:w="107" w:type="pct"/>
            <w:tcBorders>
              <w:top w:val="single" w:sz="4" w:space="0" w:color="auto"/>
              <w:bottom w:val="thickThinSmallGap" w:sz="24" w:space="0" w:color="auto"/>
            </w:tcBorders>
            <w:vAlign w:val="bottom"/>
          </w:tcPr>
          <w:p w14:paraId="54E0C436" w14:textId="77777777" w:rsidR="003022BF" w:rsidRPr="00FB38E1" w:rsidRDefault="003022BF" w:rsidP="003022BF">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6</w:t>
            </w:r>
          </w:p>
        </w:tc>
        <w:tc>
          <w:tcPr>
            <w:tcW w:w="3710" w:type="pct"/>
            <w:tcBorders>
              <w:top w:val="single" w:sz="4" w:space="0" w:color="auto"/>
              <w:bottom w:val="thickThinSmallGap" w:sz="24" w:space="0" w:color="auto"/>
            </w:tcBorders>
            <w:vAlign w:val="bottom"/>
          </w:tcPr>
          <w:p w14:paraId="4DD440A8" w14:textId="77777777" w:rsidR="003022BF" w:rsidRPr="00FB38E1" w:rsidRDefault="003022BF" w:rsidP="003022BF">
            <w:pPr>
              <w:rPr>
                <w:rFonts w:ascii="Microsoft Sans Serif" w:hAnsi="Microsoft Sans Serif" w:cs="Microsoft Sans Serif"/>
                <w:b/>
                <w:sz w:val="16"/>
                <w:szCs w:val="16"/>
              </w:rPr>
            </w:pPr>
            <w:r w:rsidRPr="00FB38E1">
              <w:rPr>
                <w:rFonts w:ascii="Microsoft Sans Serif" w:hAnsi="Microsoft Sans Serif" w:cs="Microsoft Sans Serif"/>
                <w:b/>
                <w:sz w:val="16"/>
                <w:szCs w:val="16"/>
              </w:rPr>
              <w:t xml:space="preserve">Raporlama dönemi sonundaki temerrüt etmiş krediler ve borçlanma araçları tutarı (1 + 2 - 3 – 4 ± 5) </w:t>
            </w:r>
          </w:p>
        </w:tc>
        <w:tc>
          <w:tcPr>
            <w:tcW w:w="522" w:type="pct"/>
            <w:tcBorders>
              <w:top w:val="single" w:sz="4" w:space="0" w:color="auto"/>
              <w:bottom w:val="thickThinSmallGap" w:sz="24" w:space="0" w:color="auto"/>
            </w:tcBorders>
            <w:vAlign w:val="center"/>
          </w:tcPr>
          <w:p w14:paraId="62C13C3B" w14:textId="06D50B85"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27.744.142</w:t>
            </w:r>
          </w:p>
        </w:tc>
        <w:tc>
          <w:tcPr>
            <w:tcW w:w="661" w:type="pct"/>
            <w:tcBorders>
              <w:top w:val="single" w:sz="4" w:space="0" w:color="auto"/>
              <w:bottom w:val="thickThinSmallGap" w:sz="24" w:space="0" w:color="auto"/>
            </w:tcBorders>
            <w:vAlign w:val="center"/>
          </w:tcPr>
          <w:p w14:paraId="2A307D0D" w14:textId="22D5F539"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21.224.916</w:t>
            </w:r>
          </w:p>
        </w:tc>
      </w:tr>
    </w:tbl>
    <w:p w14:paraId="4CCA592A" w14:textId="77777777" w:rsidR="00E036D3" w:rsidRPr="00FB38E1" w:rsidRDefault="00E036D3" w:rsidP="00E036D3">
      <w:pPr>
        <w:spacing w:before="60" w:after="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Bilanço dışı alacakları içermemektedir.</w:t>
      </w:r>
    </w:p>
    <w:p w14:paraId="09CB6D5D" w14:textId="77777777" w:rsidR="00E036D3" w:rsidRPr="00FB38E1" w:rsidRDefault="00E036D3" w:rsidP="00E036D3">
      <w:pPr>
        <w:pStyle w:val="ListParagraph"/>
        <w:spacing w:after="120"/>
        <w:ind w:left="0"/>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Takipteki krediler portföyünden yapılan satışlar ve kayıttan düşülen/aktiften silinen işlemler gösterilmektedir.</w:t>
      </w:r>
    </w:p>
    <w:p w14:paraId="5C2F38BD" w14:textId="77777777" w:rsidR="00E036D3" w:rsidRPr="00FB38E1" w:rsidRDefault="00E036D3" w:rsidP="00364B59">
      <w:pPr>
        <w:pStyle w:val="ListParagraph"/>
        <w:numPr>
          <w:ilvl w:val="0"/>
          <w:numId w:val="55"/>
        </w:numPr>
        <w:spacing w:before="240" w:after="120" w:line="240" w:lineRule="exact"/>
        <w:ind w:left="-68" w:hanging="35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Varlıkların kredi kalitesiyle ilgili ilave açıklamalar</w:t>
      </w:r>
    </w:p>
    <w:p w14:paraId="1AA08E18" w14:textId="77777777" w:rsidR="00E036D3" w:rsidRPr="00FB38E1" w:rsidRDefault="00E036D3" w:rsidP="00364B59">
      <w:pPr>
        <w:pStyle w:val="ListParagraph"/>
        <w:numPr>
          <w:ilvl w:val="0"/>
          <w:numId w:val="56"/>
        </w:numPr>
        <w:spacing w:before="120" w:after="0" w:line="220" w:lineRule="exact"/>
        <w:ind w:left="0" w:hanging="142"/>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 xml:space="preserve">Muhasebe amaçlı kullanılan “tahsili gecikmiş” alacak ve “karşılık ayrılan” alacakların kapsamı ve tanımları </w:t>
      </w:r>
    </w:p>
    <w:p w14:paraId="1C77E39F" w14:textId="77777777" w:rsidR="00E036D3" w:rsidRPr="00FB38E1" w:rsidRDefault="00E036D3" w:rsidP="00E036D3">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Banka “Bankalarca Kredilerin ve Diğer Alacakların Niteliklerinin Belirlenmesi ve Bunlar İçin Ayrılacak Karşılıklara İlişkin Usul ve Esaslar Hakkında Yönetmelik” kapsamında İkinci Grup olarak sınıflandırılmış kredilerden anapara ve faiz ödemelerinin tahsili, vadelerinde veya ödenmesi gereken tarihlerde gerçekleşmemiş olan kredileri tahsili gecikmiş olarak değerlendirmektedir. Anapara ve faiz ödemelerinin tahsili, vadelerinden veya ödenmesi gereken tarihlerden itibaren 90 günden fazla gecikmiş olan krediler ile borçlusunun kredi değerliliğini yitirdiğine Banka tarafından kanaat getirilen krediler ise değer kaybına uğramış krediler olarak değerlendirilmektedir. </w:t>
      </w:r>
    </w:p>
    <w:p w14:paraId="3E640761" w14:textId="77777777" w:rsidR="00E036D3" w:rsidRPr="00FB38E1" w:rsidRDefault="00E036D3" w:rsidP="00364B59">
      <w:pPr>
        <w:pStyle w:val="ListParagraph"/>
        <w:numPr>
          <w:ilvl w:val="0"/>
          <w:numId w:val="56"/>
        </w:numPr>
        <w:spacing w:before="120" w:after="0" w:line="220" w:lineRule="exact"/>
        <w:ind w:left="0" w:hanging="142"/>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Tahsili gecikmiş alacakların (90 günü geçenler) “karşılık ayrılan” olarak değerlendirilmeyen kısmı ve bu uygulamaların nedenleri.</w:t>
      </w:r>
    </w:p>
    <w:p w14:paraId="1E7BEC0E" w14:textId="77777777" w:rsidR="00E036D3" w:rsidRPr="00FB38E1" w:rsidRDefault="00E036D3" w:rsidP="00E036D3">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 “Bankalarca Kredilerin ve Diğer Alacakların Niteliklerinin Belirlenmesi ve Bunlar İçin Ayrılacak Karşılıklara İlişkin Usul ve Esaslar Hakkında Yönetmelik” kapsamında 90 günlük gecikme sürecini tamamlamış krediler otomatik olarak takip hesaplarına alınarak özel karşılığa konu edilmektedir.</w:t>
      </w:r>
    </w:p>
    <w:p w14:paraId="131BAA6F" w14:textId="77777777" w:rsidR="00E036D3" w:rsidRPr="00FB38E1" w:rsidRDefault="00E036D3" w:rsidP="00364B59">
      <w:pPr>
        <w:pStyle w:val="ListParagraph"/>
        <w:numPr>
          <w:ilvl w:val="0"/>
          <w:numId w:val="56"/>
        </w:numPr>
        <w:spacing w:before="120" w:after="0" w:line="220" w:lineRule="exact"/>
        <w:ind w:left="0" w:hanging="142"/>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Karşılık tutarı belirlenirken kullanılan metotların tanımları</w:t>
      </w:r>
    </w:p>
    <w:p w14:paraId="27661388" w14:textId="77777777" w:rsidR="00E036D3" w:rsidRPr="00FB38E1" w:rsidRDefault="00E036D3" w:rsidP="00E036D3">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Karşılık tutarı hesaplamasında kullanılan metotlar Üçüncü bölüm VIII no’lu dipnotta sunulmuştur.</w:t>
      </w:r>
    </w:p>
    <w:p w14:paraId="12080C85" w14:textId="77777777" w:rsidR="00E036D3" w:rsidRPr="00FB38E1" w:rsidRDefault="00E036D3" w:rsidP="00364B59">
      <w:pPr>
        <w:pStyle w:val="ListParagraph"/>
        <w:numPr>
          <w:ilvl w:val="0"/>
          <w:numId w:val="56"/>
        </w:numPr>
        <w:spacing w:before="120" w:after="0" w:line="220" w:lineRule="exact"/>
        <w:ind w:left="0" w:hanging="142"/>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Yeniden yapılandırılan alacakların tanımları</w:t>
      </w:r>
    </w:p>
    <w:p w14:paraId="59D50210" w14:textId="77777777" w:rsidR="00E036D3" w:rsidRPr="00FB38E1" w:rsidRDefault="00E036D3" w:rsidP="00E036D3">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 hem birinci ve ikinci grup krediler ve diğer alacaklarını hem de donuk kredi ve alacaklarını yapılandırabilmektedir. Birinci ve ikinci grup krediler ve diğer alacaklardaki yapılandırmalar müşterinin krediyi geri ödeme kabiliyetinin iyileştirilmesi için yapılmanın yanısıra müşterinin kredi riskinden bağımsız olarak müşteri talebi ile sözleşme koşullarında yapılan değişiklikleri de kapsamaktadır. Donuk kredi ve alacaklardaki yapılandırmalar ise esasen alacağın tahsilini sağlamaya yönelik olarak kredinin yeni bir ödeme planına bağlanmasını ifade etmektedir.</w:t>
      </w:r>
    </w:p>
    <w:p w14:paraId="5BBCFF0C" w14:textId="77777777" w:rsidR="00E036D3" w:rsidRPr="00FB38E1" w:rsidRDefault="00E036D3" w:rsidP="00364B59">
      <w:pPr>
        <w:pStyle w:val="ListParagraph"/>
        <w:numPr>
          <w:ilvl w:val="0"/>
          <w:numId w:val="56"/>
        </w:numPr>
        <w:spacing w:before="240" w:after="120" w:line="220" w:lineRule="exact"/>
        <w:ind w:left="0" w:hanging="142"/>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Alacakların coğrafi bölgelere göre dağılımı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2"/>
        <w:gridCol w:w="2338"/>
        <w:gridCol w:w="816"/>
        <w:gridCol w:w="894"/>
        <w:gridCol w:w="738"/>
        <w:gridCol w:w="894"/>
        <w:gridCol w:w="841"/>
        <w:gridCol w:w="997"/>
        <w:gridCol w:w="816"/>
        <w:gridCol w:w="1113"/>
      </w:tblGrid>
      <w:tr w:rsidR="00E036D3" w:rsidRPr="00FB38E1" w14:paraId="3FC24A0B" w14:textId="77777777" w:rsidTr="00836EF2">
        <w:tc>
          <w:tcPr>
            <w:tcW w:w="100" w:type="pct"/>
            <w:tcBorders>
              <w:top w:val="thinThickSmallGap" w:sz="24" w:space="0" w:color="auto"/>
              <w:bottom w:val="nil"/>
            </w:tcBorders>
            <w:tcMar>
              <w:left w:w="57" w:type="dxa"/>
              <w:right w:w="57" w:type="dxa"/>
            </w:tcMar>
            <w:vAlign w:val="bottom"/>
          </w:tcPr>
          <w:p w14:paraId="7C914406" w14:textId="77777777" w:rsidR="00E036D3" w:rsidRPr="00FB38E1" w:rsidRDefault="00E036D3" w:rsidP="00836EF2">
            <w:pPr>
              <w:jc w:val="right"/>
              <w:rPr>
                <w:rFonts w:ascii="Microsoft Sans Serif" w:hAnsi="Microsoft Sans Serif" w:cs="Microsoft Sans Serif"/>
                <w:sz w:val="14"/>
                <w:szCs w:val="14"/>
              </w:rPr>
            </w:pPr>
          </w:p>
        </w:tc>
        <w:tc>
          <w:tcPr>
            <w:tcW w:w="1213" w:type="pct"/>
            <w:tcBorders>
              <w:top w:val="thinThickSmallGap" w:sz="24" w:space="0" w:color="auto"/>
              <w:bottom w:val="nil"/>
            </w:tcBorders>
            <w:tcMar>
              <w:left w:w="57" w:type="dxa"/>
              <w:right w:w="57" w:type="dxa"/>
            </w:tcMar>
          </w:tcPr>
          <w:p w14:paraId="6BEBA41F" w14:textId="77777777" w:rsidR="00E036D3" w:rsidRPr="00FB38E1" w:rsidRDefault="00E036D3" w:rsidP="00836EF2">
            <w:pPr>
              <w:rPr>
                <w:rFonts w:ascii="Microsoft Sans Serif" w:hAnsi="Microsoft Sans Serif" w:cs="Microsoft Sans Serif"/>
                <w:sz w:val="14"/>
                <w:szCs w:val="14"/>
              </w:rPr>
            </w:pPr>
          </w:p>
        </w:tc>
        <w:tc>
          <w:tcPr>
            <w:tcW w:w="887" w:type="pct"/>
            <w:gridSpan w:val="2"/>
            <w:tcBorders>
              <w:top w:val="thinThickSmallGap" w:sz="24" w:space="0" w:color="auto"/>
              <w:bottom w:val="single" w:sz="4" w:space="0" w:color="auto"/>
            </w:tcBorders>
            <w:tcMar>
              <w:left w:w="57" w:type="dxa"/>
              <w:right w:w="57" w:type="dxa"/>
            </w:tcMar>
          </w:tcPr>
          <w:p w14:paraId="4A042289"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Krediler</w:t>
            </w:r>
          </w:p>
        </w:tc>
        <w:tc>
          <w:tcPr>
            <w:tcW w:w="847" w:type="pct"/>
            <w:gridSpan w:val="2"/>
            <w:tcBorders>
              <w:top w:val="thinThickSmallGap" w:sz="24" w:space="0" w:color="auto"/>
              <w:bottom w:val="single" w:sz="4" w:space="0" w:color="auto"/>
            </w:tcBorders>
            <w:tcMar>
              <w:left w:w="57" w:type="dxa"/>
              <w:right w:w="57" w:type="dxa"/>
            </w:tcMar>
          </w:tcPr>
          <w:p w14:paraId="1BADC38E"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Borçlanma Araçları</w:t>
            </w:r>
          </w:p>
        </w:tc>
        <w:tc>
          <w:tcPr>
            <w:tcW w:w="953" w:type="pct"/>
            <w:gridSpan w:val="2"/>
            <w:tcBorders>
              <w:top w:val="thinThickSmallGap" w:sz="24" w:space="0" w:color="auto"/>
              <w:bottom w:val="single" w:sz="4" w:space="0" w:color="auto"/>
            </w:tcBorders>
          </w:tcPr>
          <w:p w14:paraId="7433D3A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Dışı Alacaklar</w:t>
            </w:r>
          </w:p>
        </w:tc>
        <w:tc>
          <w:tcPr>
            <w:tcW w:w="423" w:type="pct"/>
            <w:vMerge w:val="restart"/>
            <w:tcBorders>
              <w:top w:val="thinThickSmallGap" w:sz="24" w:space="0" w:color="auto"/>
            </w:tcBorders>
            <w:tcMar>
              <w:left w:w="57" w:type="dxa"/>
              <w:right w:w="57" w:type="dxa"/>
            </w:tcMar>
            <w:vAlign w:val="bottom"/>
          </w:tcPr>
          <w:p w14:paraId="034ADEC6" w14:textId="77777777" w:rsidR="00E036D3" w:rsidRPr="00FB38E1" w:rsidRDefault="00E036D3"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Özel Karşılık</w:t>
            </w:r>
          </w:p>
        </w:tc>
        <w:tc>
          <w:tcPr>
            <w:tcW w:w="577" w:type="pct"/>
            <w:vMerge w:val="restart"/>
            <w:tcBorders>
              <w:top w:val="thinThickSmallGap" w:sz="24" w:space="0" w:color="auto"/>
            </w:tcBorders>
            <w:tcMar>
              <w:left w:w="57" w:type="dxa"/>
              <w:right w:w="57" w:type="dxa"/>
            </w:tcMar>
            <w:vAlign w:val="bottom"/>
          </w:tcPr>
          <w:p w14:paraId="6A50FB37"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Kayıttan düşülen/Aktiften silinen tutar (*)</w:t>
            </w:r>
          </w:p>
        </w:tc>
      </w:tr>
      <w:tr w:rsidR="00E036D3" w:rsidRPr="00FB38E1" w14:paraId="226617AF" w14:textId="77777777" w:rsidTr="00836EF2">
        <w:trPr>
          <w:trHeight w:val="524"/>
        </w:trPr>
        <w:tc>
          <w:tcPr>
            <w:tcW w:w="100" w:type="pct"/>
            <w:tcBorders>
              <w:top w:val="nil"/>
              <w:bottom w:val="single" w:sz="4" w:space="0" w:color="auto"/>
            </w:tcBorders>
            <w:tcMar>
              <w:left w:w="57" w:type="dxa"/>
              <w:right w:w="57" w:type="dxa"/>
            </w:tcMar>
          </w:tcPr>
          <w:p w14:paraId="1B9F6968" w14:textId="77777777" w:rsidR="00E036D3" w:rsidRPr="00FB38E1" w:rsidRDefault="00E036D3" w:rsidP="00836EF2">
            <w:pPr>
              <w:jc w:val="right"/>
              <w:rPr>
                <w:rFonts w:ascii="Microsoft Sans Serif" w:hAnsi="Microsoft Sans Serif" w:cs="Microsoft Sans Serif"/>
                <w:color w:val="404040" w:themeColor="text1" w:themeTint="BF"/>
                <w:sz w:val="14"/>
                <w:szCs w:val="14"/>
              </w:rPr>
            </w:pPr>
          </w:p>
        </w:tc>
        <w:tc>
          <w:tcPr>
            <w:tcW w:w="1213" w:type="pct"/>
            <w:tcBorders>
              <w:top w:val="nil"/>
              <w:bottom w:val="single" w:sz="4" w:space="0" w:color="auto"/>
            </w:tcBorders>
            <w:tcMar>
              <w:left w:w="57" w:type="dxa"/>
              <w:right w:w="57" w:type="dxa"/>
            </w:tcMar>
            <w:vAlign w:val="center"/>
          </w:tcPr>
          <w:p w14:paraId="4D9B735A" w14:textId="77777777" w:rsidR="00E036D3" w:rsidRPr="00FB38E1" w:rsidRDefault="00E036D3" w:rsidP="00836EF2">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Cari Dönem</w:t>
            </w:r>
          </w:p>
        </w:tc>
        <w:tc>
          <w:tcPr>
            <w:tcW w:w="423" w:type="pct"/>
            <w:tcBorders>
              <w:top w:val="single" w:sz="4" w:space="0" w:color="auto"/>
              <w:bottom w:val="single" w:sz="4" w:space="0" w:color="auto"/>
            </w:tcBorders>
            <w:tcMar>
              <w:left w:w="57" w:type="dxa"/>
              <w:right w:w="57" w:type="dxa"/>
            </w:tcMar>
            <w:vAlign w:val="bottom"/>
          </w:tcPr>
          <w:p w14:paraId="5FA522DA"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5D36F94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etmiş</w:t>
            </w:r>
          </w:p>
        </w:tc>
        <w:tc>
          <w:tcPr>
            <w:tcW w:w="464" w:type="pct"/>
            <w:tcBorders>
              <w:top w:val="single" w:sz="4" w:space="0" w:color="auto"/>
              <w:bottom w:val="single" w:sz="4" w:space="0" w:color="auto"/>
            </w:tcBorders>
            <w:tcMar>
              <w:left w:w="57" w:type="dxa"/>
              <w:right w:w="57" w:type="dxa"/>
            </w:tcMar>
            <w:vAlign w:val="bottom"/>
          </w:tcPr>
          <w:p w14:paraId="210540AE"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 etmemiş</w:t>
            </w:r>
          </w:p>
        </w:tc>
        <w:tc>
          <w:tcPr>
            <w:tcW w:w="383" w:type="pct"/>
            <w:tcBorders>
              <w:top w:val="single" w:sz="4" w:space="0" w:color="auto"/>
              <w:bottom w:val="single" w:sz="4" w:space="0" w:color="auto"/>
            </w:tcBorders>
            <w:tcMar>
              <w:left w:w="57" w:type="dxa"/>
              <w:right w:w="57" w:type="dxa"/>
            </w:tcMar>
            <w:vAlign w:val="bottom"/>
          </w:tcPr>
          <w:p w14:paraId="618F15AC"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493F45BE"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etmiş</w:t>
            </w:r>
          </w:p>
        </w:tc>
        <w:tc>
          <w:tcPr>
            <w:tcW w:w="464" w:type="pct"/>
            <w:tcBorders>
              <w:top w:val="single" w:sz="4" w:space="0" w:color="auto"/>
              <w:bottom w:val="single" w:sz="4" w:space="0" w:color="auto"/>
            </w:tcBorders>
            <w:tcMar>
              <w:left w:w="57" w:type="dxa"/>
              <w:right w:w="57" w:type="dxa"/>
            </w:tcMar>
            <w:vAlign w:val="bottom"/>
          </w:tcPr>
          <w:p w14:paraId="1B637732" w14:textId="77777777" w:rsidR="00E036D3" w:rsidRPr="00FB38E1" w:rsidRDefault="00E036D3"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sz w:val="14"/>
                <w:szCs w:val="14"/>
              </w:rPr>
              <w:t>Temerrüt etmemiş</w:t>
            </w:r>
          </w:p>
        </w:tc>
        <w:tc>
          <w:tcPr>
            <w:tcW w:w="436" w:type="pct"/>
            <w:tcBorders>
              <w:top w:val="single" w:sz="4" w:space="0" w:color="auto"/>
              <w:bottom w:val="single" w:sz="4" w:space="0" w:color="auto"/>
            </w:tcBorders>
            <w:vAlign w:val="bottom"/>
          </w:tcPr>
          <w:p w14:paraId="51E08597"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2D71D630" w14:textId="77777777" w:rsidR="00E036D3" w:rsidRPr="00FB38E1" w:rsidRDefault="00E036D3" w:rsidP="00836EF2">
            <w:pPr>
              <w:jc w:val="center"/>
              <w:rPr>
                <w:rFonts w:ascii="Microsoft Sans Serif" w:hAnsi="Microsoft Sans Serif" w:cs="Microsoft Sans Serif"/>
                <w:sz w:val="14"/>
                <w:szCs w:val="14"/>
              </w:rPr>
            </w:pPr>
            <w:r w:rsidRPr="00FB38E1">
              <w:rPr>
                <w:rFonts w:ascii="Microsoft Sans Serif" w:hAnsi="Microsoft Sans Serif" w:cs="Microsoft Sans Serif"/>
                <w:b/>
                <w:sz w:val="14"/>
                <w:szCs w:val="14"/>
              </w:rPr>
              <w:t>etmiş</w:t>
            </w:r>
          </w:p>
        </w:tc>
        <w:tc>
          <w:tcPr>
            <w:tcW w:w="517" w:type="pct"/>
            <w:tcBorders>
              <w:top w:val="single" w:sz="4" w:space="0" w:color="auto"/>
              <w:bottom w:val="single" w:sz="4" w:space="0" w:color="auto"/>
            </w:tcBorders>
            <w:vAlign w:val="bottom"/>
          </w:tcPr>
          <w:p w14:paraId="0332AB3C" w14:textId="77777777" w:rsidR="00E036D3" w:rsidRPr="00FB38E1" w:rsidRDefault="00E036D3" w:rsidP="00836EF2">
            <w:pPr>
              <w:jc w:val="center"/>
              <w:rPr>
                <w:rFonts w:ascii="Microsoft Sans Serif" w:hAnsi="Microsoft Sans Serif" w:cs="Microsoft Sans Serif"/>
                <w:sz w:val="14"/>
                <w:szCs w:val="14"/>
              </w:rPr>
            </w:pPr>
            <w:r w:rsidRPr="00FB38E1">
              <w:rPr>
                <w:rFonts w:ascii="Microsoft Sans Serif" w:hAnsi="Microsoft Sans Serif" w:cs="Microsoft Sans Serif"/>
                <w:b/>
                <w:sz w:val="14"/>
                <w:szCs w:val="14"/>
              </w:rPr>
              <w:t>Temerrüt etmemiş</w:t>
            </w:r>
          </w:p>
        </w:tc>
        <w:tc>
          <w:tcPr>
            <w:tcW w:w="423" w:type="pct"/>
            <w:vMerge/>
            <w:tcBorders>
              <w:bottom w:val="single" w:sz="4" w:space="0" w:color="auto"/>
            </w:tcBorders>
            <w:tcMar>
              <w:left w:w="57" w:type="dxa"/>
              <w:right w:w="57" w:type="dxa"/>
            </w:tcMar>
            <w:vAlign w:val="center"/>
          </w:tcPr>
          <w:p w14:paraId="49DFCE53" w14:textId="77777777" w:rsidR="00E036D3" w:rsidRPr="00FB38E1" w:rsidRDefault="00E036D3" w:rsidP="00836EF2">
            <w:pPr>
              <w:jc w:val="center"/>
              <w:rPr>
                <w:rFonts w:ascii="Microsoft Sans Serif" w:hAnsi="Microsoft Sans Serif" w:cs="Microsoft Sans Serif"/>
                <w:sz w:val="14"/>
                <w:szCs w:val="14"/>
              </w:rPr>
            </w:pPr>
          </w:p>
        </w:tc>
        <w:tc>
          <w:tcPr>
            <w:tcW w:w="577" w:type="pct"/>
            <w:vMerge/>
            <w:tcBorders>
              <w:bottom w:val="single" w:sz="4" w:space="0" w:color="auto"/>
            </w:tcBorders>
            <w:tcMar>
              <w:left w:w="57" w:type="dxa"/>
              <w:right w:w="57" w:type="dxa"/>
            </w:tcMar>
            <w:vAlign w:val="center"/>
          </w:tcPr>
          <w:p w14:paraId="29FB2278" w14:textId="77777777" w:rsidR="00E036D3" w:rsidRPr="00FB38E1" w:rsidRDefault="00E036D3" w:rsidP="00836EF2">
            <w:pPr>
              <w:jc w:val="center"/>
              <w:rPr>
                <w:rFonts w:ascii="Microsoft Sans Serif" w:hAnsi="Microsoft Sans Serif" w:cs="Microsoft Sans Serif"/>
                <w:sz w:val="14"/>
                <w:szCs w:val="14"/>
              </w:rPr>
            </w:pPr>
          </w:p>
        </w:tc>
      </w:tr>
      <w:tr w:rsidR="004C1F45" w:rsidRPr="00FB38E1" w14:paraId="619F09D1" w14:textId="77777777" w:rsidTr="00836EF2">
        <w:tc>
          <w:tcPr>
            <w:tcW w:w="100" w:type="pct"/>
            <w:tcBorders>
              <w:top w:val="single" w:sz="4" w:space="0" w:color="auto"/>
            </w:tcBorders>
            <w:tcMar>
              <w:left w:w="57" w:type="dxa"/>
              <w:right w:w="57" w:type="dxa"/>
            </w:tcMar>
          </w:tcPr>
          <w:p w14:paraId="41A74FFE" w14:textId="77777777" w:rsidR="004C1F45" w:rsidRPr="00FB38E1" w:rsidRDefault="004C1F45" w:rsidP="004C1F45">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1213" w:type="pct"/>
            <w:tcBorders>
              <w:top w:val="single" w:sz="4" w:space="0" w:color="auto"/>
            </w:tcBorders>
            <w:tcMar>
              <w:left w:w="57" w:type="dxa"/>
              <w:right w:w="57" w:type="dxa"/>
            </w:tcMar>
          </w:tcPr>
          <w:p w14:paraId="4AB49EB0" w14:textId="77777777" w:rsidR="004C1F45" w:rsidRPr="00FB38E1" w:rsidRDefault="004C1F45" w:rsidP="004C1F45">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Yurt içi</w:t>
            </w:r>
          </w:p>
        </w:tc>
        <w:tc>
          <w:tcPr>
            <w:tcW w:w="423" w:type="pct"/>
            <w:tcBorders>
              <w:top w:val="single" w:sz="4" w:space="0" w:color="auto"/>
            </w:tcBorders>
            <w:tcMar>
              <w:left w:w="57" w:type="dxa"/>
              <w:right w:w="57" w:type="dxa"/>
            </w:tcMar>
            <w:vAlign w:val="center"/>
          </w:tcPr>
          <w:p w14:paraId="0E38907F" w14:textId="5490EC79"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27.159.567</w:t>
            </w:r>
          </w:p>
        </w:tc>
        <w:tc>
          <w:tcPr>
            <w:tcW w:w="464" w:type="pct"/>
            <w:tcBorders>
              <w:top w:val="single" w:sz="4" w:space="0" w:color="auto"/>
            </w:tcBorders>
            <w:tcMar>
              <w:left w:w="57" w:type="dxa"/>
              <w:right w:w="57" w:type="dxa"/>
            </w:tcMar>
            <w:vAlign w:val="center"/>
          </w:tcPr>
          <w:p w14:paraId="2B0C0159" w14:textId="06C7FDE1"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673.516.950</w:t>
            </w:r>
          </w:p>
        </w:tc>
        <w:tc>
          <w:tcPr>
            <w:tcW w:w="383" w:type="pct"/>
            <w:tcBorders>
              <w:top w:val="single" w:sz="4" w:space="0" w:color="auto"/>
            </w:tcBorders>
            <w:tcMar>
              <w:left w:w="57" w:type="dxa"/>
              <w:right w:w="57" w:type="dxa"/>
            </w:tcMar>
            <w:vAlign w:val="center"/>
          </w:tcPr>
          <w:p w14:paraId="069C896E" w14:textId="1BFE6402"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single" w:sz="4" w:space="0" w:color="auto"/>
            </w:tcBorders>
            <w:tcMar>
              <w:left w:w="57" w:type="dxa"/>
              <w:right w:w="57" w:type="dxa"/>
            </w:tcMar>
            <w:vAlign w:val="center"/>
          </w:tcPr>
          <w:p w14:paraId="3E50E91F" w14:textId="434FC136"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172.786.253</w:t>
            </w:r>
          </w:p>
        </w:tc>
        <w:tc>
          <w:tcPr>
            <w:tcW w:w="436" w:type="pct"/>
            <w:tcBorders>
              <w:top w:val="single" w:sz="4" w:space="0" w:color="auto"/>
            </w:tcBorders>
            <w:vAlign w:val="center"/>
          </w:tcPr>
          <w:p w14:paraId="410C31E3" w14:textId="44E0EF9A"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4.401.628</w:t>
            </w:r>
          </w:p>
        </w:tc>
        <w:tc>
          <w:tcPr>
            <w:tcW w:w="517" w:type="pct"/>
            <w:tcBorders>
              <w:top w:val="single" w:sz="4" w:space="0" w:color="auto"/>
            </w:tcBorders>
            <w:vAlign w:val="center"/>
          </w:tcPr>
          <w:p w14:paraId="0BE2B353" w14:textId="42FBCA9D"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666.821.366</w:t>
            </w:r>
          </w:p>
        </w:tc>
        <w:tc>
          <w:tcPr>
            <w:tcW w:w="423" w:type="pct"/>
            <w:tcBorders>
              <w:top w:val="single" w:sz="4" w:space="0" w:color="auto"/>
            </w:tcBorders>
            <w:tcMar>
              <w:left w:w="57" w:type="dxa"/>
              <w:right w:w="57" w:type="dxa"/>
            </w:tcMar>
            <w:vAlign w:val="center"/>
          </w:tcPr>
          <w:p w14:paraId="1306332C" w14:textId="0F1FC10F"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16.392.983</w:t>
            </w:r>
          </w:p>
        </w:tc>
        <w:tc>
          <w:tcPr>
            <w:tcW w:w="577" w:type="pct"/>
            <w:tcBorders>
              <w:top w:val="single" w:sz="4" w:space="0" w:color="auto"/>
            </w:tcBorders>
            <w:tcMar>
              <w:left w:w="57" w:type="dxa"/>
              <w:right w:w="57" w:type="dxa"/>
            </w:tcMar>
            <w:vAlign w:val="center"/>
          </w:tcPr>
          <w:p w14:paraId="6FE5E56A" w14:textId="79CA53B0"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6.036.682</w:t>
            </w:r>
          </w:p>
        </w:tc>
      </w:tr>
      <w:tr w:rsidR="004C1F45" w:rsidRPr="00FB38E1" w14:paraId="763439C7" w14:textId="77777777" w:rsidTr="00836EF2">
        <w:tc>
          <w:tcPr>
            <w:tcW w:w="100" w:type="pct"/>
            <w:tcMar>
              <w:left w:w="57" w:type="dxa"/>
              <w:right w:w="57" w:type="dxa"/>
            </w:tcMar>
          </w:tcPr>
          <w:p w14:paraId="2D488FF0" w14:textId="77777777" w:rsidR="004C1F45" w:rsidRPr="00FB38E1" w:rsidRDefault="004C1F45" w:rsidP="004C1F45">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1213" w:type="pct"/>
            <w:tcMar>
              <w:left w:w="57" w:type="dxa"/>
              <w:right w:w="57" w:type="dxa"/>
            </w:tcMar>
          </w:tcPr>
          <w:p w14:paraId="53C6AB13" w14:textId="77777777" w:rsidR="004C1F45" w:rsidRPr="00FB38E1" w:rsidRDefault="004C1F45" w:rsidP="004C1F45">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Avrupa Birliği Ülkeleri</w:t>
            </w:r>
          </w:p>
        </w:tc>
        <w:tc>
          <w:tcPr>
            <w:tcW w:w="423" w:type="pct"/>
            <w:tcMar>
              <w:left w:w="57" w:type="dxa"/>
              <w:right w:w="57" w:type="dxa"/>
            </w:tcMar>
            <w:vAlign w:val="center"/>
          </w:tcPr>
          <w:p w14:paraId="079DDD49" w14:textId="39C2C448"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179.595</w:t>
            </w:r>
          </w:p>
        </w:tc>
        <w:tc>
          <w:tcPr>
            <w:tcW w:w="464" w:type="pct"/>
            <w:tcMar>
              <w:left w:w="57" w:type="dxa"/>
              <w:right w:w="57" w:type="dxa"/>
            </w:tcMar>
            <w:vAlign w:val="center"/>
          </w:tcPr>
          <w:p w14:paraId="4E3EE3C7" w14:textId="53B5592A"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25.497.124</w:t>
            </w:r>
          </w:p>
        </w:tc>
        <w:tc>
          <w:tcPr>
            <w:tcW w:w="383" w:type="pct"/>
            <w:tcMar>
              <w:left w:w="57" w:type="dxa"/>
              <w:right w:w="57" w:type="dxa"/>
            </w:tcMar>
            <w:vAlign w:val="center"/>
          </w:tcPr>
          <w:p w14:paraId="5DB53437" w14:textId="4C6F992F"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0BA1038A" w14:textId="740F5517"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1.998.303</w:t>
            </w:r>
          </w:p>
        </w:tc>
        <w:tc>
          <w:tcPr>
            <w:tcW w:w="436" w:type="pct"/>
            <w:vAlign w:val="center"/>
          </w:tcPr>
          <w:p w14:paraId="3B118BA4" w14:textId="3CEC710B"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2B26E97F" w14:textId="4900EF10"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5.640.524</w:t>
            </w:r>
          </w:p>
        </w:tc>
        <w:tc>
          <w:tcPr>
            <w:tcW w:w="423" w:type="pct"/>
            <w:tcMar>
              <w:left w:w="57" w:type="dxa"/>
              <w:right w:w="57" w:type="dxa"/>
            </w:tcMar>
            <w:vAlign w:val="center"/>
          </w:tcPr>
          <w:p w14:paraId="0ED87B97" w14:textId="06244340"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102.980</w:t>
            </w:r>
          </w:p>
        </w:tc>
        <w:tc>
          <w:tcPr>
            <w:tcW w:w="577" w:type="pct"/>
            <w:tcMar>
              <w:left w:w="57" w:type="dxa"/>
              <w:right w:w="57" w:type="dxa"/>
            </w:tcMar>
            <w:vAlign w:val="center"/>
          </w:tcPr>
          <w:p w14:paraId="220A0A27" w14:textId="54AEDF71"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C1F45" w:rsidRPr="00FB38E1" w14:paraId="707E5098" w14:textId="77777777" w:rsidTr="00836EF2">
        <w:tc>
          <w:tcPr>
            <w:tcW w:w="100" w:type="pct"/>
            <w:tcMar>
              <w:left w:w="57" w:type="dxa"/>
              <w:right w:w="57" w:type="dxa"/>
            </w:tcMar>
          </w:tcPr>
          <w:p w14:paraId="4C998FA9" w14:textId="77777777" w:rsidR="004C1F45" w:rsidRPr="00FB38E1" w:rsidRDefault="004C1F45" w:rsidP="004C1F45">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1213" w:type="pct"/>
            <w:tcMar>
              <w:left w:w="57" w:type="dxa"/>
              <w:right w:w="57" w:type="dxa"/>
            </w:tcMar>
          </w:tcPr>
          <w:p w14:paraId="3A2936B6" w14:textId="77777777" w:rsidR="004C1F45" w:rsidRPr="00FB38E1" w:rsidRDefault="004C1F45" w:rsidP="004C1F45">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OECD Ülkeleri</w:t>
            </w:r>
          </w:p>
        </w:tc>
        <w:tc>
          <w:tcPr>
            <w:tcW w:w="423" w:type="pct"/>
            <w:tcMar>
              <w:left w:w="57" w:type="dxa"/>
              <w:right w:w="57" w:type="dxa"/>
            </w:tcMar>
            <w:vAlign w:val="center"/>
          </w:tcPr>
          <w:p w14:paraId="5A24C8AB" w14:textId="5B360944"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50333F2E" w14:textId="162583A5"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3.426</w:t>
            </w:r>
          </w:p>
        </w:tc>
        <w:tc>
          <w:tcPr>
            <w:tcW w:w="383" w:type="pct"/>
            <w:tcMar>
              <w:left w:w="57" w:type="dxa"/>
              <w:right w:w="57" w:type="dxa"/>
            </w:tcMar>
            <w:vAlign w:val="center"/>
          </w:tcPr>
          <w:p w14:paraId="590BB99A" w14:textId="5C0500E4"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31DC2662" w14:textId="67248144"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5B9447B" w14:textId="0D32E20A"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0F851C72" w14:textId="1905E0E9"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16.459.759</w:t>
            </w:r>
          </w:p>
        </w:tc>
        <w:tc>
          <w:tcPr>
            <w:tcW w:w="423" w:type="pct"/>
            <w:tcMar>
              <w:left w:w="57" w:type="dxa"/>
              <w:right w:w="57" w:type="dxa"/>
            </w:tcMar>
            <w:vAlign w:val="center"/>
          </w:tcPr>
          <w:p w14:paraId="00A0FB43" w14:textId="2D5808B0"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77" w:type="pct"/>
            <w:tcMar>
              <w:left w:w="57" w:type="dxa"/>
              <w:right w:w="57" w:type="dxa"/>
            </w:tcMar>
            <w:vAlign w:val="center"/>
          </w:tcPr>
          <w:p w14:paraId="3AD3F582" w14:textId="588AFC1F"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C1F45" w:rsidRPr="00FB38E1" w14:paraId="6C6C6579" w14:textId="77777777" w:rsidTr="00836EF2">
        <w:tc>
          <w:tcPr>
            <w:tcW w:w="100" w:type="pct"/>
            <w:tcMar>
              <w:left w:w="57" w:type="dxa"/>
              <w:right w:w="57" w:type="dxa"/>
            </w:tcMar>
          </w:tcPr>
          <w:p w14:paraId="38E6D0C1" w14:textId="77777777" w:rsidR="004C1F45" w:rsidRPr="00FB38E1" w:rsidRDefault="004C1F45" w:rsidP="004C1F45">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4</w:t>
            </w:r>
          </w:p>
        </w:tc>
        <w:tc>
          <w:tcPr>
            <w:tcW w:w="1213" w:type="pct"/>
            <w:tcMar>
              <w:left w:w="57" w:type="dxa"/>
              <w:right w:w="57" w:type="dxa"/>
            </w:tcMar>
          </w:tcPr>
          <w:p w14:paraId="09E34792" w14:textId="77777777" w:rsidR="004C1F45" w:rsidRPr="00FB38E1" w:rsidRDefault="004C1F45" w:rsidP="004C1F45">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Kıyı Bankacılığı Bölgeleri</w:t>
            </w:r>
          </w:p>
        </w:tc>
        <w:tc>
          <w:tcPr>
            <w:tcW w:w="423" w:type="pct"/>
            <w:tcMar>
              <w:left w:w="57" w:type="dxa"/>
              <w:right w:w="57" w:type="dxa"/>
            </w:tcMar>
            <w:vAlign w:val="center"/>
          </w:tcPr>
          <w:p w14:paraId="6F3D5C24" w14:textId="319691E8"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2004C272" w14:textId="53927BE2"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2.815.414</w:t>
            </w:r>
          </w:p>
        </w:tc>
        <w:tc>
          <w:tcPr>
            <w:tcW w:w="383" w:type="pct"/>
            <w:tcMar>
              <w:left w:w="57" w:type="dxa"/>
              <w:right w:w="57" w:type="dxa"/>
            </w:tcMar>
            <w:vAlign w:val="center"/>
          </w:tcPr>
          <w:p w14:paraId="71A46282" w14:textId="71BD81E0"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4A63FFED" w14:textId="58C63F15"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795DF3BF" w14:textId="61A23F60"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245CDF9F" w14:textId="735C844F"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4.358.722</w:t>
            </w:r>
          </w:p>
        </w:tc>
        <w:tc>
          <w:tcPr>
            <w:tcW w:w="423" w:type="pct"/>
            <w:tcMar>
              <w:left w:w="57" w:type="dxa"/>
              <w:right w:w="57" w:type="dxa"/>
            </w:tcMar>
            <w:vAlign w:val="center"/>
          </w:tcPr>
          <w:p w14:paraId="19FBACB5" w14:textId="0041AF65"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77" w:type="pct"/>
            <w:tcMar>
              <w:left w:w="57" w:type="dxa"/>
              <w:right w:w="57" w:type="dxa"/>
            </w:tcMar>
            <w:vAlign w:val="center"/>
          </w:tcPr>
          <w:p w14:paraId="671D5C57" w14:textId="59A7FD8F"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C1F45" w:rsidRPr="00FB38E1" w14:paraId="3FC9882E" w14:textId="77777777" w:rsidTr="00836EF2">
        <w:tc>
          <w:tcPr>
            <w:tcW w:w="100" w:type="pct"/>
            <w:tcMar>
              <w:left w:w="57" w:type="dxa"/>
              <w:right w:w="57" w:type="dxa"/>
            </w:tcMar>
          </w:tcPr>
          <w:p w14:paraId="157DB411" w14:textId="77777777" w:rsidR="004C1F45" w:rsidRPr="00FB38E1" w:rsidRDefault="004C1F45" w:rsidP="004C1F45">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5</w:t>
            </w:r>
          </w:p>
        </w:tc>
        <w:tc>
          <w:tcPr>
            <w:tcW w:w="1213" w:type="pct"/>
            <w:tcMar>
              <w:left w:w="57" w:type="dxa"/>
              <w:right w:w="57" w:type="dxa"/>
            </w:tcMar>
          </w:tcPr>
          <w:p w14:paraId="1271B33D" w14:textId="77777777" w:rsidR="004C1F45" w:rsidRPr="00FB38E1" w:rsidRDefault="004C1F45" w:rsidP="004C1F45">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ABD, Kanada</w:t>
            </w:r>
          </w:p>
        </w:tc>
        <w:tc>
          <w:tcPr>
            <w:tcW w:w="423" w:type="pct"/>
            <w:tcMar>
              <w:left w:w="57" w:type="dxa"/>
              <w:right w:w="57" w:type="dxa"/>
            </w:tcMar>
            <w:vAlign w:val="center"/>
          </w:tcPr>
          <w:p w14:paraId="2EF5F471" w14:textId="3D6CA94F"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2CAF5F41" w14:textId="28ED0E2F"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49.126</w:t>
            </w:r>
          </w:p>
        </w:tc>
        <w:tc>
          <w:tcPr>
            <w:tcW w:w="383" w:type="pct"/>
            <w:tcMar>
              <w:left w:w="57" w:type="dxa"/>
              <w:right w:w="57" w:type="dxa"/>
            </w:tcMar>
            <w:vAlign w:val="center"/>
          </w:tcPr>
          <w:p w14:paraId="5EE61009" w14:textId="79F4947E"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3B0217CA" w14:textId="6C1AE05D"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5A577726" w14:textId="487736B1"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6882D3AE" w14:textId="063978AC"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61.961</w:t>
            </w:r>
          </w:p>
        </w:tc>
        <w:tc>
          <w:tcPr>
            <w:tcW w:w="423" w:type="pct"/>
            <w:tcMar>
              <w:left w:w="57" w:type="dxa"/>
              <w:right w:w="57" w:type="dxa"/>
            </w:tcMar>
            <w:vAlign w:val="center"/>
          </w:tcPr>
          <w:p w14:paraId="7DFFA31B" w14:textId="06F2BAE1"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77" w:type="pct"/>
            <w:tcMar>
              <w:left w:w="57" w:type="dxa"/>
              <w:right w:w="57" w:type="dxa"/>
            </w:tcMar>
            <w:vAlign w:val="center"/>
          </w:tcPr>
          <w:p w14:paraId="53214E66" w14:textId="4CD9973B"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C1F45" w:rsidRPr="00FB38E1" w14:paraId="602ED887" w14:textId="77777777" w:rsidTr="00836EF2">
        <w:tc>
          <w:tcPr>
            <w:tcW w:w="100" w:type="pct"/>
            <w:tcBorders>
              <w:bottom w:val="single" w:sz="4" w:space="0" w:color="auto"/>
            </w:tcBorders>
            <w:tcMar>
              <w:left w:w="57" w:type="dxa"/>
              <w:right w:w="57" w:type="dxa"/>
            </w:tcMar>
          </w:tcPr>
          <w:p w14:paraId="317A207B" w14:textId="77777777" w:rsidR="004C1F45" w:rsidRPr="00FB38E1" w:rsidRDefault="004C1F45" w:rsidP="004C1F45">
            <w:pPr>
              <w:jc w:val="right"/>
              <w:rPr>
                <w:rFonts w:ascii="Microsoft Sans Serif" w:hAnsi="Microsoft Sans Serif" w:cs="Microsoft Sans Serif"/>
                <w:sz w:val="14"/>
                <w:szCs w:val="14"/>
              </w:rPr>
            </w:pPr>
            <w:r w:rsidRPr="00FB38E1">
              <w:rPr>
                <w:rFonts w:ascii="Microsoft Sans Serif" w:hAnsi="Microsoft Sans Serif" w:cs="Microsoft Sans Serif"/>
                <w:color w:val="404040" w:themeColor="text1" w:themeTint="BF"/>
                <w:sz w:val="14"/>
                <w:szCs w:val="14"/>
              </w:rPr>
              <w:t>6</w:t>
            </w:r>
          </w:p>
        </w:tc>
        <w:tc>
          <w:tcPr>
            <w:tcW w:w="1213" w:type="pct"/>
            <w:tcBorders>
              <w:bottom w:val="single" w:sz="4" w:space="0" w:color="auto"/>
            </w:tcBorders>
            <w:tcMar>
              <w:left w:w="57" w:type="dxa"/>
              <w:right w:w="57" w:type="dxa"/>
            </w:tcMar>
          </w:tcPr>
          <w:p w14:paraId="353CEB5F" w14:textId="77777777" w:rsidR="004C1F45" w:rsidRPr="00FB38E1" w:rsidRDefault="004C1F45" w:rsidP="004C1F45">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Ülkeler</w:t>
            </w:r>
          </w:p>
        </w:tc>
        <w:tc>
          <w:tcPr>
            <w:tcW w:w="423" w:type="pct"/>
            <w:tcBorders>
              <w:bottom w:val="single" w:sz="4" w:space="0" w:color="auto"/>
            </w:tcBorders>
            <w:tcMar>
              <w:left w:w="57" w:type="dxa"/>
              <w:right w:w="57" w:type="dxa"/>
            </w:tcMar>
            <w:vAlign w:val="center"/>
          </w:tcPr>
          <w:p w14:paraId="7D1E696F" w14:textId="4D7497E7"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404.980</w:t>
            </w:r>
          </w:p>
        </w:tc>
        <w:tc>
          <w:tcPr>
            <w:tcW w:w="464" w:type="pct"/>
            <w:tcBorders>
              <w:bottom w:val="single" w:sz="4" w:space="0" w:color="auto"/>
            </w:tcBorders>
            <w:tcMar>
              <w:left w:w="57" w:type="dxa"/>
              <w:right w:w="57" w:type="dxa"/>
            </w:tcMar>
            <w:vAlign w:val="center"/>
          </w:tcPr>
          <w:p w14:paraId="12BFC3EF" w14:textId="17ACA4E5"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6.592.099</w:t>
            </w:r>
          </w:p>
        </w:tc>
        <w:tc>
          <w:tcPr>
            <w:tcW w:w="383" w:type="pct"/>
            <w:tcBorders>
              <w:bottom w:val="single" w:sz="4" w:space="0" w:color="auto"/>
            </w:tcBorders>
            <w:tcMar>
              <w:left w:w="57" w:type="dxa"/>
              <w:right w:w="57" w:type="dxa"/>
            </w:tcMar>
            <w:vAlign w:val="center"/>
          </w:tcPr>
          <w:p w14:paraId="61CC5DFF" w14:textId="61985A12"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bottom w:val="single" w:sz="4" w:space="0" w:color="auto"/>
            </w:tcBorders>
            <w:tcMar>
              <w:left w:w="57" w:type="dxa"/>
              <w:right w:w="57" w:type="dxa"/>
            </w:tcMar>
            <w:vAlign w:val="center"/>
          </w:tcPr>
          <w:p w14:paraId="783EE5FC" w14:textId="019C69C4"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tcBorders>
              <w:bottom w:val="single" w:sz="4" w:space="0" w:color="auto"/>
            </w:tcBorders>
            <w:vAlign w:val="center"/>
          </w:tcPr>
          <w:p w14:paraId="2009F966" w14:textId="4B0D4FCA"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4.901</w:t>
            </w:r>
          </w:p>
        </w:tc>
        <w:tc>
          <w:tcPr>
            <w:tcW w:w="517" w:type="pct"/>
            <w:tcBorders>
              <w:bottom w:val="single" w:sz="4" w:space="0" w:color="auto"/>
            </w:tcBorders>
            <w:vAlign w:val="center"/>
          </w:tcPr>
          <w:p w14:paraId="39B1737B" w14:textId="14FF8546"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3.410.050</w:t>
            </w:r>
          </w:p>
        </w:tc>
        <w:tc>
          <w:tcPr>
            <w:tcW w:w="423" w:type="pct"/>
            <w:tcBorders>
              <w:bottom w:val="single" w:sz="4" w:space="0" w:color="auto"/>
            </w:tcBorders>
            <w:tcMar>
              <w:left w:w="57" w:type="dxa"/>
              <w:right w:w="57" w:type="dxa"/>
            </w:tcMar>
            <w:vAlign w:val="center"/>
          </w:tcPr>
          <w:p w14:paraId="67A7FCB7" w14:textId="435B129F"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271.252</w:t>
            </w:r>
          </w:p>
        </w:tc>
        <w:tc>
          <w:tcPr>
            <w:tcW w:w="577" w:type="pct"/>
            <w:tcBorders>
              <w:bottom w:val="single" w:sz="4" w:space="0" w:color="auto"/>
            </w:tcBorders>
            <w:tcMar>
              <w:left w:w="57" w:type="dxa"/>
              <w:right w:w="57" w:type="dxa"/>
            </w:tcMar>
            <w:vAlign w:val="center"/>
          </w:tcPr>
          <w:p w14:paraId="3296D9D0" w14:textId="76B357D2" w:rsidR="004C1F45" w:rsidRPr="00FB38E1" w:rsidRDefault="004C1F45" w:rsidP="004C1F4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4C1F45" w:rsidRPr="00FB38E1" w14:paraId="056E5FD4" w14:textId="77777777" w:rsidTr="00836EF2">
        <w:tc>
          <w:tcPr>
            <w:tcW w:w="100" w:type="pct"/>
            <w:tcBorders>
              <w:top w:val="single" w:sz="4" w:space="0" w:color="auto"/>
              <w:bottom w:val="thickThinSmallGap" w:sz="24" w:space="0" w:color="auto"/>
            </w:tcBorders>
            <w:tcMar>
              <w:left w:w="57" w:type="dxa"/>
              <w:right w:w="57" w:type="dxa"/>
            </w:tcMar>
          </w:tcPr>
          <w:p w14:paraId="00359654" w14:textId="77777777" w:rsidR="004C1F45" w:rsidRPr="00FB38E1" w:rsidRDefault="004C1F45" w:rsidP="004C1F45">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7</w:t>
            </w:r>
          </w:p>
        </w:tc>
        <w:tc>
          <w:tcPr>
            <w:tcW w:w="1213" w:type="pct"/>
            <w:tcBorders>
              <w:top w:val="single" w:sz="4" w:space="0" w:color="auto"/>
              <w:bottom w:val="thickThinSmallGap" w:sz="24" w:space="0" w:color="auto"/>
            </w:tcBorders>
            <w:tcMar>
              <w:left w:w="57" w:type="dxa"/>
              <w:right w:w="57" w:type="dxa"/>
            </w:tcMar>
          </w:tcPr>
          <w:p w14:paraId="22D4BB7B" w14:textId="77777777" w:rsidR="004C1F45" w:rsidRPr="00FB38E1" w:rsidRDefault="004C1F45" w:rsidP="004C1F45">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423" w:type="pct"/>
            <w:tcBorders>
              <w:top w:val="single" w:sz="4" w:space="0" w:color="auto"/>
              <w:bottom w:val="thickThinSmallGap" w:sz="24" w:space="0" w:color="auto"/>
            </w:tcBorders>
            <w:tcMar>
              <w:left w:w="57" w:type="dxa"/>
              <w:right w:w="57" w:type="dxa"/>
            </w:tcMar>
            <w:vAlign w:val="center"/>
          </w:tcPr>
          <w:p w14:paraId="5629228B" w14:textId="154FEF79" w:rsidR="004C1F45" w:rsidRPr="00FB38E1" w:rsidRDefault="004C1F45" w:rsidP="004C1F4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27.744.142</w:t>
            </w:r>
          </w:p>
        </w:tc>
        <w:tc>
          <w:tcPr>
            <w:tcW w:w="464" w:type="pct"/>
            <w:tcBorders>
              <w:top w:val="single" w:sz="4" w:space="0" w:color="auto"/>
              <w:bottom w:val="thickThinSmallGap" w:sz="24" w:space="0" w:color="auto"/>
            </w:tcBorders>
            <w:tcMar>
              <w:left w:w="57" w:type="dxa"/>
              <w:right w:w="57" w:type="dxa"/>
            </w:tcMar>
            <w:vAlign w:val="center"/>
          </w:tcPr>
          <w:p w14:paraId="031F13F4" w14:textId="1C6EB61B" w:rsidR="004C1F45" w:rsidRPr="00FB38E1" w:rsidRDefault="004C1F45" w:rsidP="004C1F4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708.474.139</w:t>
            </w:r>
          </w:p>
        </w:tc>
        <w:tc>
          <w:tcPr>
            <w:tcW w:w="383" w:type="pct"/>
            <w:tcBorders>
              <w:top w:val="single" w:sz="4" w:space="0" w:color="auto"/>
              <w:bottom w:val="thickThinSmallGap" w:sz="24" w:space="0" w:color="auto"/>
            </w:tcBorders>
            <w:tcMar>
              <w:left w:w="57" w:type="dxa"/>
              <w:right w:w="57" w:type="dxa"/>
            </w:tcMar>
            <w:vAlign w:val="center"/>
          </w:tcPr>
          <w:p w14:paraId="5A4D28DE" w14:textId="48C6092E" w:rsidR="004C1F45" w:rsidRPr="00FB38E1" w:rsidRDefault="004C1F45" w:rsidP="004C1F4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4" w:type="pct"/>
            <w:tcBorders>
              <w:top w:val="single" w:sz="4" w:space="0" w:color="auto"/>
              <w:bottom w:val="thickThinSmallGap" w:sz="24" w:space="0" w:color="auto"/>
            </w:tcBorders>
            <w:tcMar>
              <w:left w:w="57" w:type="dxa"/>
              <w:right w:w="57" w:type="dxa"/>
            </w:tcMar>
            <w:vAlign w:val="center"/>
          </w:tcPr>
          <w:p w14:paraId="5D25B373" w14:textId="6D1FFB5A" w:rsidR="004C1F45" w:rsidRPr="00FB38E1" w:rsidRDefault="004C1F45" w:rsidP="004C1F4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174.784.556</w:t>
            </w:r>
          </w:p>
        </w:tc>
        <w:tc>
          <w:tcPr>
            <w:tcW w:w="436" w:type="pct"/>
            <w:tcBorders>
              <w:top w:val="single" w:sz="4" w:space="0" w:color="auto"/>
              <w:bottom w:val="thickThinSmallGap" w:sz="24" w:space="0" w:color="auto"/>
            </w:tcBorders>
            <w:vAlign w:val="center"/>
          </w:tcPr>
          <w:p w14:paraId="0A623BB7" w14:textId="6EB609EC" w:rsidR="004C1F45" w:rsidRPr="00FB38E1" w:rsidRDefault="004C1F45" w:rsidP="004C1F4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4.406.529</w:t>
            </w:r>
          </w:p>
        </w:tc>
        <w:tc>
          <w:tcPr>
            <w:tcW w:w="517" w:type="pct"/>
            <w:tcBorders>
              <w:top w:val="single" w:sz="4" w:space="0" w:color="auto"/>
              <w:bottom w:val="thickThinSmallGap" w:sz="24" w:space="0" w:color="auto"/>
            </w:tcBorders>
            <w:vAlign w:val="center"/>
          </w:tcPr>
          <w:p w14:paraId="75999566" w14:textId="32B81C36" w:rsidR="004C1F45" w:rsidRPr="00FB38E1" w:rsidRDefault="004C1F45" w:rsidP="004C1F4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696.752.382</w:t>
            </w:r>
          </w:p>
        </w:tc>
        <w:tc>
          <w:tcPr>
            <w:tcW w:w="423" w:type="pct"/>
            <w:tcBorders>
              <w:top w:val="single" w:sz="4" w:space="0" w:color="auto"/>
              <w:bottom w:val="thickThinSmallGap" w:sz="24" w:space="0" w:color="auto"/>
            </w:tcBorders>
            <w:tcMar>
              <w:left w:w="57" w:type="dxa"/>
              <w:right w:w="57" w:type="dxa"/>
            </w:tcMar>
            <w:vAlign w:val="center"/>
          </w:tcPr>
          <w:p w14:paraId="2005538E" w14:textId="2E559EB9" w:rsidR="004C1F45" w:rsidRPr="00FB38E1" w:rsidRDefault="004C1F45" w:rsidP="004C1F4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16.767.215</w:t>
            </w:r>
          </w:p>
        </w:tc>
        <w:tc>
          <w:tcPr>
            <w:tcW w:w="577" w:type="pct"/>
            <w:tcBorders>
              <w:top w:val="single" w:sz="4" w:space="0" w:color="auto"/>
              <w:bottom w:val="thickThinSmallGap" w:sz="24" w:space="0" w:color="auto"/>
            </w:tcBorders>
            <w:tcMar>
              <w:left w:w="57" w:type="dxa"/>
              <w:right w:w="57" w:type="dxa"/>
            </w:tcMar>
            <w:vAlign w:val="center"/>
          </w:tcPr>
          <w:p w14:paraId="07633ED7" w14:textId="76BC7BB1" w:rsidR="004C1F45" w:rsidRPr="00FB38E1" w:rsidRDefault="004C1F45" w:rsidP="004C1F4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6.036.682</w:t>
            </w:r>
          </w:p>
        </w:tc>
      </w:tr>
    </w:tbl>
    <w:p w14:paraId="765EF173" w14:textId="77777777" w:rsidR="00E036D3" w:rsidRPr="00FB38E1" w:rsidRDefault="00E036D3" w:rsidP="00E036D3">
      <w:pPr>
        <w:spacing w:after="240" w:line="24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color w:val="404040" w:themeColor="text1" w:themeTint="BF"/>
          <w:sz w:val="14"/>
          <w:szCs w:val="14"/>
        </w:rPr>
        <w:t>(*) Takipteki krediler portföyünden yapılan satışlar ve kayıttan düşülen/aktiften silininen tutarları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2"/>
        <w:gridCol w:w="2343"/>
        <w:gridCol w:w="816"/>
        <w:gridCol w:w="894"/>
        <w:gridCol w:w="735"/>
        <w:gridCol w:w="894"/>
        <w:gridCol w:w="840"/>
        <w:gridCol w:w="996"/>
        <w:gridCol w:w="816"/>
        <w:gridCol w:w="1113"/>
      </w:tblGrid>
      <w:tr w:rsidR="00E036D3" w:rsidRPr="00FB38E1" w14:paraId="75DEC1F8" w14:textId="77777777" w:rsidTr="00E036D3">
        <w:tc>
          <w:tcPr>
            <w:tcW w:w="100" w:type="pct"/>
            <w:tcBorders>
              <w:top w:val="thinThickSmallGap" w:sz="24" w:space="0" w:color="auto"/>
              <w:bottom w:val="nil"/>
            </w:tcBorders>
            <w:tcMar>
              <w:left w:w="57" w:type="dxa"/>
              <w:right w:w="57" w:type="dxa"/>
            </w:tcMar>
            <w:vAlign w:val="bottom"/>
          </w:tcPr>
          <w:p w14:paraId="3361B3C7" w14:textId="77777777" w:rsidR="00E036D3" w:rsidRPr="00FB38E1" w:rsidRDefault="00E036D3" w:rsidP="00836EF2">
            <w:pPr>
              <w:jc w:val="right"/>
              <w:rPr>
                <w:rFonts w:ascii="Microsoft Sans Serif" w:hAnsi="Microsoft Sans Serif" w:cs="Microsoft Sans Serif"/>
                <w:sz w:val="14"/>
                <w:szCs w:val="14"/>
              </w:rPr>
            </w:pPr>
          </w:p>
        </w:tc>
        <w:tc>
          <w:tcPr>
            <w:tcW w:w="1239" w:type="pct"/>
            <w:tcBorders>
              <w:top w:val="thinThickSmallGap" w:sz="24" w:space="0" w:color="auto"/>
              <w:bottom w:val="nil"/>
            </w:tcBorders>
            <w:tcMar>
              <w:left w:w="57" w:type="dxa"/>
              <w:right w:w="57" w:type="dxa"/>
            </w:tcMar>
          </w:tcPr>
          <w:p w14:paraId="463A9B74" w14:textId="77777777" w:rsidR="00E036D3" w:rsidRPr="00FB38E1" w:rsidRDefault="00E036D3" w:rsidP="00836EF2">
            <w:pPr>
              <w:rPr>
                <w:rFonts w:ascii="Microsoft Sans Serif" w:hAnsi="Microsoft Sans Serif" w:cs="Microsoft Sans Serif"/>
                <w:sz w:val="14"/>
                <w:szCs w:val="14"/>
              </w:rPr>
            </w:pPr>
          </w:p>
        </w:tc>
        <w:tc>
          <w:tcPr>
            <w:tcW w:w="887" w:type="pct"/>
            <w:gridSpan w:val="2"/>
            <w:tcBorders>
              <w:top w:val="thinThickSmallGap" w:sz="24" w:space="0" w:color="auto"/>
              <w:bottom w:val="single" w:sz="4" w:space="0" w:color="auto"/>
            </w:tcBorders>
            <w:tcMar>
              <w:left w:w="57" w:type="dxa"/>
              <w:right w:w="57" w:type="dxa"/>
            </w:tcMar>
          </w:tcPr>
          <w:p w14:paraId="516A99E4"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Krediler</w:t>
            </w:r>
          </w:p>
        </w:tc>
        <w:tc>
          <w:tcPr>
            <w:tcW w:w="821" w:type="pct"/>
            <w:gridSpan w:val="2"/>
            <w:tcBorders>
              <w:top w:val="thinThickSmallGap" w:sz="24" w:space="0" w:color="auto"/>
              <w:bottom w:val="single" w:sz="4" w:space="0" w:color="auto"/>
            </w:tcBorders>
            <w:tcMar>
              <w:left w:w="57" w:type="dxa"/>
              <w:right w:w="57" w:type="dxa"/>
            </w:tcMar>
          </w:tcPr>
          <w:p w14:paraId="019E9720"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Borçlanma Araçları</w:t>
            </w:r>
          </w:p>
        </w:tc>
        <w:tc>
          <w:tcPr>
            <w:tcW w:w="953" w:type="pct"/>
            <w:gridSpan w:val="2"/>
            <w:tcBorders>
              <w:top w:val="thinThickSmallGap" w:sz="24" w:space="0" w:color="auto"/>
              <w:bottom w:val="single" w:sz="4" w:space="0" w:color="auto"/>
            </w:tcBorders>
          </w:tcPr>
          <w:p w14:paraId="3C184B3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Dışı Alacaklar</w:t>
            </w:r>
          </w:p>
        </w:tc>
        <w:tc>
          <w:tcPr>
            <w:tcW w:w="423" w:type="pct"/>
            <w:vMerge w:val="restart"/>
            <w:tcBorders>
              <w:top w:val="thinThickSmallGap" w:sz="24" w:space="0" w:color="auto"/>
            </w:tcBorders>
            <w:tcMar>
              <w:left w:w="57" w:type="dxa"/>
              <w:right w:w="57" w:type="dxa"/>
            </w:tcMar>
            <w:vAlign w:val="bottom"/>
          </w:tcPr>
          <w:p w14:paraId="0B0962DC" w14:textId="77777777" w:rsidR="00E036D3" w:rsidRPr="00FB38E1" w:rsidRDefault="00E036D3"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Özel Karşılık</w:t>
            </w:r>
          </w:p>
        </w:tc>
        <w:tc>
          <w:tcPr>
            <w:tcW w:w="577" w:type="pct"/>
            <w:vMerge w:val="restart"/>
            <w:tcBorders>
              <w:top w:val="thinThickSmallGap" w:sz="24" w:space="0" w:color="auto"/>
            </w:tcBorders>
            <w:tcMar>
              <w:left w:w="57" w:type="dxa"/>
              <w:right w:w="57" w:type="dxa"/>
            </w:tcMar>
            <w:vAlign w:val="bottom"/>
          </w:tcPr>
          <w:p w14:paraId="02223884"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Kayıttan düşülen/Aktiften silinen tutar (*)</w:t>
            </w:r>
          </w:p>
        </w:tc>
      </w:tr>
      <w:tr w:rsidR="00E036D3" w:rsidRPr="00FB38E1" w14:paraId="1016471C" w14:textId="77777777" w:rsidTr="00E036D3">
        <w:trPr>
          <w:trHeight w:val="524"/>
        </w:trPr>
        <w:tc>
          <w:tcPr>
            <w:tcW w:w="100" w:type="pct"/>
            <w:tcBorders>
              <w:top w:val="nil"/>
              <w:bottom w:val="single" w:sz="4" w:space="0" w:color="auto"/>
            </w:tcBorders>
            <w:tcMar>
              <w:left w:w="57" w:type="dxa"/>
              <w:right w:w="57" w:type="dxa"/>
            </w:tcMar>
          </w:tcPr>
          <w:p w14:paraId="7DC432C4" w14:textId="77777777" w:rsidR="00E036D3" w:rsidRPr="00FB38E1" w:rsidRDefault="00E036D3" w:rsidP="00836EF2">
            <w:pPr>
              <w:jc w:val="right"/>
              <w:rPr>
                <w:rFonts w:ascii="Microsoft Sans Serif" w:hAnsi="Microsoft Sans Serif" w:cs="Microsoft Sans Serif"/>
                <w:color w:val="404040" w:themeColor="text1" w:themeTint="BF"/>
                <w:sz w:val="14"/>
                <w:szCs w:val="14"/>
              </w:rPr>
            </w:pPr>
          </w:p>
        </w:tc>
        <w:tc>
          <w:tcPr>
            <w:tcW w:w="1239" w:type="pct"/>
            <w:tcBorders>
              <w:top w:val="nil"/>
              <w:bottom w:val="single" w:sz="4" w:space="0" w:color="auto"/>
            </w:tcBorders>
            <w:tcMar>
              <w:left w:w="57" w:type="dxa"/>
              <w:right w:w="57" w:type="dxa"/>
            </w:tcMar>
            <w:vAlign w:val="center"/>
          </w:tcPr>
          <w:p w14:paraId="6ADC7AB8" w14:textId="77777777" w:rsidR="00E036D3" w:rsidRPr="00FB38E1" w:rsidRDefault="00E036D3" w:rsidP="00836EF2">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Önceki Dönem</w:t>
            </w:r>
          </w:p>
        </w:tc>
        <w:tc>
          <w:tcPr>
            <w:tcW w:w="423" w:type="pct"/>
            <w:tcBorders>
              <w:top w:val="single" w:sz="4" w:space="0" w:color="auto"/>
              <w:bottom w:val="single" w:sz="4" w:space="0" w:color="auto"/>
            </w:tcBorders>
            <w:tcMar>
              <w:left w:w="57" w:type="dxa"/>
              <w:right w:w="57" w:type="dxa"/>
            </w:tcMar>
            <w:vAlign w:val="bottom"/>
          </w:tcPr>
          <w:p w14:paraId="275CC5E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2D2004E8"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etmiş</w:t>
            </w:r>
          </w:p>
        </w:tc>
        <w:tc>
          <w:tcPr>
            <w:tcW w:w="464" w:type="pct"/>
            <w:tcBorders>
              <w:top w:val="single" w:sz="4" w:space="0" w:color="auto"/>
              <w:bottom w:val="single" w:sz="4" w:space="0" w:color="auto"/>
            </w:tcBorders>
            <w:tcMar>
              <w:left w:w="57" w:type="dxa"/>
              <w:right w:w="57" w:type="dxa"/>
            </w:tcMar>
            <w:vAlign w:val="bottom"/>
          </w:tcPr>
          <w:p w14:paraId="40690CA7"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 etmemiş</w:t>
            </w:r>
          </w:p>
        </w:tc>
        <w:tc>
          <w:tcPr>
            <w:tcW w:w="397" w:type="pct"/>
            <w:tcBorders>
              <w:top w:val="single" w:sz="4" w:space="0" w:color="auto"/>
              <w:bottom w:val="single" w:sz="4" w:space="0" w:color="auto"/>
            </w:tcBorders>
            <w:tcMar>
              <w:left w:w="57" w:type="dxa"/>
              <w:right w:w="57" w:type="dxa"/>
            </w:tcMar>
            <w:vAlign w:val="bottom"/>
          </w:tcPr>
          <w:p w14:paraId="19172A6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28C1783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etmiş</w:t>
            </w:r>
          </w:p>
        </w:tc>
        <w:tc>
          <w:tcPr>
            <w:tcW w:w="423" w:type="pct"/>
            <w:tcBorders>
              <w:top w:val="single" w:sz="4" w:space="0" w:color="auto"/>
              <w:bottom w:val="single" w:sz="4" w:space="0" w:color="auto"/>
            </w:tcBorders>
            <w:tcMar>
              <w:left w:w="57" w:type="dxa"/>
              <w:right w:w="57" w:type="dxa"/>
            </w:tcMar>
            <w:vAlign w:val="bottom"/>
          </w:tcPr>
          <w:p w14:paraId="212CEF68" w14:textId="77777777" w:rsidR="00E036D3" w:rsidRPr="00FB38E1" w:rsidRDefault="00E036D3"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sz w:val="14"/>
                <w:szCs w:val="14"/>
              </w:rPr>
              <w:t>Temerrüt etmemiş</w:t>
            </w:r>
          </w:p>
        </w:tc>
        <w:tc>
          <w:tcPr>
            <w:tcW w:w="436" w:type="pct"/>
            <w:tcBorders>
              <w:top w:val="single" w:sz="4" w:space="0" w:color="auto"/>
              <w:bottom w:val="single" w:sz="4" w:space="0" w:color="auto"/>
            </w:tcBorders>
            <w:vAlign w:val="bottom"/>
          </w:tcPr>
          <w:p w14:paraId="53E9291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32D96B89" w14:textId="77777777" w:rsidR="00E036D3" w:rsidRPr="00FB38E1" w:rsidRDefault="00E036D3" w:rsidP="00836EF2">
            <w:pPr>
              <w:jc w:val="center"/>
              <w:rPr>
                <w:rFonts w:ascii="Microsoft Sans Serif" w:hAnsi="Microsoft Sans Serif" w:cs="Microsoft Sans Serif"/>
                <w:sz w:val="14"/>
                <w:szCs w:val="14"/>
              </w:rPr>
            </w:pPr>
            <w:r w:rsidRPr="00FB38E1">
              <w:rPr>
                <w:rFonts w:ascii="Microsoft Sans Serif" w:hAnsi="Microsoft Sans Serif" w:cs="Microsoft Sans Serif"/>
                <w:b/>
                <w:sz w:val="14"/>
                <w:szCs w:val="14"/>
              </w:rPr>
              <w:t>etmiş</w:t>
            </w:r>
          </w:p>
        </w:tc>
        <w:tc>
          <w:tcPr>
            <w:tcW w:w="517" w:type="pct"/>
            <w:tcBorders>
              <w:top w:val="single" w:sz="4" w:space="0" w:color="auto"/>
              <w:bottom w:val="single" w:sz="4" w:space="0" w:color="auto"/>
            </w:tcBorders>
            <w:vAlign w:val="bottom"/>
          </w:tcPr>
          <w:p w14:paraId="59FF31FF" w14:textId="77777777" w:rsidR="00E036D3" w:rsidRPr="00FB38E1" w:rsidRDefault="00E036D3" w:rsidP="00836EF2">
            <w:pPr>
              <w:jc w:val="center"/>
              <w:rPr>
                <w:rFonts w:ascii="Microsoft Sans Serif" w:hAnsi="Microsoft Sans Serif" w:cs="Microsoft Sans Serif"/>
                <w:sz w:val="14"/>
                <w:szCs w:val="14"/>
              </w:rPr>
            </w:pPr>
            <w:r w:rsidRPr="00FB38E1">
              <w:rPr>
                <w:rFonts w:ascii="Microsoft Sans Serif" w:hAnsi="Microsoft Sans Serif" w:cs="Microsoft Sans Serif"/>
                <w:b/>
                <w:sz w:val="14"/>
                <w:szCs w:val="14"/>
              </w:rPr>
              <w:t>Temerrüt etmemiş</w:t>
            </w:r>
          </w:p>
        </w:tc>
        <w:tc>
          <w:tcPr>
            <w:tcW w:w="423" w:type="pct"/>
            <w:vMerge/>
            <w:tcBorders>
              <w:bottom w:val="single" w:sz="4" w:space="0" w:color="auto"/>
            </w:tcBorders>
            <w:tcMar>
              <w:left w:w="57" w:type="dxa"/>
              <w:right w:w="57" w:type="dxa"/>
            </w:tcMar>
            <w:vAlign w:val="center"/>
          </w:tcPr>
          <w:p w14:paraId="2E2DEB90" w14:textId="77777777" w:rsidR="00E036D3" w:rsidRPr="00FB38E1" w:rsidRDefault="00E036D3" w:rsidP="00836EF2">
            <w:pPr>
              <w:jc w:val="center"/>
              <w:rPr>
                <w:rFonts w:ascii="Microsoft Sans Serif" w:hAnsi="Microsoft Sans Serif" w:cs="Microsoft Sans Serif"/>
                <w:sz w:val="14"/>
                <w:szCs w:val="14"/>
              </w:rPr>
            </w:pPr>
          </w:p>
        </w:tc>
        <w:tc>
          <w:tcPr>
            <w:tcW w:w="577" w:type="pct"/>
            <w:vMerge/>
            <w:tcBorders>
              <w:bottom w:val="single" w:sz="4" w:space="0" w:color="auto"/>
            </w:tcBorders>
            <w:tcMar>
              <w:left w:w="57" w:type="dxa"/>
              <w:right w:w="57" w:type="dxa"/>
            </w:tcMar>
            <w:vAlign w:val="center"/>
          </w:tcPr>
          <w:p w14:paraId="32B2CAAE" w14:textId="77777777" w:rsidR="00E036D3" w:rsidRPr="00FB38E1" w:rsidRDefault="00E036D3" w:rsidP="00836EF2">
            <w:pPr>
              <w:jc w:val="center"/>
              <w:rPr>
                <w:rFonts w:ascii="Microsoft Sans Serif" w:hAnsi="Microsoft Sans Serif" w:cs="Microsoft Sans Serif"/>
                <w:sz w:val="14"/>
                <w:szCs w:val="14"/>
              </w:rPr>
            </w:pPr>
          </w:p>
        </w:tc>
      </w:tr>
      <w:tr w:rsidR="00E036D3" w:rsidRPr="00FB38E1" w14:paraId="60CFAB2A" w14:textId="77777777" w:rsidTr="00E036D3">
        <w:tc>
          <w:tcPr>
            <w:tcW w:w="100" w:type="pct"/>
            <w:tcBorders>
              <w:top w:val="single" w:sz="4" w:space="0" w:color="auto"/>
            </w:tcBorders>
            <w:tcMar>
              <w:left w:w="57" w:type="dxa"/>
              <w:right w:w="57" w:type="dxa"/>
            </w:tcMar>
          </w:tcPr>
          <w:p w14:paraId="41B2C51A" w14:textId="77777777" w:rsidR="00E036D3" w:rsidRPr="00FB38E1" w:rsidRDefault="00E036D3" w:rsidP="00E036D3">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1239" w:type="pct"/>
            <w:tcBorders>
              <w:top w:val="single" w:sz="4" w:space="0" w:color="auto"/>
            </w:tcBorders>
            <w:tcMar>
              <w:left w:w="57" w:type="dxa"/>
              <w:right w:w="57" w:type="dxa"/>
            </w:tcMar>
          </w:tcPr>
          <w:p w14:paraId="02405EAD"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Yurt içi</w:t>
            </w:r>
          </w:p>
        </w:tc>
        <w:tc>
          <w:tcPr>
            <w:tcW w:w="423" w:type="pct"/>
            <w:tcBorders>
              <w:top w:val="single" w:sz="4" w:space="0" w:color="auto"/>
            </w:tcBorders>
            <w:tcMar>
              <w:left w:w="57" w:type="dxa"/>
              <w:right w:w="57" w:type="dxa"/>
            </w:tcMar>
            <w:vAlign w:val="center"/>
          </w:tcPr>
          <w:p w14:paraId="7A7CB95C" w14:textId="5CE2605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20.663.392</w:t>
            </w:r>
          </w:p>
        </w:tc>
        <w:tc>
          <w:tcPr>
            <w:tcW w:w="464" w:type="pct"/>
            <w:tcBorders>
              <w:top w:val="single" w:sz="4" w:space="0" w:color="auto"/>
            </w:tcBorders>
            <w:tcMar>
              <w:left w:w="57" w:type="dxa"/>
              <w:right w:w="57" w:type="dxa"/>
            </w:tcMar>
            <w:vAlign w:val="center"/>
          </w:tcPr>
          <w:p w14:paraId="1DDFE634" w14:textId="53CCD41D"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463.991.104</w:t>
            </w:r>
          </w:p>
        </w:tc>
        <w:tc>
          <w:tcPr>
            <w:tcW w:w="397" w:type="pct"/>
            <w:tcBorders>
              <w:top w:val="single" w:sz="4" w:space="0" w:color="auto"/>
            </w:tcBorders>
            <w:tcMar>
              <w:left w:w="57" w:type="dxa"/>
              <w:right w:w="57" w:type="dxa"/>
            </w:tcMar>
            <w:vAlign w:val="center"/>
          </w:tcPr>
          <w:p w14:paraId="318F12F6" w14:textId="2D1FDDE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3" w:type="pct"/>
            <w:tcBorders>
              <w:top w:val="single" w:sz="4" w:space="0" w:color="auto"/>
            </w:tcBorders>
            <w:tcMar>
              <w:left w:w="57" w:type="dxa"/>
              <w:right w:w="57" w:type="dxa"/>
            </w:tcMar>
            <w:vAlign w:val="center"/>
          </w:tcPr>
          <w:p w14:paraId="58D73870" w14:textId="034D796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112.265.789</w:t>
            </w:r>
          </w:p>
        </w:tc>
        <w:tc>
          <w:tcPr>
            <w:tcW w:w="436" w:type="pct"/>
            <w:tcBorders>
              <w:top w:val="single" w:sz="4" w:space="0" w:color="auto"/>
            </w:tcBorders>
            <w:vAlign w:val="center"/>
          </w:tcPr>
          <w:p w14:paraId="539D0F0E" w14:textId="0D386C8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3.641.402</w:t>
            </w:r>
          </w:p>
        </w:tc>
        <w:tc>
          <w:tcPr>
            <w:tcW w:w="517" w:type="pct"/>
            <w:tcBorders>
              <w:top w:val="single" w:sz="4" w:space="0" w:color="auto"/>
            </w:tcBorders>
            <w:vAlign w:val="center"/>
          </w:tcPr>
          <w:p w14:paraId="4B577B47" w14:textId="7271D028"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501.077.950</w:t>
            </w:r>
          </w:p>
        </w:tc>
        <w:tc>
          <w:tcPr>
            <w:tcW w:w="423" w:type="pct"/>
            <w:tcBorders>
              <w:top w:val="single" w:sz="4" w:space="0" w:color="auto"/>
            </w:tcBorders>
            <w:tcMar>
              <w:left w:w="57" w:type="dxa"/>
              <w:right w:w="57" w:type="dxa"/>
            </w:tcMar>
            <w:vAlign w:val="center"/>
          </w:tcPr>
          <w:p w14:paraId="762141E9" w14:textId="50E11FC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13.967.230</w:t>
            </w:r>
          </w:p>
        </w:tc>
        <w:tc>
          <w:tcPr>
            <w:tcW w:w="577" w:type="pct"/>
            <w:tcBorders>
              <w:top w:val="single" w:sz="4" w:space="0" w:color="auto"/>
            </w:tcBorders>
            <w:tcMar>
              <w:left w:w="57" w:type="dxa"/>
              <w:right w:w="57" w:type="dxa"/>
            </w:tcMar>
            <w:vAlign w:val="center"/>
          </w:tcPr>
          <w:p w14:paraId="74EA6FCB" w14:textId="550FB08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2.386.138</w:t>
            </w:r>
          </w:p>
        </w:tc>
      </w:tr>
      <w:tr w:rsidR="00E036D3" w:rsidRPr="00FB38E1" w14:paraId="6669C2DE" w14:textId="77777777" w:rsidTr="00E036D3">
        <w:tc>
          <w:tcPr>
            <w:tcW w:w="100" w:type="pct"/>
            <w:tcMar>
              <w:left w:w="57" w:type="dxa"/>
              <w:right w:w="57" w:type="dxa"/>
            </w:tcMar>
          </w:tcPr>
          <w:p w14:paraId="19E6642B" w14:textId="77777777" w:rsidR="00E036D3" w:rsidRPr="00FB38E1" w:rsidRDefault="00E036D3" w:rsidP="00E036D3">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1239" w:type="pct"/>
            <w:tcMar>
              <w:left w:w="57" w:type="dxa"/>
              <w:right w:w="57" w:type="dxa"/>
            </w:tcMar>
          </w:tcPr>
          <w:p w14:paraId="369D8D67"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Avrupa Birliği Ülkeleri</w:t>
            </w:r>
          </w:p>
        </w:tc>
        <w:tc>
          <w:tcPr>
            <w:tcW w:w="423" w:type="pct"/>
            <w:tcMar>
              <w:left w:w="57" w:type="dxa"/>
              <w:right w:w="57" w:type="dxa"/>
            </w:tcMar>
            <w:vAlign w:val="center"/>
          </w:tcPr>
          <w:p w14:paraId="554682B5" w14:textId="177E8FC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43.682</w:t>
            </w:r>
          </w:p>
        </w:tc>
        <w:tc>
          <w:tcPr>
            <w:tcW w:w="464" w:type="pct"/>
            <w:tcMar>
              <w:left w:w="57" w:type="dxa"/>
              <w:right w:w="57" w:type="dxa"/>
            </w:tcMar>
            <w:vAlign w:val="center"/>
          </w:tcPr>
          <w:p w14:paraId="0D112EE0" w14:textId="546CE9E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6.540.566</w:t>
            </w:r>
          </w:p>
        </w:tc>
        <w:tc>
          <w:tcPr>
            <w:tcW w:w="397" w:type="pct"/>
            <w:tcMar>
              <w:left w:w="57" w:type="dxa"/>
              <w:right w:w="57" w:type="dxa"/>
            </w:tcMar>
            <w:vAlign w:val="center"/>
          </w:tcPr>
          <w:p w14:paraId="67400809" w14:textId="05C9C12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3" w:type="pct"/>
            <w:tcMar>
              <w:left w:w="57" w:type="dxa"/>
              <w:right w:w="57" w:type="dxa"/>
            </w:tcMar>
            <w:vAlign w:val="center"/>
          </w:tcPr>
          <w:p w14:paraId="1E81381C" w14:textId="5CAF8A2C"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26.391.516</w:t>
            </w:r>
          </w:p>
        </w:tc>
        <w:tc>
          <w:tcPr>
            <w:tcW w:w="436" w:type="pct"/>
            <w:vAlign w:val="center"/>
          </w:tcPr>
          <w:p w14:paraId="5E5240CB" w14:textId="27EEA06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148C958C" w14:textId="685C0887"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3.164.852</w:t>
            </w:r>
          </w:p>
        </w:tc>
        <w:tc>
          <w:tcPr>
            <w:tcW w:w="423" w:type="pct"/>
            <w:tcMar>
              <w:left w:w="57" w:type="dxa"/>
              <w:right w:w="57" w:type="dxa"/>
            </w:tcMar>
            <w:vAlign w:val="center"/>
          </w:tcPr>
          <w:p w14:paraId="7051E19D" w14:textId="39AB77E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41.896</w:t>
            </w:r>
          </w:p>
        </w:tc>
        <w:tc>
          <w:tcPr>
            <w:tcW w:w="577" w:type="pct"/>
            <w:tcMar>
              <w:left w:w="57" w:type="dxa"/>
              <w:right w:w="57" w:type="dxa"/>
            </w:tcMar>
            <w:vAlign w:val="center"/>
          </w:tcPr>
          <w:p w14:paraId="1049485D" w14:textId="21B5221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7399C8E4" w14:textId="77777777" w:rsidTr="00E036D3">
        <w:tc>
          <w:tcPr>
            <w:tcW w:w="100" w:type="pct"/>
            <w:tcMar>
              <w:left w:w="57" w:type="dxa"/>
              <w:right w:w="57" w:type="dxa"/>
            </w:tcMar>
          </w:tcPr>
          <w:p w14:paraId="0265A980" w14:textId="77777777" w:rsidR="00E036D3" w:rsidRPr="00FB38E1" w:rsidRDefault="00E036D3" w:rsidP="00E036D3">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1239" w:type="pct"/>
            <w:tcMar>
              <w:left w:w="57" w:type="dxa"/>
              <w:right w:w="57" w:type="dxa"/>
            </w:tcMar>
          </w:tcPr>
          <w:p w14:paraId="112447BA"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OECD Ülkeleri</w:t>
            </w:r>
          </w:p>
        </w:tc>
        <w:tc>
          <w:tcPr>
            <w:tcW w:w="423" w:type="pct"/>
            <w:tcMar>
              <w:left w:w="57" w:type="dxa"/>
              <w:right w:w="57" w:type="dxa"/>
            </w:tcMar>
            <w:vAlign w:val="center"/>
          </w:tcPr>
          <w:p w14:paraId="37E07534" w14:textId="7566F86D"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w:t>
            </w:r>
          </w:p>
        </w:tc>
        <w:tc>
          <w:tcPr>
            <w:tcW w:w="464" w:type="pct"/>
            <w:tcMar>
              <w:left w:w="57" w:type="dxa"/>
              <w:right w:w="57" w:type="dxa"/>
            </w:tcMar>
            <w:vAlign w:val="center"/>
          </w:tcPr>
          <w:p w14:paraId="38FD1313" w14:textId="0700EA3A"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1.262</w:t>
            </w:r>
          </w:p>
        </w:tc>
        <w:tc>
          <w:tcPr>
            <w:tcW w:w="397" w:type="pct"/>
            <w:tcMar>
              <w:left w:w="57" w:type="dxa"/>
              <w:right w:w="57" w:type="dxa"/>
            </w:tcMar>
            <w:vAlign w:val="center"/>
          </w:tcPr>
          <w:p w14:paraId="5FD188CE" w14:textId="5F6A0F5A"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3" w:type="pct"/>
            <w:tcMar>
              <w:left w:w="57" w:type="dxa"/>
              <w:right w:w="57" w:type="dxa"/>
            </w:tcMar>
            <w:vAlign w:val="center"/>
          </w:tcPr>
          <w:p w14:paraId="047A3CED" w14:textId="46702BB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0800DC3" w14:textId="000FB7A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2B9CDE7D" w14:textId="6F5106B4"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10.992.150</w:t>
            </w:r>
          </w:p>
        </w:tc>
        <w:tc>
          <w:tcPr>
            <w:tcW w:w="423" w:type="pct"/>
            <w:tcMar>
              <w:left w:w="57" w:type="dxa"/>
              <w:right w:w="57" w:type="dxa"/>
            </w:tcMar>
            <w:vAlign w:val="center"/>
          </w:tcPr>
          <w:p w14:paraId="3C10236C" w14:textId="177D1D0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w:t>
            </w:r>
          </w:p>
        </w:tc>
        <w:tc>
          <w:tcPr>
            <w:tcW w:w="577" w:type="pct"/>
            <w:tcMar>
              <w:left w:w="57" w:type="dxa"/>
              <w:right w:w="57" w:type="dxa"/>
            </w:tcMar>
            <w:vAlign w:val="center"/>
          </w:tcPr>
          <w:p w14:paraId="522BC10C" w14:textId="1A3D642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147295FA" w14:textId="77777777" w:rsidTr="00E036D3">
        <w:tc>
          <w:tcPr>
            <w:tcW w:w="100" w:type="pct"/>
            <w:tcMar>
              <w:left w:w="57" w:type="dxa"/>
              <w:right w:w="57" w:type="dxa"/>
            </w:tcMar>
          </w:tcPr>
          <w:p w14:paraId="6DBCC35E" w14:textId="77777777" w:rsidR="00E036D3" w:rsidRPr="00FB38E1" w:rsidRDefault="00E036D3" w:rsidP="00E036D3">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4</w:t>
            </w:r>
          </w:p>
        </w:tc>
        <w:tc>
          <w:tcPr>
            <w:tcW w:w="1239" w:type="pct"/>
            <w:tcMar>
              <w:left w:w="57" w:type="dxa"/>
              <w:right w:w="57" w:type="dxa"/>
            </w:tcMar>
          </w:tcPr>
          <w:p w14:paraId="7D9FE6C1"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Kıyı Bankacılığı Bölgeleri</w:t>
            </w:r>
          </w:p>
        </w:tc>
        <w:tc>
          <w:tcPr>
            <w:tcW w:w="423" w:type="pct"/>
            <w:tcMar>
              <w:left w:w="57" w:type="dxa"/>
              <w:right w:w="57" w:type="dxa"/>
            </w:tcMar>
            <w:vAlign w:val="center"/>
          </w:tcPr>
          <w:p w14:paraId="7A6472D2" w14:textId="14E5603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7A95D41A" w14:textId="1C7609F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3.244.121</w:t>
            </w:r>
          </w:p>
        </w:tc>
        <w:tc>
          <w:tcPr>
            <w:tcW w:w="397" w:type="pct"/>
            <w:tcMar>
              <w:left w:w="57" w:type="dxa"/>
              <w:right w:w="57" w:type="dxa"/>
            </w:tcMar>
            <w:vAlign w:val="center"/>
          </w:tcPr>
          <w:p w14:paraId="60F6E659" w14:textId="7D16DB7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3" w:type="pct"/>
            <w:tcMar>
              <w:left w:w="57" w:type="dxa"/>
              <w:right w:w="57" w:type="dxa"/>
            </w:tcMar>
            <w:vAlign w:val="center"/>
          </w:tcPr>
          <w:p w14:paraId="7AEFDCBD" w14:textId="7BBC6DB8"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5EF43AE4" w14:textId="12C3F43C"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5A841CF6" w14:textId="1C7C98C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1.006.682</w:t>
            </w:r>
          </w:p>
        </w:tc>
        <w:tc>
          <w:tcPr>
            <w:tcW w:w="423" w:type="pct"/>
            <w:tcMar>
              <w:left w:w="57" w:type="dxa"/>
              <w:right w:w="57" w:type="dxa"/>
            </w:tcMar>
            <w:vAlign w:val="center"/>
          </w:tcPr>
          <w:p w14:paraId="1957E4EF" w14:textId="00F7AF64"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77" w:type="pct"/>
            <w:tcMar>
              <w:left w:w="57" w:type="dxa"/>
              <w:right w:w="57" w:type="dxa"/>
            </w:tcMar>
            <w:vAlign w:val="center"/>
          </w:tcPr>
          <w:p w14:paraId="5BF656F3" w14:textId="3D44C88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59C848A2" w14:textId="77777777" w:rsidTr="00E036D3">
        <w:tc>
          <w:tcPr>
            <w:tcW w:w="100" w:type="pct"/>
            <w:tcMar>
              <w:left w:w="57" w:type="dxa"/>
              <w:right w:w="57" w:type="dxa"/>
            </w:tcMar>
          </w:tcPr>
          <w:p w14:paraId="0AF0484D" w14:textId="77777777" w:rsidR="00E036D3" w:rsidRPr="00FB38E1" w:rsidRDefault="00E036D3" w:rsidP="00E036D3">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5</w:t>
            </w:r>
          </w:p>
        </w:tc>
        <w:tc>
          <w:tcPr>
            <w:tcW w:w="1239" w:type="pct"/>
            <w:tcMar>
              <w:left w:w="57" w:type="dxa"/>
              <w:right w:w="57" w:type="dxa"/>
            </w:tcMar>
          </w:tcPr>
          <w:p w14:paraId="3F127974"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ABD, Kanada</w:t>
            </w:r>
          </w:p>
        </w:tc>
        <w:tc>
          <w:tcPr>
            <w:tcW w:w="423" w:type="pct"/>
            <w:tcMar>
              <w:left w:w="57" w:type="dxa"/>
              <w:right w:w="57" w:type="dxa"/>
            </w:tcMar>
            <w:vAlign w:val="center"/>
          </w:tcPr>
          <w:p w14:paraId="42CA3BEB" w14:textId="640896C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151</w:t>
            </w:r>
          </w:p>
        </w:tc>
        <w:tc>
          <w:tcPr>
            <w:tcW w:w="464" w:type="pct"/>
            <w:tcMar>
              <w:left w:w="57" w:type="dxa"/>
              <w:right w:w="57" w:type="dxa"/>
            </w:tcMar>
            <w:vAlign w:val="center"/>
          </w:tcPr>
          <w:p w14:paraId="63698BF9" w14:textId="346C6272"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217.204</w:t>
            </w:r>
          </w:p>
        </w:tc>
        <w:tc>
          <w:tcPr>
            <w:tcW w:w="397" w:type="pct"/>
            <w:tcMar>
              <w:left w:w="57" w:type="dxa"/>
              <w:right w:w="57" w:type="dxa"/>
            </w:tcMar>
            <w:vAlign w:val="center"/>
          </w:tcPr>
          <w:p w14:paraId="632BB4FC" w14:textId="30CC80D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3" w:type="pct"/>
            <w:tcMar>
              <w:left w:w="57" w:type="dxa"/>
              <w:right w:w="57" w:type="dxa"/>
            </w:tcMar>
            <w:vAlign w:val="center"/>
          </w:tcPr>
          <w:p w14:paraId="1ECB061C" w14:textId="67404E3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DB61C7D" w14:textId="3C6A6842"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7E6FC9B6" w14:textId="65A2F932"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9.339</w:t>
            </w:r>
          </w:p>
        </w:tc>
        <w:tc>
          <w:tcPr>
            <w:tcW w:w="423" w:type="pct"/>
            <w:tcMar>
              <w:left w:w="57" w:type="dxa"/>
              <w:right w:w="57" w:type="dxa"/>
            </w:tcMar>
            <w:vAlign w:val="center"/>
          </w:tcPr>
          <w:p w14:paraId="219A574F" w14:textId="5E87774C"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c>
          <w:tcPr>
            <w:tcW w:w="577" w:type="pct"/>
            <w:tcMar>
              <w:left w:w="57" w:type="dxa"/>
              <w:right w:w="57" w:type="dxa"/>
            </w:tcMar>
            <w:vAlign w:val="center"/>
          </w:tcPr>
          <w:p w14:paraId="391445D8" w14:textId="13B55CF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37C65A12" w14:textId="77777777" w:rsidTr="00E036D3">
        <w:tc>
          <w:tcPr>
            <w:tcW w:w="100" w:type="pct"/>
            <w:tcBorders>
              <w:bottom w:val="single" w:sz="4" w:space="0" w:color="auto"/>
            </w:tcBorders>
            <w:tcMar>
              <w:left w:w="57" w:type="dxa"/>
              <w:right w:w="57" w:type="dxa"/>
            </w:tcMar>
          </w:tcPr>
          <w:p w14:paraId="73974E88" w14:textId="77777777" w:rsidR="00E036D3" w:rsidRPr="00FB38E1" w:rsidRDefault="00E036D3" w:rsidP="00E036D3">
            <w:pPr>
              <w:jc w:val="right"/>
              <w:rPr>
                <w:rFonts w:ascii="Microsoft Sans Serif" w:hAnsi="Microsoft Sans Serif" w:cs="Microsoft Sans Serif"/>
                <w:sz w:val="14"/>
                <w:szCs w:val="14"/>
              </w:rPr>
            </w:pPr>
            <w:r w:rsidRPr="00FB38E1">
              <w:rPr>
                <w:rFonts w:ascii="Microsoft Sans Serif" w:hAnsi="Microsoft Sans Serif" w:cs="Microsoft Sans Serif"/>
                <w:color w:val="404040" w:themeColor="text1" w:themeTint="BF"/>
                <w:sz w:val="14"/>
                <w:szCs w:val="14"/>
              </w:rPr>
              <w:t>6</w:t>
            </w:r>
          </w:p>
        </w:tc>
        <w:tc>
          <w:tcPr>
            <w:tcW w:w="1239" w:type="pct"/>
            <w:tcBorders>
              <w:bottom w:val="single" w:sz="4" w:space="0" w:color="auto"/>
            </w:tcBorders>
            <w:tcMar>
              <w:left w:w="57" w:type="dxa"/>
              <w:right w:w="57" w:type="dxa"/>
            </w:tcMar>
          </w:tcPr>
          <w:p w14:paraId="0EACB5E3" w14:textId="77777777" w:rsidR="00E036D3" w:rsidRPr="00FB38E1" w:rsidRDefault="00E036D3" w:rsidP="00E036D3">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Ülkeler</w:t>
            </w:r>
          </w:p>
        </w:tc>
        <w:tc>
          <w:tcPr>
            <w:tcW w:w="423" w:type="pct"/>
            <w:tcBorders>
              <w:bottom w:val="single" w:sz="4" w:space="0" w:color="auto"/>
            </w:tcBorders>
            <w:tcMar>
              <w:left w:w="57" w:type="dxa"/>
              <w:right w:w="57" w:type="dxa"/>
            </w:tcMar>
            <w:vAlign w:val="center"/>
          </w:tcPr>
          <w:p w14:paraId="12CA9052" w14:textId="6D387D4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517.682</w:t>
            </w:r>
          </w:p>
        </w:tc>
        <w:tc>
          <w:tcPr>
            <w:tcW w:w="464" w:type="pct"/>
            <w:tcBorders>
              <w:bottom w:val="single" w:sz="4" w:space="0" w:color="auto"/>
            </w:tcBorders>
            <w:tcMar>
              <w:left w:w="57" w:type="dxa"/>
              <w:right w:w="57" w:type="dxa"/>
            </w:tcMar>
            <w:vAlign w:val="center"/>
          </w:tcPr>
          <w:p w14:paraId="000F5EE1" w14:textId="5B09B92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5.239.153</w:t>
            </w:r>
          </w:p>
        </w:tc>
        <w:tc>
          <w:tcPr>
            <w:tcW w:w="397" w:type="pct"/>
            <w:tcBorders>
              <w:bottom w:val="single" w:sz="4" w:space="0" w:color="auto"/>
            </w:tcBorders>
            <w:tcMar>
              <w:left w:w="57" w:type="dxa"/>
              <w:right w:w="57" w:type="dxa"/>
            </w:tcMar>
            <w:vAlign w:val="center"/>
          </w:tcPr>
          <w:p w14:paraId="68B77CFB" w14:textId="1727F8C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3" w:type="pct"/>
            <w:tcBorders>
              <w:bottom w:val="single" w:sz="4" w:space="0" w:color="auto"/>
            </w:tcBorders>
            <w:tcMar>
              <w:left w:w="57" w:type="dxa"/>
              <w:right w:w="57" w:type="dxa"/>
            </w:tcMar>
            <w:vAlign w:val="center"/>
          </w:tcPr>
          <w:p w14:paraId="62429F92" w14:textId="7DE36DA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tcBorders>
              <w:bottom w:val="single" w:sz="4" w:space="0" w:color="auto"/>
            </w:tcBorders>
            <w:vAlign w:val="center"/>
          </w:tcPr>
          <w:p w14:paraId="30F08B37" w14:textId="0AAD213A"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42.184</w:t>
            </w:r>
          </w:p>
        </w:tc>
        <w:tc>
          <w:tcPr>
            <w:tcW w:w="517" w:type="pct"/>
            <w:tcBorders>
              <w:bottom w:val="single" w:sz="4" w:space="0" w:color="auto"/>
            </w:tcBorders>
            <w:vAlign w:val="center"/>
          </w:tcPr>
          <w:p w14:paraId="17199B65" w14:textId="70A0AE5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2.489.180</w:t>
            </w:r>
          </w:p>
        </w:tc>
        <w:tc>
          <w:tcPr>
            <w:tcW w:w="423" w:type="pct"/>
            <w:tcBorders>
              <w:bottom w:val="single" w:sz="4" w:space="0" w:color="auto"/>
            </w:tcBorders>
            <w:tcMar>
              <w:left w:w="57" w:type="dxa"/>
              <w:right w:w="57" w:type="dxa"/>
            </w:tcMar>
            <w:vAlign w:val="center"/>
          </w:tcPr>
          <w:p w14:paraId="4C6B2012" w14:textId="0920EBD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368.849</w:t>
            </w:r>
          </w:p>
        </w:tc>
        <w:tc>
          <w:tcPr>
            <w:tcW w:w="577" w:type="pct"/>
            <w:tcBorders>
              <w:bottom w:val="single" w:sz="4" w:space="0" w:color="auto"/>
            </w:tcBorders>
            <w:tcMar>
              <w:left w:w="57" w:type="dxa"/>
              <w:right w:w="57" w:type="dxa"/>
            </w:tcMar>
            <w:vAlign w:val="center"/>
          </w:tcPr>
          <w:p w14:paraId="44BA3D16" w14:textId="6D19681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79FDDCB9" w14:textId="77777777" w:rsidTr="00E036D3">
        <w:tc>
          <w:tcPr>
            <w:tcW w:w="100" w:type="pct"/>
            <w:tcBorders>
              <w:top w:val="single" w:sz="4" w:space="0" w:color="auto"/>
              <w:bottom w:val="thickThinSmallGap" w:sz="24" w:space="0" w:color="auto"/>
            </w:tcBorders>
            <w:tcMar>
              <w:left w:w="57" w:type="dxa"/>
              <w:right w:w="57" w:type="dxa"/>
            </w:tcMar>
          </w:tcPr>
          <w:p w14:paraId="4F7A3FA7" w14:textId="77777777" w:rsidR="00E036D3" w:rsidRPr="00FB38E1" w:rsidRDefault="00E036D3" w:rsidP="00E036D3">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7</w:t>
            </w:r>
          </w:p>
        </w:tc>
        <w:tc>
          <w:tcPr>
            <w:tcW w:w="1239" w:type="pct"/>
            <w:tcBorders>
              <w:top w:val="single" w:sz="4" w:space="0" w:color="auto"/>
              <w:bottom w:val="thickThinSmallGap" w:sz="24" w:space="0" w:color="auto"/>
            </w:tcBorders>
            <w:tcMar>
              <w:left w:w="57" w:type="dxa"/>
              <w:right w:w="57" w:type="dxa"/>
            </w:tcMar>
          </w:tcPr>
          <w:p w14:paraId="1FE8BEB7" w14:textId="77777777" w:rsidR="00E036D3" w:rsidRPr="00FB38E1" w:rsidRDefault="00E036D3" w:rsidP="00E036D3">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423" w:type="pct"/>
            <w:tcBorders>
              <w:top w:val="single" w:sz="4" w:space="0" w:color="auto"/>
              <w:bottom w:val="thickThinSmallGap" w:sz="24" w:space="0" w:color="auto"/>
            </w:tcBorders>
            <w:tcMar>
              <w:left w:w="57" w:type="dxa"/>
              <w:right w:w="57" w:type="dxa"/>
            </w:tcMar>
            <w:vAlign w:val="center"/>
          </w:tcPr>
          <w:p w14:paraId="3EE92C2D" w14:textId="492E63BC"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21.224.916</w:t>
            </w:r>
          </w:p>
        </w:tc>
        <w:tc>
          <w:tcPr>
            <w:tcW w:w="464" w:type="pct"/>
            <w:tcBorders>
              <w:top w:val="single" w:sz="4" w:space="0" w:color="auto"/>
              <w:bottom w:val="thickThinSmallGap" w:sz="24" w:space="0" w:color="auto"/>
            </w:tcBorders>
            <w:tcMar>
              <w:left w:w="57" w:type="dxa"/>
              <w:right w:w="57" w:type="dxa"/>
            </w:tcMar>
            <w:vAlign w:val="center"/>
          </w:tcPr>
          <w:p w14:paraId="12508EF2" w14:textId="22D89F73"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479.233.410</w:t>
            </w:r>
          </w:p>
        </w:tc>
        <w:tc>
          <w:tcPr>
            <w:tcW w:w="397" w:type="pct"/>
            <w:tcBorders>
              <w:top w:val="single" w:sz="4" w:space="0" w:color="auto"/>
              <w:bottom w:val="thickThinSmallGap" w:sz="24" w:space="0" w:color="auto"/>
            </w:tcBorders>
            <w:tcMar>
              <w:left w:w="57" w:type="dxa"/>
              <w:right w:w="57" w:type="dxa"/>
            </w:tcMar>
            <w:vAlign w:val="center"/>
          </w:tcPr>
          <w:p w14:paraId="3788902A" w14:textId="54D08C47"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23" w:type="pct"/>
            <w:tcBorders>
              <w:top w:val="single" w:sz="4" w:space="0" w:color="auto"/>
              <w:bottom w:val="thickThinSmallGap" w:sz="24" w:space="0" w:color="auto"/>
            </w:tcBorders>
            <w:tcMar>
              <w:left w:w="57" w:type="dxa"/>
              <w:right w:w="57" w:type="dxa"/>
            </w:tcMar>
            <w:vAlign w:val="center"/>
          </w:tcPr>
          <w:p w14:paraId="0D0F6238" w14:textId="75D6452C"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138.657.305</w:t>
            </w:r>
          </w:p>
        </w:tc>
        <w:tc>
          <w:tcPr>
            <w:tcW w:w="436" w:type="pct"/>
            <w:tcBorders>
              <w:top w:val="single" w:sz="4" w:space="0" w:color="auto"/>
              <w:bottom w:val="thickThinSmallGap" w:sz="24" w:space="0" w:color="auto"/>
            </w:tcBorders>
            <w:vAlign w:val="center"/>
          </w:tcPr>
          <w:p w14:paraId="2237B259" w14:textId="07E74B1B"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3.683.586</w:t>
            </w:r>
          </w:p>
        </w:tc>
        <w:tc>
          <w:tcPr>
            <w:tcW w:w="517" w:type="pct"/>
            <w:tcBorders>
              <w:top w:val="single" w:sz="4" w:space="0" w:color="auto"/>
              <w:bottom w:val="thickThinSmallGap" w:sz="24" w:space="0" w:color="auto"/>
            </w:tcBorders>
            <w:vAlign w:val="center"/>
          </w:tcPr>
          <w:p w14:paraId="4DC1B60E" w14:textId="597FDCAE"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518.740.153</w:t>
            </w:r>
          </w:p>
        </w:tc>
        <w:tc>
          <w:tcPr>
            <w:tcW w:w="423" w:type="pct"/>
            <w:tcBorders>
              <w:top w:val="single" w:sz="4" w:space="0" w:color="auto"/>
              <w:bottom w:val="thickThinSmallGap" w:sz="24" w:space="0" w:color="auto"/>
            </w:tcBorders>
            <w:tcMar>
              <w:left w:w="57" w:type="dxa"/>
              <w:right w:w="57" w:type="dxa"/>
            </w:tcMar>
            <w:vAlign w:val="center"/>
          </w:tcPr>
          <w:p w14:paraId="1B7219FE" w14:textId="10A61D13"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14.378.131</w:t>
            </w:r>
          </w:p>
        </w:tc>
        <w:tc>
          <w:tcPr>
            <w:tcW w:w="577" w:type="pct"/>
            <w:tcBorders>
              <w:top w:val="single" w:sz="4" w:space="0" w:color="auto"/>
              <w:bottom w:val="thickThinSmallGap" w:sz="24" w:space="0" w:color="auto"/>
            </w:tcBorders>
            <w:tcMar>
              <w:left w:w="57" w:type="dxa"/>
              <w:right w:w="57" w:type="dxa"/>
            </w:tcMar>
            <w:vAlign w:val="center"/>
          </w:tcPr>
          <w:p w14:paraId="035BF620" w14:textId="1A083D43"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2.386.138</w:t>
            </w:r>
          </w:p>
        </w:tc>
      </w:tr>
    </w:tbl>
    <w:p w14:paraId="1B09A0C4" w14:textId="77777777" w:rsidR="00E036D3" w:rsidRPr="00FB38E1" w:rsidRDefault="00E036D3" w:rsidP="00E036D3">
      <w:pPr>
        <w:spacing w:after="120" w:line="24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color w:val="404040" w:themeColor="text1" w:themeTint="BF"/>
          <w:sz w:val="14"/>
          <w:szCs w:val="14"/>
        </w:rPr>
        <w:t xml:space="preserve"> (*) Takipteki krediler portföyünden yapılan satışlar ve aktiften silininen tutarları içermektedir.</w:t>
      </w:r>
    </w:p>
    <w:p w14:paraId="5B6946E8" w14:textId="77777777" w:rsidR="00E036D3" w:rsidRPr="00FB38E1" w:rsidRDefault="00E036D3" w:rsidP="00364B59">
      <w:pPr>
        <w:pStyle w:val="ListParagraph"/>
        <w:numPr>
          <w:ilvl w:val="0"/>
          <w:numId w:val="56"/>
        </w:numPr>
        <w:spacing w:before="120" w:after="120" w:line="220" w:lineRule="exact"/>
        <w:ind w:left="0" w:hanging="142"/>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Alacakların sektörlere göre dağılımı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1000"/>
        <w:gridCol w:w="1106"/>
        <w:gridCol w:w="683"/>
        <w:gridCol w:w="894"/>
        <w:gridCol w:w="841"/>
        <w:gridCol w:w="997"/>
        <w:gridCol w:w="945"/>
        <w:gridCol w:w="1113"/>
      </w:tblGrid>
      <w:tr w:rsidR="00E036D3" w:rsidRPr="00FB38E1" w14:paraId="365E4049" w14:textId="77777777" w:rsidTr="00836EF2">
        <w:tc>
          <w:tcPr>
            <w:tcW w:w="1069" w:type="pct"/>
            <w:tcBorders>
              <w:top w:val="thinThickSmallGap" w:sz="24" w:space="0" w:color="auto"/>
              <w:bottom w:val="nil"/>
            </w:tcBorders>
            <w:tcMar>
              <w:left w:w="57" w:type="dxa"/>
              <w:right w:w="57" w:type="dxa"/>
            </w:tcMar>
          </w:tcPr>
          <w:p w14:paraId="70D22BF6" w14:textId="77777777" w:rsidR="00E036D3" w:rsidRPr="00FB38E1" w:rsidRDefault="00E036D3" w:rsidP="00836EF2">
            <w:pPr>
              <w:rPr>
                <w:rFonts w:ascii="Microsoft Sans Serif" w:hAnsi="Microsoft Sans Serif" w:cs="Microsoft Sans Serif"/>
                <w:sz w:val="14"/>
                <w:szCs w:val="14"/>
              </w:rPr>
            </w:pPr>
          </w:p>
        </w:tc>
        <w:tc>
          <w:tcPr>
            <w:tcW w:w="1092" w:type="pct"/>
            <w:gridSpan w:val="2"/>
            <w:tcBorders>
              <w:top w:val="thinThickSmallGap" w:sz="24" w:space="0" w:color="auto"/>
              <w:bottom w:val="single" w:sz="4" w:space="0" w:color="auto"/>
            </w:tcBorders>
            <w:tcMar>
              <w:left w:w="57" w:type="dxa"/>
              <w:right w:w="57" w:type="dxa"/>
            </w:tcMar>
          </w:tcPr>
          <w:p w14:paraId="49ED7BF8"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Krediler</w:t>
            </w:r>
          </w:p>
        </w:tc>
        <w:tc>
          <w:tcPr>
            <w:tcW w:w="818" w:type="pct"/>
            <w:gridSpan w:val="2"/>
            <w:tcBorders>
              <w:top w:val="thinThickSmallGap" w:sz="24" w:space="0" w:color="auto"/>
              <w:bottom w:val="single" w:sz="4" w:space="0" w:color="auto"/>
            </w:tcBorders>
            <w:tcMar>
              <w:left w:w="57" w:type="dxa"/>
              <w:right w:w="57" w:type="dxa"/>
            </w:tcMar>
          </w:tcPr>
          <w:p w14:paraId="36B9BFD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Borçlanma Araçları</w:t>
            </w:r>
          </w:p>
        </w:tc>
        <w:tc>
          <w:tcPr>
            <w:tcW w:w="953" w:type="pct"/>
            <w:gridSpan w:val="2"/>
            <w:tcBorders>
              <w:top w:val="thinThickSmallGap" w:sz="24" w:space="0" w:color="auto"/>
              <w:bottom w:val="single" w:sz="4" w:space="0" w:color="auto"/>
            </w:tcBorders>
          </w:tcPr>
          <w:p w14:paraId="0F00B64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Dışı Alacaklar</w:t>
            </w:r>
          </w:p>
        </w:tc>
        <w:tc>
          <w:tcPr>
            <w:tcW w:w="490" w:type="pct"/>
            <w:vMerge w:val="restart"/>
            <w:tcBorders>
              <w:top w:val="thinThickSmallGap" w:sz="24" w:space="0" w:color="auto"/>
            </w:tcBorders>
            <w:tcMar>
              <w:left w:w="57" w:type="dxa"/>
              <w:right w:w="57" w:type="dxa"/>
            </w:tcMar>
            <w:vAlign w:val="bottom"/>
          </w:tcPr>
          <w:p w14:paraId="295CA2B9" w14:textId="77777777" w:rsidR="00E036D3" w:rsidRPr="00FB38E1" w:rsidRDefault="00E036D3"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Özel Karşılık</w:t>
            </w:r>
          </w:p>
        </w:tc>
        <w:tc>
          <w:tcPr>
            <w:tcW w:w="577" w:type="pct"/>
            <w:vMerge w:val="restart"/>
            <w:tcBorders>
              <w:top w:val="thinThickSmallGap" w:sz="24" w:space="0" w:color="auto"/>
            </w:tcBorders>
            <w:tcMar>
              <w:left w:w="57" w:type="dxa"/>
              <w:right w:w="57" w:type="dxa"/>
            </w:tcMar>
            <w:vAlign w:val="bottom"/>
          </w:tcPr>
          <w:p w14:paraId="61DB5524"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Kayıttan düşülen/Aktiften silinen tutar (*)</w:t>
            </w:r>
          </w:p>
        </w:tc>
      </w:tr>
      <w:tr w:rsidR="00E036D3" w:rsidRPr="00FB38E1" w14:paraId="63D093E6" w14:textId="77777777" w:rsidTr="00836EF2">
        <w:tc>
          <w:tcPr>
            <w:tcW w:w="1069" w:type="pct"/>
            <w:tcBorders>
              <w:top w:val="nil"/>
              <w:bottom w:val="single" w:sz="4" w:space="0" w:color="auto"/>
            </w:tcBorders>
            <w:tcMar>
              <w:left w:w="57" w:type="dxa"/>
              <w:right w:w="57" w:type="dxa"/>
            </w:tcMar>
            <w:vAlign w:val="center"/>
          </w:tcPr>
          <w:p w14:paraId="58D5142C" w14:textId="77777777" w:rsidR="00E036D3" w:rsidRPr="00FB38E1" w:rsidRDefault="00E036D3" w:rsidP="00836EF2">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Cari Dönem</w:t>
            </w:r>
          </w:p>
        </w:tc>
        <w:tc>
          <w:tcPr>
            <w:tcW w:w="519" w:type="pct"/>
            <w:tcBorders>
              <w:top w:val="single" w:sz="4" w:space="0" w:color="auto"/>
              <w:bottom w:val="single" w:sz="4" w:space="0" w:color="auto"/>
            </w:tcBorders>
            <w:tcMar>
              <w:left w:w="57" w:type="dxa"/>
              <w:right w:w="57" w:type="dxa"/>
            </w:tcMar>
            <w:vAlign w:val="bottom"/>
          </w:tcPr>
          <w:p w14:paraId="0173CC28"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526BCAC9"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etmiş</w:t>
            </w:r>
          </w:p>
        </w:tc>
        <w:tc>
          <w:tcPr>
            <w:tcW w:w="574" w:type="pct"/>
            <w:tcBorders>
              <w:top w:val="single" w:sz="4" w:space="0" w:color="auto"/>
              <w:bottom w:val="single" w:sz="4" w:space="0" w:color="auto"/>
            </w:tcBorders>
            <w:tcMar>
              <w:left w:w="57" w:type="dxa"/>
              <w:right w:w="57" w:type="dxa"/>
            </w:tcMar>
            <w:vAlign w:val="bottom"/>
          </w:tcPr>
          <w:p w14:paraId="0C4F59F7"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 etmemiş</w:t>
            </w:r>
          </w:p>
        </w:tc>
        <w:tc>
          <w:tcPr>
            <w:tcW w:w="354" w:type="pct"/>
            <w:tcBorders>
              <w:top w:val="single" w:sz="4" w:space="0" w:color="auto"/>
              <w:bottom w:val="single" w:sz="4" w:space="0" w:color="auto"/>
            </w:tcBorders>
            <w:tcMar>
              <w:left w:w="57" w:type="dxa"/>
              <w:right w:w="57" w:type="dxa"/>
            </w:tcMar>
            <w:vAlign w:val="bottom"/>
          </w:tcPr>
          <w:p w14:paraId="5B3B089C"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02C62523"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etmiş</w:t>
            </w:r>
          </w:p>
        </w:tc>
        <w:tc>
          <w:tcPr>
            <w:tcW w:w="464" w:type="pct"/>
            <w:tcBorders>
              <w:top w:val="single" w:sz="4" w:space="0" w:color="auto"/>
              <w:bottom w:val="single" w:sz="4" w:space="0" w:color="auto"/>
            </w:tcBorders>
            <w:tcMar>
              <w:left w:w="57" w:type="dxa"/>
              <w:right w:w="57" w:type="dxa"/>
            </w:tcMar>
            <w:vAlign w:val="center"/>
          </w:tcPr>
          <w:p w14:paraId="068B68BD" w14:textId="77777777" w:rsidR="00E036D3" w:rsidRPr="00FB38E1" w:rsidRDefault="00E036D3" w:rsidP="00836EF2">
            <w:pPr>
              <w:rPr>
                <w:rFonts w:ascii="Microsoft Sans Serif" w:hAnsi="Microsoft Sans Serif" w:cs="Microsoft Sans Serif"/>
                <w:b/>
                <w:bCs/>
                <w:color w:val="000000"/>
                <w:sz w:val="14"/>
                <w:szCs w:val="14"/>
              </w:rPr>
            </w:pPr>
            <w:r w:rsidRPr="00FB38E1">
              <w:rPr>
                <w:rFonts w:ascii="Microsoft Sans Serif" w:hAnsi="Microsoft Sans Serif" w:cs="Microsoft Sans Serif"/>
                <w:b/>
                <w:sz w:val="14"/>
                <w:szCs w:val="14"/>
              </w:rPr>
              <w:t>Temerrüt etmemiş</w:t>
            </w:r>
          </w:p>
        </w:tc>
        <w:tc>
          <w:tcPr>
            <w:tcW w:w="436" w:type="pct"/>
            <w:tcBorders>
              <w:top w:val="single" w:sz="4" w:space="0" w:color="auto"/>
              <w:bottom w:val="single" w:sz="4" w:space="0" w:color="auto"/>
            </w:tcBorders>
            <w:vAlign w:val="bottom"/>
          </w:tcPr>
          <w:p w14:paraId="2D3DD6E8"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386A4E40" w14:textId="77777777" w:rsidR="00E036D3" w:rsidRPr="00FB38E1" w:rsidRDefault="00E036D3" w:rsidP="00836EF2">
            <w:pPr>
              <w:jc w:val="center"/>
              <w:rPr>
                <w:rFonts w:ascii="Microsoft Sans Serif" w:hAnsi="Microsoft Sans Serif" w:cs="Microsoft Sans Serif"/>
                <w:sz w:val="14"/>
                <w:szCs w:val="14"/>
              </w:rPr>
            </w:pPr>
            <w:r w:rsidRPr="00FB38E1">
              <w:rPr>
                <w:rFonts w:ascii="Microsoft Sans Serif" w:hAnsi="Microsoft Sans Serif" w:cs="Microsoft Sans Serif"/>
                <w:b/>
                <w:sz w:val="14"/>
                <w:szCs w:val="14"/>
              </w:rPr>
              <w:t>etmiş</w:t>
            </w:r>
          </w:p>
        </w:tc>
        <w:tc>
          <w:tcPr>
            <w:tcW w:w="517" w:type="pct"/>
            <w:tcBorders>
              <w:top w:val="single" w:sz="4" w:space="0" w:color="auto"/>
              <w:bottom w:val="single" w:sz="4" w:space="0" w:color="auto"/>
            </w:tcBorders>
            <w:vAlign w:val="bottom"/>
          </w:tcPr>
          <w:p w14:paraId="6148BEE2" w14:textId="77777777" w:rsidR="00E036D3" w:rsidRPr="00FB38E1" w:rsidRDefault="00E036D3" w:rsidP="00836EF2">
            <w:pPr>
              <w:jc w:val="center"/>
              <w:rPr>
                <w:rFonts w:ascii="Microsoft Sans Serif" w:hAnsi="Microsoft Sans Serif" w:cs="Microsoft Sans Serif"/>
                <w:sz w:val="14"/>
                <w:szCs w:val="14"/>
              </w:rPr>
            </w:pPr>
            <w:r w:rsidRPr="00FB38E1">
              <w:rPr>
                <w:rFonts w:ascii="Microsoft Sans Serif" w:hAnsi="Microsoft Sans Serif" w:cs="Microsoft Sans Serif"/>
                <w:b/>
                <w:sz w:val="14"/>
                <w:szCs w:val="14"/>
              </w:rPr>
              <w:t>Temerrüt etmemiş</w:t>
            </w:r>
          </w:p>
        </w:tc>
        <w:tc>
          <w:tcPr>
            <w:tcW w:w="490" w:type="pct"/>
            <w:vMerge/>
            <w:tcBorders>
              <w:bottom w:val="single" w:sz="4" w:space="0" w:color="auto"/>
            </w:tcBorders>
            <w:tcMar>
              <w:left w:w="57" w:type="dxa"/>
              <w:right w:w="57" w:type="dxa"/>
            </w:tcMar>
            <w:vAlign w:val="center"/>
          </w:tcPr>
          <w:p w14:paraId="3ECFCD27" w14:textId="77777777" w:rsidR="00E036D3" w:rsidRPr="00FB38E1" w:rsidRDefault="00E036D3" w:rsidP="00836EF2">
            <w:pPr>
              <w:jc w:val="center"/>
              <w:rPr>
                <w:rFonts w:ascii="Microsoft Sans Serif" w:hAnsi="Microsoft Sans Serif" w:cs="Microsoft Sans Serif"/>
                <w:color w:val="404040"/>
                <w:sz w:val="14"/>
                <w:szCs w:val="14"/>
              </w:rPr>
            </w:pPr>
          </w:p>
        </w:tc>
        <w:tc>
          <w:tcPr>
            <w:tcW w:w="577" w:type="pct"/>
            <w:vMerge/>
            <w:tcBorders>
              <w:bottom w:val="single" w:sz="4" w:space="0" w:color="auto"/>
            </w:tcBorders>
            <w:tcMar>
              <w:left w:w="57" w:type="dxa"/>
              <w:right w:w="57" w:type="dxa"/>
            </w:tcMar>
            <w:vAlign w:val="center"/>
          </w:tcPr>
          <w:p w14:paraId="44FE1DF8" w14:textId="77777777" w:rsidR="00E036D3" w:rsidRPr="00FB38E1" w:rsidRDefault="00E036D3" w:rsidP="00836EF2">
            <w:pPr>
              <w:jc w:val="center"/>
              <w:rPr>
                <w:rFonts w:ascii="Microsoft Sans Serif" w:hAnsi="Microsoft Sans Serif" w:cs="Microsoft Sans Serif"/>
                <w:color w:val="404040"/>
                <w:sz w:val="14"/>
                <w:szCs w:val="14"/>
              </w:rPr>
            </w:pPr>
          </w:p>
        </w:tc>
      </w:tr>
      <w:tr w:rsidR="009A1A17" w:rsidRPr="00FB38E1" w14:paraId="0E2422CF" w14:textId="77777777" w:rsidTr="00836EF2">
        <w:tc>
          <w:tcPr>
            <w:tcW w:w="1069" w:type="pct"/>
            <w:tcBorders>
              <w:top w:val="single" w:sz="4" w:space="0" w:color="auto"/>
            </w:tcBorders>
            <w:tcMar>
              <w:left w:w="57" w:type="dxa"/>
              <w:right w:w="57" w:type="dxa"/>
            </w:tcMar>
          </w:tcPr>
          <w:p w14:paraId="53C6D278" w14:textId="77777777" w:rsidR="009A1A17" w:rsidRPr="00FB38E1" w:rsidRDefault="009A1A17" w:rsidP="009A1A17">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Tarım</w:t>
            </w:r>
          </w:p>
        </w:tc>
        <w:tc>
          <w:tcPr>
            <w:tcW w:w="519" w:type="pct"/>
            <w:tcBorders>
              <w:top w:val="single" w:sz="4" w:space="0" w:color="auto"/>
            </w:tcBorders>
            <w:tcMar>
              <w:left w:w="57" w:type="dxa"/>
              <w:right w:w="57" w:type="dxa"/>
            </w:tcMar>
            <w:vAlign w:val="center"/>
          </w:tcPr>
          <w:p w14:paraId="0D851F5C" w14:textId="5E73DC17"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4.607.427</w:t>
            </w:r>
          </w:p>
        </w:tc>
        <w:tc>
          <w:tcPr>
            <w:tcW w:w="574" w:type="pct"/>
            <w:tcBorders>
              <w:top w:val="single" w:sz="4" w:space="0" w:color="auto"/>
            </w:tcBorders>
            <w:tcMar>
              <w:left w:w="57" w:type="dxa"/>
              <w:right w:w="57" w:type="dxa"/>
            </w:tcMar>
            <w:vAlign w:val="center"/>
          </w:tcPr>
          <w:p w14:paraId="4710D720" w14:textId="35FB762D"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113.703.633</w:t>
            </w:r>
          </w:p>
        </w:tc>
        <w:tc>
          <w:tcPr>
            <w:tcW w:w="354" w:type="pct"/>
            <w:tcBorders>
              <w:top w:val="single" w:sz="4" w:space="0" w:color="auto"/>
            </w:tcBorders>
            <w:tcMar>
              <w:left w:w="57" w:type="dxa"/>
              <w:right w:w="57" w:type="dxa"/>
            </w:tcMar>
            <w:vAlign w:val="center"/>
          </w:tcPr>
          <w:p w14:paraId="6C19C422" w14:textId="6ACEB270"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4" w:type="pct"/>
            <w:tcBorders>
              <w:top w:val="single" w:sz="4" w:space="0" w:color="auto"/>
            </w:tcBorders>
            <w:tcMar>
              <w:left w:w="57" w:type="dxa"/>
              <w:right w:w="57" w:type="dxa"/>
            </w:tcMar>
            <w:vAlign w:val="center"/>
          </w:tcPr>
          <w:p w14:paraId="33864091" w14:textId="20D80F72"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6" w:type="pct"/>
            <w:tcBorders>
              <w:top w:val="single" w:sz="4" w:space="0" w:color="auto"/>
            </w:tcBorders>
            <w:vAlign w:val="center"/>
          </w:tcPr>
          <w:p w14:paraId="4067CA06" w14:textId="5F1103DE"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14.768</w:t>
            </w:r>
          </w:p>
        </w:tc>
        <w:tc>
          <w:tcPr>
            <w:tcW w:w="517" w:type="pct"/>
            <w:tcBorders>
              <w:top w:val="single" w:sz="4" w:space="0" w:color="auto"/>
            </w:tcBorders>
            <w:vAlign w:val="center"/>
          </w:tcPr>
          <w:p w14:paraId="68BE2FBA" w14:textId="47A40304"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25.960.925</w:t>
            </w:r>
          </w:p>
        </w:tc>
        <w:tc>
          <w:tcPr>
            <w:tcW w:w="490" w:type="pct"/>
            <w:tcBorders>
              <w:top w:val="single" w:sz="4" w:space="0" w:color="auto"/>
            </w:tcBorders>
            <w:tcMar>
              <w:left w:w="57" w:type="dxa"/>
              <w:right w:w="57" w:type="dxa"/>
            </w:tcMar>
            <w:vAlign w:val="center"/>
          </w:tcPr>
          <w:p w14:paraId="6339F3D2" w14:textId="02494291"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2.337.038</w:t>
            </w:r>
          </w:p>
        </w:tc>
        <w:tc>
          <w:tcPr>
            <w:tcW w:w="577" w:type="pct"/>
            <w:tcBorders>
              <w:top w:val="single" w:sz="4" w:space="0" w:color="auto"/>
            </w:tcBorders>
            <w:tcMar>
              <w:left w:w="57" w:type="dxa"/>
              <w:right w:w="57" w:type="dxa"/>
            </w:tcMar>
            <w:vAlign w:val="center"/>
          </w:tcPr>
          <w:p w14:paraId="414BA5CB" w14:textId="32892D72"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33.538</w:t>
            </w:r>
          </w:p>
        </w:tc>
      </w:tr>
      <w:tr w:rsidR="009A1A17" w:rsidRPr="00FB38E1" w14:paraId="3F6A46BD" w14:textId="77777777" w:rsidTr="00836EF2">
        <w:tc>
          <w:tcPr>
            <w:tcW w:w="1069" w:type="pct"/>
            <w:tcMar>
              <w:left w:w="113" w:type="dxa"/>
              <w:right w:w="57" w:type="dxa"/>
            </w:tcMar>
          </w:tcPr>
          <w:p w14:paraId="1B580C4F"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Çiftçilik ve Hayvancılık</w:t>
            </w:r>
          </w:p>
        </w:tc>
        <w:tc>
          <w:tcPr>
            <w:tcW w:w="519" w:type="pct"/>
            <w:tcMar>
              <w:left w:w="57" w:type="dxa"/>
              <w:right w:w="57" w:type="dxa"/>
            </w:tcMar>
            <w:vAlign w:val="center"/>
          </w:tcPr>
          <w:p w14:paraId="1BDCF384" w14:textId="6CFEDB8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4.590.296</w:t>
            </w:r>
          </w:p>
        </w:tc>
        <w:tc>
          <w:tcPr>
            <w:tcW w:w="574" w:type="pct"/>
            <w:tcMar>
              <w:left w:w="57" w:type="dxa"/>
              <w:right w:w="57" w:type="dxa"/>
            </w:tcMar>
            <w:vAlign w:val="center"/>
          </w:tcPr>
          <w:p w14:paraId="0676C701" w14:textId="2583162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113.163.134</w:t>
            </w:r>
          </w:p>
        </w:tc>
        <w:tc>
          <w:tcPr>
            <w:tcW w:w="354" w:type="pct"/>
            <w:tcMar>
              <w:left w:w="57" w:type="dxa"/>
              <w:right w:w="57" w:type="dxa"/>
            </w:tcMar>
            <w:vAlign w:val="center"/>
          </w:tcPr>
          <w:p w14:paraId="15BD1FBF" w14:textId="02BAF54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1377A693" w14:textId="57F1DF4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703E141D" w14:textId="6F6D510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14.618</w:t>
            </w:r>
          </w:p>
        </w:tc>
        <w:tc>
          <w:tcPr>
            <w:tcW w:w="517" w:type="pct"/>
            <w:vAlign w:val="center"/>
          </w:tcPr>
          <w:p w14:paraId="18969E04" w14:textId="18C97A9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25.755.691</w:t>
            </w:r>
          </w:p>
        </w:tc>
        <w:tc>
          <w:tcPr>
            <w:tcW w:w="490" w:type="pct"/>
            <w:tcMar>
              <w:left w:w="57" w:type="dxa"/>
              <w:right w:w="57" w:type="dxa"/>
            </w:tcMar>
            <w:vAlign w:val="center"/>
          </w:tcPr>
          <w:p w14:paraId="6538AE22" w14:textId="04BA957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2.322.645</w:t>
            </w:r>
          </w:p>
        </w:tc>
        <w:tc>
          <w:tcPr>
            <w:tcW w:w="577" w:type="pct"/>
            <w:tcMar>
              <w:left w:w="57" w:type="dxa"/>
              <w:right w:w="57" w:type="dxa"/>
            </w:tcMar>
            <w:vAlign w:val="center"/>
          </w:tcPr>
          <w:p w14:paraId="4A7D2E69" w14:textId="0815BD9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32.983</w:t>
            </w:r>
          </w:p>
        </w:tc>
      </w:tr>
      <w:tr w:rsidR="009A1A17" w:rsidRPr="00FB38E1" w14:paraId="20A2D736" w14:textId="77777777" w:rsidTr="00836EF2">
        <w:tc>
          <w:tcPr>
            <w:tcW w:w="1069" w:type="pct"/>
            <w:tcMar>
              <w:left w:w="113" w:type="dxa"/>
              <w:right w:w="57" w:type="dxa"/>
            </w:tcMar>
          </w:tcPr>
          <w:p w14:paraId="6B289D45"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Ormancılık</w:t>
            </w:r>
          </w:p>
        </w:tc>
        <w:tc>
          <w:tcPr>
            <w:tcW w:w="519" w:type="pct"/>
            <w:tcMar>
              <w:left w:w="57" w:type="dxa"/>
              <w:right w:w="57" w:type="dxa"/>
            </w:tcMar>
            <w:vAlign w:val="center"/>
          </w:tcPr>
          <w:p w14:paraId="10264D64" w14:textId="3867678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16.682</w:t>
            </w:r>
          </w:p>
        </w:tc>
        <w:tc>
          <w:tcPr>
            <w:tcW w:w="574" w:type="pct"/>
            <w:tcMar>
              <w:left w:w="57" w:type="dxa"/>
              <w:right w:w="57" w:type="dxa"/>
            </w:tcMar>
            <w:vAlign w:val="center"/>
          </w:tcPr>
          <w:p w14:paraId="2873A968" w14:textId="386E22F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27.429</w:t>
            </w:r>
          </w:p>
        </w:tc>
        <w:tc>
          <w:tcPr>
            <w:tcW w:w="354" w:type="pct"/>
            <w:tcMar>
              <w:left w:w="57" w:type="dxa"/>
              <w:right w:w="57" w:type="dxa"/>
            </w:tcMar>
            <w:vAlign w:val="center"/>
          </w:tcPr>
          <w:p w14:paraId="7836B778" w14:textId="5D98399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66297BBD" w14:textId="3CC74E8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07CF952" w14:textId="7EB3342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35759BB3" w14:textId="76852B5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42.238</w:t>
            </w:r>
          </w:p>
        </w:tc>
        <w:tc>
          <w:tcPr>
            <w:tcW w:w="490" w:type="pct"/>
            <w:tcMar>
              <w:left w:w="57" w:type="dxa"/>
              <w:right w:w="57" w:type="dxa"/>
            </w:tcMar>
            <w:vAlign w:val="center"/>
          </w:tcPr>
          <w:p w14:paraId="7BE304DB" w14:textId="46A66F1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14.066</w:t>
            </w:r>
          </w:p>
        </w:tc>
        <w:tc>
          <w:tcPr>
            <w:tcW w:w="577" w:type="pct"/>
            <w:tcMar>
              <w:left w:w="57" w:type="dxa"/>
              <w:right w:w="57" w:type="dxa"/>
            </w:tcMar>
            <w:vAlign w:val="center"/>
          </w:tcPr>
          <w:p w14:paraId="4F3E35CD" w14:textId="28357C3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6BF1DAE9" w14:textId="77777777" w:rsidTr="00836EF2">
        <w:tc>
          <w:tcPr>
            <w:tcW w:w="1069" w:type="pct"/>
            <w:tcMar>
              <w:left w:w="113" w:type="dxa"/>
              <w:right w:w="57" w:type="dxa"/>
            </w:tcMar>
          </w:tcPr>
          <w:p w14:paraId="2226EF03"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Balıkçılık</w:t>
            </w:r>
          </w:p>
        </w:tc>
        <w:tc>
          <w:tcPr>
            <w:tcW w:w="519" w:type="pct"/>
            <w:tcMar>
              <w:left w:w="57" w:type="dxa"/>
              <w:right w:w="57" w:type="dxa"/>
            </w:tcMar>
            <w:vAlign w:val="center"/>
          </w:tcPr>
          <w:p w14:paraId="4AAC0900" w14:textId="440424D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449</w:t>
            </w:r>
          </w:p>
        </w:tc>
        <w:tc>
          <w:tcPr>
            <w:tcW w:w="574" w:type="pct"/>
            <w:tcMar>
              <w:left w:w="57" w:type="dxa"/>
              <w:right w:w="57" w:type="dxa"/>
            </w:tcMar>
            <w:vAlign w:val="center"/>
          </w:tcPr>
          <w:p w14:paraId="44E226B5" w14:textId="5952608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513.070</w:t>
            </w:r>
          </w:p>
        </w:tc>
        <w:tc>
          <w:tcPr>
            <w:tcW w:w="354" w:type="pct"/>
            <w:tcMar>
              <w:left w:w="57" w:type="dxa"/>
              <w:right w:w="57" w:type="dxa"/>
            </w:tcMar>
            <w:vAlign w:val="center"/>
          </w:tcPr>
          <w:p w14:paraId="32F3C233" w14:textId="116DE68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4C6DED34" w14:textId="771E50A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3031B317" w14:textId="090BB21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w:t>
            </w:r>
          </w:p>
        </w:tc>
        <w:tc>
          <w:tcPr>
            <w:tcW w:w="517" w:type="pct"/>
            <w:vAlign w:val="center"/>
          </w:tcPr>
          <w:p w14:paraId="7DB052F7" w14:textId="6D18FAA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162.996</w:t>
            </w:r>
          </w:p>
        </w:tc>
        <w:tc>
          <w:tcPr>
            <w:tcW w:w="490" w:type="pct"/>
            <w:tcMar>
              <w:left w:w="57" w:type="dxa"/>
              <w:right w:w="57" w:type="dxa"/>
            </w:tcMar>
            <w:vAlign w:val="center"/>
          </w:tcPr>
          <w:p w14:paraId="706BD739" w14:textId="5E138CF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327</w:t>
            </w:r>
          </w:p>
        </w:tc>
        <w:tc>
          <w:tcPr>
            <w:tcW w:w="577" w:type="pct"/>
            <w:tcMar>
              <w:left w:w="57" w:type="dxa"/>
              <w:right w:w="57" w:type="dxa"/>
            </w:tcMar>
            <w:vAlign w:val="center"/>
          </w:tcPr>
          <w:p w14:paraId="742C8B88" w14:textId="1504860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555</w:t>
            </w:r>
          </w:p>
        </w:tc>
      </w:tr>
      <w:tr w:rsidR="009A1A17" w:rsidRPr="00FB38E1" w14:paraId="38193D00" w14:textId="77777777" w:rsidTr="00836EF2">
        <w:tc>
          <w:tcPr>
            <w:tcW w:w="1069" w:type="pct"/>
            <w:tcMar>
              <w:left w:w="57" w:type="dxa"/>
              <w:right w:w="57" w:type="dxa"/>
            </w:tcMar>
          </w:tcPr>
          <w:p w14:paraId="38681C40" w14:textId="77777777" w:rsidR="009A1A17" w:rsidRPr="00FB38E1" w:rsidRDefault="009A1A17" w:rsidP="009A1A17">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Sanayi</w:t>
            </w:r>
          </w:p>
        </w:tc>
        <w:tc>
          <w:tcPr>
            <w:tcW w:w="519" w:type="pct"/>
            <w:tcMar>
              <w:left w:w="57" w:type="dxa"/>
              <w:right w:w="57" w:type="dxa"/>
            </w:tcMar>
            <w:vAlign w:val="center"/>
          </w:tcPr>
          <w:p w14:paraId="0D10839E" w14:textId="31007344"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4.756.349</w:t>
            </w:r>
          </w:p>
        </w:tc>
        <w:tc>
          <w:tcPr>
            <w:tcW w:w="574" w:type="pct"/>
            <w:tcMar>
              <w:left w:w="57" w:type="dxa"/>
              <w:right w:w="57" w:type="dxa"/>
            </w:tcMar>
            <w:vAlign w:val="center"/>
          </w:tcPr>
          <w:p w14:paraId="4D95F8FF" w14:textId="793213AF"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106.570.629</w:t>
            </w:r>
          </w:p>
        </w:tc>
        <w:tc>
          <w:tcPr>
            <w:tcW w:w="354" w:type="pct"/>
            <w:tcMar>
              <w:left w:w="57" w:type="dxa"/>
              <w:right w:w="57" w:type="dxa"/>
            </w:tcMar>
            <w:vAlign w:val="center"/>
          </w:tcPr>
          <w:p w14:paraId="0D7E3C1C" w14:textId="14E56A53"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4" w:type="pct"/>
            <w:tcMar>
              <w:left w:w="57" w:type="dxa"/>
              <w:right w:w="57" w:type="dxa"/>
            </w:tcMar>
            <w:vAlign w:val="center"/>
          </w:tcPr>
          <w:p w14:paraId="3ED4C01C" w14:textId="0BAA055D"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6" w:type="pct"/>
            <w:vAlign w:val="center"/>
          </w:tcPr>
          <w:p w14:paraId="02DAC605" w14:textId="5013EC4C"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162.545</w:t>
            </w:r>
          </w:p>
        </w:tc>
        <w:tc>
          <w:tcPr>
            <w:tcW w:w="517" w:type="pct"/>
            <w:vAlign w:val="center"/>
          </w:tcPr>
          <w:p w14:paraId="1DEB6B1C" w14:textId="35F715A6"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89.797.866</w:t>
            </w:r>
          </w:p>
        </w:tc>
        <w:tc>
          <w:tcPr>
            <w:tcW w:w="490" w:type="pct"/>
            <w:tcMar>
              <w:left w:w="57" w:type="dxa"/>
              <w:right w:w="57" w:type="dxa"/>
            </w:tcMar>
            <w:vAlign w:val="center"/>
          </w:tcPr>
          <w:p w14:paraId="6B78DAFA" w14:textId="022BF6ED"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2.647.239</w:t>
            </w:r>
          </w:p>
        </w:tc>
        <w:tc>
          <w:tcPr>
            <w:tcW w:w="577" w:type="pct"/>
            <w:tcMar>
              <w:left w:w="57" w:type="dxa"/>
              <w:right w:w="57" w:type="dxa"/>
            </w:tcMar>
            <w:vAlign w:val="center"/>
          </w:tcPr>
          <w:p w14:paraId="16759671" w14:textId="54553835"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21.226</w:t>
            </w:r>
          </w:p>
        </w:tc>
      </w:tr>
      <w:tr w:rsidR="009A1A17" w:rsidRPr="00FB38E1" w14:paraId="3A31FC8C" w14:textId="77777777" w:rsidTr="00836EF2">
        <w:tc>
          <w:tcPr>
            <w:tcW w:w="1069" w:type="pct"/>
            <w:tcMar>
              <w:left w:w="113" w:type="dxa"/>
              <w:right w:w="57" w:type="dxa"/>
            </w:tcMar>
          </w:tcPr>
          <w:p w14:paraId="3B45FB92"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Madencilik ve Taşocakçılığı</w:t>
            </w:r>
          </w:p>
        </w:tc>
        <w:tc>
          <w:tcPr>
            <w:tcW w:w="519" w:type="pct"/>
            <w:tcMar>
              <w:left w:w="57" w:type="dxa"/>
              <w:right w:w="57" w:type="dxa"/>
            </w:tcMar>
            <w:vAlign w:val="center"/>
          </w:tcPr>
          <w:p w14:paraId="06D0F053" w14:textId="748D788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2.218.481</w:t>
            </w:r>
          </w:p>
        </w:tc>
        <w:tc>
          <w:tcPr>
            <w:tcW w:w="574" w:type="pct"/>
            <w:tcMar>
              <w:left w:w="57" w:type="dxa"/>
              <w:right w:w="57" w:type="dxa"/>
            </w:tcMar>
            <w:vAlign w:val="center"/>
          </w:tcPr>
          <w:p w14:paraId="18A0634A" w14:textId="5655AB3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5.347.619</w:t>
            </w:r>
          </w:p>
        </w:tc>
        <w:tc>
          <w:tcPr>
            <w:tcW w:w="354" w:type="pct"/>
            <w:tcMar>
              <w:left w:w="57" w:type="dxa"/>
              <w:right w:w="57" w:type="dxa"/>
            </w:tcMar>
            <w:vAlign w:val="center"/>
          </w:tcPr>
          <w:p w14:paraId="5C0DDE21" w14:textId="3567F26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1B0F866F" w14:textId="7B7011A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3DA52020" w14:textId="65D0E08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60.764</w:t>
            </w:r>
          </w:p>
        </w:tc>
        <w:tc>
          <w:tcPr>
            <w:tcW w:w="517" w:type="pct"/>
            <w:vAlign w:val="center"/>
          </w:tcPr>
          <w:p w14:paraId="02CE3043" w14:textId="7F662B1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5.974.069</w:t>
            </w:r>
          </w:p>
        </w:tc>
        <w:tc>
          <w:tcPr>
            <w:tcW w:w="490" w:type="pct"/>
            <w:tcMar>
              <w:left w:w="57" w:type="dxa"/>
              <w:right w:w="57" w:type="dxa"/>
            </w:tcMar>
            <w:vAlign w:val="center"/>
          </w:tcPr>
          <w:p w14:paraId="3B1E3C81" w14:textId="6A6BD33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982.033</w:t>
            </w:r>
          </w:p>
        </w:tc>
        <w:tc>
          <w:tcPr>
            <w:tcW w:w="577" w:type="pct"/>
            <w:tcMar>
              <w:left w:w="57" w:type="dxa"/>
              <w:right w:w="57" w:type="dxa"/>
            </w:tcMar>
            <w:vAlign w:val="center"/>
          </w:tcPr>
          <w:p w14:paraId="1203E341" w14:textId="2C5E510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2.178</w:t>
            </w:r>
          </w:p>
        </w:tc>
      </w:tr>
      <w:tr w:rsidR="009A1A17" w:rsidRPr="00FB38E1" w14:paraId="2D741351" w14:textId="77777777" w:rsidTr="00836EF2">
        <w:tc>
          <w:tcPr>
            <w:tcW w:w="1069" w:type="pct"/>
            <w:tcMar>
              <w:left w:w="113" w:type="dxa"/>
              <w:right w:w="57" w:type="dxa"/>
            </w:tcMar>
          </w:tcPr>
          <w:p w14:paraId="2AB248B9"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İmalat sanayi</w:t>
            </w:r>
          </w:p>
        </w:tc>
        <w:tc>
          <w:tcPr>
            <w:tcW w:w="519" w:type="pct"/>
            <w:tcMar>
              <w:left w:w="57" w:type="dxa"/>
              <w:right w:w="57" w:type="dxa"/>
            </w:tcMar>
            <w:vAlign w:val="center"/>
          </w:tcPr>
          <w:p w14:paraId="149CAE16" w14:textId="0A73E62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1.425.241</w:t>
            </w:r>
          </w:p>
        </w:tc>
        <w:tc>
          <w:tcPr>
            <w:tcW w:w="574" w:type="pct"/>
            <w:tcMar>
              <w:left w:w="57" w:type="dxa"/>
              <w:right w:w="57" w:type="dxa"/>
            </w:tcMar>
            <w:vAlign w:val="center"/>
          </w:tcPr>
          <w:p w14:paraId="59CF4367" w14:textId="268D4C0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83.113.456</w:t>
            </w:r>
          </w:p>
        </w:tc>
        <w:tc>
          <w:tcPr>
            <w:tcW w:w="354" w:type="pct"/>
            <w:tcMar>
              <w:left w:w="57" w:type="dxa"/>
              <w:right w:w="57" w:type="dxa"/>
            </w:tcMar>
            <w:vAlign w:val="center"/>
          </w:tcPr>
          <w:p w14:paraId="7F59B635" w14:textId="767F134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2FB00FC2" w14:textId="54CC16F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10594CBD" w14:textId="2F585C5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75.185</w:t>
            </w:r>
          </w:p>
        </w:tc>
        <w:tc>
          <w:tcPr>
            <w:tcW w:w="517" w:type="pct"/>
            <w:vAlign w:val="center"/>
          </w:tcPr>
          <w:p w14:paraId="4CE1982C" w14:textId="2CA1E7F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75.623.435</w:t>
            </w:r>
          </w:p>
        </w:tc>
        <w:tc>
          <w:tcPr>
            <w:tcW w:w="490" w:type="pct"/>
            <w:tcMar>
              <w:left w:w="57" w:type="dxa"/>
              <w:right w:w="57" w:type="dxa"/>
            </w:tcMar>
            <w:vAlign w:val="center"/>
          </w:tcPr>
          <w:p w14:paraId="05979B97" w14:textId="670F425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953.497</w:t>
            </w:r>
          </w:p>
        </w:tc>
        <w:tc>
          <w:tcPr>
            <w:tcW w:w="577" w:type="pct"/>
            <w:tcMar>
              <w:left w:w="57" w:type="dxa"/>
              <w:right w:w="57" w:type="dxa"/>
            </w:tcMar>
            <w:vAlign w:val="center"/>
          </w:tcPr>
          <w:p w14:paraId="2438ADE6" w14:textId="2CFC6E0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19.048</w:t>
            </w:r>
          </w:p>
        </w:tc>
      </w:tr>
      <w:tr w:rsidR="009A1A17" w:rsidRPr="00FB38E1" w14:paraId="6488D9C2" w14:textId="77777777" w:rsidTr="00836EF2">
        <w:tc>
          <w:tcPr>
            <w:tcW w:w="1069" w:type="pct"/>
            <w:tcMar>
              <w:left w:w="113" w:type="dxa"/>
              <w:right w:w="57" w:type="dxa"/>
            </w:tcMar>
          </w:tcPr>
          <w:p w14:paraId="5915DE32"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Elektrik,Gaz, Su</w:t>
            </w:r>
          </w:p>
        </w:tc>
        <w:tc>
          <w:tcPr>
            <w:tcW w:w="519" w:type="pct"/>
            <w:tcMar>
              <w:left w:w="57" w:type="dxa"/>
              <w:right w:w="57" w:type="dxa"/>
            </w:tcMar>
            <w:vAlign w:val="center"/>
          </w:tcPr>
          <w:p w14:paraId="36FA00DA" w14:textId="60FF795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1.112.627</w:t>
            </w:r>
          </w:p>
        </w:tc>
        <w:tc>
          <w:tcPr>
            <w:tcW w:w="574" w:type="pct"/>
            <w:tcMar>
              <w:left w:w="57" w:type="dxa"/>
              <w:right w:w="57" w:type="dxa"/>
            </w:tcMar>
            <w:vAlign w:val="center"/>
          </w:tcPr>
          <w:p w14:paraId="2FFF791F" w14:textId="4BE7E06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18.109.554</w:t>
            </w:r>
          </w:p>
        </w:tc>
        <w:tc>
          <w:tcPr>
            <w:tcW w:w="354" w:type="pct"/>
            <w:tcMar>
              <w:left w:w="57" w:type="dxa"/>
              <w:right w:w="57" w:type="dxa"/>
            </w:tcMar>
            <w:vAlign w:val="center"/>
          </w:tcPr>
          <w:p w14:paraId="76D67080" w14:textId="1E7D3B1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1BA6E154" w14:textId="19A4B41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C1F0CAF" w14:textId="75C7A1A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26.596</w:t>
            </w:r>
          </w:p>
        </w:tc>
        <w:tc>
          <w:tcPr>
            <w:tcW w:w="517" w:type="pct"/>
            <w:vAlign w:val="center"/>
          </w:tcPr>
          <w:p w14:paraId="7E36861D" w14:textId="1440F90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8.200.362</w:t>
            </w:r>
          </w:p>
        </w:tc>
        <w:tc>
          <w:tcPr>
            <w:tcW w:w="490" w:type="pct"/>
            <w:tcMar>
              <w:left w:w="57" w:type="dxa"/>
              <w:right w:w="57" w:type="dxa"/>
            </w:tcMar>
            <w:vAlign w:val="center"/>
          </w:tcPr>
          <w:p w14:paraId="0CC40026" w14:textId="0344367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711.709</w:t>
            </w:r>
          </w:p>
        </w:tc>
        <w:tc>
          <w:tcPr>
            <w:tcW w:w="577" w:type="pct"/>
            <w:tcMar>
              <w:left w:w="57" w:type="dxa"/>
              <w:right w:w="57" w:type="dxa"/>
            </w:tcMar>
            <w:vAlign w:val="center"/>
          </w:tcPr>
          <w:p w14:paraId="56465DC9" w14:textId="231260C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22153731" w14:textId="77777777" w:rsidTr="00836EF2">
        <w:tc>
          <w:tcPr>
            <w:tcW w:w="1069" w:type="pct"/>
            <w:tcMar>
              <w:left w:w="57" w:type="dxa"/>
              <w:right w:w="57" w:type="dxa"/>
            </w:tcMar>
          </w:tcPr>
          <w:p w14:paraId="7116DD56" w14:textId="77777777" w:rsidR="009A1A17" w:rsidRPr="00FB38E1" w:rsidRDefault="009A1A17" w:rsidP="009A1A17">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İnşaat</w:t>
            </w:r>
          </w:p>
        </w:tc>
        <w:tc>
          <w:tcPr>
            <w:tcW w:w="519" w:type="pct"/>
            <w:tcMar>
              <w:left w:w="57" w:type="dxa"/>
              <w:right w:w="57" w:type="dxa"/>
            </w:tcMar>
            <w:vAlign w:val="center"/>
          </w:tcPr>
          <w:p w14:paraId="153621BC" w14:textId="7EF67E4B"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1.327.554</w:t>
            </w:r>
          </w:p>
        </w:tc>
        <w:tc>
          <w:tcPr>
            <w:tcW w:w="574" w:type="pct"/>
            <w:tcMar>
              <w:left w:w="57" w:type="dxa"/>
              <w:right w:w="57" w:type="dxa"/>
            </w:tcMar>
            <w:vAlign w:val="center"/>
          </w:tcPr>
          <w:p w14:paraId="58B8D594" w14:textId="37E82BC4"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30.723.052</w:t>
            </w:r>
          </w:p>
        </w:tc>
        <w:tc>
          <w:tcPr>
            <w:tcW w:w="354" w:type="pct"/>
            <w:tcMar>
              <w:left w:w="57" w:type="dxa"/>
              <w:right w:w="57" w:type="dxa"/>
            </w:tcMar>
            <w:vAlign w:val="center"/>
          </w:tcPr>
          <w:p w14:paraId="45E67604" w14:textId="20F50362"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4" w:type="pct"/>
            <w:tcMar>
              <w:left w:w="57" w:type="dxa"/>
              <w:right w:w="57" w:type="dxa"/>
            </w:tcMar>
            <w:vAlign w:val="center"/>
          </w:tcPr>
          <w:p w14:paraId="354A5CD5" w14:textId="09CBCF15"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479.089</w:t>
            </w:r>
          </w:p>
        </w:tc>
        <w:tc>
          <w:tcPr>
            <w:tcW w:w="436" w:type="pct"/>
            <w:vAlign w:val="center"/>
          </w:tcPr>
          <w:p w14:paraId="00D82802" w14:textId="6362BF2B"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3.015.303</w:t>
            </w:r>
          </w:p>
        </w:tc>
        <w:tc>
          <w:tcPr>
            <w:tcW w:w="517" w:type="pct"/>
            <w:vAlign w:val="center"/>
          </w:tcPr>
          <w:p w14:paraId="7F8372EB" w14:textId="42EF86F2"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44.008.927</w:t>
            </w:r>
          </w:p>
        </w:tc>
        <w:tc>
          <w:tcPr>
            <w:tcW w:w="490" w:type="pct"/>
            <w:tcMar>
              <w:left w:w="57" w:type="dxa"/>
              <w:right w:w="57" w:type="dxa"/>
            </w:tcMar>
            <w:vAlign w:val="center"/>
          </w:tcPr>
          <w:p w14:paraId="70DCA94A" w14:textId="26EE1E86"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1.010.862</w:t>
            </w:r>
          </w:p>
        </w:tc>
        <w:tc>
          <w:tcPr>
            <w:tcW w:w="577" w:type="pct"/>
            <w:tcMar>
              <w:left w:w="57" w:type="dxa"/>
              <w:right w:w="57" w:type="dxa"/>
            </w:tcMar>
            <w:vAlign w:val="center"/>
          </w:tcPr>
          <w:p w14:paraId="5C57744B" w14:textId="17AC4DD2"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15.771</w:t>
            </w:r>
          </w:p>
        </w:tc>
      </w:tr>
      <w:tr w:rsidR="009A1A17" w:rsidRPr="00FB38E1" w14:paraId="5710548A" w14:textId="77777777" w:rsidTr="00836EF2">
        <w:tc>
          <w:tcPr>
            <w:tcW w:w="1069" w:type="pct"/>
            <w:tcMar>
              <w:left w:w="57" w:type="dxa"/>
              <w:right w:w="57" w:type="dxa"/>
            </w:tcMar>
          </w:tcPr>
          <w:p w14:paraId="22F31364" w14:textId="77777777" w:rsidR="009A1A17" w:rsidRPr="00FB38E1" w:rsidRDefault="009A1A17" w:rsidP="009A1A17">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Hizmetler</w:t>
            </w:r>
          </w:p>
        </w:tc>
        <w:tc>
          <w:tcPr>
            <w:tcW w:w="519" w:type="pct"/>
            <w:tcMar>
              <w:left w:w="57" w:type="dxa"/>
              <w:right w:w="57" w:type="dxa"/>
            </w:tcMar>
            <w:vAlign w:val="center"/>
          </w:tcPr>
          <w:p w14:paraId="623BACD5" w14:textId="47997ACA"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5.569.789</w:t>
            </w:r>
          </w:p>
        </w:tc>
        <w:tc>
          <w:tcPr>
            <w:tcW w:w="574" w:type="pct"/>
            <w:tcMar>
              <w:left w:w="57" w:type="dxa"/>
              <w:right w:w="57" w:type="dxa"/>
            </w:tcMar>
            <w:vAlign w:val="center"/>
          </w:tcPr>
          <w:p w14:paraId="2662487D" w14:textId="6AAD833E"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171.800.367</w:t>
            </w:r>
          </w:p>
        </w:tc>
        <w:tc>
          <w:tcPr>
            <w:tcW w:w="354" w:type="pct"/>
            <w:tcMar>
              <w:left w:w="57" w:type="dxa"/>
              <w:right w:w="57" w:type="dxa"/>
            </w:tcMar>
            <w:vAlign w:val="center"/>
          </w:tcPr>
          <w:p w14:paraId="2383A679" w14:textId="57285129"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4" w:type="pct"/>
            <w:tcMar>
              <w:left w:w="57" w:type="dxa"/>
              <w:right w:w="57" w:type="dxa"/>
            </w:tcMar>
            <w:vAlign w:val="center"/>
          </w:tcPr>
          <w:p w14:paraId="0C96393E" w14:textId="642C5D7C"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3.530.198</w:t>
            </w:r>
          </w:p>
        </w:tc>
        <w:tc>
          <w:tcPr>
            <w:tcW w:w="436" w:type="pct"/>
            <w:vAlign w:val="center"/>
          </w:tcPr>
          <w:p w14:paraId="7A1EA55C" w14:textId="6CD2F575"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855.463</w:t>
            </w:r>
          </w:p>
        </w:tc>
        <w:tc>
          <w:tcPr>
            <w:tcW w:w="517" w:type="pct"/>
            <w:vAlign w:val="center"/>
          </w:tcPr>
          <w:p w14:paraId="04BAB037" w14:textId="78F2B67F"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115.781.451</w:t>
            </w:r>
          </w:p>
        </w:tc>
        <w:tc>
          <w:tcPr>
            <w:tcW w:w="490" w:type="pct"/>
            <w:tcMar>
              <w:left w:w="57" w:type="dxa"/>
              <w:right w:w="57" w:type="dxa"/>
            </w:tcMar>
            <w:vAlign w:val="center"/>
          </w:tcPr>
          <w:p w14:paraId="0906CFC7" w14:textId="28D89DF9"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3.685.943</w:t>
            </w:r>
          </w:p>
        </w:tc>
        <w:tc>
          <w:tcPr>
            <w:tcW w:w="577" w:type="pct"/>
            <w:tcMar>
              <w:left w:w="57" w:type="dxa"/>
              <w:right w:w="57" w:type="dxa"/>
            </w:tcMar>
            <w:vAlign w:val="center"/>
          </w:tcPr>
          <w:p w14:paraId="655DB5B2" w14:textId="0DE8EF09"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120.443</w:t>
            </w:r>
          </w:p>
        </w:tc>
      </w:tr>
      <w:tr w:rsidR="009A1A17" w:rsidRPr="00FB38E1" w14:paraId="20CCA016" w14:textId="77777777" w:rsidTr="00836EF2">
        <w:tc>
          <w:tcPr>
            <w:tcW w:w="1069" w:type="pct"/>
            <w:tcMar>
              <w:left w:w="113" w:type="dxa"/>
              <w:right w:w="57" w:type="dxa"/>
            </w:tcMar>
          </w:tcPr>
          <w:p w14:paraId="28881B09"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Toptan ve Perakende Ticaret</w:t>
            </w:r>
          </w:p>
        </w:tc>
        <w:tc>
          <w:tcPr>
            <w:tcW w:w="519" w:type="pct"/>
            <w:tcMar>
              <w:left w:w="57" w:type="dxa"/>
              <w:right w:w="57" w:type="dxa"/>
            </w:tcMar>
            <w:vAlign w:val="center"/>
          </w:tcPr>
          <w:p w14:paraId="0881E723" w14:textId="3DA12EA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2.493.484</w:t>
            </w:r>
          </w:p>
        </w:tc>
        <w:tc>
          <w:tcPr>
            <w:tcW w:w="574" w:type="pct"/>
            <w:tcMar>
              <w:left w:w="57" w:type="dxa"/>
              <w:right w:w="57" w:type="dxa"/>
            </w:tcMar>
            <w:vAlign w:val="center"/>
          </w:tcPr>
          <w:p w14:paraId="7A8CEC66" w14:textId="79505CE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54.309.586</w:t>
            </w:r>
          </w:p>
        </w:tc>
        <w:tc>
          <w:tcPr>
            <w:tcW w:w="354" w:type="pct"/>
            <w:tcMar>
              <w:left w:w="57" w:type="dxa"/>
              <w:right w:w="57" w:type="dxa"/>
            </w:tcMar>
            <w:vAlign w:val="center"/>
          </w:tcPr>
          <w:p w14:paraId="0B55F839" w14:textId="67EFC4B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7C205D39" w14:textId="6CF169F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00A54E98" w14:textId="5F93CC8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195.474</w:t>
            </w:r>
          </w:p>
        </w:tc>
        <w:tc>
          <w:tcPr>
            <w:tcW w:w="517" w:type="pct"/>
            <w:vAlign w:val="center"/>
          </w:tcPr>
          <w:p w14:paraId="60C4CC7F" w14:textId="605E9AD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89.042.855</w:t>
            </w:r>
          </w:p>
        </w:tc>
        <w:tc>
          <w:tcPr>
            <w:tcW w:w="490" w:type="pct"/>
            <w:tcMar>
              <w:left w:w="57" w:type="dxa"/>
              <w:right w:w="57" w:type="dxa"/>
            </w:tcMar>
            <w:vAlign w:val="center"/>
          </w:tcPr>
          <w:p w14:paraId="78E61593" w14:textId="7276840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1.708.535</w:t>
            </w:r>
          </w:p>
        </w:tc>
        <w:tc>
          <w:tcPr>
            <w:tcW w:w="577" w:type="pct"/>
            <w:tcMar>
              <w:left w:w="57" w:type="dxa"/>
              <w:right w:w="57" w:type="dxa"/>
            </w:tcMar>
            <w:vAlign w:val="center"/>
          </w:tcPr>
          <w:p w14:paraId="2DD6B438" w14:textId="4D59E2D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106.776</w:t>
            </w:r>
          </w:p>
        </w:tc>
      </w:tr>
      <w:tr w:rsidR="009A1A17" w:rsidRPr="00FB38E1" w14:paraId="29CEB0F2" w14:textId="77777777" w:rsidTr="00836EF2">
        <w:tc>
          <w:tcPr>
            <w:tcW w:w="1069" w:type="pct"/>
            <w:tcMar>
              <w:left w:w="113" w:type="dxa"/>
              <w:right w:w="57" w:type="dxa"/>
            </w:tcMar>
          </w:tcPr>
          <w:p w14:paraId="65263A5E"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Otel ve Lokanta Hizmetleri</w:t>
            </w:r>
          </w:p>
        </w:tc>
        <w:tc>
          <w:tcPr>
            <w:tcW w:w="519" w:type="pct"/>
            <w:tcMar>
              <w:left w:w="57" w:type="dxa"/>
              <w:right w:w="57" w:type="dxa"/>
            </w:tcMar>
            <w:vAlign w:val="center"/>
          </w:tcPr>
          <w:p w14:paraId="069A01D7" w14:textId="6908726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1.323.491</w:t>
            </w:r>
          </w:p>
        </w:tc>
        <w:tc>
          <w:tcPr>
            <w:tcW w:w="574" w:type="pct"/>
            <w:tcMar>
              <w:left w:w="57" w:type="dxa"/>
              <w:right w:w="57" w:type="dxa"/>
            </w:tcMar>
            <w:vAlign w:val="center"/>
          </w:tcPr>
          <w:p w14:paraId="5D4558D7" w14:textId="0E1AF13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44.716.235</w:t>
            </w:r>
          </w:p>
        </w:tc>
        <w:tc>
          <w:tcPr>
            <w:tcW w:w="354" w:type="pct"/>
            <w:tcMar>
              <w:left w:w="57" w:type="dxa"/>
              <w:right w:w="57" w:type="dxa"/>
            </w:tcMar>
            <w:vAlign w:val="center"/>
          </w:tcPr>
          <w:p w14:paraId="486E11BD" w14:textId="6A56BA0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41AB4D23" w14:textId="51DD26E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3BB0A82" w14:textId="5EBCB6A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547.519</w:t>
            </w:r>
          </w:p>
        </w:tc>
        <w:tc>
          <w:tcPr>
            <w:tcW w:w="517" w:type="pct"/>
            <w:vAlign w:val="center"/>
          </w:tcPr>
          <w:p w14:paraId="198F126B" w14:textId="3912DB2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5.722.650</w:t>
            </w:r>
          </w:p>
        </w:tc>
        <w:tc>
          <w:tcPr>
            <w:tcW w:w="490" w:type="pct"/>
            <w:tcMar>
              <w:left w:w="57" w:type="dxa"/>
              <w:right w:w="57" w:type="dxa"/>
            </w:tcMar>
            <w:vAlign w:val="center"/>
          </w:tcPr>
          <w:p w14:paraId="20C249A5" w14:textId="3CA8937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734.727</w:t>
            </w:r>
          </w:p>
        </w:tc>
        <w:tc>
          <w:tcPr>
            <w:tcW w:w="577" w:type="pct"/>
            <w:tcMar>
              <w:left w:w="57" w:type="dxa"/>
              <w:right w:w="57" w:type="dxa"/>
            </w:tcMar>
            <w:vAlign w:val="center"/>
          </w:tcPr>
          <w:p w14:paraId="58901050" w14:textId="4074175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1.352</w:t>
            </w:r>
          </w:p>
        </w:tc>
      </w:tr>
      <w:tr w:rsidR="009A1A17" w:rsidRPr="00FB38E1" w14:paraId="3000087C" w14:textId="77777777" w:rsidTr="00836EF2">
        <w:tc>
          <w:tcPr>
            <w:tcW w:w="1069" w:type="pct"/>
            <w:tcMar>
              <w:left w:w="113" w:type="dxa"/>
              <w:right w:w="57" w:type="dxa"/>
            </w:tcMar>
          </w:tcPr>
          <w:p w14:paraId="7966EC42"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Ulaşım ve Haberleşme</w:t>
            </w:r>
          </w:p>
        </w:tc>
        <w:tc>
          <w:tcPr>
            <w:tcW w:w="519" w:type="pct"/>
            <w:tcMar>
              <w:left w:w="57" w:type="dxa"/>
              <w:right w:w="57" w:type="dxa"/>
            </w:tcMar>
            <w:vAlign w:val="center"/>
          </w:tcPr>
          <w:p w14:paraId="7C829097" w14:textId="67A2F69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1.206.268</w:t>
            </w:r>
          </w:p>
        </w:tc>
        <w:tc>
          <w:tcPr>
            <w:tcW w:w="574" w:type="pct"/>
            <w:tcMar>
              <w:left w:w="57" w:type="dxa"/>
              <w:right w:w="57" w:type="dxa"/>
            </w:tcMar>
            <w:vAlign w:val="center"/>
          </w:tcPr>
          <w:p w14:paraId="37F1F15C" w14:textId="184A312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34.020.481</w:t>
            </w:r>
          </w:p>
        </w:tc>
        <w:tc>
          <w:tcPr>
            <w:tcW w:w="354" w:type="pct"/>
            <w:tcMar>
              <w:left w:w="57" w:type="dxa"/>
              <w:right w:w="57" w:type="dxa"/>
            </w:tcMar>
            <w:vAlign w:val="center"/>
          </w:tcPr>
          <w:p w14:paraId="57C51DAD" w14:textId="715FCB5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40106C16" w14:textId="1770941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510F5398" w14:textId="4C7750C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104.000</w:t>
            </w:r>
          </w:p>
        </w:tc>
        <w:tc>
          <w:tcPr>
            <w:tcW w:w="517" w:type="pct"/>
            <w:vAlign w:val="center"/>
          </w:tcPr>
          <w:p w14:paraId="5406D29F" w14:textId="0624528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11.007.182</w:t>
            </w:r>
          </w:p>
        </w:tc>
        <w:tc>
          <w:tcPr>
            <w:tcW w:w="490" w:type="pct"/>
            <w:tcMar>
              <w:left w:w="57" w:type="dxa"/>
              <w:right w:w="57" w:type="dxa"/>
            </w:tcMar>
            <w:vAlign w:val="center"/>
          </w:tcPr>
          <w:p w14:paraId="24CB06E3" w14:textId="434A3A2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816.296</w:t>
            </w:r>
          </w:p>
        </w:tc>
        <w:tc>
          <w:tcPr>
            <w:tcW w:w="577" w:type="pct"/>
            <w:tcMar>
              <w:left w:w="57" w:type="dxa"/>
              <w:right w:w="57" w:type="dxa"/>
            </w:tcMar>
            <w:vAlign w:val="center"/>
          </w:tcPr>
          <w:p w14:paraId="1BD4063D" w14:textId="453A1E5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8.937</w:t>
            </w:r>
          </w:p>
        </w:tc>
      </w:tr>
      <w:tr w:rsidR="009A1A17" w:rsidRPr="00FB38E1" w14:paraId="1DF35DDC" w14:textId="77777777" w:rsidTr="00836EF2">
        <w:tc>
          <w:tcPr>
            <w:tcW w:w="1069" w:type="pct"/>
            <w:tcMar>
              <w:left w:w="113" w:type="dxa"/>
              <w:right w:w="57" w:type="dxa"/>
            </w:tcMar>
          </w:tcPr>
          <w:p w14:paraId="0C524AFA"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Mali Kuruluşlar</w:t>
            </w:r>
          </w:p>
        </w:tc>
        <w:tc>
          <w:tcPr>
            <w:tcW w:w="519" w:type="pct"/>
            <w:tcMar>
              <w:left w:w="57" w:type="dxa"/>
              <w:right w:w="57" w:type="dxa"/>
            </w:tcMar>
            <w:vAlign w:val="center"/>
          </w:tcPr>
          <w:p w14:paraId="4C1308B3" w14:textId="46620B5E"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19.812</w:t>
            </w:r>
          </w:p>
        </w:tc>
        <w:tc>
          <w:tcPr>
            <w:tcW w:w="574" w:type="pct"/>
            <w:tcMar>
              <w:left w:w="57" w:type="dxa"/>
              <w:right w:w="57" w:type="dxa"/>
            </w:tcMar>
            <w:vAlign w:val="center"/>
          </w:tcPr>
          <w:p w14:paraId="1141977E" w14:textId="4E192B6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29.120.654</w:t>
            </w:r>
          </w:p>
        </w:tc>
        <w:tc>
          <w:tcPr>
            <w:tcW w:w="354" w:type="pct"/>
            <w:tcMar>
              <w:left w:w="57" w:type="dxa"/>
              <w:right w:w="57" w:type="dxa"/>
            </w:tcMar>
            <w:vAlign w:val="center"/>
          </w:tcPr>
          <w:p w14:paraId="1C5D75CC" w14:textId="797F984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487CCF5A" w14:textId="6B2F8CC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3.530.198</w:t>
            </w:r>
          </w:p>
        </w:tc>
        <w:tc>
          <w:tcPr>
            <w:tcW w:w="436" w:type="pct"/>
            <w:vAlign w:val="center"/>
          </w:tcPr>
          <w:p w14:paraId="772B8B08" w14:textId="37DCB18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156</w:t>
            </w:r>
          </w:p>
        </w:tc>
        <w:tc>
          <w:tcPr>
            <w:tcW w:w="517" w:type="pct"/>
            <w:vAlign w:val="center"/>
          </w:tcPr>
          <w:p w14:paraId="5C819BDA" w14:textId="1E6E402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6.653.858</w:t>
            </w:r>
          </w:p>
        </w:tc>
        <w:tc>
          <w:tcPr>
            <w:tcW w:w="490" w:type="pct"/>
            <w:tcMar>
              <w:left w:w="57" w:type="dxa"/>
              <w:right w:w="57" w:type="dxa"/>
            </w:tcMar>
            <w:vAlign w:val="center"/>
          </w:tcPr>
          <w:p w14:paraId="7344F467" w14:textId="6B38030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18.518</w:t>
            </w:r>
          </w:p>
        </w:tc>
        <w:tc>
          <w:tcPr>
            <w:tcW w:w="577" w:type="pct"/>
            <w:tcMar>
              <w:left w:w="57" w:type="dxa"/>
              <w:right w:w="57" w:type="dxa"/>
            </w:tcMar>
            <w:vAlign w:val="center"/>
          </w:tcPr>
          <w:p w14:paraId="3760F713" w14:textId="55C84EC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438</w:t>
            </w:r>
          </w:p>
        </w:tc>
      </w:tr>
      <w:tr w:rsidR="009A1A17" w:rsidRPr="00FB38E1" w14:paraId="4832A134" w14:textId="77777777" w:rsidTr="00836EF2">
        <w:tc>
          <w:tcPr>
            <w:tcW w:w="1069" w:type="pct"/>
            <w:tcMar>
              <w:left w:w="113" w:type="dxa"/>
              <w:right w:w="57" w:type="dxa"/>
            </w:tcMar>
          </w:tcPr>
          <w:p w14:paraId="1C647F1D"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Gayrimenkul ve Kira Hizm.</w:t>
            </w:r>
          </w:p>
        </w:tc>
        <w:tc>
          <w:tcPr>
            <w:tcW w:w="519" w:type="pct"/>
            <w:tcMar>
              <w:left w:w="57" w:type="dxa"/>
              <w:right w:w="57" w:type="dxa"/>
            </w:tcMar>
            <w:vAlign w:val="center"/>
          </w:tcPr>
          <w:p w14:paraId="566D4C3B" w14:textId="343C288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326.687</w:t>
            </w:r>
          </w:p>
        </w:tc>
        <w:tc>
          <w:tcPr>
            <w:tcW w:w="574" w:type="pct"/>
            <w:tcMar>
              <w:left w:w="57" w:type="dxa"/>
              <w:right w:w="57" w:type="dxa"/>
            </w:tcMar>
            <w:vAlign w:val="center"/>
          </w:tcPr>
          <w:p w14:paraId="3A126553" w14:textId="09CD7438"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1.190.643</w:t>
            </w:r>
          </w:p>
        </w:tc>
        <w:tc>
          <w:tcPr>
            <w:tcW w:w="354" w:type="pct"/>
            <w:tcMar>
              <w:left w:w="57" w:type="dxa"/>
              <w:right w:w="57" w:type="dxa"/>
            </w:tcMar>
            <w:vAlign w:val="center"/>
          </w:tcPr>
          <w:p w14:paraId="6EC5FE96" w14:textId="0229696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3CC4ADBD" w14:textId="2CDDAD45"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049FF34" w14:textId="570BFB4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1.513</w:t>
            </w:r>
          </w:p>
        </w:tc>
        <w:tc>
          <w:tcPr>
            <w:tcW w:w="517" w:type="pct"/>
            <w:vAlign w:val="center"/>
          </w:tcPr>
          <w:p w14:paraId="11D05C0A" w14:textId="07B8E401"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695.311</w:t>
            </w:r>
          </w:p>
        </w:tc>
        <w:tc>
          <w:tcPr>
            <w:tcW w:w="490" w:type="pct"/>
            <w:tcMar>
              <w:left w:w="57" w:type="dxa"/>
              <w:right w:w="57" w:type="dxa"/>
            </w:tcMar>
            <w:vAlign w:val="center"/>
          </w:tcPr>
          <w:p w14:paraId="01679F90" w14:textId="054A85BB"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262.053</w:t>
            </w:r>
          </w:p>
        </w:tc>
        <w:tc>
          <w:tcPr>
            <w:tcW w:w="577" w:type="pct"/>
            <w:tcMar>
              <w:left w:w="57" w:type="dxa"/>
              <w:right w:w="57" w:type="dxa"/>
            </w:tcMar>
            <w:vAlign w:val="center"/>
          </w:tcPr>
          <w:p w14:paraId="7F610610" w14:textId="695C437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1.491</w:t>
            </w:r>
          </w:p>
        </w:tc>
      </w:tr>
      <w:tr w:rsidR="009A1A17" w:rsidRPr="00FB38E1" w14:paraId="7470510F" w14:textId="77777777" w:rsidTr="00836EF2">
        <w:tc>
          <w:tcPr>
            <w:tcW w:w="1069" w:type="pct"/>
            <w:tcMar>
              <w:left w:w="113" w:type="dxa"/>
              <w:right w:w="57" w:type="dxa"/>
            </w:tcMar>
          </w:tcPr>
          <w:p w14:paraId="595F23FA"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Serbest Meslek Hizmetleri</w:t>
            </w:r>
          </w:p>
        </w:tc>
        <w:tc>
          <w:tcPr>
            <w:tcW w:w="519" w:type="pct"/>
            <w:tcMar>
              <w:left w:w="57" w:type="dxa"/>
              <w:right w:w="57" w:type="dxa"/>
            </w:tcMar>
            <w:vAlign w:val="center"/>
          </w:tcPr>
          <w:p w14:paraId="31F410BA" w14:textId="6467D8D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150.563</w:t>
            </w:r>
          </w:p>
        </w:tc>
        <w:tc>
          <w:tcPr>
            <w:tcW w:w="574" w:type="pct"/>
            <w:tcMar>
              <w:left w:w="57" w:type="dxa"/>
              <w:right w:w="57" w:type="dxa"/>
            </w:tcMar>
            <w:vAlign w:val="center"/>
          </w:tcPr>
          <w:p w14:paraId="7B32806A" w14:textId="4535FA6F"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354" w:type="pct"/>
            <w:tcMar>
              <w:left w:w="57" w:type="dxa"/>
              <w:right w:w="57" w:type="dxa"/>
            </w:tcMar>
            <w:vAlign w:val="center"/>
          </w:tcPr>
          <w:p w14:paraId="5B756256" w14:textId="0ACB827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414A5296" w14:textId="2240FA1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5B4F1A0F" w14:textId="3CD8CD1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04A79BED" w14:textId="48357E1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90" w:type="pct"/>
            <w:tcMar>
              <w:left w:w="57" w:type="dxa"/>
              <w:right w:w="57" w:type="dxa"/>
            </w:tcMar>
            <w:vAlign w:val="center"/>
          </w:tcPr>
          <w:p w14:paraId="2D158AD9" w14:textId="7CF4962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103.859</w:t>
            </w:r>
          </w:p>
        </w:tc>
        <w:tc>
          <w:tcPr>
            <w:tcW w:w="577" w:type="pct"/>
            <w:tcMar>
              <w:left w:w="57" w:type="dxa"/>
              <w:right w:w="57" w:type="dxa"/>
            </w:tcMar>
            <w:vAlign w:val="center"/>
          </w:tcPr>
          <w:p w14:paraId="2E7C5FB4" w14:textId="35917F6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9A1A17" w:rsidRPr="00FB38E1" w14:paraId="11ED14EF" w14:textId="77777777" w:rsidTr="00836EF2">
        <w:tc>
          <w:tcPr>
            <w:tcW w:w="1069" w:type="pct"/>
            <w:tcMar>
              <w:left w:w="113" w:type="dxa"/>
              <w:right w:w="57" w:type="dxa"/>
            </w:tcMar>
          </w:tcPr>
          <w:p w14:paraId="13E29008"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Eğitim Hizmetleri</w:t>
            </w:r>
          </w:p>
        </w:tc>
        <w:tc>
          <w:tcPr>
            <w:tcW w:w="519" w:type="pct"/>
            <w:tcMar>
              <w:left w:w="57" w:type="dxa"/>
              <w:right w:w="57" w:type="dxa"/>
            </w:tcMar>
            <w:vAlign w:val="center"/>
          </w:tcPr>
          <w:p w14:paraId="75BC45D0" w14:textId="01A66769"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32.691</w:t>
            </w:r>
          </w:p>
        </w:tc>
        <w:tc>
          <w:tcPr>
            <w:tcW w:w="574" w:type="pct"/>
            <w:tcMar>
              <w:left w:w="57" w:type="dxa"/>
              <w:right w:w="57" w:type="dxa"/>
            </w:tcMar>
            <w:vAlign w:val="center"/>
          </w:tcPr>
          <w:p w14:paraId="52CF44A2" w14:textId="2C3770D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2.194.830</w:t>
            </w:r>
          </w:p>
        </w:tc>
        <w:tc>
          <w:tcPr>
            <w:tcW w:w="354" w:type="pct"/>
            <w:tcMar>
              <w:left w:w="57" w:type="dxa"/>
              <w:right w:w="57" w:type="dxa"/>
            </w:tcMar>
            <w:vAlign w:val="center"/>
          </w:tcPr>
          <w:p w14:paraId="7488CF4B" w14:textId="5F337F4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3F856549" w14:textId="5AA5617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7B8B70DE" w14:textId="19039D37"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1.615</w:t>
            </w:r>
          </w:p>
        </w:tc>
        <w:tc>
          <w:tcPr>
            <w:tcW w:w="517" w:type="pct"/>
            <w:vAlign w:val="center"/>
          </w:tcPr>
          <w:p w14:paraId="2F75DC33" w14:textId="018991C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762.220</w:t>
            </w:r>
          </w:p>
        </w:tc>
        <w:tc>
          <w:tcPr>
            <w:tcW w:w="490" w:type="pct"/>
            <w:tcMar>
              <w:left w:w="57" w:type="dxa"/>
              <w:right w:w="57" w:type="dxa"/>
            </w:tcMar>
            <w:vAlign w:val="center"/>
          </w:tcPr>
          <w:p w14:paraId="578D6B90" w14:textId="5A967140"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30.045</w:t>
            </w:r>
          </w:p>
        </w:tc>
        <w:tc>
          <w:tcPr>
            <w:tcW w:w="577" w:type="pct"/>
            <w:tcMar>
              <w:left w:w="57" w:type="dxa"/>
              <w:right w:w="57" w:type="dxa"/>
            </w:tcMar>
            <w:vAlign w:val="center"/>
          </w:tcPr>
          <w:p w14:paraId="676467C0" w14:textId="48B84C6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1.288</w:t>
            </w:r>
          </w:p>
        </w:tc>
      </w:tr>
      <w:tr w:rsidR="009A1A17" w:rsidRPr="00FB38E1" w14:paraId="63470CE4" w14:textId="77777777" w:rsidTr="00836EF2">
        <w:tc>
          <w:tcPr>
            <w:tcW w:w="1069" w:type="pct"/>
            <w:tcMar>
              <w:left w:w="113" w:type="dxa"/>
              <w:right w:w="57" w:type="dxa"/>
            </w:tcMar>
          </w:tcPr>
          <w:p w14:paraId="4F48C2AE" w14:textId="77777777" w:rsidR="009A1A17" w:rsidRPr="00FB38E1" w:rsidRDefault="009A1A17" w:rsidP="009A1A17">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Sağlık ve Sosyal Hizmetler</w:t>
            </w:r>
          </w:p>
        </w:tc>
        <w:tc>
          <w:tcPr>
            <w:tcW w:w="519" w:type="pct"/>
            <w:tcMar>
              <w:left w:w="57" w:type="dxa"/>
              <w:right w:w="57" w:type="dxa"/>
            </w:tcMar>
            <w:vAlign w:val="center"/>
          </w:tcPr>
          <w:p w14:paraId="35616D58" w14:textId="1F4BEC64"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16.793</w:t>
            </w:r>
          </w:p>
        </w:tc>
        <w:tc>
          <w:tcPr>
            <w:tcW w:w="574" w:type="pct"/>
            <w:tcMar>
              <w:left w:w="57" w:type="dxa"/>
              <w:right w:w="57" w:type="dxa"/>
            </w:tcMar>
            <w:vAlign w:val="center"/>
          </w:tcPr>
          <w:p w14:paraId="75ACA487" w14:textId="43C7929D"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6.247.938</w:t>
            </w:r>
          </w:p>
        </w:tc>
        <w:tc>
          <w:tcPr>
            <w:tcW w:w="354" w:type="pct"/>
            <w:tcMar>
              <w:left w:w="57" w:type="dxa"/>
              <w:right w:w="57" w:type="dxa"/>
            </w:tcMar>
            <w:vAlign w:val="center"/>
          </w:tcPr>
          <w:p w14:paraId="7B30CDE5" w14:textId="57A2C1C2"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Mar>
              <w:left w:w="57" w:type="dxa"/>
              <w:right w:w="57" w:type="dxa"/>
            </w:tcMar>
            <w:vAlign w:val="center"/>
          </w:tcPr>
          <w:p w14:paraId="1A57B7F7" w14:textId="27B0C4F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32393641" w14:textId="43DD6126"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5.186</w:t>
            </w:r>
          </w:p>
        </w:tc>
        <w:tc>
          <w:tcPr>
            <w:tcW w:w="517" w:type="pct"/>
            <w:vAlign w:val="center"/>
          </w:tcPr>
          <w:p w14:paraId="57E325F1" w14:textId="4BEC1CDA"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1.897.375</w:t>
            </w:r>
          </w:p>
        </w:tc>
        <w:tc>
          <w:tcPr>
            <w:tcW w:w="490" w:type="pct"/>
            <w:tcMar>
              <w:left w:w="57" w:type="dxa"/>
              <w:right w:w="57" w:type="dxa"/>
            </w:tcMar>
            <w:vAlign w:val="center"/>
          </w:tcPr>
          <w:p w14:paraId="40336F95" w14:textId="0DDC3283"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11.910</w:t>
            </w:r>
          </w:p>
        </w:tc>
        <w:tc>
          <w:tcPr>
            <w:tcW w:w="577" w:type="pct"/>
            <w:tcMar>
              <w:left w:w="57" w:type="dxa"/>
              <w:right w:w="57" w:type="dxa"/>
            </w:tcMar>
            <w:vAlign w:val="center"/>
          </w:tcPr>
          <w:p w14:paraId="104C8997" w14:textId="05F6E14C" w:rsidR="009A1A17" w:rsidRPr="00FB38E1" w:rsidRDefault="009A1A17" w:rsidP="009A1A1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161</w:t>
            </w:r>
          </w:p>
        </w:tc>
      </w:tr>
      <w:tr w:rsidR="009A1A17" w:rsidRPr="00FB38E1" w14:paraId="7404A6AD" w14:textId="77777777" w:rsidTr="00836EF2">
        <w:tc>
          <w:tcPr>
            <w:tcW w:w="1069" w:type="pct"/>
            <w:tcBorders>
              <w:bottom w:val="single" w:sz="4" w:space="0" w:color="auto"/>
            </w:tcBorders>
            <w:tcMar>
              <w:left w:w="57" w:type="dxa"/>
              <w:right w:w="57" w:type="dxa"/>
            </w:tcMar>
          </w:tcPr>
          <w:p w14:paraId="37C67905" w14:textId="77777777" w:rsidR="009A1A17" w:rsidRPr="00FB38E1" w:rsidRDefault="009A1A17" w:rsidP="009A1A17">
            <w:pPr>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Diğer</w:t>
            </w:r>
          </w:p>
        </w:tc>
        <w:tc>
          <w:tcPr>
            <w:tcW w:w="519" w:type="pct"/>
            <w:tcBorders>
              <w:bottom w:val="single" w:sz="4" w:space="0" w:color="auto"/>
            </w:tcBorders>
            <w:tcMar>
              <w:left w:w="57" w:type="dxa"/>
              <w:right w:w="57" w:type="dxa"/>
            </w:tcMar>
            <w:vAlign w:val="center"/>
          </w:tcPr>
          <w:p w14:paraId="541D87C3" w14:textId="56E67068"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11.483.023</w:t>
            </w:r>
          </w:p>
        </w:tc>
        <w:tc>
          <w:tcPr>
            <w:tcW w:w="574" w:type="pct"/>
            <w:tcBorders>
              <w:bottom w:val="single" w:sz="4" w:space="0" w:color="auto"/>
            </w:tcBorders>
            <w:tcMar>
              <w:left w:w="57" w:type="dxa"/>
              <w:right w:w="57" w:type="dxa"/>
            </w:tcMar>
            <w:vAlign w:val="center"/>
          </w:tcPr>
          <w:p w14:paraId="0BEE209B" w14:textId="19E9D8EB"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285.676.458</w:t>
            </w:r>
          </w:p>
        </w:tc>
        <w:tc>
          <w:tcPr>
            <w:tcW w:w="354" w:type="pct"/>
            <w:tcBorders>
              <w:bottom w:val="single" w:sz="4" w:space="0" w:color="auto"/>
            </w:tcBorders>
            <w:tcMar>
              <w:left w:w="57" w:type="dxa"/>
              <w:right w:w="57" w:type="dxa"/>
            </w:tcMar>
            <w:vAlign w:val="center"/>
          </w:tcPr>
          <w:p w14:paraId="496588D7" w14:textId="3DF3AA0A"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4" w:type="pct"/>
            <w:tcBorders>
              <w:bottom w:val="single" w:sz="4" w:space="0" w:color="auto"/>
            </w:tcBorders>
            <w:tcMar>
              <w:left w:w="57" w:type="dxa"/>
              <w:right w:w="57" w:type="dxa"/>
            </w:tcMar>
            <w:vAlign w:val="center"/>
          </w:tcPr>
          <w:p w14:paraId="573F723A" w14:textId="6D2A5BF9"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170.775.269</w:t>
            </w:r>
          </w:p>
        </w:tc>
        <w:tc>
          <w:tcPr>
            <w:tcW w:w="436" w:type="pct"/>
            <w:tcBorders>
              <w:bottom w:val="single" w:sz="4" w:space="0" w:color="auto"/>
            </w:tcBorders>
            <w:vAlign w:val="center"/>
          </w:tcPr>
          <w:p w14:paraId="380DF7E8" w14:textId="54FCE54C"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358.450</w:t>
            </w:r>
          </w:p>
        </w:tc>
        <w:tc>
          <w:tcPr>
            <w:tcW w:w="517" w:type="pct"/>
            <w:tcBorders>
              <w:bottom w:val="single" w:sz="4" w:space="0" w:color="auto"/>
            </w:tcBorders>
            <w:vAlign w:val="center"/>
          </w:tcPr>
          <w:p w14:paraId="0AEC5B26" w14:textId="557E7040"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421.203.213</w:t>
            </w:r>
          </w:p>
        </w:tc>
        <w:tc>
          <w:tcPr>
            <w:tcW w:w="490" w:type="pct"/>
            <w:tcBorders>
              <w:bottom w:val="single" w:sz="4" w:space="0" w:color="auto"/>
            </w:tcBorders>
            <w:tcMar>
              <w:left w:w="57" w:type="dxa"/>
              <w:right w:w="57" w:type="dxa"/>
            </w:tcMar>
            <w:vAlign w:val="center"/>
          </w:tcPr>
          <w:p w14:paraId="28716872" w14:textId="538837C6"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7.086.133</w:t>
            </w:r>
          </w:p>
        </w:tc>
        <w:tc>
          <w:tcPr>
            <w:tcW w:w="577" w:type="pct"/>
            <w:tcBorders>
              <w:bottom w:val="single" w:sz="4" w:space="0" w:color="auto"/>
            </w:tcBorders>
            <w:tcMar>
              <w:left w:w="57" w:type="dxa"/>
              <w:right w:w="57" w:type="dxa"/>
            </w:tcMar>
            <w:vAlign w:val="center"/>
          </w:tcPr>
          <w:p w14:paraId="21C09444" w14:textId="7750A999"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5.845.704</w:t>
            </w:r>
          </w:p>
        </w:tc>
      </w:tr>
      <w:tr w:rsidR="009A1A17" w:rsidRPr="00FB38E1" w14:paraId="11339BAD" w14:textId="77777777" w:rsidTr="00836EF2">
        <w:tc>
          <w:tcPr>
            <w:tcW w:w="1069" w:type="pct"/>
            <w:tcBorders>
              <w:top w:val="single" w:sz="4" w:space="0" w:color="auto"/>
              <w:bottom w:val="thickThinSmallGap" w:sz="24" w:space="0" w:color="auto"/>
            </w:tcBorders>
            <w:tcMar>
              <w:left w:w="57" w:type="dxa"/>
              <w:right w:w="57" w:type="dxa"/>
            </w:tcMar>
          </w:tcPr>
          <w:p w14:paraId="717B40F7" w14:textId="77777777" w:rsidR="009A1A17" w:rsidRPr="00FB38E1" w:rsidRDefault="009A1A17" w:rsidP="009A1A17">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519" w:type="pct"/>
            <w:tcBorders>
              <w:top w:val="single" w:sz="4" w:space="0" w:color="auto"/>
              <w:bottom w:val="thickThinSmallGap" w:sz="24" w:space="0" w:color="auto"/>
            </w:tcBorders>
            <w:tcMar>
              <w:left w:w="57" w:type="dxa"/>
              <w:right w:w="57" w:type="dxa"/>
            </w:tcMar>
            <w:vAlign w:val="center"/>
          </w:tcPr>
          <w:p w14:paraId="20784954" w14:textId="1FE42ABB"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27.744.142</w:t>
            </w:r>
          </w:p>
        </w:tc>
        <w:tc>
          <w:tcPr>
            <w:tcW w:w="574" w:type="pct"/>
            <w:tcBorders>
              <w:top w:val="single" w:sz="4" w:space="0" w:color="auto"/>
              <w:bottom w:val="thickThinSmallGap" w:sz="24" w:space="0" w:color="auto"/>
            </w:tcBorders>
            <w:tcMar>
              <w:left w:w="57" w:type="dxa"/>
              <w:right w:w="57" w:type="dxa"/>
            </w:tcMar>
            <w:vAlign w:val="center"/>
          </w:tcPr>
          <w:p w14:paraId="41A1F042" w14:textId="5C6A046E"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708.474.139</w:t>
            </w:r>
          </w:p>
        </w:tc>
        <w:tc>
          <w:tcPr>
            <w:tcW w:w="354" w:type="pct"/>
            <w:tcBorders>
              <w:top w:val="single" w:sz="4" w:space="0" w:color="auto"/>
              <w:bottom w:val="thickThinSmallGap" w:sz="24" w:space="0" w:color="auto"/>
            </w:tcBorders>
            <w:tcMar>
              <w:left w:w="57" w:type="dxa"/>
              <w:right w:w="57" w:type="dxa"/>
            </w:tcMar>
            <w:vAlign w:val="center"/>
          </w:tcPr>
          <w:p w14:paraId="7C8AFE85" w14:textId="2082C50F"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4" w:type="pct"/>
            <w:tcBorders>
              <w:top w:val="single" w:sz="4" w:space="0" w:color="auto"/>
              <w:bottom w:val="thickThinSmallGap" w:sz="24" w:space="0" w:color="auto"/>
            </w:tcBorders>
            <w:tcMar>
              <w:left w:w="57" w:type="dxa"/>
              <w:right w:w="57" w:type="dxa"/>
            </w:tcMar>
            <w:vAlign w:val="center"/>
          </w:tcPr>
          <w:p w14:paraId="7B533FC1" w14:textId="3828C46C"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174.784.556</w:t>
            </w:r>
          </w:p>
        </w:tc>
        <w:tc>
          <w:tcPr>
            <w:tcW w:w="436" w:type="pct"/>
            <w:tcBorders>
              <w:top w:val="single" w:sz="4" w:space="0" w:color="auto"/>
              <w:bottom w:val="thickThinSmallGap" w:sz="24" w:space="0" w:color="auto"/>
            </w:tcBorders>
            <w:vAlign w:val="center"/>
          </w:tcPr>
          <w:p w14:paraId="43C1D0AA" w14:textId="2D9FB67E"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4.406.529</w:t>
            </w:r>
          </w:p>
        </w:tc>
        <w:tc>
          <w:tcPr>
            <w:tcW w:w="517" w:type="pct"/>
            <w:tcBorders>
              <w:top w:val="single" w:sz="4" w:space="0" w:color="auto"/>
              <w:bottom w:val="thickThinSmallGap" w:sz="24" w:space="0" w:color="auto"/>
            </w:tcBorders>
            <w:vAlign w:val="center"/>
          </w:tcPr>
          <w:p w14:paraId="7D6EE5D7" w14:textId="3125AE3A"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696.752.382</w:t>
            </w:r>
          </w:p>
        </w:tc>
        <w:tc>
          <w:tcPr>
            <w:tcW w:w="490" w:type="pct"/>
            <w:tcBorders>
              <w:top w:val="single" w:sz="4" w:space="0" w:color="auto"/>
              <w:bottom w:val="thickThinSmallGap" w:sz="24" w:space="0" w:color="auto"/>
            </w:tcBorders>
            <w:tcMar>
              <w:left w:w="57" w:type="dxa"/>
              <w:right w:w="57" w:type="dxa"/>
            </w:tcMar>
            <w:vAlign w:val="center"/>
          </w:tcPr>
          <w:p w14:paraId="22747260" w14:textId="5B31E2DB"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16.767.215</w:t>
            </w:r>
          </w:p>
        </w:tc>
        <w:tc>
          <w:tcPr>
            <w:tcW w:w="577" w:type="pct"/>
            <w:tcBorders>
              <w:top w:val="single" w:sz="4" w:space="0" w:color="auto"/>
              <w:bottom w:val="thickThinSmallGap" w:sz="24" w:space="0" w:color="auto"/>
            </w:tcBorders>
            <w:tcMar>
              <w:left w:w="57" w:type="dxa"/>
              <w:right w:w="57" w:type="dxa"/>
            </w:tcMar>
            <w:vAlign w:val="center"/>
          </w:tcPr>
          <w:p w14:paraId="68549DB8" w14:textId="4E19ABBA" w:rsidR="009A1A17" w:rsidRPr="00FB38E1" w:rsidRDefault="009A1A17" w:rsidP="009A1A1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6.036.682</w:t>
            </w:r>
          </w:p>
        </w:tc>
      </w:tr>
    </w:tbl>
    <w:p w14:paraId="03E7EAAF" w14:textId="77777777" w:rsidR="00E036D3" w:rsidRPr="00FB38E1" w:rsidRDefault="00E036D3" w:rsidP="00E036D3">
      <w:pPr>
        <w:pStyle w:val="ListParagraph"/>
        <w:spacing w:after="120" w:line="240" w:lineRule="exact"/>
        <w:ind w:left="0"/>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Takipteki krediler portföyünden yapılan satışlar ve aktiften silininen tutarları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59"/>
        <w:gridCol w:w="1105"/>
        <w:gridCol w:w="1107"/>
        <w:gridCol w:w="683"/>
        <w:gridCol w:w="894"/>
        <w:gridCol w:w="840"/>
        <w:gridCol w:w="996"/>
        <w:gridCol w:w="942"/>
        <w:gridCol w:w="1113"/>
      </w:tblGrid>
      <w:tr w:rsidR="00E036D3" w:rsidRPr="00FB38E1" w14:paraId="68B33648" w14:textId="77777777" w:rsidTr="00E036D3">
        <w:tc>
          <w:tcPr>
            <w:tcW w:w="1021" w:type="pct"/>
            <w:tcBorders>
              <w:top w:val="thinThickSmallGap" w:sz="24" w:space="0" w:color="auto"/>
              <w:bottom w:val="nil"/>
            </w:tcBorders>
            <w:tcMar>
              <w:left w:w="57" w:type="dxa"/>
              <w:right w:w="57" w:type="dxa"/>
            </w:tcMar>
          </w:tcPr>
          <w:p w14:paraId="7322DCD7" w14:textId="77777777" w:rsidR="00E036D3" w:rsidRPr="00FB38E1" w:rsidRDefault="00E036D3" w:rsidP="00836EF2">
            <w:pPr>
              <w:rPr>
                <w:rFonts w:ascii="Microsoft Sans Serif" w:hAnsi="Microsoft Sans Serif" w:cs="Microsoft Sans Serif"/>
                <w:sz w:val="14"/>
                <w:szCs w:val="14"/>
              </w:rPr>
            </w:pPr>
          </w:p>
        </w:tc>
        <w:tc>
          <w:tcPr>
            <w:tcW w:w="1157" w:type="pct"/>
            <w:gridSpan w:val="2"/>
            <w:tcBorders>
              <w:top w:val="thinThickSmallGap" w:sz="24" w:space="0" w:color="auto"/>
              <w:bottom w:val="single" w:sz="4" w:space="0" w:color="auto"/>
            </w:tcBorders>
            <w:tcMar>
              <w:left w:w="57" w:type="dxa"/>
              <w:right w:w="57" w:type="dxa"/>
            </w:tcMar>
          </w:tcPr>
          <w:p w14:paraId="1B7F16D3"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Krediler</w:t>
            </w:r>
          </w:p>
        </w:tc>
        <w:tc>
          <w:tcPr>
            <w:tcW w:w="789" w:type="pct"/>
            <w:gridSpan w:val="2"/>
            <w:tcBorders>
              <w:top w:val="thinThickSmallGap" w:sz="24" w:space="0" w:color="auto"/>
              <w:bottom w:val="single" w:sz="4" w:space="0" w:color="auto"/>
            </w:tcBorders>
            <w:tcMar>
              <w:left w:w="57" w:type="dxa"/>
              <w:right w:w="57" w:type="dxa"/>
            </w:tcMar>
          </w:tcPr>
          <w:p w14:paraId="759B53B9"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Borçlanma Araçları</w:t>
            </w:r>
          </w:p>
        </w:tc>
        <w:tc>
          <w:tcPr>
            <w:tcW w:w="953" w:type="pct"/>
            <w:gridSpan w:val="2"/>
            <w:tcBorders>
              <w:top w:val="thinThickSmallGap" w:sz="24" w:space="0" w:color="auto"/>
              <w:bottom w:val="single" w:sz="4" w:space="0" w:color="auto"/>
            </w:tcBorders>
          </w:tcPr>
          <w:p w14:paraId="62E7CD73"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Dışı Alacaklar</w:t>
            </w:r>
          </w:p>
        </w:tc>
        <w:tc>
          <w:tcPr>
            <w:tcW w:w="502" w:type="pct"/>
            <w:vMerge w:val="restart"/>
            <w:tcBorders>
              <w:top w:val="thinThickSmallGap" w:sz="24" w:space="0" w:color="auto"/>
            </w:tcBorders>
            <w:tcMar>
              <w:left w:w="57" w:type="dxa"/>
              <w:right w:w="57" w:type="dxa"/>
            </w:tcMar>
            <w:vAlign w:val="bottom"/>
          </w:tcPr>
          <w:p w14:paraId="71C1AEAF" w14:textId="77777777" w:rsidR="00E036D3" w:rsidRPr="00FB38E1" w:rsidRDefault="00E036D3" w:rsidP="00836EF2">
            <w:pPr>
              <w:jc w:val="cente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Özel Karşılık</w:t>
            </w:r>
          </w:p>
        </w:tc>
        <w:tc>
          <w:tcPr>
            <w:tcW w:w="577" w:type="pct"/>
            <w:vMerge w:val="restart"/>
            <w:tcBorders>
              <w:top w:val="thinThickSmallGap" w:sz="24" w:space="0" w:color="auto"/>
            </w:tcBorders>
            <w:tcMar>
              <w:left w:w="57" w:type="dxa"/>
              <w:right w:w="57" w:type="dxa"/>
            </w:tcMar>
            <w:vAlign w:val="bottom"/>
          </w:tcPr>
          <w:p w14:paraId="2E575DB8"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Kayıttan düşülen/Aktiften silinen tutar (*)</w:t>
            </w:r>
          </w:p>
        </w:tc>
      </w:tr>
      <w:tr w:rsidR="00E036D3" w:rsidRPr="00FB38E1" w14:paraId="7A998FFF" w14:textId="77777777" w:rsidTr="00E036D3">
        <w:trPr>
          <w:trHeight w:val="92"/>
        </w:trPr>
        <w:tc>
          <w:tcPr>
            <w:tcW w:w="1021" w:type="pct"/>
            <w:tcBorders>
              <w:top w:val="nil"/>
              <w:bottom w:val="single" w:sz="4" w:space="0" w:color="auto"/>
            </w:tcBorders>
            <w:tcMar>
              <w:left w:w="57" w:type="dxa"/>
              <w:right w:w="57" w:type="dxa"/>
            </w:tcMar>
            <w:vAlign w:val="center"/>
          </w:tcPr>
          <w:p w14:paraId="3E364B36" w14:textId="77777777" w:rsidR="00E036D3" w:rsidRPr="00FB38E1" w:rsidRDefault="00E036D3" w:rsidP="00836EF2">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Önceki Dönem</w:t>
            </w:r>
          </w:p>
        </w:tc>
        <w:tc>
          <w:tcPr>
            <w:tcW w:w="578" w:type="pct"/>
            <w:tcBorders>
              <w:top w:val="single" w:sz="4" w:space="0" w:color="auto"/>
              <w:bottom w:val="single" w:sz="4" w:space="0" w:color="auto"/>
            </w:tcBorders>
            <w:tcMar>
              <w:left w:w="57" w:type="dxa"/>
              <w:right w:w="57" w:type="dxa"/>
            </w:tcMar>
            <w:vAlign w:val="bottom"/>
          </w:tcPr>
          <w:p w14:paraId="43F03567"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713D81A3"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etmiş</w:t>
            </w:r>
          </w:p>
        </w:tc>
        <w:tc>
          <w:tcPr>
            <w:tcW w:w="579" w:type="pct"/>
            <w:tcBorders>
              <w:top w:val="single" w:sz="4" w:space="0" w:color="auto"/>
              <w:bottom w:val="single" w:sz="4" w:space="0" w:color="auto"/>
            </w:tcBorders>
            <w:tcMar>
              <w:left w:w="57" w:type="dxa"/>
              <w:right w:w="57" w:type="dxa"/>
            </w:tcMar>
            <w:vAlign w:val="bottom"/>
          </w:tcPr>
          <w:p w14:paraId="5FA34685"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 etmemiş</w:t>
            </w:r>
          </w:p>
        </w:tc>
        <w:tc>
          <w:tcPr>
            <w:tcW w:w="358" w:type="pct"/>
            <w:tcBorders>
              <w:top w:val="single" w:sz="4" w:space="0" w:color="auto"/>
              <w:bottom w:val="single" w:sz="4" w:space="0" w:color="auto"/>
            </w:tcBorders>
            <w:tcMar>
              <w:left w:w="57" w:type="dxa"/>
              <w:right w:w="57" w:type="dxa"/>
            </w:tcMar>
            <w:vAlign w:val="bottom"/>
          </w:tcPr>
          <w:p w14:paraId="15D54359"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3185577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etmiş</w:t>
            </w:r>
          </w:p>
        </w:tc>
        <w:tc>
          <w:tcPr>
            <w:tcW w:w="431" w:type="pct"/>
            <w:tcBorders>
              <w:top w:val="single" w:sz="4" w:space="0" w:color="auto"/>
              <w:bottom w:val="single" w:sz="4" w:space="0" w:color="auto"/>
            </w:tcBorders>
            <w:tcMar>
              <w:left w:w="57" w:type="dxa"/>
              <w:right w:w="57" w:type="dxa"/>
            </w:tcMar>
            <w:vAlign w:val="center"/>
          </w:tcPr>
          <w:p w14:paraId="63786709" w14:textId="77777777" w:rsidR="00E036D3" w:rsidRPr="00FB38E1" w:rsidRDefault="00E036D3" w:rsidP="00836EF2">
            <w:pPr>
              <w:rPr>
                <w:rFonts w:ascii="Microsoft Sans Serif" w:hAnsi="Microsoft Sans Serif" w:cs="Microsoft Sans Serif"/>
                <w:b/>
                <w:bCs/>
                <w:color w:val="000000"/>
                <w:sz w:val="14"/>
                <w:szCs w:val="14"/>
              </w:rPr>
            </w:pPr>
            <w:r w:rsidRPr="00FB38E1">
              <w:rPr>
                <w:rFonts w:ascii="Microsoft Sans Serif" w:hAnsi="Microsoft Sans Serif" w:cs="Microsoft Sans Serif"/>
                <w:b/>
                <w:sz w:val="14"/>
                <w:szCs w:val="14"/>
              </w:rPr>
              <w:t>Temerrüt etmemiş</w:t>
            </w:r>
          </w:p>
        </w:tc>
        <w:tc>
          <w:tcPr>
            <w:tcW w:w="436" w:type="pct"/>
            <w:tcBorders>
              <w:top w:val="single" w:sz="4" w:space="0" w:color="auto"/>
              <w:bottom w:val="single" w:sz="4" w:space="0" w:color="auto"/>
            </w:tcBorders>
            <w:vAlign w:val="bottom"/>
          </w:tcPr>
          <w:p w14:paraId="1D15AE1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Temerrüt</w:t>
            </w:r>
          </w:p>
          <w:p w14:paraId="63C3AE4C" w14:textId="77777777" w:rsidR="00E036D3" w:rsidRPr="00FB38E1" w:rsidRDefault="00E036D3" w:rsidP="00836EF2">
            <w:pPr>
              <w:jc w:val="center"/>
              <w:rPr>
                <w:rFonts w:ascii="Microsoft Sans Serif" w:hAnsi="Microsoft Sans Serif" w:cs="Microsoft Sans Serif"/>
                <w:sz w:val="14"/>
                <w:szCs w:val="14"/>
              </w:rPr>
            </w:pPr>
            <w:r w:rsidRPr="00FB38E1">
              <w:rPr>
                <w:rFonts w:ascii="Microsoft Sans Serif" w:hAnsi="Microsoft Sans Serif" w:cs="Microsoft Sans Serif"/>
                <w:b/>
                <w:sz w:val="14"/>
                <w:szCs w:val="14"/>
              </w:rPr>
              <w:t>etmiş</w:t>
            </w:r>
          </w:p>
        </w:tc>
        <w:tc>
          <w:tcPr>
            <w:tcW w:w="517" w:type="pct"/>
            <w:tcBorders>
              <w:top w:val="single" w:sz="4" w:space="0" w:color="auto"/>
              <w:bottom w:val="single" w:sz="4" w:space="0" w:color="auto"/>
            </w:tcBorders>
            <w:vAlign w:val="bottom"/>
          </w:tcPr>
          <w:p w14:paraId="65027791" w14:textId="77777777" w:rsidR="00E036D3" w:rsidRPr="00FB38E1" w:rsidRDefault="00E036D3" w:rsidP="00836EF2">
            <w:pPr>
              <w:jc w:val="center"/>
              <w:rPr>
                <w:rFonts w:ascii="Microsoft Sans Serif" w:hAnsi="Microsoft Sans Serif" w:cs="Microsoft Sans Serif"/>
                <w:sz w:val="14"/>
                <w:szCs w:val="14"/>
              </w:rPr>
            </w:pPr>
            <w:r w:rsidRPr="00FB38E1">
              <w:rPr>
                <w:rFonts w:ascii="Microsoft Sans Serif" w:hAnsi="Microsoft Sans Serif" w:cs="Microsoft Sans Serif"/>
                <w:b/>
                <w:sz w:val="14"/>
                <w:szCs w:val="14"/>
              </w:rPr>
              <w:t>Temerrüt etmemiş</w:t>
            </w:r>
          </w:p>
        </w:tc>
        <w:tc>
          <w:tcPr>
            <w:tcW w:w="502" w:type="pct"/>
            <w:vMerge/>
            <w:tcBorders>
              <w:bottom w:val="single" w:sz="4" w:space="0" w:color="auto"/>
            </w:tcBorders>
            <w:tcMar>
              <w:left w:w="57" w:type="dxa"/>
              <w:right w:w="57" w:type="dxa"/>
            </w:tcMar>
            <w:vAlign w:val="center"/>
          </w:tcPr>
          <w:p w14:paraId="2AB1ED56" w14:textId="77777777" w:rsidR="00E036D3" w:rsidRPr="00FB38E1" w:rsidRDefault="00E036D3" w:rsidP="00836EF2">
            <w:pPr>
              <w:jc w:val="center"/>
              <w:rPr>
                <w:rFonts w:ascii="Microsoft Sans Serif" w:hAnsi="Microsoft Sans Serif" w:cs="Microsoft Sans Serif"/>
                <w:color w:val="404040"/>
                <w:sz w:val="14"/>
                <w:szCs w:val="14"/>
              </w:rPr>
            </w:pPr>
          </w:p>
        </w:tc>
        <w:tc>
          <w:tcPr>
            <w:tcW w:w="577" w:type="pct"/>
            <w:vMerge/>
            <w:tcBorders>
              <w:bottom w:val="single" w:sz="4" w:space="0" w:color="auto"/>
            </w:tcBorders>
            <w:tcMar>
              <w:left w:w="57" w:type="dxa"/>
              <w:right w:w="57" w:type="dxa"/>
            </w:tcMar>
            <w:vAlign w:val="center"/>
          </w:tcPr>
          <w:p w14:paraId="06EAD928" w14:textId="77777777" w:rsidR="00E036D3" w:rsidRPr="00FB38E1" w:rsidRDefault="00E036D3" w:rsidP="00836EF2">
            <w:pPr>
              <w:jc w:val="center"/>
              <w:rPr>
                <w:rFonts w:ascii="Microsoft Sans Serif" w:hAnsi="Microsoft Sans Serif" w:cs="Microsoft Sans Serif"/>
                <w:color w:val="404040"/>
                <w:sz w:val="14"/>
                <w:szCs w:val="14"/>
              </w:rPr>
            </w:pPr>
          </w:p>
        </w:tc>
      </w:tr>
      <w:tr w:rsidR="00E036D3" w:rsidRPr="00FB38E1" w14:paraId="53CDC1E9" w14:textId="77777777" w:rsidTr="00E036D3">
        <w:tc>
          <w:tcPr>
            <w:tcW w:w="1021" w:type="pct"/>
            <w:tcBorders>
              <w:top w:val="single" w:sz="4" w:space="0" w:color="auto"/>
            </w:tcBorders>
            <w:tcMar>
              <w:left w:w="57" w:type="dxa"/>
              <w:right w:w="57" w:type="dxa"/>
            </w:tcMar>
          </w:tcPr>
          <w:p w14:paraId="703619E0" w14:textId="77777777" w:rsidR="00E036D3" w:rsidRPr="00FB38E1" w:rsidRDefault="00E036D3" w:rsidP="00E036D3">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Tarım</w:t>
            </w:r>
          </w:p>
        </w:tc>
        <w:tc>
          <w:tcPr>
            <w:tcW w:w="578" w:type="pct"/>
            <w:tcBorders>
              <w:top w:val="single" w:sz="4" w:space="0" w:color="auto"/>
            </w:tcBorders>
            <w:tcMar>
              <w:left w:w="57" w:type="dxa"/>
              <w:right w:w="57" w:type="dxa"/>
            </w:tcMar>
            <w:vAlign w:val="center"/>
          </w:tcPr>
          <w:p w14:paraId="668BAA79" w14:textId="7E1E0235"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944.337</w:t>
            </w:r>
          </w:p>
        </w:tc>
        <w:tc>
          <w:tcPr>
            <w:tcW w:w="579" w:type="pct"/>
            <w:tcBorders>
              <w:top w:val="single" w:sz="4" w:space="0" w:color="auto"/>
            </w:tcBorders>
            <w:tcMar>
              <w:left w:w="57" w:type="dxa"/>
              <w:right w:w="57" w:type="dxa"/>
            </w:tcMar>
            <w:vAlign w:val="center"/>
          </w:tcPr>
          <w:p w14:paraId="1717C6CA" w14:textId="38053F33"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37.015.134</w:t>
            </w:r>
          </w:p>
        </w:tc>
        <w:tc>
          <w:tcPr>
            <w:tcW w:w="358" w:type="pct"/>
            <w:tcBorders>
              <w:top w:val="single" w:sz="4" w:space="0" w:color="auto"/>
            </w:tcBorders>
            <w:tcMar>
              <w:left w:w="57" w:type="dxa"/>
              <w:right w:w="57" w:type="dxa"/>
            </w:tcMar>
            <w:vAlign w:val="center"/>
          </w:tcPr>
          <w:p w14:paraId="0631FD44" w14:textId="5985FD73"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1" w:type="pct"/>
            <w:tcBorders>
              <w:top w:val="single" w:sz="4" w:space="0" w:color="auto"/>
            </w:tcBorders>
            <w:tcMar>
              <w:left w:w="57" w:type="dxa"/>
              <w:right w:w="57" w:type="dxa"/>
            </w:tcMar>
            <w:vAlign w:val="center"/>
          </w:tcPr>
          <w:p w14:paraId="46CDD0ED" w14:textId="64666DFE"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6" w:type="pct"/>
            <w:tcBorders>
              <w:top w:val="single" w:sz="4" w:space="0" w:color="auto"/>
            </w:tcBorders>
            <w:vAlign w:val="center"/>
          </w:tcPr>
          <w:p w14:paraId="60D4E8EA" w14:textId="537E06B2"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4.637</w:t>
            </w:r>
          </w:p>
        </w:tc>
        <w:tc>
          <w:tcPr>
            <w:tcW w:w="517" w:type="pct"/>
            <w:tcBorders>
              <w:top w:val="single" w:sz="4" w:space="0" w:color="auto"/>
            </w:tcBorders>
            <w:vAlign w:val="center"/>
          </w:tcPr>
          <w:p w14:paraId="62F84A86" w14:textId="688FACBB"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14.427.599</w:t>
            </w:r>
          </w:p>
        </w:tc>
        <w:tc>
          <w:tcPr>
            <w:tcW w:w="502" w:type="pct"/>
            <w:tcBorders>
              <w:top w:val="single" w:sz="4" w:space="0" w:color="auto"/>
            </w:tcBorders>
            <w:tcMar>
              <w:left w:w="57" w:type="dxa"/>
              <w:right w:w="57" w:type="dxa"/>
            </w:tcMar>
            <w:vAlign w:val="center"/>
          </w:tcPr>
          <w:p w14:paraId="6A4FD7A2" w14:textId="0D9636AD"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733.911</w:t>
            </w:r>
          </w:p>
        </w:tc>
        <w:tc>
          <w:tcPr>
            <w:tcW w:w="577" w:type="pct"/>
            <w:tcBorders>
              <w:top w:val="single" w:sz="4" w:space="0" w:color="auto"/>
            </w:tcBorders>
            <w:tcMar>
              <w:left w:w="57" w:type="dxa"/>
              <w:right w:w="57" w:type="dxa"/>
            </w:tcMar>
            <w:vAlign w:val="center"/>
          </w:tcPr>
          <w:p w14:paraId="141063B5" w14:textId="0FCF3AE5"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11.211</w:t>
            </w:r>
          </w:p>
        </w:tc>
      </w:tr>
      <w:tr w:rsidR="00E036D3" w:rsidRPr="00FB38E1" w14:paraId="53C5A65A" w14:textId="77777777" w:rsidTr="00E036D3">
        <w:tc>
          <w:tcPr>
            <w:tcW w:w="1021" w:type="pct"/>
            <w:tcMar>
              <w:left w:w="113" w:type="dxa"/>
              <w:right w:w="57" w:type="dxa"/>
            </w:tcMar>
          </w:tcPr>
          <w:p w14:paraId="1794F977"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Çiftçilik ve Hayvancılık</w:t>
            </w:r>
          </w:p>
        </w:tc>
        <w:tc>
          <w:tcPr>
            <w:tcW w:w="578" w:type="pct"/>
            <w:tcMar>
              <w:left w:w="57" w:type="dxa"/>
              <w:right w:w="57" w:type="dxa"/>
            </w:tcMar>
            <w:vAlign w:val="center"/>
          </w:tcPr>
          <w:p w14:paraId="4932FA56" w14:textId="24C39F8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926.312</w:t>
            </w:r>
          </w:p>
        </w:tc>
        <w:tc>
          <w:tcPr>
            <w:tcW w:w="579" w:type="pct"/>
            <w:tcMar>
              <w:left w:w="57" w:type="dxa"/>
              <w:right w:w="57" w:type="dxa"/>
            </w:tcMar>
            <w:vAlign w:val="center"/>
          </w:tcPr>
          <w:p w14:paraId="43BA803F" w14:textId="1EC2BE7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36.498.408</w:t>
            </w:r>
          </w:p>
        </w:tc>
        <w:tc>
          <w:tcPr>
            <w:tcW w:w="358" w:type="pct"/>
            <w:tcMar>
              <w:left w:w="57" w:type="dxa"/>
              <w:right w:w="57" w:type="dxa"/>
            </w:tcMar>
            <w:vAlign w:val="center"/>
          </w:tcPr>
          <w:p w14:paraId="64D6C3E8" w14:textId="55423344"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1E267F03" w14:textId="3C4F8B2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45E366DD" w14:textId="7C7A17E2"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4.397</w:t>
            </w:r>
          </w:p>
        </w:tc>
        <w:tc>
          <w:tcPr>
            <w:tcW w:w="517" w:type="pct"/>
            <w:vAlign w:val="center"/>
          </w:tcPr>
          <w:p w14:paraId="3FEDFEC8" w14:textId="7793FAF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14.310.522</w:t>
            </w:r>
          </w:p>
        </w:tc>
        <w:tc>
          <w:tcPr>
            <w:tcW w:w="502" w:type="pct"/>
            <w:tcMar>
              <w:left w:w="57" w:type="dxa"/>
              <w:right w:w="57" w:type="dxa"/>
            </w:tcMar>
            <w:vAlign w:val="center"/>
          </w:tcPr>
          <w:p w14:paraId="285417F9" w14:textId="08542DE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718.003</w:t>
            </w:r>
          </w:p>
        </w:tc>
        <w:tc>
          <w:tcPr>
            <w:tcW w:w="577" w:type="pct"/>
            <w:tcMar>
              <w:left w:w="57" w:type="dxa"/>
              <w:right w:w="57" w:type="dxa"/>
            </w:tcMar>
            <w:vAlign w:val="center"/>
          </w:tcPr>
          <w:p w14:paraId="3D2872B7" w14:textId="23D91B7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10.996</w:t>
            </w:r>
          </w:p>
        </w:tc>
      </w:tr>
      <w:tr w:rsidR="00E036D3" w:rsidRPr="00FB38E1" w14:paraId="446A1BBD" w14:textId="77777777" w:rsidTr="00E036D3">
        <w:tc>
          <w:tcPr>
            <w:tcW w:w="1021" w:type="pct"/>
            <w:tcMar>
              <w:left w:w="113" w:type="dxa"/>
              <w:right w:w="57" w:type="dxa"/>
            </w:tcMar>
          </w:tcPr>
          <w:p w14:paraId="608BBCA9"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Ormancılık</w:t>
            </w:r>
          </w:p>
        </w:tc>
        <w:tc>
          <w:tcPr>
            <w:tcW w:w="578" w:type="pct"/>
            <w:tcMar>
              <w:left w:w="57" w:type="dxa"/>
              <w:right w:w="57" w:type="dxa"/>
            </w:tcMar>
            <w:vAlign w:val="center"/>
          </w:tcPr>
          <w:p w14:paraId="6BD183CC" w14:textId="2A8114B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17.790</w:t>
            </w:r>
          </w:p>
        </w:tc>
        <w:tc>
          <w:tcPr>
            <w:tcW w:w="579" w:type="pct"/>
            <w:tcMar>
              <w:left w:w="57" w:type="dxa"/>
              <w:right w:w="57" w:type="dxa"/>
            </w:tcMar>
            <w:vAlign w:val="center"/>
          </w:tcPr>
          <w:p w14:paraId="5FBA123B" w14:textId="14FA21B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6.129</w:t>
            </w:r>
          </w:p>
        </w:tc>
        <w:tc>
          <w:tcPr>
            <w:tcW w:w="358" w:type="pct"/>
            <w:tcMar>
              <w:left w:w="57" w:type="dxa"/>
              <w:right w:w="57" w:type="dxa"/>
            </w:tcMar>
            <w:vAlign w:val="center"/>
          </w:tcPr>
          <w:p w14:paraId="005A5BA5" w14:textId="1931D14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257A863C" w14:textId="44285862"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87C759A" w14:textId="7E98438A"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09B879F4" w14:textId="4127F1A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48.316</w:t>
            </w:r>
          </w:p>
        </w:tc>
        <w:tc>
          <w:tcPr>
            <w:tcW w:w="502" w:type="pct"/>
            <w:tcMar>
              <w:left w:w="57" w:type="dxa"/>
              <w:right w:w="57" w:type="dxa"/>
            </w:tcMar>
            <w:vAlign w:val="center"/>
          </w:tcPr>
          <w:p w14:paraId="052B336D" w14:textId="380E03D4"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15.692</w:t>
            </w:r>
          </w:p>
        </w:tc>
        <w:tc>
          <w:tcPr>
            <w:tcW w:w="577" w:type="pct"/>
            <w:tcMar>
              <w:left w:w="57" w:type="dxa"/>
              <w:right w:w="57" w:type="dxa"/>
            </w:tcMar>
            <w:vAlign w:val="center"/>
          </w:tcPr>
          <w:p w14:paraId="65608F66" w14:textId="31FA452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w:t>
            </w:r>
          </w:p>
        </w:tc>
      </w:tr>
      <w:tr w:rsidR="00E036D3" w:rsidRPr="00FB38E1" w14:paraId="438BC33E" w14:textId="77777777" w:rsidTr="00E036D3">
        <w:tc>
          <w:tcPr>
            <w:tcW w:w="1021" w:type="pct"/>
            <w:tcMar>
              <w:left w:w="113" w:type="dxa"/>
              <w:right w:w="57" w:type="dxa"/>
            </w:tcMar>
          </w:tcPr>
          <w:p w14:paraId="35B6F9C7"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Balıkçılık</w:t>
            </w:r>
          </w:p>
        </w:tc>
        <w:tc>
          <w:tcPr>
            <w:tcW w:w="578" w:type="pct"/>
            <w:tcMar>
              <w:left w:w="57" w:type="dxa"/>
              <w:right w:w="57" w:type="dxa"/>
            </w:tcMar>
            <w:vAlign w:val="center"/>
          </w:tcPr>
          <w:p w14:paraId="47991225" w14:textId="1C37AF7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235</w:t>
            </w:r>
          </w:p>
        </w:tc>
        <w:tc>
          <w:tcPr>
            <w:tcW w:w="579" w:type="pct"/>
            <w:tcMar>
              <w:left w:w="57" w:type="dxa"/>
              <w:right w:w="57" w:type="dxa"/>
            </w:tcMar>
            <w:vAlign w:val="center"/>
          </w:tcPr>
          <w:p w14:paraId="565A00E3" w14:textId="4E305068"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510.597</w:t>
            </w:r>
          </w:p>
        </w:tc>
        <w:tc>
          <w:tcPr>
            <w:tcW w:w="358" w:type="pct"/>
            <w:tcMar>
              <w:left w:w="57" w:type="dxa"/>
              <w:right w:w="57" w:type="dxa"/>
            </w:tcMar>
            <w:vAlign w:val="center"/>
          </w:tcPr>
          <w:p w14:paraId="55E0F06F" w14:textId="6B08F2E8"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3174C8B6" w14:textId="43789148"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844C7A8" w14:textId="2116B3C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240</w:t>
            </w:r>
          </w:p>
        </w:tc>
        <w:tc>
          <w:tcPr>
            <w:tcW w:w="517" w:type="pct"/>
            <w:vAlign w:val="center"/>
          </w:tcPr>
          <w:p w14:paraId="31AC5432" w14:textId="2023FFA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68.761</w:t>
            </w:r>
          </w:p>
        </w:tc>
        <w:tc>
          <w:tcPr>
            <w:tcW w:w="502" w:type="pct"/>
            <w:tcMar>
              <w:left w:w="57" w:type="dxa"/>
              <w:right w:w="57" w:type="dxa"/>
            </w:tcMar>
            <w:vAlign w:val="center"/>
          </w:tcPr>
          <w:p w14:paraId="3B26C5AD" w14:textId="4C943AAD"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216</w:t>
            </w:r>
          </w:p>
        </w:tc>
        <w:tc>
          <w:tcPr>
            <w:tcW w:w="577" w:type="pct"/>
            <w:tcMar>
              <w:left w:w="57" w:type="dxa"/>
              <w:right w:w="57" w:type="dxa"/>
            </w:tcMar>
            <w:vAlign w:val="center"/>
          </w:tcPr>
          <w:p w14:paraId="597A4A93" w14:textId="0D9877D7"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196</w:t>
            </w:r>
          </w:p>
        </w:tc>
      </w:tr>
      <w:tr w:rsidR="00E036D3" w:rsidRPr="00FB38E1" w14:paraId="7D668977" w14:textId="77777777" w:rsidTr="00E036D3">
        <w:tc>
          <w:tcPr>
            <w:tcW w:w="1021" w:type="pct"/>
            <w:tcMar>
              <w:left w:w="57" w:type="dxa"/>
              <w:right w:w="57" w:type="dxa"/>
            </w:tcMar>
          </w:tcPr>
          <w:p w14:paraId="63CDF332" w14:textId="77777777" w:rsidR="00E036D3" w:rsidRPr="00FB38E1" w:rsidRDefault="00E036D3" w:rsidP="00E036D3">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Sanayi</w:t>
            </w:r>
          </w:p>
        </w:tc>
        <w:tc>
          <w:tcPr>
            <w:tcW w:w="578" w:type="pct"/>
            <w:tcMar>
              <w:left w:w="57" w:type="dxa"/>
              <w:right w:w="57" w:type="dxa"/>
            </w:tcMar>
            <w:vAlign w:val="center"/>
          </w:tcPr>
          <w:p w14:paraId="6EF79E8D" w14:textId="29C780BC"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7.526.177</w:t>
            </w:r>
          </w:p>
        </w:tc>
        <w:tc>
          <w:tcPr>
            <w:tcW w:w="579" w:type="pct"/>
            <w:tcMar>
              <w:left w:w="57" w:type="dxa"/>
              <w:right w:w="57" w:type="dxa"/>
            </w:tcMar>
            <w:vAlign w:val="center"/>
          </w:tcPr>
          <w:p w14:paraId="2C8A7BD0" w14:textId="2574103C"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75.098.572</w:t>
            </w:r>
          </w:p>
        </w:tc>
        <w:tc>
          <w:tcPr>
            <w:tcW w:w="358" w:type="pct"/>
            <w:tcMar>
              <w:left w:w="57" w:type="dxa"/>
              <w:right w:w="57" w:type="dxa"/>
            </w:tcMar>
            <w:vAlign w:val="center"/>
          </w:tcPr>
          <w:p w14:paraId="57BCA650" w14:textId="36DAF64E"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1" w:type="pct"/>
            <w:tcMar>
              <w:left w:w="57" w:type="dxa"/>
              <w:right w:w="57" w:type="dxa"/>
            </w:tcMar>
            <w:vAlign w:val="center"/>
          </w:tcPr>
          <w:p w14:paraId="7B453D66" w14:textId="5703860F"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6" w:type="pct"/>
            <w:vAlign w:val="center"/>
          </w:tcPr>
          <w:p w14:paraId="2A51794D" w14:textId="144F644C"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326.084</w:t>
            </w:r>
          </w:p>
        </w:tc>
        <w:tc>
          <w:tcPr>
            <w:tcW w:w="517" w:type="pct"/>
            <w:vAlign w:val="center"/>
          </w:tcPr>
          <w:p w14:paraId="12A75392" w14:textId="332FE7F9"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64.886.599</w:t>
            </w:r>
          </w:p>
        </w:tc>
        <w:tc>
          <w:tcPr>
            <w:tcW w:w="502" w:type="pct"/>
            <w:tcMar>
              <w:left w:w="57" w:type="dxa"/>
              <w:right w:w="57" w:type="dxa"/>
            </w:tcMar>
            <w:vAlign w:val="center"/>
          </w:tcPr>
          <w:p w14:paraId="383DBE4A" w14:textId="548FA379"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4.876.589</w:t>
            </w:r>
          </w:p>
        </w:tc>
        <w:tc>
          <w:tcPr>
            <w:tcW w:w="577" w:type="pct"/>
            <w:tcMar>
              <w:left w:w="57" w:type="dxa"/>
              <w:right w:w="57" w:type="dxa"/>
            </w:tcMar>
            <w:vAlign w:val="center"/>
          </w:tcPr>
          <w:p w14:paraId="33B9E3D7" w14:textId="1B7C1168"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142.610</w:t>
            </w:r>
          </w:p>
        </w:tc>
      </w:tr>
      <w:tr w:rsidR="00E036D3" w:rsidRPr="00FB38E1" w14:paraId="182380F0" w14:textId="77777777" w:rsidTr="00E036D3">
        <w:tc>
          <w:tcPr>
            <w:tcW w:w="1021" w:type="pct"/>
            <w:tcMar>
              <w:left w:w="113" w:type="dxa"/>
              <w:right w:w="57" w:type="dxa"/>
            </w:tcMar>
          </w:tcPr>
          <w:p w14:paraId="61B49CAE"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Madencilik ve Taşocakçılığı</w:t>
            </w:r>
          </w:p>
        </w:tc>
        <w:tc>
          <w:tcPr>
            <w:tcW w:w="578" w:type="pct"/>
            <w:tcMar>
              <w:left w:w="57" w:type="dxa"/>
              <w:right w:w="57" w:type="dxa"/>
            </w:tcMar>
            <w:vAlign w:val="center"/>
          </w:tcPr>
          <w:p w14:paraId="68EBA230" w14:textId="0323D3E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2.172.040</w:t>
            </w:r>
          </w:p>
        </w:tc>
        <w:tc>
          <w:tcPr>
            <w:tcW w:w="579" w:type="pct"/>
            <w:tcMar>
              <w:left w:w="57" w:type="dxa"/>
              <w:right w:w="57" w:type="dxa"/>
            </w:tcMar>
            <w:vAlign w:val="center"/>
          </w:tcPr>
          <w:p w14:paraId="32BA099E" w14:textId="64E4917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3.041.214</w:t>
            </w:r>
          </w:p>
        </w:tc>
        <w:tc>
          <w:tcPr>
            <w:tcW w:w="358" w:type="pct"/>
            <w:tcMar>
              <w:left w:w="57" w:type="dxa"/>
              <w:right w:w="57" w:type="dxa"/>
            </w:tcMar>
            <w:vAlign w:val="center"/>
          </w:tcPr>
          <w:p w14:paraId="260FC7BE" w14:textId="41E2261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466E9997" w14:textId="5A38485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1C072055" w14:textId="5F20FBB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97.314</w:t>
            </w:r>
          </w:p>
        </w:tc>
        <w:tc>
          <w:tcPr>
            <w:tcW w:w="517" w:type="pct"/>
            <w:vAlign w:val="center"/>
          </w:tcPr>
          <w:p w14:paraId="587014A0" w14:textId="2BE91E9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2.429.200</w:t>
            </w:r>
          </w:p>
        </w:tc>
        <w:tc>
          <w:tcPr>
            <w:tcW w:w="502" w:type="pct"/>
            <w:tcMar>
              <w:left w:w="57" w:type="dxa"/>
              <w:right w:w="57" w:type="dxa"/>
            </w:tcMar>
            <w:vAlign w:val="center"/>
          </w:tcPr>
          <w:p w14:paraId="5ED41D5B" w14:textId="3A65417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1.006.090</w:t>
            </w:r>
          </w:p>
        </w:tc>
        <w:tc>
          <w:tcPr>
            <w:tcW w:w="577" w:type="pct"/>
            <w:tcMar>
              <w:left w:w="57" w:type="dxa"/>
              <w:right w:w="57" w:type="dxa"/>
            </w:tcMar>
            <w:vAlign w:val="center"/>
          </w:tcPr>
          <w:p w14:paraId="0A772718" w14:textId="32DC20AA"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75.373</w:t>
            </w:r>
          </w:p>
        </w:tc>
      </w:tr>
      <w:tr w:rsidR="00E036D3" w:rsidRPr="00FB38E1" w14:paraId="5919B703" w14:textId="77777777" w:rsidTr="00E036D3">
        <w:tc>
          <w:tcPr>
            <w:tcW w:w="1021" w:type="pct"/>
            <w:tcMar>
              <w:left w:w="113" w:type="dxa"/>
              <w:right w:w="57" w:type="dxa"/>
            </w:tcMar>
          </w:tcPr>
          <w:p w14:paraId="25163A07"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İmalat sanayi</w:t>
            </w:r>
          </w:p>
        </w:tc>
        <w:tc>
          <w:tcPr>
            <w:tcW w:w="578" w:type="pct"/>
            <w:tcMar>
              <w:left w:w="57" w:type="dxa"/>
              <w:right w:w="57" w:type="dxa"/>
            </w:tcMar>
            <w:vAlign w:val="center"/>
          </w:tcPr>
          <w:p w14:paraId="60BCD2EB" w14:textId="793ED89D"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966.305</w:t>
            </w:r>
          </w:p>
        </w:tc>
        <w:tc>
          <w:tcPr>
            <w:tcW w:w="579" w:type="pct"/>
            <w:tcMar>
              <w:left w:w="57" w:type="dxa"/>
              <w:right w:w="57" w:type="dxa"/>
            </w:tcMar>
            <w:vAlign w:val="center"/>
          </w:tcPr>
          <w:p w14:paraId="46F459F0" w14:textId="249908D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59.090.590</w:t>
            </w:r>
          </w:p>
        </w:tc>
        <w:tc>
          <w:tcPr>
            <w:tcW w:w="358" w:type="pct"/>
            <w:tcMar>
              <w:left w:w="57" w:type="dxa"/>
              <w:right w:w="57" w:type="dxa"/>
            </w:tcMar>
            <w:vAlign w:val="center"/>
          </w:tcPr>
          <w:p w14:paraId="272B1A7D" w14:textId="074902B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3BA40022" w14:textId="740C9C72"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1DA5E036" w14:textId="3B03B60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212.689</w:t>
            </w:r>
          </w:p>
        </w:tc>
        <w:tc>
          <w:tcPr>
            <w:tcW w:w="517" w:type="pct"/>
            <w:vAlign w:val="center"/>
          </w:tcPr>
          <w:p w14:paraId="7F973282" w14:textId="4398350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53.626.732</w:t>
            </w:r>
          </w:p>
        </w:tc>
        <w:tc>
          <w:tcPr>
            <w:tcW w:w="502" w:type="pct"/>
            <w:tcMar>
              <w:left w:w="57" w:type="dxa"/>
              <w:right w:w="57" w:type="dxa"/>
            </w:tcMar>
            <w:vAlign w:val="center"/>
          </w:tcPr>
          <w:p w14:paraId="66799C96" w14:textId="7631CE5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790.183</w:t>
            </w:r>
          </w:p>
        </w:tc>
        <w:tc>
          <w:tcPr>
            <w:tcW w:w="577" w:type="pct"/>
            <w:tcMar>
              <w:left w:w="57" w:type="dxa"/>
              <w:right w:w="57" w:type="dxa"/>
            </w:tcMar>
            <w:vAlign w:val="center"/>
          </w:tcPr>
          <w:p w14:paraId="62790DF7" w14:textId="2B77790D"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67.237</w:t>
            </w:r>
          </w:p>
        </w:tc>
      </w:tr>
      <w:tr w:rsidR="00E036D3" w:rsidRPr="00FB38E1" w14:paraId="03092AD1" w14:textId="77777777" w:rsidTr="00E036D3">
        <w:tc>
          <w:tcPr>
            <w:tcW w:w="1021" w:type="pct"/>
            <w:tcMar>
              <w:left w:w="113" w:type="dxa"/>
              <w:right w:w="57" w:type="dxa"/>
            </w:tcMar>
          </w:tcPr>
          <w:p w14:paraId="4A8ED8B6"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Elektrik,Gaz, Su</w:t>
            </w:r>
          </w:p>
        </w:tc>
        <w:tc>
          <w:tcPr>
            <w:tcW w:w="578" w:type="pct"/>
            <w:tcMar>
              <w:left w:w="57" w:type="dxa"/>
              <w:right w:w="57" w:type="dxa"/>
            </w:tcMar>
            <w:vAlign w:val="center"/>
          </w:tcPr>
          <w:p w14:paraId="651CAA29" w14:textId="3D63893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4.387.832</w:t>
            </w:r>
          </w:p>
        </w:tc>
        <w:tc>
          <w:tcPr>
            <w:tcW w:w="579" w:type="pct"/>
            <w:tcMar>
              <w:left w:w="57" w:type="dxa"/>
              <w:right w:w="57" w:type="dxa"/>
            </w:tcMar>
            <w:vAlign w:val="center"/>
          </w:tcPr>
          <w:p w14:paraId="17B8E441" w14:textId="57E179A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12.966.768</w:t>
            </w:r>
          </w:p>
        </w:tc>
        <w:tc>
          <w:tcPr>
            <w:tcW w:w="358" w:type="pct"/>
            <w:tcMar>
              <w:left w:w="57" w:type="dxa"/>
              <w:right w:w="57" w:type="dxa"/>
            </w:tcMar>
            <w:vAlign w:val="center"/>
          </w:tcPr>
          <w:p w14:paraId="2B1940AB" w14:textId="7CF75BC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02D2BCA9" w14:textId="1D921FC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99C5F62" w14:textId="7F8586F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16.081</w:t>
            </w:r>
          </w:p>
        </w:tc>
        <w:tc>
          <w:tcPr>
            <w:tcW w:w="517" w:type="pct"/>
            <w:vAlign w:val="center"/>
          </w:tcPr>
          <w:p w14:paraId="2F041117" w14:textId="6E22E15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8.830.667</w:t>
            </w:r>
          </w:p>
        </w:tc>
        <w:tc>
          <w:tcPr>
            <w:tcW w:w="502" w:type="pct"/>
            <w:tcMar>
              <w:left w:w="57" w:type="dxa"/>
              <w:right w:w="57" w:type="dxa"/>
            </w:tcMar>
            <w:vAlign w:val="center"/>
          </w:tcPr>
          <w:p w14:paraId="4A106BB5" w14:textId="703C170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3.080.316</w:t>
            </w:r>
          </w:p>
        </w:tc>
        <w:tc>
          <w:tcPr>
            <w:tcW w:w="577" w:type="pct"/>
            <w:tcMar>
              <w:left w:w="57" w:type="dxa"/>
              <w:right w:w="57" w:type="dxa"/>
            </w:tcMar>
            <w:vAlign w:val="center"/>
          </w:tcPr>
          <w:p w14:paraId="7300DC1D" w14:textId="334493D8"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75534368" w14:textId="77777777" w:rsidTr="00E036D3">
        <w:tc>
          <w:tcPr>
            <w:tcW w:w="1021" w:type="pct"/>
            <w:tcMar>
              <w:left w:w="57" w:type="dxa"/>
              <w:right w:w="57" w:type="dxa"/>
            </w:tcMar>
          </w:tcPr>
          <w:p w14:paraId="11BC4528" w14:textId="77777777" w:rsidR="00E036D3" w:rsidRPr="00FB38E1" w:rsidRDefault="00E036D3" w:rsidP="00E036D3">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İnşaat</w:t>
            </w:r>
          </w:p>
        </w:tc>
        <w:tc>
          <w:tcPr>
            <w:tcW w:w="578" w:type="pct"/>
            <w:tcMar>
              <w:left w:w="57" w:type="dxa"/>
              <w:right w:w="57" w:type="dxa"/>
            </w:tcMar>
            <w:vAlign w:val="center"/>
          </w:tcPr>
          <w:p w14:paraId="7EB5CFF8" w14:textId="3D4321BF"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1.216.041</w:t>
            </w:r>
          </w:p>
        </w:tc>
        <w:tc>
          <w:tcPr>
            <w:tcW w:w="579" w:type="pct"/>
            <w:tcMar>
              <w:left w:w="57" w:type="dxa"/>
              <w:right w:w="57" w:type="dxa"/>
            </w:tcMar>
            <w:vAlign w:val="center"/>
          </w:tcPr>
          <w:p w14:paraId="1FF85608" w14:textId="66B8DD10"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23.040.452</w:t>
            </w:r>
          </w:p>
        </w:tc>
        <w:tc>
          <w:tcPr>
            <w:tcW w:w="358" w:type="pct"/>
            <w:tcMar>
              <w:left w:w="57" w:type="dxa"/>
              <w:right w:w="57" w:type="dxa"/>
            </w:tcMar>
            <w:vAlign w:val="center"/>
          </w:tcPr>
          <w:p w14:paraId="15092AFB" w14:textId="3B4C3E54"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1" w:type="pct"/>
            <w:tcMar>
              <w:left w:w="57" w:type="dxa"/>
              <w:right w:w="57" w:type="dxa"/>
            </w:tcMar>
            <w:vAlign w:val="center"/>
          </w:tcPr>
          <w:p w14:paraId="1BC289E5" w14:textId="5316C430"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6" w:type="pct"/>
            <w:vAlign w:val="center"/>
          </w:tcPr>
          <w:p w14:paraId="1130DE33" w14:textId="3569B7E0"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2.547.999</w:t>
            </w:r>
          </w:p>
        </w:tc>
        <w:tc>
          <w:tcPr>
            <w:tcW w:w="517" w:type="pct"/>
            <w:vAlign w:val="center"/>
          </w:tcPr>
          <w:p w14:paraId="1AC9135C" w14:textId="6376E315"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33.241.134</w:t>
            </w:r>
          </w:p>
        </w:tc>
        <w:tc>
          <w:tcPr>
            <w:tcW w:w="502" w:type="pct"/>
            <w:tcMar>
              <w:left w:w="57" w:type="dxa"/>
              <w:right w:w="57" w:type="dxa"/>
            </w:tcMar>
            <w:vAlign w:val="center"/>
          </w:tcPr>
          <w:p w14:paraId="2EF8792E" w14:textId="0D978A29"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948.804</w:t>
            </w:r>
          </w:p>
        </w:tc>
        <w:tc>
          <w:tcPr>
            <w:tcW w:w="577" w:type="pct"/>
            <w:tcMar>
              <w:left w:w="57" w:type="dxa"/>
              <w:right w:w="57" w:type="dxa"/>
            </w:tcMar>
            <w:vAlign w:val="center"/>
          </w:tcPr>
          <w:p w14:paraId="0D4D9B80" w14:textId="42AF7FDA"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266.082</w:t>
            </w:r>
          </w:p>
        </w:tc>
      </w:tr>
      <w:tr w:rsidR="00E036D3" w:rsidRPr="00FB38E1" w14:paraId="690736E2" w14:textId="77777777" w:rsidTr="00E036D3">
        <w:tc>
          <w:tcPr>
            <w:tcW w:w="1021" w:type="pct"/>
            <w:tcMar>
              <w:left w:w="57" w:type="dxa"/>
              <w:right w:w="57" w:type="dxa"/>
            </w:tcMar>
          </w:tcPr>
          <w:p w14:paraId="164DD8AE" w14:textId="77777777" w:rsidR="00E036D3" w:rsidRPr="00FB38E1" w:rsidRDefault="00E036D3" w:rsidP="00E036D3">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Hizmetler</w:t>
            </w:r>
          </w:p>
        </w:tc>
        <w:tc>
          <w:tcPr>
            <w:tcW w:w="578" w:type="pct"/>
            <w:tcMar>
              <w:left w:w="57" w:type="dxa"/>
              <w:right w:w="57" w:type="dxa"/>
            </w:tcMar>
            <w:vAlign w:val="center"/>
          </w:tcPr>
          <w:p w14:paraId="437E5444" w14:textId="6AA6AA25"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6.133.474</w:t>
            </w:r>
          </w:p>
        </w:tc>
        <w:tc>
          <w:tcPr>
            <w:tcW w:w="579" w:type="pct"/>
            <w:tcMar>
              <w:left w:w="57" w:type="dxa"/>
              <w:right w:w="57" w:type="dxa"/>
            </w:tcMar>
            <w:vAlign w:val="center"/>
          </w:tcPr>
          <w:p w14:paraId="6073925D" w14:textId="4E0FD990"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133.246.064</w:t>
            </w:r>
          </w:p>
        </w:tc>
        <w:tc>
          <w:tcPr>
            <w:tcW w:w="358" w:type="pct"/>
            <w:tcMar>
              <w:left w:w="57" w:type="dxa"/>
              <w:right w:w="57" w:type="dxa"/>
            </w:tcMar>
            <w:vAlign w:val="center"/>
          </w:tcPr>
          <w:p w14:paraId="4CC2D592" w14:textId="79CDE6F9"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1" w:type="pct"/>
            <w:tcMar>
              <w:left w:w="57" w:type="dxa"/>
              <w:right w:w="57" w:type="dxa"/>
            </w:tcMar>
            <w:vAlign w:val="center"/>
          </w:tcPr>
          <w:p w14:paraId="69882F6F" w14:textId="30EAABFE"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939</w:t>
            </w:r>
          </w:p>
        </w:tc>
        <w:tc>
          <w:tcPr>
            <w:tcW w:w="436" w:type="pct"/>
            <w:vAlign w:val="center"/>
          </w:tcPr>
          <w:p w14:paraId="289096A8" w14:textId="45AC5329"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617.988</w:t>
            </w:r>
          </w:p>
        </w:tc>
        <w:tc>
          <w:tcPr>
            <w:tcW w:w="517" w:type="pct"/>
            <w:vAlign w:val="center"/>
          </w:tcPr>
          <w:p w14:paraId="4DF082FF" w14:textId="1C7CF8CD"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84.815.368</w:t>
            </w:r>
          </w:p>
        </w:tc>
        <w:tc>
          <w:tcPr>
            <w:tcW w:w="502" w:type="pct"/>
            <w:tcMar>
              <w:left w:w="57" w:type="dxa"/>
              <w:right w:w="57" w:type="dxa"/>
            </w:tcMar>
            <w:vAlign w:val="center"/>
          </w:tcPr>
          <w:p w14:paraId="1EDE53EB" w14:textId="15F5C89B"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4.709.385</w:t>
            </w:r>
          </w:p>
        </w:tc>
        <w:tc>
          <w:tcPr>
            <w:tcW w:w="577" w:type="pct"/>
            <w:tcMar>
              <w:left w:w="57" w:type="dxa"/>
              <w:right w:w="57" w:type="dxa"/>
            </w:tcMar>
            <w:vAlign w:val="center"/>
          </w:tcPr>
          <w:p w14:paraId="52462BB2" w14:textId="394CC312"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77.953</w:t>
            </w:r>
          </w:p>
        </w:tc>
      </w:tr>
      <w:tr w:rsidR="00E036D3" w:rsidRPr="00FB38E1" w14:paraId="0DEE0574" w14:textId="77777777" w:rsidTr="00E036D3">
        <w:tc>
          <w:tcPr>
            <w:tcW w:w="1021" w:type="pct"/>
            <w:tcMar>
              <w:left w:w="113" w:type="dxa"/>
              <w:right w:w="57" w:type="dxa"/>
            </w:tcMar>
          </w:tcPr>
          <w:p w14:paraId="54D17988"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Toptan ve Perakende Ticaret</w:t>
            </w:r>
          </w:p>
        </w:tc>
        <w:tc>
          <w:tcPr>
            <w:tcW w:w="578" w:type="pct"/>
            <w:tcMar>
              <w:left w:w="57" w:type="dxa"/>
              <w:right w:w="57" w:type="dxa"/>
            </w:tcMar>
            <w:vAlign w:val="center"/>
          </w:tcPr>
          <w:p w14:paraId="033032CC" w14:textId="62E0F7BD"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2.664.992</w:t>
            </w:r>
          </w:p>
        </w:tc>
        <w:tc>
          <w:tcPr>
            <w:tcW w:w="579" w:type="pct"/>
            <w:tcMar>
              <w:left w:w="57" w:type="dxa"/>
              <w:right w:w="57" w:type="dxa"/>
            </w:tcMar>
            <w:vAlign w:val="center"/>
          </w:tcPr>
          <w:p w14:paraId="6B196E29" w14:textId="18A25F47"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41.795.750</w:t>
            </w:r>
          </w:p>
        </w:tc>
        <w:tc>
          <w:tcPr>
            <w:tcW w:w="358" w:type="pct"/>
            <w:tcMar>
              <w:left w:w="57" w:type="dxa"/>
              <w:right w:w="57" w:type="dxa"/>
            </w:tcMar>
            <w:vAlign w:val="center"/>
          </w:tcPr>
          <w:p w14:paraId="49A401A0" w14:textId="02BC538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33DF22BB" w14:textId="4D28F24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12441DFA" w14:textId="75D0CDF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102.340</w:t>
            </w:r>
          </w:p>
        </w:tc>
        <w:tc>
          <w:tcPr>
            <w:tcW w:w="517" w:type="pct"/>
            <w:vAlign w:val="center"/>
          </w:tcPr>
          <w:p w14:paraId="5A3EC295" w14:textId="5B806202"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64.349.448</w:t>
            </w:r>
          </w:p>
        </w:tc>
        <w:tc>
          <w:tcPr>
            <w:tcW w:w="502" w:type="pct"/>
            <w:tcMar>
              <w:left w:w="57" w:type="dxa"/>
              <w:right w:w="57" w:type="dxa"/>
            </w:tcMar>
            <w:vAlign w:val="center"/>
          </w:tcPr>
          <w:p w14:paraId="34BBA1E6" w14:textId="2288D74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2.331.065</w:t>
            </w:r>
          </w:p>
        </w:tc>
        <w:tc>
          <w:tcPr>
            <w:tcW w:w="577" w:type="pct"/>
            <w:tcMar>
              <w:left w:w="57" w:type="dxa"/>
              <w:right w:w="57" w:type="dxa"/>
            </w:tcMar>
            <w:vAlign w:val="center"/>
          </w:tcPr>
          <w:p w14:paraId="1D3ED13E" w14:textId="6DE8577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32.215</w:t>
            </w:r>
          </w:p>
        </w:tc>
      </w:tr>
      <w:tr w:rsidR="00E036D3" w:rsidRPr="00FB38E1" w14:paraId="153C8298" w14:textId="77777777" w:rsidTr="00E036D3">
        <w:tc>
          <w:tcPr>
            <w:tcW w:w="1021" w:type="pct"/>
            <w:tcMar>
              <w:left w:w="113" w:type="dxa"/>
              <w:right w:w="57" w:type="dxa"/>
            </w:tcMar>
          </w:tcPr>
          <w:p w14:paraId="7F53E304"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Otel ve Lokanta Hizmetleri</w:t>
            </w:r>
          </w:p>
        </w:tc>
        <w:tc>
          <w:tcPr>
            <w:tcW w:w="578" w:type="pct"/>
            <w:tcMar>
              <w:left w:w="57" w:type="dxa"/>
              <w:right w:w="57" w:type="dxa"/>
            </w:tcMar>
            <w:vAlign w:val="center"/>
          </w:tcPr>
          <w:p w14:paraId="50391347" w14:textId="5AB230F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1.532.819</w:t>
            </w:r>
          </w:p>
        </w:tc>
        <w:tc>
          <w:tcPr>
            <w:tcW w:w="579" w:type="pct"/>
            <w:tcMar>
              <w:left w:w="57" w:type="dxa"/>
              <w:right w:w="57" w:type="dxa"/>
            </w:tcMar>
            <w:vAlign w:val="center"/>
          </w:tcPr>
          <w:p w14:paraId="38A56A54" w14:textId="4F668CDC"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43.620.877</w:t>
            </w:r>
          </w:p>
        </w:tc>
        <w:tc>
          <w:tcPr>
            <w:tcW w:w="358" w:type="pct"/>
            <w:tcMar>
              <w:left w:w="57" w:type="dxa"/>
              <w:right w:w="57" w:type="dxa"/>
            </w:tcMar>
            <w:vAlign w:val="center"/>
          </w:tcPr>
          <w:p w14:paraId="3CECE2B2" w14:textId="4913CAB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66C199C2" w14:textId="1BA3986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2C34922D" w14:textId="5C6F5DE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484.763</w:t>
            </w:r>
          </w:p>
        </w:tc>
        <w:tc>
          <w:tcPr>
            <w:tcW w:w="517" w:type="pct"/>
            <w:vAlign w:val="center"/>
          </w:tcPr>
          <w:p w14:paraId="77D894FF" w14:textId="32F7BD7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3.647.051</w:t>
            </w:r>
          </w:p>
        </w:tc>
        <w:tc>
          <w:tcPr>
            <w:tcW w:w="502" w:type="pct"/>
            <w:tcMar>
              <w:left w:w="57" w:type="dxa"/>
              <w:right w:w="57" w:type="dxa"/>
            </w:tcMar>
            <w:vAlign w:val="center"/>
          </w:tcPr>
          <w:p w14:paraId="4AD8F3DF" w14:textId="1F78A7A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930.074</w:t>
            </w:r>
          </w:p>
        </w:tc>
        <w:tc>
          <w:tcPr>
            <w:tcW w:w="577" w:type="pct"/>
            <w:tcMar>
              <w:left w:w="57" w:type="dxa"/>
              <w:right w:w="57" w:type="dxa"/>
            </w:tcMar>
            <w:vAlign w:val="center"/>
          </w:tcPr>
          <w:p w14:paraId="001087F5" w14:textId="714126F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671</w:t>
            </w:r>
          </w:p>
        </w:tc>
      </w:tr>
      <w:tr w:rsidR="00E036D3" w:rsidRPr="00FB38E1" w14:paraId="1573C0F0" w14:textId="77777777" w:rsidTr="00E036D3">
        <w:tc>
          <w:tcPr>
            <w:tcW w:w="1021" w:type="pct"/>
            <w:tcMar>
              <w:left w:w="113" w:type="dxa"/>
              <w:right w:w="57" w:type="dxa"/>
            </w:tcMar>
          </w:tcPr>
          <w:p w14:paraId="4D6ACAB9"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Ulaşım ve Haberleşme</w:t>
            </w:r>
          </w:p>
        </w:tc>
        <w:tc>
          <w:tcPr>
            <w:tcW w:w="578" w:type="pct"/>
            <w:tcMar>
              <w:left w:w="57" w:type="dxa"/>
              <w:right w:w="57" w:type="dxa"/>
            </w:tcMar>
            <w:vAlign w:val="center"/>
          </w:tcPr>
          <w:p w14:paraId="14F009F9" w14:textId="2350B63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1.477.390</w:t>
            </w:r>
          </w:p>
        </w:tc>
        <w:tc>
          <w:tcPr>
            <w:tcW w:w="579" w:type="pct"/>
            <w:tcMar>
              <w:left w:w="57" w:type="dxa"/>
              <w:right w:w="57" w:type="dxa"/>
            </w:tcMar>
            <w:vAlign w:val="center"/>
          </w:tcPr>
          <w:p w14:paraId="57BB52E6" w14:textId="23CA8064"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28.010.635</w:t>
            </w:r>
          </w:p>
        </w:tc>
        <w:tc>
          <w:tcPr>
            <w:tcW w:w="358" w:type="pct"/>
            <w:tcMar>
              <w:left w:w="57" w:type="dxa"/>
              <w:right w:w="57" w:type="dxa"/>
            </w:tcMar>
            <w:vAlign w:val="center"/>
          </w:tcPr>
          <w:p w14:paraId="4868194C" w14:textId="2DBAE097"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5C9F46FC" w14:textId="3A29B15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5730B3C" w14:textId="79C3CF3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26.993</w:t>
            </w:r>
          </w:p>
        </w:tc>
        <w:tc>
          <w:tcPr>
            <w:tcW w:w="517" w:type="pct"/>
            <w:vAlign w:val="center"/>
          </w:tcPr>
          <w:p w14:paraId="0982E6E6" w14:textId="12F76CC4"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10.358.941</w:t>
            </w:r>
          </w:p>
        </w:tc>
        <w:tc>
          <w:tcPr>
            <w:tcW w:w="502" w:type="pct"/>
            <w:tcMar>
              <w:left w:w="57" w:type="dxa"/>
              <w:right w:w="57" w:type="dxa"/>
            </w:tcMar>
            <w:vAlign w:val="center"/>
          </w:tcPr>
          <w:p w14:paraId="7DE0C0D2" w14:textId="5E6B34B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1.136.480</w:t>
            </w:r>
          </w:p>
        </w:tc>
        <w:tc>
          <w:tcPr>
            <w:tcW w:w="577" w:type="pct"/>
            <w:tcMar>
              <w:left w:w="57" w:type="dxa"/>
              <w:right w:w="57" w:type="dxa"/>
            </w:tcMar>
            <w:vAlign w:val="center"/>
          </w:tcPr>
          <w:p w14:paraId="32522C21" w14:textId="1F6520D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25.106</w:t>
            </w:r>
          </w:p>
        </w:tc>
      </w:tr>
      <w:tr w:rsidR="00E036D3" w:rsidRPr="00FB38E1" w14:paraId="2B3A8060" w14:textId="77777777" w:rsidTr="00E036D3">
        <w:tc>
          <w:tcPr>
            <w:tcW w:w="1021" w:type="pct"/>
            <w:tcMar>
              <w:left w:w="113" w:type="dxa"/>
              <w:right w:w="57" w:type="dxa"/>
            </w:tcMar>
          </w:tcPr>
          <w:p w14:paraId="14BD6D97"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Mali Kuruluşlar</w:t>
            </w:r>
          </w:p>
        </w:tc>
        <w:tc>
          <w:tcPr>
            <w:tcW w:w="578" w:type="pct"/>
            <w:tcMar>
              <w:left w:w="57" w:type="dxa"/>
              <w:right w:w="57" w:type="dxa"/>
            </w:tcMar>
            <w:vAlign w:val="center"/>
          </w:tcPr>
          <w:p w14:paraId="4221E863" w14:textId="350BAD7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32.865</w:t>
            </w:r>
          </w:p>
        </w:tc>
        <w:tc>
          <w:tcPr>
            <w:tcW w:w="579" w:type="pct"/>
            <w:tcMar>
              <w:left w:w="57" w:type="dxa"/>
              <w:right w:w="57" w:type="dxa"/>
            </w:tcMar>
            <w:vAlign w:val="center"/>
          </w:tcPr>
          <w:p w14:paraId="29DCF017" w14:textId="00F2980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13.367.381</w:t>
            </w:r>
          </w:p>
        </w:tc>
        <w:tc>
          <w:tcPr>
            <w:tcW w:w="358" w:type="pct"/>
            <w:tcMar>
              <w:left w:w="57" w:type="dxa"/>
              <w:right w:w="57" w:type="dxa"/>
            </w:tcMar>
            <w:vAlign w:val="center"/>
          </w:tcPr>
          <w:p w14:paraId="1BF358D5" w14:textId="1002AFE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61A398E0" w14:textId="0A623D0D"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939</w:t>
            </w:r>
          </w:p>
        </w:tc>
        <w:tc>
          <w:tcPr>
            <w:tcW w:w="436" w:type="pct"/>
            <w:vAlign w:val="center"/>
          </w:tcPr>
          <w:p w14:paraId="5C2CBDBD" w14:textId="4E88D9F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131</w:t>
            </w:r>
          </w:p>
        </w:tc>
        <w:tc>
          <w:tcPr>
            <w:tcW w:w="517" w:type="pct"/>
            <w:vAlign w:val="center"/>
          </w:tcPr>
          <w:p w14:paraId="3B77D8DF" w14:textId="5543178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4.424.122</w:t>
            </w:r>
          </w:p>
        </w:tc>
        <w:tc>
          <w:tcPr>
            <w:tcW w:w="502" w:type="pct"/>
            <w:tcMar>
              <w:left w:w="57" w:type="dxa"/>
              <w:right w:w="57" w:type="dxa"/>
            </w:tcMar>
            <w:vAlign w:val="center"/>
          </w:tcPr>
          <w:p w14:paraId="7FC7BB59" w14:textId="7AF3D1E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20.706</w:t>
            </w:r>
          </w:p>
        </w:tc>
        <w:tc>
          <w:tcPr>
            <w:tcW w:w="577" w:type="pct"/>
            <w:tcMar>
              <w:left w:w="57" w:type="dxa"/>
              <w:right w:w="57" w:type="dxa"/>
            </w:tcMar>
            <w:vAlign w:val="center"/>
          </w:tcPr>
          <w:p w14:paraId="2C6B4B75" w14:textId="1C003F0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52C3BC72" w14:textId="77777777" w:rsidTr="00E036D3">
        <w:tc>
          <w:tcPr>
            <w:tcW w:w="1021" w:type="pct"/>
            <w:tcMar>
              <w:left w:w="113" w:type="dxa"/>
              <w:right w:w="57" w:type="dxa"/>
            </w:tcMar>
          </w:tcPr>
          <w:p w14:paraId="7E5BB78A"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Gayrimenkul ve Kira Hizm.</w:t>
            </w:r>
          </w:p>
        </w:tc>
        <w:tc>
          <w:tcPr>
            <w:tcW w:w="578" w:type="pct"/>
            <w:tcMar>
              <w:left w:w="57" w:type="dxa"/>
              <w:right w:w="57" w:type="dxa"/>
            </w:tcMar>
            <w:vAlign w:val="center"/>
          </w:tcPr>
          <w:p w14:paraId="1F9D3314" w14:textId="7CFCD83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130.643</w:t>
            </w:r>
          </w:p>
        </w:tc>
        <w:tc>
          <w:tcPr>
            <w:tcW w:w="579" w:type="pct"/>
            <w:tcMar>
              <w:left w:w="57" w:type="dxa"/>
              <w:right w:w="57" w:type="dxa"/>
            </w:tcMar>
            <w:vAlign w:val="center"/>
          </w:tcPr>
          <w:p w14:paraId="6CBD492D" w14:textId="3E25DBA7"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329.725</w:t>
            </w:r>
          </w:p>
        </w:tc>
        <w:tc>
          <w:tcPr>
            <w:tcW w:w="358" w:type="pct"/>
            <w:tcMar>
              <w:left w:w="57" w:type="dxa"/>
              <w:right w:w="57" w:type="dxa"/>
            </w:tcMar>
            <w:vAlign w:val="center"/>
          </w:tcPr>
          <w:p w14:paraId="34AD250E" w14:textId="3A87C007"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71735E87" w14:textId="6D2EA8EF"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71FE5614" w14:textId="3CE4659A"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281</w:t>
            </w:r>
          </w:p>
        </w:tc>
        <w:tc>
          <w:tcPr>
            <w:tcW w:w="517" w:type="pct"/>
            <w:vAlign w:val="center"/>
          </w:tcPr>
          <w:p w14:paraId="453932FA" w14:textId="126797E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441.356</w:t>
            </w:r>
          </w:p>
        </w:tc>
        <w:tc>
          <w:tcPr>
            <w:tcW w:w="502" w:type="pct"/>
            <w:tcMar>
              <w:left w:w="57" w:type="dxa"/>
              <w:right w:w="57" w:type="dxa"/>
            </w:tcMar>
            <w:vAlign w:val="center"/>
          </w:tcPr>
          <w:p w14:paraId="3E658872" w14:textId="43CDD96A"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54.269</w:t>
            </w:r>
          </w:p>
        </w:tc>
        <w:tc>
          <w:tcPr>
            <w:tcW w:w="577" w:type="pct"/>
            <w:tcMar>
              <w:left w:w="57" w:type="dxa"/>
              <w:right w:w="57" w:type="dxa"/>
            </w:tcMar>
            <w:vAlign w:val="center"/>
          </w:tcPr>
          <w:p w14:paraId="58305F45" w14:textId="5691662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232</w:t>
            </w:r>
          </w:p>
        </w:tc>
      </w:tr>
      <w:tr w:rsidR="00E036D3" w:rsidRPr="00FB38E1" w14:paraId="79B6F256" w14:textId="77777777" w:rsidTr="00E036D3">
        <w:tc>
          <w:tcPr>
            <w:tcW w:w="1021" w:type="pct"/>
            <w:tcMar>
              <w:left w:w="113" w:type="dxa"/>
              <w:right w:w="57" w:type="dxa"/>
            </w:tcMar>
          </w:tcPr>
          <w:p w14:paraId="3A214E36"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Serbest Meslek Hizmetleri</w:t>
            </w:r>
          </w:p>
        </w:tc>
        <w:tc>
          <w:tcPr>
            <w:tcW w:w="578" w:type="pct"/>
            <w:tcMar>
              <w:left w:w="57" w:type="dxa"/>
              <w:right w:w="57" w:type="dxa"/>
            </w:tcMar>
            <w:vAlign w:val="center"/>
          </w:tcPr>
          <w:p w14:paraId="2AC23D91" w14:textId="02E2A1A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92.718</w:t>
            </w:r>
          </w:p>
        </w:tc>
        <w:tc>
          <w:tcPr>
            <w:tcW w:w="579" w:type="pct"/>
            <w:tcMar>
              <w:left w:w="57" w:type="dxa"/>
              <w:right w:w="57" w:type="dxa"/>
            </w:tcMar>
            <w:vAlign w:val="center"/>
          </w:tcPr>
          <w:p w14:paraId="78C0B63E" w14:textId="511FEEA4"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358" w:type="pct"/>
            <w:tcMar>
              <w:left w:w="57" w:type="dxa"/>
              <w:right w:w="57" w:type="dxa"/>
            </w:tcMar>
            <w:vAlign w:val="center"/>
          </w:tcPr>
          <w:p w14:paraId="141C6F2C" w14:textId="5EF5B729"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21E1AE32" w14:textId="43382E0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69E48B61" w14:textId="3A1263FA"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vAlign w:val="center"/>
          </w:tcPr>
          <w:p w14:paraId="7FC3F28F" w14:textId="7DA8A67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2" w:type="pct"/>
            <w:tcMar>
              <w:left w:w="57" w:type="dxa"/>
              <w:right w:w="57" w:type="dxa"/>
            </w:tcMar>
            <w:vAlign w:val="center"/>
          </w:tcPr>
          <w:p w14:paraId="1B3D4E7D" w14:textId="375ED8F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76.275</w:t>
            </w:r>
          </w:p>
        </w:tc>
        <w:tc>
          <w:tcPr>
            <w:tcW w:w="577" w:type="pct"/>
            <w:tcMar>
              <w:left w:w="57" w:type="dxa"/>
              <w:right w:w="57" w:type="dxa"/>
            </w:tcMar>
            <w:vAlign w:val="center"/>
          </w:tcPr>
          <w:p w14:paraId="19F8D2AD" w14:textId="211C296E"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11EB5061" w14:textId="77777777" w:rsidTr="00E036D3">
        <w:tc>
          <w:tcPr>
            <w:tcW w:w="1021" w:type="pct"/>
            <w:tcMar>
              <w:left w:w="113" w:type="dxa"/>
              <w:right w:w="57" w:type="dxa"/>
            </w:tcMar>
          </w:tcPr>
          <w:p w14:paraId="7A7BD5FC"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Eğitim Hizmetleri</w:t>
            </w:r>
          </w:p>
        </w:tc>
        <w:tc>
          <w:tcPr>
            <w:tcW w:w="578" w:type="pct"/>
            <w:tcMar>
              <w:left w:w="57" w:type="dxa"/>
              <w:right w:w="57" w:type="dxa"/>
            </w:tcMar>
            <w:vAlign w:val="center"/>
          </w:tcPr>
          <w:p w14:paraId="7BCD116A" w14:textId="2EB608F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59.888</w:t>
            </w:r>
          </w:p>
        </w:tc>
        <w:tc>
          <w:tcPr>
            <w:tcW w:w="579" w:type="pct"/>
            <w:tcMar>
              <w:left w:w="57" w:type="dxa"/>
              <w:right w:w="57" w:type="dxa"/>
            </w:tcMar>
            <w:vAlign w:val="center"/>
          </w:tcPr>
          <w:p w14:paraId="05220CDE" w14:textId="52B88588"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1.794.962</w:t>
            </w:r>
          </w:p>
        </w:tc>
        <w:tc>
          <w:tcPr>
            <w:tcW w:w="358" w:type="pct"/>
            <w:tcMar>
              <w:left w:w="57" w:type="dxa"/>
              <w:right w:w="57" w:type="dxa"/>
            </w:tcMar>
            <w:vAlign w:val="center"/>
          </w:tcPr>
          <w:p w14:paraId="06544FC8" w14:textId="4B61110D"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6B8568CC" w14:textId="2B9063D6"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78123C56" w14:textId="4E69AFB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2.192</w:t>
            </w:r>
          </w:p>
        </w:tc>
        <w:tc>
          <w:tcPr>
            <w:tcW w:w="517" w:type="pct"/>
            <w:vAlign w:val="center"/>
          </w:tcPr>
          <w:p w14:paraId="6EA1B489" w14:textId="10F4879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497.578</w:t>
            </w:r>
          </w:p>
        </w:tc>
        <w:tc>
          <w:tcPr>
            <w:tcW w:w="502" w:type="pct"/>
            <w:tcMar>
              <w:left w:w="57" w:type="dxa"/>
              <w:right w:w="57" w:type="dxa"/>
            </w:tcMar>
            <w:vAlign w:val="center"/>
          </w:tcPr>
          <w:p w14:paraId="4C97F15E" w14:textId="2EA0FF7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53.773</w:t>
            </w:r>
          </w:p>
        </w:tc>
        <w:tc>
          <w:tcPr>
            <w:tcW w:w="577" w:type="pct"/>
            <w:tcMar>
              <w:left w:w="57" w:type="dxa"/>
              <w:right w:w="57" w:type="dxa"/>
            </w:tcMar>
            <w:vAlign w:val="center"/>
          </w:tcPr>
          <w:p w14:paraId="7C1377E4" w14:textId="2CA0A917"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161</w:t>
            </w:r>
          </w:p>
        </w:tc>
      </w:tr>
      <w:tr w:rsidR="00E036D3" w:rsidRPr="00FB38E1" w14:paraId="76A17A51" w14:textId="77777777" w:rsidTr="00E036D3">
        <w:tc>
          <w:tcPr>
            <w:tcW w:w="1021" w:type="pct"/>
            <w:tcMar>
              <w:left w:w="113" w:type="dxa"/>
              <w:right w:w="57" w:type="dxa"/>
            </w:tcMar>
          </w:tcPr>
          <w:p w14:paraId="0B77581B" w14:textId="77777777" w:rsidR="00E036D3" w:rsidRPr="00FB38E1" w:rsidRDefault="00E036D3" w:rsidP="00E036D3">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Sağlık ve Sosyal Hizmetler</w:t>
            </w:r>
          </w:p>
        </w:tc>
        <w:tc>
          <w:tcPr>
            <w:tcW w:w="578" w:type="pct"/>
            <w:tcMar>
              <w:left w:w="57" w:type="dxa"/>
              <w:right w:w="57" w:type="dxa"/>
            </w:tcMar>
            <w:vAlign w:val="center"/>
          </w:tcPr>
          <w:p w14:paraId="7C7BC67E" w14:textId="14AE10D4"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142.159</w:t>
            </w:r>
          </w:p>
        </w:tc>
        <w:tc>
          <w:tcPr>
            <w:tcW w:w="579" w:type="pct"/>
            <w:tcMar>
              <w:left w:w="57" w:type="dxa"/>
              <w:right w:w="57" w:type="dxa"/>
            </w:tcMar>
            <w:vAlign w:val="center"/>
          </w:tcPr>
          <w:p w14:paraId="337AC2F0" w14:textId="438ED011"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4.326.734</w:t>
            </w:r>
          </w:p>
        </w:tc>
        <w:tc>
          <w:tcPr>
            <w:tcW w:w="358" w:type="pct"/>
            <w:tcMar>
              <w:left w:w="57" w:type="dxa"/>
              <w:right w:w="57" w:type="dxa"/>
            </w:tcMar>
            <w:vAlign w:val="center"/>
          </w:tcPr>
          <w:p w14:paraId="07955213" w14:textId="60D467A5"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1" w:type="pct"/>
            <w:tcMar>
              <w:left w:w="57" w:type="dxa"/>
              <w:right w:w="57" w:type="dxa"/>
            </w:tcMar>
            <w:vAlign w:val="center"/>
          </w:tcPr>
          <w:p w14:paraId="067A5110" w14:textId="3D6739D3"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36" w:type="pct"/>
            <w:vAlign w:val="center"/>
          </w:tcPr>
          <w:p w14:paraId="1D848218" w14:textId="07ECF8CB"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1.288</w:t>
            </w:r>
          </w:p>
        </w:tc>
        <w:tc>
          <w:tcPr>
            <w:tcW w:w="517" w:type="pct"/>
            <w:vAlign w:val="center"/>
          </w:tcPr>
          <w:p w14:paraId="7F7F9DCB" w14:textId="128C2DE2"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1.096.872</w:t>
            </w:r>
          </w:p>
        </w:tc>
        <w:tc>
          <w:tcPr>
            <w:tcW w:w="502" w:type="pct"/>
            <w:tcMar>
              <w:left w:w="57" w:type="dxa"/>
              <w:right w:w="57" w:type="dxa"/>
            </w:tcMar>
            <w:vAlign w:val="center"/>
          </w:tcPr>
          <w:p w14:paraId="5DD57519" w14:textId="08C45470"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106.743</w:t>
            </w:r>
          </w:p>
        </w:tc>
        <w:tc>
          <w:tcPr>
            <w:tcW w:w="577" w:type="pct"/>
            <w:tcMar>
              <w:left w:w="57" w:type="dxa"/>
              <w:right w:w="57" w:type="dxa"/>
            </w:tcMar>
            <w:vAlign w:val="center"/>
          </w:tcPr>
          <w:p w14:paraId="60FA1FC4" w14:textId="5316770D" w:rsidR="00E036D3" w:rsidRPr="00FB38E1" w:rsidRDefault="00E036D3" w:rsidP="00E036D3">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19.568</w:t>
            </w:r>
          </w:p>
        </w:tc>
      </w:tr>
      <w:tr w:rsidR="00E036D3" w:rsidRPr="00FB38E1" w14:paraId="63E58301" w14:textId="77777777" w:rsidTr="00E036D3">
        <w:tc>
          <w:tcPr>
            <w:tcW w:w="1021" w:type="pct"/>
            <w:tcBorders>
              <w:bottom w:val="single" w:sz="4" w:space="0" w:color="auto"/>
            </w:tcBorders>
            <w:tcMar>
              <w:left w:w="57" w:type="dxa"/>
              <w:right w:w="57" w:type="dxa"/>
            </w:tcMar>
          </w:tcPr>
          <w:p w14:paraId="2BDE66A5" w14:textId="77777777" w:rsidR="00E036D3" w:rsidRPr="00FB38E1" w:rsidRDefault="00E036D3" w:rsidP="00E036D3">
            <w:pPr>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Diğer</w:t>
            </w:r>
          </w:p>
        </w:tc>
        <w:tc>
          <w:tcPr>
            <w:tcW w:w="578" w:type="pct"/>
            <w:tcBorders>
              <w:bottom w:val="single" w:sz="4" w:space="0" w:color="auto"/>
            </w:tcBorders>
            <w:tcMar>
              <w:left w:w="57" w:type="dxa"/>
              <w:right w:w="57" w:type="dxa"/>
            </w:tcMar>
            <w:vAlign w:val="center"/>
          </w:tcPr>
          <w:p w14:paraId="0E148D1B" w14:textId="413CC376"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5.404.887</w:t>
            </w:r>
          </w:p>
        </w:tc>
        <w:tc>
          <w:tcPr>
            <w:tcW w:w="579" w:type="pct"/>
            <w:tcBorders>
              <w:bottom w:val="single" w:sz="4" w:space="0" w:color="auto"/>
            </w:tcBorders>
            <w:tcMar>
              <w:left w:w="57" w:type="dxa"/>
              <w:right w:w="57" w:type="dxa"/>
            </w:tcMar>
            <w:vAlign w:val="center"/>
          </w:tcPr>
          <w:p w14:paraId="4575EB06" w14:textId="101E28CA"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210.833.188</w:t>
            </w:r>
          </w:p>
        </w:tc>
        <w:tc>
          <w:tcPr>
            <w:tcW w:w="358" w:type="pct"/>
            <w:tcBorders>
              <w:bottom w:val="single" w:sz="4" w:space="0" w:color="auto"/>
            </w:tcBorders>
            <w:tcMar>
              <w:left w:w="57" w:type="dxa"/>
              <w:right w:w="57" w:type="dxa"/>
            </w:tcMar>
            <w:vAlign w:val="center"/>
          </w:tcPr>
          <w:p w14:paraId="57C61115" w14:textId="1FA6B463"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1" w:type="pct"/>
            <w:tcBorders>
              <w:bottom w:val="single" w:sz="4" w:space="0" w:color="auto"/>
            </w:tcBorders>
            <w:tcMar>
              <w:left w:w="57" w:type="dxa"/>
              <w:right w:w="57" w:type="dxa"/>
            </w:tcMar>
            <w:vAlign w:val="center"/>
          </w:tcPr>
          <w:p w14:paraId="648A2C8A" w14:textId="4563C0E4"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138.656.366</w:t>
            </w:r>
          </w:p>
        </w:tc>
        <w:tc>
          <w:tcPr>
            <w:tcW w:w="436" w:type="pct"/>
            <w:tcBorders>
              <w:bottom w:val="single" w:sz="4" w:space="0" w:color="auto"/>
            </w:tcBorders>
            <w:vAlign w:val="center"/>
          </w:tcPr>
          <w:p w14:paraId="23DBA923" w14:textId="57FB4DBD"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186.878</w:t>
            </w:r>
          </w:p>
        </w:tc>
        <w:tc>
          <w:tcPr>
            <w:tcW w:w="517" w:type="pct"/>
            <w:tcBorders>
              <w:bottom w:val="single" w:sz="4" w:space="0" w:color="auto"/>
            </w:tcBorders>
            <w:vAlign w:val="center"/>
          </w:tcPr>
          <w:p w14:paraId="3CF478FC" w14:textId="24D0F0A8"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321.369.453</w:t>
            </w:r>
          </w:p>
        </w:tc>
        <w:tc>
          <w:tcPr>
            <w:tcW w:w="502" w:type="pct"/>
            <w:tcBorders>
              <w:bottom w:val="single" w:sz="4" w:space="0" w:color="auto"/>
            </w:tcBorders>
            <w:tcMar>
              <w:left w:w="57" w:type="dxa"/>
              <w:right w:w="57" w:type="dxa"/>
            </w:tcMar>
            <w:vAlign w:val="center"/>
          </w:tcPr>
          <w:p w14:paraId="09D22A26" w14:textId="539537E9"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3.109.442</w:t>
            </w:r>
          </w:p>
        </w:tc>
        <w:tc>
          <w:tcPr>
            <w:tcW w:w="577" w:type="pct"/>
            <w:tcBorders>
              <w:bottom w:val="single" w:sz="4" w:space="0" w:color="auto"/>
            </w:tcBorders>
            <w:tcMar>
              <w:left w:w="57" w:type="dxa"/>
              <w:right w:w="57" w:type="dxa"/>
            </w:tcMar>
            <w:vAlign w:val="center"/>
          </w:tcPr>
          <w:p w14:paraId="5EA7BC09" w14:textId="66DBB821"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1.888.282</w:t>
            </w:r>
          </w:p>
        </w:tc>
      </w:tr>
      <w:tr w:rsidR="00E036D3" w:rsidRPr="00FB38E1" w14:paraId="669E82B7" w14:textId="77777777" w:rsidTr="00E036D3">
        <w:tc>
          <w:tcPr>
            <w:tcW w:w="1021" w:type="pct"/>
            <w:tcBorders>
              <w:top w:val="single" w:sz="4" w:space="0" w:color="auto"/>
              <w:bottom w:val="thickThinSmallGap" w:sz="24" w:space="0" w:color="auto"/>
            </w:tcBorders>
            <w:tcMar>
              <w:left w:w="57" w:type="dxa"/>
              <w:right w:w="57" w:type="dxa"/>
            </w:tcMar>
          </w:tcPr>
          <w:p w14:paraId="76DFA01E" w14:textId="77777777" w:rsidR="00E036D3" w:rsidRPr="00FB38E1" w:rsidRDefault="00E036D3" w:rsidP="00E036D3">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578" w:type="pct"/>
            <w:tcBorders>
              <w:top w:val="single" w:sz="4" w:space="0" w:color="auto"/>
              <w:bottom w:val="thickThinSmallGap" w:sz="24" w:space="0" w:color="auto"/>
            </w:tcBorders>
            <w:tcMar>
              <w:left w:w="57" w:type="dxa"/>
              <w:right w:w="57" w:type="dxa"/>
            </w:tcMar>
            <w:vAlign w:val="center"/>
          </w:tcPr>
          <w:p w14:paraId="7C0E882B" w14:textId="584E7499"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21.224.916</w:t>
            </w:r>
          </w:p>
        </w:tc>
        <w:tc>
          <w:tcPr>
            <w:tcW w:w="579" w:type="pct"/>
            <w:tcBorders>
              <w:top w:val="single" w:sz="4" w:space="0" w:color="auto"/>
              <w:bottom w:val="thickThinSmallGap" w:sz="24" w:space="0" w:color="auto"/>
            </w:tcBorders>
            <w:tcMar>
              <w:left w:w="57" w:type="dxa"/>
              <w:right w:w="57" w:type="dxa"/>
            </w:tcMar>
            <w:vAlign w:val="center"/>
          </w:tcPr>
          <w:p w14:paraId="548AE1C4" w14:textId="14BDD615"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479.233.410</w:t>
            </w:r>
          </w:p>
        </w:tc>
        <w:tc>
          <w:tcPr>
            <w:tcW w:w="358" w:type="pct"/>
            <w:tcBorders>
              <w:top w:val="single" w:sz="4" w:space="0" w:color="auto"/>
              <w:bottom w:val="thickThinSmallGap" w:sz="24" w:space="0" w:color="auto"/>
            </w:tcBorders>
            <w:tcMar>
              <w:left w:w="57" w:type="dxa"/>
              <w:right w:w="57" w:type="dxa"/>
            </w:tcMar>
            <w:vAlign w:val="center"/>
          </w:tcPr>
          <w:p w14:paraId="6F03F7B0" w14:textId="6311041E"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31" w:type="pct"/>
            <w:tcBorders>
              <w:top w:val="single" w:sz="4" w:space="0" w:color="auto"/>
              <w:bottom w:val="thickThinSmallGap" w:sz="24" w:space="0" w:color="auto"/>
            </w:tcBorders>
            <w:tcMar>
              <w:left w:w="57" w:type="dxa"/>
              <w:right w:w="57" w:type="dxa"/>
            </w:tcMar>
            <w:vAlign w:val="center"/>
          </w:tcPr>
          <w:p w14:paraId="064212D4" w14:textId="5B9C14E1"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138.657.305</w:t>
            </w:r>
          </w:p>
        </w:tc>
        <w:tc>
          <w:tcPr>
            <w:tcW w:w="436" w:type="pct"/>
            <w:tcBorders>
              <w:top w:val="single" w:sz="4" w:space="0" w:color="auto"/>
              <w:bottom w:val="thickThinSmallGap" w:sz="24" w:space="0" w:color="auto"/>
            </w:tcBorders>
            <w:vAlign w:val="center"/>
          </w:tcPr>
          <w:p w14:paraId="2FD8F41B" w14:textId="7848276B"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3.683.586</w:t>
            </w:r>
          </w:p>
        </w:tc>
        <w:tc>
          <w:tcPr>
            <w:tcW w:w="517" w:type="pct"/>
            <w:tcBorders>
              <w:top w:val="single" w:sz="4" w:space="0" w:color="auto"/>
              <w:bottom w:val="thickThinSmallGap" w:sz="24" w:space="0" w:color="auto"/>
            </w:tcBorders>
            <w:vAlign w:val="center"/>
          </w:tcPr>
          <w:p w14:paraId="31198647" w14:textId="112D1C9F"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518.740.153</w:t>
            </w:r>
          </w:p>
        </w:tc>
        <w:tc>
          <w:tcPr>
            <w:tcW w:w="502" w:type="pct"/>
            <w:tcBorders>
              <w:top w:val="single" w:sz="4" w:space="0" w:color="auto"/>
              <w:bottom w:val="thickThinSmallGap" w:sz="24" w:space="0" w:color="auto"/>
            </w:tcBorders>
            <w:tcMar>
              <w:left w:w="57" w:type="dxa"/>
              <w:right w:w="57" w:type="dxa"/>
            </w:tcMar>
            <w:vAlign w:val="center"/>
          </w:tcPr>
          <w:p w14:paraId="3B411CCC" w14:textId="102BC2F8"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14.378.131</w:t>
            </w:r>
          </w:p>
        </w:tc>
        <w:tc>
          <w:tcPr>
            <w:tcW w:w="577" w:type="pct"/>
            <w:tcBorders>
              <w:top w:val="single" w:sz="4" w:space="0" w:color="auto"/>
              <w:bottom w:val="thickThinSmallGap" w:sz="24" w:space="0" w:color="auto"/>
            </w:tcBorders>
            <w:tcMar>
              <w:left w:w="57" w:type="dxa"/>
              <w:right w:w="57" w:type="dxa"/>
            </w:tcMar>
            <w:vAlign w:val="center"/>
          </w:tcPr>
          <w:p w14:paraId="4BFA9121" w14:textId="237AB881" w:rsidR="00E036D3" w:rsidRPr="00FB38E1" w:rsidRDefault="00E036D3" w:rsidP="00E036D3">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2.386.138</w:t>
            </w:r>
          </w:p>
        </w:tc>
      </w:tr>
    </w:tbl>
    <w:p w14:paraId="6A099D9D" w14:textId="77777777" w:rsidR="00E036D3" w:rsidRPr="00FB38E1" w:rsidRDefault="00E036D3" w:rsidP="00E036D3">
      <w:pPr>
        <w:pStyle w:val="ListParagraph"/>
        <w:spacing w:after="120" w:line="240" w:lineRule="exact"/>
        <w:ind w:left="0"/>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xml:space="preserve"> (*) Takipteki krediler portföyünden yapılan satışlar ve aktiften silininen tutarları içermektedir.</w:t>
      </w:r>
    </w:p>
    <w:p w14:paraId="0DF088E6" w14:textId="77777777" w:rsidR="00E036D3" w:rsidRPr="00FB38E1" w:rsidRDefault="00E036D3" w:rsidP="00364B59">
      <w:pPr>
        <w:pStyle w:val="ListParagraph"/>
        <w:numPr>
          <w:ilvl w:val="0"/>
          <w:numId w:val="56"/>
        </w:numPr>
        <w:spacing w:before="240" w:after="120" w:line="220" w:lineRule="exact"/>
        <w:ind w:left="0" w:hanging="142"/>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Alacakların kalan vadesine göre dağılımı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2"/>
        <w:gridCol w:w="2712"/>
        <w:gridCol w:w="1051"/>
        <w:gridCol w:w="894"/>
        <w:gridCol w:w="891"/>
        <w:gridCol w:w="894"/>
        <w:gridCol w:w="997"/>
        <w:gridCol w:w="997"/>
        <w:gridCol w:w="1011"/>
      </w:tblGrid>
      <w:tr w:rsidR="00E036D3" w:rsidRPr="00FB38E1" w14:paraId="1E4039B0" w14:textId="77777777" w:rsidTr="00836EF2">
        <w:tc>
          <w:tcPr>
            <w:tcW w:w="1506" w:type="pct"/>
            <w:gridSpan w:val="2"/>
            <w:tcBorders>
              <w:top w:val="thinThickSmallGap" w:sz="24" w:space="0" w:color="auto"/>
              <w:bottom w:val="single" w:sz="4" w:space="0" w:color="auto"/>
            </w:tcBorders>
            <w:tcMar>
              <w:left w:w="57" w:type="dxa"/>
              <w:right w:w="57" w:type="dxa"/>
            </w:tcMar>
          </w:tcPr>
          <w:p w14:paraId="5FC09281" w14:textId="77777777" w:rsidR="00E036D3" w:rsidRPr="00FB38E1" w:rsidRDefault="00E036D3" w:rsidP="00836EF2">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Cari Dönem</w:t>
            </w:r>
          </w:p>
        </w:tc>
        <w:tc>
          <w:tcPr>
            <w:tcW w:w="545" w:type="pct"/>
            <w:tcBorders>
              <w:top w:val="thinThickSmallGap" w:sz="24" w:space="0" w:color="auto"/>
              <w:bottom w:val="single" w:sz="4" w:space="0" w:color="auto"/>
            </w:tcBorders>
            <w:tcMar>
              <w:left w:w="57" w:type="dxa"/>
              <w:right w:w="57" w:type="dxa"/>
            </w:tcMar>
            <w:vAlign w:val="center"/>
          </w:tcPr>
          <w:p w14:paraId="79C14C7B"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Dağıtılamayan</w:t>
            </w:r>
          </w:p>
        </w:tc>
        <w:tc>
          <w:tcPr>
            <w:tcW w:w="464" w:type="pct"/>
            <w:tcBorders>
              <w:top w:val="thinThickSmallGap" w:sz="24" w:space="0" w:color="auto"/>
              <w:bottom w:val="single" w:sz="4" w:space="0" w:color="auto"/>
            </w:tcBorders>
            <w:tcMar>
              <w:left w:w="57" w:type="dxa"/>
              <w:right w:w="57" w:type="dxa"/>
            </w:tcMar>
            <w:vAlign w:val="center"/>
          </w:tcPr>
          <w:p w14:paraId="07A000ED"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ay</w:t>
            </w:r>
          </w:p>
        </w:tc>
        <w:tc>
          <w:tcPr>
            <w:tcW w:w="462" w:type="pct"/>
            <w:tcBorders>
              <w:top w:val="thinThickSmallGap" w:sz="24" w:space="0" w:color="auto"/>
              <w:bottom w:val="single" w:sz="4" w:space="0" w:color="auto"/>
            </w:tcBorders>
            <w:tcMar>
              <w:left w:w="57" w:type="dxa"/>
              <w:right w:w="57" w:type="dxa"/>
            </w:tcMar>
            <w:vAlign w:val="center"/>
          </w:tcPr>
          <w:p w14:paraId="2050297D"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 ay</w:t>
            </w:r>
          </w:p>
        </w:tc>
        <w:tc>
          <w:tcPr>
            <w:tcW w:w="464" w:type="pct"/>
            <w:tcBorders>
              <w:top w:val="thinThickSmallGap" w:sz="24" w:space="0" w:color="auto"/>
              <w:bottom w:val="single" w:sz="4" w:space="0" w:color="auto"/>
            </w:tcBorders>
            <w:tcMar>
              <w:left w:w="57" w:type="dxa"/>
              <w:right w:w="57" w:type="dxa"/>
            </w:tcMar>
            <w:vAlign w:val="center"/>
          </w:tcPr>
          <w:p w14:paraId="3E546C63"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3-6 ay</w:t>
            </w:r>
          </w:p>
        </w:tc>
        <w:tc>
          <w:tcPr>
            <w:tcW w:w="517" w:type="pct"/>
            <w:tcBorders>
              <w:top w:val="thinThickSmallGap" w:sz="24" w:space="0" w:color="auto"/>
              <w:bottom w:val="single" w:sz="4" w:space="0" w:color="auto"/>
            </w:tcBorders>
            <w:vAlign w:val="center"/>
          </w:tcPr>
          <w:p w14:paraId="47CEF2D9"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6-12 ay</w:t>
            </w:r>
          </w:p>
        </w:tc>
        <w:tc>
          <w:tcPr>
            <w:tcW w:w="517" w:type="pct"/>
            <w:tcBorders>
              <w:top w:val="thinThickSmallGap" w:sz="24" w:space="0" w:color="auto"/>
              <w:bottom w:val="single" w:sz="4" w:space="0" w:color="auto"/>
            </w:tcBorders>
            <w:vAlign w:val="center"/>
          </w:tcPr>
          <w:p w14:paraId="69474359"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yıl üzeri</w:t>
            </w:r>
          </w:p>
        </w:tc>
        <w:tc>
          <w:tcPr>
            <w:tcW w:w="524" w:type="pct"/>
            <w:tcBorders>
              <w:top w:val="thinThickSmallGap" w:sz="24" w:space="0" w:color="auto"/>
              <w:bottom w:val="single" w:sz="4" w:space="0" w:color="auto"/>
            </w:tcBorders>
            <w:tcMar>
              <w:left w:w="57" w:type="dxa"/>
              <w:right w:w="57" w:type="dxa"/>
            </w:tcMar>
            <w:vAlign w:val="center"/>
          </w:tcPr>
          <w:p w14:paraId="6DEFA956"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w:t>
            </w:r>
          </w:p>
        </w:tc>
      </w:tr>
      <w:tr w:rsidR="000F2DE6" w:rsidRPr="00FB38E1" w14:paraId="53E7192F" w14:textId="77777777" w:rsidTr="00836EF2">
        <w:tc>
          <w:tcPr>
            <w:tcW w:w="1506" w:type="pct"/>
            <w:gridSpan w:val="2"/>
            <w:tcBorders>
              <w:top w:val="single" w:sz="4" w:space="0" w:color="auto"/>
              <w:bottom w:val="nil"/>
            </w:tcBorders>
            <w:tcMar>
              <w:left w:w="57" w:type="dxa"/>
              <w:right w:w="57" w:type="dxa"/>
            </w:tcMar>
          </w:tcPr>
          <w:p w14:paraId="20F1C8B7" w14:textId="77777777" w:rsidR="000F2DE6" w:rsidRPr="00FB38E1" w:rsidRDefault="000F2DE6" w:rsidP="000F2DE6">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Temerrüt etmemiş alacaklar</w:t>
            </w:r>
          </w:p>
        </w:tc>
        <w:tc>
          <w:tcPr>
            <w:tcW w:w="545" w:type="pct"/>
            <w:tcBorders>
              <w:top w:val="single" w:sz="4" w:space="0" w:color="auto"/>
              <w:bottom w:val="nil"/>
            </w:tcBorders>
            <w:tcMar>
              <w:left w:w="57" w:type="dxa"/>
              <w:right w:w="57" w:type="dxa"/>
            </w:tcMar>
            <w:vAlign w:val="center"/>
          </w:tcPr>
          <w:p w14:paraId="76ADDBA9" w14:textId="45E57C75"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4" w:type="pct"/>
            <w:tcBorders>
              <w:top w:val="single" w:sz="4" w:space="0" w:color="auto"/>
              <w:bottom w:val="nil"/>
            </w:tcBorders>
            <w:tcMar>
              <w:left w:w="57" w:type="dxa"/>
              <w:right w:w="57" w:type="dxa"/>
            </w:tcMar>
            <w:vAlign w:val="center"/>
          </w:tcPr>
          <w:p w14:paraId="06D0D1AB" w14:textId="48B7BFA9"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641.959.490</w:t>
            </w:r>
          </w:p>
        </w:tc>
        <w:tc>
          <w:tcPr>
            <w:tcW w:w="462" w:type="pct"/>
            <w:tcBorders>
              <w:top w:val="single" w:sz="4" w:space="0" w:color="auto"/>
              <w:bottom w:val="nil"/>
            </w:tcBorders>
            <w:tcMar>
              <w:left w:w="57" w:type="dxa"/>
              <w:right w:w="57" w:type="dxa"/>
            </w:tcMar>
            <w:vAlign w:val="center"/>
          </w:tcPr>
          <w:p w14:paraId="1408368F" w14:textId="61E4B6BF"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88.117.031</w:t>
            </w:r>
          </w:p>
        </w:tc>
        <w:tc>
          <w:tcPr>
            <w:tcW w:w="464" w:type="pct"/>
            <w:tcBorders>
              <w:top w:val="single" w:sz="4" w:space="0" w:color="auto"/>
              <w:bottom w:val="nil"/>
            </w:tcBorders>
            <w:tcMar>
              <w:left w:w="57" w:type="dxa"/>
              <w:right w:w="57" w:type="dxa"/>
            </w:tcMar>
            <w:vAlign w:val="center"/>
          </w:tcPr>
          <w:p w14:paraId="1A21D096" w14:textId="23EA8847"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99.309.513</w:t>
            </w:r>
          </w:p>
        </w:tc>
        <w:tc>
          <w:tcPr>
            <w:tcW w:w="517" w:type="pct"/>
            <w:tcBorders>
              <w:top w:val="single" w:sz="4" w:space="0" w:color="auto"/>
              <w:bottom w:val="nil"/>
            </w:tcBorders>
            <w:vAlign w:val="center"/>
          </w:tcPr>
          <w:p w14:paraId="1E4BCCA8" w14:textId="3BEE8165"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233.200.868</w:t>
            </w:r>
          </w:p>
        </w:tc>
        <w:tc>
          <w:tcPr>
            <w:tcW w:w="517" w:type="pct"/>
            <w:tcBorders>
              <w:top w:val="single" w:sz="4" w:space="0" w:color="auto"/>
              <w:bottom w:val="nil"/>
            </w:tcBorders>
            <w:vAlign w:val="center"/>
          </w:tcPr>
          <w:p w14:paraId="5CF70B6B" w14:textId="7ABEAFE8"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517.424.175</w:t>
            </w:r>
          </w:p>
        </w:tc>
        <w:tc>
          <w:tcPr>
            <w:tcW w:w="524" w:type="pct"/>
            <w:tcBorders>
              <w:top w:val="single" w:sz="4" w:space="0" w:color="auto"/>
              <w:bottom w:val="nil"/>
            </w:tcBorders>
            <w:tcMar>
              <w:left w:w="57" w:type="dxa"/>
              <w:right w:w="57" w:type="dxa"/>
            </w:tcMar>
            <w:vAlign w:val="center"/>
          </w:tcPr>
          <w:p w14:paraId="0C7DDF2B" w14:textId="4AE93CE1"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1.580.011.077</w:t>
            </w:r>
          </w:p>
        </w:tc>
      </w:tr>
      <w:tr w:rsidR="000F2DE6" w:rsidRPr="00FB38E1" w14:paraId="667047DE" w14:textId="77777777" w:rsidTr="00836EF2">
        <w:tc>
          <w:tcPr>
            <w:tcW w:w="100" w:type="pct"/>
            <w:tcBorders>
              <w:top w:val="nil"/>
              <w:bottom w:val="nil"/>
            </w:tcBorders>
            <w:tcMar>
              <w:left w:w="57" w:type="dxa"/>
              <w:right w:w="57" w:type="dxa"/>
            </w:tcMar>
          </w:tcPr>
          <w:p w14:paraId="63BE127D" w14:textId="77777777" w:rsidR="000F2DE6" w:rsidRPr="00FB38E1" w:rsidRDefault="000F2DE6" w:rsidP="000F2D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1407" w:type="pct"/>
            <w:tcBorders>
              <w:top w:val="nil"/>
              <w:left w:val="nil"/>
              <w:bottom w:val="nil"/>
              <w:right w:val="nil"/>
            </w:tcBorders>
            <w:shd w:val="clear" w:color="auto" w:fill="auto"/>
            <w:tcMar>
              <w:left w:w="57" w:type="dxa"/>
              <w:right w:w="57" w:type="dxa"/>
            </w:tcMar>
            <w:vAlign w:val="center"/>
          </w:tcPr>
          <w:p w14:paraId="0DD82D44" w14:textId="77777777" w:rsidR="000F2DE6" w:rsidRPr="00FB38E1" w:rsidRDefault="000F2DE6" w:rsidP="000F2DE6">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Krediler</w:t>
            </w:r>
          </w:p>
        </w:tc>
        <w:tc>
          <w:tcPr>
            <w:tcW w:w="545" w:type="pct"/>
            <w:tcBorders>
              <w:top w:val="nil"/>
              <w:bottom w:val="nil"/>
            </w:tcBorders>
            <w:tcMar>
              <w:left w:w="57" w:type="dxa"/>
              <w:right w:w="57" w:type="dxa"/>
            </w:tcMar>
            <w:vAlign w:val="center"/>
          </w:tcPr>
          <w:p w14:paraId="394D33BD" w14:textId="73FD9E4C"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61C6AFAD" w14:textId="3F67D197"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150.256.107</w:t>
            </w:r>
          </w:p>
        </w:tc>
        <w:tc>
          <w:tcPr>
            <w:tcW w:w="462" w:type="pct"/>
            <w:tcBorders>
              <w:top w:val="nil"/>
              <w:bottom w:val="nil"/>
            </w:tcBorders>
            <w:tcMar>
              <w:left w:w="57" w:type="dxa"/>
              <w:right w:w="57" w:type="dxa"/>
            </w:tcMar>
            <w:vAlign w:val="center"/>
          </w:tcPr>
          <w:p w14:paraId="1E4E6DC5" w14:textId="15702670"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57.321.863</w:t>
            </w:r>
          </w:p>
        </w:tc>
        <w:tc>
          <w:tcPr>
            <w:tcW w:w="464" w:type="pct"/>
            <w:tcBorders>
              <w:top w:val="nil"/>
              <w:bottom w:val="nil"/>
            </w:tcBorders>
            <w:tcMar>
              <w:left w:w="57" w:type="dxa"/>
              <w:right w:w="57" w:type="dxa"/>
            </w:tcMar>
            <w:vAlign w:val="center"/>
          </w:tcPr>
          <w:p w14:paraId="41D5E3F3" w14:textId="5135D474"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68.936.843</w:t>
            </w:r>
          </w:p>
        </w:tc>
        <w:tc>
          <w:tcPr>
            <w:tcW w:w="517" w:type="pct"/>
            <w:tcBorders>
              <w:top w:val="nil"/>
              <w:bottom w:val="nil"/>
            </w:tcBorders>
            <w:vAlign w:val="center"/>
          </w:tcPr>
          <w:p w14:paraId="4596C2C2" w14:textId="205DDED9"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168.023.987</w:t>
            </w:r>
          </w:p>
        </w:tc>
        <w:tc>
          <w:tcPr>
            <w:tcW w:w="517" w:type="pct"/>
            <w:tcBorders>
              <w:top w:val="nil"/>
              <w:bottom w:val="nil"/>
            </w:tcBorders>
            <w:vAlign w:val="center"/>
          </w:tcPr>
          <w:p w14:paraId="43BA7261" w14:textId="0A91A150"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263.935.339</w:t>
            </w:r>
          </w:p>
        </w:tc>
        <w:tc>
          <w:tcPr>
            <w:tcW w:w="524" w:type="pct"/>
            <w:tcBorders>
              <w:top w:val="nil"/>
              <w:bottom w:val="nil"/>
            </w:tcBorders>
            <w:tcMar>
              <w:left w:w="57" w:type="dxa"/>
              <w:right w:w="57" w:type="dxa"/>
            </w:tcMar>
            <w:vAlign w:val="center"/>
          </w:tcPr>
          <w:p w14:paraId="62C2CE46" w14:textId="0D39EFA0"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708.474.139</w:t>
            </w:r>
          </w:p>
        </w:tc>
      </w:tr>
      <w:tr w:rsidR="000F2DE6" w:rsidRPr="00FB38E1" w14:paraId="6DF2AF7C" w14:textId="77777777" w:rsidTr="00836EF2">
        <w:tc>
          <w:tcPr>
            <w:tcW w:w="100" w:type="pct"/>
            <w:tcBorders>
              <w:top w:val="nil"/>
              <w:bottom w:val="nil"/>
            </w:tcBorders>
            <w:tcMar>
              <w:left w:w="57" w:type="dxa"/>
              <w:right w:w="57" w:type="dxa"/>
            </w:tcMar>
          </w:tcPr>
          <w:p w14:paraId="7C81F3D3" w14:textId="77777777" w:rsidR="000F2DE6" w:rsidRPr="00FB38E1" w:rsidRDefault="000F2DE6" w:rsidP="000F2D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1407" w:type="pct"/>
            <w:tcBorders>
              <w:top w:val="nil"/>
              <w:left w:val="nil"/>
              <w:bottom w:val="nil"/>
              <w:right w:val="nil"/>
            </w:tcBorders>
            <w:shd w:val="clear" w:color="auto" w:fill="auto"/>
            <w:tcMar>
              <w:left w:w="57" w:type="dxa"/>
              <w:right w:w="57" w:type="dxa"/>
            </w:tcMar>
            <w:vAlign w:val="center"/>
          </w:tcPr>
          <w:p w14:paraId="2073E03D" w14:textId="77777777" w:rsidR="000F2DE6" w:rsidRPr="00FB38E1" w:rsidRDefault="000F2DE6" w:rsidP="000F2DE6">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Borçlanma araçları</w:t>
            </w:r>
          </w:p>
        </w:tc>
        <w:tc>
          <w:tcPr>
            <w:tcW w:w="545" w:type="pct"/>
            <w:tcBorders>
              <w:top w:val="nil"/>
              <w:bottom w:val="nil"/>
            </w:tcBorders>
            <w:tcMar>
              <w:left w:w="57" w:type="dxa"/>
              <w:right w:w="57" w:type="dxa"/>
            </w:tcMar>
            <w:vAlign w:val="center"/>
          </w:tcPr>
          <w:p w14:paraId="186E3DEF" w14:textId="64282DB1"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584AAF06" w14:textId="310E1B20"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1.210.235</w:t>
            </w:r>
          </w:p>
        </w:tc>
        <w:tc>
          <w:tcPr>
            <w:tcW w:w="462" w:type="pct"/>
            <w:tcBorders>
              <w:top w:val="nil"/>
              <w:bottom w:val="nil"/>
            </w:tcBorders>
            <w:tcMar>
              <w:left w:w="57" w:type="dxa"/>
              <w:right w:w="57" w:type="dxa"/>
            </w:tcMar>
            <w:vAlign w:val="center"/>
          </w:tcPr>
          <w:p w14:paraId="442951AC" w14:textId="1EA971B4"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7.875.619</w:t>
            </w:r>
          </w:p>
        </w:tc>
        <w:tc>
          <w:tcPr>
            <w:tcW w:w="464" w:type="pct"/>
            <w:tcBorders>
              <w:top w:val="nil"/>
              <w:bottom w:val="nil"/>
            </w:tcBorders>
            <w:tcMar>
              <w:left w:w="57" w:type="dxa"/>
              <w:right w:w="57" w:type="dxa"/>
            </w:tcMar>
            <w:vAlign w:val="center"/>
          </w:tcPr>
          <w:p w14:paraId="002EFAD2" w14:textId="57D27D18"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4.173.475</w:t>
            </w:r>
          </w:p>
        </w:tc>
        <w:tc>
          <w:tcPr>
            <w:tcW w:w="517" w:type="pct"/>
            <w:tcBorders>
              <w:top w:val="nil"/>
              <w:bottom w:val="nil"/>
            </w:tcBorders>
            <w:vAlign w:val="center"/>
          </w:tcPr>
          <w:p w14:paraId="2558FAC5" w14:textId="7F91C33D"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8.890.391</w:t>
            </w:r>
          </w:p>
        </w:tc>
        <w:tc>
          <w:tcPr>
            <w:tcW w:w="517" w:type="pct"/>
            <w:tcBorders>
              <w:top w:val="nil"/>
              <w:bottom w:val="nil"/>
            </w:tcBorders>
            <w:vAlign w:val="center"/>
          </w:tcPr>
          <w:p w14:paraId="61991F0C" w14:textId="7C3ACF4F"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152.634.836</w:t>
            </w:r>
          </w:p>
        </w:tc>
        <w:tc>
          <w:tcPr>
            <w:tcW w:w="524" w:type="pct"/>
            <w:tcBorders>
              <w:top w:val="nil"/>
              <w:bottom w:val="nil"/>
            </w:tcBorders>
            <w:tcMar>
              <w:left w:w="57" w:type="dxa"/>
              <w:right w:w="57" w:type="dxa"/>
            </w:tcMar>
            <w:vAlign w:val="center"/>
          </w:tcPr>
          <w:p w14:paraId="4A490286" w14:textId="0774A60D"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174.784.556</w:t>
            </w:r>
          </w:p>
        </w:tc>
      </w:tr>
      <w:tr w:rsidR="000F2DE6" w:rsidRPr="00FB38E1" w14:paraId="466933F6" w14:textId="77777777" w:rsidTr="00836EF2">
        <w:tc>
          <w:tcPr>
            <w:tcW w:w="100" w:type="pct"/>
            <w:tcBorders>
              <w:top w:val="nil"/>
              <w:bottom w:val="single" w:sz="4" w:space="0" w:color="auto"/>
            </w:tcBorders>
            <w:tcMar>
              <w:left w:w="57" w:type="dxa"/>
              <w:right w:w="57" w:type="dxa"/>
            </w:tcMar>
          </w:tcPr>
          <w:p w14:paraId="12431BF7" w14:textId="77777777" w:rsidR="000F2DE6" w:rsidRPr="00FB38E1" w:rsidRDefault="000F2DE6" w:rsidP="000F2D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1407" w:type="pct"/>
            <w:tcBorders>
              <w:top w:val="nil"/>
              <w:left w:val="nil"/>
              <w:bottom w:val="single" w:sz="4" w:space="0" w:color="auto"/>
              <w:right w:val="nil"/>
            </w:tcBorders>
            <w:shd w:val="clear" w:color="auto" w:fill="auto"/>
            <w:tcMar>
              <w:left w:w="57" w:type="dxa"/>
              <w:right w:w="57" w:type="dxa"/>
            </w:tcMar>
            <w:vAlign w:val="center"/>
          </w:tcPr>
          <w:p w14:paraId="33948635" w14:textId="77777777" w:rsidR="000F2DE6" w:rsidRPr="00FB38E1" w:rsidRDefault="000F2DE6" w:rsidP="000F2DE6">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Bilanço dışı alacaklar</w:t>
            </w:r>
          </w:p>
        </w:tc>
        <w:tc>
          <w:tcPr>
            <w:tcW w:w="545" w:type="pct"/>
            <w:tcBorders>
              <w:top w:val="nil"/>
              <w:bottom w:val="single" w:sz="4" w:space="0" w:color="auto"/>
            </w:tcBorders>
            <w:tcMar>
              <w:left w:w="57" w:type="dxa"/>
              <w:right w:w="57" w:type="dxa"/>
            </w:tcMar>
            <w:vAlign w:val="center"/>
          </w:tcPr>
          <w:p w14:paraId="63ED70ED" w14:textId="7203799B"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single" w:sz="4" w:space="0" w:color="auto"/>
            </w:tcBorders>
            <w:tcMar>
              <w:left w:w="57" w:type="dxa"/>
              <w:right w:w="57" w:type="dxa"/>
            </w:tcMar>
            <w:vAlign w:val="center"/>
          </w:tcPr>
          <w:p w14:paraId="27120D7D" w14:textId="337BCBC5"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490.493.148</w:t>
            </w:r>
          </w:p>
        </w:tc>
        <w:tc>
          <w:tcPr>
            <w:tcW w:w="462" w:type="pct"/>
            <w:tcBorders>
              <w:top w:val="nil"/>
              <w:bottom w:val="single" w:sz="4" w:space="0" w:color="auto"/>
            </w:tcBorders>
            <w:tcMar>
              <w:left w:w="57" w:type="dxa"/>
              <w:right w:w="57" w:type="dxa"/>
            </w:tcMar>
            <w:vAlign w:val="center"/>
          </w:tcPr>
          <w:p w14:paraId="7A9C42A2" w14:textId="07D7C289"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22.919.549</w:t>
            </w:r>
          </w:p>
        </w:tc>
        <w:tc>
          <w:tcPr>
            <w:tcW w:w="464" w:type="pct"/>
            <w:tcBorders>
              <w:top w:val="nil"/>
              <w:bottom w:val="single" w:sz="4" w:space="0" w:color="auto"/>
            </w:tcBorders>
            <w:tcMar>
              <w:left w:w="57" w:type="dxa"/>
              <w:right w:w="57" w:type="dxa"/>
            </w:tcMar>
            <w:vAlign w:val="center"/>
          </w:tcPr>
          <w:p w14:paraId="57B532F7" w14:textId="18690295"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26.199.195</w:t>
            </w:r>
          </w:p>
        </w:tc>
        <w:tc>
          <w:tcPr>
            <w:tcW w:w="517" w:type="pct"/>
            <w:tcBorders>
              <w:top w:val="nil"/>
              <w:bottom w:val="single" w:sz="4" w:space="0" w:color="auto"/>
            </w:tcBorders>
            <w:vAlign w:val="center"/>
          </w:tcPr>
          <w:p w14:paraId="5D712025" w14:textId="5C43C168"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56.286.490</w:t>
            </w:r>
          </w:p>
        </w:tc>
        <w:tc>
          <w:tcPr>
            <w:tcW w:w="517" w:type="pct"/>
            <w:tcBorders>
              <w:top w:val="nil"/>
              <w:bottom w:val="single" w:sz="4" w:space="0" w:color="auto"/>
            </w:tcBorders>
            <w:vAlign w:val="center"/>
          </w:tcPr>
          <w:p w14:paraId="57EB134A" w14:textId="234EF9AD"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100.854.000</w:t>
            </w:r>
          </w:p>
        </w:tc>
        <w:tc>
          <w:tcPr>
            <w:tcW w:w="524" w:type="pct"/>
            <w:tcBorders>
              <w:top w:val="nil"/>
              <w:bottom w:val="single" w:sz="4" w:space="0" w:color="auto"/>
            </w:tcBorders>
            <w:tcMar>
              <w:left w:w="57" w:type="dxa"/>
              <w:right w:w="57" w:type="dxa"/>
            </w:tcMar>
            <w:vAlign w:val="center"/>
          </w:tcPr>
          <w:p w14:paraId="704FF4A4" w14:textId="04D6FEE0"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696.752.382</w:t>
            </w:r>
          </w:p>
        </w:tc>
      </w:tr>
      <w:tr w:rsidR="000F2DE6" w:rsidRPr="00FB38E1" w14:paraId="276B9517" w14:textId="77777777" w:rsidTr="00836EF2">
        <w:tc>
          <w:tcPr>
            <w:tcW w:w="1506" w:type="pct"/>
            <w:gridSpan w:val="2"/>
            <w:tcBorders>
              <w:top w:val="single" w:sz="4" w:space="0" w:color="auto"/>
              <w:bottom w:val="nil"/>
            </w:tcBorders>
            <w:tcMar>
              <w:left w:w="57" w:type="dxa"/>
              <w:right w:w="57" w:type="dxa"/>
            </w:tcMar>
          </w:tcPr>
          <w:p w14:paraId="4CFB2BEC" w14:textId="77777777" w:rsidR="000F2DE6" w:rsidRPr="00FB38E1" w:rsidRDefault="000F2DE6" w:rsidP="000F2DE6">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Temerrüt etmiş alacaklar</w:t>
            </w:r>
          </w:p>
        </w:tc>
        <w:tc>
          <w:tcPr>
            <w:tcW w:w="545" w:type="pct"/>
            <w:tcBorders>
              <w:top w:val="single" w:sz="4" w:space="0" w:color="auto"/>
              <w:bottom w:val="nil"/>
            </w:tcBorders>
            <w:tcMar>
              <w:left w:w="57" w:type="dxa"/>
              <w:right w:w="57" w:type="dxa"/>
            </w:tcMar>
            <w:vAlign w:val="center"/>
          </w:tcPr>
          <w:p w14:paraId="5AD0E87B" w14:textId="5F58B5B6"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32.150.671</w:t>
            </w:r>
          </w:p>
        </w:tc>
        <w:tc>
          <w:tcPr>
            <w:tcW w:w="464" w:type="pct"/>
            <w:tcBorders>
              <w:top w:val="single" w:sz="4" w:space="0" w:color="auto"/>
              <w:bottom w:val="nil"/>
            </w:tcBorders>
            <w:tcMar>
              <w:left w:w="57" w:type="dxa"/>
              <w:right w:w="57" w:type="dxa"/>
            </w:tcMar>
            <w:vAlign w:val="center"/>
          </w:tcPr>
          <w:p w14:paraId="1B73982B" w14:textId="5612A13B"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2" w:type="pct"/>
            <w:tcBorders>
              <w:top w:val="single" w:sz="4" w:space="0" w:color="auto"/>
              <w:bottom w:val="nil"/>
            </w:tcBorders>
            <w:tcMar>
              <w:left w:w="57" w:type="dxa"/>
              <w:right w:w="57" w:type="dxa"/>
            </w:tcMar>
            <w:vAlign w:val="center"/>
          </w:tcPr>
          <w:p w14:paraId="3CA16929" w14:textId="2006963B"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4" w:type="pct"/>
            <w:tcBorders>
              <w:top w:val="single" w:sz="4" w:space="0" w:color="auto"/>
              <w:bottom w:val="nil"/>
            </w:tcBorders>
            <w:tcMar>
              <w:left w:w="57" w:type="dxa"/>
              <w:right w:w="57" w:type="dxa"/>
            </w:tcMar>
            <w:vAlign w:val="center"/>
          </w:tcPr>
          <w:p w14:paraId="174C24EF" w14:textId="140EDA4A"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517" w:type="pct"/>
            <w:tcBorders>
              <w:top w:val="single" w:sz="4" w:space="0" w:color="auto"/>
              <w:bottom w:val="nil"/>
            </w:tcBorders>
            <w:vAlign w:val="center"/>
          </w:tcPr>
          <w:p w14:paraId="5F31B2E6" w14:textId="57C6420D"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517" w:type="pct"/>
            <w:tcBorders>
              <w:top w:val="single" w:sz="4" w:space="0" w:color="auto"/>
              <w:bottom w:val="nil"/>
            </w:tcBorders>
            <w:vAlign w:val="center"/>
          </w:tcPr>
          <w:p w14:paraId="10A905BD" w14:textId="2806414F"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524" w:type="pct"/>
            <w:tcBorders>
              <w:top w:val="single" w:sz="4" w:space="0" w:color="auto"/>
              <w:bottom w:val="nil"/>
            </w:tcBorders>
            <w:tcMar>
              <w:left w:w="57" w:type="dxa"/>
              <w:right w:w="57" w:type="dxa"/>
            </w:tcMar>
            <w:vAlign w:val="center"/>
          </w:tcPr>
          <w:p w14:paraId="3F4DD184" w14:textId="21B03767" w:rsidR="000F2DE6" w:rsidRPr="00FB38E1" w:rsidRDefault="000F2DE6" w:rsidP="000F2DE6">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32.150.671</w:t>
            </w:r>
          </w:p>
        </w:tc>
      </w:tr>
      <w:tr w:rsidR="000F2DE6" w:rsidRPr="00FB38E1" w14:paraId="2B130486" w14:textId="77777777" w:rsidTr="00836EF2">
        <w:tc>
          <w:tcPr>
            <w:tcW w:w="100" w:type="pct"/>
            <w:tcBorders>
              <w:top w:val="nil"/>
              <w:bottom w:val="nil"/>
            </w:tcBorders>
            <w:tcMar>
              <w:left w:w="57" w:type="dxa"/>
              <w:right w:w="57" w:type="dxa"/>
            </w:tcMar>
          </w:tcPr>
          <w:p w14:paraId="6543488D" w14:textId="77777777" w:rsidR="000F2DE6" w:rsidRPr="00FB38E1" w:rsidRDefault="000F2DE6" w:rsidP="000F2D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1407" w:type="pct"/>
            <w:tcBorders>
              <w:top w:val="nil"/>
              <w:left w:val="nil"/>
              <w:bottom w:val="nil"/>
              <w:right w:val="nil"/>
            </w:tcBorders>
            <w:shd w:val="clear" w:color="auto" w:fill="auto"/>
            <w:tcMar>
              <w:left w:w="57" w:type="dxa"/>
              <w:right w:w="57" w:type="dxa"/>
            </w:tcMar>
            <w:vAlign w:val="center"/>
          </w:tcPr>
          <w:p w14:paraId="61434813" w14:textId="77777777" w:rsidR="000F2DE6" w:rsidRPr="00FB38E1" w:rsidRDefault="000F2DE6" w:rsidP="000F2DE6">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Krediler</w:t>
            </w:r>
          </w:p>
        </w:tc>
        <w:tc>
          <w:tcPr>
            <w:tcW w:w="545" w:type="pct"/>
            <w:tcBorders>
              <w:top w:val="nil"/>
              <w:bottom w:val="nil"/>
            </w:tcBorders>
            <w:tcMar>
              <w:left w:w="57" w:type="dxa"/>
              <w:right w:w="57" w:type="dxa"/>
            </w:tcMar>
            <w:vAlign w:val="center"/>
          </w:tcPr>
          <w:p w14:paraId="6D30EE98" w14:textId="7D2EFA57"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27.744.142</w:t>
            </w:r>
          </w:p>
        </w:tc>
        <w:tc>
          <w:tcPr>
            <w:tcW w:w="464" w:type="pct"/>
            <w:tcBorders>
              <w:top w:val="nil"/>
              <w:bottom w:val="nil"/>
            </w:tcBorders>
            <w:tcMar>
              <w:left w:w="57" w:type="dxa"/>
              <w:right w:w="57" w:type="dxa"/>
            </w:tcMar>
            <w:vAlign w:val="center"/>
          </w:tcPr>
          <w:p w14:paraId="093E3A6D" w14:textId="4F03EA9A"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2" w:type="pct"/>
            <w:tcBorders>
              <w:top w:val="nil"/>
              <w:bottom w:val="nil"/>
            </w:tcBorders>
            <w:tcMar>
              <w:left w:w="57" w:type="dxa"/>
              <w:right w:w="57" w:type="dxa"/>
            </w:tcMar>
            <w:vAlign w:val="center"/>
          </w:tcPr>
          <w:p w14:paraId="33542F28" w14:textId="5071613C"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3FA1D6EA" w14:textId="6C52E660"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nil"/>
            </w:tcBorders>
            <w:vAlign w:val="center"/>
          </w:tcPr>
          <w:p w14:paraId="3EBEB07D" w14:textId="5EF58575"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nil"/>
            </w:tcBorders>
            <w:vAlign w:val="center"/>
          </w:tcPr>
          <w:p w14:paraId="34859150" w14:textId="07608938"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4" w:type="pct"/>
            <w:tcBorders>
              <w:top w:val="nil"/>
              <w:bottom w:val="nil"/>
            </w:tcBorders>
            <w:tcMar>
              <w:left w:w="57" w:type="dxa"/>
              <w:right w:w="57" w:type="dxa"/>
            </w:tcMar>
            <w:vAlign w:val="center"/>
          </w:tcPr>
          <w:p w14:paraId="0324851B" w14:textId="59869D97"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27.744.142</w:t>
            </w:r>
          </w:p>
        </w:tc>
      </w:tr>
      <w:tr w:rsidR="000F2DE6" w:rsidRPr="00FB38E1" w14:paraId="03B91588" w14:textId="77777777" w:rsidTr="00836EF2">
        <w:tc>
          <w:tcPr>
            <w:tcW w:w="100" w:type="pct"/>
            <w:tcBorders>
              <w:top w:val="nil"/>
              <w:bottom w:val="nil"/>
            </w:tcBorders>
            <w:tcMar>
              <w:left w:w="57" w:type="dxa"/>
              <w:right w:w="57" w:type="dxa"/>
            </w:tcMar>
          </w:tcPr>
          <w:p w14:paraId="13A14680" w14:textId="77777777" w:rsidR="000F2DE6" w:rsidRPr="00FB38E1" w:rsidRDefault="000F2DE6" w:rsidP="000F2DE6">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1407" w:type="pct"/>
            <w:tcBorders>
              <w:top w:val="nil"/>
              <w:left w:val="nil"/>
              <w:bottom w:val="nil"/>
              <w:right w:val="nil"/>
            </w:tcBorders>
            <w:shd w:val="clear" w:color="auto" w:fill="auto"/>
            <w:tcMar>
              <w:left w:w="57" w:type="dxa"/>
              <w:right w:w="57" w:type="dxa"/>
            </w:tcMar>
            <w:vAlign w:val="center"/>
          </w:tcPr>
          <w:p w14:paraId="2D1A615C" w14:textId="77777777" w:rsidR="000F2DE6" w:rsidRPr="00FB38E1" w:rsidRDefault="000F2DE6" w:rsidP="000F2DE6">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Borçlanma araçları</w:t>
            </w:r>
          </w:p>
        </w:tc>
        <w:tc>
          <w:tcPr>
            <w:tcW w:w="545" w:type="pct"/>
            <w:tcBorders>
              <w:top w:val="nil"/>
              <w:bottom w:val="nil"/>
            </w:tcBorders>
            <w:shd w:val="clear" w:color="auto" w:fill="auto"/>
            <w:tcMar>
              <w:left w:w="57" w:type="dxa"/>
              <w:right w:w="57" w:type="dxa"/>
            </w:tcMar>
            <w:vAlign w:val="center"/>
          </w:tcPr>
          <w:p w14:paraId="6815DD7D" w14:textId="0CA11FBE"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shd w:val="clear" w:color="auto" w:fill="auto"/>
            <w:tcMar>
              <w:left w:w="57" w:type="dxa"/>
              <w:right w:w="57" w:type="dxa"/>
            </w:tcMar>
            <w:vAlign w:val="center"/>
          </w:tcPr>
          <w:p w14:paraId="29DEE0CC" w14:textId="15492FF1"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2" w:type="pct"/>
            <w:tcBorders>
              <w:top w:val="nil"/>
              <w:bottom w:val="nil"/>
            </w:tcBorders>
            <w:shd w:val="clear" w:color="auto" w:fill="auto"/>
            <w:tcMar>
              <w:left w:w="57" w:type="dxa"/>
              <w:right w:w="57" w:type="dxa"/>
            </w:tcMar>
            <w:vAlign w:val="center"/>
          </w:tcPr>
          <w:p w14:paraId="6662CA86" w14:textId="0BB63E2C"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shd w:val="clear" w:color="auto" w:fill="auto"/>
            <w:tcMar>
              <w:left w:w="57" w:type="dxa"/>
              <w:right w:w="57" w:type="dxa"/>
            </w:tcMar>
            <w:vAlign w:val="center"/>
          </w:tcPr>
          <w:p w14:paraId="77005D67" w14:textId="5010B72A"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nil"/>
            </w:tcBorders>
            <w:shd w:val="clear" w:color="auto" w:fill="auto"/>
            <w:vAlign w:val="center"/>
          </w:tcPr>
          <w:p w14:paraId="640C39BE" w14:textId="0810B5FD"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nil"/>
            </w:tcBorders>
            <w:shd w:val="clear" w:color="auto" w:fill="auto"/>
            <w:vAlign w:val="center"/>
          </w:tcPr>
          <w:p w14:paraId="44101BA5" w14:textId="341EBE10"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4" w:type="pct"/>
            <w:tcBorders>
              <w:top w:val="nil"/>
              <w:bottom w:val="nil"/>
            </w:tcBorders>
            <w:shd w:val="clear" w:color="auto" w:fill="auto"/>
            <w:tcMar>
              <w:left w:w="57" w:type="dxa"/>
              <w:right w:w="57" w:type="dxa"/>
            </w:tcMar>
            <w:vAlign w:val="center"/>
          </w:tcPr>
          <w:p w14:paraId="390158D1" w14:textId="1153A1C9"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0F2DE6" w:rsidRPr="00FB38E1" w14:paraId="327A775A" w14:textId="77777777" w:rsidTr="00836EF2">
        <w:tc>
          <w:tcPr>
            <w:tcW w:w="100" w:type="pct"/>
            <w:tcBorders>
              <w:top w:val="nil"/>
              <w:bottom w:val="single" w:sz="4" w:space="0" w:color="auto"/>
            </w:tcBorders>
            <w:tcMar>
              <w:left w:w="57" w:type="dxa"/>
              <w:right w:w="57" w:type="dxa"/>
            </w:tcMar>
          </w:tcPr>
          <w:p w14:paraId="6E7BC072" w14:textId="77777777" w:rsidR="000F2DE6" w:rsidRPr="00FB38E1" w:rsidRDefault="000F2DE6" w:rsidP="000F2DE6">
            <w:pPr>
              <w:jc w:val="right"/>
              <w:rPr>
                <w:rFonts w:ascii="Microsoft Sans Serif" w:hAnsi="Microsoft Sans Serif" w:cs="Microsoft Sans Serif"/>
                <w:sz w:val="14"/>
                <w:szCs w:val="14"/>
              </w:rPr>
            </w:pPr>
            <w:r w:rsidRPr="00FB38E1">
              <w:rPr>
                <w:rFonts w:ascii="Microsoft Sans Serif" w:hAnsi="Microsoft Sans Serif" w:cs="Microsoft Sans Serif"/>
                <w:color w:val="404040" w:themeColor="text1" w:themeTint="BF"/>
                <w:sz w:val="14"/>
                <w:szCs w:val="14"/>
              </w:rPr>
              <w:t>3</w:t>
            </w:r>
          </w:p>
        </w:tc>
        <w:tc>
          <w:tcPr>
            <w:tcW w:w="1407" w:type="pct"/>
            <w:tcBorders>
              <w:top w:val="nil"/>
              <w:left w:val="nil"/>
              <w:bottom w:val="single" w:sz="4" w:space="0" w:color="auto"/>
              <w:right w:val="nil"/>
            </w:tcBorders>
            <w:shd w:val="clear" w:color="auto" w:fill="auto"/>
            <w:tcMar>
              <w:left w:w="57" w:type="dxa"/>
              <w:right w:w="57" w:type="dxa"/>
            </w:tcMar>
            <w:vAlign w:val="center"/>
          </w:tcPr>
          <w:p w14:paraId="1C92BE8A" w14:textId="77777777" w:rsidR="000F2DE6" w:rsidRPr="00FB38E1" w:rsidRDefault="000F2DE6" w:rsidP="000F2DE6">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Bilanço dışı alacaklar</w:t>
            </w:r>
          </w:p>
        </w:tc>
        <w:tc>
          <w:tcPr>
            <w:tcW w:w="545" w:type="pct"/>
            <w:tcBorders>
              <w:top w:val="nil"/>
              <w:bottom w:val="single" w:sz="4" w:space="0" w:color="auto"/>
            </w:tcBorders>
            <w:tcMar>
              <w:left w:w="57" w:type="dxa"/>
              <w:right w:w="57" w:type="dxa"/>
            </w:tcMar>
            <w:vAlign w:val="center"/>
          </w:tcPr>
          <w:p w14:paraId="44A487FA" w14:textId="4E0CD98A"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4.406.529</w:t>
            </w:r>
          </w:p>
        </w:tc>
        <w:tc>
          <w:tcPr>
            <w:tcW w:w="464" w:type="pct"/>
            <w:tcBorders>
              <w:top w:val="nil"/>
              <w:bottom w:val="single" w:sz="4" w:space="0" w:color="auto"/>
            </w:tcBorders>
            <w:tcMar>
              <w:left w:w="57" w:type="dxa"/>
              <w:right w:w="57" w:type="dxa"/>
            </w:tcMar>
            <w:vAlign w:val="center"/>
          </w:tcPr>
          <w:p w14:paraId="77016579" w14:textId="1B9BAF4C"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2" w:type="pct"/>
            <w:tcBorders>
              <w:top w:val="nil"/>
              <w:bottom w:val="single" w:sz="4" w:space="0" w:color="auto"/>
            </w:tcBorders>
            <w:tcMar>
              <w:left w:w="57" w:type="dxa"/>
              <w:right w:w="57" w:type="dxa"/>
            </w:tcMar>
            <w:vAlign w:val="center"/>
          </w:tcPr>
          <w:p w14:paraId="0B9EC321" w14:textId="3467C2A4"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single" w:sz="4" w:space="0" w:color="auto"/>
            </w:tcBorders>
            <w:tcMar>
              <w:left w:w="57" w:type="dxa"/>
              <w:right w:w="57" w:type="dxa"/>
            </w:tcMar>
            <w:vAlign w:val="center"/>
          </w:tcPr>
          <w:p w14:paraId="64B07951" w14:textId="0078895F"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single" w:sz="4" w:space="0" w:color="auto"/>
            </w:tcBorders>
            <w:vAlign w:val="center"/>
          </w:tcPr>
          <w:p w14:paraId="612AF855" w14:textId="04C59087"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single" w:sz="4" w:space="0" w:color="auto"/>
            </w:tcBorders>
            <w:vAlign w:val="center"/>
          </w:tcPr>
          <w:p w14:paraId="4885C1E6" w14:textId="65EB9E20"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4" w:type="pct"/>
            <w:tcBorders>
              <w:top w:val="nil"/>
              <w:bottom w:val="single" w:sz="4" w:space="0" w:color="auto"/>
            </w:tcBorders>
            <w:tcMar>
              <w:left w:w="57" w:type="dxa"/>
              <w:right w:w="57" w:type="dxa"/>
            </w:tcMar>
            <w:vAlign w:val="center"/>
          </w:tcPr>
          <w:p w14:paraId="4E6C7968" w14:textId="6E832991" w:rsidR="000F2DE6" w:rsidRPr="00FB38E1" w:rsidRDefault="000F2DE6" w:rsidP="000F2DE6">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4.406.529</w:t>
            </w:r>
          </w:p>
        </w:tc>
      </w:tr>
      <w:tr w:rsidR="000F2DE6" w:rsidRPr="00FB38E1" w14:paraId="23A0F70F" w14:textId="77777777" w:rsidTr="00836EF2">
        <w:tc>
          <w:tcPr>
            <w:tcW w:w="1506" w:type="pct"/>
            <w:gridSpan w:val="2"/>
            <w:tcBorders>
              <w:top w:val="single" w:sz="4" w:space="0" w:color="auto"/>
              <w:bottom w:val="single" w:sz="4" w:space="0" w:color="auto"/>
            </w:tcBorders>
            <w:tcMar>
              <w:left w:w="57" w:type="dxa"/>
              <w:right w:w="57" w:type="dxa"/>
            </w:tcMar>
          </w:tcPr>
          <w:p w14:paraId="1F41991B" w14:textId="77777777" w:rsidR="000F2DE6" w:rsidRPr="00FB38E1" w:rsidRDefault="000F2DE6" w:rsidP="000F2DE6">
            <w:pPr>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Özel Karşılık</w:t>
            </w:r>
          </w:p>
        </w:tc>
        <w:tc>
          <w:tcPr>
            <w:tcW w:w="545" w:type="pct"/>
            <w:tcBorders>
              <w:top w:val="single" w:sz="4" w:space="0" w:color="auto"/>
              <w:bottom w:val="single" w:sz="4" w:space="0" w:color="auto"/>
            </w:tcBorders>
            <w:tcMar>
              <w:left w:w="57" w:type="dxa"/>
              <w:right w:w="57" w:type="dxa"/>
            </w:tcMar>
            <w:vAlign w:val="center"/>
          </w:tcPr>
          <w:p w14:paraId="329B5961" w14:textId="32E7FB54"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16.767.215</w:t>
            </w:r>
          </w:p>
        </w:tc>
        <w:tc>
          <w:tcPr>
            <w:tcW w:w="464" w:type="pct"/>
            <w:tcBorders>
              <w:top w:val="single" w:sz="4" w:space="0" w:color="auto"/>
              <w:bottom w:val="single" w:sz="4" w:space="0" w:color="auto"/>
            </w:tcBorders>
            <w:tcMar>
              <w:left w:w="57" w:type="dxa"/>
              <w:right w:w="57" w:type="dxa"/>
            </w:tcMar>
            <w:vAlign w:val="center"/>
          </w:tcPr>
          <w:p w14:paraId="0CC0BD67" w14:textId="3C990A27"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2" w:type="pct"/>
            <w:tcBorders>
              <w:top w:val="single" w:sz="4" w:space="0" w:color="auto"/>
              <w:bottom w:val="single" w:sz="4" w:space="0" w:color="auto"/>
            </w:tcBorders>
            <w:tcMar>
              <w:left w:w="57" w:type="dxa"/>
              <w:right w:w="57" w:type="dxa"/>
            </w:tcMar>
            <w:vAlign w:val="center"/>
          </w:tcPr>
          <w:p w14:paraId="592EBFC1" w14:textId="3C2255AB"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4" w:type="pct"/>
            <w:tcBorders>
              <w:top w:val="single" w:sz="4" w:space="0" w:color="auto"/>
              <w:bottom w:val="single" w:sz="4" w:space="0" w:color="auto"/>
            </w:tcBorders>
            <w:tcMar>
              <w:left w:w="57" w:type="dxa"/>
              <w:right w:w="57" w:type="dxa"/>
            </w:tcMar>
            <w:vAlign w:val="center"/>
          </w:tcPr>
          <w:p w14:paraId="717F36D0" w14:textId="28CEC16E"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17" w:type="pct"/>
            <w:tcBorders>
              <w:top w:val="single" w:sz="4" w:space="0" w:color="auto"/>
              <w:bottom w:val="single" w:sz="4" w:space="0" w:color="auto"/>
            </w:tcBorders>
            <w:vAlign w:val="center"/>
          </w:tcPr>
          <w:p w14:paraId="3866B263" w14:textId="794D41CB"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17" w:type="pct"/>
            <w:tcBorders>
              <w:top w:val="single" w:sz="4" w:space="0" w:color="auto"/>
              <w:bottom w:val="single" w:sz="4" w:space="0" w:color="auto"/>
            </w:tcBorders>
            <w:vAlign w:val="center"/>
          </w:tcPr>
          <w:p w14:paraId="56D65E4C" w14:textId="30F70A07"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24" w:type="pct"/>
            <w:tcBorders>
              <w:top w:val="single" w:sz="4" w:space="0" w:color="auto"/>
              <w:bottom w:val="single" w:sz="4" w:space="0" w:color="auto"/>
            </w:tcBorders>
            <w:tcMar>
              <w:left w:w="57" w:type="dxa"/>
              <w:right w:w="57" w:type="dxa"/>
            </w:tcMar>
            <w:vAlign w:val="center"/>
          </w:tcPr>
          <w:p w14:paraId="78EC7DBF" w14:textId="49DB86D1"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16.767.215</w:t>
            </w:r>
          </w:p>
        </w:tc>
      </w:tr>
      <w:tr w:rsidR="000F2DE6" w:rsidRPr="00FB38E1" w14:paraId="74567D28" w14:textId="77777777" w:rsidTr="00836EF2">
        <w:tc>
          <w:tcPr>
            <w:tcW w:w="1506" w:type="pct"/>
            <w:gridSpan w:val="2"/>
            <w:tcBorders>
              <w:top w:val="single" w:sz="4" w:space="0" w:color="auto"/>
              <w:bottom w:val="thickThinSmallGap" w:sz="24" w:space="0" w:color="auto"/>
            </w:tcBorders>
            <w:tcMar>
              <w:left w:w="57" w:type="dxa"/>
              <w:right w:w="57" w:type="dxa"/>
            </w:tcMar>
          </w:tcPr>
          <w:p w14:paraId="7132B8DD" w14:textId="77777777" w:rsidR="000F2DE6" w:rsidRPr="00FB38E1" w:rsidRDefault="000F2DE6" w:rsidP="000F2DE6">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545" w:type="pct"/>
            <w:tcBorders>
              <w:top w:val="single" w:sz="4" w:space="0" w:color="auto"/>
              <w:bottom w:val="thickThinSmallGap" w:sz="24" w:space="0" w:color="auto"/>
            </w:tcBorders>
            <w:tcMar>
              <w:left w:w="57" w:type="dxa"/>
              <w:right w:w="57" w:type="dxa"/>
            </w:tcMar>
            <w:vAlign w:val="center"/>
          </w:tcPr>
          <w:p w14:paraId="41EADBE3" w14:textId="1194695F"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15.383.456</w:t>
            </w:r>
          </w:p>
        </w:tc>
        <w:tc>
          <w:tcPr>
            <w:tcW w:w="464" w:type="pct"/>
            <w:tcBorders>
              <w:top w:val="single" w:sz="4" w:space="0" w:color="auto"/>
              <w:bottom w:val="thickThinSmallGap" w:sz="24" w:space="0" w:color="auto"/>
            </w:tcBorders>
            <w:tcMar>
              <w:left w:w="57" w:type="dxa"/>
              <w:right w:w="57" w:type="dxa"/>
            </w:tcMar>
            <w:vAlign w:val="center"/>
          </w:tcPr>
          <w:p w14:paraId="6A0278FE" w14:textId="28DD26F5"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641.959.490</w:t>
            </w:r>
          </w:p>
        </w:tc>
        <w:tc>
          <w:tcPr>
            <w:tcW w:w="462" w:type="pct"/>
            <w:tcBorders>
              <w:top w:val="single" w:sz="4" w:space="0" w:color="auto"/>
              <w:bottom w:val="thickThinSmallGap" w:sz="24" w:space="0" w:color="auto"/>
            </w:tcBorders>
            <w:tcMar>
              <w:left w:w="57" w:type="dxa"/>
              <w:right w:w="57" w:type="dxa"/>
            </w:tcMar>
            <w:vAlign w:val="center"/>
          </w:tcPr>
          <w:p w14:paraId="7BE886D4" w14:textId="072370FD"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88.117.031</w:t>
            </w:r>
          </w:p>
        </w:tc>
        <w:tc>
          <w:tcPr>
            <w:tcW w:w="464" w:type="pct"/>
            <w:tcBorders>
              <w:top w:val="single" w:sz="4" w:space="0" w:color="auto"/>
              <w:bottom w:val="thickThinSmallGap" w:sz="24" w:space="0" w:color="auto"/>
            </w:tcBorders>
            <w:tcMar>
              <w:left w:w="57" w:type="dxa"/>
              <w:right w:w="57" w:type="dxa"/>
            </w:tcMar>
            <w:vAlign w:val="center"/>
          </w:tcPr>
          <w:p w14:paraId="22897C10" w14:textId="5389498F"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99.309.513</w:t>
            </w:r>
          </w:p>
        </w:tc>
        <w:tc>
          <w:tcPr>
            <w:tcW w:w="517" w:type="pct"/>
            <w:tcBorders>
              <w:top w:val="single" w:sz="4" w:space="0" w:color="auto"/>
              <w:bottom w:val="thickThinSmallGap" w:sz="24" w:space="0" w:color="auto"/>
            </w:tcBorders>
            <w:vAlign w:val="center"/>
          </w:tcPr>
          <w:p w14:paraId="0F692DD5" w14:textId="78285869"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233.200.868</w:t>
            </w:r>
          </w:p>
        </w:tc>
        <w:tc>
          <w:tcPr>
            <w:tcW w:w="517" w:type="pct"/>
            <w:tcBorders>
              <w:top w:val="single" w:sz="4" w:space="0" w:color="auto"/>
              <w:bottom w:val="thickThinSmallGap" w:sz="24" w:space="0" w:color="auto"/>
            </w:tcBorders>
            <w:vAlign w:val="center"/>
          </w:tcPr>
          <w:p w14:paraId="51100AD0" w14:textId="00489565"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517.424.175</w:t>
            </w:r>
          </w:p>
        </w:tc>
        <w:tc>
          <w:tcPr>
            <w:tcW w:w="524" w:type="pct"/>
            <w:tcBorders>
              <w:top w:val="single" w:sz="4" w:space="0" w:color="auto"/>
              <w:bottom w:val="thickThinSmallGap" w:sz="24" w:space="0" w:color="auto"/>
            </w:tcBorders>
            <w:tcMar>
              <w:left w:w="57" w:type="dxa"/>
              <w:right w:w="57" w:type="dxa"/>
            </w:tcMar>
            <w:vAlign w:val="center"/>
          </w:tcPr>
          <w:p w14:paraId="6F7B9D82" w14:textId="0F6524A2" w:rsidR="000F2DE6" w:rsidRPr="00FB38E1" w:rsidRDefault="000F2DE6" w:rsidP="000F2DE6">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1.595.394.533</w:t>
            </w:r>
          </w:p>
        </w:tc>
      </w:tr>
    </w:tbl>
    <w:p w14:paraId="350C6E54" w14:textId="77777777" w:rsidR="00E036D3" w:rsidRPr="00FB38E1" w:rsidRDefault="00E036D3" w:rsidP="00E036D3">
      <w:pPr>
        <w:spacing w:after="120"/>
        <w:rPr>
          <w:sz w:val="16"/>
          <w:szCs w:val="16"/>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192"/>
        <w:gridCol w:w="2712"/>
        <w:gridCol w:w="1051"/>
        <w:gridCol w:w="894"/>
        <w:gridCol w:w="891"/>
        <w:gridCol w:w="894"/>
        <w:gridCol w:w="997"/>
        <w:gridCol w:w="997"/>
        <w:gridCol w:w="1011"/>
      </w:tblGrid>
      <w:tr w:rsidR="00346226" w:rsidRPr="00FB38E1" w14:paraId="6AE0A480" w14:textId="77777777" w:rsidTr="002A31A1">
        <w:tc>
          <w:tcPr>
            <w:tcW w:w="1506" w:type="pct"/>
            <w:gridSpan w:val="2"/>
            <w:tcBorders>
              <w:top w:val="thinThickSmallGap" w:sz="24" w:space="0" w:color="auto"/>
              <w:bottom w:val="single" w:sz="4" w:space="0" w:color="auto"/>
            </w:tcBorders>
            <w:tcMar>
              <w:left w:w="57" w:type="dxa"/>
              <w:right w:w="57" w:type="dxa"/>
            </w:tcMar>
          </w:tcPr>
          <w:p w14:paraId="0F69C064" w14:textId="7219ED25" w:rsidR="00346226" w:rsidRPr="00FB38E1" w:rsidRDefault="00346226" w:rsidP="002A31A1">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Önceki Dönem</w:t>
            </w:r>
          </w:p>
        </w:tc>
        <w:tc>
          <w:tcPr>
            <w:tcW w:w="545" w:type="pct"/>
            <w:tcBorders>
              <w:top w:val="thinThickSmallGap" w:sz="24" w:space="0" w:color="auto"/>
              <w:bottom w:val="single" w:sz="4" w:space="0" w:color="auto"/>
            </w:tcBorders>
            <w:tcMar>
              <w:left w:w="57" w:type="dxa"/>
              <w:right w:w="57" w:type="dxa"/>
            </w:tcMar>
            <w:vAlign w:val="center"/>
          </w:tcPr>
          <w:p w14:paraId="67066A7B"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Dağıtılamayan</w:t>
            </w:r>
          </w:p>
        </w:tc>
        <w:tc>
          <w:tcPr>
            <w:tcW w:w="464" w:type="pct"/>
            <w:tcBorders>
              <w:top w:val="thinThickSmallGap" w:sz="24" w:space="0" w:color="auto"/>
              <w:bottom w:val="single" w:sz="4" w:space="0" w:color="auto"/>
            </w:tcBorders>
            <w:tcMar>
              <w:left w:w="57" w:type="dxa"/>
              <w:right w:w="57" w:type="dxa"/>
            </w:tcMar>
            <w:vAlign w:val="center"/>
          </w:tcPr>
          <w:p w14:paraId="7C2FECB0"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ay</w:t>
            </w:r>
          </w:p>
        </w:tc>
        <w:tc>
          <w:tcPr>
            <w:tcW w:w="462" w:type="pct"/>
            <w:tcBorders>
              <w:top w:val="thinThickSmallGap" w:sz="24" w:space="0" w:color="auto"/>
              <w:bottom w:val="single" w:sz="4" w:space="0" w:color="auto"/>
            </w:tcBorders>
            <w:tcMar>
              <w:left w:w="57" w:type="dxa"/>
              <w:right w:w="57" w:type="dxa"/>
            </w:tcMar>
            <w:vAlign w:val="center"/>
          </w:tcPr>
          <w:p w14:paraId="55980D61"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 ay</w:t>
            </w:r>
          </w:p>
        </w:tc>
        <w:tc>
          <w:tcPr>
            <w:tcW w:w="464" w:type="pct"/>
            <w:tcBorders>
              <w:top w:val="thinThickSmallGap" w:sz="24" w:space="0" w:color="auto"/>
              <w:bottom w:val="single" w:sz="4" w:space="0" w:color="auto"/>
            </w:tcBorders>
            <w:tcMar>
              <w:left w:w="57" w:type="dxa"/>
              <w:right w:w="57" w:type="dxa"/>
            </w:tcMar>
            <w:vAlign w:val="center"/>
          </w:tcPr>
          <w:p w14:paraId="45461C61"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3-6 ay</w:t>
            </w:r>
          </w:p>
        </w:tc>
        <w:tc>
          <w:tcPr>
            <w:tcW w:w="517" w:type="pct"/>
            <w:tcBorders>
              <w:top w:val="thinThickSmallGap" w:sz="24" w:space="0" w:color="auto"/>
              <w:bottom w:val="single" w:sz="4" w:space="0" w:color="auto"/>
            </w:tcBorders>
            <w:vAlign w:val="center"/>
          </w:tcPr>
          <w:p w14:paraId="2DBB7C6C"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6-12 ay</w:t>
            </w:r>
          </w:p>
        </w:tc>
        <w:tc>
          <w:tcPr>
            <w:tcW w:w="517" w:type="pct"/>
            <w:tcBorders>
              <w:top w:val="thinThickSmallGap" w:sz="24" w:space="0" w:color="auto"/>
              <w:bottom w:val="single" w:sz="4" w:space="0" w:color="auto"/>
            </w:tcBorders>
            <w:vAlign w:val="center"/>
          </w:tcPr>
          <w:p w14:paraId="0CA10425"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 yıl üzeri</w:t>
            </w:r>
          </w:p>
        </w:tc>
        <w:tc>
          <w:tcPr>
            <w:tcW w:w="524" w:type="pct"/>
            <w:tcBorders>
              <w:top w:val="thinThickSmallGap" w:sz="24" w:space="0" w:color="auto"/>
              <w:bottom w:val="single" w:sz="4" w:space="0" w:color="auto"/>
            </w:tcBorders>
            <w:tcMar>
              <w:left w:w="57" w:type="dxa"/>
              <w:right w:w="57" w:type="dxa"/>
            </w:tcMar>
            <w:vAlign w:val="center"/>
          </w:tcPr>
          <w:p w14:paraId="1828A8CE"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w:t>
            </w:r>
          </w:p>
        </w:tc>
      </w:tr>
      <w:tr w:rsidR="00346226" w:rsidRPr="00FB38E1" w14:paraId="78067200" w14:textId="77777777" w:rsidTr="002A31A1">
        <w:tc>
          <w:tcPr>
            <w:tcW w:w="1506" w:type="pct"/>
            <w:gridSpan w:val="2"/>
            <w:tcBorders>
              <w:top w:val="single" w:sz="4" w:space="0" w:color="auto"/>
              <w:bottom w:val="nil"/>
            </w:tcBorders>
            <w:tcMar>
              <w:left w:w="57" w:type="dxa"/>
              <w:right w:w="57" w:type="dxa"/>
            </w:tcMar>
          </w:tcPr>
          <w:p w14:paraId="4713AF25" w14:textId="77777777" w:rsidR="00346226" w:rsidRPr="00FB38E1" w:rsidRDefault="00346226" w:rsidP="002A31A1">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Temerrüt etmemiş alacaklar</w:t>
            </w:r>
          </w:p>
        </w:tc>
        <w:tc>
          <w:tcPr>
            <w:tcW w:w="545" w:type="pct"/>
            <w:tcBorders>
              <w:top w:val="single" w:sz="4" w:space="0" w:color="auto"/>
              <w:bottom w:val="nil"/>
            </w:tcBorders>
            <w:tcMar>
              <w:left w:w="57" w:type="dxa"/>
              <w:right w:w="57" w:type="dxa"/>
            </w:tcMar>
            <w:vAlign w:val="center"/>
          </w:tcPr>
          <w:p w14:paraId="593306F7"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4" w:type="pct"/>
            <w:tcBorders>
              <w:top w:val="single" w:sz="4" w:space="0" w:color="auto"/>
              <w:bottom w:val="nil"/>
            </w:tcBorders>
            <w:tcMar>
              <w:left w:w="57" w:type="dxa"/>
              <w:right w:w="57" w:type="dxa"/>
            </w:tcMar>
            <w:vAlign w:val="center"/>
          </w:tcPr>
          <w:p w14:paraId="159F1A7C"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501.778.693</w:t>
            </w:r>
          </w:p>
        </w:tc>
        <w:tc>
          <w:tcPr>
            <w:tcW w:w="462" w:type="pct"/>
            <w:tcBorders>
              <w:top w:val="single" w:sz="4" w:space="0" w:color="auto"/>
              <w:bottom w:val="nil"/>
            </w:tcBorders>
            <w:tcMar>
              <w:left w:w="57" w:type="dxa"/>
              <w:right w:w="57" w:type="dxa"/>
            </w:tcMar>
            <w:vAlign w:val="center"/>
          </w:tcPr>
          <w:p w14:paraId="13C7B7FA"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54.535.358</w:t>
            </w:r>
          </w:p>
        </w:tc>
        <w:tc>
          <w:tcPr>
            <w:tcW w:w="464" w:type="pct"/>
            <w:tcBorders>
              <w:top w:val="single" w:sz="4" w:space="0" w:color="auto"/>
              <w:bottom w:val="nil"/>
            </w:tcBorders>
            <w:tcMar>
              <w:left w:w="57" w:type="dxa"/>
              <w:right w:w="57" w:type="dxa"/>
            </w:tcMar>
            <w:vAlign w:val="center"/>
          </w:tcPr>
          <w:p w14:paraId="6FE9BCBF"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71.202.124</w:t>
            </w:r>
          </w:p>
        </w:tc>
        <w:tc>
          <w:tcPr>
            <w:tcW w:w="517" w:type="pct"/>
            <w:tcBorders>
              <w:top w:val="single" w:sz="4" w:space="0" w:color="auto"/>
              <w:bottom w:val="nil"/>
            </w:tcBorders>
            <w:vAlign w:val="center"/>
          </w:tcPr>
          <w:p w14:paraId="74FADDCD"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152.117.384</w:t>
            </w:r>
          </w:p>
        </w:tc>
        <w:tc>
          <w:tcPr>
            <w:tcW w:w="517" w:type="pct"/>
            <w:tcBorders>
              <w:top w:val="single" w:sz="4" w:space="0" w:color="auto"/>
              <w:bottom w:val="nil"/>
            </w:tcBorders>
            <w:vAlign w:val="center"/>
          </w:tcPr>
          <w:p w14:paraId="571BE966"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356.997.309</w:t>
            </w:r>
          </w:p>
        </w:tc>
        <w:tc>
          <w:tcPr>
            <w:tcW w:w="524" w:type="pct"/>
            <w:tcBorders>
              <w:top w:val="single" w:sz="4" w:space="0" w:color="auto"/>
              <w:bottom w:val="nil"/>
            </w:tcBorders>
            <w:tcMar>
              <w:left w:w="57" w:type="dxa"/>
              <w:right w:w="57" w:type="dxa"/>
            </w:tcMar>
            <w:vAlign w:val="center"/>
          </w:tcPr>
          <w:p w14:paraId="64D5C57E"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1.136.630.868</w:t>
            </w:r>
          </w:p>
        </w:tc>
      </w:tr>
      <w:tr w:rsidR="00346226" w:rsidRPr="00FB38E1" w14:paraId="4B9D2218" w14:textId="77777777" w:rsidTr="002A31A1">
        <w:tc>
          <w:tcPr>
            <w:tcW w:w="100" w:type="pct"/>
            <w:tcBorders>
              <w:top w:val="nil"/>
              <w:bottom w:val="nil"/>
            </w:tcBorders>
            <w:tcMar>
              <w:left w:w="57" w:type="dxa"/>
              <w:right w:w="57" w:type="dxa"/>
            </w:tcMar>
          </w:tcPr>
          <w:p w14:paraId="2A50542D" w14:textId="77777777" w:rsidR="00346226" w:rsidRPr="00FB38E1" w:rsidRDefault="00346226" w:rsidP="002A31A1">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1407" w:type="pct"/>
            <w:tcBorders>
              <w:top w:val="nil"/>
              <w:left w:val="nil"/>
              <w:bottom w:val="nil"/>
              <w:right w:val="nil"/>
            </w:tcBorders>
            <w:shd w:val="clear" w:color="auto" w:fill="auto"/>
            <w:tcMar>
              <w:left w:w="57" w:type="dxa"/>
              <w:right w:w="57" w:type="dxa"/>
            </w:tcMar>
            <w:vAlign w:val="center"/>
          </w:tcPr>
          <w:p w14:paraId="66BA04A8" w14:textId="77777777" w:rsidR="00346226" w:rsidRPr="00FB38E1" w:rsidRDefault="00346226" w:rsidP="002A31A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Krediler</w:t>
            </w:r>
          </w:p>
        </w:tc>
        <w:tc>
          <w:tcPr>
            <w:tcW w:w="545" w:type="pct"/>
            <w:tcBorders>
              <w:top w:val="nil"/>
              <w:bottom w:val="nil"/>
            </w:tcBorders>
            <w:tcMar>
              <w:left w:w="57" w:type="dxa"/>
              <w:right w:w="57" w:type="dxa"/>
            </w:tcMar>
            <w:vAlign w:val="center"/>
          </w:tcPr>
          <w:p w14:paraId="095197B9"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1A363CE5"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124.451.059</w:t>
            </w:r>
          </w:p>
        </w:tc>
        <w:tc>
          <w:tcPr>
            <w:tcW w:w="462" w:type="pct"/>
            <w:tcBorders>
              <w:top w:val="nil"/>
              <w:bottom w:val="nil"/>
            </w:tcBorders>
            <w:tcMar>
              <w:left w:w="57" w:type="dxa"/>
              <w:right w:w="57" w:type="dxa"/>
            </w:tcMar>
            <w:vAlign w:val="center"/>
          </w:tcPr>
          <w:p w14:paraId="2DCAE8DF"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36.524.098</w:t>
            </w:r>
          </w:p>
        </w:tc>
        <w:tc>
          <w:tcPr>
            <w:tcW w:w="464" w:type="pct"/>
            <w:tcBorders>
              <w:top w:val="nil"/>
              <w:bottom w:val="nil"/>
            </w:tcBorders>
            <w:tcMar>
              <w:left w:w="57" w:type="dxa"/>
              <w:right w:w="57" w:type="dxa"/>
            </w:tcMar>
            <w:vAlign w:val="center"/>
          </w:tcPr>
          <w:p w14:paraId="5C547805"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47.106.367</w:t>
            </w:r>
          </w:p>
        </w:tc>
        <w:tc>
          <w:tcPr>
            <w:tcW w:w="517" w:type="pct"/>
            <w:tcBorders>
              <w:top w:val="nil"/>
              <w:bottom w:val="nil"/>
            </w:tcBorders>
            <w:vAlign w:val="center"/>
          </w:tcPr>
          <w:p w14:paraId="2F8D3CD2"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101.169.023</w:t>
            </w:r>
          </w:p>
        </w:tc>
        <w:tc>
          <w:tcPr>
            <w:tcW w:w="517" w:type="pct"/>
            <w:tcBorders>
              <w:top w:val="nil"/>
              <w:bottom w:val="nil"/>
            </w:tcBorders>
            <w:vAlign w:val="center"/>
          </w:tcPr>
          <w:p w14:paraId="5863186F"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169.982.863</w:t>
            </w:r>
          </w:p>
        </w:tc>
        <w:tc>
          <w:tcPr>
            <w:tcW w:w="524" w:type="pct"/>
            <w:tcBorders>
              <w:top w:val="nil"/>
              <w:bottom w:val="nil"/>
            </w:tcBorders>
            <w:tcMar>
              <w:left w:w="57" w:type="dxa"/>
              <w:right w:w="57" w:type="dxa"/>
            </w:tcMar>
            <w:vAlign w:val="center"/>
          </w:tcPr>
          <w:p w14:paraId="6CAD337D"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479.233.410</w:t>
            </w:r>
          </w:p>
        </w:tc>
      </w:tr>
      <w:tr w:rsidR="00346226" w:rsidRPr="00FB38E1" w14:paraId="1D658C0B" w14:textId="77777777" w:rsidTr="002A31A1">
        <w:tc>
          <w:tcPr>
            <w:tcW w:w="100" w:type="pct"/>
            <w:tcBorders>
              <w:top w:val="nil"/>
              <w:bottom w:val="nil"/>
            </w:tcBorders>
            <w:tcMar>
              <w:left w:w="57" w:type="dxa"/>
              <w:right w:w="57" w:type="dxa"/>
            </w:tcMar>
          </w:tcPr>
          <w:p w14:paraId="6631CAE8" w14:textId="77777777" w:rsidR="00346226" w:rsidRPr="00FB38E1" w:rsidRDefault="00346226" w:rsidP="002A31A1">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1407" w:type="pct"/>
            <w:tcBorders>
              <w:top w:val="nil"/>
              <w:left w:val="nil"/>
              <w:bottom w:val="nil"/>
              <w:right w:val="nil"/>
            </w:tcBorders>
            <w:shd w:val="clear" w:color="auto" w:fill="auto"/>
            <w:tcMar>
              <w:left w:w="57" w:type="dxa"/>
              <w:right w:w="57" w:type="dxa"/>
            </w:tcMar>
            <w:vAlign w:val="center"/>
          </w:tcPr>
          <w:p w14:paraId="1F421E78" w14:textId="77777777" w:rsidR="00346226" w:rsidRPr="00FB38E1" w:rsidRDefault="00346226" w:rsidP="002A31A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Borçlanma araçları</w:t>
            </w:r>
          </w:p>
        </w:tc>
        <w:tc>
          <w:tcPr>
            <w:tcW w:w="545" w:type="pct"/>
            <w:tcBorders>
              <w:top w:val="nil"/>
              <w:bottom w:val="nil"/>
            </w:tcBorders>
            <w:tcMar>
              <w:left w:w="57" w:type="dxa"/>
              <w:right w:w="57" w:type="dxa"/>
            </w:tcMar>
            <w:vAlign w:val="center"/>
          </w:tcPr>
          <w:p w14:paraId="4697A28E"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42440DEF"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10.048.797</w:t>
            </w:r>
          </w:p>
        </w:tc>
        <w:tc>
          <w:tcPr>
            <w:tcW w:w="462" w:type="pct"/>
            <w:tcBorders>
              <w:top w:val="nil"/>
              <w:bottom w:val="nil"/>
            </w:tcBorders>
            <w:tcMar>
              <w:left w:w="57" w:type="dxa"/>
              <w:right w:w="57" w:type="dxa"/>
            </w:tcMar>
            <w:vAlign w:val="center"/>
          </w:tcPr>
          <w:p w14:paraId="47D75653"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1.954.332</w:t>
            </w:r>
          </w:p>
        </w:tc>
        <w:tc>
          <w:tcPr>
            <w:tcW w:w="464" w:type="pct"/>
            <w:tcBorders>
              <w:top w:val="nil"/>
              <w:bottom w:val="nil"/>
            </w:tcBorders>
            <w:tcMar>
              <w:left w:w="57" w:type="dxa"/>
              <w:right w:w="57" w:type="dxa"/>
            </w:tcMar>
            <w:vAlign w:val="center"/>
          </w:tcPr>
          <w:p w14:paraId="2B179974"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6.166.509</w:t>
            </w:r>
          </w:p>
        </w:tc>
        <w:tc>
          <w:tcPr>
            <w:tcW w:w="517" w:type="pct"/>
            <w:tcBorders>
              <w:top w:val="nil"/>
              <w:bottom w:val="nil"/>
            </w:tcBorders>
            <w:vAlign w:val="center"/>
          </w:tcPr>
          <w:p w14:paraId="4366AED0"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8.222.818</w:t>
            </w:r>
          </w:p>
        </w:tc>
        <w:tc>
          <w:tcPr>
            <w:tcW w:w="517" w:type="pct"/>
            <w:tcBorders>
              <w:top w:val="nil"/>
              <w:bottom w:val="nil"/>
            </w:tcBorders>
            <w:vAlign w:val="center"/>
          </w:tcPr>
          <w:p w14:paraId="554D39D4"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112.264.849</w:t>
            </w:r>
          </w:p>
        </w:tc>
        <w:tc>
          <w:tcPr>
            <w:tcW w:w="524" w:type="pct"/>
            <w:tcBorders>
              <w:top w:val="nil"/>
              <w:bottom w:val="nil"/>
            </w:tcBorders>
            <w:tcMar>
              <w:left w:w="57" w:type="dxa"/>
              <w:right w:w="57" w:type="dxa"/>
            </w:tcMar>
            <w:vAlign w:val="center"/>
          </w:tcPr>
          <w:p w14:paraId="0EB052CF"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138.657.305</w:t>
            </w:r>
          </w:p>
        </w:tc>
      </w:tr>
      <w:tr w:rsidR="00346226" w:rsidRPr="00FB38E1" w14:paraId="2C1A9090" w14:textId="77777777" w:rsidTr="002A31A1">
        <w:tc>
          <w:tcPr>
            <w:tcW w:w="100" w:type="pct"/>
            <w:tcBorders>
              <w:top w:val="nil"/>
              <w:bottom w:val="single" w:sz="4" w:space="0" w:color="auto"/>
            </w:tcBorders>
            <w:tcMar>
              <w:left w:w="57" w:type="dxa"/>
              <w:right w:w="57" w:type="dxa"/>
            </w:tcMar>
          </w:tcPr>
          <w:p w14:paraId="5BBA485A" w14:textId="77777777" w:rsidR="00346226" w:rsidRPr="00FB38E1" w:rsidRDefault="00346226" w:rsidP="002A31A1">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1407" w:type="pct"/>
            <w:tcBorders>
              <w:top w:val="nil"/>
              <w:left w:val="nil"/>
              <w:bottom w:val="single" w:sz="4" w:space="0" w:color="auto"/>
              <w:right w:val="nil"/>
            </w:tcBorders>
            <w:shd w:val="clear" w:color="auto" w:fill="auto"/>
            <w:tcMar>
              <w:left w:w="57" w:type="dxa"/>
              <w:right w:w="57" w:type="dxa"/>
            </w:tcMar>
            <w:vAlign w:val="center"/>
          </w:tcPr>
          <w:p w14:paraId="1476940B" w14:textId="77777777" w:rsidR="00346226" w:rsidRPr="00FB38E1" w:rsidRDefault="00346226" w:rsidP="002A31A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Bilanço dışı alacaklar</w:t>
            </w:r>
          </w:p>
        </w:tc>
        <w:tc>
          <w:tcPr>
            <w:tcW w:w="545" w:type="pct"/>
            <w:tcBorders>
              <w:top w:val="nil"/>
              <w:bottom w:val="single" w:sz="4" w:space="0" w:color="auto"/>
            </w:tcBorders>
            <w:tcMar>
              <w:left w:w="57" w:type="dxa"/>
              <w:right w:w="57" w:type="dxa"/>
            </w:tcMar>
            <w:vAlign w:val="center"/>
          </w:tcPr>
          <w:p w14:paraId="241A1A54"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single" w:sz="4" w:space="0" w:color="auto"/>
            </w:tcBorders>
            <w:tcMar>
              <w:left w:w="57" w:type="dxa"/>
              <w:right w:w="57" w:type="dxa"/>
            </w:tcMar>
            <w:vAlign w:val="center"/>
          </w:tcPr>
          <w:p w14:paraId="1870C210"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367.278.837</w:t>
            </w:r>
          </w:p>
        </w:tc>
        <w:tc>
          <w:tcPr>
            <w:tcW w:w="462" w:type="pct"/>
            <w:tcBorders>
              <w:top w:val="nil"/>
              <w:bottom w:val="single" w:sz="4" w:space="0" w:color="auto"/>
            </w:tcBorders>
            <w:tcMar>
              <w:left w:w="57" w:type="dxa"/>
              <w:right w:w="57" w:type="dxa"/>
            </w:tcMar>
            <w:vAlign w:val="center"/>
          </w:tcPr>
          <w:p w14:paraId="38D1A678"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16.056.928</w:t>
            </w:r>
          </w:p>
        </w:tc>
        <w:tc>
          <w:tcPr>
            <w:tcW w:w="464" w:type="pct"/>
            <w:tcBorders>
              <w:top w:val="nil"/>
              <w:bottom w:val="single" w:sz="4" w:space="0" w:color="auto"/>
            </w:tcBorders>
            <w:tcMar>
              <w:left w:w="57" w:type="dxa"/>
              <w:right w:w="57" w:type="dxa"/>
            </w:tcMar>
            <w:vAlign w:val="center"/>
          </w:tcPr>
          <w:p w14:paraId="5DEC2E72"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17.929.248</w:t>
            </w:r>
          </w:p>
        </w:tc>
        <w:tc>
          <w:tcPr>
            <w:tcW w:w="517" w:type="pct"/>
            <w:tcBorders>
              <w:top w:val="nil"/>
              <w:bottom w:val="single" w:sz="4" w:space="0" w:color="auto"/>
            </w:tcBorders>
            <w:vAlign w:val="center"/>
          </w:tcPr>
          <w:p w14:paraId="48BEB7FC"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42.725.543</w:t>
            </w:r>
          </w:p>
        </w:tc>
        <w:tc>
          <w:tcPr>
            <w:tcW w:w="517" w:type="pct"/>
            <w:tcBorders>
              <w:top w:val="nil"/>
              <w:bottom w:val="single" w:sz="4" w:space="0" w:color="auto"/>
            </w:tcBorders>
            <w:vAlign w:val="center"/>
          </w:tcPr>
          <w:p w14:paraId="57A51FF4"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74.749.597</w:t>
            </w:r>
          </w:p>
        </w:tc>
        <w:tc>
          <w:tcPr>
            <w:tcW w:w="524" w:type="pct"/>
            <w:tcBorders>
              <w:top w:val="nil"/>
              <w:bottom w:val="single" w:sz="4" w:space="0" w:color="auto"/>
            </w:tcBorders>
            <w:tcMar>
              <w:left w:w="57" w:type="dxa"/>
              <w:right w:w="57" w:type="dxa"/>
            </w:tcMar>
            <w:vAlign w:val="center"/>
          </w:tcPr>
          <w:p w14:paraId="74C7B292"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518.740.153</w:t>
            </w:r>
          </w:p>
        </w:tc>
      </w:tr>
      <w:tr w:rsidR="00346226" w:rsidRPr="00FB38E1" w14:paraId="549D833E" w14:textId="77777777" w:rsidTr="002A31A1">
        <w:tc>
          <w:tcPr>
            <w:tcW w:w="1506" w:type="pct"/>
            <w:gridSpan w:val="2"/>
            <w:tcBorders>
              <w:top w:val="single" w:sz="4" w:space="0" w:color="auto"/>
              <w:bottom w:val="nil"/>
            </w:tcBorders>
            <w:tcMar>
              <w:left w:w="57" w:type="dxa"/>
              <w:right w:w="57" w:type="dxa"/>
            </w:tcMar>
          </w:tcPr>
          <w:p w14:paraId="1228B22B" w14:textId="77777777" w:rsidR="00346226" w:rsidRPr="00FB38E1" w:rsidRDefault="00346226" w:rsidP="002A31A1">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Temerrüt etmiş alacaklar</w:t>
            </w:r>
          </w:p>
        </w:tc>
        <w:tc>
          <w:tcPr>
            <w:tcW w:w="545" w:type="pct"/>
            <w:tcBorders>
              <w:top w:val="single" w:sz="4" w:space="0" w:color="auto"/>
              <w:bottom w:val="nil"/>
            </w:tcBorders>
            <w:tcMar>
              <w:left w:w="57" w:type="dxa"/>
              <w:right w:w="57" w:type="dxa"/>
            </w:tcMar>
            <w:vAlign w:val="center"/>
          </w:tcPr>
          <w:p w14:paraId="3E47C488"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24.908.502</w:t>
            </w:r>
          </w:p>
        </w:tc>
        <w:tc>
          <w:tcPr>
            <w:tcW w:w="464" w:type="pct"/>
            <w:tcBorders>
              <w:top w:val="single" w:sz="4" w:space="0" w:color="auto"/>
              <w:bottom w:val="nil"/>
            </w:tcBorders>
            <w:tcMar>
              <w:left w:w="57" w:type="dxa"/>
              <w:right w:w="57" w:type="dxa"/>
            </w:tcMar>
            <w:vAlign w:val="center"/>
          </w:tcPr>
          <w:p w14:paraId="624B75FD"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2" w:type="pct"/>
            <w:tcBorders>
              <w:top w:val="single" w:sz="4" w:space="0" w:color="auto"/>
              <w:bottom w:val="nil"/>
            </w:tcBorders>
            <w:tcMar>
              <w:left w:w="57" w:type="dxa"/>
              <w:right w:w="57" w:type="dxa"/>
            </w:tcMar>
            <w:vAlign w:val="center"/>
          </w:tcPr>
          <w:p w14:paraId="03FA49EC"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4" w:type="pct"/>
            <w:tcBorders>
              <w:top w:val="single" w:sz="4" w:space="0" w:color="auto"/>
              <w:bottom w:val="nil"/>
            </w:tcBorders>
            <w:tcMar>
              <w:left w:w="57" w:type="dxa"/>
              <w:right w:w="57" w:type="dxa"/>
            </w:tcMar>
            <w:vAlign w:val="center"/>
          </w:tcPr>
          <w:p w14:paraId="33F2A280"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517" w:type="pct"/>
            <w:tcBorders>
              <w:top w:val="single" w:sz="4" w:space="0" w:color="auto"/>
              <w:bottom w:val="nil"/>
            </w:tcBorders>
            <w:vAlign w:val="center"/>
          </w:tcPr>
          <w:p w14:paraId="7E50D213"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517" w:type="pct"/>
            <w:tcBorders>
              <w:top w:val="single" w:sz="4" w:space="0" w:color="auto"/>
              <w:bottom w:val="nil"/>
            </w:tcBorders>
            <w:vAlign w:val="center"/>
          </w:tcPr>
          <w:p w14:paraId="7D983156"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524" w:type="pct"/>
            <w:tcBorders>
              <w:top w:val="single" w:sz="4" w:space="0" w:color="auto"/>
              <w:bottom w:val="nil"/>
            </w:tcBorders>
            <w:tcMar>
              <w:left w:w="57" w:type="dxa"/>
              <w:right w:w="57" w:type="dxa"/>
            </w:tcMar>
            <w:vAlign w:val="center"/>
          </w:tcPr>
          <w:p w14:paraId="52A9BBFC" w14:textId="77777777" w:rsidR="00346226" w:rsidRPr="00FB38E1" w:rsidRDefault="00346226" w:rsidP="002A31A1">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24.908.502</w:t>
            </w:r>
          </w:p>
        </w:tc>
      </w:tr>
      <w:tr w:rsidR="00346226" w:rsidRPr="00FB38E1" w14:paraId="121FBDE6" w14:textId="77777777" w:rsidTr="002A31A1">
        <w:tc>
          <w:tcPr>
            <w:tcW w:w="100" w:type="pct"/>
            <w:tcBorders>
              <w:top w:val="nil"/>
              <w:bottom w:val="nil"/>
            </w:tcBorders>
            <w:tcMar>
              <w:left w:w="57" w:type="dxa"/>
              <w:right w:w="57" w:type="dxa"/>
            </w:tcMar>
          </w:tcPr>
          <w:p w14:paraId="39C0D36A" w14:textId="77777777" w:rsidR="00346226" w:rsidRPr="00FB38E1" w:rsidRDefault="00346226" w:rsidP="002A31A1">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1407" w:type="pct"/>
            <w:tcBorders>
              <w:top w:val="nil"/>
              <w:left w:val="nil"/>
              <w:bottom w:val="nil"/>
              <w:right w:val="nil"/>
            </w:tcBorders>
            <w:shd w:val="clear" w:color="auto" w:fill="auto"/>
            <w:tcMar>
              <w:left w:w="57" w:type="dxa"/>
              <w:right w:w="57" w:type="dxa"/>
            </w:tcMar>
            <w:vAlign w:val="center"/>
          </w:tcPr>
          <w:p w14:paraId="357B66F2" w14:textId="77777777" w:rsidR="00346226" w:rsidRPr="00FB38E1" w:rsidRDefault="00346226" w:rsidP="002A31A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Krediler</w:t>
            </w:r>
          </w:p>
        </w:tc>
        <w:tc>
          <w:tcPr>
            <w:tcW w:w="545" w:type="pct"/>
            <w:tcBorders>
              <w:top w:val="nil"/>
              <w:bottom w:val="nil"/>
            </w:tcBorders>
            <w:tcMar>
              <w:left w:w="57" w:type="dxa"/>
              <w:right w:w="57" w:type="dxa"/>
            </w:tcMar>
            <w:vAlign w:val="center"/>
          </w:tcPr>
          <w:p w14:paraId="5A2918CC"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21.224.916</w:t>
            </w:r>
          </w:p>
        </w:tc>
        <w:tc>
          <w:tcPr>
            <w:tcW w:w="464" w:type="pct"/>
            <w:tcBorders>
              <w:top w:val="nil"/>
              <w:bottom w:val="nil"/>
            </w:tcBorders>
            <w:tcMar>
              <w:left w:w="57" w:type="dxa"/>
              <w:right w:w="57" w:type="dxa"/>
            </w:tcMar>
            <w:vAlign w:val="center"/>
          </w:tcPr>
          <w:p w14:paraId="75A91D80"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2" w:type="pct"/>
            <w:tcBorders>
              <w:top w:val="nil"/>
              <w:bottom w:val="nil"/>
            </w:tcBorders>
            <w:tcMar>
              <w:left w:w="57" w:type="dxa"/>
              <w:right w:w="57" w:type="dxa"/>
            </w:tcMar>
            <w:vAlign w:val="center"/>
          </w:tcPr>
          <w:p w14:paraId="73DDBE12"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tcMar>
              <w:left w:w="57" w:type="dxa"/>
              <w:right w:w="57" w:type="dxa"/>
            </w:tcMar>
            <w:vAlign w:val="center"/>
          </w:tcPr>
          <w:p w14:paraId="1CD19B12"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nil"/>
            </w:tcBorders>
            <w:vAlign w:val="center"/>
          </w:tcPr>
          <w:p w14:paraId="3036D5FC"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nil"/>
            </w:tcBorders>
            <w:vAlign w:val="center"/>
          </w:tcPr>
          <w:p w14:paraId="42BBF339"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4" w:type="pct"/>
            <w:tcBorders>
              <w:top w:val="nil"/>
              <w:bottom w:val="nil"/>
            </w:tcBorders>
            <w:tcMar>
              <w:left w:w="57" w:type="dxa"/>
              <w:right w:w="57" w:type="dxa"/>
            </w:tcMar>
            <w:vAlign w:val="center"/>
          </w:tcPr>
          <w:p w14:paraId="3F6EA0E8"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21.224.916</w:t>
            </w:r>
          </w:p>
        </w:tc>
      </w:tr>
      <w:tr w:rsidR="00346226" w:rsidRPr="00FB38E1" w14:paraId="02EDA789" w14:textId="77777777" w:rsidTr="002A31A1">
        <w:tc>
          <w:tcPr>
            <w:tcW w:w="100" w:type="pct"/>
            <w:tcBorders>
              <w:top w:val="nil"/>
              <w:bottom w:val="nil"/>
            </w:tcBorders>
            <w:tcMar>
              <w:left w:w="57" w:type="dxa"/>
              <w:right w:w="57" w:type="dxa"/>
            </w:tcMar>
          </w:tcPr>
          <w:p w14:paraId="66C4DD52" w14:textId="77777777" w:rsidR="00346226" w:rsidRPr="00FB38E1" w:rsidRDefault="00346226" w:rsidP="002A31A1">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1407" w:type="pct"/>
            <w:tcBorders>
              <w:top w:val="nil"/>
              <w:left w:val="nil"/>
              <w:bottom w:val="nil"/>
              <w:right w:val="nil"/>
            </w:tcBorders>
            <w:shd w:val="clear" w:color="auto" w:fill="auto"/>
            <w:tcMar>
              <w:left w:w="57" w:type="dxa"/>
              <w:right w:w="57" w:type="dxa"/>
            </w:tcMar>
            <w:vAlign w:val="center"/>
          </w:tcPr>
          <w:p w14:paraId="296B788B" w14:textId="77777777" w:rsidR="00346226" w:rsidRPr="00FB38E1" w:rsidRDefault="00346226" w:rsidP="002A31A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Borçlanma araçları</w:t>
            </w:r>
          </w:p>
        </w:tc>
        <w:tc>
          <w:tcPr>
            <w:tcW w:w="545" w:type="pct"/>
            <w:tcBorders>
              <w:top w:val="nil"/>
              <w:bottom w:val="nil"/>
            </w:tcBorders>
            <w:shd w:val="clear" w:color="auto" w:fill="auto"/>
            <w:tcMar>
              <w:left w:w="57" w:type="dxa"/>
              <w:right w:w="57" w:type="dxa"/>
            </w:tcMar>
            <w:vAlign w:val="center"/>
          </w:tcPr>
          <w:p w14:paraId="1AFC399A"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shd w:val="clear" w:color="auto" w:fill="auto"/>
            <w:tcMar>
              <w:left w:w="57" w:type="dxa"/>
              <w:right w:w="57" w:type="dxa"/>
            </w:tcMar>
            <w:vAlign w:val="center"/>
          </w:tcPr>
          <w:p w14:paraId="593A78E6"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2" w:type="pct"/>
            <w:tcBorders>
              <w:top w:val="nil"/>
              <w:bottom w:val="nil"/>
            </w:tcBorders>
            <w:shd w:val="clear" w:color="auto" w:fill="auto"/>
            <w:tcMar>
              <w:left w:w="57" w:type="dxa"/>
              <w:right w:w="57" w:type="dxa"/>
            </w:tcMar>
            <w:vAlign w:val="center"/>
          </w:tcPr>
          <w:p w14:paraId="333CF2FC"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nil"/>
            </w:tcBorders>
            <w:shd w:val="clear" w:color="auto" w:fill="auto"/>
            <w:tcMar>
              <w:left w:w="57" w:type="dxa"/>
              <w:right w:w="57" w:type="dxa"/>
            </w:tcMar>
            <w:vAlign w:val="center"/>
          </w:tcPr>
          <w:p w14:paraId="444288CF"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nil"/>
            </w:tcBorders>
            <w:shd w:val="clear" w:color="auto" w:fill="auto"/>
            <w:vAlign w:val="center"/>
          </w:tcPr>
          <w:p w14:paraId="4787502E"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nil"/>
            </w:tcBorders>
            <w:shd w:val="clear" w:color="auto" w:fill="auto"/>
            <w:vAlign w:val="center"/>
          </w:tcPr>
          <w:p w14:paraId="2D1BCC87"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4" w:type="pct"/>
            <w:tcBorders>
              <w:top w:val="nil"/>
              <w:bottom w:val="nil"/>
            </w:tcBorders>
            <w:shd w:val="clear" w:color="auto" w:fill="auto"/>
            <w:tcMar>
              <w:left w:w="57" w:type="dxa"/>
              <w:right w:w="57" w:type="dxa"/>
            </w:tcMar>
            <w:vAlign w:val="center"/>
          </w:tcPr>
          <w:p w14:paraId="1E822C63"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346226" w:rsidRPr="00FB38E1" w14:paraId="02F0874C" w14:textId="77777777" w:rsidTr="002A31A1">
        <w:tc>
          <w:tcPr>
            <w:tcW w:w="100" w:type="pct"/>
            <w:tcBorders>
              <w:top w:val="nil"/>
              <w:bottom w:val="single" w:sz="4" w:space="0" w:color="auto"/>
            </w:tcBorders>
            <w:tcMar>
              <w:left w:w="57" w:type="dxa"/>
              <w:right w:w="57" w:type="dxa"/>
            </w:tcMar>
          </w:tcPr>
          <w:p w14:paraId="7240F6E0" w14:textId="77777777" w:rsidR="00346226" w:rsidRPr="00FB38E1" w:rsidRDefault="00346226" w:rsidP="002A31A1">
            <w:pPr>
              <w:jc w:val="right"/>
              <w:rPr>
                <w:rFonts w:ascii="Microsoft Sans Serif" w:hAnsi="Microsoft Sans Serif" w:cs="Microsoft Sans Serif"/>
                <w:sz w:val="14"/>
                <w:szCs w:val="14"/>
              </w:rPr>
            </w:pPr>
            <w:r w:rsidRPr="00FB38E1">
              <w:rPr>
                <w:rFonts w:ascii="Microsoft Sans Serif" w:hAnsi="Microsoft Sans Serif" w:cs="Microsoft Sans Serif"/>
                <w:color w:val="404040" w:themeColor="text1" w:themeTint="BF"/>
                <w:sz w:val="14"/>
                <w:szCs w:val="14"/>
              </w:rPr>
              <w:t>3</w:t>
            </w:r>
          </w:p>
        </w:tc>
        <w:tc>
          <w:tcPr>
            <w:tcW w:w="1407" w:type="pct"/>
            <w:tcBorders>
              <w:top w:val="nil"/>
              <w:left w:val="nil"/>
              <w:bottom w:val="single" w:sz="4" w:space="0" w:color="auto"/>
              <w:right w:val="nil"/>
            </w:tcBorders>
            <w:shd w:val="clear" w:color="auto" w:fill="auto"/>
            <w:tcMar>
              <w:left w:w="57" w:type="dxa"/>
              <w:right w:w="57" w:type="dxa"/>
            </w:tcMar>
            <w:vAlign w:val="center"/>
          </w:tcPr>
          <w:p w14:paraId="414BF3DA" w14:textId="77777777" w:rsidR="00346226" w:rsidRPr="00FB38E1" w:rsidRDefault="00346226" w:rsidP="002A31A1">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Bilanço dışı alacaklar</w:t>
            </w:r>
          </w:p>
        </w:tc>
        <w:tc>
          <w:tcPr>
            <w:tcW w:w="545" w:type="pct"/>
            <w:tcBorders>
              <w:top w:val="nil"/>
              <w:bottom w:val="single" w:sz="4" w:space="0" w:color="auto"/>
            </w:tcBorders>
            <w:tcMar>
              <w:left w:w="57" w:type="dxa"/>
              <w:right w:w="57" w:type="dxa"/>
            </w:tcMar>
            <w:vAlign w:val="center"/>
          </w:tcPr>
          <w:p w14:paraId="19D6C225"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3.683.586</w:t>
            </w:r>
          </w:p>
        </w:tc>
        <w:tc>
          <w:tcPr>
            <w:tcW w:w="464" w:type="pct"/>
            <w:tcBorders>
              <w:top w:val="nil"/>
              <w:bottom w:val="single" w:sz="4" w:space="0" w:color="auto"/>
            </w:tcBorders>
            <w:tcMar>
              <w:left w:w="57" w:type="dxa"/>
              <w:right w:w="57" w:type="dxa"/>
            </w:tcMar>
            <w:vAlign w:val="center"/>
          </w:tcPr>
          <w:p w14:paraId="5EE2D803"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2" w:type="pct"/>
            <w:tcBorders>
              <w:top w:val="nil"/>
              <w:bottom w:val="single" w:sz="4" w:space="0" w:color="auto"/>
            </w:tcBorders>
            <w:tcMar>
              <w:left w:w="57" w:type="dxa"/>
              <w:right w:w="57" w:type="dxa"/>
            </w:tcMar>
            <w:vAlign w:val="center"/>
          </w:tcPr>
          <w:p w14:paraId="3F85CB60"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4" w:type="pct"/>
            <w:tcBorders>
              <w:top w:val="nil"/>
              <w:bottom w:val="single" w:sz="4" w:space="0" w:color="auto"/>
            </w:tcBorders>
            <w:tcMar>
              <w:left w:w="57" w:type="dxa"/>
              <w:right w:w="57" w:type="dxa"/>
            </w:tcMar>
            <w:vAlign w:val="center"/>
          </w:tcPr>
          <w:p w14:paraId="0AD7E504"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single" w:sz="4" w:space="0" w:color="auto"/>
            </w:tcBorders>
            <w:vAlign w:val="center"/>
          </w:tcPr>
          <w:p w14:paraId="17797457"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17" w:type="pct"/>
            <w:tcBorders>
              <w:top w:val="nil"/>
              <w:bottom w:val="single" w:sz="4" w:space="0" w:color="auto"/>
            </w:tcBorders>
            <w:vAlign w:val="center"/>
          </w:tcPr>
          <w:p w14:paraId="2970F5B0"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24" w:type="pct"/>
            <w:tcBorders>
              <w:top w:val="nil"/>
              <w:bottom w:val="single" w:sz="4" w:space="0" w:color="auto"/>
            </w:tcBorders>
            <w:tcMar>
              <w:left w:w="57" w:type="dxa"/>
              <w:right w:w="57" w:type="dxa"/>
            </w:tcMar>
            <w:vAlign w:val="center"/>
          </w:tcPr>
          <w:p w14:paraId="6D8E30BC" w14:textId="77777777" w:rsidR="00346226" w:rsidRPr="00FB38E1" w:rsidRDefault="00346226" w:rsidP="002A31A1">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3.683.586</w:t>
            </w:r>
          </w:p>
        </w:tc>
      </w:tr>
      <w:tr w:rsidR="00346226" w:rsidRPr="00FB38E1" w14:paraId="09EE240E" w14:textId="77777777" w:rsidTr="002A31A1">
        <w:tc>
          <w:tcPr>
            <w:tcW w:w="1506" w:type="pct"/>
            <w:gridSpan w:val="2"/>
            <w:tcBorders>
              <w:top w:val="single" w:sz="4" w:space="0" w:color="auto"/>
              <w:bottom w:val="single" w:sz="4" w:space="0" w:color="auto"/>
            </w:tcBorders>
            <w:tcMar>
              <w:left w:w="57" w:type="dxa"/>
              <w:right w:w="57" w:type="dxa"/>
            </w:tcMar>
          </w:tcPr>
          <w:p w14:paraId="608330C5" w14:textId="77777777" w:rsidR="00346226" w:rsidRPr="00FB38E1" w:rsidRDefault="00346226" w:rsidP="002A31A1">
            <w:pPr>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Özel Karşılık</w:t>
            </w:r>
          </w:p>
        </w:tc>
        <w:tc>
          <w:tcPr>
            <w:tcW w:w="545" w:type="pct"/>
            <w:tcBorders>
              <w:top w:val="single" w:sz="4" w:space="0" w:color="auto"/>
              <w:bottom w:val="single" w:sz="4" w:space="0" w:color="auto"/>
            </w:tcBorders>
            <w:tcMar>
              <w:left w:w="57" w:type="dxa"/>
              <w:right w:w="57" w:type="dxa"/>
            </w:tcMar>
            <w:vAlign w:val="center"/>
          </w:tcPr>
          <w:p w14:paraId="23F2DE52"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14.378.131</w:t>
            </w:r>
          </w:p>
        </w:tc>
        <w:tc>
          <w:tcPr>
            <w:tcW w:w="464" w:type="pct"/>
            <w:tcBorders>
              <w:top w:val="single" w:sz="4" w:space="0" w:color="auto"/>
              <w:bottom w:val="single" w:sz="4" w:space="0" w:color="auto"/>
            </w:tcBorders>
            <w:tcMar>
              <w:left w:w="57" w:type="dxa"/>
              <w:right w:w="57" w:type="dxa"/>
            </w:tcMar>
            <w:vAlign w:val="center"/>
          </w:tcPr>
          <w:p w14:paraId="3747B7B9"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2" w:type="pct"/>
            <w:tcBorders>
              <w:top w:val="single" w:sz="4" w:space="0" w:color="auto"/>
              <w:bottom w:val="single" w:sz="4" w:space="0" w:color="auto"/>
            </w:tcBorders>
            <w:tcMar>
              <w:left w:w="57" w:type="dxa"/>
              <w:right w:w="57" w:type="dxa"/>
            </w:tcMar>
            <w:vAlign w:val="center"/>
          </w:tcPr>
          <w:p w14:paraId="555FF611"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4" w:type="pct"/>
            <w:tcBorders>
              <w:top w:val="single" w:sz="4" w:space="0" w:color="auto"/>
              <w:bottom w:val="single" w:sz="4" w:space="0" w:color="auto"/>
            </w:tcBorders>
            <w:tcMar>
              <w:left w:w="57" w:type="dxa"/>
              <w:right w:w="57" w:type="dxa"/>
            </w:tcMar>
            <w:vAlign w:val="center"/>
          </w:tcPr>
          <w:p w14:paraId="5D6FDD6A"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17" w:type="pct"/>
            <w:tcBorders>
              <w:top w:val="single" w:sz="4" w:space="0" w:color="auto"/>
              <w:bottom w:val="single" w:sz="4" w:space="0" w:color="auto"/>
            </w:tcBorders>
            <w:vAlign w:val="center"/>
          </w:tcPr>
          <w:p w14:paraId="278E1349"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17" w:type="pct"/>
            <w:tcBorders>
              <w:top w:val="single" w:sz="4" w:space="0" w:color="auto"/>
              <w:bottom w:val="single" w:sz="4" w:space="0" w:color="auto"/>
            </w:tcBorders>
            <w:vAlign w:val="center"/>
          </w:tcPr>
          <w:p w14:paraId="1086A0F4"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524" w:type="pct"/>
            <w:tcBorders>
              <w:top w:val="single" w:sz="4" w:space="0" w:color="auto"/>
              <w:bottom w:val="single" w:sz="4" w:space="0" w:color="auto"/>
            </w:tcBorders>
            <w:tcMar>
              <w:left w:w="57" w:type="dxa"/>
              <w:right w:w="57" w:type="dxa"/>
            </w:tcMar>
            <w:vAlign w:val="center"/>
          </w:tcPr>
          <w:p w14:paraId="17D9646B"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14.378.131</w:t>
            </w:r>
          </w:p>
        </w:tc>
      </w:tr>
      <w:tr w:rsidR="00346226" w:rsidRPr="00FB38E1" w14:paraId="7F761908" w14:textId="77777777" w:rsidTr="002A31A1">
        <w:tc>
          <w:tcPr>
            <w:tcW w:w="1506" w:type="pct"/>
            <w:gridSpan w:val="2"/>
            <w:tcBorders>
              <w:top w:val="single" w:sz="4" w:space="0" w:color="auto"/>
              <w:bottom w:val="thickThinSmallGap" w:sz="24" w:space="0" w:color="auto"/>
            </w:tcBorders>
            <w:tcMar>
              <w:left w:w="57" w:type="dxa"/>
              <w:right w:w="57" w:type="dxa"/>
            </w:tcMar>
          </w:tcPr>
          <w:p w14:paraId="0FE9F5FF" w14:textId="77777777" w:rsidR="00346226" w:rsidRPr="00FB38E1" w:rsidRDefault="00346226" w:rsidP="002A31A1">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545" w:type="pct"/>
            <w:tcBorders>
              <w:top w:val="single" w:sz="4" w:space="0" w:color="auto"/>
              <w:bottom w:val="thickThinSmallGap" w:sz="24" w:space="0" w:color="auto"/>
            </w:tcBorders>
            <w:tcMar>
              <w:left w:w="57" w:type="dxa"/>
              <w:right w:w="57" w:type="dxa"/>
            </w:tcMar>
            <w:vAlign w:val="center"/>
          </w:tcPr>
          <w:p w14:paraId="1D8EE100"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10.530.371</w:t>
            </w:r>
          </w:p>
        </w:tc>
        <w:tc>
          <w:tcPr>
            <w:tcW w:w="464" w:type="pct"/>
            <w:tcBorders>
              <w:top w:val="single" w:sz="4" w:space="0" w:color="auto"/>
              <w:bottom w:val="thickThinSmallGap" w:sz="24" w:space="0" w:color="auto"/>
            </w:tcBorders>
            <w:tcMar>
              <w:left w:w="57" w:type="dxa"/>
              <w:right w:w="57" w:type="dxa"/>
            </w:tcMar>
            <w:vAlign w:val="center"/>
          </w:tcPr>
          <w:p w14:paraId="0D5A7AAB"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501.778.693</w:t>
            </w:r>
          </w:p>
        </w:tc>
        <w:tc>
          <w:tcPr>
            <w:tcW w:w="462" w:type="pct"/>
            <w:tcBorders>
              <w:top w:val="single" w:sz="4" w:space="0" w:color="auto"/>
              <w:bottom w:val="thickThinSmallGap" w:sz="24" w:space="0" w:color="auto"/>
            </w:tcBorders>
            <w:tcMar>
              <w:left w:w="57" w:type="dxa"/>
              <w:right w:w="57" w:type="dxa"/>
            </w:tcMar>
            <w:vAlign w:val="center"/>
          </w:tcPr>
          <w:p w14:paraId="6320B867"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54.535.358</w:t>
            </w:r>
          </w:p>
        </w:tc>
        <w:tc>
          <w:tcPr>
            <w:tcW w:w="464" w:type="pct"/>
            <w:tcBorders>
              <w:top w:val="single" w:sz="4" w:space="0" w:color="auto"/>
              <w:bottom w:val="thickThinSmallGap" w:sz="24" w:space="0" w:color="auto"/>
            </w:tcBorders>
            <w:tcMar>
              <w:left w:w="57" w:type="dxa"/>
              <w:right w:w="57" w:type="dxa"/>
            </w:tcMar>
            <w:vAlign w:val="center"/>
          </w:tcPr>
          <w:p w14:paraId="794F2FCA"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71.202.124</w:t>
            </w:r>
          </w:p>
        </w:tc>
        <w:tc>
          <w:tcPr>
            <w:tcW w:w="517" w:type="pct"/>
            <w:tcBorders>
              <w:top w:val="single" w:sz="4" w:space="0" w:color="auto"/>
              <w:bottom w:val="thickThinSmallGap" w:sz="24" w:space="0" w:color="auto"/>
            </w:tcBorders>
            <w:vAlign w:val="center"/>
          </w:tcPr>
          <w:p w14:paraId="6DE9598F"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152.117.384</w:t>
            </w:r>
          </w:p>
        </w:tc>
        <w:tc>
          <w:tcPr>
            <w:tcW w:w="517" w:type="pct"/>
            <w:tcBorders>
              <w:top w:val="single" w:sz="4" w:space="0" w:color="auto"/>
              <w:bottom w:val="thickThinSmallGap" w:sz="24" w:space="0" w:color="auto"/>
            </w:tcBorders>
            <w:vAlign w:val="center"/>
          </w:tcPr>
          <w:p w14:paraId="2C1DA27C"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356.997.309</w:t>
            </w:r>
          </w:p>
        </w:tc>
        <w:tc>
          <w:tcPr>
            <w:tcW w:w="524" w:type="pct"/>
            <w:tcBorders>
              <w:top w:val="single" w:sz="4" w:space="0" w:color="auto"/>
              <w:bottom w:val="thickThinSmallGap" w:sz="24" w:space="0" w:color="auto"/>
            </w:tcBorders>
            <w:tcMar>
              <w:left w:w="57" w:type="dxa"/>
              <w:right w:w="57" w:type="dxa"/>
            </w:tcMar>
            <w:vAlign w:val="center"/>
          </w:tcPr>
          <w:p w14:paraId="07EF394E" w14:textId="77777777" w:rsidR="00346226" w:rsidRPr="00FB38E1" w:rsidRDefault="00346226" w:rsidP="002A31A1">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1.147.161.239</w:t>
            </w:r>
          </w:p>
        </w:tc>
      </w:tr>
    </w:tbl>
    <w:p w14:paraId="23975A14" w14:textId="77777777" w:rsidR="00E036D3" w:rsidRPr="00FB38E1" w:rsidRDefault="00E036D3" w:rsidP="00364B59">
      <w:pPr>
        <w:pStyle w:val="ListParagraph"/>
        <w:numPr>
          <w:ilvl w:val="0"/>
          <w:numId w:val="56"/>
        </w:numPr>
        <w:spacing w:before="240" w:after="120" w:line="220" w:lineRule="exact"/>
        <w:ind w:left="0" w:hanging="142"/>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Tahsili gecikmiş alacaklar için yaşlandırma analizi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20"/>
        <w:gridCol w:w="1157"/>
        <w:gridCol w:w="1157"/>
        <w:gridCol w:w="1157"/>
        <w:gridCol w:w="1124"/>
        <w:gridCol w:w="1124"/>
      </w:tblGrid>
      <w:tr w:rsidR="00E036D3" w:rsidRPr="00FB38E1" w14:paraId="7EC2C807" w14:textId="77777777" w:rsidTr="00836EF2">
        <w:tc>
          <w:tcPr>
            <w:tcW w:w="2033" w:type="pct"/>
            <w:tcBorders>
              <w:top w:val="thinThickSmallGap" w:sz="24" w:space="0" w:color="auto"/>
              <w:bottom w:val="single" w:sz="6" w:space="0" w:color="auto"/>
            </w:tcBorders>
            <w:vAlign w:val="bottom"/>
          </w:tcPr>
          <w:p w14:paraId="00677B60" w14:textId="77777777" w:rsidR="00E036D3" w:rsidRPr="00FB38E1" w:rsidRDefault="00E036D3" w:rsidP="00836EF2">
            <w:pP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Cari Dönem</w:t>
            </w:r>
          </w:p>
        </w:tc>
        <w:tc>
          <w:tcPr>
            <w:tcW w:w="600" w:type="pct"/>
            <w:tcBorders>
              <w:top w:val="thinThickSmallGap" w:sz="24" w:space="0" w:color="auto"/>
              <w:bottom w:val="single" w:sz="6" w:space="0" w:color="auto"/>
            </w:tcBorders>
          </w:tcPr>
          <w:p w14:paraId="1CF4B7A4"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1-30 gün</w:t>
            </w:r>
          </w:p>
        </w:tc>
        <w:tc>
          <w:tcPr>
            <w:tcW w:w="600" w:type="pct"/>
            <w:tcBorders>
              <w:top w:val="thinThickSmallGap" w:sz="24" w:space="0" w:color="auto"/>
              <w:bottom w:val="single" w:sz="6" w:space="0" w:color="auto"/>
            </w:tcBorders>
          </w:tcPr>
          <w:p w14:paraId="7335D708"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31-60 gün</w:t>
            </w:r>
          </w:p>
        </w:tc>
        <w:tc>
          <w:tcPr>
            <w:tcW w:w="600" w:type="pct"/>
            <w:tcBorders>
              <w:top w:val="thinThickSmallGap" w:sz="24" w:space="0" w:color="auto"/>
              <w:bottom w:val="single" w:sz="6" w:space="0" w:color="auto"/>
            </w:tcBorders>
            <w:vAlign w:val="bottom"/>
          </w:tcPr>
          <w:p w14:paraId="73874EEE"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61-90 gün</w:t>
            </w:r>
          </w:p>
        </w:tc>
        <w:tc>
          <w:tcPr>
            <w:tcW w:w="583" w:type="pct"/>
            <w:tcBorders>
              <w:top w:val="thinThickSmallGap" w:sz="24" w:space="0" w:color="auto"/>
              <w:bottom w:val="single" w:sz="6" w:space="0" w:color="auto"/>
            </w:tcBorders>
          </w:tcPr>
          <w:p w14:paraId="28EBF893"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90 gün üzeri</w:t>
            </w:r>
          </w:p>
        </w:tc>
        <w:tc>
          <w:tcPr>
            <w:tcW w:w="583" w:type="pct"/>
            <w:tcBorders>
              <w:top w:val="thinThickSmallGap" w:sz="24" w:space="0" w:color="auto"/>
              <w:bottom w:val="single" w:sz="6" w:space="0" w:color="auto"/>
            </w:tcBorders>
            <w:vAlign w:val="bottom"/>
          </w:tcPr>
          <w:p w14:paraId="7FABD978"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3022BF" w:rsidRPr="00FB38E1" w14:paraId="60BFFD6D" w14:textId="77777777" w:rsidTr="00836EF2">
        <w:tc>
          <w:tcPr>
            <w:tcW w:w="2033" w:type="pct"/>
            <w:tcBorders>
              <w:top w:val="single" w:sz="6" w:space="0" w:color="auto"/>
              <w:bottom w:val="nil"/>
            </w:tcBorders>
            <w:vAlign w:val="bottom"/>
          </w:tcPr>
          <w:p w14:paraId="1180A311" w14:textId="77777777" w:rsidR="003022BF" w:rsidRPr="00FB38E1" w:rsidRDefault="003022BF" w:rsidP="003022BF">
            <w:pPr>
              <w:rPr>
                <w:rFonts w:ascii="Microsoft Sans Serif" w:hAnsi="Microsoft Sans Serif" w:cs="Microsoft Sans Serif"/>
                <w:bCs/>
                <w:color w:val="404040" w:themeColor="text1" w:themeTint="BF"/>
                <w:sz w:val="16"/>
                <w:szCs w:val="16"/>
              </w:rPr>
            </w:pPr>
            <w:r w:rsidRPr="00FB38E1">
              <w:rPr>
                <w:rFonts w:ascii="Microsoft Sans Serif" w:hAnsi="Microsoft Sans Serif" w:cs="Microsoft Sans Serif"/>
                <w:bCs/>
                <w:color w:val="404040" w:themeColor="text1" w:themeTint="BF"/>
                <w:sz w:val="16"/>
                <w:szCs w:val="16"/>
              </w:rPr>
              <w:t>Krediler</w:t>
            </w:r>
          </w:p>
        </w:tc>
        <w:tc>
          <w:tcPr>
            <w:tcW w:w="600" w:type="pct"/>
            <w:tcBorders>
              <w:top w:val="single" w:sz="6" w:space="0" w:color="auto"/>
              <w:bottom w:val="nil"/>
            </w:tcBorders>
            <w:vAlign w:val="center"/>
          </w:tcPr>
          <w:p w14:paraId="0EFC73A8" w14:textId="675D894B"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26.737.901</w:t>
            </w:r>
          </w:p>
        </w:tc>
        <w:tc>
          <w:tcPr>
            <w:tcW w:w="600" w:type="pct"/>
            <w:tcBorders>
              <w:top w:val="single" w:sz="6" w:space="0" w:color="auto"/>
              <w:bottom w:val="nil"/>
            </w:tcBorders>
            <w:vAlign w:val="center"/>
          </w:tcPr>
          <w:p w14:paraId="05EDBB84" w14:textId="748AE141"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9.315.769</w:t>
            </w:r>
          </w:p>
        </w:tc>
        <w:tc>
          <w:tcPr>
            <w:tcW w:w="600" w:type="pct"/>
            <w:tcBorders>
              <w:top w:val="single" w:sz="6" w:space="0" w:color="auto"/>
              <w:bottom w:val="nil"/>
            </w:tcBorders>
            <w:vAlign w:val="center"/>
          </w:tcPr>
          <w:p w14:paraId="0C3F755F" w14:textId="3AAD155C"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6.531.347</w:t>
            </w:r>
          </w:p>
        </w:tc>
        <w:tc>
          <w:tcPr>
            <w:tcW w:w="583" w:type="pct"/>
            <w:tcBorders>
              <w:top w:val="single" w:sz="6" w:space="0" w:color="auto"/>
              <w:bottom w:val="nil"/>
            </w:tcBorders>
            <w:vAlign w:val="center"/>
          </w:tcPr>
          <w:p w14:paraId="79867CBF" w14:textId="6D87AE12"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2.732.279</w:t>
            </w:r>
          </w:p>
        </w:tc>
        <w:tc>
          <w:tcPr>
            <w:tcW w:w="583" w:type="pct"/>
            <w:tcBorders>
              <w:top w:val="single" w:sz="6" w:space="0" w:color="auto"/>
              <w:bottom w:val="nil"/>
            </w:tcBorders>
            <w:vAlign w:val="center"/>
          </w:tcPr>
          <w:p w14:paraId="376CB747" w14:textId="3DB19BF3" w:rsidR="003022BF" w:rsidRPr="00FB38E1" w:rsidRDefault="003022BF" w:rsidP="003022B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45.317.296</w:t>
            </w:r>
          </w:p>
        </w:tc>
      </w:tr>
      <w:tr w:rsidR="003022BF" w:rsidRPr="00FB38E1" w14:paraId="0E54CBC7" w14:textId="77777777" w:rsidTr="00836EF2">
        <w:tc>
          <w:tcPr>
            <w:tcW w:w="2033" w:type="pct"/>
            <w:tcBorders>
              <w:top w:val="nil"/>
              <w:bottom w:val="nil"/>
            </w:tcBorders>
            <w:vAlign w:val="bottom"/>
          </w:tcPr>
          <w:p w14:paraId="406A283F"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Borçlanma araçları</w:t>
            </w:r>
          </w:p>
        </w:tc>
        <w:tc>
          <w:tcPr>
            <w:tcW w:w="600" w:type="pct"/>
            <w:tcBorders>
              <w:top w:val="nil"/>
              <w:bottom w:val="nil"/>
            </w:tcBorders>
            <w:vAlign w:val="center"/>
          </w:tcPr>
          <w:p w14:paraId="4396D712" w14:textId="026946A2"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0" w:type="pct"/>
            <w:tcBorders>
              <w:top w:val="nil"/>
              <w:bottom w:val="nil"/>
            </w:tcBorders>
            <w:vAlign w:val="center"/>
          </w:tcPr>
          <w:p w14:paraId="0CC5B3BF" w14:textId="4B7E95C0"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0" w:type="pct"/>
            <w:tcBorders>
              <w:top w:val="nil"/>
              <w:left w:val="nil"/>
              <w:bottom w:val="nil"/>
              <w:right w:val="nil"/>
            </w:tcBorders>
            <w:shd w:val="clear" w:color="auto" w:fill="auto"/>
            <w:vAlign w:val="center"/>
          </w:tcPr>
          <w:p w14:paraId="178D5093" w14:textId="0D70E4D2"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3" w:type="pct"/>
            <w:tcBorders>
              <w:top w:val="nil"/>
              <w:bottom w:val="nil"/>
            </w:tcBorders>
            <w:vAlign w:val="center"/>
          </w:tcPr>
          <w:p w14:paraId="2358D4FF" w14:textId="0E042C0C"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3" w:type="pct"/>
            <w:tcBorders>
              <w:top w:val="nil"/>
              <w:bottom w:val="nil"/>
            </w:tcBorders>
            <w:vAlign w:val="center"/>
          </w:tcPr>
          <w:p w14:paraId="21EFF9F4" w14:textId="7F7DD8E0"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022BF" w:rsidRPr="00FB38E1" w14:paraId="0B42D0B9" w14:textId="77777777" w:rsidTr="00836EF2">
        <w:tc>
          <w:tcPr>
            <w:tcW w:w="2033" w:type="pct"/>
            <w:tcBorders>
              <w:top w:val="nil"/>
            </w:tcBorders>
            <w:vAlign w:val="bottom"/>
          </w:tcPr>
          <w:p w14:paraId="661A455E"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Bilanço dışı alacaklar</w:t>
            </w:r>
          </w:p>
        </w:tc>
        <w:tc>
          <w:tcPr>
            <w:tcW w:w="600" w:type="pct"/>
            <w:tcBorders>
              <w:top w:val="nil"/>
            </w:tcBorders>
            <w:vAlign w:val="center"/>
          </w:tcPr>
          <w:p w14:paraId="18E40A35" w14:textId="10EB2CB8"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0" w:type="pct"/>
            <w:tcBorders>
              <w:top w:val="nil"/>
            </w:tcBorders>
            <w:vAlign w:val="center"/>
          </w:tcPr>
          <w:p w14:paraId="7F684BAC" w14:textId="31931AB1"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0" w:type="pct"/>
            <w:tcBorders>
              <w:top w:val="nil"/>
            </w:tcBorders>
            <w:vAlign w:val="center"/>
          </w:tcPr>
          <w:p w14:paraId="5F2BFD11" w14:textId="3BE4712D"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3" w:type="pct"/>
            <w:tcBorders>
              <w:top w:val="nil"/>
            </w:tcBorders>
            <w:vAlign w:val="center"/>
          </w:tcPr>
          <w:p w14:paraId="3598717C" w14:textId="546F8C6C"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3" w:type="pct"/>
            <w:tcBorders>
              <w:top w:val="nil"/>
            </w:tcBorders>
            <w:vAlign w:val="center"/>
          </w:tcPr>
          <w:p w14:paraId="344662A3" w14:textId="5EF10F6A"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1D4E03F4" w14:textId="77777777" w:rsidR="00E036D3" w:rsidRPr="00FB38E1" w:rsidRDefault="00E036D3" w:rsidP="00E036D3">
      <w:pPr>
        <w:pStyle w:val="ListParagraph"/>
        <w:spacing w:before="120" w:after="0"/>
        <w:ind w:left="0"/>
        <w:contextualSpacing w:val="0"/>
        <w:rPr>
          <w:rFonts w:ascii="Microsoft Sans Serif" w:hAnsi="Microsoft Sans Serif" w:cs="Microsoft Sans Serif"/>
          <w:b/>
          <w:color w:val="404040" w:themeColor="text1" w:themeTint="BF"/>
          <w:sz w:val="20"/>
          <w:szCs w:val="20"/>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920"/>
        <w:gridCol w:w="1157"/>
        <w:gridCol w:w="1157"/>
        <w:gridCol w:w="1157"/>
        <w:gridCol w:w="1124"/>
        <w:gridCol w:w="1124"/>
      </w:tblGrid>
      <w:tr w:rsidR="00E036D3" w:rsidRPr="00FB38E1" w14:paraId="21C06E4E" w14:textId="77777777" w:rsidTr="00836EF2">
        <w:tc>
          <w:tcPr>
            <w:tcW w:w="2033" w:type="pct"/>
            <w:tcBorders>
              <w:top w:val="thinThickSmallGap" w:sz="24" w:space="0" w:color="auto"/>
              <w:bottom w:val="single" w:sz="6" w:space="0" w:color="auto"/>
            </w:tcBorders>
            <w:vAlign w:val="bottom"/>
          </w:tcPr>
          <w:p w14:paraId="54FA6AB3" w14:textId="77777777" w:rsidR="00E036D3" w:rsidRPr="00FB38E1" w:rsidRDefault="00E036D3" w:rsidP="00836EF2">
            <w:pPr>
              <w:rPr>
                <w:rFonts w:ascii="Microsoft Sans Serif" w:hAnsi="Microsoft Sans Serif" w:cs="Microsoft Sans Serif"/>
                <w:b/>
                <w:color w:val="000000"/>
                <w:sz w:val="16"/>
                <w:szCs w:val="16"/>
              </w:rPr>
            </w:pPr>
            <w:r w:rsidRPr="00FB38E1">
              <w:rPr>
                <w:rFonts w:ascii="Microsoft Sans Serif" w:hAnsi="Microsoft Sans Serif" w:cs="Microsoft Sans Serif"/>
                <w:b/>
                <w:color w:val="000000"/>
                <w:sz w:val="16"/>
                <w:szCs w:val="16"/>
              </w:rPr>
              <w:t>Önceki Dönem</w:t>
            </w:r>
          </w:p>
        </w:tc>
        <w:tc>
          <w:tcPr>
            <w:tcW w:w="600" w:type="pct"/>
            <w:tcBorders>
              <w:top w:val="thinThickSmallGap" w:sz="24" w:space="0" w:color="auto"/>
              <w:bottom w:val="single" w:sz="6" w:space="0" w:color="auto"/>
            </w:tcBorders>
          </w:tcPr>
          <w:p w14:paraId="25DC44AC"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1-30 gün</w:t>
            </w:r>
          </w:p>
        </w:tc>
        <w:tc>
          <w:tcPr>
            <w:tcW w:w="600" w:type="pct"/>
            <w:tcBorders>
              <w:top w:val="thinThickSmallGap" w:sz="24" w:space="0" w:color="auto"/>
              <w:bottom w:val="single" w:sz="6" w:space="0" w:color="auto"/>
            </w:tcBorders>
          </w:tcPr>
          <w:p w14:paraId="0E4346B1"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31-60 gün</w:t>
            </w:r>
          </w:p>
        </w:tc>
        <w:tc>
          <w:tcPr>
            <w:tcW w:w="600" w:type="pct"/>
            <w:tcBorders>
              <w:top w:val="thinThickSmallGap" w:sz="24" w:space="0" w:color="auto"/>
              <w:bottom w:val="single" w:sz="6" w:space="0" w:color="auto"/>
            </w:tcBorders>
            <w:vAlign w:val="bottom"/>
          </w:tcPr>
          <w:p w14:paraId="45FB9D5D"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61-90 gün</w:t>
            </w:r>
          </w:p>
        </w:tc>
        <w:tc>
          <w:tcPr>
            <w:tcW w:w="583" w:type="pct"/>
            <w:tcBorders>
              <w:top w:val="thinThickSmallGap" w:sz="24" w:space="0" w:color="auto"/>
              <w:bottom w:val="single" w:sz="6" w:space="0" w:color="auto"/>
            </w:tcBorders>
          </w:tcPr>
          <w:p w14:paraId="60D0C0F0"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90 gün üzeri</w:t>
            </w:r>
          </w:p>
        </w:tc>
        <w:tc>
          <w:tcPr>
            <w:tcW w:w="583" w:type="pct"/>
            <w:tcBorders>
              <w:top w:val="thinThickSmallGap" w:sz="24" w:space="0" w:color="auto"/>
              <w:bottom w:val="single" w:sz="6" w:space="0" w:color="auto"/>
            </w:tcBorders>
            <w:vAlign w:val="bottom"/>
          </w:tcPr>
          <w:p w14:paraId="4386B451" w14:textId="77777777" w:rsidR="00E036D3" w:rsidRPr="00FB38E1" w:rsidRDefault="00E036D3"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E036D3" w:rsidRPr="00FB38E1" w14:paraId="0E0483FA" w14:textId="77777777" w:rsidTr="00836EF2">
        <w:trPr>
          <w:trHeight w:val="53"/>
        </w:trPr>
        <w:tc>
          <w:tcPr>
            <w:tcW w:w="2033" w:type="pct"/>
            <w:tcBorders>
              <w:top w:val="single" w:sz="6" w:space="0" w:color="auto"/>
              <w:bottom w:val="nil"/>
            </w:tcBorders>
            <w:vAlign w:val="bottom"/>
          </w:tcPr>
          <w:p w14:paraId="6E5468DF" w14:textId="77777777" w:rsidR="00E036D3" w:rsidRPr="00FB38E1" w:rsidRDefault="00E036D3" w:rsidP="00E036D3">
            <w:pPr>
              <w:rPr>
                <w:rFonts w:ascii="Microsoft Sans Serif" w:hAnsi="Microsoft Sans Serif" w:cs="Microsoft Sans Serif"/>
                <w:bCs/>
                <w:color w:val="404040" w:themeColor="text1" w:themeTint="BF"/>
                <w:sz w:val="16"/>
                <w:szCs w:val="16"/>
              </w:rPr>
            </w:pPr>
            <w:r w:rsidRPr="00FB38E1">
              <w:rPr>
                <w:rFonts w:ascii="Microsoft Sans Serif" w:hAnsi="Microsoft Sans Serif" w:cs="Microsoft Sans Serif"/>
                <w:bCs/>
                <w:color w:val="404040" w:themeColor="text1" w:themeTint="BF"/>
                <w:sz w:val="16"/>
                <w:szCs w:val="16"/>
              </w:rPr>
              <w:t>Krediler</w:t>
            </w:r>
          </w:p>
        </w:tc>
        <w:tc>
          <w:tcPr>
            <w:tcW w:w="600" w:type="pct"/>
            <w:tcBorders>
              <w:top w:val="single" w:sz="6" w:space="0" w:color="auto"/>
              <w:bottom w:val="nil"/>
            </w:tcBorders>
            <w:vAlign w:val="center"/>
          </w:tcPr>
          <w:p w14:paraId="3748183E" w14:textId="354033E9"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14.349.773</w:t>
            </w:r>
          </w:p>
        </w:tc>
        <w:tc>
          <w:tcPr>
            <w:tcW w:w="600" w:type="pct"/>
            <w:tcBorders>
              <w:top w:val="single" w:sz="6" w:space="0" w:color="auto"/>
              <w:bottom w:val="nil"/>
            </w:tcBorders>
            <w:vAlign w:val="center"/>
          </w:tcPr>
          <w:p w14:paraId="63D6C548" w14:textId="55D717C0"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4.278.943</w:t>
            </w:r>
          </w:p>
        </w:tc>
        <w:tc>
          <w:tcPr>
            <w:tcW w:w="600" w:type="pct"/>
            <w:tcBorders>
              <w:top w:val="single" w:sz="6" w:space="0" w:color="auto"/>
              <w:bottom w:val="nil"/>
            </w:tcBorders>
            <w:vAlign w:val="center"/>
          </w:tcPr>
          <w:p w14:paraId="415B554A" w14:textId="03F72AAB"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8.152.198</w:t>
            </w:r>
          </w:p>
        </w:tc>
        <w:tc>
          <w:tcPr>
            <w:tcW w:w="583" w:type="pct"/>
            <w:tcBorders>
              <w:top w:val="single" w:sz="6" w:space="0" w:color="auto"/>
              <w:bottom w:val="nil"/>
            </w:tcBorders>
            <w:vAlign w:val="center"/>
          </w:tcPr>
          <w:p w14:paraId="67E3D491" w14:textId="1299C11B"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323.924</w:t>
            </w:r>
          </w:p>
        </w:tc>
        <w:tc>
          <w:tcPr>
            <w:tcW w:w="583" w:type="pct"/>
            <w:tcBorders>
              <w:top w:val="single" w:sz="6" w:space="0" w:color="auto"/>
              <w:bottom w:val="nil"/>
            </w:tcBorders>
            <w:vAlign w:val="center"/>
          </w:tcPr>
          <w:p w14:paraId="2A5EB2F7" w14:textId="0B4F1C17" w:rsidR="00E036D3" w:rsidRPr="00FB38E1" w:rsidRDefault="00E036D3" w:rsidP="00E036D3">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27.104.838</w:t>
            </w:r>
          </w:p>
        </w:tc>
      </w:tr>
      <w:tr w:rsidR="00E036D3" w:rsidRPr="00FB38E1" w14:paraId="3CA5EA82" w14:textId="77777777" w:rsidTr="00836EF2">
        <w:tc>
          <w:tcPr>
            <w:tcW w:w="2033" w:type="pct"/>
            <w:tcBorders>
              <w:top w:val="nil"/>
              <w:bottom w:val="nil"/>
            </w:tcBorders>
            <w:vAlign w:val="bottom"/>
          </w:tcPr>
          <w:p w14:paraId="5E47C3EB"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Borçlanma araçları</w:t>
            </w:r>
          </w:p>
        </w:tc>
        <w:tc>
          <w:tcPr>
            <w:tcW w:w="600" w:type="pct"/>
            <w:tcBorders>
              <w:top w:val="nil"/>
              <w:bottom w:val="nil"/>
            </w:tcBorders>
            <w:vAlign w:val="center"/>
          </w:tcPr>
          <w:p w14:paraId="0233EDC2" w14:textId="02066D6B"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0" w:type="pct"/>
            <w:tcBorders>
              <w:top w:val="nil"/>
              <w:bottom w:val="nil"/>
            </w:tcBorders>
            <w:vAlign w:val="center"/>
          </w:tcPr>
          <w:p w14:paraId="1D34E7B9" w14:textId="5FB5177D"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0" w:type="pct"/>
            <w:tcBorders>
              <w:top w:val="nil"/>
              <w:left w:val="nil"/>
              <w:bottom w:val="nil"/>
              <w:right w:val="nil"/>
            </w:tcBorders>
            <w:shd w:val="clear" w:color="auto" w:fill="auto"/>
            <w:vAlign w:val="center"/>
          </w:tcPr>
          <w:p w14:paraId="11AA5930" w14:textId="2966CFED"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3" w:type="pct"/>
            <w:tcBorders>
              <w:top w:val="nil"/>
              <w:bottom w:val="nil"/>
            </w:tcBorders>
            <w:vAlign w:val="center"/>
          </w:tcPr>
          <w:p w14:paraId="4F2C3AA9" w14:textId="02BD3D22"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3" w:type="pct"/>
            <w:tcBorders>
              <w:top w:val="nil"/>
              <w:bottom w:val="nil"/>
            </w:tcBorders>
            <w:vAlign w:val="center"/>
          </w:tcPr>
          <w:p w14:paraId="6ED35662" w14:textId="71B43999"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036D3" w:rsidRPr="00FB38E1" w14:paraId="049E990D" w14:textId="77777777" w:rsidTr="00836EF2">
        <w:tc>
          <w:tcPr>
            <w:tcW w:w="2033" w:type="pct"/>
            <w:tcBorders>
              <w:top w:val="nil"/>
            </w:tcBorders>
            <w:vAlign w:val="bottom"/>
          </w:tcPr>
          <w:p w14:paraId="44224F46"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Bilanço dışı alacaklar</w:t>
            </w:r>
          </w:p>
        </w:tc>
        <w:tc>
          <w:tcPr>
            <w:tcW w:w="600" w:type="pct"/>
            <w:tcBorders>
              <w:top w:val="nil"/>
            </w:tcBorders>
            <w:vAlign w:val="center"/>
          </w:tcPr>
          <w:p w14:paraId="7348064B" w14:textId="23BD3BA7"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0" w:type="pct"/>
            <w:tcBorders>
              <w:top w:val="nil"/>
            </w:tcBorders>
            <w:vAlign w:val="center"/>
          </w:tcPr>
          <w:p w14:paraId="2D267198" w14:textId="5EFA6EC5"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0" w:type="pct"/>
            <w:tcBorders>
              <w:top w:val="nil"/>
            </w:tcBorders>
            <w:vAlign w:val="center"/>
          </w:tcPr>
          <w:p w14:paraId="36E0A1EC" w14:textId="4D6851D2"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3" w:type="pct"/>
            <w:tcBorders>
              <w:top w:val="nil"/>
            </w:tcBorders>
            <w:vAlign w:val="center"/>
          </w:tcPr>
          <w:p w14:paraId="62B09C12" w14:textId="4922FA1E"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3" w:type="pct"/>
            <w:tcBorders>
              <w:top w:val="nil"/>
            </w:tcBorders>
            <w:vAlign w:val="center"/>
          </w:tcPr>
          <w:p w14:paraId="2C60475E" w14:textId="461322EA" w:rsidR="00E036D3" w:rsidRPr="00FB38E1" w:rsidRDefault="00E036D3" w:rsidP="00E036D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5362282A" w14:textId="77777777" w:rsidR="00E036D3" w:rsidRPr="00FB38E1" w:rsidRDefault="00E036D3" w:rsidP="00364B59">
      <w:pPr>
        <w:pStyle w:val="ListParagraph"/>
        <w:numPr>
          <w:ilvl w:val="0"/>
          <w:numId w:val="56"/>
        </w:numPr>
        <w:spacing w:before="240" w:after="120" w:line="220" w:lineRule="exact"/>
        <w:ind w:left="0" w:hanging="142"/>
        <w:contextualSpacing w:val="0"/>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color w:val="404040" w:themeColor="text1" w:themeTint="BF"/>
          <w:sz w:val="20"/>
          <w:szCs w:val="20"/>
        </w:rPr>
        <w:t>Yeniden yapılandırılan alacakların karşılık ayrılan olup olmamasına göre kırılımı</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065"/>
        <w:gridCol w:w="1787"/>
        <w:gridCol w:w="1787"/>
      </w:tblGrid>
      <w:tr w:rsidR="00E036D3" w:rsidRPr="00FB38E1" w14:paraId="6DA5587A" w14:textId="77777777" w:rsidTr="00836EF2">
        <w:trPr>
          <w:trHeight w:val="203"/>
        </w:trPr>
        <w:tc>
          <w:tcPr>
            <w:tcW w:w="3146" w:type="pct"/>
            <w:tcBorders>
              <w:top w:val="thinThickSmallGap" w:sz="24" w:space="0" w:color="auto"/>
              <w:bottom w:val="single" w:sz="6" w:space="0" w:color="auto"/>
            </w:tcBorders>
            <w:vAlign w:val="bottom"/>
          </w:tcPr>
          <w:p w14:paraId="77ABC60B" w14:textId="77777777" w:rsidR="00E036D3" w:rsidRPr="00FB38E1" w:rsidRDefault="00E036D3" w:rsidP="00836EF2">
            <w:pPr>
              <w:rPr>
                <w:rFonts w:ascii="Microsoft Sans Serif" w:hAnsi="Microsoft Sans Serif" w:cs="Microsoft Sans Serif"/>
                <w:sz w:val="16"/>
                <w:szCs w:val="16"/>
              </w:rPr>
            </w:pPr>
          </w:p>
        </w:tc>
        <w:tc>
          <w:tcPr>
            <w:tcW w:w="927" w:type="pct"/>
            <w:tcBorders>
              <w:top w:val="thinThickSmallGap" w:sz="24" w:space="0" w:color="auto"/>
              <w:bottom w:val="single" w:sz="6" w:space="0" w:color="auto"/>
            </w:tcBorders>
            <w:vAlign w:val="bottom"/>
          </w:tcPr>
          <w:p w14:paraId="13D99EB1" w14:textId="77777777" w:rsidR="00E036D3" w:rsidRPr="00FB38E1" w:rsidRDefault="00E036D3" w:rsidP="00836EF2">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Cari Dönem</w:t>
            </w:r>
          </w:p>
        </w:tc>
        <w:tc>
          <w:tcPr>
            <w:tcW w:w="927" w:type="pct"/>
            <w:tcBorders>
              <w:top w:val="thinThickSmallGap" w:sz="24" w:space="0" w:color="auto"/>
              <w:bottom w:val="single" w:sz="6" w:space="0" w:color="auto"/>
            </w:tcBorders>
          </w:tcPr>
          <w:p w14:paraId="1EA9A82C" w14:textId="77777777" w:rsidR="00E036D3" w:rsidRPr="00FB38E1" w:rsidRDefault="00E036D3" w:rsidP="00836EF2">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Önceki Dönem</w:t>
            </w:r>
          </w:p>
        </w:tc>
      </w:tr>
      <w:tr w:rsidR="003022BF" w:rsidRPr="00FB38E1" w14:paraId="0D039385" w14:textId="77777777" w:rsidTr="00836EF2">
        <w:trPr>
          <w:trHeight w:val="203"/>
        </w:trPr>
        <w:tc>
          <w:tcPr>
            <w:tcW w:w="3146" w:type="pct"/>
            <w:tcBorders>
              <w:top w:val="nil"/>
              <w:bottom w:val="nil"/>
            </w:tcBorders>
            <w:vAlign w:val="center"/>
          </w:tcPr>
          <w:p w14:paraId="7B403EDF"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Yakın İzlemedeki Kredilerden Yapılandırılan</w:t>
            </w:r>
          </w:p>
        </w:tc>
        <w:tc>
          <w:tcPr>
            <w:tcW w:w="927" w:type="pct"/>
            <w:tcBorders>
              <w:top w:val="nil"/>
              <w:bottom w:val="nil"/>
            </w:tcBorders>
            <w:vAlign w:val="center"/>
          </w:tcPr>
          <w:p w14:paraId="6AB8E945" w14:textId="57398099"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37.306.039</w:t>
            </w:r>
          </w:p>
        </w:tc>
        <w:tc>
          <w:tcPr>
            <w:tcW w:w="927" w:type="pct"/>
            <w:tcBorders>
              <w:top w:val="nil"/>
              <w:bottom w:val="nil"/>
            </w:tcBorders>
            <w:vAlign w:val="center"/>
          </w:tcPr>
          <w:p w14:paraId="52D9EA6F" w14:textId="315AB7F2"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22.408.527</w:t>
            </w:r>
          </w:p>
        </w:tc>
      </w:tr>
      <w:tr w:rsidR="003022BF" w:rsidRPr="00FB38E1" w14:paraId="5340F926" w14:textId="77777777" w:rsidTr="00836EF2">
        <w:trPr>
          <w:trHeight w:val="203"/>
        </w:trPr>
        <w:tc>
          <w:tcPr>
            <w:tcW w:w="3146" w:type="pct"/>
            <w:tcBorders>
              <w:top w:val="nil"/>
            </w:tcBorders>
            <w:vAlign w:val="center"/>
          </w:tcPr>
          <w:p w14:paraId="5D3F1E12"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Donuk Alacaklardan Yeniden Yapılandırılan</w:t>
            </w:r>
          </w:p>
        </w:tc>
        <w:tc>
          <w:tcPr>
            <w:tcW w:w="927" w:type="pct"/>
            <w:tcBorders>
              <w:top w:val="nil"/>
            </w:tcBorders>
            <w:vAlign w:val="center"/>
          </w:tcPr>
          <w:p w14:paraId="597180B0" w14:textId="14BC673A" w:rsidR="003022BF" w:rsidRPr="00FB38E1" w:rsidRDefault="00996F4F" w:rsidP="00996F4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4.748.945</w:t>
            </w:r>
          </w:p>
        </w:tc>
        <w:tc>
          <w:tcPr>
            <w:tcW w:w="927" w:type="pct"/>
            <w:tcBorders>
              <w:top w:val="nil"/>
            </w:tcBorders>
            <w:vAlign w:val="center"/>
          </w:tcPr>
          <w:p w14:paraId="7262CC35" w14:textId="0431A901" w:rsidR="003022BF" w:rsidRPr="00FB38E1" w:rsidRDefault="003022BF" w:rsidP="003022B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9.497.090</w:t>
            </w:r>
          </w:p>
        </w:tc>
      </w:tr>
    </w:tbl>
    <w:p w14:paraId="7EA31638" w14:textId="77777777" w:rsidR="00E036D3" w:rsidRPr="00FB38E1" w:rsidRDefault="00E036D3" w:rsidP="00364B59">
      <w:pPr>
        <w:pStyle w:val="ListParagraph"/>
        <w:numPr>
          <w:ilvl w:val="0"/>
          <w:numId w:val="55"/>
        </w:numPr>
        <w:spacing w:before="240" w:after="120" w:line="240" w:lineRule="exact"/>
        <w:ind w:left="-68" w:hanging="35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Kredi riski azaltım teknikleri</w:t>
      </w:r>
    </w:p>
    <w:p w14:paraId="5198665E" w14:textId="77777777" w:rsidR="00E036D3" w:rsidRPr="00FB38E1" w:rsidRDefault="00E036D3" w:rsidP="000007E6">
      <w:pPr>
        <w:pStyle w:val="ListParagraph"/>
        <w:spacing w:before="120" w:after="120" w:line="220" w:lineRule="exact"/>
        <w:ind w:left="-68"/>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Finansal teminatlar raporlama tarihi itibarıyla en güncel değerleri ile değerlenip, kredi riski azaltımı sürecine dâhil olmaktadır. Teminat tutarının verilen krediye dağılımı yapılırken ihtiyatlı bir yaklaşımla teminat değerinde oluşabilecek olası değer kayıpları da göz önünde bulundurularak teminat değerleri üzerinden risk azaltımı etkileri hesaplanmakta olup kapsamlı finansal teminat yöntemine göre kredi riski azaltımı yapılmaktadır. Gayrimenkul ipoteklerinin hukuki geçerliliği rehin zamanında ve usulüne uygun tescili ile sağlanmakta; piyasa koşullarında önemlilik arz edecek değişimler izlenmektedir.</w:t>
      </w:r>
    </w:p>
    <w:p w14:paraId="5E9C0015" w14:textId="61788573" w:rsidR="00E036D3" w:rsidRPr="00FB38E1" w:rsidRDefault="000007E6" w:rsidP="000007E6">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bookmarkStart w:id="42" w:name="_Hlk154570217"/>
      <w:r w:rsidRPr="00FB38E1">
        <w:rPr>
          <w:rFonts w:ascii="Microsoft Sans Serif" w:hAnsi="Microsoft Sans Serif" w:cs="Microsoft Sans Serif"/>
          <w:color w:val="404040" w:themeColor="text1" w:themeTint="BF"/>
          <w:sz w:val="20"/>
          <w:szCs w:val="20"/>
        </w:rPr>
        <w:t>Yabancı para finansal teminatların kur çevriminde, KRET hesaplamasına paralel olarak, BDDK’nın 12 Aralık 2023 tarihli yazısında belirtilen 26 Haziran 2023 tarihine ait Merkez Bankası döviz alış kurları dikkate alınmıştır</w:t>
      </w:r>
      <w:r w:rsidR="00E036D3" w:rsidRPr="00FB38E1">
        <w:rPr>
          <w:rFonts w:ascii="Microsoft Sans Serif" w:hAnsi="Microsoft Sans Serif" w:cs="Microsoft Sans Serif"/>
          <w:color w:val="404040" w:themeColor="text1" w:themeTint="BF"/>
          <w:sz w:val="20"/>
          <w:szCs w:val="20"/>
        </w:rPr>
        <w:t>.</w:t>
      </w:r>
      <w:bookmarkEnd w:id="42"/>
    </w:p>
    <w:p w14:paraId="21BC20F7" w14:textId="77777777" w:rsidR="00E036D3" w:rsidRPr="00FB38E1" w:rsidRDefault="00E036D3"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Banka, kredi risk azaltımını “Kredi Riski Azaltım Tekniklerine İlişkin Tebliğ” uyarınca, kapsamlı finansal teminat yöntemine göre kredi riski azaltımı yapmaktadır. Alacak ve teminat arasındaki kur uyumsuzluğu ve teminat türüne dayalı kesinti oranları, tebliğde belirtilen standart kesinti oranları dikkate alınarak, alacak ile teminat arasında vade uyumsuzluğu ise Madde 40’ta belirtilen yöntem uyarınca dikkate alınmaktadır. Kredi riski azaltımında, nakit, finansal borçlanma senetleri, gayrimenkul ipotekleri, ve Hazine desteğine sahip Kredi Garanti Fonu kefaletleri kullanılmaktadır.</w:t>
      </w:r>
      <w:r w:rsidRPr="00FB38E1">
        <w:rPr>
          <w:rFonts w:ascii="Microsoft Sans Serif" w:hAnsi="Microsoft Sans Serif" w:cs="Microsoft Sans Serif"/>
          <w:b/>
          <w:color w:val="404040" w:themeColor="text1" w:themeTint="BF"/>
          <w:sz w:val="20"/>
          <w:szCs w:val="20"/>
        </w:rPr>
        <w:t xml:space="preserve"> </w:t>
      </w:r>
    </w:p>
    <w:p w14:paraId="49495675" w14:textId="77777777" w:rsidR="00E036D3" w:rsidRPr="00FB38E1" w:rsidRDefault="00E036D3"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br w:type="page"/>
      </w:r>
    </w:p>
    <w:p w14:paraId="1D869F39" w14:textId="77777777" w:rsidR="00E036D3" w:rsidRPr="00FB38E1" w:rsidRDefault="00E036D3" w:rsidP="00E036D3">
      <w:pPr>
        <w:pStyle w:val="ListParagraph"/>
        <w:spacing w:before="120" w:after="0" w:line="220" w:lineRule="exact"/>
        <w:ind w:left="-68"/>
        <w:contextualSpacing w:val="0"/>
        <w:rPr>
          <w:rFonts w:ascii="Microsoft Sans Serif" w:hAnsi="Microsoft Sans Serif" w:cs="Microsoft Sans Serif"/>
          <w:b/>
          <w:sz w:val="20"/>
          <w:szCs w:val="20"/>
        </w:rPr>
      </w:pPr>
      <w:r w:rsidRPr="00FB38E1">
        <w:rPr>
          <w:rFonts w:ascii="Microsoft Sans Serif" w:hAnsi="Microsoft Sans Serif" w:cs="Microsoft Sans Serif"/>
          <w:color w:val="404040" w:themeColor="text1" w:themeTint="BF"/>
          <w:sz w:val="20"/>
          <w:szCs w:val="20"/>
        </w:rPr>
        <w:t>Kredi politikaları, Banka’nın faaliyetleri ve risk kapasitesi arasında operasyonel bağlantı kurmakta ve hedef portföy yapısı ile uyumlu ana faaliyet alanlarını, risk kapasitesi ile uyumlu beklenen ve beklenmeyen kayıplara ilişkin risk hedeflerini ve risk yoğunlaşmasına ilişkin limitleri kapsamaktadır. Limitlerin ilgili mevzuat ile düzenleyici ve denetleyici otoriteler tarafından belirlenen sınırlamalarla uygun olması sağlanmaktadır. Banka, yoğunlaşma riski yönetiminde, tüm risk yoğunlaşmalarının tespit edilip, izlendiği ve değerlendirildiği bütüncül bir yaklaşım kullanmaktadır. Bu nedenle, sadece birey ve şirketlere kullandırılan krediler değil, piyasa, sektör, ülke ve faaliyet alanındaki yoğunlaşmalar da dikkate alınmaktadır. Banka, politika ve iç prosedürlerine uygun olarak kredi ve piyasa riskinin spesifik bir karşı taraf veya risk kategorisinde yoğunlaşmaması için azami özeni göstermektedir.</w:t>
      </w:r>
    </w:p>
    <w:p w14:paraId="50970394" w14:textId="77777777" w:rsidR="00E036D3" w:rsidRPr="00FB38E1" w:rsidRDefault="00E036D3" w:rsidP="00364B59">
      <w:pPr>
        <w:pStyle w:val="ListParagraph"/>
        <w:numPr>
          <w:ilvl w:val="0"/>
          <w:numId w:val="55"/>
        </w:numPr>
        <w:spacing w:before="240" w:after="120" w:line="240" w:lineRule="exact"/>
        <w:ind w:left="-68" w:hanging="357"/>
        <w:contextualSpacing w:val="0"/>
        <w:rPr>
          <w:rFonts w:ascii="Microsoft Sans Serif" w:hAnsi="Microsoft Sans Serif" w:cs="Microsoft Sans Serif"/>
          <w:b/>
          <w:color w:val="7030A0"/>
          <w:sz w:val="20"/>
          <w:szCs w:val="20"/>
        </w:rPr>
      </w:pPr>
      <w:r w:rsidRPr="00FB38E1">
        <w:rPr>
          <w:rFonts w:ascii="Microsoft Sans Serif" w:hAnsi="Microsoft Sans Serif" w:cs="Microsoft Sans Serif"/>
          <w:b/>
          <w:sz w:val="20"/>
          <w:szCs w:val="20"/>
        </w:rPr>
        <w:t>Kredi riski azaltım teknikleri – Genel bakış</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06"/>
        <w:gridCol w:w="1836"/>
        <w:gridCol w:w="1107"/>
        <w:gridCol w:w="1107"/>
        <w:gridCol w:w="1107"/>
        <w:gridCol w:w="1035"/>
        <w:gridCol w:w="1049"/>
        <w:gridCol w:w="1045"/>
        <w:gridCol w:w="1047"/>
      </w:tblGrid>
      <w:tr w:rsidR="00E036D3" w:rsidRPr="00FB38E1" w14:paraId="3C6BC738" w14:textId="77777777" w:rsidTr="003022BF">
        <w:tc>
          <w:tcPr>
            <w:tcW w:w="159" w:type="pct"/>
          </w:tcPr>
          <w:p w14:paraId="4C71359B" w14:textId="77777777" w:rsidR="00E036D3" w:rsidRPr="00FB38E1" w:rsidRDefault="00E036D3" w:rsidP="00836EF2">
            <w:pPr>
              <w:rPr>
                <w:rFonts w:ascii="Microsoft Sans Serif" w:hAnsi="Microsoft Sans Serif" w:cs="Microsoft Sans Serif"/>
                <w:sz w:val="16"/>
                <w:szCs w:val="16"/>
              </w:rPr>
            </w:pPr>
          </w:p>
        </w:tc>
        <w:tc>
          <w:tcPr>
            <w:tcW w:w="953" w:type="pct"/>
          </w:tcPr>
          <w:p w14:paraId="2E226A47" w14:textId="77777777" w:rsidR="00E036D3" w:rsidRPr="00FB38E1" w:rsidRDefault="00E036D3" w:rsidP="00836EF2">
            <w:pPr>
              <w:rPr>
                <w:rFonts w:ascii="Microsoft Sans Serif" w:hAnsi="Microsoft Sans Serif" w:cs="Microsoft Sans Serif"/>
                <w:sz w:val="16"/>
                <w:szCs w:val="16"/>
              </w:rPr>
            </w:pPr>
          </w:p>
        </w:tc>
        <w:tc>
          <w:tcPr>
            <w:tcW w:w="574" w:type="pct"/>
            <w:tcBorders>
              <w:top w:val="thinThickSmallGap" w:sz="24" w:space="0" w:color="auto"/>
              <w:bottom w:val="single" w:sz="4" w:space="0" w:color="auto"/>
            </w:tcBorders>
          </w:tcPr>
          <w:p w14:paraId="79540001"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574" w:type="pct"/>
            <w:tcBorders>
              <w:top w:val="thinThickSmallGap" w:sz="24" w:space="0" w:color="auto"/>
              <w:bottom w:val="single" w:sz="4" w:space="0" w:color="auto"/>
            </w:tcBorders>
          </w:tcPr>
          <w:p w14:paraId="26911AE1"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c>
          <w:tcPr>
            <w:tcW w:w="574" w:type="pct"/>
            <w:tcBorders>
              <w:top w:val="thinThickSmallGap" w:sz="24" w:space="0" w:color="auto"/>
              <w:bottom w:val="single" w:sz="4" w:space="0" w:color="auto"/>
            </w:tcBorders>
          </w:tcPr>
          <w:p w14:paraId="27C0EE99"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c</w:t>
            </w:r>
          </w:p>
        </w:tc>
        <w:tc>
          <w:tcPr>
            <w:tcW w:w="537" w:type="pct"/>
            <w:tcBorders>
              <w:top w:val="thinThickSmallGap" w:sz="24" w:space="0" w:color="auto"/>
              <w:bottom w:val="single" w:sz="4" w:space="0" w:color="auto"/>
            </w:tcBorders>
          </w:tcPr>
          <w:p w14:paraId="2F8E3AA6"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w:t>
            </w:r>
          </w:p>
        </w:tc>
        <w:tc>
          <w:tcPr>
            <w:tcW w:w="544" w:type="pct"/>
            <w:tcBorders>
              <w:top w:val="thinThickSmallGap" w:sz="24" w:space="0" w:color="auto"/>
              <w:bottom w:val="single" w:sz="4" w:space="0" w:color="auto"/>
            </w:tcBorders>
          </w:tcPr>
          <w:p w14:paraId="7E6CCEB0"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e</w:t>
            </w:r>
          </w:p>
        </w:tc>
        <w:tc>
          <w:tcPr>
            <w:tcW w:w="542" w:type="pct"/>
            <w:tcBorders>
              <w:top w:val="thinThickSmallGap" w:sz="24" w:space="0" w:color="auto"/>
              <w:bottom w:val="single" w:sz="4" w:space="0" w:color="auto"/>
            </w:tcBorders>
          </w:tcPr>
          <w:p w14:paraId="2F4234B8"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f</w:t>
            </w:r>
          </w:p>
        </w:tc>
        <w:tc>
          <w:tcPr>
            <w:tcW w:w="543" w:type="pct"/>
            <w:tcBorders>
              <w:top w:val="thinThickSmallGap" w:sz="24" w:space="0" w:color="auto"/>
              <w:bottom w:val="single" w:sz="4" w:space="0" w:color="auto"/>
            </w:tcBorders>
          </w:tcPr>
          <w:p w14:paraId="19ED3736"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g</w:t>
            </w:r>
          </w:p>
        </w:tc>
      </w:tr>
      <w:tr w:rsidR="00E036D3" w:rsidRPr="00FB38E1" w14:paraId="042289C7" w14:textId="77777777" w:rsidTr="003022BF">
        <w:tc>
          <w:tcPr>
            <w:tcW w:w="159" w:type="pct"/>
            <w:tcBorders>
              <w:bottom w:val="single" w:sz="4" w:space="0" w:color="auto"/>
            </w:tcBorders>
          </w:tcPr>
          <w:p w14:paraId="0DC67674" w14:textId="77777777" w:rsidR="00E036D3" w:rsidRPr="00FB38E1" w:rsidRDefault="00E036D3" w:rsidP="00836EF2">
            <w:pPr>
              <w:rPr>
                <w:rFonts w:ascii="Microsoft Sans Serif" w:hAnsi="Microsoft Sans Serif" w:cs="Microsoft Sans Serif"/>
                <w:sz w:val="16"/>
                <w:szCs w:val="16"/>
              </w:rPr>
            </w:pPr>
          </w:p>
        </w:tc>
        <w:tc>
          <w:tcPr>
            <w:tcW w:w="953" w:type="pct"/>
            <w:tcBorders>
              <w:bottom w:val="single" w:sz="4" w:space="0" w:color="auto"/>
            </w:tcBorders>
            <w:vAlign w:val="center"/>
          </w:tcPr>
          <w:p w14:paraId="11BB0215" w14:textId="77777777" w:rsidR="00E036D3" w:rsidRPr="00FB38E1" w:rsidRDefault="00E036D3" w:rsidP="00836EF2">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Cari Dönem</w:t>
            </w:r>
          </w:p>
        </w:tc>
        <w:tc>
          <w:tcPr>
            <w:tcW w:w="574" w:type="pct"/>
            <w:tcBorders>
              <w:top w:val="single" w:sz="4" w:space="0" w:color="auto"/>
              <w:bottom w:val="single" w:sz="4" w:space="0" w:color="auto"/>
            </w:tcBorders>
            <w:vAlign w:val="bottom"/>
          </w:tcPr>
          <w:p w14:paraId="4E4B8D1C"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Teminatsız alacaklar: TMS uyarınca değerlenmiş tutar</w:t>
            </w:r>
          </w:p>
        </w:tc>
        <w:tc>
          <w:tcPr>
            <w:tcW w:w="574" w:type="pct"/>
            <w:tcBorders>
              <w:top w:val="single" w:sz="4" w:space="0" w:color="auto"/>
              <w:bottom w:val="single" w:sz="4" w:space="0" w:color="auto"/>
            </w:tcBorders>
            <w:vAlign w:val="bottom"/>
          </w:tcPr>
          <w:p w14:paraId="43714ED4"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Teminat ile korunan alacaklar</w:t>
            </w:r>
          </w:p>
        </w:tc>
        <w:tc>
          <w:tcPr>
            <w:tcW w:w="574" w:type="pct"/>
            <w:tcBorders>
              <w:top w:val="single" w:sz="4" w:space="0" w:color="auto"/>
              <w:bottom w:val="single" w:sz="4" w:space="0" w:color="auto"/>
            </w:tcBorders>
            <w:vAlign w:val="bottom"/>
          </w:tcPr>
          <w:p w14:paraId="6CE9E4D1"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Teminat ile korunan alacakların teminatlı kısımları</w:t>
            </w:r>
          </w:p>
        </w:tc>
        <w:tc>
          <w:tcPr>
            <w:tcW w:w="537" w:type="pct"/>
            <w:tcBorders>
              <w:top w:val="single" w:sz="4" w:space="0" w:color="auto"/>
              <w:bottom w:val="single" w:sz="4" w:space="0" w:color="auto"/>
            </w:tcBorders>
            <w:vAlign w:val="bottom"/>
          </w:tcPr>
          <w:p w14:paraId="63FC22E8"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Finansal garantiler ile korunan alacaklar</w:t>
            </w:r>
          </w:p>
        </w:tc>
        <w:tc>
          <w:tcPr>
            <w:tcW w:w="544" w:type="pct"/>
            <w:tcBorders>
              <w:top w:val="single" w:sz="4" w:space="0" w:color="auto"/>
              <w:bottom w:val="single" w:sz="4" w:space="0" w:color="auto"/>
            </w:tcBorders>
            <w:vAlign w:val="bottom"/>
          </w:tcPr>
          <w:p w14:paraId="5AD3F738"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Finansal garantiler ile korunan alacakların teminatlı kısımları</w:t>
            </w:r>
          </w:p>
        </w:tc>
        <w:tc>
          <w:tcPr>
            <w:tcW w:w="542" w:type="pct"/>
            <w:tcBorders>
              <w:top w:val="single" w:sz="4" w:space="0" w:color="auto"/>
              <w:bottom w:val="single" w:sz="4" w:space="0" w:color="auto"/>
            </w:tcBorders>
            <w:vAlign w:val="bottom"/>
          </w:tcPr>
          <w:p w14:paraId="10C0107D"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Kredi türevleri ile korunan alacaklar</w:t>
            </w:r>
          </w:p>
        </w:tc>
        <w:tc>
          <w:tcPr>
            <w:tcW w:w="543" w:type="pct"/>
            <w:tcBorders>
              <w:top w:val="single" w:sz="4" w:space="0" w:color="auto"/>
              <w:bottom w:val="single" w:sz="4" w:space="0" w:color="auto"/>
            </w:tcBorders>
            <w:vAlign w:val="bottom"/>
          </w:tcPr>
          <w:p w14:paraId="33454987"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Kredi türevleri ile korunan alacakların teminatlı kısımları</w:t>
            </w:r>
          </w:p>
        </w:tc>
      </w:tr>
      <w:tr w:rsidR="003022BF" w:rsidRPr="00FB38E1" w14:paraId="66F62E36" w14:textId="77777777" w:rsidTr="003022BF">
        <w:tc>
          <w:tcPr>
            <w:tcW w:w="159" w:type="pct"/>
            <w:tcBorders>
              <w:top w:val="single" w:sz="4" w:space="0" w:color="auto"/>
              <w:bottom w:val="nil"/>
            </w:tcBorders>
          </w:tcPr>
          <w:p w14:paraId="3C0C4094"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p>
        </w:tc>
        <w:tc>
          <w:tcPr>
            <w:tcW w:w="953" w:type="pct"/>
            <w:tcBorders>
              <w:top w:val="single" w:sz="4" w:space="0" w:color="auto"/>
              <w:bottom w:val="nil"/>
            </w:tcBorders>
          </w:tcPr>
          <w:p w14:paraId="3D164AD4"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Krediler</w:t>
            </w:r>
          </w:p>
        </w:tc>
        <w:tc>
          <w:tcPr>
            <w:tcW w:w="574" w:type="pct"/>
            <w:tcBorders>
              <w:top w:val="single" w:sz="4" w:space="0" w:color="auto"/>
              <w:bottom w:val="nil"/>
            </w:tcBorders>
            <w:vAlign w:val="center"/>
          </w:tcPr>
          <w:p w14:paraId="1B41716C" w14:textId="567E80BF"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559.852.538</w:t>
            </w:r>
          </w:p>
        </w:tc>
        <w:tc>
          <w:tcPr>
            <w:tcW w:w="574" w:type="pct"/>
            <w:tcBorders>
              <w:top w:val="single" w:sz="4" w:space="0" w:color="auto"/>
              <w:bottom w:val="nil"/>
            </w:tcBorders>
            <w:vAlign w:val="center"/>
          </w:tcPr>
          <w:p w14:paraId="38A8FDDF" w14:textId="71367D7C"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138.272.795</w:t>
            </w:r>
          </w:p>
        </w:tc>
        <w:tc>
          <w:tcPr>
            <w:tcW w:w="574" w:type="pct"/>
            <w:tcBorders>
              <w:top w:val="single" w:sz="4" w:space="0" w:color="auto"/>
              <w:bottom w:val="nil"/>
            </w:tcBorders>
            <w:vAlign w:val="center"/>
          </w:tcPr>
          <w:p w14:paraId="46203259" w14:textId="07CA02E6"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105.763.407</w:t>
            </w:r>
          </w:p>
        </w:tc>
        <w:tc>
          <w:tcPr>
            <w:tcW w:w="537" w:type="pct"/>
            <w:tcBorders>
              <w:top w:val="single" w:sz="4" w:space="0" w:color="auto"/>
              <w:bottom w:val="nil"/>
            </w:tcBorders>
            <w:vAlign w:val="center"/>
          </w:tcPr>
          <w:p w14:paraId="5C384E1B" w14:textId="3AA555B5"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2.057.350</w:t>
            </w:r>
          </w:p>
        </w:tc>
        <w:tc>
          <w:tcPr>
            <w:tcW w:w="544" w:type="pct"/>
            <w:tcBorders>
              <w:top w:val="single" w:sz="4" w:space="0" w:color="auto"/>
              <w:bottom w:val="nil"/>
            </w:tcBorders>
            <w:vAlign w:val="center"/>
          </w:tcPr>
          <w:p w14:paraId="7719507A" w14:textId="6EBF846C"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1.733.412</w:t>
            </w:r>
          </w:p>
        </w:tc>
        <w:tc>
          <w:tcPr>
            <w:tcW w:w="542" w:type="pct"/>
            <w:tcBorders>
              <w:top w:val="single" w:sz="4" w:space="0" w:color="auto"/>
              <w:bottom w:val="nil"/>
            </w:tcBorders>
            <w:vAlign w:val="center"/>
          </w:tcPr>
          <w:p w14:paraId="21313D07" w14:textId="1C50EAC9"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43" w:type="pct"/>
            <w:tcBorders>
              <w:top w:val="single" w:sz="4" w:space="0" w:color="auto"/>
              <w:bottom w:val="nil"/>
            </w:tcBorders>
            <w:vAlign w:val="center"/>
          </w:tcPr>
          <w:p w14:paraId="78FEEDD0" w14:textId="646E6EEF"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r>
      <w:tr w:rsidR="003022BF" w:rsidRPr="00FB38E1" w14:paraId="7D7705FB" w14:textId="77777777" w:rsidTr="003022BF">
        <w:tc>
          <w:tcPr>
            <w:tcW w:w="159" w:type="pct"/>
            <w:tcBorders>
              <w:top w:val="nil"/>
              <w:bottom w:val="single" w:sz="4" w:space="0" w:color="auto"/>
            </w:tcBorders>
          </w:tcPr>
          <w:p w14:paraId="0D57ABF5"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953" w:type="pct"/>
            <w:tcBorders>
              <w:top w:val="nil"/>
              <w:bottom w:val="single" w:sz="4" w:space="0" w:color="auto"/>
            </w:tcBorders>
          </w:tcPr>
          <w:p w14:paraId="776C7D6A"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Borçlanma araçları</w:t>
            </w:r>
          </w:p>
        </w:tc>
        <w:tc>
          <w:tcPr>
            <w:tcW w:w="574" w:type="pct"/>
            <w:tcBorders>
              <w:top w:val="nil"/>
              <w:bottom w:val="single" w:sz="4" w:space="0" w:color="auto"/>
            </w:tcBorders>
            <w:vAlign w:val="center"/>
          </w:tcPr>
          <w:p w14:paraId="18143A2E" w14:textId="2CA0A166"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174.776.726</w:t>
            </w:r>
          </w:p>
        </w:tc>
        <w:tc>
          <w:tcPr>
            <w:tcW w:w="574" w:type="pct"/>
            <w:tcBorders>
              <w:top w:val="nil"/>
              <w:bottom w:val="single" w:sz="4" w:space="0" w:color="auto"/>
            </w:tcBorders>
            <w:vAlign w:val="center"/>
          </w:tcPr>
          <w:p w14:paraId="5B08B520" w14:textId="61E1E0B0"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74" w:type="pct"/>
            <w:tcBorders>
              <w:top w:val="nil"/>
              <w:bottom w:val="single" w:sz="4" w:space="0" w:color="auto"/>
            </w:tcBorders>
            <w:vAlign w:val="center"/>
          </w:tcPr>
          <w:p w14:paraId="7819723A" w14:textId="0B92CB30"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37" w:type="pct"/>
            <w:tcBorders>
              <w:top w:val="nil"/>
              <w:bottom w:val="single" w:sz="4" w:space="0" w:color="auto"/>
            </w:tcBorders>
            <w:vAlign w:val="center"/>
          </w:tcPr>
          <w:p w14:paraId="0340009A" w14:textId="50289C44"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44" w:type="pct"/>
            <w:tcBorders>
              <w:top w:val="nil"/>
              <w:bottom w:val="single" w:sz="4" w:space="0" w:color="auto"/>
            </w:tcBorders>
            <w:vAlign w:val="center"/>
          </w:tcPr>
          <w:p w14:paraId="4963CC37" w14:textId="2DD3FB1E"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42" w:type="pct"/>
            <w:tcBorders>
              <w:top w:val="nil"/>
              <w:bottom w:val="single" w:sz="4" w:space="0" w:color="auto"/>
            </w:tcBorders>
            <w:vAlign w:val="center"/>
          </w:tcPr>
          <w:p w14:paraId="149E43A2" w14:textId="41375282"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43" w:type="pct"/>
            <w:tcBorders>
              <w:top w:val="nil"/>
              <w:bottom w:val="single" w:sz="4" w:space="0" w:color="auto"/>
            </w:tcBorders>
            <w:vAlign w:val="center"/>
          </w:tcPr>
          <w:p w14:paraId="16956CAE" w14:textId="7D965323"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r>
      <w:tr w:rsidR="003022BF" w:rsidRPr="00FB38E1" w14:paraId="7C9A60AB" w14:textId="77777777" w:rsidTr="003022BF">
        <w:tc>
          <w:tcPr>
            <w:tcW w:w="159" w:type="pct"/>
            <w:tcBorders>
              <w:top w:val="single" w:sz="4" w:space="0" w:color="auto"/>
              <w:bottom w:val="nil"/>
            </w:tcBorders>
          </w:tcPr>
          <w:p w14:paraId="5A2D65EB" w14:textId="77777777" w:rsidR="003022BF" w:rsidRPr="00FB38E1" w:rsidRDefault="003022BF" w:rsidP="003022BF">
            <w:pPr>
              <w:rPr>
                <w:rFonts w:ascii="Microsoft Sans Serif" w:hAnsi="Microsoft Sans Serif" w:cs="Microsoft Sans Serif"/>
                <w:b/>
                <w:sz w:val="16"/>
                <w:szCs w:val="16"/>
              </w:rPr>
            </w:pPr>
            <w:r w:rsidRPr="00FB38E1">
              <w:rPr>
                <w:rFonts w:ascii="Microsoft Sans Serif" w:hAnsi="Microsoft Sans Serif" w:cs="Microsoft Sans Serif"/>
                <w:b/>
                <w:sz w:val="16"/>
                <w:szCs w:val="16"/>
              </w:rPr>
              <w:t>3</w:t>
            </w:r>
          </w:p>
        </w:tc>
        <w:tc>
          <w:tcPr>
            <w:tcW w:w="953" w:type="pct"/>
            <w:tcBorders>
              <w:top w:val="single" w:sz="4" w:space="0" w:color="auto"/>
              <w:bottom w:val="nil"/>
            </w:tcBorders>
          </w:tcPr>
          <w:p w14:paraId="1AABCC67" w14:textId="77777777" w:rsidR="003022BF" w:rsidRPr="00FB38E1" w:rsidRDefault="003022BF" w:rsidP="003022BF">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574" w:type="pct"/>
            <w:tcBorders>
              <w:top w:val="single" w:sz="4" w:space="0" w:color="auto"/>
              <w:bottom w:val="nil"/>
            </w:tcBorders>
            <w:vAlign w:val="center"/>
          </w:tcPr>
          <w:p w14:paraId="4BCD51B3" w14:textId="29065E9E"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734.629.264</w:t>
            </w:r>
          </w:p>
        </w:tc>
        <w:tc>
          <w:tcPr>
            <w:tcW w:w="574" w:type="pct"/>
            <w:tcBorders>
              <w:top w:val="single" w:sz="4" w:space="0" w:color="auto"/>
              <w:bottom w:val="nil"/>
            </w:tcBorders>
            <w:vAlign w:val="center"/>
          </w:tcPr>
          <w:p w14:paraId="1EC42868" w14:textId="6A4462F3"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138.272.795</w:t>
            </w:r>
          </w:p>
        </w:tc>
        <w:tc>
          <w:tcPr>
            <w:tcW w:w="574" w:type="pct"/>
            <w:tcBorders>
              <w:top w:val="single" w:sz="4" w:space="0" w:color="auto"/>
              <w:bottom w:val="nil"/>
            </w:tcBorders>
            <w:vAlign w:val="center"/>
          </w:tcPr>
          <w:p w14:paraId="664ED23B" w14:textId="57B7E3F2"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105.763.407</w:t>
            </w:r>
          </w:p>
        </w:tc>
        <w:tc>
          <w:tcPr>
            <w:tcW w:w="537" w:type="pct"/>
            <w:tcBorders>
              <w:top w:val="single" w:sz="4" w:space="0" w:color="auto"/>
              <w:bottom w:val="nil"/>
            </w:tcBorders>
            <w:vAlign w:val="center"/>
          </w:tcPr>
          <w:p w14:paraId="78E400F7" w14:textId="48441F62"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2.057.350</w:t>
            </w:r>
          </w:p>
        </w:tc>
        <w:tc>
          <w:tcPr>
            <w:tcW w:w="544" w:type="pct"/>
            <w:tcBorders>
              <w:top w:val="single" w:sz="4" w:space="0" w:color="auto"/>
              <w:bottom w:val="nil"/>
            </w:tcBorders>
            <w:vAlign w:val="center"/>
          </w:tcPr>
          <w:p w14:paraId="5E05F445" w14:textId="3635414E"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1.733.412</w:t>
            </w:r>
          </w:p>
        </w:tc>
        <w:tc>
          <w:tcPr>
            <w:tcW w:w="542" w:type="pct"/>
            <w:tcBorders>
              <w:top w:val="single" w:sz="4" w:space="0" w:color="auto"/>
              <w:bottom w:val="nil"/>
            </w:tcBorders>
            <w:vAlign w:val="center"/>
          </w:tcPr>
          <w:p w14:paraId="2578F4AD" w14:textId="7888AC88"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w:t>
            </w:r>
          </w:p>
        </w:tc>
        <w:tc>
          <w:tcPr>
            <w:tcW w:w="543" w:type="pct"/>
            <w:tcBorders>
              <w:top w:val="single" w:sz="4" w:space="0" w:color="auto"/>
              <w:bottom w:val="nil"/>
            </w:tcBorders>
            <w:vAlign w:val="center"/>
          </w:tcPr>
          <w:p w14:paraId="2C4F631F" w14:textId="48B63E43" w:rsidR="003022BF" w:rsidRPr="00FB38E1" w:rsidRDefault="003022BF" w:rsidP="003022BF">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w:t>
            </w:r>
          </w:p>
        </w:tc>
      </w:tr>
      <w:tr w:rsidR="003022BF" w:rsidRPr="00FB38E1" w14:paraId="002AF9C0" w14:textId="77777777" w:rsidTr="003022BF">
        <w:tc>
          <w:tcPr>
            <w:tcW w:w="159" w:type="pct"/>
            <w:tcBorders>
              <w:top w:val="nil"/>
            </w:tcBorders>
          </w:tcPr>
          <w:p w14:paraId="497B7A1B"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w:t>
            </w:r>
          </w:p>
        </w:tc>
        <w:tc>
          <w:tcPr>
            <w:tcW w:w="953" w:type="pct"/>
            <w:tcBorders>
              <w:top w:val="nil"/>
            </w:tcBorders>
          </w:tcPr>
          <w:p w14:paraId="21082C8F" w14:textId="77777777" w:rsidR="003022BF" w:rsidRPr="00FB38E1" w:rsidRDefault="003022BF" w:rsidP="003022BF">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Temerrüde düşmüş (*)</w:t>
            </w:r>
          </w:p>
        </w:tc>
        <w:tc>
          <w:tcPr>
            <w:tcW w:w="574" w:type="pct"/>
            <w:tcBorders>
              <w:top w:val="nil"/>
            </w:tcBorders>
            <w:vAlign w:val="center"/>
          </w:tcPr>
          <w:p w14:paraId="51A2401E" w14:textId="4029F514"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22.948.079</w:t>
            </w:r>
          </w:p>
        </w:tc>
        <w:tc>
          <w:tcPr>
            <w:tcW w:w="574" w:type="pct"/>
            <w:tcBorders>
              <w:top w:val="nil"/>
            </w:tcBorders>
            <w:vAlign w:val="center"/>
          </w:tcPr>
          <w:p w14:paraId="58829464" w14:textId="6DE9C5DA"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8.766.506</w:t>
            </w:r>
          </w:p>
        </w:tc>
        <w:tc>
          <w:tcPr>
            <w:tcW w:w="574" w:type="pct"/>
            <w:tcBorders>
              <w:top w:val="nil"/>
            </w:tcBorders>
            <w:vAlign w:val="center"/>
          </w:tcPr>
          <w:p w14:paraId="2483A3D6" w14:textId="1D9C630D"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4.278.014</w:t>
            </w:r>
          </w:p>
        </w:tc>
        <w:tc>
          <w:tcPr>
            <w:tcW w:w="537" w:type="pct"/>
            <w:tcBorders>
              <w:top w:val="nil"/>
            </w:tcBorders>
            <w:vAlign w:val="center"/>
          </w:tcPr>
          <w:p w14:paraId="6931049C" w14:textId="30DF7D30"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436.086</w:t>
            </w:r>
          </w:p>
        </w:tc>
        <w:tc>
          <w:tcPr>
            <w:tcW w:w="544" w:type="pct"/>
            <w:tcBorders>
              <w:top w:val="nil"/>
            </w:tcBorders>
            <w:vAlign w:val="center"/>
          </w:tcPr>
          <w:p w14:paraId="188AB389" w14:textId="0B3F8AED"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82.066</w:t>
            </w:r>
          </w:p>
        </w:tc>
        <w:tc>
          <w:tcPr>
            <w:tcW w:w="542" w:type="pct"/>
            <w:tcBorders>
              <w:top w:val="nil"/>
            </w:tcBorders>
            <w:vAlign w:val="center"/>
          </w:tcPr>
          <w:p w14:paraId="1C164099" w14:textId="5A67AD9D"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43" w:type="pct"/>
            <w:tcBorders>
              <w:top w:val="nil"/>
            </w:tcBorders>
            <w:vAlign w:val="center"/>
          </w:tcPr>
          <w:p w14:paraId="1CB8FF68" w14:textId="76EA765D" w:rsidR="003022BF" w:rsidRPr="00FB38E1" w:rsidRDefault="003022BF" w:rsidP="003022BF">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r>
    </w:tbl>
    <w:p w14:paraId="0BBBDA60" w14:textId="77777777" w:rsidR="00E036D3" w:rsidRPr="00FB38E1" w:rsidRDefault="00E036D3" w:rsidP="00E036D3">
      <w:pPr>
        <w:spacing w:after="240" w:line="240" w:lineRule="exact"/>
        <w:ind w:left="57"/>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Karşılık öncesi bakiyeyi ve bilanço dışı alacaklara ait temerrüt rakamını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09"/>
        <w:gridCol w:w="1863"/>
        <w:gridCol w:w="1109"/>
        <w:gridCol w:w="1058"/>
        <w:gridCol w:w="1060"/>
        <w:gridCol w:w="1060"/>
        <w:gridCol w:w="1062"/>
        <w:gridCol w:w="1058"/>
        <w:gridCol w:w="1060"/>
      </w:tblGrid>
      <w:tr w:rsidR="00E036D3" w:rsidRPr="00FB38E1" w14:paraId="2489EF42" w14:textId="77777777" w:rsidTr="00836EF2">
        <w:tc>
          <w:tcPr>
            <w:tcW w:w="160" w:type="pct"/>
          </w:tcPr>
          <w:p w14:paraId="40B53B04" w14:textId="77777777" w:rsidR="00E036D3" w:rsidRPr="00FB38E1" w:rsidRDefault="00E036D3" w:rsidP="00836EF2">
            <w:pPr>
              <w:rPr>
                <w:rFonts w:ascii="Microsoft Sans Serif" w:hAnsi="Microsoft Sans Serif" w:cs="Microsoft Sans Serif"/>
                <w:sz w:val="16"/>
                <w:szCs w:val="16"/>
              </w:rPr>
            </w:pPr>
          </w:p>
        </w:tc>
        <w:tc>
          <w:tcPr>
            <w:tcW w:w="966" w:type="pct"/>
          </w:tcPr>
          <w:p w14:paraId="03A5DBC5" w14:textId="77777777" w:rsidR="00E036D3" w:rsidRPr="00FB38E1" w:rsidRDefault="00E036D3" w:rsidP="00836EF2">
            <w:pPr>
              <w:rPr>
                <w:rFonts w:ascii="Microsoft Sans Serif" w:hAnsi="Microsoft Sans Serif" w:cs="Microsoft Sans Serif"/>
                <w:sz w:val="16"/>
                <w:szCs w:val="16"/>
              </w:rPr>
            </w:pPr>
          </w:p>
        </w:tc>
        <w:tc>
          <w:tcPr>
            <w:tcW w:w="575" w:type="pct"/>
            <w:tcBorders>
              <w:top w:val="thinThickSmallGap" w:sz="24" w:space="0" w:color="auto"/>
              <w:bottom w:val="single" w:sz="4" w:space="0" w:color="auto"/>
            </w:tcBorders>
          </w:tcPr>
          <w:p w14:paraId="0CECB829"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549" w:type="pct"/>
            <w:tcBorders>
              <w:top w:val="thinThickSmallGap" w:sz="24" w:space="0" w:color="auto"/>
              <w:bottom w:val="single" w:sz="4" w:space="0" w:color="auto"/>
            </w:tcBorders>
          </w:tcPr>
          <w:p w14:paraId="7061BB15"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c>
          <w:tcPr>
            <w:tcW w:w="550" w:type="pct"/>
            <w:tcBorders>
              <w:top w:val="thinThickSmallGap" w:sz="24" w:space="0" w:color="auto"/>
              <w:bottom w:val="single" w:sz="4" w:space="0" w:color="auto"/>
            </w:tcBorders>
          </w:tcPr>
          <w:p w14:paraId="70530BB0"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c</w:t>
            </w:r>
          </w:p>
        </w:tc>
        <w:tc>
          <w:tcPr>
            <w:tcW w:w="550" w:type="pct"/>
            <w:tcBorders>
              <w:top w:val="thinThickSmallGap" w:sz="24" w:space="0" w:color="auto"/>
              <w:bottom w:val="single" w:sz="4" w:space="0" w:color="auto"/>
            </w:tcBorders>
          </w:tcPr>
          <w:p w14:paraId="3CF450E7"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w:t>
            </w:r>
          </w:p>
        </w:tc>
        <w:tc>
          <w:tcPr>
            <w:tcW w:w="551" w:type="pct"/>
            <w:tcBorders>
              <w:top w:val="thinThickSmallGap" w:sz="24" w:space="0" w:color="auto"/>
              <w:bottom w:val="single" w:sz="4" w:space="0" w:color="auto"/>
            </w:tcBorders>
          </w:tcPr>
          <w:p w14:paraId="03D09267"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e</w:t>
            </w:r>
          </w:p>
        </w:tc>
        <w:tc>
          <w:tcPr>
            <w:tcW w:w="549" w:type="pct"/>
            <w:tcBorders>
              <w:top w:val="thinThickSmallGap" w:sz="24" w:space="0" w:color="auto"/>
              <w:bottom w:val="single" w:sz="4" w:space="0" w:color="auto"/>
            </w:tcBorders>
          </w:tcPr>
          <w:p w14:paraId="738D1CC8"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f</w:t>
            </w:r>
          </w:p>
        </w:tc>
        <w:tc>
          <w:tcPr>
            <w:tcW w:w="550" w:type="pct"/>
            <w:tcBorders>
              <w:top w:val="thinThickSmallGap" w:sz="24" w:space="0" w:color="auto"/>
              <w:bottom w:val="single" w:sz="4" w:space="0" w:color="auto"/>
            </w:tcBorders>
          </w:tcPr>
          <w:p w14:paraId="07961AAC"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g</w:t>
            </w:r>
          </w:p>
        </w:tc>
      </w:tr>
      <w:tr w:rsidR="00E036D3" w:rsidRPr="00FB38E1" w14:paraId="7512E101" w14:textId="77777777" w:rsidTr="00836EF2">
        <w:tc>
          <w:tcPr>
            <w:tcW w:w="160" w:type="pct"/>
            <w:tcBorders>
              <w:bottom w:val="single" w:sz="4" w:space="0" w:color="auto"/>
            </w:tcBorders>
          </w:tcPr>
          <w:p w14:paraId="5AAC8859" w14:textId="77777777" w:rsidR="00E036D3" w:rsidRPr="00FB38E1" w:rsidRDefault="00E036D3" w:rsidP="00836EF2">
            <w:pPr>
              <w:rPr>
                <w:rFonts w:ascii="Microsoft Sans Serif" w:hAnsi="Microsoft Sans Serif" w:cs="Microsoft Sans Serif"/>
                <w:sz w:val="16"/>
                <w:szCs w:val="16"/>
              </w:rPr>
            </w:pPr>
          </w:p>
        </w:tc>
        <w:tc>
          <w:tcPr>
            <w:tcW w:w="966" w:type="pct"/>
            <w:tcBorders>
              <w:bottom w:val="single" w:sz="4" w:space="0" w:color="auto"/>
            </w:tcBorders>
            <w:vAlign w:val="center"/>
          </w:tcPr>
          <w:p w14:paraId="27F7A237" w14:textId="77777777" w:rsidR="00E036D3" w:rsidRPr="00FB38E1" w:rsidRDefault="00E036D3" w:rsidP="00836EF2">
            <w:pPr>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Önceki Dönem</w:t>
            </w:r>
          </w:p>
        </w:tc>
        <w:tc>
          <w:tcPr>
            <w:tcW w:w="575" w:type="pct"/>
            <w:tcBorders>
              <w:top w:val="single" w:sz="4" w:space="0" w:color="auto"/>
              <w:bottom w:val="single" w:sz="4" w:space="0" w:color="auto"/>
            </w:tcBorders>
            <w:vAlign w:val="bottom"/>
          </w:tcPr>
          <w:p w14:paraId="6216D053"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Teminatsız alacaklar: TMS uyarınca değerlenmiş tutar</w:t>
            </w:r>
          </w:p>
        </w:tc>
        <w:tc>
          <w:tcPr>
            <w:tcW w:w="549" w:type="pct"/>
            <w:tcBorders>
              <w:top w:val="single" w:sz="4" w:space="0" w:color="auto"/>
              <w:bottom w:val="single" w:sz="4" w:space="0" w:color="auto"/>
            </w:tcBorders>
            <w:vAlign w:val="bottom"/>
          </w:tcPr>
          <w:p w14:paraId="2042F0C6"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Teminat ile korunan alacaklar</w:t>
            </w:r>
          </w:p>
        </w:tc>
        <w:tc>
          <w:tcPr>
            <w:tcW w:w="550" w:type="pct"/>
            <w:tcBorders>
              <w:top w:val="single" w:sz="4" w:space="0" w:color="auto"/>
              <w:bottom w:val="single" w:sz="4" w:space="0" w:color="auto"/>
            </w:tcBorders>
            <w:vAlign w:val="bottom"/>
          </w:tcPr>
          <w:p w14:paraId="431B8FA1"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Teminat ile korunan alacakların teminatlı kısımları</w:t>
            </w:r>
          </w:p>
        </w:tc>
        <w:tc>
          <w:tcPr>
            <w:tcW w:w="550" w:type="pct"/>
            <w:tcBorders>
              <w:top w:val="single" w:sz="4" w:space="0" w:color="auto"/>
              <w:bottom w:val="single" w:sz="4" w:space="0" w:color="auto"/>
            </w:tcBorders>
            <w:vAlign w:val="bottom"/>
          </w:tcPr>
          <w:p w14:paraId="1361FA11"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Finansal garantiler ile korunan alacaklar</w:t>
            </w:r>
          </w:p>
        </w:tc>
        <w:tc>
          <w:tcPr>
            <w:tcW w:w="551" w:type="pct"/>
            <w:tcBorders>
              <w:top w:val="single" w:sz="4" w:space="0" w:color="auto"/>
              <w:bottom w:val="single" w:sz="4" w:space="0" w:color="auto"/>
            </w:tcBorders>
            <w:vAlign w:val="bottom"/>
          </w:tcPr>
          <w:p w14:paraId="30C32B34"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Finansal garantiler ile korunan alacakların teminatlı kısımları</w:t>
            </w:r>
          </w:p>
        </w:tc>
        <w:tc>
          <w:tcPr>
            <w:tcW w:w="549" w:type="pct"/>
            <w:tcBorders>
              <w:top w:val="single" w:sz="4" w:space="0" w:color="auto"/>
              <w:bottom w:val="single" w:sz="4" w:space="0" w:color="auto"/>
            </w:tcBorders>
            <w:vAlign w:val="bottom"/>
          </w:tcPr>
          <w:p w14:paraId="4A5D393D"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Kredi türevleri ile korunan alacaklar</w:t>
            </w:r>
          </w:p>
        </w:tc>
        <w:tc>
          <w:tcPr>
            <w:tcW w:w="550" w:type="pct"/>
            <w:tcBorders>
              <w:top w:val="single" w:sz="4" w:space="0" w:color="auto"/>
              <w:bottom w:val="single" w:sz="4" w:space="0" w:color="auto"/>
            </w:tcBorders>
            <w:vAlign w:val="bottom"/>
          </w:tcPr>
          <w:p w14:paraId="7569C0B5"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Kredi türevleri ile korunan alacakların teminatlı kısımları</w:t>
            </w:r>
          </w:p>
        </w:tc>
      </w:tr>
      <w:tr w:rsidR="00E036D3" w:rsidRPr="00FB38E1" w14:paraId="1B1E9304" w14:textId="77777777" w:rsidTr="00836EF2">
        <w:tc>
          <w:tcPr>
            <w:tcW w:w="160" w:type="pct"/>
            <w:tcBorders>
              <w:top w:val="single" w:sz="4" w:space="0" w:color="auto"/>
              <w:bottom w:val="nil"/>
            </w:tcBorders>
          </w:tcPr>
          <w:p w14:paraId="704EC9F0"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p>
        </w:tc>
        <w:tc>
          <w:tcPr>
            <w:tcW w:w="966" w:type="pct"/>
            <w:tcBorders>
              <w:top w:val="single" w:sz="4" w:space="0" w:color="auto"/>
              <w:bottom w:val="nil"/>
            </w:tcBorders>
          </w:tcPr>
          <w:p w14:paraId="19A5EFA8"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Krediler</w:t>
            </w:r>
          </w:p>
        </w:tc>
        <w:tc>
          <w:tcPr>
            <w:tcW w:w="575" w:type="pct"/>
            <w:tcBorders>
              <w:top w:val="single" w:sz="4" w:space="0" w:color="auto"/>
              <w:bottom w:val="nil"/>
            </w:tcBorders>
            <w:vAlign w:val="center"/>
          </w:tcPr>
          <w:p w14:paraId="0DE7B010" w14:textId="522C8D03"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372.267.828</w:t>
            </w:r>
          </w:p>
        </w:tc>
        <w:tc>
          <w:tcPr>
            <w:tcW w:w="549" w:type="pct"/>
            <w:tcBorders>
              <w:top w:val="single" w:sz="4" w:space="0" w:color="auto"/>
              <w:bottom w:val="nil"/>
            </w:tcBorders>
            <w:vAlign w:val="center"/>
          </w:tcPr>
          <w:p w14:paraId="0C5A19DA" w14:textId="067A54F4"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91.242.219</w:t>
            </w:r>
          </w:p>
        </w:tc>
        <w:tc>
          <w:tcPr>
            <w:tcW w:w="550" w:type="pct"/>
            <w:tcBorders>
              <w:top w:val="single" w:sz="4" w:space="0" w:color="auto"/>
              <w:bottom w:val="nil"/>
            </w:tcBorders>
            <w:vAlign w:val="center"/>
          </w:tcPr>
          <w:p w14:paraId="779E70F8" w14:textId="5D8C5F2A"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65.515.647</w:t>
            </w:r>
          </w:p>
        </w:tc>
        <w:tc>
          <w:tcPr>
            <w:tcW w:w="550" w:type="pct"/>
            <w:tcBorders>
              <w:top w:val="single" w:sz="4" w:space="0" w:color="auto"/>
              <w:bottom w:val="nil"/>
            </w:tcBorders>
            <w:vAlign w:val="center"/>
          </w:tcPr>
          <w:p w14:paraId="1460E3D1" w14:textId="418B99D8"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2.047.811</w:t>
            </w:r>
          </w:p>
        </w:tc>
        <w:tc>
          <w:tcPr>
            <w:tcW w:w="551" w:type="pct"/>
            <w:tcBorders>
              <w:top w:val="single" w:sz="4" w:space="0" w:color="auto"/>
              <w:bottom w:val="nil"/>
            </w:tcBorders>
            <w:vAlign w:val="center"/>
          </w:tcPr>
          <w:p w14:paraId="64107701" w14:textId="6037CC6B"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1.754.955</w:t>
            </w:r>
          </w:p>
        </w:tc>
        <w:tc>
          <w:tcPr>
            <w:tcW w:w="549" w:type="pct"/>
            <w:tcBorders>
              <w:top w:val="single" w:sz="4" w:space="0" w:color="auto"/>
              <w:bottom w:val="nil"/>
            </w:tcBorders>
            <w:vAlign w:val="center"/>
          </w:tcPr>
          <w:p w14:paraId="66B25666" w14:textId="32FBB6FE"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50" w:type="pct"/>
            <w:tcBorders>
              <w:top w:val="single" w:sz="4" w:space="0" w:color="auto"/>
              <w:bottom w:val="nil"/>
            </w:tcBorders>
            <w:vAlign w:val="center"/>
          </w:tcPr>
          <w:p w14:paraId="62A97C9E" w14:textId="30ED61FC"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r>
      <w:tr w:rsidR="00E036D3" w:rsidRPr="00FB38E1" w14:paraId="553E3104" w14:textId="77777777" w:rsidTr="00836EF2">
        <w:tc>
          <w:tcPr>
            <w:tcW w:w="160" w:type="pct"/>
            <w:tcBorders>
              <w:top w:val="nil"/>
              <w:bottom w:val="single" w:sz="4" w:space="0" w:color="auto"/>
            </w:tcBorders>
          </w:tcPr>
          <w:p w14:paraId="7EFABD37"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966" w:type="pct"/>
            <w:tcBorders>
              <w:top w:val="nil"/>
              <w:bottom w:val="single" w:sz="4" w:space="0" w:color="auto"/>
            </w:tcBorders>
          </w:tcPr>
          <w:p w14:paraId="7439F318"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Borçlanma araçları</w:t>
            </w:r>
          </w:p>
        </w:tc>
        <w:tc>
          <w:tcPr>
            <w:tcW w:w="575" w:type="pct"/>
            <w:tcBorders>
              <w:top w:val="nil"/>
              <w:bottom w:val="single" w:sz="4" w:space="0" w:color="auto"/>
            </w:tcBorders>
            <w:vAlign w:val="center"/>
          </w:tcPr>
          <w:p w14:paraId="6E2FD355" w14:textId="0A54D36F"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138.650.648</w:t>
            </w:r>
          </w:p>
        </w:tc>
        <w:tc>
          <w:tcPr>
            <w:tcW w:w="549" w:type="pct"/>
            <w:tcBorders>
              <w:top w:val="nil"/>
              <w:bottom w:val="single" w:sz="4" w:space="0" w:color="auto"/>
            </w:tcBorders>
            <w:vAlign w:val="center"/>
          </w:tcPr>
          <w:p w14:paraId="3BCB4835" w14:textId="77DAE143"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50" w:type="pct"/>
            <w:tcBorders>
              <w:top w:val="nil"/>
              <w:bottom w:val="single" w:sz="4" w:space="0" w:color="auto"/>
            </w:tcBorders>
            <w:vAlign w:val="center"/>
          </w:tcPr>
          <w:p w14:paraId="009DFB7D" w14:textId="7141623D"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50" w:type="pct"/>
            <w:tcBorders>
              <w:top w:val="nil"/>
              <w:bottom w:val="single" w:sz="4" w:space="0" w:color="auto"/>
            </w:tcBorders>
            <w:vAlign w:val="center"/>
          </w:tcPr>
          <w:p w14:paraId="47C5A2E8" w14:textId="09817AE1"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51" w:type="pct"/>
            <w:tcBorders>
              <w:top w:val="nil"/>
              <w:bottom w:val="single" w:sz="4" w:space="0" w:color="auto"/>
            </w:tcBorders>
            <w:vAlign w:val="center"/>
          </w:tcPr>
          <w:p w14:paraId="0407767A" w14:textId="749FA0DA"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49" w:type="pct"/>
            <w:tcBorders>
              <w:top w:val="nil"/>
              <w:bottom w:val="single" w:sz="4" w:space="0" w:color="auto"/>
            </w:tcBorders>
            <w:vAlign w:val="center"/>
          </w:tcPr>
          <w:p w14:paraId="2D58DD3F" w14:textId="0DD18B10"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50" w:type="pct"/>
            <w:tcBorders>
              <w:top w:val="nil"/>
              <w:bottom w:val="single" w:sz="4" w:space="0" w:color="auto"/>
            </w:tcBorders>
            <w:vAlign w:val="center"/>
          </w:tcPr>
          <w:p w14:paraId="452C72D5" w14:textId="6EFF0599"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r>
      <w:tr w:rsidR="00E036D3" w:rsidRPr="00FB38E1" w14:paraId="606D6BDC" w14:textId="77777777" w:rsidTr="00836EF2">
        <w:tc>
          <w:tcPr>
            <w:tcW w:w="160" w:type="pct"/>
            <w:tcBorders>
              <w:top w:val="single" w:sz="4" w:space="0" w:color="auto"/>
              <w:bottom w:val="nil"/>
            </w:tcBorders>
          </w:tcPr>
          <w:p w14:paraId="4DEB45E9" w14:textId="77777777" w:rsidR="00E036D3" w:rsidRPr="00FB38E1" w:rsidRDefault="00E036D3" w:rsidP="00E036D3">
            <w:pPr>
              <w:rPr>
                <w:rFonts w:ascii="Microsoft Sans Serif" w:hAnsi="Microsoft Sans Serif" w:cs="Microsoft Sans Serif"/>
                <w:b/>
                <w:sz w:val="16"/>
                <w:szCs w:val="16"/>
              </w:rPr>
            </w:pPr>
            <w:r w:rsidRPr="00FB38E1">
              <w:rPr>
                <w:rFonts w:ascii="Microsoft Sans Serif" w:hAnsi="Microsoft Sans Serif" w:cs="Microsoft Sans Serif"/>
                <w:b/>
                <w:sz w:val="16"/>
                <w:szCs w:val="16"/>
              </w:rPr>
              <w:t>3</w:t>
            </w:r>
          </w:p>
        </w:tc>
        <w:tc>
          <w:tcPr>
            <w:tcW w:w="966" w:type="pct"/>
            <w:tcBorders>
              <w:top w:val="single" w:sz="4" w:space="0" w:color="auto"/>
              <w:bottom w:val="nil"/>
            </w:tcBorders>
          </w:tcPr>
          <w:p w14:paraId="55E5E538" w14:textId="77777777" w:rsidR="00E036D3" w:rsidRPr="00FB38E1" w:rsidRDefault="00E036D3" w:rsidP="00E036D3">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575" w:type="pct"/>
            <w:tcBorders>
              <w:top w:val="single" w:sz="4" w:space="0" w:color="auto"/>
              <w:bottom w:val="nil"/>
            </w:tcBorders>
            <w:vAlign w:val="center"/>
          </w:tcPr>
          <w:p w14:paraId="6F976C8F" w14:textId="6F97CD49"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510.918.476</w:t>
            </w:r>
          </w:p>
        </w:tc>
        <w:tc>
          <w:tcPr>
            <w:tcW w:w="549" w:type="pct"/>
            <w:tcBorders>
              <w:top w:val="single" w:sz="4" w:space="0" w:color="auto"/>
              <w:bottom w:val="nil"/>
            </w:tcBorders>
            <w:vAlign w:val="center"/>
          </w:tcPr>
          <w:p w14:paraId="1F2C9446" w14:textId="2193EC18"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91.242.219</w:t>
            </w:r>
          </w:p>
        </w:tc>
        <w:tc>
          <w:tcPr>
            <w:tcW w:w="550" w:type="pct"/>
            <w:tcBorders>
              <w:top w:val="single" w:sz="4" w:space="0" w:color="auto"/>
              <w:bottom w:val="nil"/>
            </w:tcBorders>
            <w:vAlign w:val="center"/>
          </w:tcPr>
          <w:p w14:paraId="0C4111AE" w14:textId="0576AC00"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65.515.647</w:t>
            </w:r>
          </w:p>
        </w:tc>
        <w:tc>
          <w:tcPr>
            <w:tcW w:w="550" w:type="pct"/>
            <w:tcBorders>
              <w:top w:val="single" w:sz="4" w:space="0" w:color="auto"/>
              <w:bottom w:val="nil"/>
            </w:tcBorders>
            <w:vAlign w:val="center"/>
          </w:tcPr>
          <w:p w14:paraId="3750084B" w14:textId="0A01A951"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2.047.811</w:t>
            </w:r>
          </w:p>
        </w:tc>
        <w:tc>
          <w:tcPr>
            <w:tcW w:w="551" w:type="pct"/>
            <w:tcBorders>
              <w:top w:val="single" w:sz="4" w:space="0" w:color="auto"/>
              <w:bottom w:val="nil"/>
            </w:tcBorders>
            <w:vAlign w:val="center"/>
          </w:tcPr>
          <w:p w14:paraId="145AF50C" w14:textId="51FFDC94"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1.754.955</w:t>
            </w:r>
          </w:p>
        </w:tc>
        <w:tc>
          <w:tcPr>
            <w:tcW w:w="549" w:type="pct"/>
            <w:tcBorders>
              <w:top w:val="single" w:sz="4" w:space="0" w:color="auto"/>
              <w:bottom w:val="nil"/>
            </w:tcBorders>
            <w:vAlign w:val="center"/>
          </w:tcPr>
          <w:p w14:paraId="007791FF" w14:textId="13B62450"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w:t>
            </w:r>
          </w:p>
        </w:tc>
        <w:tc>
          <w:tcPr>
            <w:tcW w:w="550" w:type="pct"/>
            <w:tcBorders>
              <w:top w:val="single" w:sz="4" w:space="0" w:color="auto"/>
              <w:bottom w:val="nil"/>
            </w:tcBorders>
            <w:vAlign w:val="center"/>
          </w:tcPr>
          <w:p w14:paraId="0628A5CD" w14:textId="6E031A74" w:rsidR="00E036D3" w:rsidRPr="00FB38E1" w:rsidRDefault="00E036D3" w:rsidP="00E036D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w:t>
            </w:r>
          </w:p>
        </w:tc>
      </w:tr>
      <w:tr w:rsidR="00E036D3" w:rsidRPr="00FB38E1" w14:paraId="7B2E4A23" w14:textId="77777777" w:rsidTr="00836EF2">
        <w:tc>
          <w:tcPr>
            <w:tcW w:w="160" w:type="pct"/>
            <w:tcBorders>
              <w:top w:val="nil"/>
            </w:tcBorders>
          </w:tcPr>
          <w:p w14:paraId="60CFB9B5"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w:t>
            </w:r>
          </w:p>
        </w:tc>
        <w:tc>
          <w:tcPr>
            <w:tcW w:w="966" w:type="pct"/>
            <w:tcBorders>
              <w:top w:val="nil"/>
            </w:tcBorders>
          </w:tcPr>
          <w:p w14:paraId="1C144D17" w14:textId="77777777" w:rsidR="00E036D3" w:rsidRPr="00FB38E1" w:rsidRDefault="00E036D3" w:rsidP="00E036D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Temerrüde düşmüş (*)</w:t>
            </w:r>
          </w:p>
        </w:tc>
        <w:tc>
          <w:tcPr>
            <w:tcW w:w="575" w:type="pct"/>
            <w:tcBorders>
              <w:top w:val="nil"/>
            </w:tcBorders>
            <w:vAlign w:val="center"/>
          </w:tcPr>
          <w:p w14:paraId="51DE3A41" w14:textId="07EF4A1E"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17.180.928</w:t>
            </w:r>
          </w:p>
        </w:tc>
        <w:tc>
          <w:tcPr>
            <w:tcW w:w="549" w:type="pct"/>
            <w:tcBorders>
              <w:top w:val="nil"/>
            </w:tcBorders>
            <w:vAlign w:val="center"/>
          </w:tcPr>
          <w:p w14:paraId="556DB3B7" w14:textId="1743E451"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7.115.193</w:t>
            </w:r>
          </w:p>
        </w:tc>
        <w:tc>
          <w:tcPr>
            <w:tcW w:w="550" w:type="pct"/>
            <w:tcBorders>
              <w:top w:val="nil"/>
            </w:tcBorders>
            <w:vAlign w:val="center"/>
          </w:tcPr>
          <w:p w14:paraId="6C946718" w14:textId="26FF3607"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2.818.951</w:t>
            </w:r>
          </w:p>
        </w:tc>
        <w:tc>
          <w:tcPr>
            <w:tcW w:w="550" w:type="pct"/>
            <w:tcBorders>
              <w:top w:val="nil"/>
            </w:tcBorders>
            <w:vAlign w:val="center"/>
          </w:tcPr>
          <w:p w14:paraId="1443E7FA" w14:textId="511B85D4"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612.381</w:t>
            </w:r>
          </w:p>
        </w:tc>
        <w:tc>
          <w:tcPr>
            <w:tcW w:w="551" w:type="pct"/>
            <w:tcBorders>
              <w:top w:val="nil"/>
            </w:tcBorders>
            <w:vAlign w:val="center"/>
          </w:tcPr>
          <w:p w14:paraId="0C2716CC" w14:textId="5322478F"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79.214</w:t>
            </w:r>
          </w:p>
        </w:tc>
        <w:tc>
          <w:tcPr>
            <w:tcW w:w="549" w:type="pct"/>
            <w:tcBorders>
              <w:top w:val="nil"/>
            </w:tcBorders>
            <w:vAlign w:val="center"/>
          </w:tcPr>
          <w:p w14:paraId="52A253B2" w14:textId="1CB107B6"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50" w:type="pct"/>
            <w:tcBorders>
              <w:top w:val="nil"/>
            </w:tcBorders>
            <w:vAlign w:val="center"/>
          </w:tcPr>
          <w:p w14:paraId="3871A75C" w14:textId="5966D149" w:rsidR="00E036D3" w:rsidRPr="00FB38E1" w:rsidRDefault="00E036D3" w:rsidP="00E036D3">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r>
    </w:tbl>
    <w:p w14:paraId="39DF1920" w14:textId="77777777" w:rsidR="00E036D3" w:rsidRPr="00FB38E1" w:rsidRDefault="00E036D3" w:rsidP="00E036D3">
      <w:pPr>
        <w:spacing w:after="240" w:line="240" w:lineRule="exact"/>
        <w:ind w:left="57"/>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xml:space="preserve"> (*) Karşılık öncesi bakiyeyi ve bilanço dışı alacaklara ait temerrüt rakamını içermektedir.</w:t>
      </w:r>
    </w:p>
    <w:p w14:paraId="3ED3B691" w14:textId="77777777" w:rsidR="00E036D3" w:rsidRPr="00FB38E1" w:rsidRDefault="00E036D3" w:rsidP="00364B59">
      <w:pPr>
        <w:pStyle w:val="ListParagraph"/>
        <w:numPr>
          <w:ilvl w:val="0"/>
          <w:numId w:val="55"/>
        </w:numPr>
        <w:spacing w:before="240" w:after="120" w:line="240" w:lineRule="exact"/>
        <w:ind w:left="-68" w:hanging="357"/>
        <w:contextualSpacing w:val="0"/>
        <w:rPr>
          <w:rFonts w:ascii="Microsoft Sans Serif" w:hAnsi="Microsoft Sans Serif" w:cs="Microsoft Sans Serif"/>
          <w:b/>
          <w:color w:val="7030A0"/>
          <w:sz w:val="20"/>
          <w:szCs w:val="20"/>
        </w:rPr>
      </w:pPr>
      <w:r w:rsidRPr="00FB38E1">
        <w:rPr>
          <w:rFonts w:ascii="Microsoft Sans Serif" w:hAnsi="Microsoft Sans Serif" w:cs="Microsoft Sans Serif"/>
          <w:b/>
          <w:sz w:val="20"/>
          <w:szCs w:val="20"/>
        </w:rPr>
        <w:t>Kredi riski standart yaklaşım ile hesaplanırken kullanılan derecelendirme notlarıyla ilgili açıklamalar</w:t>
      </w:r>
    </w:p>
    <w:p w14:paraId="5B0FBFA0" w14:textId="77777777" w:rsidR="00E036D3" w:rsidRPr="00FB38E1" w:rsidRDefault="00E036D3"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Sermaye yeterliliği hesaplamasında uygulanacak risk ağırlıklarının tespitinde uluslararası kredi derecelendirme kuruluşu Fitch derecelendirme kuruluşunun vermiş olduğu dereceler kullanılmaktadır. Kredi derecelendirme notlarının dikkate alındığı kapsam Merkezi Yönetimlerden veya Merkez Bankalarından Alacaklar, yurt dışında yerleşik olanlar için geçerli olmak üzere; Bankalardan ve Aracı Kurumlarda Alacaklar ve Kurumsal alacaklardır.</w:t>
      </w:r>
    </w:p>
    <w:p w14:paraId="06374CFF" w14:textId="77777777" w:rsidR="00E036D3" w:rsidRPr="00FB38E1" w:rsidRDefault="00E036D3"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Risk ağırlığı belirlenirken alacağa özgü bir derecelendirmenin olmadığı durumda ihraççının kredi derecelendirmesi dikkate alınmaktadır.</w:t>
      </w:r>
    </w:p>
    <w:p w14:paraId="74E9ABA9" w14:textId="082F5B3D" w:rsidR="00E036D3" w:rsidRPr="00FB38E1" w:rsidRDefault="00E036D3"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Derecelendirme notlarının kredi kalite kademesi ve risk sınıflarına göre risk ağırlıkları ile eşleştirmesi dördüncü bölüm II.n numaralı dipnotta gösterilmiştir.</w:t>
      </w:r>
    </w:p>
    <w:p w14:paraId="1BCBF33A" w14:textId="7A3EB728"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5305777C" w14:textId="13C5B6ED"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230764A3" w14:textId="6DAC8014"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0DBA6852" w14:textId="4340B861"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24EE299F" w14:textId="5FBF7E12"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5054530D" w14:textId="4E0303BF"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64B3910C" w14:textId="57D07152"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72982935" w14:textId="5271CEF6"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731DA52E" w14:textId="5356D28A"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44D7E9A6" w14:textId="77777777" w:rsidR="003B7A7D" w:rsidRPr="00FB38E1" w:rsidRDefault="003B7A7D"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6DB0CADF" w14:textId="77777777" w:rsidR="00E036D3" w:rsidRPr="00FB38E1" w:rsidRDefault="00E036D3" w:rsidP="00364B59">
      <w:pPr>
        <w:pStyle w:val="ListParagraph"/>
        <w:numPr>
          <w:ilvl w:val="0"/>
          <w:numId w:val="55"/>
        </w:numPr>
        <w:spacing w:before="240" w:after="120" w:line="240" w:lineRule="exact"/>
        <w:ind w:left="-68" w:hanging="357"/>
        <w:contextualSpacing w:val="0"/>
        <w:rPr>
          <w:rFonts w:ascii="Microsoft Sans Serif" w:hAnsi="Microsoft Sans Serif" w:cs="Microsoft Sans Serif"/>
          <w:b/>
          <w:color w:val="7030A0"/>
          <w:sz w:val="20"/>
          <w:szCs w:val="20"/>
        </w:rPr>
      </w:pPr>
      <w:r w:rsidRPr="00FB38E1">
        <w:rPr>
          <w:rFonts w:ascii="Microsoft Sans Serif" w:hAnsi="Microsoft Sans Serif" w:cs="Microsoft Sans Serif"/>
          <w:b/>
          <w:sz w:val="20"/>
          <w:szCs w:val="20"/>
        </w:rPr>
        <w:t>Standart Yaklaşım – Maruz kalınan kredi riski ve kredi riski azaltım teknikleri</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80"/>
        <w:gridCol w:w="3027"/>
        <w:gridCol w:w="1055"/>
        <w:gridCol w:w="1056"/>
        <w:gridCol w:w="1056"/>
        <w:gridCol w:w="1056"/>
        <w:gridCol w:w="977"/>
        <w:gridCol w:w="1132"/>
      </w:tblGrid>
      <w:tr w:rsidR="00E036D3" w:rsidRPr="00FB38E1" w14:paraId="3449B163" w14:textId="77777777" w:rsidTr="00836EF2">
        <w:tc>
          <w:tcPr>
            <w:tcW w:w="145" w:type="pct"/>
            <w:tcMar>
              <w:left w:w="57" w:type="dxa"/>
              <w:right w:w="57" w:type="dxa"/>
            </w:tcMar>
            <w:vAlign w:val="bottom"/>
          </w:tcPr>
          <w:p w14:paraId="3263C7D2" w14:textId="77777777" w:rsidR="00E036D3" w:rsidRPr="00FB38E1" w:rsidRDefault="00E036D3" w:rsidP="00836EF2">
            <w:pPr>
              <w:jc w:val="right"/>
              <w:rPr>
                <w:rFonts w:ascii="Microsoft Sans Serif" w:hAnsi="Microsoft Sans Serif" w:cs="Microsoft Sans Serif"/>
                <w:sz w:val="14"/>
                <w:szCs w:val="14"/>
              </w:rPr>
            </w:pPr>
          </w:p>
        </w:tc>
        <w:tc>
          <w:tcPr>
            <w:tcW w:w="1570" w:type="pct"/>
            <w:tcMar>
              <w:left w:w="57" w:type="dxa"/>
              <w:right w:w="57" w:type="dxa"/>
            </w:tcMar>
          </w:tcPr>
          <w:p w14:paraId="38F5920A" w14:textId="77777777" w:rsidR="00E036D3" w:rsidRPr="00FB38E1" w:rsidRDefault="00E036D3" w:rsidP="00836EF2">
            <w:pPr>
              <w:rPr>
                <w:rFonts w:ascii="Microsoft Sans Serif" w:hAnsi="Microsoft Sans Serif" w:cs="Microsoft Sans Serif"/>
                <w:sz w:val="14"/>
                <w:szCs w:val="14"/>
              </w:rPr>
            </w:pPr>
          </w:p>
        </w:tc>
        <w:tc>
          <w:tcPr>
            <w:tcW w:w="547" w:type="pct"/>
            <w:tcBorders>
              <w:top w:val="thinThickSmallGap" w:sz="24" w:space="0" w:color="auto"/>
              <w:bottom w:val="single" w:sz="4" w:space="0" w:color="auto"/>
            </w:tcBorders>
            <w:tcMar>
              <w:left w:w="57" w:type="dxa"/>
              <w:right w:w="57" w:type="dxa"/>
            </w:tcMar>
          </w:tcPr>
          <w:p w14:paraId="3FF05FCD"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a</w:t>
            </w:r>
          </w:p>
        </w:tc>
        <w:tc>
          <w:tcPr>
            <w:tcW w:w="548" w:type="pct"/>
            <w:tcBorders>
              <w:top w:val="thinThickSmallGap" w:sz="24" w:space="0" w:color="auto"/>
              <w:bottom w:val="single" w:sz="4" w:space="0" w:color="auto"/>
            </w:tcBorders>
            <w:tcMar>
              <w:left w:w="57" w:type="dxa"/>
              <w:right w:w="57" w:type="dxa"/>
            </w:tcMar>
          </w:tcPr>
          <w:p w14:paraId="039810F8"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w:t>
            </w:r>
          </w:p>
        </w:tc>
        <w:tc>
          <w:tcPr>
            <w:tcW w:w="548" w:type="pct"/>
            <w:tcBorders>
              <w:top w:val="thinThickSmallGap" w:sz="24" w:space="0" w:color="auto"/>
              <w:bottom w:val="single" w:sz="4" w:space="0" w:color="auto"/>
            </w:tcBorders>
            <w:tcMar>
              <w:left w:w="57" w:type="dxa"/>
              <w:right w:w="57" w:type="dxa"/>
            </w:tcMar>
          </w:tcPr>
          <w:p w14:paraId="7BCFB73B"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c</w:t>
            </w:r>
          </w:p>
        </w:tc>
        <w:tc>
          <w:tcPr>
            <w:tcW w:w="548" w:type="pct"/>
            <w:tcBorders>
              <w:top w:val="thinThickSmallGap" w:sz="24" w:space="0" w:color="auto"/>
              <w:bottom w:val="single" w:sz="4" w:space="0" w:color="auto"/>
            </w:tcBorders>
            <w:tcMar>
              <w:left w:w="57" w:type="dxa"/>
              <w:right w:w="57" w:type="dxa"/>
            </w:tcMar>
          </w:tcPr>
          <w:p w14:paraId="6AB55B07"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d</w:t>
            </w:r>
          </w:p>
        </w:tc>
        <w:tc>
          <w:tcPr>
            <w:tcW w:w="507" w:type="pct"/>
            <w:tcBorders>
              <w:top w:val="thinThickSmallGap" w:sz="24" w:space="0" w:color="auto"/>
              <w:bottom w:val="single" w:sz="4" w:space="0" w:color="auto"/>
            </w:tcBorders>
            <w:tcMar>
              <w:left w:w="57" w:type="dxa"/>
              <w:right w:w="57" w:type="dxa"/>
            </w:tcMar>
          </w:tcPr>
          <w:p w14:paraId="4A71FA7A"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w:t>
            </w:r>
          </w:p>
        </w:tc>
        <w:tc>
          <w:tcPr>
            <w:tcW w:w="587" w:type="pct"/>
            <w:tcBorders>
              <w:top w:val="thinThickSmallGap" w:sz="24" w:space="0" w:color="auto"/>
              <w:bottom w:val="single" w:sz="4" w:space="0" w:color="auto"/>
            </w:tcBorders>
            <w:tcMar>
              <w:left w:w="57" w:type="dxa"/>
              <w:right w:w="57" w:type="dxa"/>
            </w:tcMar>
          </w:tcPr>
          <w:p w14:paraId="11A2F97B"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f</w:t>
            </w:r>
          </w:p>
        </w:tc>
      </w:tr>
      <w:tr w:rsidR="00E036D3" w:rsidRPr="00FB38E1" w14:paraId="54263601" w14:textId="77777777" w:rsidTr="00836EF2">
        <w:tc>
          <w:tcPr>
            <w:tcW w:w="145" w:type="pct"/>
            <w:tcBorders>
              <w:bottom w:val="nil"/>
            </w:tcBorders>
            <w:tcMar>
              <w:left w:w="57" w:type="dxa"/>
              <w:right w:w="57" w:type="dxa"/>
            </w:tcMar>
            <w:vAlign w:val="bottom"/>
          </w:tcPr>
          <w:p w14:paraId="0A26E44E" w14:textId="77777777" w:rsidR="00E036D3" w:rsidRPr="00FB38E1" w:rsidRDefault="00E036D3" w:rsidP="00836EF2">
            <w:pPr>
              <w:jc w:val="right"/>
              <w:rPr>
                <w:rFonts w:ascii="Microsoft Sans Serif" w:hAnsi="Microsoft Sans Serif" w:cs="Microsoft Sans Serif"/>
                <w:sz w:val="14"/>
                <w:szCs w:val="14"/>
              </w:rPr>
            </w:pPr>
          </w:p>
        </w:tc>
        <w:tc>
          <w:tcPr>
            <w:tcW w:w="1570" w:type="pct"/>
            <w:tcBorders>
              <w:bottom w:val="nil"/>
            </w:tcBorders>
            <w:tcMar>
              <w:left w:w="57" w:type="dxa"/>
              <w:right w:w="57" w:type="dxa"/>
            </w:tcMar>
            <w:vAlign w:val="center"/>
          </w:tcPr>
          <w:p w14:paraId="111146CD" w14:textId="77777777" w:rsidR="00E036D3" w:rsidRPr="00FB38E1" w:rsidRDefault="00E036D3" w:rsidP="00836EF2">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Cari Dönem</w:t>
            </w:r>
          </w:p>
        </w:tc>
        <w:tc>
          <w:tcPr>
            <w:tcW w:w="1095" w:type="pct"/>
            <w:gridSpan w:val="2"/>
            <w:tcBorders>
              <w:top w:val="single" w:sz="4" w:space="0" w:color="auto"/>
              <w:bottom w:val="single" w:sz="4" w:space="0" w:color="auto"/>
            </w:tcBorders>
            <w:tcMar>
              <w:left w:w="57" w:type="dxa"/>
              <w:right w:w="57" w:type="dxa"/>
            </w:tcMar>
            <w:vAlign w:val="bottom"/>
          </w:tcPr>
          <w:p w14:paraId="5ED5DE5E"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Kredi dönüşüm oranı ve </w:t>
            </w:r>
          </w:p>
          <w:p w14:paraId="4DC0A95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 riski azaltımından önce alacak tutarı</w:t>
            </w:r>
          </w:p>
        </w:tc>
        <w:tc>
          <w:tcPr>
            <w:tcW w:w="1096" w:type="pct"/>
            <w:gridSpan w:val="2"/>
            <w:tcBorders>
              <w:top w:val="single" w:sz="4" w:space="0" w:color="auto"/>
              <w:bottom w:val="single" w:sz="4" w:space="0" w:color="auto"/>
            </w:tcBorders>
            <w:tcMar>
              <w:left w:w="57" w:type="dxa"/>
              <w:right w:w="57" w:type="dxa"/>
            </w:tcMar>
            <w:vAlign w:val="bottom"/>
          </w:tcPr>
          <w:p w14:paraId="732C7B37"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Kredi dönüşüm oranı ve </w:t>
            </w:r>
          </w:p>
          <w:p w14:paraId="0C7FD150"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 riski azaltımından sonra alacak tutarı</w:t>
            </w:r>
          </w:p>
        </w:tc>
        <w:tc>
          <w:tcPr>
            <w:tcW w:w="1094" w:type="pct"/>
            <w:gridSpan w:val="2"/>
            <w:tcBorders>
              <w:top w:val="single" w:sz="4" w:space="0" w:color="auto"/>
              <w:bottom w:val="single" w:sz="4" w:space="0" w:color="auto"/>
            </w:tcBorders>
            <w:tcMar>
              <w:left w:w="57" w:type="dxa"/>
              <w:right w:w="57" w:type="dxa"/>
            </w:tcMar>
            <w:vAlign w:val="bottom"/>
          </w:tcPr>
          <w:p w14:paraId="1E8DA5EF"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Risk ağırlıklı tutar </w:t>
            </w:r>
          </w:p>
          <w:p w14:paraId="3B237A5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ve </w:t>
            </w:r>
          </w:p>
          <w:p w14:paraId="5B1873FA"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risk ağırlıklı tutar yoğunluğu</w:t>
            </w:r>
          </w:p>
        </w:tc>
      </w:tr>
      <w:tr w:rsidR="00E036D3" w:rsidRPr="00FB38E1" w14:paraId="49EDB962" w14:textId="77777777" w:rsidTr="00836EF2">
        <w:tc>
          <w:tcPr>
            <w:tcW w:w="145" w:type="pct"/>
            <w:tcBorders>
              <w:top w:val="nil"/>
              <w:bottom w:val="single" w:sz="4" w:space="0" w:color="auto"/>
            </w:tcBorders>
            <w:tcMar>
              <w:left w:w="57" w:type="dxa"/>
              <w:right w:w="57" w:type="dxa"/>
            </w:tcMar>
            <w:vAlign w:val="bottom"/>
          </w:tcPr>
          <w:p w14:paraId="58F2ABB0" w14:textId="77777777" w:rsidR="00E036D3" w:rsidRPr="00FB38E1" w:rsidRDefault="00E036D3" w:rsidP="00836EF2">
            <w:pPr>
              <w:jc w:val="right"/>
              <w:rPr>
                <w:rFonts w:ascii="Microsoft Sans Serif" w:hAnsi="Microsoft Sans Serif" w:cs="Microsoft Sans Serif"/>
                <w:sz w:val="14"/>
                <w:szCs w:val="14"/>
              </w:rPr>
            </w:pPr>
          </w:p>
        </w:tc>
        <w:tc>
          <w:tcPr>
            <w:tcW w:w="1570" w:type="pct"/>
            <w:tcBorders>
              <w:top w:val="nil"/>
              <w:bottom w:val="single" w:sz="4" w:space="0" w:color="auto"/>
            </w:tcBorders>
            <w:tcMar>
              <w:left w:w="57" w:type="dxa"/>
              <w:right w:w="57" w:type="dxa"/>
            </w:tcMar>
            <w:vAlign w:val="bottom"/>
          </w:tcPr>
          <w:p w14:paraId="70B16B48" w14:textId="77777777" w:rsidR="00E036D3" w:rsidRPr="00FB38E1" w:rsidRDefault="00E036D3" w:rsidP="00836EF2">
            <w:pPr>
              <w:rPr>
                <w:rFonts w:ascii="Microsoft Sans Serif" w:hAnsi="Microsoft Sans Serif" w:cs="Microsoft Sans Serif"/>
                <w:b/>
                <w:sz w:val="14"/>
                <w:szCs w:val="14"/>
              </w:rPr>
            </w:pPr>
            <w:r w:rsidRPr="00FB38E1">
              <w:rPr>
                <w:rFonts w:ascii="Microsoft Sans Serif" w:hAnsi="Microsoft Sans Serif" w:cs="Microsoft Sans Serif"/>
                <w:b/>
                <w:sz w:val="14"/>
                <w:szCs w:val="14"/>
              </w:rPr>
              <w:t>Risk sınıfları</w:t>
            </w:r>
          </w:p>
        </w:tc>
        <w:tc>
          <w:tcPr>
            <w:tcW w:w="547" w:type="pct"/>
            <w:tcBorders>
              <w:top w:val="single" w:sz="4" w:space="0" w:color="auto"/>
              <w:bottom w:val="single" w:sz="4" w:space="0" w:color="auto"/>
            </w:tcBorders>
            <w:tcMar>
              <w:left w:w="57" w:type="dxa"/>
              <w:right w:w="57" w:type="dxa"/>
            </w:tcMar>
            <w:vAlign w:val="bottom"/>
          </w:tcPr>
          <w:p w14:paraId="616D9C05"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45075730"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dışı tutar</w:t>
            </w:r>
          </w:p>
        </w:tc>
        <w:tc>
          <w:tcPr>
            <w:tcW w:w="548" w:type="pct"/>
            <w:tcBorders>
              <w:top w:val="single" w:sz="4" w:space="0" w:color="auto"/>
              <w:bottom w:val="single" w:sz="4" w:space="0" w:color="auto"/>
            </w:tcBorders>
            <w:tcMar>
              <w:left w:w="57" w:type="dxa"/>
              <w:right w:w="57" w:type="dxa"/>
            </w:tcMar>
            <w:vAlign w:val="bottom"/>
          </w:tcPr>
          <w:p w14:paraId="45A8B171"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73AC1031"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dışı tutar</w:t>
            </w:r>
          </w:p>
        </w:tc>
        <w:tc>
          <w:tcPr>
            <w:tcW w:w="507" w:type="pct"/>
            <w:tcBorders>
              <w:top w:val="single" w:sz="4" w:space="0" w:color="auto"/>
              <w:bottom w:val="single" w:sz="4" w:space="0" w:color="auto"/>
            </w:tcBorders>
            <w:tcMar>
              <w:left w:w="57" w:type="dxa"/>
              <w:right w:w="57" w:type="dxa"/>
            </w:tcMar>
            <w:vAlign w:val="bottom"/>
          </w:tcPr>
          <w:p w14:paraId="2AF62755"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Risk ağırlıklı tutar</w:t>
            </w:r>
          </w:p>
        </w:tc>
        <w:tc>
          <w:tcPr>
            <w:tcW w:w="587" w:type="pct"/>
            <w:tcBorders>
              <w:top w:val="single" w:sz="4" w:space="0" w:color="auto"/>
              <w:bottom w:val="single" w:sz="4" w:space="0" w:color="auto"/>
            </w:tcBorders>
            <w:tcMar>
              <w:left w:w="57" w:type="dxa"/>
              <w:right w:w="57" w:type="dxa"/>
            </w:tcMar>
            <w:vAlign w:val="bottom"/>
          </w:tcPr>
          <w:p w14:paraId="404FA159"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Risk ağırlıklı tutar yoğunluğu</w:t>
            </w:r>
          </w:p>
        </w:tc>
      </w:tr>
      <w:tr w:rsidR="003022BF" w:rsidRPr="00FB38E1" w14:paraId="58D534A7" w14:textId="77777777" w:rsidTr="00836EF2">
        <w:tc>
          <w:tcPr>
            <w:tcW w:w="145" w:type="pct"/>
            <w:tcBorders>
              <w:top w:val="single" w:sz="4" w:space="0" w:color="auto"/>
            </w:tcBorders>
            <w:tcMar>
              <w:left w:w="57" w:type="dxa"/>
              <w:right w:w="57" w:type="dxa"/>
            </w:tcMar>
          </w:tcPr>
          <w:p w14:paraId="3FEDCD94"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1570" w:type="pct"/>
            <w:tcBorders>
              <w:top w:val="single" w:sz="4" w:space="0" w:color="auto"/>
            </w:tcBorders>
            <w:tcMar>
              <w:left w:w="57" w:type="dxa"/>
              <w:right w:w="57" w:type="dxa"/>
            </w:tcMar>
          </w:tcPr>
          <w:p w14:paraId="20F46C9A"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Merkezi yönetimlerden veya merkez bankalarından alacaklar</w:t>
            </w:r>
          </w:p>
        </w:tc>
        <w:tc>
          <w:tcPr>
            <w:tcW w:w="547" w:type="pct"/>
            <w:tcBorders>
              <w:top w:val="single" w:sz="4" w:space="0" w:color="auto"/>
            </w:tcBorders>
            <w:tcMar>
              <w:left w:w="57" w:type="dxa"/>
              <w:right w:w="57" w:type="dxa"/>
            </w:tcMar>
            <w:vAlign w:val="center"/>
          </w:tcPr>
          <w:p w14:paraId="5BF70E82" w14:textId="163842E5"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333.078.986</w:t>
            </w:r>
          </w:p>
        </w:tc>
        <w:tc>
          <w:tcPr>
            <w:tcW w:w="548" w:type="pct"/>
            <w:tcBorders>
              <w:top w:val="single" w:sz="4" w:space="0" w:color="auto"/>
            </w:tcBorders>
            <w:tcMar>
              <w:left w:w="57" w:type="dxa"/>
              <w:right w:w="57" w:type="dxa"/>
            </w:tcMar>
            <w:vAlign w:val="center"/>
          </w:tcPr>
          <w:p w14:paraId="2FF484C4" w14:textId="2FDB0ABB"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111.958</w:t>
            </w:r>
          </w:p>
        </w:tc>
        <w:tc>
          <w:tcPr>
            <w:tcW w:w="548" w:type="pct"/>
            <w:tcBorders>
              <w:top w:val="single" w:sz="4" w:space="0" w:color="auto"/>
            </w:tcBorders>
            <w:tcMar>
              <w:left w:w="57" w:type="dxa"/>
              <w:right w:w="57" w:type="dxa"/>
            </w:tcMar>
            <w:vAlign w:val="center"/>
          </w:tcPr>
          <w:p w14:paraId="5296307D" w14:textId="4A46716B"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334.812.386</w:t>
            </w:r>
          </w:p>
        </w:tc>
        <w:tc>
          <w:tcPr>
            <w:tcW w:w="548" w:type="pct"/>
            <w:tcBorders>
              <w:top w:val="single" w:sz="4" w:space="0" w:color="auto"/>
            </w:tcBorders>
            <w:tcMar>
              <w:left w:w="57" w:type="dxa"/>
              <w:right w:w="57" w:type="dxa"/>
            </w:tcMar>
            <w:vAlign w:val="center"/>
          </w:tcPr>
          <w:p w14:paraId="66CF0AB8" w14:textId="6201BE5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156.099</w:t>
            </w:r>
          </w:p>
        </w:tc>
        <w:tc>
          <w:tcPr>
            <w:tcW w:w="507" w:type="pct"/>
            <w:tcBorders>
              <w:top w:val="single" w:sz="4" w:space="0" w:color="auto"/>
            </w:tcBorders>
            <w:tcMar>
              <w:left w:w="57" w:type="dxa"/>
              <w:right w:w="57" w:type="dxa"/>
            </w:tcMar>
            <w:vAlign w:val="center"/>
          </w:tcPr>
          <w:p w14:paraId="2FDB107B" w14:textId="381258F0"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486</w:t>
            </w:r>
          </w:p>
        </w:tc>
        <w:tc>
          <w:tcPr>
            <w:tcW w:w="587" w:type="pct"/>
            <w:tcBorders>
              <w:top w:val="single" w:sz="4" w:space="0" w:color="auto"/>
            </w:tcBorders>
            <w:tcMar>
              <w:left w:w="57" w:type="dxa"/>
              <w:right w:w="57" w:type="dxa"/>
            </w:tcMar>
            <w:vAlign w:val="center"/>
          </w:tcPr>
          <w:p w14:paraId="02141E25" w14:textId="7509596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022BF" w:rsidRPr="00FB38E1" w14:paraId="238FFEA7" w14:textId="77777777" w:rsidTr="00836EF2">
        <w:tc>
          <w:tcPr>
            <w:tcW w:w="145" w:type="pct"/>
            <w:tcMar>
              <w:left w:w="57" w:type="dxa"/>
              <w:right w:w="57" w:type="dxa"/>
            </w:tcMar>
          </w:tcPr>
          <w:p w14:paraId="0651C1E4"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1570" w:type="pct"/>
            <w:tcMar>
              <w:left w:w="57" w:type="dxa"/>
              <w:right w:w="57" w:type="dxa"/>
            </w:tcMar>
          </w:tcPr>
          <w:p w14:paraId="0987FC6E"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Bölgesel yönetimlerden veya yerel yönetimlerden alacaklar</w:t>
            </w:r>
          </w:p>
        </w:tc>
        <w:tc>
          <w:tcPr>
            <w:tcW w:w="547" w:type="pct"/>
            <w:tcMar>
              <w:left w:w="57" w:type="dxa"/>
              <w:right w:w="57" w:type="dxa"/>
            </w:tcMar>
            <w:vAlign w:val="center"/>
          </w:tcPr>
          <w:p w14:paraId="40EBCF11" w14:textId="413D7039"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6.439.568</w:t>
            </w:r>
          </w:p>
        </w:tc>
        <w:tc>
          <w:tcPr>
            <w:tcW w:w="548" w:type="pct"/>
            <w:tcMar>
              <w:left w:w="57" w:type="dxa"/>
              <w:right w:w="57" w:type="dxa"/>
            </w:tcMar>
            <w:vAlign w:val="center"/>
          </w:tcPr>
          <w:p w14:paraId="3173A77A" w14:textId="42BD9245"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1.789.856</w:t>
            </w:r>
          </w:p>
        </w:tc>
        <w:tc>
          <w:tcPr>
            <w:tcW w:w="548" w:type="pct"/>
            <w:tcMar>
              <w:left w:w="57" w:type="dxa"/>
              <w:right w:w="57" w:type="dxa"/>
            </w:tcMar>
            <w:vAlign w:val="center"/>
          </w:tcPr>
          <w:p w14:paraId="3CECC72A" w14:textId="2B7ABDAE"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6.429.850</w:t>
            </w:r>
          </w:p>
        </w:tc>
        <w:tc>
          <w:tcPr>
            <w:tcW w:w="548" w:type="pct"/>
            <w:tcMar>
              <w:left w:w="57" w:type="dxa"/>
              <w:right w:w="57" w:type="dxa"/>
            </w:tcMar>
            <w:vAlign w:val="center"/>
          </w:tcPr>
          <w:p w14:paraId="62A179E9" w14:textId="0381BFD0"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885.176</w:t>
            </w:r>
          </w:p>
        </w:tc>
        <w:tc>
          <w:tcPr>
            <w:tcW w:w="507" w:type="pct"/>
            <w:tcMar>
              <w:left w:w="57" w:type="dxa"/>
              <w:right w:w="57" w:type="dxa"/>
            </w:tcMar>
            <w:vAlign w:val="center"/>
          </w:tcPr>
          <w:p w14:paraId="67CECFCF" w14:textId="080E95EA"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3.657.487</w:t>
            </w:r>
          </w:p>
        </w:tc>
        <w:tc>
          <w:tcPr>
            <w:tcW w:w="587" w:type="pct"/>
            <w:tcMar>
              <w:left w:w="57" w:type="dxa"/>
              <w:right w:w="57" w:type="dxa"/>
            </w:tcMar>
            <w:vAlign w:val="center"/>
          </w:tcPr>
          <w:p w14:paraId="0407352F" w14:textId="53DAA52B"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%50,00</w:t>
            </w:r>
          </w:p>
        </w:tc>
      </w:tr>
      <w:tr w:rsidR="003022BF" w:rsidRPr="00FB38E1" w14:paraId="66AB3ED1" w14:textId="77777777" w:rsidTr="00836EF2">
        <w:tc>
          <w:tcPr>
            <w:tcW w:w="145" w:type="pct"/>
            <w:tcMar>
              <w:left w:w="57" w:type="dxa"/>
              <w:right w:w="57" w:type="dxa"/>
            </w:tcMar>
          </w:tcPr>
          <w:p w14:paraId="66291772"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1570" w:type="pct"/>
            <w:tcMar>
              <w:left w:w="57" w:type="dxa"/>
              <w:right w:w="57" w:type="dxa"/>
            </w:tcMar>
          </w:tcPr>
          <w:p w14:paraId="517554E4"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İdari birimlerden veya ticari olmayan girişimlerden alacaklar</w:t>
            </w:r>
          </w:p>
        </w:tc>
        <w:tc>
          <w:tcPr>
            <w:tcW w:w="547" w:type="pct"/>
            <w:tcMar>
              <w:left w:w="57" w:type="dxa"/>
              <w:right w:w="57" w:type="dxa"/>
            </w:tcMar>
            <w:vAlign w:val="center"/>
          </w:tcPr>
          <w:p w14:paraId="1D469EEC" w14:textId="2CAB01F0"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2.101</w:t>
            </w:r>
          </w:p>
        </w:tc>
        <w:tc>
          <w:tcPr>
            <w:tcW w:w="548" w:type="pct"/>
            <w:tcMar>
              <w:left w:w="57" w:type="dxa"/>
              <w:right w:w="57" w:type="dxa"/>
            </w:tcMar>
            <w:vAlign w:val="center"/>
          </w:tcPr>
          <w:p w14:paraId="394B9362" w14:textId="47194A8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3.698.443</w:t>
            </w:r>
          </w:p>
        </w:tc>
        <w:tc>
          <w:tcPr>
            <w:tcW w:w="548" w:type="pct"/>
            <w:tcMar>
              <w:left w:w="57" w:type="dxa"/>
              <w:right w:w="57" w:type="dxa"/>
            </w:tcMar>
            <w:vAlign w:val="center"/>
          </w:tcPr>
          <w:p w14:paraId="2361F3AA" w14:textId="1A030494"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2.101</w:t>
            </w:r>
          </w:p>
        </w:tc>
        <w:tc>
          <w:tcPr>
            <w:tcW w:w="548" w:type="pct"/>
            <w:tcMar>
              <w:left w:w="57" w:type="dxa"/>
              <w:right w:w="57" w:type="dxa"/>
            </w:tcMar>
            <w:vAlign w:val="center"/>
          </w:tcPr>
          <w:p w14:paraId="7FCD8B28" w14:textId="478DF0C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1.643.972</w:t>
            </w:r>
          </w:p>
        </w:tc>
        <w:tc>
          <w:tcPr>
            <w:tcW w:w="507" w:type="pct"/>
            <w:tcMar>
              <w:left w:w="57" w:type="dxa"/>
              <w:right w:w="57" w:type="dxa"/>
            </w:tcMar>
            <w:vAlign w:val="center"/>
          </w:tcPr>
          <w:p w14:paraId="0B608BE6" w14:textId="5B9E74BD"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1.646.073</w:t>
            </w:r>
          </w:p>
        </w:tc>
        <w:tc>
          <w:tcPr>
            <w:tcW w:w="587" w:type="pct"/>
            <w:tcMar>
              <w:left w:w="57" w:type="dxa"/>
              <w:right w:w="57" w:type="dxa"/>
            </w:tcMar>
            <w:vAlign w:val="center"/>
          </w:tcPr>
          <w:p w14:paraId="11E3AE87" w14:textId="102DC7B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%100,00</w:t>
            </w:r>
          </w:p>
        </w:tc>
      </w:tr>
      <w:tr w:rsidR="003022BF" w:rsidRPr="00FB38E1" w14:paraId="2A355C5C" w14:textId="77777777" w:rsidTr="00836EF2">
        <w:tc>
          <w:tcPr>
            <w:tcW w:w="145" w:type="pct"/>
            <w:tcMar>
              <w:left w:w="57" w:type="dxa"/>
              <w:right w:w="57" w:type="dxa"/>
            </w:tcMar>
          </w:tcPr>
          <w:p w14:paraId="5295C698"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4</w:t>
            </w:r>
          </w:p>
        </w:tc>
        <w:tc>
          <w:tcPr>
            <w:tcW w:w="1570" w:type="pct"/>
            <w:tcMar>
              <w:left w:w="57" w:type="dxa"/>
              <w:right w:w="57" w:type="dxa"/>
            </w:tcMar>
          </w:tcPr>
          <w:p w14:paraId="56F099EC"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Çok taraflı kalkınma bankalarından alacaklar</w:t>
            </w:r>
          </w:p>
        </w:tc>
        <w:tc>
          <w:tcPr>
            <w:tcW w:w="547" w:type="pct"/>
            <w:tcMar>
              <w:left w:w="57" w:type="dxa"/>
              <w:right w:w="57" w:type="dxa"/>
            </w:tcMar>
            <w:vAlign w:val="center"/>
          </w:tcPr>
          <w:p w14:paraId="674DD15E" w14:textId="4B95DD91"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2F65ECCC" w14:textId="77E9493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743A2C4B" w14:textId="73BDB4F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76C21F72" w14:textId="3D8877E9"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center"/>
          </w:tcPr>
          <w:p w14:paraId="103D4F54" w14:textId="6C0224A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tcMar>
              <w:left w:w="57" w:type="dxa"/>
              <w:right w:w="57" w:type="dxa"/>
            </w:tcMar>
            <w:vAlign w:val="center"/>
          </w:tcPr>
          <w:p w14:paraId="1B19072F" w14:textId="76BB50ED"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022BF" w:rsidRPr="00FB38E1" w14:paraId="4E1F71DA" w14:textId="77777777" w:rsidTr="00836EF2">
        <w:tc>
          <w:tcPr>
            <w:tcW w:w="145" w:type="pct"/>
            <w:tcMar>
              <w:left w:w="57" w:type="dxa"/>
              <w:right w:w="57" w:type="dxa"/>
            </w:tcMar>
          </w:tcPr>
          <w:p w14:paraId="5C24F76F"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5</w:t>
            </w:r>
          </w:p>
        </w:tc>
        <w:tc>
          <w:tcPr>
            <w:tcW w:w="1570" w:type="pct"/>
            <w:tcMar>
              <w:left w:w="57" w:type="dxa"/>
              <w:right w:w="57" w:type="dxa"/>
            </w:tcMar>
          </w:tcPr>
          <w:p w14:paraId="11353824"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Uluslararası teşkilatlardan alacaklar</w:t>
            </w:r>
          </w:p>
        </w:tc>
        <w:tc>
          <w:tcPr>
            <w:tcW w:w="547" w:type="pct"/>
            <w:tcMar>
              <w:left w:w="57" w:type="dxa"/>
              <w:right w:w="57" w:type="dxa"/>
            </w:tcMar>
            <w:vAlign w:val="center"/>
          </w:tcPr>
          <w:p w14:paraId="41B77640" w14:textId="62BFBC4D"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36403F6E" w14:textId="6EA8925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59CE320E" w14:textId="2D1D697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56632DC8" w14:textId="62EF920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center"/>
          </w:tcPr>
          <w:p w14:paraId="35E044AC" w14:textId="191EECF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tcMar>
              <w:left w:w="57" w:type="dxa"/>
              <w:right w:w="57" w:type="dxa"/>
            </w:tcMar>
            <w:vAlign w:val="center"/>
          </w:tcPr>
          <w:p w14:paraId="77B74D5A" w14:textId="1BCC9C2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022BF" w:rsidRPr="00FB38E1" w14:paraId="40298A4F" w14:textId="77777777" w:rsidTr="00836EF2">
        <w:tc>
          <w:tcPr>
            <w:tcW w:w="145" w:type="pct"/>
            <w:tcMar>
              <w:left w:w="57" w:type="dxa"/>
              <w:right w:w="57" w:type="dxa"/>
            </w:tcMar>
          </w:tcPr>
          <w:p w14:paraId="275F9149"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6</w:t>
            </w:r>
          </w:p>
        </w:tc>
        <w:tc>
          <w:tcPr>
            <w:tcW w:w="1570" w:type="pct"/>
            <w:tcMar>
              <w:left w:w="57" w:type="dxa"/>
              <w:right w:w="57" w:type="dxa"/>
            </w:tcMar>
          </w:tcPr>
          <w:p w14:paraId="1855763D"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Bankalardan ve aracı kurumlardan alacaklar</w:t>
            </w:r>
          </w:p>
        </w:tc>
        <w:tc>
          <w:tcPr>
            <w:tcW w:w="547" w:type="pct"/>
            <w:tcMar>
              <w:left w:w="57" w:type="dxa"/>
              <w:right w:w="57" w:type="dxa"/>
            </w:tcMar>
            <w:vAlign w:val="center"/>
          </w:tcPr>
          <w:p w14:paraId="21A5B809" w14:textId="658D7EF9"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65.263.234</w:t>
            </w:r>
          </w:p>
        </w:tc>
        <w:tc>
          <w:tcPr>
            <w:tcW w:w="548" w:type="pct"/>
            <w:tcMar>
              <w:left w:w="57" w:type="dxa"/>
              <w:right w:w="57" w:type="dxa"/>
            </w:tcMar>
            <w:vAlign w:val="center"/>
          </w:tcPr>
          <w:p w14:paraId="6D91FBBF" w14:textId="26B91699"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17.766.737</w:t>
            </w:r>
          </w:p>
        </w:tc>
        <w:tc>
          <w:tcPr>
            <w:tcW w:w="548" w:type="pct"/>
            <w:tcMar>
              <w:left w:w="57" w:type="dxa"/>
              <w:right w:w="57" w:type="dxa"/>
            </w:tcMar>
            <w:vAlign w:val="center"/>
          </w:tcPr>
          <w:p w14:paraId="1473BD5C" w14:textId="38AA74A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65.263.234</w:t>
            </w:r>
          </w:p>
        </w:tc>
        <w:tc>
          <w:tcPr>
            <w:tcW w:w="548" w:type="pct"/>
            <w:tcMar>
              <w:left w:w="57" w:type="dxa"/>
              <w:right w:w="57" w:type="dxa"/>
            </w:tcMar>
            <w:vAlign w:val="center"/>
          </w:tcPr>
          <w:p w14:paraId="37342659" w14:textId="11B9FF99"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12.932.690</w:t>
            </w:r>
          </w:p>
        </w:tc>
        <w:tc>
          <w:tcPr>
            <w:tcW w:w="507" w:type="pct"/>
            <w:tcMar>
              <w:left w:w="57" w:type="dxa"/>
              <w:right w:w="57" w:type="dxa"/>
            </w:tcMar>
            <w:vAlign w:val="center"/>
          </w:tcPr>
          <w:p w14:paraId="66AFF973" w14:textId="42269799"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20.447.176</w:t>
            </w:r>
          </w:p>
        </w:tc>
        <w:tc>
          <w:tcPr>
            <w:tcW w:w="587" w:type="pct"/>
            <w:tcMar>
              <w:left w:w="57" w:type="dxa"/>
              <w:right w:w="57" w:type="dxa"/>
            </w:tcMar>
            <w:vAlign w:val="center"/>
          </w:tcPr>
          <w:p w14:paraId="080197CF" w14:textId="5E708F44"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%26,15</w:t>
            </w:r>
          </w:p>
        </w:tc>
      </w:tr>
      <w:tr w:rsidR="003022BF" w:rsidRPr="00FB38E1" w14:paraId="4EF650B9" w14:textId="77777777" w:rsidTr="00836EF2">
        <w:tc>
          <w:tcPr>
            <w:tcW w:w="145" w:type="pct"/>
            <w:tcMar>
              <w:left w:w="57" w:type="dxa"/>
              <w:right w:w="57" w:type="dxa"/>
            </w:tcMar>
          </w:tcPr>
          <w:p w14:paraId="14ABD5B0"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7</w:t>
            </w:r>
          </w:p>
        </w:tc>
        <w:tc>
          <w:tcPr>
            <w:tcW w:w="1570" w:type="pct"/>
            <w:tcMar>
              <w:left w:w="57" w:type="dxa"/>
              <w:right w:w="57" w:type="dxa"/>
            </w:tcMar>
          </w:tcPr>
          <w:p w14:paraId="1F318460"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Kurumsal alacaklar</w:t>
            </w:r>
          </w:p>
        </w:tc>
        <w:tc>
          <w:tcPr>
            <w:tcW w:w="547" w:type="pct"/>
            <w:tcMar>
              <w:left w:w="57" w:type="dxa"/>
              <w:right w:w="57" w:type="dxa"/>
            </w:tcMar>
            <w:vAlign w:val="center"/>
          </w:tcPr>
          <w:p w14:paraId="49B01CA2" w14:textId="50C6F9F5"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200.061.029</w:t>
            </w:r>
          </w:p>
        </w:tc>
        <w:tc>
          <w:tcPr>
            <w:tcW w:w="548" w:type="pct"/>
            <w:tcMar>
              <w:left w:w="57" w:type="dxa"/>
              <w:right w:w="57" w:type="dxa"/>
            </w:tcMar>
            <w:vAlign w:val="center"/>
          </w:tcPr>
          <w:p w14:paraId="044750D1" w14:textId="72BF2891"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165.473.658</w:t>
            </w:r>
          </w:p>
        </w:tc>
        <w:tc>
          <w:tcPr>
            <w:tcW w:w="548" w:type="pct"/>
            <w:tcMar>
              <w:left w:w="57" w:type="dxa"/>
              <w:right w:w="57" w:type="dxa"/>
            </w:tcMar>
            <w:vAlign w:val="center"/>
          </w:tcPr>
          <w:p w14:paraId="3EF40CDC" w14:textId="2C999F6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181.618.942</w:t>
            </w:r>
          </w:p>
        </w:tc>
        <w:tc>
          <w:tcPr>
            <w:tcW w:w="548" w:type="pct"/>
            <w:tcMar>
              <w:left w:w="57" w:type="dxa"/>
              <w:right w:w="57" w:type="dxa"/>
            </w:tcMar>
            <w:vAlign w:val="center"/>
          </w:tcPr>
          <w:p w14:paraId="339E30D6" w14:textId="50581016"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86.407.629</w:t>
            </w:r>
          </w:p>
        </w:tc>
        <w:tc>
          <w:tcPr>
            <w:tcW w:w="507" w:type="pct"/>
            <w:tcMar>
              <w:left w:w="57" w:type="dxa"/>
              <w:right w:w="57" w:type="dxa"/>
            </w:tcMar>
            <w:vAlign w:val="center"/>
          </w:tcPr>
          <w:p w14:paraId="56C43E35" w14:textId="61317EE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268.121.803</w:t>
            </w:r>
          </w:p>
        </w:tc>
        <w:tc>
          <w:tcPr>
            <w:tcW w:w="587" w:type="pct"/>
            <w:tcMar>
              <w:left w:w="57" w:type="dxa"/>
              <w:right w:w="57" w:type="dxa"/>
            </w:tcMar>
            <w:vAlign w:val="center"/>
          </w:tcPr>
          <w:p w14:paraId="4193677F" w14:textId="46C7F1A0"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%100,04</w:t>
            </w:r>
          </w:p>
        </w:tc>
      </w:tr>
      <w:tr w:rsidR="003022BF" w:rsidRPr="00FB38E1" w14:paraId="2F424A85" w14:textId="77777777" w:rsidTr="00836EF2">
        <w:tc>
          <w:tcPr>
            <w:tcW w:w="145" w:type="pct"/>
            <w:tcMar>
              <w:left w:w="57" w:type="dxa"/>
              <w:right w:w="57" w:type="dxa"/>
            </w:tcMar>
          </w:tcPr>
          <w:p w14:paraId="5A839E06"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8</w:t>
            </w:r>
          </w:p>
        </w:tc>
        <w:tc>
          <w:tcPr>
            <w:tcW w:w="1570" w:type="pct"/>
            <w:tcMar>
              <w:left w:w="57" w:type="dxa"/>
              <w:right w:w="57" w:type="dxa"/>
            </w:tcMar>
          </w:tcPr>
          <w:p w14:paraId="06523DB3"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Perakende alacaklar</w:t>
            </w:r>
          </w:p>
        </w:tc>
        <w:tc>
          <w:tcPr>
            <w:tcW w:w="547" w:type="pct"/>
            <w:tcMar>
              <w:left w:w="57" w:type="dxa"/>
              <w:right w:w="57" w:type="dxa"/>
            </w:tcMar>
            <w:vAlign w:val="center"/>
          </w:tcPr>
          <w:p w14:paraId="1C15B6A0" w14:textId="70BBF3A5"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342.058.698</w:t>
            </w:r>
          </w:p>
        </w:tc>
        <w:tc>
          <w:tcPr>
            <w:tcW w:w="548" w:type="pct"/>
            <w:tcMar>
              <w:left w:w="57" w:type="dxa"/>
              <w:right w:w="57" w:type="dxa"/>
            </w:tcMar>
            <w:vAlign w:val="center"/>
          </w:tcPr>
          <w:p w14:paraId="080BCD41" w14:textId="2416BD4B"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484.173.174</w:t>
            </w:r>
          </w:p>
        </w:tc>
        <w:tc>
          <w:tcPr>
            <w:tcW w:w="548" w:type="pct"/>
            <w:tcMar>
              <w:left w:w="57" w:type="dxa"/>
              <w:right w:w="57" w:type="dxa"/>
            </w:tcMar>
            <w:vAlign w:val="center"/>
          </w:tcPr>
          <w:p w14:paraId="47CDE1C6" w14:textId="272DEE3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339.377.858</w:t>
            </w:r>
          </w:p>
        </w:tc>
        <w:tc>
          <w:tcPr>
            <w:tcW w:w="548" w:type="pct"/>
            <w:tcMar>
              <w:left w:w="57" w:type="dxa"/>
              <w:right w:w="57" w:type="dxa"/>
            </w:tcMar>
            <w:vAlign w:val="center"/>
          </w:tcPr>
          <w:p w14:paraId="405B3462" w14:textId="5544121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17.973.417</w:t>
            </w:r>
          </w:p>
        </w:tc>
        <w:tc>
          <w:tcPr>
            <w:tcW w:w="507" w:type="pct"/>
            <w:tcMar>
              <w:left w:w="57" w:type="dxa"/>
              <w:right w:w="57" w:type="dxa"/>
            </w:tcMar>
            <w:vAlign w:val="center"/>
          </w:tcPr>
          <w:p w14:paraId="05F56A13" w14:textId="68387D5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268.745.080</w:t>
            </w:r>
          </w:p>
        </w:tc>
        <w:tc>
          <w:tcPr>
            <w:tcW w:w="587" w:type="pct"/>
            <w:tcMar>
              <w:left w:w="57" w:type="dxa"/>
              <w:right w:w="57" w:type="dxa"/>
            </w:tcMar>
            <w:vAlign w:val="center"/>
          </w:tcPr>
          <w:p w14:paraId="32F2FF8B" w14:textId="21F8430E"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%75,20</w:t>
            </w:r>
          </w:p>
        </w:tc>
      </w:tr>
      <w:tr w:rsidR="003022BF" w:rsidRPr="00FB38E1" w14:paraId="0B27BCB0" w14:textId="77777777" w:rsidTr="00836EF2">
        <w:tc>
          <w:tcPr>
            <w:tcW w:w="145" w:type="pct"/>
            <w:tcMar>
              <w:left w:w="57" w:type="dxa"/>
              <w:right w:w="57" w:type="dxa"/>
            </w:tcMar>
          </w:tcPr>
          <w:p w14:paraId="1D318DAF"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9</w:t>
            </w:r>
          </w:p>
        </w:tc>
        <w:tc>
          <w:tcPr>
            <w:tcW w:w="1570" w:type="pct"/>
            <w:tcMar>
              <w:left w:w="57" w:type="dxa"/>
              <w:right w:w="57" w:type="dxa"/>
            </w:tcMar>
          </w:tcPr>
          <w:p w14:paraId="1115435A"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İkamet amaçlı gayrimenkul ipoteği ile teminatlandırılan alacaklar</w:t>
            </w:r>
          </w:p>
        </w:tc>
        <w:tc>
          <w:tcPr>
            <w:tcW w:w="547" w:type="pct"/>
            <w:tcMar>
              <w:left w:w="57" w:type="dxa"/>
              <w:right w:w="57" w:type="dxa"/>
            </w:tcMar>
            <w:vAlign w:val="center"/>
          </w:tcPr>
          <w:p w14:paraId="77C57FD3" w14:textId="17DCF291"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17.232.985</w:t>
            </w:r>
          </w:p>
        </w:tc>
        <w:tc>
          <w:tcPr>
            <w:tcW w:w="548" w:type="pct"/>
            <w:tcMar>
              <w:left w:w="57" w:type="dxa"/>
              <w:right w:w="57" w:type="dxa"/>
            </w:tcMar>
            <w:vAlign w:val="center"/>
          </w:tcPr>
          <w:p w14:paraId="6EC5C154" w14:textId="00622FED"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4.631.986</w:t>
            </w:r>
          </w:p>
        </w:tc>
        <w:tc>
          <w:tcPr>
            <w:tcW w:w="548" w:type="pct"/>
            <w:tcMar>
              <w:left w:w="57" w:type="dxa"/>
              <w:right w:w="57" w:type="dxa"/>
            </w:tcMar>
            <w:vAlign w:val="center"/>
          </w:tcPr>
          <w:p w14:paraId="3396A123" w14:textId="7BDD5AA1"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17.033.172</w:t>
            </w:r>
          </w:p>
        </w:tc>
        <w:tc>
          <w:tcPr>
            <w:tcW w:w="548" w:type="pct"/>
            <w:tcMar>
              <w:left w:w="57" w:type="dxa"/>
              <w:right w:w="57" w:type="dxa"/>
            </w:tcMar>
            <w:vAlign w:val="center"/>
          </w:tcPr>
          <w:p w14:paraId="34B08BAA" w14:textId="4A2EFE3E"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2.323.240</w:t>
            </w:r>
          </w:p>
        </w:tc>
        <w:tc>
          <w:tcPr>
            <w:tcW w:w="507" w:type="pct"/>
            <w:tcMar>
              <w:left w:w="57" w:type="dxa"/>
              <w:right w:w="57" w:type="dxa"/>
            </w:tcMar>
            <w:vAlign w:val="center"/>
          </w:tcPr>
          <w:p w14:paraId="73EACB53" w14:textId="2B8D9E9E"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6.927.743</w:t>
            </w:r>
          </w:p>
        </w:tc>
        <w:tc>
          <w:tcPr>
            <w:tcW w:w="587" w:type="pct"/>
            <w:tcMar>
              <w:left w:w="57" w:type="dxa"/>
              <w:right w:w="57" w:type="dxa"/>
            </w:tcMar>
            <w:vAlign w:val="center"/>
          </w:tcPr>
          <w:p w14:paraId="118735CD" w14:textId="02A12CD7"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%35,79</w:t>
            </w:r>
          </w:p>
        </w:tc>
      </w:tr>
      <w:tr w:rsidR="003022BF" w:rsidRPr="00FB38E1" w14:paraId="17A0A78C" w14:textId="77777777" w:rsidTr="00836EF2">
        <w:tc>
          <w:tcPr>
            <w:tcW w:w="145" w:type="pct"/>
            <w:tcMar>
              <w:left w:w="57" w:type="dxa"/>
              <w:right w:w="57" w:type="dxa"/>
            </w:tcMar>
          </w:tcPr>
          <w:p w14:paraId="0E7E5CCB"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10</w:t>
            </w:r>
          </w:p>
        </w:tc>
        <w:tc>
          <w:tcPr>
            <w:tcW w:w="1570" w:type="pct"/>
            <w:tcMar>
              <w:left w:w="57" w:type="dxa"/>
              <w:right w:w="57" w:type="dxa"/>
            </w:tcMar>
          </w:tcPr>
          <w:p w14:paraId="20BA9BB5"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Ticari amaçlı gayrimenkul ipoteği ile teminatlandırılan alacaklar</w:t>
            </w:r>
          </w:p>
        </w:tc>
        <w:tc>
          <w:tcPr>
            <w:tcW w:w="547" w:type="pct"/>
            <w:tcMar>
              <w:left w:w="57" w:type="dxa"/>
              <w:right w:w="57" w:type="dxa"/>
            </w:tcMar>
            <w:vAlign w:val="center"/>
          </w:tcPr>
          <w:p w14:paraId="31F43EEE" w14:textId="06DF967F"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70.183.229</w:t>
            </w:r>
          </w:p>
        </w:tc>
        <w:tc>
          <w:tcPr>
            <w:tcW w:w="548" w:type="pct"/>
            <w:tcMar>
              <w:left w:w="57" w:type="dxa"/>
              <w:right w:w="57" w:type="dxa"/>
            </w:tcMar>
            <w:vAlign w:val="center"/>
          </w:tcPr>
          <w:p w14:paraId="021EF194" w14:textId="0E89B8C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10.175.775</w:t>
            </w:r>
          </w:p>
        </w:tc>
        <w:tc>
          <w:tcPr>
            <w:tcW w:w="548" w:type="pct"/>
            <w:tcMar>
              <w:left w:w="57" w:type="dxa"/>
              <w:right w:w="57" w:type="dxa"/>
            </w:tcMar>
            <w:vAlign w:val="center"/>
          </w:tcPr>
          <w:p w14:paraId="78266852" w14:textId="0EF3C485"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70.183.229</w:t>
            </w:r>
          </w:p>
        </w:tc>
        <w:tc>
          <w:tcPr>
            <w:tcW w:w="548" w:type="pct"/>
            <w:tcMar>
              <w:left w:w="57" w:type="dxa"/>
              <w:right w:w="57" w:type="dxa"/>
            </w:tcMar>
            <w:vAlign w:val="center"/>
          </w:tcPr>
          <w:p w14:paraId="747CFC69" w14:textId="3DA5EE3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7.019.225</w:t>
            </w:r>
          </w:p>
        </w:tc>
        <w:tc>
          <w:tcPr>
            <w:tcW w:w="507" w:type="pct"/>
            <w:tcMar>
              <w:left w:w="57" w:type="dxa"/>
              <w:right w:w="57" w:type="dxa"/>
            </w:tcMar>
            <w:vAlign w:val="center"/>
          </w:tcPr>
          <w:p w14:paraId="79EC4B31" w14:textId="7108C7D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42.141.260</w:t>
            </w:r>
          </w:p>
        </w:tc>
        <w:tc>
          <w:tcPr>
            <w:tcW w:w="587" w:type="pct"/>
            <w:tcMar>
              <w:left w:w="57" w:type="dxa"/>
              <w:right w:w="57" w:type="dxa"/>
            </w:tcMar>
            <w:vAlign w:val="center"/>
          </w:tcPr>
          <w:p w14:paraId="790D8B29" w14:textId="4CAF136D"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%54,59</w:t>
            </w:r>
          </w:p>
        </w:tc>
      </w:tr>
      <w:tr w:rsidR="003022BF" w:rsidRPr="00FB38E1" w14:paraId="53ABF08C" w14:textId="77777777" w:rsidTr="00836EF2">
        <w:tc>
          <w:tcPr>
            <w:tcW w:w="145" w:type="pct"/>
            <w:tcMar>
              <w:left w:w="57" w:type="dxa"/>
              <w:right w:w="57" w:type="dxa"/>
            </w:tcMar>
          </w:tcPr>
          <w:p w14:paraId="09485EE2"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11</w:t>
            </w:r>
          </w:p>
        </w:tc>
        <w:tc>
          <w:tcPr>
            <w:tcW w:w="1570" w:type="pct"/>
            <w:tcMar>
              <w:left w:w="57" w:type="dxa"/>
              <w:right w:w="57" w:type="dxa"/>
            </w:tcMar>
          </w:tcPr>
          <w:p w14:paraId="386CC058"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Tahsili gecikmiş alacaklar</w:t>
            </w:r>
          </w:p>
        </w:tc>
        <w:tc>
          <w:tcPr>
            <w:tcW w:w="547" w:type="pct"/>
            <w:tcMar>
              <w:left w:w="57" w:type="dxa"/>
              <w:right w:w="57" w:type="dxa"/>
            </w:tcMar>
            <w:vAlign w:val="center"/>
          </w:tcPr>
          <w:p w14:paraId="3F1BCB4F" w14:textId="6F8A3D3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10.976.912</w:t>
            </w:r>
          </w:p>
        </w:tc>
        <w:tc>
          <w:tcPr>
            <w:tcW w:w="548" w:type="pct"/>
            <w:tcMar>
              <w:left w:w="57" w:type="dxa"/>
              <w:right w:w="57" w:type="dxa"/>
            </w:tcMar>
            <w:vAlign w:val="center"/>
          </w:tcPr>
          <w:p w14:paraId="28535949" w14:textId="244BF67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550.994</w:t>
            </w:r>
          </w:p>
        </w:tc>
        <w:tc>
          <w:tcPr>
            <w:tcW w:w="548" w:type="pct"/>
            <w:tcMar>
              <w:left w:w="57" w:type="dxa"/>
              <w:right w:w="57" w:type="dxa"/>
            </w:tcMar>
            <w:vAlign w:val="center"/>
          </w:tcPr>
          <w:p w14:paraId="20951937" w14:textId="020946F1"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10.258.778</w:t>
            </w:r>
          </w:p>
        </w:tc>
        <w:tc>
          <w:tcPr>
            <w:tcW w:w="548" w:type="pct"/>
            <w:tcMar>
              <w:left w:w="57" w:type="dxa"/>
              <w:right w:w="57" w:type="dxa"/>
            </w:tcMar>
            <w:vAlign w:val="center"/>
          </w:tcPr>
          <w:p w14:paraId="12F528B4" w14:textId="639845D1"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208.635</w:t>
            </w:r>
          </w:p>
        </w:tc>
        <w:tc>
          <w:tcPr>
            <w:tcW w:w="507" w:type="pct"/>
            <w:tcMar>
              <w:left w:w="57" w:type="dxa"/>
              <w:right w:w="57" w:type="dxa"/>
            </w:tcMar>
            <w:vAlign w:val="center"/>
          </w:tcPr>
          <w:p w14:paraId="62272D12" w14:textId="2105BDA7"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8.330.797</w:t>
            </w:r>
          </w:p>
        </w:tc>
        <w:tc>
          <w:tcPr>
            <w:tcW w:w="587" w:type="pct"/>
            <w:tcMar>
              <w:left w:w="57" w:type="dxa"/>
              <w:right w:w="57" w:type="dxa"/>
            </w:tcMar>
            <w:vAlign w:val="center"/>
          </w:tcPr>
          <w:p w14:paraId="13F907C6" w14:textId="4210AA36"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%79,59</w:t>
            </w:r>
          </w:p>
        </w:tc>
      </w:tr>
      <w:tr w:rsidR="003022BF" w:rsidRPr="00FB38E1" w14:paraId="0F637256" w14:textId="77777777" w:rsidTr="00836EF2">
        <w:tc>
          <w:tcPr>
            <w:tcW w:w="145" w:type="pct"/>
            <w:tcMar>
              <w:left w:w="57" w:type="dxa"/>
              <w:right w:w="57" w:type="dxa"/>
            </w:tcMar>
          </w:tcPr>
          <w:p w14:paraId="06381EDA"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12</w:t>
            </w:r>
          </w:p>
        </w:tc>
        <w:tc>
          <w:tcPr>
            <w:tcW w:w="1570" w:type="pct"/>
            <w:tcMar>
              <w:left w:w="57" w:type="dxa"/>
              <w:right w:w="57" w:type="dxa"/>
            </w:tcMar>
          </w:tcPr>
          <w:p w14:paraId="32044B91"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Kurulca riski yüksek belirlenmiş alacaklar</w:t>
            </w:r>
          </w:p>
        </w:tc>
        <w:tc>
          <w:tcPr>
            <w:tcW w:w="547" w:type="pct"/>
            <w:tcMar>
              <w:left w:w="57" w:type="dxa"/>
              <w:right w:w="57" w:type="dxa"/>
            </w:tcMar>
            <w:vAlign w:val="center"/>
          </w:tcPr>
          <w:p w14:paraId="69D3C042" w14:textId="112B54C3"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7B8381DC" w14:textId="5A473859"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7F19C59C" w14:textId="19B11B5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1ABEF912" w14:textId="5C7C995D"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center"/>
          </w:tcPr>
          <w:p w14:paraId="2B65E3B5" w14:textId="2EB5BADA"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tcMar>
              <w:left w:w="57" w:type="dxa"/>
              <w:right w:w="57" w:type="dxa"/>
            </w:tcMar>
            <w:vAlign w:val="center"/>
          </w:tcPr>
          <w:p w14:paraId="7EDD6B1F" w14:textId="5682268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022BF" w:rsidRPr="00FB38E1" w14:paraId="14DD447A" w14:textId="77777777" w:rsidTr="00836EF2">
        <w:tc>
          <w:tcPr>
            <w:tcW w:w="145" w:type="pct"/>
            <w:tcMar>
              <w:left w:w="57" w:type="dxa"/>
              <w:right w:w="57" w:type="dxa"/>
            </w:tcMar>
          </w:tcPr>
          <w:p w14:paraId="7525FA45"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13</w:t>
            </w:r>
          </w:p>
        </w:tc>
        <w:tc>
          <w:tcPr>
            <w:tcW w:w="1570" w:type="pct"/>
            <w:tcMar>
              <w:left w:w="57" w:type="dxa"/>
              <w:right w:w="57" w:type="dxa"/>
            </w:tcMar>
          </w:tcPr>
          <w:p w14:paraId="4CFF2FA3"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İpotek teminatlı menkul kıymetler</w:t>
            </w:r>
          </w:p>
        </w:tc>
        <w:tc>
          <w:tcPr>
            <w:tcW w:w="547" w:type="pct"/>
            <w:tcMar>
              <w:left w:w="57" w:type="dxa"/>
              <w:right w:w="57" w:type="dxa"/>
            </w:tcMar>
            <w:vAlign w:val="center"/>
          </w:tcPr>
          <w:p w14:paraId="74D362BE" w14:textId="417EC3AE"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6C800DC1" w14:textId="3D8607EA"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079C9356" w14:textId="12059F86"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1CCD0537" w14:textId="4532A444"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center"/>
          </w:tcPr>
          <w:p w14:paraId="004DC096" w14:textId="73B5F670"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tcMar>
              <w:left w:w="57" w:type="dxa"/>
              <w:right w:w="57" w:type="dxa"/>
            </w:tcMar>
            <w:vAlign w:val="center"/>
          </w:tcPr>
          <w:p w14:paraId="41E1F769" w14:textId="1AD68E75"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022BF" w:rsidRPr="00FB38E1" w14:paraId="57F2292A" w14:textId="77777777" w:rsidTr="00836EF2">
        <w:tc>
          <w:tcPr>
            <w:tcW w:w="145" w:type="pct"/>
            <w:tcMar>
              <w:left w:w="57" w:type="dxa"/>
              <w:right w:w="57" w:type="dxa"/>
            </w:tcMar>
          </w:tcPr>
          <w:p w14:paraId="0798A935"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14</w:t>
            </w:r>
          </w:p>
        </w:tc>
        <w:tc>
          <w:tcPr>
            <w:tcW w:w="1570" w:type="pct"/>
            <w:tcMar>
              <w:left w:w="57" w:type="dxa"/>
              <w:right w:w="57" w:type="dxa"/>
            </w:tcMar>
          </w:tcPr>
          <w:p w14:paraId="06A0022A"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Bankalardan ve aracı kurumlardan olan kısa vadeli alacaklar ile kısa vadeli kurumsal alacaklar</w:t>
            </w:r>
          </w:p>
        </w:tc>
        <w:tc>
          <w:tcPr>
            <w:tcW w:w="547" w:type="pct"/>
            <w:tcMar>
              <w:left w:w="57" w:type="dxa"/>
              <w:right w:w="57" w:type="dxa"/>
            </w:tcMar>
            <w:vAlign w:val="center"/>
          </w:tcPr>
          <w:p w14:paraId="437FC9AB" w14:textId="5F7D21D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186878BE" w14:textId="43B8664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7AECDFC5" w14:textId="3C9E369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6C518518" w14:textId="4E7BA18A"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center"/>
          </w:tcPr>
          <w:p w14:paraId="0E6BE5BA" w14:textId="74E56FCA"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tcMar>
              <w:left w:w="57" w:type="dxa"/>
              <w:right w:w="57" w:type="dxa"/>
            </w:tcMar>
            <w:vAlign w:val="center"/>
          </w:tcPr>
          <w:p w14:paraId="5C58DBB9" w14:textId="609E165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022BF" w:rsidRPr="00FB38E1" w14:paraId="2A5723BD" w14:textId="77777777" w:rsidTr="00836EF2">
        <w:tc>
          <w:tcPr>
            <w:tcW w:w="145" w:type="pct"/>
            <w:tcMar>
              <w:left w:w="57" w:type="dxa"/>
              <w:right w:w="57" w:type="dxa"/>
            </w:tcMar>
          </w:tcPr>
          <w:p w14:paraId="00220BC0"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15</w:t>
            </w:r>
          </w:p>
        </w:tc>
        <w:tc>
          <w:tcPr>
            <w:tcW w:w="1570" w:type="pct"/>
            <w:tcMar>
              <w:left w:w="57" w:type="dxa"/>
              <w:right w:w="57" w:type="dxa"/>
            </w:tcMar>
          </w:tcPr>
          <w:p w14:paraId="35296FE9"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Kollektif yatırım kuruluşu niteliğindeki yatırımlar</w:t>
            </w:r>
          </w:p>
        </w:tc>
        <w:tc>
          <w:tcPr>
            <w:tcW w:w="547" w:type="pct"/>
            <w:tcMar>
              <w:left w:w="57" w:type="dxa"/>
              <w:right w:w="57" w:type="dxa"/>
            </w:tcMar>
            <w:vAlign w:val="center"/>
          </w:tcPr>
          <w:p w14:paraId="11B7091A" w14:textId="4E87F40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40.163</w:t>
            </w:r>
          </w:p>
        </w:tc>
        <w:tc>
          <w:tcPr>
            <w:tcW w:w="548" w:type="pct"/>
            <w:tcMar>
              <w:left w:w="57" w:type="dxa"/>
              <w:right w:w="57" w:type="dxa"/>
            </w:tcMar>
            <w:vAlign w:val="center"/>
          </w:tcPr>
          <w:p w14:paraId="35E4E8F0" w14:textId="1BC5A057"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90.244</w:t>
            </w:r>
          </w:p>
        </w:tc>
        <w:tc>
          <w:tcPr>
            <w:tcW w:w="548" w:type="pct"/>
            <w:tcMar>
              <w:left w:w="57" w:type="dxa"/>
              <w:right w:w="57" w:type="dxa"/>
            </w:tcMar>
            <w:vAlign w:val="center"/>
          </w:tcPr>
          <w:p w14:paraId="29C90566" w14:textId="5F6B2AA1"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1FE0D51A" w14:textId="5622F928"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90.244</w:t>
            </w:r>
          </w:p>
        </w:tc>
        <w:tc>
          <w:tcPr>
            <w:tcW w:w="507" w:type="pct"/>
            <w:tcMar>
              <w:left w:w="57" w:type="dxa"/>
              <w:right w:w="57" w:type="dxa"/>
            </w:tcMar>
            <w:vAlign w:val="center"/>
          </w:tcPr>
          <w:p w14:paraId="0F5BFF05" w14:textId="7A64839E"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90.244</w:t>
            </w:r>
          </w:p>
        </w:tc>
        <w:tc>
          <w:tcPr>
            <w:tcW w:w="587" w:type="pct"/>
            <w:tcMar>
              <w:left w:w="57" w:type="dxa"/>
              <w:right w:w="57" w:type="dxa"/>
            </w:tcMar>
            <w:vAlign w:val="center"/>
          </w:tcPr>
          <w:p w14:paraId="57531B9C" w14:textId="70991E37"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%100,00</w:t>
            </w:r>
          </w:p>
        </w:tc>
      </w:tr>
      <w:tr w:rsidR="003022BF" w:rsidRPr="00FB38E1" w14:paraId="02572C13" w14:textId="77777777" w:rsidTr="00836EF2">
        <w:tc>
          <w:tcPr>
            <w:tcW w:w="145" w:type="pct"/>
            <w:tcMar>
              <w:left w:w="57" w:type="dxa"/>
              <w:right w:w="57" w:type="dxa"/>
            </w:tcMar>
          </w:tcPr>
          <w:p w14:paraId="6C02CAFF"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16</w:t>
            </w:r>
          </w:p>
        </w:tc>
        <w:tc>
          <w:tcPr>
            <w:tcW w:w="1570" w:type="pct"/>
            <w:tcMar>
              <w:left w:w="57" w:type="dxa"/>
              <w:right w:w="57" w:type="dxa"/>
            </w:tcMar>
          </w:tcPr>
          <w:p w14:paraId="42328176" w14:textId="77777777" w:rsidR="003022BF" w:rsidRPr="00FB38E1" w:rsidRDefault="003022BF" w:rsidP="003022BF">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alacaklar</w:t>
            </w:r>
          </w:p>
        </w:tc>
        <w:tc>
          <w:tcPr>
            <w:tcW w:w="547" w:type="pct"/>
            <w:tcMar>
              <w:left w:w="57" w:type="dxa"/>
              <w:right w:w="57" w:type="dxa"/>
            </w:tcMar>
            <w:vAlign w:val="center"/>
          </w:tcPr>
          <w:p w14:paraId="269D6A34" w14:textId="6ADD192B"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79.938.978</w:t>
            </w:r>
          </w:p>
        </w:tc>
        <w:tc>
          <w:tcPr>
            <w:tcW w:w="548" w:type="pct"/>
            <w:tcMar>
              <w:left w:w="57" w:type="dxa"/>
              <w:right w:w="57" w:type="dxa"/>
            </w:tcMar>
            <w:vAlign w:val="center"/>
          </w:tcPr>
          <w:p w14:paraId="00001AAC" w14:textId="1C41534C"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tcMar>
              <w:left w:w="57" w:type="dxa"/>
              <w:right w:w="57" w:type="dxa"/>
            </w:tcMar>
            <w:vAlign w:val="center"/>
          </w:tcPr>
          <w:p w14:paraId="1F0BDA6E" w14:textId="608318DB"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79.938.978</w:t>
            </w:r>
          </w:p>
        </w:tc>
        <w:tc>
          <w:tcPr>
            <w:tcW w:w="548" w:type="pct"/>
            <w:tcMar>
              <w:left w:w="57" w:type="dxa"/>
              <w:right w:w="57" w:type="dxa"/>
            </w:tcMar>
            <w:vAlign w:val="center"/>
          </w:tcPr>
          <w:p w14:paraId="24C76C4E" w14:textId="3C365525"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tcMar>
              <w:left w:w="57" w:type="dxa"/>
              <w:right w:w="57" w:type="dxa"/>
            </w:tcMar>
            <w:vAlign w:val="center"/>
          </w:tcPr>
          <w:p w14:paraId="1192B266" w14:textId="7B9B1967"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70.854.413</w:t>
            </w:r>
          </w:p>
        </w:tc>
        <w:tc>
          <w:tcPr>
            <w:tcW w:w="587" w:type="pct"/>
            <w:tcMar>
              <w:left w:w="57" w:type="dxa"/>
              <w:right w:w="57" w:type="dxa"/>
            </w:tcMar>
            <w:vAlign w:val="center"/>
          </w:tcPr>
          <w:p w14:paraId="43D2A029" w14:textId="5E6BA4C2" w:rsidR="003022BF" w:rsidRPr="00FB38E1" w:rsidRDefault="003022BF" w:rsidP="003022BF">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%88,64</w:t>
            </w:r>
          </w:p>
        </w:tc>
      </w:tr>
      <w:tr w:rsidR="003022BF" w:rsidRPr="00FB38E1" w14:paraId="50B57262" w14:textId="77777777" w:rsidTr="00836EF2">
        <w:tc>
          <w:tcPr>
            <w:tcW w:w="145" w:type="pct"/>
            <w:tcBorders>
              <w:bottom w:val="single" w:sz="4" w:space="0" w:color="auto"/>
            </w:tcBorders>
            <w:tcMar>
              <w:left w:w="57" w:type="dxa"/>
              <w:right w:w="57" w:type="dxa"/>
            </w:tcMar>
          </w:tcPr>
          <w:p w14:paraId="65428CF2" w14:textId="77777777"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17</w:t>
            </w:r>
          </w:p>
        </w:tc>
        <w:tc>
          <w:tcPr>
            <w:tcW w:w="1570" w:type="pct"/>
            <w:tcBorders>
              <w:bottom w:val="single" w:sz="4" w:space="0" w:color="auto"/>
            </w:tcBorders>
            <w:tcMar>
              <w:left w:w="57" w:type="dxa"/>
              <w:right w:w="57" w:type="dxa"/>
            </w:tcMar>
          </w:tcPr>
          <w:p w14:paraId="45261B06" w14:textId="77777777" w:rsidR="003022BF" w:rsidRPr="00FB38E1" w:rsidRDefault="003022BF" w:rsidP="003022BF">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Hisse senedi yatırımları</w:t>
            </w:r>
          </w:p>
        </w:tc>
        <w:tc>
          <w:tcPr>
            <w:tcW w:w="547" w:type="pct"/>
            <w:tcBorders>
              <w:bottom w:val="single" w:sz="4" w:space="0" w:color="auto"/>
            </w:tcBorders>
            <w:tcMar>
              <w:left w:w="57" w:type="dxa"/>
              <w:right w:w="57" w:type="dxa"/>
            </w:tcMar>
            <w:vAlign w:val="center"/>
          </w:tcPr>
          <w:p w14:paraId="61E7905E" w14:textId="28CE16C8"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88.469.380</w:t>
            </w:r>
          </w:p>
        </w:tc>
        <w:tc>
          <w:tcPr>
            <w:tcW w:w="548" w:type="pct"/>
            <w:tcBorders>
              <w:bottom w:val="single" w:sz="4" w:space="0" w:color="auto"/>
            </w:tcBorders>
            <w:tcMar>
              <w:left w:w="57" w:type="dxa"/>
              <w:right w:w="57" w:type="dxa"/>
            </w:tcMar>
            <w:vAlign w:val="center"/>
          </w:tcPr>
          <w:p w14:paraId="0B9A422A" w14:textId="6B5DF28B"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w:t>
            </w:r>
          </w:p>
        </w:tc>
        <w:tc>
          <w:tcPr>
            <w:tcW w:w="548" w:type="pct"/>
            <w:tcBorders>
              <w:bottom w:val="single" w:sz="4" w:space="0" w:color="auto"/>
            </w:tcBorders>
            <w:tcMar>
              <w:left w:w="57" w:type="dxa"/>
              <w:right w:w="57" w:type="dxa"/>
            </w:tcMar>
            <w:vAlign w:val="center"/>
          </w:tcPr>
          <w:p w14:paraId="37E8FAD5" w14:textId="3156D65C"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88.469.380</w:t>
            </w:r>
          </w:p>
        </w:tc>
        <w:tc>
          <w:tcPr>
            <w:tcW w:w="548" w:type="pct"/>
            <w:tcBorders>
              <w:bottom w:val="single" w:sz="4" w:space="0" w:color="auto"/>
            </w:tcBorders>
            <w:tcMar>
              <w:left w:w="57" w:type="dxa"/>
              <w:right w:w="57" w:type="dxa"/>
            </w:tcMar>
            <w:vAlign w:val="center"/>
          </w:tcPr>
          <w:p w14:paraId="7FEB9258" w14:textId="6AA0BED4"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w:t>
            </w:r>
          </w:p>
        </w:tc>
        <w:tc>
          <w:tcPr>
            <w:tcW w:w="507" w:type="pct"/>
            <w:tcBorders>
              <w:bottom w:val="single" w:sz="4" w:space="0" w:color="auto"/>
            </w:tcBorders>
            <w:tcMar>
              <w:left w:w="57" w:type="dxa"/>
              <w:right w:w="57" w:type="dxa"/>
            </w:tcMar>
            <w:vAlign w:val="center"/>
          </w:tcPr>
          <w:p w14:paraId="0B5A396D" w14:textId="450F40A8"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88.469.380</w:t>
            </w:r>
          </w:p>
        </w:tc>
        <w:tc>
          <w:tcPr>
            <w:tcW w:w="587" w:type="pct"/>
            <w:tcBorders>
              <w:bottom w:val="single" w:sz="4" w:space="0" w:color="auto"/>
            </w:tcBorders>
            <w:tcMar>
              <w:left w:w="57" w:type="dxa"/>
              <w:right w:w="57" w:type="dxa"/>
            </w:tcMar>
            <w:vAlign w:val="center"/>
          </w:tcPr>
          <w:p w14:paraId="1F59BD07" w14:textId="5621C172" w:rsidR="003022BF" w:rsidRPr="00FB38E1" w:rsidRDefault="003022BF" w:rsidP="003022BF">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%100,00</w:t>
            </w:r>
          </w:p>
        </w:tc>
      </w:tr>
      <w:tr w:rsidR="003022BF" w:rsidRPr="00FB38E1" w14:paraId="7BBDAE86" w14:textId="77777777" w:rsidTr="00836EF2">
        <w:tc>
          <w:tcPr>
            <w:tcW w:w="145" w:type="pct"/>
            <w:tcBorders>
              <w:top w:val="single" w:sz="4" w:space="0" w:color="auto"/>
              <w:bottom w:val="thickThinSmallGap" w:sz="24" w:space="0" w:color="auto"/>
            </w:tcBorders>
            <w:tcMar>
              <w:left w:w="57" w:type="dxa"/>
              <w:right w:w="57" w:type="dxa"/>
            </w:tcMar>
          </w:tcPr>
          <w:p w14:paraId="5BF20652" w14:textId="77777777" w:rsidR="003022BF" w:rsidRPr="00FB38E1" w:rsidRDefault="003022BF" w:rsidP="003022BF">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18</w:t>
            </w:r>
          </w:p>
        </w:tc>
        <w:tc>
          <w:tcPr>
            <w:tcW w:w="1570" w:type="pct"/>
            <w:tcBorders>
              <w:top w:val="single" w:sz="4" w:space="0" w:color="auto"/>
              <w:bottom w:val="thickThinSmallGap" w:sz="24" w:space="0" w:color="auto"/>
            </w:tcBorders>
            <w:tcMar>
              <w:left w:w="57" w:type="dxa"/>
              <w:right w:w="57" w:type="dxa"/>
            </w:tcMar>
          </w:tcPr>
          <w:p w14:paraId="6EE96721" w14:textId="77777777" w:rsidR="003022BF" w:rsidRPr="00FB38E1" w:rsidRDefault="003022BF" w:rsidP="003022BF">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547" w:type="pct"/>
            <w:tcBorders>
              <w:top w:val="single" w:sz="4" w:space="0" w:color="auto"/>
              <w:bottom w:val="thickThinSmallGap" w:sz="24" w:space="0" w:color="auto"/>
            </w:tcBorders>
            <w:tcMar>
              <w:left w:w="57" w:type="dxa"/>
              <w:right w:w="57" w:type="dxa"/>
            </w:tcMar>
            <w:vAlign w:val="center"/>
          </w:tcPr>
          <w:p w14:paraId="0B265A0C" w14:textId="70D87202" w:rsidR="003022BF" w:rsidRPr="00FB38E1" w:rsidRDefault="003022BF" w:rsidP="003022BF">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1.213.745.263</w:t>
            </w:r>
          </w:p>
        </w:tc>
        <w:tc>
          <w:tcPr>
            <w:tcW w:w="548" w:type="pct"/>
            <w:tcBorders>
              <w:top w:val="single" w:sz="4" w:space="0" w:color="auto"/>
              <w:bottom w:val="thickThinSmallGap" w:sz="24" w:space="0" w:color="auto"/>
            </w:tcBorders>
            <w:tcMar>
              <w:left w:w="57" w:type="dxa"/>
              <w:right w:w="57" w:type="dxa"/>
            </w:tcMar>
            <w:vAlign w:val="center"/>
          </w:tcPr>
          <w:p w14:paraId="595937FA" w14:textId="59F5F666" w:rsidR="003022BF" w:rsidRPr="00FB38E1" w:rsidRDefault="003022BF" w:rsidP="003022BF">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688.462.825</w:t>
            </w:r>
          </w:p>
        </w:tc>
        <w:tc>
          <w:tcPr>
            <w:tcW w:w="548" w:type="pct"/>
            <w:tcBorders>
              <w:top w:val="single" w:sz="4" w:space="0" w:color="auto"/>
              <w:bottom w:val="thickThinSmallGap" w:sz="24" w:space="0" w:color="auto"/>
            </w:tcBorders>
            <w:tcMar>
              <w:left w:w="57" w:type="dxa"/>
              <w:right w:w="57" w:type="dxa"/>
            </w:tcMar>
            <w:vAlign w:val="center"/>
          </w:tcPr>
          <w:p w14:paraId="4EC565CF" w14:textId="6790DBEF" w:rsidR="003022BF" w:rsidRPr="00FB38E1" w:rsidRDefault="003022BF" w:rsidP="003022BF">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1.193.387.908</w:t>
            </w:r>
          </w:p>
        </w:tc>
        <w:tc>
          <w:tcPr>
            <w:tcW w:w="548" w:type="pct"/>
            <w:tcBorders>
              <w:top w:val="single" w:sz="4" w:space="0" w:color="auto"/>
              <w:bottom w:val="thickThinSmallGap" w:sz="24" w:space="0" w:color="auto"/>
            </w:tcBorders>
            <w:tcMar>
              <w:left w:w="57" w:type="dxa"/>
              <w:right w:w="57" w:type="dxa"/>
            </w:tcMar>
            <w:vAlign w:val="center"/>
          </w:tcPr>
          <w:p w14:paraId="05DF96EF" w14:textId="603DF51B" w:rsidR="003022BF" w:rsidRPr="00FB38E1" w:rsidRDefault="003022BF" w:rsidP="003022BF">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129.640.327</w:t>
            </w:r>
          </w:p>
        </w:tc>
        <w:tc>
          <w:tcPr>
            <w:tcW w:w="507" w:type="pct"/>
            <w:tcBorders>
              <w:top w:val="single" w:sz="4" w:space="0" w:color="auto"/>
              <w:bottom w:val="thickThinSmallGap" w:sz="24" w:space="0" w:color="auto"/>
            </w:tcBorders>
            <w:tcMar>
              <w:left w:w="57" w:type="dxa"/>
              <w:right w:w="57" w:type="dxa"/>
            </w:tcMar>
            <w:vAlign w:val="center"/>
          </w:tcPr>
          <w:p w14:paraId="6DAE1567" w14:textId="0BD01FDA" w:rsidR="003022BF" w:rsidRPr="00FB38E1" w:rsidRDefault="003022BF" w:rsidP="003022BF">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779.431.942</w:t>
            </w:r>
          </w:p>
        </w:tc>
        <w:tc>
          <w:tcPr>
            <w:tcW w:w="587" w:type="pct"/>
            <w:tcBorders>
              <w:top w:val="single" w:sz="4" w:space="0" w:color="auto"/>
              <w:bottom w:val="thickThinSmallGap" w:sz="24" w:space="0" w:color="auto"/>
            </w:tcBorders>
            <w:tcMar>
              <w:left w:w="57" w:type="dxa"/>
              <w:right w:w="57" w:type="dxa"/>
            </w:tcMar>
            <w:vAlign w:val="center"/>
          </w:tcPr>
          <w:p w14:paraId="4A7814AB" w14:textId="4431BD0C" w:rsidR="003022BF" w:rsidRPr="00FB38E1" w:rsidRDefault="003022BF" w:rsidP="003022BF">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%58,91</w:t>
            </w:r>
          </w:p>
        </w:tc>
      </w:tr>
    </w:tbl>
    <w:p w14:paraId="36DD32AE" w14:textId="77777777" w:rsidR="00E036D3" w:rsidRPr="00FB38E1" w:rsidRDefault="00E036D3" w:rsidP="00E036D3">
      <w:pPr>
        <w:spacing w:after="120"/>
        <w:rPr>
          <w:sz w:val="16"/>
          <w:szCs w:val="16"/>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80"/>
        <w:gridCol w:w="3027"/>
        <w:gridCol w:w="1055"/>
        <w:gridCol w:w="1056"/>
        <w:gridCol w:w="1056"/>
        <w:gridCol w:w="1056"/>
        <w:gridCol w:w="977"/>
        <w:gridCol w:w="1132"/>
      </w:tblGrid>
      <w:tr w:rsidR="00E036D3" w:rsidRPr="00FB38E1" w14:paraId="208F119E" w14:textId="77777777" w:rsidTr="00836EF2">
        <w:tc>
          <w:tcPr>
            <w:tcW w:w="145" w:type="pct"/>
            <w:tcMar>
              <w:left w:w="57" w:type="dxa"/>
              <w:right w:w="57" w:type="dxa"/>
            </w:tcMar>
            <w:vAlign w:val="bottom"/>
          </w:tcPr>
          <w:p w14:paraId="5EEE1B8B" w14:textId="77777777" w:rsidR="00E036D3" w:rsidRPr="00FB38E1" w:rsidRDefault="00E036D3" w:rsidP="00836EF2">
            <w:pPr>
              <w:jc w:val="right"/>
              <w:rPr>
                <w:rFonts w:ascii="Microsoft Sans Serif" w:hAnsi="Microsoft Sans Serif" w:cs="Microsoft Sans Serif"/>
                <w:sz w:val="14"/>
                <w:szCs w:val="14"/>
              </w:rPr>
            </w:pPr>
          </w:p>
        </w:tc>
        <w:tc>
          <w:tcPr>
            <w:tcW w:w="1570" w:type="pct"/>
            <w:tcMar>
              <w:left w:w="57" w:type="dxa"/>
              <w:right w:w="57" w:type="dxa"/>
            </w:tcMar>
          </w:tcPr>
          <w:p w14:paraId="6FA397A2" w14:textId="77777777" w:rsidR="00E036D3" w:rsidRPr="00FB38E1" w:rsidRDefault="00E036D3" w:rsidP="00836EF2">
            <w:pPr>
              <w:rPr>
                <w:rFonts w:ascii="Microsoft Sans Serif" w:hAnsi="Microsoft Sans Serif" w:cs="Microsoft Sans Serif"/>
                <w:sz w:val="14"/>
                <w:szCs w:val="14"/>
              </w:rPr>
            </w:pPr>
          </w:p>
        </w:tc>
        <w:tc>
          <w:tcPr>
            <w:tcW w:w="547" w:type="pct"/>
            <w:tcBorders>
              <w:top w:val="thinThickSmallGap" w:sz="24" w:space="0" w:color="auto"/>
              <w:bottom w:val="single" w:sz="4" w:space="0" w:color="auto"/>
            </w:tcBorders>
            <w:tcMar>
              <w:left w:w="57" w:type="dxa"/>
              <w:right w:w="57" w:type="dxa"/>
            </w:tcMar>
          </w:tcPr>
          <w:p w14:paraId="71FD1085"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a</w:t>
            </w:r>
          </w:p>
        </w:tc>
        <w:tc>
          <w:tcPr>
            <w:tcW w:w="548" w:type="pct"/>
            <w:tcBorders>
              <w:top w:val="thinThickSmallGap" w:sz="24" w:space="0" w:color="auto"/>
              <w:bottom w:val="single" w:sz="4" w:space="0" w:color="auto"/>
            </w:tcBorders>
            <w:tcMar>
              <w:left w:w="57" w:type="dxa"/>
              <w:right w:w="57" w:type="dxa"/>
            </w:tcMar>
          </w:tcPr>
          <w:p w14:paraId="146FA319"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w:t>
            </w:r>
          </w:p>
        </w:tc>
        <w:tc>
          <w:tcPr>
            <w:tcW w:w="548" w:type="pct"/>
            <w:tcBorders>
              <w:top w:val="thinThickSmallGap" w:sz="24" w:space="0" w:color="auto"/>
              <w:bottom w:val="single" w:sz="4" w:space="0" w:color="auto"/>
            </w:tcBorders>
            <w:tcMar>
              <w:left w:w="57" w:type="dxa"/>
              <w:right w:w="57" w:type="dxa"/>
            </w:tcMar>
          </w:tcPr>
          <w:p w14:paraId="19D0B566"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c</w:t>
            </w:r>
          </w:p>
        </w:tc>
        <w:tc>
          <w:tcPr>
            <w:tcW w:w="548" w:type="pct"/>
            <w:tcBorders>
              <w:top w:val="thinThickSmallGap" w:sz="24" w:space="0" w:color="auto"/>
              <w:bottom w:val="single" w:sz="4" w:space="0" w:color="auto"/>
            </w:tcBorders>
            <w:tcMar>
              <w:left w:w="57" w:type="dxa"/>
              <w:right w:w="57" w:type="dxa"/>
            </w:tcMar>
          </w:tcPr>
          <w:p w14:paraId="76CBD02F"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d</w:t>
            </w:r>
          </w:p>
        </w:tc>
        <w:tc>
          <w:tcPr>
            <w:tcW w:w="507" w:type="pct"/>
            <w:tcBorders>
              <w:top w:val="thinThickSmallGap" w:sz="24" w:space="0" w:color="auto"/>
              <w:bottom w:val="single" w:sz="4" w:space="0" w:color="auto"/>
            </w:tcBorders>
            <w:tcMar>
              <w:left w:w="57" w:type="dxa"/>
              <w:right w:w="57" w:type="dxa"/>
            </w:tcMar>
          </w:tcPr>
          <w:p w14:paraId="03FE9BE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w:t>
            </w:r>
          </w:p>
        </w:tc>
        <w:tc>
          <w:tcPr>
            <w:tcW w:w="587" w:type="pct"/>
            <w:tcBorders>
              <w:top w:val="thinThickSmallGap" w:sz="24" w:space="0" w:color="auto"/>
              <w:bottom w:val="single" w:sz="4" w:space="0" w:color="auto"/>
            </w:tcBorders>
            <w:tcMar>
              <w:left w:w="57" w:type="dxa"/>
              <w:right w:w="57" w:type="dxa"/>
            </w:tcMar>
          </w:tcPr>
          <w:p w14:paraId="59AEC38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f</w:t>
            </w:r>
          </w:p>
        </w:tc>
      </w:tr>
      <w:tr w:rsidR="00E036D3" w:rsidRPr="00FB38E1" w14:paraId="61808575" w14:textId="77777777" w:rsidTr="00836EF2">
        <w:tc>
          <w:tcPr>
            <w:tcW w:w="145" w:type="pct"/>
            <w:tcBorders>
              <w:bottom w:val="nil"/>
            </w:tcBorders>
            <w:tcMar>
              <w:left w:w="57" w:type="dxa"/>
              <w:right w:w="57" w:type="dxa"/>
            </w:tcMar>
            <w:vAlign w:val="bottom"/>
          </w:tcPr>
          <w:p w14:paraId="2BA3A780" w14:textId="77777777" w:rsidR="00E036D3" w:rsidRPr="00FB38E1" w:rsidRDefault="00E036D3" w:rsidP="00836EF2">
            <w:pPr>
              <w:jc w:val="right"/>
              <w:rPr>
                <w:rFonts w:ascii="Microsoft Sans Serif" w:hAnsi="Microsoft Sans Serif" w:cs="Microsoft Sans Serif"/>
                <w:sz w:val="14"/>
                <w:szCs w:val="14"/>
              </w:rPr>
            </w:pPr>
          </w:p>
        </w:tc>
        <w:tc>
          <w:tcPr>
            <w:tcW w:w="1570" w:type="pct"/>
            <w:tcBorders>
              <w:bottom w:val="nil"/>
            </w:tcBorders>
            <w:tcMar>
              <w:left w:w="57" w:type="dxa"/>
              <w:right w:w="57" w:type="dxa"/>
            </w:tcMar>
            <w:vAlign w:val="center"/>
          </w:tcPr>
          <w:p w14:paraId="405DAFD1" w14:textId="77777777" w:rsidR="00E036D3" w:rsidRPr="00FB38E1" w:rsidRDefault="00E036D3" w:rsidP="00836EF2">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Önceki Dönem</w:t>
            </w:r>
          </w:p>
        </w:tc>
        <w:tc>
          <w:tcPr>
            <w:tcW w:w="1095" w:type="pct"/>
            <w:gridSpan w:val="2"/>
            <w:tcBorders>
              <w:top w:val="single" w:sz="4" w:space="0" w:color="auto"/>
              <w:bottom w:val="single" w:sz="4" w:space="0" w:color="auto"/>
            </w:tcBorders>
            <w:tcMar>
              <w:left w:w="57" w:type="dxa"/>
              <w:right w:w="57" w:type="dxa"/>
            </w:tcMar>
            <w:vAlign w:val="bottom"/>
          </w:tcPr>
          <w:p w14:paraId="652EC85B"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Kredi dönüşüm oranı ve </w:t>
            </w:r>
          </w:p>
          <w:p w14:paraId="4EC9265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 riski azaltımından önce alacak tutarı</w:t>
            </w:r>
          </w:p>
        </w:tc>
        <w:tc>
          <w:tcPr>
            <w:tcW w:w="1096" w:type="pct"/>
            <w:gridSpan w:val="2"/>
            <w:tcBorders>
              <w:top w:val="single" w:sz="4" w:space="0" w:color="auto"/>
              <w:bottom w:val="single" w:sz="4" w:space="0" w:color="auto"/>
            </w:tcBorders>
            <w:tcMar>
              <w:left w:w="57" w:type="dxa"/>
              <w:right w:w="57" w:type="dxa"/>
            </w:tcMar>
            <w:vAlign w:val="bottom"/>
          </w:tcPr>
          <w:p w14:paraId="15CFFAC6"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Kredi dönüşüm oranı ve </w:t>
            </w:r>
          </w:p>
          <w:p w14:paraId="66D42F6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 riski azaltımından sonra alacak tutarı</w:t>
            </w:r>
          </w:p>
        </w:tc>
        <w:tc>
          <w:tcPr>
            <w:tcW w:w="1094" w:type="pct"/>
            <w:gridSpan w:val="2"/>
            <w:tcBorders>
              <w:top w:val="single" w:sz="4" w:space="0" w:color="auto"/>
              <w:bottom w:val="single" w:sz="4" w:space="0" w:color="auto"/>
            </w:tcBorders>
            <w:tcMar>
              <w:left w:w="57" w:type="dxa"/>
              <w:right w:w="57" w:type="dxa"/>
            </w:tcMar>
            <w:vAlign w:val="bottom"/>
          </w:tcPr>
          <w:p w14:paraId="752A97F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Risk ağırlıklı tutar </w:t>
            </w:r>
          </w:p>
          <w:p w14:paraId="7E13F47B"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 xml:space="preserve">ve </w:t>
            </w:r>
          </w:p>
          <w:p w14:paraId="5E96FD4E"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risk ağırlıklı tutar yoğunluğu</w:t>
            </w:r>
          </w:p>
        </w:tc>
      </w:tr>
      <w:tr w:rsidR="00E036D3" w:rsidRPr="00FB38E1" w14:paraId="1BFFCE0F" w14:textId="77777777" w:rsidTr="00836EF2">
        <w:tc>
          <w:tcPr>
            <w:tcW w:w="145" w:type="pct"/>
            <w:tcBorders>
              <w:top w:val="nil"/>
              <w:bottom w:val="single" w:sz="4" w:space="0" w:color="auto"/>
            </w:tcBorders>
            <w:tcMar>
              <w:left w:w="57" w:type="dxa"/>
              <w:right w:w="57" w:type="dxa"/>
            </w:tcMar>
            <w:vAlign w:val="bottom"/>
          </w:tcPr>
          <w:p w14:paraId="1A8CB777" w14:textId="77777777" w:rsidR="00E036D3" w:rsidRPr="00FB38E1" w:rsidRDefault="00E036D3" w:rsidP="00836EF2">
            <w:pPr>
              <w:jc w:val="right"/>
              <w:rPr>
                <w:rFonts w:ascii="Microsoft Sans Serif" w:hAnsi="Microsoft Sans Serif" w:cs="Microsoft Sans Serif"/>
                <w:sz w:val="14"/>
                <w:szCs w:val="14"/>
              </w:rPr>
            </w:pPr>
          </w:p>
        </w:tc>
        <w:tc>
          <w:tcPr>
            <w:tcW w:w="1570" w:type="pct"/>
            <w:tcBorders>
              <w:top w:val="nil"/>
              <w:bottom w:val="single" w:sz="4" w:space="0" w:color="auto"/>
            </w:tcBorders>
            <w:tcMar>
              <w:left w:w="57" w:type="dxa"/>
              <w:right w:w="57" w:type="dxa"/>
            </w:tcMar>
            <w:vAlign w:val="bottom"/>
          </w:tcPr>
          <w:p w14:paraId="23672188" w14:textId="77777777" w:rsidR="00E036D3" w:rsidRPr="00FB38E1" w:rsidRDefault="00E036D3" w:rsidP="00836EF2">
            <w:pPr>
              <w:rPr>
                <w:rFonts w:ascii="Microsoft Sans Serif" w:hAnsi="Microsoft Sans Serif" w:cs="Microsoft Sans Serif"/>
                <w:b/>
                <w:sz w:val="14"/>
                <w:szCs w:val="14"/>
              </w:rPr>
            </w:pPr>
            <w:r w:rsidRPr="00FB38E1">
              <w:rPr>
                <w:rFonts w:ascii="Microsoft Sans Serif" w:hAnsi="Microsoft Sans Serif" w:cs="Microsoft Sans Serif"/>
                <w:b/>
                <w:sz w:val="14"/>
                <w:szCs w:val="14"/>
              </w:rPr>
              <w:t>Risk sınıfları</w:t>
            </w:r>
          </w:p>
        </w:tc>
        <w:tc>
          <w:tcPr>
            <w:tcW w:w="547" w:type="pct"/>
            <w:tcBorders>
              <w:top w:val="single" w:sz="4" w:space="0" w:color="auto"/>
              <w:bottom w:val="single" w:sz="4" w:space="0" w:color="auto"/>
            </w:tcBorders>
            <w:tcMar>
              <w:left w:w="57" w:type="dxa"/>
              <w:right w:w="57" w:type="dxa"/>
            </w:tcMar>
            <w:vAlign w:val="bottom"/>
          </w:tcPr>
          <w:p w14:paraId="467E14F4"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6DF6B778"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dışı tutar</w:t>
            </w:r>
          </w:p>
        </w:tc>
        <w:tc>
          <w:tcPr>
            <w:tcW w:w="548" w:type="pct"/>
            <w:tcBorders>
              <w:top w:val="single" w:sz="4" w:space="0" w:color="auto"/>
              <w:bottom w:val="single" w:sz="4" w:space="0" w:color="auto"/>
            </w:tcBorders>
            <w:tcMar>
              <w:left w:w="57" w:type="dxa"/>
              <w:right w:w="57" w:type="dxa"/>
            </w:tcMar>
            <w:vAlign w:val="bottom"/>
          </w:tcPr>
          <w:p w14:paraId="2CE966D6"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içi tutar</w:t>
            </w:r>
          </w:p>
        </w:tc>
        <w:tc>
          <w:tcPr>
            <w:tcW w:w="548" w:type="pct"/>
            <w:tcBorders>
              <w:top w:val="single" w:sz="4" w:space="0" w:color="auto"/>
              <w:bottom w:val="single" w:sz="4" w:space="0" w:color="auto"/>
            </w:tcBorders>
            <w:tcMar>
              <w:left w:w="57" w:type="dxa"/>
              <w:right w:w="57" w:type="dxa"/>
            </w:tcMar>
            <w:vAlign w:val="bottom"/>
          </w:tcPr>
          <w:p w14:paraId="111AFD7B"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Bilanço dışı tutar</w:t>
            </w:r>
          </w:p>
        </w:tc>
        <w:tc>
          <w:tcPr>
            <w:tcW w:w="507" w:type="pct"/>
            <w:tcBorders>
              <w:top w:val="single" w:sz="4" w:space="0" w:color="auto"/>
              <w:bottom w:val="single" w:sz="4" w:space="0" w:color="auto"/>
            </w:tcBorders>
            <w:tcMar>
              <w:left w:w="57" w:type="dxa"/>
              <w:right w:w="57" w:type="dxa"/>
            </w:tcMar>
            <w:vAlign w:val="bottom"/>
          </w:tcPr>
          <w:p w14:paraId="537B1413"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Risk ağırlıklı tutar</w:t>
            </w:r>
          </w:p>
        </w:tc>
        <w:tc>
          <w:tcPr>
            <w:tcW w:w="587" w:type="pct"/>
            <w:tcBorders>
              <w:top w:val="single" w:sz="4" w:space="0" w:color="auto"/>
              <w:bottom w:val="single" w:sz="4" w:space="0" w:color="auto"/>
            </w:tcBorders>
            <w:tcMar>
              <w:left w:w="57" w:type="dxa"/>
              <w:right w:w="57" w:type="dxa"/>
            </w:tcMar>
            <w:vAlign w:val="bottom"/>
          </w:tcPr>
          <w:p w14:paraId="33BE062D"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Risk ağırlıklı tutar yoğunluğu</w:t>
            </w:r>
          </w:p>
        </w:tc>
      </w:tr>
      <w:tr w:rsidR="003B7A7D" w:rsidRPr="00FB38E1" w14:paraId="483787FA" w14:textId="77777777" w:rsidTr="00836EF2">
        <w:tc>
          <w:tcPr>
            <w:tcW w:w="145" w:type="pct"/>
            <w:tcBorders>
              <w:top w:val="single" w:sz="4" w:space="0" w:color="auto"/>
            </w:tcBorders>
            <w:tcMar>
              <w:left w:w="57" w:type="dxa"/>
              <w:right w:w="57" w:type="dxa"/>
            </w:tcMar>
          </w:tcPr>
          <w:p w14:paraId="3F90C388"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w:t>
            </w:r>
          </w:p>
        </w:tc>
        <w:tc>
          <w:tcPr>
            <w:tcW w:w="1570" w:type="pct"/>
            <w:tcBorders>
              <w:top w:val="single" w:sz="4" w:space="0" w:color="auto"/>
            </w:tcBorders>
            <w:tcMar>
              <w:left w:w="57" w:type="dxa"/>
              <w:right w:w="57" w:type="dxa"/>
            </w:tcMar>
          </w:tcPr>
          <w:p w14:paraId="2FAA0715"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Merkezi yönetimlerden veya merkez bankalarından alacaklar</w:t>
            </w:r>
          </w:p>
        </w:tc>
        <w:tc>
          <w:tcPr>
            <w:tcW w:w="547" w:type="pct"/>
            <w:tcBorders>
              <w:top w:val="single" w:sz="4" w:space="0" w:color="auto"/>
            </w:tcBorders>
            <w:shd w:val="clear" w:color="auto" w:fill="auto"/>
            <w:tcMar>
              <w:left w:w="57" w:type="dxa"/>
              <w:right w:w="57" w:type="dxa"/>
            </w:tcMar>
            <w:vAlign w:val="center"/>
          </w:tcPr>
          <w:p w14:paraId="28DE7FD4" w14:textId="7DE0121E"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278.233.611</w:t>
            </w:r>
          </w:p>
        </w:tc>
        <w:tc>
          <w:tcPr>
            <w:tcW w:w="548" w:type="pct"/>
            <w:tcBorders>
              <w:top w:val="single" w:sz="4" w:space="0" w:color="auto"/>
            </w:tcBorders>
            <w:shd w:val="clear" w:color="auto" w:fill="auto"/>
            <w:tcMar>
              <w:left w:w="57" w:type="dxa"/>
              <w:right w:w="57" w:type="dxa"/>
            </w:tcMar>
            <w:vAlign w:val="center"/>
          </w:tcPr>
          <w:p w14:paraId="7ADAC1A0" w14:textId="39A63A6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4.312.208</w:t>
            </w:r>
          </w:p>
        </w:tc>
        <w:tc>
          <w:tcPr>
            <w:tcW w:w="548" w:type="pct"/>
            <w:tcBorders>
              <w:top w:val="single" w:sz="4" w:space="0" w:color="auto"/>
            </w:tcBorders>
            <w:shd w:val="clear" w:color="auto" w:fill="auto"/>
            <w:tcMar>
              <w:left w:w="57" w:type="dxa"/>
              <w:right w:w="57" w:type="dxa"/>
            </w:tcMar>
            <w:vAlign w:val="center"/>
          </w:tcPr>
          <w:p w14:paraId="3543209F" w14:textId="4ADE85D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279.986.390</w:t>
            </w:r>
          </w:p>
        </w:tc>
        <w:tc>
          <w:tcPr>
            <w:tcW w:w="548" w:type="pct"/>
            <w:tcBorders>
              <w:top w:val="single" w:sz="4" w:space="0" w:color="auto"/>
            </w:tcBorders>
            <w:shd w:val="clear" w:color="auto" w:fill="auto"/>
            <w:tcMar>
              <w:left w:w="57" w:type="dxa"/>
              <w:right w:w="57" w:type="dxa"/>
            </w:tcMar>
            <w:vAlign w:val="center"/>
          </w:tcPr>
          <w:p w14:paraId="6B473339" w14:textId="734BFA2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4.499.841</w:t>
            </w:r>
          </w:p>
        </w:tc>
        <w:tc>
          <w:tcPr>
            <w:tcW w:w="507" w:type="pct"/>
            <w:tcBorders>
              <w:top w:val="single" w:sz="4" w:space="0" w:color="auto"/>
            </w:tcBorders>
            <w:shd w:val="clear" w:color="auto" w:fill="auto"/>
            <w:tcMar>
              <w:left w:w="57" w:type="dxa"/>
              <w:right w:w="57" w:type="dxa"/>
            </w:tcMar>
            <w:vAlign w:val="center"/>
          </w:tcPr>
          <w:p w14:paraId="25850C24" w14:textId="40A4279E"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tcBorders>
              <w:top w:val="single" w:sz="4" w:space="0" w:color="auto"/>
            </w:tcBorders>
            <w:shd w:val="clear" w:color="auto" w:fill="auto"/>
            <w:tcMar>
              <w:left w:w="57" w:type="dxa"/>
              <w:right w:w="57" w:type="dxa"/>
            </w:tcMar>
            <w:vAlign w:val="center"/>
          </w:tcPr>
          <w:p w14:paraId="7C2F936C" w14:textId="6D1E4AD3"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B7A7D" w:rsidRPr="00FB38E1" w14:paraId="74A26B75" w14:textId="77777777" w:rsidTr="00836EF2">
        <w:tc>
          <w:tcPr>
            <w:tcW w:w="145" w:type="pct"/>
            <w:tcMar>
              <w:left w:w="57" w:type="dxa"/>
              <w:right w:w="57" w:type="dxa"/>
            </w:tcMar>
          </w:tcPr>
          <w:p w14:paraId="15685179"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1570" w:type="pct"/>
            <w:tcMar>
              <w:left w:w="57" w:type="dxa"/>
              <w:right w:w="57" w:type="dxa"/>
            </w:tcMar>
          </w:tcPr>
          <w:p w14:paraId="5E0A45A7"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Bölgesel yönetimlerden veya yerel yönetimlerden alacaklar</w:t>
            </w:r>
          </w:p>
        </w:tc>
        <w:tc>
          <w:tcPr>
            <w:tcW w:w="547" w:type="pct"/>
            <w:shd w:val="clear" w:color="auto" w:fill="auto"/>
            <w:tcMar>
              <w:left w:w="57" w:type="dxa"/>
              <w:right w:w="57" w:type="dxa"/>
            </w:tcMar>
            <w:vAlign w:val="center"/>
          </w:tcPr>
          <w:p w14:paraId="4B1F086F" w14:textId="54339D80"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2.997.581</w:t>
            </w:r>
          </w:p>
        </w:tc>
        <w:tc>
          <w:tcPr>
            <w:tcW w:w="548" w:type="pct"/>
            <w:shd w:val="clear" w:color="auto" w:fill="auto"/>
            <w:tcMar>
              <w:left w:w="57" w:type="dxa"/>
              <w:right w:w="57" w:type="dxa"/>
            </w:tcMar>
            <w:vAlign w:val="center"/>
          </w:tcPr>
          <w:p w14:paraId="00937254" w14:textId="144A4687"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1.137.836</w:t>
            </w:r>
          </w:p>
        </w:tc>
        <w:tc>
          <w:tcPr>
            <w:tcW w:w="548" w:type="pct"/>
            <w:shd w:val="clear" w:color="auto" w:fill="auto"/>
            <w:tcMar>
              <w:left w:w="57" w:type="dxa"/>
              <w:right w:w="57" w:type="dxa"/>
            </w:tcMar>
            <w:vAlign w:val="center"/>
          </w:tcPr>
          <w:p w14:paraId="3395B87D" w14:textId="57224F38"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2.943.370</w:t>
            </w:r>
          </w:p>
        </w:tc>
        <w:tc>
          <w:tcPr>
            <w:tcW w:w="548" w:type="pct"/>
            <w:shd w:val="clear" w:color="auto" w:fill="auto"/>
            <w:tcMar>
              <w:left w:w="57" w:type="dxa"/>
              <w:right w:w="57" w:type="dxa"/>
            </w:tcMar>
            <w:vAlign w:val="center"/>
          </w:tcPr>
          <w:p w14:paraId="11D36131" w14:textId="4C222898"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563.219</w:t>
            </w:r>
          </w:p>
        </w:tc>
        <w:tc>
          <w:tcPr>
            <w:tcW w:w="507" w:type="pct"/>
            <w:shd w:val="clear" w:color="auto" w:fill="auto"/>
            <w:tcMar>
              <w:left w:w="57" w:type="dxa"/>
              <w:right w:w="57" w:type="dxa"/>
            </w:tcMar>
            <w:vAlign w:val="center"/>
          </w:tcPr>
          <w:p w14:paraId="7544423E" w14:textId="15A208B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4.007.802</w:t>
            </w:r>
          </w:p>
        </w:tc>
        <w:tc>
          <w:tcPr>
            <w:tcW w:w="587" w:type="pct"/>
            <w:shd w:val="clear" w:color="auto" w:fill="auto"/>
            <w:tcMar>
              <w:left w:w="57" w:type="dxa"/>
              <w:right w:w="57" w:type="dxa"/>
            </w:tcMar>
            <w:vAlign w:val="center"/>
          </w:tcPr>
          <w:p w14:paraId="56AE37E0" w14:textId="321DA3B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%114,29</w:t>
            </w:r>
          </w:p>
        </w:tc>
      </w:tr>
      <w:tr w:rsidR="003B7A7D" w:rsidRPr="00FB38E1" w14:paraId="28D1CEE3" w14:textId="77777777" w:rsidTr="00836EF2">
        <w:tc>
          <w:tcPr>
            <w:tcW w:w="145" w:type="pct"/>
            <w:tcMar>
              <w:left w:w="57" w:type="dxa"/>
              <w:right w:w="57" w:type="dxa"/>
            </w:tcMar>
          </w:tcPr>
          <w:p w14:paraId="1601549A"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1570" w:type="pct"/>
            <w:tcMar>
              <w:left w:w="57" w:type="dxa"/>
              <w:right w:w="57" w:type="dxa"/>
            </w:tcMar>
          </w:tcPr>
          <w:p w14:paraId="4C175D67"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İdari birimlerden veya ticari olmayan girişimlerden alacaklar</w:t>
            </w:r>
          </w:p>
        </w:tc>
        <w:tc>
          <w:tcPr>
            <w:tcW w:w="547" w:type="pct"/>
            <w:shd w:val="clear" w:color="auto" w:fill="auto"/>
            <w:tcMar>
              <w:left w:w="57" w:type="dxa"/>
              <w:right w:w="57" w:type="dxa"/>
            </w:tcMar>
            <w:vAlign w:val="center"/>
          </w:tcPr>
          <w:p w14:paraId="376720DE" w14:textId="2D21595E"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6.145.524</w:t>
            </w:r>
          </w:p>
        </w:tc>
        <w:tc>
          <w:tcPr>
            <w:tcW w:w="548" w:type="pct"/>
            <w:shd w:val="clear" w:color="auto" w:fill="auto"/>
            <w:tcMar>
              <w:left w:w="57" w:type="dxa"/>
              <w:right w:w="57" w:type="dxa"/>
            </w:tcMar>
            <w:vAlign w:val="center"/>
          </w:tcPr>
          <w:p w14:paraId="0A64C66F" w14:textId="6379E7B5"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2.424.840</w:t>
            </w:r>
          </w:p>
        </w:tc>
        <w:tc>
          <w:tcPr>
            <w:tcW w:w="548" w:type="pct"/>
            <w:shd w:val="clear" w:color="auto" w:fill="auto"/>
            <w:tcMar>
              <w:left w:w="57" w:type="dxa"/>
              <w:right w:w="57" w:type="dxa"/>
            </w:tcMar>
            <w:vAlign w:val="center"/>
          </w:tcPr>
          <w:p w14:paraId="571D455F" w14:textId="5E61448A"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6.145.524</w:t>
            </w:r>
          </w:p>
        </w:tc>
        <w:tc>
          <w:tcPr>
            <w:tcW w:w="548" w:type="pct"/>
            <w:shd w:val="clear" w:color="auto" w:fill="auto"/>
            <w:tcMar>
              <w:left w:w="57" w:type="dxa"/>
              <w:right w:w="57" w:type="dxa"/>
            </w:tcMar>
            <w:vAlign w:val="center"/>
          </w:tcPr>
          <w:p w14:paraId="18FB3E6E" w14:textId="18B431D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1.189.337</w:t>
            </w:r>
          </w:p>
        </w:tc>
        <w:tc>
          <w:tcPr>
            <w:tcW w:w="507" w:type="pct"/>
            <w:shd w:val="clear" w:color="auto" w:fill="auto"/>
            <w:tcMar>
              <w:left w:w="57" w:type="dxa"/>
              <w:right w:w="57" w:type="dxa"/>
            </w:tcMar>
            <w:vAlign w:val="center"/>
          </w:tcPr>
          <w:p w14:paraId="7996D188" w14:textId="1C32C089"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7.334.860</w:t>
            </w:r>
          </w:p>
        </w:tc>
        <w:tc>
          <w:tcPr>
            <w:tcW w:w="587" w:type="pct"/>
            <w:shd w:val="clear" w:color="auto" w:fill="auto"/>
            <w:tcMar>
              <w:left w:w="57" w:type="dxa"/>
              <w:right w:w="57" w:type="dxa"/>
            </w:tcMar>
            <w:vAlign w:val="center"/>
          </w:tcPr>
          <w:p w14:paraId="29F14ADD" w14:textId="42EA95E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%100,00</w:t>
            </w:r>
          </w:p>
        </w:tc>
      </w:tr>
      <w:tr w:rsidR="003B7A7D" w:rsidRPr="00FB38E1" w14:paraId="514FDE5C" w14:textId="77777777" w:rsidTr="00836EF2">
        <w:tc>
          <w:tcPr>
            <w:tcW w:w="145" w:type="pct"/>
            <w:tcMar>
              <w:left w:w="57" w:type="dxa"/>
              <w:right w:w="57" w:type="dxa"/>
            </w:tcMar>
          </w:tcPr>
          <w:p w14:paraId="13FAA2B3"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4</w:t>
            </w:r>
          </w:p>
        </w:tc>
        <w:tc>
          <w:tcPr>
            <w:tcW w:w="1570" w:type="pct"/>
            <w:tcMar>
              <w:left w:w="57" w:type="dxa"/>
              <w:right w:w="57" w:type="dxa"/>
            </w:tcMar>
          </w:tcPr>
          <w:p w14:paraId="11406467"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Çok taraflı kalkınma bankalarından alacaklar</w:t>
            </w:r>
          </w:p>
        </w:tc>
        <w:tc>
          <w:tcPr>
            <w:tcW w:w="547" w:type="pct"/>
            <w:shd w:val="clear" w:color="auto" w:fill="auto"/>
            <w:tcMar>
              <w:left w:w="57" w:type="dxa"/>
              <w:right w:w="57" w:type="dxa"/>
            </w:tcMar>
            <w:vAlign w:val="center"/>
          </w:tcPr>
          <w:p w14:paraId="6E587FCF" w14:textId="4F836739"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542C1179" w14:textId="68E4C04E"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39A730BD" w14:textId="1877C81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5E059E12" w14:textId="6148582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188E0975" w14:textId="4BE65A5A"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shd w:val="clear" w:color="auto" w:fill="auto"/>
            <w:tcMar>
              <w:left w:w="57" w:type="dxa"/>
              <w:right w:w="57" w:type="dxa"/>
            </w:tcMar>
            <w:vAlign w:val="center"/>
          </w:tcPr>
          <w:p w14:paraId="1C0D9D15" w14:textId="2ACB012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B7A7D" w:rsidRPr="00FB38E1" w14:paraId="168E6510" w14:textId="77777777" w:rsidTr="00836EF2">
        <w:tc>
          <w:tcPr>
            <w:tcW w:w="145" w:type="pct"/>
            <w:tcMar>
              <w:left w:w="57" w:type="dxa"/>
              <w:right w:w="57" w:type="dxa"/>
            </w:tcMar>
          </w:tcPr>
          <w:p w14:paraId="00123DF3"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5</w:t>
            </w:r>
          </w:p>
        </w:tc>
        <w:tc>
          <w:tcPr>
            <w:tcW w:w="1570" w:type="pct"/>
            <w:tcMar>
              <w:left w:w="57" w:type="dxa"/>
              <w:right w:w="57" w:type="dxa"/>
            </w:tcMar>
          </w:tcPr>
          <w:p w14:paraId="56DF548A"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Uluslararası teşkilatlardan alacaklar</w:t>
            </w:r>
          </w:p>
        </w:tc>
        <w:tc>
          <w:tcPr>
            <w:tcW w:w="547" w:type="pct"/>
            <w:shd w:val="clear" w:color="auto" w:fill="auto"/>
            <w:tcMar>
              <w:left w:w="57" w:type="dxa"/>
              <w:right w:w="57" w:type="dxa"/>
            </w:tcMar>
            <w:vAlign w:val="center"/>
          </w:tcPr>
          <w:p w14:paraId="50BB13FD" w14:textId="1C150EA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33FAC0EE" w14:textId="4BD3FDA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35C83324" w14:textId="613B817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5C5ECD42" w14:textId="2D9F708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3BF54D5F" w14:textId="6DEBCCC9"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shd w:val="clear" w:color="auto" w:fill="auto"/>
            <w:tcMar>
              <w:left w:w="57" w:type="dxa"/>
              <w:right w:w="57" w:type="dxa"/>
            </w:tcMar>
            <w:vAlign w:val="center"/>
          </w:tcPr>
          <w:p w14:paraId="4CA5FAAC" w14:textId="73953F7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B7A7D" w:rsidRPr="00FB38E1" w14:paraId="3C9E8D3C" w14:textId="77777777" w:rsidTr="00836EF2">
        <w:tc>
          <w:tcPr>
            <w:tcW w:w="145" w:type="pct"/>
            <w:tcMar>
              <w:left w:w="57" w:type="dxa"/>
              <w:right w:w="57" w:type="dxa"/>
            </w:tcMar>
          </w:tcPr>
          <w:p w14:paraId="6FC7E2B6"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6</w:t>
            </w:r>
          </w:p>
        </w:tc>
        <w:tc>
          <w:tcPr>
            <w:tcW w:w="1570" w:type="pct"/>
            <w:tcMar>
              <w:left w:w="57" w:type="dxa"/>
              <w:right w:w="57" w:type="dxa"/>
            </w:tcMar>
          </w:tcPr>
          <w:p w14:paraId="62516065"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Bankalardan ve aracı kurumlardan alacaklar</w:t>
            </w:r>
          </w:p>
        </w:tc>
        <w:tc>
          <w:tcPr>
            <w:tcW w:w="547" w:type="pct"/>
            <w:shd w:val="clear" w:color="auto" w:fill="auto"/>
            <w:tcMar>
              <w:left w:w="57" w:type="dxa"/>
              <w:right w:w="57" w:type="dxa"/>
            </w:tcMar>
            <w:vAlign w:val="center"/>
          </w:tcPr>
          <w:p w14:paraId="66EBDB54" w14:textId="536A6417"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68.853.111</w:t>
            </w:r>
          </w:p>
        </w:tc>
        <w:tc>
          <w:tcPr>
            <w:tcW w:w="548" w:type="pct"/>
            <w:shd w:val="clear" w:color="auto" w:fill="auto"/>
            <w:tcMar>
              <w:left w:w="57" w:type="dxa"/>
              <w:right w:w="57" w:type="dxa"/>
            </w:tcMar>
            <w:vAlign w:val="center"/>
          </w:tcPr>
          <w:p w14:paraId="014A2127" w14:textId="04C66BC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7.836.138</w:t>
            </w:r>
          </w:p>
        </w:tc>
        <w:tc>
          <w:tcPr>
            <w:tcW w:w="548" w:type="pct"/>
            <w:shd w:val="clear" w:color="auto" w:fill="auto"/>
            <w:tcMar>
              <w:left w:w="57" w:type="dxa"/>
              <w:right w:w="57" w:type="dxa"/>
            </w:tcMar>
            <w:vAlign w:val="center"/>
          </w:tcPr>
          <w:p w14:paraId="13E67D68" w14:textId="3E7ED52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68.853.111</w:t>
            </w:r>
          </w:p>
        </w:tc>
        <w:tc>
          <w:tcPr>
            <w:tcW w:w="548" w:type="pct"/>
            <w:shd w:val="clear" w:color="auto" w:fill="auto"/>
            <w:tcMar>
              <w:left w:w="57" w:type="dxa"/>
              <w:right w:w="57" w:type="dxa"/>
            </w:tcMar>
            <w:vAlign w:val="center"/>
          </w:tcPr>
          <w:p w14:paraId="0C65C704" w14:textId="5179E63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6.994.701</w:t>
            </w:r>
          </w:p>
        </w:tc>
        <w:tc>
          <w:tcPr>
            <w:tcW w:w="507" w:type="pct"/>
            <w:shd w:val="clear" w:color="auto" w:fill="auto"/>
            <w:tcMar>
              <w:left w:w="57" w:type="dxa"/>
              <w:right w:w="57" w:type="dxa"/>
            </w:tcMar>
            <w:vAlign w:val="center"/>
          </w:tcPr>
          <w:p w14:paraId="3790A754" w14:textId="0128350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11.207.693</w:t>
            </w:r>
          </w:p>
        </w:tc>
        <w:tc>
          <w:tcPr>
            <w:tcW w:w="587" w:type="pct"/>
            <w:shd w:val="clear" w:color="auto" w:fill="auto"/>
            <w:tcMar>
              <w:left w:w="57" w:type="dxa"/>
              <w:right w:w="57" w:type="dxa"/>
            </w:tcMar>
            <w:vAlign w:val="center"/>
          </w:tcPr>
          <w:p w14:paraId="43700C8E" w14:textId="481215B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%14,78</w:t>
            </w:r>
          </w:p>
        </w:tc>
      </w:tr>
      <w:tr w:rsidR="003B7A7D" w:rsidRPr="00FB38E1" w14:paraId="1C258D4E" w14:textId="77777777" w:rsidTr="00836EF2">
        <w:tc>
          <w:tcPr>
            <w:tcW w:w="145" w:type="pct"/>
            <w:tcMar>
              <w:left w:w="57" w:type="dxa"/>
              <w:right w:w="57" w:type="dxa"/>
            </w:tcMar>
          </w:tcPr>
          <w:p w14:paraId="299D14FC"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7</w:t>
            </w:r>
          </w:p>
        </w:tc>
        <w:tc>
          <w:tcPr>
            <w:tcW w:w="1570" w:type="pct"/>
            <w:tcMar>
              <w:left w:w="57" w:type="dxa"/>
              <w:right w:w="57" w:type="dxa"/>
            </w:tcMar>
          </w:tcPr>
          <w:p w14:paraId="0A3AC764"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Kurumsal alacaklar</w:t>
            </w:r>
          </w:p>
        </w:tc>
        <w:tc>
          <w:tcPr>
            <w:tcW w:w="547" w:type="pct"/>
            <w:shd w:val="clear" w:color="auto" w:fill="auto"/>
            <w:tcMar>
              <w:left w:w="57" w:type="dxa"/>
              <w:right w:w="57" w:type="dxa"/>
            </w:tcMar>
            <w:vAlign w:val="center"/>
          </w:tcPr>
          <w:p w14:paraId="0BFFF184" w14:textId="24F37C0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141.756.186</w:t>
            </w:r>
          </w:p>
        </w:tc>
        <w:tc>
          <w:tcPr>
            <w:tcW w:w="548" w:type="pct"/>
            <w:shd w:val="clear" w:color="auto" w:fill="auto"/>
            <w:tcMar>
              <w:left w:w="57" w:type="dxa"/>
              <w:right w:w="57" w:type="dxa"/>
            </w:tcMar>
            <w:vAlign w:val="center"/>
          </w:tcPr>
          <w:p w14:paraId="74E1128B" w14:textId="69CDF1A4"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109.163.404</w:t>
            </w:r>
          </w:p>
        </w:tc>
        <w:tc>
          <w:tcPr>
            <w:tcW w:w="548" w:type="pct"/>
            <w:shd w:val="clear" w:color="auto" w:fill="auto"/>
            <w:tcMar>
              <w:left w:w="57" w:type="dxa"/>
              <w:right w:w="57" w:type="dxa"/>
            </w:tcMar>
            <w:vAlign w:val="center"/>
          </w:tcPr>
          <w:p w14:paraId="7991442C" w14:textId="74545797"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124.246.635</w:t>
            </w:r>
          </w:p>
        </w:tc>
        <w:tc>
          <w:tcPr>
            <w:tcW w:w="548" w:type="pct"/>
            <w:shd w:val="clear" w:color="auto" w:fill="auto"/>
            <w:tcMar>
              <w:left w:w="57" w:type="dxa"/>
              <w:right w:w="57" w:type="dxa"/>
            </w:tcMar>
            <w:vAlign w:val="center"/>
          </w:tcPr>
          <w:p w14:paraId="54F1388E" w14:textId="41F8789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58.350.328</w:t>
            </w:r>
          </w:p>
        </w:tc>
        <w:tc>
          <w:tcPr>
            <w:tcW w:w="507" w:type="pct"/>
            <w:shd w:val="clear" w:color="auto" w:fill="auto"/>
            <w:tcMar>
              <w:left w:w="57" w:type="dxa"/>
              <w:right w:w="57" w:type="dxa"/>
            </w:tcMar>
            <w:vAlign w:val="center"/>
          </w:tcPr>
          <w:p w14:paraId="45138111" w14:textId="22001EC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199.066.477</w:t>
            </w:r>
          </w:p>
        </w:tc>
        <w:tc>
          <w:tcPr>
            <w:tcW w:w="587" w:type="pct"/>
            <w:shd w:val="clear" w:color="auto" w:fill="auto"/>
            <w:tcMar>
              <w:left w:w="57" w:type="dxa"/>
              <w:right w:w="57" w:type="dxa"/>
            </w:tcMar>
            <w:vAlign w:val="center"/>
          </w:tcPr>
          <w:p w14:paraId="184B4F15" w14:textId="16B1E1F8"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%109,02</w:t>
            </w:r>
          </w:p>
        </w:tc>
      </w:tr>
      <w:tr w:rsidR="003B7A7D" w:rsidRPr="00FB38E1" w14:paraId="11C98D78" w14:textId="77777777" w:rsidTr="00836EF2">
        <w:tc>
          <w:tcPr>
            <w:tcW w:w="145" w:type="pct"/>
            <w:tcMar>
              <w:left w:w="57" w:type="dxa"/>
              <w:right w:w="57" w:type="dxa"/>
            </w:tcMar>
          </w:tcPr>
          <w:p w14:paraId="67AAB769"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8</w:t>
            </w:r>
          </w:p>
        </w:tc>
        <w:tc>
          <w:tcPr>
            <w:tcW w:w="1570" w:type="pct"/>
            <w:tcMar>
              <w:left w:w="57" w:type="dxa"/>
              <w:right w:w="57" w:type="dxa"/>
            </w:tcMar>
          </w:tcPr>
          <w:p w14:paraId="1B4B1B54"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Perakende alacaklar</w:t>
            </w:r>
          </w:p>
        </w:tc>
        <w:tc>
          <w:tcPr>
            <w:tcW w:w="547" w:type="pct"/>
            <w:shd w:val="clear" w:color="auto" w:fill="auto"/>
            <w:tcMar>
              <w:left w:w="57" w:type="dxa"/>
              <w:right w:w="57" w:type="dxa"/>
            </w:tcMar>
            <w:vAlign w:val="center"/>
          </w:tcPr>
          <w:p w14:paraId="2B641360" w14:textId="67E8984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212.413.513</w:t>
            </w:r>
          </w:p>
        </w:tc>
        <w:tc>
          <w:tcPr>
            <w:tcW w:w="548" w:type="pct"/>
            <w:shd w:val="clear" w:color="auto" w:fill="auto"/>
            <w:tcMar>
              <w:left w:w="57" w:type="dxa"/>
              <w:right w:w="57" w:type="dxa"/>
            </w:tcMar>
            <w:vAlign w:val="center"/>
          </w:tcPr>
          <w:p w14:paraId="394803A5" w14:textId="3FF463E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362.783.188</w:t>
            </w:r>
          </w:p>
        </w:tc>
        <w:tc>
          <w:tcPr>
            <w:tcW w:w="548" w:type="pct"/>
            <w:shd w:val="clear" w:color="auto" w:fill="auto"/>
            <w:tcMar>
              <w:left w:w="57" w:type="dxa"/>
              <w:right w:w="57" w:type="dxa"/>
            </w:tcMar>
            <w:vAlign w:val="center"/>
          </w:tcPr>
          <w:p w14:paraId="1AC0AC82" w14:textId="1E015D30"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205.670.177</w:t>
            </w:r>
          </w:p>
        </w:tc>
        <w:tc>
          <w:tcPr>
            <w:tcW w:w="548" w:type="pct"/>
            <w:shd w:val="clear" w:color="auto" w:fill="auto"/>
            <w:tcMar>
              <w:left w:w="57" w:type="dxa"/>
              <w:right w:w="57" w:type="dxa"/>
            </w:tcMar>
            <w:vAlign w:val="center"/>
          </w:tcPr>
          <w:p w14:paraId="6CA6A95A" w14:textId="5DFEC200"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12.899.490</w:t>
            </w:r>
          </w:p>
        </w:tc>
        <w:tc>
          <w:tcPr>
            <w:tcW w:w="507" w:type="pct"/>
            <w:shd w:val="clear" w:color="auto" w:fill="auto"/>
            <w:tcMar>
              <w:left w:w="57" w:type="dxa"/>
              <w:right w:w="57" w:type="dxa"/>
            </w:tcMar>
            <w:vAlign w:val="center"/>
          </w:tcPr>
          <w:p w14:paraId="50BBCF64" w14:textId="77C12B9A"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246.530.230</w:t>
            </w:r>
          </w:p>
        </w:tc>
        <w:tc>
          <w:tcPr>
            <w:tcW w:w="587" w:type="pct"/>
            <w:shd w:val="clear" w:color="auto" w:fill="auto"/>
            <w:tcMar>
              <w:left w:w="57" w:type="dxa"/>
              <w:right w:w="57" w:type="dxa"/>
            </w:tcMar>
            <w:vAlign w:val="center"/>
          </w:tcPr>
          <w:p w14:paraId="5010062B" w14:textId="08C95EF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%112,79</w:t>
            </w:r>
          </w:p>
        </w:tc>
      </w:tr>
      <w:tr w:rsidR="003B7A7D" w:rsidRPr="00FB38E1" w14:paraId="42D33922" w14:textId="77777777" w:rsidTr="00836EF2">
        <w:tc>
          <w:tcPr>
            <w:tcW w:w="145" w:type="pct"/>
            <w:tcMar>
              <w:left w:w="57" w:type="dxa"/>
              <w:right w:w="57" w:type="dxa"/>
            </w:tcMar>
          </w:tcPr>
          <w:p w14:paraId="7C44F301"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9</w:t>
            </w:r>
          </w:p>
        </w:tc>
        <w:tc>
          <w:tcPr>
            <w:tcW w:w="1570" w:type="pct"/>
            <w:tcMar>
              <w:left w:w="57" w:type="dxa"/>
              <w:right w:w="57" w:type="dxa"/>
            </w:tcMar>
          </w:tcPr>
          <w:p w14:paraId="7C2B7953"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İkamet amaçlı gayrimenkul ipoteği ile teminatlandırılan alacaklar</w:t>
            </w:r>
          </w:p>
        </w:tc>
        <w:tc>
          <w:tcPr>
            <w:tcW w:w="547" w:type="pct"/>
            <w:shd w:val="clear" w:color="auto" w:fill="auto"/>
            <w:tcMar>
              <w:left w:w="57" w:type="dxa"/>
              <w:right w:w="57" w:type="dxa"/>
            </w:tcMar>
            <w:vAlign w:val="center"/>
          </w:tcPr>
          <w:p w14:paraId="2ADA710C" w14:textId="331F553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9.805.390</w:t>
            </w:r>
          </w:p>
        </w:tc>
        <w:tc>
          <w:tcPr>
            <w:tcW w:w="548" w:type="pct"/>
            <w:shd w:val="clear" w:color="auto" w:fill="auto"/>
            <w:tcMar>
              <w:left w:w="57" w:type="dxa"/>
              <w:right w:w="57" w:type="dxa"/>
            </w:tcMar>
            <w:vAlign w:val="center"/>
          </w:tcPr>
          <w:p w14:paraId="192F91A2" w14:textId="27B3435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2.996.060</w:t>
            </w:r>
          </w:p>
        </w:tc>
        <w:tc>
          <w:tcPr>
            <w:tcW w:w="548" w:type="pct"/>
            <w:shd w:val="clear" w:color="auto" w:fill="auto"/>
            <w:tcMar>
              <w:left w:w="57" w:type="dxa"/>
              <w:right w:w="57" w:type="dxa"/>
            </w:tcMar>
            <w:vAlign w:val="center"/>
          </w:tcPr>
          <w:p w14:paraId="50F2B723" w14:textId="46499FD4"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9.545.623</w:t>
            </w:r>
          </w:p>
        </w:tc>
        <w:tc>
          <w:tcPr>
            <w:tcW w:w="548" w:type="pct"/>
            <w:shd w:val="clear" w:color="auto" w:fill="auto"/>
            <w:tcMar>
              <w:left w:w="57" w:type="dxa"/>
              <w:right w:w="57" w:type="dxa"/>
            </w:tcMar>
            <w:vAlign w:val="center"/>
          </w:tcPr>
          <w:p w14:paraId="0A6897E7" w14:textId="439510EA"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1.501.728</w:t>
            </w:r>
          </w:p>
        </w:tc>
        <w:tc>
          <w:tcPr>
            <w:tcW w:w="507" w:type="pct"/>
            <w:shd w:val="clear" w:color="auto" w:fill="auto"/>
            <w:tcMar>
              <w:left w:w="57" w:type="dxa"/>
              <w:right w:w="57" w:type="dxa"/>
            </w:tcMar>
            <w:vAlign w:val="center"/>
          </w:tcPr>
          <w:p w14:paraId="699838C1" w14:textId="2447D2B9"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4.276.087</w:t>
            </w:r>
          </w:p>
        </w:tc>
        <w:tc>
          <w:tcPr>
            <w:tcW w:w="587" w:type="pct"/>
            <w:shd w:val="clear" w:color="auto" w:fill="auto"/>
            <w:tcMar>
              <w:left w:w="57" w:type="dxa"/>
              <w:right w:w="57" w:type="dxa"/>
            </w:tcMar>
            <w:vAlign w:val="center"/>
          </w:tcPr>
          <w:p w14:paraId="0FC63B07" w14:textId="2C06A9D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%38,71</w:t>
            </w:r>
          </w:p>
        </w:tc>
      </w:tr>
      <w:tr w:rsidR="003B7A7D" w:rsidRPr="00FB38E1" w14:paraId="6A1C5F91" w14:textId="77777777" w:rsidTr="00836EF2">
        <w:tc>
          <w:tcPr>
            <w:tcW w:w="145" w:type="pct"/>
            <w:tcMar>
              <w:left w:w="57" w:type="dxa"/>
              <w:right w:w="57" w:type="dxa"/>
            </w:tcMar>
          </w:tcPr>
          <w:p w14:paraId="3C43B308"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10</w:t>
            </w:r>
          </w:p>
        </w:tc>
        <w:tc>
          <w:tcPr>
            <w:tcW w:w="1570" w:type="pct"/>
            <w:tcMar>
              <w:left w:w="57" w:type="dxa"/>
              <w:right w:w="57" w:type="dxa"/>
            </w:tcMar>
          </w:tcPr>
          <w:p w14:paraId="0C38000B"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Ticari amaçlı gayrimenkul ipoteği ile teminatlandırılan alacaklar</w:t>
            </w:r>
          </w:p>
        </w:tc>
        <w:tc>
          <w:tcPr>
            <w:tcW w:w="547" w:type="pct"/>
            <w:shd w:val="clear" w:color="auto" w:fill="auto"/>
            <w:tcMar>
              <w:left w:w="57" w:type="dxa"/>
              <w:right w:w="57" w:type="dxa"/>
            </w:tcMar>
            <w:vAlign w:val="center"/>
          </w:tcPr>
          <w:p w14:paraId="5B665A12" w14:textId="20B0862A"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32.416.182</w:t>
            </w:r>
          </w:p>
        </w:tc>
        <w:tc>
          <w:tcPr>
            <w:tcW w:w="548" w:type="pct"/>
            <w:shd w:val="clear" w:color="auto" w:fill="auto"/>
            <w:tcMar>
              <w:left w:w="57" w:type="dxa"/>
              <w:right w:w="57" w:type="dxa"/>
            </w:tcMar>
            <w:vAlign w:val="center"/>
          </w:tcPr>
          <w:p w14:paraId="009A4799" w14:textId="3B8C6B7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6.710.780</w:t>
            </w:r>
          </w:p>
        </w:tc>
        <w:tc>
          <w:tcPr>
            <w:tcW w:w="548" w:type="pct"/>
            <w:shd w:val="clear" w:color="auto" w:fill="auto"/>
            <w:tcMar>
              <w:left w:w="57" w:type="dxa"/>
              <w:right w:w="57" w:type="dxa"/>
            </w:tcMar>
            <w:vAlign w:val="center"/>
          </w:tcPr>
          <w:p w14:paraId="39B97101" w14:textId="60ED91F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32.416.182</w:t>
            </w:r>
          </w:p>
        </w:tc>
        <w:tc>
          <w:tcPr>
            <w:tcW w:w="548" w:type="pct"/>
            <w:shd w:val="clear" w:color="auto" w:fill="auto"/>
            <w:tcMar>
              <w:left w:w="57" w:type="dxa"/>
              <w:right w:w="57" w:type="dxa"/>
            </w:tcMar>
            <w:vAlign w:val="center"/>
          </w:tcPr>
          <w:p w14:paraId="1A310497" w14:textId="29A63493"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4.182.081</w:t>
            </w:r>
          </w:p>
        </w:tc>
        <w:tc>
          <w:tcPr>
            <w:tcW w:w="507" w:type="pct"/>
            <w:shd w:val="clear" w:color="auto" w:fill="auto"/>
            <w:tcMar>
              <w:left w:w="57" w:type="dxa"/>
              <w:right w:w="57" w:type="dxa"/>
            </w:tcMar>
            <w:vAlign w:val="center"/>
          </w:tcPr>
          <w:p w14:paraId="6589CFE6" w14:textId="560B0437"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21.324.649</w:t>
            </w:r>
          </w:p>
        </w:tc>
        <w:tc>
          <w:tcPr>
            <w:tcW w:w="587" w:type="pct"/>
            <w:shd w:val="clear" w:color="auto" w:fill="auto"/>
            <w:tcMar>
              <w:left w:w="57" w:type="dxa"/>
              <w:right w:w="57" w:type="dxa"/>
            </w:tcMar>
            <w:vAlign w:val="center"/>
          </w:tcPr>
          <w:p w14:paraId="72F9897C" w14:textId="407AC1B8"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%58,27</w:t>
            </w:r>
          </w:p>
        </w:tc>
      </w:tr>
      <w:tr w:rsidR="003B7A7D" w:rsidRPr="00FB38E1" w14:paraId="4A48378E" w14:textId="77777777" w:rsidTr="00836EF2">
        <w:tc>
          <w:tcPr>
            <w:tcW w:w="145" w:type="pct"/>
            <w:tcMar>
              <w:left w:w="57" w:type="dxa"/>
              <w:right w:w="57" w:type="dxa"/>
            </w:tcMar>
          </w:tcPr>
          <w:p w14:paraId="5D8B31E3"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11</w:t>
            </w:r>
          </w:p>
        </w:tc>
        <w:tc>
          <w:tcPr>
            <w:tcW w:w="1570" w:type="pct"/>
            <w:tcMar>
              <w:left w:w="57" w:type="dxa"/>
              <w:right w:w="57" w:type="dxa"/>
            </w:tcMar>
          </w:tcPr>
          <w:p w14:paraId="4005C71A"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Tahsili gecikmiş alacaklar</w:t>
            </w:r>
          </w:p>
        </w:tc>
        <w:tc>
          <w:tcPr>
            <w:tcW w:w="547" w:type="pct"/>
            <w:shd w:val="clear" w:color="auto" w:fill="auto"/>
            <w:tcMar>
              <w:left w:w="57" w:type="dxa"/>
              <w:right w:w="57" w:type="dxa"/>
            </w:tcMar>
            <w:vAlign w:val="center"/>
          </w:tcPr>
          <w:p w14:paraId="38B41107" w14:textId="389A51C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5.892.710</w:t>
            </w:r>
          </w:p>
        </w:tc>
        <w:tc>
          <w:tcPr>
            <w:tcW w:w="548" w:type="pct"/>
            <w:shd w:val="clear" w:color="auto" w:fill="auto"/>
            <w:tcMar>
              <w:left w:w="57" w:type="dxa"/>
              <w:right w:w="57" w:type="dxa"/>
            </w:tcMar>
            <w:vAlign w:val="center"/>
          </w:tcPr>
          <w:p w14:paraId="6EFE188D" w14:textId="3B67E19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267.237</w:t>
            </w:r>
          </w:p>
        </w:tc>
        <w:tc>
          <w:tcPr>
            <w:tcW w:w="548" w:type="pct"/>
            <w:shd w:val="clear" w:color="auto" w:fill="auto"/>
            <w:tcMar>
              <w:left w:w="57" w:type="dxa"/>
              <w:right w:w="57" w:type="dxa"/>
            </w:tcMar>
            <w:vAlign w:val="center"/>
          </w:tcPr>
          <w:p w14:paraId="2500BF5A" w14:textId="688CCD23"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5.084.574</w:t>
            </w:r>
          </w:p>
        </w:tc>
        <w:tc>
          <w:tcPr>
            <w:tcW w:w="548" w:type="pct"/>
            <w:shd w:val="clear" w:color="auto" w:fill="auto"/>
            <w:tcMar>
              <w:left w:w="57" w:type="dxa"/>
              <w:right w:w="57" w:type="dxa"/>
            </w:tcMar>
            <w:vAlign w:val="center"/>
          </w:tcPr>
          <w:p w14:paraId="28B9A95A" w14:textId="209A5EB0"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104.132</w:t>
            </w:r>
          </w:p>
        </w:tc>
        <w:tc>
          <w:tcPr>
            <w:tcW w:w="507" w:type="pct"/>
            <w:shd w:val="clear" w:color="auto" w:fill="auto"/>
            <w:tcMar>
              <w:left w:w="57" w:type="dxa"/>
              <w:right w:w="57" w:type="dxa"/>
            </w:tcMar>
            <w:vAlign w:val="center"/>
          </w:tcPr>
          <w:p w14:paraId="75A2AA5F" w14:textId="7866E16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4.114.044</w:t>
            </w:r>
          </w:p>
        </w:tc>
        <w:tc>
          <w:tcPr>
            <w:tcW w:w="587" w:type="pct"/>
            <w:shd w:val="clear" w:color="auto" w:fill="auto"/>
            <w:tcMar>
              <w:left w:w="57" w:type="dxa"/>
              <w:right w:w="57" w:type="dxa"/>
            </w:tcMar>
            <w:vAlign w:val="center"/>
          </w:tcPr>
          <w:p w14:paraId="7C6F060E" w14:textId="1D34F6EA"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%79,29</w:t>
            </w:r>
          </w:p>
        </w:tc>
      </w:tr>
      <w:tr w:rsidR="003B7A7D" w:rsidRPr="00FB38E1" w14:paraId="10C68DFA" w14:textId="77777777" w:rsidTr="00836EF2">
        <w:tc>
          <w:tcPr>
            <w:tcW w:w="145" w:type="pct"/>
            <w:tcMar>
              <w:left w:w="57" w:type="dxa"/>
              <w:right w:w="57" w:type="dxa"/>
            </w:tcMar>
          </w:tcPr>
          <w:p w14:paraId="4F880ECA"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12</w:t>
            </w:r>
          </w:p>
        </w:tc>
        <w:tc>
          <w:tcPr>
            <w:tcW w:w="1570" w:type="pct"/>
            <w:tcMar>
              <w:left w:w="57" w:type="dxa"/>
              <w:right w:w="57" w:type="dxa"/>
            </w:tcMar>
          </w:tcPr>
          <w:p w14:paraId="31AC2ACF"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Kurulca riski yüksek belirlenmiş alacaklar</w:t>
            </w:r>
          </w:p>
        </w:tc>
        <w:tc>
          <w:tcPr>
            <w:tcW w:w="547" w:type="pct"/>
            <w:shd w:val="clear" w:color="auto" w:fill="auto"/>
            <w:tcMar>
              <w:left w:w="57" w:type="dxa"/>
              <w:right w:w="57" w:type="dxa"/>
            </w:tcMar>
            <w:vAlign w:val="center"/>
          </w:tcPr>
          <w:p w14:paraId="34F30F5B" w14:textId="26880C6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6BA0ECD3" w14:textId="5ED4F7D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17AA4188" w14:textId="3BEAFA1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79A0C104" w14:textId="08F9528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2719A2A7" w14:textId="097631DE"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shd w:val="clear" w:color="auto" w:fill="auto"/>
            <w:tcMar>
              <w:left w:w="57" w:type="dxa"/>
              <w:right w:w="57" w:type="dxa"/>
            </w:tcMar>
            <w:vAlign w:val="center"/>
          </w:tcPr>
          <w:p w14:paraId="1D819F3C" w14:textId="0AD6621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B7A7D" w:rsidRPr="00FB38E1" w14:paraId="090FA1ED" w14:textId="77777777" w:rsidTr="00836EF2">
        <w:tc>
          <w:tcPr>
            <w:tcW w:w="145" w:type="pct"/>
            <w:tcMar>
              <w:left w:w="57" w:type="dxa"/>
              <w:right w:w="57" w:type="dxa"/>
            </w:tcMar>
          </w:tcPr>
          <w:p w14:paraId="2C4166BF"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13</w:t>
            </w:r>
          </w:p>
        </w:tc>
        <w:tc>
          <w:tcPr>
            <w:tcW w:w="1570" w:type="pct"/>
            <w:tcMar>
              <w:left w:w="57" w:type="dxa"/>
              <w:right w:w="57" w:type="dxa"/>
            </w:tcMar>
          </w:tcPr>
          <w:p w14:paraId="640F6655"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İpotek teminatlı menkul kıymetler</w:t>
            </w:r>
          </w:p>
        </w:tc>
        <w:tc>
          <w:tcPr>
            <w:tcW w:w="547" w:type="pct"/>
            <w:shd w:val="clear" w:color="auto" w:fill="auto"/>
            <w:tcMar>
              <w:left w:w="57" w:type="dxa"/>
              <w:right w:w="57" w:type="dxa"/>
            </w:tcMar>
            <w:vAlign w:val="center"/>
          </w:tcPr>
          <w:p w14:paraId="3DD5A684" w14:textId="38E52634"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4861F569" w14:textId="331EF6F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7110A6B7" w14:textId="4D95DFC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26D8B810" w14:textId="5BE36090"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631A01C5" w14:textId="3709D76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shd w:val="clear" w:color="auto" w:fill="auto"/>
            <w:tcMar>
              <w:left w:w="57" w:type="dxa"/>
              <w:right w:w="57" w:type="dxa"/>
            </w:tcMar>
            <w:vAlign w:val="center"/>
          </w:tcPr>
          <w:p w14:paraId="77C2D91A" w14:textId="38AE978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B7A7D" w:rsidRPr="00FB38E1" w14:paraId="484858A5" w14:textId="77777777" w:rsidTr="00836EF2">
        <w:tc>
          <w:tcPr>
            <w:tcW w:w="145" w:type="pct"/>
            <w:tcMar>
              <w:left w:w="57" w:type="dxa"/>
              <w:right w:w="57" w:type="dxa"/>
            </w:tcMar>
          </w:tcPr>
          <w:p w14:paraId="37C3AEBB"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14</w:t>
            </w:r>
          </w:p>
        </w:tc>
        <w:tc>
          <w:tcPr>
            <w:tcW w:w="1570" w:type="pct"/>
            <w:tcMar>
              <w:left w:w="57" w:type="dxa"/>
              <w:right w:w="57" w:type="dxa"/>
            </w:tcMar>
          </w:tcPr>
          <w:p w14:paraId="69130729"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Bankalardan ve aracı kurumlardan olan kısa vadeli alacaklar ile kısa vadeli kurumsal alacaklar</w:t>
            </w:r>
          </w:p>
        </w:tc>
        <w:tc>
          <w:tcPr>
            <w:tcW w:w="547" w:type="pct"/>
            <w:shd w:val="clear" w:color="auto" w:fill="auto"/>
            <w:tcMar>
              <w:left w:w="57" w:type="dxa"/>
              <w:right w:w="57" w:type="dxa"/>
            </w:tcMar>
            <w:vAlign w:val="center"/>
          </w:tcPr>
          <w:p w14:paraId="1A0697D3" w14:textId="03CDF008"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09FB2AA9" w14:textId="183B879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03A040EF" w14:textId="067390A0"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35E7B265" w14:textId="3A3C799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14B38E8E" w14:textId="7E64DE5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87" w:type="pct"/>
            <w:shd w:val="clear" w:color="auto" w:fill="auto"/>
            <w:tcMar>
              <w:left w:w="57" w:type="dxa"/>
              <w:right w:w="57" w:type="dxa"/>
            </w:tcMar>
            <w:vAlign w:val="center"/>
          </w:tcPr>
          <w:p w14:paraId="4770AA76" w14:textId="52CE9DA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%0,00</w:t>
            </w:r>
          </w:p>
        </w:tc>
      </w:tr>
      <w:tr w:rsidR="003B7A7D" w:rsidRPr="00FB38E1" w14:paraId="7E05974B" w14:textId="77777777" w:rsidTr="00836EF2">
        <w:tc>
          <w:tcPr>
            <w:tcW w:w="145" w:type="pct"/>
            <w:tcMar>
              <w:left w:w="57" w:type="dxa"/>
              <w:right w:w="57" w:type="dxa"/>
            </w:tcMar>
          </w:tcPr>
          <w:p w14:paraId="1A7D7B60"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15</w:t>
            </w:r>
          </w:p>
        </w:tc>
        <w:tc>
          <w:tcPr>
            <w:tcW w:w="1570" w:type="pct"/>
            <w:tcMar>
              <w:left w:w="57" w:type="dxa"/>
              <w:right w:w="57" w:type="dxa"/>
            </w:tcMar>
          </w:tcPr>
          <w:p w14:paraId="5AF2C5A6"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Kollektif yatırım kuruluşu niteliğindeki yatırımlar</w:t>
            </w:r>
          </w:p>
        </w:tc>
        <w:tc>
          <w:tcPr>
            <w:tcW w:w="547" w:type="pct"/>
            <w:shd w:val="clear" w:color="auto" w:fill="auto"/>
            <w:tcMar>
              <w:left w:w="57" w:type="dxa"/>
              <w:right w:w="57" w:type="dxa"/>
            </w:tcMar>
            <w:vAlign w:val="center"/>
          </w:tcPr>
          <w:p w14:paraId="2E955EDA" w14:textId="6D0DCA39"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28.136</w:t>
            </w:r>
          </w:p>
        </w:tc>
        <w:tc>
          <w:tcPr>
            <w:tcW w:w="548" w:type="pct"/>
            <w:shd w:val="clear" w:color="auto" w:fill="auto"/>
            <w:tcMar>
              <w:left w:w="57" w:type="dxa"/>
              <w:right w:w="57" w:type="dxa"/>
            </w:tcMar>
            <w:vAlign w:val="center"/>
          </w:tcPr>
          <w:p w14:paraId="33649A1A" w14:textId="28E1B37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299</w:t>
            </w:r>
          </w:p>
        </w:tc>
        <w:tc>
          <w:tcPr>
            <w:tcW w:w="548" w:type="pct"/>
            <w:shd w:val="clear" w:color="auto" w:fill="auto"/>
            <w:tcMar>
              <w:left w:w="57" w:type="dxa"/>
              <w:right w:w="57" w:type="dxa"/>
            </w:tcMar>
            <w:vAlign w:val="center"/>
          </w:tcPr>
          <w:p w14:paraId="3578A72C" w14:textId="5C4C35B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28.136</w:t>
            </w:r>
          </w:p>
        </w:tc>
        <w:tc>
          <w:tcPr>
            <w:tcW w:w="548" w:type="pct"/>
            <w:shd w:val="clear" w:color="auto" w:fill="auto"/>
            <w:tcMar>
              <w:left w:w="57" w:type="dxa"/>
              <w:right w:w="57" w:type="dxa"/>
            </w:tcMar>
            <w:vAlign w:val="center"/>
          </w:tcPr>
          <w:p w14:paraId="70B200A6" w14:textId="67F90A65"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292</w:t>
            </w:r>
          </w:p>
        </w:tc>
        <w:tc>
          <w:tcPr>
            <w:tcW w:w="507" w:type="pct"/>
            <w:shd w:val="clear" w:color="auto" w:fill="auto"/>
            <w:tcMar>
              <w:left w:w="57" w:type="dxa"/>
              <w:right w:w="57" w:type="dxa"/>
            </w:tcMar>
            <w:vAlign w:val="center"/>
          </w:tcPr>
          <w:p w14:paraId="77CFCCF3" w14:textId="12E8FEB3"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28.428</w:t>
            </w:r>
          </w:p>
        </w:tc>
        <w:tc>
          <w:tcPr>
            <w:tcW w:w="587" w:type="pct"/>
            <w:shd w:val="clear" w:color="auto" w:fill="auto"/>
            <w:tcMar>
              <w:left w:w="57" w:type="dxa"/>
              <w:right w:w="57" w:type="dxa"/>
            </w:tcMar>
            <w:vAlign w:val="center"/>
          </w:tcPr>
          <w:p w14:paraId="79F66ECD" w14:textId="35427D9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%100,00</w:t>
            </w:r>
          </w:p>
        </w:tc>
      </w:tr>
      <w:tr w:rsidR="003B7A7D" w:rsidRPr="00FB38E1" w14:paraId="4E55CC8B" w14:textId="77777777" w:rsidTr="00836EF2">
        <w:tc>
          <w:tcPr>
            <w:tcW w:w="145" w:type="pct"/>
            <w:tcMar>
              <w:left w:w="57" w:type="dxa"/>
              <w:right w:w="57" w:type="dxa"/>
            </w:tcMar>
          </w:tcPr>
          <w:p w14:paraId="378A1CF2"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16</w:t>
            </w:r>
          </w:p>
        </w:tc>
        <w:tc>
          <w:tcPr>
            <w:tcW w:w="1570" w:type="pct"/>
            <w:tcMar>
              <w:left w:w="57" w:type="dxa"/>
              <w:right w:w="57" w:type="dxa"/>
            </w:tcMar>
          </w:tcPr>
          <w:p w14:paraId="48853DC4" w14:textId="77777777" w:rsidR="003B7A7D" w:rsidRPr="00FB38E1" w:rsidRDefault="003B7A7D" w:rsidP="003B7A7D">
            <w:pPr>
              <w:jc w:val="lef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alacaklar</w:t>
            </w:r>
          </w:p>
        </w:tc>
        <w:tc>
          <w:tcPr>
            <w:tcW w:w="547" w:type="pct"/>
            <w:shd w:val="clear" w:color="auto" w:fill="auto"/>
            <w:tcMar>
              <w:left w:w="57" w:type="dxa"/>
              <w:right w:w="57" w:type="dxa"/>
            </w:tcMar>
            <w:vAlign w:val="center"/>
          </w:tcPr>
          <w:p w14:paraId="3A9F577A" w14:textId="1317E9D4"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43.586.025</w:t>
            </w:r>
          </w:p>
        </w:tc>
        <w:tc>
          <w:tcPr>
            <w:tcW w:w="548" w:type="pct"/>
            <w:shd w:val="clear" w:color="auto" w:fill="auto"/>
            <w:tcMar>
              <w:left w:w="57" w:type="dxa"/>
              <w:right w:w="57" w:type="dxa"/>
            </w:tcMar>
            <w:vAlign w:val="center"/>
          </w:tcPr>
          <w:p w14:paraId="0DEBC3E8" w14:textId="10B6F2E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48" w:type="pct"/>
            <w:shd w:val="clear" w:color="auto" w:fill="auto"/>
            <w:tcMar>
              <w:left w:w="57" w:type="dxa"/>
              <w:right w:w="57" w:type="dxa"/>
            </w:tcMar>
            <w:vAlign w:val="center"/>
          </w:tcPr>
          <w:p w14:paraId="28C753EE" w14:textId="1D5B6E1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43.586.025</w:t>
            </w:r>
          </w:p>
        </w:tc>
        <w:tc>
          <w:tcPr>
            <w:tcW w:w="548" w:type="pct"/>
            <w:shd w:val="clear" w:color="auto" w:fill="auto"/>
            <w:tcMar>
              <w:left w:w="57" w:type="dxa"/>
              <w:right w:w="57" w:type="dxa"/>
            </w:tcMar>
            <w:vAlign w:val="center"/>
          </w:tcPr>
          <w:p w14:paraId="01EB913B" w14:textId="56DD21B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507" w:type="pct"/>
            <w:shd w:val="clear" w:color="auto" w:fill="auto"/>
            <w:tcMar>
              <w:left w:w="57" w:type="dxa"/>
              <w:right w:w="57" w:type="dxa"/>
            </w:tcMar>
            <w:vAlign w:val="center"/>
          </w:tcPr>
          <w:p w14:paraId="452F27A6" w14:textId="1CEE770E"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37.035.065</w:t>
            </w:r>
          </w:p>
        </w:tc>
        <w:tc>
          <w:tcPr>
            <w:tcW w:w="587" w:type="pct"/>
            <w:shd w:val="clear" w:color="auto" w:fill="auto"/>
            <w:tcMar>
              <w:left w:w="57" w:type="dxa"/>
              <w:right w:w="57" w:type="dxa"/>
            </w:tcMar>
            <w:vAlign w:val="center"/>
          </w:tcPr>
          <w:p w14:paraId="3D10F362" w14:textId="30D2661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%84,97</w:t>
            </w:r>
          </w:p>
        </w:tc>
      </w:tr>
      <w:tr w:rsidR="003B7A7D" w:rsidRPr="00FB38E1" w14:paraId="0BBDAB22" w14:textId="77777777" w:rsidTr="00836EF2">
        <w:tc>
          <w:tcPr>
            <w:tcW w:w="145" w:type="pct"/>
            <w:tcBorders>
              <w:bottom w:val="single" w:sz="4" w:space="0" w:color="auto"/>
            </w:tcBorders>
            <w:tcMar>
              <w:left w:w="57" w:type="dxa"/>
              <w:right w:w="57" w:type="dxa"/>
            </w:tcMar>
          </w:tcPr>
          <w:p w14:paraId="4C94D772" w14:textId="77777777"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17</w:t>
            </w:r>
          </w:p>
        </w:tc>
        <w:tc>
          <w:tcPr>
            <w:tcW w:w="1570" w:type="pct"/>
            <w:tcBorders>
              <w:bottom w:val="single" w:sz="4" w:space="0" w:color="auto"/>
            </w:tcBorders>
            <w:tcMar>
              <w:left w:w="57" w:type="dxa"/>
              <w:right w:w="57" w:type="dxa"/>
            </w:tcMar>
          </w:tcPr>
          <w:p w14:paraId="051A2049"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Hisse senedi yatırımları</w:t>
            </w:r>
          </w:p>
        </w:tc>
        <w:tc>
          <w:tcPr>
            <w:tcW w:w="547" w:type="pct"/>
            <w:tcBorders>
              <w:bottom w:val="single" w:sz="4" w:space="0" w:color="auto"/>
            </w:tcBorders>
            <w:shd w:val="clear" w:color="auto" w:fill="auto"/>
            <w:tcMar>
              <w:left w:w="57" w:type="dxa"/>
              <w:right w:w="57" w:type="dxa"/>
            </w:tcMar>
            <w:vAlign w:val="center"/>
          </w:tcPr>
          <w:p w14:paraId="56554B43" w14:textId="4D923272"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69.203.740</w:t>
            </w:r>
          </w:p>
        </w:tc>
        <w:tc>
          <w:tcPr>
            <w:tcW w:w="548" w:type="pct"/>
            <w:tcBorders>
              <w:bottom w:val="single" w:sz="4" w:space="0" w:color="auto"/>
            </w:tcBorders>
            <w:shd w:val="clear" w:color="auto" w:fill="auto"/>
            <w:tcMar>
              <w:left w:w="57" w:type="dxa"/>
              <w:right w:w="57" w:type="dxa"/>
            </w:tcMar>
            <w:vAlign w:val="center"/>
          </w:tcPr>
          <w:p w14:paraId="213532C4" w14:textId="0AB0A976"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w:t>
            </w:r>
          </w:p>
        </w:tc>
        <w:tc>
          <w:tcPr>
            <w:tcW w:w="548" w:type="pct"/>
            <w:tcBorders>
              <w:bottom w:val="single" w:sz="4" w:space="0" w:color="auto"/>
            </w:tcBorders>
            <w:shd w:val="clear" w:color="auto" w:fill="auto"/>
            <w:tcMar>
              <w:left w:w="57" w:type="dxa"/>
              <w:right w:w="57" w:type="dxa"/>
            </w:tcMar>
            <w:vAlign w:val="center"/>
          </w:tcPr>
          <w:p w14:paraId="10E9527C" w14:textId="61D2B980"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69.203.740</w:t>
            </w:r>
          </w:p>
        </w:tc>
        <w:tc>
          <w:tcPr>
            <w:tcW w:w="548" w:type="pct"/>
            <w:tcBorders>
              <w:bottom w:val="single" w:sz="4" w:space="0" w:color="auto"/>
            </w:tcBorders>
            <w:shd w:val="clear" w:color="auto" w:fill="auto"/>
            <w:tcMar>
              <w:left w:w="57" w:type="dxa"/>
              <w:right w:w="57" w:type="dxa"/>
            </w:tcMar>
            <w:vAlign w:val="center"/>
          </w:tcPr>
          <w:p w14:paraId="620E2B3F" w14:textId="1F793E55"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w:t>
            </w:r>
          </w:p>
        </w:tc>
        <w:tc>
          <w:tcPr>
            <w:tcW w:w="507" w:type="pct"/>
            <w:tcBorders>
              <w:bottom w:val="single" w:sz="4" w:space="0" w:color="auto"/>
            </w:tcBorders>
            <w:shd w:val="clear" w:color="auto" w:fill="auto"/>
            <w:tcMar>
              <w:left w:w="57" w:type="dxa"/>
              <w:right w:w="57" w:type="dxa"/>
            </w:tcMar>
            <w:vAlign w:val="center"/>
          </w:tcPr>
          <w:p w14:paraId="549E05AC" w14:textId="3534CFA1"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69.203.740</w:t>
            </w:r>
          </w:p>
        </w:tc>
        <w:tc>
          <w:tcPr>
            <w:tcW w:w="587" w:type="pct"/>
            <w:tcBorders>
              <w:bottom w:val="single" w:sz="4" w:space="0" w:color="auto"/>
            </w:tcBorders>
            <w:shd w:val="clear" w:color="auto" w:fill="auto"/>
            <w:tcMar>
              <w:left w:w="57" w:type="dxa"/>
              <w:right w:w="57" w:type="dxa"/>
            </w:tcMar>
            <w:vAlign w:val="center"/>
          </w:tcPr>
          <w:p w14:paraId="4D4C8601" w14:textId="2589A83F" w:rsidR="003B7A7D" w:rsidRPr="00FB38E1" w:rsidRDefault="003B7A7D" w:rsidP="003B7A7D">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sz w:val="14"/>
                <w:szCs w:val="14"/>
              </w:rPr>
              <w:t>%100,00</w:t>
            </w:r>
          </w:p>
        </w:tc>
      </w:tr>
      <w:tr w:rsidR="003B7A7D" w:rsidRPr="00FB38E1" w14:paraId="4A99C77B" w14:textId="77777777" w:rsidTr="00836EF2">
        <w:tc>
          <w:tcPr>
            <w:tcW w:w="145" w:type="pct"/>
            <w:tcBorders>
              <w:top w:val="single" w:sz="4" w:space="0" w:color="auto"/>
              <w:bottom w:val="thickThinSmallGap" w:sz="24" w:space="0" w:color="auto"/>
            </w:tcBorders>
            <w:tcMar>
              <w:left w:w="57" w:type="dxa"/>
              <w:right w:w="57" w:type="dxa"/>
            </w:tcMar>
          </w:tcPr>
          <w:p w14:paraId="065AF7DE" w14:textId="77777777" w:rsidR="003B7A7D" w:rsidRPr="00FB38E1" w:rsidRDefault="003B7A7D" w:rsidP="003B7A7D">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18</w:t>
            </w:r>
          </w:p>
        </w:tc>
        <w:tc>
          <w:tcPr>
            <w:tcW w:w="1570" w:type="pct"/>
            <w:tcBorders>
              <w:top w:val="single" w:sz="4" w:space="0" w:color="auto"/>
              <w:bottom w:val="thickThinSmallGap" w:sz="24" w:space="0" w:color="auto"/>
            </w:tcBorders>
            <w:tcMar>
              <w:left w:w="57" w:type="dxa"/>
              <w:right w:w="57" w:type="dxa"/>
            </w:tcMar>
          </w:tcPr>
          <w:p w14:paraId="6AE3C22F" w14:textId="77777777" w:rsidR="003B7A7D" w:rsidRPr="00FB38E1" w:rsidRDefault="003B7A7D" w:rsidP="003B7A7D">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547" w:type="pct"/>
            <w:tcBorders>
              <w:top w:val="single" w:sz="4" w:space="0" w:color="auto"/>
              <w:bottom w:val="thickThinSmallGap" w:sz="24" w:space="0" w:color="auto"/>
            </w:tcBorders>
            <w:shd w:val="clear" w:color="auto" w:fill="auto"/>
            <w:tcMar>
              <w:left w:w="57" w:type="dxa"/>
              <w:right w:w="57" w:type="dxa"/>
            </w:tcMar>
            <w:vAlign w:val="center"/>
          </w:tcPr>
          <w:p w14:paraId="3E9D6A4E" w14:textId="30132102"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871.331.709</w:t>
            </w:r>
          </w:p>
        </w:tc>
        <w:tc>
          <w:tcPr>
            <w:tcW w:w="548" w:type="pct"/>
            <w:tcBorders>
              <w:top w:val="single" w:sz="4" w:space="0" w:color="auto"/>
              <w:bottom w:val="thickThinSmallGap" w:sz="24" w:space="0" w:color="auto"/>
            </w:tcBorders>
            <w:shd w:val="clear" w:color="auto" w:fill="auto"/>
            <w:tcMar>
              <w:left w:w="57" w:type="dxa"/>
              <w:right w:w="57" w:type="dxa"/>
            </w:tcMar>
            <w:vAlign w:val="center"/>
          </w:tcPr>
          <w:p w14:paraId="3803F519" w14:textId="5C3AAE06"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497.631.990</w:t>
            </w:r>
          </w:p>
        </w:tc>
        <w:tc>
          <w:tcPr>
            <w:tcW w:w="548" w:type="pct"/>
            <w:tcBorders>
              <w:top w:val="single" w:sz="4" w:space="0" w:color="auto"/>
              <w:bottom w:val="thickThinSmallGap" w:sz="24" w:space="0" w:color="auto"/>
            </w:tcBorders>
            <w:shd w:val="clear" w:color="auto" w:fill="auto"/>
            <w:tcMar>
              <w:left w:w="57" w:type="dxa"/>
              <w:right w:w="57" w:type="dxa"/>
            </w:tcMar>
            <w:vAlign w:val="center"/>
          </w:tcPr>
          <w:p w14:paraId="0ADE93DB" w14:textId="0A98D286"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847.709.487</w:t>
            </w:r>
          </w:p>
        </w:tc>
        <w:tc>
          <w:tcPr>
            <w:tcW w:w="548" w:type="pct"/>
            <w:tcBorders>
              <w:top w:val="single" w:sz="4" w:space="0" w:color="auto"/>
              <w:bottom w:val="thickThinSmallGap" w:sz="24" w:space="0" w:color="auto"/>
            </w:tcBorders>
            <w:shd w:val="clear" w:color="auto" w:fill="auto"/>
            <w:tcMar>
              <w:left w:w="57" w:type="dxa"/>
              <w:right w:w="57" w:type="dxa"/>
            </w:tcMar>
            <w:vAlign w:val="center"/>
          </w:tcPr>
          <w:p w14:paraId="17DAEEE2" w14:textId="26451F1F"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90.285.149</w:t>
            </w:r>
          </w:p>
        </w:tc>
        <w:tc>
          <w:tcPr>
            <w:tcW w:w="507" w:type="pct"/>
            <w:tcBorders>
              <w:top w:val="single" w:sz="4" w:space="0" w:color="auto"/>
              <w:bottom w:val="thickThinSmallGap" w:sz="24" w:space="0" w:color="auto"/>
            </w:tcBorders>
            <w:shd w:val="clear" w:color="auto" w:fill="auto"/>
            <w:tcMar>
              <w:left w:w="57" w:type="dxa"/>
              <w:right w:w="57" w:type="dxa"/>
            </w:tcMar>
            <w:vAlign w:val="center"/>
          </w:tcPr>
          <w:p w14:paraId="450B2207" w14:textId="3915EEAD"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604.129.075</w:t>
            </w:r>
          </w:p>
        </w:tc>
        <w:tc>
          <w:tcPr>
            <w:tcW w:w="587" w:type="pct"/>
            <w:tcBorders>
              <w:top w:val="single" w:sz="4" w:space="0" w:color="auto"/>
              <w:bottom w:val="thickThinSmallGap" w:sz="24" w:space="0" w:color="auto"/>
            </w:tcBorders>
            <w:shd w:val="clear" w:color="auto" w:fill="auto"/>
            <w:tcMar>
              <w:left w:w="57" w:type="dxa"/>
              <w:right w:w="57" w:type="dxa"/>
            </w:tcMar>
            <w:vAlign w:val="center"/>
          </w:tcPr>
          <w:p w14:paraId="57253CC9" w14:textId="4F413597"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%64,41</w:t>
            </w:r>
          </w:p>
        </w:tc>
      </w:tr>
    </w:tbl>
    <w:p w14:paraId="08869912" w14:textId="77777777" w:rsidR="00E036D3" w:rsidRPr="00FB38E1" w:rsidRDefault="00E036D3" w:rsidP="00364B59">
      <w:pPr>
        <w:pStyle w:val="ListParagraph"/>
        <w:numPr>
          <w:ilvl w:val="0"/>
          <w:numId w:val="55"/>
        </w:numPr>
        <w:spacing w:before="240" w:after="120" w:line="240" w:lineRule="exact"/>
        <w:ind w:left="-68" w:hanging="357"/>
        <w:contextualSpacing w:val="0"/>
        <w:rPr>
          <w:rFonts w:ascii="Microsoft Sans Serif" w:hAnsi="Microsoft Sans Serif" w:cs="Microsoft Sans Serif"/>
          <w:b/>
          <w:sz w:val="20"/>
          <w:szCs w:val="20"/>
        </w:rPr>
        <w:sectPr w:rsidR="00E036D3" w:rsidRPr="00FB38E1" w:rsidSect="005879EC">
          <w:headerReference w:type="default" r:id="rId47"/>
          <w:footerReference w:type="default" r:id="rId48"/>
          <w:pgSz w:w="11906" w:h="16838"/>
          <w:pgMar w:top="-1985" w:right="567" w:bottom="-862" w:left="1701" w:header="709" w:footer="306" w:gutter="0"/>
          <w:cols w:space="708"/>
          <w:docGrid w:linePitch="360"/>
        </w:sectPr>
      </w:pPr>
    </w:p>
    <w:p w14:paraId="2EAB03C8" w14:textId="77777777" w:rsidR="00E036D3" w:rsidRPr="00FB38E1" w:rsidRDefault="00E036D3" w:rsidP="00364B59">
      <w:pPr>
        <w:pStyle w:val="ListParagraph"/>
        <w:numPr>
          <w:ilvl w:val="0"/>
          <w:numId w:val="55"/>
        </w:numPr>
        <w:spacing w:after="120" w:line="240" w:lineRule="exact"/>
        <w:ind w:left="-68" w:hanging="357"/>
        <w:contextualSpacing w:val="0"/>
        <w:rPr>
          <w:rFonts w:ascii="Microsoft Sans Serif" w:hAnsi="Microsoft Sans Serif" w:cs="Microsoft Sans Serif"/>
          <w:b/>
          <w:color w:val="7030A0"/>
          <w:sz w:val="20"/>
          <w:szCs w:val="20"/>
        </w:rPr>
      </w:pPr>
      <w:r w:rsidRPr="00FB38E1">
        <w:rPr>
          <w:rFonts w:ascii="Microsoft Sans Serif" w:hAnsi="Microsoft Sans Serif" w:cs="Microsoft Sans Serif"/>
          <w:b/>
          <w:sz w:val="20"/>
          <w:szCs w:val="20"/>
        </w:rPr>
        <w:t xml:space="preserve">Standart Yaklaşım – Risk sınıflarına ve risk ağırlıklarına göre alacaklar </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73"/>
        <w:gridCol w:w="2339"/>
        <w:gridCol w:w="716"/>
        <w:gridCol w:w="506"/>
        <w:gridCol w:w="937"/>
        <w:gridCol w:w="1083"/>
        <w:gridCol w:w="1030"/>
        <w:gridCol w:w="1178"/>
        <w:gridCol w:w="1030"/>
        <w:gridCol w:w="1128"/>
        <w:gridCol w:w="1030"/>
        <w:gridCol w:w="716"/>
        <w:gridCol w:w="814"/>
        <w:gridCol w:w="1128"/>
      </w:tblGrid>
      <w:tr w:rsidR="00E036D3" w:rsidRPr="00FB38E1" w14:paraId="70DF44B2" w14:textId="77777777" w:rsidTr="003A2A4B">
        <w:tc>
          <w:tcPr>
            <w:tcW w:w="127" w:type="pct"/>
            <w:gridSpan w:val="2"/>
            <w:tcMar>
              <w:left w:w="57" w:type="dxa"/>
              <w:right w:w="57" w:type="dxa"/>
            </w:tcMar>
            <w:vAlign w:val="bottom"/>
          </w:tcPr>
          <w:p w14:paraId="71BCEAFE" w14:textId="77777777" w:rsidR="00E036D3" w:rsidRPr="00FB38E1" w:rsidRDefault="00E036D3" w:rsidP="00836EF2">
            <w:pPr>
              <w:jc w:val="right"/>
              <w:rPr>
                <w:rFonts w:ascii="Microsoft Sans Serif" w:hAnsi="Microsoft Sans Serif" w:cs="Microsoft Sans Serif"/>
                <w:sz w:val="12"/>
                <w:szCs w:val="12"/>
              </w:rPr>
            </w:pPr>
            <w:bookmarkStart w:id="43" w:name="_Hlk188118171"/>
          </w:p>
        </w:tc>
        <w:tc>
          <w:tcPr>
            <w:tcW w:w="836" w:type="pct"/>
            <w:tcMar>
              <w:left w:w="57" w:type="dxa"/>
              <w:right w:w="57" w:type="dxa"/>
            </w:tcMar>
          </w:tcPr>
          <w:p w14:paraId="778FFC38" w14:textId="77777777" w:rsidR="00E036D3" w:rsidRPr="00FB38E1" w:rsidRDefault="00E036D3" w:rsidP="00836EF2">
            <w:pPr>
              <w:rPr>
                <w:rFonts w:ascii="Microsoft Sans Serif" w:hAnsi="Microsoft Sans Serif" w:cs="Microsoft Sans Serif"/>
                <w:b/>
                <w:sz w:val="12"/>
                <w:szCs w:val="12"/>
              </w:rPr>
            </w:pPr>
            <w:r w:rsidRPr="00FB38E1">
              <w:rPr>
                <w:rFonts w:ascii="Microsoft Sans Serif" w:hAnsi="Microsoft Sans Serif" w:cs="Microsoft Sans Serif"/>
                <w:b/>
                <w:sz w:val="12"/>
                <w:szCs w:val="12"/>
              </w:rPr>
              <w:t>Cari Dönem</w:t>
            </w:r>
          </w:p>
        </w:tc>
        <w:tc>
          <w:tcPr>
            <w:tcW w:w="256" w:type="pct"/>
            <w:tcBorders>
              <w:top w:val="thinThickSmallGap" w:sz="24" w:space="0" w:color="auto"/>
              <w:bottom w:val="single" w:sz="4" w:space="0" w:color="auto"/>
            </w:tcBorders>
            <w:tcMar>
              <w:left w:w="57" w:type="dxa"/>
              <w:right w:w="57" w:type="dxa"/>
            </w:tcMar>
            <w:vAlign w:val="bottom"/>
          </w:tcPr>
          <w:p w14:paraId="69CBEA8D"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a</w:t>
            </w:r>
          </w:p>
        </w:tc>
        <w:tc>
          <w:tcPr>
            <w:tcW w:w="181" w:type="pct"/>
            <w:tcBorders>
              <w:top w:val="thinThickSmallGap" w:sz="24" w:space="0" w:color="auto"/>
              <w:bottom w:val="single" w:sz="4" w:space="0" w:color="auto"/>
            </w:tcBorders>
            <w:tcMar>
              <w:left w:w="57" w:type="dxa"/>
              <w:right w:w="57" w:type="dxa"/>
            </w:tcMar>
            <w:vAlign w:val="bottom"/>
          </w:tcPr>
          <w:p w14:paraId="4EF206F4"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b</w:t>
            </w:r>
          </w:p>
        </w:tc>
        <w:tc>
          <w:tcPr>
            <w:tcW w:w="335" w:type="pct"/>
            <w:tcBorders>
              <w:top w:val="thinThickSmallGap" w:sz="24" w:space="0" w:color="auto"/>
              <w:bottom w:val="single" w:sz="4" w:space="0" w:color="auto"/>
            </w:tcBorders>
            <w:tcMar>
              <w:left w:w="57" w:type="dxa"/>
              <w:right w:w="57" w:type="dxa"/>
            </w:tcMar>
            <w:vAlign w:val="bottom"/>
          </w:tcPr>
          <w:p w14:paraId="36018F6A"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c</w:t>
            </w:r>
          </w:p>
        </w:tc>
        <w:tc>
          <w:tcPr>
            <w:tcW w:w="387" w:type="pct"/>
            <w:tcBorders>
              <w:top w:val="thinThickSmallGap" w:sz="24" w:space="0" w:color="auto"/>
              <w:bottom w:val="single" w:sz="4" w:space="0" w:color="auto"/>
            </w:tcBorders>
          </w:tcPr>
          <w:p w14:paraId="74E7A800"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k</w:t>
            </w:r>
          </w:p>
        </w:tc>
        <w:tc>
          <w:tcPr>
            <w:tcW w:w="368" w:type="pct"/>
            <w:tcBorders>
              <w:top w:val="thinThickSmallGap" w:sz="24" w:space="0" w:color="auto"/>
              <w:bottom w:val="single" w:sz="4" w:space="0" w:color="auto"/>
            </w:tcBorders>
            <w:tcMar>
              <w:left w:w="57" w:type="dxa"/>
              <w:right w:w="57" w:type="dxa"/>
            </w:tcMar>
            <w:vAlign w:val="bottom"/>
          </w:tcPr>
          <w:p w14:paraId="762507AD"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d</w:t>
            </w:r>
          </w:p>
        </w:tc>
        <w:tc>
          <w:tcPr>
            <w:tcW w:w="421" w:type="pct"/>
            <w:tcBorders>
              <w:top w:val="thinThickSmallGap" w:sz="24" w:space="0" w:color="auto"/>
              <w:bottom w:val="single" w:sz="4" w:space="0" w:color="auto"/>
            </w:tcBorders>
          </w:tcPr>
          <w:p w14:paraId="05A46579"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l</w:t>
            </w:r>
          </w:p>
        </w:tc>
        <w:tc>
          <w:tcPr>
            <w:tcW w:w="368" w:type="pct"/>
            <w:tcBorders>
              <w:top w:val="thinThickSmallGap" w:sz="24" w:space="0" w:color="auto"/>
              <w:bottom w:val="single" w:sz="4" w:space="0" w:color="auto"/>
            </w:tcBorders>
            <w:tcMar>
              <w:left w:w="57" w:type="dxa"/>
              <w:right w:w="57" w:type="dxa"/>
            </w:tcMar>
            <w:vAlign w:val="bottom"/>
          </w:tcPr>
          <w:p w14:paraId="0ED57C8C"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e</w:t>
            </w:r>
          </w:p>
        </w:tc>
        <w:tc>
          <w:tcPr>
            <w:tcW w:w="403" w:type="pct"/>
            <w:tcBorders>
              <w:top w:val="thinThickSmallGap" w:sz="24" w:space="0" w:color="auto"/>
              <w:bottom w:val="single" w:sz="4" w:space="0" w:color="auto"/>
            </w:tcBorders>
            <w:tcMar>
              <w:left w:w="57" w:type="dxa"/>
              <w:right w:w="57" w:type="dxa"/>
            </w:tcMar>
            <w:vAlign w:val="bottom"/>
          </w:tcPr>
          <w:p w14:paraId="2F17B312"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f</w:t>
            </w:r>
          </w:p>
        </w:tc>
        <w:tc>
          <w:tcPr>
            <w:tcW w:w="368" w:type="pct"/>
            <w:tcBorders>
              <w:top w:val="thinThickSmallGap" w:sz="24" w:space="0" w:color="auto"/>
              <w:bottom w:val="single" w:sz="4" w:space="0" w:color="auto"/>
            </w:tcBorders>
            <w:tcMar>
              <w:left w:w="57" w:type="dxa"/>
              <w:right w:w="57" w:type="dxa"/>
            </w:tcMar>
            <w:vAlign w:val="bottom"/>
          </w:tcPr>
          <w:p w14:paraId="3B3D7376"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g</w:t>
            </w:r>
          </w:p>
        </w:tc>
        <w:tc>
          <w:tcPr>
            <w:tcW w:w="256" w:type="pct"/>
            <w:tcBorders>
              <w:top w:val="thinThickSmallGap" w:sz="24" w:space="0" w:color="auto"/>
              <w:bottom w:val="single" w:sz="4" w:space="0" w:color="auto"/>
            </w:tcBorders>
            <w:tcMar>
              <w:left w:w="57" w:type="dxa"/>
              <w:right w:w="57" w:type="dxa"/>
            </w:tcMar>
            <w:vAlign w:val="bottom"/>
          </w:tcPr>
          <w:p w14:paraId="3F833901"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h</w:t>
            </w:r>
          </w:p>
        </w:tc>
        <w:tc>
          <w:tcPr>
            <w:tcW w:w="291" w:type="pct"/>
            <w:tcBorders>
              <w:top w:val="thinThickSmallGap" w:sz="24" w:space="0" w:color="auto"/>
              <w:bottom w:val="single" w:sz="4" w:space="0" w:color="auto"/>
            </w:tcBorders>
            <w:tcMar>
              <w:left w:w="57" w:type="dxa"/>
              <w:right w:w="57" w:type="dxa"/>
            </w:tcMar>
            <w:vAlign w:val="bottom"/>
          </w:tcPr>
          <w:p w14:paraId="282EAB9D"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ı</w:t>
            </w:r>
          </w:p>
        </w:tc>
        <w:tc>
          <w:tcPr>
            <w:tcW w:w="403" w:type="pct"/>
            <w:tcBorders>
              <w:top w:val="thinThickSmallGap" w:sz="24" w:space="0" w:color="auto"/>
              <w:bottom w:val="single" w:sz="4" w:space="0" w:color="auto"/>
            </w:tcBorders>
            <w:tcMar>
              <w:left w:w="57" w:type="dxa"/>
              <w:right w:w="57" w:type="dxa"/>
            </w:tcMar>
            <w:vAlign w:val="bottom"/>
          </w:tcPr>
          <w:p w14:paraId="217A6E1E"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j</w:t>
            </w:r>
          </w:p>
        </w:tc>
      </w:tr>
      <w:tr w:rsidR="00E036D3" w:rsidRPr="00FB38E1" w14:paraId="5652B2F2" w14:textId="77777777" w:rsidTr="003A2A4B">
        <w:trPr>
          <w:trHeight w:val="298"/>
        </w:trPr>
        <w:tc>
          <w:tcPr>
            <w:tcW w:w="127" w:type="pct"/>
            <w:gridSpan w:val="2"/>
            <w:tcBorders>
              <w:bottom w:val="single" w:sz="4" w:space="0" w:color="auto"/>
            </w:tcBorders>
            <w:tcMar>
              <w:left w:w="57" w:type="dxa"/>
              <w:right w:w="57" w:type="dxa"/>
            </w:tcMar>
            <w:vAlign w:val="bottom"/>
          </w:tcPr>
          <w:p w14:paraId="405B4BA9" w14:textId="77777777" w:rsidR="00E036D3" w:rsidRPr="00FB38E1" w:rsidRDefault="00E036D3" w:rsidP="00836EF2">
            <w:pPr>
              <w:jc w:val="right"/>
              <w:rPr>
                <w:rFonts w:ascii="Microsoft Sans Serif" w:hAnsi="Microsoft Sans Serif" w:cs="Microsoft Sans Serif"/>
                <w:sz w:val="12"/>
                <w:szCs w:val="12"/>
              </w:rPr>
            </w:pPr>
          </w:p>
        </w:tc>
        <w:tc>
          <w:tcPr>
            <w:tcW w:w="836" w:type="pct"/>
            <w:tcBorders>
              <w:bottom w:val="single" w:sz="4" w:space="0" w:color="auto"/>
            </w:tcBorders>
            <w:tcMar>
              <w:left w:w="57" w:type="dxa"/>
              <w:right w:w="57" w:type="dxa"/>
            </w:tcMar>
            <w:vAlign w:val="bottom"/>
          </w:tcPr>
          <w:p w14:paraId="09727AEC" w14:textId="77777777" w:rsidR="00E036D3" w:rsidRPr="00FB38E1" w:rsidRDefault="00E036D3" w:rsidP="0004668E">
            <w:pPr>
              <w:jc w:val="left"/>
              <w:rPr>
                <w:rFonts w:ascii="Microsoft Sans Serif" w:hAnsi="Microsoft Sans Serif" w:cs="Microsoft Sans Serif"/>
                <w:b/>
                <w:sz w:val="12"/>
                <w:szCs w:val="12"/>
              </w:rPr>
            </w:pPr>
            <w:r w:rsidRPr="00FB38E1">
              <w:rPr>
                <w:rFonts w:ascii="Microsoft Sans Serif" w:hAnsi="Microsoft Sans Serif" w:cs="Microsoft Sans Serif"/>
                <w:b/>
                <w:sz w:val="12"/>
                <w:szCs w:val="12"/>
              </w:rPr>
              <w:t>Risk Sınıfları/Risk Ağırlığı*</w:t>
            </w:r>
          </w:p>
        </w:tc>
        <w:tc>
          <w:tcPr>
            <w:tcW w:w="256" w:type="pct"/>
            <w:tcBorders>
              <w:top w:val="single" w:sz="4" w:space="0" w:color="auto"/>
              <w:bottom w:val="single" w:sz="4" w:space="0" w:color="auto"/>
            </w:tcBorders>
            <w:tcMar>
              <w:left w:w="57" w:type="dxa"/>
              <w:right w:w="57" w:type="dxa"/>
            </w:tcMar>
            <w:vAlign w:val="bottom"/>
          </w:tcPr>
          <w:p w14:paraId="07E27220"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%0</w:t>
            </w:r>
          </w:p>
        </w:tc>
        <w:tc>
          <w:tcPr>
            <w:tcW w:w="181" w:type="pct"/>
            <w:tcBorders>
              <w:top w:val="single" w:sz="4" w:space="0" w:color="auto"/>
              <w:bottom w:val="single" w:sz="4" w:space="0" w:color="auto"/>
            </w:tcBorders>
            <w:tcMar>
              <w:left w:w="57" w:type="dxa"/>
              <w:right w:w="57" w:type="dxa"/>
            </w:tcMar>
            <w:vAlign w:val="bottom"/>
          </w:tcPr>
          <w:p w14:paraId="1540E68E"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%10</w:t>
            </w:r>
          </w:p>
        </w:tc>
        <w:tc>
          <w:tcPr>
            <w:tcW w:w="335" w:type="pct"/>
            <w:tcBorders>
              <w:top w:val="single" w:sz="4" w:space="0" w:color="auto"/>
              <w:bottom w:val="single" w:sz="4" w:space="0" w:color="auto"/>
            </w:tcBorders>
            <w:tcMar>
              <w:left w:w="57" w:type="dxa"/>
              <w:right w:w="57" w:type="dxa"/>
            </w:tcMar>
            <w:vAlign w:val="bottom"/>
          </w:tcPr>
          <w:p w14:paraId="75D9A083"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%20</w:t>
            </w:r>
          </w:p>
        </w:tc>
        <w:tc>
          <w:tcPr>
            <w:tcW w:w="387" w:type="pct"/>
            <w:tcBorders>
              <w:top w:val="single" w:sz="4" w:space="0" w:color="auto"/>
              <w:bottom w:val="single" w:sz="4" w:space="0" w:color="auto"/>
            </w:tcBorders>
            <w:vAlign w:val="bottom"/>
          </w:tcPr>
          <w:p w14:paraId="38EFB402"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%35 G.Menkul İpoteğiyle Teminatl.</w:t>
            </w:r>
          </w:p>
        </w:tc>
        <w:tc>
          <w:tcPr>
            <w:tcW w:w="368" w:type="pct"/>
            <w:tcBorders>
              <w:top w:val="single" w:sz="4" w:space="0" w:color="auto"/>
              <w:bottom w:val="single" w:sz="4" w:space="0" w:color="auto"/>
            </w:tcBorders>
            <w:tcMar>
              <w:left w:w="57" w:type="dxa"/>
              <w:right w:w="57" w:type="dxa"/>
            </w:tcMar>
            <w:vAlign w:val="bottom"/>
          </w:tcPr>
          <w:p w14:paraId="5ED9724A"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%50 G.Menkul İpoteğiyle Teminatl.</w:t>
            </w:r>
          </w:p>
        </w:tc>
        <w:tc>
          <w:tcPr>
            <w:tcW w:w="421" w:type="pct"/>
            <w:tcBorders>
              <w:top w:val="single" w:sz="4" w:space="0" w:color="auto"/>
              <w:bottom w:val="single" w:sz="4" w:space="0" w:color="auto"/>
            </w:tcBorders>
          </w:tcPr>
          <w:p w14:paraId="57025840" w14:textId="77777777" w:rsidR="00E036D3" w:rsidRPr="00FB38E1" w:rsidRDefault="00E036D3" w:rsidP="00836EF2">
            <w:pPr>
              <w:jc w:val="center"/>
              <w:rPr>
                <w:rFonts w:ascii="Microsoft Sans Serif" w:hAnsi="Microsoft Sans Serif" w:cs="Microsoft Sans Serif"/>
                <w:b/>
                <w:sz w:val="12"/>
                <w:szCs w:val="12"/>
              </w:rPr>
            </w:pPr>
          </w:p>
          <w:p w14:paraId="10006126" w14:textId="77777777" w:rsidR="00E036D3" w:rsidRPr="00FB38E1" w:rsidRDefault="00E036D3" w:rsidP="00836EF2">
            <w:pPr>
              <w:jc w:val="center"/>
              <w:rPr>
                <w:rFonts w:ascii="Microsoft Sans Serif" w:hAnsi="Microsoft Sans Serif" w:cs="Microsoft Sans Serif"/>
                <w:b/>
                <w:sz w:val="12"/>
                <w:szCs w:val="12"/>
              </w:rPr>
            </w:pPr>
          </w:p>
          <w:p w14:paraId="799BB6BC" w14:textId="77777777" w:rsidR="00E036D3" w:rsidRPr="00FB38E1" w:rsidRDefault="00E036D3" w:rsidP="00836EF2">
            <w:pPr>
              <w:jc w:val="center"/>
              <w:rPr>
                <w:rFonts w:ascii="Microsoft Sans Serif" w:hAnsi="Microsoft Sans Serif" w:cs="Microsoft Sans Serif"/>
                <w:b/>
                <w:sz w:val="12"/>
                <w:szCs w:val="12"/>
              </w:rPr>
            </w:pPr>
          </w:p>
          <w:p w14:paraId="65BE3285"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%50</w:t>
            </w:r>
          </w:p>
        </w:tc>
        <w:tc>
          <w:tcPr>
            <w:tcW w:w="368" w:type="pct"/>
            <w:tcBorders>
              <w:top w:val="single" w:sz="4" w:space="0" w:color="auto"/>
              <w:bottom w:val="single" w:sz="4" w:space="0" w:color="auto"/>
            </w:tcBorders>
            <w:tcMar>
              <w:left w:w="57" w:type="dxa"/>
              <w:right w:w="57" w:type="dxa"/>
            </w:tcMar>
            <w:vAlign w:val="bottom"/>
          </w:tcPr>
          <w:p w14:paraId="4CA50BA1"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%75</w:t>
            </w:r>
          </w:p>
        </w:tc>
        <w:tc>
          <w:tcPr>
            <w:tcW w:w="403" w:type="pct"/>
            <w:tcBorders>
              <w:top w:val="single" w:sz="4" w:space="0" w:color="auto"/>
              <w:bottom w:val="single" w:sz="4" w:space="0" w:color="auto"/>
            </w:tcBorders>
            <w:tcMar>
              <w:left w:w="57" w:type="dxa"/>
              <w:right w:w="57" w:type="dxa"/>
            </w:tcMar>
            <w:vAlign w:val="bottom"/>
          </w:tcPr>
          <w:p w14:paraId="72BC0E3B"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%100</w:t>
            </w:r>
          </w:p>
        </w:tc>
        <w:tc>
          <w:tcPr>
            <w:tcW w:w="368" w:type="pct"/>
            <w:tcBorders>
              <w:top w:val="single" w:sz="4" w:space="0" w:color="auto"/>
              <w:bottom w:val="single" w:sz="4" w:space="0" w:color="auto"/>
            </w:tcBorders>
            <w:tcMar>
              <w:left w:w="57" w:type="dxa"/>
              <w:right w:w="57" w:type="dxa"/>
            </w:tcMar>
            <w:vAlign w:val="bottom"/>
          </w:tcPr>
          <w:p w14:paraId="337AD91B"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%150</w:t>
            </w:r>
          </w:p>
        </w:tc>
        <w:tc>
          <w:tcPr>
            <w:tcW w:w="256" w:type="pct"/>
            <w:tcBorders>
              <w:top w:val="single" w:sz="4" w:space="0" w:color="auto"/>
              <w:bottom w:val="single" w:sz="4" w:space="0" w:color="auto"/>
            </w:tcBorders>
            <w:tcMar>
              <w:left w:w="57" w:type="dxa"/>
              <w:right w:w="57" w:type="dxa"/>
            </w:tcMar>
            <w:vAlign w:val="bottom"/>
          </w:tcPr>
          <w:p w14:paraId="0AE7BB67"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%200</w:t>
            </w:r>
          </w:p>
        </w:tc>
        <w:tc>
          <w:tcPr>
            <w:tcW w:w="291" w:type="pct"/>
            <w:tcBorders>
              <w:top w:val="single" w:sz="4" w:space="0" w:color="auto"/>
              <w:bottom w:val="single" w:sz="4" w:space="0" w:color="auto"/>
            </w:tcBorders>
            <w:tcMar>
              <w:left w:w="57" w:type="dxa"/>
              <w:right w:w="57" w:type="dxa"/>
            </w:tcMar>
            <w:vAlign w:val="bottom"/>
          </w:tcPr>
          <w:p w14:paraId="770D02AE"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Diğerleri</w:t>
            </w:r>
          </w:p>
        </w:tc>
        <w:tc>
          <w:tcPr>
            <w:tcW w:w="403" w:type="pct"/>
            <w:tcBorders>
              <w:top w:val="single" w:sz="4" w:space="0" w:color="auto"/>
              <w:bottom w:val="single" w:sz="4" w:space="0" w:color="auto"/>
            </w:tcBorders>
            <w:tcMar>
              <w:left w:w="57" w:type="dxa"/>
              <w:right w:w="57" w:type="dxa"/>
            </w:tcMar>
            <w:vAlign w:val="bottom"/>
          </w:tcPr>
          <w:p w14:paraId="492CCA1E"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 risk tutarı (KDO ve KRA sonrası)</w:t>
            </w:r>
          </w:p>
        </w:tc>
      </w:tr>
      <w:tr w:rsidR="003A2A4B" w:rsidRPr="00FB38E1" w14:paraId="77DF4674" w14:textId="77777777" w:rsidTr="0004668E">
        <w:tc>
          <w:tcPr>
            <w:tcW w:w="101" w:type="pct"/>
            <w:tcBorders>
              <w:top w:val="single" w:sz="4" w:space="0" w:color="auto"/>
              <w:bottom w:val="nil"/>
            </w:tcBorders>
            <w:tcMar>
              <w:left w:w="57" w:type="dxa"/>
              <w:right w:w="57" w:type="dxa"/>
            </w:tcMar>
          </w:tcPr>
          <w:p w14:paraId="3DA7C3C8"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w:t>
            </w:r>
          </w:p>
        </w:tc>
        <w:tc>
          <w:tcPr>
            <w:tcW w:w="862" w:type="pct"/>
            <w:gridSpan w:val="2"/>
            <w:tcBorders>
              <w:top w:val="single" w:sz="4" w:space="0" w:color="auto"/>
              <w:bottom w:val="nil"/>
            </w:tcBorders>
            <w:tcMar>
              <w:left w:w="57" w:type="dxa"/>
              <w:right w:w="57" w:type="dxa"/>
            </w:tcMar>
          </w:tcPr>
          <w:p w14:paraId="680EAFA3"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Merkezi yönetimlerden veya merkez bankalarından alacaklar</w:t>
            </w:r>
          </w:p>
        </w:tc>
        <w:tc>
          <w:tcPr>
            <w:tcW w:w="256" w:type="pct"/>
            <w:tcBorders>
              <w:top w:val="single" w:sz="4" w:space="0" w:color="auto"/>
              <w:bottom w:val="nil"/>
            </w:tcBorders>
            <w:tcMar>
              <w:left w:w="57" w:type="dxa"/>
              <w:right w:w="57" w:type="dxa"/>
            </w:tcMar>
            <w:vAlign w:val="center"/>
          </w:tcPr>
          <w:p w14:paraId="1674F435" w14:textId="1754AB8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334.968.000</w:t>
            </w:r>
          </w:p>
        </w:tc>
        <w:tc>
          <w:tcPr>
            <w:tcW w:w="181" w:type="pct"/>
            <w:tcBorders>
              <w:top w:val="single" w:sz="4" w:space="0" w:color="auto"/>
              <w:bottom w:val="nil"/>
            </w:tcBorders>
            <w:tcMar>
              <w:left w:w="57" w:type="dxa"/>
              <w:right w:w="57" w:type="dxa"/>
            </w:tcMar>
            <w:vAlign w:val="center"/>
          </w:tcPr>
          <w:p w14:paraId="1FC94FA0" w14:textId="1AE05D3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Borders>
              <w:top w:val="single" w:sz="4" w:space="0" w:color="auto"/>
              <w:bottom w:val="nil"/>
            </w:tcBorders>
            <w:tcMar>
              <w:left w:w="57" w:type="dxa"/>
              <w:right w:w="57" w:type="dxa"/>
            </w:tcMar>
            <w:vAlign w:val="center"/>
          </w:tcPr>
          <w:p w14:paraId="090073B6" w14:textId="5B41D21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tcBorders>
              <w:top w:val="single" w:sz="4" w:space="0" w:color="auto"/>
              <w:bottom w:val="nil"/>
            </w:tcBorders>
            <w:vAlign w:val="center"/>
          </w:tcPr>
          <w:p w14:paraId="7163C4A3" w14:textId="79B5314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top w:val="single" w:sz="4" w:space="0" w:color="auto"/>
              <w:bottom w:val="nil"/>
            </w:tcBorders>
            <w:tcMar>
              <w:left w:w="57" w:type="dxa"/>
              <w:right w:w="57" w:type="dxa"/>
            </w:tcMar>
            <w:vAlign w:val="center"/>
          </w:tcPr>
          <w:p w14:paraId="1B7B91E9" w14:textId="03252C3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tcBorders>
              <w:top w:val="single" w:sz="4" w:space="0" w:color="auto"/>
              <w:bottom w:val="nil"/>
            </w:tcBorders>
            <w:vAlign w:val="center"/>
          </w:tcPr>
          <w:p w14:paraId="6E995250" w14:textId="5DD7BC1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top w:val="single" w:sz="4" w:space="0" w:color="auto"/>
              <w:bottom w:val="nil"/>
            </w:tcBorders>
            <w:tcMar>
              <w:left w:w="57" w:type="dxa"/>
              <w:right w:w="57" w:type="dxa"/>
            </w:tcMar>
            <w:vAlign w:val="center"/>
          </w:tcPr>
          <w:p w14:paraId="0AF7A986" w14:textId="2FE4C06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Borders>
              <w:top w:val="single" w:sz="4" w:space="0" w:color="auto"/>
              <w:bottom w:val="nil"/>
            </w:tcBorders>
            <w:tcMar>
              <w:left w:w="57" w:type="dxa"/>
              <w:right w:w="57" w:type="dxa"/>
            </w:tcMar>
            <w:vAlign w:val="center"/>
          </w:tcPr>
          <w:p w14:paraId="5A2F20DE" w14:textId="46C985F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485</w:t>
            </w:r>
          </w:p>
        </w:tc>
        <w:tc>
          <w:tcPr>
            <w:tcW w:w="368" w:type="pct"/>
            <w:tcBorders>
              <w:top w:val="single" w:sz="4" w:space="0" w:color="auto"/>
              <w:bottom w:val="nil"/>
            </w:tcBorders>
            <w:tcMar>
              <w:left w:w="57" w:type="dxa"/>
              <w:right w:w="57" w:type="dxa"/>
            </w:tcMar>
            <w:vAlign w:val="center"/>
          </w:tcPr>
          <w:p w14:paraId="5D0CBE69" w14:textId="11A2526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Borders>
              <w:top w:val="single" w:sz="4" w:space="0" w:color="auto"/>
              <w:bottom w:val="nil"/>
            </w:tcBorders>
            <w:tcMar>
              <w:left w:w="57" w:type="dxa"/>
              <w:right w:w="57" w:type="dxa"/>
            </w:tcMar>
            <w:vAlign w:val="center"/>
          </w:tcPr>
          <w:p w14:paraId="4CF1B336" w14:textId="032168C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Borders>
              <w:top w:val="single" w:sz="4" w:space="0" w:color="auto"/>
              <w:bottom w:val="nil"/>
            </w:tcBorders>
            <w:tcMar>
              <w:left w:w="57" w:type="dxa"/>
              <w:right w:w="57" w:type="dxa"/>
            </w:tcMar>
            <w:vAlign w:val="center"/>
          </w:tcPr>
          <w:p w14:paraId="6F74FC20" w14:textId="2ED9B8D5"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Borders>
              <w:top w:val="single" w:sz="4" w:space="0" w:color="auto"/>
              <w:bottom w:val="nil"/>
            </w:tcBorders>
            <w:shd w:val="clear" w:color="auto" w:fill="auto"/>
            <w:tcMar>
              <w:left w:w="57" w:type="dxa"/>
              <w:right w:w="57" w:type="dxa"/>
            </w:tcMar>
            <w:vAlign w:val="center"/>
          </w:tcPr>
          <w:p w14:paraId="75F94BD6" w14:textId="6C94283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334.968.485</w:t>
            </w:r>
          </w:p>
        </w:tc>
      </w:tr>
      <w:tr w:rsidR="003A2A4B" w:rsidRPr="00FB38E1" w14:paraId="08FDCB42" w14:textId="77777777" w:rsidTr="0004668E">
        <w:tc>
          <w:tcPr>
            <w:tcW w:w="101" w:type="pct"/>
            <w:tcBorders>
              <w:top w:val="nil"/>
            </w:tcBorders>
            <w:tcMar>
              <w:left w:w="57" w:type="dxa"/>
              <w:right w:w="57" w:type="dxa"/>
            </w:tcMar>
          </w:tcPr>
          <w:p w14:paraId="4B9EB7C4"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2</w:t>
            </w:r>
          </w:p>
        </w:tc>
        <w:tc>
          <w:tcPr>
            <w:tcW w:w="862" w:type="pct"/>
            <w:gridSpan w:val="2"/>
            <w:tcBorders>
              <w:top w:val="nil"/>
            </w:tcBorders>
            <w:tcMar>
              <w:left w:w="57" w:type="dxa"/>
              <w:right w:w="57" w:type="dxa"/>
            </w:tcMar>
          </w:tcPr>
          <w:p w14:paraId="22FCBC23"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Bölgesel yönetimlerden veya yerel yönetimlerden alacaklar</w:t>
            </w:r>
          </w:p>
        </w:tc>
        <w:tc>
          <w:tcPr>
            <w:tcW w:w="256" w:type="pct"/>
            <w:tcBorders>
              <w:top w:val="nil"/>
            </w:tcBorders>
            <w:tcMar>
              <w:left w:w="57" w:type="dxa"/>
              <w:right w:w="57" w:type="dxa"/>
            </w:tcMar>
            <w:vAlign w:val="center"/>
          </w:tcPr>
          <w:p w14:paraId="54CA4DB3" w14:textId="73E8AF3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Borders>
              <w:top w:val="nil"/>
            </w:tcBorders>
            <w:tcMar>
              <w:left w:w="57" w:type="dxa"/>
              <w:right w:w="57" w:type="dxa"/>
            </w:tcMar>
            <w:vAlign w:val="center"/>
          </w:tcPr>
          <w:p w14:paraId="7013B4B3" w14:textId="18ACCDB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Borders>
              <w:top w:val="nil"/>
            </w:tcBorders>
            <w:tcMar>
              <w:left w:w="57" w:type="dxa"/>
              <w:right w:w="57" w:type="dxa"/>
            </w:tcMar>
            <w:vAlign w:val="center"/>
          </w:tcPr>
          <w:p w14:paraId="3F082DB7" w14:textId="75E0538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87</w:t>
            </w:r>
          </w:p>
        </w:tc>
        <w:tc>
          <w:tcPr>
            <w:tcW w:w="387" w:type="pct"/>
            <w:tcBorders>
              <w:top w:val="nil"/>
            </w:tcBorders>
            <w:vAlign w:val="center"/>
          </w:tcPr>
          <w:p w14:paraId="37CE9488" w14:textId="65E0BF1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top w:val="nil"/>
            </w:tcBorders>
            <w:tcMar>
              <w:left w:w="57" w:type="dxa"/>
              <w:right w:w="57" w:type="dxa"/>
            </w:tcMar>
            <w:vAlign w:val="center"/>
          </w:tcPr>
          <w:p w14:paraId="0B24F116" w14:textId="39AC198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tcBorders>
              <w:top w:val="nil"/>
            </w:tcBorders>
            <w:vAlign w:val="center"/>
          </w:tcPr>
          <w:p w14:paraId="23419E01" w14:textId="354A9B3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7.314.939</w:t>
            </w:r>
          </w:p>
        </w:tc>
        <w:tc>
          <w:tcPr>
            <w:tcW w:w="368" w:type="pct"/>
            <w:tcBorders>
              <w:top w:val="nil"/>
            </w:tcBorders>
            <w:tcMar>
              <w:left w:w="57" w:type="dxa"/>
              <w:right w:w="57" w:type="dxa"/>
            </w:tcMar>
            <w:vAlign w:val="center"/>
          </w:tcPr>
          <w:p w14:paraId="27574B01" w14:textId="3273B47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Borders>
              <w:top w:val="nil"/>
            </w:tcBorders>
            <w:tcMar>
              <w:left w:w="57" w:type="dxa"/>
              <w:right w:w="57" w:type="dxa"/>
            </w:tcMar>
            <w:vAlign w:val="center"/>
          </w:tcPr>
          <w:p w14:paraId="5AE53982" w14:textId="015A4E0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top w:val="nil"/>
            </w:tcBorders>
            <w:tcMar>
              <w:left w:w="57" w:type="dxa"/>
              <w:right w:w="57" w:type="dxa"/>
            </w:tcMar>
            <w:vAlign w:val="center"/>
          </w:tcPr>
          <w:p w14:paraId="26DC0965" w14:textId="4240B72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Borders>
              <w:top w:val="nil"/>
            </w:tcBorders>
            <w:tcMar>
              <w:left w:w="57" w:type="dxa"/>
              <w:right w:w="57" w:type="dxa"/>
            </w:tcMar>
            <w:vAlign w:val="center"/>
          </w:tcPr>
          <w:p w14:paraId="62612103" w14:textId="18D75E9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Borders>
              <w:top w:val="nil"/>
            </w:tcBorders>
            <w:tcMar>
              <w:left w:w="57" w:type="dxa"/>
              <w:right w:w="57" w:type="dxa"/>
            </w:tcMar>
            <w:vAlign w:val="center"/>
          </w:tcPr>
          <w:p w14:paraId="433C4835" w14:textId="080621C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Borders>
              <w:top w:val="nil"/>
            </w:tcBorders>
            <w:tcMar>
              <w:left w:w="57" w:type="dxa"/>
              <w:right w:w="57" w:type="dxa"/>
            </w:tcMar>
            <w:vAlign w:val="center"/>
          </w:tcPr>
          <w:p w14:paraId="7AAAE41B" w14:textId="3693EA4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7.315.026</w:t>
            </w:r>
          </w:p>
        </w:tc>
      </w:tr>
      <w:tr w:rsidR="003A2A4B" w:rsidRPr="00FB38E1" w14:paraId="0B17E830" w14:textId="77777777" w:rsidTr="0004668E">
        <w:tc>
          <w:tcPr>
            <w:tcW w:w="101" w:type="pct"/>
            <w:tcMar>
              <w:left w:w="57" w:type="dxa"/>
              <w:right w:w="57" w:type="dxa"/>
            </w:tcMar>
          </w:tcPr>
          <w:p w14:paraId="0B6B68BD"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3</w:t>
            </w:r>
          </w:p>
        </w:tc>
        <w:tc>
          <w:tcPr>
            <w:tcW w:w="862" w:type="pct"/>
            <w:gridSpan w:val="2"/>
            <w:tcMar>
              <w:left w:w="57" w:type="dxa"/>
              <w:right w:w="57" w:type="dxa"/>
            </w:tcMar>
          </w:tcPr>
          <w:p w14:paraId="329DD242"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İdari birimlerden ve ticari olmayan girişimlerden alacaklar</w:t>
            </w:r>
          </w:p>
        </w:tc>
        <w:tc>
          <w:tcPr>
            <w:tcW w:w="256" w:type="pct"/>
            <w:tcMar>
              <w:left w:w="57" w:type="dxa"/>
              <w:right w:w="57" w:type="dxa"/>
            </w:tcMar>
            <w:vAlign w:val="center"/>
          </w:tcPr>
          <w:p w14:paraId="6B97FF45" w14:textId="09B767E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4128FD57" w14:textId="6268BFD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5C8BD56F" w14:textId="4E4D126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7B87F390" w14:textId="5AC8962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997DF43" w14:textId="64F4401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425CE23C" w14:textId="65AA1C4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005FE9EC" w14:textId="5CE5080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7A9DB934" w14:textId="025CE55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1.646.073</w:t>
            </w:r>
          </w:p>
        </w:tc>
        <w:tc>
          <w:tcPr>
            <w:tcW w:w="368" w:type="pct"/>
            <w:tcMar>
              <w:left w:w="57" w:type="dxa"/>
              <w:right w:w="57" w:type="dxa"/>
            </w:tcMar>
            <w:vAlign w:val="center"/>
          </w:tcPr>
          <w:p w14:paraId="0FD7021F" w14:textId="2A79C1C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46791549" w14:textId="158757E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2E3269F0" w14:textId="541D440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5F16DC8D" w14:textId="4AFCD65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1.646.073</w:t>
            </w:r>
          </w:p>
        </w:tc>
      </w:tr>
      <w:tr w:rsidR="003A2A4B" w:rsidRPr="00FB38E1" w14:paraId="18F64590" w14:textId="77777777" w:rsidTr="0004668E">
        <w:tc>
          <w:tcPr>
            <w:tcW w:w="101" w:type="pct"/>
            <w:tcMar>
              <w:left w:w="57" w:type="dxa"/>
              <w:right w:w="57" w:type="dxa"/>
            </w:tcMar>
          </w:tcPr>
          <w:p w14:paraId="2F33408C"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4</w:t>
            </w:r>
          </w:p>
        </w:tc>
        <w:tc>
          <w:tcPr>
            <w:tcW w:w="862" w:type="pct"/>
            <w:gridSpan w:val="2"/>
            <w:tcMar>
              <w:left w:w="57" w:type="dxa"/>
              <w:right w:w="57" w:type="dxa"/>
            </w:tcMar>
          </w:tcPr>
          <w:p w14:paraId="5C3FFCCB"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Çok taraflı kalkınma bankalarından alacaklar</w:t>
            </w:r>
          </w:p>
        </w:tc>
        <w:tc>
          <w:tcPr>
            <w:tcW w:w="256" w:type="pct"/>
            <w:tcMar>
              <w:left w:w="57" w:type="dxa"/>
              <w:right w:w="57" w:type="dxa"/>
            </w:tcMar>
            <w:vAlign w:val="center"/>
          </w:tcPr>
          <w:p w14:paraId="1DD1F1F5" w14:textId="585E606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1A3C014C" w14:textId="2F75589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0B0A8A6B" w14:textId="22305EC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2E6CDB20" w14:textId="571679B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11F3391" w14:textId="1A16DEF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450A0C74" w14:textId="5B2EA2B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D8CA29F" w14:textId="2D8211B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0747777F" w14:textId="3ED9CBF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5BBFEC6C" w14:textId="5BC4D11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6CDDC84B" w14:textId="355115B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1359D604" w14:textId="6BA19C1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7874192A" w14:textId="4149969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A2A4B" w:rsidRPr="00FB38E1" w14:paraId="7BEB0BAC" w14:textId="77777777" w:rsidTr="0004668E">
        <w:tc>
          <w:tcPr>
            <w:tcW w:w="101" w:type="pct"/>
            <w:tcMar>
              <w:left w:w="57" w:type="dxa"/>
              <w:right w:w="57" w:type="dxa"/>
            </w:tcMar>
          </w:tcPr>
          <w:p w14:paraId="3AD76EF8"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5</w:t>
            </w:r>
          </w:p>
        </w:tc>
        <w:tc>
          <w:tcPr>
            <w:tcW w:w="862" w:type="pct"/>
            <w:gridSpan w:val="2"/>
            <w:tcMar>
              <w:left w:w="57" w:type="dxa"/>
              <w:right w:w="57" w:type="dxa"/>
            </w:tcMar>
          </w:tcPr>
          <w:p w14:paraId="75C8E8C5"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Uluslararası teşkilatlardan alacaklar</w:t>
            </w:r>
          </w:p>
        </w:tc>
        <w:tc>
          <w:tcPr>
            <w:tcW w:w="256" w:type="pct"/>
            <w:tcMar>
              <w:left w:w="57" w:type="dxa"/>
              <w:right w:w="57" w:type="dxa"/>
            </w:tcMar>
            <w:vAlign w:val="center"/>
          </w:tcPr>
          <w:p w14:paraId="3796D51D" w14:textId="6442E2D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307A83A4" w14:textId="497DB41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6718F6B4" w14:textId="1668947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43BD4636" w14:textId="233A6EF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4F3B51E5" w14:textId="48CCC18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31C19496" w14:textId="18DA17B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A6E0286" w14:textId="4502091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1963CC30" w14:textId="5451FB5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49D0A6E" w14:textId="55FC715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37A5F242" w14:textId="53C6302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744B8EB6" w14:textId="2A72F81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11AED9ED" w14:textId="321BFE8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A2A4B" w:rsidRPr="00FB38E1" w14:paraId="54C552DF" w14:textId="77777777" w:rsidTr="0004668E">
        <w:tc>
          <w:tcPr>
            <w:tcW w:w="101" w:type="pct"/>
            <w:tcMar>
              <w:left w:w="57" w:type="dxa"/>
              <w:right w:w="57" w:type="dxa"/>
            </w:tcMar>
          </w:tcPr>
          <w:p w14:paraId="032BB6A1"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6</w:t>
            </w:r>
          </w:p>
        </w:tc>
        <w:tc>
          <w:tcPr>
            <w:tcW w:w="862" w:type="pct"/>
            <w:gridSpan w:val="2"/>
            <w:tcMar>
              <w:left w:w="57" w:type="dxa"/>
              <w:right w:w="57" w:type="dxa"/>
            </w:tcMar>
          </w:tcPr>
          <w:p w14:paraId="3F09FCC1"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Bankalardan ve aracı kurumlardan alacaklar</w:t>
            </w:r>
          </w:p>
        </w:tc>
        <w:tc>
          <w:tcPr>
            <w:tcW w:w="256" w:type="pct"/>
            <w:tcMar>
              <w:left w:w="57" w:type="dxa"/>
              <w:right w:w="57" w:type="dxa"/>
            </w:tcMar>
            <w:vAlign w:val="center"/>
          </w:tcPr>
          <w:p w14:paraId="7D324FC7" w14:textId="5FF6CC7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0E2B8A12" w14:textId="30162F1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375C82EC" w14:textId="1F37D11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66.473.311</w:t>
            </w:r>
          </w:p>
        </w:tc>
        <w:tc>
          <w:tcPr>
            <w:tcW w:w="387" w:type="pct"/>
            <w:vAlign w:val="center"/>
          </w:tcPr>
          <w:p w14:paraId="73175BEB" w14:textId="19CE775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22E2B73" w14:textId="29215025"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2045B5F8" w14:textId="3B1F495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2.990.801</w:t>
            </w:r>
          </w:p>
        </w:tc>
        <w:tc>
          <w:tcPr>
            <w:tcW w:w="368" w:type="pct"/>
            <w:tcMar>
              <w:left w:w="57" w:type="dxa"/>
              <w:right w:w="57" w:type="dxa"/>
            </w:tcMar>
            <w:vAlign w:val="center"/>
          </w:tcPr>
          <w:p w14:paraId="2D62A0BE" w14:textId="23DDC00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3BBD74F6" w14:textId="7124214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5.594.364</w:t>
            </w:r>
          </w:p>
        </w:tc>
        <w:tc>
          <w:tcPr>
            <w:tcW w:w="368" w:type="pct"/>
            <w:tcMar>
              <w:left w:w="57" w:type="dxa"/>
              <w:right w:w="57" w:type="dxa"/>
            </w:tcMar>
            <w:vAlign w:val="center"/>
          </w:tcPr>
          <w:p w14:paraId="6E3CD655" w14:textId="68E32CA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2EF77A55" w14:textId="7CF9590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671CE7AB" w14:textId="1D57A9E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3.137.448</w:t>
            </w:r>
          </w:p>
        </w:tc>
        <w:tc>
          <w:tcPr>
            <w:tcW w:w="403" w:type="pct"/>
            <w:tcMar>
              <w:left w:w="57" w:type="dxa"/>
              <w:right w:w="57" w:type="dxa"/>
            </w:tcMar>
            <w:vAlign w:val="center"/>
          </w:tcPr>
          <w:p w14:paraId="5AF06E53" w14:textId="41C4088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78.195.924</w:t>
            </w:r>
          </w:p>
        </w:tc>
      </w:tr>
      <w:tr w:rsidR="003A2A4B" w:rsidRPr="00FB38E1" w14:paraId="5E16E267" w14:textId="77777777" w:rsidTr="0004668E">
        <w:tc>
          <w:tcPr>
            <w:tcW w:w="101" w:type="pct"/>
            <w:tcMar>
              <w:left w:w="57" w:type="dxa"/>
              <w:right w:w="57" w:type="dxa"/>
            </w:tcMar>
          </w:tcPr>
          <w:p w14:paraId="3109245B"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7</w:t>
            </w:r>
          </w:p>
        </w:tc>
        <w:tc>
          <w:tcPr>
            <w:tcW w:w="862" w:type="pct"/>
            <w:gridSpan w:val="2"/>
            <w:tcMar>
              <w:left w:w="57" w:type="dxa"/>
              <w:right w:w="57" w:type="dxa"/>
            </w:tcMar>
          </w:tcPr>
          <w:p w14:paraId="46C48DC0"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Kurumsal alacaklar</w:t>
            </w:r>
          </w:p>
        </w:tc>
        <w:tc>
          <w:tcPr>
            <w:tcW w:w="256" w:type="pct"/>
            <w:tcMar>
              <w:left w:w="57" w:type="dxa"/>
              <w:right w:w="57" w:type="dxa"/>
            </w:tcMar>
            <w:vAlign w:val="center"/>
          </w:tcPr>
          <w:p w14:paraId="7D7EDEA8" w14:textId="4B49CF6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0730C00E" w14:textId="5039D0C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744497A6" w14:textId="0973591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067AAED9" w14:textId="5F30496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B9271E8" w14:textId="66735D8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2C28982A" w14:textId="3C25E35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C6256A8" w14:textId="6486263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shd w:val="clear" w:color="auto" w:fill="auto"/>
            <w:tcMar>
              <w:left w:w="57" w:type="dxa"/>
              <w:right w:w="57" w:type="dxa"/>
            </w:tcMar>
            <w:vAlign w:val="center"/>
          </w:tcPr>
          <w:p w14:paraId="53A324E0" w14:textId="104F43E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268.002.763</w:t>
            </w:r>
          </w:p>
        </w:tc>
        <w:tc>
          <w:tcPr>
            <w:tcW w:w="368" w:type="pct"/>
            <w:tcMar>
              <w:left w:w="57" w:type="dxa"/>
              <w:right w:w="57" w:type="dxa"/>
            </w:tcMar>
            <w:vAlign w:val="center"/>
          </w:tcPr>
          <w:p w14:paraId="34CA87E8" w14:textId="3AB27D7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58CCA3A6" w14:textId="1FFB9A7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3DAF0560" w14:textId="52A4748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23.808</w:t>
            </w:r>
          </w:p>
        </w:tc>
        <w:tc>
          <w:tcPr>
            <w:tcW w:w="403" w:type="pct"/>
            <w:tcMar>
              <w:left w:w="57" w:type="dxa"/>
              <w:right w:w="57" w:type="dxa"/>
            </w:tcMar>
            <w:vAlign w:val="center"/>
          </w:tcPr>
          <w:p w14:paraId="7E6E0731" w14:textId="16164D9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268.026.571</w:t>
            </w:r>
          </w:p>
        </w:tc>
      </w:tr>
      <w:tr w:rsidR="003A2A4B" w:rsidRPr="00FB38E1" w14:paraId="116DB37D" w14:textId="77777777" w:rsidTr="0004668E">
        <w:tc>
          <w:tcPr>
            <w:tcW w:w="101" w:type="pct"/>
            <w:tcMar>
              <w:left w:w="57" w:type="dxa"/>
              <w:right w:w="57" w:type="dxa"/>
            </w:tcMar>
          </w:tcPr>
          <w:p w14:paraId="2EF87025"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8</w:t>
            </w:r>
          </w:p>
        </w:tc>
        <w:tc>
          <w:tcPr>
            <w:tcW w:w="862" w:type="pct"/>
            <w:gridSpan w:val="2"/>
            <w:tcMar>
              <w:left w:w="57" w:type="dxa"/>
              <w:right w:w="57" w:type="dxa"/>
            </w:tcMar>
          </w:tcPr>
          <w:p w14:paraId="0BF31668"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Perakende alacaklar</w:t>
            </w:r>
          </w:p>
        </w:tc>
        <w:tc>
          <w:tcPr>
            <w:tcW w:w="256" w:type="pct"/>
            <w:tcMar>
              <w:left w:w="57" w:type="dxa"/>
              <w:right w:w="57" w:type="dxa"/>
            </w:tcMar>
            <w:vAlign w:val="center"/>
          </w:tcPr>
          <w:p w14:paraId="07AF5AE4" w14:textId="52DFA4E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6D3E9EC3" w14:textId="6A4B9DF5"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165D990D" w14:textId="4770501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1FC54517" w14:textId="35746FF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DF85420" w14:textId="1127299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6AC0487B" w14:textId="56D4669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DA9966F" w14:textId="5BAA2E1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354.970.331</w:t>
            </w:r>
          </w:p>
        </w:tc>
        <w:tc>
          <w:tcPr>
            <w:tcW w:w="403" w:type="pct"/>
            <w:tcMar>
              <w:left w:w="57" w:type="dxa"/>
              <w:right w:w="57" w:type="dxa"/>
            </w:tcMar>
            <w:vAlign w:val="center"/>
          </w:tcPr>
          <w:p w14:paraId="1DFD14EA" w14:textId="221C53A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2.346.847</w:t>
            </w:r>
          </w:p>
        </w:tc>
        <w:tc>
          <w:tcPr>
            <w:tcW w:w="368" w:type="pct"/>
            <w:tcMar>
              <w:left w:w="57" w:type="dxa"/>
              <w:right w:w="57" w:type="dxa"/>
            </w:tcMar>
            <w:vAlign w:val="center"/>
          </w:tcPr>
          <w:p w14:paraId="111820C3" w14:textId="316848C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65ADA4D1" w14:textId="584C847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5198C6CF" w14:textId="7ADD95B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34.097</w:t>
            </w:r>
          </w:p>
        </w:tc>
        <w:tc>
          <w:tcPr>
            <w:tcW w:w="403" w:type="pct"/>
            <w:tcMar>
              <w:left w:w="57" w:type="dxa"/>
              <w:right w:w="57" w:type="dxa"/>
            </w:tcMar>
            <w:vAlign w:val="center"/>
          </w:tcPr>
          <w:p w14:paraId="6D0FC7B7" w14:textId="3706943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357.351.275</w:t>
            </w:r>
          </w:p>
        </w:tc>
      </w:tr>
      <w:tr w:rsidR="003A2A4B" w:rsidRPr="00FB38E1" w14:paraId="274E17DF" w14:textId="77777777" w:rsidTr="0004668E">
        <w:tc>
          <w:tcPr>
            <w:tcW w:w="101" w:type="pct"/>
            <w:tcMar>
              <w:left w:w="57" w:type="dxa"/>
              <w:right w:w="57" w:type="dxa"/>
            </w:tcMar>
          </w:tcPr>
          <w:p w14:paraId="388B8D90"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9</w:t>
            </w:r>
          </w:p>
        </w:tc>
        <w:tc>
          <w:tcPr>
            <w:tcW w:w="862" w:type="pct"/>
            <w:gridSpan w:val="2"/>
            <w:tcMar>
              <w:left w:w="57" w:type="dxa"/>
              <w:right w:w="57" w:type="dxa"/>
            </w:tcMar>
          </w:tcPr>
          <w:p w14:paraId="5CC2AE45"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İkamet amaçlı gayrimenkul ipoteği ile teminatlandırılan alacaklar</w:t>
            </w:r>
          </w:p>
        </w:tc>
        <w:tc>
          <w:tcPr>
            <w:tcW w:w="256" w:type="pct"/>
            <w:tcMar>
              <w:left w:w="57" w:type="dxa"/>
              <w:right w:w="57" w:type="dxa"/>
            </w:tcMar>
            <w:vAlign w:val="center"/>
          </w:tcPr>
          <w:p w14:paraId="33A4688E" w14:textId="0A21AD5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454BE11C" w14:textId="2C78B495"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0B07BAA1" w14:textId="0239D55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428F6298" w14:textId="7C3B71C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19.323.510</w:t>
            </w:r>
          </w:p>
        </w:tc>
        <w:tc>
          <w:tcPr>
            <w:tcW w:w="368" w:type="pct"/>
            <w:tcMar>
              <w:left w:w="57" w:type="dxa"/>
              <w:right w:w="57" w:type="dxa"/>
            </w:tcMar>
            <w:vAlign w:val="center"/>
          </w:tcPr>
          <w:p w14:paraId="11C62C3A" w14:textId="0BFC560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7A9B59B9" w14:textId="78A5C15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34CE184D" w14:textId="7097747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618712D2" w14:textId="3233B7E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15E9DBC2" w14:textId="220B1BB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47A0504E" w14:textId="308D8FB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6C35AE54" w14:textId="5B2C5AB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32.902</w:t>
            </w:r>
          </w:p>
        </w:tc>
        <w:tc>
          <w:tcPr>
            <w:tcW w:w="403" w:type="pct"/>
            <w:tcMar>
              <w:left w:w="57" w:type="dxa"/>
              <w:right w:w="57" w:type="dxa"/>
            </w:tcMar>
            <w:vAlign w:val="center"/>
          </w:tcPr>
          <w:p w14:paraId="626DBF3B" w14:textId="14FAAB7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19.356.412</w:t>
            </w:r>
          </w:p>
        </w:tc>
      </w:tr>
      <w:tr w:rsidR="003A2A4B" w:rsidRPr="00FB38E1" w14:paraId="77199204" w14:textId="77777777" w:rsidTr="0004668E">
        <w:tc>
          <w:tcPr>
            <w:tcW w:w="101" w:type="pct"/>
            <w:tcMar>
              <w:left w:w="57" w:type="dxa"/>
              <w:right w:w="57" w:type="dxa"/>
            </w:tcMar>
          </w:tcPr>
          <w:p w14:paraId="79F68CE4"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10</w:t>
            </w:r>
          </w:p>
        </w:tc>
        <w:tc>
          <w:tcPr>
            <w:tcW w:w="862" w:type="pct"/>
            <w:gridSpan w:val="2"/>
            <w:tcMar>
              <w:left w:w="57" w:type="dxa"/>
              <w:right w:w="57" w:type="dxa"/>
            </w:tcMar>
          </w:tcPr>
          <w:p w14:paraId="02880097"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Ticari amaçlı gayrimenkul ipoteği ile teminatlandırılan alacaklar</w:t>
            </w:r>
          </w:p>
        </w:tc>
        <w:tc>
          <w:tcPr>
            <w:tcW w:w="256" w:type="pct"/>
            <w:tcMar>
              <w:left w:w="57" w:type="dxa"/>
              <w:right w:w="57" w:type="dxa"/>
            </w:tcMar>
            <w:vAlign w:val="center"/>
          </w:tcPr>
          <w:p w14:paraId="368B5AC7" w14:textId="1700D02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1B26476F" w14:textId="15FD58C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268F2E37" w14:textId="3A46396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5DECB2FE" w14:textId="445D1ED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5C9BB142" w14:textId="638A8BB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71.168.234</w:t>
            </w:r>
          </w:p>
        </w:tc>
        <w:tc>
          <w:tcPr>
            <w:tcW w:w="421" w:type="pct"/>
            <w:vAlign w:val="center"/>
          </w:tcPr>
          <w:p w14:paraId="5BEC1BE6" w14:textId="38B8B98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0BF7281D" w14:textId="7777ABB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23CAA70B" w14:textId="4D2269A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5.903.488</w:t>
            </w:r>
          </w:p>
        </w:tc>
        <w:tc>
          <w:tcPr>
            <w:tcW w:w="368" w:type="pct"/>
            <w:tcMar>
              <w:left w:w="57" w:type="dxa"/>
              <w:right w:w="57" w:type="dxa"/>
            </w:tcMar>
            <w:vAlign w:val="center"/>
          </w:tcPr>
          <w:p w14:paraId="307727EA" w14:textId="793E5C7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66430A75" w14:textId="7E62F88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34F50B2A" w14:textId="6596106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130.732</w:t>
            </w:r>
          </w:p>
        </w:tc>
        <w:tc>
          <w:tcPr>
            <w:tcW w:w="403" w:type="pct"/>
            <w:tcMar>
              <w:left w:w="57" w:type="dxa"/>
              <w:right w:w="57" w:type="dxa"/>
            </w:tcMar>
            <w:vAlign w:val="center"/>
          </w:tcPr>
          <w:p w14:paraId="37BA09DF" w14:textId="4FD6EFD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77.202.454</w:t>
            </w:r>
          </w:p>
        </w:tc>
      </w:tr>
      <w:tr w:rsidR="003A2A4B" w:rsidRPr="00FB38E1" w14:paraId="61711ACD" w14:textId="77777777" w:rsidTr="0004668E">
        <w:tc>
          <w:tcPr>
            <w:tcW w:w="101" w:type="pct"/>
            <w:tcMar>
              <w:left w:w="57" w:type="dxa"/>
              <w:right w:w="57" w:type="dxa"/>
            </w:tcMar>
          </w:tcPr>
          <w:p w14:paraId="2B0393C6"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11</w:t>
            </w:r>
          </w:p>
        </w:tc>
        <w:tc>
          <w:tcPr>
            <w:tcW w:w="862" w:type="pct"/>
            <w:gridSpan w:val="2"/>
            <w:tcMar>
              <w:left w:w="57" w:type="dxa"/>
              <w:right w:w="57" w:type="dxa"/>
            </w:tcMar>
          </w:tcPr>
          <w:p w14:paraId="4348D132"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Tahsili gecikmiş alacaklar</w:t>
            </w:r>
          </w:p>
        </w:tc>
        <w:tc>
          <w:tcPr>
            <w:tcW w:w="256" w:type="pct"/>
            <w:tcMar>
              <w:left w:w="57" w:type="dxa"/>
              <w:right w:w="57" w:type="dxa"/>
            </w:tcMar>
            <w:vAlign w:val="center"/>
          </w:tcPr>
          <w:p w14:paraId="5B8E42D4" w14:textId="3D8F148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7BA6ACC8" w14:textId="47560D7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443F78D4" w14:textId="26B5D37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520B46BD" w14:textId="0D4F150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15A5A5D1" w14:textId="0C91DA45"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0ED6FEA6" w14:textId="0EC6257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4.405.955</w:t>
            </w:r>
          </w:p>
        </w:tc>
        <w:tc>
          <w:tcPr>
            <w:tcW w:w="368" w:type="pct"/>
            <w:tcMar>
              <w:left w:w="57" w:type="dxa"/>
              <w:right w:w="57" w:type="dxa"/>
            </w:tcMar>
            <w:vAlign w:val="center"/>
          </w:tcPr>
          <w:p w14:paraId="68F3D0DD" w14:textId="58CC541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6CA08EB7" w14:textId="2CC224A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5.928.735</w:t>
            </w:r>
          </w:p>
        </w:tc>
        <w:tc>
          <w:tcPr>
            <w:tcW w:w="368" w:type="pct"/>
            <w:tcMar>
              <w:left w:w="57" w:type="dxa"/>
              <w:right w:w="57" w:type="dxa"/>
            </w:tcMar>
            <w:vAlign w:val="center"/>
          </w:tcPr>
          <w:p w14:paraId="668FF9EA" w14:textId="491F644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132.723</w:t>
            </w:r>
          </w:p>
        </w:tc>
        <w:tc>
          <w:tcPr>
            <w:tcW w:w="256" w:type="pct"/>
            <w:tcMar>
              <w:left w:w="57" w:type="dxa"/>
              <w:right w:w="57" w:type="dxa"/>
            </w:tcMar>
            <w:vAlign w:val="center"/>
          </w:tcPr>
          <w:p w14:paraId="3C737487" w14:textId="10AC69B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344A35D0" w14:textId="24F4A02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1DFF2D14" w14:textId="4BD086E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10.467.413</w:t>
            </w:r>
          </w:p>
        </w:tc>
      </w:tr>
      <w:tr w:rsidR="003A2A4B" w:rsidRPr="00FB38E1" w14:paraId="1F0FD770" w14:textId="77777777" w:rsidTr="0004668E">
        <w:tc>
          <w:tcPr>
            <w:tcW w:w="101" w:type="pct"/>
            <w:tcMar>
              <w:left w:w="57" w:type="dxa"/>
              <w:right w:w="57" w:type="dxa"/>
            </w:tcMar>
          </w:tcPr>
          <w:p w14:paraId="4B1E0FB3"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12</w:t>
            </w:r>
          </w:p>
        </w:tc>
        <w:tc>
          <w:tcPr>
            <w:tcW w:w="862" w:type="pct"/>
            <w:gridSpan w:val="2"/>
            <w:tcMar>
              <w:left w:w="57" w:type="dxa"/>
              <w:right w:w="57" w:type="dxa"/>
            </w:tcMar>
          </w:tcPr>
          <w:p w14:paraId="5B4D2F13"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Kurulca riski yüksek belirlenmiş alacaklar</w:t>
            </w:r>
          </w:p>
        </w:tc>
        <w:tc>
          <w:tcPr>
            <w:tcW w:w="256" w:type="pct"/>
            <w:tcMar>
              <w:left w:w="57" w:type="dxa"/>
              <w:right w:w="57" w:type="dxa"/>
            </w:tcMar>
            <w:vAlign w:val="center"/>
          </w:tcPr>
          <w:p w14:paraId="3B13DF11" w14:textId="06DCA95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04616FFD" w14:textId="38F63395"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2911E419" w14:textId="3629E77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2E686CD9" w14:textId="582F563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77248B88" w14:textId="4F186DC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5009E448" w14:textId="502977A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6876C02" w14:textId="4A33330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34475800" w14:textId="0AC716D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3007D895" w14:textId="78E626E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380CAB24" w14:textId="180D233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590E43D7" w14:textId="4666F473"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134D7F0D" w14:textId="439F37B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A2A4B" w:rsidRPr="00FB38E1" w14:paraId="12E2F968" w14:textId="77777777" w:rsidTr="0004668E">
        <w:tc>
          <w:tcPr>
            <w:tcW w:w="101" w:type="pct"/>
            <w:tcMar>
              <w:left w:w="57" w:type="dxa"/>
              <w:right w:w="57" w:type="dxa"/>
            </w:tcMar>
          </w:tcPr>
          <w:p w14:paraId="3DC8A2A1"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13</w:t>
            </w:r>
          </w:p>
        </w:tc>
        <w:tc>
          <w:tcPr>
            <w:tcW w:w="862" w:type="pct"/>
            <w:gridSpan w:val="2"/>
            <w:tcMar>
              <w:left w:w="57" w:type="dxa"/>
              <w:right w:w="57" w:type="dxa"/>
            </w:tcMar>
          </w:tcPr>
          <w:p w14:paraId="5513C424"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İpotek teminatlı menkul kıymetler</w:t>
            </w:r>
          </w:p>
        </w:tc>
        <w:tc>
          <w:tcPr>
            <w:tcW w:w="256" w:type="pct"/>
            <w:tcMar>
              <w:left w:w="57" w:type="dxa"/>
              <w:right w:w="57" w:type="dxa"/>
            </w:tcMar>
            <w:vAlign w:val="center"/>
          </w:tcPr>
          <w:p w14:paraId="7258881E" w14:textId="5065C7F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496AEE72" w14:textId="1C8F60F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264A5585" w14:textId="70881A2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0CBF9B72" w14:textId="1375005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DBB2CDF" w14:textId="77448DD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00B5334B" w14:textId="2A0B989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427D7446" w14:textId="50D08D6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61E28BD4" w14:textId="6AEDA6D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4B1B269F" w14:textId="459E60E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6BA57D19" w14:textId="5AED49D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46BD1208" w14:textId="4F2B497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5E6990C0" w14:textId="3CBF61B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A2A4B" w:rsidRPr="00FB38E1" w14:paraId="6B324E74" w14:textId="77777777" w:rsidTr="0004668E">
        <w:tc>
          <w:tcPr>
            <w:tcW w:w="101" w:type="pct"/>
            <w:tcMar>
              <w:left w:w="57" w:type="dxa"/>
              <w:right w:w="57" w:type="dxa"/>
            </w:tcMar>
          </w:tcPr>
          <w:p w14:paraId="2886D496"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14</w:t>
            </w:r>
          </w:p>
        </w:tc>
        <w:tc>
          <w:tcPr>
            <w:tcW w:w="862" w:type="pct"/>
            <w:gridSpan w:val="2"/>
            <w:tcMar>
              <w:left w:w="57" w:type="dxa"/>
              <w:right w:w="57" w:type="dxa"/>
            </w:tcMar>
          </w:tcPr>
          <w:p w14:paraId="5796551C"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Bankalar ve aracı kurumlardan olan kısa vadeli alacaklar ile kısa vadeli kurumsal alacaklar</w:t>
            </w:r>
          </w:p>
        </w:tc>
        <w:tc>
          <w:tcPr>
            <w:tcW w:w="256" w:type="pct"/>
            <w:tcMar>
              <w:left w:w="57" w:type="dxa"/>
              <w:right w:w="57" w:type="dxa"/>
            </w:tcMar>
            <w:vAlign w:val="center"/>
          </w:tcPr>
          <w:p w14:paraId="3D4BEC1D" w14:textId="3DFBD66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24ADDF51" w14:textId="5623390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3D5CE48B" w14:textId="1057D82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2FB8723A" w14:textId="66762FE6"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5202EAB8" w14:textId="4B7EC6E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54F371E7" w14:textId="402BA02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1A659BB0" w14:textId="4C71512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47127093" w14:textId="6A675FC7"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97595BD" w14:textId="122C7A8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1EFE4170" w14:textId="2159BF7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1B212DFF" w14:textId="14FCE565"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62EE4DFA" w14:textId="2232BBA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A2A4B" w:rsidRPr="00FB38E1" w14:paraId="5E270CD0" w14:textId="77777777" w:rsidTr="0004668E">
        <w:tc>
          <w:tcPr>
            <w:tcW w:w="101" w:type="pct"/>
            <w:tcMar>
              <w:left w:w="57" w:type="dxa"/>
              <w:right w:w="57" w:type="dxa"/>
            </w:tcMar>
          </w:tcPr>
          <w:p w14:paraId="03F8A1CB"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15</w:t>
            </w:r>
          </w:p>
        </w:tc>
        <w:tc>
          <w:tcPr>
            <w:tcW w:w="862" w:type="pct"/>
            <w:gridSpan w:val="2"/>
            <w:tcMar>
              <w:left w:w="57" w:type="dxa"/>
              <w:right w:w="57" w:type="dxa"/>
            </w:tcMar>
          </w:tcPr>
          <w:p w14:paraId="7463A0B7"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Kollektif yatırım kuruluşu niteliğindeki yatırımlar</w:t>
            </w:r>
          </w:p>
        </w:tc>
        <w:tc>
          <w:tcPr>
            <w:tcW w:w="256" w:type="pct"/>
            <w:tcMar>
              <w:left w:w="57" w:type="dxa"/>
              <w:right w:w="57" w:type="dxa"/>
            </w:tcMar>
            <w:vAlign w:val="center"/>
          </w:tcPr>
          <w:p w14:paraId="2D19809F" w14:textId="040214A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46681C38" w14:textId="1CEACE5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230F5C9F" w14:textId="0CE54DD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1F611628" w14:textId="25B4612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A9BC090" w14:textId="3D161B4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743751D1" w14:textId="3777DF4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094AA249" w14:textId="7C7E6DA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0F40789B" w14:textId="665C67C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90.244</w:t>
            </w:r>
          </w:p>
        </w:tc>
        <w:tc>
          <w:tcPr>
            <w:tcW w:w="368" w:type="pct"/>
            <w:tcMar>
              <w:left w:w="57" w:type="dxa"/>
              <w:right w:w="57" w:type="dxa"/>
            </w:tcMar>
            <w:vAlign w:val="center"/>
          </w:tcPr>
          <w:p w14:paraId="375F7A9F" w14:textId="6286C85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64EFF4F6" w14:textId="67A00D4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64955AFB" w14:textId="42354E5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50D03250" w14:textId="7BDA641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90.244</w:t>
            </w:r>
          </w:p>
        </w:tc>
      </w:tr>
      <w:tr w:rsidR="003A2A4B" w:rsidRPr="00FB38E1" w14:paraId="00B20417" w14:textId="77777777" w:rsidTr="0004668E">
        <w:tc>
          <w:tcPr>
            <w:tcW w:w="101" w:type="pct"/>
            <w:tcMar>
              <w:left w:w="57" w:type="dxa"/>
              <w:right w:w="57" w:type="dxa"/>
            </w:tcMar>
          </w:tcPr>
          <w:p w14:paraId="1B237B08"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16</w:t>
            </w:r>
          </w:p>
        </w:tc>
        <w:tc>
          <w:tcPr>
            <w:tcW w:w="862" w:type="pct"/>
            <w:gridSpan w:val="2"/>
            <w:tcMar>
              <w:left w:w="57" w:type="dxa"/>
              <w:right w:w="57" w:type="dxa"/>
            </w:tcMar>
          </w:tcPr>
          <w:p w14:paraId="3B3391DC"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Hisse senedi yatırımları</w:t>
            </w:r>
          </w:p>
        </w:tc>
        <w:tc>
          <w:tcPr>
            <w:tcW w:w="256" w:type="pct"/>
            <w:tcMar>
              <w:left w:w="57" w:type="dxa"/>
              <w:right w:w="57" w:type="dxa"/>
            </w:tcMar>
            <w:vAlign w:val="center"/>
          </w:tcPr>
          <w:p w14:paraId="446F885A" w14:textId="03DEFD2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05CEBFF6" w14:textId="365DC6E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67A6FCFB" w14:textId="0FAEB9E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0C44275E" w14:textId="44421B3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DA6F021" w14:textId="471A5F8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7856F78E" w14:textId="15124269"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3B63ED0F" w14:textId="72BA96A5"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038A36A3" w14:textId="4E1152A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88.469.380</w:t>
            </w:r>
          </w:p>
        </w:tc>
        <w:tc>
          <w:tcPr>
            <w:tcW w:w="368" w:type="pct"/>
            <w:tcMar>
              <w:left w:w="57" w:type="dxa"/>
              <w:right w:w="57" w:type="dxa"/>
            </w:tcMar>
            <w:vAlign w:val="center"/>
          </w:tcPr>
          <w:p w14:paraId="685ECB0D" w14:textId="7AD617D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17A0A8A3" w14:textId="6914AC3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097232CF" w14:textId="4BADB4ED"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7D13EE83" w14:textId="220D00E0"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88.469.380</w:t>
            </w:r>
          </w:p>
        </w:tc>
      </w:tr>
      <w:tr w:rsidR="003A2A4B" w:rsidRPr="00FB38E1" w14:paraId="3F89F785" w14:textId="77777777" w:rsidTr="0004668E">
        <w:tc>
          <w:tcPr>
            <w:tcW w:w="101" w:type="pct"/>
            <w:tcBorders>
              <w:bottom w:val="single" w:sz="4" w:space="0" w:color="auto"/>
            </w:tcBorders>
            <w:tcMar>
              <w:left w:w="57" w:type="dxa"/>
              <w:right w:w="57" w:type="dxa"/>
            </w:tcMar>
          </w:tcPr>
          <w:p w14:paraId="48539A6E" w14:textId="77777777" w:rsidR="003A2A4B" w:rsidRPr="00FB38E1" w:rsidRDefault="003A2A4B" w:rsidP="003A2A4B">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17</w:t>
            </w:r>
          </w:p>
        </w:tc>
        <w:tc>
          <w:tcPr>
            <w:tcW w:w="862" w:type="pct"/>
            <w:gridSpan w:val="2"/>
            <w:tcBorders>
              <w:bottom w:val="single" w:sz="4" w:space="0" w:color="auto"/>
            </w:tcBorders>
            <w:tcMar>
              <w:left w:w="57" w:type="dxa"/>
              <w:right w:w="57" w:type="dxa"/>
            </w:tcMar>
          </w:tcPr>
          <w:p w14:paraId="4A585104" w14:textId="77777777" w:rsidR="003A2A4B" w:rsidRPr="00FB38E1" w:rsidRDefault="003A2A4B" w:rsidP="003A2A4B">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Diğer alacaklar</w:t>
            </w:r>
          </w:p>
        </w:tc>
        <w:tc>
          <w:tcPr>
            <w:tcW w:w="256" w:type="pct"/>
            <w:tcBorders>
              <w:bottom w:val="single" w:sz="4" w:space="0" w:color="auto"/>
            </w:tcBorders>
            <w:tcMar>
              <w:left w:w="57" w:type="dxa"/>
              <w:right w:w="57" w:type="dxa"/>
            </w:tcMar>
            <w:vAlign w:val="center"/>
          </w:tcPr>
          <w:p w14:paraId="3928F0B4" w14:textId="2FD01F4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8.474.211</w:t>
            </w:r>
          </w:p>
        </w:tc>
        <w:tc>
          <w:tcPr>
            <w:tcW w:w="181" w:type="pct"/>
            <w:tcBorders>
              <w:bottom w:val="single" w:sz="4" w:space="0" w:color="auto"/>
            </w:tcBorders>
            <w:tcMar>
              <w:left w:w="57" w:type="dxa"/>
              <w:right w:w="57" w:type="dxa"/>
            </w:tcMar>
            <w:vAlign w:val="center"/>
          </w:tcPr>
          <w:p w14:paraId="72A6F298" w14:textId="43B47F6F"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Borders>
              <w:bottom w:val="single" w:sz="4" w:space="0" w:color="auto"/>
            </w:tcBorders>
            <w:tcMar>
              <w:left w:w="57" w:type="dxa"/>
              <w:right w:w="57" w:type="dxa"/>
            </w:tcMar>
            <w:vAlign w:val="center"/>
          </w:tcPr>
          <w:p w14:paraId="09B59CD2" w14:textId="0186561B"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460.883</w:t>
            </w:r>
          </w:p>
        </w:tc>
        <w:tc>
          <w:tcPr>
            <w:tcW w:w="387" w:type="pct"/>
            <w:tcBorders>
              <w:bottom w:val="single" w:sz="4" w:space="0" w:color="auto"/>
            </w:tcBorders>
            <w:vAlign w:val="center"/>
          </w:tcPr>
          <w:p w14:paraId="174DD179" w14:textId="7581B692"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bottom w:val="single" w:sz="4" w:space="0" w:color="auto"/>
            </w:tcBorders>
            <w:tcMar>
              <w:left w:w="57" w:type="dxa"/>
              <w:right w:w="57" w:type="dxa"/>
            </w:tcMar>
            <w:vAlign w:val="center"/>
          </w:tcPr>
          <w:p w14:paraId="1F69D6BE" w14:textId="72E0E07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tcBorders>
              <w:bottom w:val="single" w:sz="4" w:space="0" w:color="auto"/>
            </w:tcBorders>
            <w:vAlign w:val="center"/>
          </w:tcPr>
          <w:p w14:paraId="3A5FEAF3" w14:textId="3B77C3C8"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bottom w:val="single" w:sz="4" w:space="0" w:color="auto"/>
            </w:tcBorders>
            <w:tcMar>
              <w:left w:w="57" w:type="dxa"/>
              <w:right w:w="57" w:type="dxa"/>
            </w:tcMar>
            <w:vAlign w:val="center"/>
          </w:tcPr>
          <w:p w14:paraId="0CC54166" w14:textId="6CC26B5A"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877</w:t>
            </w:r>
          </w:p>
        </w:tc>
        <w:tc>
          <w:tcPr>
            <w:tcW w:w="403" w:type="pct"/>
            <w:tcBorders>
              <w:bottom w:val="single" w:sz="4" w:space="0" w:color="auto"/>
            </w:tcBorders>
            <w:tcMar>
              <w:left w:w="57" w:type="dxa"/>
              <w:right w:w="57" w:type="dxa"/>
            </w:tcMar>
            <w:vAlign w:val="center"/>
          </w:tcPr>
          <w:p w14:paraId="066AA6B9" w14:textId="21773F5C"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70.756.652</w:t>
            </w:r>
          </w:p>
        </w:tc>
        <w:tc>
          <w:tcPr>
            <w:tcW w:w="368" w:type="pct"/>
            <w:tcBorders>
              <w:bottom w:val="single" w:sz="4" w:space="0" w:color="auto"/>
            </w:tcBorders>
            <w:tcMar>
              <w:left w:w="57" w:type="dxa"/>
              <w:right w:w="57" w:type="dxa"/>
            </w:tcMar>
            <w:vAlign w:val="center"/>
          </w:tcPr>
          <w:p w14:paraId="448AB151" w14:textId="36E0639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Borders>
              <w:bottom w:val="single" w:sz="4" w:space="0" w:color="auto"/>
            </w:tcBorders>
            <w:tcMar>
              <w:left w:w="57" w:type="dxa"/>
              <w:right w:w="57" w:type="dxa"/>
            </w:tcMar>
            <w:vAlign w:val="center"/>
          </w:tcPr>
          <w:p w14:paraId="17C14D6A" w14:textId="01252AC4"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Borders>
              <w:bottom w:val="single" w:sz="4" w:space="0" w:color="auto"/>
            </w:tcBorders>
            <w:tcMar>
              <w:left w:w="57" w:type="dxa"/>
              <w:right w:w="57" w:type="dxa"/>
            </w:tcMar>
            <w:vAlign w:val="center"/>
          </w:tcPr>
          <w:p w14:paraId="6DC39EF1" w14:textId="6331B58E"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246.355</w:t>
            </w:r>
          </w:p>
        </w:tc>
        <w:tc>
          <w:tcPr>
            <w:tcW w:w="403" w:type="pct"/>
            <w:tcBorders>
              <w:bottom w:val="single" w:sz="4" w:space="0" w:color="auto"/>
            </w:tcBorders>
            <w:tcMar>
              <w:left w:w="57" w:type="dxa"/>
              <w:right w:w="57" w:type="dxa"/>
            </w:tcMar>
            <w:vAlign w:val="center"/>
          </w:tcPr>
          <w:p w14:paraId="04B56FAD" w14:textId="2BC15B51" w:rsidR="003A2A4B" w:rsidRPr="00FB38E1" w:rsidRDefault="003A2A4B" w:rsidP="003A2A4B">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79.938.978</w:t>
            </w:r>
          </w:p>
        </w:tc>
      </w:tr>
      <w:tr w:rsidR="003A2A4B" w:rsidRPr="00FB38E1" w14:paraId="6C3C528A" w14:textId="77777777" w:rsidTr="003A2A4B">
        <w:tc>
          <w:tcPr>
            <w:tcW w:w="101" w:type="pct"/>
            <w:tcBorders>
              <w:top w:val="single" w:sz="4" w:space="0" w:color="auto"/>
              <w:bottom w:val="thickThinSmallGap" w:sz="24" w:space="0" w:color="auto"/>
            </w:tcBorders>
            <w:tcMar>
              <w:left w:w="57" w:type="dxa"/>
              <w:right w:w="57" w:type="dxa"/>
            </w:tcMar>
          </w:tcPr>
          <w:p w14:paraId="2AE98195" w14:textId="77777777" w:rsidR="003A2A4B" w:rsidRPr="00FB38E1" w:rsidRDefault="003A2A4B" w:rsidP="003A2A4B">
            <w:pPr>
              <w:jc w:val="right"/>
              <w:rPr>
                <w:rFonts w:ascii="Microsoft Sans Serif" w:hAnsi="Microsoft Sans Serif" w:cs="Microsoft Sans Serif"/>
                <w:b/>
                <w:sz w:val="12"/>
                <w:szCs w:val="12"/>
              </w:rPr>
            </w:pPr>
            <w:r w:rsidRPr="00FB38E1">
              <w:rPr>
                <w:rFonts w:ascii="Microsoft Sans Serif" w:hAnsi="Microsoft Sans Serif" w:cs="Microsoft Sans Serif"/>
                <w:b/>
                <w:sz w:val="12"/>
                <w:szCs w:val="12"/>
              </w:rPr>
              <w:t>18</w:t>
            </w:r>
          </w:p>
        </w:tc>
        <w:tc>
          <w:tcPr>
            <w:tcW w:w="862" w:type="pct"/>
            <w:gridSpan w:val="2"/>
            <w:tcBorders>
              <w:top w:val="single" w:sz="4" w:space="0" w:color="auto"/>
              <w:bottom w:val="thickThinSmallGap" w:sz="24" w:space="0" w:color="auto"/>
            </w:tcBorders>
            <w:tcMar>
              <w:left w:w="57" w:type="dxa"/>
              <w:right w:w="57" w:type="dxa"/>
            </w:tcMar>
          </w:tcPr>
          <w:p w14:paraId="5B1D09EB" w14:textId="77777777" w:rsidR="003A2A4B" w:rsidRPr="00FB38E1" w:rsidRDefault="003A2A4B" w:rsidP="003A2A4B">
            <w:pP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w:t>
            </w:r>
          </w:p>
        </w:tc>
        <w:tc>
          <w:tcPr>
            <w:tcW w:w="256" w:type="pct"/>
            <w:tcBorders>
              <w:top w:val="single" w:sz="4" w:space="0" w:color="auto"/>
              <w:bottom w:val="thickThinSmallGap" w:sz="24" w:space="0" w:color="auto"/>
            </w:tcBorders>
            <w:tcMar>
              <w:left w:w="57" w:type="dxa"/>
              <w:right w:w="57" w:type="dxa"/>
            </w:tcMar>
            <w:vAlign w:val="center"/>
          </w:tcPr>
          <w:p w14:paraId="04125F95" w14:textId="244BD155"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343.442.211</w:t>
            </w:r>
          </w:p>
        </w:tc>
        <w:tc>
          <w:tcPr>
            <w:tcW w:w="181" w:type="pct"/>
            <w:tcBorders>
              <w:top w:val="single" w:sz="4" w:space="0" w:color="auto"/>
              <w:bottom w:val="thickThinSmallGap" w:sz="24" w:space="0" w:color="auto"/>
            </w:tcBorders>
            <w:tcMar>
              <w:left w:w="57" w:type="dxa"/>
              <w:right w:w="57" w:type="dxa"/>
            </w:tcMar>
            <w:vAlign w:val="center"/>
          </w:tcPr>
          <w:p w14:paraId="4FE9771F" w14:textId="2398290A"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w:t>
            </w:r>
          </w:p>
        </w:tc>
        <w:tc>
          <w:tcPr>
            <w:tcW w:w="335" w:type="pct"/>
            <w:tcBorders>
              <w:top w:val="single" w:sz="4" w:space="0" w:color="auto"/>
              <w:bottom w:val="thickThinSmallGap" w:sz="24" w:space="0" w:color="auto"/>
            </w:tcBorders>
            <w:tcMar>
              <w:left w:w="57" w:type="dxa"/>
              <w:right w:w="57" w:type="dxa"/>
            </w:tcMar>
            <w:vAlign w:val="center"/>
          </w:tcPr>
          <w:p w14:paraId="4A8BCF9B" w14:textId="6F2346D1"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66.934.281</w:t>
            </w:r>
          </w:p>
        </w:tc>
        <w:tc>
          <w:tcPr>
            <w:tcW w:w="387" w:type="pct"/>
            <w:tcBorders>
              <w:top w:val="single" w:sz="4" w:space="0" w:color="auto"/>
              <w:bottom w:val="thickThinSmallGap" w:sz="24" w:space="0" w:color="auto"/>
            </w:tcBorders>
            <w:vAlign w:val="center"/>
          </w:tcPr>
          <w:p w14:paraId="70A843FF" w14:textId="1567075C"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19.323.510</w:t>
            </w:r>
          </w:p>
        </w:tc>
        <w:tc>
          <w:tcPr>
            <w:tcW w:w="368" w:type="pct"/>
            <w:tcBorders>
              <w:top w:val="single" w:sz="4" w:space="0" w:color="auto"/>
              <w:bottom w:val="thickThinSmallGap" w:sz="24" w:space="0" w:color="auto"/>
            </w:tcBorders>
            <w:tcMar>
              <w:left w:w="57" w:type="dxa"/>
              <w:right w:w="57" w:type="dxa"/>
            </w:tcMar>
            <w:vAlign w:val="center"/>
          </w:tcPr>
          <w:p w14:paraId="024593EA" w14:textId="7A4B6874"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71.168.234</w:t>
            </w:r>
          </w:p>
        </w:tc>
        <w:tc>
          <w:tcPr>
            <w:tcW w:w="421" w:type="pct"/>
            <w:tcBorders>
              <w:top w:val="single" w:sz="4" w:space="0" w:color="auto"/>
              <w:bottom w:val="thickThinSmallGap" w:sz="24" w:space="0" w:color="auto"/>
            </w:tcBorders>
            <w:vAlign w:val="center"/>
          </w:tcPr>
          <w:p w14:paraId="4248184D" w14:textId="41E5958B"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14.711.695</w:t>
            </w:r>
          </w:p>
        </w:tc>
        <w:tc>
          <w:tcPr>
            <w:tcW w:w="368" w:type="pct"/>
            <w:tcBorders>
              <w:top w:val="single" w:sz="4" w:space="0" w:color="auto"/>
              <w:bottom w:val="thickThinSmallGap" w:sz="24" w:space="0" w:color="auto"/>
            </w:tcBorders>
            <w:tcMar>
              <w:left w:w="57" w:type="dxa"/>
              <w:right w:w="57" w:type="dxa"/>
            </w:tcMar>
            <w:vAlign w:val="center"/>
          </w:tcPr>
          <w:p w14:paraId="62D926D4" w14:textId="5F07F56B"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354.971.208</w:t>
            </w:r>
          </w:p>
        </w:tc>
        <w:tc>
          <w:tcPr>
            <w:tcW w:w="403" w:type="pct"/>
            <w:tcBorders>
              <w:top w:val="single" w:sz="4" w:space="0" w:color="auto"/>
              <w:bottom w:val="thickThinSmallGap" w:sz="24" w:space="0" w:color="auto"/>
            </w:tcBorders>
            <w:tcMar>
              <w:left w:w="57" w:type="dxa"/>
              <w:right w:w="57" w:type="dxa"/>
            </w:tcMar>
            <w:vAlign w:val="center"/>
          </w:tcPr>
          <w:p w14:paraId="3FB3703A" w14:textId="09ED4547"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448.739.031</w:t>
            </w:r>
          </w:p>
        </w:tc>
        <w:tc>
          <w:tcPr>
            <w:tcW w:w="368" w:type="pct"/>
            <w:tcBorders>
              <w:top w:val="single" w:sz="4" w:space="0" w:color="auto"/>
              <w:bottom w:val="thickThinSmallGap" w:sz="24" w:space="0" w:color="auto"/>
            </w:tcBorders>
            <w:tcMar>
              <w:left w:w="57" w:type="dxa"/>
              <w:right w:w="57" w:type="dxa"/>
            </w:tcMar>
            <w:vAlign w:val="center"/>
          </w:tcPr>
          <w:p w14:paraId="61E53969" w14:textId="5EA06F3E"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132.723</w:t>
            </w:r>
          </w:p>
        </w:tc>
        <w:tc>
          <w:tcPr>
            <w:tcW w:w="256" w:type="pct"/>
            <w:tcBorders>
              <w:top w:val="single" w:sz="4" w:space="0" w:color="auto"/>
              <w:bottom w:val="thickThinSmallGap" w:sz="24" w:space="0" w:color="auto"/>
            </w:tcBorders>
            <w:tcMar>
              <w:left w:w="57" w:type="dxa"/>
              <w:right w:w="57" w:type="dxa"/>
            </w:tcMar>
            <w:vAlign w:val="center"/>
          </w:tcPr>
          <w:p w14:paraId="31D850E7" w14:textId="4B5F3156"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w:t>
            </w:r>
          </w:p>
        </w:tc>
        <w:tc>
          <w:tcPr>
            <w:tcW w:w="291" w:type="pct"/>
            <w:tcBorders>
              <w:top w:val="single" w:sz="4" w:space="0" w:color="auto"/>
              <w:bottom w:val="thickThinSmallGap" w:sz="24" w:space="0" w:color="auto"/>
            </w:tcBorders>
            <w:tcMar>
              <w:left w:w="57" w:type="dxa"/>
              <w:right w:w="57" w:type="dxa"/>
            </w:tcMar>
            <w:vAlign w:val="center"/>
          </w:tcPr>
          <w:p w14:paraId="52A48D00" w14:textId="47F229DB"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3.605.342</w:t>
            </w:r>
          </w:p>
        </w:tc>
        <w:tc>
          <w:tcPr>
            <w:tcW w:w="403" w:type="pct"/>
            <w:tcBorders>
              <w:top w:val="single" w:sz="4" w:space="0" w:color="auto"/>
              <w:bottom w:val="thickThinSmallGap" w:sz="24" w:space="0" w:color="auto"/>
            </w:tcBorders>
            <w:tcMar>
              <w:left w:w="57" w:type="dxa"/>
              <w:right w:w="57" w:type="dxa"/>
            </w:tcMar>
            <w:vAlign w:val="center"/>
          </w:tcPr>
          <w:p w14:paraId="0DC22619" w14:textId="1CFB3C0F" w:rsidR="003A2A4B" w:rsidRPr="00FB38E1" w:rsidRDefault="003A2A4B" w:rsidP="003A2A4B">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1.323.028.235</w:t>
            </w:r>
          </w:p>
        </w:tc>
      </w:tr>
      <w:bookmarkEnd w:id="43"/>
    </w:tbl>
    <w:p w14:paraId="61376095" w14:textId="77777777" w:rsidR="00E036D3" w:rsidRPr="00FB38E1" w:rsidRDefault="00E036D3" w:rsidP="00E036D3">
      <w:r w:rsidRPr="00FB38E1">
        <w:br w:type="page"/>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83"/>
        <w:gridCol w:w="76"/>
        <w:gridCol w:w="2336"/>
        <w:gridCol w:w="716"/>
        <w:gridCol w:w="506"/>
        <w:gridCol w:w="937"/>
        <w:gridCol w:w="1083"/>
        <w:gridCol w:w="1030"/>
        <w:gridCol w:w="1178"/>
        <w:gridCol w:w="1030"/>
        <w:gridCol w:w="1128"/>
        <w:gridCol w:w="1030"/>
        <w:gridCol w:w="716"/>
        <w:gridCol w:w="814"/>
        <w:gridCol w:w="1128"/>
      </w:tblGrid>
      <w:tr w:rsidR="00E036D3" w:rsidRPr="00FB38E1" w14:paraId="3F004E3E" w14:textId="77777777" w:rsidTr="007F0BAF">
        <w:tc>
          <w:tcPr>
            <w:tcW w:w="128" w:type="pct"/>
            <w:gridSpan w:val="2"/>
            <w:tcMar>
              <w:left w:w="57" w:type="dxa"/>
              <w:right w:w="57" w:type="dxa"/>
            </w:tcMar>
            <w:vAlign w:val="bottom"/>
          </w:tcPr>
          <w:p w14:paraId="24811610" w14:textId="77777777" w:rsidR="00E036D3" w:rsidRPr="00FB38E1" w:rsidRDefault="00E036D3" w:rsidP="00836EF2">
            <w:pPr>
              <w:jc w:val="right"/>
              <w:rPr>
                <w:rFonts w:ascii="Microsoft Sans Serif" w:hAnsi="Microsoft Sans Serif" w:cs="Microsoft Sans Serif"/>
                <w:sz w:val="12"/>
                <w:szCs w:val="12"/>
              </w:rPr>
            </w:pPr>
          </w:p>
        </w:tc>
        <w:tc>
          <w:tcPr>
            <w:tcW w:w="835" w:type="pct"/>
            <w:tcMar>
              <w:left w:w="57" w:type="dxa"/>
              <w:right w:w="57" w:type="dxa"/>
            </w:tcMar>
          </w:tcPr>
          <w:p w14:paraId="073826CD" w14:textId="77777777" w:rsidR="00E036D3" w:rsidRPr="00FB38E1" w:rsidRDefault="00E036D3" w:rsidP="00836EF2">
            <w:pPr>
              <w:rPr>
                <w:rFonts w:ascii="Microsoft Sans Serif" w:hAnsi="Microsoft Sans Serif" w:cs="Microsoft Sans Serif"/>
                <w:b/>
                <w:sz w:val="12"/>
                <w:szCs w:val="12"/>
              </w:rPr>
            </w:pPr>
            <w:r w:rsidRPr="00FB38E1">
              <w:rPr>
                <w:rFonts w:ascii="Microsoft Sans Serif" w:hAnsi="Microsoft Sans Serif" w:cs="Microsoft Sans Serif"/>
                <w:b/>
                <w:sz w:val="12"/>
                <w:szCs w:val="12"/>
              </w:rPr>
              <w:t>Önceki Dönem</w:t>
            </w:r>
          </w:p>
        </w:tc>
        <w:tc>
          <w:tcPr>
            <w:tcW w:w="256" w:type="pct"/>
            <w:tcBorders>
              <w:top w:val="thinThickSmallGap" w:sz="24" w:space="0" w:color="auto"/>
              <w:bottom w:val="single" w:sz="4" w:space="0" w:color="auto"/>
            </w:tcBorders>
            <w:tcMar>
              <w:left w:w="57" w:type="dxa"/>
              <w:right w:w="57" w:type="dxa"/>
            </w:tcMar>
            <w:vAlign w:val="bottom"/>
          </w:tcPr>
          <w:p w14:paraId="103548CA"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a</w:t>
            </w:r>
          </w:p>
        </w:tc>
        <w:tc>
          <w:tcPr>
            <w:tcW w:w="181" w:type="pct"/>
            <w:tcBorders>
              <w:top w:val="thinThickSmallGap" w:sz="24" w:space="0" w:color="auto"/>
              <w:bottom w:val="single" w:sz="4" w:space="0" w:color="auto"/>
            </w:tcBorders>
            <w:tcMar>
              <w:left w:w="57" w:type="dxa"/>
              <w:right w:w="57" w:type="dxa"/>
            </w:tcMar>
            <w:vAlign w:val="bottom"/>
          </w:tcPr>
          <w:p w14:paraId="67361757"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b</w:t>
            </w:r>
          </w:p>
        </w:tc>
        <w:tc>
          <w:tcPr>
            <w:tcW w:w="335" w:type="pct"/>
            <w:tcBorders>
              <w:top w:val="thinThickSmallGap" w:sz="24" w:space="0" w:color="auto"/>
              <w:bottom w:val="single" w:sz="4" w:space="0" w:color="auto"/>
            </w:tcBorders>
            <w:tcMar>
              <w:left w:w="57" w:type="dxa"/>
              <w:right w:w="57" w:type="dxa"/>
            </w:tcMar>
            <w:vAlign w:val="bottom"/>
          </w:tcPr>
          <w:p w14:paraId="212A5A05"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c</w:t>
            </w:r>
          </w:p>
        </w:tc>
        <w:tc>
          <w:tcPr>
            <w:tcW w:w="387" w:type="pct"/>
            <w:tcBorders>
              <w:top w:val="thinThickSmallGap" w:sz="24" w:space="0" w:color="auto"/>
              <w:bottom w:val="single" w:sz="4" w:space="0" w:color="auto"/>
            </w:tcBorders>
          </w:tcPr>
          <w:p w14:paraId="70CC3D7E"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k</w:t>
            </w:r>
          </w:p>
        </w:tc>
        <w:tc>
          <w:tcPr>
            <w:tcW w:w="368" w:type="pct"/>
            <w:tcBorders>
              <w:top w:val="thinThickSmallGap" w:sz="24" w:space="0" w:color="auto"/>
              <w:bottom w:val="single" w:sz="4" w:space="0" w:color="auto"/>
            </w:tcBorders>
            <w:tcMar>
              <w:left w:w="57" w:type="dxa"/>
              <w:right w:w="57" w:type="dxa"/>
            </w:tcMar>
            <w:vAlign w:val="bottom"/>
          </w:tcPr>
          <w:p w14:paraId="665FF625"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d</w:t>
            </w:r>
          </w:p>
        </w:tc>
        <w:tc>
          <w:tcPr>
            <w:tcW w:w="421" w:type="pct"/>
            <w:tcBorders>
              <w:top w:val="thinThickSmallGap" w:sz="24" w:space="0" w:color="auto"/>
              <w:bottom w:val="single" w:sz="4" w:space="0" w:color="auto"/>
            </w:tcBorders>
          </w:tcPr>
          <w:p w14:paraId="0A72CE86"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l</w:t>
            </w:r>
          </w:p>
        </w:tc>
        <w:tc>
          <w:tcPr>
            <w:tcW w:w="368" w:type="pct"/>
            <w:tcBorders>
              <w:top w:val="thinThickSmallGap" w:sz="24" w:space="0" w:color="auto"/>
              <w:bottom w:val="single" w:sz="4" w:space="0" w:color="auto"/>
            </w:tcBorders>
            <w:tcMar>
              <w:left w:w="57" w:type="dxa"/>
              <w:right w:w="57" w:type="dxa"/>
            </w:tcMar>
            <w:vAlign w:val="bottom"/>
          </w:tcPr>
          <w:p w14:paraId="71699F6D"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e</w:t>
            </w:r>
          </w:p>
        </w:tc>
        <w:tc>
          <w:tcPr>
            <w:tcW w:w="403" w:type="pct"/>
            <w:tcBorders>
              <w:top w:val="thinThickSmallGap" w:sz="24" w:space="0" w:color="auto"/>
              <w:bottom w:val="single" w:sz="4" w:space="0" w:color="auto"/>
            </w:tcBorders>
            <w:tcMar>
              <w:left w:w="57" w:type="dxa"/>
              <w:right w:w="57" w:type="dxa"/>
            </w:tcMar>
            <w:vAlign w:val="bottom"/>
          </w:tcPr>
          <w:p w14:paraId="7C161400"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f</w:t>
            </w:r>
          </w:p>
        </w:tc>
        <w:tc>
          <w:tcPr>
            <w:tcW w:w="368" w:type="pct"/>
            <w:tcBorders>
              <w:top w:val="thinThickSmallGap" w:sz="24" w:space="0" w:color="auto"/>
              <w:bottom w:val="single" w:sz="4" w:space="0" w:color="auto"/>
            </w:tcBorders>
            <w:tcMar>
              <w:left w:w="57" w:type="dxa"/>
              <w:right w:w="57" w:type="dxa"/>
            </w:tcMar>
            <w:vAlign w:val="bottom"/>
          </w:tcPr>
          <w:p w14:paraId="760A4A7E"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g</w:t>
            </w:r>
          </w:p>
        </w:tc>
        <w:tc>
          <w:tcPr>
            <w:tcW w:w="256" w:type="pct"/>
            <w:tcBorders>
              <w:top w:val="thinThickSmallGap" w:sz="24" w:space="0" w:color="auto"/>
              <w:bottom w:val="single" w:sz="4" w:space="0" w:color="auto"/>
            </w:tcBorders>
            <w:tcMar>
              <w:left w:w="57" w:type="dxa"/>
              <w:right w:w="57" w:type="dxa"/>
            </w:tcMar>
            <w:vAlign w:val="bottom"/>
          </w:tcPr>
          <w:p w14:paraId="03D8C5C7"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h</w:t>
            </w:r>
          </w:p>
        </w:tc>
        <w:tc>
          <w:tcPr>
            <w:tcW w:w="291" w:type="pct"/>
            <w:tcBorders>
              <w:top w:val="thinThickSmallGap" w:sz="24" w:space="0" w:color="auto"/>
              <w:bottom w:val="single" w:sz="4" w:space="0" w:color="auto"/>
            </w:tcBorders>
            <w:tcMar>
              <w:left w:w="57" w:type="dxa"/>
              <w:right w:w="57" w:type="dxa"/>
            </w:tcMar>
            <w:vAlign w:val="bottom"/>
          </w:tcPr>
          <w:p w14:paraId="2E281C77"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ı</w:t>
            </w:r>
          </w:p>
        </w:tc>
        <w:tc>
          <w:tcPr>
            <w:tcW w:w="403" w:type="pct"/>
            <w:tcBorders>
              <w:top w:val="thinThickSmallGap" w:sz="24" w:space="0" w:color="auto"/>
              <w:bottom w:val="single" w:sz="4" w:space="0" w:color="auto"/>
            </w:tcBorders>
            <w:tcMar>
              <w:left w:w="57" w:type="dxa"/>
              <w:right w:w="57" w:type="dxa"/>
            </w:tcMar>
            <w:vAlign w:val="bottom"/>
          </w:tcPr>
          <w:p w14:paraId="53D8CB69"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j</w:t>
            </w:r>
          </w:p>
        </w:tc>
      </w:tr>
      <w:tr w:rsidR="00E036D3" w:rsidRPr="00FB38E1" w14:paraId="0B2673A4" w14:textId="77777777" w:rsidTr="0004668E">
        <w:trPr>
          <w:trHeight w:val="298"/>
        </w:trPr>
        <w:tc>
          <w:tcPr>
            <w:tcW w:w="128" w:type="pct"/>
            <w:gridSpan w:val="2"/>
            <w:tcBorders>
              <w:bottom w:val="single" w:sz="4" w:space="0" w:color="auto"/>
            </w:tcBorders>
            <w:tcMar>
              <w:left w:w="57" w:type="dxa"/>
              <w:right w:w="57" w:type="dxa"/>
            </w:tcMar>
            <w:vAlign w:val="bottom"/>
          </w:tcPr>
          <w:p w14:paraId="09C664DD" w14:textId="77777777" w:rsidR="00E036D3" w:rsidRPr="00FB38E1" w:rsidRDefault="00E036D3" w:rsidP="00836EF2">
            <w:pPr>
              <w:jc w:val="right"/>
              <w:rPr>
                <w:rFonts w:ascii="Microsoft Sans Serif" w:hAnsi="Microsoft Sans Serif" w:cs="Microsoft Sans Serif"/>
                <w:sz w:val="12"/>
                <w:szCs w:val="12"/>
              </w:rPr>
            </w:pPr>
          </w:p>
        </w:tc>
        <w:tc>
          <w:tcPr>
            <w:tcW w:w="835" w:type="pct"/>
            <w:tcBorders>
              <w:bottom w:val="single" w:sz="4" w:space="0" w:color="auto"/>
            </w:tcBorders>
            <w:tcMar>
              <w:left w:w="57" w:type="dxa"/>
              <w:right w:w="57" w:type="dxa"/>
            </w:tcMar>
            <w:vAlign w:val="bottom"/>
          </w:tcPr>
          <w:p w14:paraId="1B181893" w14:textId="77777777" w:rsidR="00E036D3" w:rsidRPr="00FB38E1" w:rsidRDefault="00E036D3" w:rsidP="0004668E">
            <w:pPr>
              <w:jc w:val="left"/>
              <w:rPr>
                <w:rFonts w:ascii="Microsoft Sans Serif" w:hAnsi="Microsoft Sans Serif" w:cs="Microsoft Sans Serif"/>
                <w:b/>
                <w:sz w:val="12"/>
                <w:szCs w:val="12"/>
              </w:rPr>
            </w:pPr>
            <w:r w:rsidRPr="00FB38E1">
              <w:rPr>
                <w:rFonts w:ascii="Microsoft Sans Serif" w:hAnsi="Microsoft Sans Serif" w:cs="Microsoft Sans Serif"/>
                <w:b/>
                <w:sz w:val="12"/>
                <w:szCs w:val="12"/>
              </w:rPr>
              <w:t>Risk Sınıfları/Risk Ağırlığı*</w:t>
            </w:r>
          </w:p>
        </w:tc>
        <w:tc>
          <w:tcPr>
            <w:tcW w:w="256" w:type="pct"/>
            <w:tcBorders>
              <w:top w:val="single" w:sz="4" w:space="0" w:color="auto"/>
              <w:bottom w:val="single" w:sz="4" w:space="0" w:color="auto"/>
            </w:tcBorders>
            <w:tcMar>
              <w:left w:w="57" w:type="dxa"/>
              <w:right w:w="57" w:type="dxa"/>
            </w:tcMar>
            <w:vAlign w:val="bottom"/>
          </w:tcPr>
          <w:p w14:paraId="06739247"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%0</w:t>
            </w:r>
          </w:p>
        </w:tc>
        <w:tc>
          <w:tcPr>
            <w:tcW w:w="181" w:type="pct"/>
            <w:tcBorders>
              <w:top w:val="single" w:sz="4" w:space="0" w:color="auto"/>
              <w:bottom w:val="single" w:sz="4" w:space="0" w:color="auto"/>
            </w:tcBorders>
            <w:tcMar>
              <w:left w:w="57" w:type="dxa"/>
              <w:right w:w="57" w:type="dxa"/>
            </w:tcMar>
            <w:vAlign w:val="bottom"/>
          </w:tcPr>
          <w:p w14:paraId="1ABF5D3A"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%10</w:t>
            </w:r>
          </w:p>
        </w:tc>
        <w:tc>
          <w:tcPr>
            <w:tcW w:w="335" w:type="pct"/>
            <w:tcBorders>
              <w:top w:val="single" w:sz="4" w:space="0" w:color="auto"/>
              <w:bottom w:val="single" w:sz="4" w:space="0" w:color="auto"/>
            </w:tcBorders>
            <w:tcMar>
              <w:left w:w="57" w:type="dxa"/>
              <w:right w:w="57" w:type="dxa"/>
            </w:tcMar>
            <w:vAlign w:val="bottom"/>
          </w:tcPr>
          <w:p w14:paraId="3A682CB9"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%20</w:t>
            </w:r>
          </w:p>
        </w:tc>
        <w:tc>
          <w:tcPr>
            <w:tcW w:w="387" w:type="pct"/>
            <w:tcBorders>
              <w:top w:val="single" w:sz="4" w:space="0" w:color="auto"/>
              <w:bottom w:val="single" w:sz="4" w:space="0" w:color="auto"/>
            </w:tcBorders>
            <w:vAlign w:val="bottom"/>
          </w:tcPr>
          <w:p w14:paraId="498886F4"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%35 G.Menkul İpoteğiyle Teminatl.</w:t>
            </w:r>
          </w:p>
        </w:tc>
        <w:tc>
          <w:tcPr>
            <w:tcW w:w="368" w:type="pct"/>
            <w:tcBorders>
              <w:top w:val="single" w:sz="4" w:space="0" w:color="auto"/>
              <w:bottom w:val="single" w:sz="4" w:space="0" w:color="auto"/>
            </w:tcBorders>
            <w:tcMar>
              <w:left w:w="57" w:type="dxa"/>
              <w:right w:w="57" w:type="dxa"/>
            </w:tcMar>
            <w:vAlign w:val="bottom"/>
          </w:tcPr>
          <w:p w14:paraId="15AE1F00"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%50 G.Menkul İpoteğiyle Teminatl.</w:t>
            </w:r>
          </w:p>
        </w:tc>
        <w:tc>
          <w:tcPr>
            <w:tcW w:w="421" w:type="pct"/>
            <w:tcBorders>
              <w:top w:val="single" w:sz="4" w:space="0" w:color="auto"/>
              <w:bottom w:val="single" w:sz="4" w:space="0" w:color="auto"/>
            </w:tcBorders>
          </w:tcPr>
          <w:p w14:paraId="53E80D1A" w14:textId="77777777" w:rsidR="00E036D3" w:rsidRPr="00FB38E1" w:rsidRDefault="00E036D3" w:rsidP="00836EF2">
            <w:pPr>
              <w:jc w:val="center"/>
              <w:rPr>
                <w:rFonts w:ascii="Microsoft Sans Serif" w:hAnsi="Microsoft Sans Serif" w:cs="Microsoft Sans Serif"/>
                <w:b/>
                <w:sz w:val="12"/>
                <w:szCs w:val="12"/>
              </w:rPr>
            </w:pPr>
          </w:p>
          <w:p w14:paraId="084B90F1" w14:textId="77777777" w:rsidR="00E036D3" w:rsidRPr="00FB38E1" w:rsidRDefault="00E036D3" w:rsidP="00836EF2">
            <w:pPr>
              <w:jc w:val="center"/>
              <w:rPr>
                <w:rFonts w:ascii="Microsoft Sans Serif" w:hAnsi="Microsoft Sans Serif" w:cs="Microsoft Sans Serif"/>
                <w:b/>
                <w:sz w:val="12"/>
                <w:szCs w:val="12"/>
              </w:rPr>
            </w:pPr>
          </w:p>
          <w:p w14:paraId="56040FA4" w14:textId="77777777" w:rsidR="00E036D3" w:rsidRPr="00FB38E1" w:rsidRDefault="00E036D3" w:rsidP="00836EF2">
            <w:pPr>
              <w:jc w:val="center"/>
              <w:rPr>
                <w:rFonts w:ascii="Microsoft Sans Serif" w:hAnsi="Microsoft Sans Serif" w:cs="Microsoft Sans Serif"/>
                <w:b/>
                <w:sz w:val="12"/>
                <w:szCs w:val="12"/>
              </w:rPr>
            </w:pPr>
          </w:p>
          <w:p w14:paraId="74D8F937"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%50</w:t>
            </w:r>
          </w:p>
        </w:tc>
        <w:tc>
          <w:tcPr>
            <w:tcW w:w="368" w:type="pct"/>
            <w:tcBorders>
              <w:top w:val="single" w:sz="4" w:space="0" w:color="auto"/>
              <w:bottom w:val="single" w:sz="4" w:space="0" w:color="auto"/>
            </w:tcBorders>
            <w:tcMar>
              <w:left w:w="57" w:type="dxa"/>
              <w:right w:w="57" w:type="dxa"/>
            </w:tcMar>
            <w:vAlign w:val="bottom"/>
          </w:tcPr>
          <w:p w14:paraId="42DDAFBC"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%75</w:t>
            </w:r>
          </w:p>
        </w:tc>
        <w:tc>
          <w:tcPr>
            <w:tcW w:w="403" w:type="pct"/>
            <w:tcBorders>
              <w:top w:val="single" w:sz="4" w:space="0" w:color="auto"/>
              <w:bottom w:val="single" w:sz="4" w:space="0" w:color="auto"/>
            </w:tcBorders>
            <w:tcMar>
              <w:left w:w="57" w:type="dxa"/>
              <w:right w:w="57" w:type="dxa"/>
            </w:tcMar>
            <w:vAlign w:val="bottom"/>
          </w:tcPr>
          <w:p w14:paraId="4DABA9C5"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%100</w:t>
            </w:r>
          </w:p>
        </w:tc>
        <w:tc>
          <w:tcPr>
            <w:tcW w:w="368" w:type="pct"/>
            <w:tcBorders>
              <w:top w:val="single" w:sz="4" w:space="0" w:color="auto"/>
              <w:bottom w:val="single" w:sz="4" w:space="0" w:color="auto"/>
            </w:tcBorders>
            <w:tcMar>
              <w:left w:w="57" w:type="dxa"/>
              <w:right w:w="57" w:type="dxa"/>
            </w:tcMar>
            <w:vAlign w:val="bottom"/>
          </w:tcPr>
          <w:p w14:paraId="4D9CC8AD"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%150</w:t>
            </w:r>
          </w:p>
        </w:tc>
        <w:tc>
          <w:tcPr>
            <w:tcW w:w="256" w:type="pct"/>
            <w:tcBorders>
              <w:top w:val="single" w:sz="4" w:space="0" w:color="auto"/>
              <w:bottom w:val="single" w:sz="4" w:space="0" w:color="auto"/>
            </w:tcBorders>
            <w:tcMar>
              <w:left w:w="57" w:type="dxa"/>
              <w:right w:w="57" w:type="dxa"/>
            </w:tcMar>
            <w:vAlign w:val="bottom"/>
          </w:tcPr>
          <w:p w14:paraId="12CB7416"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%200</w:t>
            </w:r>
          </w:p>
        </w:tc>
        <w:tc>
          <w:tcPr>
            <w:tcW w:w="291" w:type="pct"/>
            <w:tcBorders>
              <w:top w:val="single" w:sz="4" w:space="0" w:color="auto"/>
              <w:bottom w:val="single" w:sz="4" w:space="0" w:color="auto"/>
            </w:tcBorders>
            <w:tcMar>
              <w:left w:w="57" w:type="dxa"/>
              <w:right w:w="57" w:type="dxa"/>
            </w:tcMar>
            <w:vAlign w:val="bottom"/>
          </w:tcPr>
          <w:p w14:paraId="22311E4D"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Diğerleri</w:t>
            </w:r>
          </w:p>
        </w:tc>
        <w:tc>
          <w:tcPr>
            <w:tcW w:w="403" w:type="pct"/>
            <w:tcBorders>
              <w:top w:val="single" w:sz="4" w:space="0" w:color="auto"/>
              <w:bottom w:val="single" w:sz="4" w:space="0" w:color="auto"/>
            </w:tcBorders>
            <w:tcMar>
              <w:left w:w="57" w:type="dxa"/>
              <w:right w:w="57" w:type="dxa"/>
            </w:tcMar>
            <w:vAlign w:val="bottom"/>
          </w:tcPr>
          <w:p w14:paraId="51642D30"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 risk tutarı (KDO ve KRA sonrası)</w:t>
            </w:r>
          </w:p>
        </w:tc>
      </w:tr>
      <w:tr w:rsidR="003B7A7D" w:rsidRPr="00FB38E1" w14:paraId="50B95548" w14:textId="77777777" w:rsidTr="007F0BAF">
        <w:tc>
          <w:tcPr>
            <w:tcW w:w="101" w:type="pct"/>
            <w:tcBorders>
              <w:top w:val="single" w:sz="4" w:space="0" w:color="auto"/>
              <w:bottom w:val="nil"/>
            </w:tcBorders>
            <w:tcMar>
              <w:left w:w="57" w:type="dxa"/>
              <w:right w:w="57" w:type="dxa"/>
            </w:tcMar>
          </w:tcPr>
          <w:p w14:paraId="5D2F0EF4"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w:t>
            </w:r>
          </w:p>
        </w:tc>
        <w:tc>
          <w:tcPr>
            <w:tcW w:w="862" w:type="pct"/>
            <w:gridSpan w:val="2"/>
            <w:tcBorders>
              <w:top w:val="single" w:sz="4" w:space="0" w:color="auto"/>
              <w:bottom w:val="nil"/>
            </w:tcBorders>
            <w:tcMar>
              <w:left w:w="57" w:type="dxa"/>
              <w:right w:w="57" w:type="dxa"/>
            </w:tcMar>
          </w:tcPr>
          <w:p w14:paraId="715D7F34"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Merkezi yönetimlerden veya merkez bankalarından alacaklar</w:t>
            </w:r>
          </w:p>
        </w:tc>
        <w:tc>
          <w:tcPr>
            <w:tcW w:w="256" w:type="pct"/>
            <w:tcBorders>
              <w:top w:val="single" w:sz="4" w:space="0" w:color="auto"/>
              <w:bottom w:val="nil"/>
            </w:tcBorders>
            <w:tcMar>
              <w:left w:w="57" w:type="dxa"/>
              <w:right w:w="57" w:type="dxa"/>
            </w:tcMar>
            <w:vAlign w:val="center"/>
          </w:tcPr>
          <w:p w14:paraId="2AE5E28E" w14:textId="1F063CF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284.486.231</w:t>
            </w:r>
          </w:p>
        </w:tc>
        <w:tc>
          <w:tcPr>
            <w:tcW w:w="181" w:type="pct"/>
            <w:tcBorders>
              <w:top w:val="single" w:sz="4" w:space="0" w:color="auto"/>
              <w:bottom w:val="nil"/>
            </w:tcBorders>
            <w:tcMar>
              <w:left w:w="57" w:type="dxa"/>
              <w:right w:w="57" w:type="dxa"/>
            </w:tcMar>
            <w:vAlign w:val="center"/>
          </w:tcPr>
          <w:p w14:paraId="50313462" w14:textId="4A54307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Borders>
              <w:top w:val="single" w:sz="4" w:space="0" w:color="auto"/>
              <w:bottom w:val="nil"/>
            </w:tcBorders>
            <w:tcMar>
              <w:left w:w="57" w:type="dxa"/>
              <w:right w:w="57" w:type="dxa"/>
            </w:tcMar>
            <w:vAlign w:val="center"/>
          </w:tcPr>
          <w:p w14:paraId="0AB3626E" w14:textId="5AAF798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tcBorders>
              <w:top w:val="single" w:sz="4" w:space="0" w:color="auto"/>
              <w:bottom w:val="nil"/>
            </w:tcBorders>
            <w:vAlign w:val="center"/>
          </w:tcPr>
          <w:p w14:paraId="1ED3CCBC" w14:textId="14A87E8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top w:val="single" w:sz="4" w:space="0" w:color="auto"/>
              <w:bottom w:val="nil"/>
            </w:tcBorders>
            <w:tcMar>
              <w:left w:w="57" w:type="dxa"/>
              <w:right w:w="57" w:type="dxa"/>
            </w:tcMar>
            <w:vAlign w:val="center"/>
          </w:tcPr>
          <w:p w14:paraId="3E6219AB" w14:textId="7FCC32A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tcBorders>
              <w:top w:val="single" w:sz="4" w:space="0" w:color="auto"/>
              <w:bottom w:val="nil"/>
            </w:tcBorders>
            <w:vAlign w:val="center"/>
          </w:tcPr>
          <w:p w14:paraId="547F9900" w14:textId="6E8AB9E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top w:val="single" w:sz="4" w:space="0" w:color="auto"/>
              <w:bottom w:val="nil"/>
            </w:tcBorders>
            <w:tcMar>
              <w:left w:w="57" w:type="dxa"/>
              <w:right w:w="57" w:type="dxa"/>
            </w:tcMar>
            <w:vAlign w:val="center"/>
          </w:tcPr>
          <w:p w14:paraId="3E1D73B6" w14:textId="2E0BF83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Borders>
              <w:top w:val="single" w:sz="4" w:space="0" w:color="auto"/>
              <w:bottom w:val="nil"/>
            </w:tcBorders>
            <w:tcMar>
              <w:left w:w="57" w:type="dxa"/>
              <w:right w:w="57" w:type="dxa"/>
            </w:tcMar>
            <w:vAlign w:val="center"/>
          </w:tcPr>
          <w:p w14:paraId="0AECD760" w14:textId="1A586A7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top w:val="single" w:sz="4" w:space="0" w:color="auto"/>
              <w:bottom w:val="nil"/>
            </w:tcBorders>
            <w:tcMar>
              <w:left w:w="57" w:type="dxa"/>
              <w:right w:w="57" w:type="dxa"/>
            </w:tcMar>
            <w:vAlign w:val="center"/>
          </w:tcPr>
          <w:p w14:paraId="3B0F3193" w14:textId="127707B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Borders>
              <w:top w:val="single" w:sz="4" w:space="0" w:color="auto"/>
              <w:bottom w:val="nil"/>
            </w:tcBorders>
            <w:tcMar>
              <w:left w:w="57" w:type="dxa"/>
              <w:right w:w="57" w:type="dxa"/>
            </w:tcMar>
            <w:vAlign w:val="center"/>
          </w:tcPr>
          <w:p w14:paraId="50EDBAFA" w14:textId="71E7D20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Borders>
              <w:top w:val="single" w:sz="4" w:space="0" w:color="auto"/>
              <w:bottom w:val="nil"/>
            </w:tcBorders>
            <w:tcMar>
              <w:left w:w="57" w:type="dxa"/>
              <w:right w:w="57" w:type="dxa"/>
            </w:tcMar>
            <w:vAlign w:val="center"/>
          </w:tcPr>
          <w:p w14:paraId="4B2AFC36" w14:textId="54905F9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Borders>
              <w:top w:val="single" w:sz="4" w:space="0" w:color="auto"/>
              <w:bottom w:val="nil"/>
            </w:tcBorders>
            <w:shd w:val="clear" w:color="auto" w:fill="auto"/>
            <w:tcMar>
              <w:left w:w="57" w:type="dxa"/>
              <w:right w:w="57" w:type="dxa"/>
            </w:tcMar>
            <w:vAlign w:val="center"/>
          </w:tcPr>
          <w:p w14:paraId="4B1A72F7" w14:textId="0BC0504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284.486.231</w:t>
            </w:r>
          </w:p>
        </w:tc>
      </w:tr>
      <w:tr w:rsidR="003B7A7D" w:rsidRPr="00FB38E1" w14:paraId="756C06B6" w14:textId="77777777" w:rsidTr="007F0BAF">
        <w:tc>
          <w:tcPr>
            <w:tcW w:w="101" w:type="pct"/>
            <w:tcBorders>
              <w:top w:val="nil"/>
            </w:tcBorders>
            <w:tcMar>
              <w:left w:w="57" w:type="dxa"/>
              <w:right w:w="57" w:type="dxa"/>
            </w:tcMar>
          </w:tcPr>
          <w:p w14:paraId="7109860B"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2</w:t>
            </w:r>
          </w:p>
        </w:tc>
        <w:tc>
          <w:tcPr>
            <w:tcW w:w="862" w:type="pct"/>
            <w:gridSpan w:val="2"/>
            <w:tcBorders>
              <w:top w:val="nil"/>
            </w:tcBorders>
            <w:tcMar>
              <w:left w:w="57" w:type="dxa"/>
              <w:right w:w="57" w:type="dxa"/>
            </w:tcMar>
          </w:tcPr>
          <w:p w14:paraId="15683A80"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Bölgesel yönetimlerden veya yerel yönetimlerden alacaklar</w:t>
            </w:r>
          </w:p>
        </w:tc>
        <w:tc>
          <w:tcPr>
            <w:tcW w:w="256" w:type="pct"/>
            <w:tcBorders>
              <w:top w:val="nil"/>
            </w:tcBorders>
            <w:tcMar>
              <w:left w:w="57" w:type="dxa"/>
              <w:right w:w="57" w:type="dxa"/>
            </w:tcMar>
            <w:vAlign w:val="center"/>
          </w:tcPr>
          <w:p w14:paraId="5A99068F" w14:textId="69D6795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Borders>
              <w:top w:val="nil"/>
            </w:tcBorders>
            <w:tcMar>
              <w:left w:w="57" w:type="dxa"/>
              <w:right w:w="57" w:type="dxa"/>
            </w:tcMar>
            <w:vAlign w:val="center"/>
          </w:tcPr>
          <w:p w14:paraId="3B9D6F6C" w14:textId="0D90A4B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Borders>
              <w:top w:val="nil"/>
            </w:tcBorders>
            <w:tcMar>
              <w:left w:w="57" w:type="dxa"/>
              <w:right w:w="57" w:type="dxa"/>
            </w:tcMar>
            <w:vAlign w:val="center"/>
          </w:tcPr>
          <w:p w14:paraId="21C8430D" w14:textId="691DE5A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8.228</w:t>
            </w:r>
          </w:p>
        </w:tc>
        <w:tc>
          <w:tcPr>
            <w:tcW w:w="387" w:type="pct"/>
            <w:tcBorders>
              <w:top w:val="nil"/>
            </w:tcBorders>
            <w:vAlign w:val="center"/>
          </w:tcPr>
          <w:p w14:paraId="1AC101C6" w14:textId="7FFC577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top w:val="nil"/>
            </w:tcBorders>
            <w:tcMar>
              <w:left w:w="57" w:type="dxa"/>
              <w:right w:w="57" w:type="dxa"/>
            </w:tcMar>
            <w:vAlign w:val="center"/>
          </w:tcPr>
          <w:p w14:paraId="796DB74F" w14:textId="6A3C674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tcBorders>
              <w:top w:val="nil"/>
            </w:tcBorders>
            <w:vAlign w:val="center"/>
          </w:tcPr>
          <w:p w14:paraId="011E3C40" w14:textId="5461058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1.993.710</w:t>
            </w:r>
          </w:p>
        </w:tc>
        <w:tc>
          <w:tcPr>
            <w:tcW w:w="368" w:type="pct"/>
            <w:tcBorders>
              <w:top w:val="nil"/>
            </w:tcBorders>
            <w:tcMar>
              <w:left w:w="57" w:type="dxa"/>
              <w:right w:w="57" w:type="dxa"/>
            </w:tcMar>
            <w:vAlign w:val="center"/>
          </w:tcPr>
          <w:p w14:paraId="7FFA221C" w14:textId="058E479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Borders>
              <w:top w:val="nil"/>
            </w:tcBorders>
            <w:tcMar>
              <w:left w:w="57" w:type="dxa"/>
              <w:right w:w="57" w:type="dxa"/>
            </w:tcMar>
            <w:vAlign w:val="center"/>
          </w:tcPr>
          <w:p w14:paraId="39FB9B96" w14:textId="22F2D70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top w:val="nil"/>
            </w:tcBorders>
            <w:tcMar>
              <w:left w:w="57" w:type="dxa"/>
              <w:right w:w="57" w:type="dxa"/>
            </w:tcMar>
            <w:vAlign w:val="center"/>
          </w:tcPr>
          <w:p w14:paraId="048CA1D6" w14:textId="02C2A29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Borders>
              <w:top w:val="nil"/>
            </w:tcBorders>
            <w:tcMar>
              <w:left w:w="57" w:type="dxa"/>
              <w:right w:w="57" w:type="dxa"/>
            </w:tcMar>
            <w:vAlign w:val="center"/>
          </w:tcPr>
          <w:p w14:paraId="22294824" w14:textId="52B4B3E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1.504.651</w:t>
            </w:r>
          </w:p>
        </w:tc>
        <w:tc>
          <w:tcPr>
            <w:tcW w:w="291" w:type="pct"/>
            <w:tcBorders>
              <w:top w:val="nil"/>
            </w:tcBorders>
            <w:tcMar>
              <w:left w:w="57" w:type="dxa"/>
              <w:right w:w="57" w:type="dxa"/>
            </w:tcMar>
            <w:vAlign w:val="center"/>
          </w:tcPr>
          <w:p w14:paraId="24C145CD" w14:textId="615DA5C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Borders>
              <w:top w:val="nil"/>
            </w:tcBorders>
            <w:tcMar>
              <w:left w:w="57" w:type="dxa"/>
              <w:right w:w="57" w:type="dxa"/>
            </w:tcMar>
            <w:vAlign w:val="center"/>
          </w:tcPr>
          <w:p w14:paraId="259F9035" w14:textId="0925834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3.506.589</w:t>
            </w:r>
          </w:p>
        </w:tc>
      </w:tr>
      <w:tr w:rsidR="003B7A7D" w:rsidRPr="00FB38E1" w14:paraId="5D72083F" w14:textId="77777777" w:rsidTr="007F0BAF">
        <w:tc>
          <w:tcPr>
            <w:tcW w:w="101" w:type="pct"/>
            <w:tcMar>
              <w:left w:w="57" w:type="dxa"/>
              <w:right w:w="57" w:type="dxa"/>
            </w:tcMar>
          </w:tcPr>
          <w:p w14:paraId="4C4A5C91"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3</w:t>
            </w:r>
          </w:p>
        </w:tc>
        <w:tc>
          <w:tcPr>
            <w:tcW w:w="862" w:type="pct"/>
            <w:gridSpan w:val="2"/>
            <w:tcMar>
              <w:left w:w="57" w:type="dxa"/>
              <w:right w:w="57" w:type="dxa"/>
            </w:tcMar>
          </w:tcPr>
          <w:p w14:paraId="5BCE089B"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İdari birimlerden ve ticari olmayan girişimlerden alacaklar</w:t>
            </w:r>
          </w:p>
        </w:tc>
        <w:tc>
          <w:tcPr>
            <w:tcW w:w="256" w:type="pct"/>
            <w:tcMar>
              <w:left w:w="57" w:type="dxa"/>
              <w:right w:w="57" w:type="dxa"/>
            </w:tcMar>
            <w:vAlign w:val="center"/>
          </w:tcPr>
          <w:p w14:paraId="0A2D0BA9" w14:textId="18E88C7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7D2514B4" w14:textId="25B934A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12983415" w14:textId="33932CC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7412B250" w14:textId="29F8590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0C4F991B" w14:textId="3AD8616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64B165F7" w14:textId="5F9C103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04A1A7AD" w14:textId="394253A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48AA3D63" w14:textId="7BCE610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7.334.861</w:t>
            </w:r>
          </w:p>
        </w:tc>
        <w:tc>
          <w:tcPr>
            <w:tcW w:w="368" w:type="pct"/>
            <w:tcMar>
              <w:left w:w="57" w:type="dxa"/>
              <w:right w:w="57" w:type="dxa"/>
            </w:tcMar>
            <w:vAlign w:val="center"/>
          </w:tcPr>
          <w:p w14:paraId="4601D8E1" w14:textId="4B9206F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4FEA0861" w14:textId="69E75D4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60504681" w14:textId="557351E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02ADB7D5" w14:textId="5624059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7.334.861</w:t>
            </w:r>
          </w:p>
        </w:tc>
      </w:tr>
      <w:tr w:rsidR="003B7A7D" w:rsidRPr="00FB38E1" w14:paraId="3F950115" w14:textId="77777777" w:rsidTr="007F0BAF">
        <w:tc>
          <w:tcPr>
            <w:tcW w:w="101" w:type="pct"/>
            <w:tcMar>
              <w:left w:w="57" w:type="dxa"/>
              <w:right w:w="57" w:type="dxa"/>
            </w:tcMar>
          </w:tcPr>
          <w:p w14:paraId="7AB3369F"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4</w:t>
            </w:r>
          </w:p>
        </w:tc>
        <w:tc>
          <w:tcPr>
            <w:tcW w:w="862" w:type="pct"/>
            <w:gridSpan w:val="2"/>
            <w:tcMar>
              <w:left w:w="57" w:type="dxa"/>
              <w:right w:w="57" w:type="dxa"/>
            </w:tcMar>
          </w:tcPr>
          <w:p w14:paraId="48436B85"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Çok taraflı kalkınma bankalarından alacaklar</w:t>
            </w:r>
          </w:p>
        </w:tc>
        <w:tc>
          <w:tcPr>
            <w:tcW w:w="256" w:type="pct"/>
            <w:tcMar>
              <w:left w:w="57" w:type="dxa"/>
              <w:right w:w="57" w:type="dxa"/>
            </w:tcMar>
            <w:vAlign w:val="center"/>
          </w:tcPr>
          <w:p w14:paraId="5D80AD99" w14:textId="52E8ECA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2C90B015" w14:textId="695D5A3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45BFE5E1" w14:textId="0E656CF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6DE2B0D1" w14:textId="0B47F4C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CA63817" w14:textId="5BDE736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7FC28F10" w14:textId="5E306AF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5F7484E" w14:textId="39C98F2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5A9DBCF7" w14:textId="02B6C59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70672765" w14:textId="7045431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405F3B76" w14:textId="307CD5F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2078FBC1" w14:textId="32CF7AD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5C5EE571" w14:textId="54AD21A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B7A7D" w:rsidRPr="00FB38E1" w14:paraId="6ABD4FF1" w14:textId="77777777" w:rsidTr="007F0BAF">
        <w:tc>
          <w:tcPr>
            <w:tcW w:w="101" w:type="pct"/>
            <w:tcMar>
              <w:left w:w="57" w:type="dxa"/>
              <w:right w:w="57" w:type="dxa"/>
            </w:tcMar>
          </w:tcPr>
          <w:p w14:paraId="52576515"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5</w:t>
            </w:r>
          </w:p>
        </w:tc>
        <w:tc>
          <w:tcPr>
            <w:tcW w:w="862" w:type="pct"/>
            <w:gridSpan w:val="2"/>
            <w:tcMar>
              <w:left w:w="57" w:type="dxa"/>
              <w:right w:w="57" w:type="dxa"/>
            </w:tcMar>
          </w:tcPr>
          <w:p w14:paraId="7DCDCA64"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Uluslararası teşkilatlardan alacaklar</w:t>
            </w:r>
          </w:p>
        </w:tc>
        <w:tc>
          <w:tcPr>
            <w:tcW w:w="256" w:type="pct"/>
            <w:tcMar>
              <w:left w:w="57" w:type="dxa"/>
              <w:right w:w="57" w:type="dxa"/>
            </w:tcMar>
            <w:vAlign w:val="center"/>
          </w:tcPr>
          <w:p w14:paraId="5ADA5084" w14:textId="22B9CD7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044FD144" w14:textId="69E2443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051BD41B" w14:textId="30AAE29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17A4BE58" w14:textId="50B507C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626E1BB" w14:textId="7138BE1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3CAE7968" w14:textId="156C645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0C7466A6" w14:textId="66A93AF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689295F1" w14:textId="5614BA3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5A8F1BC3" w14:textId="56AB058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3F28E02E" w14:textId="51B0EEC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1E2D2479" w14:textId="4EA2E16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44DCEEAE" w14:textId="6238AAF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B7A7D" w:rsidRPr="00FB38E1" w14:paraId="6398C903" w14:textId="77777777" w:rsidTr="007F0BAF">
        <w:tc>
          <w:tcPr>
            <w:tcW w:w="101" w:type="pct"/>
            <w:tcMar>
              <w:left w:w="57" w:type="dxa"/>
              <w:right w:w="57" w:type="dxa"/>
            </w:tcMar>
          </w:tcPr>
          <w:p w14:paraId="7BB0BC5F"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6</w:t>
            </w:r>
          </w:p>
        </w:tc>
        <w:tc>
          <w:tcPr>
            <w:tcW w:w="862" w:type="pct"/>
            <w:gridSpan w:val="2"/>
            <w:tcMar>
              <w:left w:w="57" w:type="dxa"/>
              <w:right w:w="57" w:type="dxa"/>
            </w:tcMar>
          </w:tcPr>
          <w:p w14:paraId="463770F6"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Bankalardan ve aracı kurumlardan alacaklar</w:t>
            </w:r>
          </w:p>
        </w:tc>
        <w:tc>
          <w:tcPr>
            <w:tcW w:w="256" w:type="pct"/>
            <w:tcMar>
              <w:left w:w="57" w:type="dxa"/>
              <w:right w:w="57" w:type="dxa"/>
            </w:tcMar>
            <w:vAlign w:val="center"/>
          </w:tcPr>
          <w:p w14:paraId="57F56F4C" w14:textId="4FD0E55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7DBB9FF5" w14:textId="6A295D3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21F462AE" w14:textId="5CDB0D8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41.258.888</w:t>
            </w:r>
          </w:p>
        </w:tc>
        <w:tc>
          <w:tcPr>
            <w:tcW w:w="387" w:type="pct"/>
            <w:vAlign w:val="center"/>
          </w:tcPr>
          <w:p w14:paraId="377A7D9C" w14:textId="180D9C5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71319FB0" w14:textId="7298CED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17C810DC" w14:textId="20F907C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4.508.039</w:t>
            </w:r>
          </w:p>
        </w:tc>
        <w:tc>
          <w:tcPr>
            <w:tcW w:w="368" w:type="pct"/>
            <w:tcMar>
              <w:left w:w="57" w:type="dxa"/>
              <w:right w:w="57" w:type="dxa"/>
            </w:tcMar>
            <w:vAlign w:val="center"/>
          </w:tcPr>
          <w:p w14:paraId="713B8D61" w14:textId="5880CD9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14ABAAB1" w14:textId="2044D11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102.323</w:t>
            </w:r>
          </w:p>
        </w:tc>
        <w:tc>
          <w:tcPr>
            <w:tcW w:w="368" w:type="pct"/>
            <w:tcMar>
              <w:left w:w="57" w:type="dxa"/>
              <w:right w:w="57" w:type="dxa"/>
            </w:tcMar>
            <w:vAlign w:val="center"/>
          </w:tcPr>
          <w:p w14:paraId="18C003DF" w14:textId="55E3619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19614500" w14:textId="08178B1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43A0D350" w14:textId="4550205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29.978.562</w:t>
            </w:r>
          </w:p>
        </w:tc>
        <w:tc>
          <w:tcPr>
            <w:tcW w:w="403" w:type="pct"/>
            <w:tcMar>
              <w:left w:w="57" w:type="dxa"/>
              <w:right w:w="57" w:type="dxa"/>
            </w:tcMar>
            <w:vAlign w:val="center"/>
          </w:tcPr>
          <w:p w14:paraId="0BD77464" w14:textId="1493E3D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75.847.812</w:t>
            </w:r>
          </w:p>
        </w:tc>
      </w:tr>
      <w:tr w:rsidR="003B7A7D" w:rsidRPr="00FB38E1" w14:paraId="60905451" w14:textId="77777777" w:rsidTr="007F0BAF">
        <w:tc>
          <w:tcPr>
            <w:tcW w:w="101" w:type="pct"/>
            <w:tcMar>
              <w:left w:w="57" w:type="dxa"/>
              <w:right w:w="57" w:type="dxa"/>
            </w:tcMar>
          </w:tcPr>
          <w:p w14:paraId="77646A21"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7</w:t>
            </w:r>
          </w:p>
        </w:tc>
        <w:tc>
          <w:tcPr>
            <w:tcW w:w="862" w:type="pct"/>
            <w:gridSpan w:val="2"/>
            <w:tcMar>
              <w:left w:w="57" w:type="dxa"/>
              <w:right w:w="57" w:type="dxa"/>
            </w:tcMar>
          </w:tcPr>
          <w:p w14:paraId="62485F5C"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Kurumsal alacaklar</w:t>
            </w:r>
          </w:p>
        </w:tc>
        <w:tc>
          <w:tcPr>
            <w:tcW w:w="256" w:type="pct"/>
            <w:tcMar>
              <w:left w:w="57" w:type="dxa"/>
              <w:right w:w="57" w:type="dxa"/>
            </w:tcMar>
            <w:vAlign w:val="center"/>
          </w:tcPr>
          <w:p w14:paraId="0D7F3181" w14:textId="55F7233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639AD69C" w14:textId="434CB8F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46281A14" w14:textId="13A7089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0B7D5154" w14:textId="659529B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1A5B1BF" w14:textId="52F5152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2CA0C900" w14:textId="0B1D48F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F4BCBF5" w14:textId="63AEF67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shd w:val="clear" w:color="auto" w:fill="auto"/>
            <w:tcMar>
              <w:left w:w="57" w:type="dxa"/>
              <w:right w:w="57" w:type="dxa"/>
            </w:tcMar>
            <w:vAlign w:val="center"/>
          </w:tcPr>
          <w:p w14:paraId="09DC505F" w14:textId="577D6F3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168.206.934</w:t>
            </w:r>
          </w:p>
        </w:tc>
        <w:tc>
          <w:tcPr>
            <w:tcW w:w="368" w:type="pct"/>
            <w:tcMar>
              <w:left w:w="57" w:type="dxa"/>
              <w:right w:w="57" w:type="dxa"/>
            </w:tcMar>
            <w:vAlign w:val="center"/>
          </w:tcPr>
          <w:p w14:paraId="6404023C" w14:textId="44C8247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163.180</w:t>
            </w:r>
          </w:p>
        </w:tc>
        <w:tc>
          <w:tcPr>
            <w:tcW w:w="256" w:type="pct"/>
            <w:tcMar>
              <w:left w:w="57" w:type="dxa"/>
              <w:right w:w="57" w:type="dxa"/>
            </w:tcMar>
            <w:vAlign w:val="center"/>
          </w:tcPr>
          <w:p w14:paraId="08D69AB5" w14:textId="26F243A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13.506.490</w:t>
            </w:r>
          </w:p>
        </w:tc>
        <w:tc>
          <w:tcPr>
            <w:tcW w:w="291" w:type="pct"/>
            <w:tcMar>
              <w:left w:w="57" w:type="dxa"/>
              <w:right w:w="57" w:type="dxa"/>
            </w:tcMar>
            <w:vAlign w:val="center"/>
          </w:tcPr>
          <w:p w14:paraId="2BF9BC3D" w14:textId="0A05E06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720.359</w:t>
            </w:r>
          </w:p>
        </w:tc>
        <w:tc>
          <w:tcPr>
            <w:tcW w:w="403" w:type="pct"/>
            <w:tcMar>
              <w:left w:w="57" w:type="dxa"/>
              <w:right w:w="57" w:type="dxa"/>
            </w:tcMar>
            <w:vAlign w:val="center"/>
          </w:tcPr>
          <w:p w14:paraId="26B749A0" w14:textId="5D0D214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182.596.963</w:t>
            </w:r>
          </w:p>
        </w:tc>
      </w:tr>
      <w:tr w:rsidR="003B7A7D" w:rsidRPr="00FB38E1" w14:paraId="097BA036" w14:textId="77777777" w:rsidTr="007F0BAF">
        <w:tc>
          <w:tcPr>
            <w:tcW w:w="101" w:type="pct"/>
            <w:tcMar>
              <w:left w:w="57" w:type="dxa"/>
              <w:right w:w="57" w:type="dxa"/>
            </w:tcMar>
          </w:tcPr>
          <w:p w14:paraId="1BFF956C"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8</w:t>
            </w:r>
          </w:p>
        </w:tc>
        <w:tc>
          <w:tcPr>
            <w:tcW w:w="862" w:type="pct"/>
            <w:gridSpan w:val="2"/>
            <w:tcMar>
              <w:left w:w="57" w:type="dxa"/>
              <w:right w:w="57" w:type="dxa"/>
            </w:tcMar>
          </w:tcPr>
          <w:p w14:paraId="37141C96"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Perakende alacaklar</w:t>
            </w:r>
          </w:p>
        </w:tc>
        <w:tc>
          <w:tcPr>
            <w:tcW w:w="256" w:type="pct"/>
            <w:tcMar>
              <w:left w:w="57" w:type="dxa"/>
              <w:right w:w="57" w:type="dxa"/>
            </w:tcMar>
            <w:vAlign w:val="center"/>
          </w:tcPr>
          <w:p w14:paraId="199983DB" w14:textId="42A7579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31642879" w14:textId="2E14638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6A718179" w14:textId="12C3520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1F80DECB" w14:textId="43EE479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2DEFD170" w14:textId="73A1FB1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6442784C" w14:textId="166825C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50DE7CE" w14:textId="61733E1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98.196.122</w:t>
            </w:r>
          </w:p>
        </w:tc>
        <w:tc>
          <w:tcPr>
            <w:tcW w:w="403" w:type="pct"/>
            <w:tcMar>
              <w:left w:w="57" w:type="dxa"/>
              <w:right w:w="57" w:type="dxa"/>
            </w:tcMar>
            <w:vAlign w:val="center"/>
          </w:tcPr>
          <w:p w14:paraId="6182AEC3" w14:textId="342809B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15.501.027</w:t>
            </w:r>
          </w:p>
        </w:tc>
        <w:tc>
          <w:tcPr>
            <w:tcW w:w="368" w:type="pct"/>
            <w:tcMar>
              <w:left w:w="57" w:type="dxa"/>
              <w:right w:w="57" w:type="dxa"/>
            </w:tcMar>
            <w:vAlign w:val="center"/>
          </w:tcPr>
          <w:p w14:paraId="6D776260" w14:textId="5598DDA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104.851.565</w:t>
            </w:r>
          </w:p>
        </w:tc>
        <w:tc>
          <w:tcPr>
            <w:tcW w:w="256" w:type="pct"/>
            <w:tcMar>
              <w:left w:w="57" w:type="dxa"/>
              <w:right w:w="57" w:type="dxa"/>
            </w:tcMar>
            <w:vAlign w:val="center"/>
          </w:tcPr>
          <w:p w14:paraId="18060087" w14:textId="72E4FFA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394EF410" w14:textId="3B58143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20.953</w:t>
            </w:r>
          </w:p>
        </w:tc>
        <w:tc>
          <w:tcPr>
            <w:tcW w:w="403" w:type="pct"/>
            <w:tcMar>
              <w:left w:w="57" w:type="dxa"/>
              <w:right w:w="57" w:type="dxa"/>
            </w:tcMar>
            <w:vAlign w:val="center"/>
          </w:tcPr>
          <w:p w14:paraId="24F5EC6C" w14:textId="4827156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218.569.667</w:t>
            </w:r>
          </w:p>
        </w:tc>
      </w:tr>
      <w:tr w:rsidR="003B7A7D" w:rsidRPr="00FB38E1" w14:paraId="0ABB3229" w14:textId="77777777" w:rsidTr="007F0BAF">
        <w:tc>
          <w:tcPr>
            <w:tcW w:w="101" w:type="pct"/>
            <w:tcMar>
              <w:left w:w="57" w:type="dxa"/>
              <w:right w:w="57" w:type="dxa"/>
            </w:tcMar>
          </w:tcPr>
          <w:p w14:paraId="66BDFB33"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9</w:t>
            </w:r>
          </w:p>
        </w:tc>
        <w:tc>
          <w:tcPr>
            <w:tcW w:w="862" w:type="pct"/>
            <w:gridSpan w:val="2"/>
            <w:tcMar>
              <w:left w:w="57" w:type="dxa"/>
              <w:right w:w="57" w:type="dxa"/>
            </w:tcMar>
          </w:tcPr>
          <w:p w14:paraId="215ACD96"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İkamet amaçlı gayrimenkul ipoteği ile teminatlandırılan alacaklar</w:t>
            </w:r>
          </w:p>
        </w:tc>
        <w:tc>
          <w:tcPr>
            <w:tcW w:w="256" w:type="pct"/>
            <w:tcMar>
              <w:left w:w="57" w:type="dxa"/>
              <w:right w:w="57" w:type="dxa"/>
            </w:tcMar>
            <w:vAlign w:val="center"/>
          </w:tcPr>
          <w:p w14:paraId="338DC936" w14:textId="60D47CD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616CEEA9" w14:textId="1D8A619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2B0CC5A1" w14:textId="053C231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24066B1C" w14:textId="20754FC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10.790.921</w:t>
            </w:r>
          </w:p>
        </w:tc>
        <w:tc>
          <w:tcPr>
            <w:tcW w:w="368" w:type="pct"/>
            <w:tcMar>
              <w:left w:w="57" w:type="dxa"/>
              <w:right w:w="57" w:type="dxa"/>
            </w:tcMar>
            <w:vAlign w:val="center"/>
          </w:tcPr>
          <w:p w14:paraId="2547DECD" w14:textId="5377DBD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513B18D7" w14:textId="15283DD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334DD0D" w14:textId="216C635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7E11199B" w14:textId="79D2F30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71104000" w14:textId="3669D44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30.520</w:t>
            </w:r>
          </w:p>
        </w:tc>
        <w:tc>
          <w:tcPr>
            <w:tcW w:w="256" w:type="pct"/>
            <w:tcMar>
              <w:left w:w="57" w:type="dxa"/>
              <w:right w:w="57" w:type="dxa"/>
            </w:tcMar>
            <w:vAlign w:val="center"/>
          </w:tcPr>
          <w:p w14:paraId="17742109" w14:textId="530AE64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225.355</w:t>
            </w:r>
          </w:p>
        </w:tc>
        <w:tc>
          <w:tcPr>
            <w:tcW w:w="291" w:type="pct"/>
            <w:tcMar>
              <w:left w:w="57" w:type="dxa"/>
              <w:right w:w="57" w:type="dxa"/>
            </w:tcMar>
            <w:vAlign w:val="center"/>
          </w:tcPr>
          <w:p w14:paraId="5D24126F" w14:textId="70326F6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555</w:t>
            </w:r>
          </w:p>
        </w:tc>
        <w:tc>
          <w:tcPr>
            <w:tcW w:w="403" w:type="pct"/>
            <w:tcMar>
              <w:left w:w="57" w:type="dxa"/>
              <w:right w:w="57" w:type="dxa"/>
            </w:tcMar>
            <w:vAlign w:val="center"/>
          </w:tcPr>
          <w:p w14:paraId="4BE4270E" w14:textId="3B2400E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11.047.351</w:t>
            </w:r>
          </w:p>
        </w:tc>
      </w:tr>
      <w:tr w:rsidR="003B7A7D" w:rsidRPr="00FB38E1" w14:paraId="5CC0151D" w14:textId="77777777" w:rsidTr="007F0BAF">
        <w:tc>
          <w:tcPr>
            <w:tcW w:w="101" w:type="pct"/>
            <w:tcMar>
              <w:left w:w="57" w:type="dxa"/>
              <w:right w:w="57" w:type="dxa"/>
            </w:tcMar>
          </w:tcPr>
          <w:p w14:paraId="4A7FFBDA"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10</w:t>
            </w:r>
          </w:p>
        </w:tc>
        <w:tc>
          <w:tcPr>
            <w:tcW w:w="862" w:type="pct"/>
            <w:gridSpan w:val="2"/>
            <w:tcMar>
              <w:left w:w="57" w:type="dxa"/>
              <w:right w:w="57" w:type="dxa"/>
            </w:tcMar>
          </w:tcPr>
          <w:p w14:paraId="2AEDB370"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Ticari amaçlı gayrimenkul ipoteği ile teminatlandırılan alacaklar</w:t>
            </w:r>
          </w:p>
        </w:tc>
        <w:tc>
          <w:tcPr>
            <w:tcW w:w="256" w:type="pct"/>
            <w:tcMar>
              <w:left w:w="57" w:type="dxa"/>
              <w:right w:w="57" w:type="dxa"/>
            </w:tcMar>
            <w:vAlign w:val="center"/>
          </w:tcPr>
          <w:p w14:paraId="7C098FF9" w14:textId="264E7D0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15E53DD1" w14:textId="1C876B5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1681463B" w14:textId="10F9A3C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78700DF6" w14:textId="695BC0A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7DD48FF9" w14:textId="70CF4F9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32.730.035</w:t>
            </w:r>
          </w:p>
        </w:tc>
        <w:tc>
          <w:tcPr>
            <w:tcW w:w="421" w:type="pct"/>
            <w:vAlign w:val="center"/>
          </w:tcPr>
          <w:p w14:paraId="5EA43C2A" w14:textId="335CF60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5DA50913" w14:textId="522858A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1F59F45F" w14:textId="7327A97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2.726.837</w:t>
            </w:r>
          </w:p>
        </w:tc>
        <w:tc>
          <w:tcPr>
            <w:tcW w:w="368" w:type="pct"/>
            <w:tcMar>
              <w:left w:w="57" w:type="dxa"/>
              <w:right w:w="57" w:type="dxa"/>
            </w:tcMar>
            <w:vAlign w:val="center"/>
          </w:tcPr>
          <w:p w14:paraId="5900AB84" w14:textId="71259D8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101.537</w:t>
            </w:r>
          </w:p>
        </w:tc>
        <w:tc>
          <w:tcPr>
            <w:tcW w:w="256" w:type="pct"/>
            <w:tcMar>
              <w:left w:w="57" w:type="dxa"/>
              <w:right w:w="57" w:type="dxa"/>
            </w:tcMar>
            <w:vAlign w:val="center"/>
          </w:tcPr>
          <w:p w14:paraId="09C0B9FA" w14:textId="04C2F72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1.039.594</w:t>
            </w:r>
          </w:p>
        </w:tc>
        <w:tc>
          <w:tcPr>
            <w:tcW w:w="291" w:type="pct"/>
            <w:tcMar>
              <w:left w:w="57" w:type="dxa"/>
              <w:right w:w="57" w:type="dxa"/>
            </w:tcMar>
            <w:vAlign w:val="center"/>
          </w:tcPr>
          <w:p w14:paraId="41AB6930" w14:textId="0024E41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260</w:t>
            </w:r>
          </w:p>
        </w:tc>
        <w:tc>
          <w:tcPr>
            <w:tcW w:w="403" w:type="pct"/>
            <w:tcMar>
              <w:left w:w="57" w:type="dxa"/>
              <w:right w:w="57" w:type="dxa"/>
            </w:tcMar>
            <w:vAlign w:val="center"/>
          </w:tcPr>
          <w:p w14:paraId="67EF2735" w14:textId="386BE60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36.598.263</w:t>
            </w:r>
          </w:p>
        </w:tc>
      </w:tr>
      <w:tr w:rsidR="003B7A7D" w:rsidRPr="00FB38E1" w14:paraId="79E0B5FE" w14:textId="77777777" w:rsidTr="007F0BAF">
        <w:tc>
          <w:tcPr>
            <w:tcW w:w="101" w:type="pct"/>
            <w:tcMar>
              <w:left w:w="57" w:type="dxa"/>
              <w:right w:w="57" w:type="dxa"/>
            </w:tcMar>
          </w:tcPr>
          <w:p w14:paraId="4FF6D2D9"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11</w:t>
            </w:r>
          </w:p>
        </w:tc>
        <w:tc>
          <w:tcPr>
            <w:tcW w:w="862" w:type="pct"/>
            <w:gridSpan w:val="2"/>
            <w:tcMar>
              <w:left w:w="57" w:type="dxa"/>
              <w:right w:w="57" w:type="dxa"/>
            </w:tcMar>
          </w:tcPr>
          <w:p w14:paraId="4B03BC74"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Tahsili gecikmiş alacaklar</w:t>
            </w:r>
          </w:p>
        </w:tc>
        <w:tc>
          <w:tcPr>
            <w:tcW w:w="256" w:type="pct"/>
            <w:tcMar>
              <w:left w:w="57" w:type="dxa"/>
              <w:right w:w="57" w:type="dxa"/>
            </w:tcMar>
            <w:vAlign w:val="center"/>
          </w:tcPr>
          <w:p w14:paraId="69617E03" w14:textId="0007EF9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5C2C2B0E" w14:textId="763D767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257C9C7E" w14:textId="4E64A06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388C5089" w14:textId="6BB4609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79FA6B89" w14:textId="44EBFB6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16FC69D2" w14:textId="26C93BA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2.254.747</w:t>
            </w:r>
          </w:p>
        </w:tc>
        <w:tc>
          <w:tcPr>
            <w:tcW w:w="368" w:type="pct"/>
            <w:tcMar>
              <w:left w:w="57" w:type="dxa"/>
              <w:right w:w="57" w:type="dxa"/>
            </w:tcMar>
            <w:vAlign w:val="center"/>
          </w:tcPr>
          <w:p w14:paraId="6C746B49" w14:textId="4984A9A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4944D318" w14:textId="715F7A6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2.828.536</w:t>
            </w:r>
          </w:p>
        </w:tc>
        <w:tc>
          <w:tcPr>
            <w:tcW w:w="368" w:type="pct"/>
            <w:tcMar>
              <w:left w:w="57" w:type="dxa"/>
              <w:right w:w="57" w:type="dxa"/>
            </w:tcMar>
            <w:vAlign w:val="center"/>
          </w:tcPr>
          <w:p w14:paraId="7063180E" w14:textId="27AD5BC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105.423</w:t>
            </w:r>
          </w:p>
        </w:tc>
        <w:tc>
          <w:tcPr>
            <w:tcW w:w="256" w:type="pct"/>
            <w:tcMar>
              <w:left w:w="57" w:type="dxa"/>
              <w:right w:w="57" w:type="dxa"/>
            </w:tcMar>
            <w:vAlign w:val="center"/>
          </w:tcPr>
          <w:p w14:paraId="249ED736" w14:textId="67F2DA6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7CB2EB7C" w14:textId="2E0D3E2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7700EF13" w14:textId="590D679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5.188.706</w:t>
            </w:r>
          </w:p>
        </w:tc>
      </w:tr>
      <w:tr w:rsidR="003B7A7D" w:rsidRPr="00FB38E1" w14:paraId="1BBCEE69" w14:textId="77777777" w:rsidTr="007F0BAF">
        <w:tc>
          <w:tcPr>
            <w:tcW w:w="101" w:type="pct"/>
            <w:tcMar>
              <w:left w:w="57" w:type="dxa"/>
              <w:right w:w="57" w:type="dxa"/>
            </w:tcMar>
          </w:tcPr>
          <w:p w14:paraId="3CB2C87C"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12</w:t>
            </w:r>
          </w:p>
        </w:tc>
        <w:tc>
          <w:tcPr>
            <w:tcW w:w="862" w:type="pct"/>
            <w:gridSpan w:val="2"/>
            <w:tcMar>
              <w:left w:w="57" w:type="dxa"/>
              <w:right w:w="57" w:type="dxa"/>
            </w:tcMar>
          </w:tcPr>
          <w:p w14:paraId="31C21696"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Kurulca riski yüksek belirlenmiş alacaklar</w:t>
            </w:r>
          </w:p>
        </w:tc>
        <w:tc>
          <w:tcPr>
            <w:tcW w:w="256" w:type="pct"/>
            <w:tcMar>
              <w:left w:w="57" w:type="dxa"/>
              <w:right w:w="57" w:type="dxa"/>
            </w:tcMar>
            <w:vAlign w:val="center"/>
          </w:tcPr>
          <w:p w14:paraId="7DE954A7" w14:textId="4E9EADD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7B61748A" w14:textId="2C2EF8C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64C0C54C" w14:textId="2FC09B5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525DD57E" w14:textId="0957202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74D4174A" w14:textId="40209ED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078E6DE5" w14:textId="6A5294A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7E1A8EFA" w14:textId="68D1AFE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5BEC1424" w14:textId="5FBA81E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0ACD84B8" w14:textId="7F2BAAD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09693FF1" w14:textId="0C69B53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25C6C3C3" w14:textId="4707DC3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5550E70E" w14:textId="6D78269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B7A7D" w:rsidRPr="00FB38E1" w14:paraId="1CCE80C1" w14:textId="77777777" w:rsidTr="007F0BAF">
        <w:tc>
          <w:tcPr>
            <w:tcW w:w="101" w:type="pct"/>
            <w:tcMar>
              <w:left w:w="57" w:type="dxa"/>
              <w:right w:w="57" w:type="dxa"/>
            </w:tcMar>
          </w:tcPr>
          <w:p w14:paraId="3A130252"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13</w:t>
            </w:r>
          </w:p>
        </w:tc>
        <w:tc>
          <w:tcPr>
            <w:tcW w:w="862" w:type="pct"/>
            <w:gridSpan w:val="2"/>
            <w:tcMar>
              <w:left w:w="57" w:type="dxa"/>
              <w:right w:w="57" w:type="dxa"/>
            </w:tcMar>
          </w:tcPr>
          <w:p w14:paraId="064CC4E8"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İpotek teminatlı menkul kıymetler</w:t>
            </w:r>
          </w:p>
        </w:tc>
        <w:tc>
          <w:tcPr>
            <w:tcW w:w="256" w:type="pct"/>
            <w:tcMar>
              <w:left w:w="57" w:type="dxa"/>
              <w:right w:w="57" w:type="dxa"/>
            </w:tcMar>
            <w:vAlign w:val="center"/>
          </w:tcPr>
          <w:p w14:paraId="4A2AA5D6" w14:textId="5A15723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6128ED5D" w14:textId="46A9D05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7A26F4D4" w14:textId="5022476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438B665F" w14:textId="349CA2D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55E32001" w14:textId="2AC3163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054FA9DF" w14:textId="77D1D9B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5C348BE1" w14:textId="6FFF39B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66E71598" w14:textId="6E7397A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4A3466C6" w14:textId="423EF33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57578BC0" w14:textId="73A80BE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54992C13" w14:textId="03EC2D7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133CC140" w14:textId="08028A4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B7A7D" w:rsidRPr="00FB38E1" w14:paraId="3CEF5D27" w14:textId="77777777" w:rsidTr="007F0BAF">
        <w:tc>
          <w:tcPr>
            <w:tcW w:w="101" w:type="pct"/>
            <w:tcMar>
              <w:left w:w="57" w:type="dxa"/>
              <w:right w:w="57" w:type="dxa"/>
            </w:tcMar>
          </w:tcPr>
          <w:p w14:paraId="392E310C"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14</w:t>
            </w:r>
          </w:p>
        </w:tc>
        <w:tc>
          <w:tcPr>
            <w:tcW w:w="862" w:type="pct"/>
            <w:gridSpan w:val="2"/>
            <w:tcMar>
              <w:left w:w="57" w:type="dxa"/>
              <w:right w:w="57" w:type="dxa"/>
            </w:tcMar>
          </w:tcPr>
          <w:p w14:paraId="3C1C7765"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Bankalar ve aracı kurumlardan olan kısa vadeli alacaklar ile kısa vadeli kurumsal alacaklar</w:t>
            </w:r>
          </w:p>
        </w:tc>
        <w:tc>
          <w:tcPr>
            <w:tcW w:w="256" w:type="pct"/>
            <w:tcMar>
              <w:left w:w="57" w:type="dxa"/>
              <w:right w:w="57" w:type="dxa"/>
            </w:tcMar>
            <w:vAlign w:val="center"/>
          </w:tcPr>
          <w:p w14:paraId="2B1D35F5" w14:textId="05C726F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1AABD0CC" w14:textId="772F914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4C75DEF3" w14:textId="3EE686B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60F6FCFF" w14:textId="15CBD07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7E54B1FA" w14:textId="4B7D07E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123CC0E1" w14:textId="649B580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3FC0315C" w14:textId="4C23D00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4B32640C" w14:textId="67FA5F4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67350117" w14:textId="46221B8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7777BC4C" w14:textId="2F8585B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477FB3DC" w14:textId="2932217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0923C954" w14:textId="5F88528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r>
      <w:tr w:rsidR="003B7A7D" w:rsidRPr="00FB38E1" w14:paraId="5BF98763" w14:textId="77777777" w:rsidTr="007F0BAF">
        <w:tc>
          <w:tcPr>
            <w:tcW w:w="101" w:type="pct"/>
            <w:tcMar>
              <w:left w:w="57" w:type="dxa"/>
              <w:right w:w="57" w:type="dxa"/>
            </w:tcMar>
          </w:tcPr>
          <w:p w14:paraId="45D57F81"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15</w:t>
            </w:r>
          </w:p>
        </w:tc>
        <w:tc>
          <w:tcPr>
            <w:tcW w:w="862" w:type="pct"/>
            <w:gridSpan w:val="2"/>
            <w:tcMar>
              <w:left w:w="57" w:type="dxa"/>
              <w:right w:w="57" w:type="dxa"/>
            </w:tcMar>
          </w:tcPr>
          <w:p w14:paraId="2A8945A4"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Kollektif yatırım kuruluşu niteliğindeki yatırımlar</w:t>
            </w:r>
          </w:p>
        </w:tc>
        <w:tc>
          <w:tcPr>
            <w:tcW w:w="256" w:type="pct"/>
            <w:tcMar>
              <w:left w:w="57" w:type="dxa"/>
              <w:right w:w="57" w:type="dxa"/>
            </w:tcMar>
            <w:vAlign w:val="center"/>
          </w:tcPr>
          <w:p w14:paraId="6F416CE2" w14:textId="33C32C8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3BFAFECE" w14:textId="60BBC2D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270E0379" w14:textId="0E8D105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5FA7FC3E" w14:textId="3805FD3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4A84B4B5" w14:textId="36C085E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601569F4" w14:textId="6F048F8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308EAC8E" w14:textId="233F1CF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6C7E812D" w14:textId="65B7C84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28.428</w:t>
            </w:r>
          </w:p>
        </w:tc>
        <w:tc>
          <w:tcPr>
            <w:tcW w:w="368" w:type="pct"/>
            <w:tcMar>
              <w:left w:w="57" w:type="dxa"/>
              <w:right w:w="57" w:type="dxa"/>
            </w:tcMar>
            <w:vAlign w:val="center"/>
          </w:tcPr>
          <w:p w14:paraId="4C2E8106" w14:textId="5D3C853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2F18AFC1" w14:textId="1832CF2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611B3A28" w14:textId="01E8687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6C92EF77" w14:textId="3A943EE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28.428</w:t>
            </w:r>
          </w:p>
        </w:tc>
      </w:tr>
      <w:tr w:rsidR="003B7A7D" w:rsidRPr="00FB38E1" w14:paraId="1ED60405" w14:textId="77777777" w:rsidTr="007F0BAF">
        <w:tc>
          <w:tcPr>
            <w:tcW w:w="101" w:type="pct"/>
            <w:tcMar>
              <w:left w:w="57" w:type="dxa"/>
              <w:right w:w="57" w:type="dxa"/>
            </w:tcMar>
          </w:tcPr>
          <w:p w14:paraId="0ECBD52F"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16</w:t>
            </w:r>
          </w:p>
        </w:tc>
        <w:tc>
          <w:tcPr>
            <w:tcW w:w="862" w:type="pct"/>
            <w:gridSpan w:val="2"/>
            <w:tcMar>
              <w:left w:w="57" w:type="dxa"/>
              <w:right w:w="57" w:type="dxa"/>
            </w:tcMar>
          </w:tcPr>
          <w:p w14:paraId="3CBE14FC"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Hisse senedi yatırımları</w:t>
            </w:r>
          </w:p>
        </w:tc>
        <w:tc>
          <w:tcPr>
            <w:tcW w:w="256" w:type="pct"/>
            <w:tcMar>
              <w:left w:w="57" w:type="dxa"/>
              <w:right w:w="57" w:type="dxa"/>
            </w:tcMar>
            <w:vAlign w:val="center"/>
          </w:tcPr>
          <w:p w14:paraId="6337E821" w14:textId="5620E06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181" w:type="pct"/>
            <w:tcMar>
              <w:left w:w="57" w:type="dxa"/>
              <w:right w:w="57" w:type="dxa"/>
            </w:tcMar>
            <w:vAlign w:val="center"/>
          </w:tcPr>
          <w:p w14:paraId="72D118FF" w14:textId="1E8ADA1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Mar>
              <w:left w:w="57" w:type="dxa"/>
              <w:right w:w="57" w:type="dxa"/>
            </w:tcMar>
            <w:vAlign w:val="center"/>
          </w:tcPr>
          <w:p w14:paraId="5AB8D4C3" w14:textId="18C4CFE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87" w:type="pct"/>
            <w:vAlign w:val="center"/>
          </w:tcPr>
          <w:p w14:paraId="7FC72CDB" w14:textId="13E1DF7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1710BC9B" w14:textId="420A8FA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vAlign w:val="center"/>
          </w:tcPr>
          <w:p w14:paraId="78204146" w14:textId="523B53B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Mar>
              <w:left w:w="57" w:type="dxa"/>
              <w:right w:w="57" w:type="dxa"/>
            </w:tcMar>
            <w:vAlign w:val="center"/>
          </w:tcPr>
          <w:p w14:paraId="087518C3" w14:textId="466B27B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0F43ADE9" w14:textId="5903E8B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69.203.740</w:t>
            </w:r>
          </w:p>
        </w:tc>
        <w:tc>
          <w:tcPr>
            <w:tcW w:w="368" w:type="pct"/>
            <w:tcMar>
              <w:left w:w="57" w:type="dxa"/>
              <w:right w:w="57" w:type="dxa"/>
            </w:tcMar>
            <w:vAlign w:val="center"/>
          </w:tcPr>
          <w:p w14:paraId="3273788C" w14:textId="65322E3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Mar>
              <w:left w:w="57" w:type="dxa"/>
              <w:right w:w="57" w:type="dxa"/>
            </w:tcMar>
            <w:vAlign w:val="center"/>
          </w:tcPr>
          <w:p w14:paraId="12E44F7B" w14:textId="03C7877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Mar>
              <w:left w:w="57" w:type="dxa"/>
              <w:right w:w="57" w:type="dxa"/>
            </w:tcMar>
            <w:vAlign w:val="center"/>
          </w:tcPr>
          <w:p w14:paraId="5BC9D323" w14:textId="7EC0218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Mar>
              <w:left w:w="57" w:type="dxa"/>
              <w:right w:w="57" w:type="dxa"/>
            </w:tcMar>
            <w:vAlign w:val="center"/>
          </w:tcPr>
          <w:p w14:paraId="68B5BB0E" w14:textId="66BBFA2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69.203.740</w:t>
            </w:r>
          </w:p>
        </w:tc>
      </w:tr>
      <w:tr w:rsidR="003B7A7D" w:rsidRPr="00FB38E1" w14:paraId="4D20F0A2" w14:textId="77777777" w:rsidTr="007F0BAF">
        <w:tc>
          <w:tcPr>
            <w:tcW w:w="101" w:type="pct"/>
            <w:tcBorders>
              <w:bottom w:val="single" w:sz="4" w:space="0" w:color="auto"/>
            </w:tcBorders>
            <w:tcMar>
              <w:left w:w="57" w:type="dxa"/>
              <w:right w:w="57" w:type="dxa"/>
            </w:tcMar>
          </w:tcPr>
          <w:p w14:paraId="1364F7EE" w14:textId="77777777" w:rsidR="003B7A7D" w:rsidRPr="00FB38E1" w:rsidRDefault="003B7A7D" w:rsidP="003B7A7D">
            <w:pPr>
              <w:jc w:val="righ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17</w:t>
            </w:r>
          </w:p>
        </w:tc>
        <w:tc>
          <w:tcPr>
            <w:tcW w:w="862" w:type="pct"/>
            <w:gridSpan w:val="2"/>
            <w:tcBorders>
              <w:bottom w:val="single" w:sz="4" w:space="0" w:color="auto"/>
            </w:tcBorders>
            <w:tcMar>
              <w:left w:w="57" w:type="dxa"/>
              <w:right w:w="57" w:type="dxa"/>
            </w:tcMar>
          </w:tcPr>
          <w:p w14:paraId="23881D36" w14:textId="77777777" w:rsidR="003B7A7D" w:rsidRPr="00FB38E1" w:rsidRDefault="003B7A7D" w:rsidP="0004668E">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Diğer alacaklar</w:t>
            </w:r>
          </w:p>
        </w:tc>
        <w:tc>
          <w:tcPr>
            <w:tcW w:w="256" w:type="pct"/>
            <w:tcBorders>
              <w:bottom w:val="single" w:sz="4" w:space="0" w:color="auto"/>
            </w:tcBorders>
            <w:tcMar>
              <w:left w:w="57" w:type="dxa"/>
              <w:right w:w="57" w:type="dxa"/>
            </w:tcMar>
            <w:vAlign w:val="center"/>
          </w:tcPr>
          <w:p w14:paraId="37D5597D" w14:textId="4F78B5C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5.958.152</w:t>
            </w:r>
          </w:p>
        </w:tc>
        <w:tc>
          <w:tcPr>
            <w:tcW w:w="181" w:type="pct"/>
            <w:tcBorders>
              <w:bottom w:val="single" w:sz="4" w:space="0" w:color="auto"/>
            </w:tcBorders>
            <w:tcMar>
              <w:left w:w="57" w:type="dxa"/>
              <w:right w:w="57" w:type="dxa"/>
            </w:tcMar>
            <w:vAlign w:val="center"/>
          </w:tcPr>
          <w:p w14:paraId="0ED6E515" w14:textId="739D646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35" w:type="pct"/>
            <w:tcBorders>
              <w:bottom w:val="single" w:sz="4" w:space="0" w:color="auto"/>
            </w:tcBorders>
            <w:tcMar>
              <w:left w:w="57" w:type="dxa"/>
              <w:right w:w="57" w:type="dxa"/>
            </w:tcMar>
            <w:vAlign w:val="center"/>
          </w:tcPr>
          <w:p w14:paraId="651F13D8" w14:textId="1CD6CCA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740.717</w:t>
            </w:r>
          </w:p>
        </w:tc>
        <w:tc>
          <w:tcPr>
            <w:tcW w:w="387" w:type="pct"/>
            <w:tcBorders>
              <w:bottom w:val="single" w:sz="4" w:space="0" w:color="auto"/>
            </w:tcBorders>
            <w:vAlign w:val="center"/>
          </w:tcPr>
          <w:p w14:paraId="74492EAA" w14:textId="115443E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bottom w:val="single" w:sz="4" w:space="0" w:color="auto"/>
            </w:tcBorders>
            <w:tcMar>
              <w:left w:w="57" w:type="dxa"/>
              <w:right w:w="57" w:type="dxa"/>
            </w:tcMar>
            <w:vAlign w:val="center"/>
          </w:tcPr>
          <w:p w14:paraId="369030DC" w14:textId="6755637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21" w:type="pct"/>
            <w:tcBorders>
              <w:bottom w:val="single" w:sz="4" w:space="0" w:color="auto"/>
            </w:tcBorders>
            <w:vAlign w:val="center"/>
          </w:tcPr>
          <w:p w14:paraId="54AF4090" w14:textId="1027E5F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368" w:type="pct"/>
            <w:tcBorders>
              <w:bottom w:val="single" w:sz="4" w:space="0" w:color="auto"/>
            </w:tcBorders>
            <w:tcMar>
              <w:left w:w="57" w:type="dxa"/>
              <w:right w:w="57" w:type="dxa"/>
            </w:tcMar>
            <w:vAlign w:val="center"/>
          </w:tcPr>
          <w:p w14:paraId="624CA994" w14:textId="79E0AF4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944</w:t>
            </w:r>
          </w:p>
        </w:tc>
        <w:tc>
          <w:tcPr>
            <w:tcW w:w="403" w:type="pct"/>
            <w:tcBorders>
              <w:bottom w:val="single" w:sz="4" w:space="0" w:color="auto"/>
            </w:tcBorders>
            <w:tcMar>
              <w:left w:w="57" w:type="dxa"/>
              <w:right w:w="57" w:type="dxa"/>
            </w:tcMar>
            <w:vAlign w:val="center"/>
          </w:tcPr>
          <w:p w14:paraId="321287BB" w14:textId="30F54DB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36.886.212</w:t>
            </w:r>
          </w:p>
        </w:tc>
        <w:tc>
          <w:tcPr>
            <w:tcW w:w="368" w:type="pct"/>
            <w:tcBorders>
              <w:bottom w:val="single" w:sz="4" w:space="0" w:color="auto"/>
            </w:tcBorders>
            <w:tcMar>
              <w:left w:w="57" w:type="dxa"/>
              <w:right w:w="57" w:type="dxa"/>
            </w:tcMar>
            <w:vAlign w:val="center"/>
          </w:tcPr>
          <w:p w14:paraId="0BEDD92B" w14:textId="1EEDC87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56" w:type="pct"/>
            <w:tcBorders>
              <w:bottom w:val="single" w:sz="4" w:space="0" w:color="auto"/>
            </w:tcBorders>
            <w:tcMar>
              <w:left w:w="57" w:type="dxa"/>
              <w:right w:w="57" w:type="dxa"/>
            </w:tcMar>
            <w:vAlign w:val="center"/>
          </w:tcPr>
          <w:p w14:paraId="3EB0FDFE" w14:textId="1E951D6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291" w:type="pct"/>
            <w:tcBorders>
              <w:bottom w:val="single" w:sz="4" w:space="0" w:color="auto"/>
            </w:tcBorders>
            <w:tcMar>
              <w:left w:w="57" w:type="dxa"/>
              <w:right w:w="57" w:type="dxa"/>
            </w:tcMar>
            <w:vAlign w:val="center"/>
          </w:tcPr>
          <w:p w14:paraId="270CDC08" w14:textId="03E6EC9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w:t>
            </w:r>
          </w:p>
        </w:tc>
        <w:tc>
          <w:tcPr>
            <w:tcW w:w="403" w:type="pct"/>
            <w:tcBorders>
              <w:bottom w:val="single" w:sz="4" w:space="0" w:color="auto"/>
            </w:tcBorders>
            <w:tcMar>
              <w:left w:w="57" w:type="dxa"/>
              <w:right w:w="57" w:type="dxa"/>
            </w:tcMar>
            <w:vAlign w:val="center"/>
          </w:tcPr>
          <w:p w14:paraId="3361E1D1" w14:textId="7D02BC9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0"/>
                <w:szCs w:val="10"/>
              </w:rPr>
              <w:t>43.586.025</w:t>
            </w:r>
          </w:p>
        </w:tc>
      </w:tr>
      <w:tr w:rsidR="003B7A7D" w:rsidRPr="00FB38E1" w14:paraId="34F2EDD8" w14:textId="77777777" w:rsidTr="007F0BAF">
        <w:tc>
          <w:tcPr>
            <w:tcW w:w="101" w:type="pct"/>
            <w:tcBorders>
              <w:top w:val="single" w:sz="4" w:space="0" w:color="auto"/>
              <w:bottom w:val="thickThinSmallGap" w:sz="24" w:space="0" w:color="auto"/>
            </w:tcBorders>
            <w:tcMar>
              <w:left w:w="57" w:type="dxa"/>
              <w:right w:w="57" w:type="dxa"/>
            </w:tcMar>
          </w:tcPr>
          <w:p w14:paraId="03BC4B4D" w14:textId="77777777" w:rsidR="003B7A7D" w:rsidRPr="00FB38E1" w:rsidRDefault="003B7A7D" w:rsidP="003B7A7D">
            <w:pPr>
              <w:jc w:val="right"/>
              <w:rPr>
                <w:rFonts w:ascii="Microsoft Sans Serif" w:hAnsi="Microsoft Sans Serif" w:cs="Microsoft Sans Serif"/>
                <w:b/>
                <w:sz w:val="12"/>
                <w:szCs w:val="12"/>
              </w:rPr>
            </w:pPr>
            <w:r w:rsidRPr="00FB38E1">
              <w:rPr>
                <w:rFonts w:ascii="Microsoft Sans Serif" w:hAnsi="Microsoft Sans Serif" w:cs="Microsoft Sans Serif"/>
                <w:b/>
                <w:sz w:val="12"/>
                <w:szCs w:val="12"/>
              </w:rPr>
              <w:t>18</w:t>
            </w:r>
          </w:p>
        </w:tc>
        <w:tc>
          <w:tcPr>
            <w:tcW w:w="862" w:type="pct"/>
            <w:gridSpan w:val="2"/>
            <w:tcBorders>
              <w:top w:val="single" w:sz="4" w:space="0" w:color="auto"/>
              <w:bottom w:val="thickThinSmallGap" w:sz="24" w:space="0" w:color="auto"/>
            </w:tcBorders>
            <w:tcMar>
              <w:left w:w="57" w:type="dxa"/>
              <w:right w:w="57" w:type="dxa"/>
            </w:tcMar>
          </w:tcPr>
          <w:p w14:paraId="69A17148" w14:textId="77777777" w:rsidR="003B7A7D" w:rsidRPr="00FB38E1" w:rsidRDefault="003B7A7D" w:rsidP="003B7A7D">
            <w:pP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w:t>
            </w:r>
          </w:p>
        </w:tc>
        <w:tc>
          <w:tcPr>
            <w:tcW w:w="256" w:type="pct"/>
            <w:tcBorders>
              <w:top w:val="single" w:sz="4" w:space="0" w:color="auto"/>
              <w:bottom w:val="thickThinSmallGap" w:sz="24" w:space="0" w:color="auto"/>
            </w:tcBorders>
            <w:tcMar>
              <w:left w:w="57" w:type="dxa"/>
              <w:right w:w="57" w:type="dxa"/>
            </w:tcMar>
            <w:vAlign w:val="center"/>
          </w:tcPr>
          <w:p w14:paraId="7183CCB7" w14:textId="605FE6AF"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290.444.383</w:t>
            </w:r>
          </w:p>
        </w:tc>
        <w:tc>
          <w:tcPr>
            <w:tcW w:w="181" w:type="pct"/>
            <w:tcBorders>
              <w:top w:val="single" w:sz="4" w:space="0" w:color="auto"/>
              <w:bottom w:val="thickThinSmallGap" w:sz="24" w:space="0" w:color="auto"/>
            </w:tcBorders>
            <w:tcMar>
              <w:left w:w="57" w:type="dxa"/>
              <w:right w:w="57" w:type="dxa"/>
            </w:tcMar>
            <w:vAlign w:val="center"/>
          </w:tcPr>
          <w:p w14:paraId="68518875" w14:textId="58CC9F13"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w:t>
            </w:r>
          </w:p>
        </w:tc>
        <w:tc>
          <w:tcPr>
            <w:tcW w:w="335" w:type="pct"/>
            <w:tcBorders>
              <w:top w:val="single" w:sz="4" w:space="0" w:color="auto"/>
              <w:bottom w:val="thickThinSmallGap" w:sz="24" w:space="0" w:color="auto"/>
            </w:tcBorders>
            <w:tcMar>
              <w:left w:w="57" w:type="dxa"/>
              <w:right w:w="57" w:type="dxa"/>
            </w:tcMar>
            <w:vAlign w:val="center"/>
          </w:tcPr>
          <w:p w14:paraId="1AECD3A3" w14:textId="2F0A0F0F"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42.007.833</w:t>
            </w:r>
          </w:p>
        </w:tc>
        <w:tc>
          <w:tcPr>
            <w:tcW w:w="387" w:type="pct"/>
            <w:tcBorders>
              <w:top w:val="single" w:sz="4" w:space="0" w:color="auto"/>
              <w:bottom w:val="thickThinSmallGap" w:sz="24" w:space="0" w:color="auto"/>
            </w:tcBorders>
            <w:vAlign w:val="center"/>
          </w:tcPr>
          <w:p w14:paraId="0A7FD39C" w14:textId="3900D30A"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10.790.921</w:t>
            </w:r>
          </w:p>
        </w:tc>
        <w:tc>
          <w:tcPr>
            <w:tcW w:w="368" w:type="pct"/>
            <w:tcBorders>
              <w:top w:val="single" w:sz="4" w:space="0" w:color="auto"/>
              <w:bottom w:val="thickThinSmallGap" w:sz="24" w:space="0" w:color="auto"/>
            </w:tcBorders>
            <w:tcMar>
              <w:left w:w="57" w:type="dxa"/>
              <w:right w:w="57" w:type="dxa"/>
            </w:tcMar>
            <w:vAlign w:val="center"/>
          </w:tcPr>
          <w:p w14:paraId="64E5AE68" w14:textId="5B14B256"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32.730.035</w:t>
            </w:r>
          </w:p>
        </w:tc>
        <w:tc>
          <w:tcPr>
            <w:tcW w:w="421" w:type="pct"/>
            <w:tcBorders>
              <w:top w:val="single" w:sz="4" w:space="0" w:color="auto"/>
              <w:bottom w:val="thickThinSmallGap" w:sz="24" w:space="0" w:color="auto"/>
            </w:tcBorders>
            <w:vAlign w:val="center"/>
          </w:tcPr>
          <w:p w14:paraId="5A60C876" w14:textId="5DA2E7FD"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8.756.496</w:t>
            </w:r>
          </w:p>
        </w:tc>
        <w:tc>
          <w:tcPr>
            <w:tcW w:w="368" w:type="pct"/>
            <w:tcBorders>
              <w:top w:val="single" w:sz="4" w:space="0" w:color="auto"/>
              <w:bottom w:val="thickThinSmallGap" w:sz="24" w:space="0" w:color="auto"/>
            </w:tcBorders>
            <w:tcMar>
              <w:left w:w="57" w:type="dxa"/>
              <w:right w:w="57" w:type="dxa"/>
            </w:tcMar>
            <w:vAlign w:val="center"/>
          </w:tcPr>
          <w:p w14:paraId="4DF73A4C" w14:textId="2C1ADE17"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98.197.066</w:t>
            </w:r>
          </w:p>
        </w:tc>
        <w:tc>
          <w:tcPr>
            <w:tcW w:w="403" w:type="pct"/>
            <w:tcBorders>
              <w:top w:val="single" w:sz="4" w:space="0" w:color="auto"/>
              <w:bottom w:val="thickThinSmallGap" w:sz="24" w:space="0" w:color="auto"/>
            </w:tcBorders>
            <w:tcMar>
              <w:left w:w="57" w:type="dxa"/>
              <w:right w:w="57" w:type="dxa"/>
            </w:tcMar>
            <w:vAlign w:val="center"/>
          </w:tcPr>
          <w:p w14:paraId="208450E0" w14:textId="72634F8F"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302.818.898</w:t>
            </w:r>
          </w:p>
        </w:tc>
        <w:tc>
          <w:tcPr>
            <w:tcW w:w="368" w:type="pct"/>
            <w:tcBorders>
              <w:top w:val="single" w:sz="4" w:space="0" w:color="auto"/>
              <w:bottom w:val="thickThinSmallGap" w:sz="24" w:space="0" w:color="auto"/>
            </w:tcBorders>
            <w:tcMar>
              <w:left w:w="57" w:type="dxa"/>
              <w:right w:w="57" w:type="dxa"/>
            </w:tcMar>
            <w:vAlign w:val="center"/>
          </w:tcPr>
          <w:p w14:paraId="0F1F5DFF" w14:textId="25686497"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105.252.225</w:t>
            </w:r>
          </w:p>
        </w:tc>
        <w:tc>
          <w:tcPr>
            <w:tcW w:w="256" w:type="pct"/>
            <w:tcBorders>
              <w:top w:val="single" w:sz="4" w:space="0" w:color="auto"/>
              <w:bottom w:val="thickThinSmallGap" w:sz="24" w:space="0" w:color="auto"/>
            </w:tcBorders>
            <w:tcMar>
              <w:left w:w="57" w:type="dxa"/>
              <w:right w:w="57" w:type="dxa"/>
            </w:tcMar>
            <w:vAlign w:val="center"/>
          </w:tcPr>
          <w:p w14:paraId="4165B117" w14:textId="438D66E7"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16.276.090</w:t>
            </w:r>
          </w:p>
        </w:tc>
        <w:tc>
          <w:tcPr>
            <w:tcW w:w="291" w:type="pct"/>
            <w:tcBorders>
              <w:top w:val="single" w:sz="4" w:space="0" w:color="auto"/>
              <w:bottom w:val="thickThinSmallGap" w:sz="24" w:space="0" w:color="auto"/>
            </w:tcBorders>
            <w:tcMar>
              <w:left w:w="57" w:type="dxa"/>
              <w:right w:w="57" w:type="dxa"/>
            </w:tcMar>
            <w:vAlign w:val="center"/>
          </w:tcPr>
          <w:p w14:paraId="754794B2" w14:textId="0F56D5CC"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30.720.689</w:t>
            </w:r>
          </w:p>
        </w:tc>
        <w:tc>
          <w:tcPr>
            <w:tcW w:w="403" w:type="pct"/>
            <w:tcBorders>
              <w:top w:val="single" w:sz="4" w:space="0" w:color="auto"/>
              <w:bottom w:val="thickThinSmallGap" w:sz="24" w:space="0" w:color="auto"/>
            </w:tcBorders>
            <w:tcMar>
              <w:left w:w="57" w:type="dxa"/>
              <w:right w:w="57" w:type="dxa"/>
            </w:tcMar>
            <w:vAlign w:val="center"/>
          </w:tcPr>
          <w:p w14:paraId="56206C98" w14:textId="7A8CD75F"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0"/>
                <w:szCs w:val="10"/>
              </w:rPr>
              <w:t>937.994.636</w:t>
            </w:r>
          </w:p>
        </w:tc>
      </w:tr>
    </w:tbl>
    <w:p w14:paraId="6C85D828" w14:textId="35B6DDF0" w:rsidR="00E036D3" w:rsidRPr="00FB38E1" w:rsidRDefault="00E036D3" w:rsidP="00667438">
      <w:pPr>
        <w:pStyle w:val="ListParagraph"/>
        <w:spacing w:before="240" w:after="120" w:line="240" w:lineRule="exact"/>
        <w:ind w:left="0"/>
        <w:contextualSpacing w:val="0"/>
        <w:rPr>
          <w:rFonts w:ascii="Microsoft Sans Serif" w:hAnsi="Microsoft Sans Serif" w:cs="Microsoft Sans Serif"/>
          <w:b/>
          <w:color w:val="7030A0"/>
          <w:sz w:val="20"/>
          <w:szCs w:val="20"/>
        </w:rPr>
        <w:sectPr w:rsidR="00E036D3" w:rsidRPr="00FB38E1" w:rsidSect="003E732F">
          <w:headerReference w:type="default" r:id="rId49"/>
          <w:footerReference w:type="default" r:id="rId50"/>
          <w:pgSz w:w="16838" w:h="11906" w:orient="landscape"/>
          <w:pgMar w:top="1701" w:right="1985" w:bottom="567" w:left="862" w:header="709" w:footer="306" w:gutter="0"/>
          <w:cols w:space="708"/>
          <w:docGrid w:linePitch="360"/>
        </w:sectPr>
      </w:pPr>
    </w:p>
    <w:p w14:paraId="65C27250" w14:textId="60653B3A" w:rsidR="00E036D3" w:rsidRPr="00FB38E1" w:rsidRDefault="00E036D3" w:rsidP="0065502D">
      <w:pPr>
        <w:pStyle w:val="ListParagraph"/>
        <w:numPr>
          <w:ilvl w:val="0"/>
          <w:numId w:val="44"/>
        </w:numPr>
        <w:spacing w:before="120" w:after="120" w:line="240" w:lineRule="exact"/>
        <w:ind w:left="0" w:hanging="567"/>
        <w:contextualSpacing w:val="0"/>
        <w:rPr>
          <w:rFonts w:ascii="Microsoft Sans Serif" w:hAnsi="Microsoft Sans Serif" w:cs="Microsoft Sans Serif"/>
          <w:b/>
          <w:color w:val="7030A0"/>
          <w:sz w:val="20"/>
          <w:szCs w:val="20"/>
        </w:rPr>
      </w:pPr>
      <w:r w:rsidRPr="00FB38E1">
        <w:rPr>
          <w:rFonts w:ascii="Microsoft Sans Serif" w:hAnsi="Microsoft Sans Serif" w:cs="Microsoft Sans Serif"/>
          <w:b/>
          <w:sz w:val="20"/>
          <w:szCs w:val="20"/>
        </w:rPr>
        <w:t>Karşı taraf kredi riski</w:t>
      </w:r>
    </w:p>
    <w:p w14:paraId="6FA84399" w14:textId="77777777" w:rsidR="00E036D3" w:rsidRPr="00FB38E1" w:rsidRDefault="00E036D3" w:rsidP="00364B59">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Karşı taraf kredi riskine ilişkin açıklamalar</w:t>
      </w:r>
    </w:p>
    <w:p w14:paraId="25362AF0" w14:textId="77777777" w:rsidR="00E036D3" w:rsidRPr="00FB38E1" w:rsidRDefault="00E036D3" w:rsidP="00E036D3">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Karşı taraf kredi risk yönetimine ilişkin politikalar; Türk Bankacılık Mevzuatı, Bankacılık Düzenleme ve Denetleme Kurumu yönetmelikleri ve uluslararası standartlarla uyumlu olacak şekilde Yönetim Kurulu tarafından belirlenmektedir.  </w:t>
      </w:r>
    </w:p>
    <w:p w14:paraId="2A19F176" w14:textId="77777777" w:rsidR="00E036D3" w:rsidRPr="00FB38E1" w:rsidRDefault="00E036D3" w:rsidP="00E036D3">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Karşı taraf kredi riski; türev finansal ürünleri ve repo işlemlerini içermektedir. Karşı taraflar ise; finansal kurumlar, kurumsal-ticari müşteriler, KBI-Mikro-Altın-Tarım müşterileri ve bireysel müşteriler olarak segmentlere ayrılmıştır.  Müşterilere sunulacak ürün ve hizmetlerin tespiti amacıyla, müşterilerin ürün bilgisi, mali durumu ve işlem yapma sıklıklarına göre “Uygunluk Testi” uygulanır. Profesyonel olarak sınıflandırılan müşteriler için Uygunluk Testi yapılması zorunlu değildir.</w:t>
      </w:r>
    </w:p>
    <w:p w14:paraId="4050FF27" w14:textId="77777777" w:rsidR="00E036D3" w:rsidRPr="00FB38E1" w:rsidRDefault="00E036D3" w:rsidP="00E036D3">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Karşı taraflar ile yapılacak işlemler öncesinde karşı tarafın kredi değerliliği analiz edilir ve düzenli aralıklarla yeniden değerlendirilir. Limitler her bir karşı taraf için ayrı ayrı ve aynı risk grubu içerisinde yer alan karşı taraflar için grup halinde belirlenir. Limitler, karşı tarafların segmentine göre ilgili kredi komitelerinde onaylanır. Limitlerin revizyonu en az yılda bir defa yapılmaktadır. Gerekli görülmesi durumunda, onaylı limitler Kredi Komitesi/Kredi Tahsis Bölümü onayı ile bloke edilir. </w:t>
      </w:r>
    </w:p>
    <w:p w14:paraId="7E595959" w14:textId="77777777" w:rsidR="00E036D3" w:rsidRPr="00FB38E1" w:rsidRDefault="00E036D3" w:rsidP="00E036D3">
      <w:pPr>
        <w:autoSpaceDE w:val="0"/>
        <w:autoSpaceDN w:val="0"/>
        <w:adjustRightInd w:val="0"/>
        <w:spacing w:before="120" w:after="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Finansal kurumlar ile yapılan işlemlerde, karşı taraf ile imzalanan, ISDA, CSA, GMRA ve EMA gibi uluslararası anlaşmalarda yer alan risk azaltım yöntemleri kullanılmaktadır. Diğer karşı taraflar için Banka’nın mevcut kredi politika ve prosedürleri kapsamında, günlük olarak teminat yeterlilik oranları takip edilmekte ve gerekli durumlarda teminat alma ve marj tamamlama uygulamaları ile risk azaltımı gerçekleştirilmektedir. Teminatlandırma anlaşmalarında kullanılacak marjlar düzenli olarak gözden geçirilir. Marjlar; alınan teminatın volatilitesine ve likiditesine göre belirlenir. İki taraflı netleştirme sözleşmesine konu olan ve netleştirme uygulanan işlemlerin riskleri birlikte takip edilir. Bankanın kredi derecelendirme notunda düşüş olması durumunda bankanın vermek zorunda olduğu ilave teminat verme yükümlülüğü takip edilmektedir.</w:t>
      </w:r>
    </w:p>
    <w:p w14:paraId="44C5B7E6" w14:textId="77777777" w:rsidR="00E036D3" w:rsidRPr="00FB38E1" w:rsidRDefault="00E036D3" w:rsidP="00364B59">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Karşı taraf kredi riskinin (KKR) ölçüm yöntemlerine göre değerlendirilmesi</w:t>
      </w:r>
    </w:p>
    <w:tbl>
      <w:tblPr>
        <w:tblStyle w:val="TableGrid"/>
        <w:tblW w:w="0" w:type="auto"/>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42"/>
        <w:gridCol w:w="2855"/>
        <w:gridCol w:w="737"/>
        <w:gridCol w:w="1159"/>
        <w:gridCol w:w="1134"/>
        <w:gridCol w:w="1190"/>
        <w:gridCol w:w="1165"/>
        <w:gridCol w:w="1156"/>
      </w:tblGrid>
      <w:tr w:rsidR="00E036D3" w:rsidRPr="00FB38E1" w14:paraId="222AAF50" w14:textId="77777777" w:rsidTr="003A2A4B">
        <w:tc>
          <w:tcPr>
            <w:tcW w:w="242" w:type="dxa"/>
            <w:tcBorders>
              <w:bottom w:val="nil"/>
            </w:tcBorders>
            <w:tcMar>
              <w:left w:w="57" w:type="dxa"/>
              <w:right w:w="57" w:type="dxa"/>
            </w:tcMar>
          </w:tcPr>
          <w:p w14:paraId="702CC31A" w14:textId="77777777" w:rsidR="00E036D3" w:rsidRPr="00FB38E1" w:rsidRDefault="00E036D3" w:rsidP="00836EF2">
            <w:pPr>
              <w:rPr>
                <w:rFonts w:ascii="Microsoft Sans Serif" w:hAnsi="Microsoft Sans Serif" w:cs="Microsoft Sans Serif"/>
                <w:sz w:val="14"/>
                <w:szCs w:val="14"/>
              </w:rPr>
            </w:pPr>
          </w:p>
        </w:tc>
        <w:tc>
          <w:tcPr>
            <w:tcW w:w="2855" w:type="dxa"/>
            <w:tcBorders>
              <w:bottom w:val="nil"/>
            </w:tcBorders>
            <w:tcMar>
              <w:left w:w="57" w:type="dxa"/>
              <w:right w:w="57" w:type="dxa"/>
            </w:tcMar>
          </w:tcPr>
          <w:p w14:paraId="0045A067" w14:textId="77777777" w:rsidR="00E036D3" w:rsidRPr="00FB38E1" w:rsidRDefault="00E036D3" w:rsidP="00836EF2">
            <w:pPr>
              <w:rPr>
                <w:rFonts w:ascii="Microsoft Sans Serif" w:hAnsi="Microsoft Sans Serif" w:cs="Microsoft Sans Serif"/>
                <w:sz w:val="14"/>
                <w:szCs w:val="14"/>
              </w:rPr>
            </w:pPr>
          </w:p>
        </w:tc>
        <w:tc>
          <w:tcPr>
            <w:tcW w:w="737" w:type="dxa"/>
            <w:tcBorders>
              <w:top w:val="thinThickSmallGap" w:sz="24" w:space="0" w:color="auto"/>
              <w:bottom w:val="single" w:sz="4" w:space="0" w:color="auto"/>
            </w:tcBorders>
            <w:tcMar>
              <w:left w:w="57" w:type="dxa"/>
              <w:right w:w="57" w:type="dxa"/>
            </w:tcMar>
            <w:vAlign w:val="bottom"/>
          </w:tcPr>
          <w:p w14:paraId="0A274EE3"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a</w:t>
            </w:r>
          </w:p>
        </w:tc>
        <w:tc>
          <w:tcPr>
            <w:tcW w:w="1159" w:type="dxa"/>
            <w:tcBorders>
              <w:top w:val="thinThickSmallGap" w:sz="24" w:space="0" w:color="auto"/>
              <w:bottom w:val="single" w:sz="4" w:space="0" w:color="auto"/>
            </w:tcBorders>
            <w:tcMar>
              <w:left w:w="57" w:type="dxa"/>
              <w:right w:w="57" w:type="dxa"/>
            </w:tcMar>
            <w:vAlign w:val="bottom"/>
          </w:tcPr>
          <w:p w14:paraId="210A082D"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w:t>
            </w:r>
          </w:p>
        </w:tc>
        <w:tc>
          <w:tcPr>
            <w:tcW w:w="1134" w:type="dxa"/>
            <w:tcBorders>
              <w:top w:val="thinThickSmallGap" w:sz="24" w:space="0" w:color="auto"/>
              <w:bottom w:val="single" w:sz="4" w:space="0" w:color="auto"/>
            </w:tcBorders>
            <w:tcMar>
              <w:left w:w="57" w:type="dxa"/>
              <w:right w:w="57" w:type="dxa"/>
            </w:tcMar>
            <w:vAlign w:val="bottom"/>
          </w:tcPr>
          <w:p w14:paraId="18E8608F"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c</w:t>
            </w:r>
          </w:p>
        </w:tc>
        <w:tc>
          <w:tcPr>
            <w:tcW w:w="1190" w:type="dxa"/>
            <w:tcBorders>
              <w:top w:val="thinThickSmallGap" w:sz="24" w:space="0" w:color="auto"/>
              <w:bottom w:val="single" w:sz="4" w:space="0" w:color="auto"/>
            </w:tcBorders>
            <w:tcMar>
              <w:left w:w="57" w:type="dxa"/>
              <w:right w:w="57" w:type="dxa"/>
            </w:tcMar>
            <w:vAlign w:val="bottom"/>
          </w:tcPr>
          <w:p w14:paraId="25CD1DB6"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d</w:t>
            </w:r>
          </w:p>
        </w:tc>
        <w:tc>
          <w:tcPr>
            <w:tcW w:w="1165" w:type="dxa"/>
            <w:tcBorders>
              <w:top w:val="thinThickSmallGap" w:sz="24" w:space="0" w:color="auto"/>
              <w:bottom w:val="single" w:sz="4" w:space="0" w:color="auto"/>
            </w:tcBorders>
            <w:tcMar>
              <w:left w:w="57" w:type="dxa"/>
              <w:right w:w="57" w:type="dxa"/>
            </w:tcMar>
            <w:vAlign w:val="bottom"/>
          </w:tcPr>
          <w:p w14:paraId="48F9A373"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w:t>
            </w:r>
          </w:p>
        </w:tc>
        <w:tc>
          <w:tcPr>
            <w:tcW w:w="1156" w:type="dxa"/>
            <w:tcBorders>
              <w:top w:val="thinThickSmallGap" w:sz="24" w:space="0" w:color="auto"/>
              <w:bottom w:val="single" w:sz="4" w:space="0" w:color="auto"/>
            </w:tcBorders>
            <w:tcMar>
              <w:left w:w="57" w:type="dxa"/>
              <w:right w:w="57" w:type="dxa"/>
            </w:tcMar>
            <w:vAlign w:val="bottom"/>
          </w:tcPr>
          <w:p w14:paraId="2C004A2F"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f</w:t>
            </w:r>
          </w:p>
        </w:tc>
      </w:tr>
      <w:tr w:rsidR="00E036D3" w:rsidRPr="00FB38E1" w14:paraId="55C29F1C" w14:textId="77777777" w:rsidTr="003A2A4B">
        <w:tc>
          <w:tcPr>
            <w:tcW w:w="242" w:type="dxa"/>
            <w:tcBorders>
              <w:top w:val="nil"/>
              <w:bottom w:val="single" w:sz="4" w:space="0" w:color="auto"/>
            </w:tcBorders>
            <w:tcMar>
              <w:left w:w="57" w:type="dxa"/>
              <w:right w:w="57" w:type="dxa"/>
            </w:tcMar>
          </w:tcPr>
          <w:p w14:paraId="5A94596A" w14:textId="77777777" w:rsidR="00E036D3" w:rsidRPr="00FB38E1" w:rsidRDefault="00E036D3" w:rsidP="00836EF2">
            <w:pPr>
              <w:rPr>
                <w:rFonts w:ascii="Microsoft Sans Serif" w:hAnsi="Microsoft Sans Serif" w:cs="Microsoft Sans Serif"/>
                <w:sz w:val="14"/>
                <w:szCs w:val="14"/>
              </w:rPr>
            </w:pPr>
          </w:p>
        </w:tc>
        <w:tc>
          <w:tcPr>
            <w:tcW w:w="2855" w:type="dxa"/>
            <w:tcBorders>
              <w:top w:val="nil"/>
              <w:bottom w:val="single" w:sz="4" w:space="0" w:color="auto"/>
            </w:tcBorders>
            <w:tcMar>
              <w:left w:w="57" w:type="dxa"/>
              <w:right w:w="57" w:type="dxa"/>
            </w:tcMar>
            <w:vAlign w:val="center"/>
          </w:tcPr>
          <w:p w14:paraId="0837310C" w14:textId="77777777" w:rsidR="00E036D3" w:rsidRPr="00FB38E1" w:rsidRDefault="00E036D3" w:rsidP="00836EF2">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Cari Dönem</w:t>
            </w:r>
          </w:p>
        </w:tc>
        <w:tc>
          <w:tcPr>
            <w:tcW w:w="737" w:type="dxa"/>
            <w:tcBorders>
              <w:top w:val="single" w:sz="4" w:space="0" w:color="auto"/>
              <w:bottom w:val="single" w:sz="4" w:space="0" w:color="auto"/>
            </w:tcBorders>
            <w:tcMar>
              <w:left w:w="57" w:type="dxa"/>
              <w:right w:w="57" w:type="dxa"/>
            </w:tcMar>
            <w:vAlign w:val="bottom"/>
          </w:tcPr>
          <w:p w14:paraId="48613E4D"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Yenileme maliyeti</w:t>
            </w:r>
          </w:p>
        </w:tc>
        <w:tc>
          <w:tcPr>
            <w:tcW w:w="1159" w:type="dxa"/>
            <w:tcBorders>
              <w:top w:val="single" w:sz="4" w:space="0" w:color="auto"/>
              <w:bottom w:val="single" w:sz="4" w:space="0" w:color="auto"/>
            </w:tcBorders>
            <w:tcMar>
              <w:left w:w="57" w:type="dxa"/>
              <w:right w:w="57" w:type="dxa"/>
            </w:tcMar>
            <w:vAlign w:val="bottom"/>
          </w:tcPr>
          <w:p w14:paraId="559FD88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Potansiyel kredi riski tutarı</w:t>
            </w:r>
          </w:p>
        </w:tc>
        <w:tc>
          <w:tcPr>
            <w:tcW w:w="1134" w:type="dxa"/>
            <w:tcBorders>
              <w:top w:val="single" w:sz="4" w:space="0" w:color="auto"/>
              <w:bottom w:val="single" w:sz="4" w:space="0" w:color="auto"/>
            </w:tcBorders>
            <w:tcMar>
              <w:left w:w="57" w:type="dxa"/>
              <w:right w:w="57" w:type="dxa"/>
            </w:tcMar>
            <w:vAlign w:val="bottom"/>
          </w:tcPr>
          <w:p w14:paraId="7041A01B"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EBPRT</w:t>
            </w:r>
          </w:p>
        </w:tc>
        <w:tc>
          <w:tcPr>
            <w:tcW w:w="1190" w:type="dxa"/>
            <w:tcBorders>
              <w:top w:val="single" w:sz="4" w:space="0" w:color="auto"/>
              <w:bottom w:val="single" w:sz="4" w:space="0" w:color="auto"/>
            </w:tcBorders>
            <w:tcMar>
              <w:left w:w="57" w:type="dxa"/>
              <w:right w:w="57" w:type="dxa"/>
            </w:tcMar>
            <w:vAlign w:val="bottom"/>
          </w:tcPr>
          <w:p w14:paraId="20A82472"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Yasal risk tutarının hesaplanması için kullanılan alfa</w:t>
            </w:r>
          </w:p>
        </w:tc>
        <w:tc>
          <w:tcPr>
            <w:tcW w:w="1165" w:type="dxa"/>
            <w:tcBorders>
              <w:top w:val="single" w:sz="4" w:space="0" w:color="auto"/>
              <w:bottom w:val="single" w:sz="4" w:space="0" w:color="auto"/>
            </w:tcBorders>
            <w:tcMar>
              <w:left w:w="57" w:type="dxa"/>
              <w:right w:w="57" w:type="dxa"/>
            </w:tcMar>
            <w:vAlign w:val="bottom"/>
          </w:tcPr>
          <w:p w14:paraId="6D8AEDF9"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 riski azaltımı sonrası risk tutarı</w:t>
            </w:r>
          </w:p>
        </w:tc>
        <w:tc>
          <w:tcPr>
            <w:tcW w:w="1156" w:type="dxa"/>
            <w:tcBorders>
              <w:top w:val="single" w:sz="4" w:space="0" w:color="auto"/>
              <w:bottom w:val="single" w:sz="4" w:space="0" w:color="auto"/>
            </w:tcBorders>
            <w:tcMar>
              <w:left w:w="57" w:type="dxa"/>
              <w:right w:w="57" w:type="dxa"/>
            </w:tcMar>
            <w:vAlign w:val="bottom"/>
          </w:tcPr>
          <w:p w14:paraId="05D84B04"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Risk ağırlıklı tutarlar</w:t>
            </w:r>
          </w:p>
        </w:tc>
      </w:tr>
      <w:tr w:rsidR="003A2A4B" w:rsidRPr="00FB38E1" w14:paraId="60B87197" w14:textId="77777777" w:rsidTr="003A2A4B">
        <w:tc>
          <w:tcPr>
            <w:tcW w:w="242" w:type="dxa"/>
            <w:tcBorders>
              <w:top w:val="single" w:sz="4" w:space="0" w:color="auto"/>
            </w:tcBorders>
            <w:tcMar>
              <w:left w:w="57" w:type="dxa"/>
              <w:right w:w="57" w:type="dxa"/>
            </w:tcMar>
          </w:tcPr>
          <w:p w14:paraId="265EDA07" w14:textId="77777777" w:rsidR="003A2A4B" w:rsidRPr="00FB38E1" w:rsidRDefault="003A2A4B" w:rsidP="003A2A4B">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1</w:t>
            </w:r>
          </w:p>
        </w:tc>
        <w:tc>
          <w:tcPr>
            <w:tcW w:w="2855" w:type="dxa"/>
            <w:tcBorders>
              <w:top w:val="single" w:sz="4" w:space="0" w:color="auto"/>
            </w:tcBorders>
            <w:tcMar>
              <w:left w:w="57" w:type="dxa"/>
              <w:right w:w="57" w:type="dxa"/>
            </w:tcMar>
          </w:tcPr>
          <w:p w14:paraId="1FDF04C1" w14:textId="77777777" w:rsidR="003A2A4B" w:rsidRPr="00FB38E1" w:rsidRDefault="003A2A4B" w:rsidP="003A2A4B">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Standart yaklaşım – KKR (türevler için) (*)</w:t>
            </w:r>
          </w:p>
        </w:tc>
        <w:tc>
          <w:tcPr>
            <w:tcW w:w="737" w:type="dxa"/>
            <w:tcBorders>
              <w:top w:val="single" w:sz="4" w:space="0" w:color="auto"/>
              <w:bottom w:val="nil"/>
            </w:tcBorders>
            <w:tcMar>
              <w:left w:w="57" w:type="dxa"/>
              <w:right w:w="57" w:type="dxa"/>
            </w:tcMar>
            <w:vAlign w:val="bottom"/>
          </w:tcPr>
          <w:p w14:paraId="49C61B28" w14:textId="1C6FFC04"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6.523.772</w:t>
            </w:r>
          </w:p>
        </w:tc>
        <w:tc>
          <w:tcPr>
            <w:tcW w:w="1159" w:type="dxa"/>
            <w:tcBorders>
              <w:top w:val="single" w:sz="4" w:space="0" w:color="auto"/>
              <w:bottom w:val="nil"/>
            </w:tcBorders>
            <w:tcMar>
              <w:left w:w="57" w:type="dxa"/>
              <w:right w:w="57" w:type="dxa"/>
            </w:tcMar>
            <w:vAlign w:val="bottom"/>
          </w:tcPr>
          <w:p w14:paraId="500CAC77" w14:textId="6EB5E394"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2.078.565</w:t>
            </w:r>
          </w:p>
        </w:tc>
        <w:tc>
          <w:tcPr>
            <w:tcW w:w="1134" w:type="dxa"/>
            <w:tcBorders>
              <w:top w:val="single" w:sz="4" w:space="0" w:color="auto"/>
              <w:bottom w:val="nil"/>
            </w:tcBorders>
            <w:shd w:val="clear" w:color="auto" w:fill="BFBFBF" w:themeFill="background1" w:themeFillShade="BF"/>
            <w:tcMar>
              <w:left w:w="57" w:type="dxa"/>
              <w:right w:w="57" w:type="dxa"/>
            </w:tcMar>
            <w:vAlign w:val="bottom"/>
          </w:tcPr>
          <w:p w14:paraId="11413064" w14:textId="3DAC8247"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90" w:type="dxa"/>
            <w:tcBorders>
              <w:top w:val="single" w:sz="4" w:space="0" w:color="auto"/>
            </w:tcBorders>
            <w:tcMar>
              <w:left w:w="57" w:type="dxa"/>
              <w:right w:w="57" w:type="dxa"/>
            </w:tcMar>
            <w:vAlign w:val="bottom"/>
          </w:tcPr>
          <w:p w14:paraId="0CEA3A08" w14:textId="36066F42"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w:t>
            </w:r>
          </w:p>
        </w:tc>
        <w:tc>
          <w:tcPr>
            <w:tcW w:w="1165" w:type="dxa"/>
            <w:tcBorders>
              <w:top w:val="single" w:sz="4" w:space="0" w:color="auto"/>
            </w:tcBorders>
            <w:tcMar>
              <w:left w:w="57" w:type="dxa"/>
              <w:right w:w="57" w:type="dxa"/>
            </w:tcMar>
            <w:vAlign w:val="bottom"/>
          </w:tcPr>
          <w:p w14:paraId="10C1063F" w14:textId="4B49B875"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12.043.272</w:t>
            </w:r>
          </w:p>
        </w:tc>
        <w:tc>
          <w:tcPr>
            <w:tcW w:w="1156" w:type="dxa"/>
            <w:tcBorders>
              <w:top w:val="single" w:sz="4" w:space="0" w:color="auto"/>
            </w:tcBorders>
            <w:tcMar>
              <w:left w:w="57" w:type="dxa"/>
              <w:right w:w="57" w:type="dxa"/>
            </w:tcMar>
            <w:vAlign w:val="bottom"/>
          </w:tcPr>
          <w:p w14:paraId="58196159" w14:textId="47218DE5"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5.866.854</w:t>
            </w:r>
          </w:p>
        </w:tc>
      </w:tr>
      <w:tr w:rsidR="003A2A4B" w:rsidRPr="00FB38E1" w14:paraId="0A89E337" w14:textId="77777777" w:rsidTr="003A2A4B">
        <w:tc>
          <w:tcPr>
            <w:tcW w:w="242" w:type="dxa"/>
            <w:tcMar>
              <w:left w:w="57" w:type="dxa"/>
              <w:right w:w="57" w:type="dxa"/>
            </w:tcMar>
          </w:tcPr>
          <w:p w14:paraId="1EEA9B07" w14:textId="77777777" w:rsidR="003A2A4B" w:rsidRPr="00FB38E1" w:rsidRDefault="003A2A4B" w:rsidP="003A2A4B">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2</w:t>
            </w:r>
          </w:p>
        </w:tc>
        <w:tc>
          <w:tcPr>
            <w:tcW w:w="2855" w:type="dxa"/>
            <w:tcMar>
              <w:left w:w="57" w:type="dxa"/>
              <w:right w:w="57" w:type="dxa"/>
            </w:tcMar>
          </w:tcPr>
          <w:p w14:paraId="294A27F9" w14:textId="77777777" w:rsidR="003A2A4B" w:rsidRPr="00FB38E1" w:rsidRDefault="003A2A4B" w:rsidP="003A2A4B">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İçsel Model Yöntemi (türev finansal araçlar, repo işlemleri, menkul kıymetler veya emtia ödünç verme veya ödünç alma işlemleri, takas süresi uzun işlemler ile kredili menkul kıymet işlemleri için)</w:t>
            </w:r>
          </w:p>
        </w:tc>
        <w:tc>
          <w:tcPr>
            <w:tcW w:w="737" w:type="dxa"/>
            <w:tcBorders>
              <w:top w:val="nil"/>
            </w:tcBorders>
            <w:shd w:val="clear" w:color="auto" w:fill="BFBFBF" w:themeFill="background1" w:themeFillShade="BF"/>
            <w:tcMar>
              <w:left w:w="57" w:type="dxa"/>
              <w:right w:w="57" w:type="dxa"/>
            </w:tcMar>
            <w:vAlign w:val="bottom"/>
          </w:tcPr>
          <w:p w14:paraId="1CEC396D" w14:textId="4BD58628"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59" w:type="dxa"/>
            <w:tcBorders>
              <w:top w:val="nil"/>
            </w:tcBorders>
            <w:shd w:val="clear" w:color="auto" w:fill="BFBFBF" w:themeFill="background1" w:themeFillShade="BF"/>
            <w:tcMar>
              <w:left w:w="57" w:type="dxa"/>
              <w:right w:w="57" w:type="dxa"/>
            </w:tcMar>
            <w:vAlign w:val="bottom"/>
          </w:tcPr>
          <w:p w14:paraId="2D63C664" w14:textId="67246A56"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34" w:type="dxa"/>
            <w:tcBorders>
              <w:top w:val="nil"/>
              <w:bottom w:val="nil"/>
            </w:tcBorders>
            <w:tcMar>
              <w:left w:w="57" w:type="dxa"/>
              <w:right w:w="57" w:type="dxa"/>
            </w:tcMar>
            <w:vAlign w:val="bottom"/>
          </w:tcPr>
          <w:p w14:paraId="67BEC238" w14:textId="3A424F70"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90" w:type="dxa"/>
            <w:tcBorders>
              <w:bottom w:val="nil"/>
            </w:tcBorders>
            <w:tcMar>
              <w:left w:w="57" w:type="dxa"/>
              <w:right w:w="57" w:type="dxa"/>
            </w:tcMar>
            <w:vAlign w:val="bottom"/>
          </w:tcPr>
          <w:p w14:paraId="1C2DBAA8" w14:textId="7E25EFC8"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65" w:type="dxa"/>
            <w:tcMar>
              <w:left w:w="57" w:type="dxa"/>
              <w:right w:w="57" w:type="dxa"/>
            </w:tcMar>
            <w:vAlign w:val="bottom"/>
          </w:tcPr>
          <w:p w14:paraId="215E907B" w14:textId="37265C12"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56" w:type="dxa"/>
            <w:tcMar>
              <w:left w:w="57" w:type="dxa"/>
              <w:right w:w="57" w:type="dxa"/>
            </w:tcMar>
            <w:vAlign w:val="bottom"/>
          </w:tcPr>
          <w:p w14:paraId="43D9832B" w14:textId="7D74825F"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3A2A4B" w:rsidRPr="00FB38E1" w14:paraId="02DC7ADD" w14:textId="77777777" w:rsidTr="003A2A4B">
        <w:tc>
          <w:tcPr>
            <w:tcW w:w="242" w:type="dxa"/>
            <w:tcMar>
              <w:left w:w="57" w:type="dxa"/>
              <w:right w:w="57" w:type="dxa"/>
            </w:tcMar>
          </w:tcPr>
          <w:p w14:paraId="66DE593E" w14:textId="77777777" w:rsidR="003A2A4B" w:rsidRPr="00FB38E1" w:rsidRDefault="003A2A4B" w:rsidP="003A2A4B">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3</w:t>
            </w:r>
          </w:p>
        </w:tc>
        <w:tc>
          <w:tcPr>
            <w:tcW w:w="2855" w:type="dxa"/>
            <w:tcMar>
              <w:left w:w="57" w:type="dxa"/>
              <w:right w:w="57" w:type="dxa"/>
            </w:tcMar>
          </w:tcPr>
          <w:p w14:paraId="7B129C6D" w14:textId="77777777" w:rsidR="003A2A4B" w:rsidRPr="00FB38E1" w:rsidRDefault="003A2A4B" w:rsidP="003A2A4B">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37" w:type="dxa"/>
            <w:shd w:val="clear" w:color="auto" w:fill="BFBFBF" w:themeFill="background1" w:themeFillShade="BF"/>
            <w:tcMar>
              <w:left w:w="57" w:type="dxa"/>
              <w:right w:w="57" w:type="dxa"/>
            </w:tcMar>
            <w:vAlign w:val="bottom"/>
          </w:tcPr>
          <w:p w14:paraId="1407F9EF" w14:textId="7E07E33A"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59" w:type="dxa"/>
            <w:shd w:val="clear" w:color="auto" w:fill="BFBFBF" w:themeFill="background1" w:themeFillShade="BF"/>
            <w:tcMar>
              <w:left w:w="57" w:type="dxa"/>
              <w:right w:w="57" w:type="dxa"/>
            </w:tcMar>
            <w:vAlign w:val="bottom"/>
          </w:tcPr>
          <w:p w14:paraId="110C14E0" w14:textId="4C3AEBDE"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34" w:type="dxa"/>
            <w:tcBorders>
              <w:top w:val="nil"/>
            </w:tcBorders>
            <w:shd w:val="clear" w:color="auto" w:fill="BFBFBF" w:themeFill="background1" w:themeFillShade="BF"/>
            <w:tcMar>
              <w:left w:w="57" w:type="dxa"/>
              <w:right w:w="57" w:type="dxa"/>
            </w:tcMar>
            <w:vAlign w:val="bottom"/>
          </w:tcPr>
          <w:p w14:paraId="1789A10E" w14:textId="0423FE6B"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90" w:type="dxa"/>
            <w:tcBorders>
              <w:top w:val="nil"/>
            </w:tcBorders>
            <w:shd w:val="clear" w:color="auto" w:fill="BFBFBF" w:themeFill="background1" w:themeFillShade="BF"/>
            <w:tcMar>
              <w:left w:w="57" w:type="dxa"/>
              <w:right w:w="57" w:type="dxa"/>
            </w:tcMar>
            <w:vAlign w:val="bottom"/>
          </w:tcPr>
          <w:p w14:paraId="15F45B19" w14:textId="0F20AC27"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65" w:type="dxa"/>
            <w:tcMar>
              <w:left w:w="57" w:type="dxa"/>
              <w:right w:w="57" w:type="dxa"/>
            </w:tcMar>
            <w:vAlign w:val="bottom"/>
          </w:tcPr>
          <w:p w14:paraId="5A578CB9" w14:textId="0435A17B"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56" w:type="dxa"/>
            <w:tcMar>
              <w:left w:w="57" w:type="dxa"/>
              <w:right w:w="57" w:type="dxa"/>
            </w:tcMar>
            <w:vAlign w:val="bottom"/>
          </w:tcPr>
          <w:p w14:paraId="6BBE6959" w14:textId="197DB889"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3A2A4B" w:rsidRPr="00FB38E1" w14:paraId="69EB7332" w14:textId="77777777" w:rsidTr="003A2A4B">
        <w:tc>
          <w:tcPr>
            <w:tcW w:w="242" w:type="dxa"/>
            <w:tcMar>
              <w:left w:w="57" w:type="dxa"/>
              <w:right w:w="57" w:type="dxa"/>
            </w:tcMar>
          </w:tcPr>
          <w:p w14:paraId="5F6229C1" w14:textId="77777777" w:rsidR="003A2A4B" w:rsidRPr="00FB38E1" w:rsidRDefault="003A2A4B" w:rsidP="003A2A4B">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4</w:t>
            </w:r>
          </w:p>
        </w:tc>
        <w:tc>
          <w:tcPr>
            <w:tcW w:w="2855" w:type="dxa"/>
            <w:tcMar>
              <w:left w:w="57" w:type="dxa"/>
              <w:right w:w="57" w:type="dxa"/>
            </w:tcMar>
          </w:tcPr>
          <w:p w14:paraId="53E8B72B" w14:textId="77777777" w:rsidR="003A2A4B" w:rsidRPr="00FB38E1" w:rsidRDefault="003A2A4B" w:rsidP="003A2A4B">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Kredi riski azaltımı için kapsamlı yöntem (repo işlemleri, menkul kıymetler veya emtia ödünç verme veya ödünç alma işlemleri, takas süresi uzun işlemler ile kredili menkul kıymet işlemleri için)</w:t>
            </w:r>
          </w:p>
        </w:tc>
        <w:tc>
          <w:tcPr>
            <w:tcW w:w="737" w:type="dxa"/>
            <w:shd w:val="clear" w:color="auto" w:fill="BFBFBF" w:themeFill="background1" w:themeFillShade="BF"/>
            <w:tcMar>
              <w:left w:w="57" w:type="dxa"/>
              <w:right w:w="57" w:type="dxa"/>
            </w:tcMar>
            <w:vAlign w:val="bottom"/>
          </w:tcPr>
          <w:p w14:paraId="21C7C63D" w14:textId="0235E107"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59" w:type="dxa"/>
            <w:shd w:val="clear" w:color="auto" w:fill="BFBFBF" w:themeFill="background1" w:themeFillShade="BF"/>
            <w:tcMar>
              <w:left w:w="57" w:type="dxa"/>
              <w:right w:w="57" w:type="dxa"/>
            </w:tcMar>
            <w:vAlign w:val="bottom"/>
          </w:tcPr>
          <w:p w14:paraId="080CCEEE" w14:textId="5B618137"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34" w:type="dxa"/>
            <w:shd w:val="clear" w:color="auto" w:fill="BFBFBF" w:themeFill="background1" w:themeFillShade="BF"/>
            <w:tcMar>
              <w:left w:w="57" w:type="dxa"/>
              <w:right w:w="57" w:type="dxa"/>
            </w:tcMar>
            <w:vAlign w:val="bottom"/>
          </w:tcPr>
          <w:p w14:paraId="6E6B3FD9" w14:textId="0F0AC274"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90" w:type="dxa"/>
            <w:shd w:val="clear" w:color="auto" w:fill="BFBFBF" w:themeFill="background1" w:themeFillShade="BF"/>
            <w:tcMar>
              <w:left w:w="57" w:type="dxa"/>
              <w:right w:w="57" w:type="dxa"/>
            </w:tcMar>
            <w:vAlign w:val="bottom"/>
          </w:tcPr>
          <w:p w14:paraId="237D5B4C" w14:textId="6D51F5BF"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65" w:type="dxa"/>
            <w:tcMar>
              <w:left w:w="57" w:type="dxa"/>
              <w:right w:w="57" w:type="dxa"/>
            </w:tcMar>
            <w:vAlign w:val="bottom"/>
          </w:tcPr>
          <w:p w14:paraId="1B244901" w14:textId="46001618"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40.748.487</w:t>
            </w:r>
          </w:p>
        </w:tc>
        <w:tc>
          <w:tcPr>
            <w:tcW w:w="1156" w:type="dxa"/>
            <w:tcMar>
              <w:left w:w="57" w:type="dxa"/>
              <w:right w:w="57" w:type="dxa"/>
            </w:tcMar>
            <w:vAlign w:val="bottom"/>
          </w:tcPr>
          <w:p w14:paraId="5A116F66" w14:textId="4EA50EA9"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8.153.394</w:t>
            </w:r>
          </w:p>
        </w:tc>
      </w:tr>
      <w:tr w:rsidR="003A2A4B" w:rsidRPr="00FB38E1" w14:paraId="110B8645" w14:textId="77777777" w:rsidTr="003A2A4B">
        <w:tc>
          <w:tcPr>
            <w:tcW w:w="242" w:type="dxa"/>
            <w:tcBorders>
              <w:bottom w:val="single" w:sz="4" w:space="0" w:color="auto"/>
            </w:tcBorders>
            <w:tcMar>
              <w:left w:w="57" w:type="dxa"/>
              <w:right w:w="57" w:type="dxa"/>
            </w:tcMar>
          </w:tcPr>
          <w:p w14:paraId="08AF2886" w14:textId="77777777" w:rsidR="003A2A4B" w:rsidRPr="00FB38E1" w:rsidRDefault="003A2A4B" w:rsidP="003A2A4B">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5</w:t>
            </w:r>
          </w:p>
        </w:tc>
        <w:tc>
          <w:tcPr>
            <w:tcW w:w="2855" w:type="dxa"/>
            <w:tcBorders>
              <w:bottom w:val="single" w:sz="4" w:space="0" w:color="auto"/>
            </w:tcBorders>
            <w:tcMar>
              <w:left w:w="57" w:type="dxa"/>
              <w:right w:w="57" w:type="dxa"/>
            </w:tcMar>
          </w:tcPr>
          <w:p w14:paraId="42B24A9C" w14:textId="77777777" w:rsidR="003A2A4B" w:rsidRPr="00FB38E1" w:rsidRDefault="003A2A4B" w:rsidP="003A2A4B">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Repo işlemleri, menkul kıymetler veya emtia ödünç verme veya ödünç alma işlemleri, takas süresi uzun işlemler ile kredili menkul kıymet işlemleri için riske maruz değer</w:t>
            </w:r>
          </w:p>
        </w:tc>
        <w:tc>
          <w:tcPr>
            <w:tcW w:w="737" w:type="dxa"/>
            <w:tcBorders>
              <w:bottom w:val="single" w:sz="4" w:space="0" w:color="auto"/>
            </w:tcBorders>
            <w:shd w:val="clear" w:color="auto" w:fill="BFBFBF" w:themeFill="background1" w:themeFillShade="BF"/>
            <w:tcMar>
              <w:left w:w="57" w:type="dxa"/>
              <w:right w:w="57" w:type="dxa"/>
            </w:tcMar>
            <w:vAlign w:val="bottom"/>
          </w:tcPr>
          <w:p w14:paraId="4CE529C6" w14:textId="2E3CF5BB"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59" w:type="dxa"/>
            <w:tcBorders>
              <w:bottom w:val="single" w:sz="4" w:space="0" w:color="auto"/>
            </w:tcBorders>
            <w:shd w:val="clear" w:color="auto" w:fill="BFBFBF" w:themeFill="background1" w:themeFillShade="BF"/>
            <w:tcMar>
              <w:left w:w="57" w:type="dxa"/>
              <w:right w:w="57" w:type="dxa"/>
            </w:tcMar>
            <w:vAlign w:val="bottom"/>
          </w:tcPr>
          <w:p w14:paraId="0E806860" w14:textId="21EC73D9"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34" w:type="dxa"/>
            <w:tcBorders>
              <w:bottom w:val="single" w:sz="4" w:space="0" w:color="auto"/>
            </w:tcBorders>
            <w:shd w:val="clear" w:color="auto" w:fill="BFBFBF" w:themeFill="background1" w:themeFillShade="BF"/>
            <w:tcMar>
              <w:left w:w="57" w:type="dxa"/>
              <w:right w:w="57" w:type="dxa"/>
            </w:tcMar>
            <w:vAlign w:val="bottom"/>
          </w:tcPr>
          <w:p w14:paraId="6F30DD60" w14:textId="34152C55"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90" w:type="dxa"/>
            <w:tcBorders>
              <w:bottom w:val="single" w:sz="4" w:space="0" w:color="auto"/>
            </w:tcBorders>
            <w:shd w:val="clear" w:color="auto" w:fill="BFBFBF" w:themeFill="background1" w:themeFillShade="BF"/>
            <w:tcMar>
              <w:left w:w="57" w:type="dxa"/>
              <w:right w:w="57" w:type="dxa"/>
            </w:tcMar>
            <w:vAlign w:val="bottom"/>
          </w:tcPr>
          <w:p w14:paraId="40A9960C" w14:textId="1B0420CF"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65" w:type="dxa"/>
            <w:tcBorders>
              <w:bottom w:val="single" w:sz="4" w:space="0" w:color="auto"/>
            </w:tcBorders>
            <w:tcMar>
              <w:left w:w="57" w:type="dxa"/>
              <w:right w:w="57" w:type="dxa"/>
            </w:tcMar>
            <w:vAlign w:val="bottom"/>
          </w:tcPr>
          <w:p w14:paraId="44EE3309" w14:textId="1CAB0EB1"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56" w:type="dxa"/>
            <w:tcBorders>
              <w:bottom w:val="single" w:sz="4" w:space="0" w:color="auto"/>
            </w:tcBorders>
            <w:tcMar>
              <w:left w:w="57" w:type="dxa"/>
              <w:right w:w="57" w:type="dxa"/>
            </w:tcMar>
            <w:vAlign w:val="bottom"/>
          </w:tcPr>
          <w:p w14:paraId="0128B099" w14:textId="07F49D6F"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3A2A4B" w:rsidRPr="00FB38E1" w14:paraId="017C5711" w14:textId="77777777" w:rsidTr="003A2A4B">
        <w:tc>
          <w:tcPr>
            <w:tcW w:w="242" w:type="dxa"/>
            <w:tcBorders>
              <w:top w:val="single" w:sz="4" w:space="0" w:color="auto"/>
              <w:bottom w:val="thickThinSmallGap" w:sz="24" w:space="0" w:color="auto"/>
            </w:tcBorders>
            <w:tcMar>
              <w:left w:w="57" w:type="dxa"/>
              <w:right w:w="57" w:type="dxa"/>
            </w:tcMar>
          </w:tcPr>
          <w:p w14:paraId="022AD0C0" w14:textId="77777777" w:rsidR="003A2A4B" w:rsidRPr="00FB38E1" w:rsidRDefault="003A2A4B" w:rsidP="003A2A4B">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6</w:t>
            </w:r>
          </w:p>
        </w:tc>
        <w:tc>
          <w:tcPr>
            <w:tcW w:w="2855" w:type="dxa"/>
            <w:tcBorders>
              <w:top w:val="single" w:sz="4" w:space="0" w:color="auto"/>
              <w:bottom w:val="thickThinSmallGap" w:sz="24" w:space="0" w:color="auto"/>
            </w:tcBorders>
            <w:tcMar>
              <w:left w:w="57" w:type="dxa"/>
              <w:right w:w="57" w:type="dxa"/>
            </w:tcMar>
          </w:tcPr>
          <w:p w14:paraId="3F96FFE6" w14:textId="77777777" w:rsidR="003A2A4B" w:rsidRPr="00FB38E1" w:rsidRDefault="003A2A4B" w:rsidP="003A2A4B">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737"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1EE3E7D9" w14:textId="4B7A9859" w:rsidR="003A2A4B" w:rsidRPr="00FB38E1" w:rsidRDefault="003A2A4B" w:rsidP="003A2A4B">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159"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284234FE" w14:textId="0577E2EB" w:rsidR="003A2A4B" w:rsidRPr="00FB38E1" w:rsidRDefault="003A2A4B" w:rsidP="003A2A4B">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134"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0EF7C0DA" w14:textId="01D05B94" w:rsidR="003A2A4B" w:rsidRPr="00FB38E1" w:rsidRDefault="003A2A4B" w:rsidP="003A2A4B">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190"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51AE3719" w14:textId="49E58113" w:rsidR="003A2A4B" w:rsidRPr="00FB38E1" w:rsidRDefault="003A2A4B" w:rsidP="003A2A4B">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165"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238493FF" w14:textId="7ABAC68B" w:rsidR="003A2A4B" w:rsidRPr="00FB38E1" w:rsidRDefault="003A2A4B" w:rsidP="003A2A4B">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156" w:type="dxa"/>
            <w:tcBorders>
              <w:top w:val="single" w:sz="4" w:space="0" w:color="auto"/>
              <w:bottom w:val="thickThinSmallGap" w:sz="24" w:space="0" w:color="auto"/>
            </w:tcBorders>
            <w:tcMar>
              <w:left w:w="57" w:type="dxa"/>
              <w:right w:w="57" w:type="dxa"/>
            </w:tcMar>
            <w:vAlign w:val="bottom"/>
          </w:tcPr>
          <w:p w14:paraId="302E7647" w14:textId="755B8E9A" w:rsidR="003A2A4B" w:rsidRPr="00FB38E1" w:rsidRDefault="003A2A4B" w:rsidP="003A2A4B">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14.020.248</w:t>
            </w:r>
          </w:p>
        </w:tc>
      </w:tr>
    </w:tbl>
    <w:p w14:paraId="1A24CF6A" w14:textId="77777777" w:rsidR="00E036D3" w:rsidRPr="00FB38E1" w:rsidRDefault="00E036D3" w:rsidP="00E036D3">
      <w:pPr>
        <w:pStyle w:val="ListParagraph"/>
        <w:spacing w:after="240" w:line="240" w:lineRule="exact"/>
        <w:ind w:left="0"/>
        <w:contextualSpacing w:val="0"/>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Türev ürünler için karşı taraf kredi riski “gerçeğe uygun değerine göre değerleme yöntemi” ile hesaplanmaktadır.</w:t>
      </w:r>
    </w:p>
    <w:p w14:paraId="1135DDBE" w14:textId="77777777" w:rsidR="00E036D3" w:rsidRPr="00FB38E1" w:rsidRDefault="00E036D3" w:rsidP="00E036D3">
      <w:pPr>
        <w:pStyle w:val="ListParagraph"/>
        <w:spacing w:after="240" w:line="240" w:lineRule="exact"/>
        <w:ind w:left="0"/>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br w:type="page"/>
      </w:r>
    </w:p>
    <w:tbl>
      <w:tblPr>
        <w:tblStyle w:val="TableGrid"/>
        <w:tblW w:w="0" w:type="auto"/>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37"/>
        <w:gridCol w:w="3048"/>
        <w:gridCol w:w="737"/>
        <w:gridCol w:w="1120"/>
        <w:gridCol w:w="1080"/>
        <w:gridCol w:w="1170"/>
        <w:gridCol w:w="1131"/>
        <w:gridCol w:w="1115"/>
      </w:tblGrid>
      <w:tr w:rsidR="00E036D3" w:rsidRPr="00FB38E1" w14:paraId="19CF2B32" w14:textId="77777777" w:rsidTr="00794F54">
        <w:tc>
          <w:tcPr>
            <w:tcW w:w="237" w:type="dxa"/>
            <w:tcBorders>
              <w:bottom w:val="nil"/>
            </w:tcBorders>
            <w:tcMar>
              <w:left w:w="57" w:type="dxa"/>
              <w:right w:w="57" w:type="dxa"/>
            </w:tcMar>
          </w:tcPr>
          <w:p w14:paraId="5A8884E5" w14:textId="77777777" w:rsidR="00E036D3" w:rsidRPr="00FB38E1" w:rsidRDefault="00E036D3" w:rsidP="00836EF2">
            <w:pPr>
              <w:rPr>
                <w:rFonts w:ascii="Microsoft Sans Serif" w:hAnsi="Microsoft Sans Serif" w:cs="Microsoft Sans Serif"/>
                <w:sz w:val="14"/>
                <w:szCs w:val="14"/>
              </w:rPr>
            </w:pPr>
          </w:p>
        </w:tc>
        <w:tc>
          <w:tcPr>
            <w:tcW w:w="3048" w:type="dxa"/>
            <w:tcBorders>
              <w:bottom w:val="nil"/>
            </w:tcBorders>
            <w:tcMar>
              <w:left w:w="57" w:type="dxa"/>
              <w:right w:w="57" w:type="dxa"/>
            </w:tcMar>
          </w:tcPr>
          <w:p w14:paraId="425F3698" w14:textId="77777777" w:rsidR="00E036D3" w:rsidRPr="00FB38E1" w:rsidRDefault="00E036D3" w:rsidP="00836EF2">
            <w:pPr>
              <w:rPr>
                <w:rFonts w:ascii="Microsoft Sans Serif" w:hAnsi="Microsoft Sans Serif" w:cs="Microsoft Sans Serif"/>
                <w:sz w:val="14"/>
                <w:szCs w:val="14"/>
              </w:rPr>
            </w:pPr>
          </w:p>
        </w:tc>
        <w:tc>
          <w:tcPr>
            <w:tcW w:w="737" w:type="dxa"/>
            <w:tcBorders>
              <w:top w:val="thinThickSmallGap" w:sz="24" w:space="0" w:color="auto"/>
              <w:bottom w:val="single" w:sz="4" w:space="0" w:color="auto"/>
            </w:tcBorders>
            <w:tcMar>
              <w:left w:w="57" w:type="dxa"/>
              <w:right w:w="57" w:type="dxa"/>
            </w:tcMar>
            <w:vAlign w:val="bottom"/>
          </w:tcPr>
          <w:p w14:paraId="59BE4EDE"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a</w:t>
            </w:r>
          </w:p>
        </w:tc>
        <w:tc>
          <w:tcPr>
            <w:tcW w:w="1120" w:type="dxa"/>
            <w:tcBorders>
              <w:top w:val="thinThickSmallGap" w:sz="24" w:space="0" w:color="auto"/>
              <w:bottom w:val="single" w:sz="4" w:space="0" w:color="auto"/>
            </w:tcBorders>
            <w:tcMar>
              <w:left w:w="57" w:type="dxa"/>
              <w:right w:w="57" w:type="dxa"/>
            </w:tcMar>
            <w:vAlign w:val="bottom"/>
          </w:tcPr>
          <w:p w14:paraId="74E478D5"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w:t>
            </w:r>
          </w:p>
        </w:tc>
        <w:tc>
          <w:tcPr>
            <w:tcW w:w="1080" w:type="dxa"/>
            <w:tcBorders>
              <w:top w:val="thinThickSmallGap" w:sz="24" w:space="0" w:color="auto"/>
              <w:bottom w:val="single" w:sz="4" w:space="0" w:color="auto"/>
            </w:tcBorders>
            <w:tcMar>
              <w:left w:w="57" w:type="dxa"/>
              <w:right w:w="57" w:type="dxa"/>
            </w:tcMar>
            <w:vAlign w:val="bottom"/>
          </w:tcPr>
          <w:p w14:paraId="7BFC6994"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c</w:t>
            </w:r>
          </w:p>
        </w:tc>
        <w:tc>
          <w:tcPr>
            <w:tcW w:w="1170" w:type="dxa"/>
            <w:tcBorders>
              <w:top w:val="thinThickSmallGap" w:sz="24" w:space="0" w:color="auto"/>
              <w:bottom w:val="single" w:sz="4" w:space="0" w:color="auto"/>
            </w:tcBorders>
            <w:tcMar>
              <w:left w:w="57" w:type="dxa"/>
              <w:right w:w="57" w:type="dxa"/>
            </w:tcMar>
            <w:vAlign w:val="bottom"/>
          </w:tcPr>
          <w:p w14:paraId="1D6B49AE"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d</w:t>
            </w:r>
          </w:p>
        </w:tc>
        <w:tc>
          <w:tcPr>
            <w:tcW w:w="1131" w:type="dxa"/>
            <w:tcBorders>
              <w:top w:val="thinThickSmallGap" w:sz="24" w:space="0" w:color="auto"/>
              <w:bottom w:val="single" w:sz="4" w:space="0" w:color="auto"/>
            </w:tcBorders>
            <w:tcMar>
              <w:left w:w="57" w:type="dxa"/>
              <w:right w:w="57" w:type="dxa"/>
            </w:tcMar>
            <w:vAlign w:val="bottom"/>
          </w:tcPr>
          <w:p w14:paraId="37F655E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w:t>
            </w:r>
          </w:p>
        </w:tc>
        <w:tc>
          <w:tcPr>
            <w:tcW w:w="1115" w:type="dxa"/>
            <w:tcBorders>
              <w:top w:val="thinThickSmallGap" w:sz="24" w:space="0" w:color="auto"/>
              <w:bottom w:val="single" w:sz="4" w:space="0" w:color="auto"/>
            </w:tcBorders>
            <w:tcMar>
              <w:left w:w="57" w:type="dxa"/>
              <w:right w:w="57" w:type="dxa"/>
            </w:tcMar>
            <w:vAlign w:val="bottom"/>
          </w:tcPr>
          <w:p w14:paraId="00495F06"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f</w:t>
            </w:r>
          </w:p>
        </w:tc>
      </w:tr>
      <w:tr w:rsidR="00E036D3" w:rsidRPr="00FB38E1" w14:paraId="06CEFCFC" w14:textId="77777777" w:rsidTr="00794F54">
        <w:tc>
          <w:tcPr>
            <w:tcW w:w="237" w:type="dxa"/>
            <w:tcBorders>
              <w:top w:val="nil"/>
              <w:bottom w:val="single" w:sz="4" w:space="0" w:color="auto"/>
            </w:tcBorders>
            <w:tcMar>
              <w:left w:w="57" w:type="dxa"/>
              <w:right w:w="57" w:type="dxa"/>
            </w:tcMar>
          </w:tcPr>
          <w:p w14:paraId="3BB8D19E" w14:textId="77777777" w:rsidR="00E036D3" w:rsidRPr="00FB38E1" w:rsidRDefault="00E036D3" w:rsidP="00836EF2">
            <w:pPr>
              <w:rPr>
                <w:rFonts w:ascii="Microsoft Sans Serif" w:hAnsi="Microsoft Sans Serif" w:cs="Microsoft Sans Serif"/>
                <w:sz w:val="14"/>
                <w:szCs w:val="14"/>
              </w:rPr>
            </w:pPr>
          </w:p>
        </w:tc>
        <w:tc>
          <w:tcPr>
            <w:tcW w:w="3048" w:type="dxa"/>
            <w:tcBorders>
              <w:top w:val="nil"/>
              <w:bottom w:val="single" w:sz="4" w:space="0" w:color="auto"/>
            </w:tcBorders>
            <w:tcMar>
              <w:left w:w="57" w:type="dxa"/>
              <w:right w:w="57" w:type="dxa"/>
            </w:tcMar>
            <w:vAlign w:val="center"/>
          </w:tcPr>
          <w:p w14:paraId="3C4E61F0" w14:textId="77777777" w:rsidR="00E036D3" w:rsidRPr="00FB38E1" w:rsidRDefault="00E036D3" w:rsidP="00836EF2">
            <w:pPr>
              <w:jc w:val="left"/>
              <w:rPr>
                <w:rFonts w:ascii="Microsoft Sans Serif" w:hAnsi="Microsoft Sans Serif" w:cs="Microsoft Sans Serif"/>
                <w:b/>
                <w:sz w:val="14"/>
                <w:szCs w:val="14"/>
              </w:rPr>
            </w:pPr>
            <w:r w:rsidRPr="00FB38E1">
              <w:rPr>
                <w:rFonts w:ascii="Microsoft Sans Serif" w:hAnsi="Microsoft Sans Serif" w:cs="Microsoft Sans Serif"/>
                <w:b/>
                <w:sz w:val="14"/>
                <w:szCs w:val="14"/>
              </w:rPr>
              <w:t>Önceki Dönem</w:t>
            </w:r>
          </w:p>
        </w:tc>
        <w:tc>
          <w:tcPr>
            <w:tcW w:w="737" w:type="dxa"/>
            <w:tcBorders>
              <w:top w:val="single" w:sz="4" w:space="0" w:color="auto"/>
              <w:bottom w:val="single" w:sz="4" w:space="0" w:color="auto"/>
            </w:tcBorders>
            <w:tcMar>
              <w:left w:w="57" w:type="dxa"/>
              <w:right w:w="57" w:type="dxa"/>
            </w:tcMar>
            <w:vAlign w:val="bottom"/>
          </w:tcPr>
          <w:p w14:paraId="2610017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Yenileme maliyeti</w:t>
            </w:r>
          </w:p>
        </w:tc>
        <w:tc>
          <w:tcPr>
            <w:tcW w:w="1120" w:type="dxa"/>
            <w:tcBorders>
              <w:top w:val="single" w:sz="4" w:space="0" w:color="auto"/>
              <w:bottom w:val="single" w:sz="4" w:space="0" w:color="auto"/>
            </w:tcBorders>
            <w:tcMar>
              <w:left w:w="57" w:type="dxa"/>
              <w:right w:w="57" w:type="dxa"/>
            </w:tcMar>
            <w:vAlign w:val="bottom"/>
          </w:tcPr>
          <w:p w14:paraId="4F1409F1"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Potansiyel kredi riski tutarı</w:t>
            </w:r>
          </w:p>
        </w:tc>
        <w:tc>
          <w:tcPr>
            <w:tcW w:w="1080" w:type="dxa"/>
            <w:tcBorders>
              <w:top w:val="single" w:sz="4" w:space="0" w:color="auto"/>
              <w:bottom w:val="single" w:sz="4" w:space="0" w:color="auto"/>
            </w:tcBorders>
            <w:tcMar>
              <w:left w:w="57" w:type="dxa"/>
              <w:right w:w="57" w:type="dxa"/>
            </w:tcMar>
            <w:vAlign w:val="bottom"/>
          </w:tcPr>
          <w:p w14:paraId="4ECE3DBD"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EBPRT</w:t>
            </w:r>
          </w:p>
        </w:tc>
        <w:tc>
          <w:tcPr>
            <w:tcW w:w="1170" w:type="dxa"/>
            <w:tcBorders>
              <w:top w:val="single" w:sz="4" w:space="0" w:color="auto"/>
              <w:bottom w:val="single" w:sz="4" w:space="0" w:color="auto"/>
            </w:tcBorders>
            <w:tcMar>
              <w:left w:w="57" w:type="dxa"/>
              <w:right w:w="57" w:type="dxa"/>
            </w:tcMar>
            <w:vAlign w:val="bottom"/>
          </w:tcPr>
          <w:p w14:paraId="592357AC"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Yasal risk tutarının hesaplanması için kullanılan alfa</w:t>
            </w:r>
          </w:p>
        </w:tc>
        <w:tc>
          <w:tcPr>
            <w:tcW w:w="1131" w:type="dxa"/>
            <w:tcBorders>
              <w:top w:val="single" w:sz="4" w:space="0" w:color="auto"/>
              <w:bottom w:val="single" w:sz="4" w:space="0" w:color="auto"/>
            </w:tcBorders>
            <w:tcMar>
              <w:left w:w="57" w:type="dxa"/>
              <w:right w:w="57" w:type="dxa"/>
            </w:tcMar>
            <w:vAlign w:val="bottom"/>
          </w:tcPr>
          <w:p w14:paraId="3BE73D6C"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Kredi riski azaltımı sonrası risk tutarı</w:t>
            </w:r>
          </w:p>
        </w:tc>
        <w:tc>
          <w:tcPr>
            <w:tcW w:w="1115" w:type="dxa"/>
            <w:tcBorders>
              <w:top w:val="single" w:sz="4" w:space="0" w:color="auto"/>
              <w:bottom w:val="single" w:sz="4" w:space="0" w:color="auto"/>
            </w:tcBorders>
            <w:tcMar>
              <w:left w:w="57" w:type="dxa"/>
              <w:right w:w="57" w:type="dxa"/>
            </w:tcMar>
            <w:vAlign w:val="bottom"/>
          </w:tcPr>
          <w:p w14:paraId="312C2D34"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Risk ağırlıklı tutarlar</w:t>
            </w:r>
          </w:p>
        </w:tc>
      </w:tr>
      <w:tr w:rsidR="003B7A7D" w:rsidRPr="00FB38E1" w14:paraId="5E2B1B99" w14:textId="77777777" w:rsidTr="00794F54">
        <w:tc>
          <w:tcPr>
            <w:tcW w:w="237" w:type="dxa"/>
            <w:tcBorders>
              <w:top w:val="single" w:sz="4" w:space="0" w:color="auto"/>
            </w:tcBorders>
            <w:tcMar>
              <w:left w:w="57" w:type="dxa"/>
              <w:right w:w="57" w:type="dxa"/>
            </w:tcMar>
          </w:tcPr>
          <w:p w14:paraId="4DCC01E6" w14:textId="77777777"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1</w:t>
            </w:r>
          </w:p>
        </w:tc>
        <w:tc>
          <w:tcPr>
            <w:tcW w:w="3048" w:type="dxa"/>
            <w:tcBorders>
              <w:top w:val="single" w:sz="4" w:space="0" w:color="auto"/>
            </w:tcBorders>
            <w:tcMar>
              <w:left w:w="57" w:type="dxa"/>
              <w:right w:w="57" w:type="dxa"/>
            </w:tcMar>
          </w:tcPr>
          <w:p w14:paraId="2671B0CB"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Standart yaklaşım – KKR (türevler için) (*)</w:t>
            </w:r>
          </w:p>
        </w:tc>
        <w:tc>
          <w:tcPr>
            <w:tcW w:w="737" w:type="dxa"/>
            <w:tcBorders>
              <w:top w:val="single" w:sz="4" w:space="0" w:color="auto"/>
              <w:bottom w:val="nil"/>
            </w:tcBorders>
            <w:tcMar>
              <w:left w:w="57" w:type="dxa"/>
              <w:right w:w="57" w:type="dxa"/>
            </w:tcMar>
            <w:vAlign w:val="bottom"/>
          </w:tcPr>
          <w:p w14:paraId="72982639" w14:textId="0A6222F0"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5.258.110</w:t>
            </w:r>
          </w:p>
        </w:tc>
        <w:tc>
          <w:tcPr>
            <w:tcW w:w="1120" w:type="dxa"/>
            <w:tcBorders>
              <w:top w:val="single" w:sz="4" w:space="0" w:color="auto"/>
              <w:bottom w:val="nil"/>
            </w:tcBorders>
            <w:tcMar>
              <w:left w:w="57" w:type="dxa"/>
              <w:right w:w="57" w:type="dxa"/>
            </w:tcMar>
            <w:vAlign w:val="bottom"/>
          </w:tcPr>
          <w:p w14:paraId="51FF47AD" w14:textId="2BB2B0E4"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1.880.594</w:t>
            </w:r>
          </w:p>
        </w:tc>
        <w:tc>
          <w:tcPr>
            <w:tcW w:w="1080" w:type="dxa"/>
            <w:tcBorders>
              <w:top w:val="single" w:sz="4" w:space="0" w:color="auto"/>
              <w:bottom w:val="nil"/>
            </w:tcBorders>
            <w:shd w:val="clear" w:color="auto" w:fill="BFBFBF" w:themeFill="background1" w:themeFillShade="BF"/>
            <w:tcMar>
              <w:left w:w="57" w:type="dxa"/>
              <w:right w:w="57" w:type="dxa"/>
            </w:tcMar>
            <w:vAlign w:val="bottom"/>
          </w:tcPr>
          <w:p w14:paraId="496D9223" w14:textId="7E23B76A"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70" w:type="dxa"/>
            <w:tcBorders>
              <w:top w:val="single" w:sz="4" w:space="0" w:color="auto"/>
            </w:tcBorders>
            <w:tcMar>
              <w:left w:w="57" w:type="dxa"/>
              <w:right w:w="57" w:type="dxa"/>
            </w:tcMar>
            <w:vAlign w:val="bottom"/>
          </w:tcPr>
          <w:p w14:paraId="0B8C1DD6" w14:textId="2EDF31D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w:t>
            </w:r>
          </w:p>
        </w:tc>
        <w:tc>
          <w:tcPr>
            <w:tcW w:w="1131" w:type="dxa"/>
            <w:tcBorders>
              <w:top w:val="single" w:sz="4" w:space="0" w:color="auto"/>
            </w:tcBorders>
            <w:tcMar>
              <w:left w:w="57" w:type="dxa"/>
              <w:right w:w="57" w:type="dxa"/>
            </w:tcMar>
            <w:vAlign w:val="bottom"/>
          </w:tcPr>
          <w:p w14:paraId="19615B68" w14:textId="46C434B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9.994.185</w:t>
            </w:r>
          </w:p>
        </w:tc>
        <w:tc>
          <w:tcPr>
            <w:tcW w:w="1115" w:type="dxa"/>
            <w:tcBorders>
              <w:top w:val="single" w:sz="4" w:space="0" w:color="auto"/>
            </w:tcBorders>
            <w:tcMar>
              <w:left w:w="57" w:type="dxa"/>
              <w:right w:w="57" w:type="dxa"/>
            </w:tcMar>
            <w:vAlign w:val="bottom"/>
          </w:tcPr>
          <w:p w14:paraId="46FC7541" w14:textId="0713CAA0"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3.134.412</w:t>
            </w:r>
          </w:p>
        </w:tc>
      </w:tr>
      <w:tr w:rsidR="003B7A7D" w:rsidRPr="00FB38E1" w14:paraId="605A88CD" w14:textId="77777777" w:rsidTr="00794F54">
        <w:tc>
          <w:tcPr>
            <w:tcW w:w="237" w:type="dxa"/>
            <w:tcMar>
              <w:left w:w="57" w:type="dxa"/>
              <w:right w:w="57" w:type="dxa"/>
            </w:tcMar>
          </w:tcPr>
          <w:p w14:paraId="36CEA662" w14:textId="77777777"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2</w:t>
            </w:r>
          </w:p>
        </w:tc>
        <w:tc>
          <w:tcPr>
            <w:tcW w:w="3048" w:type="dxa"/>
            <w:tcMar>
              <w:left w:w="57" w:type="dxa"/>
              <w:right w:w="57" w:type="dxa"/>
            </w:tcMar>
          </w:tcPr>
          <w:p w14:paraId="30D1C35C"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İçsel Model Yöntemi (türev finansal araçlar, repo işlemleri, menkul kıymetler veya emtia ödünç verme veya ödünç alma işlemleri, takas süresi uzun işlemler ile kredili menkul kıymet işlemleri için)</w:t>
            </w:r>
          </w:p>
        </w:tc>
        <w:tc>
          <w:tcPr>
            <w:tcW w:w="737" w:type="dxa"/>
            <w:tcBorders>
              <w:top w:val="nil"/>
            </w:tcBorders>
            <w:shd w:val="clear" w:color="auto" w:fill="BFBFBF" w:themeFill="background1" w:themeFillShade="BF"/>
            <w:tcMar>
              <w:left w:w="57" w:type="dxa"/>
              <w:right w:w="57" w:type="dxa"/>
            </w:tcMar>
            <w:vAlign w:val="bottom"/>
          </w:tcPr>
          <w:p w14:paraId="7A407E61" w14:textId="4923E060"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20" w:type="dxa"/>
            <w:tcBorders>
              <w:top w:val="nil"/>
            </w:tcBorders>
            <w:shd w:val="clear" w:color="auto" w:fill="BFBFBF" w:themeFill="background1" w:themeFillShade="BF"/>
            <w:tcMar>
              <w:left w:w="57" w:type="dxa"/>
              <w:right w:w="57" w:type="dxa"/>
            </w:tcMar>
            <w:vAlign w:val="bottom"/>
          </w:tcPr>
          <w:p w14:paraId="173D46E7" w14:textId="0AFE0D7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080" w:type="dxa"/>
            <w:tcBorders>
              <w:top w:val="nil"/>
              <w:bottom w:val="nil"/>
            </w:tcBorders>
            <w:tcMar>
              <w:left w:w="57" w:type="dxa"/>
              <w:right w:w="57" w:type="dxa"/>
            </w:tcMar>
            <w:vAlign w:val="bottom"/>
          </w:tcPr>
          <w:p w14:paraId="24D5C28B" w14:textId="4590DE9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70" w:type="dxa"/>
            <w:tcBorders>
              <w:bottom w:val="nil"/>
            </w:tcBorders>
            <w:tcMar>
              <w:left w:w="57" w:type="dxa"/>
              <w:right w:w="57" w:type="dxa"/>
            </w:tcMar>
            <w:vAlign w:val="bottom"/>
          </w:tcPr>
          <w:p w14:paraId="379511EF" w14:textId="4BBFFD79"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31" w:type="dxa"/>
            <w:tcMar>
              <w:left w:w="57" w:type="dxa"/>
              <w:right w:w="57" w:type="dxa"/>
            </w:tcMar>
            <w:vAlign w:val="bottom"/>
          </w:tcPr>
          <w:p w14:paraId="6CDDC394" w14:textId="08214433"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15" w:type="dxa"/>
            <w:tcMar>
              <w:left w:w="57" w:type="dxa"/>
              <w:right w:w="57" w:type="dxa"/>
            </w:tcMar>
            <w:vAlign w:val="bottom"/>
          </w:tcPr>
          <w:p w14:paraId="12A50918" w14:textId="258E001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3B7A7D" w:rsidRPr="00FB38E1" w14:paraId="150974EC" w14:textId="77777777" w:rsidTr="00794F54">
        <w:tc>
          <w:tcPr>
            <w:tcW w:w="237" w:type="dxa"/>
            <w:tcMar>
              <w:left w:w="57" w:type="dxa"/>
              <w:right w:w="57" w:type="dxa"/>
            </w:tcMar>
          </w:tcPr>
          <w:p w14:paraId="0C3F0B53" w14:textId="77777777"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3</w:t>
            </w:r>
          </w:p>
        </w:tc>
        <w:tc>
          <w:tcPr>
            <w:tcW w:w="3048" w:type="dxa"/>
            <w:tcMar>
              <w:left w:w="57" w:type="dxa"/>
              <w:right w:w="57" w:type="dxa"/>
            </w:tcMar>
          </w:tcPr>
          <w:p w14:paraId="69A22360"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37" w:type="dxa"/>
            <w:shd w:val="clear" w:color="auto" w:fill="BFBFBF" w:themeFill="background1" w:themeFillShade="BF"/>
            <w:tcMar>
              <w:left w:w="57" w:type="dxa"/>
              <w:right w:w="57" w:type="dxa"/>
            </w:tcMar>
            <w:vAlign w:val="bottom"/>
          </w:tcPr>
          <w:p w14:paraId="0C340ADF" w14:textId="58937ED8"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20" w:type="dxa"/>
            <w:shd w:val="clear" w:color="auto" w:fill="BFBFBF" w:themeFill="background1" w:themeFillShade="BF"/>
            <w:tcMar>
              <w:left w:w="57" w:type="dxa"/>
              <w:right w:w="57" w:type="dxa"/>
            </w:tcMar>
            <w:vAlign w:val="bottom"/>
          </w:tcPr>
          <w:p w14:paraId="4391BD31" w14:textId="25840D8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080" w:type="dxa"/>
            <w:tcBorders>
              <w:top w:val="nil"/>
            </w:tcBorders>
            <w:shd w:val="clear" w:color="auto" w:fill="BFBFBF" w:themeFill="background1" w:themeFillShade="BF"/>
            <w:tcMar>
              <w:left w:w="57" w:type="dxa"/>
              <w:right w:w="57" w:type="dxa"/>
            </w:tcMar>
            <w:vAlign w:val="bottom"/>
          </w:tcPr>
          <w:p w14:paraId="4913D2C6" w14:textId="7CFD7EA4"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70" w:type="dxa"/>
            <w:tcBorders>
              <w:top w:val="nil"/>
            </w:tcBorders>
            <w:shd w:val="clear" w:color="auto" w:fill="BFBFBF" w:themeFill="background1" w:themeFillShade="BF"/>
            <w:tcMar>
              <w:left w:w="57" w:type="dxa"/>
              <w:right w:w="57" w:type="dxa"/>
            </w:tcMar>
            <w:vAlign w:val="bottom"/>
          </w:tcPr>
          <w:p w14:paraId="1889C4D5" w14:textId="5882CA73"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31" w:type="dxa"/>
            <w:tcMar>
              <w:left w:w="57" w:type="dxa"/>
              <w:right w:w="57" w:type="dxa"/>
            </w:tcMar>
            <w:vAlign w:val="bottom"/>
          </w:tcPr>
          <w:p w14:paraId="7850DD1E" w14:textId="346C673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15" w:type="dxa"/>
            <w:tcMar>
              <w:left w:w="57" w:type="dxa"/>
              <w:right w:w="57" w:type="dxa"/>
            </w:tcMar>
            <w:vAlign w:val="bottom"/>
          </w:tcPr>
          <w:p w14:paraId="513FBB83" w14:textId="4A15215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3B7A7D" w:rsidRPr="00FB38E1" w14:paraId="0A566EF3" w14:textId="77777777" w:rsidTr="00794F54">
        <w:tc>
          <w:tcPr>
            <w:tcW w:w="237" w:type="dxa"/>
            <w:tcMar>
              <w:left w:w="57" w:type="dxa"/>
              <w:right w:w="57" w:type="dxa"/>
            </w:tcMar>
          </w:tcPr>
          <w:p w14:paraId="26D73D87" w14:textId="77777777"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4</w:t>
            </w:r>
          </w:p>
        </w:tc>
        <w:tc>
          <w:tcPr>
            <w:tcW w:w="3048" w:type="dxa"/>
            <w:tcMar>
              <w:left w:w="57" w:type="dxa"/>
              <w:right w:w="57" w:type="dxa"/>
            </w:tcMar>
          </w:tcPr>
          <w:p w14:paraId="2A603BEF"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Kredi riski azaltımı için kapsamlı yöntem (repo işlemleri, menkul kıymetler veya emtia ödünç verme veya ödünç alma işlemleri, takas süresi uzun işlemler ile kredili menkul kıymet işlemleri için)</w:t>
            </w:r>
          </w:p>
        </w:tc>
        <w:tc>
          <w:tcPr>
            <w:tcW w:w="737" w:type="dxa"/>
            <w:shd w:val="clear" w:color="auto" w:fill="BFBFBF" w:themeFill="background1" w:themeFillShade="BF"/>
            <w:tcMar>
              <w:left w:w="57" w:type="dxa"/>
              <w:right w:w="57" w:type="dxa"/>
            </w:tcMar>
            <w:vAlign w:val="bottom"/>
          </w:tcPr>
          <w:p w14:paraId="48E81C23" w14:textId="5F5C708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20" w:type="dxa"/>
            <w:shd w:val="clear" w:color="auto" w:fill="BFBFBF" w:themeFill="background1" w:themeFillShade="BF"/>
            <w:tcMar>
              <w:left w:w="57" w:type="dxa"/>
              <w:right w:w="57" w:type="dxa"/>
            </w:tcMar>
            <w:vAlign w:val="bottom"/>
          </w:tcPr>
          <w:p w14:paraId="0B8C3C2A" w14:textId="72D53625"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080" w:type="dxa"/>
            <w:shd w:val="clear" w:color="auto" w:fill="BFBFBF" w:themeFill="background1" w:themeFillShade="BF"/>
            <w:tcMar>
              <w:left w:w="57" w:type="dxa"/>
              <w:right w:w="57" w:type="dxa"/>
            </w:tcMar>
            <w:vAlign w:val="bottom"/>
          </w:tcPr>
          <w:p w14:paraId="1DECDBBF" w14:textId="0AC1539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70" w:type="dxa"/>
            <w:shd w:val="clear" w:color="auto" w:fill="BFBFBF" w:themeFill="background1" w:themeFillShade="BF"/>
            <w:tcMar>
              <w:left w:w="57" w:type="dxa"/>
              <w:right w:w="57" w:type="dxa"/>
            </w:tcMar>
            <w:vAlign w:val="bottom"/>
          </w:tcPr>
          <w:p w14:paraId="22B6E29D" w14:textId="6C39A6D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31" w:type="dxa"/>
            <w:tcMar>
              <w:left w:w="57" w:type="dxa"/>
              <w:right w:w="57" w:type="dxa"/>
            </w:tcMar>
            <w:vAlign w:val="bottom"/>
          </w:tcPr>
          <w:p w14:paraId="5D206BAA" w14:textId="09FF45A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25.078.606</w:t>
            </w:r>
          </w:p>
        </w:tc>
        <w:tc>
          <w:tcPr>
            <w:tcW w:w="1115" w:type="dxa"/>
            <w:tcMar>
              <w:left w:w="57" w:type="dxa"/>
              <w:right w:w="57" w:type="dxa"/>
            </w:tcMar>
            <w:vAlign w:val="bottom"/>
          </w:tcPr>
          <w:p w14:paraId="3FCF2F4D" w14:textId="75F06E8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5.015.721</w:t>
            </w:r>
          </w:p>
        </w:tc>
      </w:tr>
      <w:tr w:rsidR="003B7A7D" w:rsidRPr="00FB38E1" w14:paraId="62ADDA30" w14:textId="77777777" w:rsidTr="00794F54">
        <w:tc>
          <w:tcPr>
            <w:tcW w:w="237" w:type="dxa"/>
            <w:tcBorders>
              <w:bottom w:val="single" w:sz="4" w:space="0" w:color="auto"/>
            </w:tcBorders>
            <w:tcMar>
              <w:left w:w="57" w:type="dxa"/>
              <w:right w:w="57" w:type="dxa"/>
            </w:tcMar>
          </w:tcPr>
          <w:p w14:paraId="30EB08D1" w14:textId="77777777"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5</w:t>
            </w:r>
          </w:p>
        </w:tc>
        <w:tc>
          <w:tcPr>
            <w:tcW w:w="3048" w:type="dxa"/>
            <w:tcBorders>
              <w:bottom w:val="single" w:sz="4" w:space="0" w:color="auto"/>
            </w:tcBorders>
            <w:tcMar>
              <w:left w:w="57" w:type="dxa"/>
              <w:right w:w="57" w:type="dxa"/>
            </w:tcMar>
          </w:tcPr>
          <w:p w14:paraId="43BDF7AB"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Repo işlemleri, menkul kıymetler veya emtia ödünç verme veya ödünç alma işlemleri, takas süresi uzun işlemler ile kredili menkul kıymet işlemleri için riske maruz değer</w:t>
            </w:r>
          </w:p>
        </w:tc>
        <w:tc>
          <w:tcPr>
            <w:tcW w:w="737" w:type="dxa"/>
            <w:tcBorders>
              <w:bottom w:val="single" w:sz="4" w:space="0" w:color="auto"/>
            </w:tcBorders>
            <w:shd w:val="clear" w:color="auto" w:fill="BFBFBF" w:themeFill="background1" w:themeFillShade="BF"/>
            <w:tcMar>
              <w:left w:w="57" w:type="dxa"/>
              <w:right w:w="57" w:type="dxa"/>
            </w:tcMar>
            <w:vAlign w:val="bottom"/>
          </w:tcPr>
          <w:p w14:paraId="69D3285F" w14:textId="092AB44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20" w:type="dxa"/>
            <w:tcBorders>
              <w:bottom w:val="single" w:sz="4" w:space="0" w:color="auto"/>
            </w:tcBorders>
            <w:shd w:val="clear" w:color="auto" w:fill="BFBFBF" w:themeFill="background1" w:themeFillShade="BF"/>
            <w:tcMar>
              <w:left w:w="57" w:type="dxa"/>
              <w:right w:w="57" w:type="dxa"/>
            </w:tcMar>
            <w:vAlign w:val="bottom"/>
          </w:tcPr>
          <w:p w14:paraId="64C0A8C4" w14:textId="4AF015F8"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080" w:type="dxa"/>
            <w:tcBorders>
              <w:bottom w:val="single" w:sz="4" w:space="0" w:color="auto"/>
            </w:tcBorders>
            <w:shd w:val="clear" w:color="auto" w:fill="BFBFBF" w:themeFill="background1" w:themeFillShade="BF"/>
            <w:tcMar>
              <w:left w:w="57" w:type="dxa"/>
              <w:right w:w="57" w:type="dxa"/>
            </w:tcMar>
            <w:vAlign w:val="bottom"/>
          </w:tcPr>
          <w:p w14:paraId="4E174264" w14:textId="2A28527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70" w:type="dxa"/>
            <w:tcBorders>
              <w:bottom w:val="single" w:sz="4" w:space="0" w:color="auto"/>
            </w:tcBorders>
            <w:shd w:val="clear" w:color="auto" w:fill="BFBFBF" w:themeFill="background1" w:themeFillShade="BF"/>
            <w:tcMar>
              <w:left w:w="57" w:type="dxa"/>
              <w:right w:w="57" w:type="dxa"/>
            </w:tcMar>
            <w:vAlign w:val="bottom"/>
          </w:tcPr>
          <w:p w14:paraId="6D5AD256" w14:textId="2FEBC26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 </w:t>
            </w:r>
          </w:p>
        </w:tc>
        <w:tc>
          <w:tcPr>
            <w:tcW w:w="1131" w:type="dxa"/>
            <w:tcBorders>
              <w:bottom w:val="single" w:sz="4" w:space="0" w:color="auto"/>
            </w:tcBorders>
            <w:tcMar>
              <w:left w:w="57" w:type="dxa"/>
              <w:right w:w="57" w:type="dxa"/>
            </w:tcMar>
            <w:vAlign w:val="bottom"/>
          </w:tcPr>
          <w:p w14:paraId="50442F8B" w14:textId="342F949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1115" w:type="dxa"/>
            <w:tcBorders>
              <w:bottom w:val="single" w:sz="4" w:space="0" w:color="auto"/>
            </w:tcBorders>
            <w:tcMar>
              <w:left w:w="57" w:type="dxa"/>
              <w:right w:w="57" w:type="dxa"/>
            </w:tcMar>
            <w:vAlign w:val="bottom"/>
          </w:tcPr>
          <w:p w14:paraId="62E0BC8A" w14:textId="21C2C08A"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3B7A7D" w:rsidRPr="00FB38E1" w14:paraId="3A93D897" w14:textId="77777777" w:rsidTr="00794F54">
        <w:tc>
          <w:tcPr>
            <w:tcW w:w="237" w:type="dxa"/>
            <w:tcBorders>
              <w:top w:val="single" w:sz="4" w:space="0" w:color="auto"/>
              <w:bottom w:val="thickThinSmallGap" w:sz="24" w:space="0" w:color="auto"/>
            </w:tcBorders>
            <w:tcMar>
              <w:left w:w="57" w:type="dxa"/>
              <w:right w:w="57" w:type="dxa"/>
            </w:tcMar>
          </w:tcPr>
          <w:p w14:paraId="42985E65" w14:textId="77777777" w:rsidR="003B7A7D" w:rsidRPr="00FB38E1" w:rsidRDefault="003B7A7D" w:rsidP="003B7A7D">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6</w:t>
            </w:r>
          </w:p>
        </w:tc>
        <w:tc>
          <w:tcPr>
            <w:tcW w:w="3048" w:type="dxa"/>
            <w:tcBorders>
              <w:top w:val="single" w:sz="4" w:space="0" w:color="auto"/>
              <w:bottom w:val="thickThinSmallGap" w:sz="24" w:space="0" w:color="auto"/>
            </w:tcBorders>
            <w:tcMar>
              <w:left w:w="57" w:type="dxa"/>
              <w:right w:w="57" w:type="dxa"/>
            </w:tcMar>
          </w:tcPr>
          <w:p w14:paraId="6A6A254D" w14:textId="77777777" w:rsidR="003B7A7D" w:rsidRPr="00FB38E1" w:rsidRDefault="003B7A7D" w:rsidP="003B7A7D">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c>
          <w:tcPr>
            <w:tcW w:w="737"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0525E84C" w14:textId="76EB3177"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120"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1A4D5F9D" w14:textId="1AC5227D"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080"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2559BFC3" w14:textId="0F4501D1"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170"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7F1E5861" w14:textId="336C1C71"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131" w:type="dxa"/>
            <w:tcBorders>
              <w:top w:val="single" w:sz="4" w:space="0" w:color="auto"/>
              <w:bottom w:val="thickThinSmallGap" w:sz="24" w:space="0" w:color="auto"/>
            </w:tcBorders>
            <w:shd w:val="clear" w:color="auto" w:fill="BFBFBF" w:themeFill="background1" w:themeFillShade="BF"/>
            <w:tcMar>
              <w:left w:w="57" w:type="dxa"/>
              <w:right w:w="57" w:type="dxa"/>
            </w:tcMar>
            <w:vAlign w:val="bottom"/>
          </w:tcPr>
          <w:p w14:paraId="4A317873" w14:textId="7289DFAA"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 </w:t>
            </w:r>
          </w:p>
        </w:tc>
        <w:tc>
          <w:tcPr>
            <w:tcW w:w="1115" w:type="dxa"/>
            <w:tcBorders>
              <w:top w:val="single" w:sz="4" w:space="0" w:color="auto"/>
              <w:bottom w:val="thickThinSmallGap" w:sz="24" w:space="0" w:color="auto"/>
            </w:tcBorders>
            <w:tcMar>
              <w:left w:w="57" w:type="dxa"/>
              <w:right w:w="57" w:type="dxa"/>
            </w:tcMar>
            <w:vAlign w:val="bottom"/>
          </w:tcPr>
          <w:p w14:paraId="66E6AD51" w14:textId="464FA330"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8.150.133</w:t>
            </w:r>
          </w:p>
        </w:tc>
      </w:tr>
    </w:tbl>
    <w:p w14:paraId="54E8DC5D" w14:textId="77777777" w:rsidR="00E036D3" w:rsidRPr="00FB38E1" w:rsidRDefault="00E036D3" w:rsidP="00E036D3">
      <w:pPr>
        <w:pStyle w:val="ListParagraph"/>
        <w:spacing w:after="0" w:line="240" w:lineRule="exact"/>
        <w:ind w:left="0"/>
        <w:contextualSpacing w:val="0"/>
        <w:rPr>
          <w:rFonts w:ascii="Microsoft Sans Serif" w:hAnsi="Microsoft Sans Serif" w:cs="Microsoft Sans Serif"/>
          <w:b/>
          <w:sz w:val="20"/>
          <w:szCs w:val="20"/>
        </w:rPr>
      </w:pPr>
      <w:r w:rsidRPr="00FB38E1">
        <w:rPr>
          <w:rFonts w:ascii="Microsoft Sans Serif" w:hAnsi="Microsoft Sans Serif" w:cs="Microsoft Sans Serif"/>
          <w:color w:val="404040" w:themeColor="text1" w:themeTint="BF"/>
          <w:sz w:val="16"/>
          <w:szCs w:val="16"/>
        </w:rPr>
        <w:t xml:space="preserve"> (*) Türev ürünler için karşı taraf kredi riski “gerçeğe uygun değerine göre değerleme yöntemi” ile hesaplanmaktadır.</w:t>
      </w:r>
      <w:r w:rsidRPr="00FB38E1">
        <w:rPr>
          <w:rFonts w:ascii="Microsoft Sans Serif" w:hAnsi="Microsoft Sans Serif" w:cs="Microsoft Sans Serif"/>
          <w:b/>
          <w:sz w:val="20"/>
          <w:szCs w:val="20"/>
        </w:rPr>
        <w:t xml:space="preserve"> </w:t>
      </w:r>
    </w:p>
    <w:p w14:paraId="045ACEE1" w14:textId="77777777" w:rsidR="00E036D3" w:rsidRPr="00FB38E1" w:rsidRDefault="00E036D3" w:rsidP="00E036D3">
      <w:pPr>
        <w:pStyle w:val="ListParagraph"/>
        <w:spacing w:after="0" w:line="240" w:lineRule="exact"/>
        <w:ind w:left="0"/>
        <w:contextualSpacing w:val="0"/>
        <w:rPr>
          <w:rFonts w:ascii="Microsoft Sans Serif" w:hAnsi="Microsoft Sans Serif" w:cs="Microsoft Sans Serif"/>
          <w:b/>
          <w:sz w:val="20"/>
          <w:szCs w:val="20"/>
        </w:rPr>
      </w:pPr>
    </w:p>
    <w:p w14:paraId="5A446373" w14:textId="4BA418C4" w:rsidR="00E036D3" w:rsidRPr="00FB38E1" w:rsidRDefault="00E036D3" w:rsidP="00364B59">
      <w:pPr>
        <w:pStyle w:val="ListParagraph"/>
        <w:numPr>
          <w:ilvl w:val="0"/>
          <w:numId w:val="57"/>
        </w:numPr>
        <w:spacing w:after="120" w:line="240" w:lineRule="exact"/>
        <w:ind w:left="0" w:hanging="425"/>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Kredi değerleme ayarlamaları (KDA) için sermaye yükümlülüğü</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04"/>
        <w:gridCol w:w="5891"/>
        <w:gridCol w:w="1985"/>
        <w:gridCol w:w="1558"/>
      </w:tblGrid>
      <w:tr w:rsidR="00667438" w:rsidRPr="00FB38E1" w14:paraId="48E7E28A" w14:textId="77777777" w:rsidTr="003A2A4B">
        <w:tc>
          <w:tcPr>
            <w:tcW w:w="106" w:type="pct"/>
            <w:tcBorders>
              <w:bottom w:val="nil"/>
            </w:tcBorders>
            <w:tcMar>
              <w:left w:w="57" w:type="dxa"/>
              <w:right w:w="57" w:type="dxa"/>
            </w:tcMar>
          </w:tcPr>
          <w:p w14:paraId="0940814E" w14:textId="77777777" w:rsidR="00667438" w:rsidRPr="00FB38E1" w:rsidRDefault="00667438" w:rsidP="00836EF2">
            <w:pPr>
              <w:rPr>
                <w:rFonts w:ascii="Microsoft Sans Serif" w:hAnsi="Microsoft Sans Serif" w:cs="Microsoft Sans Serif"/>
                <w:sz w:val="16"/>
                <w:szCs w:val="16"/>
              </w:rPr>
            </w:pPr>
          </w:p>
        </w:tc>
        <w:tc>
          <w:tcPr>
            <w:tcW w:w="3056" w:type="pct"/>
            <w:tcBorders>
              <w:bottom w:val="nil"/>
            </w:tcBorders>
            <w:tcMar>
              <w:left w:w="57" w:type="dxa"/>
              <w:right w:w="57" w:type="dxa"/>
            </w:tcMar>
          </w:tcPr>
          <w:p w14:paraId="0AAD4DB4" w14:textId="77777777" w:rsidR="00667438" w:rsidRPr="00FB38E1" w:rsidRDefault="00667438" w:rsidP="00836EF2">
            <w:pPr>
              <w:rPr>
                <w:rFonts w:ascii="Microsoft Sans Serif" w:hAnsi="Microsoft Sans Serif" w:cs="Microsoft Sans Serif"/>
                <w:sz w:val="16"/>
                <w:szCs w:val="16"/>
              </w:rPr>
            </w:pPr>
          </w:p>
        </w:tc>
        <w:tc>
          <w:tcPr>
            <w:tcW w:w="1030" w:type="pct"/>
            <w:tcBorders>
              <w:top w:val="thinThickSmallGap" w:sz="24" w:space="0" w:color="auto"/>
              <w:bottom w:val="single" w:sz="4" w:space="0" w:color="auto"/>
            </w:tcBorders>
            <w:tcMar>
              <w:left w:w="57" w:type="dxa"/>
              <w:right w:w="57" w:type="dxa"/>
            </w:tcMar>
            <w:vAlign w:val="bottom"/>
          </w:tcPr>
          <w:p w14:paraId="358AA6FE" w14:textId="77777777" w:rsidR="00667438" w:rsidRPr="00FB38E1" w:rsidRDefault="00667438" w:rsidP="00836EF2">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808" w:type="pct"/>
            <w:tcBorders>
              <w:top w:val="thinThickSmallGap" w:sz="24" w:space="0" w:color="auto"/>
              <w:bottom w:val="single" w:sz="4" w:space="0" w:color="auto"/>
            </w:tcBorders>
            <w:tcMar>
              <w:left w:w="57" w:type="dxa"/>
              <w:right w:w="57" w:type="dxa"/>
            </w:tcMar>
            <w:vAlign w:val="bottom"/>
          </w:tcPr>
          <w:p w14:paraId="23352562" w14:textId="77777777" w:rsidR="00667438" w:rsidRPr="00FB38E1" w:rsidRDefault="00667438" w:rsidP="00836EF2">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r>
      <w:tr w:rsidR="00667438" w:rsidRPr="00FB38E1" w14:paraId="6DDCE4C2" w14:textId="77777777" w:rsidTr="003A2A4B">
        <w:trPr>
          <w:trHeight w:val="197"/>
        </w:trPr>
        <w:tc>
          <w:tcPr>
            <w:tcW w:w="106" w:type="pct"/>
            <w:tcBorders>
              <w:top w:val="nil"/>
              <w:bottom w:val="single" w:sz="4" w:space="0" w:color="auto"/>
            </w:tcBorders>
            <w:tcMar>
              <w:left w:w="57" w:type="dxa"/>
              <w:right w:w="57" w:type="dxa"/>
            </w:tcMar>
          </w:tcPr>
          <w:p w14:paraId="02EA9BFB" w14:textId="77777777" w:rsidR="00667438" w:rsidRPr="00FB38E1" w:rsidRDefault="00667438" w:rsidP="00836EF2">
            <w:pPr>
              <w:jc w:val="right"/>
              <w:rPr>
                <w:rFonts w:ascii="Microsoft Sans Serif" w:hAnsi="Microsoft Sans Serif" w:cs="Microsoft Sans Serif"/>
                <w:color w:val="404040" w:themeColor="text1" w:themeTint="BF"/>
                <w:sz w:val="16"/>
                <w:szCs w:val="16"/>
              </w:rPr>
            </w:pPr>
          </w:p>
        </w:tc>
        <w:tc>
          <w:tcPr>
            <w:tcW w:w="3056" w:type="pct"/>
            <w:tcBorders>
              <w:top w:val="nil"/>
              <w:bottom w:val="single" w:sz="4" w:space="0" w:color="auto"/>
            </w:tcBorders>
            <w:tcMar>
              <w:left w:w="57" w:type="dxa"/>
              <w:right w:w="57" w:type="dxa"/>
            </w:tcMar>
            <w:vAlign w:val="center"/>
          </w:tcPr>
          <w:p w14:paraId="7D6EA979" w14:textId="3C523778" w:rsidR="00667438" w:rsidRPr="00FB38E1" w:rsidRDefault="00667438" w:rsidP="00836EF2">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Cari Dönem</w:t>
            </w:r>
          </w:p>
        </w:tc>
        <w:tc>
          <w:tcPr>
            <w:tcW w:w="1030" w:type="pct"/>
            <w:tcBorders>
              <w:top w:val="single" w:sz="4" w:space="0" w:color="auto"/>
              <w:bottom w:val="single" w:sz="4" w:space="0" w:color="auto"/>
            </w:tcBorders>
            <w:tcMar>
              <w:left w:w="57" w:type="dxa"/>
              <w:right w:w="57" w:type="dxa"/>
            </w:tcMar>
            <w:vAlign w:val="bottom"/>
          </w:tcPr>
          <w:p w14:paraId="19687721" w14:textId="77777777" w:rsidR="00667438" w:rsidRPr="00FB38E1" w:rsidRDefault="00667438" w:rsidP="00836EF2">
            <w:pPr>
              <w:pStyle w:val="ListParagraph"/>
              <w:ind w:left="0"/>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Risk tutarı (kredi riski azaltımı teknikleri kullanımı sonrası)</w:t>
            </w:r>
          </w:p>
        </w:tc>
        <w:tc>
          <w:tcPr>
            <w:tcW w:w="808" w:type="pct"/>
            <w:tcBorders>
              <w:top w:val="single" w:sz="4" w:space="0" w:color="auto"/>
              <w:bottom w:val="single" w:sz="4" w:space="0" w:color="auto"/>
            </w:tcBorders>
            <w:tcMar>
              <w:left w:w="57" w:type="dxa"/>
              <w:right w:w="57" w:type="dxa"/>
            </w:tcMar>
            <w:vAlign w:val="bottom"/>
          </w:tcPr>
          <w:p w14:paraId="57AEF43E" w14:textId="77777777" w:rsidR="00667438" w:rsidRPr="00FB38E1" w:rsidRDefault="00667438" w:rsidP="00836EF2">
            <w:pPr>
              <w:pStyle w:val="ListParagraph"/>
              <w:ind w:left="0"/>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Risk ağırlıklı tutarlar</w:t>
            </w:r>
          </w:p>
        </w:tc>
      </w:tr>
      <w:tr w:rsidR="00667438" w:rsidRPr="00FB38E1" w14:paraId="34CD1CD9" w14:textId="77777777" w:rsidTr="003A2A4B">
        <w:trPr>
          <w:trHeight w:val="119"/>
        </w:trPr>
        <w:tc>
          <w:tcPr>
            <w:tcW w:w="106" w:type="pct"/>
            <w:tcBorders>
              <w:top w:val="single" w:sz="4" w:space="0" w:color="auto"/>
            </w:tcBorders>
            <w:tcMar>
              <w:left w:w="57" w:type="dxa"/>
              <w:right w:w="57" w:type="dxa"/>
            </w:tcMar>
          </w:tcPr>
          <w:p w14:paraId="4E40D871" w14:textId="77777777" w:rsidR="00667438" w:rsidRPr="00FB38E1" w:rsidRDefault="00667438" w:rsidP="00836EF2">
            <w:pPr>
              <w:jc w:val="right"/>
              <w:rPr>
                <w:rFonts w:ascii="Microsoft Sans Serif" w:hAnsi="Microsoft Sans Serif" w:cs="Microsoft Sans Serif"/>
                <w:color w:val="404040" w:themeColor="text1" w:themeTint="BF"/>
                <w:sz w:val="16"/>
                <w:szCs w:val="16"/>
              </w:rPr>
            </w:pPr>
          </w:p>
        </w:tc>
        <w:tc>
          <w:tcPr>
            <w:tcW w:w="3056" w:type="pct"/>
            <w:tcBorders>
              <w:top w:val="single" w:sz="4" w:space="0" w:color="auto"/>
            </w:tcBorders>
            <w:tcMar>
              <w:left w:w="57" w:type="dxa"/>
              <w:right w:w="57" w:type="dxa"/>
            </w:tcMar>
            <w:vAlign w:val="bottom"/>
          </w:tcPr>
          <w:p w14:paraId="28BC4B88" w14:textId="77777777" w:rsidR="00667438" w:rsidRPr="00FB38E1" w:rsidRDefault="00667438"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Gelişmiş yönteme göre KDA sermaye yükümlülüğüne tabi portföylerin toplam tutarı</w:t>
            </w:r>
          </w:p>
        </w:tc>
        <w:tc>
          <w:tcPr>
            <w:tcW w:w="1030" w:type="pct"/>
            <w:tcBorders>
              <w:top w:val="single" w:sz="4" w:space="0" w:color="auto"/>
            </w:tcBorders>
            <w:tcMar>
              <w:left w:w="57" w:type="dxa"/>
              <w:right w:w="57" w:type="dxa"/>
            </w:tcMar>
            <w:vAlign w:val="center"/>
          </w:tcPr>
          <w:p w14:paraId="5AAA6A22" w14:textId="77777777" w:rsidR="00667438" w:rsidRPr="00FB38E1" w:rsidRDefault="00667438" w:rsidP="00836EF2">
            <w:pPr>
              <w:rPr>
                <w:sz w:val="14"/>
                <w:szCs w:val="14"/>
              </w:rPr>
            </w:pPr>
          </w:p>
        </w:tc>
        <w:tc>
          <w:tcPr>
            <w:tcW w:w="808" w:type="pct"/>
            <w:tcBorders>
              <w:top w:val="single" w:sz="4" w:space="0" w:color="auto"/>
            </w:tcBorders>
            <w:tcMar>
              <w:left w:w="57" w:type="dxa"/>
              <w:right w:w="57" w:type="dxa"/>
            </w:tcMar>
            <w:vAlign w:val="center"/>
          </w:tcPr>
          <w:p w14:paraId="56B6905D" w14:textId="77777777" w:rsidR="00667438" w:rsidRPr="00FB38E1" w:rsidRDefault="00667438" w:rsidP="00836EF2">
            <w:pPr>
              <w:jc w:val="right"/>
              <w:rPr>
                <w:sz w:val="14"/>
                <w:szCs w:val="14"/>
              </w:rPr>
            </w:pPr>
          </w:p>
        </w:tc>
      </w:tr>
      <w:tr w:rsidR="003A2A4B" w:rsidRPr="00FB38E1" w14:paraId="11FE4AFB" w14:textId="77777777" w:rsidTr="003A2A4B">
        <w:trPr>
          <w:trHeight w:val="126"/>
        </w:trPr>
        <w:tc>
          <w:tcPr>
            <w:tcW w:w="106" w:type="pct"/>
            <w:tcMar>
              <w:left w:w="57" w:type="dxa"/>
              <w:right w:w="57" w:type="dxa"/>
            </w:tcMar>
          </w:tcPr>
          <w:p w14:paraId="3BD87B3D" w14:textId="77777777" w:rsidR="003A2A4B" w:rsidRPr="00FB38E1" w:rsidRDefault="003A2A4B" w:rsidP="003A2A4B">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p>
        </w:tc>
        <w:tc>
          <w:tcPr>
            <w:tcW w:w="3056" w:type="pct"/>
            <w:tcMar>
              <w:left w:w="57" w:type="dxa"/>
              <w:right w:w="57" w:type="dxa"/>
            </w:tcMar>
            <w:vAlign w:val="bottom"/>
          </w:tcPr>
          <w:p w14:paraId="7AFC94CB" w14:textId="77777777" w:rsidR="003A2A4B" w:rsidRPr="00FB38E1" w:rsidRDefault="003A2A4B" w:rsidP="003A2A4B">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Riske maruz değer bileşeni (3*çarpan dahil)</w:t>
            </w:r>
          </w:p>
        </w:tc>
        <w:tc>
          <w:tcPr>
            <w:tcW w:w="1030" w:type="pct"/>
            <w:tcMar>
              <w:left w:w="57" w:type="dxa"/>
              <w:right w:w="57" w:type="dxa"/>
            </w:tcMar>
            <w:vAlign w:val="center"/>
          </w:tcPr>
          <w:p w14:paraId="46E53472" w14:textId="07F04D21"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808" w:type="pct"/>
            <w:tcMar>
              <w:left w:w="57" w:type="dxa"/>
              <w:right w:w="57" w:type="dxa"/>
            </w:tcMar>
            <w:vAlign w:val="center"/>
          </w:tcPr>
          <w:p w14:paraId="6219C743" w14:textId="25D0354F"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r>
      <w:tr w:rsidR="003A2A4B" w:rsidRPr="00FB38E1" w14:paraId="5BCA60E1" w14:textId="77777777" w:rsidTr="003A2A4B">
        <w:trPr>
          <w:trHeight w:val="88"/>
        </w:trPr>
        <w:tc>
          <w:tcPr>
            <w:tcW w:w="106" w:type="pct"/>
            <w:tcMar>
              <w:left w:w="57" w:type="dxa"/>
              <w:right w:w="57" w:type="dxa"/>
            </w:tcMar>
          </w:tcPr>
          <w:p w14:paraId="638F3967" w14:textId="77777777" w:rsidR="003A2A4B" w:rsidRPr="00FB38E1" w:rsidRDefault="003A2A4B" w:rsidP="003A2A4B">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3056" w:type="pct"/>
            <w:tcMar>
              <w:left w:w="57" w:type="dxa"/>
              <w:right w:w="57" w:type="dxa"/>
            </w:tcMar>
            <w:vAlign w:val="bottom"/>
          </w:tcPr>
          <w:p w14:paraId="089A036E" w14:textId="77777777" w:rsidR="003A2A4B" w:rsidRPr="00FB38E1" w:rsidRDefault="003A2A4B" w:rsidP="003A2A4B">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Stres riske maruz değer (3*çarpan dahil)</w:t>
            </w:r>
          </w:p>
        </w:tc>
        <w:tc>
          <w:tcPr>
            <w:tcW w:w="1030" w:type="pct"/>
            <w:tcMar>
              <w:left w:w="57" w:type="dxa"/>
              <w:right w:w="57" w:type="dxa"/>
            </w:tcMar>
            <w:vAlign w:val="center"/>
          </w:tcPr>
          <w:p w14:paraId="178252BA" w14:textId="0FA8EEBF"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808" w:type="pct"/>
            <w:tcMar>
              <w:left w:w="57" w:type="dxa"/>
              <w:right w:w="57" w:type="dxa"/>
            </w:tcMar>
            <w:vAlign w:val="center"/>
          </w:tcPr>
          <w:p w14:paraId="7DAC7325" w14:textId="34281041"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r>
      <w:tr w:rsidR="003A2A4B" w:rsidRPr="00FB38E1" w14:paraId="40082EE4" w14:textId="77777777" w:rsidTr="003A2A4B">
        <w:trPr>
          <w:trHeight w:val="219"/>
        </w:trPr>
        <w:tc>
          <w:tcPr>
            <w:tcW w:w="106" w:type="pct"/>
            <w:tcBorders>
              <w:bottom w:val="single" w:sz="4" w:space="0" w:color="auto"/>
            </w:tcBorders>
            <w:tcMar>
              <w:left w:w="57" w:type="dxa"/>
              <w:right w:w="57" w:type="dxa"/>
            </w:tcMar>
          </w:tcPr>
          <w:p w14:paraId="7DF37D1D" w14:textId="77777777" w:rsidR="003A2A4B" w:rsidRPr="00FB38E1" w:rsidRDefault="003A2A4B" w:rsidP="003A2A4B">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3</w:t>
            </w:r>
          </w:p>
        </w:tc>
        <w:tc>
          <w:tcPr>
            <w:tcW w:w="3056" w:type="pct"/>
            <w:tcBorders>
              <w:bottom w:val="single" w:sz="4" w:space="0" w:color="auto"/>
            </w:tcBorders>
            <w:tcMar>
              <w:left w:w="57" w:type="dxa"/>
              <w:right w:w="57" w:type="dxa"/>
            </w:tcMar>
            <w:vAlign w:val="bottom"/>
          </w:tcPr>
          <w:p w14:paraId="0113B887" w14:textId="77777777" w:rsidR="003A2A4B" w:rsidRPr="00FB38E1" w:rsidRDefault="003A2A4B" w:rsidP="003A2A4B">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Standart yönteme göre KDA sermaye yükümlülüğüne tabi portföylerin toplam tutarı</w:t>
            </w:r>
          </w:p>
        </w:tc>
        <w:tc>
          <w:tcPr>
            <w:tcW w:w="1030" w:type="pct"/>
            <w:tcBorders>
              <w:bottom w:val="single" w:sz="4" w:space="0" w:color="auto"/>
            </w:tcBorders>
            <w:tcMar>
              <w:left w:w="57" w:type="dxa"/>
              <w:right w:w="57" w:type="dxa"/>
            </w:tcMar>
            <w:vAlign w:val="center"/>
          </w:tcPr>
          <w:p w14:paraId="6C9AB13D" w14:textId="440FFE2A"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12.043.272</w:t>
            </w:r>
          </w:p>
        </w:tc>
        <w:tc>
          <w:tcPr>
            <w:tcW w:w="808" w:type="pct"/>
            <w:tcBorders>
              <w:bottom w:val="single" w:sz="4" w:space="0" w:color="auto"/>
            </w:tcBorders>
            <w:tcMar>
              <w:left w:w="57" w:type="dxa"/>
              <w:right w:w="57" w:type="dxa"/>
            </w:tcMar>
            <w:vAlign w:val="center"/>
          </w:tcPr>
          <w:p w14:paraId="058E52B9" w14:textId="0C2F7FBF" w:rsidR="003A2A4B" w:rsidRPr="00FB38E1" w:rsidRDefault="003A2A4B" w:rsidP="003A2A4B">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1.106.191</w:t>
            </w:r>
          </w:p>
        </w:tc>
      </w:tr>
      <w:tr w:rsidR="003A2A4B" w:rsidRPr="00FB38E1" w14:paraId="5D85EAD2" w14:textId="77777777" w:rsidTr="003A2A4B">
        <w:tc>
          <w:tcPr>
            <w:tcW w:w="106" w:type="pct"/>
            <w:tcBorders>
              <w:top w:val="single" w:sz="4" w:space="0" w:color="auto"/>
              <w:bottom w:val="thickThinSmallGap" w:sz="24" w:space="0" w:color="auto"/>
            </w:tcBorders>
            <w:tcMar>
              <w:left w:w="57" w:type="dxa"/>
              <w:right w:w="57" w:type="dxa"/>
            </w:tcMar>
          </w:tcPr>
          <w:p w14:paraId="14FBB6B3" w14:textId="77777777" w:rsidR="003A2A4B" w:rsidRPr="00FB38E1" w:rsidRDefault="003A2A4B" w:rsidP="003A2A4B">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4</w:t>
            </w:r>
          </w:p>
        </w:tc>
        <w:tc>
          <w:tcPr>
            <w:tcW w:w="3056" w:type="pct"/>
            <w:tcBorders>
              <w:top w:val="single" w:sz="4" w:space="0" w:color="auto"/>
              <w:bottom w:val="thickThinSmallGap" w:sz="24" w:space="0" w:color="auto"/>
            </w:tcBorders>
            <w:tcMar>
              <w:left w:w="57" w:type="dxa"/>
              <w:right w:w="57" w:type="dxa"/>
            </w:tcMar>
            <w:vAlign w:val="bottom"/>
          </w:tcPr>
          <w:p w14:paraId="179CAAA6" w14:textId="77777777" w:rsidR="003A2A4B" w:rsidRPr="00FB38E1" w:rsidRDefault="003A2A4B" w:rsidP="003A2A4B">
            <w:pPr>
              <w:rPr>
                <w:rFonts w:ascii="Microsoft Sans Serif" w:hAnsi="Microsoft Sans Serif" w:cs="Microsoft Sans Serif"/>
                <w:b/>
                <w:sz w:val="14"/>
                <w:szCs w:val="14"/>
              </w:rPr>
            </w:pPr>
            <w:r w:rsidRPr="00FB38E1">
              <w:rPr>
                <w:rFonts w:ascii="Microsoft Sans Serif" w:hAnsi="Microsoft Sans Serif" w:cs="Microsoft Sans Serif"/>
                <w:b/>
                <w:sz w:val="14"/>
                <w:szCs w:val="14"/>
              </w:rPr>
              <w:t>KDA sermaye yükümlülüğüne tabi toplam tutar</w:t>
            </w:r>
          </w:p>
        </w:tc>
        <w:tc>
          <w:tcPr>
            <w:tcW w:w="1030" w:type="pct"/>
            <w:tcBorders>
              <w:top w:val="single" w:sz="4" w:space="0" w:color="auto"/>
              <w:bottom w:val="thickThinSmallGap" w:sz="24" w:space="0" w:color="auto"/>
            </w:tcBorders>
            <w:tcMar>
              <w:left w:w="57" w:type="dxa"/>
              <w:right w:w="57" w:type="dxa"/>
            </w:tcMar>
            <w:vAlign w:val="center"/>
          </w:tcPr>
          <w:p w14:paraId="704B6FEE" w14:textId="7D22BFB2" w:rsidR="003A2A4B" w:rsidRPr="00FB38E1" w:rsidRDefault="003A2A4B" w:rsidP="003A2A4B">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6"/>
                <w:szCs w:val="16"/>
              </w:rPr>
              <w:t>12.043.272</w:t>
            </w:r>
          </w:p>
        </w:tc>
        <w:tc>
          <w:tcPr>
            <w:tcW w:w="808" w:type="pct"/>
            <w:tcBorders>
              <w:top w:val="single" w:sz="4" w:space="0" w:color="auto"/>
              <w:bottom w:val="thickThinSmallGap" w:sz="24" w:space="0" w:color="auto"/>
            </w:tcBorders>
            <w:tcMar>
              <w:left w:w="57" w:type="dxa"/>
              <w:right w:w="57" w:type="dxa"/>
            </w:tcMar>
            <w:vAlign w:val="center"/>
          </w:tcPr>
          <w:p w14:paraId="1911DE32" w14:textId="45C379E0" w:rsidR="003A2A4B" w:rsidRPr="00FB38E1" w:rsidRDefault="003A2A4B" w:rsidP="003A2A4B">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6"/>
                <w:szCs w:val="16"/>
              </w:rPr>
              <w:t>1.106.191</w:t>
            </w:r>
          </w:p>
        </w:tc>
      </w:tr>
    </w:tbl>
    <w:p w14:paraId="522AA6BD" w14:textId="77777777" w:rsidR="00667438" w:rsidRPr="00FB38E1" w:rsidRDefault="00667438" w:rsidP="00E036D3">
      <w:pPr>
        <w:pStyle w:val="ListParagraph"/>
        <w:spacing w:before="120" w:after="120"/>
        <w:ind w:left="0"/>
        <w:contextualSpacing w:val="0"/>
        <w:rPr>
          <w:rFonts w:ascii="Microsoft Sans Serif" w:hAnsi="Microsoft Sans Serif" w:cs="Microsoft Sans Serif"/>
          <w:b/>
          <w:sz w:val="20"/>
          <w:szCs w:val="20"/>
        </w:rPr>
      </w:pP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04"/>
        <w:gridCol w:w="5891"/>
        <w:gridCol w:w="1985"/>
        <w:gridCol w:w="1558"/>
      </w:tblGrid>
      <w:tr w:rsidR="00E036D3" w:rsidRPr="00FB38E1" w14:paraId="497A35D1" w14:textId="77777777" w:rsidTr="003A2A4B">
        <w:tc>
          <w:tcPr>
            <w:tcW w:w="106" w:type="pct"/>
            <w:tcBorders>
              <w:bottom w:val="nil"/>
            </w:tcBorders>
            <w:tcMar>
              <w:left w:w="57" w:type="dxa"/>
              <w:right w:w="57" w:type="dxa"/>
            </w:tcMar>
          </w:tcPr>
          <w:p w14:paraId="0CA809C6" w14:textId="77777777" w:rsidR="00E036D3" w:rsidRPr="00FB38E1" w:rsidRDefault="00E036D3" w:rsidP="00836EF2">
            <w:pPr>
              <w:rPr>
                <w:rFonts w:ascii="Microsoft Sans Serif" w:hAnsi="Microsoft Sans Serif" w:cs="Microsoft Sans Serif"/>
                <w:sz w:val="16"/>
                <w:szCs w:val="16"/>
              </w:rPr>
            </w:pPr>
            <w:bookmarkStart w:id="44" w:name="_Hlk182927514"/>
          </w:p>
        </w:tc>
        <w:tc>
          <w:tcPr>
            <w:tcW w:w="3056" w:type="pct"/>
            <w:tcBorders>
              <w:bottom w:val="nil"/>
            </w:tcBorders>
            <w:tcMar>
              <w:left w:w="57" w:type="dxa"/>
              <w:right w:w="57" w:type="dxa"/>
            </w:tcMar>
          </w:tcPr>
          <w:p w14:paraId="258B9FFD" w14:textId="77777777" w:rsidR="00E036D3" w:rsidRPr="00FB38E1" w:rsidRDefault="00E036D3" w:rsidP="00836EF2">
            <w:pPr>
              <w:rPr>
                <w:rFonts w:ascii="Microsoft Sans Serif" w:hAnsi="Microsoft Sans Serif" w:cs="Microsoft Sans Serif"/>
                <w:sz w:val="16"/>
                <w:szCs w:val="16"/>
              </w:rPr>
            </w:pPr>
          </w:p>
        </w:tc>
        <w:tc>
          <w:tcPr>
            <w:tcW w:w="1030" w:type="pct"/>
            <w:tcBorders>
              <w:top w:val="thinThickSmallGap" w:sz="24" w:space="0" w:color="auto"/>
              <w:bottom w:val="single" w:sz="4" w:space="0" w:color="auto"/>
            </w:tcBorders>
            <w:tcMar>
              <w:left w:w="57" w:type="dxa"/>
              <w:right w:w="57" w:type="dxa"/>
            </w:tcMar>
            <w:vAlign w:val="bottom"/>
          </w:tcPr>
          <w:p w14:paraId="78856315" w14:textId="77777777" w:rsidR="00E036D3" w:rsidRPr="00FB38E1" w:rsidRDefault="00E036D3" w:rsidP="00836EF2">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808" w:type="pct"/>
            <w:tcBorders>
              <w:top w:val="thinThickSmallGap" w:sz="24" w:space="0" w:color="auto"/>
              <w:bottom w:val="single" w:sz="4" w:space="0" w:color="auto"/>
            </w:tcBorders>
            <w:tcMar>
              <w:left w:w="57" w:type="dxa"/>
              <w:right w:w="57" w:type="dxa"/>
            </w:tcMar>
            <w:vAlign w:val="bottom"/>
          </w:tcPr>
          <w:p w14:paraId="303702FB" w14:textId="77777777" w:rsidR="00E036D3" w:rsidRPr="00FB38E1" w:rsidRDefault="00E036D3" w:rsidP="00836EF2">
            <w:pPr>
              <w:pStyle w:val="ListParagraph"/>
              <w:ind w:left="0"/>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r>
      <w:tr w:rsidR="00E036D3" w:rsidRPr="00FB38E1" w14:paraId="7F66F118" w14:textId="77777777" w:rsidTr="003A2A4B">
        <w:tc>
          <w:tcPr>
            <w:tcW w:w="106" w:type="pct"/>
            <w:tcBorders>
              <w:top w:val="nil"/>
              <w:bottom w:val="single" w:sz="4" w:space="0" w:color="auto"/>
            </w:tcBorders>
            <w:tcMar>
              <w:left w:w="57" w:type="dxa"/>
              <w:right w:w="57" w:type="dxa"/>
            </w:tcMar>
          </w:tcPr>
          <w:p w14:paraId="706F7C92" w14:textId="77777777" w:rsidR="00E036D3" w:rsidRPr="00FB38E1" w:rsidRDefault="00E036D3" w:rsidP="00836EF2">
            <w:pPr>
              <w:jc w:val="right"/>
              <w:rPr>
                <w:rFonts w:ascii="Microsoft Sans Serif" w:hAnsi="Microsoft Sans Serif" w:cs="Microsoft Sans Serif"/>
                <w:color w:val="404040" w:themeColor="text1" w:themeTint="BF"/>
                <w:sz w:val="16"/>
                <w:szCs w:val="16"/>
              </w:rPr>
            </w:pPr>
          </w:p>
        </w:tc>
        <w:tc>
          <w:tcPr>
            <w:tcW w:w="3056" w:type="pct"/>
            <w:tcBorders>
              <w:top w:val="nil"/>
              <w:bottom w:val="single" w:sz="4" w:space="0" w:color="auto"/>
            </w:tcBorders>
            <w:tcMar>
              <w:left w:w="57" w:type="dxa"/>
              <w:right w:w="57" w:type="dxa"/>
            </w:tcMar>
            <w:vAlign w:val="center"/>
          </w:tcPr>
          <w:p w14:paraId="000AF197" w14:textId="77777777" w:rsidR="00E036D3" w:rsidRPr="00FB38E1" w:rsidRDefault="00E036D3" w:rsidP="00836EF2">
            <w:pPr>
              <w:jc w:val="lef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Önceki Dönem</w:t>
            </w:r>
          </w:p>
        </w:tc>
        <w:tc>
          <w:tcPr>
            <w:tcW w:w="1030" w:type="pct"/>
            <w:tcBorders>
              <w:top w:val="single" w:sz="4" w:space="0" w:color="auto"/>
              <w:bottom w:val="single" w:sz="4" w:space="0" w:color="auto"/>
            </w:tcBorders>
            <w:tcMar>
              <w:left w:w="57" w:type="dxa"/>
              <w:right w:w="57" w:type="dxa"/>
            </w:tcMar>
            <w:vAlign w:val="bottom"/>
          </w:tcPr>
          <w:p w14:paraId="3EE2EDC5" w14:textId="77777777" w:rsidR="00E036D3" w:rsidRPr="00FB38E1" w:rsidRDefault="00E036D3" w:rsidP="00836EF2">
            <w:pPr>
              <w:pStyle w:val="ListParagraph"/>
              <w:ind w:left="0"/>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Risk tutarı (kredi riski azaltımı teknikleri kullanımı sonrası)</w:t>
            </w:r>
          </w:p>
        </w:tc>
        <w:tc>
          <w:tcPr>
            <w:tcW w:w="808" w:type="pct"/>
            <w:tcBorders>
              <w:top w:val="single" w:sz="4" w:space="0" w:color="auto"/>
              <w:bottom w:val="single" w:sz="4" w:space="0" w:color="auto"/>
            </w:tcBorders>
            <w:tcMar>
              <w:left w:w="57" w:type="dxa"/>
              <w:right w:w="57" w:type="dxa"/>
            </w:tcMar>
            <w:vAlign w:val="bottom"/>
          </w:tcPr>
          <w:p w14:paraId="22C87616" w14:textId="77777777" w:rsidR="00E036D3" w:rsidRPr="00FB38E1" w:rsidRDefault="00E036D3" w:rsidP="00836EF2">
            <w:pPr>
              <w:pStyle w:val="ListParagraph"/>
              <w:ind w:left="0"/>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Risk ağırlıklı tutarlar</w:t>
            </w:r>
          </w:p>
        </w:tc>
      </w:tr>
      <w:tr w:rsidR="00E036D3" w:rsidRPr="00FB38E1" w14:paraId="72739695" w14:textId="77777777" w:rsidTr="003A2A4B">
        <w:trPr>
          <w:trHeight w:val="119"/>
        </w:trPr>
        <w:tc>
          <w:tcPr>
            <w:tcW w:w="106" w:type="pct"/>
            <w:tcBorders>
              <w:top w:val="single" w:sz="4" w:space="0" w:color="auto"/>
            </w:tcBorders>
            <w:tcMar>
              <w:left w:w="57" w:type="dxa"/>
              <w:right w:w="57" w:type="dxa"/>
            </w:tcMar>
          </w:tcPr>
          <w:p w14:paraId="2B3C3462" w14:textId="77777777" w:rsidR="00E036D3" w:rsidRPr="00FB38E1" w:rsidRDefault="00E036D3" w:rsidP="00836EF2">
            <w:pPr>
              <w:jc w:val="right"/>
              <w:rPr>
                <w:rFonts w:ascii="Microsoft Sans Serif" w:hAnsi="Microsoft Sans Serif" w:cs="Microsoft Sans Serif"/>
                <w:color w:val="404040" w:themeColor="text1" w:themeTint="BF"/>
                <w:sz w:val="16"/>
                <w:szCs w:val="16"/>
              </w:rPr>
            </w:pPr>
          </w:p>
        </w:tc>
        <w:tc>
          <w:tcPr>
            <w:tcW w:w="3056" w:type="pct"/>
            <w:tcBorders>
              <w:top w:val="single" w:sz="4" w:space="0" w:color="auto"/>
            </w:tcBorders>
            <w:tcMar>
              <w:left w:w="57" w:type="dxa"/>
              <w:right w:w="57" w:type="dxa"/>
            </w:tcMar>
            <w:vAlign w:val="bottom"/>
          </w:tcPr>
          <w:p w14:paraId="3FB26772"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Gelişmiş yönteme göre KDA sermaye yükümlülüğüne tabi portföylerin toplam tutarı</w:t>
            </w:r>
          </w:p>
        </w:tc>
        <w:tc>
          <w:tcPr>
            <w:tcW w:w="1030" w:type="pct"/>
            <w:tcBorders>
              <w:top w:val="single" w:sz="4" w:space="0" w:color="auto"/>
            </w:tcBorders>
            <w:tcMar>
              <w:left w:w="57" w:type="dxa"/>
              <w:right w:w="57" w:type="dxa"/>
            </w:tcMar>
            <w:vAlign w:val="center"/>
          </w:tcPr>
          <w:p w14:paraId="3A376412" w14:textId="77777777" w:rsidR="00E036D3" w:rsidRPr="00FB38E1" w:rsidRDefault="00E036D3" w:rsidP="00836EF2">
            <w:pPr>
              <w:rPr>
                <w:sz w:val="14"/>
                <w:szCs w:val="14"/>
              </w:rPr>
            </w:pPr>
          </w:p>
        </w:tc>
        <w:tc>
          <w:tcPr>
            <w:tcW w:w="808" w:type="pct"/>
            <w:tcBorders>
              <w:top w:val="single" w:sz="4" w:space="0" w:color="auto"/>
            </w:tcBorders>
            <w:tcMar>
              <w:left w:w="57" w:type="dxa"/>
              <w:right w:w="57" w:type="dxa"/>
            </w:tcMar>
            <w:vAlign w:val="center"/>
          </w:tcPr>
          <w:p w14:paraId="7A06D057" w14:textId="77777777" w:rsidR="00E036D3" w:rsidRPr="00FB38E1" w:rsidRDefault="00E036D3" w:rsidP="00836EF2">
            <w:pPr>
              <w:jc w:val="right"/>
              <w:rPr>
                <w:sz w:val="14"/>
                <w:szCs w:val="14"/>
              </w:rPr>
            </w:pPr>
          </w:p>
        </w:tc>
      </w:tr>
      <w:tr w:rsidR="003B7A7D" w:rsidRPr="00FB38E1" w14:paraId="2B2670DE" w14:textId="77777777" w:rsidTr="003A2A4B">
        <w:trPr>
          <w:trHeight w:val="126"/>
        </w:trPr>
        <w:tc>
          <w:tcPr>
            <w:tcW w:w="106" w:type="pct"/>
            <w:tcMar>
              <w:left w:w="57" w:type="dxa"/>
              <w:right w:w="57" w:type="dxa"/>
            </w:tcMar>
          </w:tcPr>
          <w:p w14:paraId="5764D16E" w14:textId="77777777" w:rsidR="003B7A7D" w:rsidRPr="00FB38E1" w:rsidRDefault="003B7A7D" w:rsidP="003B7A7D">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p>
        </w:tc>
        <w:tc>
          <w:tcPr>
            <w:tcW w:w="3056" w:type="pct"/>
            <w:tcMar>
              <w:left w:w="57" w:type="dxa"/>
              <w:right w:w="57" w:type="dxa"/>
            </w:tcMar>
            <w:vAlign w:val="bottom"/>
          </w:tcPr>
          <w:p w14:paraId="51C35A2D"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Riske maruz değer bileşeni (3*çarpan dahil)</w:t>
            </w:r>
          </w:p>
        </w:tc>
        <w:tc>
          <w:tcPr>
            <w:tcW w:w="1030" w:type="pct"/>
            <w:tcMar>
              <w:left w:w="57" w:type="dxa"/>
              <w:right w:w="57" w:type="dxa"/>
            </w:tcMar>
            <w:vAlign w:val="center"/>
          </w:tcPr>
          <w:p w14:paraId="4E675BCB" w14:textId="0FCCDAD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08" w:type="pct"/>
            <w:tcMar>
              <w:left w:w="57" w:type="dxa"/>
              <w:right w:w="57" w:type="dxa"/>
            </w:tcMar>
            <w:vAlign w:val="center"/>
          </w:tcPr>
          <w:p w14:paraId="6E3966B7" w14:textId="1DFB1EA3"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3B7A7D" w:rsidRPr="00FB38E1" w14:paraId="343EA40E" w14:textId="77777777" w:rsidTr="003A2A4B">
        <w:trPr>
          <w:trHeight w:val="88"/>
        </w:trPr>
        <w:tc>
          <w:tcPr>
            <w:tcW w:w="106" w:type="pct"/>
            <w:tcMar>
              <w:left w:w="57" w:type="dxa"/>
              <w:right w:w="57" w:type="dxa"/>
            </w:tcMar>
          </w:tcPr>
          <w:p w14:paraId="7CC4CE2F" w14:textId="77777777" w:rsidR="003B7A7D" w:rsidRPr="00FB38E1" w:rsidRDefault="003B7A7D" w:rsidP="003B7A7D">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3056" w:type="pct"/>
            <w:tcMar>
              <w:left w:w="57" w:type="dxa"/>
              <w:right w:w="57" w:type="dxa"/>
            </w:tcMar>
            <w:vAlign w:val="bottom"/>
          </w:tcPr>
          <w:p w14:paraId="2526E39A"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Stres riske maruz değer (3*çarpan dahil)</w:t>
            </w:r>
          </w:p>
        </w:tc>
        <w:tc>
          <w:tcPr>
            <w:tcW w:w="1030" w:type="pct"/>
            <w:tcMar>
              <w:left w:w="57" w:type="dxa"/>
              <w:right w:w="57" w:type="dxa"/>
            </w:tcMar>
            <w:vAlign w:val="center"/>
          </w:tcPr>
          <w:p w14:paraId="5FF64E9B" w14:textId="4D4CB39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08" w:type="pct"/>
            <w:tcMar>
              <w:left w:w="57" w:type="dxa"/>
              <w:right w:w="57" w:type="dxa"/>
            </w:tcMar>
            <w:vAlign w:val="center"/>
          </w:tcPr>
          <w:p w14:paraId="07326AFA" w14:textId="34BE21DA"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3B7A7D" w:rsidRPr="00FB38E1" w14:paraId="0DA087BC" w14:textId="77777777" w:rsidTr="003A2A4B">
        <w:trPr>
          <w:trHeight w:val="219"/>
        </w:trPr>
        <w:tc>
          <w:tcPr>
            <w:tcW w:w="106" w:type="pct"/>
            <w:tcBorders>
              <w:bottom w:val="single" w:sz="4" w:space="0" w:color="auto"/>
            </w:tcBorders>
            <w:tcMar>
              <w:left w:w="57" w:type="dxa"/>
              <w:right w:w="57" w:type="dxa"/>
            </w:tcMar>
          </w:tcPr>
          <w:p w14:paraId="62287F81" w14:textId="77777777" w:rsidR="003B7A7D" w:rsidRPr="00FB38E1" w:rsidRDefault="003B7A7D" w:rsidP="003B7A7D">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3</w:t>
            </w:r>
          </w:p>
        </w:tc>
        <w:tc>
          <w:tcPr>
            <w:tcW w:w="3056" w:type="pct"/>
            <w:tcBorders>
              <w:bottom w:val="single" w:sz="4" w:space="0" w:color="auto"/>
            </w:tcBorders>
            <w:tcMar>
              <w:left w:w="57" w:type="dxa"/>
              <w:right w:w="57" w:type="dxa"/>
            </w:tcMar>
            <w:vAlign w:val="bottom"/>
          </w:tcPr>
          <w:p w14:paraId="46B07093"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Standart yönteme göre KDA sermaye yükümlülüğüne tabi portföylerin toplam tutarı</w:t>
            </w:r>
          </w:p>
        </w:tc>
        <w:tc>
          <w:tcPr>
            <w:tcW w:w="1030" w:type="pct"/>
            <w:tcBorders>
              <w:bottom w:val="single" w:sz="4" w:space="0" w:color="auto"/>
            </w:tcBorders>
            <w:tcMar>
              <w:left w:w="57" w:type="dxa"/>
              <w:right w:w="57" w:type="dxa"/>
            </w:tcMar>
            <w:vAlign w:val="center"/>
          </w:tcPr>
          <w:p w14:paraId="79DB82C7" w14:textId="20AA3F96"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9.994.185</w:t>
            </w:r>
          </w:p>
        </w:tc>
        <w:tc>
          <w:tcPr>
            <w:tcW w:w="808" w:type="pct"/>
            <w:tcBorders>
              <w:bottom w:val="single" w:sz="4" w:space="0" w:color="auto"/>
            </w:tcBorders>
            <w:tcMar>
              <w:left w:w="57" w:type="dxa"/>
              <w:right w:w="57" w:type="dxa"/>
            </w:tcMar>
            <w:vAlign w:val="center"/>
          </w:tcPr>
          <w:p w14:paraId="75350227" w14:textId="07824403"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1.500.795</w:t>
            </w:r>
          </w:p>
        </w:tc>
      </w:tr>
      <w:tr w:rsidR="003B7A7D" w:rsidRPr="00FB38E1" w14:paraId="5FFDD57A" w14:textId="77777777" w:rsidTr="003A2A4B">
        <w:tc>
          <w:tcPr>
            <w:tcW w:w="106" w:type="pct"/>
            <w:tcBorders>
              <w:top w:val="single" w:sz="4" w:space="0" w:color="auto"/>
              <w:bottom w:val="thickThinSmallGap" w:sz="24" w:space="0" w:color="auto"/>
            </w:tcBorders>
            <w:tcMar>
              <w:left w:w="57" w:type="dxa"/>
              <w:right w:w="57" w:type="dxa"/>
            </w:tcMar>
          </w:tcPr>
          <w:p w14:paraId="6283EA9F" w14:textId="77777777" w:rsidR="003B7A7D" w:rsidRPr="00FB38E1" w:rsidRDefault="003B7A7D" w:rsidP="003B7A7D">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4</w:t>
            </w:r>
          </w:p>
        </w:tc>
        <w:tc>
          <w:tcPr>
            <w:tcW w:w="3056" w:type="pct"/>
            <w:tcBorders>
              <w:top w:val="single" w:sz="4" w:space="0" w:color="auto"/>
              <w:bottom w:val="thickThinSmallGap" w:sz="24" w:space="0" w:color="auto"/>
            </w:tcBorders>
            <w:tcMar>
              <w:left w:w="57" w:type="dxa"/>
              <w:right w:w="57" w:type="dxa"/>
            </w:tcMar>
            <w:vAlign w:val="bottom"/>
          </w:tcPr>
          <w:p w14:paraId="79CCBFDB" w14:textId="77777777" w:rsidR="003B7A7D" w:rsidRPr="00FB38E1" w:rsidRDefault="003B7A7D" w:rsidP="003B7A7D">
            <w:pPr>
              <w:rPr>
                <w:rFonts w:ascii="Microsoft Sans Serif" w:hAnsi="Microsoft Sans Serif" w:cs="Microsoft Sans Serif"/>
                <w:b/>
                <w:sz w:val="14"/>
                <w:szCs w:val="14"/>
              </w:rPr>
            </w:pPr>
            <w:r w:rsidRPr="00FB38E1">
              <w:rPr>
                <w:rFonts w:ascii="Microsoft Sans Serif" w:hAnsi="Microsoft Sans Serif" w:cs="Microsoft Sans Serif"/>
                <w:b/>
                <w:sz w:val="14"/>
                <w:szCs w:val="14"/>
              </w:rPr>
              <w:t>KDA sermaye yükümlülüğüne tabi toplam tutar</w:t>
            </w:r>
          </w:p>
        </w:tc>
        <w:tc>
          <w:tcPr>
            <w:tcW w:w="1030" w:type="pct"/>
            <w:tcBorders>
              <w:top w:val="single" w:sz="4" w:space="0" w:color="auto"/>
              <w:bottom w:val="thickThinSmallGap" w:sz="24" w:space="0" w:color="auto"/>
            </w:tcBorders>
            <w:tcMar>
              <w:left w:w="57" w:type="dxa"/>
              <w:right w:w="57" w:type="dxa"/>
            </w:tcMar>
            <w:vAlign w:val="center"/>
          </w:tcPr>
          <w:p w14:paraId="3EE93C8E" w14:textId="2D681C9D"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9.994.185</w:t>
            </w:r>
          </w:p>
        </w:tc>
        <w:tc>
          <w:tcPr>
            <w:tcW w:w="808" w:type="pct"/>
            <w:tcBorders>
              <w:top w:val="single" w:sz="4" w:space="0" w:color="auto"/>
              <w:bottom w:val="thickThinSmallGap" w:sz="24" w:space="0" w:color="auto"/>
            </w:tcBorders>
            <w:tcMar>
              <w:left w:w="57" w:type="dxa"/>
              <w:right w:w="57" w:type="dxa"/>
            </w:tcMar>
            <w:vAlign w:val="center"/>
          </w:tcPr>
          <w:p w14:paraId="14C4E124" w14:textId="400778FC"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1.500.795</w:t>
            </w:r>
          </w:p>
        </w:tc>
      </w:tr>
    </w:tbl>
    <w:bookmarkEnd w:id="44"/>
    <w:p w14:paraId="4776A57A" w14:textId="77777777" w:rsidR="00E036D3" w:rsidRPr="00FB38E1" w:rsidRDefault="00E036D3" w:rsidP="00364B59">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Standart yaklaşım – Risk sınıfları ve ağırlıklarına göre karşı taraf kredi riski (KKR)</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72"/>
        <w:gridCol w:w="540"/>
        <w:gridCol w:w="756"/>
        <w:gridCol w:w="756"/>
        <w:gridCol w:w="756"/>
        <w:gridCol w:w="756"/>
        <w:gridCol w:w="756"/>
        <w:gridCol w:w="756"/>
        <w:gridCol w:w="729"/>
      </w:tblGrid>
      <w:tr w:rsidR="00E036D3" w:rsidRPr="00FB38E1" w14:paraId="132A70AC" w14:textId="77777777" w:rsidTr="00667438">
        <w:tc>
          <w:tcPr>
            <w:tcW w:w="1692" w:type="pct"/>
            <w:tcMar>
              <w:left w:w="57" w:type="dxa"/>
              <w:right w:w="57" w:type="dxa"/>
            </w:tcMar>
          </w:tcPr>
          <w:p w14:paraId="2DB7072C" w14:textId="77777777" w:rsidR="00E036D3" w:rsidRPr="00FB38E1" w:rsidRDefault="00E036D3" w:rsidP="00836EF2">
            <w:pPr>
              <w:rPr>
                <w:rFonts w:ascii="Microsoft Sans Serif" w:hAnsi="Microsoft Sans Serif" w:cs="Microsoft Sans Serif"/>
                <w:b/>
                <w:sz w:val="12"/>
                <w:szCs w:val="12"/>
              </w:rPr>
            </w:pPr>
            <w:r w:rsidRPr="00FB38E1">
              <w:rPr>
                <w:rFonts w:ascii="Microsoft Sans Serif" w:hAnsi="Microsoft Sans Serif" w:cs="Microsoft Sans Serif"/>
                <w:b/>
                <w:sz w:val="12"/>
                <w:szCs w:val="12"/>
              </w:rPr>
              <w:t>Cari Dönem</w:t>
            </w:r>
          </w:p>
        </w:tc>
        <w:tc>
          <w:tcPr>
            <w:tcW w:w="297" w:type="pct"/>
            <w:tcBorders>
              <w:top w:val="thinThickSmallGap" w:sz="24" w:space="0" w:color="auto"/>
              <w:bottom w:val="single" w:sz="4" w:space="0" w:color="auto"/>
            </w:tcBorders>
            <w:tcMar>
              <w:left w:w="57" w:type="dxa"/>
              <w:right w:w="57" w:type="dxa"/>
            </w:tcMar>
            <w:vAlign w:val="bottom"/>
          </w:tcPr>
          <w:p w14:paraId="619AF242"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a</w:t>
            </w:r>
          </w:p>
        </w:tc>
        <w:tc>
          <w:tcPr>
            <w:tcW w:w="280" w:type="pct"/>
            <w:tcBorders>
              <w:top w:val="thinThickSmallGap" w:sz="24" w:space="0" w:color="auto"/>
              <w:bottom w:val="single" w:sz="4" w:space="0" w:color="auto"/>
            </w:tcBorders>
            <w:tcMar>
              <w:left w:w="57" w:type="dxa"/>
              <w:right w:w="57" w:type="dxa"/>
            </w:tcMar>
            <w:vAlign w:val="bottom"/>
          </w:tcPr>
          <w:p w14:paraId="104CAE90"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b</w:t>
            </w:r>
          </w:p>
        </w:tc>
        <w:tc>
          <w:tcPr>
            <w:tcW w:w="392" w:type="pct"/>
            <w:tcBorders>
              <w:top w:val="thinThickSmallGap" w:sz="24" w:space="0" w:color="auto"/>
              <w:bottom w:val="single" w:sz="4" w:space="0" w:color="auto"/>
            </w:tcBorders>
            <w:tcMar>
              <w:left w:w="57" w:type="dxa"/>
              <w:right w:w="57" w:type="dxa"/>
            </w:tcMar>
            <w:vAlign w:val="bottom"/>
          </w:tcPr>
          <w:p w14:paraId="68D182F5"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c</w:t>
            </w:r>
          </w:p>
        </w:tc>
        <w:tc>
          <w:tcPr>
            <w:tcW w:w="392" w:type="pct"/>
            <w:tcBorders>
              <w:top w:val="thinThickSmallGap" w:sz="24" w:space="0" w:color="auto"/>
              <w:bottom w:val="single" w:sz="4" w:space="0" w:color="auto"/>
            </w:tcBorders>
            <w:tcMar>
              <w:left w:w="57" w:type="dxa"/>
              <w:right w:w="57" w:type="dxa"/>
            </w:tcMar>
            <w:vAlign w:val="bottom"/>
          </w:tcPr>
          <w:p w14:paraId="4899D722"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d</w:t>
            </w:r>
          </w:p>
        </w:tc>
        <w:tc>
          <w:tcPr>
            <w:tcW w:w="392" w:type="pct"/>
            <w:tcBorders>
              <w:top w:val="thinThickSmallGap" w:sz="24" w:space="0" w:color="auto"/>
              <w:bottom w:val="single" w:sz="4" w:space="0" w:color="auto"/>
            </w:tcBorders>
            <w:tcMar>
              <w:left w:w="57" w:type="dxa"/>
              <w:right w:w="57" w:type="dxa"/>
            </w:tcMar>
            <w:vAlign w:val="bottom"/>
          </w:tcPr>
          <w:p w14:paraId="50DEFCEE"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e</w:t>
            </w:r>
          </w:p>
        </w:tc>
        <w:tc>
          <w:tcPr>
            <w:tcW w:w="392" w:type="pct"/>
            <w:tcBorders>
              <w:top w:val="thinThickSmallGap" w:sz="24" w:space="0" w:color="auto"/>
              <w:bottom w:val="single" w:sz="4" w:space="0" w:color="auto"/>
            </w:tcBorders>
            <w:tcMar>
              <w:left w:w="57" w:type="dxa"/>
              <w:right w:w="57" w:type="dxa"/>
            </w:tcMar>
            <w:vAlign w:val="bottom"/>
          </w:tcPr>
          <w:p w14:paraId="159A1E8A"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f</w:t>
            </w:r>
          </w:p>
        </w:tc>
        <w:tc>
          <w:tcPr>
            <w:tcW w:w="392" w:type="pct"/>
            <w:tcBorders>
              <w:top w:val="thinThickSmallGap" w:sz="24" w:space="0" w:color="auto"/>
              <w:bottom w:val="single" w:sz="4" w:space="0" w:color="auto"/>
            </w:tcBorders>
            <w:tcMar>
              <w:left w:w="57" w:type="dxa"/>
              <w:right w:w="57" w:type="dxa"/>
            </w:tcMar>
            <w:vAlign w:val="bottom"/>
          </w:tcPr>
          <w:p w14:paraId="54925312"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g</w:t>
            </w:r>
          </w:p>
        </w:tc>
        <w:tc>
          <w:tcPr>
            <w:tcW w:w="392" w:type="pct"/>
            <w:tcBorders>
              <w:top w:val="thinThickSmallGap" w:sz="24" w:space="0" w:color="auto"/>
              <w:bottom w:val="single" w:sz="4" w:space="0" w:color="auto"/>
            </w:tcBorders>
            <w:tcMar>
              <w:left w:w="57" w:type="dxa"/>
              <w:right w:w="57" w:type="dxa"/>
            </w:tcMar>
            <w:vAlign w:val="bottom"/>
          </w:tcPr>
          <w:p w14:paraId="0C89C98F"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h</w:t>
            </w:r>
          </w:p>
        </w:tc>
        <w:tc>
          <w:tcPr>
            <w:tcW w:w="378" w:type="pct"/>
            <w:tcBorders>
              <w:top w:val="thinThickSmallGap" w:sz="24" w:space="0" w:color="auto"/>
              <w:bottom w:val="single" w:sz="4" w:space="0" w:color="auto"/>
            </w:tcBorders>
            <w:tcMar>
              <w:left w:w="57" w:type="dxa"/>
              <w:right w:w="57" w:type="dxa"/>
            </w:tcMar>
            <w:vAlign w:val="bottom"/>
          </w:tcPr>
          <w:p w14:paraId="1D063BA2"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i</w:t>
            </w:r>
          </w:p>
        </w:tc>
      </w:tr>
      <w:tr w:rsidR="00E036D3" w:rsidRPr="00FB38E1" w14:paraId="0511A996" w14:textId="77777777" w:rsidTr="00667438">
        <w:trPr>
          <w:trHeight w:val="298"/>
        </w:trPr>
        <w:tc>
          <w:tcPr>
            <w:tcW w:w="1692" w:type="pct"/>
            <w:tcBorders>
              <w:bottom w:val="single" w:sz="4" w:space="0" w:color="auto"/>
            </w:tcBorders>
            <w:tcMar>
              <w:left w:w="57" w:type="dxa"/>
              <w:right w:w="57" w:type="dxa"/>
            </w:tcMar>
            <w:vAlign w:val="bottom"/>
          </w:tcPr>
          <w:p w14:paraId="5E314083" w14:textId="77777777" w:rsidR="00E036D3" w:rsidRPr="00FB38E1" w:rsidRDefault="00E036D3" w:rsidP="00836EF2">
            <w:pPr>
              <w:rPr>
                <w:rFonts w:ascii="Microsoft Sans Serif" w:hAnsi="Microsoft Sans Serif" w:cs="Microsoft Sans Serif"/>
                <w:b/>
                <w:sz w:val="12"/>
                <w:szCs w:val="12"/>
              </w:rPr>
            </w:pPr>
            <w:r w:rsidRPr="00FB38E1">
              <w:rPr>
                <w:rFonts w:ascii="Microsoft Sans Serif" w:hAnsi="Microsoft Sans Serif" w:cs="Microsoft Sans Serif"/>
                <w:b/>
                <w:sz w:val="12"/>
                <w:szCs w:val="12"/>
              </w:rPr>
              <w:t>Risk ağırlıkları / Risk Sınıfları</w:t>
            </w:r>
          </w:p>
        </w:tc>
        <w:tc>
          <w:tcPr>
            <w:tcW w:w="297" w:type="pct"/>
            <w:tcBorders>
              <w:top w:val="single" w:sz="4" w:space="0" w:color="auto"/>
              <w:bottom w:val="single" w:sz="4" w:space="0" w:color="auto"/>
            </w:tcBorders>
            <w:tcMar>
              <w:left w:w="57" w:type="dxa"/>
              <w:right w:w="57" w:type="dxa"/>
            </w:tcMar>
            <w:vAlign w:val="bottom"/>
          </w:tcPr>
          <w:p w14:paraId="2284CD1D"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%0</w:t>
            </w:r>
          </w:p>
        </w:tc>
        <w:tc>
          <w:tcPr>
            <w:tcW w:w="280" w:type="pct"/>
            <w:tcBorders>
              <w:top w:val="single" w:sz="4" w:space="0" w:color="auto"/>
              <w:bottom w:val="single" w:sz="4" w:space="0" w:color="auto"/>
            </w:tcBorders>
            <w:tcMar>
              <w:left w:w="57" w:type="dxa"/>
              <w:right w:w="57" w:type="dxa"/>
            </w:tcMar>
            <w:vAlign w:val="bottom"/>
          </w:tcPr>
          <w:p w14:paraId="5BBD9E1C"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%10</w:t>
            </w:r>
          </w:p>
        </w:tc>
        <w:tc>
          <w:tcPr>
            <w:tcW w:w="392" w:type="pct"/>
            <w:tcBorders>
              <w:top w:val="single" w:sz="4" w:space="0" w:color="auto"/>
              <w:bottom w:val="single" w:sz="4" w:space="0" w:color="auto"/>
            </w:tcBorders>
            <w:tcMar>
              <w:left w:w="57" w:type="dxa"/>
              <w:right w:w="57" w:type="dxa"/>
            </w:tcMar>
            <w:vAlign w:val="bottom"/>
          </w:tcPr>
          <w:p w14:paraId="14678A71"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%20</w:t>
            </w:r>
          </w:p>
        </w:tc>
        <w:tc>
          <w:tcPr>
            <w:tcW w:w="392" w:type="pct"/>
            <w:tcBorders>
              <w:top w:val="single" w:sz="4" w:space="0" w:color="auto"/>
              <w:bottom w:val="single" w:sz="4" w:space="0" w:color="auto"/>
            </w:tcBorders>
            <w:tcMar>
              <w:left w:w="57" w:type="dxa"/>
              <w:right w:w="57" w:type="dxa"/>
            </w:tcMar>
            <w:vAlign w:val="bottom"/>
          </w:tcPr>
          <w:p w14:paraId="6336C49A" w14:textId="4A14CC42"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%50</w:t>
            </w:r>
          </w:p>
        </w:tc>
        <w:tc>
          <w:tcPr>
            <w:tcW w:w="392" w:type="pct"/>
            <w:tcBorders>
              <w:top w:val="single" w:sz="4" w:space="0" w:color="auto"/>
              <w:bottom w:val="single" w:sz="4" w:space="0" w:color="auto"/>
            </w:tcBorders>
            <w:tcMar>
              <w:left w:w="57" w:type="dxa"/>
              <w:right w:w="57" w:type="dxa"/>
            </w:tcMar>
            <w:vAlign w:val="bottom"/>
          </w:tcPr>
          <w:p w14:paraId="47212096"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%75</w:t>
            </w:r>
          </w:p>
        </w:tc>
        <w:tc>
          <w:tcPr>
            <w:tcW w:w="392" w:type="pct"/>
            <w:tcBorders>
              <w:top w:val="single" w:sz="4" w:space="0" w:color="auto"/>
              <w:bottom w:val="single" w:sz="4" w:space="0" w:color="auto"/>
            </w:tcBorders>
            <w:tcMar>
              <w:left w:w="57" w:type="dxa"/>
              <w:right w:w="57" w:type="dxa"/>
            </w:tcMar>
            <w:vAlign w:val="bottom"/>
          </w:tcPr>
          <w:p w14:paraId="5CEBEFC2"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%100</w:t>
            </w:r>
          </w:p>
        </w:tc>
        <w:tc>
          <w:tcPr>
            <w:tcW w:w="392" w:type="pct"/>
            <w:tcBorders>
              <w:top w:val="single" w:sz="4" w:space="0" w:color="auto"/>
              <w:bottom w:val="single" w:sz="4" w:space="0" w:color="auto"/>
            </w:tcBorders>
            <w:tcMar>
              <w:left w:w="57" w:type="dxa"/>
              <w:right w:w="57" w:type="dxa"/>
            </w:tcMar>
            <w:vAlign w:val="bottom"/>
          </w:tcPr>
          <w:p w14:paraId="6259DA70"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%150</w:t>
            </w:r>
          </w:p>
        </w:tc>
        <w:tc>
          <w:tcPr>
            <w:tcW w:w="392" w:type="pct"/>
            <w:tcBorders>
              <w:top w:val="single" w:sz="4" w:space="0" w:color="auto"/>
              <w:bottom w:val="single" w:sz="4" w:space="0" w:color="auto"/>
            </w:tcBorders>
            <w:tcMar>
              <w:left w:w="57" w:type="dxa"/>
              <w:right w:w="57" w:type="dxa"/>
            </w:tcMar>
            <w:vAlign w:val="bottom"/>
          </w:tcPr>
          <w:p w14:paraId="2C1DE948"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Diğer</w:t>
            </w:r>
          </w:p>
        </w:tc>
        <w:tc>
          <w:tcPr>
            <w:tcW w:w="378" w:type="pct"/>
            <w:tcBorders>
              <w:top w:val="single" w:sz="4" w:space="0" w:color="auto"/>
              <w:bottom w:val="single" w:sz="4" w:space="0" w:color="auto"/>
            </w:tcBorders>
            <w:tcMar>
              <w:left w:w="57" w:type="dxa"/>
              <w:right w:w="57" w:type="dxa"/>
            </w:tcMar>
            <w:vAlign w:val="bottom"/>
          </w:tcPr>
          <w:p w14:paraId="128B4CE5"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 kredi riski(*)</w:t>
            </w:r>
          </w:p>
        </w:tc>
      </w:tr>
      <w:tr w:rsidR="002A2DAA" w:rsidRPr="00FB38E1" w14:paraId="7719EA05" w14:textId="77777777" w:rsidTr="002A2DAA">
        <w:tc>
          <w:tcPr>
            <w:tcW w:w="1692" w:type="pct"/>
            <w:tcBorders>
              <w:top w:val="single" w:sz="4" w:space="0" w:color="auto"/>
              <w:bottom w:val="nil"/>
            </w:tcBorders>
            <w:tcMar>
              <w:left w:w="57" w:type="dxa"/>
              <w:right w:w="57" w:type="dxa"/>
            </w:tcMar>
          </w:tcPr>
          <w:p w14:paraId="11A3A268"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Merkezi yönetimlerden veya merkez bankalarından alacaklar</w:t>
            </w:r>
          </w:p>
        </w:tc>
        <w:tc>
          <w:tcPr>
            <w:tcW w:w="297" w:type="pct"/>
            <w:tcBorders>
              <w:top w:val="single" w:sz="4" w:space="0" w:color="auto"/>
              <w:bottom w:val="nil"/>
            </w:tcBorders>
            <w:tcMar>
              <w:left w:w="57" w:type="dxa"/>
              <w:right w:w="57" w:type="dxa"/>
            </w:tcMar>
            <w:vAlign w:val="center"/>
          </w:tcPr>
          <w:p w14:paraId="4D9A2B20" w14:textId="4B28F7D0"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28</w:t>
            </w:r>
          </w:p>
        </w:tc>
        <w:tc>
          <w:tcPr>
            <w:tcW w:w="280" w:type="pct"/>
            <w:tcBorders>
              <w:top w:val="single" w:sz="4" w:space="0" w:color="auto"/>
              <w:bottom w:val="nil"/>
            </w:tcBorders>
            <w:tcMar>
              <w:left w:w="57" w:type="dxa"/>
              <w:right w:w="57" w:type="dxa"/>
            </w:tcMar>
            <w:vAlign w:val="center"/>
          </w:tcPr>
          <w:p w14:paraId="2E753F12" w14:textId="0B51D8A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single" w:sz="4" w:space="0" w:color="auto"/>
              <w:bottom w:val="nil"/>
            </w:tcBorders>
            <w:tcMar>
              <w:left w:w="57" w:type="dxa"/>
              <w:right w:w="57" w:type="dxa"/>
            </w:tcMar>
            <w:vAlign w:val="center"/>
          </w:tcPr>
          <w:p w14:paraId="63016436" w14:textId="69B870B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single" w:sz="4" w:space="0" w:color="auto"/>
              <w:bottom w:val="nil"/>
            </w:tcBorders>
            <w:tcMar>
              <w:left w:w="57" w:type="dxa"/>
              <w:right w:w="57" w:type="dxa"/>
            </w:tcMar>
            <w:vAlign w:val="center"/>
          </w:tcPr>
          <w:p w14:paraId="476E612E" w14:textId="2613276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single" w:sz="4" w:space="0" w:color="auto"/>
              <w:bottom w:val="nil"/>
            </w:tcBorders>
            <w:tcMar>
              <w:left w:w="57" w:type="dxa"/>
              <w:right w:w="57" w:type="dxa"/>
            </w:tcMar>
            <w:vAlign w:val="center"/>
          </w:tcPr>
          <w:p w14:paraId="7092FB53" w14:textId="33BDCED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single" w:sz="4" w:space="0" w:color="auto"/>
              <w:bottom w:val="nil"/>
            </w:tcBorders>
            <w:tcMar>
              <w:left w:w="57" w:type="dxa"/>
              <w:right w:w="57" w:type="dxa"/>
            </w:tcMar>
            <w:vAlign w:val="center"/>
          </w:tcPr>
          <w:p w14:paraId="51C08248" w14:textId="2D7E107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single" w:sz="4" w:space="0" w:color="auto"/>
              <w:bottom w:val="nil"/>
            </w:tcBorders>
            <w:tcMar>
              <w:left w:w="57" w:type="dxa"/>
              <w:right w:w="57" w:type="dxa"/>
            </w:tcMar>
            <w:vAlign w:val="center"/>
          </w:tcPr>
          <w:p w14:paraId="6152E9FB" w14:textId="1E63877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single" w:sz="4" w:space="0" w:color="auto"/>
              <w:bottom w:val="nil"/>
            </w:tcBorders>
            <w:tcMar>
              <w:left w:w="57" w:type="dxa"/>
              <w:right w:w="57" w:type="dxa"/>
            </w:tcMar>
            <w:vAlign w:val="center"/>
          </w:tcPr>
          <w:p w14:paraId="44E73C9E" w14:textId="3EB85E9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Borders>
              <w:top w:val="single" w:sz="4" w:space="0" w:color="auto"/>
              <w:bottom w:val="nil"/>
            </w:tcBorders>
            <w:tcMar>
              <w:left w:w="57" w:type="dxa"/>
              <w:right w:w="57" w:type="dxa"/>
            </w:tcMar>
            <w:vAlign w:val="center"/>
          </w:tcPr>
          <w:p w14:paraId="760D4B98" w14:textId="5FC0E38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26536E59" w14:textId="77777777" w:rsidTr="002A2DAA">
        <w:tc>
          <w:tcPr>
            <w:tcW w:w="1692" w:type="pct"/>
            <w:tcBorders>
              <w:top w:val="nil"/>
            </w:tcBorders>
            <w:tcMar>
              <w:left w:w="57" w:type="dxa"/>
              <w:right w:w="57" w:type="dxa"/>
            </w:tcMar>
          </w:tcPr>
          <w:p w14:paraId="3833BFEC"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Bölgesel yönetimlerden veya yerel yönetimlerden alacaklar</w:t>
            </w:r>
          </w:p>
        </w:tc>
        <w:tc>
          <w:tcPr>
            <w:tcW w:w="297" w:type="pct"/>
            <w:tcBorders>
              <w:top w:val="nil"/>
            </w:tcBorders>
            <w:tcMar>
              <w:left w:w="57" w:type="dxa"/>
              <w:right w:w="57" w:type="dxa"/>
            </w:tcMar>
            <w:vAlign w:val="center"/>
          </w:tcPr>
          <w:p w14:paraId="34568F2F" w14:textId="4D77255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Borders>
              <w:top w:val="nil"/>
            </w:tcBorders>
            <w:tcMar>
              <w:left w:w="57" w:type="dxa"/>
              <w:right w:w="57" w:type="dxa"/>
            </w:tcMar>
            <w:vAlign w:val="center"/>
          </w:tcPr>
          <w:p w14:paraId="77BFDEBB" w14:textId="3C6B5173"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tcBorders>
            <w:tcMar>
              <w:left w:w="57" w:type="dxa"/>
              <w:right w:w="57" w:type="dxa"/>
            </w:tcMar>
            <w:vAlign w:val="center"/>
          </w:tcPr>
          <w:p w14:paraId="16D091EA" w14:textId="02A7E27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tcBorders>
            <w:tcMar>
              <w:left w:w="57" w:type="dxa"/>
              <w:right w:w="57" w:type="dxa"/>
            </w:tcMar>
            <w:vAlign w:val="center"/>
          </w:tcPr>
          <w:p w14:paraId="5A7A79B9" w14:textId="19B6B78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tcBorders>
            <w:tcMar>
              <w:left w:w="57" w:type="dxa"/>
              <w:right w:w="57" w:type="dxa"/>
            </w:tcMar>
            <w:vAlign w:val="center"/>
          </w:tcPr>
          <w:p w14:paraId="279CA57F" w14:textId="16FF3FCB"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tcBorders>
            <w:tcMar>
              <w:left w:w="57" w:type="dxa"/>
              <w:right w:w="57" w:type="dxa"/>
            </w:tcMar>
            <w:vAlign w:val="center"/>
          </w:tcPr>
          <w:p w14:paraId="3F85B335" w14:textId="62EE833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tcBorders>
            <w:tcMar>
              <w:left w:w="57" w:type="dxa"/>
              <w:right w:w="57" w:type="dxa"/>
            </w:tcMar>
            <w:vAlign w:val="center"/>
          </w:tcPr>
          <w:p w14:paraId="0738C955" w14:textId="373E2CB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tcBorders>
            <w:tcMar>
              <w:left w:w="57" w:type="dxa"/>
              <w:right w:w="57" w:type="dxa"/>
            </w:tcMar>
            <w:vAlign w:val="center"/>
          </w:tcPr>
          <w:p w14:paraId="28906386" w14:textId="192F8DE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Borders>
              <w:top w:val="nil"/>
            </w:tcBorders>
            <w:tcMar>
              <w:left w:w="57" w:type="dxa"/>
              <w:right w:w="57" w:type="dxa"/>
            </w:tcMar>
            <w:vAlign w:val="center"/>
          </w:tcPr>
          <w:p w14:paraId="4646D483" w14:textId="405AEBB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3D311BEA" w14:textId="77777777" w:rsidTr="002A2DAA">
        <w:tc>
          <w:tcPr>
            <w:tcW w:w="1692" w:type="pct"/>
            <w:tcMar>
              <w:left w:w="57" w:type="dxa"/>
              <w:right w:w="57" w:type="dxa"/>
            </w:tcMar>
          </w:tcPr>
          <w:p w14:paraId="69BD0E1E"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İdari birimlerden ve ticari olmayan girişimlerden alacaklar</w:t>
            </w:r>
          </w:p>
        </w:tc>
        <w:tc>
          <w:tcPr>
            <w:tcW w:w="297" w:type="pct"/>
            <w:tcMar>
              <w:left w:w="57" w:type="dxa"/>
              <w:right w:w="57" w:type="dxa"/>
            </w:tcMar>
            <w:vAlign w:val="center"/>
          </w:tcPr>
          <w:p w14:paraId="14D3812C" w14:textId="5A7978D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110F3A85" w14:textId="145C934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1044C960" w14:textId="7E3924D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9EE1F2C" w14:textId="637BD7F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7F2EB6C5" w14:textId="36E4B13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E2690F6" w14:textId="7FDDB46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68940EB2" w14:textId="69F4D39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1304C0FF" w14:textId="193E7A4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386CB38E" w14:textId="0A9D357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604F261E" w14:textId="77777777" w:rsidTr="002A2DAA">
        <w:tc>
          <w:tcPr>
            <w:tcW w:w="1692" w:type="pct"/>
            <w:tcMar>
              <w:left w:w="57" w:type="dxa"/>
              <w:right w:w="57" w:type="dxa"/>
            </w:tcMar>
          </w:tcPr>
          <w:p w14:paraId="2008A4DF"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Çok taraflı kalkınma bankalarından alacaklar</w:t>
            </w:r>
          </w:p>
        </w:tc>
        <w:tc>
          <w:tcPr>
            <w:tcW w:w="297" w:type="pct"/>
            <w:tcMar>
              <w:left w:w="57" w:type="dxa"/>
              <w:right w:w="57" w:type="dxa"/>
            </w:tcMar>
            <w:vAlign w:val="center"/>
          </w:tcPr>
          <w:p w14:paraId="06A9AFB8" w14:textId="4F6E9673"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36C6DBDE" w14:textId="5B00CC3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5EDAC11" w14:textId="4322363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9EEC88B" w14:textId="790AEB90"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8903119" w14:textId="066F241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EB85330" w14:textId="29AA61C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05C40BD" w14:textId="4B6A41E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E2C6682" w14:textId="0D8A639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78654684" w14:textId="65D7007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2FB4F501" w14:textId="77777777" w:rsidTr="002A2DAA">
        <w:tc>
          <w:tcPr>
            <w:tcW w:w="1692" w:type="pct"/>
            <w:tcMar>
              <w:left w:w="57" w:type="dxa"/>
              <w:right w:w="57" w:type="dxa"/>
            </w:tcMar>
          </w:tcPr>
          <w:p w14:paraId="577649F4"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Uluslararası teşkilatlardan alacaklar</w:t>
            </w:r>
          </w:p>
        </w:tc>
        <w:tc>
          <w:tcPr>
            <w:tcW w:w="297" w:type="pct"/>
            <w:tcMar>
              <w:left w:w="57" w:type="dxa"/>
              <w:right w:w="57" w:type="dxa"/>
            </w:tcMar>
            <w:vAlign w:val="center"/>
          </w:tcPr>
          <w:p w14:paraId="6FFFF58C" w14:textId="3F49D51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497BE8E1" w14:textId="15CCE2F0"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1A1E4AB" w14:textId="356B2C8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ACE414D" w14:textId="624BA08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5ABDDE5" w14:textId="3D44C67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6D6C797F" w14:textId="24AC048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757DFF22" w14:textId="28BA6EE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7DB1C13F" w14:textId="3CAD37D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274F7E81" w14:textId="2ACDDD13"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4264FC87" w14:textId="77777777" w:rsidTr="002A2DAA">
        <w:tc>
          <w:tcPr>
            <w:tcW w:w="1692" w:type="pct"/>
            <w:tcMar>
              <w:left w:w="57" w:type="dxa"/>
              <w:right w:w="57" w:type="dxa"/>
            </w:tcMar>
          </w:tcPr>
          <w:p w14:paraId="4C27EE8B"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Bankalardan ve aracı kurumlardan alacaklar</w:t>
            </w:r>
          </w:p>
        </w:tc>
        <w:tc>
          <w:tcPr>
            <w:tcW w:w="297" w:type="pct"/>
            <w:tcMar>
              <w:left w:w="57" w:type="dxa"/>
              <w:right w:w="57" w:type="dxa"/>
            </w:tcMar>
            <w:vAlign w:val="center"/>
          </w:tcPr>
          <w:p w14:paraId="32F739C4" w14:textId="3BCD1F7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516FE3ED" w14:textId="7EAB1B1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C87DF20" w14:textId="5B523B4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47.263.402</w:t>
            </w:r>
          </w:p>
        </w:tc>
        <w:tc>
          <w:tcPr>
            <w:tcW w:w="392" w:type="pct"/>
            <w:tcMar>
              <w:left w:w="57" w:type="dxa"/>
              <w:right w:w="57" w:type="dxa"/>
            </w:tcMar>
            <w:vAlign w:val="center"/>
          </w:tcPr>
          <w:p w14:paraId="1387BB46" w14:textId="7AB7A25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1.717.345</w:t>
            </w:r>
          </w:p>
        </w:tc>
        <w:tc>
          <w:tcPr>
            <w:tcW w:w="392" w:type="pct"/>
            <w:tcMar>
              <w:left w:w="57" w:type="dxa"/>
              <w:right w:w="57" w:type="dxa"/>
            </w:tcMar>
            <w:vAlign w:val="center"/>
          </w:tcPr>
          <w:p w14:paraId="59282E71" w14:textId="10B88CF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758A7FDC" w14:textId="189D094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5D5820D1" w14:textId="7894611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18EFE28C" w14:textId="70206F0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30.499</w:t>
            </w:r>
          </w:p>
        </w:tc>
        <w:tc>
          <w:tcPr>
            <w:tcW w:w="378" w:type="pct"/>
            <w:tcMar>
              <w:left w:w="57" w:type="dxa"/>
              <w:right w:w="57" w:type="dxa"/>
            </w:tcMar>
            <w:vAlign w:val="center"/>
          </w:tcPr>
          <w:p w14:paraId="45D2C88F" w14:textId="5677FA7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10.311.963</w:t>
            </w:r>
          </w:p>
        </w:tc>
      </w:tr>
      <w:tr w:rsidR="002A2DAA" w:rsidRPr="00FB38E1" w14:paraId="2F0FF9F7" w14:textId="77777777" w:rsidTr="002A2DAA">
        <w:tc>
          <w:tcPr>
            <w:tcW w:w="1692" w:type="pct"/>
            <w:tcMar>
              <w:left w:w="57" w:type="dxa"/>
              <w:right w:w="57" w:type="dxa"/>
            </w:tcMar>
          </w:tcPr>
          <w:p w14:paraId="37389412"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Kurumsal alacaklar</w:t>
            </w:r>
          </w:p>
        </w:tc>
        <w:tc>
          <w:tcPr>
            <w:tcW w:w="297" w:type="pct"/>
            <w:tcMar>
              <w:left w:w="57" w:type="dxa"/>
              <w:right w:w="57" w:type="dxa"/>
            </w:tcMar>
            <w:vAlign w:val="center"/>
          </w:tcPr>
          <w:p w14:paraId="109545E4" w14:textId="713376A7"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49A6FD04" w14:textId="04B044A0"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6455D58" w14:textId="7484D0B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E1AB91B" w14:textId="2B3B2D7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723C2D3A" w14:textId="24F8A5D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9A003E8" w14:textId="061A2EB3"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3.401.437</w:t>
            </w:r>
          </w:p>
        </w:tc>
        <w:tc>
          <w:tcPr>
            <w:tcW w:w="392" w:type="pct"/>
            <w:tcMar>
              <w:left w:w="57" w:type="dxa"/>
              <w:right w:w="57" w:type="dxa"/>
            </w:tcMar>
            <w:vAlign w:val="center"/>
          </w:tcPr>
          <w:p w14:paraId="5AC29C3E" w14:textId="47A1AA00"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76F0E2DE" w14:textId="44E8DF8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123C5184" w14:textId="22B3F44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3.401.437</w:t>
            </w:r>
          </w:p>
        </w:tc>
      </w:tr>
      <w:tr w:rsidR="002A2DAA" w:rsidRPr="00FB38E1" w14:paraId="27251D6D" w14:textId="77777777" w:rsidTr="002A2DAA">
        <w:tc>
          <w:tcPr>
            <w:tcW w:w="1692" w:type="pct"/>
            <w:tcMar>
              <w:left w:w="57" w:type="dxa"/>
              <w:right w:w="57" w:type="dxa"/>
            </w:tcMar>
          </w:tcPr>
          <w:p w14:paraId="12F53760"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Perakende alacaklar</w:t>
            </w:r>
          </w:p>
        </w:tc>
        <w:tc>
          <w:tcPr>
            <w:tcW w:w="297" w:type="pct"/>
            <w:tcMar>
              <w:left w:w="57" w:type="dxa"/>
              <w:right w:w="57" w:type="dxa"/>
            </w:tcMar>
            <w:vAlign w:val="center"/>
          </w:tcPr>
          <w:p w14:paraId="645A0BA8" w14:textId="758187E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6D7E0532" w14:textId="32A9EED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169A2EDA" w14:textId="131F963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4041306" w14:textId="6ABDB71B"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1B5A9F01" w14:textId="5F447933"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288.805</w:t>
            </w:r>
          </w:p>
        </w:tc>
        <w:tc>
          <w:tcPr>
            <w:tcW w:w="392" w:type="pct"/>
            <w:tcMar>
              <w:left w:w="57" w:type="dxa"/>
              <w:right w:w="57" w:type="dxa"/>
            </w:tcMar>
            <w:vAlign w:val="center"/>
          </w:tcPr>
          <w:p w14:paraId="7E92AA53" w14:textId="221E57D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5B9D1E7F" w14:textId="5D0E129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5A7E127" w14:textId="3CCAE9BB"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0475680B" w14:textId="68E103B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216.604</w:t>
            </w:r>
          </w:p>
        </w:tc>
      </w:tr>
      <w:tr w:rsidR="002A2DAA" w:rsidRPr="00FB38E1" w14:paraId="3B136A24" w14:textId="77777777" w:rsidTr="002A2DAA">
        <w:tc>
          <w:tcPr>
            <w:tcW w:w="1692" w:type="pct"/>
            <w:tcMar>
              <w:left w:w="57" w:type="dxa"/>
              <w:right w:w="57" w:type="dxa"/>
            </w:tcMar>
          </w:tcPr>
          <w:p w14:paraId="55E6B79D"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Gayrimenkul ipoteği ile teminatlandırılmış alacaklar</w:t>
            </w:r>
          </w:p>
        </w:tc>
        <w:tc>
          <w:tcPr>
            <w:tcW w:w="297" w:type="pct"/>
            <w:tcMar>
              <w:left w:w="57" w:type="dxa"/>
              <w:right w:w="57" w:type="dxa"/>
            </w:tcMar>
            <w:vAlign w:val="center"/>
          </w:tcPr>
          <w:p w14:paraId="0F1ED3C9" w14:textId="1CA9A71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2CAF8004" w14:textId="2750B16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63CEE38E" w14:textId="2EFA9A6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12FCB114" w14:textId="0423E6C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32214BA" w14:textId="4885DD8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D81C97C" w14:textId="2934F3C3"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71B7072" w14:textId="764C02E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2B57A17" w14:textId="3522FDE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4719926E" w14:textId="3636E18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7BE2BBA2" w14:textId="77777777" w:rsidTr="002A2DAA">
        <w:tc>
          <w:tcPr>
            <w:tcW w:w="1692" w:type="pct"/>
            <w:tcMar>
              <w:left w:w="57" w:type="dxa"/>
              <w:right w:w="57" w:type="dxa"/>
            </w:tcMar>
          </w:tcPr>
          <w:p w14:paraId="72DBBB4B"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Tahsili gecikmiş alacaklar</w:t>
            </w:r>
          </w:p>
        </w:tc>
        <w:tc>
          <w:tcPr>
            <w:tcW w:w="297" w:type="pct"/>
            <w:tcMar>
              <w:left w:w="57" w:type="dxa"/>
              <w:right w:w="57" w:type="dxa"/>
            </w:tcMar>
            <w:vAlign w:val="center"/>
          </w:tcPr>
          <w:p w14:paraId="72AD32BD" w14:textId="57D3C96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79807EA8" w14:textId="19192563"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5187F8ED" w14:textId="6B020D0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68658CB6" w14:textId="41C7F08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1AD4228C" w14:textId="4B8E55C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573E1512" w14:textId="3F43AD7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3BB46EF" w14:textId="4630F4C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29CE7CF" w14:textId="1150D16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1875D7C1" w14:textId="4881311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7732FCDD" w14:textId="77777777" w:rsidTr="002A2DAA">
        <w:tc>
          <w:tcPr>
            <w:tcW w:w="1692" w:type="pct"/>
            <w:tcMar>
              <w:left w:w="57" w:type="dxa"/>
              <w:right w:w="57" w:type="dxa"/>
            </w:tcMar>
          </w:tcPr>
          <w:p w14:paraId="444542B8"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Kurulca riski yüksek belirlenmiş alacaklar</w:t>
            </w:r>
          </w:p>
        </w:tc>
        <w:tc>
          <w:tcPr>
            <w:tcW w:w="297" w:type="pct"/>
            <w:tcMar>
              <w:left w:w="57" w:type="dxa"/>
              <w:right w:w="57" w:type="dxa"/>
            </w:tcMar>
            <w:vAlign w:val="center"/>
          </w:tcPr>
          <w:p w14:paraId="301D52E7" w14:textId="57B6E1D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70023B63" w14:textId="67B3C62B"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0AD2C25" w14:textId="31546A7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E833F90" w14:textId="3379BE4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7C2A5305" w14:textId="1997274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7EBFF39A" w14:textId="50B8806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4F166D7" w14:textId="25911A8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5C02FE60" w14:textId="64EB5687"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79E59285" w14:textId="0A06F95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0ADE2521" w14:textId="77777777" w:rsidTr="002A2DAA">
        <w:tc>
          <w:tcPr>
            <w:tcW w:w="1692" w:type="pct"/>
            <w:tcMar>
              <w:left w:w="57" w:type="dxa"/>
              <w:right w:w="57" w:type="dxa"/>
            </w:tcMar>
          </w:tcPr>
          <w:p w14:paraId="7A1B908F"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İpotek teminatlı menkul kıymetler</w:t>
            </w:r>
          </w:p>
        </w:tc>
        <w:tc>
          <w:tcPr>
            <w:tcW w:w="297" w:type="pct"/>
            <w:tcMar>
              <w:left w:w="57" w:type="dxa"/>
              <w:right w:w="57" w:type="dxa"/>
            </w:tcMar>
            <w:vAlign w:val="center"/>
          </w:tcPr>
          <w:p w14:paraId="0E85BBE8" w14:textId="42986EF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3B8673CC" w14:textId="6FB7CFA3"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0151BA6" w14:textId="5F281BB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4D26E2C" w14:textId="79E70B8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7D950AD" w14:textId="74E44BA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6F8A349" w14:textId="6B9BDBD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7B9D0853" w14:textId="015A014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52554C11" w14:textId="0BD7925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2D540204" w14:textId="170FF44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03A79CB9" w14:textId="77777777" w:rsidTr="002A2DAA">
        <w:tc>
          <w:tcPr>
            <w:tcW w:w="1692" w:type="pct"/>
            <w:tcMar>
              <w:left w:w="57" w:type="dxa"/>
              <w:right w:w="57" w:type="dxa"/>
            </w:tcMar>
          </w:tcPr>
          <w:p w14:paraId="07431605"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Menkul kıymetleştirme pozisyonları</w:t>
            </w:r>
          </w:p>
        </w:tc>
        <w:tc>
          <w:tcPr>
            <w:tcW w:w="297" w:type="pct"/>
            <w:tcMar>
              <w:left w:w="57" w:type="dxa"/>
              <w:right w:w="57" w:type="dxa"/>
            </w:tcMar>
            <w:vAlign w:val="center"/>
          </w:tcPr>
          <w:p w14:paraId="33B065AE" w14:textId="3A42700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11398FF7" w14:textId="3757102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6854C2B5" w14:textId="0F6786F1"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16BE7AA4" w14:textId="3C30F3C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47393BC" w14:textId="6FA2C3D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0F768F2" w14:textId="6257E0D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E81B0A1" w14:textId="53C26BD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061EA7B" w14:textId="7E316BE7"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076D356F" w14:textId="71700DA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79774AB4" w14:textId="77777777" w:rsidTr="002A2DAA">
        <w:tc>
          <w:tcPr>
            <w:tcW w:w="1692" w:type="pct"/>
            <w:tcMar>
              <w:left w:w="57" w:type="dxa"/>
              <w:right w:w="57" w:type="dxa"/>
            </w:tcMar>
          </w:tcPr>
          <w:p w14:paraId="50341DED"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Kısa vadeli kredi derecelendirmesi bulunan bankalar ve aracı kurumlardan alacaklar ile kurumsal alacaklar</w:t>
            </w:r>
          </w:p>
        </w:tc>
        <w:tc>
          <w:tcPr>
            <w:tcW w:w="297" w:type="pct"/>
            <w:tcMar>
              <w:left w:w="57" w:type="dxa"/>
              <w:right w:w="57" w:type="dxa"/>
            </w:tcMar>
            <w:vAlign w:val="center"/>
          </w:tcPr>
          <w:p w14:paraId="7A6CFA31" w14:textId="23D5D3D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41C7159F" w14:textId="21457FEB"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D955D4A" w14:textId="4CC9944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3628A245" w14:textId="70CE9CB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FE6085B" w14:textId="690EB26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46DB7C5A" w14:textId="7134A65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6D3E54BF" w14:textId="083E2B0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B460B3E" w14:textId="599A1520"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1929F3B6" w14:textId="58D6CE7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16BD73AD" w14:textId="77777777" w:rsidTr="002A2DAA">
        <w:tc>
          <w:tcPr>
            <w:tcW w:w="1692" w:type="pct"/>
            <w:tcMar>
              <w:left w:w="57" w:type="dxa"/>
              <w:right w:w="57" w:type="dxa"/>
            </w:tcMar>
          </w:tcPr>
          <w:p w14:paraId="7079E76E"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Kollektif yatırım kuruluşu niteliğindeki yatırımlar</w:t>
            </w:r>
          </w:p>
        </w:tc>
        <w:tc>
          <w:tcPr>
            <w:tcW w:w="297" w:type="pct"/>
            <w:tcMar>
              <w:left w:w="57" w:type="dxa"/>
              <w:right w:w="57" w:type="dxa"/>
            </w:tcMar>
            <w:vAlign w:val="center"/>
          </w:tcPr>
          <w:p w14:paraId="0FB05389" w14:textId="34A6A02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Mar>
              <w:left w:w="57" w:type="dxa"/>
              <w:right w:w="57" w:type="dxa"/>
            </w:tcMar>
            <w:vAlign w:val="center"/>
          </w:tcPr>
          <w:p w14:paraId="7A8169E2" w14:textId="68D7346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51C80F5E" w14:textId="0CC42C3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3026431" w14:textId="2BC5EE2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DCA5384" w14:textId="727741A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25F2ACC6" w14:textId="30E1CBA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90.244</w:t>
            </w:r>
          </w:p>
        </w:tc>
        <w:tc>
          <w:tcPr>
            <w:tcW w:w="392" w:type="pct"/>
            <w:tcMar>
              <w:left w:w="57" w:type="dxa"/>
              <w:right w:w="57" w:type="dxa"/>
            </w:tcMar>
            <w:vAlign w:val="center"/>
          </w:tcPr>
          <w:p w14:paraId="69DAECC9" w14:textId="4CE66E16"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Mar>
              <w:left w:w="57" w:type="dxa"/>
              <w:right w:w="57" w:type="dxa"/>
            </w:tcMar>
            <w:vAlign w:val="center"/>
          </w:tcPr>
          <w:p w14:paraId="0EBAD874" w14:textId="68D29EB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Mar>
              <w:left w:w="57" w:type="dxa"/>
              <w:right w:w="57" w:type="dxa"/>
            </w:tcMar>
            <w:vAlign w:val="center"/>
          </w:tcPr>
          <w:p w14:paraId="310E902A" w14:textId="37B173A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90.244</w:t>
            </w:r>
          </w:p>
        </w:tc>
      </w:tr>
      <w:tr w:rsidR="002A2DAA" w:rsidRPr="00FB38E1" w14:paraId="01398F04" w14:textId="77777777" w:rsidTr="002A2DAA">
        <w:tc>
          <w:tcPr>
            <w:tcW w:w="1692" w:type="pct"/>
            <w:tcBorders>
              <w:bottom w:val="nil"/>
            </w:tcBorders>
            <w:tcMar>
              <w:left w:w="57" w:type="dxa"/>
              <w:right w:w="57" w:type="dxa"/>
            </w:tcMar>
          </w:tcPr>
          <w:p w14:paraId="7D0B7435"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Hisse senedi yatırımları</w:t>
            </w:r>
          </w:p>
        </w:tc>
        <w:tc>
          <w:tcPr>
            <w:tcW w:w="297" w:type="pct"/>
            <w:tcBorders>
              <w:bottom w:val="nil"/>
            </w:tcBorders>
            <w:tcMar>
              <w:left w:w="57" w:type="dxa"/>
              <w:right w:w="57" w:type="dxa"/>
            </w:tcMar>
            <w:vAlign w:val="center"/>
          </w:tcPr>
          <w:p w14:paraId="3B761695" w14:textId="15E5F06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Borders>
              <w:bottom w:val="nil"/>
            </w:tcBorders>
            <w:tcMar>
              <w:left w:w="57" w:type="dxa"/>
              <w:right w:w="57" w:type="dxa"/>
            </w:tcMar>
            <w:vAlign w:val="center"/>
          </w:tcPr>
          <w:p w14:paraId="3C4D1963" w14:textId="53C6142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bottom w:val="nil"/>
            </w:tcBorders>
            <w:tcMar>
              <w:left w:w="57" w:type="dxa"/>
              <w:right w:w="57" w:type="dxa"/>
            </w:tcMar>
            <w:vAlign w:val="center"/>
          </w:tcPr>
          <w:p w14:paraId="74D3BAD6" w14:textId="3320EB8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bottom w:val="nil"/>
            </w:tcBorders>
            <w:tcMar>
              <w:left w:w="57" w:type="dxa"/>
              <w:right w:w="57" w:type="dxa"/>
            </w:tcMar>
            <w:vAlign w:val="center"/>
          </w:tcPr>
          <w:p w14:paraId="79B395B4" w14:textId="4CE93C7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bottom w:val="nil"/>
            </w:tcBorders>
            <w:tcMar>
              <w:left w:w="57" w:type="dxa"/>
              <w:right w:w="57" w:type="dxa"/>
            </w:tcMar>
            <w:vAlign w:val="center"/>
          </w:tcPr>
          <w:p w14:paraId="7983253B" w14:textId="7055847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bottom w:val="nil"/>
            </w:tcBorders>
            <w:tcMar>
              <w:left w:w="57" w:type="dxa"/>
              <w:right w:w="57" w:type="dxa"/>
            </w:tcMar>
            <w:vAlign w:val="center"/>
          </w:tcPr>
          <w:p w14:paraId="3738389A" w14:textId="643B095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bottom w:val="nil"/>
            </w:tcBorders>
            <w:tcMar>
              <w:left w:w="57" w:type="dxa"/>
              <w:right w:w="57" w:type="dxa"/>
            </w:tcMar>
            <w:vAlign w:val="center"/>
          </w:tcPr>
          <w:p w14:paraId="02E042A4" w14:textId="40C4FBD9"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bottom w:val="nil"/>
            </w:tcBorders>
            <w:tcMar>
              <w:left w:w="57" w:type="dxa"/>
              <w:right w:w="57" w:type="dxa"/>
            </w:tcMar>
            <w:vAlign w:val="center"/>
          </w:tcPr>
          <w:p w14:paraId="7069471F" w14:textId="45739B4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Borders>
              <w:bottom w:val="nil"/>
            </w:tcBorders>
            <w:tcMar>
              <w:left w:w="57" w:type="dxa"/>
              <w:right w:w="57" w:type="dxa"/>
            </w:tcMar>
            <w:vAlign w:val="center"/>
          </w:tcPr>
          <w:p w14:paraId="11DA5D4A" w14:textId="16F9523B"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468A715D" w14:textId="77777777" w:rsidTr="002A2DAA">
        <w:tc>
          <w:tcPr>
            <w:tcW w:w="1692" w:type="pct"/>
            <w:tcBorders>
              <w:top w:val="nil"/>
              <w:bottom w:val="nil"/>
            </w:tcBorders>
            <w:tcMar>
              <w:left w:w="57" w:type="dxa"/>
              <w:right w:w="57" w:type="dxa"/>
            </w:tcMar>
          </w:tcPr>
          <w:p w14:paraId="18304999"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Diğer alacaklar</w:t>
            </w:r>
          </w:p>
        </w:tc>
        <w:tc>
          <w:tcPr>
            <w:tcW w:w="297" w:type="pct"/>
            <w:tcBorders>
              <w:top w:val="nil"/>
              <w:bottom w:val="nil"/>
            </w:tcBorders>
            <w:tcMar>
              <w:left w:w="57" w:type="dxa"/>
              <w:right w:w="57" w:type="dxa"/>
            </w:tcMar>
            <w:vAlign w:val="center"/>
          </w:tcPr>
          <w:p w14:paraId="0F842E74" w14:textId="6E7C784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Borders>
              <w:top w:val="nil"/>
              <w:bottom w:val="nil"/>
            </w:tcBorders>
            <w:tcMar>
              <w:left w:w="57" w:type="dxa"/>
              <w:right w:w="57" w:type="dxa"/>
            </w:tcMar>
            <w:vAlign w:val="center"/>
          </w:tcPr>
          <w:p w14:paraId="5CF6DC23" w14:textId="3A2F58CC"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nil"/>
            </w:tcBorders>
            <w:tcMar>
              <w:left w:w="57" w:type="dxa"/>
              <w:right w:w="57" w:type="dxa"/>
            </w:tcMar>
            <w:vAlign w:val="center"/>
          </w:tcPr>
          <w:p w14:paraId="0568118F" w14:textId="37B24AC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nil"/>
            </w:tcBorders>
            <w:tcMar>
              <w:left w:w="57" w:type="dxa"/>
              <w:right w:w="57" w:type="dxa"/>
            </w:tcMar>
            <w:vAlign w:val="center"/>
          </w:tcPr>
          <w:p w14:paraId="047646DC" w14:textId="047BC420"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nil"/>
            </w:tcBorders>
            <w:tcMar>
              <w:left w:w="57" w:type="dxa"/>
              <w:right w:w="57" w:type="dxa"/>
            </w:tcMar>
            <w:vAlign w:val="center"/>
          </w:tcPr>
          <w:p w14:paraId="48892A55" w14:textId="29496814"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nil"/>
            </w:tcBorders>
            <w:tcMar>
              <w:left w:w="57" w:type="dxa"/>
              <w:right w:w="57" w:type="dxa"/>
            </w:tcMar>
            <w:vAlign w:val="center"/>
          </w:tcPr>
          <w:p w14:paraId="5129D280" w14:textId="7A31EB7E"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nil"/>
            </w:tcBorders>
            <w:tcMar>
              <w:left w:w="57" w:type="dxa"/>
              <w:right w:w="57" w:type="dxa"/>
            </w:tcMar>
            <w:vAlign w:val="center"/>
          </w:tcPr>
          <w:p w14:paraId="4C7D4740" w14:textId="5025CAA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nil"/>
            </w:tcBorders>
            <w:tcMar>
              <w:left w:w="57" w:type="dxa"/>
              <w:right w:w="57" w:type="dxa"/>
            </w:tcMar>
            <w:vAlign w:val="center"/>
          </w:tcPr>
          <w:p w14:paraId="7D23386A" w14:textId="33E74C7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Borders>
              <w:top w:val="nil"/>
              <w:bottom w:val="nil"/>
            </w:tcBorders>
            <w:tcMar>
              <w:left w:w="57" w:type="dxa"/>
              <w:right w:w="57" w:type="dxa"/>
            </w:tcMar>
            <w:vAlign w:val="center"/>
          </w:tcPr>
          <w:p w14:paraId="4B38365D" w14:textId="3E133E9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418B38E0" w14:textId="77777777" w:rsidTr="002A2DAA">
        <w:tc>
          <w:tcPr>
            <w:tcW w:w="1692" w:type="pct"/>
            <w:tcBorders>
              <w:top w:val="nil"/>
              <w:bottom w:val="single" w:sz="4" w:space="0" w:color="auto"/>
            </w:tcBorders>
            <w:tcMar>
              <w:left w:w="57" w:type="dxa"/>
              <w:right w:w="57" w:type="dxa"/>
            </w:tcMar>
          </w:tcPr>
          <w:p w14:paraId="482BE5FC" w14:textId="77777777" w:rsidR="002A2DAA" w:rsidRPr="00FB38E1" w:rsidRDefault="002A2DAA" w:rsidP="002A2DAA">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Diğer varlıklar (**)</w:t>
            </w:r>
          </w:p>
        </w:tc>
        <w:tc>
          <w:tcPr>
            <w:tcW w:w="297" w:type="pct"/>
            <w:tcBorders>
              <w:top w:val="nil"/>
              <w:bottom w:val="single" w:sz="4" w:space="0" w:color="auto"/>
            </w:tcBorders>
            <w:tcMar>
              <w:left w:w="57" w:type="dxa"/>
              <w:right w:w="57" w:type="dxa"/>
            </w:tcMar>
            <w:vAlign w:val="center"/>
          </w:tcPr>
          <w:p w14:paraId="5722CF49" w14:textId="0F286C57"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280" w:type="pct"/>
            <w:tcBorders>
              <w:top w:val="nil"/>
              <w:bottom w:val="single" w:sz="4" w:space="0" w:color="auto"/>
            </w:tcBorders>
            <w:tcMar>
              <w:left w:w="57" w:type="dxa"/>
              <w:right w:w="57" w:type="dxa"/>
            </w:tcMar>
            <w:vAlign w:val="center"/>
          </w:tcPr>
          <w:p w14:paraId="6D76FC15" w14:textId="15F3A33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single" w:sz="4" w:space="0" w:color="auto"/>
            </w:tcBorders>
            <w:tcMar>
              <w:left w:w="57" w:type="dxa"/>
              <w:right w:w="57" w:type="dxa"/>
            </w:tcMar>
            <w:vAlign w:val="center"/>
          </w:tcPr>
          <w:p w14:paraId="08B1A64C" w14:textId="29660D1F"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single" w:sz="4" w:space="0" w:color="auto"/>
            </w:tcBorders>
            <w:tcMar>
              <w:left w:w="57" w:type="dxa"/>
              <w:right w:w="57" w:type="dxa"/>
            </w:tcMar>
            <w:vAlign w:val="center"/>
          </w:tcPr>
          <w:p w14:paraId="22455E0B" w14:textId="144FB702"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single" w:sz="4" w:space="0" w:color="auto"/>
            </w:tcBorders>
            <w:tcMar>
              <w:left w:w="57" w:type="dxa"/>
              <w:right w:w="57" w:type="dxa"/>
            </w:tcMar>
            <w:vAlign w:val="center"/>
          </w:tcPr>
          <w:p w14:paraId="5A359AD2" w14:textId="359B87BD"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single" w:sz="4" w:space="0" w:color="auto"/>
            </w:tcBorders>
            <w:tcMar>
              <w:left w:w="57" w:type="dxa"/>
              <w:right w:w="57" w:type="dxa"/>
            </w:tcMar>
            <w:vAlign w:val="center"/>
          </w:tcPr>
          <w:p w14:paraId="5581476D" w14:textId="39BB0BC8"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single" w:sz="4" w:space="0" w:color="auto"/>
            </w:tcBorders>
            <w:tcMar>
              <w:left w:w="57" w:type="dxa"/>
              <w:right w:w="57" w:type="dxa"/>
            </w:tcMar>
            <w:vAlign w:val="center"/>
          </w:tcPr>
          <w:p w14:paraId="5B9DF1F8" w14:textId="7602993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92" w:type="pct"/>
            <w:tcBorders>
              <w:top w:val="nil"/>
              <w:bottom w:val="single" w:sz="4" w:space="0" w:color="auto"/>
            </w:tcBorders>
            <w:tcMar>
              <w:left w:w="57" w:type="dxa"/>
              <w:right w:w="57" w:type="dxa"/>
            </w:tcMar>
            <w:vAlign w:val="center"/>
          </w:tcPr>
          <w:p w14:paraId="55589AF9" w14:textId="62917085"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78" w:type="pct"/>
            <w:tcBorders>
              <w:top w:val="nil"/>
              <w:bottom w:val="single" w:sz="4" w:space="0" w:color="auto"/>
            </w:tcBorders>
            <w:tcMar>
              <w:left w:w="57" w:type="dxa"/>
              <w:right w:w="57" w:type="dxa"/>
            </w:tcMar>
            <w:vAlign w:val="center"/>
          </w:tcPr>
          <w:p w14:paraId="433E212B" w14:textId="299A708A" w:rsidR="002A2DAA" w:rsidRPr="00FB38E1" w:rsidRDefault="002A2DAA" w:rsidP="002A2DAA">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2A2DAA" w:rsidRPr="00FB38E1" w14:paraId="5F1DD8B0" w14:textId="77777777" w:rsidTr="002A2DAA">
        <w:tc>
          <w:tcPr>
            <w:tcW w:w="1692" w:type="pct"/>
            <w:tcBorders>
              <w:top w:val="single" w:sz="4" w:space="0" w:color="auto"/>
              <w:bottom w:val="thickThinSmallGap" w:sz="24" w:space="0" w:color="auto"/>
            </w:tcBorders>
            <w:tcMar>
              <w:left w:w="57" w:type="dxa"/>
              <w:right w:w="57" w:type="dxa"/>
            </w:tcMar>
          </w:tcPr>
          <w:p w14:paraId="1511C371" w14:textId="77777777" w:rsidR="002A2DAA" w:rsidRPr="00FB38E1" w:rsidRDefault="002A2DAA" w:rsidP="002A2DAA">
            <w:pP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w:t>
            </w:r>
          </w:p>
        </w:tc>
        <w:tc>
          <w:tcPr>
            <w:tcW w:w="297" w:type="pct"/>
            <w:tcBorders>
              <w:top w:val="single" w:sz="4" w:space="0" w:color="auto"/>
              <w:bottom w:val="thickThinSmallGap" w:sz="24" w:space="0" w:color="auto"/>
            </w:tcBorders>
            <w:tcMar>
              <w:left w:w="57" w:type="dxa"/>
              <w:right w:w="57" w:type="dxa"/>
            </w:tcMar>
            <w:vAlign w:val="center"/>
          </w:tcPr>
          <w:p w14:paraId="65838643" w14:textId="2B8234FE" w:rsidR="002A2DAA" w:rsidRPr="00FB38E1" w:rsidRDefault="002A2DAA" w:rsidP="002A2DAA">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28</w:t>
            </w:r>
          </w:p>
        </w:tc>
        <w:tc>
          <w:tcPr>
            <w:tcW w:w="280" w:type="pct"/>
            <w:tcBorders>
              <w:top w:val="single" w:sz="4" w:space="0" w:color="auto"/>
              <w:bottom w:val="thickThinSmallGap" w:sz="24" w:space="0" w:color="auto"/>
            </w:tcBorders>
            <w:tcMar>
              <w:left w:w="57" w:type="dxa"/>
              <w:right w:w="57" w:type="dxa"/>
            </w:tcMar>
            <w:vAlign w:val="center"/>
          </w:tcPr>
          <w:p w14:paraId="01C2ABBC" w14:textId="1C68E422" w:rsidR="002A2DAA" w:rsidRPr="00FB38E1" w:rsidRDefault="002A2DAA" w:rsidP="002A2DAA">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392" w:type="pct"/>
            <w:tcBorders>
              <w:top w:val="single" w:sz="4" w:space="0" w:color="auto"/>
              <w:bottom w:val="thickThinSmallGap" w:sz="24" w:space="0" w:color="auto"/>
            </w:tcBorders>
            <w:tcMar>
              <w:left w:w="57" w:type="dxa"/>
              <w:right w:w="57" w:type="dxa"/>
            </w:tcMar>
            <w:vAlign w:val="center"/>
          </w:tcPr>
          <w:p w14:paraId="2442F449" w14:textId="730390B0" w:rsidR="002A2DAA" w:rsidRPr="00FB38E1" w:rsidRDefault="002A2DAA" w:rsidP="002A2DAA">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47.263.402</w:t>
            </w:r>
          </w:p>
        </w:tc>
        <w:tc>
          <w:tcPr>
            <w:tcW w:w="392" w:type="pct"/>
            <w:tcBorders>
              <w:top w:val="single" w:sz="4" w:space="0" w:color="auto"/>
              <w:bottom w:val="thickThinSmallGap" w:sz="24" w:space="0" w:color="auto"/>
            </w:tcBorders>
            <w:tcMar>
              <w:left w:w="57" w:type="dxa"/>
              <w:right w:w="57" w:type="dxa"/>
            </w:tcMar>
            <w:vAlign w:val="center"/>
          </w:tcPr>
          <w:p w14:paraId="37A255B6" w14:textId="2F602AF7" w:rsidR="002A2DAA" w:rsidRPr="00FB38E1" w:rsidRDefault="002A2DAA" w:rsidP="002A2DAA">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1.717.345</w:t>
            </w:r>
          </w:p>
        </w:tc>
        <w:tc>
          <w:tcPr>
            <w:tcW w:w="392" w:type="pct"/>
            <w:tcBorders>
              <w:top w:val="single" w:sz="4" w:space="0" w:color="auto"/>
              <w:bottom w:val="thickThinSmallGap" w:sz="24" w:space="0" w:color="auto"/>
            </w:tcBorders>
            <w:tcMar>
              <w:left w:w="57" w:type="dxa"/>
              <w:right w:w="57" w:type="dxa"/>
            </w:tcMar>
            <w:vAlign w:val="center"/>
          </w:tcPr>
          <w:p w14:paraId="69BEF2A5" w14:textId="68520F93" w:rsidR="002A2DAA" w:rsidRPr="00FB38E1" w:rsidRDefault="002A2DAA" w:rsidP="002A2DAA">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288.805</w:t>
            </w:r>
          </w:p>
        </w:tc>
        <w:tc>
          <w:tcPr>
            <w:tcW w:w="392" w:type="pct"/>
            <w:tcBorders>
              <w:top w:val="single" w:sz="4" w:space="0" w:color="auto"/>
              <w:bottom w:val="thickThinSmallGap" w:sz="24" w:space="0" w:color="auto"/>
            </w:tcBorders>
            <w:tcMar>
              <w:left w:w="57" w:type="dxa"/>
              <w:right w:w="57" w:type="dxa"/>
            </w:tcMar>
            <w:vAlign w:val="center"/>
          </w:tcPr>
          <w:p w14:paraId="5D6F8160" w14:textId="556040E6" w:rsidR="002A2DAA" w:rsidRPr="00FB38E1" w:rsidRDefault="002A2DAA" w:rsidP="002A2DAA">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3.491.681</w:t>
            </w:r>
          </w:p>
        </w:tc>
        <w:tc>
          <w:tcPr>
            <w:tcW w:w="392" w:type="pct"/>
            <w:tcBorders>
              <w:top w:val="single" w:sz="4" w:space="0" w:color="auto"/>
              <w:bottom w:val="thickThinSmallGap" w:sz="24" w:space="0" w:color="auto"/>
            </w:tcBorders>
            <w:tcMar>
              <w:left w:w="57" w:type="dxa"/>
              <w:right w:w="57" w:type="dxa"/>
            </w:tcMar>
            <w:vAlign w:val="center"/>
          </w:tcPr>
          <w:p w14:paraId="19C32D20" w14:textId="591921E1" w:rsidR="002A2DAA" w:rsidRPr="00FB38E1" w:rsidRDefault="002A2DAA" w:rsidP="002A2DAA">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392" w:type="pct"/>
            <w:tcBorders>
              <w:top w:val="single" w:sz="4" w:space="0" w:color="auto"/>
              <w:bottom w:val="thickThinSmallGap" w:sz="24" w:space="0" w:color="auto"/>
            </w:tcBorders>
            <w:tcMar>
              <w:left w:w="57" w:type="dxa"/>
              <w:right w:w="57" w:type="dxa"/>
            </w:tcMar>
            <w:vAlign w:val="center"/>
          </w:tcPr>
          <w:p w14:paraId="6FA6D1A8" w14:textId="0812B9C4" w:rsidR="002A2DAA" w:rsidRPr="00FB38E1" w:rsidRDefault="002A2DAA" w:rsidP="002A2DAA">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30.499</w:t>
            </w:r>
          </w:p>
        </w:tc>
        <w:tc>
          <w:tcPr>
            <w:tcW w:w="378" w:type="pct"/>
            <w:tcBorders>
              <w:top w:val="single" w:sz="4" w:space="0" w:color="auto"/>
              <w:bottom w:val="thickThinSmallGap" w:sz="24" w:space="0" w:color="auto"/>
            </w:tcBorders>
            <w:tcMar>
              <w:left w:w="57" w:type="dxa"/>
              <w:right w:w="57" w:type="dxa"/>
            </w:tcMar>
            <w:vAlign w:val="center"/>
          </w:tcPr>
          <w:p w14:paraId="6DC5FA3D" w14:textId="6863AFE1" w:rsidR="002A2DAA" w:rsidRPr="00FB38E1" w:rsidRDefault="002A2DAA" w:rsidP="002A2DAA">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14.020.248</w:t>
            </w:r>
          </w:p>
        </w:tc>
      </w:tr>
    </w:tbl>
    <w:p w14:paraId="170ED2BF" w14:textId="77777777" w:rsidR="00E036D3" w:rsidRPr="00FB38E1" w:rsidRDefault="00E036D3" w:rsidP="00E036D3">
      <w:pPr>
        <w:spacing w:after="0" w:line="240" w:lineRule="exac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Toplam kredi riski: Karşı taraf kredi riski ölçüm teknikleri uygulandıktan sonra sermaye yeterliliği hesaplamasıyla ilgili olan tutar</w:t>
      </w:r>
    </w:p>
    <w:p w14:paraId="2EB7B810" w14:textId="77777777" w:rsidR="00E036D3" w:rsidRPr="00FB38E1" w:rsidRDefault="00E036D3" w:rsidP="00E036D3">
      <w:pPr>
        <w:pStyle w:val="ListParagraph"/>
        <w:spacing w:after="120"/>
        <w:ind w:left="0"/>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Diğer varlıklar : Şablon KKR8’de raporlanan karşı taraf kredi riski içinde yer almayan miktarları içerir.</w:t>
      </w:r>
    </w:p>
    <w:tbl>
      <w:tblPr>
        <w:tblStyle w:val="TableGrid"/>
        <w:tblW w:w="5000" w:type="pct"/>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838"/>
        <w:gridCol w:w="689"/>
        <w:gridCol w:w="578"/>
        <w:gridCol w:w="794"/>
        <w:gridCol w:w="794"/>
        <w:gridCol w:w="794"/>
        <w:gridCol w:w="794"/>
        <w:gridCol w:w="794"/>
        <w:gridCol w:w="794"/>
        <w:gridCol w:w="769"/>
      </w:tblGrid>
      <w:tr w:rsidR="00E036D3" w:rsidRPr="00FB38E1" w14:paraId="34B22476" w14:textId="77777777" w:rsidTr="002A2DAA">
        <w:tc>
          <w:tcPr>
            <w:tcW w:w="1472" w:type="pct"/>
            <w:tcMar>
              <w:left w:w="57" w:type="dxa"/>
              <w:right w:w="57" w:type="dxa"/>
            </w:tcMar>
          </w:tcPr>
          <w:p w14:paraId="591D0D03" w14:textId="77777777" w:rsidR="00E036D3" w:rsidRPr="00FB38E1" w:rsidRDefault="00E036D3" w:rsidP="00836EF2">
            <w:pPr>
              <w:rPr>
                <w:rFonts w:ascii="Microsoft Sans Serif" w:hAnsi="Microsoft Sans Serif" w:cs="Microsoft Sans Serif"/>
                <w:b/>
                <w:sz w:val="12"/>
                <w:szCs w:val="12"/>
              </w:rPr>
            </w:pPr>
            <w:r w:rsidRPr="00FB38E1">
              <w:rPr>
                <w:rFonts w:ascii="Microsoft Sans Serif" w:hAnsi="Microsoft Sans Serif" w:cs="Microsoft Sans Serif"/>
                <w:b/>
                <w:sz w:val="12"/>
                <w:szCs w:val="12"/>
              </w:rPr>
              <w:t>Önceki Dönem</w:t>
            </w:r>
          </w:p>
        </w:tc>
        <w:tc>
          <w:tcPr>
            <w:tcW w:w="357" w:type="pct"/>
            <w:tcBorders>
              <w:top w:val="thinThickSmallGap" w:sz="24" w:space="0" w:color="auto"/>
              <w:bottom w:val="single" w:sz="4" w:space="0" w:color="auto"/>
            </w:tcBorders>
            <w:tcMar>
              <w:left w:w="57" w:type="dxa"/>
              <w:right w:w="57" w:type="dxa"/>
            </w:tcMar>
            <w:vAlign w:val="bottom"/>
          </w:tcPr>
          <w:p w14:paraId="4A8905B4"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a</w:t>
            </w:r>
          </w:p>
        </w:tc>
        <w:tc>
          <w:tcPr>
            <w:tcW w:w="300" w:type="pct"/>
            <w:tcBorders>
              <w:top w:val="thinThickSmallGap" w:sz="24" w:space="0" w:color="auto"/>
              <w:bottom w:val="single" w:sz="4" w:space="0" w:color="auto"/>
            </w:tcBorders>
            <w:tcMar>
              <w:left w:w="57" w:type="dxa"/>
              <w:right w:w="57" w:type="dxa"/>
            </w:tcMar>
            <w:vAlign w:val="bottom"/>
          </w:tcPr>
          <w:p w14:paraId="05ACAD86"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b</w:t>
            </w:r>
          </w:p>
        </w:tc>
        <w:tc>
          <w:tcPr>
            <w:tcW w:w="412" w:type="pct"/>
            <w:tcBorders>
              <w:top w:val="thinThickSmallGap" w:sz="24" w:space="0" w:color="auto"/>
              <w:bottom w:val="single" w:sz="4" w:space="0" w:color="auto"/>
            </w:tcBorders>
            <w:tcMar>
              <w:left w:w="57" w:type="dxa"/>
              <w:right w:w="57" w:type="dxa"/>
            </w:tcMar>
            <w:vAlign w:val="bottom"/>
          </w:tcPr>
          <w:p w14:paraId="4C89AD12"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c</w:t>
            </w:r>
          </w:p>
        </w:tc>
        <w:tc>
          <w:tcPr>
            <w:tcW w:w="412" w:type="pct"/>
            <w:tcBorders>
              <w:top w:val="thinThickSmallGap" w:sz="24" w:space="0" w:color="auto"/>
              <w:bottom w:val="single" w:sz="4" w:space="0" w:color="auto"/>
            </w:tcBorders>
            <w:tcMar>
              <w:left w:w="57" w:type="dxa"/>
              <w:right w:w="57" w:type="dxa"/>
            </w:tcMar>
            <w:vAlign w:val="bottom"/>
          </w:tcPr>
          <w:p w14:paraId="58C158A4"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d</w:t>
            </w:r>
          </w:p>
        </w:tc>
        <w:tc>
          <w:tcPr>
            <w:tcW w:w="412" w:type="pct"/>
            <w:tcBorders>
              <w:top w:val="thinThickSmallGap" w:sz="24" w:space="0" w:color="auto"/>
              <w:bottom w:val="single" w:sz="4" w:space="0" w:color="auto"/>
            </w:tcBorders>
            <w:tcMar>
              <w:left w:w="57" w:type="dxa"/>
              <w:right w:w="57" w:type="dxa"/>
            </w:tcMar>
            <w:vAlign w:val="bottom"/>
          </w:tcPr>
          <w:p w14:paraId="0C7261E6"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e</w:t>
            </w:r>
          </w:p>
        </w:tc>
        <w:tc>
          <w:tcPr>
            <w:tcW w:w="412" w:type="pct"/>
            <w:tcBorders>
              <w:top w:val="thinThickSmallGap" w:sz="24" w:space="0" w:color="auto"/>
              <w:bottom w:val="single" w:sz="4" w:space="0" w:color="auto"/>
            </w:tcBorders>
            <w:tcMar>
              <w:left w:w="57" w:type="dxa"/>
              <w:right w:w="57" w:type="dxa"/>
            </w:tcMar>
            <w:vAlign w:val="bottom"/>
          </w:tcPr>
          <w:p w14:paraId="1B2271A0"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f</w:t>
            </w:r>
          </w:p>
        </w:tc>
        <w:tc>
          <w:tcPr>
            <w:tcW w:w="412" w:type="pct"/>
            <w:tcBorders>
              <w:top w:val="thinThickSmallGap" w:sz="24" w:space="0" w:color="auto"/>
              <w:bottom w:val="single" w:sz="4" w:space="0" w:color="auto"/>
            </w:tcBorders>
            <w:tcMar>
              <w:left w:w="57" w:type="dxa"/>
              <w:right w:w="57" w:type="dxa"/>
            </w:tcMar>
            <w:vAlign w:val="bottom"/>
          </w:tcPr>
          <w:p w14:paraId="136DBC07"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g</w:t>
            </w:r>
          </w:p>
        </w:tc>
        <w:tc>
          <w:tcPr>
            <w:tcW w:w="412" w:type="pct"/>
            <w:tcBorders>
              <w:top w:val="thinThickSmallGap" w:sz="24" w:space="0" w:color="auto"/>
              <w:bottom w:val="single" w:sz="4" w:space="0" w:color="auto"/>
            </w:tcBorders>
            <w:tcMar>
              <w:left w:w="57" w:type="dxa"/>
              <w:right w:w="57" w:type="dxa"/>
            </w:tcMar>
            <w:vAlign w:val="bottom"/>
          </w:tcPr>
          <w:p w14:paraId="73D31528"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h</w:t>
            </w:r>
          </w:p>
        </w:tc>
        <w:tc>
          <w:tcPr>
            <w:tcW w:w="400" w:type="pct"/>
            <w:tcBorders>
              <w:top w:val="thinThickSmallGap" w:sz="24" w:space="0" w:color="auto"/>
              <w:bottom w:val="single" w:sz="4" w:space="0" w:color="auto"/>
            </w:tcBorders>
            <w:tcMar>
              <w:left w:w="57" w:type="dxa"/>
              <w:right w:w="57" w:type="dxa"/>
            </w:tcMar>
            <w:vAlign w:val="bottom"/>
          </w:tcPr>
          <w:p w14:paraId="03DF9DB7"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i</w:t>
            </w:r>
          </w:p>
        </w:tc>
      </w:tr>
      <w:tr w:rsidR="00E036D3" w:rsidRPr="00FB38E1" w14:paraId="08218EBA" w14:textId="77777777" w:rsidTr="002A2DAA">
        <w:trPr>
          <w:trHeight w:val="298"/>
        </w:trPr>
        <w:tc>
          <w:tcPr>
            <w:tcW w:w="1472" w:type="pct"/>
            <w:tcBorders>
              <w:bottom w:val="single" w:sz="4" w:space="0" w:color="auto"/>
            </w:tcBorders>
            <w:tcMar>
              <w:left w:w="57" w:type="dxa"/>
              <w:right w:w="57" w:type="dxa"/>
            </w:tcMar>
            <w:vAlign w:val="bottom"/>
          </w:tcPr>
          <w:p w14:paraId="312D9870" w14:textId="77777777" w:rsidR="00E036D3" w:rsidRPr="00FB38E1" w:rsidRDefault="00E036D3" w:rsidP="00836EF2">
            <w:pPr>
              <w:rPr>
                <w:rFonts w:ascii="Microsoft Sans Serif" w:hAnsi="Microsoft Sans Serif" w:cs="Microsoft Sans Serif"/>
                <w:b/>
                <w:sz w:val="12"/>
                <w:szCs w:val="12"/>
              </w:rPr>
            </w:pPr>
            <w:r w:rsidRPr="00FB38E1">
              <w:rPr>
                <w:rFonts w:ascii="Microsoft Sans Serif" w:hAnsi="Microsoft Sans Serif" w:cs="Microsoft Sans Serif"/>
                <w:b/>
                <w:sz w:val="12"/>
                <w:szCs w:val="12"/>
              </w:rPr>
              <w:t>Risk ağırlıkları / Risk Sınıfları</w:t>
            </w:r>
          </w:p>
        </w:tc>
        <w:tc>
          <w:tcPr>
            <w:tcW w:w="357" w:type="pct"/>
            <w:tcBorders>
              <w:top w:val="single" w:sz="4" w:space="0" w:color="auto"/>
              <w:bottom w:val="single" w:sz="4" w:space="0" w:color="auto"/>
            </w:tcBorders>
            <w:tcMar>
              <w:left w:w="57" w:type="dxa"/>
              <w:right w:w="57" w:type="dxa"/>
            </w:tcMar>
            <w:vAlign w:val="bottom"/>
          </w:tcPr>
          <w:p w14:paraId="3D3DC4CC"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%0</w:t>
            </w:r>
          </w:p>
        </w:tc>
        <w:tc>
          <w:tcPr>
            <w:tcW w:w="300" w:type="pct"/>
            <w:tcBorders>
              <w:top w:val="single" w:sz="4" w:space="0" w:color="auto"/>
              <w:bottom w:val="single" w:sz="4" w:space="0" w:color="auto"/>
            </w:tcBorders>
            <w:tcMar>
              <w:left w:w="57" w:type="dxa"/>
              <w:right w:w="57" w:type="dxa"/>
            </w:tcMar>
            <w:vAlign w:val="bottom"/>
          </w:tcPr>
          <w:p w14:paraId="05B3A439"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%10</w:t>
            </w:r>
          </w:p>
        </w:tc>
        <w:tc>
          <w:tcPr>
            <w:tcW w:w="412" w:type="pct"/>
            <w:tcBorders>
              <w:top w:val="single" w:sz="4" w:space="0" w:color="auto"/>
              <w:bottom w:val="single" w:sz="4" w:space="0" w:color="auto"/>
            </w:tcBorders>
            <w:tcMar>
              <w:left w:w="57" w:type="dxa"/>
              <w:right w:w="57" w:type="dxa"/>
            </w:tcMar>
            <w:vAlign w:val="bottom"/>
          </w:tcPr>
          <w:p w14:paraId="57AFD794"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%20</w:t>
            </w:r>
          </w:p>
        </w:tc>
        <w:tc>
          <w:tcPr>
            <w:tcW w:w="412" w:type="pct"/>
            <w:tcBorders>
              <w:top w:val="single" w:sz="4" w:space="0" w:color="auto"/>
              <w:bottom w:val="single" w:sz="4" w:space="0" w:color="auto"/>
            </w:tcBorders>
            <w:tcMar>
              <w:left w:w="57" w:type="dxa"/>
              <w:right w:w="57" w:type="dxa"/>
            </w:tcMar>
            <w:vAlign w:val="bottom"/>
          </w:tcPr>
          <w:p w14:paraId="0FEE1D70"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%50.</w:t>
            </w:r>
          </w:p>
        </w:tc>
        <w:tc>
          <w:tcPr>
            <w:tcW w:w="412" w:type="pct"/>
            <w:tcBorders>
              <w:top w:val="single" w:sz="4" w:space="0" w:color="auto"/>
              <w:bottom w:val="single" w:sz="4" w:space="0" w:color="auto"/>
            </w:tcBorders>
            <w:tcMar>
              <w:left w:w="57" w:type="dxa"/>
              <w:right w:w="57" w:type="dxa"/>
            </w:tcMar>
            <w:vAlign w:val="bottom"/>
          </w:tcPr>
          <w:p w14:paraId="3CEC0EE8"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%75</w:t>
            </w:r>
          </w:p>
        </w:tc>
        <w:tc>
          <w:tcPr>
            <w:tcW w:w="412" w:type="pct"/>
            <w:tcBorders>
              <w:top w:val="single" w:sz="4" w:space="0" w:color="auto"/>
              <w:bottom w:val="single" w:sz="4" w:space="0" w:color="auto"/>
            </w:tcBorders>
            <w:tcMar>
              <w:left w:w="57" w:type="dxa"/>
              <w:right w:w="57" w:type="dxa"/>
            </w:tcMar>
            <w:vAlign w:val="bottom"/>
          </w:tcPr>
          <w:p w14:paraId="47049D1E"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%100</w:t>
            </w:r>
          </w:p>
        </w:tc>
        <w:tc>
          <w:tcPr>
            <w:tcW w:w="412" w:type="pct"/>
            <w:tcBorders>
              <w:top w:val="single" w:sz="4" w:space="0" w:color="auto"/>
              <w:bottom w:val="single" w:sz="4" w:space="0" w:color="auto"/>
            </w:tcBorders>
            <w:tcMar>
              <w:left w:w="57" w:type="dxa"/>
              <w:right w:w="57" w:type="dxa"/>
            </w:tcMar>
            <w:vAlign w:val="bottom"/>
          </w:tcPr>
          <w:p w14:paraId="170C62A4"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%150</w:t>
            </w:r>
          </w:p>
        </w:tc>
        <w:tc>
          <w:tcPr>
            <w:tcW w:w="412" w:type="pct"/>
            <w:tcBorders>
              <w:top w:val="single" w:sz="4" w:space="0" w:color="auto"/>
              <w:bottom w:val="single" w:sz="4" w:space="0" w:color="auto"/>
            </w:tcBorders>
            <w:tcMar>
              <w:left w:w="57" w:type="dxa"/>
              <w:right w:w="57" w:type="dxa"/>
            </w:tcMar>
            <w:vAlign w:val="bottom"/>
          </w:tcPr>
          <w:p w14:paraId="5130DFC8"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Diğer</w:t>
            </w:r>
          </w:p>
        </w:tc>
        <w:tc>
          <w:tcPr>
            <w:tcW w:w="400" w:type="pct"/>
            <w:tcBorders>
              <w:top w:val="single" w:sz="4" w:space="0" w:color="auto"/>
              <w:bottom w:val="single" w:sz="4" w:space="0" w:color="auto"/>
            </w:tcBorders>
            <w:tcMar>
              <w:left w:w="57" w:type="dxa"/>
              <w:right w:w="57" w:type="dxa"/>
            </w:tcMar>
            <w:vAlign w:val="bottom"/>
          </w:tcPr>
          <w:p w14:paraId="5B05C9F4" w14:textId="77777777" w:rsidR="00E036D3" w:rsidRPr="00FB38E1" w:rsidRDefault="00E036D3" w:rsidP="00836EF2">
            <w:pPr>
              <w:jc w:val="cente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 kredi riski(*)</w:t>
            </w:r>
          </w:p>
        </w:tc>
      </w:tr>
      <w:tr w:rsidR="003B7A7D" w:rsidRPr="00FB38E1" w14:paraId="5B0E166D" w14:textId="77777777" w:rsidTr="002A2DAA">
        <w:tc>
          <w:tcPr>
            <w:tcW w:w="1472" w:type="pct"/>
            <w:tcBorders>
              <w:top w:val="single" w:sz="4" w:space="0" w:color="auto"/>
              <w:bottom w:val="nil"/>
            </w:tcBorders>
            <w:tcMar>
              <w:left w:w="57" w:type="dxa"/>
              <w:right w:w="57" w:type="dxa"/>
            </w:tcMar>
          </w:tcPr>
          <w:p w14:paraId="0A6D3D6E"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Merkezi yönetimlerden veya merkez bankalarından alacaklar</w:t>
            </w:r>
          </w:p>
        </w:tc>
        <w:tc>
          <w:tcPr>
            <w:tcW w:w="357" w:type="pct"/>
            <w:tcBorders>
              <w:top w:val="single" w:sz="4" w:space="0" w:color="auto"/>
              <w:bottom w:val="nil"/>
            </w:tcBorders>
            <w:tcMar>
              <w:left w:w="57" w:type="dxa"/>
              <w:right w:w="57" w:type="dxa"/>
            </w:tcMar>
            <w:vAlign w:val="center"/>
          </w:tcPr>
          <w:p w14:paraId="1BDA5FDB" w14:textId="4E06071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4.312.133</w:t>
            </w:r>
          </w:p>
        </w:tc>
        <w:tc>
          <w:tcPr>
            <w:tcW w:w="300" w:type="pct"/>
            <w:tcBorders>
              <w:top w:val="single" w:sz="4" w:space="0" w:color="auto"/>
              <w:bottom w:val="nil"/>
            </w:tcBorders>
            <w:tcMar>
              <w:left w:w="57" w:type="dxa"/>
              <w:right w:w="57" w:type="dxa"/>
            </w:tcMar>
            <w:vAlign w:val="center"/>
          </w:tcPr>
          <w:p w14:paraId="239C258F" w14:textId="773AE3F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38599FFD" w14:textId="6DF16D2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615B79DC" w14:textId="1790DCD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0D5EDBAB" w14:textId="2BC7215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0B1DF46F" w14:textId="74D25B9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1736FA7A" w14:textId="2853CE6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single" w:sz="4" w:space="0" w:color="auto"/>
              <w:bottom w:val="nil"/>
            </w:tcBorders>
            <w:tcMar>
              <w:left w:w="57" w:type="dxa"/>
              <w:right w:w="57" w:type="dxa"/>
            </w:tcMar>
            <w:vAlign w:val="center"/>
          </w:tcPr>
          <w:p w14:paraId="3333DDFB" w14:textId="66ECE0E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Borders>
              <w:top w:val="single" w:sz="4" w:space="0" w:color="auto"/>
              <w:bottom w:val="nil"/>
            </w:tcBorders>
            <w:tcMar>
              <w:left w:w="57" w:type="dxa"/>
              <w:right w:w="57" w:type="dxa"/>
            </w:tcMar>
            <w:vAlign w:val="center"/>
          </w:tcPr>
          <w:p w14:paraId="67D7C0D8" w14:textId="62246F4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4DE5ACAE" w14:textId="77777777" w:rsidTr="002A2DAA">
        <w:tc>
          <w:tcPr>
            <w:tcW w:w="1472" w:type="pct"/>
            <w:tcBorders>
              <w:top w:val="nil"/>
            </w:tcBorders>
            <w:tcMar>
              <w:left w:w="57" w:type="dxa"/>
              <w:right w:w="57" w:type="dxa"/>
            </w:tcMar>
          </w:tcPr>
          <w:p w14:paraId="467F4C62"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Bölgesel yönetimlerden veya yerel yönetimlerden alacaklar</w:t>
            </w:r>
          </w:p>
        </w:tc>
        <w:tc>
          <w:tcPr>
            <w:tcW w:w="357" w:type="pct"/>
            <w:tcBorders>
              <w:top w:val="nil"/>
            </w:tcBorders>
            <w:tcMar>
              <w:left w:w="57" w:type="dxa"/>
              <w:right w:w="57" w:type="dxa"/>
            </w:tcMar>
            <w:vAlign w:val="center"/>
          </w:tcPr>
          <w:p w14:paraId="1CA21DF3" w14:textId="3AEE01C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Borders>
              <w:top w:val="nil"/>
            </w:tcBorders>
            <w:tcMar>
              <w:left w:w="57" w:type="dxa"/>
              <w:right w:w="57" w:type="dxa"/>
            </w:tcMar>
            <w:vAlign w:val="center"/>
          </w:tcPr>
          <w:p w14:paraId="1263BEA9" w14:textId="10C63DA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17960288" w14:textId="45BA08C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70EBEA87" w14:textId="05B2C5A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2591360E" w14:textId="69994BD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4ED3780C" w14:textId="22BD615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21B150B5" w14:textId="166497D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tcBorders>
            <w:tcMar>
              <w:left w:w="57" w:type="dxa"/>
              <w:right w:w="57" w:type="dxa"/>
            </w:tcMar>
            <w:vAlign w:val="center"/>
          </w:tcPr>
          <w:p w14:paraId="2A71FC42" w14:textId="18F9930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Borders>
              <w:top w:val="nil"/>
            </w:tcBorders>
            <w:tcMar>
              <w:left w:w="57" w:type="dxa"/>
              <w:right w:w="57" w:type="dxa"/>
            </w:tcMar>
            <w:vAlign w:val="center"/>
          </w:tcPr>
          <w:p w14:paraId="71E734E8" w14:textId="62D3DAE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2C949F96" w14:textId="77777777" w:rsidTr="002A2DAA">
        <w:tc>
          <w:tcPr>
            <w:tcW w:w="1472" w:type="pct"/>
            <w:tcMar>
              <w:left w:w="57" w:type="dxa"/>
              <w:right w:w="57" w:type="dxa"/>
            </w:tcMar>
          </w:tcPr>
          <w:p w14:paraId="7F1E678C"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İdari birimlerden ve ticari olmayan girişimlerden alacaklar</w:t>
            </w:r>
          </w:p>
        </w:tc>
        <w:tc>
          <w:tcPr>
            <w:tcW w:w="357" w:type="pct"/>
            <w:tcMar>
              <w:left w:w="57" w:type="dxa"/>
              <w:right w:w="57" w:type="dxa"/>
            </w:tcMar>
            <w:vAlign w:val="center"/>
          </w:tcPr>
          <w:p w14:paraId="4C776BFB" w14:textId="31007F1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1C765B6C" w14:textId="1C1FCE2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039DEC8B" w14:textId="0311962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5C884DB6" w14:textId="78DB63A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41A2850" w14:textId="4268AA1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A89862A" w14:textId="206F46D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8ECD1E5" w14:textId="1841255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03D39D3" w14:textId="724518B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37E02267" w14:textId="2CDEBB0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385E414A" w14:textId="77777777" w:rsidTr="002A2DAA">
        <w:tc>
          <w:tcPr>
            <w:tcW w:w="1472" w:type="pct"/>
            <w:tcMar>
              <w:left w:w="57" w:type="dxa"/>
              <w:right w:w="57" w:type="dxa"/>
            </w:tcMar>
          </w:tcPr>
          <w:p w14:paraId="5CBB12FC"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Çok taraflı kalkınma bankalarından alacaklar</w:t>
            </w:r>
          </w:p>
        </w:tc>
        <w:tc>
          <w:tcPr>
            <w:tcW w:w="357" w:type="pct"/>
            <w:tcMar>
              <w:left w:w="57" w:type="dxa"/>
              <w:right w:w="57" w:type="dxa"/>
            </w:tcMar>
            <w:vAlign w:val="center"/>
          </w:tcPr>
          <w:p w14:paraId="0FD4310E" w14:textId="5D64EE9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5A6AA1F4" w14:textId="49C7C7F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47D3EC80" w14:textId="3D2F355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824C2B1" w14:textId="1128163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54DD220" w14:textId="22FBF8D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582D697" w14:textId="52E7344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76F24D6" w14:textId="08B0A14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DE5189B" w14:textId="456B45A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58EDDDAE" w14:textId="70AFE62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6C9806D2" w14:textId="77777777" w:rsidTr="002A2DAA">
        <w:tc>
          <w:tcPr>
            <w:tcW w:w="1472" w:type="pct"/>
            <w:tcMar>
              <w:left w:w="57" w:type="dxa"/>
              <w:right w:w="57" w:type="dxa"/>
            </w:tcMar>
          </w:tcPr>
          <w:p w14:paraId="12FB8F00"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Uluslararası teşkilatlardan alacaklar</w:t>
            </w:r>
          </w:p>
        </w:tc>
        <w:tc>
          <w:tcPr>
            <w:tcW w:w="357" w:type="pct"/>
            <w:tcMar>
              <w:left w:w="57" w:type="dxa"/>
              <w:right w:w="57" w:type="dxa"/>
            </w:tcMar>
            <w:vAlign w:val="center"/>
          </w:tcPr>
          <w:p w14:paraId="57A9A1AE" w14:textId="55A712B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21AC7045" w14:textId="68FA4AB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6F5BDBA8" w14:textId="7A3D014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206BF02" w14:textId="62297E4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47DA76AF" w14:textId="3CA388D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307F1F1" w14:textId="1C54497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02D96047" w14:textId="6180A92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684F4055" w14:textId="6BCDE16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4363F418" w14:textId="4A1E715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75668E64" w14:textId="77777777" w:rsidTr="002A2DAA">
        <w:tc>
          <w:tcPr>
            <w:tcW w:w="1472" w:type="pct"/>
            <w:tcMar>
              <w:left w:w="57" w:type="dxa"/>
              <w:right w:w="57" w:type="dxa"/>
            </w:tcMar>
          </w:tcPr>
          <w:p w14:paraId="1F4A98C8"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Bankalardan ve aracı kurumlardan alacaklar</w:t>
            </w:r>
          </w:p>
        </w:tc>
        <w:tc>
          <w:tcPr>
            <w:tcW w:w="357" w:type="pct"/>
            <w:tcMar>
              <w:left w:w="57" w:type="dxa"/>
              <w:right w:w="57" w:type="dxa"/>
            </w:tcMar>
            <w:vAlign w:val="center"/>
          </w:tcPr>
          <w:p w14:paraId="0BD3F91E" w14:textId="3CFF998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5E0899D0" w14:textId="7ACC938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0B0196F5" w14:textId="76A362E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26.614.006</w:t>
            </w:r>
          </w:p>
        </w:tc>
        <w:tc>
          <w:tcPr>
            <w:tcW w:w="412" w:type="pct"/>
            <w:tcMar>
              <w:left w:w="57" w:type="dxa"/>
              <w:right w:w="57" w:type="dxa"/>
            </w:tcMar>
            <w:vAlign w:val="center"/>
          </w:tcPr>
          <w:p w14:paraId="5708F90A" w14:textId="5BB0DE3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2.718.252</w:t>
            </w:r>
          </w:p>
        </w:tc>
        <w:tc>
          <w:tcPr>
            <w:tcW w:w="412" w:type="pct"/>
            <w:tcMar>
              <w:left w:w="57" w:type="dxa"/>
              <w:right w:w="57" w:type="dxa"/>
            </w:tcMar>
            <w:vAlign w:val="center"/>
          </w:tcPr>
          <w:p w14:paraId="0E46CBC7" w14:textId="3B61F8F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4D044E49" w14:textId="3E2B6EA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46.864</w:t>
            </w:r>
          </w:p>
        </w:tc>
        <w:tc>
          <w:tcPr>
            <w:tcW w:w="412" w:type="pct"/>
            <w:tcMar>
              <w:left w:w="57" w:type="dxa"/>
              <w:right w:w="57" w:type="dxa"/>
            </w:tcMar>
            <w:vAlign w:val="center"/>
          </w:tcPr>
          <w:p w14:paraId="393C1AD1" w14:textId="70EC255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51DD84AA" w14:textId="7020C15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1.291</w:t>
            </w:r>
          </w:p>
        </w:tc>
        <w:tc>
          <w:tcPr>
            <w:tcW w:w="400" w:type="pct"/>
            <w:tcMar>
              <w:left w:w="57" w:type="dxa"/>
              <w:right w:w="57" w:type="dxa"/>
            </w:tcMar>
            <w:vAlign w:val="center"/>
          </w:tcPr>
          <w:p w14:paraId="3A374533" w14:textId="3221A19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6.728.817</w:t>
            </w:r>
          </w:p>
        </w:tc>
      </w:tr>
      <w:tr w:rsidR="003B7A7D" w:rsidRPr="00FB38E1" w14:paraId="25007B61" w14:textId="77777777" w:rsidTr="002A2DAA">
        <w:tc>
          <w:tcPr>
            <w:tcW w:w="1472" w:type="pct"/>
            <w:tcMar>
              <w:left w:w="57" w:type="dxa"/>
              <w:right w:w="57" w:type="dxa"/>
            </w:tcMar>
          </w:tcPr>
          <w:p w14:paraId="7A717C80"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Kurumsal alacaklar</w:t>
            </w:r>
          </w:p>
        </w:tc>
        <w:tc>
          <w:tcPr>
            <w:tcW w:w="357" w:type="pct"/>
            <w:tcMar>
              <w:left w:w="57" w:type="dxa"/>
              <w:right w:w="57" w:type="dxa"/>
            </w:tcMar>
            <w:vAlign w:val="center"/>
          </w:tcPr>
          <w:p w14:paraId="6EC2232C" w14:textId="7C597B6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28CC45BF" w14:textId="7F26940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F9C867B" w14:textId="22DE832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2DFEB35" w14:textId="3A87E02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134F37E2" w14:textId="0A80D5A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611F94AB" w14:textId="4A3AF3D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1.298.665</w:t>
            </w:r>
          </w:p>
        </w:tc>
        <w:tc>
          <w:tcPr>
            <w:tcW w:w="412" w:type="pct"/>
            <w:tcMar>
              <w:left w:w="57" w:type="dxa"/>
              <w:right w:w="57" w:type="dxa"/>
            </w:tcMar>
            <w:vAlign w:val="center"/>
          </w:tcPr>
          <w:p w14:paraId="13974D79" w14:textId="5314545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E83DD45" w14:textId="2CAE489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14.446</w:t>
            </w:r>
          </w:p>
        </w:tc>
        <w:tc>
          <w:tcPr>
            <w:tcW w:w="400" w:type="pct"/>
            <w:tcMar>
              <w:left w:w="57" w:type="dxa"/>
              <w:right w:w="57" w:type="dxa"/>
            </w:tcMar>
            <w:vAlign w:val="center"/>
          </w:tcPr>
          <w:p w14:paraId="13CC7064" w14:textId="494CB92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1.370.895</w:t>
            </w:r>
          </w:p>
        </w:tc>
      </w:tr>
      <w:tr w:rsidR="003B7A7D" w:rsidRPr="00FB38E1" w14:paraId="0964FAE2" w14:textId="77777777" w:rsidTr="002A2DAA">
        <w:tc>
          <w:tcPr>
            <w:tcW w:w="1472" w:type="pct"/>
            <w:tcMar>
              <w:left w:w="57" w:type="dxa"/>
              <w:right w:w="57" w:type="dxa"/>
            </w:tcMar>
          </w:tcPr>
          <w:p w14:paraId="1E8A03EB"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Perakende alacaklar</w:t>
            </w:r>
          </w:p>
        </w:tc>
        <w:tc>
          <w:tcPr>
            <w:tcW w:w="357" w:type="pct"/>
            <w:tcMar>
              <w:left w:w="57" w:type="dxa"/>
              <w:right w:w="57" w:type="dxa"/>
            </w:tcMar>
            <w:vAlign w:val="center"/>
          </w:tcPr>
          <w:p w14:paraId="2FC51362" w14:textId="12D6992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3685553E" w14:textId="7DF1F23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423FFAB" w14:textId="0FE12D7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64141C49" w14:textId="27D02F5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28DFC33" w14:textId="693012C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66.839</w:t>
            </w:r>
          </w:p>
        </w:tc>
        <w:tc>
          <w:tcPr>
            <w:tcW w:w="412" w:type="pct"/>
            <w:tcMar>
              <w:left w:w="57" w:type="dxa"/>
              <w:right w:w="57" w:type="dxa"/>
            </w:tcMar>
            <w:vAlign w:val="center"/>
          </w:tcPr>
          <w:p w14:paraId="4C112F02" w14:textId="5D7C79C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4A452A94" w14:textId="4FEE390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5A7F5B36" w14:textId="47B427F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62DB1296" w14:textId="5321B4E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50.129</w:t>
            </w:r>
          </w:p>
        </w:tc>
      </w:tr>
      <w:tr w:rsidR="003B7A7D" w:rsidRPr="00FB38E1" w14:paraId="33665A10" w14:textId="77777777" w:rsidTr="002A2DAA">
        <w:tc>
          <w:tcPr>
            <w:tcW w:w="1472" w:type="pct"/>
            <w:tcMar>
              <w:left w:w="57" w:type="dxa"/>
              <w:right w:w="57" w:type="dxa"/>
            </w:tcMar>
          </w:tcPr>
          <w:p w14:paraId="01F96348"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Gayrimenkul ipoteği ile teminatlandırılmış alacaklar</w:t>
            </w:r>
          </w:p>
        </w:tc>
        <w:tc>
          <w:tcPr>
            <w:tcW w:w="357" w:type="pct"/>
            <w:tcMar>
              <w:left w:w="57" w:type="dxa"/>
              <w:right w:w="57" w:type="dxa"/>
            </w:tcMar>
            <w:vAlign w:val="center"/>
          </w:tcPr>
          <w:p w14:paraId="576276F4" w14:textId="6193315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777A5883" w14:textId="2BCEC5A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BA2A3AF" w14:textId="34A67FA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196E416D" w14:textId="1B5A3B7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5D0A5B3" w14:textId="47E01A3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0719939" w14:textId="3663B93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410FE757" w14:textId="7431201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1A2AC0F6" w14:textId="6E1AF94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7539545D" w14:textId="0925D6C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384C7F26" w14:textId="77777777" w:rsidTr="002A2DAA">
        <w:tc>
          <w:tcPr>
            <w:tcW w:w="1472" w:type="pct"/>
            <w:tcMar>
              <w:left w:w="57" w:type="dxa"/>
              <w:right w:w="57" w:type="dxa"/>
            </w:tcMar>
          </w:tcPr>
          <w:p w14:paraId="7899EF67"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Tahsili gecikmiş alacaklar</w:t>
            </w:r>
          </w:p>
        </w:tc>
        <w:tc>
          <w:tcPr>
            <w:tcW w:w="357" w:type="pct"/>
            <w:tcMar>
              <w:left w:w="57" w:type="dxa"/>
              <w:right w:w="57" w:type="dxa"/>
            </w:tcMar>
            <w:vAlign w:val="center"/>
          </w:tcPr>
          <w:p w14:paraId="44822938" w14:textId="2585E27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50742B46" w14:textId="014F981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13AD05C8" w14:textId="0FA4D0D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6FC38BF7" w14:textId="3CE8BA9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BDD796B" w14:textId="2EFD699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A87CCEC" w14:textId="6736BBE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06CD456A" w14:textId="6A79543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0BECB885" w14:textId="64682AF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136F84F6" w14:textId="6523B62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64818175" w14:textId="77777777" w:rsidTr="002A2DAA">
        <w:tc>
          <w:tcPr>
            <w:tcW w:w="1472" w:type="pct"/>
            <w:tcMar>
              <w:left w:w="57" w:type="dxa"/>
              <w:right w:w="57" w:type="dxa"/>
            </w:tcMar>
          </w:tcPr>
          <w:p w14:paraId="69B6ADF8"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Kurulca riski yüksek belirlenmiş alacaklar</w:t>
            </w:r>
          </w:p>
        </w:tc>
        <w:tc>
          <w:tcPr>
            <w:tcW w:w="357" w:type="pct"/>
            <w:tcMar>
              <w:left w:w="57" w:type="dxa"/>
              <w:right w:w="57" w:type="dxa"/>
            </w:tcMar>
            <w:vAlign w:val="center"/>
          </w:tcPr>
          <w:p w14:paraId="203CE2C8" w14:textId="40F4BBB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5AD4C468" w14:textId="4460826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F7FBB00" w14:textId="7B3CB4C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5235B415" w14:textId="56CEEBA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14A7599" w14:textId="35C4DB4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508E64F8" w14:textId="35A74D4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01C457A3" w14:textId="0DA8435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6462BE03" w14:textId="62906F0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3B2062F7" w14:textId="41871E0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2AA12960" w14:textId="77777777" w:rsidTr="002A2DAA">
        <w:tc>
          <w:tcPr>
            <w:tcW w:w="1472" w:type="pct"/>
            <w:tcMar>
              <w:left w:w="57" w:type="dxa"/>
              <w:right w:w="57" w:type="dxa"/>
            </w:tcMar>
          </w:tcPr>
          <w:p w14:paraId="57505CA4"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İpotek teminatlı menkul kıymetler</w:t>
            </w:r>
          </w:p>
        </w:tc>
        <w:tc>
          <w:tcPr>
            <w:tcW w:w="357" w:type="pct"/>
            <w:tcMar>
              <w:left w:w="57" w:type="dxa"/>
              <w:right w:w="57" w:type="dxa"/>
            </w:tcMar>
            <w:vAlign w:val="center"/>
          </w:tcPr>
          <w:p w14:paraId="40FED213" w14:textId="12977F2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0ACDFC38" w14:textId="707CB46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1B51B79A" w14:textId="42EFAA5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8FD5ED2" w14:textId="00B47F5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1B2B69E5" w14:textId="6F47338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6B8A343B" w14:textId="726609B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002A48F" w14:textId="4CFB275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06FD5CB" w14:textId="3CF84DD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0D69B067" w14:textId="50AF776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477F3FDE" w14:textId="77777777" w:rsidTr="002A2DAA">
        <w:tc>
          <w:tcPr>
            <w:tcW w:w="1472" w:type="pct"/>
            <w:tcMar>
              <w:left w:w="57" w:type="dxa"/>
              <w:right w:w="57" w:type="dxa"/>
            </w:tcMar>
          </w:tcPr>
          <w:p w14:paraId="03BD0612"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Menkul kıymetleştirme pozisyonları</w:t>
            </w:r>
          </w:p>
        </w:tc>
        <w:tc>
          <w:tcPr>
            <w:tcW w:w="357" w:type="pct"/>
            <w:tcMar>
              <w:left w:w="57" w:type="dxa"/>
              <w:right w:w="57" w:type="dxa"/>
            </w:tcMar>
            <w:vAlign w:val="center"/>
          </w:tcPr>
          <w:p w14:paraId="059E8AE1" w14:textId="397584D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2E427EE7" w14:textId="6308C29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480B415A" w14:textId="5BD8435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2D706F0" w14:textId="66CC821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E321EF2" w14:textId="3D5E434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3DA0A33" w14:textId="0AB6293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7EC609A9" w14:textId="5F65008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0E6D8F02" w14:textId="3D3FD63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1C1407E3" w14:textId="19568C9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04BE0D2E" w14:textId="77777777" w:rsidTr="002A2DAA">
        <w:tc>
          <w:tcPr>
            <w:tcW w:w="1472" w:type="pct"/>
            <w:tcMar>
              <w:left w:w="57" w:type="dxa"/>
              <w:right w:w="57" w:type="dxa"/>
            </w:tcMar>
          </w:tcPr>
          <w:p w14:paraId="77C20E86"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Kısa vadeli kredi derecelendirmesi bulunan bankalar ve aracı kurumlardan alacaklar ile kurumsal alacaklar</w:t>
            </w:r>
          </w:p>
        </w:tc>
        <w:tc>
          <w:tcPr>
            <w:tcW w:w="357" w:type="pct"/>
            <w:tcMar>
              <w:left w:w="57" w:type="dxa"/>
              <w:right w:w="57" w:type="dxa"/>
            </w:tcMar>
            <w:vAlign w:val="center"/>
          </w:tcPr>
          <w:p w14:paraId="6AB41394" w14:textId="099C425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195FF9FF" w14:textId="171680A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12066E53" w14:textId="57EAC34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1BC332F5" w14:textId="25518F6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A869B73" w14:textId="047AED3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09065855" w14:textId="4231B74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53776847" w14:textId="543794F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6E85CDD" w14:textId="0731B4B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3B3F416F" w14:textId="098F78A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101CB8FD" w14:textId="77777777" w:rsidTr="002A2DAA">
        <w:tc>
          <w:tcPr>
            <w:tcW w:w="1472" w:type="pct"/>
            <w:tcMar>
              <w:left w:w="57" w:type="dxa"/>
              <w:right w:w="57" w:type="dxa"/>
            </w:tcMar>
          </w:tcPr>
          <w:p w14:paraId="0A0C46A0"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Kollektif yatırım kuruluşu niteliğindeki yatırımlar</w:t>
            </w:r>
          </w:p>
        </w:tc>
        <w:tc>
          <w:tcPr>
            <w:tcW w:w="357" w:type="pct"/>
            <w:tcMar>
              <w:left w:w="57" w:type="dxa"/>
              <w:right w:w="57" w:type="dxa"/>
            </w:tcMar>
            <w:vAlign w:val="center"/>
          </w:tcPr>
          <w:p w14:paraId="13FE2259" w14:textId="0BC4ABE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Mar>
              <w:left w:w="57" w:type="dxa"/>
              <w:right w:w="57" w:type="dxa"/>
            </w:tcMar>
            <w:vAlign w:val="center"/>
          </w:tcPr>
          <w:p w14:paraId="177868FB" w14:textId="6DC63B3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016024F4" w14:textId="7D98E07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607647DB" w14:textId="38C61E1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34AF84A3" w14:textId="3706F1B9"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4C802B9E" w14:textId="1DE22D5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292</w:t>
            </w:r>
          </w:p>
        </w:tc>
        <w:tc>
          <w:tcPr>
            <w:tcW w:w="412" w:type="pct"/>
            <w:tcMar>
              <w:left w:w="57" w:type="dxa"/>
              <w:right w:w="57" w:type="dxa"/>
            </w:tcMar>
            <w:vAlign w:val="center"/>
          </w:tcPr>
          <w:p w14:paraId="6C163466" w14:textId="7444919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Mar>
              <w:left w:w="57" w:type="dxa"/>
              <w:right w:w="57" w:type="dxa"/>
            </w:tcMar>
            <w:vAlign w:val="center"/>
          </w:tcPr>
          <w:p w14:paraId="2AE50B64" w14:textId="025AC87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Mar>
              <w:left w:w="57" w:type="dxa"/>
              <w:right w:w="57" w:type="dxa"/>
            </w:tcMar>
            <w:vAlign w:val="center"/>
          </w:tcPr>
          <w:p w14:paraId="2FF2C92E" w14:textId="6937B26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292</w:t>
            </w:r>
          </w:p>
        </w:tc>
      </w:tr>
      <w:tr w:rsidR="003B7A7D" w:rsidRPr="00FB38E1" w14:paraId="29F193DE" w14:textId="77777777" w:rsidTr="002A2DAA">
        <w:tc>
          <w:tcPr>
            <w:tcW w:w="1472" w:type="pct"/>
            <w:tcBorders>
              <w:bottom w:val="nil"/>
            </w:tcBorders>
            <w:tcMar>
              <w:left w:w="57" w:type="dxa"/>
              <w:right w:w="57" w:type="dxa"/>
            </w:tcMar>
          </w:tcPr>
          <w:p w14:paraId="38F17C21"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Hisse senedi yatırımları</w:t>
            </w:r>
          </w:p>
        </w:tc>
        <w:tc>
          <w:tcPr>
            <w:tcW w:w="357" w:type="pct"/>
            <w:tcBorders>
              <w:bottom w:val="nil"/>
            </w:tcBorders>
            <w:tcMar>
              <w:left w:w="57" w:type="dxa"/>
              <w:right w:w="57" w:type="dxa"/>
            </w:tcMar>
            <w:vAlign w:val="center"/>
          </w:tcPr>
          <w:p w14:paraId="2333DD00" w14:textId="5532143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Borders>
              <w:bottom w:val="nil"/>
            </w:tcBorders>
            <w:tcMar>
              <w:left w:w="57" w:type="dxa"/>
              <w:right w:w="57" w:type="dxa"/>
            </w:tcMar>
            <w:vAlign w:val="center"/>
          </w:tcPr>
          <w:p w14:paraId="17B208C4" w14:textId="47CEC55E"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240710C9" w14:textId="795023C8"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3E1BB0BB" w14:textId="62A40DE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4757DB3D" w14:textId="6C87ABE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10827CD1" w14:textId="7CDBF687"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78FB269A" w14:textId="59CD13C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bottom w:val="nil"/>
            </w:tcBorders>
            <w:tcMar>
              <w:left w:w="57" w:type="dxa"/>
              <w:right w:w="57" w:type="dxa"/>
            </w:tcMar>
            <w:vAlign w:val="center"/>
          </w:tcPr>
          <w:p w14:paraId="5604E97D" w14:textId="5D74499C"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Borders>
              <w:bottom w:val="nil"/>
            </w:tcBorders>
            <w:tcMar>
              <w:left w:w="57" w:type="dxa"/>
              <w:right w:w="57" w:type="dxa"/>
            </w:tcMar>
            <w:vAlign w:val="center"/>
          </w:tcPr>
          <w:p w14:paraId="157E50E1" w14:textId="0C62105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561D58E2" w14:textId="77777777" w:rsidTr="002A2DAA">
        <w:tc>
          <w:tcPr>
            <w:tcW w:w="1472" w:type="pct"/>
            <w:tcBorders>
              <w:top w:val="nil"/>
              <w:bottom w:val="nil"/>
            </w:tcBorders>
            <w:tcMar>
              <w:left w:w="57" w:type="dxa"/>
              <w:right w:w="57" w:type="dxa"/>
            </w:tcMar>
          </w:tcPr>
          <w:p w14:paraId="33C2741B"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Diğer alacaklar</w:t>
            </w:r>
          </w:p>
        </w:tc>
        <w:tc>
          <w:tcPr>
            <w:tcW w:w="357" w:type="pct"/>
            <w:tcBorders>
              <w:top w:val="nil"/>
              <w:bottom w:val="nil"/>
            </w:tcBorders>
            <w:tcMar>
              <w:left w:w="57" w:type="dxa"/>
              <w:right w:w="57" w:type="dxa"/>
            </w:tcMar>
            <w:vAlign w:val="center"/>
          </w:tcPr>
          <w:p w14:paraId="45ECFC16" w14:textId="05381C9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Borders>
              <w:top w:val="nil"/>
              <w:bottom w:val="nil"/>
            </w:tcBorders>
            <w:tcMar>
              <w:left w:w="57" w:type="dxa"/>
              <w:right w:w="57" w:type="dxa"/>
            </w:tcMar>
            <w:vAlign w:val="center"/>
          </w:tcPr>
          <w:p w14:paraId="2F8FAE63" w14:textId="069E08D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3621D000" w14:textId="2C223A9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4A356724" w14:textId="1AFE86CF"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7DC2B36E" w14:textId="0EE6AC73"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316A7D9F" w14:textId="3C89174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5D61FD93" w14:textId="43D6DFF6"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nil"/>
            </w:tcBorders>
            <w:tcMar>
              <w:left w:w="57" w:type="dxa"/>
              <w:right w:w="57" w:type="dxa"/>
            </w:tcMar>
            <w:vAlign w:val="center"/>
          </w:tcPr>
          <w:p w14:paraId="1349CED1" w14:textId="265B4145"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Borders>
              <w:top w:val="nil"/>
              <w:bottom w:val="nil"/>
            </w:tcBorders>
            <w:tcMar>
              <w:left w:w="57" w:type="dxa"/>
              <w:right w:w="57" w:type="dxa"/>
            </w:tcMar>
            <w:vAlign w:val="center"/>
          </w:tcPr>
          <w:p w14:paraId="118FD64F" w14:textId="5D6AE574"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4F26AECF" w14:textId="77777777" w:rsidTr="002A2DAA">
        <w:tc>
          <w:tcPr>
            <w:tcW w:w="1472" w:type="pct"/>
            <w:tcBorders>
              <w:top w:val="nil"/>
              <w:bottom w:val="single" w:sz="4" w:space="0" w:color="auto"/>
            </w:tcBorders>
            <w:tcMar>
              <w:left w:w="57" w:type="dxa"/>
              <w:right w:w="57" w:type="dxa"/>
            </w:tcMar>
          </w:tcPr>
          <w:p w14:paraId="3EE7BB2E" w14:textId="77777777" w:rsidR="003B7A7D" w:rsidRPr="00FB38E1" w:rsidRDefault="003B7A7D" w:rsidP="00667438">
            <w:pPr>
              <w:jc w:val="left"/>
              <w:rPr>
                <w:rFonts w:ascii="Microsoft Sans Serif" w:hAnsi="Microsoft Sans Serif" w:cs="Microsoft Sans Serif"/>
                <w:color w:val="404040" w:themeColor="text1" w:themeTint="BF"/>
                <w:sz w:val="12"/>
                <w:szCs w:val="12"/>
              </w:rPr>
            </w:pPr>
            <w:r w:rsidRPr="00FB38E1">
              <w:rPr>
                <w:rFonts w:ascii="Microsoft Sans Serif" w:hAnsi="Microsoft Sans Serif" w:cs="Microsoft Sans Serif"/>
                <w:color w:val="404040" w:themeColor="text1" w:themeTint="BF"/>
                <w:sz w:val="12"/>
                <w:szCs w:val="12"/>
              </w:rPr>
              <w:t>Diğer varlıklar (**)</w:t>
            </w:r>
          </w:p>
        </w:tc>
        <w:tc>
          <w:tcPr>
            <w:tcW w:w="357" w:type="pct"/>
            <w:tcBorders>
              <w:top w:val="nil"/>
              <w:bottom w:val="single" w:sz="4" w:space="0" w:color="auto"/>
            </w:tcBorders>
            <w:tcMar>
              <w:left w:w="57" w:type="dxa"/>
              <w:right w:w="57" w:type="dxa"/>
            </w:tcMar>
            <w:vAlign w:val="center"/>
          </w:tcPr>
          <w:p w14:paraId="5B04AED3" w14:textId="14D6FDD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300" w:type="pct"/>
            <w:tcBorders>
              <w:top w:val="nil"/>
              <w:bottom w:val="single" w:sz="4" w:space="0" w:color="auto"/>
            </w:tcBorders>
            <w:tcMar>
              <w:left w:w="57" w:type="dxa"/>
              <w:right w:w="57" w:type="dxa"/>
            </w:tcMar>
            <w:vAlign w:val="center"/>
          </w:tcPr>
          <w:p w14:paraId="5DB3A9B2" w14:textId="12A67B1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5081F1B9" w14:textId="098320D2"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24231ACE" w14:textId="302EA43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71C80715" w14:textId="518888AD"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21C49DF4" w14:textId="045E0F0B"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0EEC4DB8" w14:textId="1E0B2B91"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12" w:type="pct"/>
            <w:tcBorders>
              <w:top w:val="nil"/>
              <w:bottom w:val="single" w:sz="4" w:space="0" w:color="auto"/>
            </w:tcBorders>
            <w:tcMar>
              <w:left w:w="57" w:type="dxa"/>
              <w:right w:w="57" w:type="dxa"/>
            </w:tcMar>
            <w:vAlign w:val="center"/>
          </w:tcPr>
          <w:p w14:paraId="1A6E488A" w14:textId="7E86162A"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c>
          <w:tcPr>
            <w:tcW w:w="400" w:type="pct"/>
            <w:tcBorders>
              <w:top w:val="nil"/>
              <w:bottom w:val="single" w:sz="4" w:space="0" w:color="auto"/>
            </w:tcBorders>
            <w:tcMar>
              <w:left w:w="57" w:type="dxa"/>
              <w:right w:w="57" w:type="dxa"/>
            </w:tcMar>
            <w:vAlign w:val="center"/>
          </w:tcPr>
          <w:p w14:paraId="13E18E8F" w14:textId="0AAEA950" w:rsidR="003B7A7D" w:rsidRPr="00FB38E1" w:rsidRDefault="003B7A7D" w:rsidP="003B7A7D">
            <w:pPr>
              <w:jc w:val="right"/>
              <w:rPr>
                <w:rFonts w:ascii="Microsoft Sans Serif" w:hAnsi="Microsoft Sans Serif" w:cs="Microsoft Sans Serif"/>
                <w:color w:val="404040"/>
                <w:sz w:val="12"/>
                <w:szCs w:val="12"/>
              </w:rPr>
            </w:pPr>
            <w:r w:rsidRPr="00FB38E1">
              <w:rPr>
                <w:rFonts w:ascii="Microsoft Sans Serif" w:hAnsi="Microsoft Sans Serif" w:cs="Microsoft Sans Serif"/>
                <w:color w:val="404040"/>
                <w:sz w:val="12"/>
                <w:szCs w:val="12"/>
              </w:rPr>
              <w:t>--</w:t>
            </w:r>
          </w:p>
        </w:tc>
      </w:tr>
      <w:tr w:rsidR="003B7A7D" w:rsidRPr="00FB38E1" w14:paraId="39728531" w14:textId="77777777" w:rsidTr="002A2DAA">
        <w:tc>
          <w:tcPr>
            <w:tcW w:w="1472" w:type="pct"/>
            <w:tcBorders>
              <w:top w:val="single" w:sz="4" w:space="0" w:color="auto"/>
              <w:bottom w:val="thickThinSmallGap" w:sz="24" w:space="0" w:color="auto"/>
            </w:tcBorders>
            <w:tcMar>
              <w:left w:w="57" w:type="dxa"/>
              <w:right w:w="57" w:type="dxa"/>
            </w:tcMar>
          </w:tcPr>
          <w:p w14:paraId="1A0D1125" w14:textId="77777777" w:rsidR="003B7A7D" w:rsidRPr="00FB38E1" w:rsidRDefault="003B7A7D" w:rsidP="003B7A7D">
            <w:pPr>
              <w:rPr>
                <w:rFonts w:ascii="Microsoft Sans Serif" w:hAnsi="Microsoft Sans Serif" w:cs="Microsoft Sans Serif"/>
                <w:b/>
                <w:sz w:val="12"/>
                <w:szCs w:val="12"/>
              </w:rPr>
            </w:pPr>
            <w:r w:rsidRPr="00FB38E1">
              <w:rPr>
                <w:rFonts w:ascii="Microsoft Sans Serif" w:hAnsi="Microsoft Sans Serif" w:cs="Microsoft Sans Serif"/>
                <w:b/>
                <w:sz w:val="12"/>
                <w:szCs w:val="12"/>
              </w:rPr>
              <w:t>Toplam</w:t>
            </w:r>
          </w:p>
        </w:tc>
        <w:tc>
          <w:tcPr>
            <w:tcW w:w="357" w:type="pct"/>
            <w:tcBorders>
              <w:top w:val="single" w:sz="4" w:space="0" w:color="auto"/>
              <w:bottom w:val="thickThinSmallGap" w:sz="24" w:space="0" w:color="auto"/>
            </w:tcBorders>
            <w:tcMar>
              <w:left w:w="57" w:type="dxa"/>
              <w:right w:w="57" w:type="dxa"/>
            </w:tcMar>
            <w:vAlign w:val="center"/>
          </w:tcPr>
          <w:p w14:paraId="02577909" w14:textId="0918ACB5"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4.312.133</w:t>
            </w:r>
          </w:p>
        </w:tc>
        <w:tc>
          <w:tcPr>
            <w:tcW w:w="300" w:type="pct"/>
            <w:tcBorders>
              <w:top w:val="single" w:sz="4" w:space="0" w:color="auto"/>
              <w:bottom w:val="thickThinSmallGap" w:sz="24" w:space="0" w:color="auto"/>
            </w:tcBorders>
            <w:tcMar>
              <w:left w:w="57" w:type="dxa"/>
              <w:right w:w="57" w:type="dxa"/>
            </w:tcMar>
            <w:vAlign w:val="center"/>
          </w:tcPr>
          <w:p w14:paraId="70CAF169" w14:textId="107CA4A5"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349C2A41" w14:textId="5947325E"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26.614.006</w:t>
            </w:r>
          </w:p>
        </w:tc>
        <w:tc>
          <w:tcPr>
            <w:tcW w:w="412" w:type="pct"/>
            <w:tcBorders>
              <w:top w:val="single" w:sz="4" w:space="0" w:color="auto"/>
              <w:bottom w:val="thickThinSmallGap" w:sz="24" w:space="0" w:color="auto"/>
            </w:tcBorders>
            <w:tcMar>
              <w:left w:w="57" w:type="dxa"/>
              <w:right w:w="57" w:type="dxa"/>
            </w:tcMar>
            <w:vAlign w:val="center"/>
          </w:tcPr>
          <w:p w14:paraId="660DD9C0" w14:textId="6E3F62CC"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2.718.252</w:t>
            </w:r>
          </w:p>
        </w:tc>
        <w:tc>
          <w:tcPr>
            <w:tcW w:w="412" w:type="pct"/>
            <w:tcBorders>
              <w:top w:val="single" w:sz="4" w:space="0" w:color="auto"/>
              <w:bottom w:val="thickThinSmallGap" w:sz="24" w:space="0" w:color="auto"/>
            </w:tcBorders>
            <w:tcMar>
              <w:left w:w="57" w:type="dxa"/>
              <w:right w:w="57" w:type="dxa"/>
            </w:tcMar>
            <w:vAlign w:val="center"/>
          </w:tcPr>
          <w:p w14:paraId="3C67884C" w14:textId="6A7D4D65"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66.839</w:t>
            </w:r>
          </w:p>
        </w:tc>
        <w:tc>
          <w:tcPr>
            <w:tcW w:w="412" w:type="pct"/>
            <w:tcBorders>
              <w:top w:val="single" w:sz="4" w:space="0" w:color="auto"/>
              <w:bottom w:val="thickThinSmallGap" w:sz="24" w:space="0" w:color="auto"/>
            </w:tcBorders>
            <w:tcMar>
              <w:left w:w="57" w:type="dxa"/>
              <w:right w:w="57" w:type="dxa"/>
            </w:tcMar>
            <w:vAlign w:val="center"/>
          </w:tcPr>
          <w:p w14:paraId="6AE49483" w14:textId="2EC2BF00"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1.345.821</w:t>
            </w:r>
          </w:p>
        </w:tc>
        <w:tc>
          <w:tcPr>
            <w:tcW w:w="412" w:type="pct"/>
            <w:tcBorders>
              <w:top w:val="single" w:sz="4" w:space="0" w:color="auto"/>
              <w:bottom w:val="thickThinSmallGap" w:sz="24" w:space="0" w:color="auto"/>
            </w:tcBorders>
            <w:tcMar>
              <w:left w:w="57" w:type="dxa"/>
              <w:right w:w="57" w:type="dxa"/>
            </w:tcMar>
            <w:vAlign w:val="center"/>
          </w:tcPr>
          <w:p w14:paraId="5E225BAD" w14:textId="52F9584E"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w:t>
            </w:r>
          </w:p>
        </w:tc>
        <w:tc>
          <w:tcPr>
            <w:tcW w:w="412" w:type="pct"/>
            <w:tcBorders>
              <w:top w:val="single" w:sz="4" w:space="0" w:color="auto"/>
              <w:bottom w:val="thickThinSmallGap" w:sz="24" w:space="0" w:color="auto"/>
            </w:tcBorders>
            <w:tcMar>
              <w:left w:w="57" w:type="dxa"/>
              <w:right w:w="57" w:type="dxa"/>
            </w:tcMar>
            <w:vAlign w:val="center"/>
          </w:tcPr>
          <w:p w14:paraId="6723DFE0" w14:textId="7F11CC0B"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15.737</w:t>
            </w:r>
          </w:p>
        </w:tc>
        <w:tc>
          <w:tcPr>
            <w:tcW w:w="400" w:type="pct"/>
            <w:tcBorders>
              <w:top w:val="single" w:sz="4" w:space="0" w:color="auto"/>
              <w:bottom w:val="thickThinSmallGap" w:sz="24" w:space="0" w:color="auto"/>
            </w:tcBorders>
            <w:tcMar>
              <w:left w:w="57" w:type="dxa"/>
              <w:right w:w="57" w:type="dxa"/>
            </w:tcMar>
            <w:vAlign w:val="center"/>
          </w:tcPr>
          <w:p w14:paraId="66508105" w14:textId="38B9CF09" w:rsidR="003B7A7D" w:rsidRPr="00FB38E1" w:rsidRDefault="003B7A7D" w:rsidP="003B7A7D">
            <w:pPr>
              <w:jc w:val="right"/>
              <w:rPr>
                <w:rFonts w:ascii="Microsoft Sans Serif" w:hAnsi="Microsoft Sans Serif" w:cs="Microsoft Sans Serif"/>
                <w:b/>
                <w:bCs/>
                <w:sz w:val="12"/>
                <w:szCs w:val="12"/>
              </w:rPr>
            </w:pPr>
            <w:r w:rsidRPr="00FB38E1">
              <w:rPr>
                <w:rFonts w:ascii="Microsoft Sans Serif" w:hAnsi="Microsoft Sans Serif" w:cs="Microsoft Sans Serif"/>
                <w:b/>
                <w:bCs/>
                <w:sz w:val="12"/>
                <w:szCs w:val="12"/>
              </w:rPr>
              <w:t>8.150.133</w:t>
            </w:r>
          </w:p>
        </w:tc>
      </w:tr>
    </w:tbl>
    <w:p w14:paraId="796C839C" w14:textId="77777777" w:rsidR="00E036D3" w:rsidRPr="00FB38E1" w:rsidRDefault="00E036D3" w:rsidP="00E036D3">
      <w:pPr>
        <w:spacing w:after="0" w:line="240" w:lineRule="exac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xml:space="preserve"> (*) Toplam kredi riski: Karşı taraf kredi riski ölçüm teknikleri uygulandıktan sonra sermaye yeterliliği hesaplamasıyla ilgili olan tutar</w:t>
      </w:r>
    </w:p>
    <w:p w14:paraId="5301FD91" w14:textId="77777777" w:rsidR="00E036D3" w:rsidRPr="00FB38E1" w:rsidRDefault="00E036D3" w:rsidP="00E036D3">
      <w:pPr>
        <w:pStyle w:val="ListParagraph"/>
        <w:spacing w:after="120"/>
        <w:ind w:left="0"/>
        <w:contextualSpacing w:val="0"/>
        <w:rPr>
          <w:rFonts w:ascii="Microsoft Sans Serif" w:hAnsi="Microsoft Sans Serif" w:cs="Microsoft Sans Serif"/>
          <w:b/>
          <w:sz w:val="20"/>
          <w:szCs w:val="20"/>
        </w:rPr>
      </w:pPr>
      <w:r w:rsidRPr="00FB38E1">
        <w:rPr>
          <w:rFonts w:ascii="Microsoft Sans Serif" w:hAnsi="Microsoft Sans Serif" w:cs="Microsoft Sans Serif"/>
          <w:color w:val="404040" w:themeColor="text1" w:themeTint="BF"/>
          <w:sz w:val="14"/>
          <w:szCs w:val="14"/>
        </w:rPr>
        <w:t>(**) Diğer varlıklar : Şablon KKR8’de raporlanan karşı taraf kredi riski içinde yer almayan miktarları içerir.</w:t>
      </w:r>
    </w:p>
    <w:p w14:paraId="0E69944C" w14:textId="77777777" w:rsidR="00E036D3" w:rsidRPr="00FB38E1" w:rsidRDefault="00E036D3" w:rsidP="00364B59">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Karşı taraf kredi riski için kullanılan teminatlar (KKR)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088"/>
        <w:gridCol w:w="1087"/>
        <w:gridCol w:w="1087"/>
        <w:gridCol w:w="1087"/>
        <w:gridCol w:w="1006"/>
        <w:gridCol w:w="1166"/>
      </w:tblGrid>
      <w:tr w:rsidR="00E036D3" w:rsidRPr="00FB38E1" w14:paraId="0D81D6DB" w14:textId="77777777" w:rsidTr="00836EF2">
        <w:tc>
          <w:tcPr>
            <w:tcW w:w="1617" w:type="pct"/>
            <w:tcMar>
              <w:left w:w="57" w:type="dxa"/>
              <w:right w:w="57" w:type="dxa"/>
            </w:tcMar>
          </w:tcPr>
          <w:p w14:paraId="036ADB50" w14:textId="77777777" w:rsidR="00E036D3" w:rsidRPr="00FB38E1" w:rsidRDefault="00E036D3" w:rsidP="00836EF2">
            <w:pPr>
              <w:rPr>
                <w:rFonts w:ascii="Microsoft Sans Serif" w:hAnsi="Microsoft Sans Serif" w:cs="Microsoft Sans Serif"/>
                <w:sz w:val="16"/>
                <w:szCs w:val="16"/>
              </w:rPr>
            </w:pPr>
          </w:p>
        </w:tc>
        <w:tc>
          <w:tcPr>
            <w:tcW w:w="564" w:type="pct"/>
            <w:tcBorders>
              <w:top w:val="thinThickSmallGap" w:sz="24" w:space="0" w:color="auto"/>
              <w:bottom w:val="single" w:sz="4" w:space="0" w:color="auto"/>
            </w:tcBorders>
            <w:tcMar>
              <w:left w:w="57" w:type="dxa"/>
              <w:right w:w="57" w:type="dxa"/>
            </w:tcMar>
          </w:tcPr>
          <w:p w14:paraId="356C4C47"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564" w:type="pct"/>
            <w:tcBorders>
              <w:top w:val="thinThickSmallGap" w:sz="24" w:space="0" w:color="auto"/>
              <w:bottom w:val="single" w:sz="4" w:space="0" w:color="auto"/>
            </w:tcBorders>
            <w:tcMar>
              <w:left w:w="57" w:type="dxa"/>
              <w:right w:w="57" w:type="dxa"/>
            </w:tcMar>
          </w:tcPr>
          <w:p w14:paraId="16B70CD2"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c>
          <w:tcPr>
            <w:tcW w:w="564" w:type="pct"/>
            <w:tcBorders>
              <w:top w:val="thinThickSmallGap" w:sz="24" w:space="0" w:color="auto"/>
              <w:bottom w:val="single" w:sz="4" w:space="0" w:color="auto"/>
            </w:tcBorders>
            <w:tcMar>
              <w:left w:w="57" w:type="dxa"/>
              <w:right w:w="57" w:type="dxa"/>
            </w:tcMar>
          </w:tcPr>
          <w:p w14:paraId="0773A3A4"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c</w:t>
            </w:r>
          </w:p>
        </w:tc>
        <w:tc>
          <w:tcPr>
            <w:tcW w:w="564" w:type="pct"/>
            <w:tcBorders>
              <w:top w:val="thinThickSmallGap" w:sz="24" w:space="0" w:color="auto"/>
              <w:bottom w:val="single" w:sz="4" w:space="0" w:color="auto"/>
            </w:tcBorders>
            <w:tcMar>
              <w:left w:w="57" w:type="dxa"/>
              <w:right w:w="57" w:type="dxa"/>
            </w:tcMar>
          </w:tcPr>
          <w:p w14:paraId="7A598BC3"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w:t>
            </w:r>
          </w:p>
        </w:tc>
        <w:tc>
          <w:tcPr>
            <w:tcW w:w="522" w:type="pct"/>
            <w:tcBorders>
              <w:top w:val="thinThickSmallGap" w:sz="24" w:space="0" w:color="auto"/>
              <w:bottom w:val="single" w:sz="4" w:space="0" w:color="auto"/>
            </w:tcBorders>
            <w:tcMar>
              <w:left w:w="57" w:type="dxa"/>
              <w:right w:w="57" w:type="dxa"/>
            </w:tcMar>
          </w:tcPr>
          <w:p w14:paraId="5853B917"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e</w:t>
            </w:r>
          </w:p>
        </w:tc>
        <w:tc>
          <w:tcPr>
            <w:tcW w:w="605" w:type="pct"/>
            <w:tcBorders>
              <w:top w:val="thinThickSmallGap" w:sz="24" w:space="0" w:color="auto"/>
              <w:bottom w:val="single" w:sz="4" w:space="0" w:color="auto"/>
            </w:tcBorders>
            <w:tcMar>
              <w:left w:w="57" w:type="dxa"/>
              <w:right w:w="57" w:type="dxa"/>
            </w:tcMar>
          </w:tcPr>
          <w:p w14:paraId="1EF08DEF"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f</w:t>
            </w:r>
          </w:p>
        </w:tc>
      </w:tr>
      <w:tr w:rsidR="00E036D3" w:rsidRPr="00FB38E1" w14:paraId="36C8B664" w14:textId="77777777" w:rsidTr="00836EF2">
        <w:tc>
          <w:tcPr>
            <w:tcW w:w="1617" w:type="pct"/>
            <w:tcBorders>
              <w:top w:val="single" w:sz="4" w:space="0" w:color="auto"/>
              <w:bottom w:val="nil"/>
            </w:tcBorders>
            <w:tcMar>
              <w:left w:w="57" w:type="dxa"/>
              <w:right w:w="57" w:type="dxa"/>
            </w:tcMar>
          </w:tcPr>
          <w:p w14:paraId="491C388B" w14:textId="77777777" w:rsidR="00E036D3" w:rsidRPr="00FB38E1" w:rsidRDefault="00E036D3" w:rsidP="00836EF2">
            <w:pPr>
              <w:jc w:val="left"/>
              <w:rPr>
                <w:rFonts w:ascii="Microsoft Sans Serif" w:hAnsi="Microsoft Sans Serif" w:cs="Microsoft Sans Serif"/>
                <w:color w:val="404040" w:themeColor="text1" w:themeTint="BF"/>
                <w:sz w:val="16"/>
                <w:szCs w:val="16"/>
              </w:rPr>
            </w:pPr>
          </w:p>
        </w:tc>
        <w:tc>
          <w:tcPr>
            <w:tcW w:w="2256" w:type="pct"/>
            <w:gridSpan w:val="4"/>
            <w:tcBorders>
              <w:top w:val="single" w:sz="4" w:space="0" w:color="auto"/>
              <w:bottom w:val="single" w:sz="4" w:space="0" w:color="auto"/>
            </w:tcBorders>
            <w:tcMar>
              <w:left w:w="57" w:type="dxa"/>
              <w:right w:w="57" w:type="dxa"/>
            </w:tcMar>
            <w:vAlign w:val="bottom"/>
          </w:tcPr>
          <w:p w14:paraId="5AB2140C"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Türev Finansal Araç Teminatları</w:t>
            </w:r>
          </w:p>
        </w:tc>
        <w:tc>
          <w:tcPr>
            <w:tcW w:w="1127" w:type="pct"/>
            <w:gridSpan w:val="2"/>
            <w:tcBorders>
              <w:top w:val="single" w:sz="4" w:space="0" w:color="auto"/>
              <w:bottom w:val="single" w:sz="4" w:space="0" w:color="auto"/>
            </w:tcBorders>
            <w:tcMar>
              <w:left w:w="57" w:type="dxa"/>
              <w:right w:w="57" w:type="dxa"/>
            </w:tcMar>
            <w:vAlign w:val="bottom"/>
          </w:tcPr>
          <w:p w14:paraId="7CB7EB3E"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Diğer İşlem Teminatları</w:t>
            </w:r>
          </w:p>
        </w:tc>
      </w:tr>
      <w:tr w:rsidR="00E036D3" w:rsidRPr="00FB38E1" w14:paraId="35A79597" w14:textId="77777777" w:rsidTr="00836EF2">
        <w:tc>
          <w:tcPr>
            <w:tcW w:w="1617" w:type="pct"/>
            <w:tcBorders>
              <w:top w:val="nil"/>
              <w:bottom w:val="nil"/>
            </w:tcBorders>
            <w:tcMar>
              <w:left w:w="57" w:type="dxa"/>
              <w:right w:w="57" w:type="dxa"/>
            </w:tcMar>
          </w:tcPr>
          <w:p w14:paraId="4D09E063" w14:textId="77777777" w:rsidR="00E036D3" w:rsidRPr="00FB38E1" w:rsidRDefault="00E036D3" w:rsidP="00836EF2">
            <w:pPr>
              <w:jc w:val="lef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Cari Dönem</w:t>
            </w:r>
          </w:p>
        </w:tc>
        <w:tc>
          <w:tcPr>
            <w:tcW w:w="1128" w:type="pct"/>
            <w:gridSpan w:val="2"/>
            <w:tcBorders>
              <w:top w:val="single" w:sz="4" w:space="0" w:color="auto"/>
              <w:bottom w:val="single" w:sz="4" w:space="0" w:color="auto"/>
            </w:tcBorders>
            <w:tcMar>
              <w:left w:w="57" w:type="dxa"/>
              <w:right w:w="57" w:type="dxa"/>
            </w:tcMar>
            <w:vAlign w:val="bottom"/>
          </w:tcPr>
          <w:p w14:paraId="0EF20970"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Alınan Teminatlar</w:t>
            </w:r>
          </w:p>
        </w:tc>
        <w:tc>
          <w:tcPr>
            <w:tcW w:w="1128" w:type="pct"/>
            <w:gridSpan w:val="2"/>
            <w:tcBorders>
              <w:top w:val="single" w:sz="4" w:space="0" w:color="auto"/>
              <w:bottom w:val="single" w:sz="4" w:space="0" w:color="auto"/>
            </w:tcBorders>
            <w:tcMar>
              <w:left w:w="57" w:type="dxa"/>
              <w:right w:w="57" w:type="dxa"/>
            </w:tcMar>
            <w:vAlign w:val="bottom"/>
          </w:tcPr>
          <w:p w14:paraId="7660CE7F"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Verilen Teminatlar</w:t>
            </w:r>
          </w:p>
        </w:tc>
        <w:tc>
          <w:tcPr>
            <w:tcW w:w="522" w:type="pct"/>
            <w:vMerge w:val="restart"/>
            <w:tcBorders>
              <w:top w:val="single" w:sz="4" w:space="0" w:color="auto"/>
              <w:bottom w:val="nil"/>
            </w:tcBorders>
            <w:tcMar>
              <w:left w:w="57" w:type="dxa"/>
              <w:right w:w="57" w:type="dxa"/>
            </w:tcMar>
            <w:vAlign w:val="bottom"/>
          </w:tcPr>
          <w:p w14:paraId="7ADEE2E8"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Alınan Teminatlar</w:t>
            </w:r>
          </w:p>
        </w:tc>
        <w:tc>
          <w:tcPr>
            <w:tcW w:w="605" w:type="pct"/>
            <w:vMerge w:val="restart"/>
            <w:tcBorders>
              <w:top w:val="single" w:sz="4" w:space="0" w:color="auto"/>
              <w:bottom w:val="nil"/>
            </w:tcBorders>
            <w:tcMar>
              <w:left w:w="57" w:type="dxa"/>
              <w:right w:w="57" w:type="dxa"/>
            </w:tcMar>
            <w:vAlign w:val="bottom"/>
          </w:tcPr>
          <w:p w14:paraId="53B3D963"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Verilen Teminatlar</w:t>
            </w:r>
          </w:p>
        </w:tc>
      </w:tr>
      <w:tr w:rsidR="00E036D3" w:rsidRPr="00FB38E1" w14:paraId="2A06D97E" w14:textId="77777777" w:rsidTr="00836EF2">
        <w:tc>
          <w:tcPr>
            <w:tcW w:w="1617" w:type="pct"/>
            <w:tcBorders>
              <w:top w:val="nil"/>
              <w:bottom w:val="single" w:sz="6" w:space="0" w:color="auto"/>
            </w:tcBorders>
            <w:tcMar>
              <w:left w:w="57" w:type="dxa"/>
              <w:right w:w="57" w:type="dxa"/>
            </w:tcMar>
          </w:tcPr>
          <w:p w14:paraId="79228789" w14:textId="77777777" w:rsidR="00E036D3" w:rsidRPr="00FB38E1" w:rsidRDefault="00E036D3" w:rsidP="00836EF2">
            <w:pPr>
              <w:jc w:val="left"/>
              <w:rPr>
                <w:rFonts w:ascii="Microsoft Sans Serif" w:hAnsi="Microsoft Sans Serif" w:cs="Microsoft Sans Serif"/>
                <w:color w:val="404040" w:themeColor="text1" w:themeTint="BF"/>
                <w:sz w:val="16"/>
                <w:szCs w:val="16"/>
              </w:rPr>
            </w:pPr>
          </w:p>
        </w:tc>
        <w:tc>
          <w:tcPr>
            <w:tcW w:w="564" w:type="pct"/>
            <w:tcBorders>
              <w:top w:val="single" w:sz="4" w:space="0" w:color="auto"/>
              <w:bottom w:val="single" w:sz="6" w:space="0" w:color="auto"/>
            </w:tcBorders>
            <w:tcMar>
              <w:left w:w="57" w:type="dxa"/>
              <w:right w:w="57" w:type="dxa"/>
            </w:tcMar>
            <w:vAlign w:val="bottom"/>
          </w:tcPr>
          <w:p w14:paraId="3CB69020"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tcMar>
              <w:left w:w="57" w:type="dxa"/>
              <w:right w:w="57" w:type="dxa"/>
            </w:tcMar>
            <w:vAlign w:val="bottom"/>
          </w:tcPr>
          <w:p w14:paraId="42C3F11E"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Ayrılmamış</w:t>
            </w:r>
          </w:p>
        </w:tc>
        <w:tc>
          <w:tcPr>
            <w:tcW w:w="564" w:type="pct"/>
            <w:tcBorders>
              <w:top w:val="single" w:sz="4" w:space="0" w:color="auto"/>
              <w:bottom w:val="single" w:sz="6" w:space="0" w:color="auto"/>
            </w:tcBorders>
            <w:tcMar>
              <w:left w:w="57" w:type="dxa"/>
              <w:right w:w="57" w:type="dxa"/>
            </w:tcMar>
            <w:vAlign w:val="bottom"/>
          </w:tcPr>
          <w:p w14:paraId="7205EF67"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tcMar>
              <w:left w:w="57" w:type="dxa"/>
              <w:right w:w="57" w:type="dxa"/>
            </w:tcMar>
            <w:vAlign w:val="bottom"/>
          </w:tcPr>
          <w:p w14:paraId="68BE24A6"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Ayrılmamış</w:t>
            </w:r>
          </w:p>
        </w:tc>
        <w:tc>
          <w:tcPr>
            <w:tcW w:w="522" w:type="pct"/>
            <w:vMerge/>
            <w:tcBorders>
              <w:top w:val="nil"/>
              <w:bottom w:val="single" w:sz="6" w:space="0" w:color="auto"/>
            </w:tcBorders>
            <w:tcMar>
              <w:left w:w="57" w:type="dxa"/>
              <w:right w:w="57" w:type="dxa"/>
            </w:tcMar>
            <w:vAlign w:val="center"/>
          </w:tcPr>
          <w:p w14:paraId="6190D33D" w14:textId="77777777" w:rsidR="00E036D3" w:rsidRPr="00FB38E1" w:rsidRDefault="00E036D3" w:rsidP="00836EF2">
            <w:pPr>
              <w:jc w:val="right"/>
              <w:rPr>
                <w:rFonts w:ascii="Microsoft Sans Serif" w:hAnsi="Microsoft Sans Serif" w:cs="Microsoft Sans Serif"/>
                <w:color w:val="404040"/>
                <w:sz w:val="16"/>
                <w:szCs w:val="16"/>
              </w:rPr>
            </w:pPr>
          </w:p>
        </w:tc>
        <w:tc>
          <w:tcPr>
            <w:tcW w:w="605" w:type="pct"/>
            <w:vMerge/>
            <w:tcBorders>
              <w:top w:val="nil"/>
              <w:bottom w:val="single" w:sz="6" w:space="0" w:color="auto"/>
            </w:tcBorders>
            <w:tcMar>
              <w:left w:w="57" w:type="dxa"/>
              <w:right w:w="57" w:type="dxa"/>
            </w:tcMar>
            <w:vAlign w:val="center"/>
          </w:tcPr>
          <w:p w14:paraId="0C04AA53" w14:textId="77777777" w:rsidR="00E036D3" w:rsidRPr="00FB38E1" w:rsidRDefault="00E036D3" w:rsidP="00836EF2">
            <w:pPr>
              <w:jc w:val="right"/>
              <w:rPr>
                <w:rFonts w:ascii="Microsoft Sans Serif" w:hAnsi="Microsoft Sans Serif" w:cs="Microsoft Sans Serif"/>
                <w:color w:val="404040"/>
                <w:sz w:val="16"/>
                <w:szCs w:val="16"/>
              </w:rPr>
            </w:pPr>
          </w:p>
        </w:tc>
      </w:tr>
      <w:tr w:rsidR="002A2DAA" w:rsidRPr="00FB38E1" w14:paraId="17537B4E" w14:textId="77777777" w:rsidTr="00836EF2">
        <w:tc>
          <w:tcPr>
            <w:tcW w:w="1617" w:type="pct"/>
            <w:tcBorders>
              <w:top w:val="single" w:sz="6" w:space="0" w:color="auto"/>
            </w:tcBorders>
            <w:tcMar>
              <w:left w:w="57" w:type="dxa"/>
              <w:right w:w="57" w:type="dxa"/>
            </w:tcMar>
            <w:vAlign w:val="center"/>
          </w:tcPr>
          <w:p w14:paraId="63D2781C"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Nakit-yerli para</w:t>
            </w:r>
          </w:p>
        </w:tc>
        <w:tc>
          <w:tcPr>
            <w:tcW w:w="564" w:type="pct"/>
            <w:tcBorders>
              <w:top w:val="single" w:sz="6" w:space="0" w:color="auto"/>
            </w:tcBorders>
            <w:tcMar>
              <w:left w:w="57" w:type="dxa"/>
              <w:right w:w="57" w:type="dxa"/>
            </w:tcMar>
            <w:vAlign w:val="bottom"/>
          </w:tcPr>
          <w:p w14:paraId="1C56B300" w14:textId="22C1437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7.306.999</w:t>
            </w:r>
          </w:p>
        </w:tc>
        <w:tc>
          <w:tcPr>
            <w:tcW w:w="564" w:type="pct"/>
            <w:tcBorders>
              <w:top w:val="single" w:sz="6" w:space="0" w:color="auto"/>
            </w:tcBorders>
            <w:tcMar>
              <w:left w:w="57" w:type="dxa"/>
              <w:right w:w="57" w:type="dxa"/>
            </w:tcMar>
            <w:vAlign w:val="bottom"/>
          </w:tcPr>
          <w:p w14:paraId="451DBEE6" w14:textId="74E2DA8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Borders>
              <w:top w:val="single" w:sz="6" w:space="0" w:color="auto"/>
            </w:tcBorders>
            <w:tcMar>
              <w:left w:w="57" w:type="dxa"/>
              <w:right w:w="57" w:type="dxa"/>
            </w:tcMar>
            <w:vAlign w:val="bottom"/>
          </w:tcPr>
          <w:p w14:paraId="2131445D" w14:textId="77236A8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Borders>
              <w:top w:val="single" w:sz="6" w:space="0" w:color="auto"/>
            </w:tcBorders>
            <w:tcMar>
              <w:left w:w="57" w:type="dxa"/>
              <w:right w:w="57" w:type="dxa"/>
            </w:tcMar>
            <w:vAlign w:val="bottom"/>
          </w:tcPr>
          <w:p w14:paraId="7A187035" w14:textId="041E4B4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Borders>
              <w:top w:val="single" w:sz="6" w:space="0" w:color="auto"/>
            </w:tcBorders>
            <w:tcMar>
              <w:left w:w="57" w:type="dxa"/>
              <w:right w:w="57" w:type="dxa"/>
            </w:tcMar>
            <w:vAlign w:val="bottom"/>
          </w:tcPr>
          <w:p w14:paraId="1695ABF3" w14:textId="266DABD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2.005</w:t>
            </w:r>
          </w:p>
        </w:tc>
        <w:tc>
          <w:tcPr>
            <w:tcW w:w="605" w:type="pct"/>
            <w:tcBorders>
              <w:top w:val="single" w:sz="6" w:space="0" w:color="auto"/>
            </w:tcBorders>
            <w:tcMar>
              <w:left w:w="57" w:type="dxa"/>
              <w:right w:w="57" w:type="dxa"/>
            </w:tcMar>
            <w:vAlign w:val="bottom"/>
          </w:tcPr>
          <w:p w14:paraId="06F24526" w14:textId="5FC48FE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75.170.424</w:t>
            </w:r>
          </w:p>
        </w:tc>
      </w:tr>
      <w:tr w:rsidR="002A2DAA" w:rsidRPr="00FB38E1" w14:paraId="3CAD0C29" w14:textId="77777777" w:rsidTr="00836EF2">
        <w:tc>
          <w:tcPr>
            <w:tcW w:w="1617" w:type="pct"/>
            <w:tcMar>
              <w:left w:w="57" w:type="dxa"/>
              <w:right w:w="57" w:type="dxa"/>
            </w:tcMar>
            <w:vAlign w:val="center"/>
          </w:tcPr>
          <w:p w14:paraId="78AE1129"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Nakit-yabancı para</w:t>
            </w:r>
          </w:p>
        </w:tc>
        <w:tc>
          <w:tcPr>
            <w:tcW w:w="564" w:type="pct"/>
            <w:tcMar>
              <w:left w:w="57" w:type="dxa"/>
              <w:right w:w="57" w:type="dxa"/>
            </w:tcMar>
            <w:vAlign w:val="bottom"/>
          </w:tcPr>
          <w:p w14:paraId="48D54A14" w14:textId="5F64CE0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4.299.238</w:t>
            </w:r>
          </w:p>
        </w:tc>
        <w:tc>
          <w:tcPr>
            <w:tcW w:w="564" w:type="pct"/>
            <w:tcMar>
              <w:left w:w="57" w:type="dxa"/>
              <w:right w:w="57" w:type="dxa"/>
            </w:tcMar>
            <w:vAlign w:val="bottom"/>
          </w:tcPr>
          <w:p w14:paraId="3987C898" w14:textId="7BC586A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29273534" w14:textId="7D66FD8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6030D864" w14:textId="45C48F5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4CEA5FA0" w14:textId="37E37FF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25.784.292</w:t>
            </w:r>
          </w:p>
        </w:tc>
        <w:tc>
          <w:tcPr>
            <w:tcW w:w="605" w:type="pct"/>
            <w:tcMar>
              <w:left w:w="57" w:type="dxa"/>
              <w:right w:w="57" w:type="dxa"/>
            </w:tcMar>
            <w:vAlign w:val="bottom"/>
          </w:tcPr>
          <w:p w14:paraId="56635B29" w14:textId="02B91346"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137A97CC" w14:textId="77777777" w:rsidTr="00836EF2">
        <w:tc>
          <w:tcPr>
            <w:tcW w:w="1617" w:type="pct"/>
            <w:tcMar>
              <w:left w:w="57" w:type="dxa"/>
              <w:right w:w="57" w:type="dxa"/>
            </w:tcMar>
            <w:vAlign w:val="center"/>
          </w:tcPr>
          <w:p w14:paraId="55B859AF"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Devlet tahvili/bono-yerli</w:t>
            </w:r>
          </w:p>
        </w:tc>
        <w:tc>
          <w:tcPr>
            <w:tcW w:w="564" w:type="pct"/>
            <w:tcMar>
              <w:left w:w="57" w:type="dxa"/>
              <w:right w:w="57" w:type="dxa"/>
            </w:tcMar>
            <w:vAlign w:val="bottom"/>
          </w:tcPr>
          <w:p w14:paraId="1C5571C8" w14:textId="5569841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14FACC04" w14:textId="56200D6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74717E6E" w14:textId="3B56F6E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410C3F04" w14:textId="3DEDFF1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0DDA5C71" w14:textId="791EE9FC"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75.100.249</w:t>
            </w:r>
          </w:p>
        </w:tc>
        <w:tc>
          <w:tcPr>
            <w:tcW w:w="605" w:type="pct"/>
            <w:tcMar>
              <w:left w:w="57" w:type="dxa"/>
              <w:right w:w="57" w:type="dxa"/>
            </w:tcMar>
            <w:vAlign w:val="bottom"/>
          </w:tcPr>
          <w:p w14:paraId="0D190251" w14:textId="48F012D3"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2.000</w:t>
            </w:r>
          </w:p>
        </w:tc>
      </w:tr>
      <w:tr w:rsidR="002A2DAA" w:rsidRPr="00FB38E1" w14:paraId="0FA136E3" w14:textId="77777777" w:rsidTr="00836EF2">
        <w:tc>
          <w:tcPr>
            <w:tcW w:w="1617" w:type="pct"/>
            <w:tcMar>
              <w:left w:w="57" w:type="dxa"/>
              <w:right w:w="57" w:type="dxa"/>
            </w:tcMar>
            <w:vAlign w:val="center"/>
          </w:tcPr>
          <w:p w14:paraId="611E33B1"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Devlet tahvili/bono-diğer</w:t>
            </w:r>
          </w:p>
        </w:tc>
        <w:tc>
          <w:tcPr>
            <w:tcW w:w="564" w:type="pct"/>
            <w:tcMar>
              <w:left w:w="57" w:type="dxa"/>
              <w:right w:w="57" w:type="dxa"/>
            </w:tcMar>
            <w:vAlign w:val="bottom"/>
          </w:tcPr>
          <w:p w14:paraId="5EB1EB2F" w14:textId="01D1651E"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6A985AC4" w14:textId="5BB762F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71DEF23C" w14:textId="5C12701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10FFCA42" w14:textId="373FD51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3FFEED2A" w14:textId="205A6D7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31DD3E06" w14:textId="10B327E6"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63.619.811</w:t>
            </w:r>
          </w:p>
        </w:tc>
      </w:tr>
      <w:tr w:rsidR="002A2DAA" w:rsidRPr="00FB38E1" w14:paraId="1F89BCD1" w14:textId="77777777" w:rsidTr="00836EF2">
        <w:tc>
          <w:tcPr>
            <w:tcW w:w="1617" w:type="pct"/>
            <w:tcMar>
              <w:left w:w="57" w:type="dxa"/>
              <w:right w:w="57" w:type="dxa"/>
            </w:tcMar>
            <w:vAlign w:val="center"/>
          </w:tcPr>
          <w:p w14:paraId="36C3599D"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Kamu kurum tahvil/bono</w:t>
            </w:r>
          </w:p>
        </w:tc>
        <w:tc>
          <w:tcPr>
            <w:tcW w:w="564" w:type="pct"/>
            <w:tcMar>
              <w:left w:w="57" w:type="dxa"/>
              <w:right w:w="57" w:type="dxa"/>
            </w:tcMar>
            <w:vAlign w:val="bottom"/>
          </w:tcPr>
          <w:p w14:paraId="7F51A9E2" w14:textId="749447C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7AEF38BC" w14:textId="2256A1B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46608B64" w14:textId="058E4FE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00D0685A" w14:textId="7723D6B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5640032F" w14:textId="15AE26B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70C70EA5" w14:textId="5133A26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13853F10" w14:textId="77777777" w:rsidTr="00836EF2">
        <w:tc>
          <w:tcPr>
            <w:tcW w:w="1617" w:type="pct"/>
            <w:tcMar>
              <w:left w:w="57" w:type="dxa"/>
              <w:right w:w="57" w:type="dxa"/>
            </w:tcMar>
            <w:vAlign w:val="center"/>
          </w:tcPr>
          <w:p w14:paraId="021D4E8F"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Kurumsal tahvil/bono</w:t>
            </w:r>
          </w:p>
        </w:tc>
        <w:tc>
          <w:tcPr>
            <w:tcW w:w="564" w:type="pct"/>
            <w:tcMar>
              <w:left w:w="57" w:type="dxa"/>
              <w:right w:w="57" w:type="dxa"/>
            </w:tcMar>
            <w:vAlign w:val="bottom"/>
          </w:tcPr>
          <w:p w14:paraId="395B7301" w14:textId="0AC9DD5A"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0457C9E8" w14:textId="38DA501E"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36E979E9" w14:textId="01138DF6"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35F6B510" w14:textId="51887A93"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548D0359" w14:textId="6F399083"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40C653AF" w14:textId="11BE46E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71DDDB88" w14:textId="77777777" w:rsidTr="00836EF2">
        <w:tc>
          <w:tcPr>
            <w:tcW w:w="1617" w:type="pct"/>
            <w:tcMar>
              <w:left w:w="57" w:type="dxa"/>
              <w:right w:w="57" w:type="dxa"/>
            </w:tcMar>
            <w:vAlign w:val="center"/>
          </w:tcPr>
          <w:p w14:paraId="79D0FE29"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Hisse senedi</w:t>
            </w:r>
          </w:p>
        </w:tc>
        <w:tc>
          <w:tcPr>
            <w:tcW w:w="564" w:type="pct"/>
            <w:tcMar>
              <w:left w:w="57" w:type="dxa"/>
              <w:right w:w="57" w:type="dxa"/>
            </w:tcMar>
            <w:vAlign w:val="bottom"/>
          </w:tcPr>
          <w:p w14:paraId="61B35152" w14:textId="7C15BC2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37439C51" w14:textId="57CC0AB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37D0ADFC" w14:textId="538A520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5BAF7F3A" w14:textId="12CA2FE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76B0B660" w14:textId="2338447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745166B3" w14:textId="5BFE682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364E55FF" w14:textId="77777777" w:rsidTr="00836EF2">
        <w:tc>
          <w:tcPr>
            <w:tcW w:w="1617" w:type="pct"/>
            <w:tcMar>
              <w:left w:w="57" w:type="dxa"/>
              <w:right w:w="57" w:type="dxa"/>
            </w:tcMar>
            <w:vAlign w:val="center"/>
          </w:tcPr>
          <w:p w14:paraId="673BF002"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teminat</w:t>
            </w:r>
          </w:p>
        </w:tc>
        <w:tc>
          <w:tcPr>
            <w:tcW w:w="564" w:type="pct"/>
            <w:tcMar>
              <w:left w:w="57" w:type="dxa"/>
              <w:right w:w="57" w:type="dxa"/>
            </w:tcMar>
            <w:vAlign w:val="bottom"/>
          </w:tcPr>
          <w:p w14:paraId="01736375" w14:textId="4490477C"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42BB341B" w14:textId="7181181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22CAB6EB" w14:textId="1216209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55D822C5" w14:textId="0BE2335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5FBAD1C1" w14:textId="016B98E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1D0DD26D" w14:textId="179D366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1A19F4CE" w14:textId="77777777" w:rsidTr="00836EF2">
        <w:tc>
          <w:tcPr>
            <w:tcW w:w="1617" w:type="pct"/>
            <w:tcBorders>
              <w:top w:val="single" w:sz="4" w:space="0" w:color="auto"/>
              <w:bottom w:val="thickThinSmallGap" w:sz="24" w:space="0" w:color="auto"/>
            </w:tcBorders>
            <w:tcMar>
              <w:left w:w="57" w:type="dxa"/>
              <w:right w:w="57" w:type="dxa"/>
            </w:tcMar>
          </w:tcPr>
          <w:p w14:paraId="7645EC87" w14:textId="77777777" w:rsidR="002A2DAA" w:rsidRPr="00FB38E1" w:rsidRDefault="002A2DAA" w:rsidP="002A2DAA">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564" w:type="pct"/>
            <w:tcBorders>
              <w:top w:val="single" w:sz="4" w:space="0" w:color="auto"/>
              <w:bottom w:val="thickThinSmallGap" w:sz="24" w:space="0" w:color="auto"/>
            </w:tcBorders>
            <w:tcMar>
              <w:left w:w="57" w:type="dxa"/>
              <w:right w:w="57" w:type="dxa"/>
            </w:tcMar>
            <w:vAlign w:val="bottom"/>
          </w:tcPr>
          <w:p w14:paraId="738FEF86" w14:textId="28916D66"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11.606.237</w:t>
            </w:r>
          </w:p>
        </w:tc>
        <w:tc>
          <w:tcPr>
            <w:tcW w:w="564" w:type="pct"/>
            <w:tcBorders>
              <w:top w:val="single" w:sz="4" w:space="0" w:color="auto"/>
              <w:bottom w:val="thickThinSmallGap" w:sz="24" w:space="0" w:color="auto"/>
            </w:tcBorders>
            <w:tcMar>
              <w:left w:w="57" w:type="dxa"/>
              <w:right w:w="57" w:type="dxa"/>
            </w:tcMar>
            <w:vAlign w:val="bottom"/>
          </w:tcPr>
          <w:p w14:paraId="73E4EAE0" w14:textId="2C0862B5"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tcMar>
              <w:left w:w="57" w:type="dxa"/>
              <w:right w:w="57" w:type="dxa"/>
            </w:tcMar>
            <w:vAlign w:val="bottom"/>
          </w:tcPr>
          <w:p w14:paraId="301395AD" w14:textId="43E235B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tcMar>
              <w:left w:w="57" w:type="dxa"/>
              <w:right w:w="57" w:type="dxa"/>
            </w:tcMar>
            <w:vAlign w:val="bottom"/>
          </w:tcPr>
          <w:p w14:paraId="7A61E2E3" w14:textId="277F8938"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22" w:type="pct"/>
            <w:tcBorders>
              <w:top w:val="single" w:sz="4" w:space="0" w:color="auto"/>
              <w:bottom w:val="thickThinSmallGap" w:sz="24" w:space="0" w:color="auto"/>
            </w:tcBorders>
            <w:tcMar>
              <w:left w:w="57" w:type="dxa"/>
              <w:right w:w="57" w:type="dxa"/>
            </w:tcMar>
            <w:vAlign w:val="bottom"/>
          </w:tcPr>
          <w:p w14:paraId="184A24E4" w14:textId="7A3E7FA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100.886.546</w:t>
            </w:r>
          </w:p>
        </w:tc>
        <w:tc>
          <w:tcPr>
            <w:tcW w:w="605" w:type="pct"/>
            <w:tcBorders>
              <w:top w:val="single" w:sz="4" w:space="0" w:color="auto"/>
              <w:bottom w:val="thickThinSmallGap" w:sz="24" w:space="0" w:color="auto"/>
            </w:tcBorders>
            <w:tcMar>
              <w:left w:w="57" w:type="dxa"/>
              <w:right w:w="57" w:type="dxa"/>
            </w:tcMar>
            <w:vAlign w:val="bottom"/>
          </w:tcPr>
          <w:p w14:paraId="6F75ED35" w14:textId="6ABA30F0"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138.792.235</w:t>
            </w:r>
          </w:p>
        </w:tc>
      </w:tr>
    </w:tbl>
    <w:p w14:paraId="02BA3482" w14:textId="272EDEF4" w:rsidR="00667438" w:rsidRPr="00FB38E1" w:rsidRDefault="00667438" w:rsidP="00E036D3">
      <w:pPr>
        <w:pStyle w:val="ListParagraph"/>
        <w:spacing w:after="120"/>
        <w:ind w:left="0"/>
        <w:contextualSpacing w:val="0"/>
        <w:rPr>
          <w:rFonts w:ascii="Microsoft Sans Serif" w:hAnsi="Microsoft Sans Serif" w:cs="Microsoft Sans Serif"/>
          <w:b/>
          <w:sz w:val="20"/>
          <w:szCs w:val="20"/>
        </w:rPr>
      </w:pP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1088"/>
        <w:gridCol w:w="1087"/>
        <w:gridCol w:w="1087"/>
        <w:gridCol w:w="1087"/>
        <w:gridCol w:w="1006"/>
        <w:gridCol w:w="1166"/>
      </w:tblGrid>
      <w:tr w:rsidR="00E036D3" w:rsidRPr="00FB38E1" w14:paraId="77215D41" w14:textId="77777777" w:rsidTr="00836EF2">
        <w:tc>
          <w:tcPr>
            <w:tcW w:w="1617" w:type="pct"/>
            <w:tcMar>
              <w:left w:w="57" w:type="dxa"/>
              <w:right w:w="57" w:type="dxa"/>
            </w:tcMar>
          </w:tcPr>
          <w:p w14:paraId="26D25914" w14:textId="77777777" w:rsidR="00E036D3" w:rsidRPr="00FB38E1" w:rsidRDefault="00E036D3" w:rsidP="00836EF2">
            <w:pPr>
              <w:rPr>
                <w:rFonts w:ascii="Microsoft Sans Serif" w:hAnsi="Microsoft Sans Serif" w:cs="Microsoft Sans Serif"/>
                <w:sz w:val="16"/>
                <w:szCs w:val="16"/>
              </w:rPr>
            </w:pPr>
          </w:p>
        </w:tc>
        <w:tc>
          <w:tcPr>
            <w:tcW w:w="564" w:type="pct"/>
            <w:tcBorders>
              <w:top w:val="thinThickSmallGap" w:sz="24" w:space="0" w:color="auto"/>
              <w:bottom w:val="single" w:sz="4" w:space="0" w:color="auto"/>
            </w:tcBorders>
            <w:tcMar>
              <w:left w:w="57" w:type="dxa"/>
              <w:right w:w="57" w:type="dxa"/>
            </w:tcMar>
          </w:tcPr>
          <w:p w14:paraId="6EB02137"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a</w:t>
            </w:r>
          </w:p>
        </w:tc>
        <w:tc>
          <w:tcPr>
            <w:tcW w:w="564" w:type="pct"/>
            <w:tcBorders>
              <w:top w:val="thinThickSmallGap" w:sz="24" w:space="0" w:color="auto"/>
              <w:bottom w:val="single" w:sz="4" w:space="0" w:color="auto"/>
            </w:tcBorders>
            <w:tcMar>
              <w:left w:w="57" w:type="dxa"/>
              <w:right w:w="57" w:type="dxa"/>
            </w:tcMar>
          </w:tcPr>
          <w:p w14:paraId="75F729B9"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b</w:t>
            </w:r>
          </w:p>
        </w:tc>
        <w:tc>
          <w:tcPr>
            <w:tcW w:w="564" w:type="pct"/>
            <w:tcBorders>
              <w:top w:val="thinThickSmallGap" w:sz="24" w:space="0" w:color="auto"/>
              <w:bottom w:val="single" w:sz="4" w:space="0" w:color="auto"/>
            </w:tcBorders>
            <w:tcMar>
              <w:left w:w="57" w:type="dxa"/>
              <w:right w:w="57" w:type="dxa"/>
            </w:tcMar>
          </w:tcPr>
          <w:p w14:paraId="26088A08"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c</w:t>
            </w:r>
          </w:p>
        </w:tc>
        <w:tc>
          <w:tcPr>
            <w:tcW w:w="564" w:type="pct"/>
            <w:tcBorders>
              <w:top w:val="thinThickSmallGap" w:sz="24" w:space="0" w:color="auto"/>
              <w:bottom w:val="single" w:sz="4" w:space="0" w:color="auto"/>
            </w:tcBorders>
            <w:tcMar>
              <w:left w:w="57" w:type="dxa"/>
              <w:right w:w="57" w:type="dxa"/>
            </w:tcMar>
          </w:tcPr>
          <w:p w14:paraId="30A41712"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d</w:t>
            </w:r>
          </w:p>
        </w:tc>
        <w:tc>
          <w:tcPr>
            <w:tcW w:w="522" w:type="pct"/>
            <w:tcBorders>
              <w:top w:val="thinThickSmallGap" w:sz="24" w:space="0" w:color="auto"/>
              <w:bottom w:val="single" w:sz="4" w:space="0" w:color="auto"/>
            </w:tcBorders>
            <w:tcMar>
              <w:left w:w="57" w:type="dxa"/>
              <w:right w:w="57" w:type="dxa"/>
            </w:tcMar>
          </w:tcPr>
          <w:p w14:paraId="2215CFED"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e</w:t>
            </w:r>
          </w:p>
        </w:tc>
        <w:tc>
          <w:tcPr>
            <w:tcW w:w="605" w:type="pct"/>
            <w:tcBorders>
              <w:top w:val="thinThickSmallGap" w:sz="24" w:space="0" w:color="auto"/>
              <w:bottom w:val="single" w:sz="4" w:space="0" w:color="auto"/>
            </w:tcBorders>
            <w:tcMar>
              <w:left w:w="57" w:type="dxa"/>
              <w:right w:w="57" w:type="dxa"/>
            </w:tcMar>
          </w:tcPr>
          <w:p w14:paraId="39D68E64" w14:textId="77777777"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f</w:t>
            </w:r>
          </w:p>
        </w:tc>
      </w:tr>
      <w:tr w:rsidR="00E036D3" w:rsidRPr="00FB38E1" w14:paraId="3F41EA44" w14:textId="77777777" w:rsidTr="00836EF2">
        <w:tc>
          <w:tcPr>
            <w:tcW w:w="1617" w:type="pct"/>
            <w:tcBorders>
              <w:top w:val="single" w:sz="4" w:space="0" w:color="auto"/>
              <w:bottom w:val="nil"/>
            </w:tcBorders>
            <w:tcMar>
              <w:left w:w="57" w:type="dxa"/>
              <w:right w:w="57" w:type="dxa"/>
            </w:tcMar>
          </w:tcPr>
          <w:p w14:paraId="56037907" w14:textId="77777777" w:rsidR="00E036D3" w:rsidRPr="00FB38E1" w:rsidRDefault="00E036D3" w:rsidP="00836EF2">
            <w:pPr>
              <w:jc w:val="left"/>
              <w:rPr>
                <w:rFonts w:ascii="Microsoft Sans Serif" w:hAnsi="Microsoft Sans Serif" w:cs="Microsoft Sans Serif"/>
                <w:color w:val="404040" w:themeColor="text1" w:themeTint="BF"/>
                <w:sz w:val="16"/>
                <w:szCs w:val="16"/>
              </w:rPr>
            </w:pPr>
          </w:p>
        </w:tc>
        <w:tc>
          <w:tcPr>
            <w:tcW w:w="2256" w:type="pct"/>
            <w:gridSpan w:val="4"/>
            <w:tcBorders>
              <w:top w:val="single" w:sz="4" w:space="0" w:color="auto"/>
              <w:bottom w:val="single" w:sz="4" w:space="0" w:color="auto"/>
            </w:tcBorders>
            <w:tcMar>
              <w:left w:w="57" w:type="dxa"/>
              <w:right w:w="57" w:type="dxa"/>
            </w:tcMar>
            <w:vAlign w:val="bottom"/>
          </w:tcPr>
          <w:p w14:paraId="5E46E978"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Türev Finansal Araç Teminatları</w:t>
            </w:r>
          </w:p>
        </w:tc>
        <w:tc>
          <w:tcPr>
            <w:tcW w:w="1127" w:type="pct"/>
            <w:gridSpan w:val="2"/>
            <w:tcBorders>
              <w:top w:val="single" w:sz="4" w:space="0" w:color="auto"/>
              <w:bottom w:val="single" w:sz="4" w:space="0" w:color="auto"/>
            </w:tcBorders>
            <w:tcMar>
              <w:left w:w="57" w:type="dxa"/>
              <w:right w:w="57" w:type="dxa"/>
            </w:tcMar>
            <w:vAlign w:val="bottom"/>
          </w:tcPr>
          <w:p w14:paraId="617777F5"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Diğer İşlem Teminatları</w:t>
            </w:r>
          </w:p>
        </w:tc>
      </w:tr>
      <w:tr w:rsidR="00E036D3" w:rsidRPr="00FB38E1" w14:paraId="09002F0D" w14:textId="77777777" w:rsidTr="00836EF2">
        <w:tc>
          <w:tcPr>
            <w:tcW w:w="1617" w:type="pct"/>
            <w:tcBorders>
              <w:top w:val="nil"/>
              <w:bottom w:val="nil"/>
            </w:tcBorders>
            <w:tcMar>
              <w:left w:w="57" w:type="dxa"/>
              <w:right w:w="57" w:type="dxa"/>
            </w:tcMar>
          </w:tcPr>
          <w:p w14:paraId="5EC4FAA2" w14:textId="77777777" w:rsidR="00E036D3" w:rsidRPr="00FB38E1" w:rsidRDefault="00E036D3" w:rsidP="00836EF2">
            <w:pPr>
              <w:jc w:val="lef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Önceki Dönem</w:t>
            </w:r>
          </w:p>
        </w:tc>
        <w:tc>
          <w:tcPr>
            <w:tcW w:w="1128" w:type="pct"/>
            <w:gridSpan w:val="2"/>
            <w:tcBorders>
              <w:top w:val="single" w:sz="4" w:space="0" w:color="auto"/>
              <w:bottom w:val="single" w:sz="4" w:space="0" w:color="auto"/>
            </w:tcBorders>
            <w:tcMar>
              <w:left w:w="57" w:type="dxa"/>
              <w:right w:w="57" w:type="dxa"/>
            </w:tcMar>
            <w:vAlign w:val="bottom"/>
          </w:tcPr>
          <w:p w14:paraId="45D00114"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Alınan Teminatlar</w:t>
            </w:r>
          </w:p>
        </w:tc>
        <w:tc>
          <w:tcPr>
            <w:tcW w:w="1128" w:type="pct"/>
            <w:gridSpan w:val="2"/>
            <w:tcBorders>
              <w:top w:val="single" w:sz="4" w:space="0" w:color="auto"/>
              <w:bottom w:val="single" w:sz="4" w:space="0" w:color="auto"/>
            </w:tcBorders>
            <w:tcMar>
              <w:left w:w="57" w:type="dxa"/>
              <w:right w:w="57" w:type="dxa"/>
            </w:tcMar>
            <w:vAlign w:val="bottom"/>
          </w:tcPr>
          <w:p w14:paraId="57C62924"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Verilen Teminatlar</w:t>
            </w:r>
          </w:p>
        </w:tc>
        <w:tc>
          <w:tcPr>
            <w:tcW w:w="522" w:type="pct"/>
            <w:vMerge w:val="restart"/>
            <w:tcBorders>
              <w:top w:val="single" w:sz="4" w:space="0" w:color="auto"/>
              <w:bottom w:val="nil"/>
            </w:tcBorders>
            <w:tcMar>
              <w:left w:w="57" w:type="dxa"/>
              <w:right w:w="57" w:type="dxa"/>
            </w:tcMar>
            <w:vAlign w:val="bottom"/>
          </w:tcPr>
          <w:p w14:paraId="682531DA"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Alınan Teminatlar</w:t>
            </w:r>
          </w:p>
        </w:tc>
        <w:tc>
          <w:tcPr>
            <w:tcW w:w="605" w:type="pct"/>
            <w:vMerge w:val="restart"/>
            <w:tcBorders>
              <w:top w:val="single" w:sz="4" w:space="0" w:color="auto"/>
              <w:bottom w:val="nil"/>
            </w:tcBorders>
            <w:tcMar>
              <w:left w:w="57" w:type="dxa"/>
              <w:right w:w="57" w:type="dxa"/>
            </w:tcMar>
            <w:vAlign w:val="bottom"/>
          </w:tcPr>
          <w:p w14:paraId="75F667FC"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Verilen Teminatlar</w:t>
            </w:r>
          </w:p>
        </w:tc>
      </w:tr>
      <w:tr w:rsidR="00E036D3" w:rsidRPr="00FB38E1" w14:paraId="6BDD6F49" w14:textId="77777777" w:rsidTr="00836EF2">
        <w:tc>
          <w:tcPr>
            <w:tcW w:w="1617" w:type="pct"/>
            <w:tcBorders>
              <w:top w:val="nil"/>
              <w:bottom w:val="single" w:sz="6" w:space="0" w:color="auto"/>
            </w:tcBorders>
            <w:tcMar>
              <w:left w:w="57" w:type="dxa"/>
              <w:right w:w="57" w:type="dxa"/>
            </w:tcMar>
          </w:tcPr>
          <w:p w14:paraId="6719CCFA" w14:textId="77777777" w:rsidR="00E036D3" w:rsidRPr="00FB38E1" w:rsidRDefault="00E036D3" w:rsidP="00836EF2">
            <w:pPr>
              <w:jc w:val="left"/>
              <w:rPr>
                <w:rFonts w:ascii="Microsoft Sans Serif" w:hAnsi="Microsoft Sans Serif" w:cs="Microsoft Sans Serif"/>
                <w:color w:val="404040" w:themeColor="text1" w:themeTint="BF"/>
                <w:sz w:val="16"/>
                <w:szCs w:val="16"/>
              </w:rPr>
            </w:pPr>
          </w:p>
        </w:tc>
        <w:tc>
          <w:tcPr>
            <w:tcW w:w="564" w:type="pct"/>
            <w:tcBorders>
              <w:top w:val="single" w:sz="4" w:space="0" w:color="auto"/>
              <w:bottom w:val="single" w:sz="6" w:space="0" w:color="auto"/>
            </w:tcBorders>
            <w:tcMar>
              <w:left w:w="57" w:type="dxa"/>
              <w:right w:w="57" w:type="dxa"/>
            </w:tcMar>
            <w:vAlign w:val="bottom"/>
          </w:tcPr>
          <w:p w14:paraId="63D9890E"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tcMar>
              <w:left w:w="57" w:type="dxa"/>
              <w:right w:w="57" w:type="dxa"/>
            </w:tcMar>
            <w:vAlign w:val="bottom"/>
          </w:tcPr>
          <w:p w14:paraId="2B6BD00E"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Ayrılmamış</w:t>
            </w:r>
          </w:p>
        </w:tc>
        <w:tc>
          <w:tcPr>
            <w:tcW w:w="564" w:type="pct"/>
            <w:tcBorders>
              <w:top w:val="single" w:sz="4" w:space="0" w:color="auto"/>
              <w:bottom w:val="single" w:sz="6" w:space="0" w:color="auto"/>
            </w:tcBorders>
            <w:tcMar>
              <w:left w:w="57" w:type="dxa"/>
              <w:right w:w="57" w:type="dxa"/>
            </w:tcMar>
            <w:vAlign w:val="bottom"/>
          </w:tcPr>
          <w:p w14:paraId="62196720"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Ayrılmış</w:t>
            </w:r>
          </w:p>
        </w:tc>
        <w:tc>
          <w:tcPr>
            <w:tcW w:w="564" w:type="pct"/>
            <w:tcBorders>
              <w:top w:val="single" w:sz="4" w:space="0" w:color="auto"/>
              <w:bottom w:val="single" w:sz="6" w:space="0" w:color="auto"/>
            </w:tcBorders>
            <w:tcMar>
              <w:left w:w="57" w:type="dxa"/>
              <w:right w:w="57" w:type="dxa"/>
            </w:tcMar>
            <w:vAlign w:val="bottom"/>
          </w:tcPr>
          <w:p w14:paraId="03961FC1" w14:textId="77777777" w:rsidR="00E036D3" w:rsidRPr="00FB38E1" w:rsidRDefault="00E036D3" w:rsidP="00836EF2">
            <w:pPr>
              <w:jc w:val="cente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Ayrılmamış</w:t>
            </w:r>
          </w:p>
        </w:tc>
        <w:tc>
          <w:tcPr>
            <w:tcW w:w="522" w:type="pct"/>
            <w:vMerge/>
            <w:tcBorders>
              <w:top w:val="nil"/>
              <w:bottom w:val="single" w:sz="6" w:space="0" w:color="auto"/>
            </w:tcBorders>
            <w:tcMar>
              <w:left w:w="57" w:type="dxa"/>
              <w:right w:w="57" w:type="dxa"/>
            </w:tcMar>
            <w:vAlign w:val="center"/>
          </w:tcPr>
          <w:p w14:paraId="314CDC85" w14:textId="77777777" w:rsidR="00E036D3" w:rsidRPr="00FB38E1" w:rsidRDefault="00E036D3" w:rsidP="00836EF2">
            <w:pPr>
              <w:jc w:val="right"/>
              <w:rPr>
                <w:rFonts w:ascii="Microsoft Sans Serif" w:hAnsi="Microsoft Sans Serif" w:cs="Microsoft Sans Serif"/>
                <w:color w:val="404040"/>
                <w:sz w:val="16"/>
                <w:szCs w:val="16"/>
              </w:rPr>
            </w:pPr>
          </w:p>
        </w:tc>
        <w:tc>
          <w:tcPr>
            <w:tcW w:w="605" w:type="pct"/>
            <w:vMerge/>
            <w:tcBorders>
              <w:top w:val="nil"/>
              <w:bottom w:val="single" w:sz="6" w:space="0" w:color="auto"/>
            </w:tcBorders>
            <w:tcMar>
              <w:left w:w="57" w:type="dxa"/>
              <w:right w:w="57" w:type="dxa"/>
            </w:tcMar>
            <w:vAlign w:val="center"/>
          </w:tcPr>
          <w:p w14:paraId="6CB4B700" w14:textId="77777777" w:rsidR="00E036D3" w:rsidRPr="00FB38E1" w:rsidRDefault="00E036D3" w:rsidP="00836EF2">
            <w:pPr>
              <w:jc w:val="right"/>
              <w:rPr>
                <w:rFonts w:ascii="Microsoft Sans Serif" w:hAnsi="Microsoft Sans Serif" w:cs="Microsoft Sans Serif"/>
                <w:color w:val="404040"/>
                <w:sz w:val="16"/>
                <w:szCs w:val="16"/>
              </w:rPr>
            </w:pPr>
          </w:p>
        </w:tc>
      </w:tr>
      <w:tr w:rsidR="003B7A7D" w:rsidRPr="00FB38E1" w14:paraId="088DA8F3" w14:textId="77777777" w:rsidTr="00836EF2">
        <w:tc>
          <w:tcPr>
            <w:tcW w:w="1617" w:type="pct"/>
            <w:tcBorders>
              <w:top w:val="single" w:sz="6" w:space="0" w:color="auto"/>
            </w:tcBorders>
            <w:tcMar>
              <w:left w:w="57" w:type="dxa"/>
              <w:right w:w="57" w:type="dxa"/>
            </w:tcMar>
            <w:vAlign w:val="center"/>
          </w:tcPr>
          <w:p w14:paraId="29034021" w14:textId="77777777" w:rsidR="003B7A7D" w:rsidRPr="00FB38E1" w:rsidRDefault="003B7A7D" w:rsidP="003B7A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Nakit-yerli para</w:t>
            </w:r>
          </w:p>
        </w:tc>
        <w:tc>
          <w:tcPr>
            <w:tcW w:w="564" w:type="pct"/>
            <w:tcBorders>
              <w:top w:val="single" w:sz="6" w:space="0" w:color="auto"/>
            </w:tcBorders>
            <w:tcMar>
              <w:left w:w="57" w:type="dxa"/>
              <w:right w:w="57" w:type="dxa"/>
            </w:tcMar>
            <w:vAlign w:val="bottom"/>
          </w:tcPr>
          <w:p w14:paraId="7CBFE828" w14:textId="2ADD5BF5"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2.287.566</w:t>
            </w:r>
          </w:p>
        </w:tc>
        <w:tc>
          <w:tcPr>
            <w:tcW w:w="564" w:type="pct"/>
            <w:tcBorders>
              <w:top w:val="single" w:sz="6" w:space="0" w:color="auto"/>
            </w:tcBorders>
            <w:tcMar>
              <w:left w:w="57" w:type="dxa"/>
              <w:right w:w="57" w:type="dxa"/>
            </w:tcMar>
            <w:vAlign w:val="bottom"/>
          </w:tcPr>
          <w:p w14:paraId="693A533F" w14:textId="4FA3FD7C"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Borders>
              <w:top w:val="single" w:sz="6" w:space="0" w:color="auto"/>
            </w:tcBorders>
            <w:tcMar>
              <w:left w:w="57" w:type="dxa"/>
              <w:right w:w="57" w:type="dxa"/>
            </w:tcMar>
            <w:vAlign w:val="bottom"/>
          </w:tcPr>
          <w:p w14:paraId="7D987685" w14:textId="7FD10A98"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Borders>
              <w:top w:val="single" w:sz="6" w:space="0" w:color="auto"/>
            </w:tcBorders>
            <w:tcMar>
              <w:left w:w="57" w:type="dxa"/>
              <w:right w:w="57" w:type="dxa"/>
            </w:tcMar>
            <w:vAlign w:val="bottom"/>
          </w:tcPr>
          <w:p w14:paraId="5D07B5F7" w14:textId="6C06A788"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Borders>
              <w:top w:val="single" w:sz="6" w:space="0" w:color="auto"/>
            </w:tcBorders>
            <w:tcMar>
              <w:left w:w="57" w:type="dxa"/>
              <w:right w:w="57" w:type="dxa"/>
            </w:tcMar>
            <w:vAlign w:val="bottom"/>
          </w:tcPr>
          <w:p w14:paraId="0BDCA312" w14:textId="3B125251"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100.477</w:t>
            </w:r>
          </w:p>
        </w:tc>
        <w:tc>
          <w:tcPr>
            <w:tcW w:w="605" w:type="pct"/>
            <w:tcBorders>
              <w:top w:val="single" w:sz="6" w:space="0" w:color="auto"/>
            </w:tcBorders>
            <w:tcMar>
              <w:left w:w="57" w:type="dxa"/>
              <w:right w:w="57" w:type="dxa"/>
            </w:tcMar>
            <w:vAlign w:val="bottom"/>
          </w:tcPr>
          <w:p w14:paraId="2A6890F4" w14:textId="3F436643"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22.797.441</w:t>
            </w:r>
          </w:p>
        </w:tc>
      </w:tr>
      <w:tr w:rsidR="003B7A7D" w:rsidRPr="00FB38E1" w14:paraId="669F75D3" w14:textId="77777777" w:rsidTr="00836EF2">
        <w:tc>
          <w:tcPr>
            <w:tcW w:w="1617" w:type="pct"/>
            <w:tcMar>
              <w:left w:w="57" w:type="dxa"/>
              <w:right w:w="57" w:type="dxa"/>
            </w:tcMar>
            <w:vAlign w:val="center"/>
          </w:tcPr>
          <w:p w14:paraId="3D97309E" w14:textId="77777777" w:rsidR="003B7A7D" w:rsidRPr="00FB38E1" w:rsidRDefault="003B7A7D" w:rsidP="003B7A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Nakit-yabancı para</w:t>
            </w:r>
          </w:p>
        </w:tc>
        <w:tc>
          <w:tcPr>
            <w:tcW w:w="564" w:type="pct"/>
            <w:tcMar>
              <w:left w:w="57" w:type="dxa"/>
              <w:right w:w="57" w:type="dxa"/>
            </w:tcMar>
            <w:vAlign w:val="bottom"/>
          </w:tcPr>
          <w:p w14:paraId="6C30FC08" w14:textId="60EB7B14"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3.381.434</w:t>
            </w:r>
          </w:p>
        </w:tc>
        <w:tc>
          <w:tcPr>
            <w:tcW w:w="564" w:type="pct"/>
            <w:tcMar>
              <w:left w:w="57" w:type="dxa"/>
              <w:right w:w="57" w:type="dxa"/>
            </w:tcMar>
            <w:vAlign w:val="bottom"/>
          </w:tcPr>
          <w:p w14:paraId="2E41A88E" w14:textId="0516BED1"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27EC2DEC" w14:textId="0D38A8C2"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2AAA8483" w14:textId="3B30EF07"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6AAA5DE5" w14:textId="68EBA4A0"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52.589.300</w:t>
            </w:r>
          </w:p>
        </w:tc>
        <w:tc>
          <w:tcPr>
            <w:tcW w:w="605" w:type="pct"/>
            <w:tcMar>
              <w:left w:w="57" w:type="dxa"/>
              <w:right w:w="57" w:type="dxa"/>
            </w:tcMar>
            <w:vAlign w:val="bottom"/>
          </w:tcPr>
          <w:p w14:paraId="24E0FEE6" w14:textId="293AA402"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B7A7D" w:rsidRPr="00FB38E1" w14:paraId="5AB3ED63" w14:textId="77777777" w:rsidTr="00836EF2">
        <w:tc>
          <w:tcPr>
            <w:tcW w:w="1617" w:type="pct"/>
            <w:tcMar>
              <w:left w:w="57" w:type="dxa"/>
              <w:right w:w="57" w:type="dxa"/>
            </w:tcMar>
            <w:vAlign w:val="center"/>
          </w:tcPr>
          <w:p w14:paraId="0E78094E" w14:textId="77777777" w:rsidR="003B7A7D" w:rsidRPr="00FB38E1" w:rsidRDefault="003B7A7D" w:rsidP="003B7A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Devlet tahvili/bono-yerli</w:t>
            </w:r>
          </w:p>
        </w:tc>
        <w:tc>
          <w:tcPr>
            <w:tcW w:w="564" w:type="pct"/>
            <w:tcMar>
              <w:left w:w="57" w:type="dxa"/>
              <w:right w:w="57" w:type="dxa"/>
            </w:tcMar>
            <w:vAlign w:val="bottom"/>
          </w:tcPr>
          <w:p w14:paraId="2E09AD29" w14:textId="67A68A1D"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4444BDBC" w14:textId="4DCEA5FB"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1C2FA5D9" w14:textId="3C0C40A1"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6AFA336C" w14:textId="63661280"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1B939BEA" w14:textId="0C691920"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22.781.462</w:t>
            </w:r>
          </w:p>
        </w:tc>
        <w:tc>
          <w:tcPr>
            <w:tcW w:w="605" w:type="pct"/>
            <w:tcMar>
              <w:left w:w="57" w:type="dxa"/>
              <w:right w:w="57" w:type="dxa"/>
            </w:tcMar>
            <w:vAlign w:val="bottom"/>
          </w:tcPr>
          <w:p w14:paraId="08D12638" w14:textId="059E825D"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100.002</w:t>
            </w:r>
          </w:p>
        </w:tc>
      </w:tr>
      <w:tr w:rsidR="003B7A7D" w:rsidRPr="00FB38E1" w14:paraId="3A60FE98" w14:textId="77777777" w:rsidTr="00836EF2">
        <w:tc>
          <w:tcPr>
            <w:tcW w:w="1617" w:type="pct"/>
            <w:tcMar>
              <w:left w:w="57" w:type="dxa"/>
              <w:right w:w="57" w:type="dxa"/>
            </w:tcMar>
            <w:vAlign w:val="center"/>
          </w:tcPr>
          <w:p w14:paraId="43A6CDE6" w14:textId="77777777" w:rsidR="003B7A7D" w:rsidRPr="00FB38E1" w:rsidRDefault="003B7A7D" w:rsidP="003B7A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Devlet tahvili/bono-diğer</w:t>
            </w:r>
          </w:p>
        </w:tc>
        <w:tc>
          <w:tcPr>
            <w:tcW w:w="564" w:type="pct"/>
            <w:tcMar>
              <w:left w:w="57" w:type="dxa"/>
              <w:right w:w="57" w:type="dxa"/>
            </w:tcMar>
            <w:vAlign w:val="bottom"/>
          </w:tcPr>
          <w:p w14:paraId="7135CFB6" w14:textId="5569E4C1"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386E6D2F" w14:textId="04C68651"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7F5F657C" w14:textId="705B85D8"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09C535D8" w14:textId="36805AD3"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6DAF533E" w14:textId="4598403C"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7A195F11" w14:textId="7CDC8D78"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77.357.484</w:t>
            </w:r>
          </w:p>
        </w:tc>
      </w:tr>
      <w:tr w:rsidR="003B7A7D" w:rsidRPr="00FB38E1" w14:paraId="1B94A262" w14:textId="77777777" w:rsidTr="00836EF2">
        <w:tc>
          <w:tcPr>
            <w:tcW w:w="1617" w:type="pct"/>
            <w:tcMar>
              <w:left w:w="57" w:type="dxa"/>
              <w:right w:w="57" w:type="dxa"/>
            </w:tcMar>
            <w:vAlign w:val="center"/>
          </w:tcPr>
          <w:p w14:paraId="3613EAF4" w14:textId="77777777" w:rsidR="003B7A7D" w:rsidRPr="00FB38E1" w:rsidRDefault="003B7A7D" w:rsidP="003B7A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Kamu kurum tahvil/bono</w:t>
            </w:r>
          </w:p>
        </w:tc>
        <w:tc>
          <w:tcPr>
            <w:tcW w:w="564" w:type="pct"/>
            <w:tcMar>
              <w:left w:w="57" w:type="dxa"/>
              <w:right w:w="57" w:type="dxa"/>
            </w:tcMar>
            <w:vAlign w:val="bottom"/>
          </w:tcPr>
          <w:p w14:paraId="35297566" w14:textId="1D1ADD11"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12898CF8" w14:textId="49D0AC39"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41F1C170" w14:textId="74D4A093"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7296BA21" w14:textId="3CE56F0E"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1B6F7907" w14:textId="2CEBF7E6"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1E82D0E5" w14:textId="42D8C88C"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B7A7D" w:rsidRPr="00FB38E1" w14:paraId="72C7D0F8" w14:textId="77777777" w:rsidTr="00836EF2">
        <w:tc>
          <w:tcPr>
            <w:tcW w:w="1617" w:type="pct"/>
            <w:tcMar>
              <w:left w:w="57" w:type="dxa"/>
              <w:right w:w="57" w:type="dxa"/>
            </w:tcMar>
            <w:vAlign w:val="center"/>
          </w:tcPr>
          <w:p w14:paraId="30263E21" w14:textId="77777777" w:rsidR="003B7A7D" w:rsidRPr="00FB38E1" w:rsidRDefault="003B7A7D" w:rsidP="003B7A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Kurumsal tahvil/bono</w:t>
            </w:r>
          </w:p>
        </w:tc>
        <w:tc>
          <w:tcPr>
            <w:tcW w:w="564" w:type="pct"/>
            <w:tcMar>
              <w:left w:w="57" w:type="dxa"/>
              <w:right w:w="57" w:type="dxa"/>
            </w:tcMar>
            <w:vAlign w:val="bottom"/>
          </w:tcPr>
          <w:p w14:paraId="462A3820" w14:textId="3C39AB87"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5CB8100B" w14:textId="4EEB0B35"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1C4C6FD5" w14:textId="3A314EFA"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3B6AFF31" w14:textId="3E62AA04"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12CCD937" w14:textId="13F87319"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57B5C15C" w14:textId="4A31A6EA"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B7A7D" w:rsidRPr="00FB38E1" w14:paraId="1895668A" w14:textId="77777777" w:rsidTr="00836EF2">
        <w:tc>
          <w:tcPr>
            <w:tcW w:w="1617" w:type="pct"/>
            <w:tcMar>
              <w:left w:w="57" w:type="dxa"/>
              <w:right w:w="57" w:type="dxa"/>
            </w:tcMar>
            <w:vAlign w:val="center"/>
          </w:tcPr>
          <w:p w14:paraId="76A89F2B" w14:textId="77777777" w:rsidR="003B7A7D" w:rsidRPr="00FB38E1" w:rsidRDefault="003B7A7D" w:rsidP="003B7A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Hisse senedi</w:t>
            </w:r>
          </w:p>
        </w:tc>
        <w:tc>
          <w:tcPr>
            <w:tcW w:w="564" w:type="pct"/>
            <w:tcMar>
              <w:left w:w="57" w:type="dxa"/>
              <w:right w:w="57" w:type="dxa"/>
            </w:tcMar>
            <w:vAlign w:val="bottom"/>
          </w:tcPr>
          <w:p w14:paraId="3DEF362C" w14:textId="589048E3"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1CFE1213" w14:textId="35F9B637"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5A081F71" w14:textId="1A824165"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04AB2944" w14:textId="0F6F87B6"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355AC8CE" w14:textId="14EF5780"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76D65C07" w14:textId="3C2861F1"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B7A7D" w:rsidRPr="00FB38E1" w14:paraId="7D25BBAB" w14:textId="77777777" w:rsidTr="00836EF2">
        <w:tc>
          <w:tcPr>
            <w:tcW w:w="1617" w:type="pct"/>
            <w:tcMar>
              <w:left w:w="57" w:type="dxa"/>
              <w:right w:w="57" w:type="dxa"/>
            </w:tcMar>
            <w:vAlign w:val="center"/>
          </w:tcPr>
          <w:p w14:paraId="368B887C" w14:textId="77777777" w:rsidR="003B7A7D" w:rsidRPr="00FB38E1" w:rsidRDefault="003B7A7D" w:rsidP="003B7A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teminat</w:t>
            </w:r>
          </w:p>
        </w:tc>
        <w:tc>
          <w:tcPr>
            <w:tcW w:w="564" w:type="pct"/>
            <w:tcMar>
              <w:left w:w="57" w:type="dxa"/>
              <w:right w:w="57" w:type="dxa"/>
            </w:tcMar>
            <w:vAlign w:val="bottom"/>
          </w:tcPr>
          <w:p w14:paraId="21FFDA69" w14:textId="2BCC6766"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6F6AAE0E" w14:textId="4144122E"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6AA44CF7" w14:textId="4DD953E9"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4" w:type="pct"/>
            <w:tcMar>
              <w:left w:w="57" w:type="dxa"/>
              <w:right w:w="57" w:type="dxa"/>
            </w:tcMar>
            <w:vAlign w:val="bottom"/>
          </w:tcPr>
          <w:p w14:paraId="3C297F90" w14:textId="128EB94E"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2" w:type="pct"/>
            <w:tcMar>
              <w:left w:w="57" w:type="dxa"/>
              <w:right w:w="57" w:type="dxa"/>
            </w:tcMar>
            <w:vAlign w:val="bottom"/>
          </w:tcPr>
          <w:p w14:paraId="1F0F9D5E" w14:textId="0D40C87E"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5" w:type="pct"/>
            <w:tcMar>
              <w:left w:w="57" w:type="dxa"/>
              <w:right w:w="57" w:type="dxa"/>
            </w:tcMar>
            <w:vAlign w:val="bottom"/>
          </w:tcPr>
          <w:p w14:paraId="3514E1C3" w14:textId="182A1DD3"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B7A7D" w:rsidRPr="00FB38E1" w14:paraId="61BC44FD" w14:textId="77777777" w:rsidTr="00836EF2">
        <w:tc>
          <w:tcPr>
            <w:tcW w:w="1617" w:type="pct"/>
            <w:tcBorders>
              <w:top w:val="single" w:sz="4" w:space="0" w:color="auto"/>
              <w:bottom w:val="thickThinSmallGap" w:sz="24" w:space="0" w:color="auto"/>
            </w:tcBorders>
            <w:tcMar>
              <w:left w:w="57" w:type="dxa"/>
              <w:right w:w="57" w:type="dxa"/>
            </w:tcMar>
          </w:tcPr>
          <w:p w14:paraId="2B9D9A6A" w14:textId="77777777" w:rsidR="003B7A7D" w:rsidRPr="00FB38E1" w:rsidRDefault="003B7A7D" w:rsidP="003B7A7D">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564" w:type="pct"/>
            <w:tcBorders>
              <w:top w:val="single" w:sz="4" w:space="0" w:color="auto"/>
              <w:bottom w:val="thickThinSmallGap" w:sz="24" w:space="0" w:color="auto"/>
            </w:tcBorders>
            <w:tcMar>
              <w:left w:w="57" w:type="dxa"/>
              <w:right w:w="57" w:type="dxa"/>
            </w:tcMar>
            <w:vAlign w:val="bottom"/>
          </w:tcPr>
          <w:p w14:paraId="5839A1C2" w14:textId="41139B32" w:rsidR="003B7A7D" w:rsidRPr="00FB38E1" w:rsidRDefault="003B7A7D" w:rsidP="003B7A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5.669.000</w:t>
            </w:r>
          </w:p>
        </w:tc>
        <w:tc>
          <w:tcPr>
            <w:tcW w:w="564" w:type="pct"/>
            <w:tcBorders>
              <w:top w:val="single" w:sz="4" w:space="0" w:color="auto"/>
              <w:bottom w:val="thickThinSmallGap" w:sz="24" w:space="0" w:color="auto"/>
            </w:tcBorders>
            <w:tcMar>
              <w:left w:w="57" w:type="dxa"/>
              <w:right w:w="57" w:type="dxa"/>
            </w:tcMar>
            <w:vAlign w:val="bottom"/>
          </w:tcPr>
          <w:p w14:paraId="35FF73BB" w14:textId="2DC79DDD" w:rsidR="003B7A7D" w:rsidRPr="00FB38E1" w:rsidRDefault="003B7A7D" w:rsidP="003B7A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tcMar>
              <w:left w:w="57" w:type="dxa"/>
              <w:right w:w="57" w:type="dxa"/>
            </w:tcMar>
            <w:vAlign w:val="bottom"/>
          </w:tcPr>
          <w:p w14:paraId="2407A820" w14:textId="3F71CEBB" w:rsidR="003B7A7D" w:rsidRPr="00FB38E1" w:rsidRDefault="003B7A7D" w:rsidP="003B7A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64" w:type="pct"/>
            <w:tcBorders>
              <w:top w:val="single" w:sz="4" w:space="0" w:color="auto"/>
              <w:bottom w:val="thickThinSmallGap" w:sz="24" w:space="0" w:color="auto"/>
            </w:tcBorders>
            <w:tcMar>
              <w:left w:w="57" w:type="dxa"/>
              <w:right w:w="57" w:type="dxa"/>
            </w:tcMar>
            <w:vAlign w:val="bottom"/>
          </w:tcPr>
          <w:p w14:paraId="54C98946" w14:textId="1154C131" w:rsidR="003B7A7D" w:rsidRPr="00FB38E1" w:rsidRDefault="003B7A7D" w:rsidP="003B7A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22" w:type="pct"/>
            <w:tcBorders>
              <w:top w:val="single" w:sz="4" w:space="0" w:color="auto"/>
              <w:bottom w:val="thickThinSmallGap" w:sz="24" w:space="0" w:color="auto"/>
            </w:tcBorders>
            <w:tcMar>
              <w:left w:w="57" w:type="dxa"/>
              <w:right w:w="57" w:type="dxa"/>
            </w:tcMar>
            <w:vAlign w:val="bottom"/>
          </w:tcPr>
          <w:p w14:paraId="52A41E5E" w14:textId="18D3346A" w:rsidR="003B7A7D" w:rsidRPr="00FB38E1" w:rsidRDefault="003B7A7D" w:rsidP="003B7A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75.471.239</w:t>
            </w:r>
          </w:p>
        </w:tc>
        <w:tc>
          <w:tcPr>
            <w:tcW w:w="605" w:type="pct"/>
            <w:tcBorders>
              <w:top w:val="single" w:sz="4" w:space="0" w:color="auto"/>
              <w:bottom w:val="thickThinSmallGap" w:sz="24" w:space="0" w:color="auto"/>
            </w:tcBorders>
            <w:tcMar>
              <w:left w:w="57" w:type="dxa"/>
              <w:right w:w="57" w:type="dxa"/>
            </w:tcMar>
            <w:vAlign w:val="bottom"/>
          </w:tcPr>
          <w:p w14:paraId="7D2DD11D" w14:textId="6C9C6B2E" w:rsidR="003B7A7D" w:rsidRPr="00FB38E1" w:rsidRDefault="003B7A7D" w:rsidP="003B7A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100.254.927</w:t>
            </w:r>
          </w:p>
        </w:tc>
      </w:tr>
    </w:tbl>
    <w:p w14:paraId="0EAF76B4" w14:textId="77777777" w:rsidR="00E036D3" w:rsidRPr="00FB38E1" w:rsidRDefault="00E036D3" w:rsidP="00364B59">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Kredi türevleri (KKR)</w:t>
      </w:r>
    </w:p>
    <w:p w14:paraId="7C69943B" w14:textId="603F89F8" w:rsidR="00E036D3" w:rsidRPr="00FB38E1" w:rsidRDefault="00E036D3" w:rsidP="00E036D3">
      <w:pPr>
        <w:pStyle w:val="ListParagraph"/>
        <w:spacing w:before="120" w:after="0" w:line="220" w:lineRule="exact"/>
        <w:ind w:left="0"/>
        <w:contextualSpacing w:val="0"/>
        <w:rPr>
          <w:rFonts w:ascii="Microsoft Sans Serif" w:hAnsi="Microsoft Sans Serif"/>
          <w:color w:val="404040" w:themeColor="text1" w:themeTint="BF"/>
          <w:sz w:val="20"/>
        </w:rPr>
      </w:pPr>
      <w:r w:rsidRPr="00FB38E1">
        <w:rPr>
          <w:rFonts w:ascii="Microsoft Sans Serif" w:hAnsi="Microsoft Sans Serif"/>
          <w:color w:val="404040" w:themeColor="text1" w:themeTint="BF"/>
          <w:sz w:val="20"/>
        </w:rPr>
        <w:t>Bulunmamaktadır.</w:t>
      </w:r>
    </w:p>
    <w:p w14:paraId="009CE03D" w14:textId="1D534247" w:rsidR="00B94420" w:rsidRPr="00FB38E1" w:rsidRDefault="00B94420" w:rsidP="00E036D3">
      <w:pPr>
        <w:pStyle w:val="ListParagraph"/>
        <w:spacing w:before="120" w:after="0" w:line="220" w:lineRule="exact"/>
        <w:ind w:left="0"/>
        <w:contextualSpacing w:val="0"/>
        <w:rPr>
          <w:rFonts w:ascii="Microsoft Sans Serif" w:hAnsi="Microsoft Sans Serif"/>
          <w:color w:val="404040" w:themeColor="text1" w:themeTint="BF"/>
          <w:sz w:val="20"/>
        </w:rPr>
      </w:pPr>
    </w:p>
    <w:p w14:paraId="1E226787" w14:textId="66F74462" w:rsidR="00B94420" w:rsidRPr="00FB38E1" w:rsidRDefault="00B94420" w:rsidP="00E036D3">
      <w:pPr>
        <w:pStyle w:val="ListParagraph"/>
        <w:spacing w:before="120" w:after="0" w:line="220" w:lineRule="exact"/>
        <w:ind w:left="0"/>
        <w:contextualSpacing w:val="0"/>
        <w:rPr>
          <w:rFonts w:ascii="Microsoft Sans Serif" w:hAnsi="Microsoft Sans Serif"/>
          <w:color w:val="404040" w:themeColor="text1" w:themeTint="BF"/>
          <w:sz w:val="20"/>
        </w:rPr>
      </w:pPr>
    </w:p>
    <w:p w14:paraId="37075EC9" w14:textId="3D1C210A" w:rsidR="00B94420" w:rsidRPr="00FB38E1" w:rsidRDefault="00B94420" w:rsidP="00E036D3">
      <w:pPr>
        <w:pStyle w:val="ListParagraph"/>
        <w:spacing w:before="120" w:after="0" w:line="220" w:lineRule="exact"/>
        <w:ind w:left="0"/>
        <w:contextualSpacing w:val="0"/>
        <w:rPr>
          <w:rFonts w:ascii="Microsoft Sans Serif" w:hAnsi="Microsoft Sans Serif"/>
          <w:color w:val="404040" w:themeColor="text1" w:themeTint="BF"/>
          <w:sz w:val="20"/>
        </w:rPr>
      </w:pPr>
    </w:p>
    <w:p w14:paraId="7B2C4E27" w14:textId="65408D66" w:rsidR="00B94420" w:rsidRPr="00FB38E1" w:rsidRDefault="00B94420" w:rsidP="00E036D3">
      <w:pPr>
        <w:pStyle w:val="ListParagraph"/>
        <w:spacing w:before="120" w:after="0" w:line="220" w:lineRule="exact"/>
        <w:ind w:left="0"/>
        <w:contextualSpacing w:val="0"/>
        <w:rPr>
          <w:rFonts w:ascii="Microsoft Sans Serif" w:hAnsi="Microsoft Sans Serif"/>
          <w:color w:val="404040" w:themeColor="text1" w:themeTint="BF"/>
          <w:sz w:val="20"/>
        </w:rPr>
      </w:pPr>
    </w:p>
    <w:p w14:paraId="787D7E48" w14:textId="04009C05" w:rsidR="00B94420" w:rsidRPr="00FB38E1" w:rsidRDefault="00B94420" w:rsidP="00E036D3">
      <w:pPr>
        <w:pStyle w:val="ListParagraph"/>
        <w:spacing w:before="120" w:after="0" w:line="220" w:lineRule="exact"/>
        <w:ind w:left="0"/>
        <w:contextualSpacing w:val="0"/>
        <w:rPr>
          <w:rFonts w:ascii="Microsoft Sans Serif" w:hAnsi="Microsoft Sans Serif"/>
          <w:color w:val="404040" w:themeColor="text1" w:themeTint="BF"/>
          <w:sz w:val="20"/>
        </w:rPr>
      </w:pPr>
    </w:p>
    <w:p w14:paraId="266E1361" w14:textId="61319FD3" w:rsidR="00B94420" w:rsidRPr="00FB38E1" w:rsidRDefault="00B94420" w:rsidP="00E036D3">
      <w:pPr>
        <w:pStyle w:val="ListParagraph"/>
        <w:spacing w:before="120" w:after="0" w:line="220" w:lineRule="exact"/>
        <w:ind w:left="0"/>
        <w:contextualSpacing w:val="0"/>
        <w:rPr>
          <w:rFonts w:ascii="Microsoft Sans Serif" w:hAnsi="Microsoft Sans Serif"/>
          <w:color w:val="404040" w:themeColor="text1" w:themeTint="BF"/>
          <w:sz w:val="20"/>
        </w:rPr>
      </w:pPr>
    </w:p>
    <w:p w14:paraId="47CD4442" w14:textId="77777777" w:rsidR="00B94420" w:rsidRPr="00FB38E1" w:rsidRDefault="00B94420" w:rsidP="00E036D3">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p>
    <w:p w14:paraId="79688827" w14:textId="77777777" w:rsidR="00E036D3" w:rsidRPr="00FB38E1" w:rsidRDefault="00E036D3" w:rsidP="00364B59">
      <w:pPr>
        <w:pStyle w:val="ListParagraph"/>
        <w:numPr>
          <w:ilvl w:val="0"/>
          <w:numId w:val="57"/>
        </w:numPr>
        <w:spacing w:before="240" w:after="120" w:line="240" w:lineRule="exact"/>
        <w:ind w:left="0" w:hanging="426"/>
        <w:contextualSpacing w:val="0"/>
        <w:rPr>
          <w:rFonts w:ascii="Microsoft Sans Serif" w:hAnsi="Microsoft Sans Serif" w:cs="Microsoft Sans Serif"/>
          <w:b/>
          <w:sz w:val="20"/>
          <w:szCs w:val="20"/>
        </w:rPr>
      </w:pPr>
      <w:bookmarkStart w:id="45" w:name="_Hlk127175798"/>
      <w:r w:rsidRPr="00FB38E1">
        <w:rPr>
          <w:rFonts w:ascii="Microsoft Sans Serif" w:hAnsi="Microsoft Sans Serif" w:cs="Microsoft Sans Serif"/>
          <w:b/>
          <w:sz w:val="20"/>
          <w:szCs w:val="20"/>
        </w:rPr>
        <w:t>Merkezi karşı tarafa (MKT) olan riskler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73"/>
        <w:gridCol w:w="5924"/>
        <w:gridCol w:w="1671"/>
        <w:gridCol w:w="1671"/>
      </w:tblGrid>
      <w:tr w:rsidR="00E036D3" w:rsidRPr="00FB38E1" w14:paraId="435AF2E1" w14:textId="77777777" w:rsidTr="00836EF2">
        <w:tc>
          <w:tcPr>
            <w:tcW w:w="193" w:type="pct"/>
          </w:tcPr>
          <w:p w14:paraId="3A3C2F96" w14:textId="77777777" w:rsidR="00E036D3" w:rsidRPr="00FB38E1" w:rsidRDefault="00E036D3" w:rsidP="00836EF2">
            <w:pPr>
              <w:rPr>
                <w:rFonts w:ascii="Microsoft Sans Serif" w:hAnsi="Microsoft Sans Serif" w:cs="Microsoft Sans Serif"/>
                <w:b/>
                <w:sz w:val="14"/>
                <w:szCs w:val="14"/>
              </w:rPr>
            </w:pPr>
          </w:p>
        </w:tc>
        <w:tc>
          <w:tcPr>
            <w:tcW w:w="3073" w:type="pct"/>
            <w:tcMar>
              <w:left w:w="57" w:type="dxa"/>
              <w:right w:w="57" w:type="dxa"/>
            </w:tcMar>
          </w:tcPr>
          <w:p w14:paraId="31FA6B3B" w14:textId="77777777" w:rsidR="00E036D3" w:rsidRPr="00FB38E1" w:rsidRDefault="00E036D3" w:rsidP="00836EF2">
            <w:pPr>
              <w:rPr>
                <w:rFonts w:ascii="Microsoft Sans Serif" w:hAnsi="Microsoft Sans Serif" w:cs="Microsoft Sans Serif"/>
                <w:b/>
                <w:sz w:val="14"/>
                <w:szCs w:val="14"/>
              </w:rPr>
            </w:pPr>
          </w:p>
        </w:tc>
        <w:tc>
          <w:tcPr>
            <w:tcW w:w="867" w:type="pct"/>
            <w:tcBorders>
              <w:top w:val="thinThickSmallGap" w:sz="24" w:space="0" w:color="auto"/>
              <w:bottom w:val="single" w:sz="4" w:space="0" w:color="auto"/>
            </w:tcBorders>
            <w:tcMar>
              <w:left w:w="57" w:type="dxa"/>
              <w:right w:w="57" w:type="dxa"/>
            </w:tcMar>
            <w:vAlign w:val="bottom"/>
          </w:tcPr>
          <w:p w14:paraId="6EF072D3"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a</w:t>
            </w:r>
          </w:p>
        </w:tc>
        <w:tc>
          <w:tcPr>
            <w:tcW w:w="867" w:type="pct"/>
            <w:tcBorders>
              <w:top w:val="thinThickSmallGap" w:sz="24" w:space="0" w:color="auto"/>
              <w:bottom w:val="single" w:sz="4" w:space="0" w:color="auto"/>
            </w:tcBorders>
            <w:tcMar>
              <w:left w:w="57" w:type="dxa"/>
              <w:right w:w="57" w:type="dxa"/>
            </w:tcMar>
            <w:vAlign w:val="bottom"/>
          </w:tcPr>
          <w:p w14:paraId="1971F1EE"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b</w:t>
            </w:r>
          </w:p>
        </w:tc>
      </w:tr>
      <w:tr w:rsidR="00E036D3" w:rsidRPr="00FB38E1" w14:paraId="168D2918" w14:textId="77777777" w:rsidTr="00836EF2">
        <w:trPr>
          <w:trHeight w:val="298"/>
        </w:trPr>
        <w:tc>
          <w:tcPr>
            <w:tcW w:w="193" w:type="pct"/>
            <w:tcBorders>
              <w:bottom w:val="single" w:sz="4" w:space="0" w:color="auto"/>
            </w:tcBorders>
          </w:tcPr>
          <w:p w14:paraId="13247D27" w14:textId="77777777" w:rsidR="00E036D3" w:rsidRPr="00FB38E1" w:rsidRDefault="00E036D3" w:rsidP="00836EF2">
            <w:pPr>
              <w:rPr>
                <w:rFonts w:ascii="Microsoft Sans Serif" w:hAnsi="Microsoft Sans Serif" w:cs="Microsoft Sans Serif"/>
                <w:b/>
                <w:sz w:val="14"/>
                <w:szCs w:val="14"/>
              </w:rPr>
            </w:pPr>
          </w:p>
        </w:tc>
        <w:tc>
          <w:tcPr>
            <w:tcW w:w="3073" w:type="pct"/>
            <w:tcBorders>
              <w:bottom w:val="single" w:sz="4" w:space="0" w:color="auto"/>
            </w:tcBorders>
            <w:tcMar>
              <w:left w:w="57" w:type="dxa"/>
              <w:right w:w="57" w:type="dxa"/>
            </w:tcMar>
            <w:vAlign w:val="bottom"/>
          </w:tcPr>
          <w:p w14:paraId="79E20BB8" w14:textId="77777777" w:rsidR="00E036D3" w:rsidRPr="00FB38E1" w:rsidRDefault="00E036D3" w:rsidP="00836EF2">
            <w:pPr>
              <w:rPr>
                <w:rFonts w:ascii="Microsoft Sans Serif" w:hAnsi="Microsoft Sans Serif" w:cs="Microsoft Sans Serif"/>
                <w:b/>
                <w:sz w:val="14"/>
                <w:szCs w:val="14"/>
              </w:rPr>
            </w:pPr>
            <w:r w:rsidRPr="00FB38E1">
              <w:rPr>
                <w:rFonts w:ascii="Microsoft Sans Serif" w:hAnsi="Microsoft Sans Serif" w:cs="Microsoft Sans Serif"/>
                <w:b/>
                <w:sz w:val="14"/>
                <w:szCs w:val="14"/>
              </w:rPr>
              <w:t>Cari Dönem</w:t>
            </w:r>
          </w:p>
        </w:tc>
        <w:tc>
          <w:tcPr>
            <w:tcW w:w="867" w:type="pct"/>
            <w:tcBorders>
              <w:top w:val="single" w:sz="4" w:space="0" w:color="auto"/>
              <w:bottom w:val="single" w:sz="4" w:space="0" w:color="auto"/>
            </w:tcBorders>
            <w:tcMar>
              <w:left w:w="57" w:type="dxa"/>
              <w:right w:w="57" w:type="dxa"/>
            </w:tcMar>
            <w:vAlign w:val="bottom"/>
          </w:tcPr>
          <w:p w14:paraId="6FE887C7"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KRA Sonrası Risk Tutarı</w:t>
            </w:r>
          </w:p>
        </w:tc>
        <w:tc>
          <w:tcPr>
            <w:tcW w:w="867" w:type="pct"/>
            <w:tcBorders>
              <w:top w:val="single" w:sz="4" w:space="0" w:color="auto"/>
              <w:bottom w:val="single" w:sz="4" w:space="0" w:color="auto"/>
            </w:tcBorders>
            <w:tcMar>
              <w:left w:w="57" w:type="dxa"/>
              <w:right w:w="57" w:type="dxa"/>
            </w:tcMar>
            <w:vAlign w:val="bottom"/>
          </w:tcPr>
          <w:p w14:paraId="46ADD9E6" w14:textId="77777777" w:rsidR="00E036D3" w:rsidRPr="00FB38E1" w:rsidRDefault="00E036D3" w:rsidP="00836EF2">
            <w:pPr>
              <w:jc w:val="center"/>
              <w:rPr>
                <w:rFonts w:ascii="Microsoft Sans Serif" w:hAnsi="Microsoft Sans Serif" w:cs="Microsoft Sans Serif"/>
                <w:b/>
                <w:sz w:val="14"/>
                <w:szCs w:val="14"/>
              </w:rPr>
            </w:pPr>
            <w:r w:rsidRPr="00FB38E1">
              <w:rPr>
                <w:rFonts w:ascii="Microsoft Sans Serif" w:hAnsi="Microsoft Sans Serif" w:cs="Microsoft Sans Serif"/>
                <w:b/>
                <w:sz w:val="14"/>
                <w:szCs w:val="14"/>
              </w:rPr>
              <w:t>RAT</w:t>
            </w:r>
          </w:p>
        </w:tc>
      </w:tr>
      <w:tr w:rsidR="00E036D3" w:rsidRPr="00FB38E1" w14:paraId="52421524" w14:textId="77777777" w:rsidTr="00836EF2">
        <w:tc>
          <w:tcPr>
            <w:tcW w:w="193" w:type="pct"/>
            <w:tcBorders>
              <w:top w:val="single" w:sz="4" w:space="0" w:color="auto"/>
              <w:bottom w:val="nil"/>
            </w:tcBorders>
            <w:tcMar>
              <w:right w:w="57" w:type="dxa"/>
            </w:tcMar>
          </w:tcPr>
          <w:p w14:paraId="406E3DB5" w14:textId="77777777" w:rsidR="00E036D3" w:rsidRPr="00FB38E1" w:rsidRDefault="00E036D3" w:rsidP="00836EF2">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1</w:t>
            </w:r>
          </w:p>
        </w:tc>
        <w:tc>
          <w:tcPr>
            <w:tcW w:w="3073" w:type="pct"/>
            <w:tcBorders>
              <w:top w:val="single" w:sz="4" w:space="0" w:color="auto"/>
              <w:bottom w:val="nil"/>
            </w:tcBorders>
            <w:tcMar>
              <w:left w:w="57" w:type="dxa"/>
              <w:right w:w="57" w:type="dxa"/>
            </w:tcMar>
            <w:vAlign w:val="bottom"/>
          </w:tcPr>
          <w:p w14:paraId="6042273D" w14:textId="77777777" w:rsidR="00E036D3" w:rsidRPr="00FB38E1" w:rsidRDefault="00E036D3" w:rsidP="00836EF2">
            <w:pPr>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000000"/>
                <w:sz w:val="14"/>
                <w:szCs w:val="14"/>
              </w:rPr>
              <w:t>Taraflardan birinin MKT olduğu nitelikli işlemlerden kaynaklanan toplam riskler</w:t>
            </w:r>
          </w:p>
        </w:tc>
        <w:tc>
          <w:tcPr>
            <w:tcW w:w="867" w:type="pct"/>
            <w:tcBorders>
              <w:top w:val="single" w:sz="4" w:space="0" w:color="auto"/>
              <w:bottom w:val="nil"/>
            </w:tcBorders>
            <w:tcMar>
              <w:left w:w="57" w:type="dxa"/>
              <w:right w:w="57" w:type="dxa"/>
            </w:tcMar>
            <w:vAlign w:val="center"/>
          </w:tcPr>
          <w:p w14:paraId="64E82ADF" w14:textId="77777777" w:rsidR="00E036D3" w:rsidRPr="00FB38E1" w:rsidRDefault="00E036D3" w:rsidP="00836EF2">
            <w:pPr>
              <w:jc w:val="right"/>
              <w:rPr>
                <w:rFonts w:ascii="Microsoft Sans Serif" w:hAnsi="Microsoft Sans Serif" w:cs="Microsoft Sans Serif"/>
                <w:color w:val="404040"/>
                <w:sz w:val="14"/>
                <w:szCs w:val="14"/>
              </w:rPr>
            </w:pPr>
          </w:p>
        </w:tc>
        <w:tc>
          <w:tcPr>
            <w:tcW w:w="867" w:type="pct"/>
            <w:tcBorders>
              <w:top w:val="single" w:sz="4" w:space="0" w:color="auto"/>
              <w:bottom w:val="nil"/>
            </w:tcBorders>
            <w:tcMar>
              <w:left w:w="57" w:type="dxa"/>
              <w:right w:w="57" w:type="dxa"/>
            </w:tcMar>
            <w:vAlign w:val="center"/>
          </w:tcPr>
          <w:p w14:paraId="39C19370" w14:textId="77777777" w:rsidR="00E036D3" w:rsidRPr="00FB38E1" w:rsidRDefault="00E036D3" w:rsidP="00836EF2">
            <w:pPr>
              <w:jc w:val="right"/>
              <w:rPr>
                <w:rFonts w:ascii="Microsoft Sans Serif" w:hAnsi="Microsoft Sans Serif" w:cs="Microsoft Sans Serif"/>
                <w:color w:val="404040"/>
                <w:sz w:val="14"/>
                <w:szCs w:val="14"/>
              </w:rPr>
            </w:pPr>
          </w:p>
        </w:tc>
      </w:tr>
      <w:tr w:rsidR="002A2DAA" w:rsidRPr="00FB38E1" w14:paraId="1A2A6D7C" w14:textId="77777777" w:rsidTr="00836EF2">
        <w:tc>
          <w:tcPr>
            <w:tcW w:w="193" w:type="pct"/>
            <w:tcBorders>
              <w:top w:val="nil"/>
            </w:tcBorders>
            <w:tcMar>
              <w:right w:w="57" w:type="dxa"/>
            </w:tcMar>
          </w:tcPr>
          <w:p w14:paraId="4C31DDAB"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2</w:t>
            </w:r>
          </w:p>
        </w:tc>
        <w:tc>
          <w:tcPr>
            <w:tcW w:w="3073" w:type="pct"/>
            <w:tcBorders>
              <w:top w:val="nil"/>
            </w:tcBorders>
            <w:tcMar>
              <w:left w:w="57" w:type="dxa"/>
              <w:right w:w="57" w:type="dxa"/>
            </w:tcMar>
            <w:vAlign w:val="bottom"/>
          </w:tcPr>
          <w:p w14:paraId="3011CFED"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MKT’deki işlemlerden kaynaklanan risklere ilişkin (başlangıç teminatı ve garanti fonuna konulan tutar hariç)</w:t>
            </w:r>
          </w:p>
        </w:tc>
        <w:tc>
          <w:tcPr>
            <w:tcW w:w="867" w:type="pct"/>
            <w:tcBorders>
              <w:top w:val="nil"/>
            </w:tcBorders>
            <w:tcMar>
              <w:left w:w="57" w:type="dxa"/>
              <w:right w:w="57" w:type="dxa"/>
            </w:tcMar>
            <w:vAlign w:val="center"/>
          </w:tcPr>
          <w:p w14:paraId="366272AB" w14:textId="51816AE2"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Borders>
              <w:top w:val="nil"/>
            </w:tcBorders>
            <w:tcMar>
              <w:left w:w="57" w:type="dxa"/>
              <w:right w:w="57" w:type="dxa"/>
            </w:tcMar>
            <w:vAlign w:val="center"/>
          </w:tcPr>
          <w:p w14:paraId="79D5CD1B" w14:textId="0CFA8427"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34A41388" w14:textId="77777777" w:rsidTr="00836EF2">
        <w:tc>
          <w:tcPr>
            <w:tcW w:w="193" w:type="pct"/>
            <w:tcMar>
              <w:right w:w="57" w:type="dxa"/>
            </w:tcMar>
          </w:tcPr>
          <w:p w14:paraId="68B6FE71"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3</w:t>
            </w:r>
          </w:p>
        </w:tc>
        <w:tc>
          <w:tcPr>
            <w:tcW w:w="3073" w:type="pct"/>
            <w:tcMar>
              <w:left w:w="170" w:type="dxa"/>
              <w:right w:w="57" w:type="dxa"/>
            </w:tcMar>
            <w:vAlign w:val="bottom"/>
          </w:tcPr>
          <w:p w14:paraId="4F4C316E"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(i) Tezgahüstü türev işlemler</w:t>
            </w:r>
          </w:p>
        </w:tc>
        <w:tc>
          <w:tcPr>
            <w:tcW w:w="867" w:type="pct"/>
            <w:tcMar>
              <w:left w:w="57" w:type="dxa"/>
              <w:right w:w="57" w:type="dxa"/>
            </w:tcMar>
            <w:vAlign w:val="center"/>
          </w:tcPr>
          <w:p w14:paraId="391136E2" w14:textId="53AF1755"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30.499</w:t>
            </w:r>
          </w:p>
        </w:tc>
        <w:tc>
          <w:tcPr>
            <w:tcW w:w="867" w:type="pct"/>
            <w:tcMar>
              <w:left w:w="57" w:type="dxa"/>
              <w:right w:w="57" w:type="dxa"/>
            </w:tcMar>
            <w:vAlign w:val="center"/>
          </w:tcPr>
          <w:p w14:paraId="6473417C" w14:textId="64EC1D52"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610</w:t>
            </w:r>
          </w:p>
        </w:tc>
      </w:tr>
      <w:tr w:rsidR="002A2DAA" w:rsidRPr="00FB38E1" w14:paraId="21FE529E" w14:textId="77777777" w:rsidTr="00836EF2">
        <w:tc>
          <w:tcPr>
            <w:tcW w:w="193" w:type="pct"/>
            <w:tcMar>
              <w:right w:w="57" w:type="dxa"/>
            </w:tcMar>
          </w:tcPr>
          <w:p w14:paraId="158E07F3"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4</w:t>
            </w:r>
          </w:p>
        </w:tc>
        <w:tc>
          <w:tcPr>
            <w:tcW w:w="3073" w:type="pct"/>
            <w:tcMar>
              <w:left w:w="170" w:type="dxa"/>
              <w:right w:w="57" w:type="dxa"/>
            </w:tcMar>
            <w:vAlign w:val="bottom"/>
          </w:tcPr>
          <w:p w14:paraId="04D3A9F5"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(ii) Diğer türev işlemler</w:t>
            </w:r>
          </w:p>
        </w:tc>
        <w:tc>
          <w:tcPr>
            <w:tcW w:w="867" w:type="pct"/>
            <w:tcMar>
              <w:left w:w="57" w:type="dxa"/>
              <w:right w:w="57" w:type="dxa"/>
            </w:tcMar>
            <w:vAlign w:val="center"/>
          </w:tcPr>
          <w:p w14:paraId="472BC3B7" w14:textId="654C3438"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750027A8" w14:textId="352EBD96"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1D74FA71" w14:textId="77777777" w:rsidTr="00836EF2">
        <w:tc>
          <w:tcPr>
            <w:tcW w:w="193" w:type="pct"/>
            <w:tcMar>
              <w:right w:w="57" w:type="dxa"/>
            </w:tcMar>
          </w:tcPr>
          <w:p w14:paraId="34B4312B"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5</w:t>
            </w:r>
          </w:p>
        </w:tc>
        <w:tc>
          <w:tcPr>
            <w:tcW w:w="3073" w:type="pct"/>
            <w:tcMar>
              <w:left w:w="170" w:type="dxa"/>
              <w:right w:w="57" w:type="dxa"/>
            </w:tcMar>
            <w:vAlign w:val="bottom"/>
          </w:tcPr>
          <w:p w14:paraId="7FCF1A2E"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(iii) Menkul kıymet finansman işlemleri</w:t>
            </w:r>
          </w:p>
        </w:tc>
        <w:tc>
          <w:tcPr>
            <w:tcW w:w="867" w:type="pct"/>
            <w:tcMar>
              <w:left w:w="57" w:type="dxa"/>
              <w:right w:w="57" w:type="dxa"/>
            </w:tcMar>
            <w:vAlign w:val="center"/>
          </w:tcPr>
          <w:p w14:paraId="472C5590" w14:textId="78CE1823"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0ADB6316" w14:textId="0FE3A33E"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02601C25" w14:textId="77777777" w:rsidTr="00836EF2">
        <w:tc>
          <w:tcPr>
            <w:tcW w:w="193" w:type="pct"/>
            <w:tcMar>
              <w:right w:w="57" w:type="dxa"/>
            </w:tcMar>
          </w:tcPr>
          <w:p w14:paraId="2BB8846A"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6</w:t>
            </w:r>
          </w:p>
        </w:tc>
        <w:tc>
          <w:tcPr>
            <w:tcW w:w="3073" w:type="pct"/>
            <w:tcMar>
              <w:left w:w="170" w:type="dxa"/>
              <w:right w:w="57" w:type="dxa"/>
            </w:tcMar>
            <w:vAlign w:val="bottom"/>
          </w:tcPr>
          <w:p w14:paraId="60BC954C"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(iv) Çapraz ürün netleştirme işleminin uygulandığı netleştirme grupları</w:t>
            </w:r>
          </w:p>
        </w:tc>
        <w:tc>
          <w:tcPr>
            <w:tcW w:w="867" w:type="pct"/>
            <w:tcMar>
              <w:left w:w="57" w:type="dxa"/>
              <w:right w:w="57" w:type="dxa"/>
            </w:tcMar>
            <w:vAlign w:val="center"/>
          </w:tcPr>
          <w:p w14:paraId="3DB866B1" w14:textId="5B82762A"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66486539" w14:textId="7C6BCF1F"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72E2B3D0" w14:textId="77777777" w:rsidTr="00836EF2">
        <w:tc>
          <w:tcPr>
            <w:tcW w:w="193" w:type="pct"/>
            <w:tcMar>
              <w:right w:w="57" w:type="dxa"/>
            </w:tcMar>
          </w:tcPr>
          <w:p w14:paraId="3C246227"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7</w:t>
            </w:r>
          </w:p>
        </w:tc>
        <w:tc>
          <w:tcPr>
            <w:tcW w:w="3073" w:type="pct"/>
            <w:tcMar>
              <w:left w:w="57" w:type="dxa"/>
              <w:right w:w="57" w:type="dxa"/>
            </w:tcMar>
            <w:vAlign w:val="bottom"/>
          </w:tcPr>
          <w:p w14:paraId="5AD63A2D"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Serbest olmayan başlangıç teminatı</w:t>
            </w:r>
          </w:p>
        </w:tc>
        <w:tc>
          <w:tcPr>
            <w:tcW w:w="867" w:type="pct"/>
            <w:tcMar>
              <w:left w:w="57" w:type="dxa"/>
              <w:right w:w="57" w:type="dxa"/>
            </w:tcMar>
            <w:vAlign w:val="center"/>
          </w:tcPr>
          <w:p w14:paraId="6782B02E" w14:textId="4921F788"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1BADBAC4" w14:textId="2C2A497C"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55596715" w14:textId="77777777" w:rsidTr="00836EF2">
        <w:tc>
          <w:tcPr>
            <w:tcW w:w="193" w:type="pct"/>
            <w:tcMar>
              <w:right w:w="57" w:type="dxa"/>
            </w:tcMar>
          </w:tcPr>
          <w:p w14:paraId="7E191EC1"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8</w:t>
            </w:r>
          </w:p>
        </w:tc>
        <w:tc>
          <w:tcPr>
            <w:tcW w:w="3073" w:type="pct"/>
            <w:tcMar>
              <w:left w:w="57" w:type="dxa"/>
              <w:right w:w="57" w:type="dxa"/>
            </w:tcMar>
            <w:vAlign w:val="bottom"/>
          </w:tcPr>
          <w:p w14:paraId="24BDDD68"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Serbest başlangıç teminatı</w:t>
            </w:r>
          </w:p>
        </w:tc>
        <w:tc>
          <w:tcPr>
            <w:tcW w:w="867" w:type="pct"/>
            <w:tcMar>
              <w:left w:w="57" w:type="dxa"/>
              <w:right w:w="57" w:type="dxa"/>
            </w:tcMar>
            <w:vAlign w:val="center"/>
          </w:tcPr>
          <w:p w14:paraId="22E3AC09" w14:textId="7893A4D6"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134B932A" w14:textId="32E808BB"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00CDE85F" w14:textId="77777777" w:rsidTr="00836EF2">
        <w:tc>
          <w:tcPr>
            <w:tcW w:w="193" w:type="pct"/>
            <w:tcMar>
              <w:right w:w="57" w:type="dxa"/>
            </w:tcMar>
          </w:tcPr>
          <w:p w14:paraId="61D46CA4"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9</w:t>
            </w:r>
          </w:p>
        </w:tc>
        <w:tc>
          <w:tcPr>
            <w:tcW w:w="3073" w:type="pct"/>
            <w:tcMar>
              <w:left w:w="57" w:type="dxa"/>
              <w:right w:w="57" w:type="dxa"/>
            </w:tcMar>
            <w:vAlign w:val="bottom"/>
          </w:tcPr>
          <w:p w14:paraId="2D58AB84"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Garanti fonuna konulan tutar</w:t>
            </w:r>
          </w:p>
        </w:tc>
        <w:tc>
          <w:tcPr>
            <w:tcW w:w="867" w:type="pct"/>
            <w:tcMar>
              <w:left w:w="57" w:type="dxa"/>
              <w:right w:w="57" w:type="dxa"/>
            </w:tcMar>
            <w:vAlign w:val="center"/>
          </w:tcPr>
          <w:p w14:paraId="3DB8BBEC" w14:textId="478FEFF9"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67.980</w:t>
            </w:r>
          </w:p>
        </w:tc>
        <w:tc>
          <w:tcPr>
            <w:tcW w:w="867" w:type="pct"/>
            <w:tcMar>
              <w:left w:w="57" w:type="dxa"/>
              <w:right w:w="57" w:type="dxa"/>
            </w:tcMar>
            <w:vAlign w:val="center"/>
          </w:tcPr>
          <w:p w14:paraId="730E25D2" w14:textId="33A6F6E9"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w:t>
            </w:r>
          </w:p>
        </w:tc>
      </w:tr>
      <w:tr w:rsidR="002A2DAA" w:rsidRPr="00FB38E1" w14:paraId="1D776E39" w14:textId="77777777" w:rsidTr="00836EF2">
        <w:tc>
          <w:tcPr>
            <w:tcW w:w="193" w:type="pct"/>
            <w:tcMar>
              <w:right w:w="57" w:type="dxa"/>
            </w:tcMar>
          </w:tcPr>
          <w:p w14:paraId="76583A62"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10</w:t>
            </w:r>
          </w:p>
        </w:tc>
        <w:tc>
          <w:tcPr>
            <w:tcW w:w="3073" w:type="pct"/>
            <w:tcMar>
              <w:left w:w="57" w:type="dxa"/>
              <w:right w:w="57" w:type="dxa"/>
            </w:tcMar>
            <w:vAlign w:val="bottom"/>
          </w:tcPr>
          <w:p w14:paraId="31C4B272"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Garanti fonuna konulması taahhüt edilen tutar</w:t>
            </w:r>
          </w:p>
        </w:tc>
        <w:tc>
          <w:tcPr>
            <w:tcW w:w="867" w:type="pct"/>
            <w:tcMar>
              <w:left w:w="57" w:type="dxa"/>
              <w:right w:w="57" w:type="dxa"/>
            </w:tcMar>
            <w:vAlign w:val="center"/>
          </w:tcPr>
          <w:p w14:paraId="61FE938F" w14:textId="6D834983"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7E6FAE1C" w14:textId="29D47A4F"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3C9A2FD2" w14:textId="77777777" w:rsidTr="00836EF2">
        <w:tc>
          <w:tcPr>
            <w:tcW w:w="193" w:type="pct"/>
            <w:tcMar>
              <w:right w:w="57" w:type="dxa"/>
            </w:tcMar>
          </w:tcPr>
          <w:p w14:paraId="09CC328A" w14:textId="77777777" w:rsidR="002A2DAA" w:rsidRPr="00FB38E1" w:rsidRDefault="002A2DAA" w:rsidP="002A2DAA">
            <w:pPr>
              <w:jc w:val="right"/>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11</w:t>
            </w:r>
          </w:p>
        </w:tc>
        <w:tc>
          <w:tcPr>
            <w:tcW w:w="3073" w:type="pct"/>
            <w:tcMar>
              <w:left w:w="57" w:type="dxa"/>
              <w:right w:w="57" w:type="dxa"/>
            </w:tcMar>
            <w:vAlign w:val="bottom"/>
          </w:tcPr>
          <w:p w14:paraId="79BB8397" w14:textId="77777777" w:rsidR="002A2DAA" w:rsidRPr="00FB38E1" w:rsidRDefault="002A2DAA" w:rsidP="002A2DAA">
            <w:pPr>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000000"/>
                <w:sz w:val="14"/>
                <w:szCs w:val="14"/>
              </w:rPr>
              <w:t>Taraflardan birinin MKT olduğu nitelikli olmayan işlemlerden kaynaklanan toplam riskler</w:t>
            </w:r>
          </w:p>
        </w:tc>
        <w:tc>
          <w:tcPr>
            <w:tcW w:w="867" w:type="pct"/>
            <w:tcMar>
              <w:left w:w="57" w:type="dxa"/>
              <w:right w:w="57" w:type="dxa"/>
            </w:tcMar>
            <w:vAlign w:val="center"/>
          </w:tcPr>
          <w:p w14:paraId="29B41F2F" w14:textId="77777777" w:rsidR="002A2DAA" w:rsidRPr="00FB38E1" w:rsidRDefault="002A2DAA" w:rsidP="002A2DAA">
            <w:pPr>
              <w:jc w:val="right"/>
              <w:rPr>
                <w:rFonts w:ascii="Microsoft Sans Serif" w:hAnsi="Microsoft Sans Serif" w:cs="Microsoft Sans Serif"/>
                <w:color w:val="404040"/>
                <w:sz w:val="14"/>
                <w:szCs w:val="14"/>
              </w:rPr>
            </w:pPr>
          </w:p>
        </w:tc>
        <w:tc>
          <w:tcPr>
            <w:tcW w:w="867" w:type="pct"/>
            <w:tcMar>
              <w:left w:w="57" w:type="dxa"/>
              <w:right w:w="57" w:type="dxa"/>
            </w:tcMar>
            <w:vAlign w:val="center"/>
          </w:tcPr>
          <w:p w14:paraId="7E1D1421" w14:textId="77777777" w:rsidR="002A2DAA" w:rsidRPr="00FB38E1" w:rsidRDefault="002A2DAA" w:rsidP="002A2DAA">
            <w:pPr>
              <w:jc w:val="right"/>
              <w:rPr>
                <w:rFonts w:ascii="Microsoft Sans Serif" w:hAnsi="Microsoft Sans Serif" w:cs="Microsoft Sans Serif"/>
                <w:color w:val="404040"/>
                <w:sz w:val="14"/>
                <w:szCs w:val="14"/>
              </w:rPr>
            </w:pPr>
          </w:p>
        </w:tc>
      </w:tr>
      <w:tr w:rsidR="002A2DAA" w:rsidRPr="00FB38E1" w14:paraId="04F9B059" w14:textId="77777777" w:rsidTr="00836EF2">
        <w:tc>
          <w:tcPr>
            <w:tcW w:w="193" w:type="pct"/>
            <w:tcMar>
              <w:right w:w="57" w:type="dxa"/>
            </w:tcMar>
          </w:tcPr>
          <w:p w14:paraId="0229729F"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12</w:t>
            </w:r>
          </w:p>
        </w:tc>
        <w:tc>
          <w:tcPr>
            <w:tcW w:w="3073" w:type="pct"/>
            <w:tcMar>
              <w:left w:w="57" w:type="dxa"/>
              <w:right w:w="57" w:type="dxa"/>
            </w:tcMar>
            <w:vAlign w:val="bottom"/>
          </w:tcPr>
          <w:p w14:paraId="0B1EDD63"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MKT’deki işlemlerden kaynaklanan risklere ilişkin (başlangıç teminatı ve garanti fonuna konulan tutar hariç)</w:t>
            </w:r>
          </w:p>
        </w:tc>
        <w:tc>
          <w:tcPr>
            <w:tcW w:w="867" w:type="pct"/>
            <w:tcMar>
              <w:left w:w="57" w:type="dxa"/>
              <w:right w:w="57" w:type="dxa"/>
            </w:tcMar>
            <w:vAlign w:val="center"/>
          </w:tcPr>
          <w:p w14:paraId="3A1FC51B" w14:textId="5972960E"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6FD978BC" w14:textId="64852E2C"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4A3F1457" w14:textId="77777777" w:rsidTr="00836EF2">
        <w:tc>
          <w:tcPr>
            <w:tcW w:w="193" w:type="pct"/>
            <w:tcMar>
              <w:right w:w="57" w:type="dxa"/>
            </w:tcMar>
          </w:tcPr>
          <w:p w14:paraId="79EEF71B"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13</w:t>
            </w:r>
          </w:p>
        </w:tc>
        <w:tc>
          <w:tcPr>
            <w:tcW w:w="3073" w:type="pct"/>
            <w:tcMar>
              <w:left w:w="170" w:type="dxa"/>
              <w:right w:w="57" w:type="dxa"/>
            </w:tcMar>
            <w:vAlign w:val="bottom"/>
          </w:tcPr>
          <w:p w14:paraId="5F8AD086"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(i) Tezgahüstü türev işlemler</w:t>
            </w:r>
          </w:p>
        </w:tc>
        <w:tc>
          <w:tcPr>
            <w:tcW w:w="867" w:type="pct"/>
            <w:tcMar>
              <w:left w:w="57" w:type="dxa"/>
              <w:right w:w="57" w:type="dxa"/>
            </w:tcMar>
            <w:vAlign w:val="center"/>
          </w:tcPr>
          <w:p w14:paraId="6B6E9F7C" w14:textId="6B1E3B0C"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0DE94D17" w14:textId="10C88FA6"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548FBF2F" w14:textId="77777777" w:rsidTr="00836EF2">
        <w:tc>
          <w:tcPr>
            <w:tcW w:w="193" w:type="pct"/>
            <w:tcMar>
              <w:right w:w="57" w:type="dxa"/>
            </w:tcMar>
          </w:tcPr>
          <w:p w14:paraId="70FC3527"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14</w:t>
            </w:r>
          </w:p>
        </w:tc>
        <w:tc>
          <w:tcPr>
            <w:tcW w:w="3073" w:type="pct"/>
            <w:tcMar>
              <w:left w:w="170" w:type="dxa"/>
              <w:right w:w="57" w:type="dxa"/>
            </w:tcMar>
            <w:vAlign w:val="bottom"/>
          </w:tcPr>
          <w:p w14:paraId="16901A6C"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(ii) Diğer türev işlemler</w:t>
            </w:r>
          </w:p>
        </w:tc>
        <w:tc>
          <w:tcPr>
            <w:tcW w:w="867" w:type="pct"/>
            <w:tcMar>
              <w:left w:w="57" w:type="dxa"/>
              <w:right w:w="57" w:type="dxa"/>
            </w:tcMar>
            <w:vAlign w:val="center"/>
          </w:tcPr>
          <w:p w14:paraId="31526173" w14:textId="7DD396A0"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407145CE" w14:textId="60DBF0BE"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273E1F44" w14:textId="77777777" w:rsidTr="00836EF2">
        <w:tc>
          <w:tcPr>
            <w:tcW w:w="193" w:type="pct"/>
            <w:tcMar>
              <w:right w:w="57" w:type="dxa"/>
            </w:tcMar>
          </w:tcPr>
          <w:p w14:paraId="29A655A0"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15</w:t>
            </w:r>
          </w:p>
        </w:tc>
        <w:tc>
          <w:tcPr>
            <w:tcW w:w="3073" w:type="pct"/>
            <w:tcMar>
              <w:left w:w="170" w:type="dxa"/>
              <w:right w:w="57" w:type="dxa"/>
            </w:tcMar>
            <w:vAlign w:val="bottom"/>
          </w:tcPr>
          <w:p w14:paraId="6D2FB603"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(iii) Menkul kıymet finansman işlemleri</w:t>
            </w:r>
          </w:p>
        </w:tc>
        <w:tc>
          <w:tcPr>
            <w:tcW w:w="867" w:type="pct"/>
            <w:tcMar>
              <w:left w:w="57" w:type="dxa"/>
              <w:right w:w="57" w:type="dxa"/>
            </w:tcMar>
            <w:vAlign w:val="center"/>
          </w:tcPr>
          <w:p w14:paraId="5A667797" w14:textId="19D73777"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Mar>
              <w:left w:w="57" w:type="dxa"/>
              <w:right w:w="57" w:type="dxa"/>
            </w:tcMar>
            <w:vAlign w:val="center"/>
          </w:tcPr>
          <w:p w14:paraId="2806C847" w14:textId="37A21EC9"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01AF8CF0" w14:textId="77777777" w:rsidTr="00836EF2">
        <w:tc>
          <w:tcPr>
            <w:tcW w:w="193" w:type="pct"/>
            <w:tcBorders>
              <w:bottom w:val="nil"/>
            </w:tcBorders>
            <w:tcMar>
              <w:right w:w="57" w:type="dxa"/>
            </w:tcMar>
          </w:tcPr>
          <w:p w14:paraId="15423485"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16</w:t>
            </w:r>
          </w:p>
        </w:tc>
        <w:tc>
          <w:tcPr>
            <w:tcW w:w="3073" w:type="pct"/>
            <w:tcBorders>
              <w:bottom w:val="nil"/>
            </w:tcBorders>
            <w:tcMar>
              <w:left w:w="170" w:type="dxa"/>
              <w:right w:w="57" w:type="dxa"/>
            </w:tcMar>
            <w:vAlign w:val="bottom"/>
          </w:tcPr>
          <w:p w14:paraId="27E58A5D"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(iv) Çapraz ürün netleştirme işleminin uygulandığı netleştirme grupları</w:t>
            </w:r>
          </w:p>
        </w:tc>
        <w:tc>
          <w:tcPr>
            <w:tcW w:w="867" w:type="pct"/>
            <w:tcBorders>
              <w:bottom w:val="nil"/>
            </w:tcBorders>
            <w:tcMar>
              <w:left w:w="57" w:type="dxa"/>
              <w:right w:w="57" w:type="dxa"/>
            </w:tcMar>
            <w:vAlign w:val="center"/>
          </w:tcPr>
          <w:p w14:paraId="2BF9E688" w14:textId="1794176E"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Borders>
              <w:bottom w:val="nil"/>
            </w:tcBorders>
            <w:tcMar>
              <w:left w:w="57" w:type="dxa"/>
              <w:right w:w="57" w:type="dxa"/>
            </w:tcMar>
            <w:vAlign w:val="center"/>
          </w:tcPr>
          <w:p w14:paraId="2D0DB398" w14:textId="4B5FF772"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536DEF31" w14:textId="77777777" w:rsidTr="00836EF2">
        <w:tc>
          <w:tcPr>
            <w:tcW w:w="193" w:type="pct"/>
            <w:tcBorders>
              <w:top w:val="nil"/>
              <w:bottom w:val="nil"/>
            </w:tcBorders>
            <w:tcMar>
              <w:right w:w="57" w:type="dxa"/>
            </w:tcMar>
          </w:tcPr>
          <w:p w14:paraId="46BE87F0"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17</w:t>
            </w:r>
          </w:p>
        </w:tc>
        <w:tc>
          <w:tcPr>
            <w:tcW w:w="3073" w:type="pct"/>
            <w:tcBorders>
              <w:top w:val="nil"/>
              <w:bottom w:val="nil"/>
            </w:tcBorders>
            <w:tcMar>
              <w:left w:w="57" w:type="dxa"/>
              <w:right w:w="57" w:type="dxa"/>
            </w:tcMar>
            <w:vAlign w:val="bottom"/>
          </w:tcPr>
          <w:p w14:paraId="1671D73C"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Serbest olmayan başlangıç teminatı</w:t>
            </w:r>
          </w:p>
        </w:tc>
        <w:tc>
          <w:tcPr>
            <w:tcW w:w="867" w:type="pct"/>
            <w:tcBorders>
              <w:top w:val="nil"/>
              <w:bottom w:val="nil"/>
            </w:tcBorders>
            <w:tcMar>
              <w:left w:w="57" w:type="dxa"/>
              <w:right w:w="57" w:type="dxa"/>
            </w:tcMar>
            <w:vAlign w:val="center"/>
          </w:tcPr>
          <w:p w14:paraId="285AE97F" w14:textId="369A577E"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Borders>
              <w:top w:val="nil"/>
              <w:bottom w:val="nil"/>
            </w:tcBorders>
            <w:tcMar>
              <w:left w:w="57" w:type="dxa"/>
              <w:right w:w="57" w:type="dxa"/>
            </w:tcMar>
            <w:vAlign w:val="center"/>
          </w:tcPr>
          <w:p w14:paraId="42BC78AA" w14:textId="66AB4D23"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614DF928" w14:textId="77777777" w:rsidTr="00836EF2">
        <w:tc>
          <w:tcPr>
            <w:tcW w:w="193" w:type="pct"/>
            <w:tcBorders>
              <w:top w:val="nil"/>
              <w:bottom w:val="nil"/>
            </w:tcBorders>
            <w:tcMar>
              <w:right w:w="57" w:type="dxa"/>
            </w:tcMar>
          </w:tcPr>
          <w:p w14:paraId="3B7E180C" w14:textId="77777777" w:rsidR="002A2DAA" w:rsidRPr="00FB38E1" w:rsidRDefault="002A2DAA" w:rsidP="002A2DAA">
            <w:pPr>
              <w:jc w:val="right"/>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18</w:t>
            </w:r>
          </w:p>
        </w:tc>
        <w:tc>
          <w:tcPr>
            <w:tcW w:w="3073" w:type="pct"/>
            <w:tcBorders>
              <w:top w:val="nil"/>
              <w:bottom w:val="nil"/>
            </w:tcBorders>
            <w:tcMar>
              <w:left w:w="57" w:type="dxa"/>
              <w:right w:w="57" w:type="dxa"/>
            </w:tcMar>
            <w:vAlign w:val="bottom"/>
          </w:tcPr>
          <w:p w14:paraId="6F6D57C1" w14:textId="77777777" w:rsidR="002A2DAA" w:rsidRPr="00FB38E1" w:rsidRDefault="002A2DAA" w:rsidP="002A2DAA">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000000"/>
                <w:sz w:val="14"/>
                <w:szCs w:val="14"/>
              </w:rPr>
              <w:t>Serbest başlangıç teminatı</w:t>
            </w:r>
          </w:p>
        </w:tc>
        <w:tc>
          <w:tcPr>
            <w:tcW w:w="867" w:type="pct"/>
            <w:tcBorders>
              <w:top w:val="nil"/>
              <w:bottom w:val="nil"/>
            </w:tcBorders>
            <w:tcMar>
              <w:left w:w="57" w:type="dxa"/>
              <w:right w:w="57" w:type="dxa"/>
            </w:tcMar>
            <w:vAlign w:val="center"/>
          </w:tcPr>
          <w:p w14:paraId="50CC6752" w14:textId="27D6C3AC"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67" w:type="pct"/>
            <w:tcBorders>
              <w:top w:val="nil"/>
              <w:bottom w:val="nil"/>
            </w:tcBorders>
            <w:tcMar>
              <w:left w:w="57" w:type="dxa"/>
              <w:right w:w="57" w:type="dxa"/>
            </w:tcMar>
            <w:vAlign w:val="center"/>
          </w:tcPr>
          <w:p w14:paraId="4CA49752" w14:textId="058BC76F" w:rsidR="002A2DAA" w:rsidRPr="00FB38E1" w:rsidRDefault="002A2DAA" w:rsidP="002A2DAA">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2A2DAA" w:rsidRPr="00FB38E1" w14:paraId="06D6B7C2" w14:textId="77777777" w:rsidTr="00836EF2">
        <w:tc>
          <w:tcPr>
            <w:tcW w:w="193" w:type="pct"/>
            <w:tcBorders>
              <w:top w:val="nil"/>
              <w:bottom w:val="nil"/>
            </w:tcBorders>
            <w:tcMar>
              <w:right w:w="57" w:type="dxa"/>
            </w:tcMar>
          </w:tcPr>
          <w:p w14:paraId="075C619B" w14:textId="77777777" w:rsidR="002A2DAA" w:rsidRPr="00FB38E1" w:rsidRDefault="002A2DAA" w:rsidP="002A2DAA">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19</w:t>
            </w:r>
          </w:p>
        </w:tc>
        <w:tc>
          <w:tcPr>
            <w:tcW w:w="3073" w:type="pct"/>
            <w:tcBorders>
              <w:top w:val="nil"/>
              <w:bottom w:val="nil"/>
            </w:tcBorders>
            <w:tcMar>
              <w:left w:w="57" w:type="dxa"/>
              <w:right w:w="57" w:type="dxa"/>
            </w:tcMar>
            <w:vAlign w:val="bottom"/>
          </w:tcPr>
          <w:p w14:paraId="7E192443" w14:textId="77777777" w:rsidR="002A2DAA" w:rsidRPr="00FB38E1" w:rsidRDefault="002A2DAA" w:rsidP="002A2DAA">
            <w:pPr>
              <w:rPr>
                <w:rFonts w:ascii="Microsoft Sans Serif" w:hAnsi="Microsoft Sans Serif" w:cs="Microsoft Sans Serif"/>
                <w:b/>
                <w:sz w:val="14"/>
                <w:szCs w:val="14"/>
              </w:rPr>
            </w:pPr>
            <w:r w:rsidRPr="00FB38E1">
              <w:rPr>
                <w:rFonts w:ascii="Microsoft Sans Serif" w:hAnsi="Microsoft Sans Serif" w:cs="Microsoft Sans Serif"/>
                <w:color w:val="000000"/>
                <w:sz w:val="14"/>
                <w:szCs w:val="14"/>
              </w:rPr>
              <w:t>Garanti fonuna konulan tutar</w:t>
            </w:r>
          </w:p>
        </w:tc>
        <w:tc>
          <w:tcPr>
            <w:tcW w:w="867" w:type="pct"/>
            <w:tcBorders>
              <w:top w:val="nil"/>
              <w:bottom w:val="nil"/>
            </w:tcBorders>
            <w:tcMar>
              <w:left w:w="57" w:type="dxa"/>
              <w:right w:w="57" w:type="dxa"/>
            </w:tcMar>
            <w:vAlign w:val="center"/>
          </w:tcPr>
          <w:p w14:paraId="25911DF2" w14:textId="53F0B798" w:rsidR="002A2DAA" w:rsidRPr="00FB38E1" w:rsidRDefault="002A2DAA" w:rsidP="002A2DAA">
            <w:pPr>
              <w:jc w:val="right"/>
              <w:rPr>
                <w:rFonts w:ascii="Microsoft Sans Serif" w:hAnsi="Microsoft Sans Serif" w:cs="Microsoft Sans Serif"/>
                <w:bCs/>
                <w:sz w:val="14"/>
                <w:szCs w:val="14"/>
              </w:rPr>
            </w:pPr>
            <w:r w:rsidRPr="00FB38E1">
              <w:rPr>
                <w:rFonts w:ascii="Microsoft Sans Serif" w:hAnsi="Microsoft Sans Serif" w:cs="Microsoft Sans Serif"/>
                <w:color w:val="404040"/>
                <w:sz w:val="14"/>
                <w:szCs w:val="14"/>
              </w:rPr>
              <w:t>--</w:t>
            </w:r>
          </w:p>
        </w:tc>
        <w:tc>
          <w:tcPr>
            <w:tcW w:w="867" w:type="pct"/>
            <w:tcBorders>
              <w:top w:val="nil"/>
              <w:bottom w:val="nil"/>
            </w:tcBorders>
            <w:tcMar>
              <w:left w:w="57" w:type="dxa"/>
              <w:right w:w="57" w:type="dxa"/>
            </w:tcMar>
            <w:vAlign w:val="center"/>
          </w:tcPr>
          <w:p w14:paraId="4B368D47" w14:textId="69ECF284" w:rsidR="002A2DAA" w:rsidRPr="00FB38E1" w:rsidRDefault="002A2DAA" w:rsidP="002A2DAA">
            <w:pPr>
              <w:jc w:val="right"/>
              <w:rPr>
                <w:rFonts w:ascii="Microsoft Sans Serif" w:hAnsi="Microsoft Sans Serif" w:cs="Microsoft Sans Serif"/>
                <w:bCs/>
                <w:sz w:val="14"/>
                <w:szCs w:val="14"/>
              </w:rPr>
            </w:pPr>
            <w:r w:rsidRPr="00FB38E1">
              <w:rPr>
                <w:rFonts w:ascii="Microsoft Sans Serif" w:hAnsi="Microsoft Sans Serif" w:cs="Microsoft Sans Serif"/>
                <w:color w:val="404040"/>
                <w:sz w:val="14"/>
                <w:szCs w:val="14"/>
              </w:rPr>
              <w:t>--</w:t>
            </w:r>
          </w:p>
        </w:tc>
      </w:tr>
      <w:tr w:rsidR="002A2DAA" w:rsidRPr="00FB38E1" w14:paraId="625BEC93" w14:textId="77777777" w:rsidTr="00836EF2">
        <w:tc>
          <w:tcPr>
            <w:tcW w:w="193" w:type="pct"/>
            <w:tcBorders>
              <w:top w:val="nil"/>
              <w:bottom w:val="thickThinSmallGap" w:sz="24" w:space="0" w:color="auto"/>
            </w:tcBorders>
            <w:tcMar>
              <w:right w:w="57" w:type="dxa"/>
            </w:tcMar>
          </w:tcPr>
          <w:p w14:paraId="76545495" w14:textId="77777777" w:rsidR="002A2DAA" w:rsidRPr="00FB38E1" w:rsidRDefault="002A2DAA" w:rsidP="002A2DAA">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20</w:t>
            </w:r>
          </w:p>
        </w:tc>
        <w:tc>
          <w:tcPr>
            <w:tcW w:w="3073" w:type="pct"/>
            <w:tcBorders>
              <w:top w:val="nil"/>
              <w:bottom w:val="thickThinSmallGap" w:sz="24" w:space="0" w:color="auto"/>
            </w:tcBorders>
            <w:tcMar>
              <w:left w:w="57" w:type="dxa"/>
              <w:right w:w="57" w:type="dxa"/>
            </w:tcMar>
            <w:vAlign w:val="bottom"/>
          </w:tcPr>
          <w:p w14:paraId="1C3DC06E" w14:textId="77777777" w:rsidR="002A2DAA" w:rsidRPr="00FB38E1" w:rsidRDefault="002A2DAA" w:rsidP="002A2DAA">
            <w:pPr>
              <w:rPr>
                <w:rFonts w:ascii="Microsoft Sans Serif" w:hAnsi="Microsoft Sans Serif" w:cs="Microsoft Sans Serif"/>
                <w:b/>
                <w:sz w:val="14"/>
                <w:szCs w:val="14"/>
              </w:rPr>
            </w:pPr>
            <w:r w:rsidRPr="00FB38E1">
              <w:rPr>
                <w:rFonts w:ascii="Microsoft Sans Serif" w:hAnsi="Microsoft Sans Serif" w:cs="Microsoft Sans Serif"/>
                <w:color w:val="000000"/>
                <w:sz w:val="14"/>
                <w:szCs w:val="14"/>
              </w:rPr>
              <w:t>Garanti fonuna konulması taahhüt edilen tutar</w:t>
            </w:r>
          </w:p>
        </w:tc>
        <w:tc>
          <w:tcPr>
            <w:tcW w:w="867" w:type="pct"/>
            <w:tcBorders>
              <w:top w:val="nil"/>
              <w:bottom w:val="thickThinSmallGap" w:sz="24" w:space="0" w:color="auto"/>
            </w:tcBorders>
            <w:tcMar>
              <w:left w:w="57" w:type="dxa"/>
              <w:right w:w="57" w:type="dxa"/>
            </w:tcMar>
            <w:vAlign w:val="center"/>
          </w:tcPr>
          <w:p w14:paraId="080C0FCF" w14:textId="76A83084" w:rsidR="002A2DAA" w:rsidRPr="00FB38E1" w:rsidRDefault="002A2DAA" w:rsidP="002A2DAA">
            <w:pPr>
              <w:jc w:val="right"/>
              <w:rPr>
                <w:rFonts w:ascii="Microsoft Sans Serif" w:hAnsi="Microsoft Sans Serif" w:cs="Microsoft Sans Serif"/>
                <w:bCs/>
                <w:sz w:val="14"/>
                <w:szCs w:val="14"/>
              </w:rPr>
            </w:pPr>
            <w:r w:rsidRPr="00FB38E1">
              <w:rPr>
                <w:rFonts w:ascii="Microsoft Sans Serif" w:hAnsi="Microsoft Sans Serif" w:cs="Microsoft Sans Serif"/>
                <w:color w:val="404040"/>
                <w:sz w:val="14"/>
                <w:szCs w:val="14"/>
              </w:rPr>
              <w:t>--</w:t>
            </w:r>
          </w:p>
        </w:tc>
        <w:tc>
          <w:tcPr>
            <w:tcW w:w="867" w:type="pct"/>
            <w:tcBorders>
              <w:top w:val="nil"/>
              <w:bottom w:val="thickThinSmallGap" w:sz="24" w:space="0" w:color="auto"/>
            </w:tcBorders>
            <w:tcMar>
              <w:left w:w="57" w:type="dxa"/>
              <w:right w:w="57" w:type="dxa"/>
            </w:tcMar>
            <w:vAlign w:val="center"/>
          </w:tcPr>
          <w:p w14:paraId="51C7357D" w14:textId="79C4614B" w:rsidR="002A2DAA" w:rsidRPr="00FB38E1" w:rsidRDefault="002A2DAA" w:rsidP="002A2DAA">
            <w:pPr>
              <w:jc w:val="right"/>
              <w:rPr>
                <w:rFonts w:ascii="Microsoft Sans Serif" w:hAnsi="Microsoft Sans Serif" w:cs="Microsoft Sans Serif"/>
                <w:bCs/>
                <w:sz w:val="14"/>
                <w:szCs w:val="14"/>
              </w:rPr>
            </w:pPr>
            <w:r w:rsidRPr="00FB38E1">
              <w:rPr>
                <w:rFonts w:ascii="Microsoft Sans Serif" w:hAnsi="Microsoft Sans Serif" w:cs="Microsoft Sans Serif"/>
                <w:color w:val="404040"/>
                <w:sz w:val="14"/>
                <w:szCs w:val="14"/>
              </w:rPr>
              <w:t>--</w:t>
            </w:r>
          </w:p>
        </w:tc>
      </w:tr>
    </w:tbl>
    <w:bookmarkEnd w:id="45"/>
    <w:p w14:paraId="7B8FC061" w14:textId="77777777" w:rsidR="00E036D3" w:rsidRPr="00FB38E1" w:rsidRDefault="00E036D3" w:rsidP="00E036D3">
      <w:pPr>
        <w:pStyle w:val="ListParagraph"/>
        <w:numPr>
          <w:ilvl w:val="0"/>
          <w:numId w:val="44"/>
        </w:numPr>
        <w:spacing w:before="240" w:after="120" w:line="240" w:lineRule="exact"/>
        <w:ind w:left="0" w:hanging="56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Menkul kıymetleştirme</w:t>
      </w:r>
    </w:p>
    <w:p w14:paraId="54D4488A" w14:textId="77777777" w:rsidR="00E036D3" w:rsidRPr="00FB38E1" w:rsidRDefault="00E036D3" w:rsidP="00364B59">
      <w:pPr>
        <w:pStyle w:val="ListParagraph"/>
        <w:numPr>
          <w:ilvl w:val="0"/>
          <w:numId w:val="58"/>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Menkul kıymetleştirme pozisyonlarına ilişkin açıklamalar</w:t>
      </w:r>
    </w:p>
    <w:p w14:paraId="6EEFC759" w14:textId="77777777" w:rsidR="00E036D3" w:rsidRPr="00FB38E1" w:rsidRDefault="00E036D3" w:rsidP="00E036D3">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Bulunmamaktadır.</w:t>
      </w:r>
    </w:p>
    <w:p w14:paraId="7FBF8CC7" w14:textId="77777777" w:rsidR="00E036D3" w:rsidRPr="00FB38E1" w:rsidRDefault="00E036D3" w:rsidP="00364B59">
      <w:pPr>
        <w:pStyle w:val="ListParagraph"/>
        <w:numPr>
          <w:ilvl w:val="0"/>
          <w:numId w:val="58"/>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Bankacılık hesaplarındaki menkul kıymetleştirme pozisyonları</w:t>
      </w:r>
    </w:p>
    <w:p w14:paraId="72889A69" w14:textId="77777777" w:rsidR="00E036D3" w:rsidRPr="00FB38E1" w:rsidRDefault="00E036D3" w:rsidP="00E036D3">
      <w:pPr>
        <w:pStyle w:val="ListParagraph"/>
        <w:spacing w:before="120" w:after="0" w:line="220" w:lineRule="exact"/>
        <w:ind w:left="0"/>
        <w:contextualSpacing w:val="0"/>
        <w:rPr>
          <w:rFonts w:ascii="Microsoft Sans Serif" w:hAnsi="Microsoft Sans Serif" w:cs="Microsoft Sans Serif"/>
          <w:b/>
          <w:sz w:val="20"/>
          <w:szCs w:val="20"/>
        </w:rPr>
      </w:pPr>
      <w:r w:rsidRPr="00FB38E1">
        <w:rPr>
          <w:rFonts w:ascii="Microsoft Sans Serif" w:hAnsi="Microsoft Sans Serif" w:cs="Microsoft Sans Serif"/>
          <w:color w:val="404040" w:themeColor="text1" w:themeTint="BF"/>
          <w:sz w:val="20"/>
          <w:szCs w:val="20"/>
        </w:rPr>
        <w:t>Bulunmamaktadır.</w:t>
      </w:r>
    </w:p>
    <w:p w14:paraId="7D98B28A" w14:textId="77777777" w:rsidR="00E036D3" w:rsidRPr="00FB38E1" w:rsidRDefault="00E036D3" w:rsidP="00364B59">
      <w:pPr>
        <w:pStyle w:val="ListParagraph"/>
        <w:numPr>
          <w:ilvl w:val="0"/>
          <w:numId w:val="58"/>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Alım satım hesaplarındaki menkul kıymetleştirme pozisyonları</w:t>
      </w:r>
    </w:p>
    <w:p w14:paraId="660656D6" w14:textId="77777777" w:rsidR="00E036D3" w:rsidRPr="00FB38E1" w:rsidRDefault="00E036D3" w:rsidP="00E036D3">
      <w:pPr>
        <w:pStyle w:val="ListParagraph"/>
        <w:spacing w:before="120"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Bulunmamaktadır.</w:t>
      </w:r>
    </w:p>
    <w:p w14:paraId="1C3E2F94" w14:textId="77777777" w:rsidR="00E036D3" w:rsidRPr="00FB38E1" w:rsidRDefault="00E036D3" w:rsidP="00364B59">
      <w:pPr>
        <w:pStyle w:val="ListParagraph"/>
        <w:numPr>
          <w:ilvl w:val="0"/>
          <w:numId w:val="58"/>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Bankacılık hesaplarındaki menkul kıymetleştirme pozisyonları ve bunlara ilişkin sermaye yükümlülüğü – Bankanın kurucu veya sponsor olduğu</w:t>
      </w:r>
    </w:p>
    <w:p w14:paraId="18B40075" w14:textId="77777777" w:rsidR="00E036D3" w:rsidRPr="00FB38E1" w:rsidRDefault="00E036D3" w:rsidP="00E036D3">
      <w:pPr>
        <w:pStyle w:val="ListParagraph"/>
        <w:spacing w:before="120" w:after="0" w:line="220" w:lineRule="exact"/>
        <w:ind w:left="0"/>
        <w:contextualSpacing w:val="0"/>
        <w:rPr>
          <w:rFonts w:ascii="Microsoft Sans Serif" w:hAnsi="Microsoft Sans Serif" w:cs="Microsoft Sans Serif"/>
          <w:b/>
          <w:sz w:val="20"/>
          <w:szCs w:val="20"/>
        </w:rPr>
      </w:pPr>
      <w:r w:rsidRPr="00FB38E1">
        <w:rPr>
          <w:rFonts w:ascii="Microsoft Sans Serif" w:hAnsi="Microsoft Sans Serif" w:cs="Microsoft Sans Serif"/>
          <w:color w:val="404040" w:themeColor="text1" w:themeTint="BF"/>
          <w:sz w:val="20"/>
          <w:szCs w:val="20"/>
        </w:rPr>
        <w:t>Bulunmamaktadır.</w:t>
      </w:r>
    </w:p>
    <w:p w14:paraId="4C824B1D" w14:textId="77777777" w:rsidR="00E036D3" w:rsidRPr="00FB38E1" w:rsidRDefault="00E036D3" w:rsidP="00364B59">
      <w:pPr>
        <w:pStyle w:val="ListParagraph"/>
        <w:numPr>
          <w:ilvl w:val="0"/>
          <w:numId w:val="58"/>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Bankacılık hesaplarındaki menkul kıymetleştirme pozisyonları ve bunlara ilişkin sermaye yükümlülüğü – Bankanın yatırımcı olduğu</w:t>
      </w:r>
    </w:p>
    <w:p w14:paraId="393281DD" w14:textId="4C2BF282" w:rsidR="00E036D3" w:rsidRPr="00FB38E1" w:rsidRDefault="00E036D3" w:rsidP="00667438">
      <w:pPr>
        <w:pStyle w:val="ListParagraph"/>
        <w:spacing w:before="120" w:after="0" w:line="240" w:lineRule="exact"/>
        <w:ind w:left="0"/>
        <w:contextualSpacing w:val="0"/>
        <w:rPr>
          <w:rFonts w:ascii="Microsoft Sans Serif" w:hAnsi="Microsoft Sans Serif" w:cs="Microsoft Sans Serif"/>
          <w:b/>
          <w:sz w:val="20"/>
          <w:szCs w:val="20"/>
        </w:rPr>
      </w:pPr>
      <w:r w:rsidRPr="00FB38E1">
        <w:rPr>
          <w:rFonts w:ascii="Microsoft Sans Serif" w:hAnsi="Microsoft Sans Serif" w:cs="Microsoft Sans Serif"/>
          <w:color w:val="404040" w:themeColor="text1" w:themeTint="BF"/>
          <w:sz w:val="20"/>
          <w:szCs w:val="20"/>
        </w:rPr>
        <w:t>Bulunmamaktadır.</w:t>
      </w:r>
    </w:p>
    <w:p w14:paraId="61ACC876" w14:textId="77777777" w:rsidR="00E036D3" w:rsidRPr="00FB38E1" w:rsidRDefault="00E036D3" w:rsidP="00E036D3">
      <w:pPr>
        <w:pStyle w:val="ListParagraph"/>
        <w:numPr>
          <w:ilvl w:val="0"/>
          <w:numId w:val="44"/>
        </w:numPr>
        <w:spacing w:before="240" w:after="120" w:line="240" w:lineRule="exact"/>
        <w:ind w:left="0" w:hanging="56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 xml:space="preserve">Piyasa riski </w:t>
      </w:r>
    </w:p>
    <w:p w14:paraId="3C933427" w14:textId="77777777" w:rsidR="00E036D3" w:rsidRPr="00FB38E1" w:rsidRDefault="00E036D3" w:rsidP="00364B59">
      <w:pPr>
        <w:pStyle w:val="ListParagraph"/>
        <w:numPr>
          <w:ilvl w:val="0"/>
          <w:numId w:val="59"/>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Piyasa riskine ilişkin açıklamalar</w:t>
      </w:r>
    </w:p>
    <w:p w14:paraId="76449B79" w14:textId="77777777" w:rsidR="00E036D3" w:rsidRPr="00FB38E1" w:rsidRDefault="00E036D3" w:rsidP="00E036D3">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Piyasa riski, finansal piyasalarda gerçekleştirilen alım-satım amaçlı işlemlerden kaynaklanan pozisyonlar ve bu pozisyonların değerini etkileyen piyasa hareketleri nedeniyle maruz kalınan riski ifade etmektedir. Finansal risk yönetimi çerçevesinde, piyasa riskinden korunmak amacıyla “Bankaların İç Sistemleri ve İçsel Sermaye Yeterliliği Değerlendirme Süreci Hakkında Yönetmelik” ve “Bankanın Sermaye Yeterliliğinin Ölçülmesine ve Değerlendirilmesine İlişkin Yönetmelik” kapsamında piyasa riski yönetimi faaliyetleri belirlenerek gerekli önlemler alınmıştır. </w:t>
      </w:r>
    </w:p>
    <w:p w14:paraId="410D72F5" w14:textId="77777777" w:rsidR="00E036D3" w:rsidRPr="00FB38E1" w:rsidRDefault="00E036D3" w:rsidP="00E036D3">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Piyasa riskinin yönetilmesine ilişkin risk politikaları ve risk limitleri Yönetim Kurulu tarafından onaylanmıştır. Finansal piyasalarda gerçekleştirilen alım-satım faaliyetlerine ilişkin stratejiler, bu çerçevede oluşturularak uygulanmaktadır.</w:t>
      </w:r>
    </w:p>
    <w:p w14:paraId="3C00008A" w14:textId="77777777" w:rsidR="00E036D3" w:rsidRPr="00FB38E1" w:rsidRDefault="00E036D3" w:rsidP="00E036D3">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Piyasa riskinin yönetiminde üçlü savunma hattı prensibi uygulanır. İlgili Hazine birimlerinin taşıdıkları pozisyona ilişkin piyasa riskinin yönetiminde ilk seviye sorumluluğu bulunurken, ikinci seviyede izleme ve kontrol faaliyetleri Risk Yönetimi tarafından ve üçüncü seviyede denetim fonksiyonu Teftiş Kurulu tarafından bağımsız olarak gerçekleştirilir.</w:t>
      </w:r>
    </w:p>
    <w:p w14:paraId="6721784F" w14:textId="77777777" w:rsidR="00E036D3" w:rsidRPr="00FB38E1" w:rsidRDefault="00E036D3" w:rsidP="00E036D3">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Piyasa riskinin ölçülmesi ve izlenmesi amacıyla risk ölçümü içsel model kullanılarak günlük olarak yapılmaktadır. Bu kapsamda parametrik yöntem kullanılarak yapılan riske maruz değer hesaplamalarının yanı sıra faiz duyarlılığı ve opsiyon duyarlılıkları gibi çeşitli risk göstergeleri takip edilmekte, senaryo analizi ile risk hesaplamaları desteklenmektedir. Piyasa riski ölçüm sonuçları ve takip edilen tüm risk göstergeleri, ilgili birimler ve üst yöneticiler ile günlük olarak paylaşılmaktadır.</w:t>
      </w:r>
    </w:p>
    <w:p w14:paraId="0A116829" w14:textId="77777777" w:rsidR="00E036D3" w:rsidRPr="00FB38E1" w:rsidRDefault="00E036D3" w:rsidP="00E036D3">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Piyasa riskinin kontrolü amacıyla çeşitli risk göstergelerinden oluşan bir limit yapısı oluşturulmuştur. Bu limitler arasında izlenen risk göstergeleri için belirlenen risk limitleri ile birlikte çeşitli pozisyon limitleri ve zarar durdurma limitleri de yer almaktadır. Üst seviye limitler Risk İştahı Beyanı kapsamında Yönetim Kurulu tarafından belirlenmiştir. Buna ek olarak daha alt seviyede Aktif Pasif Komitesi tarafından belirlenmiş çeşitli limitler bulunmaktadır. Risk göstergelerinin ve limit kullanımlarının Denetim Komitesi’ne ve Aktif Pasif Komitesi’ne raporlanması Risk Yönetimi birimince gerçekleştirilmektedir.</w:t>
      </w:r>
    </w:p>
    <w:p w14:paraId="58D5B13A" w14:textId="77777777" w:rsidR="00E036D3" w:rsidRPr="00FB38E1" w:rsidRDefault="00E036D3" w:rsidP="00E036D3">
      <w:pPr>
        <w:pStyle w:val="BodyTextIndent"/>
        <w:tabs>
          <w:tab w:val="left" w:pos="0"/>
        </w:tabs>
        <w:spacing w:before="120" w:after="0" w:line="220" w:lineRule="exact"/>
        <w:ind w:left="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Sermaye yeterliliğinin hesaplanmasında, piyasa riskinin ölçümü standart metot kullanılarak yapılmaktadır. Standart metot, hesaplama kriterleri BDDK tarafından açıkça belirlenmiş bir yöntemdir ve aylık olarak hesaplanmaktadır. Hesaplama sonuçlarına aşağıdaki tabloda yer verilmektedir. Piyasa riskine ölçümlerine konu edilen pozisyonlar, yasal düzenlemelerde yer alan “Alım Satım Hesapları” tanımı dikkate alınarak belirlenmektedir.</w:t>
      </w:r>
    </w:p>
    <w:p w14:paraId="18FCF117" w14:textId="77777777" w:rsidR="00E036D3" w:rsidRPr="00FB38E1" w:rsidRDefault="00E036D3" w:rsidP="00364B59">
      <w:pPr>
        <w:pStyle w:val="ListParagraph"/>
        <w:numPr>
          <w:ilvl w:val="0"/>
          <w:numId w:val="59"/>
        </w:numPr>
        <w:spacing w:before="240" w:after="120" w:line="240" w:lineRule="exact"/>
        <w:ind w:left="0" w:hanging="426"/>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Standart yaklaşım</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18"/>
        <w:gridCol w:w="6892"/>
        <w:gridCol w:w="1197"/>
        <w:gridCol w:w="1332"/>
      </w:tblGrid>
      <w:tr w:rsidR="00E036D3" w:rsidRPr="00FB38E1" w14:paraId="1D94D21A" w14:textId="77777777" w:rsidTr="00836EF2">
        <w:trPr>
          <w:trHeight w:val="92"/>
        </w:trPr>
        <w:tc>
          <w:tcPr>
            <w:tcW w:w="113" w:type="pct"/>
            <w:tcBorders>
              <w:bottom w:val="nil"/>
            </w:tcBorders>
            <w:tcMar>
              <w:left w:w="57" w:type="dxa"/>
              <w:right w:w="57" w:type="dxa"/>
            </w:tcMar>
          </w:tcPr>
          <w:p w14:paraId="3AB9ABDD" w14:textId="77777777" w:rsidR="00E036D3" w:rsidRPr="00FB38E1" w:rsidRDefault="00E036D3" w:rsidP="00836EF2">
            <w:pPr>
              <w:rPr>
                <w:rFonts w:ascii="Microsoft Sans Serif" w:hAnsi="Microsoft Sans Serif" w:cs="Microsoft Sans Serif"/>
                <w:b/>
                <w:sz w:val="16"/>
                <w:szCs w:val="16"/>
              </w:rPr>
            </w:pPr>
          </w:p>
        </w:tc>
        <w:tc>
          <w:tcPr>
            <w:tcW w:w="3575" w:type="pct"/>
            <w:tcBorders>
              <w:bottom w:val="nil"/>
            </w:tcBorders>
            <w:tcMar>
              <w:left w:w="57" w:type="dxa"/>
              <w:right w:w="57" w:type="dxa"/>
            </w:tcMar>
          </w:tcPr>
          <w:p w14:paraId="00031315" w14:textId="77777777" w:rsidR="00E036D3" w:rsidRPr="00FB38E1" w:rsidRDefault="00E036D3" w:rsidP="00836EF2">
            <w:pPr>
              <w:jc w:val="center"/>
              <w:rPr>
                <w:rFonts w:ascii="Microsoft Sans Serif" w:hAnsi="Microsoft Sans Serif" w:cs="Microsoft Sans Serif"/>
                <w:b/>
                <w:sz w:val="16"/>
                <w:szCs w:val="16"/>
              </w:rPr>
            </w:pPr>
          </w:p>
        </w:tc>
        <w:tc>
          <w:tcPr>
            <w:tcW w:w="621" w:type="pct"/>
            <w:tcBorders>
              <w:bottom w:val="nil"/>
            </w:tcBorders>
          </w:tcPr>
          <w:p w14:paraId="10FFBF49"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Cari Dönem</w:t>
            </w:r>
          </w:p>
        </w:tc>
        <w:tc>
          <w:tcPr>
            <w:tcW w:w="691" w:type="pct"/>
            <w:tcBorders>
              <w:bottom w:val="nil"/>
            </w:tcBorders>
            <w:vAlign w:val="bottom"/>
          </w:tcPr>
          <w:p w14:paraId="3E59FEE8"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Önceki Dönem</w:t>
            </w:r>
          </w:p>
        </w:tc>
      </w:tr>
      <w:tr w:rsidR="00E036D3" w:rsidRPr="00FB38E1" w14:paraId="7150E447" w14:textId="77777777" w:rsidTr="00836EF2">
        <w:trPr>
          <w:trHeight w:val="57"/>
        </w:trPr>
        <w:tc>
          <w:tcPr>
            <w:tcW w:w="113" w:type="pct"/>
            <w:tcBorders>
              <w:top w:val="nil"/>
              <w:bottom w:val="single" w:sz="4" w:space="0" w:color="auto"/>
            </w:tcBorders>
            <w:tcMar>
              <w:left w:w="57" w:type="dxa"/>
              <w:right w:w="57" w:type="dxa"/>
            </w:tcMar>
          </w:tcPr>
          <w:p w14:paraId="714CFA12" w14:textId="77777777" w:rsidR="00E036D3" w:rsidRPr="00FB38E1" w:rsidRDefault="00E036D3" w:rsidP="00836EF2">
            <w:pPr>
              <w:rPr>
                <w:rFonts w:ascii="Microsoft Sans Serif" w:hAnsi="Microsoft Sans Serif" w:cs="Microsoft Sans Serif"/>
                <w:b/>
                <w:sz w:val="16"/>
                <w:szCs w:val="16"/>
              </w:rPr>
            </w:pPr>
          </w:p>
        </w:tc>
        <w:tc>
          <w:tcPr>
            <w:tcW w:w="3575" w:type="pct"/>
            <w:tcBorders>
              <w:top w:val="nil"/>
              <w:bottom w:val="single" w:sz="4" w:space="0" w:color="auto"/>
            </w:tcBorders>
            <w:tcMar>
              <w:left w:w="57" w:type="dxa"/>
              <w:right w:w="57" w:type="dxa"/>
            </w:tcMar>
          </w:tcPr>
          <w:p w14:paraId="31228172" w14:textId="77777777" w:rsidR="00E036D3" w:rsidRPr="00FB38E1" w:rsidRDefault="00E036D3" w:rsidP="00836EF2">
            <w:pPr>
              <w:jc w:val="center"/>
              <w:rPr>
                <w:rFonts w:ascii="Microsoft Sans Serif" w:hAnsi="Microsoft Sans Serif" w:cs="Microsoft Sans Serif"/>
                <w:b/>
                <w:sz w:val="16"/>
                <w:szCs w:val="16"/>
              </w:rPr>
            </w:pPr>
          </w:p>
        </w:tc>
        <w:tc>
          <w:tcPr>
            <w:tcW w:w="621" w:type="pct"/>
            <w:tcBorders>
              <w:top w:val="nil"/>
              <w:bottom w:val="single" w:sz="4" w:space="0" w:color="auto"/>
            </w:tcBorders>
          </w:tcPr>
          <w:p w14:paraId="13CCC477"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RAT</w:t>
            </w:r>
          </w:p>
        </w:tc>
        <w:tc>
          <w:tcPr>
            <w:tcW w:w="691" w:type="pct"/>
            <w:tcBorders>
              <w:top w:val="nil"/>
              <w:bottom w:val="single" w:sz="4" w:space="0" w:color="auto"/>
            </w:tcBorders>
            <w:vAlign w:val="bottom"/>
          </w:tcPr>
          <w:p w14:paraId="3199B8BC"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RAT</w:t>
            </w:r>
          </w:p>
        </w:tc>
      </w:tr>
      <w:tr w:rsidR="00E036D3" w:rsidRPr="00FB38E1" w14:paraId="37E6BDBC" w14:textId="77777777" w:rsidTr="00836EF2">
        <w:trPr>
          <w:trHeight w:val="47"/>
        </w:trPr>
        <w:tc>
          <w:tcPr>
            <w:tcW w:w="113" w:type="pct"/>
            <w:tcBorders>
              <w:top w:val="single" w:sz="4" w:space="0" w:color="auto"/>
            </w:tcBorders>
            <w:tcMar>
              <w:left w:w="57" w:type="dxa"/>
              <w:right w:w="57" w:type="dxa"/>
            </w:tcMar>
          </w:tcPr>
          <w:p w14:paraId="47526BC8" w14:textId="77777777" w:rsidR="00E036D3" w:rsidRPr="00FB38E1" w:rsidRDefault="00E036D3" w:rsidP="00836EF2">
            <w:pPr>
              <w:rPr>
                <w:rFonts w:ascii="Microsoft Sans Serif" w:hAnsi="Microsoft Sans Serif" w:cs="Microsoft Sans Serif"/>
                <w:sz w:val="16"/>
                <w:szCs w:val="16"/>
              </w:rPr>
            </w:pPr>
          </w:p>
        </w:tc>
        <w:tc>
          <w:tcPr>
            <w:tcW w:w="3575" w:type="pct"/>
            <w:tcBorders>
              <w:top w:val="single" w:sz="4" w:space="0" w:color="auto"/>
            </w:tcBorders>
            <w:tcMar>
              <w:left w:w="57" w:type="dxa"/>
              <w:right w:w="57" w:type="dxa"/>
            </w:tcMar>
          </w:tcPr>
          <w:p w14:paraId="3FFDB864" w14:textId="77777777" w:rsidR="00E036D3" w:rsidRPr="00FB38E1" w:rsidRDefault="00E036D3" w:rsidP="00836EF2">
            <w:pPr>
              <w:rPr>
                <w:rFonts w:ascii="Microsoft Sans Serif" w:hAnsi="Microsoft Sans Serif" w:cs="Microsoft Sans Serif"/>
                <w:sz w:val="16"/>
                <w:szCs w:val="16"/>
              </w:rPr>
            </w:pPr>
            <w:r w:rsidRPr="00FB38E1">
              <w:rPr>
                <w:rFonts w:ascii="Microsoft Sans Serif" w:hAnsi="Microsoft Sans Serif" w:cs="Microsoft Sans Serif"/>
                <w:sz w:val="16"/>
                <w:szCs w:val="16"/>
              </w:rPr>
              <w:t>Dolaysız (peşin ürünler)</w:t>
            </w:r>
          </w:p>
        </w:tc>
        <w:tc>
          <w:tcPr>
            <w:tcW w:w="621" w:type="pct"/>
            <w:tcBorders>
              <w:top w:val="single" w:sz="4" w:space="0" w:color="auto"/>
            </w:tcBorders>
          </w:tcPr>
          <w:p w14:paraId="03979AEA" w14:textId="77777777" w:rsidR="00E036D3" w:rsidRPr="00FB38E1" w:rsidRDefault="00E036D3" w:rsidP="00836EF2">
            <w:pPr>
              <w:jc w:val="center"/>
              <w:rPr>
                <w:rFonts w:ascii="Microsoft Sans Serif" w:hAnsi="Microsoft Sans Serif" w:cs="Microsoft Sans Serif"/>
                <w:sz w:val="16"/>
                <w:szCs w:val="16"/>
              </w:rPr>
            </w:pPr>
          </w:p>
        </w:tc>
        <w:tc>
          <w:tcPr>
            <w:tcW w:w="691" w:type="pct"/>
            <w:tcBorders>
              <w:top w:val="single" w:sz="4" w:space="0" w:color="auto"/>
            </w:tcBorders>
          </w:tcPr>
          <w:p w14:paraId="6A1EBA87" w14:textId="77777777" w:rsidR="00E036D3" w:rsidRPr="00FB38E1" w:rsidRDefault="00E036D3" w:rsidP="00836EF2">
            <w:pPr>
              <w:jc w:val="center"/>
              <w:rPr>
                <w:rFonts w:ascii="Microsoft Sans Serif" w:hAnsi="Microsoft Sans Serif" w:cs="Microsoft Sans Serif"/>
                <w:sz w:val="16"/>
                <w:szCs w:val="16"/>
              </w:rPr>
            </w:pPr>
          </w:p>
        </w:tc>
      </w:tr>
      <w:tr w:rsidR="0058602B" w:rsidRPr="00FB38E1" w14:paraId="11E422B3" w14:textId="77777777" w:rsidTr="00836EF2">
        <w:trPr>
          <w:trHeight w:val="57"/>
        </w:trPr>
        <w:tc>
          <w:tcPr>
            <w:tcW w:w="113" w:type="pct"/>
            <w:tcMar>
              <w:left w:w="57" w:type="dxa"/>
              <w:right w:w="57" w:type="dxa"/>
            </w:tcMar>
          </w:tcPr>
          <w:p w14:paraId="2A09B655"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p>
        </w:tc>
        <w:tc>
          <w:tcPr>
            <w:tcW w:w="3575" w:type="pct"/>
            <w:tcMar>
              <w:left w:w="170" w:type="dxa"/>
              <w:right w:w="57" w:type="dxa"/>
            </w:tcMar>
          </w:tcPr>
          <w:p w14:paraId="51A496F8"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Faiz oranı riski (genel ve spesifik)</w:t>
            </w:r>
          </w:p>
        </w:tc>
        <w:tc>
          <w:tcPr>
            <w:tcW w:w="621" w:type="pct"/>
            <w:vAlign w:val="center"/>
          </w:tcPr>
          <w:p w14:paraId="32409BDC" w14:textId="4EF86F06"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2.113.393</w:t>
            </w:r>
          </w:p>
        </w:tc>
        <w:tc>
          <w:tcPr>
            <w:tcW w:w="691" w:type="pct"/>
            <w:vAlign w:val="center"/>
          </w:tcPr>
          <w:p w14:paraId="73A812BF" w14:textId="18BFB411"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2.868.950</w:t>
            </w:r>
          </w:p>
        </w:tc>
      </w:tr>
      <w:tr w:rsidR="0058602B" w:rsidRPr="00FB38E1" w14:paraId="7630F98D" w14:textId="77777777" w:rsidTr="00836EF2">
        <w:trPr>
          <w:trHeight w:val="57"/>
        </w:trPr>
        <w:tc>
          <w:tcPr>
            <w:tcW w:w="113" w:type="pct"/>
            <w:tcMar>
              <w:left w:w="57" w:type="dxa"/>
              <w:right w:w="57" w:type="dxa"/>
            </w:tcMar>
          </w:tcPr>
          <w:p w14:paraId="7813E37F"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w:t>
            </w:r>
          </w:p>
        </w:tc>
        <w:tc>
          <w:tcPr>
            <w:tcW w:w="3575" w:type="pct"/>
            <w:tcMar>
              <w:left w:w="170" w:type="dxa"/>
              <w:right w:w="57" w:type="dxa"/>
            </w:tcMar>
          </w:tcPr>
          <w:p w14:paraId="2E0B815D"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Hisse senedi riski (genel ve spesifik)</w:t>
            </w:r>
          </w:p>
        </w:tc>
        <w:tc>
          <w:tcPr>
            <w:tcW w:w="621" w:type="pct"/>
            <w:vAlign w:val="center"/>
          </w:tcPr>
          <w:p w14:paraId="0A6E9AF0" w14:textId="349A237B"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91" w:type="pct"/>
            <w:vAlign w:val="center"/>
          </w:tcPr>
          <w:p w14:paraId="503AADF9" w14:textId="77E1D346"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8602B" w:rsidRPr="00FB38E1" w14:paraId="0CE1D888" w14:textId="77777777" w:rsidTr="00836EF2">
        <w:trPr>
          <w:trHeight w:val="57"/>
        </w:trPr>
        <w:tc>
          <w:tcPr>
            <w:tcW w:w="113" w:type="pct"/>
            <w:tcMar>
              <w:left w:w="57" w:type="dxa"/>
              <w:right w:w="57" w:type="dxa"/>
            </w:tcMar>
          </w:tcPr>
          <w:p w14:paraId="4FE29D18"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3</w:t>
            </w:r>
          </w:p>
        </w:tc>
        <w:tc>
          <w:tcPr>
            <w:tcW w:w="3575" w:type="pct"/>
            <w:tcMar>
              <w:left w:w="170" w:type="dxa"/>
              <w:right w:w="57" w:type="dxa"/>
            </w:tcMar>
          </w:tcPr>
          <w:p w14:paraId="43B179C2"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Kur riski</w:t>
            </w:r>
          </w:p>
        </w:tc>
        <w:tc>
          <w:tcPr>
            <w:tcW w:w="621" w:type="pct"/>
            <w:vAlign w:val="center"/>
          </w:tcPr>
          <w:p w14:paraId="0A98F1BA" w14:textId="50B9E176"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14.613.838</w:t>
            </w:r>
          </w:p>
        </w:tc>
        <w:tc>
          <w:tcPr>
            <w:tcW w:w="691" w:type="pct"/>
            <w:vAlign w:val="center"/>
          </w:tcPr>
          <w:p w14:paraId="287E35C7" w14:textId="3376E203"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9.689.975</w:t>
            </w:r>
          </w:p>
        </w:tc>
      </w:tr>
      <w:tr w:rsidR="0058602B" w:rsidRPr="00FB38E1" w14:paraId="3DEB9636" w14:textId="77777777" w:rsidTr="00836EF2">
        <w:trPr>
          <w:trHeight w:val="57"/>
        </w:trPr>
        <w:tc>
          <w:tcPr>
            <w:tcW w:w="113" w:type="pct"/>
            <w:tcBorders>
              <w:bottom w:val="single" w:sz="4" w:space="0" w:color="auto"/>
            </w:tcBorders>
            <w:tcMar>
              <w:left w:w="57" w:type="dxa"/>
              <w:right w:w="57" w:type="dxa"/>
            </w:tcMar>
          </w:tcPr>
          <w:p w14:paraId="4F3C8696"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4</w:t>
            </w:r>
          </w:p>
        </w:tc>
        <w:tc>
          <w:tcPr>
            <w:tcW w:w="3575" w:type="pct"/>
            <w:tcBorders>
              <w:bottom w:val="single" w:sz="4" w:space="0" w:color="auto"/>
            </w:tcBorders>
            <w:tcMar>
              <w:left w:w="170" w:type="dxa"/>
              <w:right w:w="57" w:type="dxa"/>
            </w:tcMar>
          </w:tcPr>
          <w:p w14:paraId="600416A3"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Emtia riski</w:t>
            </w:r>
          </w:p>
        </w:tc>
        <w:tc>
          <w:tcPr>
            <w:tcW w:w="621" w:type="pct"/>
            <w:tcBorders>
              <w:bottom w:val="single" w:sz="4" w:space="0" w:color="auto"/>
            </w:tcBorders>
            <w:vAlign w:val="center"/>
          </w:tcPr>
          <w:p w14:paraId="17E54582" w14:textId="7BFF0595"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6.711.568</w:t>
            </w:r>
          </w:p>
        </w:tc>
        <w:tc>
          <w:tcPr>
            <w:tcW w:w="691" w:type="pct"/>
            <w:tcBorders>
              <w:bottom w:val="single" w:sz="4" w:space="0" w:color="auto"/>
            </w:tcBorders>
            <w:vAlign w:val="center"/>
          </w:tcPr>
          <w:p w14:paraId="51A83AFB" w14:textId="33EEA517"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7.419.225</w:t>
            </w:r>
          </w:p>
        </w:tc>
      </w:tr>
      <w:tr w:rsidR="0058602B" w:rsidRPr="00FB38E1" w14:paraId="176C4E17" w14:textId="77777777" w:rsidTr="00836EF2">
        <w:trPr>
          <w:trHeight w:val="47"/>
        </w:trPr>
        <w:tc>
          <w:tcPr>
            <w:tcW w:w="113" w:type="pct"/>
            <w:tcBorders>
              <w:top w:val="single" w:sz="4" w:space="0" w:color="auto"/>
              <w:bottom w:val="nil"/>
            </w:tcBorders>
            <w:tcMar>
              <w:left w:w="57" w:type="dxa"/>
              <w:right w:w="57" w:type="dxa"/>
            </w:tcMar>
          </w:tcPr>
          <w:p w14:paraId="11EE6618" w14:textId="77777777" w:rsidR="0058602B" w:rsidRPr="00FB38E1" w:rsidRDefault="0058602B" w:rsidP="0058602B">
            <w:pPr>
              <w:rPr>
                <w:rFonts w:ascii="Microsoft Sans Serif" w:hAnsi="Microsoft Sans Serif" w:cs="Microsoft Sans Serif"/>
                <w:sz w:val="16"/>
                <w:szCs w:val="16"/>
              </w:rPr>
            </w:pPr>
          </w:p>
        </w:tc>
        <w:tc>
          <w:tcPr>
            <w:tcW w:w="3575" w:type="pct"/>
            <w:tcBorders>
              <w:top w:val="single" w:sz="4" w:space="0" w:color="auto"/>
              <w:bottom w:val="nil"/>
            </w:tcBorders>
            <w:tcMar>
              <w:left w:w="57" w:type="dxa"/>
              <w:right w:w="57" w:type="dxa"/>
            </w:tcMar>
          </w:tcPr>
          <w:p w14:paraId="01CF5D58" w14:textId="77777777" w:rsidR="0058602B" w:rsidRPr="00FB38E1" w:rsidRDefault="0058602B" w:rsidP="0058602B">
            <w:pPr>
              <w:rPr>
                <w:rFonts w:ascii="Microsoft Sans Serif" w:hAnsi="Microsoft Sans Serif" w:cs="Microsoft Sans Serif"/>
                <w:sz w:val="16"/>
                <w:szCs w:val="16"/>
              </w:rPr>
            </w:pPr>
            <w:r w:rsidRPr="00FB38E1">
              <w:rPr>
                <w:rFonts w:ascii="Microsoft Sans Serif" w:hAnsi="Microsoft Sans Serif" w:cs="Microsoft Sans Serif"/>
                <w:sz w:val="16"/>
                <w:szCs w:val="16"/>
              </w:rPr>
              <w:t>Opsiyonlar</w:t>
            </w:r>
          </w:p>
        </w:tc>
        <w:tc>
          <w:tcPr>
            <w:tcW w:w="621" w:type="pct"/>
            <w:tcBorders>
              <w:top w:val="single" w:sz="4" w:space="0" w:color="auto"/>
              <w:bottom w:val="nil"/>
            </w:tcBorders>
            <w:vAlign w:val="center"/>
          </w:tcPr>
          <w:p w14:paraId="0B3CBC68" w14:textId="77777777" w:rsidR="0058602B" w:rsidRPr="00FB38E1" w:rsidRDefault="0058602B" w:rsidP="0058602B">
            <w:pPr>
              <w:jc w:val="right"/>
              <w:rPr>
                <w:rFonts w:ascii="Microsoft Sans Serif" w:hAnsi="Microsoft Sans Serif" w:cs="Microsoft Sans Serif"/>
                <w:color w:val="404040"/>
                <w:sz w:val="16"/>
                <w:szCs w:val="16"/>
              </w:rPr>
            </w:pPr>
          </w:p>
        </w:tc>
        <w:tc>
          <w:tcPr>
            <w:tcW w:w="691" w:type="pct"/>
            <w:tcBorders>
              <w:top w:val="single" w:sz="4" w:space="0" w:color="auto"/>
              <w:bottom w:val="nil"/>
            </w:tcBorders>
            <w:vAlign w:val="center"/>
          </w:tcPr>
          <w:p w14:paraId="3414A78B" w14:textId="77777777" w:rsidR="0058602B" w:rsidRPr="00FB38E1" w:rsidRDefault="0058602B" w:rsidP="0058602B">
            <w:pPr>
              <w:jc w:val="right"/>
              <w:rPr>
                <w:rFonts w:ascii="Microsoft Sans Serif" w:hAnsi="Microsoft Sans Serif" w:cs="Microsoft Sans Serif"/>
                <w:color w:val="404040"/>
                <w:sz w:val="16"/>
                <w:szCs w:val="16"/>
              </w:rPr>
            </w:pPr>
          </w:p>
        </w:tc>
      </w:tr>
      <w:tr w:rsidR="0058602B" w:rsidRPr="00FB38E1" w14:paraId="78976025" w14:textId="77777777" w:rsidTr="00836EF2">
        <w:trPr>
          <w:trHeight w:val="57"/>
        </w:trPr>
        <w:tc>
          <w:tcPr>
            <w:tcW w:w="113" w:type="pct"/>
            <w:tcBorders>
              <w:top w:val="nil"/>
            </w:tcBorders>
            <w:tcMar>
              <w:left w:w="57" w:type="dxa"/>
              <w:right w:w="57" w:type="dxa"/>
            </w:tcMar>
          </w:tcPr>
          <w:p w14:paraId="30FC8157"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5</w:t>
            </w:r>
          </w:p>
        </w:tc>
        <w:tc>
          <w:tcPr>
            <w:tcW w:w="3575" w:type="pct"/>
            <w:tcBorders>
              <w:top w:val="nil"/>
            </w:tcBorders>
            <w:tcMar>
              <w:left w:w="170" w:type="dxa"/>
              <w:right w:w="57" w:type="dxa"/>
            </w:tcMar>
          </w:tcPr>
          <w:p w14:paraId="61FAB28B"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Basitleştirilmiş yaklaşım</w:t>
            </w:r>
          </w:p>
        </w:tc>
        <w:tc>
          <w:tcPr>
            <w:tcW w:w="621" w:type="pct"/>
            <w:tcBorders>
              <w:top w:val="nil"/>
            </w:tcBorders>
            <w:vAlign w:val="center"/>
          </w:tcPr>
          <w:p w14:paraId="69A06F13" w14:textId="1283DD5B"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91" w:type="pct"/>
            <w:tcBorders>
              <w:top w:val="nil"/>
            </w:tcBorders>
            <w:vAlign w:val="center"/>
          </w:tcPr>
          <w:p w14:paraId="4AD215B3" w14:textId="6B534606"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8602B" w:rsidRPr="00FB38E1" w14:paraId="7192791A" w14:textId="77777777" w:rsidTr="00836EF2">
        <w:trPr>
          <w:trHeight w:val="57"/>
        </w:trPr>
        <w:tc>
          <w:tcPr>
            <w:tcW w:w="113" w:type="pct"/>
            <w:tcMar>
              <w:left w:w="57" w:type="dxa"/>
              <w:right w:w="57" w:type="dxa"/>
            </w:tcMar>
          </w:tcPr>
          <w:p w14:paraId="62506FC3"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6</w:t>
            </w:r>
          </w:p>
        </w:tc>
        <w:tc>
          <w:tcPr>
            <w:tcW w:w="3575" w:type="pct"/>
            <w:tcMar>
              <w:left w:w="170" w:type="dxa"/>
              <w:right w:w="57" w:type="dxa"/>
            </w:tcMar>
          </w:tcPr>
          <w:p w14:paraId="42DC83A6"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Delta-plus metodu</w:t>
            </w:r>
          </w:p>
        </w:tc>
        <w:tc>
          <w:tcPr>
            <w:tcW w:w="621" w:type="pct"/>
            <w:vAlign w:val="center"/>
          </w:tcPr>
          <w:p w14:paraId="20B36228" w14:textId="2416BD36"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289.792</w:t>
            </w:r>
          </w:p>
        </w:tc>
        <w:tc>
          <w:tcPr>
            <w:tcW w:w="691" w:type="pct"/>
            <w:vAlign w:val="center"/>
          </w:tcPr>
          <w:p w14:paraId="1CC94CC2" w14:textId="780B88F7"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484.713</w:t>
            </w:r>
          </w:p>
        </w:tc>
      </w:tr>
      <w:tr w:rsidR="0058602B" w:rsidRPr="00FB38E1" w14:paraId="7062E630" w14:textId="77777777" w:rsidTr="00836EF2">
        <w:trPr>
          <w:trHeight w:val="57"/>
        </w:trPr>
        <w:tc>
          <w:tcPr>
            <w:tcW w:w="113" w:type="pct"/>
            <w:tcBorders>
              <w:bottom w:val="nil"/>
            </w:tcBorders>
            <w:tcMar>
              <w:left w:w="57" w:type="dxa"/>
              <w:right w:w="57" w:type="dxa"/>
            </w:tcMar>
          </w:tcPr>
          <w:p w14:paraId="1B3CD75A"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7</w:t>
            </w:r>
          </w:p>
        </w:tc>
        <w:tc>
          <w:tcPr>
            <w:tcW w:w="3575" w:type="pct"/>
            <w:tcBorders>
              <w:bottom w:val="nil"/>
            </w:tcBorders>
            <w:tcMar>
              <w:left w:w="170" w:type="dxa"/>
              <w:right w:w="57" w:type="dxa"/>
            </w:tcMar>
          </w:tcPr>
          <w:p w14:paraId="081E69BF" w14:textId="77777777" w:rsidR="0058602B" w:rsidRPr="00FB38E1" w:rsidRDefault="0058602B" w:rsidP="0058602B">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Senaryo yaklaşımı</w:t>
            </w:r>
          </w:p>
        </w:tc>
        <w:tc>
          <w:tcPr>
            <w:tcW w:w="621" w:type="pct"/>
            <w:tcBorders>
              <w:bottom w:val="nil"/>
            </w:tcBorders>
            <w:vAlign w:val="center"/>
          </w:tcPr>
          <w:p w14:paraId="11CB73E5" w14:textId="2CC15042"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91" w:type="pct"/>
            <w:tcBorders>
              <w:bottom w:val="nil"/>
            </w:tcBorders>
            <w:vAlign w:val="center"/>
          </w:tcPr>
          <w:p w14:paraId="4529D1D0" w14:textId="264BF5AD"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8602B" w:rsidRPr="00FB38E1" w14:paraId="662BB8D0" w14:textId="77777777" w:rsidTr="00836EF2">
        <w:trPr>
          <w:trHeight w:val="57"/>
        </w:trPr>
        <w:tc>
          <w:tcPr>
            <w:tcW w:w="113" w:type="pct"/>
            <w:tcBorders>
              <w:top w:val="nil"/>
              <w:bottom w:val="single" w:sz="4" w:space="0" w:color="auto"/>
            </w:tcBorders>
            <w:tcMar>
              <w:left w:w="57" w:type="dxa"/>
              <w:right w:w="57" w:type="dxa"/>
            </w:tcMar>
          </w:tcPr>
          <w:p w14:paraId="1D25A02C" w14:textId="77777777" w:rsidR="0058602B" w:rsidRPr="00FB38E1" w:rsidRDefault="0058602B" w:rsidP="0058602B">
            <w:pPr>
              <w:rPr>
                <w:rFonts w:ascii="Microsoft Sans Serif" w:hAnsi="Microsoft Sans Serif" w:cs="Microsoft Sans Serif"/>
                <w:sz w:val="16"/>
                <w:szCs w:val="16"/>
              </w:rPr>
            </w:pPr>
            <w:r w:rsidRPr="00FB38E1">
              <w:rPr>
                <w:rFonts w:ascii="Microsoft Sans Serif" w:hAnsi="Microsoft Sans Serif" w:cs="Microsoft Sans Serif"/>
                <w:sz w:val="16"/>
                <w:szCs w:val="16"/>
              </w:rPr>
              <w:t>8</w:t>
            </w:r>
          </w:p>
        </w:tc>
        <w:tc>
          <w:tcPr>
            <w:tcW w:w="3575" w:type="pct"/>
            <w:tcBorders>
              <w:top w:val="nil"/>
              <w:bottom w:val="single" w:sz="4" w:space="0" w:color="auto"/>
            </w:tcBorders>
            <w:tcMar>
              <w:left w:w="57" w:type="dxa"/>
              <w:right w:w="57" w:type="dxa"/>
            </w:tcMar>
          </w:tcPr>
          <w:p w14:paraId="477E7EA4" w14:textId="77777777" w:rsidR="0058602B" w:rsidRPr="00FB38E1" w:rsidRDefault="0058602B" w:rsidP="0058602B">
            <w:pPr>
              <w:rPr>
                <w:rFonts w:ascii="Microsoft Sans Serif" w:hAnsi="Microsoft Sans Serif" w:cs="Microsoft Sans Serif"/>
                <w:sz w:val="16"/>
                <w:szCs w:val="16"/>
              </w:rPr>
            </w:pPr>
            <w:r w:rsidRPr="00FB38E1">
              <w:rPr>
                <w:rFonts w:ascii="Microsoft Sans Serif" w:hAnsi="Microsoft Sans Serif" w:cs="Microsoft Sans Serif"/>
                <w:sz w:val="16"/>
                <w:szCs w:val="16"/>
              </w:rPr>
              <w:t>Menkul kıymetleştirme</w:t>
            </w:r>
          </w:p>
        </w:tc>
        <w:tc>
          <w:tcPr>
            <w:tcW w:w="621" w:type="pct"/>
            <w:tcBorders>
              <w:top w:val="nil"/>
              <w:bottom w:val="single" w:sz="4" w:space="0" w:color="auto"/>
            </w:tcBorders>
            <w:vAlign w:val="center"/>
          </w:tcPr>
          <w:p w14:paraId="5ACD3E6E" w14:textId="5E183F50"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91" w:type="pct"/>
            <w:tcBorders>
              <w:top w:val="nil"/>
              <w:bottom w:val="single" w:sz="4" w:space="0" w:color="auto"/>
            </w:tcBorders>
            <w:vAlign w:val="center"/>
          </w:tcPr>
          <w:p w14:paraId="0EE0EE89" w14:textId="260F2BB0" w:rsidR="0058602B" w:rsidRPr="00FB38E1" w:rsidRDefault="0058602B" w:rsidP="0058602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8602B" w:rsidRPr="00FB38E1" w14:paraId="1223B5E2" w14:textId="77777777" w:rsidTr="00836EF2">
        <w:trPr>
          <w:trHeight w:val="47"/>
        </w:trPr>
        <w:tc>
          <w:tcPr>
            <w:tcW w:w="113" w:type="pct"/>
            <w:tcBorders>
              <w:top w:val="single" w:sz="4" w:space="0" w:color="auto"/>
              <w:bottom w:val="thickThinSmallGap" w:sz="24" w:space="0" w:color="auto"/>
            </w:tcBorders>
            <w:tcMar>
              <w:left w:w="57" w:type="dxa"/>
              <w:right w:w="57" w:type="dxa"/>
            </w:tcMar>
          </w:tcPr>
          <w:p w14:paraId="365DE27F" w14:textId="77777777" w:rsidR="0058602B" w:rsidRPr="00FB38E1" w:rsidRDefault="0058602B" w:rsidP="0058602B">
            <w:pPr>
              <w:rPr>
                <w:rFonts w:ascii="Microsoft Sans Serif" w:hAnsi="Microsoft Sans Serif" w:cs="Microsoft Sans Serif"/>
                <w:b/>
                <w:sz w:val="16"/>
                <w:szCs w:val="16"/>
              </w:rPr>
            </w:pPr>
            <w:r w:rsidRPr="00FB38E1">
              <w:rPr>
                <w:rFonts w:ascii="Microsoft Sans Serif" w:hAnsi="Microsoft Sans Serif" w:cs="Microsoft Sans Serif"/>
                <w:b/>
                <w:sz w:val="16"/>
                <w:szCs w:val="16"/>
              </w:rPr>
              <w:t>9</w:t>
            </w:r>
          </w:p>
        </w:tc>
        <w:tc>
          <w:tcPr>
            <w:tcW w:w="3575" w:type="pct"/>
            <w:tcBorders>
              <w:top w:val="single" w:sz="4" w:space="0" w:color="auto"/>
              <w:bottom w:val="thickThinSmallGap" w:sz="24" w:space="0" w:color="auto"/>
            </w:tcBorders>
            <w:tcMar>
              <w:left w:w="57" w:type="dxa"/>
              <w:right w:w="57" w:type="dxa"/>
            </w:tcMar>
          </w:tcPr>
          <w:p w14:paraId="4AC7014C" w14:textId="77777777" w:rsidR="0058602B" w:rsidRPr="00FB38E1" w:rsidRDefault="0058602B" w:rsidP="0058602B">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c>
          <w:tcPr>
            <w:tcW w:w="621" w:type="pct"/>
            <w:tcBorders>
              <w:top w:val="single" w:sz="4" w:space="0" w:color="auto"/>
              <w:bottom w:val="thickThinSmallGap" w:sz="24" w:space="0" w:color="auto"/>
            </w:tcBorders>
            <w:vAlign w:val="center"/>
          </w:tcPr>
          <w:p w14:paraId="4F898E4F" w14:textId="6CECF46C" w:rsidR="0058602B" w:rsidRPr="00FB38E1" w:rsidRDefault="0058602B" w:rsidP="0058602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23.728.591</w:t>
            </w:r>
          </w:p>
        </w:tc>
        <w:tc>
          <w:tcPr>
            <w:tcW w:w="691" w:type="pct"/>
            <w:tcBorders>
              <w:top w:val="single" w:sz="4" w:space="0" w:color="auto"/>
              <w:bottom w:val="thickThinSmallGap" w:sz="24" w:space="0" w:color="auto"/>
            </w:tcBorders>
            <w:vAlign w:val="center"/>
          </w:tcPr>
          <w:p w14:paraId="6B255466" w14:textId="6F4C983A" w:rsidR="0058602B" w:rsidRPr="00FB38E1" w:rsidRDefault="0058602B" w:rsidP="0058602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20.462.863</w:t>
            </w:r>
          </w:p>
        </w:tc>
      </w:tr>
    </w:tbl>
    <w:p w14:paraId="237310B5" w14:textId="77777777" w:rsidR="00E036D3" w:rsidRPr="00FB38E1" w:rsidRDefault="00E036D3" w:rsidP="00364B59">
      <w:pPr>
        <w:pStyle w:val="ListParagraph"/>
        <w:numPr>
          <w:ilvl w:val="0"/>
          <w:numId w:val="59"/>
        </w:numPr>
        <w:spacing w:before="240" w:after="120" w:line="240" w:lineRule="exact"/>
        <w:rPr>
          <w:rFonts w:ascii="Microsoft Sans Serif" w:hAnsi="Microsoft Sans Serif" w:cs="Microsoft Sans Serif"/>
          <w:b/>
          <w:sz w:val="20"/>
          <w:szCs w:val="20"/>
        </w:rPr>
      </w:pPr>
      <w:r w:rsidRPr="00FB38E1">
        <w:rPr>
          <w:rFonts w:ascii="Microsoft Sans Serif" w:hAnsi="Microsoft Sans Serif" w:cs="Microsoft Sans Serif"/>
          <w:b/>
          <w:bCs/>
          <w:sz w:val="20"/>
          <w:szCs w:val="20"/>
          <w:lang w:val="en-US"/>
        </w:rPr>
        <w:t>Dönem içinde aysonları itibarıyla hesaplanan piyasa riskine ilişkin bilgiler</w:t>
      </w:r>
    </w:p>
    <w:tbl>
      <w:tblPr>
        <w:tblStyle w:val="TableGrid"/>
        <w:tblW w:w="966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616"/>
        <w:gridCol w:w="2016"/>
        <w:gridCol w:w="2016"/>
        <w:gridCol w:w="2018"/>
      </w:tblGrid>
      <w:tr w:rsidR="00E036D3" w:rsidRPr="00FB38E1" w14:paraId="49BECD50" w14:textId="77777777" w:rsidTr="00836EF2">
        <w:trPr>
          <w:trHeight w:val="24"/>
        </w:trPr>
        <w:tc>
          <w:tcPr>
            <w:tcW w:w="3616" w:type="dxa"/>
            <w:tcBorders>
              <w:top w:val="thinThickSmallGap" w:sz="24" w:space="0" w:color="auto"/>
              <w:bottom w:val="nil"/>
            </w:tcBorders>
            <w:tcMar>
              <w:left w:w="57" w:type="dxa"/>
              <w:right w:w="57" w:type="dxa"/>
            </w:tcMar>
          </w:tcPr>
          <w:p w14:paraId="1054ACC0" w14:textId="77777777" w:rsidR="00E036D3" w:rsidRPr="00FB38E1" w:rsidRDefault="00E036D3" w:rsidP="00836EF2">
            <w:pPr>
              <w:rPr>
                <w:rFonts w:ascii="Microsoft Sans Serif" w:hAnsi="Microsoft Sans Serif" w:cs="Microsoft Sans Serif"/>
                <w:sz w:val="16"/>
                <w:szCs w:val="16"/>
              </w:rPr>
            </w:pPr>
          </w:p>
        </w:tc>
        <w:tc>
          <w:tcPr>
            <w:tcW w:w="6050" w:type="dxa"/>
            <w:gridSpan w:val="3"/>
            <w:tcBorders>
              <w:top w:val="thinThickSmallGap" w:sz="24" w:space="0" w:color="auto"/>
              <w:bottom w:val="single" w:sz="4" w:space="0" w:color="auto"/>
            </w:tcBorders>
            <w:tcMar>
              <w:left w:w="57" w:type="dxa"/>
              <w:right w:w="57" w:type="dxa"/>
            </w:tcMar>
            <w:vAlign w:val="bottom"/>
          </w:tcPr>
          <w:p w14:paraId="1B73EFAF" w14:textId="07A4B49D"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Cari Dönem: 31 Aralık 202</w:t>
            </w:r>
            <w:r w:rsidR="003B7A7D" w:rsidRPr="00FB38E1">
              <w:rPr>
                <w:rFonts w:ascii="Microsoft Sans Serif" w:hAnsi="Microsoft Sans Serif" w:cs="Microsoft Sans Serif"/>
                <w:b/>
                <w:sz w:val="16"/>
                <w:szCs w:val="16"/>
              </w:rPr>
              <w:t>4</w:t>
            </w:r>
          </w:p>
        </w:tc>
      </w:tr>
      <w:tr w:rsidR="00E036D3" w:rsidRPr="00FB38E1" w14:paraId="1C878F7B" w14:textId="77777777" w:rsidTr="00836EF2">
        <w:trPr>
          <w:trHeight w:val="47"/>
        </w:trPr>
        <w:tc>
          <w:tcPr>
            <w:tcW w:w="3616" w:type="dxa"/>
            <w:tcBorders>
              <w:top w:val="nil"/>
              <w:bottom w:val="single" w:sz="4" w:space="0" w:color="auto"/>
            </w:tcBorders>
            <w:tcMar>
              <w:left w:w="57" w:type="dxa"/>
              <w:right w:w="57" w:type="dxa"/>
            </w:tcMar>
          </w:tcPr>
          <w:p w14:paraId="37D74D81" w14:textId="77777777" w:rsidR="00E036D3" w:rsidRPr="00FB38E1" w:rsidRDefault="00E036D3" w:rsidP="00836EF2">
            <w:pPr>
              <w:rPr>
                <w:rFonts w:ascii="Microsoft Sans Serif" w:hAnsi="Microsoft Sans Serif" w:cs="Microsoft Sans Serif"/>
                <w:sz w:val="16"/>
                <w:szCs w:val="16"/>
              </w:rPr>
            </w:pPr>
          </w:p>
        </w:tc>
        <w:tc>
          <w:tcPr>
            <w:tcW w:w="2016" w:type="dxa"/>
            <w:tcBorders>
              <w:top w:val="single" w:sz="4" w:space="0" w:color="auto"/>
              <w:bottom w:val="single" w:sz="4" w:space="0" w:color="auto"/>
            </w:tcBorders>
            <w:tcMar>
              <w:left w:w="57" w:type="dxa"/>
              <w:right w:w="57" w:type="dxa"/>
            </w:tcMar>
            <w:vAlign w:val="bottom"/>
          </w:tcPr>
          <w:p w14:paraId="59C526BA"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Ortalama</w:t>
            </w:r>
          </w:p>
        </w:tc>
        <w:tc>
          <w:tcPr>
            <w:tcW w:w="2016" w:type="dxa"/>
            <w:tcBorders>
              <w:top w:val="single" w:sz="4" w:space="0" w:color="auto"/>
              <w:bottom w:val="single" w:sz="4" w:space="0" w:color="auto"/>
            </w:tcBorders>
            <w:tcMar>
              <w:left w:w="57" w:type="dxa"/>
              <w:right w:w="57" w:type="dxa"/>
            </w:tcMar>
            <w:vAlign w:val="bottom"/>
          </w:tcPr>
          <w:p w14:paraId="7B6B97BE"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En Yüksek</w:t>
            </w:r>
          </w:p>
        </w:tc>
        <w:tc>
          <w:tcPr>
            <w:tcW w:w="2018" w:type="dxa"/>
            <w:tcBorders>
              <w:top w:val="single" w:sz="4" w:space="0" w:color="auto"/>
              <w:bottom w:val="single" w:sz="4" w:space="0" w:color="auto"/>
            </w:tcBorders>
            <w:tcMar>
              <w:left w:w="57" w:type="dxa"/>
              <w:right w:w="57" w:type="dxa"/>
            </w:tcMar>
            <w:vAlign w:val="bottom"/>
          </w:tcPr>
          <w:p w14:paraId="69A93C9F"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En Düşük</w:t>
            </w:r>
          </w:p>
        </w:tc>
      </w:tr>
      <w:tr w:rsidR="00955742" w:rsidRPr="00FB38E1" w14:paraId="1964F155" w14:textId="77777777" w:rsidTr="00836EF2">
        <w:trPr>
          <w:trHeight w:val="47"/>
        </w:trPr>
        <w:tc>
          <w:tcPr>
            <w:tcW w:w="3616" w:type="dxa"/>
            <w:tcBorders>
              <w:top w:val="single" w:sz="4" w:space="0" w:color="auto"/>
            </w:tcBorders>
            <w:tcMar>
              <w:left w:w="57" w:type="dxa"/>
              <w:right w:w="57" w:type="dxa"/>
            </w:tcMar>
          </w:tcPr>
          <w:p w14:paraId="179834DB" w14:textId="77777777" w:rsidR="00955742" w:rsidRPr="00FB38E1" w:rsidRDefault="00955742" w:rsidP="0095574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Faiz Oranı Riski</w:t>
            </w:r>
          </w:p>
        </w:tc>
        <w:tc>
          <w:tcPr>
            <w:tcW w:w="2016" w:type="dxa"/>
            <w:tcBorders>
              <w:top w:val="single" w:sz="4" w:space="0" w:color="auto"/>
              <w:bottom w:val="nil"/>
            </w:tcBorders>
            <w:tcMar>
              <w:left w:w="57" w:type="dxa"/>
              <w:right w:w="57" w:type="dxa"/>
            </w:tcMar>
            <w:vAlign w:val="center"/>
          </w:tcPr>
          <w:p w14:paraId="453080DD" w14:textId="087EB4CD"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264.260</w:t>
            </w:r>
          </w:p>
        </w:tc>
        <w:tc>
          <w:tcPr>
            <w:tcW w:w="2016" w:type="dxa"/>
            <w:tcBorders>
              <w:top w:val="single" w:sz="4" w:space="0" w:color="auto"/>
              <w:bottom w:val="nil"/>
            </w:tcBorders>
            <w:shd w:val="clear" w:color="auto" w:fill="auto"/>
            <w:tcMar>
              <w:left w:w="57" w:type="dxa"/>
              <w:right w:w="57" w:type="dxa"/>
            </w:tcMar>
            <w:vAlign w:val="center"/>
          </w:tcPr>
          <w:p w14:paraId="70CC66D0" w14:textId="6D4F996C"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418.724</w:t>
            </w:r>
          </w:p>
        </w:tc>
        <w:tc>
          <w:tcPr>
            <w:tcW w:w="2018" w:type="dxa"/>
            <w:tcBorders>
              <w:top w:val="single" w:sz="4" w:space="0" w:color="auto"/>
              <w:bottom w:val="nil"/>
            </w:tcBorders>
            <w:shd w:val="clear" w:color="auto" w:fill="auto"/>
            <w:tcMar>
              <w:left w:w="57" w:type="dxa"/>
              <w:right w:w="57" w:type="dxa"/>
            </w:tcMar>
            <w:vAlign w:val="center"/>
          </w:tcPr>
          <w:p w14:paraId="6C91332B" w14:textId="065FA2DF"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164.282</w:t>
            </w:r>
          </w:p>
        </w:tc>
      </w:tr>
      <w:tr w:rsidR="00955742" w:rsidRPr="00FB38E1" w14:paraId="77AA1012" w14:textId="77777777" w:rsidTr="00836EF2">
        <w:trPr>
          <w:trHeight w:val="57"/>
        </w:trPr>
        <w:tc>
          <w:tcPr>
            <w:tcW w:w="3616" w:type="dxa"/>
            <w:tcMar>
              <w:left w:w="57" w:type="dxa"/>
              <w:right w:w="57" w:type="dxa"/>
            </w:tcMar>
          </w:tcPr>
          <w:p w14:paraId="508B1555" w14:textId="77777777" w:rsidR="00955742" w:rsidRPr="00FB38E1" w:rsidRDefault="00955742" w:rsidP="0095574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Hisse Senedi Riski</w:t>
            </w:r>
          </w:p>
        </w:tc>
        <w:tc>
          <w:tcPr>
            <w:tcW w:w="2016" w:type="dxa"/>
            <w:tcBorders>
              <w:top w:val="nil"/>
              <w:bottom w:val="nil"/>
            </w:tcBorders>
            <w:shd w:val="clear" w:color="auto" w:fill="auto"/>
            <w:tcMar>
              <w:left w:w="57" w:type="dxa"/>
              <w:right w:w="57" w:type="dxa"/>
            </w:tcMar>
            <w:vAlign w:val="center"/>
          </w:tcPr>
          <w:p w14:paraId="02BE345A" w14:textId="4DD67BA4"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6" w:type="dxa"/>
            <w:tcBorders>
              <w:top w:val="nil"/>
              <w:bottom w:val="nil"/>
            </w:tcBorders>
            <w:shd w:val="clear" w:color="auto" w:fill="auto"/>
            <w:tcMar>
              <w:left w:w="57" w:type="dxa"/>
              <w:right w:w="57" w:type="dxa"/>
            </w:tcMar>
            <w:vAlign w:val="center"/>
          </w:tcPr>
          <w:p w14:paraId="55EB0556" w14:textId="41F09CD8"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8" w:type="dxa"/>
            <w:tcBorders>
              <w:top w:val="nil"/>
              <w:bottom w:val="nil"/>
            </w:tcBorders>
            <w:shd w:val="clear" w:color="auto" w:fill="auto"/>
            <w:tcMar>
              <w:left w:w="57" w:type="dxa"/>
              <w:right w:w="57" w:type="dxa"/>
            </w:tcMar>
            <w:vAlign w:val="center"/>
          </w:tcPr>
          <w:p w14:paraId="34388744" w14:textId="7D87E0E5"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55742" w:rsidRPr="00FB38E1" w14:paraId="5B4136B8" w14:textId="77777777" w:rsidTr="00836EF2">
        <w:trPr>
          <w:trHeight w:val="57"/>
        </w:trPr>
        <w:tc>
          <w:tcPr>
            <w:tcW w:w="3616" w:type="dxa"/>
            <w:tcMar>
              <w:left w:w="57" w:type="dxa"/>
              <w:right w:w="57" w:type="dxa"/>
            </w:tcMar>
          </w:tcPr>
          <w:p w14:paraId="5237709C" w14:textId="77777777" w:rsidR="00955742" w:rsidRPr="00FB38E1" w:rsidRDefault="00955742" w:rsidP="0095574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Kur Riski</w:t>
            </w:r>
          </w:p>
        </w:tc>
        <w:tc>
          <w:tcPr>
            <w:tcW w:w="2016" w:type="dxa"/>
            <w:tcBorders>
              <w:top w:val="nil"/>
              <w:bottom w:val="nil"/>
            </w:tcBorders>
            <w:shd w:val="clear" w:color="auto" w:fill="auto"/>
            <w:tcMar>
              <w:left w:w="57" w:type="dxa"/>
              <w:right w:w="57" w:type="dxa"/>
            </w:tcMar>
            <w:vAlign w:val="center"/>
          </w:tcPr>
          <w:p w14:paraId="33E7E411" w14:textId="7FEE7231"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898.493</w:t>
            </w:r>
          </w:p>
        </w:tc>
        <w:tc>
          <w:tcPr>
            <w:tcW w:w="2016" w:type="dxa"/>
            <w:tcBorders>
              <w:top w:val="nil"/>
              <w:bottom w:val="nil"/>
            </w:tcBorders>
            <w:shd w:val="clear" w:color="auto" w:fill="auto"/>
            <w:tcMar>
              <w:left w:w="57" w:type="dxa"/>
              <w:right w:w="57" w:type="dxa"/>
            </w:tcMar>
            <w:vAlign w:val="center"/>
          </w:tcPr>
          <w:p w14:paraId="62254062" w14:textId="0216045A"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1.366.028</w:t>
            </w:r>
          </w:p>
        </w:tc>
        <w:tc>
          <w:tcPr>
            <w:tcW w:w="2018" w:type="dxa"/>
            <w:tcBorders>
              <w:top w:val="nil"/>
              <w:bottom w:val="nil"/>
            </w:tcBorders>
            <w:shd w:val="clear" w:color="auto" w:fill="auto"/>
            <w:tcMar>
              <w:left w:w="57" w:type="dxa"/>
              <w:right w:w="57" w:type="dxa"/>
            </w:tcMar>
            <w:vAlign w:val="center"/>
          </w:tcPr>
          <w:p w14:paraId="4A23D222" w14:textId="362506F9"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255.567</w:t>
            </w:r>
          </w:p>
        </w:tc>
      </w:tr>
      <w:tr w:rsidR="00955742" w:rsidRPr="00FB38E1" w14:paraId="76199632" w14:textId="77777777" w:rsidTr="00836EF2">
        <w:trPr>
          <w:trHeight w:val="57"/>
        </w:trPr>
        <w:tc>
          <w:tcPr>
            <w:tcW w:w="3616" w:type="dxa"/>
            <w:tcMar>
              <w:left w:w="57" w:type="dxa"/>
              <w:right w:w="57" w:type="dxa"/>
            </w:tcMar>
          </w:tcPr>
          <w:p w14:paraId="6FDD1EE9" w14:textId="77777777" w:rsidR="00955742" w:rsidRPr="00FB38E1" w:rsidRDefault="00955742" w:rsidP="0095574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Emtia Riski</w:t>
            </w:r>
          </w:p>
        </w:tc>
        <w:tc>
          <w:tcPr>
            <w:tcW w:w="2016" w:type="dxa"/>
            <w:tcBorders>
              <w:top w:val="nil"/>
            </w:tcBorders>
            <w:shd w:val="clear" w:color="auto" w:fill="auto"/>
            <w:tcMar>
              <w:left w:w="57" w:type="dxa"/>
              <w:right w:w="57" w:type="dxa"/>
            </w:tcMar>
            <w:vAlign w:val="center"/>
          </w:tcPr>
          <w:p w14:paraId="10F7CA55" w14:textId="3D27BA28"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598.252</w:t>
            </w:r>
          </w:p>
        </w:tc>
        <w:tc>
          <w:tcPr>
            <w:tcW w:w="2016" w:type="dxa"/>
            <w:tcBorders>
              <w:top w:val="nil"/>
              <w:bottom w:val="nil"/>
            </w:tcBorders>
            <w:shd w:val="clear" w:color="auto" w:fill="auto"/>
            <w:tcMar>
              <w:left w:w="57" w:type="dxa"/>
              <w:right w:w="57" w:type="dxa"/>
            </w:tcMar>
            <w:vAlign w:val="center"/>
          </w:tcPr>
          <w:p w14:paraId="0D19D1C2" w14:textId="5D0A9EB9"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684.780</w:t>
            </w:r>
          </w:p>
        </w:tc>
        <w:tc>
          <w:tcPr>
            <w:tcW w:w="2018" w:type="dxa"/>
            <w:tcBorders>
              <w:top w:val="nil"/>
              <w:bottom w:val="nil"/>
            </w:tcBorders>
            <w:shd w:val="clear" w:color="auto" w:fill="auto"/>
            <w:tcMar>
              <w:left w:w="57" w:type="dxa"/>
              <w:right w:w="57" w:type="dxa"/>
            </w:tcMar>
            <w:vAlign w:val="center"/>
          </w:tcPr>
          <w:p w14:paraId="3290BFC4" w14:textId="4765D2D4"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507.255</w:t>
            </w:r>
          </w:p>
        </w:tc>
      </w:tr>
      <w:tr w:rsidR="00955742" w:rsidRPr="00FB38E1" w14:paraId="4CFB337D" w14:textId="77777777" w:rsidTr="00836EF2">
        <w:trPr>
          <w:trHeight w:val="57"/>
        </w:trPr>
        <w:tc>
          <w:tcPr>
            <w:tcW w:w="3616" w:type="dxa"/>
            <w:tcMar>
              <w:left w:w="57" w:type="dxa"/>
              <w:right w:w="57" w:type="dxa"/>
            </w:tcMar>
          </w:tcPr>
          <w:p w14:paraId="4EA3EDC1" w14:textId="77777777" w:rsidR="00955742" w:rsidRPr="00FB38E1" w:rsidRDefault="00955742" w:rsidP="0095574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Takas Riski</w:t>
            </w:r>
          </w:p>
        </w:tc>
        <w:tc>
          <w:tcPr>
            <w:tcW w:w="2016" w:type="dxa"/>
            <w:shd w:val="clear" w:color="auto" w:fill="auto"/>
            <w:tcMar>
              <w:left w:w="57" w:type="dxa"/>
              <w:right w:w="57" w:type="dxa"/>
            </w:tcMar>
            <w:vAlign w:val="center"/>
          </w:tcPr>
          <w:p w14:paraId="01E4ED0B" w14:textId="04375B33"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6" w:type="dxa"/>
            <w:tcBorders>
              <w:top w:val="nil"/>
            </w:tcBorders>
            <w:shd w:val="clear" w:color="auto" w:fill="auto"/>
            <w:tcMar>
              <w:left w:w="57" w:type="dxa"/>
              <w:right w:w="57" w:type="dxa"/>
            </w:tcMar>
            <w:vAlign w:val="center"/>
          </w:tcPr>
          <w:p w14:paraId="46667000" w14:textId="073DB906"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8" w:type="dxa"/>
            <w:tcBorders>
              <w:top w:val="nil"/>
            </w:tcBorders>
            <w:shd w:val="clear" w:color="auto" w:fill="auto"/>
            <w:tcMar>
              <w:left w:w="57" w:type="dxa"/>
              <w:right w:w="57" w:type="dxa"/>
            </w:tcMar>
            <w:vAlign w:val="center"/>
          </w:tcPr>
          <w:p w14:paraId="62E381E6" w14:textId="3D47C426"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55742" w:rsidRPr="00FB38E1" w14:paraId="00C7DA3A" w14:textId="77777777" w:rsidTr="00836EF2">
        <w:trPr>
          <w:trHeight w:val="57"/>
        </w:trPr>
        <w:tc>
          <w:tcPr>
            <w:tcW w:w="3616" w:type="dxa"/>
            <w:tcMar>
              <w:left w:w="57" w:type="dxa"/>
              <w:right w:w="57" w:type="dxa"/>
            </w:tcMar>
          </w:tcPr>
          <w:p w14:paraId="5BF32191" w14:textId="77777777" w:rsidR="00955742" w:rsidRPr="00FB38E1" w:rsidRDefault="00955742" w:rsidP="0095574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Opsiyon Riski</w:t>
            </w:r>
          </w:p>
        </w:tc>
        <w:tc>
          <w:tcPr>
            <w:tcW w:w="2016" w:type="dxa"/>
            <w:shd w:val="clear" w:color="auto" w:fill="auto"/>
            <w:tcMar>
              <w:left w:w="57" w:type="dxa"/>
              <w:right w:w="57" w:type="dxa"/>
            </w:tcMar>
            <w:vAlign w:val="center"/>
          </w:tcPr>
          <w:p w14:paraId="195BABBE" w14:textId="07EF9ED7"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25.916</w:t>
            </w:r>
          </w:p>
        </w:tc>
        <w:tc>
          <w:tcPr>
            <w:tcW w:w="2016" w:type="dxa"/>
            <w:tcBorders>
              <w:top w:val="nil"/>
            </w:tcBorders>
            <w:shd w:val="clear" w:color="auto" w:fill="auto"/>
            <w:tcMar>
              <w:left w:w="57" w:type="dxa"/>
              <w:right w:w="57" w:type="dxa"/>
            </w:tcMar>
            <w:vAlign w:val="center"/>
          </w:tcPr>
          <w:p w14:paraId="6CD8595C" w14:textId="29731A90"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42.452</w:t>
            </w:r>
          </w:p>
        </w:tc>
        <w:tc>
          <w:tcPr>
            <w:tcW w:w="2018" w:type="dxa"/>
            <w:tcBorders>
              <w:top w:val="nil"/>
            </w:tcBorders>
            <w:shd w:val="clear" w:color="auto" w:fill="auto"/>
            <w:tcMar>
              <w:left w:w="57" w:type="dxa"/>
              <w:right w:w="57" w:type="dxa"/>
            </w:tcMar>
            <w:vAlign w:val="center"/>
          </w:tcPr>
          <w:p w14:paraId="42E9073F" w14:textId="7B386F57"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2.792</w:t>
            </w:r>
          </w:p>
        </w:tc>
      </w:tr>
      <w:tr w:rsidR="00955742" w:rsidRPr="00FB38E1" w14:paraId="6CEF06BC" w14:textId="77777777" w:rsidTr="00836EF2">
        <w:trPr>
          <w:trHeight w:val="57"/>
        </w:trPr>
        <w:tc>
          <w:tcPr>
            <w:tcW w:w="3616" w:type="dxa"/>
            <w:tcBorders>
              <w:bottom w:val="single" w:sz="4" w:space="0" w:color="auto"/>
            </w:tcBorders>
            <w:tcMar>
              <w:left w:w="57" w:type="dxa"/>
              <w:right w:w="57" w:type="dxa"/>
            </w:tcMar>
          </w:tcPr>
          <w:p w14:paraId="0E0B8A7C" w14:textId="77777777" w:rsidR="00955742" w:rsidRPr="00FB38E1" w:rsidRDefault="00955742" w:rsidP="0095574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Karşı Taraf Riski</w:t>
            </w:r>
          </w:p>
        </w:tc>
        <w:tc>
          <w:tcPr>
            <w:tcW w:w="2016" w:type="dxa"/>
            <w:tcBorders>
              <w:bottom w:val="single" w:sz="4" w:space="0" w:color="auto"/>
            </w:tcBorders>
            <w:shd w:val="clear" w:color="auto" w:fill="auto"/>
            <w:tcMar>
              <w:left w:w="57" w:type="dxa"/>
              <w:right w:w="57" w:type="dxa"/>
            </w:tcMar>
            <w:vAlign w:val="center"/>
          </w:tcPr>
          <w:p w14:paraId="6BCC7F5A" w14:textId="0C0839A3"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6" w:type="dxa"/>
            <w:tcBorders>
              <w:bottom w:val="single" w:sz="4" w:space="0" w:color="auto"/>
            </w:tcBorders>
            <w:shd w:val="clear" w:color="auto" w:fill="auto"/>
            <w:tcMar>
              <w:left w:w="57" w:type="dxa"/>
              <w:right w:w="57" w:type="dxa"/>
            </w:tcMar>
            <w:vAlign w:val="center"/>
          </w:tcPr>
          <w:p w14:paraId="1F3E8FE7" w14:textId="086EBC23"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8" w:type="dxa"/>
            <w:tcBorders>
              <w:bottom w:val="single" w:sz="4" w:space="0" w:color="auto"/>
            </w:tcBorders>
            <w:shd w:val="clear" w:color="auto" w:fill="auto"/>
            <w:tcMar>
              <w:left w:w="57" w:type="dxa"/>
              <w:right w:w="57" w:type="dxa"/>
            </w:tcMar>
            <w:vAlign w:val="center"/>
          </w:tcPr>
          <w:p w14:paraId="3E2357E0" w14:textId="3E738D46" w:rsidR="00955742" w:rsidRPr="00FB38E1" w:rsidRDefault="00955742" w:rsidP="0095574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55742" w:rsidRPr="00FB38E1" w14:paraId="6DAF3E8B" w14:textId="77777777" w:rsidTr="00836EF2">
        <w:trPr>
          <w:trHeight w:val="47"/>
        </w:trPr>
        <w:tc>
          <w:tcPr>
            <w:tcW w:w="3616" w:type="dxa"/>
            <w:tcBorders>
              <w:top w:val="single" w:sz="4" w:space="0" w:color="auto"/>
              <w:bottom w:val="thickThinSmallGap" w:sz="24" w:space="0" w:color="auto"/>
            </w:tcBorders>
            <w:tcMar>
              <w:left w:w="57" w:type="dxa"/>
              <w:right w:w="57" w:type="dxa"/>
            </w:tcMar>
          </w:tcPr>
          <w:p w14:paraId="28E25CC0" w14:textId="77777777" w:rsidR="00955742" w:rsidRPr="00FB38E1" w:rsidRDefault="00955742" w:rsidP="00955742">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 Riske Maruz Değer</w:t>
            </w:r>
          </w:p>
        </w:tc>
        <w:tc>
          <w:tcPr>
            <w:tcW w:w="2016" w:type="dxa"/>
            <w:tcBorders>
              <w:top w:val="single" w:sz="4" w:space="0" w:color="auto"/>
              <w:bottom w:val="thickThinSmallGap" w:sz="24" w:space="0" w:color="auto"/>
            </w:tcBorders>
            <w:shd w:val="clear" w:color="auto" w:fill="auto"/>
            <w:tcMar>
              <w:left w:w="57" w:type="dxa"/>
              <w:right w:w="57" w:type="dxa"/>
            </w:tcMar>
            <w:vAlign w:val="center"/>
          </w:tcPr>
          <w:p w14:paraId="0F0CEE5F" w14:textId="753D0E00" w:rsidR="00955742" w:rsidRPr="00FB38E1" w:rsidRDefault="00955742" w:rsidP="0095574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22.336.521</w:t>
            </w:r>
          </w:p>
        </w:tc>
        <w:tc>
          <w:tcPr>
            <w:tcW w:w="2016" w:type="dxa"/>
            <w:tcBorders>
              <w:top w:val="single" w:sz="4" w:space="0" w:color="auto"/>
              <w:bottom w:val="thickThinSmallGap" w:sz="24" w:space="0" w:color="auto"/>
            </w:tcBorders>
            <w:shd w:val="clear" w:color="auto" w:fill="auto"/>
            <w:tcMar>
              <w:left w:w="57" w:type="dxa"/>
              <w:right w:w="57" w:type="dxa"/>
            </w:tcMar>
            <w:vAlign w:val="center"/>
          </w:tcPr>
          <w:p w14:paraId="7E2163F6" w14:textId="6F80D5B8" w:rsidR="00955742" w:rsidRPr="00FB38E1" w:rsidRDefault="00955742" w:rsidP="0095574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28.931.053</w:t>
            </w:r>
          </w:p>
        </w:tc>
        <w:tc>
          <w:tcPr>
            <w:tcW w:w="2018" w:type="dxa"/>
            <w:tcBorders>
              <w:top w:val="single" w:sz="4" w:space="0" w:color="auto"/>
              <w:bottom w:val="thickThinSmallGap" w:sz="24" w:space="0" w:color="auto"/>
            </w:tcBorders>
            <w:shd w:val="clear" w:color="auto" w:fill="auto"/>
            <w:tcMar>
              <w:left w:w="57" w:type="dxa"/>
              <w:right w:w="57" w:type="dxa"/>
            </w:tcMar>
            <w:vAlign w:val="center"/>
          </w:tcPr>
          <w:p w14:paraId="6204D012" w14:textId="13879C37" w:rsidR="00955742" w:rsidRPr="00FB38E1" w:rsidRDefault="00955742" w:rsidP="0095574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13.928.148</w:t>
            </w:r>
          </w:p>
        </w:tc>
      </w:tr>
    </w:tbl>
    <w:p w14:paraId="76FF4BEF" w14:textId="77777777" w:rsidR="00E036D3" w:rsidRPr="00FB38E1" w:rsidRDefault="00E036D3" w:rsidP="00E036D3">
      <w:pPr>
        <w:spacing w:before="120" w:after="0" w:line="220" w:lineRule="exact"/>
      </w:pPr>
    </w:p>
    <w:tbl>
      <w:tblPr>
        <w:tblStyle w:val="TableGrid"/>
        <w:tblW w:w="9666"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3616"/>
        <w:gridCol w:w="2016"/>
        <w:gridCol w:w="2016"/>
        <w:gridCol w:w="2018"/>
      </w:tblGrid>
      <w:tr w:rsidR="00E036D3" w:rsidRPr="00FB38E1" w14:paraId="2064D4CE" w14:textId="77777777" w:rsidTr="00836EF2">
        <w:trPr>
          <w:trHeight w:val="24"/>
        </w:trPr>
        <w:tc>
          <w:tcPr>
            <w:tcW w:w="3616" w:type="dxa"/>
            <w:tcBorders>
              <w:top w:val="thinThickSmallGap" w:sz="24" w:space="0" w:color="auto"/>
              <w:bottom w:val="nil"/>
            </w:tcBorders>
            <w:tcMar>
              <w:left w:w="57" w:type="dxa"/>
              <w:right w:w="57" w:type="dxa"/>
            </w:tcMar>
          </w:tcPr>
          <w:p w14:paraId="3B111054" w14:textId="77777777" w:rsidR="00E036D3" w:rsidRPr="00FB38E1" w:rsidRDefault="00E036D3" w:rsidP="00836EF2">
            <w:pPr>
              <w:rPr>
                <w:rFonts w:ascii="Microsoft Sans Serif" w:hAnsi="Microsoft Sans Serif" w:cs="Microsoft Sans Serif"/>
                <w:sz w:val="16"/>
                <w:szCs w:val="16"/>
              </w:rPr>
            </w:pPr>
          </w:p>
        </w:tc>
        <w:tc>
          <w:tcPr>
            <w:tcW w:w="6050" w:type="dxa"/>
            <w:gridSpan w:val="3"/>
            <w:tcBorders>
              <w:top w:val="thinThickSmallGap" w:sz="24" w:space="0" w:color="auto"/>
              <w:bottom w:val="single" w:sz="4" w:space="0" w:color="auto"/>
            </w:tcBorders>
            <w:tcMar>
              <w:left w:w="57" w:type="dxa"/>
              <w:right w:w="57" w:type="dxa"/>
            </w:tcMar>
            <w:vAlign w:val="bottom"/>
          </w:tcPr>
          <w:p w14:paraId="18AC2DC6" w14:textId="681B65EF" w:rsidR="00E036D3" w:rsidRPr="00FB38E1" w:rsidRDefault="00E036D3" w:rsidP="00836EF2">
            <w:pPr>
              <w:jc w:val="center"/>
              <w:rPr>
                <w:rFonts w:ascii="Microsoft Sans Serif" w:hAnsi="Microsoft Sans Serif" w:cs="Microsoft Sans Serif"/>
                <w:b/>
                <w:sz w:val="16"/>
                <w:szCs w:val="16"/>
              </w:rPr>
            </w:pPr>
            <w:r w:rsidRPr="00FB38E1">
              <w:rPr>
                <w:rFonts w:ascii="Microsoft Sans Serif" w:hAnsi="Microsoft Sans Serif" w:cs="Microsoft Sans Serif"/>
                <w:b/>
                <w:sz w:val="16"/>
                <w:szCs w:val="16"/>
              </w:rPr>
              <w:t>Önceki Dönem: 31 Aralık 202</w:t>
            </w:r>
            <w:r w:rsidR="003B7A7D" w:rsidRPr="00FB38E1">
              <w:rPr>
                <w:rFonts w:ascii="Microsoft Sans Serif" w:hAnsi="Microsoft Sans Serif" w:cs="Microsoft Sans Serif"/>
                <w:b/>
                <w:sz w:val="16"/>
                <w:szCs w:val="16"/>
              </w:rPr>
              <w:t>3</w:t>
            </w:r>
          </w:p>
        </w:tc>
      </w:tr>
      <w:tr w:rsidR="00E036D3" w:rsidRPr="00FB38E1" w14:paraId="401C264B" w14:textId="77777777" w:rsidTr="00836EF2">
        <w:trPr>
          <w:trHeight w:val="47"/>
        </w:trPr>
        <w:tc>
          <w:tcPr>
            <w:tcW w:w="3616" w:type="dxa"/>
            <w:tcBorders>
              <w:top w:val="nil"/>
              <w:bottom w:val="single" w:sz="4" w:space="0" w:color="auto"/>
            </w:tcBorders>
            <w:tcMar>
              <w:left w:w="57" w:type="dxa"/>
              <w:right w:w="57" w:type="dxa"/>
            </w:tcMar>
          </w:tcPr>
          <w:p w14:paraId="5744AE70" w14:textId="77777777" w:rsidR="00E036D3" w:rsidRPr="00FB38E1" w:rsidRDefault="00E036D3" w:rsidP="00836EF2">
            <w:pPr>
              <w:rPr>
                <w:rFonts w:ascii="Microsoft Sans Serif" w:hAnsi="Microsoft Sans Serif" w:cs="Microsoft Sans Serif"/>
                <w:sz w:val="16"/>
                <w:szCs w:val="16"/>
              </w:rPr>
            </w:pPr>
          </w:p>
        </w:tc>
        <w:tc>
          <w:tcPr>
            <w:tcW w:w="2016" w:type="dxa"/>
            <w:tcBorders>
              <w:top w:val="single" w:sz="4" w:space="0" w:color="auto"/>
              <w:bottom w:val="single" w:sz="4" w:space="0" w:color="auto"/>
            </w:tcBorders>
            <w:tcMar>
              <w:left w:w="57" w:type="dxa"/>
              <w:right w:w="57" w:type="dxa"/>
            </w:tcMar>
            <w:vAlign w:val="bottom"/>
          </w:tcPr>
          <w:p w14:paraId="00E4E318"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Ortalama</w:t>
            </w:r>
          </w:p>
        </w:tc>
        <w:tc>
          <w:tcPr>
            <w:tcW w:w="2016" w:type="dxa"/>
            <w:tcBorders>
              <w:top w:val="single" w:sz="4" w:space="0" w:color="auto"/>
              <w:bottom w:val="single" w:sz="4" w:space="0" w:color="auto"/>
            </w:tcBorders>
            <w:tcMar>
              <w:left w:w="57" w:type="dxa"/>
              <w:right w:w="57" w:type="dxa"/>
            </w:tcMar>
            <w:vAlign w:val="bottom"/>
          </w:tcPr>
          <w:p w14:paraId="67E8D27A"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En Yüksek</w:t>
            </w:r>
          </w:p>
        </w:tc>
        <w:tc>
          <w:tcPr>
            <w:tcW w:w="2018" w:type="dxa"/>
            <w:tcBorders>
              <w:top w:val="single" w:sz="4" w:space="0" w:color="auto"/>
              <w:bottom w:val="single" w:sz="4" w:space="0" w:color="auto"/>
            </w:tcBorders>
            <w:tcMar>
              <w:left w:w="57" w:type="dxa"/>
              <w:right w:w="57" w:type="dxa"/>
            </w:tcMar>
            <w:vAlign w:val="bottom"/>
          </w:tcPr>
          <w:p w14:paraId="69DF8C74" w14:textId="77777777" w:rsidR="00E036D3" w:rsidRPr="00FB38E1" w:rsidRDefault="00E036D3" w:rsidP="00836EF2">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En Düşük</w:t>
            </w:r>
          </w:p>
        </w:tc>
      </w:tr>
      <w:tr w:rsidR="003B7A7D" w:rsidRPr="00FB38E1" w14:paraId="64E34760" w14:textId="77777777" w:rsidTr="00836EF2">
        <w:trPr>
          <w:trHeight w:val="47"/>
        </w:trPr>
        <w:tc>
          <w:tcPr>
            <w:tcW w:w="3616" w:type="dxa"/>
            <w:tcBorders>
              <w:top w:val="single" w:sz="4" w:space="0" w:color="auto"/>
            </w:tcBorders>
            <w:tcMar>
              <w:left w:w="57" w:type="dxa"/>
              <w:right w:w="57" w:type="dxa"/>
            </w:tcMar>
          </w:tcPr>
          <w:p w14:paraId="12F5D128"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Faiz Oranı Riski</w:t>
            </w:r>
          </w:p>
        </w:tc>
        <w:tc>
          <w:tcPr>
            <w:tcW w:w="2016" w:type="dxa"/>
            <w:tcBorders>
              <w:top w:val="single" w:sz="4" w:space="0" w:color="auto"/>
              <w:bottom w:val="nil"/>
            </w:tcBorders>
            <w:tcMar>
              <w:left w:w="57" w:type="dxa"/>
              <w:right w:w="57" w:type="dxa"/>
            </w:tcMar>
            <w:vAlign w:val="center"/>
          </w:tcPr>
          <w:p w14:paraId="7B65B110" w14:textId="521546B7"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99.568</w:t>
            </w:r>
          </w:p>
        </w:tc>
        <w:tc>
          <w:tcPr>
            <w:tcW w:w="2016" w:type="dxa"/>
            <w:tcBorders>
              <w:top w:val="single" w:sz="4" w:space="0" w:color="auto"/>
              <w:bottom w:val="nil"/>
            </w:tcBorders>
            <w:shd w:val="clear" w:color="auto" w:fill="auto"/>
            <w:tcMar>
              <w:left w:w="57" w:type="dxa"/>
              <w:right w:w="57" w:type="dxa"/>
            </w:tcMar>
            <w:vAlign w:val="center"/>
          </w:tcPr>
          <w:p w14:paraId="0746A23C" w14:textId="56944789"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229.516</w:t>
            </w:r>
          </w:p>
        </w:tc>
        <w:tc>
          <w:tcPr>
            <w:tcW w:w="2018" w:type="dxa"/>
            <w:tcBorders>
              <w:top w:val="single" w:sz="4" w:space="0" w:color="auto"/>
              <w:bottom w:val="nil"/>
            </w:tcBorders>
            <w:shd w:val="clear" w:color="auto" w:fill="auto"/>
            <w:tcMar>
              <w:left w:w="57" w:type="dxa"/>
              <w:right w:w="57" w:type="dxa"/>
            </w:tcMar>
            <w:vAlign w:val="center"/>
          </w:tcPr>
          <w:p w14:paraId="3BCA8F2B" w14:textId="572AC6B6"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47.811</w:t>
            </w:r>
          </w:p>
        </w:tc>
      </w:tr>
      <w:tr w:rsidR="003B7A7D" w:rsidRPr="00FB38E1" w14:paraId="375B69FC" w14:textId="77777777" w:rsidTr="00836EF2">
        <w:trPr>
          <w:trHeight w:val="57"/>
        </w:trPr>
        <w:tc>
          <w:tcPr>
            <w:tcW w:w="3616" w:type="dxa"/>
            <w:tcMar>
              <w:left w:w="57" w:type="dxa"/>
              <w:right w:w="57" w:type="dxa"/>
            </w:tcMar>
          </w:tcPr>
          <w:p w14:paraId="7E361725"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Hisse Senedi Riski</w:t>
            </w:r>
          </w:p>
        </w:tc>
        <w:tc>
          <w:tcPr>
            <w:tcW w:w="2016" w:type="dxa"/>
            <w:tcBorders>
              <w:top w:val="nil"/>
              <w:bottom w:val="nil"/>
            </w:tcBorders>
            <w:shd w:val="clear" w:color="auto" w:fill="auto"/>
            <w:tcMar>
              <w:left w:w="57" w:type="dxa"/>
              <w:right w:w="57" w:type="dxa"/>
            </w:tcMar>
            <w:vAlign w:val="center"/>
          </w:tcPr>
          <w:p w14:paraId="7C22EE82" w14:textId="2FDF769D"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6" w:type="dxa"/>
            <w:tcBorders>
              <w:top w:val="nil"/>
              <w:bottom w:val="nil"/>
            </w:tcBorders>
            <w:shd w:val="clear" w:color="auto" w:fill="auto"/>
            <w:tcMar>
              <w:left w:w="57" w:type="dxa"/>
              <w:right w:w="57" w:type="dxa"/>
            </w:tcMar>
            <w:vAlign w:val="center"/>
          </w:tcPr>
          <w:p w14:paraId="6324EC08" w14:textId="73B63CE7"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8" w:type="dxa"/>
            <w:tcBorders>
              <w:top w:val="nil"/>
              <w:bottom w:val="nil"/>
            </w:tcBorders>
            <w:shd w:val="clear" w:color="auto" w:fill="auto"/>
            <w:tcMar>
              <w:left w:w="57" w:type="dxa"/>
              <w:right w:w="57" w:type="dxa"/>
            </w:tcMar>
            <w:vAlign w:val="center"/>
          </w:tcPr>
          <w:p w14:paraId="1A7FE406" w14:textId="3591D4AB"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B7A7D" w:rsidRPr="00FB38E1" w14:paraId="16250B46" w14:textId="77777777" w:rsidTr="00836EF2">
        <w:trPr>
          <w:trHeight w:val="57"/>
        </w:trPr>
        <w:tc>
          <w:tcPr>
            <w:tcW w:w="3616" w:type="dxa"/>
            <w:tcMar>
              <w:left w:w="57" w:type="dxa"/>
              <w:right w:w="57" w:type="dxa"/>
            </w:tcMar>
          </w:tcPr>
          <w:p w14:paraId="48FDBE0A"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Kur Riski</w:t>
            </w:r>
          </w:p>
        </w:tc>
        <w:tc>
          <w:tcPr>
            <w:tcW w:w="2016" w:type="dxa"/>
            <w:tcBorders>
              <w:top w:val="nil"/>
              <w:bottom w:val="nil"/>
            </w:tcBorders>
            <w:shd w:val="clear" w:color="auto" w:fill="auto"/>
            <w:tcMar>
              <w:left w:w="57" w:type="dxa"/>
              <w:right w:w="57" w:type="dxa"/>
            </w:tcMar>
            <w:vAlign w:val="center"/>
          </w:tcPr>
          <w:p w14:paraId="49706923" w14:textId="0FF1DCE6"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338.775</w:t>
            </w:r>
          </w:p>
        </w:tc>
        <w:tc>
          <w:tcPr>
            <w:tcW w:w="2016" w:type="dxa"/>
            <w:tcBorders>
              <w:top w:val="nil"/>
              <w:bottom w:val="nil"/>
            </w:tcBorders>
            <w:shd w:val="clear" w:color="auto" w:fill="auto"/>
            <w:tcMar>
              <w:left w:w="57" w:type="dxa"/>
              <w:right w:w="57" w:type="dxa"/>
            </w:tcMar>
            <w:vAlign w:val="center"/>
          </w:tcPr>
          <w:p w14:paraId="787E45F1" w14:textId="375C979E"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775.198</w:t>
            </w:r>
          </w:p>
        </w:tc>
        <w:tc>
          <w:tcPr>
            <w:tcW w:w="2018" w:type="dxa"/>
            <w:tcBorders>
              <w:top w:val="nil"/>
              <w:bottom w:val="nil"/>
            </w:tcBorders>
            <w:shd w:val="clear" w:color="auto" w:fill="auto"/>
            <w:tcMar>
              <w:left w:w="57" w:type="dxa"/>
              <w:right w:w="57" w:type="dxa"/>
            </w:tcMar>
            <w:vAlign w:val="center"/>
          </w:tcPr>
          <w:p w14:paraId="1F4E33C7" w14:textId="5E64BD69"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86.502</w:t>
            </w:r>
          </w:p>
        </w:tc>
      </w:tr>
      <w:tr w:rsidR="003B7A7D" w:rsidRPr="00FB38E1" w14:paraId="1DF23942" w14:textId="77777777" w:rsidTr="00836EF2">
        <w:trPr>
          <w:trHeight w:val="57"/>
        </w:trPr>
        <w:tc>
          <w:tcPr>
            <w:tcW w:w="3616" w:type="dxa"/>
            <w:tcMar>
              <w:left w:w="57" w:type="dxa"/>
              <w:right w:w="57" w:type="dxa"/>
            </w:tcMar>
          </w:tcPr>
          <w:p w14:paraId="262E35D4"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Emtia Riski</w:t>
            </w:r>
          </w:p>
        </w:tc>
        <w:tc>
          <w:tcPr>
            <w:tcW w:w="2016" w:type="dxa"/>
            <w:tcBorders>
              <w:top w:val="nil"/>
            </w:tcBorders>
            <w:shd w:val="clear" w:color="auto" w:fill="auto"/>
            <w:tcMar>
              <w:left w:w="57" w:type="dxa"/>
              <w:right w:w="57" w:type="dxa"/>
            </w:tcMar>
            <w:vAlign w:val="center"/>
          </w:tcPr>
          <w:p w14:paraId="55D3BEBC" w14:textId="33E0C95F"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434.746</w:t>
            </w:r>
          </w:p>
        </w:tc>
        <w:tc>
          <w:tcPr>
            <w:tcW w:w="2016" w:type="dxa"/>
            <w:tcBorders>
              <w:top w:val="nil"/>
              <w:bottom w:val="nil"/>
            </w:tcBorders>
            <w:shd w:val="clear" w:color="auto" w:fill="auto"/>
            <w:tcMar>
              <w:left w:w="57" w:type="dxa"/>
              <w:right w:w="57" w:type="dxa"/>
            </w:tcMar>
            <w:vAlign w:val="center"/>
          </w:tcPr>
          <w:p w14:paraId="37491F65" w14:textId="21099282"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593.538</w:t>
            </w:r>
          </w:p>
        </w:tc>
        <w:tc>
          <w:tcPr>
            <w:tcW w:w="2018" w:type="dxa"/>
            <w:tcBorders>
              <w:top w:val="nil"/>
              <w:bottom w:val="nil"/>
            </w:tcBorders>
            <w:shd w:val="clear" w:color="auto" w:fill="auto"/>
            <w:tcMar>
              <w:left w:w="57" w:type="dxa"/>
              <w:right w:w="57" w:type="dxa"/>
            </w:tcMar>
            <w:vAlign w:val="center"/>
          </w:tcPr>
          <w:p w14:paraId="0B462B27" w14:textId="2BC66564"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327.227</w:t>
            </w:r>
          </w:p>
        </w:tc>
      </w:tr>
      <w:tr w:rsidR="003B7A7D" w:rsidRPr="00FB38E1" w14:paraId="74E99284" w14:textId="77777777" w:rsidTr="00836EF2">
        <w:trPr>
          <w:trHeight w:val="57"/>
        </w:trPr>
        <w:tc>
          <w:tcPr>
            <w:tcW w:w="3616" w:type="dxa"/>
            <w:tcMar>
              <w:left w:w="57" w:type="dxa"/>
              <w:right w:w="57" w:type="dxa"/>
            </w:tcMar>
          </w:tcPr>
          <w:p w14:paraId="708B5464"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Takas Riski</w:t>
            </w:r>
          </w:p>
        </w:tc>
        <w:tc>
          <w:tcPr>
            <w:tcW w:w="2016" w:type="dxa"/>
            <w:shd w:val="clear" w:color="auto" w:fill="auto"/>
            <w:tcMar>
              <w:left w:w="57" w:type="dxa"/>
              <w:right w:w="57" w:type="dxa"/>
            </w:tcMar>
            <w:vAlign w:val="center"/>
          </w:tcPr>
          <w:p w14:paraId="2C31821B" w14:textId="47D75377"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6" w:type="dxa"/>
            <w:tcBorders>
              <w:top w:val="nil"/>
            </w:tcBorders>
            <w:shd w:val="clear" w:color="auto" w:fill="auto"/>
            <w:tcMar>
              <w:left w:w="57" w:type="dxa"/>
              <w:right w:w="57" w:type="dxa"/>
            </w:tcMar>
            <w:vAlign w:val="center"/>
          </w:tcPr>
          <w:p w14:paraId="0259105E" w14:textId="522FAF12"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8" w:type="dxa"/>
            <w:tcBorders>
              <w:top w:val="nil"/>
            </w:tcBorders>
            <w:shd w:val="clear" w:color="auto" w:fill="auto"/>
            <w:tcMar>
              <w:left w:w="57" w:type="dxa"/>
              <w:right w:w="57" w:type="dxa"/>
            </w:tcMar>
            <w:vAlign w:val="center"/>
          </w:tcPr>
          <w:p w14:paraId="2DD58F5C" w14:textId="0BB0D7F7"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B7A7D" w:rsidRPr="00FB38E1" w14:paraId="1ABA89F0" w14:textId="77777777" w:rsidTr="00836EF2">
        <w:trPr>
          <w:trHeight w:val="57"/>
        </w:trPr>
        <w:tc>
          <w:tcPr>
            <w:tcW w:w="3616" w:type="dxa"/>
            <w:tcMar>
              <w:left w:w="57" w:type="dxa"/>
              <w:right w:w="57" w:type="dxa"/>
            </w:tcMar>
          </w:tcPr>
          <w:p w14:paraId="3FA6B77B"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Opsiyon Riski</w:t>
            </w:r>
          </w:p>
        </w:tc>
        <w:tc>
          <w:tcPr>
            <w:tcW w:w="2016" w:type="dxa"/>
            <w:shd w:val="clear" w:color="auto" w:fill="auto"/>
            <w:tcMar>
              <w:left w:w="57" w:type="dxa"/>
              <w:right w:w="57" w:type="dxa"/>
            </w:tcMar>
            <w:vAlign w:val="center"/>
          </w:tcPr>
          <w:p w14:paraId="79D9C851" w14:textId="032709D3"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59.815</w:t>
            </w:r>
          </w:p>
        </w:tc>
        <w:tc>
          <w:tcPr>
            <w:tcW w:w="2016" w:type="dxa"/>
            <w:tcBorders>
              <w:top w:val="nil"/>
            </w:tcBorders>
            <w:shd w:val="clear" w:color="auto" w:fill="auto"/>
            <w:tcMar>
              <w:left w:w="57" w:type="dxa"/>
              <w:right w:w="57" w:type="dxa"/>
            </w:tcMar>
            <w:vAlign w:val="center"/>
          </w:tcPr>
          <w:p w14:paraId="32E6B513" w14:textId="12FE4382"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96.111</w:t>
            </w:r>
          </w:p>
        </w:tc>
        <w:tc>
          <w:tcPr>
            <w:tcW w:w="2018" w:type="dxa"/>
            <w:tcBorders>
              <w:top w:val="nil"/>
            </w:tcBorders>
            <w:shd w:val="clear" w:color="auto" w:fill="auto"/>
            <w:tcMar>
              <w:left w:w="57" w:type="dxa"/>
              <w:right w:w="57" w:type="dxa"/>
            </w:tcMar>
            <w:vAlign w:val="center"/>
          </w:tcPr>
          <w:p w14:paraId="57BD783C" w14:textId="5AF0DE26"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33.911</w:t>
            </w:r>
          </w:p>
        </w:tc>
      </w:tr>
      <w:tr w:rsidR="003B7A7D" w:rsidRPr="00FB38E1" w14:paraId="0FA9FB38" w14:textId="77777777" w:rsidTr="00836EF2">
        <w:trPr>
          <w:trHeight w:val="57"/>
        </w:trPr>
        <w:tc>
          <w:tcPr>
            <w:tcW w:w="3616" w:type="dxa"/>
            <w:tcBorders>
              <w:bottom w:val="single" w:sz="4" w:space="0" w:color="auto"/>
            </w:tcBorders>
            <w:tcMar>
              <w:left w:w="57" w:type="dxa"/>
              <w:right w:w="57" w:type="dxa"/>
            </w:tcMar>
          </w:tcPr>
          <w:p w14:paraId="014A847F"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Karşı Taraf Riski</w:t>
            </w:r>
          </w:p>
        </w:tc>
        <w:tc>
          <w:tcPr>
            <w:tcW w:w="2016" w:type="dxa"/>
            <w:tcBorders>
              <w:bottom w:val="single" w:sz="4" w:space="0" w:color="auto"/>
            </w:tcBorders>
            <w:shd w:val="clear" w:color="auto" w:fill="auto"/>
            <w:tcMar>
              <w:left w:w="57" w:type="dxa"/>
              <w:right w:w="57" w:type="dxa"/>
            </w:tcMar>
            <w:vAlign w:val="center"/>
          </w:tcPr>
          <w:p w14:paraId="22C9BA7B" w14:textId="0E06FE70"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6" w:type="dxa"/>
            <w:tcBorders>
              <w:bottom w:val="single" w:sz="4" w:space="0" w:color="auto"/>
            </w:tcBorders>
            <w:shd w:val="clear" w:color="auto" w:fill="auto"/>
            <w:tcMar>
              <w:left w:w="57" w:type="dxa"/>
              <w:right w:w="57" w:type="dxa"/>
            </w:tcMar>
            <w:vAlign w:val="center"/>
          </w:tcPr>
          <w:p w14:paraId="3003B8F5" w14:textId="032F02B4"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2018" w:type="dxa"/>
            <w:tcBorders>
              <w:bottom w:val="single" w:sz="4" w:space="0" w:color="auto"/>
            </w:tcBorders>
            <w:shd w:val="clear" w:color="auto" w:fill="auto"/>
            <w:tcMar>
              <w:left w:w="57" w:type="dxa"/>
              <w:right w:w="57" w:type="dxa"/>
            </w:tcMar>
            <w:vAlign w:val="center"/>
          </w:tcPr>
          <w:p w14:paraId="19DB5DCB" w14:textId="0D2653F9"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B7A7D" w:rsidRPr="00FB38E1" w14:paraId="25330EAC" w14:textId="77777777" w:rsidTr="00836EF2">
        <w:trPr>
          <w:trHeight w:val="47"/>
        </w:trPr>
        <w:tc>
          <w:tcPr>
            <w:tcW w:w="3616" w:type="dxa"/>
            <w:tcBorders>
              <w:top w:val="single" w:sz="4" w:space="0" w:color="auto"/>
              <w:bottom w:val="thickThinSmallGap" w:sz="24" w:space="0" w:color="auto"/>
            </w:tcBorders>
            <w:tcMar>
              <w:left w:w="57" w:type="dxa"/>
              <w:right w:w="57" w:type="dxa"/>
            </w:tcMar>
          </w:tcPr>
          <w:p w14:paraId="07175399" w14:textId="77777777" w:rsidR="003B7A7D" w:rsidRPr="00FB38E1" w:rsidRDefault="003B7A7D" w:rsidP="003B7A7D">
            <w:pPr>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 Riske Maruz Değer</w:t>
            </w:r>
          </w:p>
        </w:tc>
        <w:tc>
          <w:tcPr>
            <w:tcW w:w="2016" w:type="dxa"/>
            <w:tcBorders>
              <w:top w:val="single" w:sz="4" w:space="0" w:color="auto"/>
              <w:bottom w:val="thickThinSmallGap" w:sz="24" w:space="0" w:color="auto"/>
            </w:tcBorders>
            <w:shd w:val="clear" w:color="auto" w:fill="auto"/>
            <w:tcMar>
              <w:left w:w="57" w:type="dxa"/>
              <w:right w:w="57" w:type="dxa"/>
            </w:tcMar>
            <w:vAlign w:val="center"/>
          </w:tcPr>
          <w:p w14:paraId="24EED1EA" w14:textId="778A3DB2" w:rsidR="003B7A7D" w:rsidRPr="00FB38E1" w:rsidRDefault="003B7A7D" w:rsidP="003B7A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11.661.301</w:t>
            </w:r>
          </w:p>
        </w:tc>
        <w:tc>
          <w:tcPr>
            <w:tcW w:w="2016" w:type="dxa"/>
            <w:tcBorders>
              <w:top w:val="single" w:sz="4" w:space="0" w:color="auto"/>
              <w:bottom w:val="thickThinSmallGap" w:sz="24" w:space="0" w:color="auto"/>
            </w:tcBorders>
            <w:shd w:val="clear" w:color="auto" w:fill="auto"/>
            <w:tcMar>
              <w:left w:w="57" w:type="dxa"/>
              <w:right w:w="57" w:type="dxa"/>
            </w:tcMar>
            <w:vAlign w:val="center"/>
          </w:tcPr>
          <w:p w14:paraId="78F7B81D" w14:textId="4853C72C" w:rsidR="003B7A7D" w:rsidRPr="00FB38E1" w:rsidRDefault="003B7A7D" w:rsidP="003B7A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20.462.863</w:t>
            </w:r>
          </w:p>
        </w:tc>
        <w:tc>
          <w:tcPr>
            <w:tcW w:w="2018" w:type="dxa"/>
            <w:tcBorders>
              <w:top w:val="single" w:sz="4" w:space="0" w:color="auto"/>
              <w:bottom w:val="thickThinSmallGap" w:sz="24" w:space="0" w:color="auto"/>
            </w:tcBorders>
            <w:shd w:val="clear" w:color="auto" w:fill="auto"/>
            <w:tcMar>
              <w:left w:w="57" w:type="dxa"/>
              <w:right w:w="57" w:type="dxa"/>
            </w:tcMar>
            <w:vAlign w:val="center"/>
          </w:tcPr>
          <w:p w14:paraId="525F1846" w14:textId="724A0A16" w:rsidR="003B7A7D" w:rsidRPr="00FB38E1" w:rsidRDefault="003B7A7D" w:rsidP="003B7A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7.863.600</w:t>
            </w:r>
          </w:p>
        </w:tc>
      </w:tr>
    </w:tbl>
    <w:p w14:paraId="32C69CC6" w14:textId="269E0EAB" w:rsidR="00E036D3" w:rsidRPr="00FB38E1" w:rsidRDefault="00E036D3" w:rsidP="00E036D3">
      <w:pPr>
        <w:pStyle w:val="ListParagraph"/>
        <w:numPr>
          <w:ilvl w:val="0"/>
          <w:numId w:val="44"/>
        </w:numPr>
        <w:spacing w:before="240" w:after="120" w:line="240" w:lineRule="exact"/>
        <w:ind w:left="0" w:hanging="56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Operasyonel risk</w:t>
      </w:r>
    </w:p>
    <w:p w14:paraId="08792BEE" w14:textId="77777777" w:rsidR="00E036D3" w:rsidRPr="00FB38E1" w:rsidRDefault="00E036D3" w:rsidP="00364B59">
      <w:pPr>
        <w:pStyle w:val="ListParagraph"/>
        <w:numPr>
          <w:ilvl w:val="0"/>
          <w:numId w:val="60"/>
        </w:numPr>
        <w:spacing w:before="120" w:after="120" w:line="240" w:lineRule="exact"/>
        <w:ind w:left="0" w:hanging="425"/>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Operasyonel risk hesaplamasına ilişkin açıklamalar</w:t>
      </w:r>
    </w:p>
    <w:p w14:paraId="2B96EE54" w14:textId="30384791" w:rsidR="00E036D3" w:rsidRPr="00FB38E1" w:rsidRDefault="00E036D3" w:rsidP="00E036D3">
      <w:pPr>
        <w:spacing w:before="120" w:after="0" w:line="220" w:lineRule="exact"/>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color w:val="404040" w:themeColor="text1" w:themeTint="BF"/>
          <w:sz w:val="20"/>
          <w:szCs w:val="20"/>
        </w:rPr>
        <w:t>Operasyonel riske esas tutar, 23 Ekim 2015 tarihinde 29511 sayılı Resmi Gazete’de yayımlanan “Bankaların Sermaye Yeterliliğinin Ölçülmesi ve Değerlendirilmesine İlişkin Yönetmelik”te yer alan  “Temel Gösterge Yöntemi”ne göre Banka’nın son 3 yılına ait 202</w:t>
      </w:r>
      <w:r w:rsidR="003B7A7D" w:rsidRPr="00FB38E1">
        <w:rPr>
          <w:rFonts w:ascii="Microsoft Sans Serif" w:hAnsi="Microsoft Sans Serif" w:cs="Microsoft Sans Serif"/>
          <w:color w:val="404040" w:themeColor="text1" w:themeTint="BF"/>
          <w:sz w:val="20"/>
          <w:szCs w:val="20"/>
        </w:rPr>
        <w:t>3</w:t>
      </w:r>
      <w:r w:rsidRPr="00FB38E1">
        <w:rPr>
          <w:rFonts w:ascii="Microsoft Sans Serif" w:hAnsi="Microsoft Sans Serif" w:cs="Microsoft Sans Serif"/>
          <w:color w:val="404040" w:themeColor="text1" w:themeTint="BF"/>
          <w:sz w:val="20"/>
          <w:szCs w:val="20"/>
        </w:rPr>
        <w:t>, 202</w:t>
      </w:r>
      <w:r w:rsidR="003B7A7D" w:rsidRPr="00FB38E1">
        <w:rPr>
          <w:rFonts w:ascii="Microsoft Sans Serif" w:hAnsi="Microsoft Sans Serif" w:cs="Microsoft Sans Serif"/>
          <w:color w:val="404040" w:themeColor="text1" w:themeTint="BF"/>
          <w:sz w:val="20"/>
          <w:szCs w:val="20"/>
        </w:rPr>
        <w:t>2</w:t>
      </w:r>
      <w:r w:rsidRPr="00FB38E1">
        <w:rPr>
          <w:rFonts w:ascii="Microsoft Sans Serif" w:hAnsi="Microsoft Sans Serif" w:cs="Microsoft Sans Serif"/>
          <w:color w:val="404040" w:themeColor="text1" w:themeTint="BF"/>
          <w:sz w:val="20"/>
          <w:szCs w:val="20"/>
        </w:rPr>
        <w:t xml:space="preserve"> ve 202</w:t>
      </w:r>
      <w:r w:rsidR="003B7A7D" w:rsidRPr="00FB38E1">
        <w:rPr>
          <w:rFonts w:ascii="Microsoft Sans Serif" w:hAnsi="Microsoft Sans Serif" w:cs="Microsoft Sans Serif"/>
          <w:color w:val="404040" w:themeColor="text1" w:themeTint="BF"/>
          <w:sz w:val="20"/>
          <w:szCs w:val="20"/>
        </w:rPr>
        <w:t>1</w:t>
      </w:r>
      <w:r w:rsidRPr="00FB38E1">
        <w:rPr>
          <w:rFonts w:ascii="Microsoft Sans Serif" w:hAnsi="Microsoft Sans Serif" w:cs="Microsoft Sans Serif"/>
          <w:color w:val="404040" w:themeColor="text1" w:themeTint="BF"/>
          <w:sz w:val="20"/>
          <w:szCs w:val="20"/>
        </w:rPr>
        <w:t xml:space="preserve"> yıl sonu brüt gelirleri kullanılmak suretiyle hesaplanmıştır.</w:t>
      </w:r>
    </w:p>
    <w:p w14:paraId="5841CE14" w14:textId="77777777" w:rsidR="00E036D3" w:rsidRPr="00FB38E1" w:rsidRDefault="00E036D3" w:rsidP="00364B59">
      <w:pPr>
        <w:pStyle w:val="ListParagraph"/>
        <w:numPr>
          <w:ilvl w:val="0"/>
          <w:numId w:val="60"/>
        </w:numPr>
        <w:spacing w:before="120" w:after="120" w:line="240" w:lineRule="exact"/>
        <w:ind w:left="0" w:hanging="425"/>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Temel gösterge yöntemi</w:t>
      </w:r>
    </w:p>
    <w:tbl>
      <w:tblPr>
        <w:tblStyle w:val="TableGrid"/>
        <w:tblW w:w="9610"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1134"/>
        <w:gridCol w:w="1105"/>
        <w:gridCol w:w="1105"/>
        <w:gridCol w:w="1239"/>
        <w:gridCol w:w="1238"/>
        <w:gridCol w:w="1237"/>
      </w:tblGrid>
      <w:tr w:rsidR="003B7A7D" w:rsidRPr="00FB38E1" w14:paraId="175597CF" w14:textId="77777777" w:rsidTr="00836EF2">
        <w:tc>
          <w:tcPr>
            <w:tcW w:w="2552" w:type="dxa"/>
            <w:tcBorders>
              <w:top w:val="thinThickSmallGap" w:sz="24" w:space="0" w:color="auto"/>
              <w:bottom w:val="single" w:sz="4" w:space="0" w:color="auto"/>
            </w:tcBorders>
            <w:tcMar>
              <w:left w:w="57" w:type="dxa"/>
              <w:right w:w="57" w:type="dxa"/>
            </w:tcMar>
          </w:tcPr>
          <w:p w14:paraId="6F8BACA1" w14:textId="77777777" w:rsidR="003B7A7D" w:rsidRPr="00FB38E1" w:rsidRDefault="003B7A7D" w:rsidP="003B7A7D">
            <w:pPr>
              <w:rPr>
                <w:rFonts w:ascii="Microsoft Sans Serif" w:hAnsi="Microsoft Sans Serif" w:cs="Microsoft Sans Serif"/>
                <w:sz w:val="16"/>
                <w:szCs w:val="16"/>
              </w:rPr>
            </w:pPr>
          </w:p>
        </w:tc>
        <w:tc>
          <w:tcPr>
            <w:tcW w:w="1134" w:type="dxa"/>
            <w:tcBorders>
              <w:top w:val="thinThickSmallGap" w:sz="24" w:space="0" w:color="auto"/>
              <w:bottom w:val="single" w:sz="4" w:space="0" w:color="auto"/>
            </w:tcBorders>
            <w:tcMar>
              <w:left w:w="57" w:type="dxa"/>
              <w:right w:w="57" w:type="dxa"/>
            </w:tcMar>
            <w:vAlign w:val="bottom"/>
          </w:tcPr>
          <w:p w14:paraId="7FD951C1" w14:textId="77777777" w:rsidR="003B7A7D" w:rsidRPr="00FB38E1" w:rsidRDefault="003B7A7D" w:rsidP="003B7A7D">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31.12.2021</w:t>
            </w:r>
          </w:p>
        </w:tc>
        <w:tc>
          <w:tcPr>
            <w:tcW w:w="1105" w:type="dxa"/>
            <w:tcBorders>
              <w:top w:val="thinThickSmallGap" w:sz="24" w:space="0" w:color="auto"/>
              <w:bottom w:val="single" w:sz="4" w:space="0" w:color="auto"/>
            </w:tcBorders>
            <w:vAlign w:val="bottom"/>
          </w:tcPr>
          <w:p w14:paraId="60A8FE9C" w14:textId="7AF1F989" w:rsidR="003B7A7D" w:rsidRPr="00FB38E1" w:rsidRDefault="003B7A7D" w:rsidP="003B7A7D">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31.12.2022</w:t>
            </w:r>
          </w:p>
        </w:tc>
        <w:tc>
          <w:tcPr>
            <w:tcW w:w="1105" w:type="dxa"/>
            <w:tcBorders>
              <w:top w:val="thinThickSmallGap" w:sz="24" w:space="0" w:color="auto"/>
              <w:bottom w:val="single" w:sz="4" w:space="0" w:color="auto"/>
            </w:tcBorders>
            <w:tcMar>
              <w:left w:w="57" w:type="dxa"/>
              <w:right w:w="57" w:type="dxa"/>
            </w:tcMar>
            <w:vAlign w:val="bottom"/>
          </w:tcPr>
          <w:p w14:paraId="4F22484E" w14:textId="135B2B87" w:rsidR="003B7A7D" w:rsidRPr="00FB38E1" w:rsidRDefault="003B7A7D" w:rsidP="003B7A7D">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31.12.2023</w:t>
            </w:r>
          </w:p>
        </w:tc>
        <w:tc>
          <w:tcPr>
            <w:tcW w:w="1239" w:type="dxa"/>
            <w:tcBorders>
              <w:top w:val="thinThickSmallGap" w:sz="24" w:space="0" w:color="auto"/>
              <w:bottom w:val="single" w:sz="4" w:space="0" w:color="auto"/>
            </w:tcBorders>
            <w:tcMar>
              <w:left w:w="57" w:type="dxa"/>
              <w:right w:w="57" w:type="dxa"/>
            </w:tcMar>
            <w:vAlign w:val="bottom"/>
          </w:tcPr>
          <w:p w14:paraId="713CC774" w14:textId="77777777" w:rsidR="003B7A7D" w:rsidRPr="00FB38E1" w:rsidRDefault="003B7A7D" w:rsidP="003B7A7D">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Toplam/Pozitif BG yıl sayış</w:t>
            </w:r>
          </w:p>
        </w:tc>
        <w:tc>
          <w:tcPr>
            <w:tcW w:w="1238" w:type="dxa"/>
            <w:tcBorders>
              <w:top w:val="thinThickSmallGap" w:sz="24" w:space="0" w:color="auto"/>
              <w:bottom w:val="single" w:sz="4" w:space="0" w:color="auto"/>
            </w:tcBorders>
            <w:tcMar>
              <w:left w:w="57" w:type="dxa"/>
              <w:right w:w="57" w:type="dxa"/>
            </w:tcMar>
            <w:vAlign w:val="bottom"/>
          </w:tcPr>
          <w:p w14:paraId="43BC954B" w14:textId="77777777" w:rsidR="003B7A7D" w:rsidRPr="00FB38E1" w:rsidRDefault="003B7A7D" w:rsidP="003B7A7D">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Oran(%)</w:t>
            </w:r>
          </w:p>
        </w:tc>
        <w:tc>
          <w:tcPr>
            <w:tcW w:w="1237" w:type="dxa"/>
            <w:tcBorders>
              <w:top w:val="thinThickSmallGap" w:sz="24" w:space="0" w:color="auto"/>
              <w:bottom w:val="single" w:sz="4" w:space="0" w:color="auto"/>
            </w:tcBorders>
            <w:tcMar>
              <w:left w:w="57" w:type="dxa"/>
              <w:right w:w="57" w:type="dxa"/>
            </w:tcMar>
            <w:vAlign w:val="bottom"/>
          </w:tcPr>
          <w:p w14:paraId="34B8244E" w14:textId="77777777" w:rsidR="003B7A7D" w:rsidRPr="00FB38E1" w:rsidRDefault="003B7A7D" w:rsidP="003B7A7D">
            <w:pPr>
              <w:jc w:val="right"/>
              <w:rPr>
                <w:rFonts w:ascii="Microsoft Sans Serif" w:hAnsi="Microsoft Sans Serif" w:cs="Microsoft Sans Serif"/>
                <w:b/>
                <w:sz w:val="16"/>
                <w:szCs w:val="16"/>
              </w:rPr>
            </w:pPr>
            <w:r w:rsidRPr="00FB38E1">
              <w:rPr>
                <w:rFonts w:ascii="Microsoft Sans Serif" w:hAnsi="Microsoft Sans Serif" w:cs="Microsoft Sans Serif"/>
                <w:b/>
                <w:sz w:val="16"/>
                <w:szCs w:val="16"/>
              </w:rPr>
              <w:t>Toplam</w:t>
            </w:r>
          </w:p>
        </w:tc>
      </w:tr>
      <w:tr w:rsidR="006067E8" w:rsidRPr="00FB38E1" w14:paraId="33DDB620" w14:textId="77777777" w:rsidTr="00836EF2">
        <w:tc>
          <w:tcPr>
            <w:tcW w:w="2552" w:type="dxa"/>
            <w:tcBorders>
              <w:top w:val="single" w:sz="4" w:space="0" w:color="auto"/>
            </w:tcBorders>
            <w:tcMar>
              <w:left w:w="57" w:type="dxa"/>
              <w:right w:w="57" w:type="dxa"/>
            </w:tcMar>
          </w:tcPr>
          <w:p w14:paraId="49ADA103" w14:textId="77777777" w:rsidR="006067E8" w:rsidRPr="00FB38E1" w:rsidRDefault="006067E8" w:rsidP="006067E8">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Brüt Gelir</w:t>
            </w:r>
          </w:p>
        </w:tc>
        <w:tc>
          <w:tcPr>
            <w:tcW w:w="1134" w:type="dxa"/>
            <w:tcBorders>
              <w:top w:val="single" w:sz="4" w:space="0" w:color="auto"/>
            </w:tcBorders>
            <w:shd w:val="clear" w:color="auto" w:fill="auto"/>
            <w:tcMar>
              <w:left w:w="57" w:type="dxa"/>
              <w:right w:w="57" w:type="dxa"/>
            </w:tcMar>
            <w:vAlign w:val="center"/>
          </w:tcPr>
          <w:p w14:paraId="112CD93F" w14:textId="2463770A"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15.098.296</w:t>
            </w:r>
          </w:p>
        </w:tc>
        <w:tc>
          <w:tcPr>
            <w:tcW w:w="1105" w:type="dxa"/>
            <w:tcBorders>
              <w:top w:val="single" w:sz="4" w:space="0" w:color="auto"/>
            </w:tcBorders>
            <w:vAlign w:val="center"/>
          </w:tcPr>
          <w:p w14:paraId="069E7F47" w14:textId="5937EF87"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38.589.557</w:t>
            </w:r>
          </w:p>
        </w:tc>
        <w:tc>
          <w:tcPr>
            <w:tcW w:w="1105" w:type="dxa"/>
            <w:tcBorders>
              <w:top w:val="single" w:sz="4" w:space="0" w:color="auto"/>
            </w:tcBorders>
            <w:shd w:val="clear" w:color="auto" w:fill="auto"/>
            <w:tcMar>
              <w:left w:w="57" w:type="dxa"/>
              <w:right w:w="57" w:type="dxa"/>
            </w:tcMar>
            <w:vAlign w:val="center"/>
          </w:tcPr>
          <w:p w14:paraId="00970A13" w14:textId="05E06EA2"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48.826.003</w:t>
            </w:r>
          </w:p>
        </w:tc>
        <w:tc>
          <w:tcPr>
            <w:tcW w:w="1239" w:type="dxa"/>
            <w:tcBorders>
              <w:top w:val="single" w:sz="4" w:space="0" w:color="auto"/>
            </w:tcBorders>
            <w:shd w:val="clear" w:color="auto" w:fill="auto"/>
            <w:tcMar>
              <w:left w:w="57" w:type="dxa"/>
              <w:right w:w="57" w:type="dxa"/>
            </w:tcMar>
            <w:vAlign w:val="center"/>
          </w:tcPr>
          <w:p w14:paraId="3D6A399E" w14:textId="04EE8857"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34.171.285</w:t>
            </w:r>
          </w:p>
        </w:tc>
        <w:tc>
          <w:tcPr>
            <w:tcW w:w="1238" w:type="dxa"/>
            <w:tcBorders>
              <w:top w:val="single" w:sz="4" w:space="0" w:color="auto"/>
            </w:tcBorders>
            <w:tcMar>
              <w:left w:w="57" w:type="dxa"/>
              <w:right w:w="57" w:type="dxa"/>
            </w:tcMar>
            <w:vAlign w:val="center"/>
          </w:tcPr>
          <w:p w14:paraId="2F313D84" w14:textId="203A6715"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w:t>
            </w:r>
          </w:p>
        </w:tc>
        <w:tc>
          <w:tcPr>
            <w:tcW w:w="1237" w:type="dxa"/>
            <w:tcBorders>
              <w:top w:val="single" w:sz="4" w:space="0" w:color="auto"/>
            </w:tcBorders>
            <w:tcMar>
              <w:left w:w="57" w:type="dxa"/>
              <w:right w:w="57" w:type="dxa"/>
            </w:tcMar>
            <w:vAlign w:val="center"/>
          </w:tcPr>
          <w:p w14:paraId="0F11AB1A" w14:textId="0B08E04C"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5.125.693</w:t>
            </w:r>
          </w:p>
        </w:tc>
      </w:tr>
      <w:tr w:rsidR="006067E8" w:rsidRPr="00FB38E1" w14:paraId="5C0104B2" w14:textId="77777777" w:rsidTr="00836EF2">
        <w:tc>
          <w:tcPr>
            <w:tcW w:w="2552" w:type="dxa"/>
            <w:tcMar>
              <w:left w:w="57" w:type="dxa"/>
              <w:right w:w="57" w:type="dxa"/>
            </w:tcMar>
          </w:tcPr>
          <w:p w14:paraId="5BA0AD82" w14:textId="77777777" w:rsidR="006067E8" w:rsidRPr="00FB38E1" w:rsidRDefault="006067E8" w:rsidP="006067E8">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Operasyonel Riske Esas Tutar</w:t>
            </w:r>
          </w:p>
        </w:tc>
        <w:tc>
          <w:tcPr>
            <w:tcW w:w="1134" w:type="dxa"/>
            <w:shd w:val="clear" w:color="auto" w:fill="auto"/>
            <w:tcMar>
              <w:left w:w="57" w:type="dxa"/>
              <w:right w:w="57" w:type="dxa"/>
            </w:tcMar>
            <w:vAlign w:val="center"/>
          </w:tcPr>
          <w:p w14:paraId="698EAE57" w14:textId="5ED74BC7"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105" w:type="dxa"/>
            <w:vAlign w:val="center"/>
          </w:tcPr>
          <w:p w14:paraId="5F9107AB" w14:textId="2D668A51"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105" w:type="dxa"/>
            <w:shd w:val="clear" w:color="auto" w:fill="auto"/>
            <w:tcMar>
              <w:left w:w="57" w:type="dxa"/>
              <w:right w:w="57" w:type="dxa"/>
            </w:tcMar>
            <w:vAlign w:val="center"/>
          </w:tcPr>
          <w:p w14:paraId="21C33984" w14:textId="7879413C"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39" w:type="dxa"/>
            <w:shd w:val="clear" w:color="auto" w:fill="auto"/>
            <w:tcMar>
              <w:left w:w="57" w:type="dxa"/>
              <w:right w:w="57" w:type="dxa"/>
            </w:tcMar>
            <w:vAlign w:val="center"/>
          </w:tcPr>
          <w:p w14:paraId="598244BC" w14:textId="4E59FE7E"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38" w:type="dxa"/>
            <w:tcMar>
              <w:left w:w="57" w:type="dxa"/>
              <w:right w:w="57" w:type="dxa"/>
            </w:tcMar>
            <w:vAlign w:val="center"/>
          </w:tcPr>
          <w:p w14:paraId="7593BA95" w14:textId="21E69DDB"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1237" w:type="dxa"/>
            <w:tcMar>
              <w:left w:w="57" w:type="dxa"/>
              <w:right w:w="57" w:type="dxa"/>
            </w:tcMar>
            <w:vAlign w:val="center"/>
          </w:tcPr>
          <w:p w14:paraId="3F69E19C" w14:textId="15513BC0"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64.071.160</w:t>
            </w:r>
          </w:p>
        </w:tc>
      </w:tr>
    </w:tbl>
    <w:p w14:paraId="2E1E1780" w14:textId="1C9DE597" w:rsidR="00E036D3" w:rsidRPr="00FB38E1" w:rsidRDefault="00E036D3" w:rsidP="00E036D3">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Finansal varlık ve borçların gerçeğe uygun değeri ile gösterilmesine ilişkin açıklamalar</w:t>
      </w:r>
    </w:p>
    <w:p w14:paraId="5378667C" w14:textId="77777777" w:rsidR="00E036D3" w:rsidRPr="00FB38E1" w:rsidRDefault="00E036D3" w:rsidP="00364B59">
      <w:pPr>
        <w:pStyle w:val="ListParagraph"/>
        <w:numPr>
          <w:ilvl w:val="0"/>
          <w:numId w:val="61"/>
        </w:numPr>
        <w:spacing w:before="240" w:after="120" w:line="240" w:lineRule="exact"/>
        <w:ind w:left="0" w:hanging="56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Finansal varlık ve borçların gerçeğe uygun değer hesaplamaları</w:t>
      </w:r>
    </w:p>
    <w:p w14:paraId="4D008CD8" w14:textId="77777777" w:rsidR="00E036D3" w:rsidRPr="00FB38E1" w:rsidRDefault="00E036D3" w:rsidP="00E036D3">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Vadeye kadar elde tutulacak yatırımların gerçeğe uygun değeri; piyasa fiyatları veya bu fiyatın tespit edilemediği durumlarda, faiz, vade ve benzeri diğer koşullar bakımından aynı nitelikli itfaya tabi diğer menkul değerler için olan kote edilmiş piyasa fiyatları baz alınarak saptanır.</w:t>
      </w:r>
    </w:p>
    <w:p w14:paraId="29282698" w14:textId="77777777" w:rsidR="00E036D3" w:rsidRPr="00FB38E1" w:rsidRDefault="00E036D3" w:rsidP="00E036D3">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Vadesiz mevduatın tahmini gerçeğe uygun değeri, talep anında ödenecek miktarı ifade eder. Değişken oranlı plasmanlar ile gecelik mevduatın gerçeğe uygun değeri defter değerini ifade eder. Sabit faizli mevduatın tahmini gerçeğe uygun değeri, benzer kredi ve diğer borçlara uygulanan cari faiz oranlarını kullanarak iskonto edilmiş nakit akımının bulunmasıyla hesaplanır.</w:t>
      </w:r>
    </w:p>
    <w:p w14:paraId="045D4CD2" w14:textId="77777777" w:rsidR="00E036D3" w:rsidRPr="00FB38E1" w:rsidRDefault="00E036D3" w:rsidP="00E036D3">
      <w:pPr>
        <w:autoSpaceDE w:val="0"/>
        <w:autoSpaceDN w:val="0"/>
        <w:spacing w:before="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Kredilerin gerçeğe uygun değeri, cari faiz oranları kullanılarak iskonto edilmiş nakit akımlarının bulunmasıyla hesaplanır. </w:t>
      </w:r>
    </w:p>
    <w:p w14:paraId="0A58BF3A" w14:textId="77777777" w:rsidR="00E036D3" w:rsidRPr="00FB38E1" w:rsidRDefault="00E036D3" w:rsidP="00E036D3">
      <w:pPr>
        <w:pStyle w:val="BASLIK2"/>
        <w:widowControl/>
        <w:spacing w:before="120" w:after="0" w:line="220" w:lineRule="exact"/>
        <w:ind w:firstLine="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Bankaların, diğer mali kuruluşlardan sağlanan fonların, ihraç edilen menkul değerlerin ve mevduatın tahmini gerçeğe uygun değeri, cari faiz oranları kullanılarak iskonto edilmiş nakit akımlarının bulunmasıyla hesaplanmıştır.</w:t>
      </w:r>
    </w:p>
    <w:p w14:paraId="71EF0A1F" w14:textId="180E9747" w:rsidR="00E036D3" w:rsidRPr="00FB38E1" w:rsidRDefault="00E036D3" w:rsidP="00E036D3">
      <w:pPr>
        <w:spacing w:before="120"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Aşağıdaki tablo, bazı finansal varlık ve yükümlülüklerin defter değeri ile gerçeğe uygun değerini göstermektedir. Defter değeri ilgili varlık ve yükümlülüklerin elde etme bedeli ve birikmiş faiz reeskontlarının toplamını ifade etmektedir.</w:t>
      </w:r>
    </w:p>
    <w:tbl>
      <w:tblPr>
        <w:tblStyle w:val="TableGrid"/>
        <w:tblW w:w="9654"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53"/>
        <w:gridCol w:w="2052"/>
        <w:gridCol w:w="2049"/>
      </w:tblGrid>
      <w:tr w:rsidR="00E036D3" w:rsidRPr="00FB38E1" w14:paraId="74E87B04" w14:textId="77777777" w:rsidTr="00836EF2">
        <w:trPr>
          <w:trHeight w:val="55"/>
        </w:trPr>
        <w:tc>
          <w:tcPr>
            <w:tcW w:w="2876" w:type="pct"/>
            <w:tcBorders>
              <w:top w:val="thinThickSmallGap" w:sz="24" w:space="0" w:color="auto"/>
              <w:bottom w:val="nil"/>
            </w:tcBorders>
            <w:vAlign w:val="bottom"/>
          </w:tcPr>
          <w:p w14:paraId="7A6438C6" w14:textId="77777777" w:rsidR="00E036D3" w:rsidRPr="00FB38E1" w:rsidRDefault="00E036D3" w:rsidP="00836EF2">
            <w:pPr>
              <w:rPr>
                <w:rFonts w:ascii="Microsoft Sans Serif" w:hAnsi="Microsoft Sans Serif" w:cs="Microsoft Sans Serif"/>
                <w:bCs/>
                <w:color w:val="404040" w:themeColor="text1" w:themeTint="BF"/>
                <w:sz w:val="16"/>
                <w:szCs w:val="16"/>
              </w:rPr>
            </w:pPr>
          </w:p>
        </w:tc>
        <w:tc>
          <w:tcPr>
            <w:tcW w:w="1063" w:type="pct"/>
            <w:tcBorders>
              <w:top w:val="thinThickSmallGap" w:sz="24" w:space="0" w:color="auto"/>
              <w:bottom w:val="nil"/>
            </w:tcBorders>
            <w:vAlign w:val="bottom"/>
          </w:tcPr>
          <w:p w14:paraId="71E30B53" w14:textId="77777777" w:rsidR="00E036D3" w:rsidRPr="00FB38E1" w:rsidRDefault="00E036D3"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bCs/>
                <w:color w:val="000000"/>
                <w:sz w:val="16"/>
                <w:szCs w:val="16"/>
              </w:rPr>
              <w:t>Defter Değeri</w:t>
            </w:r>
          </w:p>
        </w:tc>
        <w:tc>
          <w:tcPr>
            <w:tcW w:w="1061" w:type="pct"/>
            <w:tcBorders>
              <w:top w:val="thinThickSmallGap" w:sz="24" w:space="0" w:color="auto"/>
              <w:bottom w:val="nil"/>
            </w:tcBorders>
            <w:vAlign w:val="bottom"/>
          </w:tcPr>
          <w:p w14:paraId="2E3651AF" w14:textId="77777777" w:rsidR="00E036D3" w:rsidRPr="00FB38E1" w:rsidRDefault="00E036D3"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bCs/>
                <w:color w:val="000000"/>
                <w:sz w:val="16"/>
                <w:szCs w:val="16"/>
              </w:rPr>
              <w:t>Gerçeğe Uygun Değer</w:t>
            </w:r>
          </w:p>
        </w:tc>
      </w:tr>
      <w:tr w:rsidR="00E036D3" w:rsidRPr="00FB38E1" w14:paraId="4F600C73" w14:textId="77777777" w:rsidTr="00836EF2">
        <w:trPr>
          <w:trHeight w:val="55"/>
        </w:trPr>
        <w:tc>
          <w:tcPr>
            <w:tcW w:w="2876" w:type="pct"/>
            <w:tcBorders>
              <w:top w:val="nil"/>
              <w:bottom w:val="nil"/>
            </w:tcBorders>
            <w:vAlign w:val="bottom"/>
          </w:tcPr>
          <w:p w14:paraId="15C43D7E" w14:textId="77777777" w:rsidR="00E036D3" w:rsidRPr="00FB38E1" w:rsidRDefault="00E036D3" w:rsidP="00836EF2">
            <w:pPr>
              <w:rPr>
                <w:rFonts w:ascii="Microsoft Sans Serif" w:hAnsi="Microsoft Sans Serif" w:cs="Microsoft Sans Serif"/>
                <w:b/>
                <w:color w:val="404040" w:themeColor="text1" w:themeTint="BF"/>
                <w:sz w:val="16"/>
                <w:szCs w:val="16"/>
              </w:rPr>
            </w:pPr>
          </w:p>
        </w:tc>
        <w:tc>
          <w:tcPr>
            <w:tcW w:w="1063" w:type="pct"/>
            <w:tcBorders>
              <w:top w:val="nil"/>
              <w:bottom w:val="nil"/>
            </w:tcBorders>
            <w:vAlign w:val="center"/>
          </w:tcPr>
          <w:p w14:paraId="2477DA20" w14:textId="77777777" w:rsidR="00E036D3" w:rsidRPr="00FB38E1" w:rsidRDefault="00E036D3" w:rsidP="00836EF2">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color w:val="404040" w:themeColor="text1" w:themeTint="BF"/>
                <w:sz w:val="16"/>
                <w:szCs w:val="16"/>
              </w:rPr>
              <w:t>Cari Dönem</w:t>
            </w:r>
          </w:p>
        </w:tc>
        <w:tc>
          <w:tcPr>
            <w:tcW w:w="1061" w:type="pct"/>
            <w:tcBorders>
              <w:top w:val="nil"/>
              <w:bottom w:val="nil"/>
            </w:tcBorders>
            <w:vAlign w:val="center"/>
          </w:tcPr>
          <w:p w14:paraId="24F7BED1" w14:textId="77777777" w:rsidR="00E036D3" w:rsidRPr="00FB38E1" w:rsidRDefault="00E036D3" w:rsidP="00836EF2">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color w:val="404040" w:themeColor="text1" w:themeTint="BF"/>
                <w:sz w:val="16"/>
                <w:szCs w:val="16"/>
              </w:rPr>
              <w:t>Cari Dönem</w:t>
            </w:r>
          </w:p>
        </w:tc>
      </w:tr>
      <w:tr w:rsidR="00067763" w:rsidRPr="00FB38E1" w14:paraId="377FD5F4" w14:textId="77777777" w:rsidTr="00836EF2">
        <w:trPr>
          <w:trHeight w:val="55"/>
        </w:trPr>
        <w:tc>
          <w:tcPr>
            <w:tcW w:w="2876" w:type="pct"/>
            <w:tcBorders>
              <w:top w:val="nil"/>
              <w:bottom w:val="nil"/>
            </w:tcBorders>
            <w:vAlign w:val="bottom"/>
          </w:tcPr>
          <w:p w14:paraId="32CA7E48" w14:textId="77777777" w:rsidR="00067763" w:rsidRPr="00FB38E1" w:rsidRDefault="00067763" w:rsidP="00067763">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Finansal Varlıklar</w:t>
            </w:r>
          </w:p>
        </w:tc>
        <w:tc>
          <w:tcPr>
            <w:tcW w:w="1063" w:type="pct"/>
            <w:tcBorders>
              <w:top w:val="single" w:sz="6" w:space="0" w:color="auto"/>
              <w:bottom w:val="nil"/>
            </w:tcBorders>
            <w:vAlign w:val="center"/>
          </w:tcPr>
          <w:p w14:paraId="1D5B5637" w14:textId="7D67F04F" w:rsidR="00067763" w:rsidRPr="00FB38E1" w:rsidRDefault="00067763" w:rsidP="0006776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1.008.149.800</w:t>
            </w:r>
          </w:p>
        </w:tc>
        <w:tc>
          <w:tcPr>
            <w:tcW w:w="1061" w:type="pct"/>
            <w:tcBorders>
              <w:top w:val="single" w:sz="6" w:space="0" w:color="auto"/>
              <w:bottom w:val="nil"/>
            </w:tcBorders>
            <w:vAlign w:val="center"/>
          </w:tcPr>
          <w:p w14:paraId="54074F73" w14:textId="41D24579" w:rsidR="00067763" w:rsidRPr="00FB38E1" w:rsidRDefault="00067763" w:rsidP="0006776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990.143.390</w:t>
            </w:r>
          </w:p>
        </w:tc>
      </w:tr>
      <w:tr w:rsidR="00067763" w:rsidRPr="00FB38E1" w14:paraId="27F4695F" w14:textId="77777777" w:rsidTr="00836EF2">
        <w:trPr>
          <w:trHeight w:val="70"/>
        </w:trPr>
        <w:tc>
          <w:tcPr>
            <w:tcW w:w="2876" w:type="pct"/>
            <w:tcBorders>
              <w:top w:val="nil"/>
              <w:bottom w:val="nil"/>
            </w:tcBorders>
            <w:tcMar>
              <w:left w:w="170" w:type="dxa"/>
            </w:tcMar>
            <w:vAlign w:val="bottom"/>
          </w:tcPr>
          <w:p w14:paraId="3E3FD00D"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Para Piyasalarından Alacaklar</w:t>
            </w:r>
          </w:p>
        </w:tc>
        <w:tc>
          <w:tcPr>
            <w:tcW w:w="1063" w:type="pct"/>
            <w:tcBorders>
              <w:top w:val="nil"/>
              <w:bottom w:val="nil"/>
            </w:tcBorders>
            <w:vAlign w:val="center"/>
          </w:tcPr>
          <w:p w14:paraId="311D5778" w14:textId="66151A0B"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76.567.876</w:t>
            </w:r>
          </w:p>
        </w:tc>
        <w:tc>
          <w:tcPr>
            <w:tcW w:w="1061" w:type="pct"/>
            <w:tcBorders>
              <w:top w:val="nil"/>
              <w:bottom w:val="nil"/>
            </w:tcBorders>
            <w:vAlign w:val="center"/>
          </w:tcPr>
          <w:p w14:paraId="4DB15AC7" w14:textId="76C2E83E"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76.567.876</w:t>
            </w:r>
          </w:p>
        </w:tc>
      </w:tr>
      <w:tr w:rsidR="00067763" w:rsidRPr="00FB38E1" w14:paraId="783307CD" w14:textId="77777777" w:rsidTr="00E6597F">
        <w:trPr>
          <w:trHeight w:val="70"/>
        </w:trPr>
        <w:tc>
          <w:tcPr>
            <w:tcW w:w="2876" w:type="pct"/>
            <w:tcBorders>
              <w:top w:val="nil"/>
              <w:bottom w:val="nil"/>
            </w:tcBorders>
            <w:tcMar>
              <w:left w:w="170" w:type="dxa"/>
            </w:tcMar>
            <w:vAlign w:val="bottom"/>
          </w:tcPr>
          <w:p w14:paraId="667B3C9F"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Bankalar</w:t>
            </w:r>
          </w:p>
        </w:tc>
        <w:tc>
          <w:tcPr>
            <w:tcW w:w="1063" w:type="pct"/>
            <w:tcBorders>
              <w:top w:val="nil"/>
              <w:bottom w:val="nil"/>
            </w:tcBorders>
            <w:vAlign w:val="center"/>
          </w:tcPr>
          <w:p w14:paraId="20D19B2C" w14:textId="37FD05AE"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20.578.127</w:t>
            </w:r>
          </w:p>
        </w:tc>
        <w:tc>
          <w:tcPr>
            <w:tcW w:w="1061" w:type="pct"/>
            <w:tcBorders>
              <w:top w:val="nil"/>
              <w:bottom w:val="nil"/>
            </w:tcBorders>
            <w:vAlign w:val="center"/>
          </w:tcPr>
          <w:p w14:paraId="243AA0AE" w14:textId="7A51E08F"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20.567.304</w:t>
            </w:r>
          </w:p>
        </w:tc>
      </w:tr>
      <w:tr w:rsidR="00067763" w:rsidRPr="00FB38E1" w14:paraId="5C674D7B" w14:textId="77777777" w:rsidTr="00836EF2">
        <w:trPr>
          <w:trHeight w:val="70"/>
        </w:trPr>
        <w:tc>
          <w:tcPr>
            <w:tcW w:w="2876" w:type="pct"/>
            <w:tcBorders>
              <w:top w:val="nil"/>
              <w:bottom w:val="nil"/>
            </w:tcBorders>
            <w:tcMar>
              <w:left w:w="170" w:type="dxa"/>
            </w:tcMar>
            <w:vAlign w:val="bottom"/>
          </w:tcPr>
          <w:p w14:paraId="58BF4672"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Gerçeğe Uygun Değer Farkı Diğer Kapsamlı Gelire Yansıtılan FV</w:t>
            </w:r>
          </w:p>
        </w:tc>
        <w:tc>
          <w:tcPr>
            <w:tcW w:w="1063" w:type="pct"/>
            <w:tcBorders>
              <w:top w:val="nil"/>
              <w:bottom w:val="nil"/>
            </w:tcBorders>
            <w:vAlign w:val="center"/>
          </w:tcPr>
          <w:p w14:paraId="3CFE70BC" w14:textId="3D25259C"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109.190.125</w:t>
            </w:r>
          </w:p>
        </w:tc>
        <w:tc>
          <w:tcPr>
            <w:tcW w:w="1061" w:type="pct"/>
            <w:tcBorders>
              <w:top w:val="nil"/>
              <w:bottom w:val="nil"/>
            </w:tcBorders>
            <w:vAlign w:val="center"/>
          </w:tcPr>
          <w:p w14:paraId="0837B6AA" w14:textId="302F98E1"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109.190.125</w:t>
            </w:r>
          </w:p>
        </w:tc>
      </w:tr>
      <w:tr w:rsidR="00067763" w:rsidRPr="00FB38E1" w14:paraId="0C4732C2" w14:textId="77777777" w:rsidTr="00836EF2">
        <w:trPr>
          <w:trHeight w:val="70"/>
        </w:trPr>
        <w:tc>
          <w:tcPr>
            <w:tcW w:w="2876" w:type="pct"/>
            <w:tcBorders>
              <w:top w:val="nil"/>
              <w:bottom w:val="nil"/>
            </w:tcBorders>
            <w:tcMar>
              <w:left w:w="170" w:type="dxa"/>
            </w:tcMar>
            <w:vAlign w:val="bottom"/>
          </w:tcPr>
          <w:p w14:paraId="02144A98"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xml:space="preserve">İtfa Edilmiş Maliyeti Üzerinden Değerlenen Finansal Varlıklar </w:t>
            </w:r>
          </w:p>
        </w:tc>
        <w:tc>
          <w:tcPr>
            <w:tcW w:w="1063" w:type="pct"/>
            <w:tcBorders>
              <w:top w:val="nil"/>
              <w:bottom w:val="nil"/>
            </w:tcBorders>
            <w:vAlign w:val="center"/>
          </w:tcPr>
          <w:p w14:paraId="5F7E53B4" w14:textId="6174BCD2"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65.595.391</w:t>
            </w:r>
          </w:p>
        </w:tc>
        <w:tc>
          <w:tcPr>
            <w:tcW w:w="1061" w:type="pct"/>
            <w:tcBorders>
              <w:top w:val="nil"/>
              <w:bottom w:val="nil"/>
            </w:tcBorders>
            <w:vAlign w:val="center"/>
          </w:tcPr>
          <w:p w14:paraId="0C5DF9DC" w14:textId="41F6C94C"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45.761.576</w:t>
            </w:r>
          </w:p>
        </w:tc>
      </w:tr>
      <w:tr w:rsidR="00067763" w:rsidRPr="00FB38E1" w14:paraId="6C1CE95F" w14:textId="77777777" w:rsidTr="00836EF2">
        <w:trPr>
          <w:trHeight w:val="70"/>
        </w:trPr>
        <w:tc>
          <w:tcPr>
            <w:tcW w:w="2876" w:type="pct"/>
            <w:tcBorders>
              <w:top w:val="nil"/>
              <w:bottom w:val="nil"/>
            </w:tcBorders>
            <w:tcMar>
              <w:left w:w="170" w:type="dxa"/>
            </w:tcMar>
            <w:vAlign w:val="bottom"/>
          </w:tcPr>
          <w:p w14:paraId="2272FB0B"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Krediler</w:t>
            </w:r>
          </w:p>
        </w:tc>
        <w:tc>
          <w:tcPr>
            <w:tcW w:w="1063" w:type="pct"/>
            <w:tcBorders>
              <w:top w:val="nil"/>
              <w:bottom w:val="nil"/>
            </w:tcBorders>
            <w:vAlign w:val="center"/>
          </w:tcPr>
          <w:p w14:paraId="3015A22C" w14:textId="05F367DA"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736.218.281</w:t>
            </w:r>
          </w:p>
        </w:tc>
        <w:tc>
          <w:tcPr>
            <w:tcW w:w="1061" w:type="pct"/>
            <w:tcBorders>
              <w:top w:val="nil"/>
              <w:bottom w:val="nil"/>
            </w:tcBorders>
            <w:vAlign w:val="center"/>
          </w:tcPr>
          <w:p w14:paraId="48FB4F45" w14:textId="7DDB81B3"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738.056.509</w:t>
            </w:r>
          </w:p>
        </w:tc>
      </w:tr>
      <w:tr w:rsidR="00067763" w:rsidRPr="00FB38E1" w14:paraId="06C08AEF" w14:textId="77777777" w:rsidTr="00836EF2">
        <w:trPr>
          <w:trHeight w:val="70"/>
        </w:trPr>
        <w:tc>
          <w:tcPr>
            <w:tcW w:w="2876" w:type="pct"/>
            <w:tcBorders>
              <w:top w:val="nil"/>
              <w:bottom w:val="nil"/>
            </w:tcBorders>
            <w:vAlign w:val="bottom"/>
          </w:tcPr>
          <w:p w14:paraId="2C31E384" w14:textId="77777777" w:rsidR="00067763" w:rsidRPr="00FB38E1" w:rsidRDefault="00067763" w:rsidP="00067763">
            <w:pPr>
              <w:rPr>
                <w:rFonts w:ascii="Microsoft Sans Serif" w:hAnsi="Microsoft Sans Serif" w:cs="Microsoft Sans Serif"/>
                <w:color w:val="404040" w:themeColor="text1" w:themeTint="BF"/>
                <w:sz w:val="16"/>
                <w:szCs w:val="16"/>
              </w:rPr>
            </w:pPr>
          </w:p>
        </w:tc>
        <w:tc>
          <w:tcPr>
            <w:tcW w:w="1063" w:type="pct"/>
            <w:tcBorders>
              <w:top w:val="nil"/>
              <w:bottom w:val="nil"/>
            </w:tcBorders>
            <w:vAlign w:val="center"/>
          </w:tcPr>
          <w:p w14:paraId="10F1F820" w14:textId="77777777" w:rsidR="00067763" w:rsidRPr="00FB38E1" w:rsidRDefault="00067763" w:rsidP="00067763">
            <w:pPr>
              <w:jc w:val="right"/>
              <w:rPr>
                <w:rFonts w:ascii="Microsoft Sans Serif" w:hAnsi="Microsoft Sans Serif" w:cs="Microsoft Sans Serif"/>
                <w:color w:val="404040"/>
                <w:sz w:val="16"/>
                <w:szCs w:val="16"/>
              </w:rPr>
            </w:pPr>
          </w:p>
        </w:tc>
        <w:tc>
          <w:tcPr>
            <w:tcW w:w="1061" w:type="pct"/>
            <w:tcBorders>
              <w:top w:val="nil"/>
              <w:bottom w:val="nil"/>
            </w:tcBorders>
            <w:vAlign w:val="center"/>
          </w:tcPr>
          <w:p w14:paraId="2DC8ADCE" w14:textId="77777777" w:rsidR="00067763" w:rsidRPr="00FB38E1" w:rsidRDefault="00067763" w:rsidP="00067763">
            <w:pPr>
              <w:jc w:val="right"/>
              <w:rPr>
                <w:rFonts w:ascii="Microsoft Sans Serif" w:hAnsi="Microsoft Sans Serif" w:cs="Microsoft Sans Serif"/>
                <w:color w:val="404040"/>
                <w:sz w:val="16"/>
                <w:szCs w:val="16"/>
              </w:rPr>
            </w:pPr>
          </w:p>
        </w:tc>
      </w:tr>
      <w:tr w:rsidR="00067763" w:rsidRPr="00FB38E1" w14:paraId="0DBC20BB" w14:textId="77777777" w:rsidTr="00836EF2">
        <w:trPr>
          <w:trHeight w:val="70"/>
        </w:trPr>
        <w:tc>
          <w:tcPr>
            <w:tcW w:w="2876" w:type="pct"/>
            <w:tcBorders>
              <w:top w:val="nil"/>
              <w:bottom w:val="nil"/>
            </w:tcBorders>
            <w:vAlign w:val="bottom"/>
          </w:tcPr>
          <w:p w14:paraId="239EB729" w14:textId="77777777" w:rsidR="00067763" w:rsidRPr="00FB38E1" w:rsidRDefault="00067763" w:rsidP="00067763">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Finansal Borçlar</w:t>
            </w:r>
          </w:p>
        </w:tc>
        <w:tc>
          <w:tcPr>
            <w:tcW w:w="1063" w:type="pct"/>
            <w:tcBorders>
              <w:top w:val="nil"/>
              <w:bottom w:val="nil"/>
            </w:tcBorders>
            <w:vAlign w:val="center"/>
          </w:tcPr>
          <w:p w14:paraId="1AE56C8C" w14:textId="71857D15" w:rsidR="00067763" w:rsidRPr="00FB38E1" w:rsidRDefault="00067763" w:rsidP="00067763">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sz w:val="16"/>
                <w:szCs w:val="16"/>
              </w:rPr>
              <w:t>1.093.918.995</w:t>
            </w:r>
          </w:p>
        </w:tc>
        <w:tc>
          <w:tcPr>
            <w:tcW w:w="1061" w:type="pct"/>
            <w:tcBorders>
              <w:top w:val="nil"/>
              <w:bottom w:val="nil"/>
            </w:tcBorders>
            <w:vAlign w:val="center"/>
          </w:tcPr>
          <w:p w14:paraId="6E8209BA" w14:textId="7F46C6D5" w:rsidR="00067763" w:rsidRPr="00FB38E1" w:rsidRDefault="00067763" w:rsidP="00067763">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sz w:val="16"/>
                <w:szCs w:val="16"/>
              </w:rPr>
              <w:t>1.093.872.692</w:t>
            </w:r>
          </w:p>
        </w:tc>
      </w:tr>
      <w:tr w:rsidR="00067763" w:rsidRPr="00FB38E1" w14:paraId="32D8E0A0" w14:textId="77777777" w:rsidTr="00836EF2">
        <w:trPr>
          <w:trHeight w:val="70"/>
        </w:trPr>
        <w:tc>
          <w:tcPr>
            <w:tcW w:w="2876" w:type="pct"/>
            <w:tcBorders>
              <w:top w:val="nil"/>
              <w:bottom w:val="nil"/>
            </w:tcBorders>
            <w:tcMar>
              <w:left w:w="170" w:type="dxa"/>
            </w:tcMar>
            <w:vAlign w:val="bottom"/>
          </w:tcPr>
          <w:p w14:paraId="054058AA"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Bankalar Mevduatı</w:t>
            </w:r>
          </w:p>
        </w:tc>
        <w:tc>
          <w:tcPr>
            <w:tcW w:w="1063" w:type="pct"/>
            <w:tcBorders>
              <w:top w:val="nil"/>
              <w:bottom w:val="nil"/>
            </w:tcBorders>
            <w:vAlign w:val="center"/>
          </w:tcPr>
          <w:p w14:paraId="1096241D" w14:textId="43E03E52"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6.465.870</w:t>
            </w:r>
          </w:p>
        </w:tc>
        <w:tc>
          <w:tcPr>
            <w:tcW w:w="1061" w:type="pct"/>
            <w:tcBorders>
              <w:top w:val="nil"/>
              <w:bottom w:val="nil"/>
            </w:tcBorders>
            <w:vAlign w:val="center"/>
          </w:tcPr>
          <w:p w14:paraId="6AF42268" w14:textId="0BF6B366"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6.450.246</w:t>
            </w:r>
          </w:p>
        </w:tc>
      </w:tr>
      <w:tr w:rsidR="00067763" w:rsidRPr="00FB38E1" w14:paraId="414AC932" w14:textId="77777777" w:rsidTr="00836EF2">
        <w:trPr>
          <w:trHeight w:val="70"/>
        </w:trPr>
        <w:tc>
          <w:tcPr>
            <w:tcW w:w="2876" w:type="pct"/>
            <w:tcBorders>
              <w:top w:val="nil"/>
              <w:bottom w:val="nil"/>
            </w:tcBorders>
            <w:tcMar>
              <w:left w:w="170" w:type="dxa"/>
            </w:tcMar>
            <w:vAlign w:val="bottom"/>
          </w:tcPr>
          <w:p w14:paraId="452E22E1"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Diğer Mevduat</w:t>
            </w:r>
          </w:p>
        </w:tc>
        <w:tc>
          <w:tcPr>
            <w:tcW w:w="1063" w:type="pct"/>
            <w:tcBorders>
              <w:top w:val="nil"/>
              <w:bottom w:val="nil"/>
            </w:tcBorders>
            <w:vAlign w:val="center"/>
          </w:tcPr>
          <w:p w14:paraId="15FCF9E4" w14:textId="499733ED"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755.975.946</w:t>
            </w:r>
          </w:p>
        </w:tc>
        <w:tc>
          <w:tcPr>
            <w:tcW w:w="1061" w:type="pct"/>
            <w:tcBorders>
              <w:top w:val="nil"/>
              <w:bottom w:val="nil"/>
            </w:tcBorders>
            <w:vAlign w:val="center"/>
          </w:tcPr>
          <w:p w14:paraId="250B65BD" w14:textId="2D9080F8"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754.603.612</w:t>
            </w:r>
          </w:p>
        </w:tc>
      </w:tr>
      <w:tr w:rsidR="00067763" w:rsidRPr="00FB38E1" w14:paraId="795366F0" w14:textId="77777777" w:rsidTr="00836EF2">
        <w:trPr>
          <w:trHeight w:val="70"/>
        </w:trPr>
        <w:tc>
          <w:tcPr>
            <w:tcW w:w="2876" w:type="pct"/>
            <w:tcBorders>
              <w:top w:val="nil"/>
              <w:bottom w:val="nil"/>
            </w:tcBorders>
            <w:tcMar>
              <w:left w:w="170" w:type="dxa"/>
            </w:tcMar>
            <w:vAlign w:val="bottom"/>
          </w:tcPr>
          <w:p w14:paraId="6D154C37"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Bankalar Arası Para Piyasalarına Borçlar</w:t>
            </w:r>
          </w:p>
        </w:tc>
        <w:tc>
          <w:tcPr>
            <w:tcW w:w="1063" w:type="pct"/>
            <w:tcBorders>
              <w:top w:val="nil"/>
              <w:bottom w:val="nil"/>
            </w:tcBorders>
            <w:vAlign w:val="center"/>
          </w:tcPr>
          <w:p w14:paraId="6519DE01" w14:textId="20AC28D1"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34.817.578</w:t>
            </w:r>
          </w:p>
        </w:tc>
        <w:tc>
          <w:tcPr>
            <w:tcW w:w="1061" w:type="pct"/>
            <w:tcBorders>
              <w:top w:val="nil"/>
              <w:bottom w:val="nil"/>
            </w:tcBorders>
            <w:vAlign w:val="center"/>
          </w:tcPr>
          <w:p w14:paraId="2C66A84D" w14:textId="5DC5195E"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34.817.578</w:t>
            </w:r>
          </w:p>
        </w:tc>
      </w:tr>
      <w:tr w:rsidR="00067763" w:rsidRPr="00FB38E1" w14:paraId="5F3FBE6A" w14:textId="77777777" w:rsidTr="00836EF2">
        <w:trPr>
          <w:trHeight w:val="70"/>
        </w:trPr>
        <w:tc>
          <w:tcPr>
            <w:tcW w:w="2876" w:type="pct"/>
            <w:tcBorders>
              <w:top w:val="nil"/>
              <w:bottom w:val="nil"/>
            </w:tcBorders>
            <w:tcMar>
              <w:left w:w="170" w:type="dxa"/>
            </w:tcMar>
            <w:vAlign w:val="bottom"/>
          </w:tcPr>
          <w:p w14:paraId="0FA104A5"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Diğer Mali Kuruluşlardan Sağlanan Fonlar</w:t>
            </w:r>
          </w:p>
        </w:tc>
        <w:tc>
          <w:tcPr>
            <w:tcW w:w="1063" w:type="pct"/>
            <w:tcBorders>
              <w:top w:val="nil"/>
              <w:bottom w:val="nil"/>
            </w:tcBorders>
            <w:vAlign w:val="center"/>
          </w:tcPr>
          <w:p w14:paraId="2F3BE05F" w14:textId="1D7CC3B8"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230.361.574</w:t>
            </w:r>
          </w:p>
        </w:tc>
        <w:tc>
          <w:tcPr>
            <w:tcW w:w="1061" w:type="pct"/>
            <w:tcBorders>
              <w:top w:val="nil"/>
              <w:bottom w:val="nil"/>
            </w:tcBorders>
            <w:vAlign w:val="center"/>
          </w:tcPr>
          <w:p w14:paraId="271B595B" w14:textId="3CFBD779"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231.888.522</w:t>
            </w:r>
          </w:p>
        </w:tc>
      </w:tr>
      <w:tr w:rsidR="00067763" w:rsidRPr="00FB38E1" w14:paraId="15477989" w14:textId="77777777" w:rsidTr="00836EF2">
        <w:trPr>
          <w:trHeight w:val="70"/>
        </w:trPr>
        <w:tc>
          <w:tcPr>
            <w:tcW w:w="2876" w:type="pct"/>
            <w:tcBorders>
              <w:top w:val="nil"/>
              <w:bottom w:val="nil"/>
            </w:tcBorders>
            <w:tcMar>
              <w:left w:w="170" w:type="dxa"/>
            </w:tcMar>
            <w:vAlign w:val="bottom"/>
          </w:tcPr>
          <w:p w14:paraId="2B78D7DA"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Sermaye Benzeri Krediler</w:t>
            </w:r>
          </w:p>
        </w:tc>
        <w:tc>
          <w:tcPr>
            <w:tcW w:w="1063" w:type="pct"/>
            <w:tcBorders>
              <w:top w:val="nil"/>
              <w:bottom w:val="nil"/>
            </w:tcBorders>
            <w:vAlign w:val="center"/>
          </w:tcPr>
          <w:p w14:paraId="55FD9CE3" w14:textId="355DA9B1"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12.137.102</w:t>
            </w:r>
          </w:p>
        </w:tc>
        <w:tc>
          <w:tcPr>
            <w:tcW w:w="1061" w:type="pct"/>
            <w:tcBorders>
              <w:top w:val="nil"/>
              <w:bottom w:val="nil"/>
            </w:tcBorders>
            <w:vAlign w:val="center"/>
          </w:tcPr>
          <w:p w14:paraId="7D78905F" w14:textId="4484C00B"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11.948.995</w:t>
            </w:r>
          </w:p>
        </w:tc>
      </w:tr>
      <w:tr w:rsidR="00067763" w:rsidRPr="00FB38E1" w14:paraId="46368295" w14:textId="77777777" w:rsidTr="00836EF2">
        <w:trPr>
          <w:trHeight w:val="70"/>
        </w:trPr>
        <w:tc>
          <w:tcPr>
            <w:tcW w:w="2876" w:type="pct"/>
            <w:tcBorders>
              <w:top w:val="nil"/>
              <w:bottom w:val="thickThinSmallGap" w:sz="24" w:space="0" w:color="auto"/>
            </w:tcBorders>
            <w:tcMar>
              <w:left w:w="170" w:type="dxa"/>
            </w:tcMar>
            <w:vAlign w:val="bottom"/>
          </w:tcPr>
          <w:p w14:paraId="720E3B55" w14:textId="77777777" w:rsidR="00067763" w:rsidRPr="00FB38E1" w:rsidRDefault="00067763" w:rsidP="00067763">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İhraç Edilen Menkul Değerler</w:t>
            </w:r>
          </w:p>
        </w:tc>
        <w:tc>
          <w:tcPr>
            <w:tcW w:w="1063" w:type="pct"/>
            <w:tcBorders>
              <w:top w:val="nil"/>
              <w:bottom w:val="thickThinSmallGap" w:sz="24" w:space="0" w:color="auto"/>
            </w:tcBorders>
            <w:vAlign w:val="center"/>
          </w:tcPr>
          <w:p w14:paraId="27071F6C" w14:textId="7281B82C"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54.160.925</w:t>
            </w:r>
          </w:p>
        </w:tc>
        <w:tc>
          <w:tcPr>
            <w:tcW w:w="1061" w:type="pct"/>
            <w:tcBorders>
              <w:top w:val="nil"/>
              <w:bottom w:val="thickThinSmallGap" w:sz="24" w:space="0" w:color="auto"/>
            </w:tcBorders>
            <w:vAlign w:val="center"/>
          </w:tcPr>
          <w:p w14:paraId="574D294E" w14:textId="24FDBE24" w:rsidR="00067763" w:rsidRPr="00FB38E1" w:rsidRDefault="00067763" w:rsidP="0006776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54.163.739</w:t>
            </w:r>
          </w:p>
        </w:tc>
      </w:tr>
    </w:tbl>
    <w:p w14:paraId="343C6186" w14:textId="77777777" w:rsidR="00E036D3" w:rsidRPr="00FB38E1" w:rsidRDefault="00E036D3" w:rsidP="00E036D3">
      <w:pPr>
        <w:pStyle w:val="ListParagraph"/>
        <w:spacing w:after="120" w:line="240" w:lineRule="exact"/>
        <w:ind w:left="0"/>
        <w:contextualSpacing w:val="0"/>
        <w:rPr>
          <w:rFonts w:ascii="Microsoft Sans Serif" w:hAnsi="Microsoft Sans Serif" w:cs="Microsoft Sans Serif"/>
          <w:b/>
          <w:sz w:val="20"/>
          <w:szCs w:val="20"/>
        </w:rPr>
      </w:pPr>
    </w:p>
    <w:tbl>
      <w:tblPr>
        <w:tblStyle w:val="TableGrid"/>
        <w:tblW w:w="9654"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53"/>
        <w:gridCol w:w="2052"/>
        <w:gridCol w:w="2049"/>
      </w:tblGrid>
      <w:tr w:rsidR="00E036D3" w:rsidRPr="00FB38E1" w14:paraId="14719E70" w14:textId="77777777" w:rsidTr="00836EF2">
        <w:trPr>
          <w:trHeight w:val="55"/>
        </w:trPr>
        <w:tc>
          <w:tcPr>
            <w:tcW w:w="2876" w:type="pct"/>
            <w:tcBorders>
              <w:top w:val="thinThickSmallGap" w:sz="24" w:space="0" w:color="auto"/>
              <w:bottom w:val="nil"/>
            </w:tcBorders>
            <w:vAlign w:val="bottom"/>
          </w:tcPr>
          <w:p w14:paraId="0B7631E4" w14:textId="77777777" w:rsidR="00E036D3" w:rsidRPr="00FB38E1" w:rsidRDefault="00E036D3" w:rsidP="00836EF2">
            <w:pPr>
              <w:rPr>
                <w:rFonts w:ascii="Microsoft Sans Serif" w:hAnsi="Microsoft Sans Serif" w:cs="Microsoft Sans Serif"/>
                <w:bCs/>
                <w:color w:val="404040" w:themeColor="text1" w:themeTint="BF"/>
                <w:sz w:val="16"/>
                <w:szCs w:val="16"/>
              </w:rPr>
            </w:pPr>
          </w:p>
        </w:tc>
        <w:tc>
          <w:tcPr>
            <w:tcW w:w="1063" w:type="pct"/>
            <w:tcBorders>
              <w:top w:val="thinThickSmallGap" w:sz="24" w:space="0" w:color="auto"/>
              <w:bottom w:val="nil"/>
            </w:tcBorders>
            <w:vAlign w:val="bottom"/>
          </w:tcPr>
          <w:p w14:paraId="5064B3FF" w14:textId="77777777" w:rsidR="00E036D3" w:rsidRPr="00FB38E1" w:rsidRDefault="00E036D3"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bCs/>
                <w:color w:val="000000"/>
                <w:sz w:val="16"/>
                <w:szCs w:val="16"/>
              </w:rPr>
              <w:t>Defter Değeri</w:t>
            </w:r>
          </w:p>
        </w:tc>
        <w:tc>
          <w:tcPr>
            <w:tcW w:w="1061" w:type="pct"/>
            <w:tcBorders>
              <w:top w:val="thinThickSmallGap" w:sz="24" w:space="0" w:color="auto"/>
              <w:bottom w:val="nil"/>
            </w:tcBorders>
            <w:vAlign w:val="bottom"/>
          </w:tcPr>
          <w:p w14:paraId="425A1202" w14:textId="77777777" w:rsidR="00E036D3" w:rsidRPr="00FB38E1" w:rsidRDefault="00E036D3" w:rsidP="00836EF2">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bCs/>
                <w:color w:val="000000"/>
                <w:sz w:val="16"/>
                <w:szCs w:val="16"/>
              </w:rPr>
              <w:t>Gerçeğe Uygun Değer</w:t>
            </w:r>
          </w:p>
        </w:tc>
      </w:tr>
      <w:tr w:rsidR="00E036D3" w:rsidRPr="00FB38E1" w14:paraId="3DC434C8" w14:textId="77777777" w:rsidTr="00836EF2">
        <w:trPr>
          <w:trHeight w:val="55"/>
        </w:trPr>
        <w:tc>
          <w:tcPr>
            <w:tcW w:w="2876" w:type="pct"/>
            <w:tcBorders>
              <w:top w:val="nil"/>
              <w:bottom w:val="nil"/>
            </w:tcBorders>
            <w:vAlign w:val="bottom"/>
          </w:tcPr>
          <w:p w14:paraId="65D7DBA4" w14:textId="77777777" w:rsidR="00E036D3" w:rsidRPr="00FB38E1" w:rsidRDefault="00E036D3" w:rsidP="00836EF2">
            <w:pPr>
              <w:rPr>
                <w:rFonts w:ascii="Microsoft Sans Serif" w:hAnsi="Microsoft Sans Serif" w:cs="Microsoft Sans Serif"/>
                <w:b/>
                <w:color w:val="404040" w:themeColor="text1" w:themeTint="BF"/>
                <w:sz w:val="16"/>
                <w:szCs w:val="16"/>
              </w:rPr>
            </w:pPr>
          </w:p>
        </w:tc>
        <w:tc>
          <w:tcPr>
            <w:tcW w:w="1063" w:type="pct"/>
            <w:tcBorders>
              <w:top w:val="nil"/>
              <w:bottom w:val="nil"/>
            </w:tcBorders>
            <w:vAlign w:val="center"/>
          </w:tcPr>
          <w:p w14:paraId="2512222F" w14:textId="77777777" w:rsidR="00E036D3" w:rsidRPr="00FB38E1" w:rsidRDefault="00E036D3" w:rsidP="00836EF2">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color w:val="404040" w:themeColor="text1" w:themeTint="BF"/>
                <w:sz w:val="16"/>
                <w:szCs w:val="16"/>
              </w:rPr>
              <w:t>Önceki Dönem</w:t>
            </w:r>
          </w:p>
        </w:tc>
        <w:tc>
          <w:tcPr>
            <w:tcW w:w="1061" w:type="pct"/>
            <w:tcBorders>
              <w:top w:val="nil"/>
              <w:bottom w:val="nil"/>
            </w:tcBorders>
            <w:vAlign w:val="center"/>
          </w:tcPr>
          <w:p w14:paraId="43B6255D" w14:textId="77777777" w:rsidR="00E036D3" w:rsidRPr="00FB38E1" w:rsidRDefault="00E036D3" w:rsidP="00836EF2">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color w:val="404040" w:themeColor="text1" w:themeTint="BF"/>
                <w:sz w:val="16"/>
                <w:szCs w:val="16"/>
              </w:rPr>
              <w:t>Önceki Dönem</w:t>
            </w:r>
          </w:p>
        </w:tc>
      </w:tr>
      <w:tr w:rsidR="003B7A7D" w:rsidRPr="00FB38E1" w14:paraId="201CECB1" w14:textId="77777777" w:rsidTr="00836EF2">
        <w:trPr>
          <w:trHeight w:val="55"/>
        </w:trPr>
        <w:tc>
          <w:tcPr>
            <w:tcW w:w="2876" w:type="pct"/>
            <w:tcBorders>
              <w:top w:val="nil"/>
              <w:bottom w:val="nil"/>
            </w:tcBorders>
            <w:vAlign w:val="bottom"/>
          </w:tcPr>
          <w:p w14:paraId="2B29A7E3" w14:textId="77777777" w:rsidR="003B7A7D" w:rsidRPr="00FB38E1" w:rsidRDefault="003B7A7D" w:rsidP="003B7A7D">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Finansal Varlıklar</w:t>
            </w:r>
          </w:p>
        </w:tc>
        <w:tc>
          <w:tcPr>
            <w:tcW w:w="1063" w:type="pct"/>
            <w:tcBorders>
              <w:top w:val="single" w:sz="6" w:space="0" w:color="auto"/>
              <w:bottom w:val="nil"/>
            </w:tcBorders>
            <w:vAlign w:val="center"/>
          </w:tcPr>
          <w:p w14:paraId="781A7106" w14:textId="12493118" w:rsidR="003B7A7D" w:rsidRPr="00FB38E1" w:rsidRDefault="003B7A7D" w:rsidP="003B7A7D">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sz w:val="16"/>
                <w:szCs w:val="16"/>
              </w:rPr>
              <w:t>710.271.126</w:t>
            </w:r>
          </w:p>
        </w:tc>
        <w:tc>
          <w:tcPr>
            <w:tcW w:w="1061" w:type="pct"/>
            <w:tcBorders>
              <w:top w:val="single" w:sz="6" w:space="0" w:color="auto"/>
              <w:bottom w:val="nil"/>
            </w:tcBorders>
            <w:vAlign w:val="center"/>
          </w:tcPr>
          <w:p w14:paraId="296EF0E9" w14:textId="52871B52" w:rsidR="003B7A7D" w:rsidRPr="00FB38E1" w:rsidRDefault="003B7A7D" w:rsidP="003B7A7D">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sz w:val="16"/>
                <w:szCs w:val="16"/>
              </w:rPr>
              <w:t>693.949.665</w:t>
            </w:r>
          </w:p>
        </w:tc>
      </w:tr>
      <w:tr w:rsidR="003B7A7D" w:rsidRPr="00FB38E1" w14:paraId="3A7E4D8F" w14:textId="77777777" w:rsidTr="00836EF2">
        <w:trPr>
          <w:trHeight w:val="70"/>
        </w:trPr>
        <w:tc>
          <w:tcPr>
            <w:tcW w:w="2876" w:type="pct"/>
            <w:tcBorders>
              <w:top w:val="nil"/>
              <w:bottom w:val="nil"/>
            </w:tcBorders>
            <w:tcMar>
              <w:left w:w="170" w:type="dxa"/>
            </w:tcMar>
            <w:vAlign w:val="bottom"/>
          </w:tcPr>
          <w:p w14:paraId="10B1182C"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Para Piyasalarından Alacaklar</w:t>
            </w:r>
          </w:p>
        </w:tc>
        <w:tc>
          <w:tcPr>
            <w:tcW w:w="1063" w:type="pct"/>
            <w:tcBorders>
              <w:top w:val="nil"/>
              <w:bottom w:val="nil"/>
            </w:tcBorders>
            <w:vAlign w:val="center"/>
          </w:tcPr>
          <w:p w14:paraId="74F9099A" w14:textId="61645AAA"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52.126.807</w:t>
            </w:r>
          </w:p>
        </w:tc>
        <w:tc>
          <w:tcPr>
            <w:tcW w:w="1061" w:type="pct"/>
            <w:tcBorders>
              <w:top w:val="nil"/>
              <w:bottom w:val="nil"/>
            </w:tcBorders>
            <w:vAlign w:val="center"/>
          </w:tcPr>
          <w:p w14:paraId="10F24CF0" w14:textId="5D92E542"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52.126.807</w:t>
            </w:r>
          </w:p>
        </w:tc>
      </w:tr>
      <w:tr w:rsidR="003B7A7D" w:rsidRPr="00FB38E1" w14:paraId="2BE7CB70" w14:textId="77777777" w:rsidTr="00836EF2">
        <w:trPr>
          <w:trHeight w:val="70"/>
        </w:trPr>
        <w:tc>
          <w:tcPr>
            <w:tcW w:w="2876" w:type="pct"/>
            <w:tcBorders>
              <w:top w:val="nil"/>
              <w:bottom w:val="nil"/>
            </w:tcBorders>
            <w:tcMar>
              <w:left w:w="170" w:type="dxa"/>
            </w:tcMar>
            <w:vAlign w:val="bottom"/>
          </w:tcPr>
          <w:p w14:paraId="1A722D89"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Bankalar</w:t>
            </w:r>
          </w:p>
        </w:tc>
        <w:tc>
          <w:tcPr>
            <w:tcW w:w="1063" w:type="pct"/>
            <w:tcBorders>
              <w:top w:val="nil"/>
              <w:bottom w:val="nil"/>
            </w:tcBorders>
            <w:vAlign w:val="center"/>
          </w:tcPr>
          <w:p w14:paraId="2949984B" w14:textId="1DD180D3"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19.027.728</w:t>
            </w:r>
          </w:p>
        </w:tc>
        <w:tc>
          <w:tcPr>
            <w:tcW w:w="1061" w:type="pct"/>
            <w:tcBorders>
              <w:top w:val="nil"/>
              <w:bottom w:val="nil"/>
            </w:tcBorders>
            <w:vAlign w:val="bottom"/>
          </w:tcPr>
          <w:p w14:paraId="07643F94" w14:textId="281AB6B3"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18.350.308</w:t>
            </w:r>
          </w:p>
        </w:tc>
      </w:tr>
      <w:tr w:rsidR="003B7A7D" w:rsidRPr="00FB38E1" w14:paraId="2B941A9C" w14:textId="77777777" w:rsidTr="00836EF2">
        <w:trPr>
          <w:trHeight w:val="70"/>
        </w:trPr>
        <w:tc>
          <w:tcPr>
            <w:tcW w:w="2876" w:type="pct"/>
            <w:tcBorders>
              <w:top w:val="nil"/>
              <w:bottom w:val="nil"/>
            </w:tcBorders>
            <w:tcMar>
              <w:left w:w="170" w:type="dxa"/>
            </w:tcMar>
            <w:vAlign w:val="bottom"/>
          </w:tcPr>
          <w:p w14:paraId="767443C7"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Gerçeğe Uygun Değer Farkı Diğer Kapsamlı Gelire Yansıtılan FV</w:t>
            </w:r>
          </w:p>
        </w:tc>
        <w:tc>
          <w:tcPr>
            <w:tcW w:w="1063" w:type="pct"/>
            <w:tcBorders>
              <w:top w:val="nil"/>
              <w:bottom w:val="nil"/>
            </w:tcBorders>
            <w:vAlign w:val="center"/>
          </w:tcPr>
          <w:p w14:paraId="65591D0E" w14:textId="57A2446B"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87.421.181</w:t>
            </w:r>
          </w:p>
        </w:tc>
        <w:tc>
          <w:tcPr>
            <w:tcW w:w="1061" w:type="pct"/>
            <w:tcBorders>
              <w:top w:val="nil"/>
              <w:bottom w:val="nil"/>
            </w:tcBorders>
            <w:vAlign w:val="center"/>
          </w:tcPr>
          <w:p w14:paraId="26BC945A" w14:textId="185CCCCC"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87.421.181</w:t>
            </w:r>
          </w:p>
        </w:tc>
      </w:tr>
      <w:tr w:rsidR="003B7A7D" w:rsidRPr="00FB38E1" w14:paraId="3F31AEA8" w14:textId="77777777" w:rsidTr="00836EF2">
        <w:trPr>
          <w:trHeight w:val="70"/>
        </w:trPr>
        <w:tc>
          <w:tcPr>
            <w:tcW w:w="2876" w:type="pct"/>
            <w:tcBorders>
              <w:top w:val="nil"/>
              <w:bottom w:val="nil"/>
            </w:tcBorders>
            <w:tcMar>
              <w:left w:w="170" w:type="dxa"/>
            </w:tcMar>
            <w:vAlign w:val="bottom"/>
          </w:tcPr>
          <w:p w14:paraId="6BCDAB4F"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xml:space="preserve">İtfa Edilmiş Maliyeti Üzerinden Değerlenen Finansal Varlıklar </w:t>
            </w:r>
          </w:p>
        </w:tc>
        <w:tc>
          <w:tcPr>
            <w:tcW w:w="1063" w:type="pct"/>
            <w:tcBorders>
              <w:top w:val="nil"/>
              <w:bottom w:val="nil"/>
            </w:tcBorders>
            <w:vAlign w:val="center"/>
          </w:tcPr>
          <w:p w14:paraId="4C31F155" w14:textId="3D32AD6F"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51.237.084</w:t>
            </w:r>
          </w:p>
        </w:tc>
        <w:tc>
          <w:tcPr>
            <w:tcW w:w="1061" w:type="pct"/>
            <w:tcBorders>
              <w:top w:val="nil"/>
              <w:bottom w:val="nil"/>
            </w:tcBorders>
            <w:vAlign w:val="center"/>
          </w:tcPr>
          <w:p w14:paraId="330418A1" w14:textId="5C04FCD6"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43.968.672</w:t>
            </w:r>
          </w:p>
        </w:tc>
      </w:tr>
      <w:tr w:rsidR="003B7A7D" w:rsidRPr="00FB38E1" w14:paraId="465D7832" w14:textId="77777777" w:rsidTr="00836EF2">
        <w:trPr>
          <w:trHeight w:val="70"/>
        </w:trPr>
        <w:tc>
          <w:tcPr>
            <w:tcW w:w="2876" w:type="pct"/>
            <w:tcBorders>
              <w:top w:val="nil"/>
              <w:bottom w:val="nil"/>
            </w:tcBorders>
            <w:tcMar>
              <w:left w:w="170" w:type="dxa"/>
            </w:tcMar>
            <w:vAlign w:val="bottom"/>
          </w:tcPr>
          <w:p w14:paraId="70063886"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Krediler</w:t>
            </w:r>
          </w:p>
        </w:tc>
        <w:tc>
          <w:tcPr>
            <w:tcW w:w="1063" w:type="pct"/>
            <w:tcBorders>
              <w:top w:val="nil"/>
              <w:bottom w:val="nil"/>
            </w:tcBorders>
            <w:vAlign w:val="center"/>
          </w:tcPr>
          <w:p w14:paraId="39B3502F" w14:textId="1B1AD4F6"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500.458.326</w:t>
            </w:r>
          </w:p>
        </w:tc>
        <w:tc>
          <w:tcPr>
            <w:tcW w:w="1061" w:type="pct"/>
            <w:tcBorders>
              <w:top w:val="nil"/>
              <w:bottom w:val="nil"/>
            </w:tcBorders>
            <w:vAlign w:val="center"/>
          </w:tcPr>
          <w:p w14:paraId="2F17FD4E" w14:textId="1D6D2E40"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492.082.697</w:t>
            </w:r>
          </w:p>
        </w:tc>
      </w:tr>
      <w:tr w:rsidR="003B7A7D" w:rsidRPr="00FB38E1" w14:paraId="1C2ECF29" w14:textId="77777777" w:rsidTr="00836EF2">
        <w:trPr>
          <w:trHeight w:val="70"/>
        </w:trPr>
        <w:tc>
          <w:tcPr>
            <w:tcW w:w="2876" w:type="pct"/>
            <w:tcBorders>
              <w:top w:val="nil"/>
              <w:bottom w:val="nil"/>
            </w:tcBorders>
            <w:vAlign w:val="bottom"/>
          </w:tcPr>
          <w:p w14:paraId="0AD8EE5C" w14:textId="77777777" w:rsidR="003B7A7D" w:rsidRPr="00FB38E1" w:rsidRDefault="003B7A7D" w:rsidP="003B7A7D">
            <w:pPr>
              <w:rPr>
                <w:rFonts w:ascii="Microsoft Sans Serif" w:hAnsi="Microsoft Sans Serif" w:cs="Microsoft Sans Serif"/>
                <w:color w:val="404040" w:themeColor="text1" w:themeTint="BF"/>
                <w:sz w:val="16"/>
                <w:szCs w:val="16"/>
              </w:rPr>
            </w:pPr>
          </w:p>
        </w:tc>
        <w:tc>
          <w:tcPr>
            <w:tcW w:w="1063" w:type="pct"/>
            <w:tcBorders>
              <w:top w:val="nil"/>
              <w:bottom w:val="nil"/>
            </w:tcBorders>
            <w:vAlign w:val="center"/>
          </w:tcPr>
          <w:p w14:paraId="3F3CEAE1" w14:textId="77777777" w:rsidR="003B7A7D" w:rsidRPr="00FB38E1" w:rsidRDefault="003B7A7D" w:rsidP="003B7A7D">
            <w:pPr>
              <w:jc w:val="right"/>
              <w:rPr>
                <w:rFonts w:ascii="Microsoft Sans Serif" w:hAnsi="Microsoft Sans Serif" w:cs="Microsoft Sans Serif"/>
                <w:color w:val="404040"/>
                <w:sz w:val="16"/>
                <w:szCs w:val="16"/>
              </w:rPr>
            </w:pPr>
          </w:p>
        </w:tc>
        <w:tc>
          <w:tcPr>
            <w:tcW w:w="1061" w:type="pct"/>
            <w:tcBorders>
              <w:top w:val="nil"/>
              <w:bottom w:val="nil"/>
            </w:tcBorders>
            <w:vAlign w:val="center"/>
          </w:tcPr>
          <w:p w14:paraId="1F0BA111" w14:textId="77777777" w:rsidR="003B7A7D" w:rsidRPr="00FB38E1" w:rsidRDefault="003B7A7D" w:rsidP="003B7A7D">
            <w:pPr>
              <w:jc w:val="right"/>
              <w:rPr>
                <w:rFonts w:ascii="Microsoft Sans Serif" w:hAnsi="Microsoft Sans Serif" w:cs="Microsoft Sans Serif"/>
                <w:color w:val="404040"/>
                <w:sz w:val="16"/>
                <w:szCs w:val="16"/>
              </w:rPr>
            </w:pPr>
          </w:p>
        </w:tc>
      </w:tr>
      <w:tr w:rsidR="003B7A7D" w:rsidRPr="00FB38E1" w14:paraId="65F3502D" w14:textId="77777777" w:rsidTr="00836EF2">
        <w:trPr>
          <w:trHeight w:val="70"/>
        </w:trPr>
        <w:tc>
          <w:tcPr>
            <w:tcW w:w="2876" w:type="pct"/>
            <w:tcBorders>
              <w:top w:val="nil"/>
              <w:bottom w:val="nil"/>
            </w:tcBorders>
            <w:vAlign w:val="bottom"/>
          </w:tcPr>
          <w:p w14:paraId="4ACE2465" w14:textId="77777777" w:rsidR="003B7A7D" w:rsidRPr="00FB38E1" w:rsidRDefault="003B7A7D" w:rsidP="003B7A7D">
            <w:pPr>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b/>
                <w:color w:val="404040" w:themeColor="text1" w:themeTint="BF"/>
                <w:sz w:val="16"/>
                <w:szCs w:val="16"/>
              </w:rPr>
              <w:t>Finansal Borçlar</w:t>
            </w:r>
          </w:p>
        </w:tc>
        <w:tc>
          <w:tcPr>
            <w:tcW w:w="1063" w:type="pct"/>
            <w:tcBorders>
              <w:top w:val="nil"/>
              <w:bottom w:val="nil"/>
            </w:tcBorders>
            <w:vAlign w:val="center"/>
          </w:tcPr>
          <w:p w14:paraId="615721FD" w14:textId="4BE38F1A" w:rsidR="003B7A7D" w:rsidRPr="00FB38E1" w:rsidRDefault="003B7A7D" w:rsidP="003B7A7D">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sz w:val="16"/>
                <w:szCs w:val="16"/>
              </w:rPr>
              <w:t>840.700.194</w:t>
            </w:r>
          </w:p>
        </w:tc>
        <w:tc>
          <w:tcPr>
            <w:tcW w:w="1061" w:type="pct"/>
            <w:tcBorders>
              <w:top w:val="nil"/>
              <w:bottom w:val="nil"/>
            </w:tcBorders>
            <w:vAlign w:val="center"/>
          </w:tcPr>
          <w:p w14:paraId="66BFC4F1" w14:textId="31A3503B" w:rsidR="003B7A7D" w:rsidRPr="00FB38E1" w:rsidRDefault="003B7A7D" w:rsidP="003B7A7D">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sz w:val="16"/>
                <w:szCs w:val="16"/>
              </w:rPr>
              <w:t>835.871.459</w:t>
            </w:r>
          </w:p>
        </w:tc>
      </w:tr>
      <w:tr w:rsidR="003B7A7D" w:rsidRPr="00FB38E1" w14:paraId="674D0983" w14:textId="77777777" w:rsidTr="00836EF2">
        <w:trPr>
          <w:trHeight w:val="70"/>
        </w:trPr>
        <w:tc>
          <w:tcPr>
            <w:tcW w:w="2876" w:type="pct"/>
            <w:tcBorders>
              <w:top w:val="nil"/>
              <w:bottom w:val="nil"/>
            </w:tcBorders>
            <w:tcMar>
              <w:left w:w="170" w:type="dxa"/>
            </w:tcMar>
            <w:vAlign w:val="bottom"/>
          </w:tcPr>
          <w:p w14:paraId="4257CD80"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Bankalar Mevduatı</w:t>
            </w:r>
          </w:p>
        </w:tc>
        <w:tc>
          <w:tcPr>
            <w:tcW w:w="1063" w:type="pct"/>
            <w:tcBorders>
              <w:top w:val="nil"/>
              <w:bottom w:val="nil"/>
            </w:tcBorders>
            <w:vAlign w:val="center"/>
          </w:tcPr>
          <w:p w14:paraId="3D738AB5" w14:textId="60E261A4"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7.919.556</w:t>
            </w:r>
          </w:p>
        </w:tc>
        <w:tc>
          <w:tcPr>
            <w:tcW w:w="1061" w:type="pct"/>
            <w:tcBorders>
              <w:top w:val="nil"/>
              <w:bottom w:val="nil"/>
            </w:tcBorders>
            <w:vAlign w:val="center"/>
          </w:tcPr>
          <w:p w14:paraId="149D081D" w14:textId="1AE4FE06"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7.881.962</w:t>
            </w:r>
          </w:p>
        </w:tc>
      </w:tr>
      <w:tr w:rsidR="003B7A7D" w:rsidRPr="00FB38E1" w14:paraId="24862D20" w14:textId="77777777" w:rsidTr="00836EF2">
        <w:trPr>
          <w:trHeight w:val="70"/>
        </w:trPr>
        <w:tc>
          <w:tcPr>
            <w:tcW w:w="2876" w:type="pct"/>
            <w:tcBorders>
              <w:top w:val="nil"/>
              <w:bottom w:val="nil"/>
            </w:tcBorders>
            <w:tcMar>
              <w:left w:w="170" w:type="dxa"/>
            </w:tcMar>
            <w:vAlign w:val="bottom"/>
          </w:tcPr>
          <w:p w14:paraId="1172E3A6"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Diğer Mevduat</w:t>
            </w:r>
          </w:p>
        </w:tc>
        <w:tc>
          <w:tcPr>
            <w:tcW w:w="1063" w:type="pct"/>
            <w:tcBorders>
              <w:top w:val="nil"/>
              <w:bottom w:val="nil"/>
            </w:tcBorders>
            <w:vAlign w:val="center"/>
          </w:tcPr>
          <w:p w14:paraId="7F9410D9" w14:textId="26C7178B"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595.073.081</w:t>
            </w:r>
          </w:p>
        </w:tc>
        <w:tc>
          <w:tcPr>
            <w:tcW w:w="1061" w:type="pct"/>
            <w:tcBorders>
              <w:top w:val="nil"/>
              <w:bottom w:val="nil"/>
            </w:tcBorders>
            <w:vAlign w:val="center"/>
          </w:tcPr>
          <w:p w14:paraId="6E5741DA" w14:textId="0D47FBFD"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592.801.565</w:t>
            </w:r>
          </w:p>
        </w:tc>
      </w:tr>
      <w:tr w:rsidR="003B7A7D" w:rsidRPr="00FB38E1" w14:paraId="5F7089DC" w14:textId="77777777" w:rsidTr="00836EF2">
        <w:trPr>
          <w:trHeight w:val="70"/>
        </w:trPr>
        <w:tc>
          <w:tcPr>
            <w:tcW w:w="2876" w:type="pct"/>
            <w:tcBorders>
              <w:top w:val="nil"/>
              <w:bottom w:val="nil"/>
            </w:tcBorders>
            <w:tcMar>
              <w:left w:w="170" w:type="dxa"/>
            </w:tcMar>
            <w:vAlign w:val="bottom"/>
          </w:tcPr>
          <w:p w14:paraId="4A7DF1E0"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Bankalar Arası Para Piyasalarına Borçlar</w:t>
            </w:r>
          </w:p>
        </w:tc>
        <w:tc>
          <w:tcPr>
            <w:tcW w:w="1063" w:type="pct"/>
            <w:tcBorders>
              <w:top w:val="nil"/>
              <w:bottom w:val="nil"/>
            </w:tcBorders>
            <w:vAlign w:val="center"/>
          </w:tcPr>
          <w:p w14:paraId="5CB502A1" w14:textId="54F09709"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51.974.449</w:t>
            </w:r>
          </w:p>
        </w:tc>
        <w:tc>
          <w:tcPr>
            <w:tcW w:w="1061" w:type="pct"/>
            <w:tcBorders>
              <w:top w:val="nil"/>
              <w:bottom w:val="nil"/>
            </w:tcBorders>
            <w:vAlign w:val="center"/>
          </w:tcPr>
          <w:p w14:paraId="2732B5AE" w14:textId="04C2931F"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51.974.449</w:t>
            </w:r>
          </w:p>
        </w:tc>
      </w:tr>
      <w:tr w:rsidR="003B7A7D" w:rsidRPr="00FB38E1" w14:paraId="60090AD3" w14:textId="77777777" w:rsidTr="00836EF2">
        <w:trPr>
          <w:trHeight w:val="70"/>
        </w:trPr>
        <w:tc>
          <w:tcPr>
            <w:tcW w:w="2876" w:type="pct"/>
            <w:tcBorders>
              <w:top w:val="nil"/>
              <w:bottom w:val="nil"/>
            </w:tcBorders>
            <w:tcMar>
              <w:left w:w="170" w:type="dxa"/>
            </w:tcMar>
            <w:vAlign w:val="bottom"/>
          </w:tcPr>
          <w:p w14:paraId="7B6598DB"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Diğer Mali Kuruluşlardan Sağlanan Fonlar</w:t>
            </w:r>
          </w:p>
        </w:tc>
        <w:tc>
          <w:tcPr>
            <w:tcW w:w="1063" w:type="pct"/>
            <w:tcBorders>
              <w:top w:val="nil"/>
              <w:bottom w:val="nil"/>
            </w:tcBorders>
            <w:vAlign w:val="center"/>
          </w:tcPr>
          <w:p w14:paraId="03A604E5" w14:textId="1622ACB2"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142.406.586</w:t>
            </w:r>
          </w:p>
        </w:tc>
        <w:tc>
          <w:tcPr>
            <w:tcW w:w="1061" w:type="pct"/>
            <w:tcBorders>
              <w:top w:val="nil"/>
              <w:bottom w:val="nil"/>
            </w:tcBorders>
            <w:vAlign w:val="center"/>
          </w:tcPr>
          <w:p w14:paraId="13167812" w14:textId="1E062C10"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141.443.217</w:t>
            </w:r>
          </w:p>
        </w:tc>
      </w:tr>
      <w:tr w:rsidR="003B7A7D" w:rsidRPr="00FB38E1" w14:paraId="35CF2810" w14:textId="77777777" w:rsidTr="00836EF2">
        <w:trPr>
          <w:trHeight w:val="70"/>
        </w:trPr>
        <w:tc>
          <w:tcPr>
            <w:tcW w:w="2876" w:type="pct"/>
            <w:tcBorders>
              <w:top w:val="nil"/>
              <w:bottom w:val="nil"/>
            </w:tcBorders>
            <w:tcMar>
              <w:left w:w="170" w:type="dxa"/>
            </w:tcMar>
            <w:vAlign w:val="bottom"/>
          </w:tcPr>
          <w:p w14:paraId="55F13B02"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Sermaye Benzeri Krediler</w:t>
            </w:r>
          </w:p>
        </w:tc>
        <w:tc>
          <w:tcPr>
            <w:tcW w:w="1063" w:type="pct"/>
            <w:tcBorders>
              <w:top w:val="nil"/>
              <w:bottom w:val="nil"/>
            </w:tcBorders>
            <w:vAlign w:val="center"/>
          </w:tcPr>
          <w:p w14:paraId="2271AD52" w14:textId="26C619B5"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23.066.679</w:t>
            </w:r>
          </w:p>
        </w:tc>
        <w:tc>
          <w:tcPr>
            <w:tcW w:w="1061" w:type="pct"/>
            <w:tcBorders>
              <w:top w:val="nil"/>
              <w:bottom w:val="nil"/>
            </w:tcBorders>
            <w:vAlign w:val="center"/>
          </w:tcPr>
          <w:p w14:paraId="7E12E459" w14:textId="3C426112"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21.508.075</w:t>
            </w:r>
          </w:p>
        </w:tc>
      </w:tr>
      <w:tr w:rsidR="003B7A7D" w:rsidRPr="00FB38E1" w14:paraId="021004C7" w14:textId="77777777" w:rsidTr="00836EF2">
        <w:trPr>
          <w:trHeight w:val="70"/>
        </w:trPr>
        <w:tc>
          <w:tcPr>
            <w:tcW w:w="2876" w:type="pct"/>
            <w:tcBorders>
              <w:top w:val="nil"/>
              <w:bottom w:val="thickThinSmallGap" w:sz="24" w:space="0" w:color="auto"/>
            </w:tcBorders>
            <w:tcMar>
              <w:left w:w="170" w:type="dxa"/>
            </w:tcMar>
            <w:vAlign w:val="bottom"/>
          </w:tcPr>
          <w:p w14:paraId="6740BFDB" w14:textId="77777777" w:rsidR="003B7A7D" w:rsidRPr="00FB38E1" w:rsidRDefault="003B7A7D" w:rsidP="003B7A7D">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İhraç Edilen Menkul Değerler</w:t>
            </w:r>
          </w:p>
        </w:tc>
        <w:tc>
          <w:tcPr>
            <w:tcW w:w="1063" w:type="pct"/>
            <w:tcBorders>
              <w:top w:val="nil"/>
              <w:bottom w:val="thickThinSmallGap" w:sz="24" w:space="0" w:color="auto"/>
            </w:tcBorders>
            <w:vAlign w:val="center"/>
          </w:tcPr>
          <w:p w14:paraId="3A0D30CA" w14:textId="6D5BB5E5"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20.259.843</w:t>
            </w:r>
          </w:p>
        </w:tc>
        <w:tc>
          <w:tcPr>
            <w:tcW w:w="1061" w:type="pct"/>
            <w:tcBorders>
              <w:top w:val="nil"/>
              <w:bottom w:val="thickThinSmallGap" w:sz="24" w:space="0" w:color="auto"/>
            </w:tcBorders>
            <w:vAlign w:val="center"/>
          </w:tcPr>
          <w:p w14:paraId="2715955E" w14:textId="19A4B01A" w:rsidR="003B7A7D" w:rsidRPr="00FB38E1" w:rsidRDefault="003B7A7D" w:rsidP="003B7A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20.262.191</w:t>
            </w:r>
          </w:p>
        </w:tc>
      </w:tr>
    </w:tbl>
    <w:p w14:paraId="0C6A6FE9" w14:textId="06647CCA" w:rsidR="00667438" w:rsidRPr="00FB38E1" w:rsidRDefault="00667438" w:rsidP="00667438">
      <w:pPr>
        <w:pStyle w:val="ListParagraph"/>
        <w:spacing w:before="240" w:after="120" w:line="240" w:lineRule="exact"/>
        <w:ind w:left="0"/>
        <w:contextualSpacing w:val="0"/>
        <w:rPr>
          <w:rFonts w:ascii="Microsoft Sans Serif" w:hAnsi="Microsoft Sans Serif" w:cs="Microsoft Sans Serif"/>
          <w:b/>
          <w:sz w:val="20"/>
          <w:szCs w:val="20"/>
        </w:rPr>
      </w:pPr>
    </w:p>
    <w:p w14:paraId="581400D0" w14:textId="77777777" w:rsidR="00B94420" w:rsidRPr="00FB38E1" w:rsidRDefault="00B94420" w:rsidP="00667438">
      <w:pPr>
        <w:pStyle w:val="ListParagraph"/>
        <w:spacing w:before="240" w:after="120" w:line="240" w:lineRule="exact"/>
        <w:ind w:left="0"/>
        <w:contextualSpacing w:val="0"/>
        <w:rPr>
          <w:rFonts w:ascii="Microsoft Sans Serif" w:hAnsi="Microsoft Sans Serif" w:cs="Microsoft Sans Serif"/>
          <w:b/>
          <w:sz w:val="20"/>
          <w:szCs w:val="20"/>
        </w:rPr>
      </w:pPr>
    </w:p>
    <w:p w14:paraId="3B9400AA" w14:textId="10530807" w:rsidR="00E036D3" w:rsidRPr="00FB38E1" w:rsidRDefault="00E036D3" w:rsidP="00364B59">
      <w:pPr>
        <w:pStyle w:val="ListParagraph"/>
        <w:numPr>
          <w:ilvl w:val="0"/>
          <w:numId w:val="61"/>
        </w:numPr>
        <w:spacing w:before="240" w:after="120" w:line="240" w:lineRule="exact"/>
        <w:ind w:left="0" w:hanging="567"/>
        <w:contextualSpacing w:val="0"/>
        <w:rPr>
          <w:rFonts w:ascii="Microsoft Sans Serif" w:hAnsi="Microsoft Sans Serif" w:cs="Microsoft Sans Serif"/>
          <w:b/>
          <w:sz w:val="20"/>
          <w:szCs w:val="20"/>
        </w:rPr>
      </w:pPr>
      <w:r w:rsidRPr="00FB38E1">
        <w:rPr>
          <w:rFonts w:ascii="Microsoft Sans Serif" w:hAnsi="Microsoft Sans Serif" w:cs="Microsoft Sans Serif"/>
          <w:b/>
          <w:sz w:val="20"/>
          <w:szCs w:val="20"/>
        </w:rPr>
        <w:t>Gerçeğe uygun değer sınıflandırması</w:t>
      </w:r>
    </w:p>
    <w:p w14:paraId="37EA4058" w14:textId="77777777" w:rsidR="00E036D3" w:rsidRPr="00FB38E1" w:rsidRDefault="00E036D3" w:rsidP="00E036D3">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TFRS 7, gerçeğe uygun değer hesaplamalarına baz olan değerleme tekniklerinde kullanılan verilerin gözlemlenebilir olup olmadıklarına göre değerleme teknikleri sınıflandırması belirlemektedir.</w:t>
      </w:r>
    </w:p>
    <w:p w14:paraId="30B33E7F" w14:textId="77777777" w:rsidR="00E036D3" w:rsidRPr="00FB38E1" w:rsidRDefault="00E036D3" w:rsidP="00E036D3">
      <w:pPr>
        <w:spacing w:before="120"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 xml:space="preserve">Banka’nın gerçeğe uygun değerden taşımakta olduğu finansal varlık ve borçlarının gerçeğe uygun değer sıralaması aşağıdaki tabloda verilmektedir: </w:t>
      </w:r>
    </w:p>
    <w:tbl>
      <w:tblPr>
        <w:tblStyle w:val="TableGrid"/>
        <w:tblW w:w="955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38"/>
        <w:gridCol w:w="957"/>
        <w:gridCol w:w="1402"/>
        <w:gridCol w:w="1546"/>
        <w:gridCol w:w="1309"/>
      </w:tblGrid>
      <w:tr w:rsidR="00E036D3" w:rsidRPr="00FB38E1" w14:paraId="4E55C238" w14:textId="77777777" w:rsidTr="007F0BAF">
        <w:tc>
          <w:tcPr>
            <w:tcW w:w="2271" w:type="pct"/>
            <w:tcBorders>
              <w:top w:val="thinThickSmallGap" w:sz="24" w:space="0" w:color="auto"/>
              <w:bottom w:val="single" w:sz="6" w:space="0" w:color="auto"/>
            </w:tcBorders>
            <w:vAlign w:val="bottom"/>
          </w:tcPr>
          <w:p w14:paraId="67714F66" w14:textId="77777777" w:rsidR="00E036D3" w:rsidRPr="00FB38E1" w:rsidRDefault="00E036D3" w:rsidP="00836EF2">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Cari Dönem</w:t>
            </w:r>
          </w:p>
        </w:tc>
        <w:tc>
          <w:tcPr>
            <w:tcW w:w="501" w:type="pct"/>
            <w:tcBorders>
              <w:top w:val="thinThickSmallGap" w:sz="24" w:space="0" w:color="auto"/>
              <w:bottom w:val="single" w:sz="6" w:space="0" w:color="auto"/>
            </w:tcBorders>
            <w:vAlign w:val="bottom"/>
          </w:tcPr>
          <w:p w14:paraId="00FFDDEA"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1. Seviye</w:t>
            </w:r>
          </w:p>
        </w:tc>
        <w:tc>
          <w:tcPr>
            <w:tcW w:w="734" w:type="pct"/>
            <w:tcBorders>
              <w:top w:val="thinThickSmallGap" w:sz="24" w:space="0" w:color="auto"/>
              <w:bottom w:val="single" w:sz="6" w:space="0" w:color="auto"/>
            </w:tcBorders>
            <w:vAlign w:val="bottom"/>
          </w:tcPr>
          <w:p w14:paraId="72F11606"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2.Seviye</w:t>
            </w:r>
          </w:p>
        </w:tc>
        <w:tc>
          <w:tcPr>
            <w:tcW w:w="809" w:type="pct"/>
            <w:tcBorders>
              <w:top w:val="thinThickSmallGap" w:sz="24" w:space="0" w:color="auto"/>
              <w:bottom w:val="single" w:sz="6" w:space="0" w:color="auto"/>
            </w:tcBorders>
            <w:vAlign w:val="bottom"/>
          </w:tcPr>
          <w:p w14:paraId="25E6D0FB"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3.Seviye</w:t>
            </w:r>
          </w:p>
        </w:tc>
        <w:tc>
          <w:tcPr>
            <w:tcW w:w="685" w:type="pct"/>
            <w:tcBorders>
              <w:top w:val="thinThickSmallGap" w:sz="24" w:space="0" w:color="auto"/>
              <w:bottom w:val="single" w:sz="6" w:space="0" w:color="auto"/>
            </w:tcBorders>
            <w:vAlign w:val="bottom"/>
          </w:tcPr>
          <w:p w14:paraId="22EBE24F"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r>
      <w:tr w:rsidR="00E036D3" w:rsidRPr="00FB38E1" w14:paraId="5A769E93" w14:textId="77777777" w:rsidTr="007F0BAF">
        <w:tc>
          <w:tcPr>
            <w:tcW w:w="2271" w:type="pct"/>
            <w:tcBorders>
              <w:top w:val="single" w:sz="6" w:space="0" w:color="auto"/>
              <w:bottom w:val="nil"/>
            </w:tcBorders>
            <w:vAlign w:val="bottom"/>
          </w:tcPr>
          <w:p w14:paraId="4B08D029"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Gerçeğe Uygun Değer Farkı Kar/Zarara Yansıtılan Finansal Varlıklar</w:t>
            </w:r>
          </w:p>
        </w:tc>
        <w:tc>
          <w:tcPr>
            <w:tcW w:w="501" w:type="pct"/>
            <w:tcBorders>
              <w:top w:val="single" w:sz="6" w:space="0" w:color="auto"/>
              <w:bottom w:val="nil"/>
            </w:tcBorders>
            <w:vAlign w:val="center"/>
          </w:tcPr>
          <w:p w14:paraId="2C268B5D" w14:textId="2E03A5E2" w:rsidR="00E036D3" w:rsidRPr="00FB38E1" w:rsidRDefault="006067E8" w:rsidP="00836EF2">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4</w:t>
            </w:r>
            <w:r w:rsidR="00E036D3" w:rsidRPr="00FB38E1">
              <w:rPr>
                <w:rFonts w:ascii="Microsoft Sans Serif" w:hAnsi="Microsoft Sans Serif" w:cs="Microsoft Sans Serif"/>
                <w:sz w:val="14"/>
                <w:szCs w:val="14"/>
              </w:rPr>
              <w:t>.</w:t>
            </w:r>
            <w:r w:rsidRPr="00FB38E1">
              <w:rPr>
                <w:rFonts w:ascii="Microsoft Sans Serif" w:hAnsi="Microsoft Sans Serif" w:cs="Microsoft Sans Serif"/>
                <w:sz w:val="14"/>
                <w:szCs w:val="14"/>
              </w:rPr>
              <w:t>414</w:t>
            </w:r>
            <w:r w:rsidR="00E036D3" w:rsidRPr="00FB38E1">
              <w:rPr>
                <w:rFonts w:ascii="Microsoft Sans Serif" w:hAnsi="Microsoft Sans Serif" w:cs="Microsoft Sans Serif"/>
                <w:sz w:val="14"/>
                <w:szCs w:val="14"/>
              </w:rPr>
              <w:t>.</w:t>
            </w:r>
            <w:r w:rsidRPr="00FB38E1">
              <w:rPr>
                <w:rFonts w:ascii="Microsoft Sans Serif" w:hAnsi="Microsoft Sans Serif" w:cs="Microsoft Sans Serif"/>
                <w:sz w:val="14"/>
                <w:szCs w:val="14"/>
              </w:rPr>
              <w:t>851</w:t>
            </w:r>
          </w:p>
        </w:tc>
        <w:tc>
          <w:tcPr>
            <w:tcW w:w="734" w:type="pct"/>
            <w:tcBorders>
              <w:top w:val="single" w:sz="6" w:space="0" w:color="auto"/>
              <w:bottom w:val="nil"/>
            </w:tcBorders>
            <w:vAlign w:val="center"/>
          </w:tcPr>
          <w:p w14:paraId="5DBD39C9" w14:textId="77777777" w:rsidR="00E036D3" w:rsidRPr="00FB38E1" w:rsidRDefault="00E036D3" w:rsidP="00836EF2">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809" w:type="pct"/>
            <w:tcBorders>
              <w:top w:val="single" w:sz="6" w:space="0" w:color="auto"/>
              <w:left w:val="nil"/>
              <w:bottom w:val="nil"/>
              <w:right w:val="nil"/>
            </w:tcBorders>
            <w:shd w:val="clear" w:color="auto" w:fill="auto"/>
            <w:vAlign w:val="center"/>
          </w:tcPr>
          <w:p w14:paraId="3F5ECD67" w14:textId="77777777" w:rsidR="00E036D3" w:rsidRPr="00FB38E1" w:rsidRDefault="00E036D3" w:rsidP="00836EF2">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685" w:type="pct"/>
            <w:tcBorders>
              <w:top w:val="single" w:sz="6" w:space="0" w:color="auto"/>
              <w:bottom w:val="nil"/>
            </w:tcBorders>
            <w:vAlign w:val="center"/>
          </w:tcPr>
          <w:p w14:paraId="32FACC26" w14:textId="04FBA627" w:rsidR="00E036D3" w:rsidRPr="00FB38E1" w:rsidRDefault="006067E8" w:rsidP="00836EF2">
            <w:pPr>
              <w:jc w:val="right"/>
              <w:rPr>
                <w:rFonts w:ascii="Microsoft Sans Serif" w:hAnsi="Microsoft Sans Serif" w:cs="Microsoft Sans Serif"/>
                <w:b/>
                <w:bCs/>
                <w:sz w:val="14"/>
                <w:szCs w:val="14"/>
              </w:rPr>
            </w:pPr>
            <w:r w:rsidRPr="00FB38E1">
              <w:rPr>
                <w:rFonts w:ascii="Microsoft Sans Serif" w:hAnsi="Microsoft Sans Serif" w:cs="Microsoft Sans Serif"/>
                <w:sz w:val="14"/>
                <w:szCs w:val="14"/>
              </w:rPr>
              <w:t>4.414.851</w:t>
            </w:r>
          </w:p>
        </w:tc>
      </w:tr>
      <w:tr w:rsidR="00E036D3" w:rsidRPr="00FB38E1" w14:paraId="5189A4AB" w14:textId="77777777" w:rsidTr="007F0BAF">
        <w:tc>
          <w:tcPr>
            <w:tcW w:w="2271" w:type="pct"/>
            <w:tcBorders>
              <w:top w:val="nil"/>
              <w:bottom w:val="nil"/>
            </w:tcBorders>
            <w:tcMar>
              <w:left w:w="170" w:type="dxa"/>
            </w:tcMar>
            <w:vAlign w:val="bottom"/>
          </w:tcPr>
          <w:p w14:paraId="13AE6644"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Devlet Borçlanma Senetleri</w:t>
            </w:r>
          </w:p>
        </w:tc>
        <w:tc>
          <w:tcPr>
            <w:tcW w:w="501" w:type="pct"/>
            <w:tcBorders>
              <w:top w:val="nil"/>
              <w:bottom w:val="nil"/>
            </w:tcBorders>
            <w:vAlign w:val="center"/>
          </w:tcPr>
          <w:p w14:paraId="2495F1A8" w14:textId="653A6BB3" w:rsidR="00E036D3" w:rsidRPr="00FB38E1" w:rsidRDefault="006067E8"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1.269.792</w:t>
            </w:r>
          </w:p>
        </w:tc>
        <w:tc>
          <w:tcPr>
            <w:tcW w:w="734" w:type="pct"/>
            <w:tcBorders>
              <w:top w:val="nil"/>
              <w:bottom w:val="nil"/>
            </w:tcBorders>
            <w:vAlign w:val="center"/>
          </w:tcPr>
          <w:p w14:paraId="2764814A"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09" w:type="pct"/>
            <w:tcBorders>
              <w:top w:val="nil"/>
              <w:left w:val="nil"/>
              <w:bottom w:val="nil"/>
              <w:right w:val="nil"/>
            </w:tcBorders>
            <w:shd w:val="clear" w:color="auto" w:fill="auto"/>
            <w:vAlign w:val="center"/>
          </w:tcPr>
          <w:p w14:paraId="55C0C3C1"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85" w:type="pct"/>
            <w:tcBorders>
              <w:top w:val="nil"/>
              <w:bottom w:val="nil"/>
            </w:tcBorders>
            <w:vAlign w:val="center"/>
          </w:tcPr>
          <w:p w14:paraId="5F22B514" w14:textId="1BEE8B75" w:rsidR="00E036D3" w:rsidRPr="00FB38E1" w:rsidRDefault="006067E8" w:rsidP="00836EF2">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1.269.792</w:t>
            </w:r>
          </w:p>
        </w:tc>
      </w:tr>
      <w:tr w:rsidR="00E036D3" w:rsidRPr="00FB38E1" w14:paraId="4DEDDAA9" w14:textId="77777777" w:rsidTr="007F0BAF">
        <w:tc>
          <w:tcPr>
            <w:tcW w:w="2271" w:type="pct"/>
            <w:tcBorders>
              <w:top w:val="nil"/>
              <w:bottom w:val="nil"/>
            </w:tcBorders>
            <w:tcMar>
              <w:left w:w="170" w:type="dxa"/>
            </w:tcMar>
            <w:vAlign w:val="bottom"/>
          </w:tcPr>
          <w:p w14:paraId="287F1D3F"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Sermayede Payı Temsil Eden Menkul Değerler</w:t>
            </w:r>
          </w:p>
        </w:tc>
        <w:tc>
          <w:tcPr>
            <w:tcW w:w="501" w:type="pct"/>
            <w:tcBorders>
              <w:top w:val="nil"/>
              <w:bottom w:val="nil"/>
            </w:tcBorders>
            <w:vAlign w:val="center"/>
          </w:tcPr>
          <w:p w14:paraId="2F91CDA8" w14:textId="03A25A89" w:rsidR="00E036D3" w:rsidRPr="00FB38E1" w:rsidRDefault="006067E8"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1.400.570</w:t>
            </w:r>
          </w:p>
        </w:tc>
        <w:tc>
          <w:tcPr>
            <w:tcW w:w="734" w:type="pct"/>
            <w:tcBorders>
              <w:top w:val="nil"/>
              <w:bottom w:val="nil"/>
            </w:tcBorders>
            <w:vAlign w:val="center"/>
          </w:tcPr>
          <w:p w14:paraId="078B82B9"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09" w:type="pct"/>
            <w:tcBorders>
              <w:top w:val="nil"/>
              <w:left w:val="nil"/>
              <w:bottom w:val="nil"/>
              <w:right w:val="nil"/>
            </w:tcBorders>
            <w:shd w:val="clear" w:color="auto" w:fill="auto"/>
            <w:vAlign w:val="center"/>
          </w:tcPr>
          <w:p w14:paraId="0E229AC6"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85" w:type="pct"/>
            <w:tcBorders>
              <w:top w:val="nil"/>
              <w:bottom w:val="nil"/>
            </w:tcBorders>
            <w:vAlign w:val="center"/>
          </w:tcPr>
          <w:p w14:paraId="60984DCF" w14:textId="128C355F" w:rsidR="00E036D3" w:rsidRPr="00FB38E1" w:rsidRDefault="006067E8" w:rsidP="00836EF2">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1.400.570</w:t>
            </w:r>
          </w:p>
        </w:tc>
      </w:tr>
      <w:tr w:rsidR="00E036D3" w:rsidRPr="00FB38E1" w14:paraId="109D86A2" w14:textId="77777777" w:rsidTr="007F0BAF">
        <w:tc>
          <w:tcPr>
            <w:tcW w:w="2271" w:type="pct"/>
            <w:tcBorders>
              <w:top w:val="nil"/>
              <w:bottom w:val="nil"/>
            </w:tcBorders>
            <w:tcMar>
              <w:left w:w="170" w:type="dxa"/>
            </w:tcMar>
            <w:vAlign w:val="bottom"/>
          </w:tcPr>
          <w:p w14:paraId="38EA64C7"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Menkul Değerler</w:t>
            </w:r>
          </w:p>
        </w:tc>
        <w:tc>
          <w:tcPr>
            <w:tcW w:w="501" w:type="pct"/>
            <w:tcBorders>
              <w:top w:val="nil"/>
              <w:bottom w:val="nil"/>
            </w:tcBorders>
            <w:vAlign w:val="center"/>
          </w:tcPr>
          <w:p w14:paraId="132908E7" w14:textId="3FC47F82" w:rsidR="00E036D3" w:rsidRPr="00FB38E1" w:rsidRDefault="006067E8"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1.744.489</w:t>
            </w:r>
          </w:p>
        </w:tc>
        <w:tc>
          <w:tcPr>
            <w:tcW w:w="734" w:type="pct"/>
            <w:tcBorders>
              <w:top w:val="nil"/>
              <w:bottom w:val="nil"/>
            </w:tcBorders>
            <w:vAlign w:val="center"/>
          </w:tcPr>
          <w:p w14:paraId="28473AE5"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09" w:type="pct"/>
            <w:tcBorders>
              <w:top w:val="nil"/>
              <w:left w:val="nil"/>
              <w:bottom w:val="nil"/>
              <w:right w:val="nil"/>
            </w:tcBorders>
            <w:shd w:val="clear" w:color="auto" w:fill="auto"/>
            <w:vAlign w:val="center"/>
          </w:tcPr>
          <w:p w14:paraId="4FAB26C7"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85" w:type="pct"/>
            <w:tcBorders>
              <w:top w:val="nil"/>
              <w:bottom w:val="nil"/>
            </w:tcBorders>
            <w:vAlign w:val="center"/>
          </w:tcPr>
          <w:p w14:paraId="73FB73FC" w14:textId="59D0717F" w:rsidR="00E036D3" w:rsidRPr="00FB38E1" w:rsidRDefault="006067E8" w:rsidP="00836EF2">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1.744.489</w:t>
            </w:r>
          </w:p>
        </w:tc>
      </w:tr>
      <w:tr w:rsidR="00E036D3" w:rsidRPr="00FB38E1" w14:paraId="703C4C7F" w14:textId="77777777" w:rsidTr="007F0BAF">
        <w:tc>
          <w:tcPr>
            <w:tcW w:w="2271" w:type="pct"/>
            <w:tcBorders>
              <w:top w:val="nil"/>
              <w:bottom w:val="nil"/>
            </w:tcBorders>
            <w:vAlign w:val="bottom"/>
          </w:tcPr>
          <w:p w14:paraId="0642A08A"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Türev Finansal Varlıkların Gerçeğe Uygun Değer Farkı Kar Zarara Yansıtılan Kısmı</w:t>
            </w:r>
          </w:p>
        </w:tc>
        <w:tc>
          <w:tcPr>
            <w:tcW w:w="501" w:type="pct"/>
            <w:tcBorders>
              <w:top w:val="nil"/>
              <w:bottom w:val="nil"/>
            </w:tcBorders>
            <w:vAlign w:val="center"/>
          </w:tcPr>
          <w:p w14:paraId="45157DA3" w14:textId="77777777" w:rsidR="00E036D3" w:rsidRPr="00FB38E1" w:rsidRDefault="00E036D3" w:rsidP="00836EF2">
            <w:pPr>
              <w:jc w:val="right"/>
              <w:rPr>
                <w:rFonts w:ascii="Microsoft Sans Serif" w:hAnsi="Microsoft Sans Serif" w:cs="Microsoft Sans Serif"/>
                <w:sz w:val="14"/>
                <w:szCs w:val="14"/>
              </w:rPr>
            </w:pPr>
            <w:r w:rsidRPr="00FB38E1">
              <w:rPr>
                <w:rFonts w:ascii="Microsoft Sans Serif" w:hAnsi="Microsoft Sans Serif" w:cs="Microsoft Sans Serif"/>
                <w:color w:val="404040"/>
                <w:sz w:val="14"/>
                <w:szCs w:val="14"/>
              </w:rPr>
              <w:t>--</w:t>
            </w:r>
          </w:p>
        </w:tc>
        <w:tc>
          <w:tcPr>
            <w:tcW w:w="734" w:type="pct"/>
            <w:tcBorders>
              <w:top w:val="nil"/>
              <w:bottom w:val="nil"/>
            </w:tcBorders>
            <w:vAlign w:val="center"/>
          </w:tcPr>
          <w:p w14:paraId="6481B632" w14:textId="1B83E7B9" w:rsidR="00E036D3" w:rsidRPr="00FB38E1" w:rsidRDefault="006067E8" w:rsidP="00836EF2">
            <w:pPr>
              <w:jc w:val="right"/>
              <w:rPr>
                <w:rFonts w:ascii="Microsoft Sans Serif" w:hAnsi="Microsoft Sans Serif" w:cs="Microsoft Sans Serif"/>
                <w:sz w:val="14"/>
                <w:szCs w:val="14"/>
              </w:rPr>
            </w:pPr>
            <w:r w:rsidRPr="00FB38E1">
              <w:rPr>
                <w:rFonts w:ascii="Microsoft Sans Serif" w:hAnsi="Microsoft Sans Serif" w:cs="Microsoft Sans Serif"/>
                <w:color w:val="404040"/>
                <w:sz w:val="14"/>
                <w:szCs w:val="14"/>
              </w:rPr>
              <w:t>11.879.862</w:t>
            </w:r>
          </w:p>
        </w:tc>
        <w:tc>
          <w:tcPr>
            <w:tcW w:w="809" w:type="pct"/>
            <w:tcBorders>
              <w:top w:val="nil"/>
              <w:left w:val="nil"/>
              <w:bottom w:val="nil"/>
              <w:right w:val="nil"/>
            </w:tcBorders>
            <w:shd w:val="clear" w:color="auto" w:fill="auto"/>
            <w:vAlign w:val="center"/>
          </w:tcPr>
          <w:p w14:paraId="5F379027" w14:textId="77777777" w:rsidR="00E036D3" w:rsidRPr="00FB38E1" w:rsidRDefault="00E036D3" w:rsidP="00836EF2">
            <w:pPr>
              <w:jc w:val="right"/>
              <w:rPr>
                <w:rFonts w:ascii="Microsoft Sans Serif" w:hAnsi="Microsoft Sans Serif" w:cs="Microsoft Sans Serif"/>
                <w:sz w:val="14"/>
                <w:szCs w:val="14"/>
              </w:rPr>
            </w:pPr>
          </w:p>
        </w:tc>
        <w:tc>
          <w:tcPr>
            <w:tcW w:w="685" w:type="pct"/>
            <w:tcBorders>
              <w:top w:val="nil"/>
              <w:bottom w:val="nil"/>
            </w:tcBorders>
            <w:vAlign w:val="center"/>
          </w:tcPr>
          <w:p w14:paraId="71A208E6" w14:textId="69753D85" w:rsidR="00E036D3" w:rsidRPr="00FB38E1" w:rsidRDefault="006067E8" w:rsidP="00836EF2">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11.879.862</w:t>
            </w:r>
          </w:p>
        </w:tc>
      </w:tr>
      <w:tr w:rsidR="00E036D3" w:rsidRPr="00FB38E1" w14:paraId="0EE877AE" w14:textId="77777777" w:rsidTr="007F0BAF">
        <w:tc>
          <w:tcPr>
            <w:tcW w:w="2271" w:type="pct"/>
            <w:tcBorders>
              <w:top w:val="nil"/>
              <w:bottom w:val="nil"/>
            </w:tcBorders>
            <w:vAlign w:val="bottom"/>
          </w:tcPr>
          <w:p w14:paraId="544FA889"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Gerçeğe Uygun Değer Farkı Diğer Kapsamlı Gelire Yansıtılan Finansal Varlıklar</w:t>
            </w:r>
          </w:p>
        </w:tc>
        <w:tc>
          <w:tcPr>
            <w:tcW w:w="501" w:type="pct"/>
            <w:tcBorders>
              <w:top w:val="nil"/>
              <w:bottom w:val="nil"/>
            </w:tcBorders>
            <w:vAlign w:val="center"/>
          </w:tcPr>
          <w:p w14:paraId="0F01681D" w14:textId="04F01B9C" w:rsidR="00E036D3" w:rsidRPr="00FB38E1" w:rsidRDefault="006067E8" w:rsidP="00836EF2">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109.190.125</w:t>
            </w:r>
          </w:p>
        </w:tc>
        <w:tc>
          <w:tcPr>
            <w:tcW w:w="734" w:type="pct"/>
            <w:tcBorders>
              <w:top w:val="nil"/>
              <w:bottom w:val="nil"/>
            </w:tcBorders>
            <w:vAlign w:val="center"/>
          </w:tcPr>
          <w:p w14:paraId="4403D9EE" w14:textId="77777777" w:rsidR="00E036D3" w:rsidRPr="00FB38E1" w:rsidRDefault="00E036D3" w:rsidP="00836EF2">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809" w:type="pct"/>
            <w:tcBorders>
              <w:top w:val="nil"/>
              <w:left w:val="nil"/>
              <w:bottom w:val="nil"/>
              <w:right w:val="nil"/>
            </w:tcBorders>
            <w:shd w:val="clear" w:color="auto" w:fill="auto"/>
            <w:vAlign w:val="center"/>
          </w:tcPr>
          <w:p w14:paraId="62CC5E8B" w14:textId="77777777" w:rsidR="00E036D3" w:rsidRPr="00FB38E1" w:rsidRDefault="00E036D3" w:rsidP="00836EF2">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685" w:type="pct"/>
            <w:tcBorders>
              <w:top w:val="nil"/>
              <w:bottom w:val="nil"/>
            </w:tcBorders>
            <w:vAlign w:val="center"/>
          </w:tcPr>
          <w:p w14:paraId="5553E797" w14:textId="0869AD22" w:rsidR="00E036D3" w:rsidRPr="00FB38E1" w:rsidRDefault="006067E8" w:rsidP="00836EF2">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sz w:val="14"/>
                <w:szCs w:val="14"/>
              </w:rPr>
              <w:t>109.190.125</w:t>
            </w:r>
          </w:p>
        </w:tc>
      </w:tr>
      <w:tr w:rsidR="00E036D3" w:rsidRPr="00FB38E1" w14:paraId="04169B93" w14:textId="77777777" w:rsidTr="007F0BAF">
        <w:tc>
          <w:tcPr>
            <w:tcW w:w="2271" w:type="pct"/>
            <w:tcBorders>
              <w:top w:val="nil"/>
              <w:bottom w:val="nil"/>
            </w:tcBorders>
            <w:tcMar>
              <w:left w:w="170" w:type="dxa"/>
            </w:tcMar>
            <w:vAlign w:val="bottom"/>
          </w:tcPr>
          <w:p w14:paraId="0744104D"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Devlet Borçlanma Senetleri</w:t>
            </w:r>
          </w:p>
        </w:tc>
        <w:tc>
          <w:tcPr>
            <w:tcW w:w="501" w:type="pct"/>
            <w:tcBorders>
              <w:top w:val="nil"/>
              <w:bottom w:val="nil"/>
            </w:tcBorders>
            <w:vAlign w:val="center"/>
          </w:tcPr>
          <w:p w14:paraId="59321564" w14:textId="0D956371" w:rsidR="00E036D3" w:rsidRPr="00FB38E1" w:rsidRDefault="006067E8"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104.050.952</w:t>
            </w:r>
          </w:p>
        </w:tc>
        <w:tc>
          <w:tcPr>
            <w:tcW w:w="734" w:type="pct"/>
            <w:tcBorders>
              <w:top w:val="nil"/>
              <w:bottom w:val="nil"/>
            </w:tcBorders>
            <w:vAlign w:val="center"/>
          </w:tcPr>
          <w:p w14:paraId="716B78BD"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09" w:type="pct"/>
            <w:tcBorders>
              <w:top w:val="nil"/>
              <w:left w:val="nil"/>
              <w:bottom w:val="nil"/>
              <w:right w:val="nil"/>
            </w:tcBorders>
            <w:shd w:val="clear" w:color="auto" w:fill="auto"/>
            <w:vAlign w:val="center"/>
          </w:tcPr>
          <w:p w14:paraId="4303DB94"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85" w:type="pct"/>
            <w:tcBorders>
              <w:top w:val="nil"/>
              <w:bottom w:val="nil"/>
            </w:tcBorders>
            <w:vAlign w:val="center"/>
          </w:tcPr>
          <w:p w14:paraId="060B8C6B" w14:textId="7C39153E" w:rsidR="00E036D3" w:rsidRPr="00FB38E1" w:rsidRDefault="006067E8" w:rsidP="00836EF2">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104.050.952</w:t>
            </w:r>
          </w:p>
        </w:tc>
      </w:tr>
      <w:tr w:rsidR="00E036D3" w:rsidRPr="00FB38E1" w14:paraId="2C897F95" w14:textId="77777777" w:rsidTr="007F0BAF">
        <w:tc>
          <w:tcPr>
            <w:tcW w:w="2271" w:type="pct"/>
            <w:tcBorders>
              <w:top w:val="nil"/>
              <w:bottom w:val="nil"/>
            </w:tcBorders>
            <w:tcMar>
              <w:left w:w="170" w:type="dxa"/>
            </w:tcMar>
            <w:vAlign w:val="bottom"/>
          </w:tcPr>
          <w:p w14:paraId="725AFA71"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Menkul Değerler</w:t>
            </w:r>
          </w:p>
        </w:tc>
        <w:tc>
          <w:tcPr>
            <w:tcW w:w="501" w:type="pct"/>
            <w:tcBorders>
              <w:top w:val="nil"/>
              <w:bottom w:val="nil"/>
            </w:tcBorders>
            <w:vAlign w:val="center"/>
          </w:tcPr>
          <w:p w14:paraId="2746A90E" w14:textId="7003C2CE" w:rsidR="00E036D3" w:rsidRPr="00FB38E1" w:rsidRDefault="006067E8"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5.139.173</w:t>
            </w:r>
          </w:p>
        </w:tc>
        <w:tc>
          <w:tcPr>
            <w:tcW w:w="734" w:type="pct"/>
            <w:tcBorders>
              <w:top w:val="nil"/>
              <w:bottom w:val="nil"/>
            </w:tcBorders>
            <w:vAlign w:val="center"/>
          </w:tcPr>
          <w:p w14:paraId="5CD0360E"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09" w:type="pct"/>
            <w:tcBorders>
              <w:top w:val="nil"/>
              <w:left w:val="nil"/>
              <w:bottom w:val="nil"/>
              <w:right w:val="nil"/>
            </w:tcBorders>
            <w:shd w:val="clear" w:color="auto" w:fill="auto"/>
            <w:vAlign w:val="center"/>
          </w:tcPr>
          <w:p w14:paraId="3AB6AB3A"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85" w:type="pct"/>
            <w:tcBorders>
              <w:top w:val="nil"/>
              <w:bottom w:val="nil"/>
            </w:tcBorders>
            <w:vAlign w:val="center"/>
          </w:tcPr>
          <w:p w14:paraId="0CD39861" w14:textId="65818D66" w:rsidR="00E036D3" w:rsidRPr="00FB38E1" w:rsidRDefault="006067E8" w:rsidP="00836EF2">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5.139.173</w:t>
            </w:r>
          </w:p>
        </w:tc>
      </w:tr>
      <w:tr w:rsidR="00E036D3" w:rsidRPr="00FB38E1" w14:paraId="61E7F483" w14:textId="77777777" w:rsidTr="007F0BAF">
        <w:tc>
          <w:tcPr>
            <w:tcW w:w="2271" w:type="pct"/>
            <w:tcBorders>
              <w:top w:val="nil"/>
              <w:bottom w:val="single" w:sz="6" w:space="0" w:color="auto"/>
            </w:tcBorders>
            <w:vAlign w:val="bottom"/>
          </w:tcPr>
          <w:p w14:paraId="31F02F67"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Gerçeğe Uygun Değer Farkı Kar Zarara Yansıtılan Krediler</w:t>
            </w:r>
          </w:p>
        </w:tc>
        <w:tc>
          <w:tcPr>
            <w:tcW w:w="501" w:type="pct"/>
            <w:tcBorders>
              <w:top w:val="nil"/>
              <w:bottom w:val="single" w:sz="6" w:space="0" w:color="auto"/>
            </w:tcBorders>
            <w:vAlign w:val="center"/>
          </w:tcPr>
          <w:p w14:paraId="665745B4"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34" w:type="pct"/>
            <w:tcBorders>
              <w:top w:val="nil"/>
              <w:bottom w:val="single" w:sz="6" w:space="0" w:color="auto"/>
            </w:tcBorders>
            <w:vAlign w:val="center"/>
          </w:tcPr>
          <w:p w14:paraId="3D19E893"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09" w:type="pct"/>
            <w:tcBorders>
              <w:top w:val="nil"/>
              <w:left w:val="nil"/>
              <w:bottom w:val="single" w:sz="6" w:space="0" w:color="auto"/>
              <w:right w:val="nil"/>
            </w:tcBorders>
            <w:shd w:val="clear" w:color="auto" w:fill="auto"/>
            <w:vAlign w:val="center"/>
          </w:tcPr>
          <w:p w14:paraId="25FC359B"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85" w:type="pct"/>
            <w:tcBorders>
              <w:top w:val="nil"/>
              <w:bottom w:val="single" w:sz="6" w:space="0" w:color="auto"/>
            </w:tcBorders>
            <w:vAlign w:val="center"/>
          </w:tcPr>
          <w:p w14:paraId="57A14BDB" w14:textId="77777777" w:rsidR="00E036D3" w:rsidRPr="00FB38E1" w:rsidRDefault="00E036D3" w:rsidP="00836EF2">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r>
      <w:tr w:rsidR="00E036D3" w:rsidRPr="00FB38E1" w14:paraId="0F218B1A" w14:textId="77777777" w:rsidTr="007F0BAF">
        <w:trPr>
          <w:trHeight w:val="42"/>
        </w:trPr>
        <w:tc>
          <w:tcPr>
            <w:tcW w:w="2271" w:type="pct"/>
            <w:tcBorders>
              <w:top w:val="single" w:sz="6" w:space="0" w:color="auto"/>
              <w:bottom w:val="nil"/>
            </w:tcBorders>
            <w:vAlign w:val="bottom"/>
          </w:tcPr>
          <w:p w14:paraId="1A9C2B45" w14:textId="77777777" w:rsidR="00E036D3" w:rsidRPr="00FB38E1" w:rsidRDefault="00E036D3" w:rsidP="00836EF2">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 Varlıklar</w:t>
            </w:r>
          </w:p>
        </w:tc>
        <w:tc>
          <w:tcPr>
            <w:tcW w:w="501" w:type="pct"/>
            <w:tcBorders>
              <w:top w:val="single" w:sz="6" w:space="0" w:color="auto"/>
              <w:bottom w:val="nil"/>
            </w:tcBorders>
            <w:vAlign w:val="center"/>
          </w:tcPr>
          <w:p w14:paraId="7434BC32" w14:textId="5D717D76" w:rsidR="00E036D3" w:rsidRPr="00FB38E1" w:rsidRDefault="006067E8"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113.604.976</w:t>
            </w:r>
          </w:p>
        </w:tc>
        <w:tc>
          <w:tcPr>
            <w:tcW w:w="734" w:type="pct"/>
            <w:tcBorders>
              <w:top w:val="single" w:sz="6" w:space="0" w:color="auto"/>
              <w:bottom w:val="nil"/>
            </w:tcBorders>
            <w:vAlign w:val="center"/>
          </w:tcPr>
          <w:p w14:paraId="2624CAF8" w14:textId="6FE83A5F" w:rsidR="00E036D3" w:rsidRPr="00FB38E1" w:rsidRDefault="006067E8"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11.879.862</w:t>
            </w:r>
          </w:p>
        </w:tc>
        <w:tc>
          <w:tcPr>
            <w:tcW w:w="809" w:type="pct"/>
            <w:tcBorders>
              <w:top w:val="single" w:sz="6" w:space="0" w:color="auto"/>
              <w:left w:val="nil"/>
              <w:bottom w:val="nil"/>
              <w:right w:val="nil"/>
            </w:tcBorders>
            <w:shd w:val="clear" w:color="auto" w:fill="auto"/>
            <w:vAlign w:val="center"/>
          </w:tcPr>
          <w:p w14:paraId="6C8B48DC"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685" w:type="pct"/>
            <w:tcBorders>
              <w:top w:val="single" w:sz="6" w:space="0" w:color="auto"/>
              <w:bottom w:val="nil"/>
            </w:tcBorders>
            <w:vAlign w:val="center"/>
          </w:tcPr>
          <w:p w14:paraId="367705AD" w14:textId="3A2BE39B" w:rsidR="00E036D3" w:rsidRPr="00FB38E1" w:rsidRDefault="006067E8"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125.484.838</w:t>
            </w:r>
          </w:p>
        </w:tc>
      </w:tr>
      <w:tr w:rsidR="00E036D3" w:rsidRPr="00FB38E1" w14:paraId="3A2E9E6E" w14:textId="77777777" w:rsidTr="007F0BAF">
        <w:trPr>
          <w:trHeight w:val="57"/>
        </w:trPr>
        <w:tc>
          <w:tcPr>
            <w:tcW w:w="2271" w:type="pct"/>
            <w:tcBorders>
              <w:top w:val="nil"/>
              <w:bottom w:val="nil"/>
            </w:tcBorders>
            <w:vAlign w:val="bottom"/>
          </w:tcPr>
          <w:p w14:paraId="14E22257" w14:textId="77777777" w:rsidR="00E036D3" w:rsidRPr="00FB38E1" w:rsidRDefault="00E036D3" w:rsidP="00836EF2">
            <w:pPr>
              <w:rPr>
                <w:rFonts w:ascii="Microsoft Sans Serif" w:hAnsi="Microsoft Sans Serif" w:cs="Microsoft Sans Serif"/>
                <w:color w:val="404040" w:themeColor="text1" w:themeTint="BF"/>
                <w:sz w:val="14"/>
                <w:szCs w:val="14"/>
              </w:rPr>
            </w:pPr>
          </w:p>
        </w:tc>
        <w:tc>
          <w:tcPr>
            <w:tcW w:w="501" w:type="pct"/>
            <w:tcBorders>
              <w:top w:val="nil"/>
              <w:bottom w:val="nil"/>
            </w:tcBorders>
            <w:vAlign w:val="center"/>
          </w:tcPr>
          <w:p w14:paraId="424C186E" w14:textId="77777777" w:rsidR="00E036D3" w:rsidRPr="00FB38E1" w:rsidRDefault="00E036D3" w:rsidP="00836EF2">
            <w:pPr>
              <w:jc w:val="right"/>
              <w:rPr>
                <w:rFonts w:ascii="Microsoft Sans Serif" w:hAnsi="Microsoft Sans Serif" w:cs="Microsoft Sans Serif"/>
                <w:b/>
                <w:bCs/>
                <w:color w:val="000000"/>
                <w:sz w:val="14"/>
                <w:szCs w:val="14"/>
              </w:rPr>
            </w:pPr>
          </w:p>
        </w:tc>
        <w:tc>
          <w:tcPr>
            <w:tcW w:w="734" w:type="pct"/>
            <w:tcBorders>
              <w:top w:val="nil"/>
              <w:bottom w:val="nil"/>
            </w:tcBorders>
            <w:vAlign w:val="center"/>
          </w:tcPr>
          <w:p w14:paraId="7C520FF8" w14:textId="77777777" w:rsidR="00E036D3" w:rsidRPr="00FB38E1" w:rsidRDefault="00E036D3" w:rsidP="00836EF2">
            <w:pPr>
              <w:jc w:val="right"/>
              <w:rPr>
                <w:sz w:val="14"/>
                <w:szCs w:val="14"/>
              </w:rPr>
            </w:pPr>
          </w:p>
        </w:tc>
        <w:tc>
          <w:tcPr>
            <w:tcW w:w="809" w:type="pct"/>
            <w:tcBorders>
              <w:top w:val="nil"/>
              <w:left w:val="nil"/>
              <w:bottom w:val="nil"/>
              <w:right w:val="nil"/>
            </w:tcBorders>
            <w:shd w:val="clear" w:color="auto" w:fill="auto"/>
            <w:vAlign w:val="center"/>
          </w:tcPr>
          <w:p w14:paraId="733B9F64" w14:textId="77777777" w:rsidR="00E036D3" w:rsidRPr="00FB38E1" w:rsidRDefault="00E036D3" w:rsidP="00836EF2">
            <w:pPr>
              <w:jc w:val="right"/>
              <w:rPr>
                <w:sz w:val="14"/>
                <w:szCs w:val="14"/>
              </w:rPr>
            </w:pPr>
          </w:p>
        </w:tc>
        <w:tc>
          <w:tcPr>
            <w:tcW w:w="685" w:type="pct"/>
            <w:tcBorders>
              <w:top w:val="nil"/>
              <w:bottom w:val="nil"/>
            </w:tcBorders>
            <w:vAlign w:val="center"/>
          </w:tcPr>
          <w:p w14:paraId="515EBABC" w14:textId="77777777" w:rsidR="00E036D3" w:rsidRPr="00FB38E1" w:rsidRDefault="00E036D3" w:rsidP="00836EF2">
            <w:pPr>
              <w:jc w:val="right"/>
              <w:rPr>
                <w:sz w:val="14"/>
                <w:szCs w:val="14"/>
              </w:rPr>
            </w:pPr>
          </w:p>
        </w:tc>
      </w:tr>
      <w:tr w:rsidR="00E036D3" w:rsidRPr="00FB38E1" w14:paraId="06FD4083" w14:textId="77777777" w:rsidTr="007F0BAF">
        <w:tc>
          <w:tcPr>
            <w:tcW w:w="2271" w:type="pct"/>
            <w:tcBorders>
              <w:top w:val="nil"/>
              <w:bottom w:val="nil"/>
            </w:tcBorders>
            <w:vAlign w:val="bottom"/>
          </w:tcPr>
          <w:p w14:paraId="2980BD86"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Alım Satım Amaçlı Türev Finansal Borçlar</w:t>
            </w:r>
          </w:p>
        </w:tc>
        <w:tc>
          <w:tcPr>
            <w:tcW w:w="501" w:type="pct"/>
            <w:tcBorders>
              <w:top w:val="nil"/>
              <w:bottom w:val="nil"/>
            </w:tcBorders>
            <w:vAlign w:val="center"/>
          </w:tcPr>
          <w:p w14:paraId="4AF3962B"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34" w:type="pct"/>
            <w:tcBorders>
              <w:top w:val="nil"/>
              <w:bottom w:val="nil"/>
            </w:tcBorders>
            <w:vAlign w:val="center"/>
          </w:tcPr>
          <w:p w14:paraId="7DD4DD50" w14:textId="2ADB7060" w:rsidR="00E036D3" w:rsidRPr="00FB38E1" w:rsidRDefault="006067E8"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5.115.481</w:t>
            </w:r>
          </w:p>
        </w:tc>
        <w:tc>
          <w:tcPr>
            <w:tcW w:w="809" w:type="pct"/>
            <w:tcBorders>
              <w:top w:val="nil"/>
              <w:left w:val="nil"/>
              <w:bottom w:val="nil"/>
              <w:right w:val="nil"/>
            </w:tcBorders>
            <w:shd w:val="clear" w:color="auto" w:fill="auto"/>
            <w:vAlign w:val="center"/>
          </w:tcPr>
          <w:p w14:paraId="6A3B4344"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85" w:type="pct"/>
            <w:tcBorders>
              <w:top w:val="nil"/>
              <w:bottom w:val="nil"/>
            </w:tcBorders>
            <w:vAlign w:val="center"/>
          </w:tcPr>
          <w:p w14:paraId="7E90759F" w14:textId="20BAC438" w:rsidR="00E036D3" w:rsidRPr="00FB38E1" w:rsidRDefault="006067E8" w:rsidP="00836EF2">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5.115.481</w:t>
            </w:r>
          </w:p>
        </w:tc>
      </w:tr>
      <w:tr w:rsidR="00E036D3" w:rsidRPr="00FB38E1" w14:paraId="65DE09E7" w14:textId="77777777" w:rsidTr="007F0BAF">
        <w:tc>
          <w:tcPr>
            <w:tcW w:w="2271" w:type="pct"/>
            <w:tcBorders>
              <w:top w:val="single" w:sz="6" w:space="0" w:color="auto"/>
              <w:bottom w:val="thickThinSmallGap" w:sz="24" w:space="0" w:color="auto"/>
            </w:tcBorders>
            <w:vAlign w:val="bottom"/>
          </w:tcPr>
          <w:p w14:paraId="3CA09CDC" w14:textId="77777777" w:rsidR="00E036D3" w:rsidRPr="00FB38E1" w:rsidRDefault="00E036D3" w:rsidP="00836EF2">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 Yükümlülükler</w:t>
            </w:r>
          </w:p>
        </w:tc>
        <w:tc>
          <w:tcPr>
            <w:tcW w:w="501" w:type="pct"/>
            <w:tcBorders>
              <w:top w:val="single" w:sz="6" w:space="0" w:color="auto"/>
              <w:bottom w:val="thickThinSmallGap" w:sz="24" w:space="0" w:color="auto"/>
            </w:tcBorders>
            <w:vAlign w:val="center"/>
          </w:tcPr>
          <w:p w14:paraId="78AE7165"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734" w:type="pct"/>
            <w:tcBorders>
              <w:top w:val="single" w:sz="6" w:space="0" w:color="auto"/>
              <w:bottom w:val="thickThinSmallGap" w:sz="24" w:space="0" w:color="auto"/>
            </w:tcBorders>
            <w:vAlign w:val="center"/>
          </w:tcPr>
          <w:p w14:paraId="574128D9" w14:textId="6D1EA023" w:rsidR="00E036D3" w:rsidRPr="00FB38E1" w:rsidRDefault="006067E8"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5.115.481</w:t>
            </w:r>
          </w:p>
        </w:tc>
        <w:tc>
          <w:tcPr>
            <w:tcW w:w="809" w:type="pct"/>
            <w:tcBorders>
              <w:top w:val="single" w:sz="6" w:space="0" w:color="auto"/>
              <w:bottom w:val="thickThinSmallGap" w:sz="24" w:space="0" w:color="auto"/>
            </w:tcBorders>
            <w:vAlign w:val="center"/>
          </w:tcPr>
          <w:p w14:paraId="79C90217"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685" w:type="pct"/>
            <w:tcBorders>
              <w:top w:val="single" w:sz="6" w:space="0" w:color="auto"/>
              <w:bottom w:val="thickThinSmallGap" w:sz="24" w:space="0" w:color="auto"/>
            </w:tcBorders>
            <w:vAlign w:val="center"/>
          </w:tcPr>
          <w:p w14:paraId="2F6236D3" w14:textId="07D837DE" w:rsidR="00E036D3" w:rsidRPr="00FB38E1" w:rsidRDefault="006067E8"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5.115.481</w:t>
            </w:r>
          </w:p>
        </w:tc>
      </w:tr>
    </w:tbl>
    <w:p w14:paraId="10EFF74E" w14:textId="77777777" w:rsidR="00C66DB9" w:rsidRPr="00FB38E1" w:rsidRDefault="00C66DB9" w:rsidP="00E036D3">
      <w:pPr>
        <w:spacing w:after="120" w:line="220" w:lineRule="exact"/>
        <w:rPr>
          <w:rFonts w:ascii="Microsoft Sans Serif" w:hAnsi="Microsoft Sans Serif" w:cs="Microsoft Sans Serif"/>
          <w:sz w:val="20"/>
          <w:szCs w:val="20"/>
        </w:rPr>
      </w:pPr>
    </w:p>
    <w:tbl>
      <w:tblPr>
        <w:tblStyle w:val="TableGrid"/>
        <w:tblW w:w="955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830"/>
        <w:gridCol w:w="508"/>
        <w:gridCol w:w="911"/>
        <w:gridCol w:w="1418"/>
        <w:gridCol w:w="1561"/>
        <w:gridCol w:w="1324"/>
      </w:tblGrid>
      <w:tr w:rsidR="00E036D3" w:rsidRPr="00FB38E1" w14:paraId="77166EF6" w14:textId="77777777" w:rsidTr="00836EF2">
        <w:tc>
          <w:tcPr>
            <w:tcW w:w="2005" w:type="pct"/>
            <w:tcBorders>
              <w:top w:val="thinThickSmallGap" w:sz="24" w:space="0" w:color="auto"/>
              <w:bottom w:val="single" w:sz="6" w:space="0" w:color="auto"/>
            </w:tcBorders>
            <w:vAlign w:val="bottom"/>
          </w:tcPr>
          <w:p w14:paraId="78886BA1" w14:textId="77777777" w:rsidR="00E036D3" w:rsidRPr="00FB38E1" w:rsidRDefault="00E036D3" w:rsidP="00836EF2">
            <w:pPr>
              <w:rPr>
                <w:rFonts w:ascii="Microsoft Sans Serif" w:hAnsi="Microsoft Sans Serif" w:cs="Microsoft Sans Serif"/>
                <w:b/>
                <w:bCs/>
                <w:sz w:val="14"/>
                <w:szCs w:val="14"/>
              </w:rPr>
            </w:pPr>
            <w:r w:rsidRPr="00FB38E1">
              <w:rPr>
                <w:rFonts w:ascii="Microsoft Sans Serif" w:hAnsi="Microsoft Sans Serif" w:cs="Microsoft Sans Serif"/>
                <w:b/>
                <w:bCs/>
                <w:sz w:val="14"/>
                <w:szCs w:val="14"/>
              </w:rPr>
              <w:t>Önceki Dönem</w:t>
            </w:r>
          </w:p>
        </w:tc>
        <w:tc>
          <w:tcPr>
            <w:tcW w:w="742" w:type="pct"/>
            <w:gridSpan w:val="2"/>
            <w:tcBorders>
              <w:top w:val="thinThickSmallGap" w:sz="24" w:space="0" w:color="auto"/>
              <w:bottom w:val="single" w:sz="6" w:space="0" w:color="auto"/>
            </w:tcBorders>
            <w:vAlign w:val="bottom"/>
          </w:tcPr>
          <w:p w14:paraId="2495F055"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1. Seviye</w:t>
            </w:r>
          </w:p>
        </w:tc>
        <w:tc>
          <w:tcPr>
            <w:tcW w:w="742" w:type="pct"/>
            <w:tcBorders>
              <w:top w:val="thinThickSmallGap" w:sz="24" w:space="0" w:color="auto"/>
              <w:bottom w:val="single" w:sz="6" w:space="0" w:color="auto"/>
            </w:tcBorders>
            <w:vAlign w:val="bottom"/>
          </w:tcPr>
          <w:p w14:paraId="2731B5A3"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2.Seviye</w:t>
            </w:r>
          </w:p>
        </w:tc>
        <w:tc>
          <w:tcPr>
            <w:tcW w:w="817" w:type="pct"/>
            <w:tcBorders>
              <w:top w:val="thinThickSmallGap" w:sz="24" w:space="0" w:color="auto"/>
              <w:bottom w:val="single" w:sz="6" w:space="0" w:color="auto"/>
            </w:tcBorders>
            <w:vAlign w:val="bottom"/>
          </w:tcPr>
          <w:p w14:paraId="3911F001"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3.Seviye</w:t>
            </w:r>
          </w:p>
        </w:tc>
        <w:tc>
          <w:tcPr>
            <w:tcW w:w="693" w:type="pct"/>
            <w:tcBorders>
              <w:top w:val="thinThickSmallGap" w:sz="24" w:space="0" w:color="auto"/>
              <w:bottom w:val="single" w:sz="6" w:space="0" w:color="auto"/>
            </w:tcBorders>
            <w:vAlign w:val="bottom"/>
          </w:tcPr>
          <w:p w14:paraId="00311C47"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w:t>
            </w:r>
          </w:p>
        </w:tc>
      </w:tr>
      <w:tr w:rsidR="003B7A7D" w:rsidRPr="00FB38E1" w14:paraId="7E4456A3" w14:textId="77777777" w:rsidTr="00667438">
        <w:tc>
          <w:tcPr>
            <w:tcW w:w="2271" w:type="pct"/>
            <w:gridSpan w:val="2"/>
            <w:tcBorders>
              <w:top w:val="single" w:sz="6" w:space="0" w:color="auto"/>
              <w:bottom w:val="nil"/>
            </w:tcBorders>
            <w:vAlign w:val="bottom"/>
          </w:tcPr>
          <w:p w14:paraId="32ABC2CA"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Gerçeğe Uygun Değer Farkı Kar/Zarara Yansıtılan Finansal Varlıklar</w:t>
            </w:r>
          </w:p>
        </w:tc>
        <w:tc>
          <w:tcPr>
            <w:tcW w:w="477" w:type="pct"/>
            <w:tcBorders>
              <w:top w:val="single" w:sz="6" w:space="0" w:color="auto"/>
              <w:bottom w:val="nil"/>
            </w:tcBorders>
            <w:vAlign w:val="center"/>
          </w:tcPr>
          <w:p w14:paraId="025C8525" w14:textId="19802106"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5.302.375</w:t>
            </w:r>
          </w:p>
        </w:tc>
        <w:tc>
          <w:tcPr>
            <w:tcW w:w="742" w:type="pct"/>
            <w:tcBorders>
              <w:top w:val="single" w:sz="6" w:space="0" w:color="auto"/>
              <w:bottom w:val="nil"/>
            </w:tcBorders>
            <w:vAlign w:val="center"/>
          </w:tcPr>
          <w:p w14:paraId="326C940A" w14:textId="33390062"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817" w:type="pct"/>
            <w:tcBorders>
              <w:top w:val="single" w:sz="6" w:space="0" w:color="auto"/>
              <w:left w:val="nil"/>
              <w:bottom w:val="nil"/>
              <w:right w:val="nil"/>
            </w:tcBorders>
            <w:shd w:val="clear" w:color="auto" w:fill="auto"/>
            <w:vAlign w:val="center"/>
          </w:tcPr>
          <w:p w14:paraId="0A7814F0" w14:textId="541F0949"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693" w:type="pct"/>
            <w:tcBorders>
              <w:top w:val="single" w:sz="6" w:space="0" w:color="auto"/>
              <w:bottom w:val="nil"/>
            </w:tcBorders>
            <w:vAlign w:val="center"/>
          </w:tcPr>
          <w:p w14:paraId="3BC7E260" w14:textId="2AC90B0C" w:rsidR="003B7A7D" w:rsidRPr="00FB38E1" w:rsidRDefault="003B7A7D" w:rsidP="003B7A7D">
            <w:pPr>
              <w:jc w:val="right"/>
              <w:rPr>
                <w:rFonts w:ascii="Microsoft Sans Serif" w:hAnsi="Microsoft Sans Serif" w:cs="Microsoft Sans Serif"/>
                <w:b/>
                <w:bCs/>
                <w:sz w:val="14"/>
                <w:szCs w:val="14"/>
              </w:rPr>
            </w:pPr>
            <w:r w:rsidRPr="00FB38E1">
              <w:rPr>
                <w:rFonts w:ascii="Microsoft Sans Serif" w:hAnsi="Microsoft Sans Serif" w:cs="Microsoft Sans Serif"/>
                <w:sz w:val="14"/>
                <w:szCs w:val="14"/>
              </w:rPr>
              <w:t>5.302.375</w:t>
            </w:r>
          </w:p>
        </w:tc>
      </w:tr>
      <w:tr w:rsidR="003B7A7D" w:rsidRPr="00FB38E1" w14:paraId="7393477A" w14:textId="77777777" w:rsidTr="00667438">
        <w:tc>
          <w:tcPr>
            <w:tcW w:w="2271" w:type="pct"/>
            <w:gridSpan w:val="2"/>
            <w:tcBorders>
              <w:top w:val="nil"/>
              <w:bottom w:val="nil"/>
            </w:tcBorders>
            <w:tcMar>
              <w:left w:w="170" w:type="dxa"/>
            </w:tcMar>
            <w:vAlign w:val="bottom"/>
          </w:tcPr>
          <w:p w14:paraId="1EBC9C49"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Devlet Borçlanma Senetleri</w:t>
            </w:r>
          </w:p>
        </w:tc>
        <w:tc>
          <w:tcPr>
            <w:tcW w:w="477" w:type="pct"/>
            <w:tcBorders>
              <w:top w:val="nil"/>
              <w:bottom w:val="nil"/>
            </w:tcBorders>
            <w:vAlign w:val="center"/>
          </w:tcPr>
          <w:p w14:paraId="44C453BE" w14:textId="554E4F59"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2.428.103</w:t>
            </w:r>
          </w:p>
        </w:tc>
        <w:tc>
          <w:tcPr>
            <w:tcW w:w="742" w:type="pct"/>
            <w:tcBorders>
              <w:top w:val="nil"/>
              <w:bottom w:val="nil"/>
            </w:tcBorders>
            <w:vAlign w:val="center"/>
          </w:tcPr>
          <w:p w14:paraId="3ACD74D8" w14:textId="112170B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17" w:type="pct"/>
            <w:tcBorders>
              <w:top w:val="nil"/>
              <w:left w:val="nil"/>
              <w:bottom w:val="nil"/>
              <w:right w:val="nil"/>
            </w:tcBorders>
            <w:shd w:val="clear" w:color="auto" w:fill="auto"/>
            <w:vAlign w:val="center"/>
          </w:tcPr>
          <w:p w14:paraId="77084D9E" w14:textId="0557325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93" w:type="pct"/>
            <w:tcBorders>
              <w:top w:val="nil"/>
              <w:bottom w:val="nil"/>
            </w:tcBorders>
            <w:vAlign w:val="center"/>
          </w:tcPr>
          <w:p w14:paraId="1496ADB9" w14:textId="08302C58" w:rsidR="003B7A7D" w:rsidRPr="00FB38E1" w:rsidRDefault="003B7A7D" w:rsidP="003B7A7D">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2.428.103</w:t>
            </w:r>
          </w:p>
        </w:tc>
      </w:tr>
      <w:tr w:rsidR="003B7A7D" w:rsidRPr="00FB38E1" w14:paraId="603E08FB" w14:textId="77777777" w:rsidTr="00667438">
        <w:tc>
          <w:tcPr>
            <w:tcW w:w="2271" w:type="pct"/>
            <w:gridSpan w:val="2"/>
            <w:tcBorders>
              <w:top w:val="nil"/>
              <w:bottom w:val="nil"/>
            </w:tcBorders>
            <w:tcMar>
              <w:left w:w="170" w:type="dxa"/>
            </w:tcMar>
            <w:vAlign w:val="bottom"/>
          </w:tcPr>
          <w:p w14:paraId="742A1924"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Sermayede Payı Temsil Eden Menkul Değerler</w:t>
            </w:r>
          </w:p>
        </w:tc>
        <w:tc>
          <w:tcPr>
            <w:tcW w:w="477" w:type="pct"/>
            <w:tcBorders>
              <w:top w:val="nil"/>
              <w:bottom w:val="nil"/>
            </w:tcBorders>
            <w:vAlign w:val="center"/>
          </w:tcPr>
          <w:p w14:paraId="0E1363CE" w14:textId="1E49614B"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896.056</w:t>
            </w:r>
          </w:p>
        </w:tc>
        <w:tc>
          <w:tcPr>
            <w:tcW w:w="742" w:type="pct"/>
            <w:tcBorders>
              <w:top w:val="nil"/>
              <w:bottom w:val="nil"/>
            </w:tcBorders>
            <w:vAlign w:val="center"/>
          </w:tcPr>
          <w:p w14:paraId="18E894B4" w14:textId="57A2F69D"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17" w:type="pct"/>
            <w:tcBorders>
              <w:top w:val="nil"/>
              <w:left w:val="nil"/>
              <w:bottom w:val="nil"/>
              <w:right w:val="nil"/>
            </w:tcBorders>
            <w:shd w:val="clear" w:color="auto" w:fill="auto"/>
            <w:vAlign w:val="center"/>
          </w:tcPr>
          <w:p w14:paraId="2D9D8014" w14:textId="08755D9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93" w:type="pct"/>
            <w:tcBorders>
              <w:top w:val="nil"/>
              <w:bottom w:val="nil"/>
            </w:tcBorders>
            <w:vAlign w:val="center"/>
          </w:tcPr>
          <w:p w14:paraId="0E474C12" w14:textId="47A50989" w:rsidR="003B7A7D" w:rsidRPr="00FB38E1" w:rsidRDefault="003B7A7D" w:rsidP="003B7A7D">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896.056</w:t>
            </w:r>
          </w:p>
        </w:tc>
      </w:tr>
      <w:tr w:rsidR="003B7A7D" w:rsidRPr="00FB38E1" w14:paraId="66224900" w14:textId="77777777" w:rsidTr="00667438">
        <w:tc>
          <w:tcPr>
            <w:tcW w:w="2271" w:type="pct"/>
            <w:gridSpan w:val="2"/>
            <w:tcBorders>
              <w:top w:val="nil"/>
              <w:bottom w:val="nil"/>
            </w:tcBorders>
            <w:tcMar>
              <w:left w:w="170" w:type="dxa"/>
            </w:tcMar>
            <w:vAlign w:val="bottom"/>
          </w:tcPr>
          <w:p w14:paraId="46EB7919"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Menkul Değerler</w:t>
            </w:r>
          </w:p>
        </w:tc>
        <w:tc>
          <w:tcPr>
            <w:tcW w:w="477" w:type="pct"/>
            <w:tcBorders>
              <w:top w:val="nil"/>
              <w:bottom w:val="nil"/>
            </w:tcBorders>
            <w:vAlign w:val="center"/>
          </w:tcPr>
          <w:p w14:paraId="52918DD8" w14:textId="3ABDF684"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1.978.216</w:t>
            </w:r>
          </w:p>
        </w:tc>
        <w:tc>
          <w:tcPr>
            <w:tcW w:w="742" w:type="pct"/>
            <w:tcBorders>
              <w:top w:val="nil"/>
              <w:bottom w:val="nil"/>
            </w:tcBorders>
            <w:vAlign w:val="center"/>
          </w:tcPr>
          <w:p w14:paraId="34FB8889" w14:textId="34AD2C0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17" w:type="pct"/>
            <w:tcBorders>
              <w:top w:val="nil"/>
              <w:left w:val="nil"/>
              <w:bottom w:val="nil"/>
              <w:right w:val="nil"/>
            </w:tcBorders>
            <w:shd w:val="clear" w:color="auto" w:fill="auto"/>
            <w:vAlign w:val="center"/>
          </w:tcPr>
          <w:p w14:paraId="30B1CD48" w14:textId="34C3A05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93" w:type="pct"/>
            <w:tcBorders>
              <w:top w:val="nil"/>
              <w:bottom w:val="nil"/>
            </w:tcBorders>
            <w:vAlign w:val="center"/>
          </w:tcPr>
          <w:p w14:paraId="301D1102" w14:textId="62DC1219" w:rsidR="003B7A7D" w:rsidRPr="00FB38E1" w:rsidRDefault="003B7A7D" w:rsidP="003B7A7D">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1.978.216</w:t>
            </w:r>
          </w:p>
        </w:tc>
      </w:tr>
      <w:tr w:rsidR="003B7A7D" w:rsidRPr="00FB38E1" w14:paraId="34FA373E" w14:textId="77777777" w:rsidTr="00667438">
        <w:tc>
          <w:tcPr>
            <w:tcW w:w="2271" w:type="pct"/>
            <w:gridSpan w:val="2"/>
            <w:tcBorders>
              <w:top w:val="nil"/>
              <w:bottom w:val="nil"/>
            </w:tcBorders>
            <w:vAlign w:val="bottom"/>
          </w:tcPr>
          <w:p w14:paraId="4C576595"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Türev Finansal Varlıkların Gerçeğe Uygun Değer Farkı Kar Zarara Yansıtılan Kısmı</w:t>
            </w:r>
          </w:p>
        </w:tc>
        <w:tc>
          <w:tcPr>
            <w:tcW w:w="477" w:type="pct"/>
            <w:tcBorders>
              <w:top w:val="nil"/>
              <w:bottom w:val="nil"/>
            </w:tcBorders>
            <w:vAlign w:val="center"/>
          </w:tcPr>
          <w:p w14:paraId="4FE0E423" w14:textId="7028A362"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color w:val="404040"/>
                <w:sz w:val="14"/>
                <w:szCs w:val="14"/>
              </w:rPr>
              <w:t>--</w:t>
            </w:r>
          </w:p>
        </w:tc>
        <w:tc>
          <w:tcPr>
            <w:tcW w:w="742" w:type="pct"/>
            <w:tcBorders>
              <w:top w:val="nil"/>
              <w:bottom w:val="nil"/>
            </w:tcBorders>
            <w:vAlign w:val="center"/>
          </w:tcPr>
          <w:p w14:paraId="019CF8D9" w14:textId="3A0965E6"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color w:val="404040"/>
                <w:sz w:val="14"/>
                <w:szCs w:val="14"/>
              </w:rPr>
              <w:t>8.044.143</w:t>
            </w:r>
          </w:p>
        </w:tc>
        <w:tc>
          <w:tcPr>
            <w:tcW w:w="817" w:type="pct"/>
            <w:tcBorders>
              <w:top w:val="nil"/>
              <w:left w:val="nil"/>
              <w:bottom w:val="nil"/>
              <w:right w:val="nil"/>
            </w:tcBorders>
            <w:shd w:val="clear" w:color="auto" w:fill="auto"/>
            <w:vAlign w:val="center"/>
          </w:tcPr>
          <w:p w14:paraId="7E03400B" w14:textId="77777777" w:rsidR="003B7A7D" w:rsidRPr="00FB38E1" w:rsidRDefault="003B7A7D" w:rsidP="003B7A7D">
            <w:pPr>
              <w:jc w:val="right"/>
              <w:rPr>
                <w:rFonts w:ascii="Microsoft Sans Serif" w:hAnsi="Microsoft Sans Serif" w:cs="Microsoft Sans Serif"/>
                <w:sz w:val="14"/>
                <w:szCs w:val="14"/>
              </w:rPr>
            </w:pPr>
          </w:p>
        </w:tc>
        <w:tc>
          <w:tcPr>
            <w:tcW w:w="693" w:type="pct"/>
            <w:tcBorders>
              <w:top w:val="nil"/>
              <w:bottom w:val="nil"/>
            </w:tcBorders>
            <w:vAlign w:val="center"/>
          </w:tcPr>
          <w:p w14:paraId="5DBCF46F" w14:textId="5C43D9DF" w:rsidR="003B7A7D" w:rsidRPr="00FB38E1" w:rsidRDefault="003B7A7D" w:rsidP="003B7A7D">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8.044.143</w:t>
            </w:r>
          </w:p>
        </w:tc>
      </w:tr>
      <w:tr w:rsidR="003B7A7D" w:rsidRPr="00FB38E1" w14:paraId="5877CC1F" w14:textId="77777777" w:rsidTr="00667438">
        <w:tc>
          <w:tcPr>
            <w:tcW w:w="2271" w:type="pct"/>
            <w:gridSpan w:val="2"/>
            <w:tcBorders>
              <w:top w:val="nil"/>
              <w:bottom w:val="nil"/>
            </w:tcBorders>
            <w:vAlign w:val="bottom"/>
          </w:tcPr>
          <w:p w14:paraId="7E261518"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Gerçeğe Uygun Değer Farkı Diğer Kapsamlı Gelire Yansıtılan Finansal Varlıklar</w:t>
            </w:r>
          </w:p>
        </w:tc>
        <w:tc>
          <w:tcPr>
            <w:tcW w:w="477" w:type="pct"/>
            <w:tcBorders>
              <w:top w:val="nil"/>
              <w:bottom w:val="nil"/>
            </w:tcBorders>
            <w:vAlign w:val="center"/>
          </w:tcPr>
          <w:p w14:paraId="1604362D" w14:textId="4BB64D87"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87.421.181</w:t>
            </w:r>
          </w:p>
        </w:tc>
        <w:tc>
          <w:tcPr>
            <w:tcW w:w="742" w:type="pct"/>
            <w:tcBorders>
              <w:top w:val="nil"/>
              <w:bottom w:val="nil"/>
            </w:tcBorders>
            <w:vAlign w:val="center"/>
          </w:tcPr>
          <w:p w14:paraId="3A9F2AF3" w14:textId="5A0415D6"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817" w:type="pct"/>
            <w:tcBorders>
              <w:top w:val="nil"/>
              <w:left w:val="nil"/>
              <w:bottom w:val="nil"/>
              <w:right w:val="nil"/>
            </w:tcBorders>
            <w:shd w:val="clear" w:color="auto" w:fill="auto"/>
            <w:vAlign w:val="center"/>
          </w:tcPr>
          <w:p w14:paraId="073F7483" w14:textId="001D6C8A" w:rsidR="003B7A7D" w:rsidRPr="00FB38E1" w:rsidRDefault="003B7A7D" w:rsidP="003B7A7D">
            <w:pPr>
              <w:jc w:val="right"/>
              <w:rPr>
                <w:rFonts w:ascii="Microsoft Sans Serif" w:hAnsi="Microsoft Sans Serif" w:cs="Microsoft Sans Serif"/>
                <w:sz w:val="14"/>
                <w:szCs w:val="14"/>
              </w:rPr>
            </w:pPr>
            <w:r w:rsidRPr="00FB38E1">
              <w:rPr>
                <w:rFonts w:ascii="Microsoft Sans Serif" w:hAnsi="Microsoft Sans Serif" w:cs="Microsoft Sans Serif"/>
                <w:sz w:val="14"/>
                <w:szCs w:val="14"/>
              </w:rPr>
              <w:t>--</w:t>
            </w:r>
          </w:p>
        </w:tc>
        <w:tc>
          <w:tcPr>
            <w:tcW w:w="693" w:type="pct"/>
            <w:tcBorders>
              <w:top w:val="nil"/>
              <w:bottom w:val="nil"/>
            </w:tcBorders>
            <w:vAlign w:val="center"/>
          </w:tcPr>
          <w:p w14:paraId="28657CF7" w14:textId="4DF361AE" w:rsidR="003B7A7D" w:rsidRPr="00FB38E1" w:rsidRDefault="003B7A7D" w:rsidP="003B7A7D">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87.421.181</w:t>
            </w:r>
          </w:p>
        </w:tc>
      </w:tr>
      <w:tr w:rsidR="003B7A7D" w:rsidRPr="00FB38E1" w14:paraId="7B4E7ACC" w14:textId="77777777" w:rsidTr="00667438">
        <w:tc>
          <w:tcPr>
            <w:tcW w:w="2271" w:type="pct"/>
            <w:gridSpan w:val="2"/>
            <w:tcBorders>
              <w:top w:val="nil"/>
              <w:bottom w:val="nil"/>
            </w:tcBorders>
            <w:tcMar>
              <w:left w:w="170" w:type="dxa"/>
            </w:tcMar>
            <w:vAlign w:val="bottom"/>
          </w:tcPr>
          <w:p w14:paraId="06DEAA8A"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Devlet Borçlanma Senetleri</w:t>
            </w:r>
          </w:p>
        </w:tc>
        <w:tc>
          <w:tcPr>
            <w:tcW w:w="477" w:type="pct"/>
            <w:tcBorders>
              <w:top w:val="nil"/>
              <w:bottom w:val="nil"/>
            </w:tcBorders>
            <w:vAlign w:val="center"/>
          </w:tcPr>
          <w:p w14:paraId="27412B7A" w14:textId="04AF32F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85.324.926</w:t>
            </w:r>
          </w:p>
        </w:tc>
        <w:tc>
          <w:tcPr>
            <w:tcW w:w="742" w:type="pct"/>
            <w:tcBorders>
              <w:top w:val="nil"/>
              <w:bottom w:val="nil"/>
            </w:tcBorders>
            <w:vAlign w:val="center"/>
          </w:tcPr>
          <w:p w14:paraId="0A2DBBC5" w14:textId="0EE3463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17" w:type="pct"/>
            <w:tcBorders>
              <w:top w:val="nil"/>
              <w:left w:val="nil"/>
              <w:bottom w:val="nil"/>
              <w:right w:val="nil"/>
            </w:tcBorders>
            <w:shd w:val="clear" w:color="auto" w:fill="auto"/>
            <w:vAlign w:val="center"/>
          </w:tcPr>
          <w:p w14:paraId="17891CE1" w14:textId="607285A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93" w:type="pct"/>
            <w:tcBorders>
              <w:top w:val="nil"/>
              <w:bottom w:val="nil"/>
            </w:tcBorders>
            <w:vAlign w:val="center"/>
          </w:tcPr>
          <w:p w14:paraId="0225B2F1" w14:textId="4A1E9B6F" w:rsidR="003B7A7D" w:rsidRPr="00FB38E1" w:rsidRDefault="003B7A7D" w:rsidP="003B7A7D">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85.324.926</w:t>
            </w:r>
          </w:p>
        </w:tc>
      </w:tr>
      <w:tr w:rsidR="003B7A7D" w:rsidRPr="00FB38E1" w14:paraId="7AB9C1BF" w14:textId="77777777" w:rsidTr="00667438">
        <w:tc>
          <w:tcPr>
            <w:tcW w:w="2271" w:type="pct"/>
            <w:gridSpan w:val="2"/>
            <w:tcBorders>
              <w:top w:val="nil"/>
              <w:bottom w:val="nil"/>
            </w:tcBorders>
            <w:tcMar>
              <w:left w:w="170" w:type="dxa"/>
            </w:tcMar>
            <w:vAlign w:val="bottom"/>
          </w:tcPr>
          <w:p w14:paraId="0CC9ED9C"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Diğer Menkul Değerler</w:t>
            </w:r>
          </w:p>
        </w:tc>
        <w:tc>
          <w:tcPr>
            <w:tcW w:w="477" w:type="pct"/>
            <w:tcBorders>
              <w:top w:val="nil"/>
              <w:bottom w:val="nil"/>
            </w:tcBorders>
            <w:vAlign w:val="center"/>
          </w:tcPr>
          <w:p w14:paraId="39AD29B4" w14:textId="439F67D4"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2.096.255</w:t>
            </w:r>
          </w:p>
        </w:tc>
        <w:tc>
          <w:tcPr>
            <w:tcW w:w="742" w:type="pct"/>
            <w:tcBorders>
              <w:top w:val="nil"/>
              <w:bottom w:val="nil"/>
            </w:tcBorders>
            <w:vAlign w:val="center"/>
          </w:tcPr>
          <w:p w14:paraId="4325A26D" w14:textId="394C30C4"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17" w:type="pct"/>
            <w:tcBorders>
              <w:top w:val="nil"/>
              <w:left w:val="nil"/>
              <w:bottom w:val="nil"/>
              <w:right w:val="nil"/>
            </w:tcBorders>
            <w:shd w:val="clear" w:color="auto" w:fill="auto"/>
            <w:vAlign w:val="center"/>
          </w:tcPr>
          <w:p w14:paraId="15D506BE" w14:textId="4A8FD77F"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93" w:type="pct"/>
            <w:tcBorders>
              <w:top w:val="nil"/>
              <w:bottom w:val="nil"/>
            </w:tcBorders>
            <w:vAlign w:val="center"/>
          </w:tcPr>
          <w:p w14:paraId="28706404" w14:textId="5511A8ED" w:rsidR="003B7A7D" w:rsidRPr="00FB38E1" w:rsidRDefault="003B7A7D" w:rsidP="003B7A7D">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2.096.255</w:t>
            </w:r>
          </w:p>
        </w:tc>
      </w:tr>
      <w:tr w:rsidR="003B7A7D" w:rsidRPr="00FB38E1" w14:paraId="53DBE324" w14:textId="77777777" w:rsidTr="00667438">
        <w:tc>
          <w:tcPr>
            <w:tcW w:w="2271" w:type="pct"/>
            <w:gridSpan w:val="2"/>
            <w:tcBorders>
              <w:top w:val="nil"/>
              <w:bottom w:val="single" w:sz="6" w:space="0" w:color="auto"/>
            </w:tcBorders>
            <w:vAlign w:val="bottom"/>
          </w:tcPr>
          <w:p w14:paraId="434AA37D"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Gerçeğe Uygun Değer Farkı Kar Zarara Yansıtılan Krediler</w:t>
            </w:r>
          </w:p>
        </w:tc>
        <w:tc>
          <w:tcPr>
            <w:tcW w:w="477" w:type="pct"/>
            <w:tcBorders>
              <w:top w:val="nil"/>
              <w:bottom w:val="single" w:sz="6" w:space="0" w:color="auto"/>
            </w:tcBorders>
            <w:vAlign w:val="center"/>
          </w:tcPr>
          <w:p w14:paraId="216EC9DB" w14:textId="553BFC7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42" w:type="pct"/>
            <w:tcBorders>
              <w:top w:val="nil"/>
              <w:bottom w:val="single" w:sz="6" w:space="0" w:color="auto"/>
            </w:tcBorders>
            <w:vAlign w:val="center"/>
          </w:tcPr>
          <w:p w14:paraId="32428910" w14:textId="205E753C"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817" w:type="pct"/>
            <w:tcBorders>
              <w:top w:val="nil"/>
              <w:left w:val="nil"/>
              <w:bottom w:val="single" w:sz="6" w:space="0" w:color="auto"/>
              <w:right w:val="nil"/>
            </w:tcBorders>
            <w:shd w:val="clear" w:color="auto" w:fill="auto"/>
            <w:vAlign w:val="center"/>
          </w:tcPr>
          <w:p w14:paraId="3D90EEA0" w14:textId="1E7B5A11"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93" w:type="pct"/>
            <w:tcBorders>
              <w:top w:val="nil"/>
              <w:bottom w:val="single" w:sz="6" w:space="0" w:color="auto"/>
            </w:tcBorders>
            <w:vAlign w:val="center"/>
          </w:tcPr>
          <w:p w14:paraId="7C1F325C" w14:textId="5A8617A1" w:rsidR="003B7A7D" w:rsidRPr="00FB38E1" w:rsidRDefault="003B7A7D" w:rsidP="003B7A7D">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color w:val="404040"/>
                <w:sz w:val="14"/>
                <w:szCs w:val="14"/>
              </w:rPr>
              <w:t>--</w:t>
            </w:r>
          </w:p>
        </w:tc>
      </w:tr>
      <w:tr w:rsidR="003B7A7D" w:rsidRPr="00FB38E1" w14:paraId="26F0F3CC" w14:textId="77777777" w:rsidTr="00667438">
        <w:trPr>
          <w:trHeight w:val="42"/>
        </w:trPr>
        <w:tc>
          <w:tcPr>
            <w:tcW w:w="2271" w:type="pct"/>
            <w:gridSpan w:val="2"/>
            <w:tcBorders>
              <w:top w:val="single" w:sz="6" w:space="0" w:color="auto"/>
              <w:bottom w:val="nil"/>
            </w:tcBorders>
            <w:vAlign w:val="bottom"/>
          </w:tcPr>
          <w:p w14:paraId="35A5AF53" w14:textId="77777777" w:rsidR="003B7A7D" w:rsidRPr="00FB38E1" w:rsidRDefault="003B7A7D" w:rsidP="003B7A7D">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 Varlıklar</w:t>
            </w:r>
          </w:p>
        </w:tc>
        <w:tc>
          <w:tcPr>
            <w:tcW w:w="477" w:type="pct"/>
            <w:tcBorders>
              <w:top w:val="single" w:sz="6" w:space="0" w:color="auto"/>
              <w:bottom w:val="nil"/>
            </w:tcBorders>
            <w:vAlign w:val="center"/>
          </w:tcPr>
          <w:p w14:paraId="3043D56D" w14:textId="335CA15B" w:rsidR="003B7A7D" w:rsidRPr="00FB38E1" w:rsidRDefault="003B7A7D" w:rsidP="003B7A7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92.723.556</w:t>
            </w:r>
          </w:p>
        </w:tc>
        <w:tc>
          <w:tcPr>
            <w:tcW w:w="742" w:type="pct"/>
            <w:tcBorders>
              <w:top w:val="single" w:sz="6" w:space="0" w:color="auto"/>
              <w:bottom w:val="nil"/>
            </w:tcBorders>
            <w:vAlign w:val="center"/>
          </w:tcPr>
          <w:p w14:paraId="355F7B02" w14:textId="373E04B2" w:rsidR="003B7A7D" w:rsidRPr="00FB38E1" w:rsidRDefault="003B7A7D" w:rsidP="003B7A7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8.044.143</w:t>
            </w:r>
          </w:p>
        </w:tc>
        <w:tc>
          <w:tcPr>
            <w:tcW w:w="817" w:type="pct"/>
            <w:tcBorders>
              <w:top w:val="single" w:sz="6" w:space="0" w:color="auto"/>
              <w:left w:val="nil"/>
              <w:bottom w:val="nil"/>
              <w:right w:val="nil"/>
            </w:tcBorders>
            <w:shd w:val="clear" w:color="auto" w:fill="auto"/>
            <w:vAlign w:val="center"/>
          </w:tcPr>
          <w:p w14:paraId="2AFECF59" w14:textId="775622F3" w:rsidR="003B7A7D" w:rsidRPr="00FB38E1" w:rsidRDefault="003B7A7D" w:rsidP="003B7A7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693" w:type="pct"/>
            <w:tcBorders>
              <w:top w:val="single" w:sz="6" w:space="0" w:color="auto"/>
              <w:bottom w:val="nil"/>
            </w:tcBorders>
            <w:vAlign w:val="center"/>
          </w:tcPr>
          <w:p w14:paraId="0C655816" w14:textId="7AD125AF" w:rsidR="003B7A7D" w:rsidRPr="00FB38E1" w:rsidRDefault="003B7A7D" w:rsidP="003B7A7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100.767.699</w:t>
            </w:r>
          </w:p>
        </w:tc>
      </w:tr>
      <w:tr w:rsidR="003B7A7D" w:rsidRPr="00FB38E1" w14:paraId="64CBEB65" w14:textId="77777777" w:rsidTr="00667438">
        <w:trPr>
          <w:trHeight w:val="57"/>
        </w:trPr>
        <w:tc>
          <w:tcPr>
            <w:tcW w:w="2271" w:type="pct"/>
            <w:gridSpan w:val="2"/>
            <w:tcBorders>
              <w:top w:val="nil"/>
              <w:bottom w:val="nil"/>
            </w:tcBorders>
            <w:vAlign w:val="bottom"/>
          </w:tcPr>
          <w:p w14:paraId="04C5AE9B" w14:textId="77777777" w:rsidR="003B7A7D" w:rsidRPr="00FB38E1" w:rsidRDefault="003B7A7D" w:rsidP="003B7A7D">
            <w:pPr>
              <w:rPr>
                <w:rFonts w:ascii="Microsoft Sans Serif" w:hAnsi="Microsoft Sans Serif" w:cs="Microsoft Sans Serif"/>
                <w:color w:val="404040" w:themeColor="text1" w:themeTint="BF"/>
                <w:sz w:val="14"/>
                <w:szCs w:val="14"/>
              </w:rPr>
            </w:pPr>
          </w:p>
        </w:tc>
        <w:tc>
          <w:tcPr>
            <w:tcW w:w="477" w:type="pct"/>
            <w:tcBorders>
              <w:top w:val="nil"/>
              <w:bottom w:val="nil"/>
            </w:tcBorders>
            <w:vAlign w:val="center"/>
          </w:tcPr>
          <w:p w14:paraId="2EC82D74" w14:textId="77777777" w:rsidR="003B7A7D" w:rsidRPr="00FB38E1" w:rsidRDefault="003B7A7D" w:rsidP="003B7A7D">
            <w:pPr>
              <w:jc w:val="right"/>
              <w:rPr>
                <w:rFonts w:ascii="Microsoft Sans Serif" w:hAnsi="Microsoft Sans Serif" w:cs="Microsoft Sans Serif"/>
                <w:b/>
                <w:bCs/>
                <w:color w:val="000000"/>
                <w:sz w:val="14"/>
                <w:szCs w:val="14"/>
              </w:rPr>
            </w:pPr>
          </w:p>
        </w:tc>
        <w:tc>
          <w:tcPr>
            <w:tcW w:w="742" w:type="pct"/>
            <w:tcBorders>
              <w:top w:val="nil"/>
              <w:bottom w:val="nil"/>
            </w:tcBorders>
            <w:vAlign w:val="center"/>
          </w:tcPr>
          <w:p w14:paraId="50847702" w14:textId="77777777" w:rsidR="003B7A7D" w:rsidRPr="00FB38E1" w:rsidRDefault="003B7A7D" w:rsidP="003B7A7D">
            <w:pPr>
              <w:jc w:val="right"/>
              <w:rPr>
                <w:sz w:val="14"/>
                <w:szCs w:val="14"/>
              </w:rPr>
            </w:pPr>
          </w:p>
        </w:tc>
        <w:tc>
          <w:tcPr>
            <w:tcW w:w="817" w:type="pct"/>
            <w:tcBorders>
              <w:top w:val="nil"/>
              <w:left w:val="nil"/>
              <w:bottom w:val="nil"/>
              <w:right w:val="nil"/>
            </w:tcBorders>
            <w:shd w:val="clear" w:color="auto" w:fill="auto"/>
            <w:vAlign w:val="center"/>
          </w:tcPr>
          <w:p w14:paraId="04D66697" w14:textId="77777777" w:rsidR="003B7A7D" w:rsidRPr="00FB38E1" w:rsidRDefault="003B7A7D" w:rsidP="003B7A7D">
            <w:pPr>
              <w:jc w:val="right"/>
              <w:rPr>
                <w:sz w:val="14"/>
                <w:szCs w:val="14"/>
              </w:rPr>
            </w:pPr>
          </w:p>
        </w:tc>
        <w:tc>
          <w:tcPr>
            <w:tcW w:w="693" w:type="pct"/>
            <w:tcBorders>
              <w:top w:val="nil"/>
              <w:bottom w:val="nil"/>
            </w:tcBorders>
            <w:vAlign w:val="center"/>
          </w:tcPr>
          <w:p w14:paraId="302A60AF" w14:textId="77777777" w:rsidR="003B7A7D" w:rsidRPr="00FB38E1" w:rsidRDefault="003B7A7D" w:rsidP="003B7A7D">
            <w:pPr>
              <w:jc w:val="right"/>
              <w:rPr>
                <w:sz w:val="14"/>
                <w:szCs w:val="14"/>
              </w:rPr>
            </w:pPr>
          </w:p>
        </w:tc>
      </w:tr>
      <w:tr w:rsidR="003B7A7D" w:rsidRPr="00FB38E1" w14:paraId="3C823D7A" w14:textId="77777777" w:rsidTr="00667438">
        <w:tc>
          <w:tcPr>
            <w:tcW w:w="2271" w:type="pct"/>
            <w:gridSpan w:val="2"/>
            <w:tcBorders>
              <w:top w:val="nil"/>
              <w:bottom w:val="nil"/>
            </w:tcBorders>
            <w:vAlign w:val="bottom"/>
          </w:tcPr>
          <w:p w14:paraId="7E126904" w14:textId="77777777" w:rsidR="003B7A7D" w:rsidRPr="00FB38E1" w:rsidRDefault="003B7A7D" w:rsidP="003B7A7D">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Alım Satım Amaçlı Türev Finansal Borçlar</w:t>
            </w:r>
          </w:p>
        </w:tc>
        <w:tc>
          <w:tcPr>
            <w:tcW w:w="477" w:type="pct"/>
            <w:tcBorders>
              <w:top w:val="nil"/>
              <w:bottom w:val="nil"/>
            </w:tcBorders>
            <w:vAlign w:val="center"/>
          </w:tcPr>
          <w:p w14:paraId="2353AACD" w14:textId="3BF74B02"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742" w:type="pct"/>
            <w:tcBorders>
              <w:top w:val="nil"/>
              <w:bottom w:val="nil"/>
            </w:tcBorders>
            <w:vAlign w:val="center"/>
          </w:tcPr>
          <w:p w14:paraId="5BCC471F" w14:textId="001BD195"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2.846.365</w:t>
            </w:r>
          </w:p>
        </w:tc>
        <w:tc>
          <w:tcPr>
            <w:tcW w:w="817" w:type="pct"/>
            <w:tcBorders>
              <w:top w:val="nil"/>
              <w:left w:val="nil"/>
              <w:bottom w:val="nil"/>
              <w:right w:val="nil"/>
            </w:tcBorders>
            <w:shd w:val="clear" w:color="auto" w:fill="auto"/>
            <w:vAlign w:val="center"/>
          </w:tcPr>
          <w:p w14:paraId="46D1697F" w14:textId="394501E3" w:rsidR="003B7A7D" w:rsidRPr="00FB38E1" w:rsidRDefault="003B7A7D" w:rsidP="003B7A7D">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693" w:type="pct"/>
            <w:tcBorders>
              <w:top w:val="nil"/>
              <w:bottom w:val="nil"/>
            </w:tcBorders>
            <w:vAlign w:val="center"/>
          </w:tcPr>
          <w:p w14:paraId="6AC902ED" w14:textId="160127E7" w:rsidR="003B7A7D" w:rsidRPr="00FB38E1" w:rsidRDefault="003B7A7D" w:rsidP="003B7A7D">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2.846.365</w:t>
            </w:r>
          </w:p>
        </w:tc>
      </w:tr>
      <w:tr w:rsidR="003B7A7D" w:rsidRPr="00FB38E1" w14:paraId="5DDF0C78" w14:textId="77777777" w:rsidTr="00667438">
        <w:tc>
          <w:tcPr>
            <w:tcW w:w="2271" w:type="pct"/>
            <w:gridSpan w:val="2"/>
            <w:tcBorders>
              <w:top w:val="single" w:sz="6" w:space="0" w:color="auto"/>
              <w:bottom w:val="thickThinSmallGap" w:sz="24" w:space="0" w:color="auto"/>
            </w:tcBorders>
            <w:vAlign w:val="bottom"/>
          </w:tcPr>
          <w:p w14:paraId="6B7D4311" w14:textId="77777777" w:rsidR="003B7A7D" w:rsidRPr="00FB38E1" w:rsidRDefault="003B7A7D" w:rsidP="003B7A7D">
            <w:pPr>
              <w:rPr>
                <w:rFonts w:ascii="Microsoft Sans Serif" w:hAnsi="Microsoft Sans Serif" w:cs="Microsoft Sans Serif"/>
                <w:b/>
                <w:sz w:val="14"/>
                <w:szCs w:val="14"/>
              </w:rPr>
            </w:pPr>
            <w:r w:rsidRPr="00FB38E1">
              <w:rPr>
                <w:rFonts w:ascii="Microsoft Sans Serif" w:hAnsi="Microsoft Sans Serif" w:cs="Microsoft Sans Serif"/>
                <w:b/>
                <w:sz w:val="14"/>
                <w:szCs w:val="14"/>
              </w:rPr>
              <w:t>Toplam Yükümlülükler</w:t>
            </w:r>
          </w:p>
        </w:tc>
        <w:tc>
          <w:tcPr>
            <w:tcW w:w="477" w:type="pct"/>
            <w:tcBorders>
              <w:top w:val="single" w:sz="6" w:space="0" w:color="auto"/>
              <w:bottom w:val="thickThinSmallGap" w:sz="24" w:space="0" w:color="auto"/>
            </w:tcBorders>
            <w:vAlign w:val="center"/>
          </w:tcPr>
          <w:p w14:paraId="3F82C389" w14:textId="3B07E03C" w:rsidR="003B7A7D" w:rsidRPr="00FB38E1" w:rsidRDefault="003B7A7D" w:rsidP="003B7A7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742" w:type="pct"/>
            <w:tcBorders>
              <w:top w:val="single" w:sz="6" w:space="0" w:color="auto"/>
              <w:bottom w:val="thickThinSmallGap" w:sz="24" w:space="0" w:color="auto"/>
            </w:tcBorders>
            <w:vAlign w:val="center"/>
          </w:tcPr>
          <w:p w14:paraId="16942907" w14:textId="78DDE1C6" w:rsidR="003B7A7D" w:rsidRPr="00FB38E1" w:rsidRDefault="003B7A7D" w:rsidP="003B7A7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2.846.365</w:t>
            </w:r>
          </w:p>
        </w:tc>
        <w:tc>
          <w:tcPr>
            <w:tcW w:w="817" w:type="pct"/>
            <w:tcBorders>
              <w:top w:val="single" w:sz="6" w:space="0" w:color="auto"/>
              <w:bottom w:val="thickThinSmallGap" w:sz="24" w:space="0" w:color="auto"/>
            </w:tcBorders>
            <w:vAlign w:val="center"/>
          </w:tcPr>
          <w:p w14:paraId="4CF6A53E" w14:textId="60C98D6A" w:rsidR="003B7A7D" w:rsidRPr="00FB38E1" w:rsidRDefault="003B7A7D" w:rsidP="003B7A7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693" w:type="pct"/>
            <w:tcBorders>
              <w:top w:val="single" w:sz="6" w:space="0" w:color="auto"/>
              <w:bottom w:val="thickThinSmallGap" w:sz="24" w:space="0" w:color="auto"/>
            </w:tcBorders>
            <w:vAlign w:val="center"/>
          </w:tcPr>
          <w:p w14:paraId="2D2E221A" w14:textId="3824197C" w:rsidR="003B7A7D" w:rsidRPr="00FB38E1" w:rsidRDefault="003B7A7D" w:rsidP="003B7A7D">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2.846.365</w:t>
            </w:r>
          </w:p>
        </w:tc>
      </w:tr>
    </w:tbl>
    <w:p w14:paraId="50EE4D4E" w14:textId="77777777" w:rsidR="00E036D3" w:rsidRPr="00FB38E1" w:rsidRDefault="00E036D3" w:rsidP="00E036D3">
      <w:pPr>
        <w:tabs>
          <w:tab w:val="left" w:pos="709"/>
        </w:tabs>
        <w:spacing w:after="0" w:line="220" w:lineRule="exact"/>
        <w:rPr>
          <w:rFonts w:ascii="Microsoft Sans Serif" w:hAnsi="Microsoft Sans Serif" w:cs="Microsoft Sans Serif"/>
          <w:sz w:val="14"/>
          <w:szCs w:val="14"/>
        </w:rPr>
      </w:pPr>
      <w:r w:rsidRPr="00FB38E1">
        <w:rPr>
          <w:rFonts w:ascii="Microsoft Sans Serif" w:hAnsi="Microsoft Sans Serif" w:cs="Microsoft Sans Serif"/>
          <w:b/>
          <w:sz w:val="14"/>
          <w:szCs w:val="14"/>
        </w:rPr>
        <w:t>1.Seviye:</w:t>
      </w:r>
      <w:r w:rsidRPr="00FB38E1">
        <w:rPr>
          <w:rFonts w:ascii="Microsoft Sans Serif" w:hAnsi="Microsoft Sans Serif" w:cs="Microsoft Sans Serif"/>
          <w:b/>
          <w:sz w:val="14"/>
          <w:szCs w:val="14"/>
        </w:rPr>
        <w:tab/>
      </w:r>
      <w:r w:rsidRPr="00FB38E1">
        <w:rPr>
          <w:rFonts w:ascii="Microsoft Sans Serif" w:hAnsi="Microsoft Sans Serif" w:cs="Microsoft Sans Serif"/>
          <w:sz w:val="14"/>
          <w:szCs w:val="14"/>
        </w:rPr>
        <w:t>Özdeş varlıklar ya da borçlar için aktif piyasalardaki kayıtlı (düzeltilmemiş) fiyatlar</w:t>
      </w:r>
    </w:p>
    <w:p w14:paraId="611890E3" w14:textId="77777777" w:rsidR="00E036D3" w:rsidRPr="00FB38E1" w:rsidRDefault="00E036D3" w:rsidP="00E036D3">
      <w:pPr>
        <w:spacing w:after="0"/>
        <w:rPr>
          <w:rFonts w:ascii="Microsoft Sans Serif" w:hAnsi="Microsoft Sans Serif" w:cs="Microsoft Sans Serif"/>
          <w:sz w:val="14"/>
          <w:szCs w:val="14"/>
        </w:rPr>
      </w:pPr>
      <w:r w:rsidRPr="00FB38E1">
        <w:rPr>
          <w:rFonts w:ascii="Microsoft Sans Serif" w:hAnsi="Microsoft Sans Serif" w:cs="Microsoft Sans Serif"/>
          <w:b/>
          <w:sz w:val="14"/>
          <w:szCs w:val="14"/>
        </w:rPr>
        <w:t>2.Seviye:</w:t>
      </w:r>
      <w:r w:rsidRPr="00FB38E1">
        <w:rPr>
          <w:rFonts w:ascii="Microsoft Sans Serif" w:hAnsi="Microsoft Sans Serif" w:cs="Microsoft Sans Serif"/>
          <w:sz w:val="14"/>
          <w:szCs w:val="14"/>
        </w:rPr>
        <w:t xml:space="preserve"> 1. Seviyede yer alan kayıtlı fiyatlar dışında kalan ve varlıklar ya da borçlar açısından doğrudan (fiyatlar aracılığıyla) ya da dolaylı olarak (fiyatlardan türetilmek suretiyle) gözlemlenebilir nitelikteki veriler</w:t>
      </w:r>
    </w:p>
    <w:p w14:paraId="067B2F5B" w14:textId="77777777" w:rsidR="00E036D3" w:rsidRPr="00FB38E1" w:rsidRDefault="00E036D3" w:rsidP="00E036D3">
      <w:pPr>
        <w:spacing w:after="0"/>
        <w:rPr>
          <w:rFonts w:ascii="Microsoft Sans Serif" w:hAnsi="Microsoft Sans Serif" w:cs="Microsoft Sans Serif"/>
          <w:sz w:val="14"/>
          <w:szCs w:val="14"/>
        </w:rPr>
      </w:pPr>
      <w:r w:rsidRPr="00FB38E1">
        <w:rPr>
          <w:rFonts w:ascii="Microsoft Sans Serif" w:hAnsi="Microsoft Sans Serif" w:cs="Microsoft Sans Serif"/>
          <w:b/>
          <w:sz w:val="14"/>
          <w:szCs w:val="14"/>
        </w:rPr>
        <w:t>3.Seviye</w:t>
      </w:r>
      <w:r w:rsidRPr="00FB38E1">
        <w:rPr>
          <w:rFonts w:ascii="Microsoft Sans Serif" w:hAnsi="Microsoft Sans Serif" w:cs="Microsoft Sans Serif"/>
          <w:b/>
          <w:sz w:val="14"/>
          <w:szCs w:val="14"/>
        </w:rPr>
        <w:tab/>
        <w:t xml:space="preserve">: </w:t>
      </w:r>
      <w:r w:rsidRPr="00FB38E1">
        <w:rPr>
          <w:rFonts w:ascii="Microsoft Sans Serif" w:hAnsi="Microsoft Sans Serif" w:cs="Microsoft Sans Serif"/>
          <w:sz w:val="14"/>
          <w:szCs w:val="14"/>
        </w:rPr>
        <w:t xml:space="preserve"> Varlık ya da borçlara ilişkin olarak gözlemlenebilir piyasa verilerine dayanmayan veriler</w:t>
      </w:r>
    </w:p>
    <w:p w14:paraId="3ED47633" w14:textId="77777777" w:rsidR="00E036D3" w:rsidRPr="00FB38E1" w:rsidRDefault="00E036D3" w:rsidP="00E036D3">
      <w:pPr>
        <w:spacing w:before="240" w:after="120" w:line="220" w:lineRule="exact"/>
        <w:rPr>
          <w:rFonts w:ascii="Microsoft Sans Serif" w:hAnsi="Microsoft Sans Serif" w:cs="Microsoft Sans Serif"/>
          <w:b/>
          <w:sz w:val="20"/>
          <w:szCs w:val="20"/>
        </w:rPr>
      </w:pPr>
      <w:r w:rsidRPr="00FB38E1">
        <w:rPr>
          <w:rFonts w:ascii="Microsoft Sans Serif" w:hAnsi="Microsoft Sans Serif" w:cs="Microsoft Sans Serif"/>
          <w:b/>
          <w:sz w:val="20"/>
          <w:szCs w:val="20"/>
        </w:rPr>
        <w:t xml:space="preserve">3. Seviye hareket tablosu: </w:t>
      </w:r>
    </w:p>
    <w:tbl>
      <w:tblPr>
        <w:tblStyle w:val="TableGrid"/>
        <w:tblW w:w="9552"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971"/>
        <w:gridCol w:w="2581"/>
      </w:tblGrid>
      <w:tr w:rsidR="00E036D3" w:rsidRPr="00FB38E1" w14:paraId="181245B2" w14:textId="77777777" w:rsidTr="002A2DAA">
        <w:tc>
          <w:tcPr>
            <w:tcW w:w="3649" w:type="pct"/>
            <w:tcBorders>
              <w:top w:val="thinThickSmallGap" w:sz="24" w:space="0" w:color="auto"/>
              <w:bottom w:val="single" w:sz="6" w:space="0" w:color="auto"/>
            </w:tcBorders>
            <w:shd w:val="clear" w:color="auto" w:fill="auto"/>
            <w:vAlign w:val="bottom"/>
          </w:tcPr>
          <w:p w14:paraId="77C74895" w14:textId="77777777" w:rsidR="00E036D3" w:rsidRPr="00FB38E1" w:rsidRDefault="00E036D3" w:rsidP="00836EF2">
            <w:pPr>
              <w:rPr>
                <w:rFonts w:ascii="Microsoft Sans Serif" w:hAnsi="Microsoft Sans Serif" w:cs="Microsoft Sans Serif"/>
                <w:b/>
                <w:bCs/>
                <w:sz w:val="14"/>
                <w:szCs w:val="14"/>
              </w:rPr>
            </w:pPr>
          </w:p>
        </w:tc>
        <w:tc>
          <w:tcPr>
            <w:tcW w:w="1351" w:type="pct"/>
            <w:tcBorders>
              <w:top w:val="thinThickSmallGap" w:sz="24" w:space="0" w:color="auto"/>
              <w:bottom w:val="single" w:sz="6" w:space="0" w:color="auto"/>
            </w:tcBorders>
            <w:shd w:val="clear" w:color="auto" w:fill="auto"/>
            <w:vAlign w:val="bottom"/>
          </w:tcPr>
          <w:p w14:paraId="333875F7" w14:textId="77777777" w:rsidR="00E036D3" w:rsidRPr="00FB38E1" w:rsidRDefault="00E036D3" w:rsidP="00836EF2">
            <w:pPr>
              <w:jc w:val="right"/>
              <w:rPr>
                <w:rFonts w:ascii="Microsoft Sans Serif" w:hAnsi="Microsoft Sans Serif" w:cs="Microsoft Sans Serif"/>
                <w:b/>
                <w:sz w:val="14"/>
                <w:szCs w:val="14"/>
              </w:rPr>
            </w:pPr>
            <w:r w:rsidRPr="00FB38E1">
              <w:rPr>
                <w:rFonts w:ascii="Microsoft Sans Serif" w:hAnsi="Microsoft Sans Serif" w:cs="Microsoft Sans Serif"/>
                <w:b/>
                <w:sz w:val="14"/>
                <w:szCs w:val="14"/>
              </w:rPr>
              <w:t>Cari Dönem</w:t>
            </w:r>
          </w:p>
        </w:tc>
      </w:tr>
      <w:tr w:rsidR="00E036D3" w:rsidRPr="00FB38E1" w14:paraId="2BC92123" w14:textId="77777777" w:rsidTr="002A2DAA">
        <w:tc>
          <w:tcPr>
            <w:tcW w:w="3649" w:type="pct"/>
            <w:tcBorders>
              <w:top w:val="single" w:sz="6" w:space="0" w:color="auto"/>
              <w:bottom w:val="nil"/>
            </w:tcBorders>
            <w:shd w:val="clear" w:color="auto" w:fill="auto"/>
            <w:vAlign w:val="bottom"/>
          </w:tcPr>
          <w:p w14:paraId="100883A6" w14:textId="77777777" w:rsidR="00E036D3" w:rsidRPr="00FB38E1" w:rsidRDefault="00E036D3" w:rsidP="00836EF2">
            <w:pPr>
              <w:rPr>
                <w:rFonts w:ascii="Microsoft Sans Serif" w:hAnsi="Microsoft Sans Serif" w:cs="Microsoft Sans Serif"/>
                <w:b/>
                <w:color w:val="404040" w:themeColor="text1" w:themeTint="BF"/>
                <w:sz w:val="14"/>
                <w:szCs w:val="14"/>
              </w:rPr>
            </w:pPr>
            <w:r w:rsidRPr="00FB38E1">
              <w:rPr>
                <w:rFonts w:ascii="Microsoft Sans Serif" w:hAnsi="Microsoft Sans Serif" w:cs="Microsoft Sans Serif"/>
                <w:b/>
                <w:color w:val="404040" w:themeColor="text1" w:themeTint="BF"/>
                <w:sz w:val="14"/>
                <w:szCs w:val="14"/>
              </w:rPr>
              <w:t>Dönem başındaki bakiye</w:t>
            </w:r>
          </w:p>
        </w:tc>
        <w:tc>
          <w:tcPr>
            <w:tcW w:w="1351" w:type="pct"/>
            <w:tcBorders>
              <w:top w:val="single" w:sz="6" w:space="0" w:color="auto"/>
              <w:bottom w:val="nil"/>
            </w:tcBorders>
            <w:shd w:val="clear" w:color="auto" w:fill="auto"/>
            <w:vAlign w:val="center"/>
          </w:tcPr>
          <w:p w14:paraId="31AF43CF"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b/>
                <w:bCs/>
                <w:color w:val="000000"/>
                <w:sz w:val="14"/>
                <w:szCs w:val="14"/>
              </w:rPr>
              <w:t>--</w:t>
            </w:r>
          </w:p>
        </w:tc>
      </w:tr>
      <w:tr w:rsidR="00E036D3" w:rsidRPr="00FB38E1" w14:paraId="4D65B139" w14:textId="77777777" w:rsidTr="002A2DAA">
        <w:tc>
          <w:tcPr>
            <w:tcW w:w="3649" w:type="pct"/>
            <w:tcBorders>
              <w:top w:val="nil"/>
              <w:bottom w:val="nil"/>
            </w:tcBorders>
            <w:shd w:val="clear" w:color="auto" w:fill="auto"/>
            <w:tcMar>
              <w:left w:w="170" w:type="dxa"/>
            </w:tcMar>
            <w:vAlign w:val="bottom"/>
          </w:tcPr>
          <w:p w14:paraId="5E08F363"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Alışlar</w:t>
            </w:r>
          </w:p>
        </w:tc>
        <w:tc>
          <w:tcPr>
            <w:tcW w:w="1351" w:type="pct"/>
            <w:tcBorders>
              <w:top w:val="nil"/>
              <w:bottom w:val="nil"/>
            </w:tcBorders>
            <w:shd w:val="clear" w:color="auto" w:fill="auto"/>
            <w:vAlign w:val="center"/>
          </w:tcPr>
          <w:p w14:paraId="186DF53C"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55F60421" w14:textId="77777777" w:rsidTr="002A2DAA">
        <w:tc>
          <w:tcPr>
            <w:tcW w:w="3649" w:type="pct"/>
            <w:tcBorders>
              <w:top w:val="nil"/>
              <w:bottom w:val="nil"/>
            </w:tcBorders>
            <w:shd w:val="clear" w:color="auto" w:fill="auto"/>
            <w:tcMar>
              <w:left w:w="170" w:type="dxa"/>
            </w:tcMar>
            <w:vAlign w:val="bottom"/>
          </w:tcPr>
          <w:p w14:paraId="514CBAE9"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Aktiften silinen</w:t>
            </w:r>
          </w:p>
        </w:tc>
        <w:tc>
          <w:tcPr>
            <w:tcW w:w="1351" w:type="pct"/>
            <w:tcBorders>
              <w:top w:val="nil"/>
              <w:bottom w:val="nil"/>
            </w:tcBorders>
            <w:shd w:val="clear" w:color="auto" w:fill="auto"/>
            <w:vAlign w:val="center"/>
          </w:tcPr>
          <w:p w14:paraId="07AB695F"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06D5CEEC" w14:textId="77777777" w:rsidTr="002A2DAA">
        <w:tc>
          <w:tcPr>
            <w:tcW w:w="3649" w:type="pct"/>
            <w:tcBorders>
              <w:top w:val="nil"/>
              <w:bottom w:val="nil"/>
            </w:tcBorders>
            <w:shd w:val="clear" w:color="auto" w:fill="auto"/>
            <w:tcMar>
              <w:left w:w="170" w:type="dxa"/>
            </w:tcMar>
            <w:vAlign w:val="bottom"/>
          </w:tcPr>
          <w:p w14:paraId="5A093CAE"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Değerleme farkı</w:t>
            </w:r>
          </w:p>
        </w:tc>
        <w:tc>
          <w:tcPr>
            <w:tcW w:w="1351" w:type="pct"/>
            <w:tcBorders>
              <w:top w:val="nil"/>
              <w:bottom w:val="nil"/>
            </w:tcBorders>
            <w:shd w:val="clear" w:color="auto" w:fill="auto"/>
            <w:vAlign w:val="center"/>
          </w:tcPr>
          <w:p w14:paraId="2F69BF1F"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581CC233" w14:textId="77777777" w:rsidTr="002A2DAA">
        <w:tc>
          <w:tcPr>
            <w:tcW w:w="3649" w:type="pct"/>
            <w:tcBorders>
              <w:top w:val="nil"/>
              <w:bottom w:val="nil"/>
            </w:tcBorders>
            <w:shd w:val="clear" w:color="auto" w:fill="auto"/>
            <w:tcMar>
              <w:left w:w="170" w:type="dxa"/>
            </w:tcMar>
            <w:vAlign w:val="bottom"/>
          </w:tcPr>
          <w:p w14:paraId="536FF239" w14:textId="77777777" w:rsidR="00E036D3" w:rsidRPr="00FB38E1" w:rsidRDefault="00E036D3" w:rsidP="00836EF2">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Transferler</w:t>
            </w:r>
          </w:p>
        </w:tc>
        <w:tc>
          <w:tcPr>
            <w:tcW w:w="1351" w:type="pct"/>
            <w:tcBorders>
              <w:top w:val="nil"/>
              <w:bottom w:val="nil"/>
            </w:tcBorders>
            <w:shd w:val="clear" w:color="auto" w:fill="auto"/>
            <w:vAlign w:val="center"/>
          </w:tcPr>
          <w:p w14:paraId="08AC6148" w14:textId="77777777" w:rsidR="00E036D3" w:rsidRPr="00FB38E1" w:rsidRDefault="00E036D3"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r>
      <w:tr w:rsidR="00E036D3" w:rsidRPr="00FB38E1" w14:paraId="392D153F" w14:textId="77777777" w:rsidTr="002A2DAA">
        <w:tc>
          <w:tcPr>
            <w:tcW w:w="3649" w:type="pct"/>
            <w:tcBorders>
              <w:top w:val="single" w:sz="6" w:space="0" w:color="auto"/>
              <w:bottom w:val="thickThinSmallGap" w:sz="24" w:space="0" w:color="auto"/>
            </w:tcBorders>
            <w:shd w:val="clear" w:color="auto" w:fill="auto"/>
            <w:vAlign w:val="bottom"/>
          </w:tcPr>
          <w:p w14:paraId="6252FD76" w14:textId="77777777" w:rsidR="00E036D3" w:rsidRPr="00FB38E1" w:rsidRDefault="00E036D3" w:rsidP="00836EF2">
            <w:pPr>
              <w:rPr>
                <w:rFonts w:ascii="Microsoft Sans Serif" w:hAnsi="Microsoft Sans Serif" w:cs="Microsoft Sans Serif"/>
                <w:b/>
                <w:sz w:val="14"/>
                <w:szCs w:val="14"/>
              </w:rPr>
            </w:pPr>
            <w:r w:rsidRPr="00FB38E1">
              <w:rPr>
                <w:rFonts w:ascii="Microsoft Sans Serif" w:hAnsi="Microsoft Sans Serif" w:cs="Microsoft Sans Serif"/>
                <w:b/>
                <w:sz w:val="14"/>
                <w:szCs w:val="14"/>
              </w:rPr>
              <w:t>Dönem sonu bakiye</w:t>
            </w:r>
          </w:p>
        </w:tc>
        <w:tc>
          <w:tcPr>
            <w:tcW w:w="1351" w:type="pct"/>
            <w:tcBorders>
              <w:top w:val="single" w:sz="6" w:space="0" w:color="auto"/>
              <w:bottom w:val="thickThinSmallGap" w:sz="24" w:space="0" w:color="auto"/>
            </w:tcBorders>
            <w:shd w:val="clear" w:color="auto" w:fill="auto"/>
            <w:vAlign w:val="center"/>
          </w:tcPr>
          <w:p w14:paraId="24D27707" w14:textId="77777777" w:rsidR="00E036D3" w:rsidRPr="00FB38E1" w:rsidRDefault="00E036D3"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bl>
    <w:p w14:paraId="1194D33A" w14:textId="77777777" w:rsidR="00E036D3" w:rsidRPr="00FB38E1" w:rsidRDefault="00E036D3" w:rsidP="00E036D3">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Başkalarının nam ve hesabına yapılan işlemler, inanca dayalı işlemlere ilişkin açıklamalar</w:t>
      </w:r>
    </w:p>
    <w:p w14:paraId="15781A89" w14:textId="77777777" w:rsidR="00E036D3" w:rsidRPr="00FB38E1" w:rsidRDefault="00E036D3" w:rsidP="00364B59">
      <w:pPr>
        <w:pStyle w:val="ListParagraph"/>
        <w:numPr>
          <w:ilvl w:val="0"/>
          <w:numId w:val="53"/>
        </w:numPr>
        <w:spacing w:before="120" w:after="120" w:line="240" w:lineRule="exact"/>
        <w:ind w:left="0" w:hanging="567"/>
        <w:contextualSpacing w:val="0"/>
        <w:rPr>
          <w:b/>
        </w:rPr>
      </w:pPr>
      <w:r w:rsidRPr="00FB38E1">
        <w:rPr>
          <w:rFonts w:ascii="Microsoft Sans Serif" w:hAnsi="Microsoft Sans Serif" w:cs="Microsoft Sans Serif"/>
          <w:b/>
          <w:sz w:val="20"/>
          <w:szCs w:val="20"/>
        </w:rPr>
        <w:t>Banka’nın başkalarının nam ve hesabına alım, satım, saklama, yönetim ve danışmanlık hizmetleri verip vermediği</w:t>
      </w:r>
    </w:p>
    <w:p w14:paraId="3B9EB1AB" w14:textId="77777777" w:rsidR="00E036D3" w:rsidRPr="00FB38E1" w:rsidRDefault="00E036D3" w:rsidP="00E036D3">
      <w:pPr>
        <w:pStyle w:val="ListParagraph"/>
        <w:spacing w:before="120" w:after="0" w:line="220" w:lineRule="exact"/>
        <w:ind w:left="0"/>
        <w:contextualSpacing w:val="0"/>
      </w:pPr>
      <w:r w:rsidRPr="00FB38E1">
        <w:rPr>
          <w:rFonts w:ascii="Microsoft Sans Serif" w:hAnsi="Microsoft Sans Serif" w:cs="Microsoft Sans Serif"/>
          <w:color w:val="404040" w:themeColor="text1" w:themeTint="BF"/>
          <w:sz w:val="20"/>
          <w:szCs w:val="20"/>
        </w:rPr>
        <w:t>Banka başkalarının nam ve hesabına alım, satım, saklama, yönetim ve danışmanlık hizmetleri vermektedir.</w:t>
      </w:r>
    </w:p>
    <w:p w14:paraId="5212B3ED" w14:textId="77777777" w:rsidR="00E036D3" w:rsidRPr="00FB38E1" w:rsidRDefault="00E036D3" w:rsidP="00364B59">
      <w:pPr>
        <w:pStyle w:val="ListParagraph"/>
        <w:numPr>
          <w:ilvl w:val="0"/>
          <w:numId w:val="53"/>
        </w:numPr>
        <w:spacing w:before="120" w:after="120" w:line="240" w:lineRule="exact"/>
        <w:ind w:left="0" w:hanging="567"/>
        <w:contextualSpacing w:val="0"/>
        <w:rPr>
          <w:b/>
        </w:rPr>
      </w:pPr>
      <w:r w:rsidRPr="00FB38E1">
        <w:rPr>
          <w:rFonts w:ascii="Microsoft Sans Serif" w:hAnsi="Microsoft Sans Serif" w:cs="Microsoft Sans Serif"/>
          <w:b/>
          <w:sz w:val="20"/>
          <w:szCs w:val="20"/>
        </w:rPr>
        <w:t>İnanca dayalı işlem sözleşmeleri kapsamında diğer finansal kurumlarla yapılan işlemlerin, bu kapsamda doğrudan verilen finansal hizmetlerin bulunup bulunmadığı, bu tür hizmetlerin bankanın mali durumunu önemli ölçüde etkileme olasılığının bulunup bulunmadığı</w:t>
      </w:r>
    </w:p>
    <w:p w14:paraId="328D7DE4" w14:textId="77777777" w:rsidR="00E036D3" w:rsidRPr="00FB38E1" w:rsidRDefault="00E036D3" w:rsidP="00E036D3">
      <w:pPr>
        <w:pStyle w:val="ListParagraph"/>
        <w:autoSpaceDE w:val="0"/>
        <w:autoSpaceDN w:val="0"/>
        <w:adjustRightInd w:val="0"/>
        <w:spacing w:before="240" w:after="120" w:line="240" w:lineRule="exact"/>
        <w:ind w:left="0"/>
        <w:contextualSpacing w:val="0"/>
        <w:rPr>
          <w:rFonts w:ascii="Microsoft Sans Serif" w:hAnsi="Microsoft Sans Serif"/>
          <w:b/>
        </w:rPr>
      </w:pPr>
      <w:r w:rsidRPr="00FB38E1">
        <w:rPr>
          <w:rFonts w:ascii="Microsoft Sans Serif" w:hAnsi="Microsoft Sans Serif" w:cs="Microsoft Sans Serif"/>
          <w:color w:val="404040" w:themeColor="text1" w:themeTint="BF"/>
          <w:sz w:val="20"/>
          <w:szCs w:val="20"/>
        </w:rPr>
        <w:t>İnanca dayalı işlem sözleşmeleri bulunmamaktadır.</w:t>
      </w:r>
    </w:p>
    <w:p w14:paraId="76F34526" w14:textId="77777777" w:rsidR="00E036D3" w:rsidRPr="00FB38E1" w:rsidRDefault="00E036D3" w:rsidP="00E036D3">
      <w:pPr>
        <w:pStyle w:val="ListParagraph"/>
        <w:spacing w:before="120" w:after="0" w:line="220" w:lineRule="exact"/>
        <w:ind w:left="-68"/>
        <w:contextualSpacing w:val="0"/>
        <w:rPr>
          <w:rFonts w:ascii="Microsoft Sans Serif" w:hAnsi="Microsoft Sans Serif" w:cs="Microsoft Sans Serif"/>
          <w:color w:val="404040" w:themeColor="text1" w:themeTint="BF"/>
          <w:sz w:val="20"/>
          <w:szCs w:val="20"/>
        </w:rPr>
      </w:pPr>
    </w:p>
    <w:p w14:paraId="6723E631" w14:textId="7233C54A" w:rsidR="00416C40" w:rsidRPr="00FB38E1" w:rsidRDefault="00416C40" w:rsidP="005919F7">
      <w:pPr>
        <w:pStyle w:val="ListParagraph"/>
        <w:autoSpaceDE w:val="0"/>
        <w:autoSpaceDN w:val="0"/>
        <w:adjustRightInd w:val="0"/>
        <w:spacing w:after="120" w:line="240" w:lineRule="exact"/>
        <w:ind w:left="0"/>
        <w:contextualSpacing w:val="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b/>
        </w:rPr>
        <w:br w:type="page"/>
      </w:r>
    </w:p>
    <w:p w14:paraId="69C94B1C" w14:textId="40A3CE08" w:rsidR="00B421DE" w:rsidRPr="00FB38E1" w:rsidRDefault="00B421DE" w:rsidP="00076C9E">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Riskten korunma işlemlerine ilişkin açıklamalar</w:t>
      </w:r>
    </w:p>
    <w:p w14:paraId="7A54EEFD" w14:textId="0A25DE02" w:rsidR="00595D38" w:rsidRPr="00FB38E1" w:rsidRDefault="00595D38" w:rsidP="00076C9E">
      <w:pPr>
        <w:pStyle w:val="ListParagraph"/>
        <w:numPr>
          <w:ilvl w:val="0"/>
          <w:numId w:val="45"/>
        </w:numPr>
        <w:spacing w:before="120" w:after="120" w:line="240" w:lineRule="exact"/>
        <w:ind w:left="0" w:hanging="567"/>
        <w:contextualSpacing w:val="0"/>
        <w:rPr>
          <w:b/>
        </w:rPr>
      </w:pPr>
      <w:r w:rsidRPr="00FB38E1">
        <w:rPr>
          <w:rFonts w:ascii="Microsoft Sans Serif" w:hAnsi="Microsoft Sans Serif" w:cs="Microsoft Sans Serif"/>
          <w:b/>
          <w:sz w:val="20"/>
          <w:szCs w:val="20"/>
        </w:rPr>
        <w:t xml:space="preserve">Net </w:t>
      </w:r>
      <w:r w:rsidR="00816801" w:rsidRPr="00FB38E1">
        <w:rPr>
          <w:rFonts w:ascii="Microsoft Sans Serif" w:hAnsi="Microsoft Sans Serif" w:cs="Microsoft Sans Serif"/>
          <w:b/>
          <w:sz w:val="20"/>
          <w:szCs w:val="20"/>
        </w:rPr>
        <w:t>y</w:t>
      </w:r>
      <w:r w:rsidRPr="00FB38E1">
        <w:rPr>
          <w:rFonts w:ascii="Microsoft Sans Serif" w:hAnsi="Microsoft Sans Serif" w:cs="Microsoft Sans Serif"/>
          <w:b/>
          <w:sz w:val="20"/>
          <w:szCs w:val="20"/>
        </w:rPr>
        <w:t xml:space="preserve">atırım </w:t>
      </w:r>
      <w:r w:rsidR="00816801" w:rsidRPr="00FB38E1">
        <w:rPr>
          <w:rFonts w:ascii="Microsoft Sans Serif" w:hAnsi="Microsoft Sans Serif" w:cs="Microsoft Sans Serif"/>
          <w:b/>
          <w:sz w:val="20"/>
          <w:szCs w:val="20"/>
        </w:rPr>
        <w:t>r</w:t>
      </w:r>
      <w:r w:rsidRPr="00FB38E1">
        <w:rPr>
          <w:rFonts w:ascii="Microsoft Sans Serif" w:hAnsi="Microsoft Sans Serif" w:cs="Microsoft Sans Serif"/>
          <w:b/>
          <w:sz w:val="20"/>
          <w:szCs w:val="20"/>
        </w:rPr>
        <w:t>iski</w:t>
      </w:r>
    </w:p>
    <w:p w14:paraId="404BC534" w14:textId="5661D808" w:rsidR="004716BD" w:rsidRPr="00FB38E1" w:rsidRDefault="00474399" w:rsidP="008B0174">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FB38E1">
        <w:rPr>
          <w:rFonts w:ascii="Microsoft Sans Serif" w:hAnsi="Microsoft Sans Serif" w:cs="Microsoft Sans Serif"/>
          <w:iCs/>
          <w:color w:val="404040" w:themeColor="text1" w:themeTint="BF"/>
          <w:sz w:val="20"/>
          <w:szCs w:val="20"/>
        </w:rPr>
        <w:t>Banka bağlı ortaklıkları</w:t>
      </w:r>
      <w:r w:rsidR="00392B4D" w:rsidRPr="00FB38E1">
        <w:rPr>
          <w:rFonts w:ascii="Microsoft Sans Serif" w:hAnsi="Microsoft Sans Serif" w:cs="Microsoft Sans Serif"/>
          <w:iCs/>
          <w:color w:val="404040" w:themeColor="text1" w:themeTint="BF"/>
          <w:sz w:val="20"/>
          <w:szCs w:val="20"/>
        </w:rPr>
        <w:t>ndan</w:t>
      </w:r>
      <w:r w:rsidRPr="00FB38E1">
        <w:rPr>
          <w:rFonts w:ascii="Microsoft Sans Serif" w:hAnsi="Microsoft Sans Serif" w:cs="Microsoft Sans Serif"/>
          <w:iCs/>
          <w:color w:val="404040" w:themeColor="text1" w:themeTint="BF"/>
          <w:sz w:val="20"/>
          <w:szCs w:val="20"/>
        </w:rPr>
        <w:t xml:space="preserve"> </w:t>
      </w:r>
      <w:r w:rsidR="00392B4D" w:rsidRPr="00FB38E1">
        <w:rPr>
          <w:rFonts w:ascii="Microsoft Sans Serif" w:hAnsi="Microsoft Sans Serif" w:cs="Microsoft Sans Serif"/>
          <w:iCs/>
          <w:color w:val="404040" w:themeColor="text1" w:themeTint="BF"/>
          <w:sz w:val="20"/>
          <w:szCs w:val="20"/>
        </w:rPr>
        <w:t xml:space="preserve">olan Denizbank AG’ye </w:t>
      </w:r>
      <w:r w:rsidRPr="00FB38E1">
        <w:rPr>
          <w:rFonts w:ascii="Microsoft Sans Serif" w:hAnsi="Microsoft Sans Serif" w:cs="Microsoft Sans Serif"/>
          <w:iCs/>
          <w:color w:val="404040" w:themeColor="text1" w:themeTint="BF"/>
          <w:sz w:val="20"/>
          <w:szCs w:val="20"/>
        </w:rPr>
        <w:t xml:space="preserve">ait toplam </w:t>
      </w:r>
      <w:r w:rsidR="00731F45" w:rsidRPr="00FB38E1">
        <w:rPr>
          <w:rFonts w:ascii="Microsoft Sans Serif" w:hAnsi="Microsoft Sans Serif" w:cs="Microsoft Sans Serif"/>
          <w:iCs/>
          <w:color w:val="404040" w:themeColor="text1" w:themeTint="BF"/>
          <w:sz w:val="20"/>
          <w:szCs w:val="20"/>
        </w:rPr>
        <w:t>1.</w:t>
      </w:r>
      <w:r w:rsidR="004449D4" w:rsidRPr="00FB38E1">
        <w:rPr>
          <w:rFonts w:ascii="Microsoft Sans Serif" w:hAnsi="Microsoft Sans Serif" w:cs="Microsoft Sans Serif"/>
          <w:iCs/>
          <w:color w:val="404040" w:themeColor="text1" w:themeTint="BF"/>
          <w:sz w:val="20"/>
          <w:szCs w:val="20"/>
        </w:rPr>
        <w:t>180</w:t>
      </w:r>
      <w:r w:rsidRPr="00FB38E1">
        <w:rPr>
          <w:rFonts w:ascii="Microsoft Sans Serif" w:hAnsi="Microsoft Sans Serif" w:cs="Microsoft Sans Serif"/>
          <w:iCs/>
          <w:color w:val="404040" w:themeColor="text1" w:themeTint="BF"/>
          <w:sz w:val="20"/>
          <w:szCs w:val="20"/>
        </w:rPr>
        <w:t xml:space="preserve"> milyon Avro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w:t>
      </w:r>
      <w:r w:rsidR="00D92198" w:rsidRPr="00FB38E1">
        <w:rPr>
          <w:rFonts w:ascii="Microsoft Sans Serif" w:hAnsi="Microsoft Sans Serif" w:cs="Microsoft Sans Serif"/>
          <w:iCs/>
          <w:color w:val="404040" w:themeColor="text1" w:themeTint="BF"/>
          <w:sz w:val="20"/>
          <w:szCs w:val="20"/>
        </w:rPr>
        <w:t>bında muhasebeleştirilmiştir.</w:t>
      </w:r>
      <w:r w:rsidR="00EC4EDE" w:rsidRPr="00FB38E1">
        <w:rPr>
          <w:rFonts w:ascii="Microsoft Sans Serif" w:hAnsi="Microsoft Sans Serif" w:cs="Microsoft Sans Serif"/>
          <w:iCs/>
          <w:color w:val="404040" w:themeColor="text1" w:themeTint="BF"/>
          <w:sz w:val="20"/>
          <w:szCs w:val="20"/>
        </w:rPr>
        <w:t xml:space="preserve"> </w:t>
      </w:r>
      <w:bookmarkStart w:id="46" w:name="_Hlk172280829"/>
      <w:r w:rsidR="00EC4EDE" w:rsidRPr="00FB38E1">
        <w:rPr>
          <w:rFonts w:ascii="Microsoft Sans Serif" w:hAnsi="Microsoft Sans Serif" w:cs="Microsoft Sans Serif"/>
          <w:color w:val="404040" w:themeColor="text1" w:themeTint="BF"/>
          <w:sz w:val="20"/>
          <w:szCs w:val="20"/>
        </w:rPr>
        <w:t>Eurodeniz’deki net yatırım riski</w:t>
      </w:r>
      <w:r w:rsidR="00C01FD9" w:rsidRPr="00FB38E1">
        <w:rPr>
          <w:rFonts w:ascii="Microsoft Sans Serif" w:hAnsi="Microsoft Sans Serif" w:cs="Microsoft Sans Serif"/>
          <w:color w:val="404040" w:themeColor="text1" w:themeTint="BF"/>
          <w:sz w:val="20"/>
          <w:szCs w:val="20"/>
        </w:rPr>
        <w:t>nden korunma muhasebesi</w:t>
      </w:r>
      <w:r w:rsidR="00EC4EDE" w:rsidRPr="00FB38E1">
        <w:rPr>
          <w:rFonts w:ascii="Microsoft Sans Serif" w:hAnsi="Microsoft Sans Serif" w:cs="Microsoft Sans Serif"/>
          <w:color w:val="404040" w:themeColor="text1" w:themeTint="BF"/>
          <w:sz w:val="20"/>
          <w:szCs w:val="20"/>
        </w:rPr>
        <w:t xml:space="preserve"> </w:t>
      </w:r>
      <w:r w:rsidR="00C01FD9" w:rsidRPr="00FB38E1">
        <w:rPr>
          <w:rFonts w:ascii="Microsoft Sans Serif" w:hAnsi="Microsoft Sans Serif" w:cs="Microsoft Sans Serif"/>
          <w:color w:val="404040" w:themeColor="text1" w:themeTint="BF"/>
          <w:sz w:val="20"/>
          <w:szCs w:val="20"/>
        </w:rPr>
        <w:t xml:space="preserve">uygulamasına </w:t>
      </w:r>
      <w:r w:rsidR="00EC4EDE" w:rsidRPr="00FB38E1">
        <w:rPr>
          <w:rFonts w:ascii="Microsoft Sans Serif" w:hAnsi="Microsoft Sans Serif" w:cs="Microsoft Sans Serif"/>
          <w:color w:val="404040" w:themeColor="text1" w:themeTint="BF"/>
          <w:sz w:val="20"/>
          <w:szCs w:val="20"/>
        </w:rPr>
        <w:t>şirketin tasfiye</w:t>
      </w:r>
      <w:r w:rsidR="00372C2D" w:rsidRPr="00FB38E1">
        <w:rPr>
          <w:rFonts w:ascii="Microsoft Sans Serif" w:hAnsi="Microsoft Sans Serif" w:cs="Microsoft Sans Serif"/>
          <w:color w:val="404040" w:themeColor="text1" w:themeTint="BF"/>
          <w:sz w:val="20"/>
          <w:szCs w:val="20"/>
        </w:rPr>
        <w:t xml:space="preserve">si </w:t>
      </w:r>
      <w:r w:rsidR="00627BE7" w:rsidRPr="00FB38E1">
        <w:rPr>
          <w:rFonts w:ascii="Microsoft Sans Serif" w:hAnsi="Microsoft Sans Serif" w:cs="Microsoft Sans Serif"/>
          <w:color w:val="404040" w:themeColor="text1" w:themeTint="BF"/>
          <w:sz w:val="20"/>
          <w:szCs w:val="20"/>
        </w:rPr>
        <w:t xml:space="preserve">nedeniyle </w:t>
      </w:r>
      <w:r w:rsidR="00EC4EDE" w:rsidRPr="00FB38E1">
        <w:rPr>
          <w:rFonts w:ascii="Microsoft Sans Serif" w:hAnsi="Microsoft Sans Serif" w:cs="Microsoft Sans Serif"/>
          <w:color w:val="404040" w:themeColor="text1" w:themeTint="BF"/>
          <w:sz w:val="20"/>
          <w:szCs w:val="20"/>
        </w:rPr>
        <w:t>son verilmiştir</w:t>
      </w:r>
      <w:bookmarkEnd w:id="46"/>
      <w:r w:rsidR="00EC4EDE" w:rsidRPr="00FB38E1">
        <w:rPr>
          <w:rFonts w:ascii="Microsoft Sans Serif" w:hAnsi="Microsoft Sans Serif" w:cs="Microsoft Sans Serif"/>
          <w:color w:val="404040" w:themeColor="text1" w:themeTint="BF"/>
          <w:sz w:val="20"/>
          <w:szCs w:val="20"/>
        </w:rPr>
        <w:t>.</w:t>
      </w:r>
    </w:p>
    <w:p w14:paraId="10730018" w14:textId="7358F2BD" w:rsidR="00377DB0" w:rsidRPr="00FB38E1" w:rsidRDefault="00AD2A6F" w:rsidP="008B0174">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FB38E1">
        <w:rPr>
          <w:rFonts w:ascii="Microsoft Sans Serif" w:hAnsi="Microsoft Sans Serif" w:cs="Microsoft Sans Serif"/>
          <w:iCs/>
          <w:color w:val="404040" w:themeColor="text1" w:themeTint="BF"/>
          <w:sz w:val="20"/>
          <w:szCs w:val="20"/>
        </w:rPr>
        <w:t xml:space="preserve">31 Aralık 2024 </w:t>
      </w:r>
      <w:r w:rsidR="00474399" w:rsidRPr="00FB38E1">
        <w:rPr>
          <w:rFonts w:ascii="Microsoft Sans Serif" w:hAnsi="Microsoft Sans Serif" w:cs="Microsoft Sans Serif"/>
          <w:iCs/>
          <w:color w:val="404040" w:themeColor="text1" w:themeTint="BF"/>
          <w:sz w:val="20"/>
          <w:szCs w:val="20"/>
        </w:rPr>
        <w:t xml:space="preserve">itibarıyla özkaynaklar altında muhasebeleştirilmiş </w:t>
      </w:r>
      <w:r w:rsidR="00CC65DD" w:rsidRPr="00FB38E1">
        <w:rPr>
          <w:rFonts w:ascii="Microsoft Sans Serif" w:hAnsi="Microsoft Sans Serif" w:cs="Microsoft Sans Serif"/>
          <w:iCs/>
          <w:color w:val="404040" w:themeColor="text1" w:themeTint="BF"/>
          <w:sz w:val="20"/>
          <w:szCs w:val="20"/>
        </w:rPr>
        <w:t>yurt dışı</w:t>
      </w:r>
      <w:r w:rsidR="00474399" w:rsidRPr="00FB38E1">
        <w:rPr>
          <w:rFonts w:ascii="Microsoft Sans Serif" w:hAnsi="Microsoft Sans Serif" w:cs="Microsoft Sans Serif"/>
          <w:iCs/>
          <w:color w:val="404040" w:themeColor="text1" w:themeTint="BF"/>
          <w:sz w:val="20"/>
          <w:szCs w:val="20"/>
        </w:rPr>
        <w:t>ndaki net yatırım riskinden korunma fonlarının toplam tutarı vergi sonrası net (</w:t>
      </w:r>
      <w:r w:rsidR="002A2DAA" w:rsidRPr="00FB38E1">
        <w:rPr>
          <w:rFonts w:ascii="Microsoft Sans Serif" w:hAnsi="Microsoft Sans Serif" w:cs="Microsoft Sans Serif"/>
          <w:iCs/>
          <w:color w:val="404040" w:themeColor="text1" w:themeTint="BF"/>
          <w:sz w:val="20"/>
          <w:szCs w:val="20"/>
        </w:rPr>
        <w:t>22.907.278</w:t>
      </w:r>
      <w:r w:rsidR="00AB0BD5" w:rsidRPr="00FB38E1">
        <w:rPr>
          <w:rFonts w:ascii="Microsoft Sans Serif" w:hAnsi="Microsoft Sans Serif" w:cs="Microsoft Sans Serif"/>
          <w:iCs/>
          <w:color w:val="404040" w:themeColor="text1" w:themeTint="BF"/>
          <w:sz w:val="20"/>
          <w:szCs w:val="20"/>
        </w:rPr>
        <w:t>) TL (31 Aralık 202</w:t>
      </w:r>
      <w:r w:rsidR="00B01B91" w:rsidRPr="00FB38E1">
        <w:rPr>
          <w:rFonts w:ascii="Microsoft Sans Serif" w:hAnsi="Microsoft Sans Serif" w:cs="Microsoft Sans Serif"/>
          <w:iCs/>
          <w:color w:val="404040" w:themeColor="text1" w:themeTint="BF"/>
          <w:sz w:val="20"/>
          <w:szCs w:val="20"/>
        </w:rPr>
        <w:t>3</w:t>
      </w:r>
      <w:r w:rsidR="00087006" w:rsidRPr="00FB38E1">
        <w:rPr>
          <w:rFonts w:ascii="Microsoft Sans Serif" w:hAnsi="Microsoft Sans Serif" w:cs="Microsoft Sans Serif"/>
          <w:iCs/>
          <w:color w:val="404040" w:themeColor="text1" w:themeTint="BF"/>
          <w:sz w:val="20"/>
          <w:szCs w:val="20"/>
        </w:rPr>
        <w:t>: (</w:t>
      </w:r>
      <w:r w:rsidR="00B01B91" w:rsidRPr="00FB38E1">
        <w:rPr>
          <w:rFonts w:ascii="Microsoft Sans Serif" w:hAnsi="Microsoft Sans Serif" w:cs="Microsoft Sans Serif"/>
          <w:iCs/>
          <w:color w:val="404040" w:themeColor="text1" w:themeTint="BF"/>
          <w:sz w:val="20"/>
          <w:szCs w:val="20"/>
        </w:rPr>
        <w:t>23.681.069</w:t>
      </w:r>
      <w:r w:rsidR="00474399" w:rsidRPr="00FB38E1">
        <w:rPr>
          <w:rFonts w:ascii="Microsoft Sans Serif" w:hAnsi="Microsoft Sans Serif" w:cs="Microsoft Sans Serif"/>
          <w:iCs/>
          <w:color w:val="404040" w:themeColor="text1" w:themeTint="BF"/>
          <w:sz w:val="20"/>
          <w:szCs w:val="20"/>
        </w:rPr>
        <w:t>) TL)’dir</w:t>
      </w:r>
      <w:r w:rsidR="00934180" w:rsidRPr="00FB38E1">
        <w:rPr>
          <w:rFonts w:ascii="Microsoft Sans Serif" w:hAnsi="Microsoft Sans Serif" w:cs="Microsoft Sans Serif"/>
          <w:iCs/>
          <w:color w:val="404040" w:themeColor="text1" w:themeTint="BF"/>
          <w:sz w:val="20"/>
          <w:szCs w:val="20"/>
        </w:rPr>
        <w:t>.</w:t>
      </w:r>
    </w:p>
    <w:p w14:paraId="454710CB" w14:textId="77FC05C4" w:rsidR="00EA4585" w:rsidRPr="00FB38E1" w:rsidRDefault="00EA4585" w:rsidP="00076C9E">
      <w:pPr>
        <w:pStyle w:val="ListParagraph"/>
        <w:numPr>
          <w:ilvl w:val="0"/>
          <w:numId w:val="45"/>
        </w:numPr>
        <w:spacing w:before="120" w:after="120" w:line="240" w:lineRule="exact"/>
        <w:ind w:left="0" w:hanging="567"/>
        <w:contextualSpacing w:val="0"/>
        <w:rPr>
          <w:b/>
        </w:rPr>
      </w:pPr>
      <w:r w:rsidRPr="00FB38E1">
        <w:rPr>
          <w:rFonts w:ascii="Microsoft Sans Serif" w:hAnsi="Microsoft Sans Serif" w:cs="Microsoft Sans Serif"/>
          <w:b/>
          <w:sz w:val="20"/>
          <w:szCs w:val="20"/>
        </w:rPr>
        <w:t xml:space="preserve">Nakit </w:t>
      </w:r>
      <w:r w:rsidR="00816801" w:rsidRPr="00FB38E1">
        <w:rPr>
          <w:rFonts w:ascii="Microsoft Sans Serif" w:hAnsi="Microsoft Sans Serif" w:cs="Microsoft Sans Serif"/>
          <w:b/>
          <w:sz w:val="20"/>
          <w:szCs w:val="20"/>
        </w:rPr>
        <w:t>a</w:t>
      </w:r>
      <w:r w:rsidRPr="00FB38E1">
        <w:rPr>
          <w:rFonts w:ascii="Microsoft Sans Serif" w:hAnsi="Microsoft Sans Serif" w:cs="Microsoft Sans Serif"/>
          <w:b/>
          <w:sz w:val="20"/>
          <w:szCs w:val="20"/>
        </w:rPr>
        <w:t xml:space="preserve">kış </w:t>
      </w:r>
      <w:r w:rsidR="00816801" w:rsidRPr="00FB38E1">
        <w:rPr>
          <w:rFonts w:ascii="Microsoft Sans Serif" w:hAnsi="Microsoft Sans Serif" w:cs="Microsoft Sans Serif"/>
          <w:b/>
          <w:sz w:val="20"/>
          <w:szCs w:val="20"/>
        </w:rPr>
        <w:t>r</w:t>
      </w:r>
      <w:r w:rsidRPr="00FB38E1">
        <w:rPr>
          <w:rFonts w:ascii="Microsoft Sans Serif" w:hAnsi="Microsoft Sans Serif" w:cs="Microsoft Sans Serif"/>
          <w:b/>
          <w:sz w:val="20"/>
          <w:szCs w:val="20"/>
        </w:rPr>
        <w:t>iski</w:t>
      </w:r>
    </w:p>
    <w:p w14:paraId="3EF0ACFE" w14:textId="77777777" w:rsidR="00EC7DB7" w:rsidRPr="00FB38E1" w:rsidRDefault="004D3998" w:rsidP="00EC7DB7">
      <w:pPr>
        <w:pStyle w:val="Default"/>
        <w:spacing w:before="120" w:line="220" w:lineRule="exact"/>
        <w:rPr>
          <w:rFonts w:ascii="Microsoft Sans Serif" w:hAnsi="Microsoft Sans Serif" w:cs="Microsoft Sans Serif"/>
          <w:sz w:val="20"/>
          <w:szCs w:val="20"/>
        </w:rPr>
      </w:pPr>
      <w:r w:rsidRPr="00FB38E1">
        <w:rPr>
          <w:rFonts w:ascii="Microsoft Sans Serif" w:hAnsi="Microsoft Sans Serif" w:cs="Microsoft Sans Serif"/>
          <w:iCs/>
          <w:color w:val="404040" w:themeColor="text1" w:themeTint="BF"/>
          <w:sz w:val="20"/>
          <w:szCs w:val="20"/>
        </w:rPr>
        <w:t>Bulunmamaktadır.</w:t>
      </w:r>
      <w:r w:rsidR="00C47526" w:rsidRPr="00FB38E1">
        <w:rPr>
          <w:rFonts w:ascii="Microsoft Sans Serif" w:hAnsi="Microsoft Sans Serif" w:cs="Microsoft Sans Serif"/>
          <w:sz w:val="20"/>
          <w:szCs w:val="20"/>
        </w:rPr>
        <w:t xml:space="preserve"> </w:t>
      </w:r>
    </w:p>
    <w:p w14:paraId="5982D1A2" w14:textId="15692528" w:rsidR="00595D38" w:rsidRPr="00FB38E1" w:rsidRDefault="00EC7DB7" w:rsidP="00EC7DB7">
      <w:pPr>
        <w:pStyle w:val="ListParagraph"/>
        <w:numPr>
          <w:ilvl w:val="0"/>
          <w:numId w:val="12"/>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Raporlamanın bölümlemeye göre yapılmasına ilişkin açıklamalar</w:t>
      </w:r>
    </w:p>
    <w:p w14:paraId="620E5823" w14:textId="77777777" w:rsidR="00FB55A1" w:rsidRPr="00FB38E1"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FB38E1">
        <w:rPr>
          <w:rFonts w:ascii="Microsoft Sans Serif" w:hAnsi="Microsoft Sans Serif" w:cs="Microsoft Sans Serif"/>
          <w:iCs/>
          <w:color w:val="404040" w:themeColor="text1" w:themeTint="BF"/>
          <w:sz w:val="20"/>
          <w:szCs w:val="20"/>
        </w:rPr>
        <w:t>Banka; toptan bankacılık, KOBİ ve tarım bankacılığı, perakende bankacılık ve hazine olmak üzere dört ana alanda faaliyet göstermektedir.</w:t>
      </w:r>
    </w:p>
    <w:p w14:paraId="5B58339E" w14:textId="77777777" w:rsidR="00FB55A1" w:rsidRPr="00FB38E1"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FB38E1">
        <w:rPr>
          <w:rFonts w:ascii="Microsoft Sans Serif" w:hAnsi="Microsoft Sans Serif" w:cs="Microsoft Sans Serif"/>
          <w:iCs/>
          <w:color w:val="404040" w:themeColor="text1" w:themeTint="BF"/>
          <w:sz w:val="20"/>
          <w:szCs w:val="20"/>
        </w:rPr>
        <w:t>Toptan bankacılık; büyük ölçekli ulusal ve uluslararası kurumsal ve ticari müşterilere finansal çözümler ve bankacılık hizmetleri sunmaktadır. Müşterilerin yatırım, işletme sermayesi ve projelerine yönelik ihtiyaçlarını karşılamak amacıyla, kısa ve uzun vadeli işletme kredileri, yatırım kredileri, gayrinakdi krediler, döviz alım-satımı, dış ticaretin finansmanı, proje finansmanı, yapılandırılmış finansman, kurumsal finansman ile mevduat, nakit yönetimi hizmetleri sunulmaktadır.</w:t>
      </w:r>
    </w:p>
    <w:p w14:paraId="61C12CBB" w14:textId="208D27F5" w:rsidR="00FB55A1" w:rsidRPr="00FB38E1"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FB38E1">
        <w:rPr>
          <w:rFonts w:ascii="Microsoft Sans Serif" w:hAnsi="Microsoft Sans Serif" w:cs="Microsoft Sans Serif"/>
          <w:iCs/>
          <w:color w:val="404040" w:themeColor="text1" w:themeTint="BF"/>
          <w:sz w:val="20"/>
          <w:szCs w:val="20"/>
        </w:rPr>
        <w:t>Perakende bankacılık kapsamında, bireysel, KOBİ ve tarım segmentinde sınıflandırılan müşterilere kredi ürünleri (genel ihtiyaç, konut, taşıt, işyeri, traktör, zirai ekipman ve yatırım kredileri), farklı özelliklerde kredi kartları, üretici kart, yatırım ürünleri (yatırım fonları, hisse senetleri, hazine bonosu / devlet tahvili, repo), mevduat ürünleri (vadesiz, vadel</w:t>
      </w:r>
      <w:r w:rsidR="006D13F6" w:rsidRPr="00FB38E1">
        <w:rPr>
          <w:rFonts w:ascii="Microsoft Sans Serif" w:hAnsi="Microsoft Sans Serif" w:cs="Microsoft Sans Serif"/>
          <w:iCs/>
          <w:color w:val="404040" w:themeColor="text1" w:themeTint="BF"/>
          <w:sz w:val="20"/>
          <w:szCs w:val="20"/>
        </w:rPr>
        <w:t>i, korumalı), sigorta ürünleri</w:t>
      </w:r>
      <w:r w:rsidR="00107AF3" w:rsidRPr="00FB38E1">
        <w:rPr>
          <w:rFonts w:ascii="Microsoft Sans Serif" w:hAnsi="Microsoft Sans Serif" w:cs="Microsoft Sans Serif"/>
          <w:iCs/>
          <w:color w:val="404040" w:themeColor="text1" w:themeTint="BF"/>
          <w:sz w:val="20"/>
          <w:szCs w:val="20"/>
        </w:rPr>
        <w:t>, küçük ve</w:t>
      </w:r>
      <w:r w:rsidR="000B7643" w:rsidRPr="00FB38E1">
        <w:rPr>
          <w:rFonts w:ascii="Microsoft Sans Serif" w:hAnsi="Microsoft Sans Serif" w:cs="Microsoft Sans Serif"/>
          <w:iCs/>
          <w:color w:val="404040" w:themeColor="text1" w:themeTint="BF"/>
          <w:sz w:val="20"/>
          <w:szCs w:val="20"/>
        </w:rPr>
        <w:t xml:space="preserve"> orta ölçekli işletme kredileri ve</w:t>
      </w:r>
      <w:r w:rsidR="00107AF3" w:rsidRPr="00FB38E1">
        <w:rPr>
          <w:rFonts w:ascii="Microsoft Sans Serif" w:hAnsi="Microsoft Sans Serif" w:cs="Microsoft Sans Serif"/>
          <w:iCs/>
          <w:color w:val="404040" w:themeColor="text1" w:themeTint="BF"/>
          <w:sz w:val="20"/>
          <w:szCs w:val="20"/>
        </w:rPr>
        <w:t xml:space="preserve"> tarım kredileri sunulmaktadır. </w:t>
      </w:r>
      <w:r w:rsidRPr="00FB38E1">
        <w:rPr>
          <w:rFonts w:ascii="Microsoft Sans Serif" w:hAnsi="Microsoft Sans Serif" w:cs="Microsoft Sans Serif"/>
          <w:iCs/>
          <w:color w:val="404040" w:themeColor="text1" w:themeTint="BF"/>
          <w:sz w:val="20"/>
          <w:szCs w:val="20"/>
        </w:rPr>
        <w:t>Şube dışı bankacılık kanalları ile müşterilerinin şubeye gelmeden bankacılık ihtiyaçlarının karşılanması sağlanmaktadır. Kredili mevduat hesabı, otomatik fatura ödemeleri, çek karnesi, kiralık kasa ürünleri de güncel bankacılık ihtiyaçlarını karşılamaya yönelik ürünler arasındadır.</w:t>
      </w:r>
    </w:p>
    <w:p w14:paraId="6FEB77DA" w14:textId="6164BA16" w:rsidR="00595D38" w:rsidRPr="00FB38E1" w:rsidRDefault="00FB55A1" w:rsidP="009461A3">
      <w:pPr>
        <w:pStyle w:val="ListParagraph"/>
        <w:spacing w:before="120" w:after="0" w:line="220" w:lineRule="exact"/>
        <w:ind w:left="0"/>
        <w:contextualSpacing w:val="0"/>
        <w:rPr>
          <w:rFonts w:ascii="Microsoft Sans Serif" w:hAnsi="Microsoft Sans Serif" w:cs="Microsoft Sans Serif"/>
          <w:iCs/>
          <w:color w:val="404040" w:themeColor="text1" w:themeTint="BF"/>
          <w:sz w:val="20"/>
          <w:szCs w:val="20"/>
        </w:rPr>
      </w:pPr>
      <w:r w:rsidRPr="00FB38E1">
        <w:rPr>
          <w:rFonts w:ascii="Microsoft Sans Serif" w:hAnsi="Microsoft Sans Serif" w:cs="Microsoft Sans Serif"/>
          <w:iCs/>
          <w:color w:val="404040" w:themeColor="text1" w:themeTint="BF"/>
          <w:sz w:val="20"/>
          <w:szCs w:val="20"/>
        </w:rPr>
        <w:t xml:space="preserve">Hazine; Banka’nın belirlenen kısa, orta ve uzun vadeli fiyat stratejileri ve vade uyumsuzluklarının yönetilmesi ve yürütülmesi ile spot ve vadeli TL ve döviz alım satımı, hazine bonosu, tahvil ve diğer </w:t>
      </w:r>
      <w:r w:rsidR="00CC65DD" w:rsidRPr="00FB38E1">
        <w:rPr>
          <w:rFonts w:ascii="Microsoft Sans Serif" w:hAnsi="Microsoft Sans Serif" w:cs="Microsoft Sans Serif"/>
          <w:iCs/>
          <w:color w:val="404040" w:themeColor="text1" w:themeTint="BF"/>
          <w:sz w:val="20"/>
          <w:szCs w:val="20"/>
        </w:rPr>
        <w:t>yurt içi</w:t>
      </w:r>
      <w:r w:rsidRPr="00FB38E1">
        <w:rPr>
          <w:rFonts w:ascii="Microsoft Sans Serif" w:hAnsi="Microsoft Sans Serif" w:cs="Microsoft Sans Serif"/>
          <w:iCs/>
          <w:color w:val="404040" w:themeColor="text1" w:themeTint="BF"/>
          <w:sz w:val="20"/>
          <w:szCs w:val="20"/>
        </w:rPr>
        <w:t xml:space="preserve"> ve </w:t>
      </w:r>
      <w:r w:rsidR="00CC65DD" w:rsidRPr="00FB38E1">
        <w:rPr>
          <w:rFonts w:ascii="Microsoft Sans Serif" w:hAnsi="Microsoft Sans Serif" w:cs="Microsoft Sans Serif"/>
          <w:iCs/>
          <w:color w:val="404040" w:themeColor="text1" w:themeTint="BF"/>
          <w:sz w:val="20"/>
          <w:szCs w:val="20"/>
        </w:rPr>
        <w:t>yurt dışı</w:t>
      </w:r>
      <w:r w:rsidRPr="00FB38E1">
        <w:rPr>
          <w:rFonts w:ascii="Microsoft Sans Serif" w:hAnsi="Microsoft Sans Serif" w:cs="Microsoft Sans Serif"/>
          <w:iCs/>
          <w:color w:val="404040" w:themeColor="text1" w:themeTint="BF"/>
          <w:sz w:val="20"/>
          <w:szCs w:val="20"/>
        </w:rPr>
        <w:t xml:space="preserve"> menkul kıymetlerin alım satım işlemleri ile türev ürünleri pazarlanmasını kapsamaktadır. Orta ve uzun vadeli fonlama sağlamak, fonlama kaynaklarının çeşitlendirilmesi ve bu alanda uluslararası yatırımcı tabanının oluşturulması hususlarında da faaliyetler yürütmektedir</w:t>
      </w:r>
      <w:r w:rsidR="00595D38" w:rsidRPr="00FB38E1">
        <w:rPr>
          <w:rFonts w:ascii="Microsoft Sans Serif" w:hAnsi="Microsoft Sans Serif" w:cs="Microsoft Sans Serif"/>
          <w:iCs/>
          <w:color w:val="404040" w:themeColor="text1" w:themeTint="BF"/>
          <w:sz w:val="20"/>
          <w:szCs w:val="20"/>
        </w:rPr>
        <w:t>.</w:t>
      </w:r>
    </w:p>
    <w:p w14:paraId="0E7ED2E2" w14:textId="38B20AD6" w:rsidR="00ED08E2" w:rsidRPr="00FB38E1" w:rsidRDefault="00A94A4F" w:rsidP="00ED3823">
      <w:pPr>
        <w:pStyle w:val="BASLIK2"/>
        <w:widowControl/>
        <w:tabs>
          <w:tab w:val="left" w:pos="284"/>
        </w:tabs>
        <w:spacing w:before="120" w:line="240" w:lineRule="auto"/>
        <w:ind w:firstLine="0"/>
        <w:rPr>
          <w:rFonts w:ascii="Microsoft Sans Serif" w:hAnsi="Microsoft Sans Serif" w:cs="Microsoft Sans Serif"/>
          <w:b w:val="0"/>
          <w:sz w:val="20"/>
          <w:szCs w:val="20"/>
        </w:rPr>
      </w:pPr>
      <w:r w:rsidRPr="00FB38E1">
        <w:rPr>
          <w:rFonts w:ascii="Microsoft Sans Serif" w:hAnsi="Microsoft Sans Serif" w:cs="Microsoft Sans Serif"/>
          <w:b w:val="0"/>
          <w:color w:val="404040" w:themeColor="text1" w:themeTint="BF"/>
          <w:sz w:val="20"/>
          <w:szCs w:val="20"/>
        </w:rPr>
        <w:t>Faaliyet bölümlerine ilişkin bilgiler Banka Yönetim Raporlama Sistemi’nden sağlanan veriler doğrultusunda hazırlanmış</w:t>
      </w:r>
      <w:r w:rsidR="00251D9A" w:rsidRPr="00FB38E1">
        <w:rPr>
          <w:rFonts w:ascii="Microsoft Sans Serif" w:hAnsi="Microsoft Sans Serif" w:cs="Microsoft Sans Serif"/>
          <w:b w:val="0"/>
          <w:color w:val="404040" w:themeColor="text1" w:themeTint="BF"/>
          <w:sz w:val="20"/>
          <w:szCs w:val="20"/>
        </w:rPr>
        <w:t>tır.</w:t>
      </w:r>
      <w:r w:rsidR="00C47526" w:rsidRPr="00FB38E1">
        <w:rPr>
          <w:rFonts w:ascii="Microsoft Sans Serif" w:hAnsi="Microsoft Sans Serif" w:cs="Microsoft Sans Serif"/>
          <w:b w:val="0"/>
          <w:sz w:val="20"/>
          <w:szCs w:val="20"/>
        </w:rPr>
        <w:t xml:space="preserve"> </w:t>
      </w:r>
    </w:p>
    <w:p w14:paraId="2156923B" w14:textId="77777777" w:rsidR="00ED08E2" w:rsidRPr="00FB38E1" w:rsidRDefault="00ED08E2">
      <w:pPr>
        <w:rPr>
          <w:rFonts w:ascii="Microsoft Sans Serif" w:eastAsia="Times New Roman" w:hAnsi="Microsoft Sans Serif" w:cs="Microsoft Sans Serif"/>
          <w:bCs/>
          <w:sz w:val="20"/>
          <w:szCs w:val="20"/>
        </w:rPr>
      </w:pPr>
      <w:r w:rsidRPr="00FB38E1">
        <w:rPr>
          <w:rFonts w:ascii="Microsoft Sans Serif" w:hAnsi="Microsoft Sans Serif" w:cs="Microsoft Sans Serif"/>
          <w:b/>
          <w:sz w:val="20"/>
          <w:szCs w:val="20"/>
        </w:rPr>
        <w:br w:type="page"/>
      </w:r>
    </w:p>
    <w:p w14:paraId="403B5B1D" w14:textId="0FD8FE2F" w:rsidR="00595D38" w:rsidRPr="00FB38E1" w:rsidRDefault="00595D38" w:rsidP="00A367F1">
      <w:pPr>
        <w:spacing w:before="240" w:after="240" w:line="240" w:lineRule="exact"/>
        <w:rPr>
          <w:rFonts w:ascii="Microsoft Sans Serif" w:hAnsi="Microsoft Sans Serif" w:cs="Microsoft Sans Serif"/>
          <w:b/>
          <w:sz w:val="20"/>
          <w:szCs w:val="20"/>
        </w:rPr>
      </w:pPr>
      <w:r w:rsidRPr="00FB38E1">
        <w:rPr>
          <w:rFonts w:ascii="Microsoft Sans Serif" w:hAnsi="Microsoft Sans Serif" w:cs="Microsoft Sans Serif"/>
          <w:b/>
          <w:sz w:val="20"/>
          <w:szCs w:val="20"/>
        </w:rPr>
        <w:t>Faaliyet bölümlerine ilişkin bilgiler aşağıdaki tablolarda sunulmuştur:</w:t>
      </w:r>
    </w:p>
    <w:tbl>
      <w:tblPr>
        <w:tblStyle w:val="TableGrid"/>
        <w:tblW w:w="978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01"/>
        <w:gridCol w:w="1292"/>
        <w:gridCol w:w="1095"/>
        <w:gridCol w:w="1022"/>
        <w:gridCol w:w="1023"/>
        <w:gridCol w:w="933"/>
        <w:gridCol w:w="1215"/>
      </w:tblGrid>
      <w:tr w:rsidR="00C70F19" w:rsidRPr="00FB38E1" w14:paraId="4511C364" w14:textId="77777777" w:rsidTr="009262F2">
        <w:tc>
          <w:tcPr>
            <w:tcW w:w="1636" w:type="pct"/>
            <w:tcBorders>
              <w:top w:val="thinThickSmallGap" w:sz="24" w:space="0" w:color="auto"/>
              <w:bottom w:val="single" w:sz="4" w:space="0" w:color="auto"/>
            </w:tcBorders>
            <w:shd w:val="clear" w:color="auto" w:fill="auto"/>
            <w:vAlign w:val="bottom"/>
          </w:tcPr>
          <w:p w14:paraId="32194A2A" w14:textId="324DE499" w:rsidR="00C70F19" w:rsidRPr="00FB38E1" w:rsidRDefault="001D3726" w:rsidP="00004450">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r w:rsidRPr="00FB38E1">
              <w:rPr>
                <w:rFonts w:ascii="Microsoft Sans Serif" w:hAnsi="Microsoft Sans Serif" w:cs="Microsoft Sans Serif"/>
                <w:b/>
                <w:bCs/>
                <w:color w:val="000000"/>
                <w:sz w:val="16"/>
                <w:szCs w:val="16"/>
              </w:rPr>
              <w:br/>
              <w:t>(01/01/202</w:t>
            </w:r>
            <w:r w:rsidR="00B01B91" w:rsidRPr="00FB38E1">
              <w:rPr>
                <w:rFonts w:ascii="Microsoft Sans Serif" w:hAnsi="Microsoft Sans Serif" w:cs="Microsoft Sans Serif"/>
                <w:b/>
                <w:bCs/>
                <w:color w:val="000000"/>
                <w:sz w:val="16"/>
                <w:szCs w:val="16"/>
              </w:rPr>
              <w:t>4</w:t>
            </w:r>
            <w:r w:rsidR="00C70F19" w:rsidRPr="00FB38E1">
              <w:rPr>
                <w:rFonts w:ascii="Microsoft Sans Serif" w:hAnsi="Microsoft Sans Serif" w:cs="Microsoft Sans Serif"/>
                <w:b/>
                <w:bCs/>
                <w:color w:val="000000"/>
                <w:sz w:val="16"/>
                <w:szCs w:val="16"/>
              </w:rPr>
              <w:t>-</w:t>
            </w:r>
            <w:r w:rsidR="009E5C75" w:rsidRPr="00FB38E1">
              <w:rPr>
                <w:rFonts w:ascii="Microsoft Sans Serif" w:hAnsi="Microsoft Sans Serif" w:cs="Microsoft Sans Serif"/>
                <w:b/>
                <w:bCs/>
                <w:color w:val="000000"/>
                <w:sz w:val="16"/>
                <w:szCs w:val="16"/>
              </w:rPr>
              <w:t>3</w:t>
            </w:r>
            <w:r w:rsidR="004C4799" w:rsidRPr="00FB38E1">
              <w:rPr>
                <w:rFonts w:ascii="Microsoft Sans Serif" w:hAnsi="Microsoft Sans Serif" w:cs="Microsoft Sans Serif"/>
                <w:b/>
                <w:bCs/>
                <w:color w:val="000000"/>
                <w:sz w:val="16"/>
                <w:szCs w:val="16"/>
              </w:rPr>
              <w:t>1</w:t>
            </w:r>
            <w:r w:rsidR="009E5C75" w:rsidRPr="00FB38E1">
              <w:rPr>
                <w:rFonts w:ascii="Microsoft Sans Serif" w:hAnsi="Microsoft Sans Serif" w:cs="Microsoft Sans Serif"/>
                <w:b/>
                <w:bCs/>
                <w:color w:val="000000"/>
                <w:sz w:val="16"/>
                <w:szCs w:val="16"/>
              </w:rPr>
              <w:t>/</w:t>
            </w:r>
            <w:r w:rsidR="004C4799" w:rsidRPr="00FB38E1">
              <w:rPr>
                <w:rFonts w:ascii="Microsoft Sans Serif" w:hAnsi="Microsoft Sans Serif" w:cs="Microsoft Sans Serif"/>
                <w:b/>
                <w:bCs/>
                <w:color w:val="000000"/>
                <w:sz w:val="16"/>
                <w:szCs w:val="16"/>
              </w:rPr>
              <w:t>12</w:t>
            </w:r>
            <w:r w:rsidR="009E5C75" w:rsidRPr="00FB38E1">
              <w:rPr>
                <w:rFonts w:ascii="Microsoft Sans Serif" w:hAnsi="Microsoft Sans Serif" w:cs="Microsoft Sans Serif"/>
                <w:b/>
                <w:bCs/>
                <w:color w:val="000000"/>
                <w:sz w:val="16"/>
                <w:szCs w:val="16"/>
              </w:rPr>
              <w:t>/2024</w:t>
            </w:r>
            <w:r w:rsidR="00C70F19" w:rsidRPr="00FB38E1">
              <w:rPr>
                <w:rFonts w:ascii="Microsoft Sans Serif" w:hAnsi="Microsoft Sans Serif" w:cs="Microsoft Sans Serif"/>
                <w:b/>
                <w:bCs/>
                <w:color w:val="000000"/>
                <w:sz w:val="16"/>
                <w:szCs w:val="16"/>
              </w:rPr>
              <w:t>)</w:t>
            </w:r>
          </w:p>
        </w:tc>
        <w:tc>
          <w:tcPr>
            <w:tcW w:w="660" w:type="pct"/>
            <w:tcBorders>
              <w:top w:val="thinThickSmallGap" w:sz="24" w:space="0" w:color="auto"/>
              <w:bottom w:val="single" w:sz="4" w:space="0" w:color="auto"/>
            </w:tcBorders>
            <w:shd w:val="clear" w:color="auto" w:fill="auto"/>
            <w:vAlign w:val="bottom"/>
          </w:tcPr>
          <w:p w14:paraId="0F3EEC33" w14:textId="27E1F522" w:rsidR="00C70F19" w:rsidRPr="00FB38E1" w:rsidRDefault="00110C1D" w:rsidP="002150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Kurumsal&amp;Ticari</w:t>
            </w:r>
            <w:r w:rsidR="00C70F19" w:rsidRPr="00FB38E1">
              <w:rPr>
                <w:rFonts w:ascii="Microsoft Sans Serif" w:hAnsi="Microsoft Sans Serif" w:cs="Microsoft Sans Serif"/>
                <w:b/>
                <w:bCs/>
                <w:color w:val="000000"/>
                <w:sz w:val="16"/>
                <w:szCs w:val="16"/>
              </w:rPr>
              <w:t xml:space="preserve"> </w:t>
            </w:r>
            <w:r w:rsidR="00C70F19" w:rsidRPr="00FB38E1">
              <w:rPr>
                <w:rFonts w:ascii="Microsoft Sans Serif" w:hAnsi="Microsoft Sans Serif" w:cs="Microsoft Sans Serif"/>
                <w:b/>
                <w:bCs/>
                <w:color w:val="000000"/>
                <w:sz w:val="16"/>
                <w:szCs w:val="16"/>
              </w:rPr>
              <w:br/>
              <w:t>Bankacılık</w:t>
            </w:r>
          </w:p>
        </w:tc>
        <w:tc>
          <w:tcPr>
            <w:tcW w:w="560" w:type="pct"/>
            <w:tcBorders>
              <w:top w:val="thinThickSmallGap" w:sz="24" w:space="0" w:color="auto"/>
              <w:bottom w:val="single" w:sz="4" w:space="0" w:color="auto"/>
            </w:tcBorders>
            <w:shd w:val="clear" w:color="auto" w:fill="auto"/>
            <w:vAlign w:val="bottom"/>
          </w:tcPr>
          <w:p w14:paraId="7BF82A2E" w14:textId="7FC192B0" w:rsidR="00C70F19" w:rsidRPr="00FB38E1" w:rsidRDefault="00CB17C3" w:rsidP="002150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Kobi&amp;Tarım</w:t>
            </w:r>
            <w:r w:rsidRPr="00FB38E1">
              <w:rPr>
                <w:rFonts w:ascii="Microsoft Sans Serif" w:hAnsi="Microsoft Sans Serif" w:cs="Microsoft Sans Serif"/>
                <w:b/>
                <w:bCs/>
                <w:color w:val="000000"/>
                <w:sz w:val="16"/>
                <w:szCs w:val="16"/>
              </w:rPr>
              <w:br/>
              <w:t>B</w:t>
            </w:r>
            <w:r w:rsidR="00C70F19" w:rsidRPr="00FB38E1">
              <w:rPr>
                <w:rFonts w:ascii="Microsoft Sans Serif" w:hAnsi="Microsoft Sans Serif" w:cs="Microsoft Sans Serif"/>
                <w:b/>
                <w:bCs/>
                <w:color w:val="000000"/>
                <w:sz w:val="16"/>
                <w:szCs w:val="16"/>
              </w:rPr>
              <w:t>ankacılığı</w:t>
            </w:r>
          </w:p>
        </w:tc>
        <w:tc>
          <w:tcPr>
            <w:tcW w:w="522" w:type="pct"/>
            <w:tcBorders>
              <w:top w:val="thinThickSmallGap" w:sz="24" w:space="0" w:color="auto"/>
              <w:bottom w:val="single" w:sz="4" w:space="0" w:color="auto"/>
            </w:tcBorders>
            <w:shd w:val="clear" w:color="auto" w:fill="auto"/>
            <w:vAlign w:val="bottom"/>
          </w:tcPr>
          <w:p w14:paraId="7A7715C0" w14:textId="77777777" w:rsidR="00C70F19" w:rsidRPr="00FB38E1" w:rsidRDefault="00C70F19" w:rsidP="002150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Bireysel </w:t>
            </w:r>
            <w:r w:rsidRPr="00FB38E1">
              <w:rPr>
                <w:rFonts w:ascii="Microsoft Sans Serif" w:hAnsi="Microsoft Sans Serif" w:cs="Microsoft Sans Serif"/>
                <w:b/>
                <w:bCs/>
                <w:color w:val="000000"/>
                <w:sz w:val="16"/>
                <w:szCs w:val="16"/>
              </w:rPr>
              <w:br/>
              <w:t>Bankacılık</w:t>
            </w:r>
          </w:p>
        </w:tc>
        <w:tc>
          <w:tcPr>
            <w:tcW w:w="523" w:type="pct"/>
            <w:tcBorders>
              <w:top w:val="thinThickSmallGap" w:sz="24" w:space="0" w:color="auto"/>
              <w:bottom w:val="single" w:sz="4" w:space="0" w:color="auto"/>
            </w:tcBorders>
            <w:shd w:val="clear" w:color="auto" w:fill="auto"/>
            <w:vAlign w:val="bottom"/>
          </w:tcPr>
          <w:p w14:paraId="458A6E72" w14:textId="1E1A5793" w:rsidR="00C70F19" w:rsidRPr="00FB38E1" w:rsidRDefault="00C70F19" w:rsidP="00C70F1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Hazine</w:t>
            </w:r>
          </w:p>
        </w:tc>
        <w:tc>
          <w:tcPr>
            <w:tcW w:w="477" w:type="pct"/>
            <w:tcBorders>
              <w:top w:val="thinThickSmallGap" w:sz="24" w:space="0" w:color="auto"/>
              <w:bottom w:val="single" w:sz="4" w:space="0" w:color="auto"/>
            </w:tcBorders>
            <w:shd w:val="clear" w:color="auto" w:fill="auto"/>
            <w:vAlign w:val="bottom"/>
          </w:tcPr>
          <w:p w14:paraId="290E189B" w14:textId="33B8A706" w:rsidR="00C70F19" w:rsidRPr="00FB38E1" w:rsidRDefault="00C70F19" w:rsidP="00C70F1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Diğer</w:t>
            </w:r>
          </w:p>
        </w:tc>
        <w:tc>
          <w:tcPr>
            <w:tcW w:w="621" w:type="pct"/>
            <w:tcBorders>
              <w:top w:val="thinThickSmallGap" w:sz="24" w:space="0" w:color="auto"/>
              <w:bottom w:val="single" w:sz="4" w:space="0" w:color="auto"/>
            </w:tcBorders>
            <w:shd w:val="clear" w:color="auto" w:fill="auto"/>
            <w:vAlign w:val="bottom"/>
          </w:tcPr>
          <w:p w14:paraId="6ABBE374" w14:textId="7E1C91B0" w:rsidR="00C70F19" w:rsidRPr="00FB38E1" w:rsidRDefault="00C70F19" w:rsidP="002150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1E5443" w:rsidRPr="00FB38E1" w14:paraId="61883F27" w14:textId="77777777" w:rsidTr="009262F2">
        <w:tc>
          <w:tcPr>
            <w:tcW w:w="1636" w:type="pct"/>
            <w:tcBorders>
              <w:top w:val="single" w:sz="4" w:space="0" w:color="auto"/>
            </w:tcBorders>
            <w:shd w:val="clear" w:color="auto" w:fill="auto"/>
            <w:vAlign w:val="center"/>
          </w:tcPr>
          <w:p w14:paraId="55819C88" w14:textId="77777777"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Net faiz geliri</w:t>
            </w:r>
          </w:p>
        </w:tc>
        <w:tc>
          <w:tcPr>
            <w:tcW w:w="660" w:type="pct"/>
            <w:tcBorders>
              <w:top w:val="single" w:sz="4" w:space="0" w:color="auto"/>
            </w:tcBorders>
            <w:shd w:val="clear" w:color="auto" w:fill="auto"/>
            <w:vAlign w:val="bottom"/>
          </w:tcPr>
          <w:p w14:paraId="685EF900" w14:textId="33D0EFF8"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17.446.072</w:t>
            </w:r>
          </w:p>
        </w:tc>
        <w:tc>
          <w:tcPr>
            <w:tcW w:w="560" w:type="pct"/>
            <w:tcBorders>
              <w:top w:val="single" w:sz="4" w:space="0" w:color="auto"/>
            </w:tcBorders>
            <w:shd w:val="clear" w:color="auto" w:fill="auto"/>
            <w:vAlign w:val="bottom"/>
          </w:tcPr>
          <w:p w14:paraId="1E836EE9" w14:textId="25F0E72B"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21.851.868</w:t>
            </w:r>
          </w:p>
        </w:tc>
        <w:tc>
          <w:tcPr>
            <w:tcW w:w="522" w:type="pct"/>
            <w:tcBorders>
              <w:top w:val="single" w:sz="4" w:space="0" w:color="auto"/>
            </w:tcBorders>
            <w:shd w:val="clear" w:color="auto" w:fill="auto"/>
            <w:vAlign w:val="bottom"/>
          </w:tcPr>
          <w:p w14:paraId="3342A86D" w14:textId="46D45983"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13.783.871</w:t>
            </w:r>
          </w:p>
        </w:tc>
        <w:tc>
          <w:tcPr>
            <w:tcW w:w="523" w:type="pct"/>
            <w:tcBorders>
              <w:top w:val="single" w:sz="4" w:space="0" w:color="auto"/>
            </w:tcBorders>
            <w:shd w:val="clear" w:color="auto" w:fill="auto"/>
            <w:vAlign w:val="bottom"/>
          </w:tcPr>
          <w:p w14:paraId="1F4437E3" w14:textId="11729F72"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(8.125.372)</w:t>
            </w:r>
          </w:p>
        </w:tc>
        <w:tc>
          <w:tcPr>
            <w:tcW w:w="477" w:type="pct"/>
            <w:tcBorders>
              <w:top w:val="single" w:sz="4" w:space="0" w:color="auto"/>
            </w:tcBorders>
            <w:shd w:val="clear" w:color="auto" w:fill="auto"/>
            <w:vAlign w:val="bottom"/>
          </w:tcPr>
          <w:p w14:paraId="5B81BB69" w14:textId="56E6DAE9"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6</w:t>
            </w:r>
          </w:p>
        </w:tc>
        <w:tc>
          <w:tcPr>
            <w:tcW w:w="621" w:type="pct"/>
            <w:tcBorders>
              <w:top w:val="single" w:sz="4" w:space="0" w:color="auto"/>
            </w:tcBorders>
            <w:shd w:val="clear" w:color="auto" w:fill="auto"/>
            <w:vAlign w:val="bottom"/>
          </w:tcPr>
          <w:p w14:paraId="1720D496" w14:textId="6251C9E4"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44.956.445</w:t>
            </w:r>
          </w:p>
        </w:tc>
      </w:tr>
      <w:tr w:rsidR="001E5443" w:rsidRPr="00FB38E1" w14:paraId="304EB138" w14:textId="77777777" w:rsidTr="009262F2">
        <w:tc>
          <w:tcPr>
            <w:tcW w:w="1636" w:type="pct"/>
            <w:shd w:val="clear" w:color="auto" w:fill="auto"/>
            <w:vAlign w:val="center"/>
          </w:tcPr>
          <w:p w14:paraId="42EBB201" w14:textId="77777777"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Net ücret ve komisyon gelirleri</w:t>
            </w:r>
          </w:p>
        </w:tc>
        <w:tc>
          <w:tcPr>
            <w:tcW w:w="660" w:type="pct"/>
            <w:shd w:val="clear" w:color="auto" w:fill="auto"/>
            <w:vAlign w:val="bottom"/>
          </w:tcPr>
          <w:p w14:paraId="6718AD59" w14:textId="021823A8"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1.858.768</w:t>
            </w:r>
          </w:p>
        </w:tc>
        <w:tc>
          <w:tcPr>
            <w:tcW w:w="560" w:type="pct"/>
            <w:shd w:val="clear" w:color="auto" w:fill="auto"/>
            <w:vAlign w:val="bottom"/>
          </w:tcPr>
          <w:p w14:paraId="38BF1922" w14:textId="2B7721B2"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11.899.386</w:t>
            </w:r>
          </w:p>
        </w:tc>
        <w:tc>
          <w:tcPr>
            <w:tcW w:w="522" w:type="pct"/>
            <w:shd w:val="clear" w:color="auto" w:fill="auto"/>
            <w:vAlign w:val="bottom"/>
          </w:tcPr>
          <w:p w14:paraId="1633F31D" w14:textId="0604230B"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15.373.650</w:t>
            </w:r>
          </w:p>
        </w:tc>
        <w:tc>
          <w:tcPr>
            <w:tcW w:w="523" w:type="pct"/>
            <w:shd w:val="clear" w:color="auto" w:fill="auto"/>
            <w:vAlign w:val="bottom"/>
          </w:tcPr>
          <w:p w14:paraId="62025721" w14:textId="7570BA51"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(175.916)</w:t>
            </w:r>
          </w:p>
        </w:tc>
        <w:tc>
          <w:tcPr>
            <w:tcW w:w="477" w:type="pct"/>
            <w:shd w:val="clear" w:color="auto" w:fill="auto"/>
            <w:vAlign w:val="bottom"/>
          </w:tcPr>
          <w:p w14:paraId="58B73C8B" w14:textId="5F02A4A3"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6.583</w:t>
            </w:r>
          </w:p>
        </w:tc>
        <w:tc>
          <w:tcPr>
            <w:tcW w:w="621" w:type="pct"/>
            <w:shd w:val="clear" w:color="auto" w:fill="auto"/>
            <w:vAlign w:val="bottom"/>
          </w:tcPr>
          <w:p w14:paraId="0ED584A7" w14:textId="697857A4"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28.962.471</w:t>
            </w:r>
          </w:p>
        </w:tc>
      </w:tr>
      <w:tr w:rsidR="001E5443" w:rsidRPr="00FB38E1" w14:paraId="1D24934A" w14:textId="77777777" w:rsidTr="009262F2">
        <w:tc>
          <w:tcPr>
            <w:tcW w:w="1636" w:type="pct"/>
            <w:shd w:val="clear" w:color="auto" w:fill="auto"/>
            <w:vAlign w:val="center"/>
          </w:tcPr>
          <w:p w14:paraId="55F16DCF" w14:textId="77777777"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Diğer gelir/gider, net</w:t>
            </w:r>
          </w:p>
        </w:tc>
        <w:tc>
          <w:tcPr>
            <w:tcW w:w="660" w:type="pct"/>
            <w:shd w:val="clear" w:color="auto" w:fill="auto"/>
            <w:vAlign w:val="bottom"/>
          </w:tcPr>
          <w:p w14:paraId="2A0E8E72" w14:textId="197AA170"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(117.704)</w:t>
            </w:r>
          </w:p>
        </w:tc>
        <w:tc>
          <w:tcPr>
            <w:tcW w:w="560" w:type="pct"/>
            <w:shd w:val="clear" w:color="auto" w:fill="auto"/>
            <w:vAlign w:val="bottom"/>
          </w:tcPr>
          <w:p w14:paraId="0B7B62A4" w14:textId="0125319A"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(1.204.242)</w:t>
            </w:r>
          </w:p>
        </w:tc>
        <w:tc>
          <w:tcPr>
            <w:tcW w:w="522" w:type="pct"/>
            <w:shd w:val="clear" w:color="auto" w:fill="auto"/>
            <w:vAlign w:val="bottom"/>
          </w:tcPr>
          <w:p w14:paraId="1783DC09" w14:textId="31CA3C1D"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(1.570.323)</w:t>
            </w:r>
          </w:p>
        </w:tc>
        <w:tc>
          <w:tcPr>
            <w:tcW w:w="523" w:type="pct"/>
            <w:shd w:val="clear" w:color="auto" w:fill="auto"/>
            <w:vAlign w:val="bottom"/>
          </w:tcPr>
          <w:p w14:paraId="389D106C" w14:textId="27C30BA6"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1.054.399</w:t>
            </w:r>
          </w:p>
        </w:tc>
        <w:tc>
          <w:tcPr>
            <w:tcW w:w="477" w:type="pct"/>
            <w:shd w:val="clear" w:color="auto" w:fill="auto"/>
            <w:vAlign w:val="bottom"/>
          </w:tcPr>
          <w:p w14:paraId="2BFA6865" w14:textId="7A3319D0"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9.762.892</w:t>
            </w:r>
          </w:p>
        </w:tc>
        <w:tc>
          <w:tcPr>
            <w:tcW w:w="621" w:type="pct"/>
            <w:shd w:val="clear" w:color="auto" w:fill="auto"/>
            <w:vAlign w:val="bottom"/>
          </w:tcPr>
          <w:p w14:paraId="7C8BE030" w14:textId="5AFA9E9C"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7.925.022</w:t>
            </w:r>
          </w:p>
        </w:tc>
      </w:tr>
      <w:tr w:rsidR="001E5443" w:rsidRPr="00FB38E1" w14:paraId="0E625583" w14:textId="77777777" w:rsidTr="009262F2">
        <w:tc>
          <w:tcPr>
            <w:tcW w:w="1636" w:type="pct"/>
            <w:tcBorders>
              <w:top w:val="single" w:sz="4" w:space="0" w:color="auto"/>
              <w:bottom w:val="nil"/>
            </w:tcBorders>
            <w:shd w:val="clear" w:color="auto" w:fill="auto"/>
            <w:vAlign w:val="center"/>
          </w:tcPr>
          <w:p w14:paraId="7DFC291D" w14:textId="77777777" w:rsidR="001E5443" w:rsidRPr="00FB38E1" w:rsidRDefault="001E5443" w:rsidP="001E5443">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Bölüm gelirleri toplamı</w:t>
            </w:r>
          </w:p>
        </w:tc>
        <w:tc>
          <w:tcPr>
            <w:tcW w:w="660" w:type="pct"/>
            <w:tcBorders>
              <w:top w:val="single" w:sz="4" w:space="0" w:color="auto"/>
              <w:bottom w:val="nil"/>
            </w:tcBorders>
            <w:shd w:val="clear" w:color="auto" w:fill="auto"/>
            <w:vAlign w:val="bottom"/>
          </w:tcPr>
          <w:p w14:paraId="4DC229E2" w14:textId="33D7FF25"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19.187.136</w:t>
            </w:r>
          </w:p>
        </w:tc>
        <w:tc>
          <w:tcPr>
            <w:tcW w:w="560" w:type="pct"/>
            <w:tcBorders>
              <w:top w:val="single" w:sz="4" w:space="0" w:color="auto"/>
              <w:bottom w:val="nil"/>
            </w:tcBorders>
            <w:shd w:val="clear" w:color="auto" w:fill="auto"/>
            <w:vAlign w:val="bottom"/>
          </w:tcPr>
          <w:p w14:paraId="2CCD8FC1" w14:textId="16E0F7E0"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32.547.012</w:t>
            </w:r>
          </w:p>
        </w:tc>
        <w:tc>
          <w:tcPr>
            <w:tcW w:w="522" w:type="pct"/>
            <w:tcBorders>
              <w:top w:val="single" w:sz="4" w:space="0" w:color="auto"/>
              <w:bottom w:val="nil"/>
            </w:tcBorders>
            <w:shd w:val="clear" w:color="auto" w:fill="auto"/>
            <w:vAlign w:val="bottom"/>
          </w:tcPr>
          <w:p w14:paraId="6510B1FB" w14:textId="32BD23F2"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27.587.198</w:t>
            </w:r>
          </w:p>
        </w:tc>
        <w:tc>
          <w:tcPr>
            <w:tcW w:w="523" w:type="pct"/>
            <w:tcBorders>
              <w:top w:val="single" w:sz="4" w:space="0" w:color="auto"/>
              <w:bottom w:val="nil"/>
            </w:tcBorders>
            <w:shd w:val="clear" w:color="auto" w:fill="auto"/>
            <w:vAlign w:val="bottom"/>
          </w:tcPr>
          <w:p w14:paraId="4C88E657" w14:textId="5C5085AA"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(7.246.889)</w:t>
            </w:r>
          </w:p>
        </w:tc>
        <w:tc>
          <w:tcPr>
            <w:tcW w:w="477" w:type="pct"/>
            <w:tcBorders>
              <w:top w:val="single" w:sz="4" w:space="0" w:color="auto"/>
              <w:bottom w:val="nil"/>
            </w:tcBorders>
            <w:shd w:val="clear" w:color="auto" w:fill="auto"/>
            <w:vAlign w:val="bottom"/>
          </w:tcPr>
          <w:p w14:paraId="00F00C8C" w14:textId="5201C549"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9.769.481</w:t>
            </w:r>
          </w:p>
        </w:tc>
        <w:tc>
          <w:tcPr>
            <w:tcW w:w="621" w:type="pct"/>
            <w:tcBorders>
              <w:top w:val="single" w:sz="4" w:space="0" w:color="auto"/>
              <w:bottom w:val="nil"/>
            </w:tcBorders>
            <w:shd w:val="clear" w:color="auto" w:fill="auto"/>
            <w:vAlign w:val="bottom"/>
          </w:tcPr>
          <w:p w14:paraId="3AF9709F" w14:textId="29C8D07D"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81.843.938</w:t>
            </w:r>
          </w:p>
        </w:tc>
      </w:tr>
      <w:tr w:rsidR="002763AB" w:rsidRPr="00FB38E1" w14:paraId="35E844B7" w14:textId="77777777" w:rsidTr="009262F2">
        <w:trPr>
          <w:trHeight w:val="93"/>
        </w:trPr>
        <w:tc>
          <w:tcPr>
            <w:tcW w:w="1636" w:type="pct"/>
            <w:tcBorders>
              <w:top w:val="nil"/>
            </w:tcBorders>
            <w:shd w:val="clear" w:color="auto" w:fill="auto"/>
            <w:vAlign w:val="bottom"/>
          </w:tcPr>
          <w:p w14:paraId="6D773C95" w14:textId="77777777" w:rsidR="002763AB" w:rsidRPr="00FB38E1" w:rsidRDefault="002763AB" w:rsidP="002763AB">
            <w:pPr>
              <w:rPr>
                <w:rFonts w:ascii="Microsoft Sans Serif" w:hAnsi="Microsoft Sans Serif" w:cs="Microsoft Sans Serif"/>
                <w:color w:val="000000"/>
                <w:sz w:val="16"/>
                <w:szCs w:val="16"/>
              </w:rPr>
            </w:pPr>
          </w:p>
        </w:tc>
        <w:tc>
          <w:tcPr>
            <w:tcW w:w="660" w:type="pct"/>
            <w:tcBorders>
              <w:top w:val="nil"/>
            </w:tcBorders>
            <w:shd w:val="clear" w:color="auto" w:fill="auto"/>
            <w:vAlign w:val="bottom"/>
          </w:tcPr>
          <w:p w14:paraId="125C1099" w14:textId="77777777" w:rsidR="002763AB" w:rsidRPr="00FB38E1" w:rsidRDefault="002763AB" w:rsidP="002763AB">
            <w:pPr>
              <w:jc w:val="right"/>
              <w:rPr>
                <w:rFonts w:ascii="Microsoft Sans Serif" w:hAnsi="Microsoft Sans Serif" w:cs="Microsoft Sans Serif"/>
                <w:b/>
                <w:bCs/>
                <w:color w:val="000000"/>
                <w:sz w:val="16"/>
                <w:szCs w:val="16"/>
              </w:rPr>
            </w:pPr>
          </w:p>
        </w:tc>
        <w:tc>
          <w:tcPr>
            <w:tcW w:w="560" w:type="pct"/>
            <w:tcBorders>
              <w:top w:val="nil"/>
            </w:tcBorders>
            <w:shd w:val="clear" w:color="auto" w:fill="auto"/>
            <w:vAlign w:val="bottom"/>
          </w:tcPr>
          <w:p w14:paraId="70F589C8" w14:textId="77777777" w:rsidR="002763AB" w:rsidRPr="00FB38E1" w:rsidRDefault="002763AB" w:rsidP="002763AB">
            <w:pPr>
              <w:rPr>
                <w:rFonts w:ascii="Microsoft Sans Serif" w:hAnsi="Microsoft Sans Serif" w:cs="Microsoft Sans Serif"/>
                <w:sz w:val="16"/>
                <w:szCs w:val="16"/>
              </w:rPr>
            </w:pPr>
          </w:p>
        </w:tc>
        <w:tc>
          <w:tcPr>
            <w:tcW w:w="522" w:type="pct"/>
            <w:tcBorders>
              <w:top w:val="nil"/>
            </w:tcBorders>
            <w:shd w:val="clear" w:color="auto" w:fill="auto"/>
            <w:vAlign w:val="bottom"/>
          </w:tcPr>
          <w:p w14:paraId="16B3B372" w14:textId="77777777" w:rsidR="002763AB" w:rsidRPr="00FB38E1" w:rsidRDefault="002763AB" w:rsidP="002763AB">
            <w:pPr>
              <w:rPr>
                <w:rFonts w:ascii="Microsoft Sans Serif" w:hAnsi="Microsoft Sans Serif" w:cs="Microsoft Sans Serif"/>
                <w:sz w:val="16"/>
                <w:szCs w:val="16"/>
              </w:rPr>
            </w:pPr>
          </w:p>
        </w:tc>
        <w:tc>
          <w:tcPr>
            <w:tcW w:w="523" w:type="pct"/>
            <w:tcBorders>
              <w:top w:val="nil"/>
            </w:tcBorders>
            <w:shd w:val="clear" w:color="auto" w:fill="auto"/>
            <w:vAlign w:val="bottom"/>
          </w:tcPr>
          <w:p w14:paraId="06F7E493" w14:textId="77777777" w:rsidR="002763AB" w:rsidRPr="00FB38E1" w:rsidRDefault="002763AB" w:rsidP="002763AB">
            <w:pPr>
              <w:rPr>
                <w:rFonts w:ascii="Microsoft Sans Serif" w:hAnsi="Microsoft Sans Serif" w:cs="Microsoft Sans Serif"/>
                <w:sz w:val="16"/>
                <w:szCs w:val="16"/>
              </w:rPr>
            </w:pPr>
          </w:p>
        </w:tc>
        <w:tc>
          <w:tcPr>
            <w:tcW w:w="477" w:type="pct"/>
            <w:tcBorders>
              <w:top w:val="nil"/>
            </w:tcBorders>
            <w:shd w:val="clear" w:color="auto" w:fill="auto"/>
            <w:vAlign w:val="bottom"/>
          </w:tcPr>
          <w:p w14:paraId="5DD5EA0E" w14:textId="77777777" w:rsidR="002763AB" w:rsidRPr="00FB38E1" w:rsidRDefault="002763AB" w:rsidP="002763AB">
            <w:pPr>
              <w:rPr>
                <w:rFonts w:ascii="Microsoft Sans Serif" w:hAnsi="Microsoft Sans Serif" w:cs="Microsoft Sans Serif"/>
                <w:sz w:val="16"/>
                <w:szCs w:val="16"/>
              </w:rPr>
            </w:pPr>
          </w:p>
        </w:tc>
        <w:tc>
          <w:tcPr>
            <w:tcW w:w="621" w:type="pct"/>
            <w:tcBorders>
              <w:top w:val="nil"/>
            </w:tcBorders>
            <w:shd w:val="clear" w:color="auto" w:fill="auto"/>
            <w:vAlign w:val="bottom"/>
          </w:tcPr>
          <w:p w14:paraId="6F088BCE" w14:textId="141DFF40" w:rsidR="002763AB" w:rsidRPr="00FB38E1" w:rsidRDefault="002763AB" w:rsidP="002763AB">
            <w:pPr>
              <w:rPr>
                <w:rFonts w:ascii="Microsoft Sans Serif" w:hAnsi="Microsoft Sans Serif" w:cs="Microsoft Sans Serif"/>
                <w:sz w:val="16"/>
                <w:szCs w:val="16"/>
              </w:rPr>
            </w:pPr>
          </w:p>
        </w:tc>
      </w:tr>
      <w:tr w:rsidR="001E5443" w:rsidRPr="00FB38E1" w14:paraId="6BFA2476" w14:textId="77777777" w:rsidTr="009262F2">
        <w:tc>
          <w:tcPr>
            <w:tcW w:w="1636" w:type="pct"/>
            <w:shd w:val="clear" w:color="auto" w:fill="auto"/>
            <w:vAlign w:val="center"/>
          </w:tcPr>
          <w:p w14:paraId="2AA0E318" w14:textId="0EEF8933"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Diğer faaliyet giderleri (*)</w:t>
            </w:r>
          </w:p>
        </w:tc>
        <w:tc>
          <w:tcPr>
            <w:tcW w:w="660" w:type="pct"/>
            <w:shd w:val="clear" w:color="auto" w:fill="auto"/>
            <w:vAlign w:val="bottom"/>
          </w:tcPr>
          <w:p w14:paraId="7934D58C" w14:textId="155A3861"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(5.996.936)</w:t>
            </w:r>
          </w:p>
        </w:tc>
        <w:tc>
          <w:tcPr>
            <w:tcW w:w="560" w:type="pct"/>
            <w:shd w:val="clear" w:color="auto" w:fill="auto"/>
            <w:vAlign w:val="bottom"/>
          </w:tcPr>
          <w:p w14:paraId="7AF16726" w14:textId="2781B260"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(16.956.447)</w:t>
            </w:r>
          </w:p>
        </w:tc>
        <w:tc>
          <w:tcPr>
            <w:tcW w:w="522" w:type="pct"/>
            <w:shd w:val="clear" w:color="auto" w:fill="auto"/>
            <w:vAlign w:val="bottom"/>
          </w:tcPr>
          <w:p w14:paraId="1A0F106C" w14:textId="118753EA"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(14.500.961)</w:t>
            </w:r>
          </w:p>
        </w:tc>
        <w:tc>
          <w:tcPr>
            <w:tcW w:w="523" w:type="pct"/>
            <w:shd w:val="clear" w:color="auto" w:fill="auto"/>
            <w:vAlign w:val="bottom"/>
          </w:tcPr>
          <w:p w14:paraId="4EF5BD33" w14:textId="2D96E903"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(661.980)</w:t>
            </w:r>
          </w:p>
        </w:tc>
        <w:tc>
          <w:tcPr>
            <w:tcW w:w="477" w:type="pct"/>
            <w:shd w:val="clear" w:color="auto" w:fill="auto"/>
            <w:vAlign w:val="bottom"/>
          </w:tcPr>
          <w:p w14:paraId="59537D75" w14:textId="6FDE4209"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(41.579)</w:t>
            </w:r>
          </w:p>
        </w:tc>
        <w:tc>
          <w:tcPr>
            <w:tcW w:w="621" w:type="pct"/>
            <w:shd w:val="clear" w:color="auto" w:fill="auto"/>
            <w:vAlign w:val="bottom"/>
          </w:tcPr>
          <w:p w14:paraId="44682FAF" w14:textId="367D0C1B"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(38.157.903)</w:t>
            </w:r>
          </w:p>
        </w:tc>
      </w:tr>
      <w:tr w:rsidR="001E5443" w:rsidRPr="00FB38E1" w14:paraId="7D595177" w14:textId="77777777" w:rsidTr="009262F2">
        <w:tc>
          <w:tcPr>
            <w:tcW w:w="1636" w:type="pct"/>
            <w:shd w:val="clear" w:color="auto" w:fill="auto"/>
            <w:vAlign w:val="center"/>
          </w:tcPr>
          <w:p w14:paraId="7655C58A" w14:textId="4C6543B1" w:rsidR="001E5443" w:rsidRPr="00FB38E1" w:rsidRDefault="001E5443" w:rsidP="001E5443">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Beklenen zarar karşılıkları ve diğer karşılıklar</w:t>
            </w:r>
          </w:p>
        </w:tc>
        <w:tc>
          <w:tcPr>
            <w:tcW w:w="660" w:type="pct"/>
            <w:shd w:val="clear" w:color="auto" w:fill="auto"/>
            <w:vAlign w:val="bottom"/>
          </w:tcPr>
          <w:p w14:paraId="538836F1" w14:textId="017F2167"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6.383.210</w:t>
            </w:r>
          </w:p>
        </w:tc>
        <w:tc>
          <w:tcPr>
            <w:tcW w:w="560" w:type="pct"/>
            <w:shd w:val="clear" w:color="auto" w:fill="auto"/>
            <w:vAlign w:val="bottom"/>
          </w:tcPr>
          <w:p w14:paraId="2BB0A67A" w14:textId="46F7F901"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(2.617.612)</w:t>
            </w:r>
          </w:p>
        </w:tc>
        <w:tc>
          <w:tcPr>
            <w:tcW w:w="522" w:type="pct"/>
            <w:shd w:val="clear" w:color="auto" w:fill="auto"/>
            <w:vAlign w:val="bottom"/>
          </w:tcPr>
          <w:p w14:paraId="32EF5184" w14:textId="7067733E"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(4.358.785)</w:t>
            </w:r>
          </w:p>
        </w:tc>
        <w:tc>
          <w:tcPr>
            <w:tcW w:w="523" w:type="pct"/>
            <w:shd w:val="clear" w:color="auto" w:fill="auto"/>
            <w:vAlign w:val="bottom"/>
          </w:tcPr>
          <w:p w14:paraId="2216FB76" w14:textId="2B4D4D22"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(6.777.474)</w:t>
            </w:r>
          </w:p>
        </w:tc>
        <w:tc>
          <w:tcPr>
            <w:tcW w:w="477" w:type="pct"/>
            <w:shd w:val="clear" w:color="auto" w:fill="auto"/>
            <w:vAlign w:val="bottom"/>
          </w:tcPr>
          <w:p w14:paraId="7F7D4C89" w14:textId="1F62E4B9"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(26.269)</w:t>
            </w:r>
          </w:p>
        </w:tc>
        <w:tc>
          <w:tcPr>
            <w:tcW w:w="621" w:type="pct"/>
            <w:shd w:val="clear" w:color="auto" w:fill="auto"/>
            <w:vAlign w:val="bottom"/>
          </w:tcPr>
          <w:p w14:paraId="66B9B4C8" w14:textId="40DC3170"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(7.396.930)</w:t>
            </w:r>
          </w:p>
        </w:tc>
      </w:tr>
      <w:tr w:rsidR="001E5443" w:rsidRPr="00FB38E1" w14:paraId="4DB0FE58" w14:textId="77777777" w:rsidTr="009262F2">
        <w:tc>
          <w:tcPr>
            <w:tcW w:w="1636" w:type="pct"/>
            <w:shd w:val="clear" w:color="auto" w:fill="auto"/>
            <w:vAlign w:val="center"/>
          </w:tcPr>
          <w:p w14:paraId="66974940" w14:textId="77777777"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Vergi gideri</w:t>
            </w:r>
          </w:p>
        </w:tc>
        <w:tc>
          <w:tcPr>
            <w:tcW w:w="660" w:type="pct"/>
            <w:shd w:val="clear" w:color="auto" w:fill="auto"/>
            <w:vAlign w:val="bottom"/>
          </w:tcPr>
          <w:p w14:paraId="54E20260" w14:textId="77777777" w:rsidR="001E5443" w:rsidRPr="00FB38E1" w:rsidRDefault="001E5443" w:rsidP="001E5443">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7D820CD0" w14:textId="77777777" w:rsidR="001E5443" w:rsidRPr="00FB38E1" w:rsidRDefault="001E5443" w:rsidP="001E5443">
            <w:pPr>
              <w:rPr>
                <w:rFonts w:ascii="Microsoft Sans Serif" w:hAnsi="Microsoft Sans Serif" w:cs="Microsoft Sans Serif"/>
                <w:sz w:val="16"/>
                <w:szCs w:val="16"/>
              </w:rPr>
            </w:pPr>
          </w:p>
        </w:tc>
        <w:tc>
          <w:tcPr>
            <w:tcW w:w="522" w:type="pct"/>
            <w:shd w:val="clear" w:color="auto" w:fill="auto"/>
            <w:vAlign w:val="bottom"/>
          </w:tcPr>
          <w:p w14:paraId="01329601" w14:textId="77777777" w:rsidR="001E5443" w:rsidRPr="00FB38E1" w:rsidRDefault="001E5443" w:rsidP="001E5443">
            <w:pPr>
              <w:rPr>
                <w:rFonts w:ascii="Microsoft Sans Serif" w:hAnsi="Microsoft Sans Serif" w:cs="Microsoft Sans Serif"/>
                <w:sz w:val="16"/>
                <w:szCs w:val="16"/>
              </w:rPr>
            </w:pPr>
          </w:p>
        </w:tc>
        <w:tc>
          <w:tcPr>
            <w:tcW w:w="523" w:type="pct"/>
            <w:shd w:val="clear" w:color="auto" w:fill="auto"/>
            <w:vAlign w:val="bottom"/>
          </w:tcPr>
          <w:p w14:paraId="0CB16362" w14:textId="77777777" w:rsidR="001E5443" w:rsidRPr="00FB38E1" w:rsidRDefault="001E5443" w:rsidP="001E5443">
            <w:pPr>
              <w:rPr>
                <w:rFonts w:ascii="Microsoft Sans Serif" w:hAnsi="Microsoft Sans Serif" w:cs="Microsoft Sans Serif"/>
                <w:sz w:val="16"/>
                <w:szCs w:val="16"/>
              </w:rPr>
            </w:pPr>
          </w:p>
        </w:tc>
        <w:tc>
          <w:tcPr>
            <w:tcW w:w="477" w:type="pct"/>
            <w:shd w:val="clear" w:color="auto" w:fill="auto"/>
            <w:vAlign w:val="bottom"/>
          </w:tcPr>
          <w:p w14:paraId="3E2EE17B" w14:textId="77777777" w:rsidR="001E5443" w:rsidRPr="00FB38E1" w:rsidRDefault="001E5443" w:rsidP="001E5443">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0C3E50DE" w14:textId="66D541A7"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(6.913.560)</w:t>
            </w:r>
          </w:p>
        </w:tc>
      </w:tr>
      <w:tr w:rsidR="001E5443" w:rsidRPr="00FB38E1" w14:paraId="341C9FB0" w14:textId="77777777" w:rsidTr="009262F2">
        <w:tc>
          <w:tcPr>
            <w:tcW w:w="1636" w:type="pct"/>
            <w:shd w:val="clear" w:color="auto" w:fill="auto"/>
            <w:vAlign w:val="bottom"/>
          </w:tcPr>
          <w:p w14:paraId="1BE27454" w14:textId="7D272359" w:rsidR="001E5443" w:rsidRPr="00FB38E1" w:rsidRDefault="001E5443" w:rsidP="001E5443">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Özkaynak Yöntemi Uygulanan Ortaklıklardan Kar/Zarar</w:t>
            </w:r>
          </w:p>
        </w:tc>
        <w:tc>
          <w:tcPr>
            <w:tcW w:w="660" w:type="pct"/>
            <w:shd w:val="clear" w:color="auto" w:fill="auto"/>
            <w:vAlign w:val="bottom"/>
          </w:tcPr>
          <w:p w14:paraId="59956E5D" w14:textId="48022E32"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000000"/>
                <w:sz w:val="16"/>
                <w:szCs w:val="16"/>
              </w:rPr>
              <w:t> </w:t>
            </w:r>
          </w:p>
        </w:tc>
        <w:tc>
          <w:tcPr>
            <w:tcW w:w="560" w:type="pct"/>
            <w:shd w:val="clear" w:color="auto" w:fill="auto"/>
            <w:vAlign w:val="bottom"/>
          </w:tcPr>
          <w:p w14:paraId="54B7DA4C" w14:textId="6E3B6D63" w:rsidR="001E5443" w:rsidRPr="00FB38E1" w:rsidRDefault="001E5443" w:rsidP="001E5443">
            <w:pPr>
              <w:rPr>
                <w:rFonts w:ascii="Microsoft Sans Serif" w:hAnsi="Microsoft Sans Serif" w:cs="Microsoft Sans Serif"/>
                <w:sz w:val="16"/>
                <w:szCs w:val="16"/>
              </w:rPr>
            </w:pPr>
            <w:r w:rsidRPr="00FB38E1">
              <w:rPr>
                <w:rFonts w:ascii="Microsoft Sans Serif" w:hAnsi="Microsoft Sans Serif" w:cs="Microsoft Sans Serif"/>
                <w:color w:val="000000"/>
                <w:sz w:val="16"/>
                <w:szCs w:val="16"/>
              </w:rPr>
              <w:t> </w:t>
            </w:r>
          </w:p>
        </w:tc>
        <w:tc>
          <w:tcPr>
            <w:tcW w:w="522" w:type="pct"/>
            <w:shd w:val="clear" w:color="auto" w:fill="auto"/>
            <w:vAlign w:val="bottom"/>
          </w:tcPr>
          <w:p w14:paraId="2C3E80C2" w14:textId="51EDDAC8" w:rsidR="001E5443" w:rsidRPr="00FB38E1" w:rsidRDefault="001E5443" w:rsidP="001E5443">
            <w:pPr>
              <w:rPr>
                <w:rFonts w:ascii="Microsoft Sans Serif" w:hAnsi="Microsoft Sans Serif" w:cs="Microsoft Sans Serif"/>
                <w:sz w:val="16"/>
                <w:szCs w:val="16"/>
              </w:rPr>
            </w:pPr>
            <w:r w:rsidRPr="00FB38E1">
              <w:rPr>
                <w:rFonts w:ascii="Microsoft Sans Serif" w:hAnsi="Microsoft Sans Serif" w:cs="Microsoft Sans Serif"/>
                <w:color w:val="000000"/>
                <w:sz w:val="16"/>
                <w:szCs w:val="16"/>
              </w:rPr>
              <w:t> </w:t>
            </w:r>
          </w:p>
        </w:tc>
        <w:tc>
          <w:tcPr>
            <w:tcW w:w="523" w:type="pct"/>
            <w:shd w:val="clear" w:color="auto" w:fill="auto"/>
            <w:vAlign w:val="bottom"/>
          </w:tcPr>
          <w:p w14:paraId="74DE6292" w14:textId="6BA5AA1D" w:rsidR="001E5443" w:rsidRPr="00FB38E1" w:rsidRDefault="001E5443" w:rsidP="001E5443">
            <w:pPr>
              <w:rPr>
                <w:rFonts w:ascii="Microsoft Sans Serif" w:hAnsi="Microsoft Sans Serif" w:cs="Microsoft Sans Serif"/>
                <w:sz w:val="16"/>
                <w:szCs w:val="16"/>
              </w:rPr>
            </w:pPr>
            <w:r w:rsidRPr="00FB38E1">
              <w:rPr>
                <w:rFonts w:ascii="Microsoft Sans Serif" w:hAnsi="Microsoft Sans Serif" w:cs="Microsoft Sans Serif"/>
                <w:color w:val="000000"/>
                <w:sz w:val="16"/>
                <w:szCs w:val="16"/>
              </w:rPr>
              <w:t> </w:t>
            </w:r>
          </w:p>
        </w:tc>
        <w:tc>
          <w:tcPr>
            <w:tcW w:w="477" w:type="pct"/>
            <w:shd w:val="clear" w:color="auto" w:fill="auto"/>
            <w:vAlign w:val="bottom"/>
          </w:tcPr>
          <w:p w14:paraId="685BD460" w14:textId="294F021F"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000000"/>
                <w:sz w:val="16"/>
                <w:szCs w:val="16"/>
              </w:rPr>
              <w:t> </w:t>
            </w:r>
          </w:p>
        </w:tc>
        <w:tc>
          <w:tcPr>
            <w:tcW w:w="621" w:type="pct"/>
            <w:shd w:val="clear" w:color="auto" w:fill="auto"/>
            <w:vAlign w:val="bottom"/>
          </w:tcPr>
          <w:p w14:paraId="127881EA" w14:textId="47C8EEA6"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15.593.952</w:t>
            </w:r>
          </w:p>
        </w:tc>
      </w:tr>
      <w:tr w:rsidR="001E5443" w:rsidRPr="00FB38E1" w14:paraId="4E95589C" w14:textId="77777777" w:rsidTr="009262F2">
        <w:tc>
          <w:tcPr>
            <w:tcW w:w="1636" w:type="pct"/>
            <w:tcBorders>
              <w:top w:val="single" w:sz="4" w:space="0" w:color="auto"/>
              <w:bottom w:val="nil"/>
            </w:tcBorders>
            <w:shd w:val="clear" w:color="auto" w:fill="auto"/>
            <w:vAlign w:val="center"/>
          </w:tcPr>
          <w:p w14:paraId="2B46DA4F" w14:textId="77777777" w:rsidR="001E5443" w:rsidRPr="00FB38E1" w:rsidRDefault="001E5443" w:rsidP="001E5443">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Sürdürülen faaliyetler net karı</w:t>
            </w:r>
          </w:p>
        </w:tc>
        <w:tc>
          <w:tcPr>
            <w:tcW w:w="660" w:type="pct"/>
            <w:tcBorders>
              <w:top w:val="single" w:sz="4" w:space="0" w:color="auto"/>
              <w:bottom w:val="nil"/>
            </w:tcBorders>
            <w:shd w:val="clear" w:color="auto" w:fill="auto"/>
            <w:vAlign w:val="bottom"/>
          </w:tcPr>
          <w:p w14:paraId="5831D773" w14:textId="55F602F8"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19.573.410</w:t>
            </w:r>
          </w:p>
        </w:tc>
        <w:tc>
          <w:tcPr>
            <w:tcW w:w="560" w:type="pct"/>
            <w:tcBorders>
              <w:top w:val="single" w:sz="4" w:space="0" w:color="auto"/>
              <w:bottom w:val="nil"/>
            </w:tcBorders>
            <w:shd w:val="clear" w:color="auto" w:fill="auto"/>
            <w:vAlign w:val="bottom"/>
          </w:tcPr>
          <w:p w14:paraId="0B232CF3" w14:textId="05413910"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12.972.953</w:t>
            </w:r>
          </w:p>
        </w:tc>
        <w:tc>
          <w:tcPr>
            <w:tcW w:w="522" w:type="pct"/>
            <w:tcBorders>
              <w:top w:val="single" w:sz="4" w:space="0" w:color="auto"/>
              <w:bottom w:val="nil"/>
            </w:tcBorders>
            <w:shd w:val="clear" w:color="auto" w:fill="auto"/>
            <w:vAlign w:val="bottom"/>
          </w:tcPr>
          <w:p w14:paraId="5F801568" w14:textId="7B108480"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8.727.452</w:t>
            </w:r>
          </w:p>
        </w:tc>
        <w:tc>
          <w:tcPr>
            <w:tcW w:w="523" w:type="pct"/>
            <w:tcBorders>
              <w:top w:val="single" w:sz="4" w:space="0" w:color="auto"/>
              <w:bottom w:val="nil"/>
            </w:tcBorders>
            <w:shd w:val="clear" w:color="auto" w:fill="auto"/>
            <w:vAlign w:val="bottom"/>
          </w:tcPr>
          <w:p w14:paraId="4FC21A49" w14:textId="09B0A9CC"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(14.686.343)</w:t>
            </w:r>
          </w:p>
        </w:tc>
        <w:tc>
          <w:tcPr>
            <w:tcW w:w="477" w:type="pct"/>
            <w:tcBorders>
              <w:top w:val="single" w:sz="4" w:space="0" w:color="auto"/>
              <w:bottom w:val="nil"/>
            </w:tcBorders>
            <w:shd w:val="clear" w:color="auto" w:fill="auto"/>
            <w:vAlign w:val="bottom"/>
          </w:tcPr>
          <w:p w14:paraId="533C7CE8" w14:textId="05C9ABB6"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9.701.633</w:t>
            </w:r>
          </w:p>
        </w:tc>
        <w:tc>
          <w:tcPr>
            <w:tcW w:w="621" w:type="pct"/>
            <w:tcBorders>
              <w:top w:val="single" w:sz="4" w:space="0" w:color="auto"/>
              <w:bottom w:val="nil"/>
            </w:tcBorders>
            <w:shd w:val="clear" w:color="auto" w:fill="auto"/>
            <w:vAlign w:val="bottom"/>
          </w:tcPr>
          <w:p w14:paraId="647744C0" w14:textId="6AE7B461"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44.969.497</w:t>
            </w:r>
          </w:p>
        </w:tc>
      </w:tr>
      <w:tr w:rsidR="00110C1D" w:rsidRPr="00FB38E1" w14:paraId="03E7F397" w14:textId="77777777" w:rsidTr="009262F2">
        <w:tc>
          <w:tcPr>
            <w:tcW w:w="1636" w:type="pct"/>
            <w:tcBorders>
              <w:top w:val="nil"/>
            </w:tcBorders>
            <w:shd w:val="clear" w:color="auto" w:fill="auto"/>
            <w:vAlign w:val="center"/>
          </w:tcPr>
          <w:p w14:paraId="527530DD" w14:textId="77777777" w:rsidR="00110C1D" w:rsidRPr="00FB38E1" w:rsidRDefault="00110C1D" w:rsidP="00110C1D">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Durdurulan faaliyetler net karı</w:t>
            </w:r>
          </w:p>
        </w:tc>
        <w:tc>
          <w:tcPr>
            <w:tcW w:w="660" w:type="pct"/>
            <w:tcBorders>
              <w:top w:val="nil"/>
            </w:tcBorders>
            <w:shd w:val="clear" w:color="auto" w:fill="auto"/>
            <w:vAlign w:val="bottom"/>
          </w:tcPr>
          <w:p w14:paraId="74E0601B" w14:textId="4F9C606F" w:rsidR="00110C1D" w:rsidRPr="00FB38E1" w:rsidRDefault="00110C1D" w:rsidP="00110C1D">
            <w:pPr>
              <w:jc w:val="right"/>
              <w:rPr>
                <w:rFonts w:ascii="Microsoft Sans Serif" w:hAnsi="Microsoft Sans Serif" w:cs="Microsoft Sans Serif"/>
                <w:color w:val="404040"/>
                <w:sz w:val="16"/>
                <w:szCs w:val="16"/>
              </w:rPr>
            </w:pPr>
          </w:p>
        </w:tc>
        <w:tc>
          <w:tcPr>
            <w:tcW w:w="560" w:type="pct"/>
            <w:tcBorders>
              <w:top w:val="nil"/>
            </w:tcBorders>
            <w:shd w:val="clear" w:color="auto" w:fill="auto"/>
            <w:vAlign w:val="bottom"/>
          </w:tcPr>
          <w:p w14:paraId="5ED3D322" w14:textId="185352CE" w:rsidR="00110C1D" w:rsidRPr="00FB38E1" w:rsidRDefault="00110C1D" w:rsidP="00110C1D">
            <w:pPr>
              <w:jc w:val="right"/>
              <w:rPr>
                <w:rFonts w:ascii="Microsoft Sans Serif" w:hAnsi="Microsoft Sans Serif" w:cs="Microsoft Sans Serif"/>
                <w:color w:val="404040"/>
                <w:sz w:val="16"/>
                <w:szCs w:val="16"/>
              </w:rPr>
            </w:pPr>
          </w:p>
        </w:tc>
        <w:tc>
          <w:tcPr>
            <w:tcW w:w="522" w:type="pct"/>
            <w:tcBorders>
              <w:top w:val="nil"/>
            </w:tcBorders>
            <w:shd w:val="clear" w:color="auto" w:fill="auto"/>
            <w:vAlign w:val="bottom"/>
          </w:tcPr>
          <w:p w14:paraId="7F57ABC5" w14:textId="53F27A86" w:rsidR="00110C1D" w:rsidRPr="00FB38E1" w:rsidRDefault="00110C1D" w:rsidP="00110C1D">
            <w:pPr>
              <w:jc w:val="right"/>
              <w:rPr>
                <w:rFonts w:ascii="Microsoft Sans Serif" w:hAnsi="Microsoft Sans Serif" w:cs="Microsoft Sans Serif"/>
                <w:color w:val="404040"/>
                <w:sz w:val="16"/>
                <w:szCs w:val="16"/>
              </w:rPr>
            </w:pPr>
          </w:p>
        </w:tc>
        <w:tc>
          <w:tcPr>
            <w:tcW w:w="523" w:type="pct"/>
            <w:tcBorders>
              <w:top w:val="nil"/>
            </w:tcBorders>
            <w:shd w:val="clear" w:color="auto" w:fill="auto"/>
            <w:vAlign w:val="bottom"/>
          </w:tcPr>
          <w:p w14:paraId="61659E66" w14:textId="35B0DA7B" w:rsidR="00110C1D" w:rsidRPr="00FB38E1" w:rsidRDefault="00110C1D" w:rsidP="00110C1D">
            <w:pPr>
              <w:jc w:val="right"/>
              <w:rPr>
                <w:rFonts w:ascii="Microsoft Sans Serif" w:hAnsi="Microsoft Sans Serif" w:cs="Microsoft Sans Serif"/>
                <w:color w:val="404040"/>
                <w:sz w:val="16"/>
                <w:szCs w:val="16"/>
              </w:rPr>
            </w:pPr>
          </w:p>
        </w:tc>
        <w:tc>
          <w:tcPr>
            <w:tcW w:w="477" w:type="pct"/>
            <w:tcBorders>
              <w:top w:val="nil"/>
            </w:tcBorders>
            <w:shd w:val="clear" w:color="auto" w:fill="auto"/>
            <w:vAlign w:val="bottom"/>
          </w:tcPr>
          <w:p w14:paraId="149E84A2" w14:textId="7FF42313" w:rsidR="00110C1D" w:rsidRPr="00FB38E1" w:rsidRDefault="00110C1D" w:rsidP="00110C1D">
            <w:pPr>
              <w:jc w:val="right"/>
              <w:rPr>
                <w:rFonts w:ascii="Microsoft Sans Serif" w:hAnsi="Microsoft Sans Serif" w:cs="Microsoft Sans Serif"/>
                <w:b/>
                <w:bCs/>
                <w:color w:val="000000"/>
                <w:sz w:val="16"/>
                <w:szCs w:val="16"/>
              </w:rPr>
            </w:pPr>
          </w:p>
        </w:tc>
        <w:tc>
          <w:tcPr>
            <w:tcW w:w="621" w:type="pct"/>
            <w:tcBorders>
              <w:top w:val="nil"/>
            </w:tcBorders>
            <w:shd w:val="clear" w:color="auto" w:fill="auto"/>
            <w:vAlign w:val="bottom"/>
          </w:tcPr>
          <w:p w14:paraId="127A9662" w14:textId="4389AF54" w:rsidR="00110C1D" w:rsidRPr="00FB38E1" w:rsidRDefault="00110C1D" w:rsidP="00110C1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110C1D" w:rsidRPr="00FB38E1" w14:paraId="648AA80D" w14:textId="77777777" w:rsidTr="009262F2">
        <w:tc>
          <w:tcPr>
            <w:tcW w:w="1636" w:type="pct"/>
            <w:tcBorders>
              <w:bottom w:val="single" w:sz="4" w:space="0" w:color="auto"/>
            </w:tcBorders>
            <w:shd w:val="clear" w:color="auto" w:fill="auto"/>
            <w:vAlign w:val="bottom"/>
          </w:tcPr>
          <w:p w14:paraId="74788DFE" w14:textId="77777777" w:rsidR="00110C1D" w:rsidRPr="00FB38E1" w:rsidRDefault="00110C1D" w:rsidP="00110C1D">
            <w:pPr>
              <w:rPr>
                <w:rFonts w:ascii="Microsoft Sans Serif" w:hAnsi="Microsoft Sans Serif" w:cs="Microsoft Sans Serif"/>
                <w:color w:val="000000"/>
                <w:sz w:val="16"/>
                <w:szCs w:val="16"/>
              </w:rPr>
            </w:pPr>
          </w:p>
        </w:tc>
        <w:tc>
          <w:tcPr>
            <w:tcW w:w="660" w:type="pct"/>
            <w:tcBorders>
              <w:bottom w:val="single" w:sz="4" w:space="0" w:color="auto"/>
            </w:tcBorders>
            <w:shd w:val="clear" w:color="auto" w:fill="auto"/>
            <w:vAlign w:val="bottom"/>
          </w:tcPr>
          <w:p w14:paraId="4FEC3492" w14:textId="779353BF" w:rsidR="00110C1D" w:rsidRPr="00FB38E1" w:rsidRDefault="00110C1D" w:rsidP="00110C1D">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6"/>
                <w:szCs w:val="6"/>
              </w:rPr>
              <w:t> </w:t>
            </w:r>
          </w:p>
        </w:tc>
        <w:tc>
          <w:tcPr>
            <w:tcW w:w="560" w:type="pct"/>
            <w:tcBorders>
              <w:bottom w:val="single" w:sz="4" w:space="0" w:color="auto"/>
            </w:tcBorders>
            <w:shd w:val="clear" w:color="auto" w:fill="auto"/>
            <w:vAlign w:val="bottom"/>
          </w:tcPr>
          <w:p w14:paraId="33A9A313" w14:textId="38C9F7E2" w:rsidR="00110C1D" w:rsidRPr="00FB38E1" w:rsidRDefault="00110C1D" w:rsidP="00110C1D">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6"/>
                <w:szCs w:val="6"/>
              </w:rPr>
              <w:t> </w:t>
            </w:r>
          </w:p>
        </w:tc>
        <w:tc>
          <w:tcPr>
            <w:tcW w:w="522" w:type="pct"/>
            <w:tcBorders>
              <w:bottom w:val="single" w:sz="4" w:space="0" w:color="auto"/>
            </w:tcBorders>
            <w:shd w:val="clear" w:color="auto" w:fill="auto"/>
            <w:vAlign w:val="bottom"/>
          </w:tcPr>
          <w:p w14:paraId="0DE1E82C" w14:textId="626A19F1" w:rsidR="00110C1D" w:rsidRPr="00FB38E1" w:rsidRDefault="00110C1D" w:rsidP="00110C1D">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6"/>
                <w:szCs w:val="6"/>
              </w:rPr>
              <w:t> </w:t>
            </w:r>
          </w:p>
        </w:tc>
        <w:tc>
          <w:tcPr>
            <w:tcW w:w="523" w:type="pct"/>
            <w:tcBorders>
              <w:bottom w:val="single" w:sz="4" w:space="0" w:color="auto"/>
            </w:tcBorders>
            <w:shd w:val="clear" w:color="auto" w:fill="auto"/>
            <w:vAlign w:val="bottom"/>
          </w:tcPr>
          <w:p w14:paraId="2E94926A" w14:textId="02467F03" w:rsidR="00110C1D" w:rsidRPr="00FB38E1" w:rsidRDefault="00110C1D" w:rsidP="00110C1D">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6"/>
                <w:szCs w:val="6"/>
              </w:rPr>
              <w:t> </w:t>
            </w:r>
          </w:p>
        </w:tc>
        <w:tc>
          <w:tcPr>
            <w:tcW w:w="477" w:type="pct"/>
            <w:tcBorders>
              <w:bottom w:val="single" w:sz="4" w:space="0" w:color="auto"/>
            </w:tcBorders>
            <w:shd w:val="clear" w:color="auto" w:fill="auto"/>
            <w:vAlign w:val="bottom"/>
          </w:tcPr>
          <w:p w14:paraId="2942F60B" w14:textId="77D83ACA" w:rsidR="00110C1D" w:rsidRPr="00FB38E1" w:rsidRDefault="00110C1D" w:rsidP="00110C1D">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6"/>
                <w:szCs w:val="6"/>
              </w:rPr>
              <w:t> </w:t>
            </w:r>
          </w:p>
        </w:tc>
        <w:tc>
          <w:tcPr>
            <w:tcW w:w="621" w:type="pct"/>
            <w:tcBorders>
              <w:bottom w:val="single" w:sz="4" w:space="0" w:color="auto"/>
            </w:tcBorders>
            <w:shd w:val="clear" w:color="auto" w:fill="auto"/>
            <w:vAlign w:val="bottom"/>
          </w:tcPr>
          <w:p w14:paraId="14C1A95A" w14:textId="64698D00" w:rsidR="00110C1D" w:rsidRPr="00FB38E1" w:rsidRDefault="00110C1D" w:rsidP="00110C1D">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6"/>
                <w:szCs w:val="6"/>
              </w:rPr>
              <w:t> </w:t>
            </w:r>
          </w:p>
        </w:tc>
      </w:tr>
      <w:tr w:rsidR="001E5443" w:rsidRPr="00FB38E1" w14:paraId="62C536A3" w14:textId="77777777" w:rsidTr="009262F2">
        <w:tc>
          <w:tcPr>
            <w:tcW w:w="1636" w:type="pct"/>
            <w:tcBorders>
              <w:top w:val="single" w:sz="4" w:space="0" w:color="auto"/>
              <w:bottom w:val="single" w:sz="4" w:space="0" w:color="auto"/>
            </w:tcBorders>
            <w:shd w:val="clear" w:color="auto" w:fill="auto"/>
            <w:vAlign w:val="center"/>
          </w:tcPr>
          <w:p w14:paraId="365DEA11" w14:textId="77777777" w:rsidR="001E5443" w:rsidRPr="00FB38E1" w:rsidRDefault="001E5443" w:rsidP="001E5443">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 dönem karı</w:t>
            </w:r>
          </w:p>
        </w:tc>
        <w:tc>
          <w:tcPr>
            <w:tcW w:w="660" w:type="pct"/>
            <w:tcBorders>
              <w:top w:val="single" w:sz="4" w:space="0" w:color="auto"/>
              <w:bottom w:val="single" w:sz="4" w:space="0" w:color="auto"/>
            </w:tcBorders>
            <w:shd w:val="clear" w:color="auto" w:fill="auto"/>
            <w:vAlign w:val="bottom"/>
          </w:tcPr>
          <w:p w14:paraId="4BE964DE" w14:textId="6952DA6E"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19.573.410</w:t>
            </w:r>
          </w:p>
        </w:tc>
        <w:tc>
          <w:tcPr>
            <w:tcW w:w="560" w:type="pct"/>
            <w:tcBorders>
              <w:top w:val="single" w:sz="4" w:space="0" w:color="auto"/>
              <w:bottom w:val="single" w:sz="4" w:space="0" w:color="auto"/>
            </w:tcBorders>
            <w:shd w:val="clear" w:color="auto" w:fill="auto"/>
            <w:vAlign w:val="bottom"/>
          </w:tcPr>
          <w:p w14:paraId="53CF788E" w14:textId="54817D59"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12.972.953</w:t>
            </w:r>
          </w:p>
        </w:tc>
        <w:tc>
          <w:tcPr>
            <w:tcW w:w="522" w:type="pct"/>
            <w:tcBorders>
              <w:top w:val="single" w:sz="4" w:space="0" w:color="auto"/>
              <w:bottom w:val="single" w:sz="4" w:space="0" w:color="auto"/>
            </w:tcBorders>
            <w:shd w:val="clear" w:color="auto" w:fill="auto"/>
            <w:vAlign w:val="bottom"/>
          </w:tcPr>
          <w:p w14:paraId="5950CC9B" w14:textId="0DF2AFEB"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8.727.452</w:t>
            </w:r>
          </w:p>
        </w:tc>
        <w:tc>
          <w:tcPr>
            <w:tcW w:w="523" w:type="pct"/>
            <w:tcBorders>
              <w:top w:val="single" w:sz="4" w:space="0" w:color="auto"/>
              <w:bottom w:val="single" w:sz="4" w:space="0" w:color="auto"/>
            </w:tcBorders>
            <w:shd w:val="clear" w:color="auto" w:fill="auto"/>
            <w:vAlign w:val="bottom"/>
          </w:tcPr>
          <w:p w14:paraId="0BC63B2A" w14:textId="46945093"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(14.686.343)</w:t>
            </w:r>
          </w:p>
        </w:tc>
        <w:tc>
          <w:tcPr>
            <w:tcW w:w="477" w:type="pct"/>
            <w:tcBorders>
              <w:top w:val="single" w:sz="4" w:space="0" w:color="auto"/>
              <w:bottom w:val="single" w:sz="4" w:space="0" w:color="auto"/>
            </w:tcBorders>
            <w:shd w:val="clear" w:color="auto" w:fill="auto"/>
            <w:vAlign w:val="bottom"/>
          </w:tcPr>
          <w:p w14:paraId="71014003" w14:textId="3EA1DE13"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9.701.633</w:t>
            </w:r>
          </w:p>
        </w:tc>
        <w:tc>
          <w:tcPr>
            <w:tcW w:w="621" w:type="pct"/>
            <w:tcBorders>
              <w:top w:val="single" w:sz="4" w:space="0" w:color="auto"/>
              <w:bottom w:val="single" w:sz="4" w:space="0" w:color="auto"/>
            </w:tcBorders>
            <w:shd w:val="clear" w:color="auto" w:fill="auto"/>
            <w:vAlign w:val="bottom"/>
          </w:tcPr>
          <w:p w14:paraId="4ED88077" w14:textId="12D65341"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44.969.497</w:t>
            </w:r>
          </w:p>
        </w:tc>
      </w:tr>
      <w:tr w:rsidR="002A3055" w:rsidRPr="00FB38E1" w14:paraId="591F2151" w14:textId="77777777" w:rsidTr="009262F2">
        <w:tc>
          <w:tcPr>
            <w:tcW w:w="1636" w:type="pct"/>
            <w:tcBorders>
              <w:top w:val="single" w:sz="4" w:space="0" w:color="auto"/>
            </w:tcBorders>
            <w:shd w:val="clear" w:color="auto" w:fill="auto"/>
            <w:vAlign w:val="bottom"/>
          </w:tcPr>
          <w:p w14:paraId="42CDEA26" w14:textId="77777777" w:rsidR="002A3055" w:rsidRPr="00FB38E1" w:rsidRDefault="002A3055" w:rsidP="002A3055">
            <w:pPr>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709C92F6" w14:textId="77777777" w:rsidR="002A3055" w:rsidRPr="00FB38E1" w:rsidRDefault="002A3055" w:rsidP="002A3055">
            <w:pPr>
              <w:jc w:val="right"/>
              <w:rPr>
                <w:rFonts w:ascii="Microsoft Sans Serif" w:hAnsi="Microsoft Sans Serif" w:cs="Microsoft Sans Serif"/>
                <w:b/>
                <w:bCs/>
                <w:color w:val="000000"/>
                <w:sz w:val="16"/>
                <w:szCs w:val="16"/>
              </w:rPr>
            </w:pPr>
          </w:p>
        </w:tc>
        <w:tc>
          <w:tcPr>
            <w:tcW w:w="560" w:type="pct"/>
            <w:tcBorders>
              <w:top w:val="single" w:sz="4" w:space="0" w:color="auto"/>
            </w:tcBorders>
            <w:shd w:val="clear" w:color="auto" w:fill="auto"/>
            <w:vAlign w:val="bottom"/>
          </w:tcPr>
          <w:p w14:paraId="41BEDB6E" w14:textId="77777777" w:rsidR="002A3055" w:rsidRPr="00FB38E1" w:rsidRDefault="002A3055" w:rsidP="002A3055">
            <w:pPr>
              <w:rPr>
                <w:rFonts w:ascii="Microsoft Sans Serif" w:hAnsi="Microsoft Sans Serif" w:cs="Microsoft Sans Serif"/>
                <w:sz w:val="16"/>
                <w:szCs w:val="16"/>
              </w:rPr>
            </w:pPr>
          </w:p>
        </w:tc>
        <w:tc>
          <w:tcPr>
            <w:tcW w:w="522" w:type="pct"/>
            <w:tcBorders>
              <w:top w:val="single" w:sz="4" w:space="0" w:color="auto"/>
            </w:tcBorders>
            <w:shd w:val="clear" w:color="auto" w:fill="auto"/>
            <w:vAlign w:val="bottom"/>
          </w:tcPr>
          <w:p w14:paraId="51F4F2BC" w14:textId="77777777" w:rsidR="002A3055" w:rsidRPr="00FB38E1" w:rsidRDefault="002A3055" w:rsidP="002A3055">
            <w:pPr>
              <w:rPr>
                <w:rFonts w:ascii="Microsoft Sans Serif" w:hAnsi="Microsoft Sans Serif" w:cs="Microsoft Sans Serif"/>
                <w:sz w:val="16"/>
                <w:szCs w:val="16"/>
              </w:rPr>
            </w:pPr>
          </w:p>
        </w:tc>
        <w:tc>
          <w:tcPr>
            <w:tcW w:w="523" w:type="pct"/>
            <w:tcBorders>
              <w:top w:val="single" w:sz="4" w:space="0" w:color="auto"/>
            </w:tcBorders>
            <w:shd w:val="clear" w:color="auto" w:fill="auto"/>
            <w:vAlign w:val="bottom"/>
          </w:tcPr>
          <w:p w14:paraId="3D110617" w14:textId="77777777" w:rsidR="002A3055" w:rsidRPr="00FB38E1" w:rsidRDefault="002A3055" w:rsidP="002A3055">
            <w:pPr>
              <w:rPr>
                <w:rFonts w:ascii="Microsoft Sans Serif" w:hAnsi="Microsoft Sans Serif" w:cs="Microsoft Sans Serif"/>
                <w:sz w:val="16"/>
                <w:szCs w:val="16"/>
              </w:rPr>
            </w:pPr>
          </w:p>
        </w:tc>
        <w:tc>
          <w:tcPr>
            <w:tcW w:w="477" w:type="pct"/>
            <w:tcBorders>
              <w:top w:val="single" w:sz="4" w:space="0" w:color="auto"/>
            </w:tcBorders>
            <w:shd w:val="clear" w:color="auto" w:fill="auto"/>
            <w:vAlign w:val="bottom"/>
          </w:tcPr>
          <w:p w14:paraId="536AC006" w14:textId="77777777" w:rsidR="002A3055" w:rsidRPr="00FB38E1" w:rsidRDefault="002A3055" w:rsidP="002A3055">
            <w:pPr>
              <w:rPr>
                <w:rFonts w:ascii="Microsoft Sans Serif" w:hAnsi="Microsoft Sans Serif" w:cs="Microsoft Sans Serif"/>
                <w:sz w:val="16"/>
                <w:szCs w:val="16"/>
              </w:rPr>
            </w:pPr>
          </w:p>
        </w:tc>
        <w:tc>
          <w:tcPr>
            <w:tcW w:w="621" w:type="pct"/>
            <w:tcBorders>
              <w:top w:val="single" w:sz="4" w:space="0" w:color="auto"/>
            </w:tcBorders>
            <w:shd w:val="clear" w:color="auto" w:fill="auto"/>
            <w:vAlign w:val="bottom"/>
          </w:tcPr>
          <w:p w14:paraId="51237A7E" w14:textId="5801AD86" w:rsidR="002A3055" w:rsidRPr="00FB38E1" w:rsidRDefault="002A3055" w:rsidP="002A3055">
            <w:pPr>
              <w:rPr>
                <w:rFonts w:ascii="Microsoft Sans Serif" w:hAnsi="Microsoft Sans Serif" w:cs="Microsoft Sans Serif"/>
                <w:sz w:val="16"/>
                <w:szCs w:val="16"/>
              </w:rPr>
            </w:pPr>
          </w:p>
        </w:tc>
      </w:tr>
      <w:tr w:rsidR="002A3055" w:rsidRPr="00FB38E1" w14:paraId="4F4A650F" w14:textId="77777777" w:rsidTr="009262F2">
        <w:tc>
          <w:tcPr>
            <w:tcW w:w="1636" w:type="pct"/>
            <w:shd w:val="clear" w:color="auto" w:fill="auto"/>
            <w:vAlign w:val="center"/>
          </w:tcPr>
          <w:p w14:paraId="1A4E0FB2" w14:textId="1C14C8D8" w:rsidR="002A3055" w:rsidRPr="00FB38E1" w:rsidRDefault="002A3055" w:rsidP="002A305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Dönem </w:t>
            </w:r>
            <w:r w:rsidR="00D2745C" w:rsidRPr="00FB38E1">
              <w:rPr>
                <w:rFonts w:ascii="Microsoft Sans Serif" w:hAnsi="Microsoft Sans Serif" w:cs="Microsoft Sans Serif"/>
                <w:b/>
                <w:bCs/>
                <w:color w:val="000000"/>
                <w:sz w:val="16"/>
                <w:szCs w:val="16"/>
              </w:rPr>
              <w:t>(31/12/2024)</w:t>
            </w:r>
          </w:p>
        </w:tc>
        <w:tc>
          <w:tcPr>
            <w:tcW w:w="660" w:type="pct"/>
            <w:shd w:val="clear" w:color="auto" w:fill="auto"/>
            <w:vAlign w:val="bottom"/>
          </w:tcPr>
          <w:p w14:paraId="3FBCEF63" w14:textId="2CF06AD3" w:rsidR="002A3055" w:rsidRPr="00FB38E1" w:rsidRDefault="002A3055" w:rsidP="002A3055">
            <w:pPr>
              <w:rPr>
                <w:rFonts w:ascii="Microsoft Sans Serif" w:hAnsi="Microsoft Sans Serif" w:cs="Microsoft Sans Serif"/>
                <w:sz w:val="16"/>
                <w:szCs w:val="16"/>
              </w:rPr>
            </w:pPr>
          </w:p>
        </w:tc>
        <w:tc>
          <w:tcPr>
            <w:tcW w:w="560" w:type="pct"/>
            <w:shd w:val="clear" w:color="auto" w:fill="auto"/>
            <w:vAlign w:val="bottom"/>
          </w:tcPr>
          <w:p w14:paraId="4E388CFE" w14:textId="0BD95DCE" w:rsidR="002A3055" w:rsidRPr="00FB38E1" w:rsidRDefault="002A3055" w:rsidP="002A3055">
            <w:pPr>
              <w:rPr>
                <w:rFonts w:ascii="Microsoft Sans Serif" w:hAnsi="Microsoft Sans Serif" w:cs="Microsoft Sans Serif"/>
                <w:sz w:val="16"/>
                <w:szCs w:val="16"/>
              </w:rPr>
            </w:pPr>
          </w:p>
        </w:tc>
        <w:tc>
          <w:tcPr>
            <w:tcW w:w="522" w:type="pct"/>
            <w:shd w:val="clear" w:color="auto" w:fill="auto"/>
            <w:vAlign w:val="bottom"/>
          </w:tcPr>
          <w:p w14:paraId="6A85D8EB" w14:textId="26A10F6C" w:rsidR="002A3055" w:rsidRPr="00FB38E1" w:rsidRDefault="002A3055" w:rsidP="002A3055">
            <w:pPr>
              <w:rPr>
                <w:rFonts w:ascii="Microsoft Sans Serif" w:hAnsi="Microsoft Sans Serif" w:cs="Microsoft Sans Serif"/>
                <w:sz w:val="16"/>
                <w:szCs w:val="16"/>
              </w:rPr>
            </w:pPr>
          </w:p>
        </w:tc>
        <w:tc>
          <w:tcPr>
            <w:tcW w:w="523" w:type="pct"/>
            <w:shd w:val="clear" w:color="auto" w:fill="auto"/>
            <w:vAlign w:val="bottom"/>
          </w:tcPr>
          <w:p w14:paraId="2BDF97BF" w14:textId="68B94536" w:rsidR="002A3055" w:rsidRPr="00FB38E1" w:rsidRDefault="002A3055" w:rsidP="002A3055">
            <w:pPr>
              <w:rPr>
                <w:rFonts w:ascii="Microsoft Sans Serif" w:hAnsi="Microsoft Sans Serif" w:cs="Microsoft Sans Serif"/>
                <w:sz w:val="16"/>
                <w:szCs w:val="16"/>
              </w:rPr>
            </w:pPr>
          </w:p>
        </w:tc>
        <w:tc>
          <w:tcPr>
            <w:tcW w:w="477" w:type="pct"/>
            <w:shd w:val="clear" w:color="auto" w:fill="auto"/>
            <w:vAlign w:val="bottom"/>
          </w:tcPr>
          <w:p w14:paraId="0BB2083D" w14:textId="16662C2C" w:rsidR="002A3055" w:rsidRPr="00FB38E1" w:rsidRDefault="002A3055" w:rsidP="002A3055">
            <w:pPr>
              <w:rPr>
                <w:rFonts w:ascii="Microsoft Sans Serif" w:hAnsi="Microsoft Sans Serif" w:cs="Microsoft Sans Serif"/>
                <w:sz w:val="16"/>
                <w:szCs w:val="16"/>
              </w:rPr>
            </w:pPr>
          </w:p>
        </w:tc>
        <w:tc>
          <w:tcPr>
            <w:tcW w:w="621" w:type="pct"/>
            <w:shd w:val="clear" w:color="auto" w:fill="auto"/>
            <w:vAlign w:val="bottom"/>
          </w:tcPr>
          <w:p w14:paraId="3BCD5533" w14:textId="7729B734" w:rsidR="002A3055" w:rsidRPr="00FB38E1" w:rsidRDefault="002A3055" w:rsidP="002A3055">
            <w:pPr>
              <w:rPr>
                <w:rFonts w:ascii="Microsoft Sans Serif" w:hAnsi="Microsoft Sans Serif" w:cs="Microsoft Sans Serif"/>
                <w:sz w:val="16"/>
                <w:szCs w:val="16"/>
              </w:rPr>
            </w:pPr>
          </w:p>
        </w:tc>
      </w:tr>
      <w:tr w:rsidR="001E5443" w:rsidRPr="00FB38E1" w14:paraId="5AC02FCA" w14:textId="77777777" w:rsidTr="009262F2">
        <w:tc>
          <w:tcPr>
            <w:tcW w:w="1636" w:type="pct"/>
            <w:shd w:val="clear" w:color="auto" w:fill="auto"/>
            <w:vAlign w:val="center"/>
          </w:tcPr>
          <w:p w14:paraId="7413E0FD" w14:textId="77777777"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Bölüm varlıkları</w:t>
            </w:r>
          </w:p>
        </w:tc>
        <w:tc>
          <w:tcPr>
            <w:tcW w:w="660" w:type="pct"/>
            <w:shd w:val="clear" w:color="auto" w:fill="auto"/>
            <w:vAlign w:val="bottom"/>
          </w:tcPr>
          <w:p w14:paraId="39AB435F" w14:textId="1C2A3BC2"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262.913.107</w:t>
            </w:r>
          </w:p>
        </w:tc>
        <w:tc>
          <w:tcPr>
            <w:tcW w:w="560" w:type="pct"/>
            <w:shd w:val="clear" w:color="auto" w:fill="auto"/>
            <w:vAlign w:val="bottom"/>
          </w:tcPr>
          <w:p w14:paraId="7A4457EB" w14:textId="7FC89E7A"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294.432.150</w:t>
            </w:r>
          </w:p>
        </w:tc>
        <w:tc>
          <w:tcPr>
            <w:tcW w:w="522" w:type="pct"/>
            <w:shd w:val="clear" w:color="auto" w:fill="auto"/>
            <w:vAlign w:val="bottom"/>
          </w:tcPr>
          <w:p w14:paraId="2AEDCC5B" w14:textId="6CC862E4"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142.761.095</w:t>
            </w:r>
          </w:p>
        </w:tc>
        <w:tc>
          <w:tcPr>
            <w:tcW w:w="523" w:type="pct"/>
            <w:shd w:val="clear" w:color="auto" w:fill="auto"/>
            <w:vAlign w:val="bottom"/>
          </w:tcPr>
          <w:p w14:paraId="7FC58DCE" w14:textId="709E13F8"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502.361.454</w:t>
            </w:r>
          </w:p>
        </w:tc>
        <w:tc>
          <w:tcPr>
            <w:tcW w:w="477" w:type="pct"/>
            <w:shd w:val="clear" w:color="auto" w:fill="auto"/>
            <w:vAlign w:val="bottom"/>
          </w:tcPr>
          <w:p w14:paraId="45139461" w14:textId="3747B542"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w:t>
            </w:r>
          </w:p>
        </w:tc>
        <w:tc>
          <w:tcPr>
            <w:tcW w:w="621" w:type="pct"/>
            <w:shd w:val="clear" w:color="auto" w:fill="auto"/>
            <w:vAlign w:val="bottom"/>
          </w:tcPr>
          <w:p w14:paraId="58DE145E" w14:textId="32F2860D"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1.202.467.806</w:t>
            </w:r>
          </w:p>
        </w:tc>
      </w:tr>
      <w:tr w:rsidR="001E5443" w:rsidRPr="00FB38E1" w14:paraId="33D1B078" w14:textId="77777777" w:rsidTr="009262F2">
        <w:tc>
          <w:tcPr>
            <w:tcW w:w="1636" w:type="pct"/>
            <w:shd w:val="clear" w:color="auto" w:fill="auto"/>
            <w:vAlign w:val="center"/>
          </w:tcPr>
          <w:p w14:paraId="19F649D4" w14:textId="77777777"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İştirak ve bağlı ortaklıklar</w:t>
            </w:r>
          </w:p>
        </w:tc>
        <w:tc>
          <w:tcPr>
            <w:tcW w:w="660" w:type="pct"/>
            <w:shd w:val="clear" w:color="auto" w:fill="auto"/>
            <w:vAlign w:val="bottom"/>
          </w:tcPr>
          <w:p w14:paraId="187AFDA5" w14:textId="555BC30B" w:rsidR="001E5443" w:rsidRPr="00FB38E1" w:rsidRDefault="001E5443" w:rsidP="001E5443">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41615C30" w14:textId="3C566E5D" w:rsidR="001E5443" w:rsidRPr="00FB38E1" w:rsidRDefault="001E5443" w:rsidP="001E5443">
            <w:pPr>
              <w:rPr>
                <w:rFonts w:ascii="Microsoft Sans Serif" w:hAnsi="Microsoft Sans Serif" w:cs="Microsoft Sans Serif"/>
                <w:sz w:val="16"/>
                <w:szCs w:val="16"/>
              </w:rPr>
            </w:pPr>
          </w:p>
        </w:tc>
        <w:tc>
          <w:tcPr>
            <w:tcW w:w="522" w:type="pct"/>
            <w:shd w:val="clear" w:color="auto" w:fill="auto"/>
            <w:vAlign w:val="bottom"/>
          </w:tcPr>
          <w:p w14:paraId="4F1A6E96" w14:textId="5AD4B8CE" w:rsidR="001E5443" w:rsidRPr="00FB38E1" w:rsidRDefault="001E5443" w:rsidP="001E5443">
            <w:pPr>
              <w:rPr>
                <w:rFonts w:ascii="Microsoft Sans Serif" w:hAnsi="Microsoft Sans Serif" w:cs="Microsoft Sans Serif"/>
                <w:sz w:val="16"/>
                <w:szCs w:val="16"/>
              </w:rPr>
            </w:pPr>
          </w:p>
        </w:tc>
        <w:tc>
          <w:tcPr>
            <w:tcW w:w="523" w:type="pct"/>
            <w:shd w:val="clear" w:color="auto" w:fill="auto"/>
            <w:vAlign w:val="bottom"/>
          </w:tcPr>
          <w:p w14:paraId="44113F77" w14:textId="2DC29A91" w:rsidR="001E5443" w:rsidRPr="00FB38E1" w:rsidRDefault="001E5443" w:rsidP="001E5443">
            <w:pPr>
              <w:rPr>
                <w:rFonts w:ascii="Microsoft Sans Serif" w:hAnsi="Microsoft Sans Serif" w:cs="Microsoft Sans Serif"/>
                <w:sz w:val="16"/>
                <w:szCs w:val="16"/>
              </w:rPr>
            </w:pPr>
          </w:p>
        </w:tc>
        <w:tc>
          <w:tcPr>
            <w:tcW w:w="477" w:type="pct"/>
            <w:shd w:val="clear" w:color="auto" w:fill="auto"/>
            <w:vAlign w:val="bottom"/>
          </w:tcPr>
          <w:p w14:paraId="235A84CA" w14:textId="1DB07D73" w:rsidR="001E5443" w:rsidRPr="00FB38E1" w:rsidRDefault="001E5443" w:rsidP="001E5443">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64BCA34D" w14:textId="26F61113"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88.744.432</w:t>
            </w:r>
          </w:p>
        </w:tc>
      </w:tr>
      <w:tr w:rsidR="001E5443" w:rsidRPr="00FB38E1" w14:paraId="3D9A52BF" w14:textId="77777777" w:rsidTr="009262F2">
        <w:tc>
          <w:tcPr>
            <w:tcW w:w="1636" w:type="pct"/>
            <w:tcBorders>
              <w:bottom w:val="single" w:sz="4" w:space="0" w:color="auto"/>
            </w:tcBorders>
            <w:shd w:val="clear" w:color="auto" w:fill="auto"/>
            <w:vAlign w:val="center"/>
          </w:tcPr>
          <w:p w14:paraId="0E6BA9DD" w14:textId="7BBE5D7C"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Dağıtılmamış varlıklar</w:t>
            </w:r>
          </w:p>
        </w:tc>
        <w:tc>
          <w:tcPr>
            <w:tcW w:w="660" w:type="pct"/>
            <w:tcBorders>
              <w:bottom w:val="single" w:sz="4" w:space="0" w:color="auto"/>
            </w:tcBorders>
            <w:shd w:val="clear" w:color="auto" w:fill="auto"/>
            <w:vAlign w:val="bottom"/>
          </w:tcPr>
          <w:p w14:paraId="53603496" w14:textId="340C5914" w:rsidR="001E5443" w:rsidRPr="00FB38E1" w:rsidRDefault="001E5443" w:rsidP="001E544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2CCE4C43" w14:textId="29397878" w:rsidR="001E5443" w:rsidRPr="00FB38E1" w:rsidRDefault="001E5443" w:rsidP="001E544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01508427" w14:textId="5AFCA023" w:rsidR="001E5443" w:rsidRPr="00FB38E1" w:rsidRDefault="001E5443" w:rsidP="001E544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08EA8F88" w14:textId="7217B8C2" w:rsidR="001E5443" w:rsidRPr="00FB38E1" w:rsidRDefault="001E5443" w:rsidP="001E544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707DB349" w14:textId="13151AB1"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 </w:t>
            </w:r>
          </w:p>
        </w:tc>
        <w:tc>
          <w:tcPr>
            <w:tcW w:w="621" w:type="pct"/>
            <w:tcBorders>
              <w:bottom w:val="single" w:sz="4" w:space="0" w:color="auto"/>
            </w:tcBorders>
            <w:shd w:val="clear" w:color="auto" w:fill="auto"/>
            <w:vAlign w:val="bottom"/>
          </w:tcPr>
          <w:p w14:paraId="29911333" w14:textId="416FD9C8"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79.408.794</w:t>
            </w:r>
          </w:p>
        </w:tc>
      </w:tr>
      <w:tr w:rsidR="001E5443" w:rsidRPr="00FB38E1" w14:paraId="08F80347" w14:textId="77777777" w:rsidTr="009262F2">
        <w:tc>
          <w:tcPr>
            <w:tcW w:w="1636" w:type="pct"/>
            <w:tcBorders>
              <w:top w:val="single" w:sz="4" w:space="0" w:color="auto"/>
              <w:bottom w:val="single" w:sz="4" w:space="0" w:color="auto"/>
            </w:tcBorders>
            <w:shd w:val="clear" w:color="auto" w:fill="auto"/>
            <w:vAlign w:val="center"/>
          </w:tcPr>
          <w:p w14:paraId="646548F5" w14:textId="77777777" w:rsidR="001E5443" w:rsidRPr="00FB38E1" w:rsidRDefault="001E5443" w:rsidP="001E5443">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 varlıklar</w:t>
            </w:r>
          </w:p>
        </w:tc>
        <w:tc>
          <w:tcPr>
            <w:tcW w:w="660" w:type="pct"/>
            <w:tcBorders>
              <w:top w:val="single" w:sz="4" w:space="0" w:color="auto"/>
              <w:bottom w:val="single" w:sz="4" w:space="0" w:color="auto"/>
            </w:tcBorders>
            <w:shd w:val="clear" w:color="auto" w:fill="auto"/>
            <w:vAlign w:val="bottom"/>
          </w:tcPr>
          <w:p w14:paraId="1CACBFD0" w14:textId="31F44CE2" w:rsidR="001E5443" w:rsidRPr="00FB38E1" w:rsidRDefault="001E5443" w:rsidP="001E5443">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560" w:type="pct"/>
            <w:tcBorders>
              <w:top w:val="single" w:sz="4" w:space="0" w:color="auto"/>
              <w:bottom w:val="single" w:sz="4" w:space="0" w:color="auto"/>
            </w:tcBorders>
            <w:shd w:val="clear" w:color="auto" w:fill="auto"/>
            <w:vAlign w:val="bottom"/>
          </w:tcPr>
          <w:p w14:paraId="2A475C1D" w14:textId="33EB8E77" w:rsidR="001E5443" w:rsidRPr="00FB38E1" w:rsidRDefault="001E5443" w:rsidP="001E5443">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522" w:type="pct"/>
            <w:tcBorders>
              <w:top w:val="single" w:sz="4" w:space="0" w:color="auto"/>
              <w:bottom w:val="single" w:sz="4" w:space="0" w:color="auto"/>
            </w:tcBorders>
            <w:shd w:val="clear" w:color="auto" w:fill="auto"/>
            <w:vAlign w:val="bottom"/>
          </w:tcPr>
          <w:p w14:paraId="0EA59E4D" w14:textId="1E56F37A" w:rsidR="001E5443" w:rsidRPr="00FB38E1" w:rsidRDefault="001E5443" w:rsidP="001E5443">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523" w:type="pct"/>
            <w:tcBorders>
              <w:top w:val="single" w:sz="4" w:space="0" w:color="auto"/>
              <w:bottom w:val="single" w:sz="4" w:space="0" w:color="auto"/>
            </w:tcBorders>
            <w:shd w:val="clear" w:color="auto" w:fill="auto"/>
            <w:vAlign w:val="bottom"/>
          </w:tcPr>
          <w:p w14:paraId="02B6BAAE" w14:textId="60125581" w:rsidR="001E5443" w:rsidRPr="00FB38E1" w:rsidRDefault="001E5443" w:rsidP="001E5443">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477" w:type="pct"/>
            <w:tcBorders>
              <w:top w:val="single" w:sz="4" w:space="0" w:color="auto"/>
              <w:bottom w:val="single" w:sz="4" w:space="0" w:color="auto"/>
            </w:tcBorders>
            <w:shd w:val="clear" w:color="auto" w:fill="auto"/>
            <w:vAlign w:val="bottom"/>
          </w:tcPr>
          <w:p w14:paraId="28BB9AED" w14:textId="1F78F690"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000000"/>
                <w:sz w:val="16"/>
                <w:szCs w:val="16"/>
              </w:rPr>
              <w:t> </w:t>
            </w:r>
          </w:p>
        </w:tc>
        <w:tc>
          <w:tcPr>
            <w:tcW w:w="621" w:type="pct"/>
            <w:tcBorders>
              <w:top w:val="single" w:sz="4" w:space="0" w:color="auto"/>
              <w:bottom w:val="single" w:sz="4" w:space="0" w:color="auto"/>
            </w:tcBorders>
            <w:shd w:val="clear" w:color="auto" w:fill="auto"/>
            <w:vAlign w:val="bottom"/>
          </w:tcPr>
          <w:p w14:paraId="37245C5C" w14:textId="1F1B55E1"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1.370.621.032</w:t>
            </w:r>
          </w:p>
        </w:tc>
      </w:tr>
      <w:tr w:rsidR="002A3055" w:rsidRPr="00FB38E1" w14:paraId="2F9576A0" w14:textId="77777777" w:rsidTr="009262F2">
        <w:tc>
          <w:tcPr>
            <w:tcW w:w="1636" w:type="pct"/>
            <w:tcBorders>
              <w:top w:val="single" w:sz="4" w:space="0" w:color="auto"/>
            </w:tcBorders>
            <w:shd w:val="clear" w:color="auto" w:fill="auto"/>
            <w:vAlign w:val="bottom"/>
          </w:tcPr>
          <w:p w14:paraId="2DA27AB5" w14:textId="77777777" w:rsidR="002A3055" w:rsidRPr="00FB38E1" w:rsidRDefault="002A3055" w:rsidP="002A3055">
            <w:pPr>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4D4A4945" w14:textId="574888BC" w:rsidR="002A3055" w:rsidRPr="00FB38E1" w:rsidRDefault="002A3055" w:rsidP="002A3055">
            <w:pPr>
              <w:jc w:val="right"/>
              <w:rPr>
                <w:rFonts w:ascii="Microsoft Sans Serif" w:hAnsi="Microsoft Sans Serif" w:cs="Microsoft Sans Serif"/>
                <w:b/>
                <w:bCs/>
                <w:color w:val="000000"/>
                <w:sz w:val="16"/>
                <w:szCs w:val="16"/>
              </w:rPr>
            </w:pPr>
          </w:p>
        </w:tc>
        <w:tc>
          <w:tcPr>
            <w:tcW w:w="560" w:type="pct"/>
            <w:tcBorders>
              <w:top w:val="single" w:sz="4" w:space="0" w:color="auto"/>
            </w:tcBorders>
            <w:shd w:val="clear" w:color="auto" w:fill="auto"/>
            <w:vAlign w:val="bottom"/>
          </w:tcPr>
          <w:p w14:paraId="35E9BBE7" w14:textId="593B696E" w:rsidR="002A3055" w:rsidRPr="00FB38E1" w:rsidRDefault="002A3055" w:rsidP="002A3055">
            <w:pPr>
              <w:rPr>
                <w:rFonts w:ascii="Microsoft Sans Serif" w:hAnsi="Microsoft Sans Serif" w:cs="Microsoft Sans Serif"/>
                <w:sz w:val="16"/>
                <w:szCs w:val="16"/>
              </w:rPr>
            </w:pPr>
          </w:p>
        </w:tc>
        <w:tc>
          <w:tcPr>
            <w:tcW w:w="522" w:type="pct"/>
            <w:tcBorders>
              <w:top w:val="single" w:sz="4" w:space="0" w:color="auto"/>
            </w:tcBorders>
            <w:shd w:val="clear" w:color="auto" w:fill="auto"/>
            <w:vAlign w:val="bottom"/>
          </w:tcPr>
          <w:p w14:paraId="62DA4C9B" w14:textId="629069E5" w:rsidR="002A3055" w:rsidRPr="00FB38E1" w:rsidRDefault="002A3055" w:rsidP="002A3055">
            <w:pPr>
              <w:rPr>
                <w:rFonts w:ascii="Microsoft Sans Serif" w:hAnsi="Microsoft Sans Serif" w:cs="Microsoft Sans Serif"/>
                <w:sz w:val="16"/>
                <w:szCs w:val="16"/>
              </w:rPr>
            </w:pPr>
          </w:p>
        </w:tc>
        <w:tc>
          <w:tcPr>
            <w:tcW w:w="523" w:type="pct"/>
            <w:tcBorders>
              <w:top w:val="single" w:sz="4" w:space="0" w:color="auto"/>
            </w:tcBorders>
            <w:shd w:val="clear" w:color="auto" w:fill="auto"/>
            <w:vAlign w:val="bottom"/>
          </w:tcPr>
          <w:p w14:paraId="6BB9BF48" w14:textId="33F8959D" w:rsidR="002A3055" w:rsidRPr="00FB38E1" w:rsidRDefault="002A3055" w:rsidP="002A3055">
            <w:pPr>
              <w:rPr>
                <w:rFonts w:ascii="Microsoft Sans Serif" w:hAnsi="Microsoft Sans Serif" w:cs="Microsoft Sans Serif"/>
                <w:sz w:val="16"/>
                <w:szCs w:val="16"/>
              </w:rPr>
            </w:pPr>
          </w:p>
        </w:tc>
        <w:tc>
          <w:tcPr>
            <w:tcW w:w="477" w:type="pct"/>
            <w:tcBorders>
              <w:top w:val="single" w:sz="4" w:space="0" w:color="auto"/>
            </w:tcBorders>
            <w:shd w:val="clear" w:color="auto" w:fill="auto"/>
            <w:vAlign w:val="bottom"/>
          </w:tcPr>
          <w:p w14:paraId="07754B11" w14:textId="76FF1C96" w:rsidR="002A3055" w:rsidRPr="00FB38E1" w:rsidRDefault="002A3055" w:rsidP="002A3055">
            <w:pPr>
              <w:rPr>
                <w:rFonts w:ascii="Microsoft Sans Serif" w:hAnsi="Microsoft Sans Serif" w:cs="Microsoft Sans Serif"/>
                <w:sz w:val="16"/>
                <w:szCs w:val="16"/>
              </w:rPr>
            </w:pPr>
          </w:p>
        </w:tc>
        <w:tc>
          <w:tcPr>
            <w:tcW w:w="621" w:type="pct"/>
            <w:tcBorders>
              <w:top w:val="single" w:sz="4" w:space="0" w:color="auto"/>
            </w:tcBorders>
            <w:shd w:val="clear" w:color="auto" w:fill="auto"/>
            <w:vAlign w:val="bottom"/>
          </w:tcPr>
          <w:p w14:paraId="4FEC195A" w14:textId="6E66C0CB" w:rsidR="002A3055" w:rsidRPr="00FB38E1" w:rsidRDefault="002A3055" w:rsidP="002A3055">
            <w:pPr>
              <w:rPr>
                <w:rFonts w:ascii="Microsoft Sans Serif" w:hAnsi="Microsoft Sans Serif" w:cs="Microsoft Sans Serif"/>
                <w:sz w:val="16"/>
                <w:szCs w:val="16"/>
              </w:rPr>
            </w:pPr>
          </w:p>
        </w:tc>
      </w:tr>
      <w:tr w:rsidR="001E5443" w:rsidRPr="00FB38E1" w14:paraId="663A8906" w14:textId="77777777" w:rsidTr="009262F2">
        <w:tc>
          <w:tcPr>
            <w:tcW w:w="1636" w:type="pct"/>
            <w:shd w:val="clear" w:color="auto" w:fill="auto"/>
            <w:vAlign w:val="center"/>
          </w:tcPr>
          <w:p w14:paraId="13F4A54E" w14:textId="77777777"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Bölüm yükümlülükleri</w:t>
            </w:r>
          </w:p>
        </w:tc>
        <w:tc>
          <w:tcPr>
            <w:tcW w:w="660" w:type="pct"/>
            <w:shd w:val="clear" w:color="auto" w:fill="auto"/>
            <w:vAlign w:val="bottom"/>
          </w:tcPr>
          <w:p w14:paraId="2B765843" w14:textId="7F1B7508"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213.266.318</w:t>
            </w:r>
          </w:p>
        </w:tc>
        <w:tc>
          <w:tcPr>
            <w:tcW w:w="560" w:type="pct"/>
            <w:shd w:val="clear" w:color="auto" w:fill="auto"/>
            <w:vAlign w:val="bottom"/>
          </w:tcPr>
          <w:p w14:paraId="7624BB48" w14:textId="6448EF8B"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282.691.864</w:t>
            </w:r>
          </w:p>
        </w:tc>
        <w:tc>
          <w:tcPr>
            <w:tcW w:w="522" w:type="pct"/>
            <w:shd w:val="clear" w:color="auto" w:fill="auto"/>
            <w:vAlign w:val="bottom"/>
          </w:tcPr>
          <w:p w14:paraId="7A31BB27" w14:textId="626F71E5"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267.884.858</w:t>
            </w:r>
          </w:p>
        </w:tc>
        <w:tc>
          <w:tcPr>
            <w:tcW w:w="523" w:type="pct"/>
            <w:shd w:val="clear" w:color="auto" w:fill="auto"/>
            <w:vAlign w:val="bottom"/>
          </w:tcPr>
          <w:p w14:paraId="60E5CD10" w14:textId="5F2E06A6" w:rsidR="001E5443" w:rsidRPr="00FB38E1" w:rsidRDefault="001E5443" w:rsidP="001E544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358.774.732</w:t>
            </w:r>
          </w:p>
        </w:tc>
        <w:tc>
          <w:tcPr>
            <w:tcW w:w="477" w:type="pct"/>
            <w:shd w:val="clear" w:color="auto" w:fill="auto"/>
            <w:vAlign w:val="bottom"/>
          </w:tcPr>
          <w:p w14:paraId="1CA2F148" w14:textId="4210384F"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w:t>
            </w:r>
          </w:p>
        </w:tc>
        <w:tc>
          <w:tcPr>
            <w:tcW w:w="621" w:type="pct"/>
            <w:shd w:val="clear" w:color="auto" w:fill="auto"/>
            <w:vAlign w:val="bottom"/>
          </w:tcPr>
          <w:p w14:paraId="6AF8CF6D" w14:textId="3F55B066"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1.122.617.772</w:t>
            </w:r>
          </w:p>
        </w:tc>
      </w:tr>
      <w:tr w:rsidR="001E5443" w:rsidRPr="00FB38E1" w14:paraId="6D11BEE8" w14:textId="77777777" w:rsidTr="009262F2">
        <w:tc>
          <w:tcPr>
            <w:tcW w:w="1636" w:type="pct"/>
            <w:shd w:val="clear" w:color="auto" w:fill="auto"/>
            <w:vAlign w:val="center"/>
          </w:tcPr>
          <w:p w14:paraId="6EA791E7" w14:textId="1C15A229"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Dağıtılmamış yükümlülükler</w:t>
            </w:r>
          </w:p>
        </w:tc>
        <w:tc>
          <w:tcPr>
            <w:tcW w:w="660" w:type="pct"/>
            <w:shd w:val="clear" w:color="auto" w:fill="auto"/>
            <w:vAlign w:val="bottom"/>
          </w:tcPr>
          <w:p w14:paraId="2D954C3F" w14:textId="25AB26EC" w:rsidR="001E5443" w:rsidRPr="00FB38E1" w:rsidRDefault="001E5443" w:rsidP="001E5443">
            <w:pPr>
              <w:jc w:val="right"/>
              <w:rPr>
                <w:rFonts w:ascii="Microsoft Sans Serif" w:hAnsi="Microsoft Sans Serif" w:cs="Microsoft Sans Serif"/>
                <w:b/>
                <w:bCs/>
                <w:color w:val="000000"/>
                <w:sz w:val="16"/>
                <w:szCs w:val="16"/>
              </w:rPr>
            </w:pPr>
          </w:p>
        </w:tc>
        <w:tc>
          <w:tcPr>
            <w:tcW w:w="560" w:type="pct"/>
            <w:shd w:val="clear" w:color="auto" w:fill="auto"/>
            <w:vAlign w:val="bottom"/>
          </w:tcPr>
          <w:p w14:paraId="539AD425" w14:textId="2B4232FF" w:rsidR="001E5443" w:rsidRPr="00FB38E1" w:rsidRDefault="001E5443" w:rsidP="001E5443">
            <w:pPr>
              <w:rPr>
                <w:rFonts w:ascii="Microsoft Sans Serif" w:hAnsi="Microsoft Sans Serif" w:cs="Microsoft Sans Serif"/>
                <w:sz w:val="16"/>
                <w:szCs w:val="16"/>
              </w:rPr>
            </w:pPr>
          </w:p>
        </w:tc>
        <w:tc>
          <w:tcPr>
            <w:tcW w:w="522" w:type="pct"/>
            <w:shd w:val="clear" w:color="auto" w:fill="auto"/>
            <w:vAlign w:val="bottom"/>
          </w:tcPr>
          <w:p w14:paraId="75C95F50" w14:textId="0446CD64" w:rsidR="001E5443" w:rsidRPr="00FB38E1" w:rsidRDefault="001E5443" w:rsidP="001E5443">
            <w:pPr>
              <w:rPr>
                <w:rFonts w:ascii="Microsoft Sans Serif" w:hAnsi="Microsoft Sans Serif" w:cs="Microsoft Sans Serif"/>
                <w:sz w:val="16"/>
                <w:szCs w:val="16"/>
              </w:rPr>
            </w:pPr>
          </w:p>
        </w:tc>
        <w:tc>
          <w:tcPr>
            <w:tcW w:w="523" w:type="pct"/>
            <w:shd w:val="clear" w:color="auto" w:fill="auto"/>
            <w:vAlign w:val="bottom"/>
          </w:tcPr>
          <w:p w14:paraId="495A7207" w14:textId="54E585B1" w:rsidR="001E5443" w:rsidRPr="00FB38E1" w:rsidRDefault="001E5443" w:rsidP="001E5443">
            <w:pPr>
              <w:rPr>
                <w:rFonts w:ascii="Microsoft Sans Serif" w:hAnsi="Microsoft Sans Serif" w:cs="Microsoft Sans Serif"/>
                <w:sz w:val="16"/>
                <w:szCs w:val="16"/>
              </w:rPr>
            </w:pPr>
          </w:p>
        </w:tc>
        <w:tc>
          <w:tcPr>
            <w:tcW w:w="477" w:type="pct"/>
            <w:shd w:val="clear" w:color="auto" w:fill="auto"/>
            <w:vAlign w:val="bottom"/>
          </w:tcPr>
          <w:p w14:paraId="06E3D158" w14:textId="62F10F51" w:rsidR="001E5443" w:rsidRPr="00FB38E1" w:rsidRDefault="001E5443" w:rsidP="001E5443">
            <w:pPr>
              <w:jc w:val="right"/>
              <w:rPr>
                <w:rFonts w:ascii="Microsoft Sans Serif" w:hAnsi="Microsoft Sans Serif" w:cs="Microsoft Sans Serif"/>
                <w:b/>
                <w:bCs/>
                <w:color w:val="000000"/>
                <w:sz w:val="16"/>
                <w:szCs w:val="16"/>
              </w:rPr>
            </w:pPr>
          </w:p>
        </w:tc>
        <w:tc>
          <w:tcPr>
            <w:tcW w:w="621" w:type="pct"/>
            <w:shd w:val="clear" w:color="auto" w:fill="auto"/>
            <w:vAlign w:val="bottom"/>
          </w:tcPr>
          <w:p w14:paraId="2DD55B06" w14:textId="6C0D01FF"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97.302.542</w:t>
            </w:r>
          </w:p>
        </w:tc>
      </w:tr>
      <w:tr w:rsidR="001E5443" w:rsidRPr="00FB38E1" w14:paraId="474B2625" w14:textId="77777777" w:rsidTr="009262F2">
        <w:tc>
          <w:tcPr>
            <w:tcW w:w="1636" w:type="pct"/>
            <w:tcBorders>
              <w:bottom w:val="single" w:sz="4" w:space="0" w:color="auto"/>
            </w:tcBorders>
            <w:shd w:val="clear" w:color="auto" w:fill="auto"/>
            <w:vAlign w:val="center"/>
          </w:tcPr>
          <w:p w14:paraId="5CD5C04B" w14:textId="77777777" w:rsidR="001E5443" w:rsidRPr="00FB38E1" w:rsidRDefault="001E5443" w:rsidP="001E5443">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Özkaynaklar</w:t>
            </w:r>
          </w:p>
        </w:tc>
        <w:tc>
          <w:tcPr>
            <w:tcW w:w="660" w:type="pct"/>
            <w:tcBorders>
              <w:bottom w:val="single" w:sz="4" w:space="0" w:color="auto"/>
            </w:tcBorders>
            <w:shd w:val="clear" w:color="auto" w:fill="auto"/>
            <w:vAlign w:val="bottom"/>
          </w:tcPr>
          <w:p w14:paraId="0F3EDA63" w14:textId="447C7F56" w:rsidR="001E5443" w:rsidRPr="00FB38E1" w:rsidRDefault="001E5443" w:rsidP="001E544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560" w:type="pct"/>
            <w:tcBorders>
              <w:bottom w:val="single" w:sz="4" w:space="0" w:color="auto"/>
            </w:tcBorders>
            <w:shd w:val="clear" w:color="auto" w:fill="auto"/>
            <w:vAlign w:val="bottom"/>
          </w:tcPr>
          <w:p w14:paraId="794CB2F8" w14:textId="372269FB" w:rsidR="001E5443" w:rsidRPr="00FB38E1" w:rsidRDefault="001E5443" w:rsidP="001E544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522" w:type="pct"/>
            <w:tcBorders>
              <w:bottom w:val="single" w:sz="4" w:space="0" w:color="auto"/>
            </w:tcBorders>
            <w:shd w:val="clear" w:color="auto" w:fill="auto"/>
            <w:vAlign w:val="bottom"/>
          </w:tcPr>
          <w:p w14:paraId="0E7ADE57" w14:textId="022928C5" w:rsidR="001E5443" w:rsidRPr="00FB38E1" w:rsidRDefault="001E5443" w:rsidP="001E544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523" w:type="pct"/>
            <w:tcBorders>
              <w:bottom w:val="single" w:sz="4" w:space="0" w:color="auto"/>
            </w:tcBorders>
            <w:shd w:val="clear" w:color="auto" w:fill="auto"/>
            <w:vAlign w:val="bottom"/>
          </w:tcPr>
          <w:p w14:paraId="1AB06807" w14:textId="2B1B1004" w:rsidR="001E5443" w:rsidRPr="00FB38E1" w:rsidRDefault="001E5443" w:rsidP="001E544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56773F29" w14:textId="2F812114"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 </w:t>
            </w:r>
          </w:p>
        </w:tc>
        <w:tc>
          <w:tcPr>
            <w:tcW w:w="621" w:type="pct"/>
            <w:tcBorders>
              <w:bottom w:val="single" w:sz="4" w:space="0" w:color="auto"/>
            </w:tcBorders>
            <w:shd w:val="clear" w:color="auto" w:fill="auto"/>
            <w:vAlign w:val="bottom"/>
          </w:tcPr>
          <w:p w14:paraId="7C93A5C3" w14:textId="091C4EC1"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150.700.718</w:t>
            </w:r>
          </w:p>
        </w:tc>
      </w:tr>
      <w:tr w:rsidR="001E5443" w:rsidRPr="00FB38E1" w14:paraId="6CC5F5A9" w14:textId="77777777" w:rsidTr="009262F2">
        <w:tc>
          <w:tcPr>
            <w:tcW w:w="1636" w:type="pct"/>
            <w:tcBorders>
              <w:top w:val="single" w:sz="4" w:space="0" w:color="auto"/>
              <w:bottom w:val="thickThinSmallGap" w:sz="24" w:space="0" w:color="auto"/>
            </w:tcBorders>
            <w:shd w:val="clear" w:color="auto" w:fill="auto"/>
            <w:vAlign w:val="center"/>
          </w:tcPr>
          <w:p w14:paraId="29034078" w14:textId="77777777" w:rsidR="001E5443" w:rsidRPr="00FB38E1" w:rsidRDefault="001E5443" w:rsidP="001E5443">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 yükümlülükler</w:t>
            </w:r>
          </w:p>
        </w:tc>
        <w:tc>
          <w:tcPr>
            <w:tcW w:w="660" w:type="pct"/>
            <w:tcBorders>
              <w:top w:val="single" w:sz="4" w:space="0" w:color="auto"/>
              <w:bottom w:val="thickThinSmallGap" w:sz="24" w:space="0" w:color="auto"/>
            </w:tcBorders>
            <w:shd w:val="clear" w:color="auto" w:fill="auto"/>
            <w:vAlign w:val="bottom"/>
          </w:tcPr>
          <w:p w14:paraId="7CCD0C10" w14:textId="65A2D3EA" w:rsidR="001E5443" w:rsidRPr="00FB38E1" w:rsidRDefault="001E5443" w:rsidP="001E5443">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560" w:type="pct"/>
            <w:tcBorders>
              <w:top w:val="single" w:sz="4" w:space="0" w:color="auto"/>
              <w:bottom w:val="thickThinSmallGap" w:sz="24" w:space="0" w:color="auto"/>
            </w:tcBorders>
            <w:shd w:val="clear" w:color="auto" w:fill="auto"/>
            <w:vAlign w:val="bottom"/>
          </w:tcPr>
          <w:p w14:paraId="6154C529" w14:textId="09B90EF2" w:rsidR="001E5443" w:rsidRPr="00FB38E1" w:rsidRDefault="001E5443" w:rsidP="001E5443">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522" w:type="pct"/>
            <w:tcBorders>
              <w:top w:val="single" w:sz="4" w:space="0" w:color="auto"/>
              <w:bottom w:val="thickThinSmallGap" w:sz="24" w:space="0" w:color="auto"/>
            </w:tcBorders>
            <w:shd w:val="clear" w:color="auto" w:fill="auto"/>
            <w:vAlign w:val="bottom"/>
          </w:tcPr>
          <w:p w14:paraId="0C1C9FC6" w14:textId="73AA6D13" w:rsidR="001E5443" w:rsidRPr="00FB38E1" w:rsidRDefault="001E5443" w:rsidP="001E5443">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523" w:type="pct"/>
            <w:tcBorders>
              <w:top w:val="single" w:sz="4" w:space="0" w:color="auto"/>
              <w:bottom w:val="thickThinSmallGap" w:sz="24" w:space="0" w:color="auto"/>
            </w:tcBorders>
            <w:shd w:val="clear" w:color="auto" w:fill="auto"/>
            <w:vAlign w:val="bottom"/>
          </w:tcPr>
          <w:p w14:paraId="412A154B" w14:textId="4087E52C" w:rsidR="001E5443" w:rsidRPr="00FB38E1" w:rsidRDefault="001E5443" w:rsidP="001E5443">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477" w:type="pct"/>
            <w:tcBorders>
              <w:top w:val="single" w:sz="4" w:space="0" w:color="auto"/>
              <w:bottom w:val="thickThinSmallGap" w:sz="24" w:space="0" w:color="auto"/>
            </w:tcBorders>
            <w:shd w:val="clear" w:color="auto" w:fill="auto"/>
            <w:vAlign w:val="bottom"/>
          </w:tcPr>
          <w:p w14:paraId="31933336" w14:textId="2F9235A2"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000000"/>
                <w:sz w:val="16"/>
                <w:szCs w:val="16"/>
              </w:rPr>
              <w:t> </w:t>
            </w:r>
          </w:p>
        </w:tc>
        <w:tc>
          <w:tcPr>
            <w:tcW w:w="621" w:type="pct"/>
            <w:tcBorders>
              <w:top w:val="single" w:sz="4" w:space="0" w:color="auto"/>
              <w:bottom w:val="thickThinSmallGap" w:sz="24" w:space="0" w:color="auto"/>
            </w:tcBorders>
            <w:shd w:val="clear" w:color="auto" w:fill="auto"/>
            <w:vAlign w:val="bottom"/>
          </w:tcPr>
          <w:p w14:paraId="067FB817" w14:textId="4F2B622A" w:rsidR="001E5443" w:rsidRPr="00FB38E1" w:rsidRDefault="001E5443" w:rsidP="001E544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1.370.621.032</w:t>
            </w:r>
          </w:p>
        </w:tc>
      </w:tr>
    </w:tbl>
    <w:p w14:paraId="35188392" w14:textId="253D65E1" w:rsidR="00E953FB" w:rsidRPr="00FB38E1" w:rsidRDefault="0020323B" w:rsidP="001C7B66">
      <w:pPr>
        <w:spacing w:after="240" w:line="240" w:lineRule="exac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Personel giderlerini de içermektedir.</w:t>
      </w:r>
    </w:p>
    <w:tbl>
      <w:tblPr>
        <w:tblStyle w:val="TableGrid"/>
        <w:tblW w:w="9781"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08"/>
        <w:gridCol w:w="1292"/>
        <w:gridCol w:w="1101"/>
        <w:gridCol w:w="1004"/>
        <w:gridCol w:w="1019"/>
        <w:gridCol w:w="934"/>
        <w:gridCol w:w="1223"/>
      </w:tblGrid>
      <w:tr w:rsidR="00107B59" w:rsidRPr="00FB38E1" w14:paraId="6C5C25D6" w14:textId="77777777" w:rsidTr="007C620E">
        <w:trPr>
          <w:trHeight w:val="141"/>
        </w:trPr>
        <w:tc>
          <w:tcPr>
            <w:tcW w:w="1640" w:type="pct"/>
            <w:tcBorders>
              <w:top w:val="thinThickSmallGap" w:sz="24" w:space="0" w:color="auto"/>
              <w:bottom w:val="single" w:sz="4" w:space="0" w:color="auto"/>
            </w:tcBorders>
            <w:shd w:val="clear" w:color="auto" w:fill="auto"/>
            <w:vAlign w:val="bottom"/>
          </w:tcPr>
          <w:p w14:paraId="004B2A67" w14:textId="65AEE02F" w:rsidR="00107B59" w:rsidRPr="00FB38E1" w:rsidRDefault="00115DFD" w:rsidP="00107B59">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r w:rsidRPr="00FB38E1">
              <w:rPr>
                <w:rFonts w:ascii="Microsoft Sans Serif" w:hAnsi="Microsoft Sans Serif" w:cs="Microsoft Sans Serif"/>
                <w:b/>
                <w:bCs/>
                <w:color w:val="000000"/>
                <w:sz w:val="16"/>
                <w:szCs w:val="16"/>
              </w:rPr>
              <w:br/>
              <w:t>(01/01/2023-3</w:t>
            </w:r>
            <w:r w:rsidR="004C4799" w:rsidRPr="00FB38E1">
              <w:rPr>
                <w:rFonts w:ascii="Microsoft Sans Serif" w:hAnsi="Microsoft Sans Serif" w:cs="Microsoft Sans Serif"/>
                <w:b/>
                <w:bCs/>
                <w:color w:val="000000"/>
                <w:sz w:val="16"/>
                <w:szCs w:val="16"/>
              </w:rPr>
              <w:t>1</w:t>
            </w:r>
            <w:r w:rsidRPr="00FB38E1">
              <w:rPr>
                <w:rFonts w:ascii="Microsoft Sans Serif" w:hAnsi="Microsoft Sans Serif" w:cs="Microsoft Sans Serif"/>
                <w:b/>
                <w:bCs/>
                <w:color w:val="000000"/>
                <w:sz w:val="16"/>
                <w:szCs w:val="16"/>
              </w:rPr>
              <w:t>/</w:t>
            </w:r>
            <w:r w:rsidR="004C4799" w:rsidRPr="00FB38E1">
              <w:rPr>
                <w:rFonts w:ascii="Microsoft Sans Serif" w:hAnsi="Microsoft Sans Serif" w:cs="Microsoft Sans Serif"/>
                <w:b/>
                <w:bCs/>
                <w:color w:val="000000"/>
                <w:sz w:val="16"/>
                <w:szCs w:val="16"/>
              </w:rPr>
              <w:t>12</w:t>
            </w:r>
            <w:r w:rsidR="00107B59" w:rsidRPr="00FB38E1">
              <w:rPr>
                <w:rFonts w:ascii="Microsoft Sans Serif" w:hAnsi="Microsoft Sans Serif" w:cs="Microsoft Sans Serif"/>
                <w:b/>
                <w:bCs/>
                <w:color w:val="000000"/>
                <w:sz w:val="16"/>
                <w:szCs w:val="16"/>
              </w:rPr>
              <w:t>/2023)</w:t>
            </w:r>
          </w:p>
        </w:tc>
        <w:tc>
          <w:tcPr>
            <w:tcW w:w="660" w:type="pct"/>
            <w:tcBorders>
              <w:top w:val="thinThickSmallGap" w:sz="24" w:space="0" w:color="auto"/>
              <w:bottom w:val="single" w:sz="4" w:space="0" w:color="auto"/>
            </w:tcBorders>
            <w:shd w:val="clear" w:color="auto" w:fill="auto"/>
            <w:vAlign w:val="bottom"/>
          </w:tcPr>
          <w:p w14:paraId="5EA65B60" w14:textId="667CEC7E" w:rsidR="00107B59" w:rsidRPr="00FB38E1" w:rsidRDefault="00110C1D" w:rsidP="00C019E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Kurumsal&amp;Ticari </w:t>
            </w:r>
            <w:r w:rsidRPr="00FB38E1">
              <w:rPr>
                <w:rFonts w:ascii="Microsoft Sans Serif" w:hAnsi="Microsoft Sans Serif" w:cs="Microsoft Sans Serif"/>
                <w:b/>
                <w:bCs/>
                <w:color w:val="000000"/>
                <w:sz w:val="16"/>
                <w:szCs w:val="16"/>
              </w:rPr>
              <w:br/>
              <w:t>Bankacılık</w:t>
            </w:r>
          </w:p>
        </w:tc>
        <w:tc>
          <w:tcPr>
            <w:tcW w:w="563" w:type="pct"/>
            <w:tcBorders>
              <w:top w:val="thinThickSmallGap" w:sz="24" w:space="0" w:color="auto"/>
              <w:bottom w:val="single" w:sz="4" w:space="0" w:color="auto"/>
            </w:tcBorders>
            <w:shd w:val="clear" w:color="auto" w:fill="auto"/>
            <w:vAlign w:val="bottom"/>
          </w:tcPr>
          <w:p w14:paraId="2F0C674A" w14:textId="77777777" w:rsidR="00107B59" w:rsidRPr="00FB38E1" w:rsidRDefault="00107B59" w:rsidP="00C019E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Kobi&amp;Tarım</w:t>
            </w:r>
            <w:r w:rsidRPr="00FB38E1">
              <w:rPr>
                <w:rFonts w:ascii="Microsoft Sans Serif" w:hAnsi="Microsoft Sans Serif" w:cs="Microsoft Sans Serif"/>
                <w:b/>
                <w:bCs/>
                <w:color w:val="000000"/>
                <w:sz w:val="16"/>
                <w:szCs w:val="16"/>
              </w:rPr>
              <w:br/>
              <w:t>Bankacılığı</w:t>
            </w:r>
          </w:p>
        </w:tc>
        <w:tc>
          <w:tcPr>
            <w:tcW w:w="513" w:type="pct"/>
            <w:tcBorders>
              <w:top w:val="thinThickSmallGap" w:sz="24" w:space="0" w:color="auto"/>
              <w:bottom w:val="single" w:sz="4" w:space="0" w:color="auto"/>
            </w:tcBorders>
            <w:shd w:val="clear" w:color="auto" w:fill="auto"/>
            <w:vAlign w:val="bottom"/>
          </w:tcPr>
          <w:p w14:paraId="09E35BF3" w14:textId="77777777" w:rsidR="00107B59" w:rsidRPr="00FB38E1" w:rsidRDefault="00107B59" w:rsidP="00C019E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Bireysel </w:t>
            </w:r>
            <w:r w:rsidRPr="00FB38E1">
              <w:rPr>
                <w:rFonts w:ascii="Microsoft Sans Serif" w:hAnsi="Microsoft Sans Serif" w:cs="Microsoft Sans Serif"/>
                <w:b/>
                <w:bCs/>
                <w:color w:val="000000"/>
                <w:sz w:val="16"/>
                <w:szCs w:val="16"/>
              </w:rPr>
              <w:br/>
              <w:t>Bankacılık</w:t>
            </w:r>
          </w:p>
        </w:tc>
        <w:tc>
          <w:tcPr>
            <w:tcW w:w="521" w:type="pct"/>
            <w:tcBorders>
              <w:top w:val="thinThickSmallGap" w:sz="24" w:space="0" w:color="auto"/>
              <w:bottom w:val="single" w:sz="4" w:space="0" w:color="auto"/>
            </w:tcBorders>
            <w:shd w:val="clear" w:color="auto" w:fill="auto"/>
            <w:vAlign w:val="bottom"/>
          </w:tcPr>
          <w:p w14:paraId="724B397D" w14:textId="77777777" w:rsidR="00107B59" w:rsidRPr="00FB38E1" w:rsidRDefault="00107B59" w:rsidP="00C019E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Hazine</w:t>
            </w:r>
          </w:p>
        </w:tc>
        <w:tc>
          <w:tcPr>
            <w:tcW w:w="477" w:type="pct"/>
            <w:tcBorders>
              <w:top w:val="thinThickSmallGap" w:sz="24" w:space="0" w:color="auto"/>
              <w:bottom w:val="single" w:sz="4" w:space="0" w:color="auto"/>
            </w:tcBorders>
            <w:shd w:val="clear" w:color="auto" w:fill="auto"/>
            <w:vAlign w:val="bottom"/>
          </w:tcPr>
          <w:p w14:paraId="4AE963CD" w14:textId="77777777" w:rsidR="00107B59" w:rsidRPr="00FB38E1" w:rsidRDefault="00107B59" w:rsidP="00C019E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Diğer</w:t>
            </w:r>
          </w:p>
        </w:tc>
        <w:tc>
          <w:tcPr>
            <w:tcW w:w="625" w:type="pct"/>
            <w:tcBorders>
              <w:top w:val="thinThickSmallGap" w:sz="24" w:space="0" w:color="auto"/>
              <w:bottom w:val="single" w:sz="4" w:space="0" w:color="auto"/>
            </w:tcBorders>
            <w:shd w:val="clear" w:color="auto" w:fill="auto"/>
            <w:vAlign w:val="bottom"/>
          </w:tcPr>
          <w:p w14:paraId="76A67ED2" w14:textId="77777777" w:rsidR="00107B59" w:rsidRPr="00FB38E1" w:rsidRDefault="00107B59" w:rsidP="00C019E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7C620E" w:rsidRPr="00FB38E1" w14:paraId="26672855" w14:textId="77777777" w:rsidTr="007C620E">
        <w:tc>
          <w:tcPr>
            <w:tcW w:w="1640" w:type="pct"/>
            <w:tcBorders>
              <w:top w:val="single" w:sz="4" w:space="0" w:color="auto"/>
            </w:tcBorders>
            <w:shd w:val="clear" w:color="auto" w:fill="auto"/>
            <w:vAlign w:val="center"/>
          </w:tcPr>
          <w:p w14:paraId="26248425"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Net faiz geliri</w:t>
            </w:r>
          </w:p>
        </w:tc>
        <w:tc>
          <w:tcPr>
            <w:tcW w:w="660" w:type="pct"/>
            <w:tcBorders>
              <w:top w:val="single" w:sz="4" w:space="0" w:color="auto"/>
            </w:tcBorders>
            <w:shd w:val="clear" w:color="auto" w:fill="auto"/>
            <w:vAlign w:val="bottom"/>
          </w:tcPr>
          <w:p w14:paraId="61EE4D97" w14:textId="3996522D"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9.014.229</w:t>
            </w:r>
          </w:p>
        </w:tc>
        <w:tc>
          <w:tcPr>
            <w:tcW w:w="563" w:type="pct"/>
            <w:tcBorders>
              <w:top w:val="single" w:sz="4" w:space="0" w:color="auto"/>
            </w:tcBorders>
            <w:shd w:val="clear" w:color="auto" w:fill="auto"/>
            <w:vAlign w:val="bottom"/>
          </w:tcPr>
          <w:p w14:paraId="0E238502" w14:textId="3A2473AB"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7.438.785</w:t>
            </w:r>
          </w:p>
        </w:tc>
        <w:tc>
          <w:tcPr>
            <w:tcW w:w="513" w:type="pct"/>
            <w:tcBorders>
              <w:top w:val="single" w:sz="4" w:space="0" w:color="auto"/>
            </w:tcBorders>
            <w:shd w:val="clear" w:color="auto" w:fill="auto"/>
            <w:vAlign w:val="bottom"/>
          </w:tcPr>
          <w:p w14:paraId="03B24777" w14:textId="0B7E8558"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11.625.051</w:t>
            </w:r>
          </w:p>
        </w:tc>
        <w:tc>
          <w:tcPr>
            <w:tcW w:w="521" w:type="pct"/>
            <w:tcBorders>
              <w:top w:val="single" w:sz="4" w:space="0" w:color="auto"/>
            </w:tcBorders>
            <w:shd w:val="clear" w:color="auto" w:fill="auto"/>
            <w:vAlign w:val="bottom"/>
          </w:tcPr>
          <w:p w14:paraId="696C5A5F" w14:textId="745A2F9C"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3.392.027</w:t>
            </w:r>
          </w:p>
        </w:tc>
        <w:tc>
          <w:tcPr>
            <w:tcW w:w="477" w:type="pct"/>
            <w:tcBorders>
              <w:top w:val="single" w:sz="4" w:space="0" w:color="auto"/>
            </w:tcBorders>
            <w:shd w:val="clear" w:color="auto" w:fill="auto"/>
            <w:vAlign w:val="bottom"/>
          </w:tcPr>
          <w:p w14:paraId="7CD3ECEA" w14:textId="5CB45AE1"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404040"/>
                <w:sz w:val="16"/>
                <w:szCs w:val="16"/>
              </w:rPr>
              <w:t>(3.937)</w:t>
            </w:r>
          </w:p>
        </w:tc>
        <w:tc>
          <w:tcPr>
            <w:tcW w:w="625" w:type="pct"/>
            <w:tcBorders>
              <w:top w:val="single" w:sz="4" w:space="0" w:color="auto"/>
            </w:tcBorders>
            <w:shd w:val="clear" w:color="auto" w:fill="auto"/>
            <w:vAlign w:val="bottom"/>
          </w:tcPr>
          <w:p w14:paraId="6934B741" w14:textId="7BD3E899"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31.466.155</w:t>
            </w:r>
          </w:p>
        </w:tc>
      </w:tr>
      <w:tr w:rsidR="007C620E" w:rsidRPr="00FB38E1" w14:paraId="29463020" w14:textId="77777777" w:rsidTr="007C620E">
        <w:tc>
          <w:tcPr>
            <w:tcW w:w="1640" w:type="pct"/>
            <w:shd w:val="clear" w:color="auto" w:fill="auto"/>
            <w:vAlign w:val="center"/>
          </w:tcPr>
          <w:p w14:paraId="5E83180C"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Net ücret ve komisyon gelirleri</w:t>
            </w:r>
          </w:p>
        </w:tc>
        <w:tc>
          <w:tcPr>
            <w:tcW w:w="660" w:type="pct"/>
            <w:shd w:val="clear" w:color="auto" w:fill="auto"/>
            <w:vAlign w:val="bottom"/>
          </w:tcPr>
          <w:p w14:paraId="663E7606" w14:textId="0D26B331"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1.099.275</w:t>
            </w:r>
          </w:p>
        </w:tc>
        <w:tc>
          <w:tcPr>
            <w:tcW w:w="563" w:type="pct"/>
            <w:shd w:val="clear" w:color="auto" w:fill="auto"/>
            <w:vAlign w:val="bottom"/>
          </w:tcPr>
          <w:p w14:paraId="0542B314" w14:textId="5C742C02"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4.284.921</w:t>
            </w:r>
          </w:p>
        </w:tc>
        <w:tc>
          <w:tcPr>
            <w:tcW w:w="513" w:type="pct"/>
            <w:shd w:val="clear" w:color="auto" w:fill="auto"/>
            <w:vAlign w:val="bottom"/>
          </w:tcPr>
          <w:p w14:paraId="6ADCB325" w14:textId="1498AB52"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7.930.163</w:t>
            </w:r>
          </w:p>
        </w:tc>
        <w:tc>
          <w:tcPr>
            <w:tcW w:w="521" w:type="pct"/>
            <w:shd w:val="clear" w:color="auto" w:fill="auto"/>
            <w:vAlign w:val="bottom"/>
          </w:tcPr>
          <w:p w14:paraId="2FD18B14" w14:textId="22EF8AAF"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(225.287)</w:t>
            </w:r>
          </w:p>
        </w:tc>
        <w:tc>
          <w:tcPr>
            <w:tcW w:w="477" w:type="pct"/>
            <w:shd w:val="clear" w:color="auto" w:fill="auto"/>
            <w:vAlign w:val="bottom"/>
          </w:tcPr>
          <w:p w14:paraId="14D142D4" w14:textId="7E4A60E3"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404040"/>
                <w:sz w:val="16"/>
                <w:szCs w:val="16"/>
              </w:rPr>
              <w:t>537.324</w:t>
            </w:r>
          </w:p>
        </w:tc>
        <w:tc>
          <w:tcPr>
            <w:tcW w:w="625" w:type="pct"/>
            <w:shd w:val="clear" w:color="auto" w:fill="auto"/>
            <w:vAlign w:val="bottom"/>
          </w:tcPr>
          <w:p w14:paraId="3AFD7A36" w14:textId="28CD3236"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13.626.396</w:t>
            </w:r>
          </w:p>
        </w:tc>
      </w:tr>
      <w:tr w:rsidR="007C620E" w:rsidRPr="00FB38E1" w14:paraId="3D33512B" w14:textId="77777777" w:rsidTr="007C620E">
        <w:tc>
          <w:tcPr>
            <w:tcW w:w="1640" w:type="pct"/>
            <w:shd w:val="clear" w:color="auto" w:fill="auto"/>
            <w:vAlign w:val="center"/>
          </w:tcPr>
          <w:p w14:paraId="04B1128C"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Diğer gelir/gider, net</w:t>
            </w:r>
          </w:p>
        </w:tc>
        <w:tc>
          <w:tcPr>
            <w:tcW w:w="660" w:type="pct"/>
            <w:shd w:val="clear" w:color="auto" w:fill="auto"/>
            <w:vAlign w:val="bottom"/>
          </w:tcPr>
          <w:p w14:paraId="18212CF3" w14:textId="619D53A6"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4.858.995</w:t>
            </w:r>
          </w:p>
        </w:tc>
        <w:tc>
          <w:tcPr>
            <w:tcW w:w="563" w:type="pct"/>
            <w:shd w:val="clear" w:color="auto" w:fill="auto"/>
            <w:vAlign w:val="bottom"/>
          </w:tcPr>
          <w:p w14:paraId="4BC62092" w14:textId="4D26CC76"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2.737.725</w:t>
            </w:r>
          </w:p>
        </w:tc>
        <w:tc>
          <w:tcPr>
            <w:tcW w:w="513" w:type="pct"/>
            <w:shd w:val="clear" w:color="auto" w:fill="auto"/>
            <w:vAlign w:val="bottom"/>
          </w:tcPr>
          <w:p w14:paraId="0ADC6705" w14:textId="69E900C5"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4.905.662</w:t>
            </w:r>
          </w:p>
        </w:tc>
        <w:tc>
          <w:tcPr>
            <w:tcW w:w="521" w:type="pct"/>
            <w:shd w:val="clear" w:color="auto" w:fill="auto"/>
            <w:vAlign w:val="bottom"/>
          </w:tcPr>
          <w:p w14:paraId="4468E676" w14:textId="713E226F"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(2.874.715)</w:t>
            </w:r>
          </w:p>
        </w:tc>
        <w:tc>
          <w:tcPr>
            <w:tcW w:w="477" w:type="pct"/>
            <w:shd w:val="clear" w:color="auto" w:fill="auto"/>
            <w:vAlign w:val="bottom"/>
          </w:tcPr>
          <w:p w14:paraId="075E06D3" w14:textId="7DF6C546"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404040"/>
                <w:sz w:val="16"/>
                <w:szCs w:val="16"/>
              </w:rPr>
              <w:t>(2.775.407)</w:t>
            </w:r>
          </w:p>
        </w:tc>
        <w:tc>
          <w:tcPr>
            <w:tcW w:w="625" w:type="pct"/>
            <w:shd w:val="clear" w:color="auto" w:fill="auto"/>
            <w:vAlign w:val="bottom"/>
          </w:tcPr>
          <w:p w14:paraId="3D388AD8" w14:textId="01252653"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6.852.260</w:t>
            </w:r>
          </w:p>
        </w:tc>
      </w:tr>
      <w:tr w:rsidR="007C620E" w:rsidRPr="00FB38E1" w14:paraId="1256511F" w14:textId="77777777" w:rsidTr="007C620E">
        <w:tc>
          <w:tcPr>
            <w:tcW w:w="1640" w:type="pct"/>
            <w:tcBorders>
              <w:top w:val="single" w:sz="4" w:space="0" w:color="auto"/>
              <w:bottom w:val="nil"/>
            </w:tcBorders>
            <w:shd w:val="clear" w:color="auto" w:fill="auto"/>
            <w:vAlign w:val="center"/>
          </w:tcPr>
          <w:p w14:paraId="2916F39C" w14:textId="77777777" w:rsidR="007C620E" w:rsidRPr="00FB38E1" w:rsidRDefault="007C620E" w:rsidP="007C620E">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Bölüm gelirleri toplamı</w:t>
            </w:r>
          </w:p>
        </w:tc>
        <w:tc>
          <w:tcPr>
            <w:tcW w:w="660" w:type="pct"/>
            <w:tcBorders>
              <w:top w:val="single" w:sz="4" w:space="0" w:color="auto"/>
              <w:bottom w:val="nil"/>
            </w:tcBorders>
            <w:shd w:val="clear" w:color="auto" w:fill="auto"/>
            <w:vAlign w:val="bottom"/>
          </w:tcPr>
          <w:p w14:paraId="708C6BC7" w14:textId="5832C834"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14.972.499</w:t>
            </w:r>
          </w:p>
        </w:tc>
        <w:tc>
          <w:tcPr>
            <w:tcW w:w="563" w:type="pct"/>
            <w:tcBorders>
              <w:top w:val="single" w:sz="4" w:space="0" w:color="auto"/>
              <w:bottom w:val="nil"/>
            </w:tcBorders>
            <w:shd w:val="clear" w:color="auto" w:fill="auto"/>
            <w:vAlign w:val="bottom"/>
          </w:tcPr>
          <w:p w14:paraId="560FB5C4" w14:textId="7C139F3A"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14.461.431</w:t>
            </w:r>
          </w:p>
        </w:tc>
        <w:tc>
          <w:tcPr>
            <w:tcW w:w="513" w:type="pct"/>
            <w:tcBorders>
              <w:top w:val="single" w:sz="4" w:space="0" w:color="auto"/>
              <w:bottom w:val="nil"/>
            </w:tcBorders>
            <w:shd w:val="clear" w:color="auto" w:fill="auto"/>
            <w:vAlign w:val="bottom"/>
          </w:tcPr>
          <w:p w14:paraId="33BCFF70" w14:textId="300FB586"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24.460.876</w:t>
            </w:r>
          </w:p>
        </w:tc>
        <w:tc>
          <w:tcPr>
            <w:tcW w:w="521" w:type="pct"/>
            <w:tcBorders>
              <w:top w:val="single" w:sz="4" w:space="0" w:color="auto"/>
              <w:bottom w:val="nil"/>
            </w:tcBorders>
            <w:shd w:val="clear" w:color="auto" w:fill="auto"/>
            <w:vAlign w:val="bottom"/>
          </w:tcPr>
          <w:p w14:paraId="74A0405B" w14:textId="3855FF04"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292.025</w:t>
            </w:r>
          </w:p>
        </w:tc>
        <w:tc>
          <w:tcPr>
            <w:tcW w:w="477" w:type="pct"/>
            <w:tcBorders>
              <w:top w:val="single" w:sz="4" w:space="0" w:color="auto"/>
              <w:bottom w:val="nil"/>
            </w:tcBorders>
            <w:shd w:val="clear" w:color="auto" w:fill="auto"/>
            <w:vAlign w:val="bottom"/>
          </w:tcPr>
          <w:p w14:paraId="42D1C6A3" w14:textId="67B56E57"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(2.242.020)</w:t>
            </w:r>
          </w:p>
        </w:tc>
        <w:tc>
          <w:tcPr>
            <w:tcW w:w="625" w:type="pct"/>
            <w:tcBorders>
              <w:top w:val="single" w:sz="4" w:space="0" w:color="auto"/>
              <w:bottom w:val="nil"/>
            </w:tcBorders>
            <w:shd w:val="clear" w:color="auto" w:fill="auto"/>
            <w:vAlign w:val="bottom"/>
          </w:tcPr>
          <w:p w14:paraId="04BE447E" w14:textId="3DDAD0D6"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51.944.811</w:t>
            </w:r>
          </w:p>
        </w:tc>
      </w:tr>
      <w:tr w:rsidR="00107B59" w:rsidRPr="00FB38E1" w14:paraId="797CD62F" w14:textId="77777777" w:rsidTr="007C620E">
        <w:trPr>
          <w:trHeight w:val="93"/>
        </w:trPr>
        <w:tc>
          <w:tcPr>
            <w:tcW w:w="1640" w:type="pct"/>
            <w:tcBorders>
              <w:top w:val="nil"/>
            </w:tcBorders>
            <w:shd w:val="clear" w:color="auto" w:fill="auto"/>
            <w:vAlign w:val="bottom"/>
          </w:tcPr>
          <w:p w14:paraId="1472C058" w14:textId="77777777" w:rsidR="00107B59" w:rsidRPr="00FB38E1" w:rsidRDefault="00107B59" w:rsidP="00115DFD">
            <w:pPr>
              <w:jc w:val="left"/>
              <w:rPr>
                <w:rFonts w:ascii="Microsoft Sans Serif" w:hAnsi="Microsoft Sans Serif" w:cs="Microsoft Sans Serif"/>
                <w:color w:val="000000"/>
                <w:sz w:val="16"/>
                <w:szCs w:val="16"/>
              </w:rPr>
            </w:pPr>
          </w:p>
        </w:tc>
        <w:tc>
          <w:tcPr>
            <w:tcW w:w="660" w:type="pct"/>
            <w:tcBorders>
              <w:top w:val="nil"/>
            </w:tcBorders>
            <w:shd w:val="clear" w:color="auto" w:fill="auto"/>
            <w:vAlign w:val="bottom"/>
          </w:tcPr>
          <w:p w14:paraId="1149BEA6" w14:textId="77777777" w:rsidR="00107B59" w:rsidRPr="00FB38E1" w:rsidRDefault="00107B59" w:rsidP="00107B59">
            <w:pPr>
              <w:jc w:val="right"/>
              <w:rPr>
                <w:rFonts w:ascii="Microsoft Sans Serif" w:hAnsi="Microsoft Sans Serif" w:cs="Microsoft Sans Serif"/>
                <w:b/>
                <w:bCs/>
                <w:color w:val="FF0000"/>
                <w:sz w:val="16"/>
                <w:szCs w:val="16"/>
              </w:rPr>
            </w:pPr>
          </w:p>
        </w:tc>
        <w:tc>
          <w:tcPr>
            <w:tcW w:w="563" w:type="pct"/>
            <w:tcBorders>
              <w:top w:val="nil"/>
            </w:tcBorders>
            <w:shd w:val="clear" w:color="auto" w:fill="auto"/>
            <w:vAlign w:val="bottom"/>
          </w:tcPr>
          <w:p w14:paraId="55238F24" w14:textId="77777777" w:rsidR="00107B59" w:rsidRPr="00FB38E1" w:rsidRDefault="00107B59" w:rsidP="00107B59">
            <w:pPr>
              <w:rPr>
                <w:rFonts w:ascii="Microsoft Sans Serif" w:hAnsi="Microsoft Sans Serif" w:cs="Microsoft Sans Serif"/>
                <w:color w:val="FF0000"/>
                <w:sz w:val="16"/>
                <w:szCs w:val="16"/>
              </w:rPr>
            </w:pPr>
          </w:p>
        </w:tc>
        <w:tc>
          <w:tcPr>
            <w:tcW w:w="513" w:type="pct"/>
            <w:tcBorders>
              <w:top w:val="nil"/>
            </w:tcBorders>
            <w:shd w:val="clear" w:color="auto" w:fill="auto"/>
            <w:vAlign w:val="bottom"/>
          </w:tcPr>
          <w:p w14:paraId="503731B1" w14:textId="77777777" w:rsidR="00107B59" w:rsidRPr="00FB38E1" w:rsidRDefault="00107B59" w:rsidP="00107B59">
            <w:pPr>
              <w:rPr>
                <w:rFonts w:ascii="Microsoft Sans Serif" w:hAnsi="Microsoft Sans Serif" w:cs="Microsoft Sans Serif"/>
                <w:color w:val="FF0000"/>
                <w:sz w:val="16"/>
                <w:szCs w:val="16"/>
              </w:rPr>
            </w:pPr>
          </w:p>
        </w:tc>
        <w:tc>
          <w:tcPr>
            <w:tcW w:w="521" w:type="pct"/>
            <w:tcBorders>
              <w:top w:val="nil"/>
            </w:tcBorders>
            <w:shd w:val="clear" w:color="auto" w:fill="auto"/>
            <w:vAlign w:val="bottom"/>
          </w:tcPr>
          <w:p w14:paraId="707A366E" w14:textId="77777777" w:rsidR="00107B59" w:rsidRPr="00FB38E1" w:rsidRDefault="00107B59" w:rsidP="00107B59">
            <w:pPr>
              <w:rPr>
                <w:rFonts w:ascii="Microsoft Sans Serif" w:hAnsi="Microsoft Sans Serif" w:cs="Microsoft Sans Serif"/>
                <w:color w:val="FF0000"/>
                <w:sz w:val="16"/>
                <w:szCs w:val="16"/>
              </w:rPr>
            </w:pPr>
          </w:p>
        </w:tc>
        <w:tc>
          <w:tcPr>
            <w:tcW w:w="477" w:type="pct"/>
            <w:tcBorders>
              <w:top w:val="nil"/>
            </w:tcBorders>
            <w:shd w:val="clear" w:color="auto" w:fill="auto"/>
            <w:vAlign w:val="bottom"/>
          </w:tcPr>
          <w:p w14:paraId="1B86FFB7" w14:textId="77777777" w:rsidR="00107B59" w:rsidRPr="00FB38E1" w:rsidRDefault="00107B59" w:rsidP="00107B59">
            <w:pPr>
              <w:rPr>
                <w:rFonts w:ascii="Microsoft Sans Serif" w:hAnsi="Microsoft Sans Serif" w:cs="Microsoft Sans Serif"/>
                <w:color w:val="FF0000"/>
                <w:sz w:val="16"/>
                <w:szCs w:val="16"/>
              </w:rPr>
            </w:pPr>
          </w:p>
        </w:tc>
        <w:tc>
          <w:tcPr>
            <w:tcW w:w="625" w:type="pct"/>
            <w:tcBorders>
              <w:top w:val="nil"/>
            </w:tcBorders>
            <w:shd w:val="clear" w:color="auto" w:fill="auto"/>
            <w:vAlign w:val="bottom"/>
          </w:tcPr>
          <w:p w14:paraId="250CDCBC" w14:textId="77777777" w:rsidR="00107B59" w:rsidRPr="00FB38E1" w:rsidRDefault="00107B59" w:rsidP="00107B59">
            <w:pPr>
              <w:rPr>
                <w:rFonts w:ascii="Microsoft Sans Serif" w:hAnsi="Microsoft Sans Serif" w:cs="Microsoft Sans Serif"/>
                <w:color w:val="FF0000"/>
                <w:sz w:val="16"/>
                <w:szCs w:val="16"/>
              </w:rPr>
            </w:pPr>
          </w:p>
        </w:tc>
      </w:tr>
      <w:tr w:rsidR="007C620E" w:rsidRPr="00FB38E1" w14:paraId="055E55EF" w14:textId="77777777" w:rsidTr="007C620E">
        <w:tc>
          <w:tcPr>
            <w:tcW w:w="1640" w:type="pct"/>
            <w:shd w:val="clear" w:color="auto" w:fill="auto"/>
            <w:vAlign w:val="center"/>
          </w:tcPr>
          <w:p w14:paraId="4531CAA0"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Diğer faaliyet giderleri (*)</w:t>
            </w:r>
          </w:p>
        </w:tc>
        <w:tc>
          <w:tcPr>
            <w:tcW w:w="660" w:type="pct"/>
            <w:shd w:val="clear" w:color="auto" w:fill="auto"/>
            <w:vAlign w:val="bottom"/>
          </w:tcPr>
          <w:p w14:paraId="22373837" w14:textId="4F00C02E"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(3.043.739)</w:t>
            </w:r>
          </w:p>
        </w:tc>
        <w:tc>
          <w:tcPr>
            <w:tcW w:w="563" w:type="pct"/>
            <w:shd w:val="clear" w:color="auto" w:fill="auto"/>
            <w:vAlign w:val="bottom"/>
          </w:tcPr>
          <w:p w14:paraId="3B745286" w14:textId="333ACB85"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(6.890.824)</w:t>
            </w:r>
          </w:p>
        </w:tc>
        <w:tc>
          <w:tcPr>
            <w:tcW w:w="513" w:type="pct"/>
            <w:shd w:val="clear" w:color="auto" w:fill="auto"/>
            <w:vAlign w:val="bottom"/>
          </w:tcPr>
          <w:p w14:paraId="788EAF86" w14:textId="669A7EE5"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(9.469.522)</w:t>
            </w:r>
          </w:p>
        </w:tc>
        <w:tc>
          <w:tcPr>
            <w:tcW w:w="521" w:type="pct"/>
            <w:shd w:val="clear" w:color="auto" w:fill="auto"/>
            <w:vAlign w:val="bottom"/>
          </w:tcPr>
          <w:p w14:paraId="14F0A783" w14:textId="1F946729"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(431.616)</w:t>
            </w:r>
          </w:p>
        </w:tc>
        <w:tc>
          <w:tcPr>
            <w:tcW w:w="477" w:type="pct"/>
            <w:shd w:val="clear" w:color="auto" w:fill="auto"/>
            <w:vAlign w:val="bottom"/>
          </w:tcPr>
          <w:p w14:paraId="6F56FB91" w14:textId="75E8F343"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404040"/>
                <w:sz w:val="16"/>
                <w:szCs w:val="16"/>
              </w:rPr>
              <w:t>(637.684)</w:t>
            </w:r>
          </w:p>
        </w:tc>
        <w:tc>
          <w:tcPr>
            <w:tcW w:w="625" w:type="pct"/>
            <w:shd w:val="clear" w:color="auto" w:fill="auto"/>
            <w:vAlign w:val="bottom"/>
          </w:tcPr>
          <w:p w14:paraId="76FDE59B" w14:textId="378CB2CD"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(20.473.385)</w:t>
            </w:r>
          </w:p>
        </w:tc>
      </w:tr>
      <w:tr w:rsidR="007C620E" w:rsidRPr="00FB38E1" w14:paraId="1FDBE855" w14:textId="77777777" w:rsidTr="007C620E">
        <w:tc>
          <w:tcPr>
            <w:tcW w:w="1640" w:type="pct"/>
            <w:shd w:val="clear" w:color="auto" w:fill="auto"/>
            <w:vAlign w:val="center"/>
          </w:tcPr>
          <w:p w14:paraId="0F137796" w14:textId="494FC781"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Beklenen zarar karşılıkları ve diğer karşılıklar</w:t>
            </w:r>
          </w:p>
        </w:tc>
        <w:tc>
          <w:tcPr>
            <w:tcW w:w="660" w:type="pct"/>
            <w:shd w:val="clear" w:color="auto" w:fill="auto"/>
            <w:vAlign w:val="bottom"/>
          </w:tcPr>
          <w:p w14:paraId="78DF6D16" w14:textId="38EB63BB"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3.059.972</w:t>
            </w:r>
          </w:p>
        </w:tc>
        <w:tc>
          <w:tcPr>
            <w:tcW w:w="563" w:type="pct"/>
            <w:shd w:val="clear" w:color="auto" w:fill="auto"/>
            <w:vAlign w:val="bottom"/>
          </w:tcPr>
          <w:p w14:paraId="2E68DCA7" w14:textId="604198E2"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(945.984)</w:t>
            </w:r>
          </w:p>
        </w:tc>
        <w:tc>
          <w:tcPr>
            <w:tcW w:w="513" w:type="pct"/>
            <w:shd w:val="clear" w:color="auto" w:fill="auto"/>
            <w:vAlign w:val="bottom"/>
          </w:tcPr>
          <w:p w14:paraId="07E5CFA8" w14:textId="5741B1B9"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(3.887.963)</w:t>
            </w:r>
          </w:p>
        </w:tc>
        <w:tc>
          <w:tcPr>
            <w:tcW w:w="521" w:type="pct"/>
            <w:shd w:val="clear" w:color="auto" w:fill="auto"/>
            <w:vAlign w:val="bottom"/>
          </w:tcPr>
          <w:p w14:paraId="165C2378" w14:textId="13ECAF59"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(4.224.055)</w:t>
            </w:r>
          </w:p>
        </w:tc>
        <w:tc>
          <w:tcPr>
            <w:tcW w:w="477" w:type="pct"/>
            <w:shd w:val="clear" w:color="auto" w:fill="auto"/>
            <w:vAlign w:val="bottom"/>
          </w:tcPr>
          <w:p w14:paraId="67C9785A" w14:textId="45331509"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404040"/>
                <w:sz w:val="16"/>
                <w:szCs w:val="16"/>
              </w:rPr>
              <w:t>(7.129)</w:t>
            </w:r>
          </w:p>
        </w:tc>
        <w:tc>
          <w:tcPr>
            <w:tcW w:w="625" w:type="pct"/>
            <w:shd w:val="clear" w:color="auto" w:fill="auto"/>
            <w:vAlign w:val="bottom"/>
          </w:tcPr>
          <w:p w14:paraId="371AF2A8" w14:textId="3E826936"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(6.005.159)</w:t>
            </w:r>
          </w:p>
        </w:tc>
      </w:tr>
      <w:tr w:rsidR="007C620E" w:rsidRPr="00FB38E1" w14:paraId="6FC4F396" w14:textId="77777777" w:rsidTr="007C620E">
        <w:tc>
          <w:tcPr>
            <w:tcW w:w="1640" w:type="pct"/>
            <w:shd w:val="clear" w:color="auto" w:fill="auto"/>
            <w:vAlign w:val="center"/>
          </w:tcPr>
          <w:p w14:paraId="526CBB6D"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Vergi gideri</w:t>
            </w:r>
          </w:p>
        </w:tc>
        <w:tc>
          <w:tcPr>
            <w:tcW w:w="660" w:type="pct"/>
            <w:shd w:val="clear" w:color="auto" w:fill="auto"/>
            <w:vAlign w:val="bottom"/>
          </w:tcPr>
          <w:p w14:paraId="305F276E" w14:textId="77777777" w:rsidR="007C620E" w:rsidRPr="00FB38E1" w:rsidRDefault="007C620E" w:rsidP="007C620E">
            <w:pPr>
              <w:jc w:val="right"/>
              <w:rPr>
                <w:rFonts w:ascii="Microsoft Sans Serif" w:hAnsi="Microsoft Sans Serif" w:cs="Microsoft Sans Serif"/>
                <w:b/>
                <w:bCs/>
                <w:color w:val="FF0000"/>
                <w:sz w:val="16"/>
                <w:szCs w:val="16"/>
              </w:rPr>
            </w:pPr>
          </w:p>
        </w:tc>
        <w:tc>
          <w:tcPr>
            <w:tcW w:w="563" w:type="pct"/>
            <w:shd w:val="clear" w:color="auto" w:fill="auto"/>
            <w:vAlign w:val="bottom"/>
          </w:tcPr>
          <w:p w14:paraId="4D7870D7" w14:textId="77777777" w:rsidR="007C620E" w:rsidRPr="00FB38E1" w:rsidRDefault="007C620E" w:rsidP="007C620E">
            <w:pPr>
              <w:rPr>
                <w:rFonts w:ascii="Microsoft Sans Serif" w:hAnsi="Microsoft Sans Serif" w:cs="Microsoft Sans Serif"/>
                <w:color w:val="FF0000"/>
                <w:sz w:val="16"/>
                <w:szCs w:val="16"/>
              </w:rPr>
            </w:pPr>
          </w:p>
        </w:tc>
        <w:tc>
          <w:tcPr>
            <w:tcW w:w="513" w:type="pct"/>
            <w:shd w:val="clear" w:color="auto" w:fill="auto"/>
            <w:vAlign w:val="bottom"/>
          </w:tcPr>
          <w:p w14:paraId="208DC5B1" w14:textId="77777777" w:rsidR="007C620E" w:rsidRPr="00FB38E1" w:rsidRDefault="007C620E" w:rsidP="007C620E">
            <w:pPr>
              <w:rPr>
                <w:rFonts w:ascii="Microsoft Sans Serif" w:hAnsi="Microsoft Sans Serif" w:cs="Microsoft Sans Serif"/>
                <w:color w:val="FF0000"/>
                <w:sz w:val="16"/>
                <w:szCs w:val="16"/>
              </w:rPr>
            </w:pPr>
          </w:p>
        </w:tc>
        <w:tc>
          <w:tcPr>
            <w:tcW w:w="521" w:type="pct"/>
            <w:shd w:val="clear" w:color="auto" w:fill="auto"/>
            <w:vAlign w:val="bottom"/>
          </w:tcPr>
          <w:p w14:paraId="79E5EC1E" w14:textId="77777777" w:rsidR="007C620E" w:rsidRPr="00FB38E1" w:rsidRDefault="007C620E" w:rsidP="007C620E">
            <w:pPr>
              <w:rPr>
                <w:rFonts w:ascii="Microsoft Sans Serif" w:hAnsi="Microsoft Sans Serif" w:cs="Microsoft Sans Serif"/>
                <w:color w:val="FF0000"/>
                <w:sz w:val="16"/>
                <w:szCs w:val="16"/>
              </w:rPr>
            </w:pPr>
          </w:p>
        </w:tc>
        <w:tc>
          <w:tcPr>
            <w:tcW w:w="477" w:type="pct"/>
            <w:shd w:val="clear" w:color="auto" w:fill="auto"/>
            <w:vAlign w:val="bottom"/>
          </w:tcPr>
          <w:p w14:paraId="04A02C6B" w14:textId="77777777" w:rsidR="007C620E" w:rsidRPr="00FB38E1" w:rsidRDefault="007C620E" w:rsidP="007C620E">
            <w:pPr>
              <w:jc w:val="right"/>
              <w:rPr>
                <w:rFonts w:ascii="Microsoft Sans Serif" w:hAnsi="Microsoft Sans Serif" w:cs="Microsoft Sans Serif"/>
                <w:b/>
                <w:bCs/>
                <w:color w:val="FF0000"/>
                <w:sz w:val="16"/>
                <w:szCs w:val="16"/>
              </w:rPr>
            </w:pPr>
          </w:p>
        </w:tc>
        <w:tc>
          <w:tcPr>
            <w:tcW w:w="625" w:type="pct"/>
            <w:shd w:val="clear" w:color="auto" w:fill="auto"/>
            <w:vAlign w:val="bottom"/>
          </w:tcPr>
          <w:p w14:paraId="0FD4BF8B" w14:textId="489081AF"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(6.766.241)</w:t>
            </w:r>
          </w:p>
        </w:tc>
      </w:tr>
      <w:tr w:rsidR="007C620E" w:rsidRPr="00FB38E1" w14:paraId="6BEBE0D5" w14:textId="77777777" w:rsidTr="007C620E">
        <w:tc>
          <w:tcPr>
            <w:tcW w:w="1640" w:type="pct"/>
            <w:shd w:val="clear" w:color="auto" w:fill="auto"/>
            <w:vAlign w:val="bottom"/>
          </w:tcPr>
          <w:p w14:paraId="71C1B541"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Özkaynak Yöntemi Uygulanan Ortaklıklardan Kar/Zarar</w:t>
            </w:r>
          </w:p>
        </w:tc>
        <w:tc>
          <w:tcPr>
            <w:tcW w:w="660" w:type="pct"/>
            <w:shd w:val="clear" w:color="auto" w:fill="auto"/>
            <w:vAlign w:val="bottom"/>
          </w:tcPr>
          <w:p w14:paraId="2F5370E1" w14:textId="5CE8C410"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000000"/>
                <w:sz w:val="16"/>
                <w:szCs w:val="16"/>
              </w:rPr>
              <w:t> </w:t>
            </w:r>
          </w:p>
        </w:tc>
        <w:tc>
          <w:tcPr>
            <w:tcW w:w="563" w:type="pct"/>
            <w:shd w:val="clear" w:color="auto" w:fill="auto"/>
            <w:vAlign w:val="bottom"/>
          </w:tcPr>
          <w:p w14:paraId="2F1E41BB" w14:textId="3EFD6B9C"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513" w:type="pct"/>
            <w:shd w:val="clear" w:color="auto" w:fill="auto"/>
            <w:vAlign w:val="bottom"/>
          </w:tcPr>
          <w:p w14:paraId="36CC5C2E" w14:textId="39FA46F8"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521" w:type="pct"/>
            <w:shd w:val="clear" w:color="auto" w:fill="auto"/>
            <w:vAlign w:val="bottom"/>
          </w:tcPr>
          <w:p w14:paraId="58F921DB" w14:textId="6D7E352F"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477" w:type="pct"/>
            <w:shd w:val="clear" w:color="auto" w:fill="auto"/>
            <w:vAlign w:val="bottom"/>
          </w:tcPr>
          <w:p w14:paraId="6894C3E5" w14:textId="1996646D"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000000"/>
                <w:sz w:val="16"/>
                <w:szCs w:val="16"/>
              </w:rPr>
              <w:t> </w:t>
            </w:r>
          </w:p>
        </w:tc>
        <w:tc>
          <w:tcPr>
            <w:tcW w:w="625" w:type="pct"/>
            <w:shd w:val="clear" w:color="auto" w:fill="auto"/>
            <w:vAlign w:val="bottom"/>
          </w:tcPr>
          <w:p w14:paraId="2E2C1344" w14:textId="2CE42368"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9.326.429</w:t>
            </w:r>
          </w:p>
        </w:tc>
      </w:tr>
      <w:tr w:rsidR="007C620E" w:rsidRPr="00FB38E1" w14:paraId="0C8AB108" w14:textId="77777777" w:rsidTr="007C620E">
        <w:tc>
          <w:tcPr>
            <w:tcW w:w="1640" w:type="pct"/>
            <w:tcBorders>
              <w:top w:val="single" w:sz="4" w:space="0" w:color="auto"/>
              <w:bottom w:val="nil"/>
            </w:tcBorders>
            <w:shd w:val="clear" w:color="auto" w:fill="auto"/>
            <w:vAlign w:val="center"/>
          </w:tcPr>
          <w:p w14:paraId="7B2E2B6B" w14:textId="77777777" w:rsidR="007C620E" w:rsidRPr="00FB38E1" w:rsidRDefault="007C620E" w:rsidP="007C620E">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Sürdürülen faaliyetler net karı</w:t>
            </w:r>
          </w:p>
        </w:tc>
        <w:tc>
          <w:tcPr>
            <w:tcW w:w="660" w:type="pct"/>
            <w:tcBorders>
              <w:top w:val="single" w:sz="4" w:space="0" w:color="auto"/>
              <w:bottom w:val="nil"/>
            </w:tcBorders>
            <w:shd w:val="clear" w:color="auto" w:fill="auto"/>
            <w:vAlign w:val="bottom"/>
          </w:tcPr>
          <w:p w14:paraId="3544AC7F" w14:textId="0F8F290F"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14.988.732</w:t>
            </w:r>
          </w:p>
        </w:tc>
        <w:tc>
          <w:tcPr>
            <w:tcW w:w="563" w:type="pct"/>
            <w:tcBorders>
              <w:top w:val="single" w:sz="4" w:space="0" w:color="auto"/>
              <w:bottom w:val="nil"/>
            </w:tcBorders>
            <w:shd w:val="clear" w:color="auto" w:fill="auto"/>
            <w:vAlign w:val="bottom"/>
          </w:tcPr>
          <w:p w14:paraId="269A4B18" w14:textId="284A645B"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6.624.623</w:t>
            </w:r>
          </w:p>
        </w:tc>
        <w:tc>
          <w:tcPr>
            <w:tcW w:w="513" w:type="pct"/>
            <w:tcBorders>
              <w:top w:val="single" w:sz="4" w:space="0" w:color="auto"/>
              <w:bottom w:val="nil"/>
            </w:tcBorders>
            <w:shd w:val="clear" w:color="auto" w:fill="auto"/>
            <w:vAlign w:val="bottom"/>
          </w:tcPr>
          <w:p w14:paraId="083FB216" w14:textId="0A95C5B4"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11.103.391</w:t>
            </w:r>
          </w:p>
        </w:tc>
        <w:tc>
          <w:tcPr>
            <w:tcW w:w="521" w:type="pct"/>
            <w:tcBorders>
              <w:top w:val="single" w:sz="4" w:space="0" w:color="auto"/>
              <w:bottom w:val="nil"/>
            </w:tcBorders>
            <w:shd w:val="clear" w:color="auto" w:fill="auto"/>
            <w:vAlign w:val="bottom"/>
          </w:tcPr>
          <w:p w14:paraId="0E9FABB8" w14:textId="36C3FADE"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(4.363.646)</w:t>
            </w:r>
          </w:p>
        </w:tc>
        <w:tc>
          <w:tcPr>
            <w:tcW w:w="477" w:type="pct"/>
            <w:tcBorders>
              <w:top w:val="single" w:sz="4" w:space="0" w:color="auto"/>
              <w:bottom w:val="nil"/>
            </w:tcBorders>
            <w:shd w:val="clear" w:color="auto" w:fill="auto"/>
            <w:vAlign w:val="bottom"/>
          </w:tcPr>
          <w:p w14:paraId="1E8B6E63" w14:textId="080525C0"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(2.886.833)</w:t>
            </w:r>
          </w:p>
        </w:tc>
        <w:tc>
          <w:tcPr>
            <w:tcW w:w="625" w:type="pct"/>
            <w:tcBorders>
              <w:top w:val="single" w:sz="4" w:space="0" w:color="auto"/>
              <w:bottom w:val="nil"/>
            </w:tcBorders>
            <w:shd w:val="clear" w:color="auto" w:fill="auto"/>
            <w:vAlign w:val="bottom"/>
          </w:tcPr>
          <w:p w14:paraId="66169CCF" w14:textId="55889875"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28.026.455</w:t>
            </w:r>
          </w:p>
        </w:tc>
      </w:tr>
      <w:tr w:rsidR="007C620E" w:rsidRPr="00FB38E1" w14:paraId="098A61B2" w14:textId="77777777" w:rsidTr="007C620E">
        <w:tc>
          <w:tcPr>
            <w:tcW w:w="1640" w:type="pct"/>
            <w:tcBorders>
              <w:top w:val="nil"/>
            </w:tcBorders>
            <w:shd w:val="clear" w:color="auto" w:fill="auto"/>
            <w:vAlign w:val="center"/>
          </w:tcPr>
          <w:p w14:paraId="3FB62EBD"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Durdurulan faaliyetler net karı</w:t>
            </w:r>
          </w:p>
        </w:tc>
        <w:tc>
          <w:tcPr>
            <w:tcW w:w="660" w:type="pct"/>
            <w:tcBorders>
              <w:top w:val="nil"/>
            </w:tcBorders>
            <w:shd w:val="clear" w:color="auto" w:fill="auto"/>
            <w:vAlign w:val="bottom"/>
          </w:tcPr>
          <w:p w14:paraId="4B2BD04B" w14:textId="645DCE47" w:rsidR="007C620E" w:rsidRPr="00FB38E1" w:rsidRDefault="007C620E" w:rsidP="007C620E">
            <w:pPr>
              <w:jc w:val="right"/>
              <w:rPr>
                <w:rFonts w:ascii="Microsoft Sans Serif" w:hAnsi="Microsoft Sans Serif" w:cs="Microsoft Sans Serif"/>
                <w:color w:val="FF0000"/>
                <w:sz w:val="16"/>
                <w:szCs w:val="16"/>
              </w:rPr>
            </w:pPr>
          </w:p>
        </w:tc>
        <w:tc>
          <w:tcPr>
            <w:tcW w:w="563" w:type="pct"/>
            <w:tcBorders>
              <w:top w:val="nil"/>
            </w:tcBorders>
            <w:shd w:val="clear" w:color="auto" w:fill="auto"/>
            <w:vAlign w:val="bottom"/>
          </w:tcPr>
          <w:p w14:paraId="6AE29999" w14:textId="7DBF5773" w:rsidR="007C620E" w:rsidRPr="00FB38E1" w:rsidRDefault="007C620E" w:rsidP="007C620E">
            <w:pPr>
              <w:jc w:val="right"/>
              <w:rPr>
                <w:rFonts w:ascii="Microsoft Sans Serif" w:hAnsi="Microsoft Sans Serif" w:cs="Microsoft Sans Serif"/>
                <w:color w:val="FF0000"/>
                <w:sz w:val="16"/>
                <w:szCs w:val="16"/>
              </w:rPr>
            </w:pPr>
          </w:p>
        </w:tc>
        <w:tc>
          <w:tcPr>
            <w:tcW w:w="513" w:type="pct"/>
            <w:tcBorders>
              <w:top w:val="nil"/>
            </w:tcBorders>
            <w:shd w:val="clear" w:color="auto" w:fill="auto"/>
            <w:vAlign w:val="bottom"/>
          </w:tcPr>
          <w:p w14:paraId="122B5FF2" w14:textId="308AD8EE" w:rsidR="007C620E" w:rsidRPr="00FB38E1" w:rsidRDefault="007C620E" w:rsidP="007C620E">
            <w:pPr>
              <w:jc w:val="right"/>
              <w:rPr>
                <w:rFonts w:ascii="Microsoft Sans Serif" w:hAnsi="Microsoft Sans Serif" w:cs="Microsoft Sans Serif"/>
                <w:color w:val="FF0000"/>
                <w:sz w:val="16"/>
                <w:szCs w:val="16"/>
              </w:rPr>
            </w:pPr>
          </w:p>
        </w:tc>
        <w:tc>
          <w:tcPr>
            <w:tcW w:w="521" w:type="pct"/>
            <w:tcBorders>
              <w:top w:val="nil"/>
            </w:tcBorders>
            <w:shd w:val="clear" w:color="auto" w:fill="auto"/>
            <w:vAlign w:val="bottom"/>
          </w:tcPr>
          <w:p w14:paraId="250C86FB" w14:textId="229E1C88" w:rsidR="007C620E" w:rsidRPr="00FB38E1" w:rsidRDefault="007C620E" w:rsidP="007C620E">
            <w:pPr>
              <w:jc w:val="right"/>
              <w:rPr>
                <w:rFonts w:ascii="Microsoft Sans Serif" w:hAnsi="Microsoft Sans Serif" w:cs="Microsoft Sans Serif"/>
                <w:color w:val="FF0000"/>
                <w:sz w:val="16"/>
                <w:szCs w:val="16"/>
              </w:rPr>
            </w:pPr>
          </w:p>
        </w:tc>
        <w:tc>
          <w:tcPr>
            <w:tcW w:w="477" w:type="pct"/>
            <w:tcBorders>
              <w:top w:val="nil"/>
            </w:tcBorders>
            <w:shd w:val="clear" w:color="auto" w:fill="auto"/>
            <w:vAlign w:val="bottom"/>
          </w:tcPr>
          <w:p w14:paraId="6CA30A45" w14:textId="59B0E991" w:rsidR="007C620E" w:rsidRPr="00FB38E1" w:rsidRDefault="007C620E" w:rsidP="007C620E">
            <w:pPr>
              <w:jc w:val="right"/>
              <w:rPr>
                <w:rFonts w:ascii="Microsoft Sans Serif" w:hAnsi="Microsoft Sans Serif" w:cs="Microsoft Sans Serif"/>
                <w:b/>
                <w:bCs/>
                <w:color w:val="FF0000"/>
                <w:sz w:val="16"/>
                <w:szCs w:val="16"/>
              </w:rPr>
            </w:pPr>
          </w:p>
        </w:tc>
        <w:tc>
          <w:tcPr>
            <w:tcW w:w="625" w:type="pct"/>
            <w:tcBorders>
              <w:top w:val="nil"/>
            </w:tcBorders>
            <w:shd w:val="clear" w:color="auto" w:fill="auto"/>
            <w:vAlign w:val="bottom"/>
          </w:tcPr>
          <w:p w14:paraId="45CDF705" w14:textId="5EE7E1FF"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(148.670)</w:t>
            </w:r>
          </w:p>
        </w:tc>
      </w:tr>
      <w:tr w:rsidR="006F536F" w:rsidRPr="00FB38E1" w14:paraId="7E50431B" w14:textId="77777777" w:rsidTr="007C620E">
        <w:tc>
          <w:tcPr>
            <w:tcW w:w="1640" w:type="pct"/>
            <w:tcBorders>
              <w:bottom w:val="single" w:sz="4" w:space="0" w:color="auto"/>
            </w:tcBorders>
            <w:shd w:val="clear" w:color="auto" w:fill="auto"/>
            <w:vAlign w:val="bottom"/>
          </w:tcPr>
          <w:p w14:paraId="1CD2AC34" w14:textId="77777777" w:rsidR="006F536F" w:rsidRPr="00FB38E1" w:rsidRDefault="006F536F" w:rsidP="00115DFD">
            <w:pPr>
              <w:jc w:val="left"/>
              <w:rPr>
                <w:rFonts w:ascii="Microsoft Sans Serif" w:hAnsi="Microsoft Sans Serif" w:cs="Microsoft Sans Serif"/>
                <w:color w:val="000000"/>
                <w:sz w:val="16"/>
                <w:szCs w:val="16"/>
              </w:rPr>
            </w:pPr>
          </w:p>
        </w:tc>
        <w:tc>
          <w:tcPr>
            <w:tcW w:w="660" w:type="pct"/>
            <w:tcBorders>
              <w:bottom w:val="single" w:sz="4" w:space="0" w:color="auto"/>
            </w:tcBorders>
            <w:shd w:val="clear" w:color="auto" w:fill="auto"/>
            <w:vAlign w:val="bottom"/>
          </w:tcPr>
          <w:p w14:paraId="592505C1" w14:textId="46749D57" w:rsidR="006F536F" w:rsidRPr="00FB38E1" w:rsidRDefault="006F536F" w:rsidP="006F536F">
            <w:pPr>
              <w:rPr>
                <w:rFonts w:ascii="Microsoft Sans Serif" w:hAnsi="Microsoft Sans Serif" w:cs="Microsoft Sans Serif"/>
                <w:color w:val="FF0000"/>
                <w:sz w:val="16"/>
                <w:szCs w:val="16"/>
              </w:rPr>
            </w:pPr>
          </w:p>
        </w:tc>
        <w:tc>
          <w:tcPr>
            <w:tcW w:w="563" w:type="pct"/>
            <w:tcBorders>
              <w:bottom w:val="single" w:sz="4" w:space="0" w:color="auto"/>
            </w:tcBorders>
            <w:shd w:val="clear" w:color="auto" w:fill="auto"/>
            <w:vAlign w:val="bottom"/>
          </w:tcPr>
          <w:p w14:paraId="7C5AA629" w14:textId="36466A9B" w:rsidR="006F536F" w:rsidRPr="00FB38E1" w:rsidRDefault="006F536F" w:rsidP="006F536F">
            <w:pPr>
              <w:rPr>
                <w:rFonts w:ascii="Microsoft Sans Serif" w:hAnsi="Microsoft Sans Serif" w:cs="Microsoft Sans Serif"/>
                <w:color w:val="FF0000"/>
                <w:sz w:val="16"/>
                <w:szCs w:val="16"/>
              </w:rPr>
            </w:pPr>
          </w:p>
        </w:tc>
        <w:tc>
          <w:tcPr>
            <w:tcW w:w="513" w:type="pct"/>
            <w:tcBorders>
              <w:bottom w:val="single" w:sz="4" w:space="0" w:color="auto"/>
            </w:tcBorders>
            <w:shd w:val="clear" w:color="auto" w:fill="auto"/>
            <w:vAlign w:val="bottom"/>
          </w:tcPr>
          <w:p w14:paraId="3CA5660F" w14:textId="30EAAEF3" w:rsidR="006F536F" w:rsidRPr="00FB38E1" w:rsidRDefault="006F536F" w:rsidP="006F536F">
            <w:pPr>
              <w:rPr>
                <w:rFonts w:ascii="Microsoft Sans Serif" w:hAnsi="Microsoft Sans Serif" w:cs="Microsoft Sans Serif"/>
                <w:color w:val="FF0000"/>
                <w:sz w:val="16"/>
                <w:szCs w:val="16"/>
              </w:rPr>
            </w:pPr>
          </w:p>
        </w:tc>
        <w:tc>
          <w:tcPr>
            <w:tcW w:w="521" w:type="pct"/>
            <w:tcBorders>
              <w:bottom w:val="single" w:sz="4" w:space="0" w:color="auto"/>
            </w:tcBorders>
            <w:shd w:val="clear" w:color="auto" w:fill="auto"/>
            <w:vAlign w:val="bottom"/>
          </w:tcPr>
          <w:p w14:paraId="30492E55" w14:textId="59D3E450" w:rsidR="006F536F" w:rsidRPr="00FB38E1" w:rsidRDefault="006F536F" w:rsidP="006F536F">
            <w:pPr>
              <w:rPr>
                <w:rFonts w:ascii="Microsoft Sans Serif" w:hAnsi="Microsoft Sans Serif" w:cs="Microsoft Sans Serif"/>
                <w:color w:val="FF0000"/>
                <w:sz w:val="16"/>
                <w:szCs w:val="16"/>
              </w:rPr>
            </w:pPr>
          </w:p>
        </w:tc>
        <w:tc>
          <w:tcPr>
            <w:tcW w:w="477" w:type="pct"/>
            <w:tcBorders>
              <w:bottom w:val="single" w:sz="4" w:space="0" w:color="auto"/>
            </w:tcBorders>
            <w:shd w:val="clear" w:color="auto" w:fill="auto"/>
            <w:vAlign w:val="bottom"/>
          </w:tcPr>
          <w:p w14:paraId="02834767" w14:textId="3B94E2F7" w:rsidR="006F536F" w:rsidRPr="00FB38E1" w:rsidRDefault="006F536F" w:rsidP="006F536F">
            <w:pPr>
              <w:rPr>
                <w:rFonts w:ascii="Microsoft Sans Serif" w:hAnsi="Microsoft Sans Serif" w:cs="Microsoft Sans Serif"/>
                <w:color w:val="FF0000"/>
                <w:sz w:val="16"/>
                <w:szCs w:val="16"/>
              </w:rPr>
            </w:pPr>
          </w:p>
        </w:tc>
        <w:tc>
          <w:tcPr>
            <w:tcW w:w="625" w:type="pct"/>
            <w:tcBorders>
              <w:bottom w:val="single" w:sz="4" w:space="0" w:color="auto"/>
            </w:tcBorders>
            <w:shd w:val="clear" w:color="auto" w:fill="auto"/>
            <w:vAlign w:val="bottom"/>
          </w:tcPr>
          <w:p w14:paraId="0156E9B4" w14:textId="22F21178" w:rsidR="006F536F" w:rsidRPr="00FB38E1" w:rsidRDefault="006F536F" w:rsidP="006F536F">
            <w:pPr>
              <w:rPr>
                <w:rFonts w:ascii="Microsoft Sans Serif" w:hAnsi="Microsoft Sans Serif" w:cs="Microsoft Sans Serif"/>
                <w:color w:val="FF0000"/>
                <w:sz w:val="16"/>
                <w:szCs w:val="16"/>
              </w:rPr>
            </w:pPr>
          </w:p>
        </w:tc>
      </w:tr>
      <w:tr w:rsidR="007C620E" w:rsidRPr="00FB38E1" w14:paraId="5494F7E1" w14:textId="77777777" w:rsidTr="007C620E">
        <w:tc>
          <w:tcPr>
            <w:tcW w:w="1640" w:type="pct"/>
            <w:tcBorders>
              <w:top w:val="single" w:sz="4" w:space="0" w:color="auto"/>
              <w:bottom w:val="single" w:sz="4" w:space="0" w:color="auto"/>
            </w:tcBorders>
            <w:shd w:val="clear" w:color="auto" w:fill="auto"/>
            <w:vAlign w:val="center"/>
          </w:tcPr>
          <w:p w14:paraId="682B53CB" w14:textId="77777777" w:rsidR="007C620E" w:rsidRPr="00FB38E1" w:rsidRDefault="007C620E" w:rsidP="007C620E">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 dönem karı</w:t>
            </w:r>
          </w:p>
        </w:tc>
        <w:tc>
          <w:tcPr>
            <w:tcW w:w="660" w:type="pct"/>
            <w:tcBorders>
              <w:top w:val="single" w:sz="4" w:space="0" w:color="auto"/>
              <w:bottom w:val="single" w:sz="4" w:space="0" w:color="auto"/>
            </w:tcBorders>
            <w:shd w:val="clear" w:color="auto" w:fill="auto"/>
            <w:vAlign w:val="bottom"/>
          </w:tcPr>
          <w:p w14:paraId="613A7C9E" w14:textId="2A54620C"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14.988.732</w:t>
            </w:r>
          </w:p>
        </w:tc>
        <w:tc>
          <w:tcPr>
            <w:tcW w:w="563" w:type="pct"/>
            <w:tcBorders>
              <w:top w:val="single" w:sz="4" w:space="0" w:color="auto"/>
              <w:bottom w:val="single" w:sz="4" w:space="0" w:color="auto"/>
            </w:tcBorders>
            <w:shd w:val="clear" w:color="auto" w:fill="auto"/>
            <w:vAlign w:val="bottom"/>
          </w:tcPr>
          <w:p w14:paraId="1BCBAC7E" w14:textId="3DA96F9F"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6.624.623</w:t>
            </w:r>
          </w:p>
        </w:tc>
        <w:tc>
          <w:tcPr>
            <w:tcW w:w="513" w:type="pct"/>
            <w:tcBorders>
              <w:top w:val="single" w:sz="4" w:space="0" w:color="auto"/>
              <w:bottom w:val="single" w:sz="4" w:space="0" w:color="auto"/>
            </w:tcBorders>
            <w:shd w:val="clear" w:color="auto" w:fill="auto"/>
            <w:vAlign w:val="bottom"/>
          </w:tcPr>
          <w:p w14:paraId="6FA5113F" w14:textId="394E5192"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11.103.391</w:t>
            </w:r>
          </w:p>
        </w:tc>
        <w:tc>
          <w:tcPr>
            <w:tcW w:w="521" w:type="pct"/>
            <w:tcBorders>
              <w:top w:val="single" w:sz="4" w:space="0" w:color="auto"/>
              <w:bottom w:val="single" w:sz="4" w:space="0" w:color="auto"/>
            </w:tcBorders>
            <w:shd w:val="clear" w:color="auto" w:fill="auto"/>
            <w:vAlign w:val="bottom"/>
          </w:tcPr>
          <w:p w14:paraId="2A9395EC" w14:textId="5E95CA31"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(4.363.646)</w:t>
            </w:r>
          </w:p>
        </w:tc>
        <w:tc>
          <w:tcPr>
            <w:tcW w:w="477" w:type="pct"/>
            <w:tcBorders>
              <w:top w:val="single" w:sz="4" w:space="0" w:color="auto"/>
              <w:bottom w:val="single" w:sz="4" w:space="0" w:color="auto"/>
            </w:tcBorders>
            <w:shd w:val="clear" w:color="auto" w:fill="auto"/>
            <w:vAlign w:val="bottom"/>
          </w:tcPr>
          <w:p w14:paraId="7AEB5845" w14:textId="03618B04"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(2.886.833)</w:t>
            </w:r>
          </w:p>
        </w:tc>
        <w:tc>
          <w:tcPr>
            <w:tcW w:w="625" w:type="pct"/>
            <w:tcBorders>
              <w:top w:val="single" w:sz="4" w:space="0" w:color="auto"/>
              <w:bottom w:val="single" w:sz="4" w:space="0" w:color="auto"/>
            </w:tcBorders>
            <w:shd w:val="clear" w:color="auto" w:fill="auto"/>
            <w:vAlign w:val="bottom"/>
          </w:tcPr>
          <w:p w14:paraId="31A65198" w14:textId="4AB2C1EA"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27.877.785</w:t>
            </w:r>
          </w:p>
        </w:tc>
      </w:tr>
      <w:tr w:rsidR="006F536F" w:rsidRPr="00FB38E1" w14:paraId="34D8D2AF" w14:textId="77777777" w:rsidTr="007C620E">
        <w:tc>
          <w:tcPr>
            <w:tcW w:w="1640" w:type="pct"/>
            <w:tcBorders>
              <w:top w:val="single" w:sz="4" w:space="0" w:color="auto"/>
            </w:tcBorders>
            <w:shd w:val="clear" w:color="auto" w:fill="auto"/>
            <w:vAlign w:val="bottom"/>
          </w:tcPr>
          <w:p w14:paraId="71F64D66" w14:textId="77777777" w:rsidR="006F536F" w:rsidRPr="00FB38E1" w:rsidRDefault="006F536F" w:rsidP="00115DFD">
            <w:pPr>
              <w:jc w:val="left"/>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11043A05" w14:textId="77777777" w:rsidR="006F536F" w:rsidRPr="00FB38E1" w:rsidRDefault="006F536F" w:rsidP="006F536F">
            <w:pPr>
              <w:jc w:val="right"/>
              <w:rPr>
                <w:rFonts w:ascii="Microsoft Sans Serif" w:hAnsi="Microsoft Sans Serif" w:cs="Microsoft Sans Serif"/>
                <w:b/>
                <w:bCs/>
                <w:color w:val="FF0000"/>
                <w:sz w:val="16"/>
                <w:szCs w:val="16"/>
              </w:rPr>
            </w:pPr>
          </w:p>
        </w:tc>
        <w:tc>
          <w:tcPr>
            <w:tcW w:w="563" w:type="pct"/>
            <w:tcBorders>
              <w:top w:val="single" w:sz="4" w:space="0" w:color="auto"/>
            </w:tcBorders>
            <w:shd w:val="clear" w:color="auto" w:fill="auto"/>
            <w:vAlign w:val="bottom"/>
          </w:tcPr>
          <w:p w14:paraId="6A327DF2" w14:textId="77777777" w:rsidR="006F536F" w:rsidRPr="00FB38E1" w:rsidRDefault="006F536F" w:rsidP="006F536F">
            <w:pPr>
              <w:rPr>
                <w:rFonts w:ascii="Microsoft Sans Serif" w:hAnsi="Microsoft Sans Serif" w:cs="Microsoft Sans Serif"/>
                <w:color w:val="FF0000"/>
                <w:sz w:val="16"/>
                <w:szCs w:val="16"/>
              </w:rPr>
            </w:pPr>
          </w:p>
        </w:tc>
        <w:tc>
          <w:tcPr>
            <w:tcW w:w="513" w:type="pct"/>
            <w:tcBorders>
              <w:top w:val="single" w:sz="4" w:space="0" w:color="auto"/>
            </w:tcBorders>
            <w:shd w:val="clear" w:color="auto" w:fill="auto"/>
            <w:vAlign w:val="bottom"/>
          </w:tcPr>
          <w:p w14:paraId="2E16AC98" w14:textId="77777777" w:rsidR="006F536F" w:rsidRPr="00FB38E1" w:rsidRDefault="006F536F" w:rsidP="006F536F">
            <w:pPr>
              <w:rPr>
                <w:rFonts w:ascii="Microsoft Sans Serif" w:hAnsi="Microsoft Sans Serif" w:cs="Microsoft Sans Serif"/>
                <w:color w:val="FF0000"/>
                <w:sz w:val="16"/>
                <w:szCs w:val="16"/>
              </w:rPr>
            </w:pPr>
          </w:p>
        </w:tc>
        <w:tc>
          <w:tcPr>
            <w:tcW w:w="521" w:type="pct"/>
            <w:tcBorders>
              <w:top w:val="single" w:sz="4" w:space="0" w:color="auto"/>
            </w:tcBorders>
            <w:shd w:val="clear" w:color="auto" w:fill="auto"/>
            <w:vAlign w:val="bottom"/>
          </w:tcPr>
          <w:p w14:paraId="36E80A7A" w14:textId="77777777" w:rsidR="006F536F" w:rsidRPr="00FB38E1" w:rsidRDefault="006F536F" w:rsidP="006F536F">
            <w:pPr>
              <w:rPr>
                <w:rFonts w:ascii="Microsoft Sans Serif" w:hAnsi="Microsoft Sans Serif" w:cs="Microsoft Sans Serif"/>
                <w:color w:val="FF0000"/>
                <w:sz w:val="16"/>
                <w:szCs w:val="16"/>
              </w:rPr>
            </w:pPr>
          </w:p>
        </w:tc>
        <w:tc>
          <w:tcPr>
            <w:tcW w:w="477" w:type="pct"/>
            <w:tcBorders>
              <w:top w:val="single" w:sz="4" w:space="0" w:color="auto"/>
            </w:tcBorders>
            <w:shd w:val="clear" w:color="auto" w:fill="auto"/>
            <w:vAlign w:val="bottom"/>
          </w:tcPr>
          <w:p w14:paraId="7EE6BA31" w14:textId="77777777" w:rsidR="006F536F" w:rsidRPr="00FB38E1" w:rsidRDefault="006F536F" w:rsidP="006F536F">
            <w:pPr>
              <w:rPr>
                <w:rFonts w:ascii="Microsoft Sans Serif" w:hAnsi="Microsoft Sans Serif" w:cs="Microsoft Sans Serif"/>
                <w:color w:val="FF0000"/>
                <w:sz w:val="16"/>
                <w:szCs w:val="16"/>
              </w:rPr>
            </w:pPr>
          </w:p>
        </w:tc>
        <w:tc>
          <w:tcPr>
            <w:tcW w:w="625" w:type="pct"/>
            <w:tcBorders>
              <w:top w:val="single" w:sz="4" w:space="0" w:color="auto"/>
            </w:tcBorders>
            <w:shd w:val="clear" w:color="auto" w:fill="auto"/>
            <w:vAlign w:val="bottom"/>
          </w:tcPr>
          <w:p w14:paraId="7481DBC4" w14:textId="77777777" w:rsidR="006F536F" w:rsidRPr="00FB38E1" w:rsidRDefault="006F536F" w:rsidP="006F536F">
            <w:pPr>
              <w:rPr>
                <w:rFonts w:ascii="Microsoft Sans Serif" w:hAnsi="Microsoft Sans Serif" w:cs="Microsoft Sans Serif"/>
                <w:color w:val="FF0000"/>
                <w:sz w:val="16"/>
                <w:szCs w:val="16"/>
              </w:rPr>
            </w:pPr>
          </w:p>
        </w:tc>
      </w:tr>
      <w:tr w:rsidR="006F536F" w:rsidRPr="00FB38E1" w14:paraId="371B0DAE" w14:textId="77777777" w:rsidTr="007C620E">
        <w:trPr>
          <w:trHeight w:val="136"/>
        </w:trPr>
        <w:tc>
          <w:tcPr>
            <w:tcW w:w="1640" w:type="pct"/>
            <w:shd w:val="clear" w:color="auto" w:fill="auto"/>
            <w:vAlign w:val="center"/>
          </w:tcPr>
          <w:p w14:paraId="7D174D60" w14:textId="3D979D8B" w:rsidR="006F536F" w:rsidRPr="00FB38E1" w:rsidRDefault="00E16778" w:rsidP="00115DFD">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w:t>
            </w:r>
            <w:r w:rsidR="006F536F" w:rsidRPr="00FB38E1">
              <w:rPr>
                <w:rFonts w:ascii="Microsoft Sans Serif" w:hAnsi="Microsoft Sans Serif" w:cs="Microsoft Sans Serif"/>
                <w:b/>
                <w:bCs/>
                <w:color w:val="000000"/>
                <w:sz w:val="16"/>
                <w:szCs w:val="16"/>
              </w:rPr>
              <w:t xml:space="preserve"> Dönem (31/12/2023)</w:t>
            </w:r>
          </w:p>
        </w:tc>
        <w:tc>
          <w:tcPr>
            <w:tcW w:w="660" w:type="pct"/>
            <w:shd w:val="clear" w:color="auto" w:fill="auto"/>
            <w:vAlign w:val="bottom"/>
          </w:tcPr>
          <w:p w14:paraId="020058DC" w14:textId="77777777" w:rsidR="006F536F" w:rsidRPr="00FB38E1" w:rsidRDefault="006F536F" w:rsidP="006F536F">
            <w:pPr>
              <w:rPr>
                <w:rFonts w:ascii="Microsoft Sans Serif" w:hAnsi="Microsoft Sans Serif" w:cs="Microsoft Sans Serif"/>
                <w:color w:val="FF0000"/>
                <w:sz w:val="16"/>
                <w:szCs w:val="16"/>
              </w:rPr>
            </w:pPr>
          </w:p>
        </w:tc>
        <w:tc>
          <w:tcPr>
            <w:tcW w:w="563" w:type="pct"/>
            <w:shd w:val="clear" w:color="auto" w:fill="auto"/>
            <w:vAlign w:val="bottom"/>
          </w:tcPr>
          <w:p w14:paraId="625DA27F" w14:textId="77777777" w:rsidR="006F536F" w:rsidRPr="00FB38E1" w:rsidRDefault="006F536F" w:rsidP="006F536F">
            <w:pPr>
              <w:rPr>
                <w:rFonts w:ascii="Microsoft Sans Serif" w:hAnsi="Microsoft Sans Serif" w:cs="Microsoft Sans Serif"/>
                <w:color w:val="FF0000"/>
                <w:sz w:val="16"/>
                <w:szCs w:val="16"/>
              </w:rPr>
            </w:pPr>
          </w:p>
        </w:tc>
        <w:tc>
          <w:tcPr>
            <w:tcW w:w="513" w:type="pct"/>
            <w:shd w:val="clear" w:color="auto" w:fill="auto"/>
            <w:vAlign w:val="bottom"/>
          </w:tcPr>
          <w:p w14:paraId="3D2FD348" w14:textId="77777777" w:rsidR="006F536F" w:rsidRPr="00FB38E1" w:rsidRDefault="006F536F" w:rsidP="006F536F">
            <w:pPr>
              <w:rPr>
                <w:rFonts w:ascii="Microsoft Sans Serif" w:hAnsi="Microsoft Sans Serif" w:cs="Microsoft Sans Serif"/>
                <w:color w:val="FF0000"/>
                <w:sz w:val="16"/>
                <w:szCs w:val="16"/>
              </w:rPr>
            </w:pPr>
          </w:p>
        </w:tc>
        <w:tc>
          <w:tcPr>
            <w:tcW w:w="521" w:type="pct"/>
            <w:shd w:val="clear" w:color="auto" w:fill="auto"/>
            <w:vAlign w:val="bottom"/>
          </w:tcPr>
          <w:p w14:paraId="6EC94646" w14:textId="77777777" w:rsidR="006F536F" w:rsidRPr="00FB38E1" w:rsidRDefault="006F536F" w:rsidP="006F536F">
            <w:pPr>
              <w:rPr>
                <w:rFonts w:ascii="Microsoft Sans Serif" w:hAnsi="Microsoft Sans Serif" w:cs="Microsoft Sans Serif"/>
                <w:color w:val="FF0000"/>
                <w:sz w:val="16"/>
                <w:szCs w:val="16"/>
              </w:rPr>
            </w:pPr>
          </w:p>
        </w:tc>
        <w:tc>
          <w:tcPr>
            <w:tcW w:w="477" w:type="pct"/>
            <w:shd w:val="clear" w:color="auto" w:fill="auto"/>
            <w:vAlign w:val="bottom"/>
          </w:tcPr>
          <w:p w14:paraId="3A99D275" w14:textId="77777777" w:rsidR="006F536F" w:rsidRPr="00FB38E1" w:rsidRDefault="006F536F" w:rsidP="006F536F">
            <w:pPr>
              <w:rPr>
                <w:rFonts w:ascii="Microsoft Sans Serif" w:hAnsi="Microsoft Sans Serif" w:cs="Microsoft Sans Serif"/>
                <w:color w:val="FF0000"/>
                <w:sz w:val="16"/>
                <w:szCs w:val="16"/>
              </w:rPr>
            </w:pPr>
          </w:p>
        </w:tc>
        <w:tc>
          <w:tcPr>
            <w:tcW w:w="625" w:type="pct"/>
            <w:shd w:val="clear" w:color="auto" w:fill="auto"/>
            <w:vAlign w:val="bottom"/>
          </w:tcPr>
          <w:p w14:paraId="3A2BA30D" w14:textId="77777777" w:rsidR="006F536F" w:rsidRPr="00FB38E1" w:rsidRDefault="006F536F" w:rsidP="006F536F">
            <w:pPr>
              <w:rPr>
                <w:rFonts w:ascii="Microsoft Sans Serif" w:hAnsi="Microsoft Sans Serif" w:cs="Microsoft Sans Serif"/>
                <w:color w:val="FF0000"/>
                <w:sz w:val="16"/>
                <w:szCs w:val="16"/>
              </w:rPr>
            </w:pPr>
          </w:p>
        </w:tc>
      </w:tr>
      <w:tr w:rsidR="007C620E" w:rsidRPr="00FB38E1" w14:paraId="6DAF5119" w14:textId="77777777" w:rsidTr="002A31A1">
        <w:tc>
          <w:tcPr>
            <w:tcW w:w="1640" w:type="pct"/>
            <w:shd w:val="clear" w:color="auto" w:fill="auto"/>
            <w:vAlign w:val="center"/>
          </w:tcPr>
          <w:p w14:paraId="23E88B87"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Bölüm varlıkları</w:t>
            </w:r>
          </w:p>
        </w:tc>
        <w:tc>
          <w:tcPr>
            <w:tcW w:w="660" w:type="pct"/>
            <w:shd w:val="clear" w:color="auto" w:fill="auto"/>
            <w:vAlign w:val="bottom"/>
          </w:tcPr>
          <w:p w14:paraId="2B3D802D" w14:textId="11DD126C"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198.328.891</w:t>
            </w:r>
          </w:p>
        </w:tc>
        <w:tc>
          <w:tcPr>
            <w:tcW w:w="563" w:type="pct"/>
            <w:shd w:val="clear" w:color="auto" w:fill="auto"/>
            <w:vAlign w:val="bottom"/>
          </w:tcPr>
          <w:p w14:paraId="716B18C9" w14:textId="6B87B756"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134.209.470</w:t>
            </w:r>
          </w:p>
        </w:tc>
        <w:tc>
          <w:tcPr>
            <w:tcW w:w="513" w:type="pct"/>
            <w:shd w:val="clear" w:color="auto" w:fill="auto"/>
            <w:vAlign w:val="bottom"/>
          </w:tcPr>
          <w:p w14:paraId="34A2BA13" w14:textId="702C77D6"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132.955.763</w:t>
            </w:r>
          </w:p>
        </w:tc>
        <w:tc>
          <w:tcPr>
            <w:tcW w:w="521" w:type="pct"/>
            <w:shd w:val="clear" w:color="auto" w:fill="auto"/>
            <w:vAlign w:val="bottom"/>
          </w:tcPr>
          <w:p w14:paraId="61C949D6" w14:textId="58AA2ACE"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426.191.027</w:t>
            </w:r>
          </w:p>
        </w:tc>
        <w:tc>
          <w:tcPr>
            <w:tcW w:w="477" w:type="pct"/>
            <w:shd w:val="clear" w:color="auto" w:fill="auto"/>
            <w:vAlign w:val="bottom"/>
          </w:tcPr>
          <w:p w14:paraId="022275E8" w14:textId="0B9994A9"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404040"/>
                <w:sz w:val="16"/>
                <w:szCs w:val="16"/>
              </w:rPr>
              <w:t>--</w:t>
            </w:r>
          </w:p>
        </w:tc>
        <w:tc>
          <w:tcPr>
            <w:tcW w:w="625" w:type="pct"/>
            <w:shd w:val="clear" w:color="auto" w:fill="auto"/>
            <w:vAlign w:val="bottom"/>
          </w:tcPr>
          <w:p w14:paraId="7F11EC9D" w14:textId="092E427F"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891.685.151</w:t>
            </w:r>
          </w:p>
        </w:tc>
      </w:tr>
      <w:tr w:rsidR="007C620E" w:rsidRPr="00FB38E1" w14:paraId="3AADA5C3" w14:textId="77777777" w:rsidTr="002A31A1">
        <w:tc>
          <w:tcPr>
            <w:tcW w:w="1640" w:type="pct"/>
            <w:shd w:val="clear" w:color="auto" w:fill="auto"/>
            <w:vAlign w:val="center"/>
          </w:tcPr>
          <w:p w14:paraId="79C72BFB"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İştirak ve bağlı ortaklıklar</w:t>
            </w:r>
          </w:p>
        </w:tc>
        <w:tc>
          <w:tcPr>
            <w:tcW w:w="660" w:type="pct"/>
            <w:shd w:val="clear" w:color="auto" w:fill="auto"/>
            <w:vAlign w:val="bottom"/>
          </w:tcPr>
          <w:p w14:paraId="68EF3EC8" w14:textId="77777777" w:rsidR="007C620E" w:rsidRPr="00FB38E1" w:rsidRDefault="007C620E" w:rsidP="007C620E">
            <w:pPr>
              <w:jc w:val="right"/>
              <w:rPr>
                <w:rFonts w:ascii="Microsoft Sans Serif" w:hAnsi="Microsoft Sans Serif" w:cs="Microsoft Sans Serif"/>
                <w:b/>
                <w:bCs/>
                <w:color w:val="FF0000"/>
                <w:sz w:val="16"/>
                <w:szCs w:val="16"/>
              </w:rPr>
            </w:pPr>
          </w:p>
        </w:tc>
        <w:tc>
          <w:tcPr>
            <w:tcW w:w="563" w:type="pct"/>
            <w:shd w:val="clear" w:color="auto" w:fill="auto"/>
            <w:vAlign w:val="bottom"/>
          </w:tcPr>
          <w:p w14:paraId="3D486F93" w14:textId="77777777" w:rsidR="007C620E" w:rsidRPr="00FB38E1" w:rsidRDefault="007C620E" w:rsidP="007C620E">
            <w:pPr>
              <w:rPr>
                <w:rFonts w:ascii="Microsoft Sans Serif" w:hAnsi="Microsoft Sans Serif" w:cs="Microsoft Sans Serif"/>
                <w:color w:val="FF0000"/>
                <w:sz w:val="16"/>
                <w:szCs w:val="16"/>
              </w:rPr>
            </w:pPr>
          </w:p>
        </w:tc>
        <w:tc>
          <w:tcPr>
            <w:tcW w:w="513" w:type="pct"/>
            <w:shd w:val="clear" w:color="auto" w:fill="auto"/>
            <w:vAlign w:val="bottom"/>
          </w:tcPr>
          <w:p w14:paraId="1EED29FB" w14:textId="77777777" w:rsidR="007C620E" w:rsidRPr="00FB38E1" w:rsidRDefault="007C620E" w:rsidP="007C620E">
            <w:pPr>
              <w:rPr>
                <w:rFonts w:ascii="Microsoft Sans Serif" w:hAnsi="Microsoft Sans Serif" w:cs="Microsoft Sans Serif"/>
                <w:color w:val="FF0000"/>
                <w:sz w:val="16"/>
                <w:szCs w:val="16"/>
              </w:rPr>
            </w:pPr>
          </w:p>
        </w:tc>
        <w:tc>
          <w:tcPr>
            <w:tcW w:w="521" w:type="pct"/>
            <w:shd w:val="clear" w:color="auto" w:fill="auto"/>
            <w:vAlign w:val="bottom"/>
          </w:tcPr>
          <w:p w14:paraId="0B7031EB" w14:textId="77777777" w:rsidR="007C620E" w:rsidRPr="00FB38E1" w:rsidRDefault="007C620E" w:rsidP="007C620E">
            <w:pPr>
              <w:rPr>
                <w:rFonts w:ascii="Microsoft Sans Serif" w:hAnsi="Microsoft Sans Serif" w:cs="Microsoft Sans Serif"/>
                <w:color w:val="FF0000"/>
                <w:sz w:val="16"/>
                <w:szCs w:val="16"/>
              </w:rPr>
            </w:pPr>
          </w:p>
        </w:tc>
        <w:tc>
          <w:tcPr>
            <w:tcW w:w="477" w:type="pct"/>
            <w:shd w:val="clear" w:color="auto" w:fill="auto"/>
            <w:vAlign w:val="bottom"/>
          </w:tcPr>
          <w:p w14:paraId="6A37AC88" w14:textId="77777777" w:rsidR="007C620E" w:rsidRPr="00FB38E1" w:rsidRDefault="007C620E" w:rsidP="007C620E">
            <w:pPr>
              <w:jc w:val="right"/>
              <w:rPr>
                <w:rFonts w:ascii="Microsoft Sans Serif" w:hAnsi="Microsoft Sans Serif" w:cs="Microsoft Sans Serif"/>
                <w:b/>
                <w:bCs/>
                <w:color w:val="FF0000"/>
                <w:sz w:val="16"/>
                <w:szCs w:val="16"/>
              </w:rPr>
            </w:pPr>
          </w:p>
        </w:tc>
        <w:tc>
          <w:tcPr>
            <w:tcW w:w="625" w:type="pct"/>
            <w:shd w:val="clear" w:color="auto" w:fill="auto"/>
            <w:vAlign w:val="bottom"/>
          </w:tcPr>
          <w:p w14:paraId="74E2C507" w14:textId="4300B629"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69.128.910</w:t>
            </w:r>
          </w:p>
        </w:tc>
      </w:tr>
      <w:tr w:rsidR="007C620E" w:rsidRPr="00FB38E1" w14:paraId="0FAE87C3" w14:textId="77777777" w:rsidTr="002A31A1">
        <w:tc>
          <w:tcPr>
            <w:tcW w:w="1640" w:type="pct"/>
            <w:tcBorders>
              <w:bottom w:val="single" w:sz="4" w:space="0" w:color="auto"/>
            </w:tcBorders>
            <w:shd w:val="clear" w:color="auto" w:fill="auto"/>
            <w:vAlign w:val="center"/>
          </w:tcPr>
          <w:p w14:paraId="32BD0C5F"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Dağıtılmamış varlıklar</w:t>
            </w:r>
          </w:p>
        </w:tc>
        <w:tc>
          <w:tcPr>
            <w:tcW w:w="660" w:type="pct"/>
            <w:tcBorders>
              <w:bottom w:val="single" w:sz="4" w:space="0" w:color="auto"/>
            </w:tcBorders>
            <w:shd w:val="clear" w:color="auto" w:fill="auto"/>
            <w:vAlign w:val="bottom"/>
          </w:tcPr>
          <w:p w14:paraId="19906CE2" w14:textId="2C82830F"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 </w:t>
            </w:r>
          </w:p>
        </w:tc>
        <w:tc>
          <w:tcPr>
            <w:tcW w:w="563" w:type="pct"/>
            <w:tcBorders>
              <w:bottom w:val="single" w:sz="4" w:space="0" w:color="auto"/>
            </w:tcBorders>
            <w:shd w:val="clear" w:color="auto" w:fill="auto"/>
            <w:vAlign w:val="bottom"/>
          </w:tcPr>
          <w:p w14:paraId="54ADE1CF" w14:textId="367CE3F0"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 </w:t>
            </w:r>
          </w:p>
        </w:tc>
        <w:tc>
          <w:tcPr>
            <w:tcW w:w="513" w:type="pct"/>
            <w:tcBorders>
              <w:bottom w:val="single" w:sz="4" w:space="0" w:color="auto"/>
            </w:tcBorders>
            <w:shd w:val="clear" w:color="auto" w:fill="auto"/>
            <w:vAlign w:val="bottom"/>
          </w:tcPr>
          <w:p w14:paraId="2DBC9585" w14:textId="103EEB35"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 </w:t>
            </w:r>
          </w:p>
        </w:tc>
        <w:tc>
          <w:tcPr>
            <w:tcW w:w="521" w:type="pct"/>
            <w:tcBorders>
              <w:bottom w:val="single" w:sz="4" w:space="0" w:color="auto"/>
            </w:tcBorders>
            <w:shd w:val="clear" w:color="auto" w:fill="auto"/>
            <w:vAlign w:val="bottom"/>
          </w:tcPr>
          <w:p w14:paraId="36C0E88F" w14:textId="0A3C81C0"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21A6763D" w14:textId="1434083F"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404040"/>
                <w:sz w:val="16"/>
                <w:szCs w:val="16"/>
              </w:rPr>
              <w:t> </w:t>
            </w:r>
          </w:p>
        </w:tc>
        <w:tc>
          <w:tcPr>
            <w:tcW w:w="625" w:type="pct"/>
            <w:tcBorders>
              <w:bottom w:val="single" w:sz="4" w:space="0" w:color="auto"/>
            </w:tcBorders>
            <w:shd w:val="clear" w:color="auto" w:fill="auto"/>
            <w:vAlign w:val="bottom"/>
          </w:tcPr>
          <w:p w14:paraId="0A12D629" w14:textId="7B820EF8"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46.895.000</w:t>
            </w:r>
          </w:p>
        </w:tc>
      </w:tr>
      <w:tr w:rsidR="007C620E" w:rsidRPr="00FB38E1" w14:paraId="566DEBE4" w14:textId="77777777" w:rsidTr="002A31A1">
        <w:tc>
          <w:tcPr>
            <w:tcW w:w="1640" w:type="pct"/>
            <w:tcBorders>
              <w:top w:val="single" w:sz="4" w:space="0" w:color="auto"/>
              <w:bottom w:val="single" w:sz="4" w:space="0" w:color="auto"/>
            </w:tcBorders>
            <w:shd w:val="clear" w:color="auto" w:fill="auto"/>
            <w:vAlign w:val="center"/>
          </w:tcPr>
          <w:p w14:paraId="359B0567" w14:textId="77777777" w:rsidR="007C620E" w:rsidRPr="00FB38E1" w:rsidRDefault="007C620E" w:rsidP="007C620E">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 varlıklar</w:t>
            </w:r>
          </w:p>
        </w:tc>
        <w:tc>
          <w:tcPr>
            <w:tcW w:w="660" w:type="pct"/>
            <w:tcBorders>
              <w:top w:val="single" w:sz="4" w:space="0" w:color="auto"/>
              <w:bottom w:val="single" w:sz="4" w:space="0" w:color="auto"/>
            </w:tcBorders>
            <w:shd w:val="clear" w:color="auto" w:fill="auto"/>
            <w:vAlign w:val="bottom"/>
          </w:tcPr>
          <w:p w14:paraId="172B17CA" w14:textId="5DC13833"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563" w:type="pct"/>
            <w:tcBorders>
              <w:top w:val="single" w:sz="4" w:space="0" w:color="auto"/>
              <w:bottom w:val="single" w:sz="4" w:space="0" w:color="auto"/>
            </w:tcBorders>
            <w:shd w:val="clear" w:color="auto" w:fill="auto"/>
            <w:vAlign w:val="bottom"/>
          </w:tcPr>
          <w:p w14:paraId="6B3C4BEA" w14:textId="0A5E6285"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513" w:type="pct"/>
            <w:tcBorders>
              <w:top w:val="single" w:sz="4" w:space="0" w:color="auto"/>
              <w:bottom w:val="single" w:sz="4" w:space="0" w:color="auto"/>
            </w:tcBorders>
            <w:shd w:val="clear" w:color="auto" w:fill="auto"/>
            <w:vAlign w:val="bottom"/>
          </w:tcPr>
          <w:p w14:paraId="03393E4E" w14:textId="3C6F62CB"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521" w:type="pct"/>
            <w:tcBorders>
              <w:top w:val="single" w:sz="4" w:space="0" w:color="auto"/>
              <w:bottom w:val="single" w:sz="4" w:space="0" w:color="auto"/>
            </w:tcBorders>
            <w:shd w:val="clear" w:color="auto" w:fill="auto"/>
            <w:vAlign w:val="bottom"/>
          </w:tcPr>
          <w:p w14:paraId="4617F833" w14:textId="3071CB7D"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477" w:type="pct"/>
            <w:tcBorders>
              <w:top w:val="single" w:sz="4" w:space="0" w:color="auto"/>
              <w:bottom w:val="single" w:sz="4" w:space="0" w:color="auto"/>
            </w:tcBorders>
            <w:shd w:val="clear" w:color="auto" w:fill="auto"/>
            <w:vAlign w:val="bottom"/>
          </w:tcPr>
          <w:p w14:paraId="20998969" w14:textId="24192D20"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000000"/>
                <w:sz w:val="16"/>
                <w:szCs w:val="16"/>
              </w:rPr>
              <w:t> </w:t>
            </w:r>
          </w:p>
        </w:tc>
        <w:tc>
          <w:tcPr>
            <w:tcW w:w="625" w:type="pct"/>
            <w:tcBorders>
              <w:top w:val="single" w:sz="4" w:space="0" w:color="auto"/>
              <w:bottom w:val="single" w:sz="4" w:space="0" w:color="auto"/>
            </w:tcBorders>
            <w:shd w:val="clear" w:color="auto" w:fill="auto"/>
            <w:vAlign w:val="bottom"/>
          </w:tcPr>
          <w:p w14:paraId="3D393332" w14:textId="0E7EDE5D"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1.007.709.061</w:t>
            </w:r>
          </w:p>
        </w:tc>
      </w:tr>
      <w:tr w:rsidR="00E16778" w:rsidRPr="00FB38E1" w14:paraId="055C917D" w14:textId="77777777" w:rsidTr="007C620E">
        <w:tc>
          <w:tcPr>
            <w:tcW w:w="1640" w:type="pct"/>
            <w:tcBorders>
              <w:top w:val="single" w:sz="4" w:space="0" w:color="auto"/>
            </w:tcBorders>
            <w:shd w:val="clear" w:color="auto" w:fill="auto"/>
            <w:vAlign w:val="bottom"/>
          </w:tcPr>
          <w:p w14:paraId="51FF64CA" w14:textId="77777777" w:rsidR="00E16778" w:rsidRPr="00FB38E1" w:rsidRDefault="00E16778" w:rsidP="00115DFD">
            <w:pPr>
              <w:jc w:val="left"/>
              <w:rPr>
                <w:rFonts w:ascii="Microsoft Sans Serif" w:hAnsi="Microsoft Sans Serif" w:cs="Microsoft Sans Serif"/>
                <w:color w:val="000000"/>
                <w:sz w:val="16"/>
                <w:szCs w:val="16"/>
              </w:rPr>
            </w:pPr>
          </w:p>
        </w:tc>
        <w:tc>
          <w:tcPr>
            <w:tcW w:w="660" w:type="pct"/>
            <w:tcBorders>
              <w:top w:val="single" w:sz="4" w:space="0" w:color="auto"/>
            </w:tcBorders>
            <w:shd w:val="clear" w:color="auto" w:fill="auto"/>
            <w:vAlign w:val="bottom"/>
          </w:tcPr>
          <w:p w14:paraId="4DCA86DA" w14:textId="77777777" w:rsidR="00E16778" w:rsidRPr="00FB38E1" w:rsidRDefault="00E16778" w:rsidP="00E16778">
            <w:pPr>
              <w:jc w:val="right"/>
              <w:rPr>
                <w:rFonts w:ascii="Microsoft Sans Serif" w:hAnsi="Microsoft Sans Serif" w:cs="Microsoft Sans Serif"/>
                <w:b/>
                <w:bCs/>
                <w:color w:val="FF0000"/>
                <w:sz w:val="16"/>
                <w:szCs w:val="16"/>
              </w:rPr>
            </w:pPr>
          </w:p>
        </w:tc>
        <w:tc>
          <w:tcPr>
            <w:tcW w:w="563" w:type="pct"/>
            <w:tcBorders>
              <w:top w:val="single" w:sz="4" w:space="0" w:color="auto"/>
            </w:tcBorders>
            <w:shd w:val="clear" w:color="auto" w:fill="auto"/>
            <w:vAlign w:val="bottom"/>
          </w:tcPr>
          <w:p w14:paraId="6DA4417E" w14:textId="77777777" w:rsidR="00E16778" w:rsidRPr="00FB38E1" w:rsidRDefault="00E16778" w:rsidP="00E16778">
            <w:pPr>
              <w:rPr>
                <w:rFonts w:ascii="Microsoft Sans Serif" w:hAnsi="Microsoft Sans Serif" w:cs="Microsoft Sans Serif"/>
                <w:color w:val="FF0000"/>
                <w:sz w:val="16"/>
                <w:szCs w:val="16"/>
              </w:rPr>
            </w:pPr>
          </w:p>
        </w:tc>
        <w:tc>
          <w:tcPr>
            <w:tcW w:w="513" w:type="pct"/>
            <w:tcBorders>
              <w:top w:val="single" w:sz="4" w:space="0" w:color="auto"/>
            </w:tcBorders>
            <w:shd w:val="clear" w:color="auto" w:fill="auto"/>
            <w:vAlign w:val="bottom"/>
          </w:tcPr>
          <w:p w14:paraId="517178FB" w14:textId="77777777" w:rsidR="00E16778" w:rsidRPr="00FB38E1" w:rsidRDefault="00E16778" w:rsidP="00E16778">
            <w:pPr>
              <w:rPr>
                <w:rFonts w:ascii="Microsoft Sans Serif" w:hAnsi="Microsoft Sans Serif" w:cs="Microsoft Sans Serif"/>
                <w:color w:val="FF0000"/>
                <w:sz w:val="16"/>
                <w:szCs w:val="16"/>
              </w:rPr>
            </w:pPr>
          </w:p>
        </w:tc>
        <w:tc>
          <w:tcPr>
            <w:tcW w:w="521" w:type="pct"/>
            <w:tcBorders>
              <w:top w:val="single" w:sz="4" w:space="0" w:color="auto"/>
            </w:tcBorders>
            <w:shd w:val="clear" w:color="auto" w:fill="auto"/>
            <w:vAlign w:val="bottom"/>
          </w:tcPr>
          <w:p w14:paraId="093B18EB" w14:textId="77777777" w:rsidR="00E16778" w:rsidRPr="00FB38E1" w:rsidRDefault="00E16778" w:rsidP="00E16778">
            <w:pPr>
              <w:rPr>
                <w:rFonts w:ascii="Microsoft Sans Serif" w:hAnsi="Microsoft Sans Serif" w:cs="Microsoft Sans Serif"/>
                <w:color w:val="FF0000"/>
                <w:sz w:val="16"/>
                <w:szCs w:val="16"/>
              </w:rPr>
            </w:pPr>
          </w:p>
        </w:tc>
        <w:tc>
          <w:tcPr>
            <w:tcW w:w="477" w:type="pct"/>
            <w:tcBorders>
              <w:top w:val="single" w:sz="4" w:space="0" w:color="auto"/>
            </w:tcBorders>
            <w:shd w:val="clear" w:color="auto" w:fill="auto"/>
            <w:vAlign w:val="bottom"/>
          </w:tcPr>
          <w:p w14:paraId="3B3799C8" w14:textId="77777777" w:rsidR="00E16778" w:rsidRPr="00FB38E1" w:rsidRDefault="00E16778" w:rsidP="00E16778">
            <w:pPr>
              <w:rPr>
                <w:rFonts w:ascii="Microsoft Sans Serif" w:hAnsi="Microsoft Sans Serif" w:cs="Microsoft Sans Serif"/>
                <w:color w:val="FF0000"/>
                <w:sz w:val="16"/>
                <w:szCs w:val="16"/>
              </w:rPr>
            </w:pPr>
          </w:p>
        </w:tc>
        <w:tc>
          <w:tcPr>
            <w:tcW w:w="625" w:type="pct"/>
            <w:tcBorders>
              <w:top w:val="single" w:sz="4" w:space="0" w:color="auto"/>
            </w:tcBorders>
            <w:shd w:val="clear" w:color="auto" w:fill="auto"/>
            <w:vAlign w:val="bottom"/>
          </w:tcPr>
          <w:p w14:paraId="5F136027" w14:textId="77777777" w:rsidR="00E16778" w:rsidRPr="00FB38E1" w:rsidRDefault="00E16778" w:rsidP="00E16778">
            <w:pPr>
              <w:rPr>
                <w:rFonts w:ascii="Microsoft Sans Serif" w:hAnsi="Microsoft Sans Serif" w:cs="Microsoft Sans Serif"/>
                <w:color w:val="FF0000"/>
                <w:sz w:val="16"/>
                <w:szCs w:val="16"/>
              </w:rPr>
            </w:pPr>
          </w:p>
        </w:tc>
      </w:tr>
      <w:tr w:rsidR="007C620E" w:rsidRPr="00FB38E1" w14:paraId="420E7765" w14:textId="77777777" w:rsidTr="007C620E">
        <w:tc>
          <w:tcPr>
            <w:tcW w:w="1640" w:type="pct"/>
            <w:shd w:val="clear" w:color="auto" w:fill="auto"/>
            <w:vAlign w:val="center"/>
          </w:tcPr>
          <w:p w14:paraId="4B46094E"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Bölüm yükümlülükleri</w:t>
            </w:r>
          </w:p>
        </w:tc>
        <w:tc>
          <w:tcPr>
            <w:tcW w:w="660" w:type="pct"/>
            <w:shd w:val="clear" w:color="auto" w:fill="auto"/>
            <w:vAlign w:val="bottom"/>
          </w:tcPr>
          <w:p w14:paraId="58DFC535" w14:textId="44249352"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160.676.325</w:t>
            </w:r>
          </w:p>
        </w:tc>
        <w:tc>
          <w:tcPr>
            <w:tcW w:w="563" w:type="pct"/>
            <w:shd w:val="clear" w:color="auto" w:fill="auto"/>
            <w:vAlign w:val="bottom"/>
          </w:tcPr>
          <w:p w14:paraId="1B9D7439" w14:textId="59E2B4C0"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174.746.144</w:t>
            </w:r>
          </w:p>
        </w:tc>
        <w:tc>
          <w:tcPr>
            <w:tcW w:w="513" w:type="pct"/>
            <w:shd w:val="clear" w:color="auto" w:fill="auto"/>
            <w:vAlign w:val="bottom"/>
          </w:tcPr>
          <w:p w14:paraId="02806CC0" w14:textId="6515C5A5"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265.559.824</w:t>
            </w:r>
          </w:p>
        </w:tc>
        <w:tc>
          <w:tcPr>
            <w:tcW w:w="521" w:type="pct"/>
            <w:shd w:val="clear" w:color="auto" w:fill="auto"/>
            <w:vAlign w:val="bottom"/>
          </w:tcPr>
          <w:p w14:paraId="13D8C484" w14:textId="7B92ABA1"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259.333.678</w:t>
            </w:r>
          </w:p>
        </w:tc>
        <w:tc>
          <w:tcPr>
            <w:tcW w:w="477" w:type="pct"/>
            <w:shd w:val="clear" w:color="auto" w:fill="auto"/>
            <w:vAlign w:val="bottom"/>
          </w:tcPr>
          <w:p w14:paraId="7DF7A95C" w14:textId="5D190310"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404040"/>
                <w:sz w:val="16"/>
                <w:szCs w:val="16"/>
              </w:rPr>
              <w:t>--</w:t>
            </w:r>
          </w:p>
        </w:tc>
        <w:tc>
          <w:tcPr>
            <w:tcW w:w="625" w:type="pct"/>
            <w:shd w:val="clear" w:color="auto" w:fill="auto"/>
            <w:vAlign w:val="bottom"/>
          </w:tcPr>
          <w:p w14:paraId="2129221D" w14:textId="04A9BF61"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860.315.971</w:t>
            </w:r>
          </w:p>
        </w:tc>
      </w:tr>
      <w:tr w:rsidR="007C620E" w:rsidRPr="00FB38E1" w14:paraId="0766B569" w14:textId="77777777" w:rsidTr="007C620E">
        <w:tc>
          <w:tcPr>
            <w:tcW w:w="1640" w:type="pct"/>
            <w:shd w:val="clear" w:color="auto" w:fill="auto"/>
            <w:vAlign w:val="center"/>
          </w:tcPr>
          <w:p w14:paraId="400734C2"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Dağıtılmamış yükümlülükler</w:t>
            </w:r>
          </w:p>
        </w:tc>
        <w:tc>
          <w:tcPr>
            <w:tcW w:w="660" w:type="pct"/>
            <w:shd w:val="clear" w:color="auto" w:fill="auto"/>
            <w:vAlign w:val="bottom"/>
          </w:tcPr>
          <w:p w14:paraId="6F7FD2DC" w14:textId="77777777" w:rsidR="007C620E" w:rsidRPr="00FB38E1" w:rsidRDefault="007C620E" w:rsidP="007C620E">
            <w:pPr>
              <w:jc w:val="right"/>
              <w:rPr>
                <w:rFonts w:ascii="Microsoft Sans Serif" w:hAnsi="Microsoft Sans Serif" w:cs="Microsoft Sans Serif"/>
                <w:b/>
                <w:bCs/>
                <w:color w:val="FF0000"/>
                <w:sz w:val="16"/>
                <w:szCs w:val="16"/>
              </w:rPr>
            </w:pPr>
          </w:p>
        </w:tc>
        <w:tc>
          <w:tcPr>
            <w:tcW w:w="563" w:type="pct"/>
            <w:shd w:val="clear" w:color="auto" w:fill="auto"/>
            <w:vAlign w:val="bottom"/>
          </w:tcPr>
          <w:p w14:paraId="15C940B4" w14:textId="77777777" w:rsidR="007C620E" w:rsidRPr="00FB38E1" w:rsidRDefault="007C620E" w:rsidP="007C620E">
            <w:pPr>
              <w:rPr>
                <w:rFonts w:ascii="Microsoft Sans Serif" w:hAnsi="Microsoft Sans Serif" w:cs="Microsoft Sans Serif"/>
                <w:color w:val="FF0000"/>
                <w:sz w:val="16"/>
                <w:szCs w:val="16"/>
              </w:rPr>
            </w:pPr>
          </w:p>
        </w:tc>
        <w:tc>
          <w:tcPr>
            <w:tcW w:w="513" w:type="pct"/>
            <w:shd w:val="clear" w:color="auto" w:fill="auto"/>
            <w:vAlign w:val="bottom"/>
          </w:tcPr>
          <w:p w14:paraId="64C3F9C1" w14:textId="77777777" w:rsidR="007C620E" w:rsidRPr="00FB38E1" w:rsidRDefault="007C620E" w:rsidP="007C620E">
            <w:pPr>
              <w:rPr>
                <w:rFonts w:ascii="Microsoft Sans Serif" w:hAnsi="Microsoft Sans Serif" w:cs="Microsoft Sans Serif"/>
                <w:color w:val="FF0000"/>
                <w:sz w:val="16"/>
                <w:szCs w:val="16"/>
              </w:rPr>
            </w:pPr>
          </w:p>
        </w:tc>
        <w:tc>
          <w:tcPr>
            <w:tcW w:w="521" w:type="pct"/>
            <w:shd w:val="clear" w:color="auto" w:fill="auto"/>
            <w:vAlign w:val="bottom"/>
          </w:tcPr>
          <w:p w14:paraId="4D513C13" w14:textId="77777777" w:rsidR="007C620E" w:rsidRPr="00FB38E1" w:rsidRDefault="007C620E" w:rsidP="007C620E">
            <w:pPr>
              <w:rPr>
                <w:rFonts w:ascii="Microsoft Sans Serif" w:hAnsi="Microsoft Sans Serif" w:cs="Microsoft Sans Serif"/>
                <w:color w:val="FF0000"/>
                <w:sz w:val="16"/>
                <w:szCs w:val="16"/>
              </w:rPr>
            </w:pPr>
          </w:p>
        </w:tc>
        <w:tc>
          <w:tcPr>
            <w:tcW w:w="477" w:type="pct"/>
            <w:shd w:val="clear" w:color="auto" w:fill="auto"/>
            <w:vAlign w:val="bottom"/>
          </w:tcPr>
          <w:p w14:paraId="407A925F" w14:textId="77777777" w:rsidR="007C620E" w:rsidRPr="00FB38E1" w:rsidRDefault="007C620E" w:rsidP="007C620E">
            <w:pPr>
              <w:jc w:val="right"/>
              <w:rPr>
                <w:rFonts w:ascii="Microsoft Sans Serif" w:hAnsi="Microsoft Sans Serif" w:cs="Microsoft Sans Serif"/>
                <w:b/>
                <w:bCs/>
                <w:color w:val="FF0000"/>
                <w:sz w:val="16"/>
                <w:szCs w:val="16"/>
              </w:rPr>
            </w:pPr>
          </w:p>
        </w:tc>
        <w:tc>
          <w:tcPr>
            <w:tcW w:w="625" w:type="pct"/>
            <w:shd w:val="clear" w:color="auto" w:fill="auto"/>
            <w:vAlign w:val="bottom"/>
          </w:tcPr>
          <w:p w14:paraId="394E2ED0" w14:textId="7D2A8B09"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57.549.689</w:t>
            </w:r>
          </w:p>
        </w:tc>
      </w:tr>
      <w:tr w:rsidR="007C620E" w:rsidRPr="00FB38E1" w14:paraId="49D90894" w14:textId="77777777" w:rsidTr="007C620E">
        <w:tc>
          <w:tcPr>
            <w:tcW w:w="1640" w:type="pct"/>
            <w:tcBorders>
              <w:bottom w:val="single" w:sz="4" w:space="0" w:color="auto"/>
            </w:tcBorders>
            <w:shd w:val="clear" w:color="auto" w:fill="auto"/>
            <w:vAlign w:val="center"/>
          </w:tcPr>
          <w:p w14:paraId="0A4A3A71" w14:textId="77777777" w:rsidR="007C620E" w:rsidRPr="00FB38E1" w:rsidRDefault="007C620E" w:rsidP="007C620E">
            <w:pPr>
              <w:jc w:val="lef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Özkaynaklar</w:t>
            </w:r>
          </w:p>
        </w:tc>
        <w:tc>
          <w:tcPr>
            <w:tcW w:w="660" w:type="pct"/>
            <w:tcBorders>
              <w:bottom w:val="single" w:sz="4" w:space="0" w:color="auto"/>
            </w:tcBorders>
            <w:shd w:val="clear" w:color="auto" w:fill="auto"/>
            <w:vAlign w:val="bottom"/>
          </w:tcPr>
          <w:p w14:paraId="5CB0A47E" w14:textId="7263C4CA"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 </w:t>
            </w:r>
          </w:p>
        </w:tc>
        <w:tc>
          <w:tcPr>
            <w:tcW w:w="563" w:type="pct"/>
            <w:tcBorders>
              <w:bottom w:val="single" w:sz="4" w:space="0" w:color="auto"/>
            </w:tcBorders>
            <w:shd w:val="clear" w:color="auto" w:fill="auto"/>
            <w:vAlign w:val="bottom"/>
          </w:tcPr>
          <w:p w14:paraId="7FA34C63" w14:textId="1A30A085"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 </w:t>
            </w:r>
          </w:p>
        </w:tc>
        <w:tc>
          <w:tcPr>
            <w:tcW w:w="513" w:type="pct"/>
            <w:tcBorders>
              <w:bottom w:val="single" w:sz="4" w:space="0" w:color="auto"/>
            </w:tcBorders>
            <w:shd w:val="clear" w:color="auto" w:fill="auto"/>
            <w:vAlign w:val="bottom"/>
          </w:tcPr>
          <w:p w14:paraId="36B67145" w14:textId="26D43C6B"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 </w:t>
            </w:r>
          </w:p>
        </w:tc>
        <w:tc>
          <w:tcPr>
            <w:tcW w:w="521" w:type="pct"/>
            <w:tcBorders>
              <w:bottom w:val="single" w:sz="4" w:space="0" w:color="auto"/>
            </w:tcBorders>
            <w:shd w:val="clear" w:color="auto" w:fill="auto"/>
            <w:vAlign w:val="bottom"/>
          </w:tcPr>
          <w:p w14:paraId="10242EEC" w14:textId="29C34B9C" w:rsidR="007C620E" w:rsidRPr="00FB38E1" w:rsidRDefault="007C620E" w:rsidP="007C620E">
            <w:pPr>
              <w:rPr>
                <w:rFonts w:ascii="Microsoft Sans Serif" w:hAnsi="Microsoft Sans Serif" w:cs="Microsoft Sans Serif"/>
                <w:color w:val="FF0000"/>
                <w:sz w:val="16"/>
                <w:szCs w:val="16"/>
              </w:rPr>
            </w:pPr>
            <w:r w:rsidRPr="00FB38E1">
              <w:rPr>
                <w:rFonts w:ascii="Microsoft Sans Serif" w:hAnsi="Microsoft Sans Serif" w:cs="Microsoft Sans Serif"/>
                <w:color w:val="404040"/>
                <w:sz w:val="16"/>
                <w:szCs w:val="16"/>
              </w:rPr>
              <w:t> </w:t>
            </w:r>
          </w:p>
        </w:tc>
        <w:tc>
          <w:tcPr>
            <w:tcW w:w="477" w:type="pct"/>
            <w:tcBorders>
              <w:bottom w:val="single" w:sz="4" w:space="0" w:color="auto"/>
            </w:tcBorders>
            <w:shd w:val="clear" w:color="auto" w:fill="auto"/>
            <w:vAlign w:val="bottom"/>
          </w:tcPr>
          <w:p w14:paraId="5728D8D1" w14:textId="41C9143C"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404040"/>
                <w:sz w:val="16"/>
                <w:szCs w:val="16"/>
              </w:rPr>
              <w:t> </w:t>
            </w:r>
          </w:p>
        </w:tc>
        <w:tc>
          <w:tcPr>
            <w:tcW w:w="625" w:type="pct"/>
            <w:tcBorders>
              <w:bottom w:val="single" w:sz="4" w:space="0" w:color="auto"/>
            </w:tcBorders>
            <w:shd w:val="clear" w:color="auto" w:fill="auto"/>
            <w:vAlign w:val="bottom"/>
          </w:tcPr>
          <w:p w14:paraId="5512B5E6" w14:textId="33D46E38"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89.843.401</w:t>
            </w:r>
          </w:p>
        </w:tc>
      </w:tr>
      <w:tr w:rsidR="007C620E" w:rsidRPr="00FB38E1" w14:paraId="2FA7F66E" w14:textId="77777777" w:rsidTr="007C620E">
        <w:tc>
          <w:tcPr>
            <w:tcW w:w="1640" w:type="pct"/>
            <w:tcBorders>
              <w:top w:val="single" w:sz="4" w:space="0" w:color="auto"/>
              <w:bottom w:val="thickThinSmallGap" w:sz="24" w:space="0" w:color="auto"/>
            </w:tcBorders>
            <w:shd w:val="clear" w:color="auto" w:fill="auto"/>
            <w:vAlign w:val="center"/>
          </w:tcPr>
          <w:p w14:paraId="262AEF4F" w14:textId="77777777" w:rsidR="007C620E" w:rsidRPr="00FB38E1" w:rsidRDefault="007C620E" w:rsidP="007C620E">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 yükümlülükler</w:t>
            </w:r>
          </w:p>
        </w:tc>
        <w:tc>
          <w:tcPr>
            <w:tcW w:w="660" w:type="pct"/>
            <w:tcBorders>
              <w:top w:val="single" w:sz="4" w:space="0" w:color="auto"/>
              <w:bottom w:val="thickThinSmallGap" w:sz="24" w:space="0" w:color="auto"/>
            </w:tcBorders>
            <w:shd w:val="clear" w:color="auto" w:fill="auto"/>
            <w:vAlign w:val="bottom"/>
          </w:tcPr>
          <w:p w14:paraId="582B5F7F" w14:textId="3119CB18"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563" w:type="pct"/>
            <w:tcBorders>
              <w:top w:val="single" w:sz="4" w:space="0" w:color="auto"/>
              <w:bottom w:val="thickThinSmallGap" w:sz="24" w:space="0" w:color="auto"/>
            </w:tcBorders>
            <w:shd w:val="clear" w:color="auto" w:fill="auto"/>
            <w:vAlign w:val="bottom"/>
          </w:tcPr>
          <w:p w14:paraId="12FB7503" w14:textId="6BC5A809"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513" w:type="pct"/>
            <w:tcBorders>
              <w:top w:val="single" w:sz="4" w:space="0" w:color="auto"/>
              <w:bottom w:val="thickThinSmallGap" w:sz="24" w:space="0" w:color="auto"/>
            </w:tcBorders>
            <w:shd w:val="clear" w:color="auto" w:fill="auto"/>
            <w:vAlign w:val="bottom"/>
          </w:tcPr>
          <w:p w14:paraId="53C4C0D1" w14:textId="7265807B"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521" w:type="pct"/>
            <w:tcBorders>
              <w:top w:val="single" w:sz="4" w:space="0" w:color="auto"/>
              <w:bottom w:val="thickThinSmallGap" w:sz="24" w:space="0" w:color="auto"/>
            </w:tcBorders>
            <w:shd w:val="clear" w:color="auto" w:fill="auto"/>
            <w:vAlign w:val="bottom"/>
          </w:tcPr>
          <w:p w14:paraId="3E25EBC4" w14:textId="5CF4DC1D" w:rsidR="007C620E" w:rsidRPr="00FB38E1" w:rsidRDefault="007C620E" w:rsidP="007C620E">
            <w:pPr>
              <w:jc w:val="right"/>
              <w:rPr>
                <w:rFonts w:ascii="Microsoft Sans Serif" w:hAnsi="Microsoft Sans Serif" w:cs="Microsoft Sans Serif"/>
                <w:color w:val="FF0000"/>
                <w:sz w:val="16"/>
                <w:szCs w:val="16"/>
              </w:rPr>
            </w:pPr>
            <w:r w:rsidRPr="00FB38E1">
              <w:rPr>
                <w:rFonts w:ascii="Microsoft Sans Serif" w:hAnsi="Microsoft Sans Serif" w:cs="Microsoft Sans Serif"/>
                <w:color w:val="000000"/>
                <w:sz w:val="16"/>
                <w:szCs w:val="16"/>
              </w:rPr>
              <w:t> </w:t>
            </w:r>
          </w:p>
        </w:tc>
        <w:tc>
          <w:tcPr>
            <w:tcW w:w="477" w:type="pct"/>
            <w:tcBorders>
              <w:top w:val="single" w:sz="4" w:space="0" w:color="auto"/>
              <w:bottom w:val="thickThinSmallGap" w:sz="24" w:space="0" w:color="auto"/>
            </w:tcBorders>
            <w:shd w:val="clear" w:color="auto" w:fill="auto"/>
            <w:vAlign w:val="bottom"/>
          </w:tcPr>
          <w:p w14:paraId="4FD28FE0" w14:textId="694A02CE"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color w:val="000000"/>
                <w:sz w:val="16"/>
                <w:szCs w:val="16"/>
              </w:rPr>
              <w:t> </w:t>
            </w:r>
          </w:p>
        </w:tc>
        <w:tc>
          <w:tcPr>
            <w:tcW w:w="625" w:type="pct"/>
            <w:tcBorders>
              <w:top w:val="single" w:sz="4" w:space="0" w:color="auto"/>
              <w:bottom w:val="thickThinSmallGap" w:sz="24" w:space="0" w:color="auto"/>
            </w:tcBorders>
            <w:shd w:val="clear" w:color="auto" w:fill="auto"/>
            <w:vAlign w:val="bottom"/>
          </w:tcPr>
          <w:p w14:paraId="5BE65DC3" w14:textId="47E4DADE" w:rsidR="007C620E" w:rsidRPr="00FB38E1" w:rsidRDefault="007C620E" w:rsidP="007C620E">
            <w:pPr>
              <w:jc w:val="right"/>
              <w:rPr>
                <w:rFonts w:ascii="Microsoft Sans Serif" w:hAnsi="Microsoft Sans Serif" w:cs="Microsoft Sans Serif"/>
                <w:b/>
                <w:bCs/>
                <w:color w:val="FF0000"/>
                <w:sz w:val="16"/>
                <w:szCs w:val="16"/>
              </w:rPr>
            </w:pPr>
            <w:r w:rsidRPr="00FB38E1">
              <w:rPr>
                <w:rFonts w:ascii="Microsoft Sans Serif" w:hAnsi="Microsoft Sans Serif" w:cs="Microsoft Sans Serif"/>
                <w:b/>
                <w:bCs/>
                <w:color w:val="000000"/>
                <w:sz w:val="16"/>
                <w:szCs w:val="16"/>
              </w:rPr>
              <w:t>1.007.709.061</w:t>
            </w:r>
          </w:p>
        </w:tc>
      </w:tr>
    </w:tbl>
    <w:p w14:paraId="741EA982" w14:textId="3E0D2EDB" w:rsidR="00CE71F4" w:rsidRPr="00FB38E1" w:rsidRDefault="005C2994" w:rsidP="001D49A8">
      <w:pPr>
        <w:spacing w:before="60" w:after="0"/>
        <w:rPr>
          <w:rFonts w:ascii="Microsoft Sans Serif" w:hAnsi="Microsoft Sans Serif" w:cs="Microsoft Sans Serif"/>
          <w:b/>
          <w:bCs/>
          <w:sz w:val="28"/>
          <w:szCs w:val="28"/>
        </w:rPr>
      </w:pPr>
      <w:r w:rsidRPr="00FB38E1">
        <w:rPr>
          <w:rFonts w:ascii="Microsoft Sans Serif" w:hAnsi="Microsoft Sans Serif" w:cs="Microsoft Sans Serif"/>
          <w:color w:val="404040" w:themeColor="text1" w:themeTint="BF"/>
          <w:sz w:val="16"/>
          <w:szCs w:val="16"/>
        </w:rPr>
        <w:t xml:space="preserve"> </w:t>
      </w:r>
      <w:r w:rsidR="00463429" w:rsidRPr="00FB38E1">
        <w:rPr>
          <w:rFonts w:ascii="Microsoft Sans Serif" w:hAnsi="Microsoft Sans Serif" w:cs="Microsoft Sans Serif"/>
          <w:color w:val="404040" w:themeColor="text1" w:themeTint="BF"/>
          <w:sz w:val="16"/>
          <w:szCs w:val="16"/>
        </w:rPr>
        <w:t>(*) Personel giderlerini de içermektedir.</w:t>
      </w:r>
      <w:r w:rsidR="00595D38" w:rsidRPr="00FB38E1">
        <w:rPr>
          <w:rFonts w:ascii="Microsoft Sans Serif" w:hAnsi="Microsoft Sans Serif" w:cs="Microsoft Sans Serif"/>
          <w:b/>
          <w:bCs/>
          <w:sz w:val="28"/>
          <w:szCs w:val="28"/>
        </w:rPr>
        <w:br w:type="page"/>
      </w:r>
    </w:p>
    <w:p w14:paraId="5759DCAE" w14:textId="77777777" w:rsidR="00B63D4C" w:rsidRPr="00FB38E1" w:rsidRDefault="00B63D4C" w:rsidP="00CE71F4">
      <w:pPr>
        <w:spacing w:before="120" w:after="0"/>
        <w:rPr>
          <w:rFonts w:ascii="Microsoft Sans Serif" w:hAnsi="Microsoft Sans Serif" w:cs="Microsoft Sans Serif"/>
          <w:b/>
          <w:bCs/>
          <w:sz w:val="28"/>
          <w:szCs w:val="28"/>
        </w:rPr>
      </w:pPr>
      <w:r w:rsidRPr="00FB38E1">
        <w:rPr>
          <w:rFonts w:ascii="Microsoft Sans Serif" w:hAnsi="Microsoft Sans Serif" w:cs="Microsoft Sans Serif"/>
          <w:b/>
          <w:bCs/>
          <w:sz w:val="28"/>
          <w:szCs w:val="28"/>
        </w:rPr>
        <w:t>BEŞİNCİ BÖLÜM</w:t>
      </w:r>
    </w:p>
    <w:p w14:paraId="2D73F42D" w14:textId="77777777" w:rsidR="00B63D4C" w:rsidRPr="00FB38E1" w:rsidRDefault="007D7AB7" w:rsidP="007D7AB7">
      <w:pPr>
        <w:spacing w:after="0"/>
        <w:rPr>
          <w:rFonts w:ascii="Microsoft Sans Serif" w:hAnsi="Microsoft Sans Serif" w:cs="Microsoft Sans Serif"/>
          <w:b/>
          <w:bCs/>
          <w:sz w:val="28"/>
          <w:szCs w:val="28"/>
        </w:rPr>
      </w:pPr>
      <w:r w:rsidRPr="00FB38E1">
        <w:rPr>
          <w:rFonts w:ascii="Microsoft Sans Serif" w:hAnsi="Microsoft Sans Serif" w:cs="Microsoft Sans Serif"/>
          <w:b/>
          <w:bCs/>
          <w:sz w:val="28"/>
          <w:szCs w:val="28"/>
        </w:rPr>
        <w:t xml:space="preserve">KONSOLİDE </w:t>
      </w:r>
      <w:r w:rsidR="000F4CE0" w:rsidRPr="00FB38E1">
        <w:rPr>
          <w:rFonts w:ascii="Microsoft Sans Serif" w:hAnsi="Microsoft Sans Serif" w:cs="Microsoft Sans Serif"/>
          <w:b/>
          <w:bCs/>
          <w:sz w:val="28"/>
          <w:szCs w:val="28"/>
        </w:rPr>
        <w:t xml:space="preserve">OLMAYAN </w:t>
      </w:r>
      <w:r w:rsidRPr="00FB38E1">
        <w:rPr>
          <w:rFonts w:ascii="Microsoft Sans Serif" w:hAnsi="Microsoft Sans Serif" w:cs="Microsoft Sans Serif"/>
          <w:b/>
          <w:bCs/>
          <w:sz w:val="28"/>
          <w:szCs w:val="28"/>
        </w:rPr>
        <w:t>FİNANSAL TABLOLARA İLİŞKİN AÇIKLAMA VE DİPNOTLAR</w:t>
      </w:r>
    </w:p>
    <w:p w14:paraId="546B2A94" w14:textId="77777777" w:rsidR="007D7AB7" w:rsidRPr="00FB38E1" w:rsidRDefault="000F4CE0" w:rsidP="00076C9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B</w:t>
      </w:r>
      <w:r w:rsidR="007D7AB7" w:rsidRPr="00FB38E1">
        <w:rPr>
          <w:rFonts w:ascii="Microsoft Sans Serif" w:hAnsi="Microsoft Sans Serif" w:cs="Microsoft Sans Serif"/>
          <w:b/>
        </w:rPr>
        <w:t>ilançonun aktif hesaplarına ilişkin açıklama ve dipnotlar</w:t>
      </w:r>
    </w:p>
    <w:p w14:paraId="2E4D4D81" w14:textId="11A8D4E0" w:rsidR="007D7AB7" w:rsidRPr="00FB38E1" w:rsidRDefault="007D7AB7" w:rsidP="00076C9E">
      <w:pPr>
        <w:pStyle w:val="ListParagraph"/>
        <w:numPr>
          <w:ilvl w:val="0"/>
          <w:numId w:val="17"/>
        </w:numPr>
        <w:spacing w:before="240" w:after="120" w:line="240" w:lineRule="exact"/>
        <w:ind w:left="0" w:hanging="567"/>
        <w:contextualSpacing w:val="0"/>
        <w:rPr>
          <w:b/>
        </w:rPr>
      </w:pPr>
      <w:r w:rsidRPr="00FB38E1">
        <w:rPr>
          <w:rFonts w:ascii="Microsoft Sans Serif" w:hAnsi="Microsoft Sans Serif" w:cs="Microsoft Sans Serif"/>
          <w:b/>
          <w:sz w:val="20"/>
          <w:szCs w:val="20"/>
        </w:rPr>
        <w:t xml:space="preserve">Nakit </w:t>
      </w:r>
      <w:r w:rsidR="00A84FF4" w:rsidRPr="00FB38E1">
        <w:rPr>
          <w:rFonts w:ascii="Microsoft Sans Serif" w:hAnsi="Microsoft Sans Serif" w:cs="Microsoft Sans Serif"/>
          <w:b/>
          <w:sz w:val="20"/>
          <w:szCs w:val="20"/>
        </w:rPr>
        <w:t>ve nakit benzerleri</w:t>
      </w:r>
    </w:p>
    <w:p w14:paraId="66A30A41" w14:textId="77777777" w:rsidR="007D7AB7" w:rsidRPr="00FB38E1" w:rsidRDefault="007D7AB7" w:rsidP="00076C9E">
      <w:pPr>
        <w:pStyle w:val="BASLIK2"/>
        <w:numPr>
          <w:ilvl w:val="0"/>
          <w:numId w:val="18"/>
        </w:numPr>
        <w:spacing w:line="240" w:lineRule="exact"/>
        <w:ind w:left="0" w:hanging="425"/>
        <w:rPr>
          <w:rFonts w:ascii="Microsoft Sans Serif" w:hAnsi="Microsoft Sans Serif" w:cs="Microsoft Sans Serif"/>
          <w:sz w:val="20"/>
          <w:szCs w:val="20"/>
        </w:rPr>
      </w:pPr>
      <w:r w:rsidRPr="00FB38E1">
        <w:rPr>
          <w:rFonts w:ascii="Microsoft Sans Serif" w:hAnsi="Microsoft Sans Serif" w:cs="Microsoft Sans Serif"/>
          <w:iCs/>
          <w:sz w:val="20"/>
          <w:szCs w:val="20"/>
        </w:rPr>
        <w:t>Nakit değerler ve T.C. Merkez Bankası</w:t>
      </w:r>
      <w:r w:rsidR="00204133" w:rsidRPr="00FB38E1">
        <w:rPr>
          <w:rFonts w:ascii="Microsoft Sans Serif" w:hAnsi="Microsoft Sans Serif" w:cs="Microsoft Sans Serif"/>
          <w:iCs/>
          <w:sz w:val="20"/>
          <w:szCs w:val="20"/>
        </w:rPr>
        <w:t>’</w:t>
      </w:r>
      <w:r w:rsidRPr="00FB38E1">
        <w:rPr>
          <w:rFonts w:ascii="Microsoft Sans Serif" w:hAnsi="Microsoft Sans Serif" w:cs="Microsoft Sans Serif"/>
          <w:iCs/>
          <w:sz w:val="20"/>
          <w:szCs w:val="20"/>
        </w:rPr>
        <w:t>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49"/>
        <w:gridCol w:w="1398"/>
        <w:gridCol w:w="1398"/>
        <w:gridCol w:w="1398"/>
        <w:gridCol w:w="1396"/>
      </w:tblGrid>
      <w:tr w:rsidR="00FC74B7" w:rsidRPr="00FB38E1" w14:paraId="141684A3" w14:textId="77777777" w:rsidTr="006C07BF">
        <w:tc>
          <w:tcPr>
            <w:tcW w:w="2100" w:type="pct"/>
            <w:vAlign w:val="bottom"/>
          </w:tcPr>
          <w:p w14:paraId="17CD48E4" w14:textId="77777777" w:rsidR="00FC74B7" w:rsidRPr="00FB38E1" w:rsidRDefault="00FC74B7">
            <w:pPr>
              <w:jc w:val="right"/>
              <w:rPr>
                <w:rFonts w:ascii="Microsoft Sans Serif" w:hAnsi="Microsoft Sans Serif" w:cs="Microsoft Sans Serif"/>
                <w:color w:val="000000"/>
                <w:sz w:val="16"/>
                <w:szCs w:val="16"/>
              </w:rPr>
            </w:pPr>
          </w:p>
        </w:tc>
        <w:tc>
          <w:tcPr>
            <w:tcW w:w="1450" w:type="pct"/>
            <w:gridSpan w:val="2"/>
            <w:tcBorders>
              <w:bottom w:val="single" w:sz="4" w:space="0" w:color="auto"/>
            </w:tcBorders>
          </w:tcPr>
          <w:p w14:paraId="2440C9DD" w14:textId="02C0DBAF" w:rsidR="00FC74B7" w:rsidRPr="00FB38E1" w:rsidRDefault="00FC74B7" w:rsidP="00562B4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449" w:type="pct"/>
            <w:gridSpan w:val="2"/>
            <w:tcBorders>
              <w:top w:val="thinThickSmallGap" w:sz="24" w:space="0" w:color="auto"/>
              <w:bottom w:val="single" w:sz="4" w:space="0" w:color="auto"/>
            </w:tcBorders>
            <w:vAlign w:val="bottom"/>
          </w:tcPr>
          <w:p w14:paraId="39720E2C" w14:textId="43309C50" w:rsidR="00FC74B7" w:rsidRPr="00FB38E1" w:rsidRDefault="00FC74B7" w:rsidP="00562B4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FC74B7" w:rsidRPr="00FB38E1" w14:paraId="654ACC40" w14:textId="77777777" w:rsidTr="006C07BF">
        <w:tc>
          <w:tcPr>
            <w:tcW w:w="2100" w:type="pct"/>
            <w:tcBorders>
              <w:bottom w:val="single" w:sz="4" w:space="0" w:color="auto"/>
            </w:tcBorders>
            <w:vAlign w:val="bottom"/>
          </w:tcPr>
          <w:p w14:paraId="3EEB306A" w14:textId="77777777" w:rsidR="00FC74B7" w:rsidRPr="00FB38E1" w:rsidRDefault="00FC74B7" w:rsidP="00FC74B7">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129994FC" w14:textId="4E939D82" w:rsidR="00FC74B7" w:rsidRPr="00FB38E1" w:rsidRDefault="00FC74B7" w:rsidP="00FC74B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5" w:type="pct"/>
            <w:tcBorders>
              <w:top w:val="single" w:sz="4" w:space="0" w:color="auto"/>
              <w:bottom w:val="single" w:sz="4" w:space="0" w:color="auto"/>
            </w:tcBorders>
            <w:vAlign w:val="bottom"/>
          </w:tcPr>
          <w:p w14:paraId="0DD7DD52" w14:textId="100E7153" w:rsidR="00FC74B7" w:rsidRPr="00FB38E1" w:rsidRDefault="00FC74B7" w:rsidP="00FC74B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725" w:type="pct"/>
            <w:tcBorders>
              <w:top w:val="single" w:sz="4" w:space="0" w:color="auto"/>
              <w:bottom w:val="single" w:sz="4" w:space="0" w:color="auto"/>
            </w:tcBorders>
            <w:vAlign w:val="bottom"/>
          </w:tcPr>
          <w:p w14:paraId="5FAD2C1F" w14:textId="648CEFC9" w:rsidR="00FC74B7" w:rsidRPr="00FB38E1" w:rsidRDefault="00FC74B7" w:rsidP="00FC74B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1828465" w14:textId="77777777" w:rsidR="00FC74B7" w:rsidRPr="00FB38E1" w:rsidRDefault="00FC74B7" w:rsidP="00FC74B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6067E8" w:rsidRPr="00FB38E1" w14:paraId="62163497" w14:textId="77777777" w:rsidTr="00B01B91">
        <w:tc>
          <w:tcPr>
            <w:tcW w:w="2100" w:type="pct"/>
            <w:tcBorders>
              <w:top w:val="single" w:sz="4" w:space="0" w:color="auto"/>
              <w:bottom w:val="nil"/>
            </w:tcBorders>
            <w:vAlign w:val="bottom"/>
          </w:tcPr>
          <w:p w14:paraId="018A96AF" w14:textId="77777777" w:rsidR="006067E8" w:rsidRPr="00FB38E1" w:rsidRDefault="006067E8" w:rsidP="006067E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Kasa/Efektif</w:t>
            </w:r>
          </w:p>
        </w:tc>
        <w:tc>
          <w:tcPr>
            <w:tcW w:w="725" w:type="pct"/>
            <w:tcBorders>
              <w:top w:val="single" w:sz="4" w:space="0" w:color="auto"/>
              <w:bottom w:val="nil"/>
            </w:tcBorders>
            <w:vAlign w:val="center"/>
          </w:tcPr>
          <w:p w14:paraId="63C37CE4" w14:textId="1D5A305A"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2.435.974</w:t>
            </w:r>
          </w:p>
        </w:tc>
        <w:tc>
          <w:tcPr>
            <w:tcW w:w="725" w:type="pct"/>
            <w:tcBorders>
              <w:top w:val="single" w:sz="4" w:space="0" w:color="auto"/>
              <w:bottom w:val="nil"/>
            </w:tcBorders>
            <w:vAlign w:val="center"/>
          </w:tcPr>
          <w:p w14:paraId="48FF6922" w14:textId="46B3BA1E"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6.899.781</w:t>
            </w:r>
          </w:p>
        </w:tc>
        <w:tc>
          <w:tcPr>
            <w:tcW w:w="725" w:type="pct"/>
            <w:tcBorders>
              <w:top w:val="single" w:sz="4" w:space="0" w:color="auto"/>
              <w:bottom w:val="nil"/>
            </w:tcBorders>
            <w:shd w:val="clear" w:color="auto" w:fill="auto"/>
            <w:vAlign w:val="center"/>
          </w:tcPr>
          <w:p w14:paraId="3CC36C79" w14:textId="10BE8E46"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1.676.786</w:t>
            </w:r>
          </w:p>
        </w:tc>
        <w:tc>
          <w:tcPr>
            <w:tcW w:w="724" w:type="pct"/>
            <w:tcBorders>
              <w:top w:val="single" w:sz="4" w:space="0" w:color="auto"/>
              <w:bottom w:val="nil"/>
            </w:tcBorders>
            <w:shd w:val="clear" w:color="auto" w:fill="auto"/>
            <w:vAlign w:val="center"/>
          </w:tcPr>
          <w:p w14:paraId="302540F1" w14:textId="2CD025B1"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6.416.697</w:t>
            </w:r>
          </w:p>
        </w:tc>
      </w:tr>
      <w:tr w:rsidR="006067E8" w:rsidRPr="00FB38E1" w14:paraId="1A747C5B" w14:textId="77777777" w:rsidTr="00B01B91">
        <w:tc>
          <w:tcPr>
            <w:tcW w:w="2100" w:type="pct"/>
            <w:tcBorders>
              <w:top w:val="nil"/>
            </w:tcBorders>
            <w:vAlign w:val="bottom"/>
          </w:tcPr>
          <w:p w14:paraId="08EC824A" w14:textId="77777777" w:rsidR="006067E8" w:rsidRPr="00FB38E1" w:rsidRDefault="006067E8" w:rsidP="006067E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TCMB </w:t>
            </w:r>
          </w:p>
        </w:tc>
        <w:tc>
          <w:tcPr>
            <w:tcW w:w="725" w:type="pct"/>
            <w:tcBorders>
              <w:top w:val="nil"/>
            </w:tcBorders>
            <w:vAlign w:val="center"/>
          </w:tcPr>
          <w:p w14:paraId="24FA3255" w14:textId="54A27A82"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105.476.421</w:t>
            </w:r>
          </w:p>
        </w:tc>
        <w:tc>
          <w:tcPr>
            <w:tcW w:w="725" w:type="pct"/>
            <w:tcBorders>
              <w:top w:val="nil"/>
            </w:tcBorders>
            <w:vAlign w:val="center"/>
          </w:tcPr>
          <w:p w14:paraId="526B4648" w14:textId="6521E05E"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99.255.240</w:t>
            </w:r>
          </w:p>
        </w:tc>
        <w:tc>
          <w:tcPr>
            <w:tcW w:w="725" w:type="pct"/>
            <w:tcBorders>
              <w:top w:val="nil"/>
            </w:tcBorders>
            <w:shd w:val="clear" w:color="auto" w:fill="auto"/>
            <w:vAlign w:val="center"/>
          </w:tcPr>
          <w:p w14:paraId="744F06E7" w14:textId="4583AD94"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98.702.818</w:t>
            </w:r>
          </w:p>
        </w:tc>
        <w:tc>
          <w:tcPr>
            <w:tcW w:w="724" w:type="pct"/>
            <w:tcBorders>
              <w:top w:val="nil"/>
            </w:tcBorders>
            <w:shd w:val="clear" w:color="auto" w:fill="auto"/>
            <w:vAlign w:val="center"/>
          </w:tcPr>
          <w:p w14:paraId="16C8CAB3" w14:textId="08E3A1E6"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96.178.966</w:t>
            </w:r>
          </w:p>
        </w:tc>
      </w:tr>
      <w:tr w:rsidR="006067E8" w:rsidRPr="00FB38E1" w14:paraId="60123736" w14:textId="77777777" w:rsidTr="00B01B91">
        <w:tc>
          <w:tcPr>
            <w:tcW w:w="2100" w:type="pct"/>
            <w:tcBorders>
              <w:bottom w:val="single" w:sz="4" w:space="0" w:color="auto"/>
            </w:tcBorders>
            <w:vAlign w:val="bottom"/>
          </w:tcPr>
          <w:p w14:paraId="01D37100" w14:textId="32580A05" w:rsidR="006067E8" w:rsidRPr="00FB38E1" w:rsidRDefault="006067E8" w:rsidP="006067E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25" w:type="pct"/>
            <w:tcBorders>
              <w:bottom w:val="single" w:sz="4" w:space="0" w:color="auto"/>
            </w:tcBorders>
            <w:vAlign w:val="center"/>
          </w:tcPr>
          <w:p w14:paraId="4A92215B" w14:textId="1479D778"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5" w:type="pct"/>
            <w:tcBorders>
              <w:bottom w:val="single" w:sz="4" w:space="0" w:color="auto"/>
            </w:tcBorders>
            <w:vAlign w:val="center"/>
          </w:tcPr>
          <w:p w14:paraId="1AB794B9" w14:textId="76EF5F8A"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5" w:type="pct"/>
            <w:tcBorders>
              <w:bottom w:val="single" w:sz="4" w:space="0" w:color="auto"/>
            </w:tcBorders>
            <w:shd w:val="clear" w:color="auto" w:fill="auto"/>
            <w:vAlign w:val="center"/>
          </w:tcPr>
          <w:p w14:paraId="27A2BA7C" w14:textId="20EA2672"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shd w:val="clear" w:color="auto" w:fill="auto"/>
            <w:vAlign w:val="center"/>
          </w:tcPr>
          <w:p w14:paraId="28D8E458" w14:textId="734E1B33"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148</w:t>
            </w:r>
          </w:p>
        </w:tc>
      </w:tr>
      <w:tr w:rsidR="006067E8" w:rsidRPr="00FB38E1" w14:paraId="7F2D1813" w14:textId="77777777" w:rsidTr="00B01B91">
        <w:tc>
          <w:tcPr>
            <w:tcW w:w="2100" w:type="pct"/>
            <w:tcBorders>
              <w:top w:val="single" w:sz="4" w:space="0" w:color="auto"/>
              <w:bottom w:val="thickThinSmallGap" w:sz="24" w:space="0" w:color="auto"/>
            </w:tcBorders>
            <w:vAlign w:val="bottom"/>
          </w:tcPr>
          <w:p w14:paraId="35DD03AF" w14:textId="77777777" w:rsidR="006067E8" w:rsidRPr="00FB38E1" w:rsidRDefault="006067E8" w:rsidP="006067E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FFBE1F9" w14:textId="6E69DCF1" w:rsidR="006067E8" w:rsidRPr="00FB38E1" w:rsidRDefault="006067E8" w:rsidP="006067E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107.912.395</w:t>
            </w:r>
          </w:p>
        </w:tc>
        <w:tc>
          <w:tcPr>
            <w:tcW w:w="725" w:type="pct"/>
            <w:tcBorders>
              <w:top w:val="single" w:sz="4" w:space="0" w:color="auto"/>
              <w:bottom w:val="thickThinSmallGap" w:sz="24" w:space="0" w:color="auto"/>
            </w:tcBorders>
            <w:vAlign w:val="center"/>
          </w:tcPr>
          <w:p w14:paraId="66D2806B" w14:textId="2B983DAD" w:rsidR="006067E8" w:rsidRPr="00FB38E1" w:rsidRDefault="006067E8" w:rsidP="006067E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106.155.021</w:t>
            </w:r>
          </w:p>
        </w:tc>
        <w:tc>
          <w:tcPr>
            <w:tcW w:w="725" w:type="pct"/>
            <w:tcBorders>
              <w:top w:val="single" w:sz="4" w:space="0" w:color="auto"/>
              <w:bottom w:val="thickThinSmallGap" w:sz="24" w:space="0" w:color="auto"/>
            </w:tcBorders>
            <w:shd w:val="clear" w:color="auto" w:fill="auto"/>
            <w:vAlign w:val="center"/>
          </w:tcPr>
          <w:p w14:paraId="7AE32E15" w14:textId="59371F32" w:rsidR="006067E8" w:rsidRPr="00FB38E1" w:rsidRDefault="006067E8" w:rsidP="006067E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100.379.604</w:t>
            </w:r>
          </w:p>
        </w:tc>
        <w:tc>
          <w:tcPr>
            <w:tcW w:w="724" w:type="pct"/>
            <w:tcBorders>
              <w:top w:val="single" w:sz="4" w:space="0" w:color="auto"/>
              <w:bottom w:val="thickThinSmallGap" w:sz="24" w:space="0" w:color="auto"/>
            </w:tcBorders>
            <w:shd w:val="clear" w:color="auto" w:fill="auto"/>
            <w:vAlign w:val="center"/>
          </w:tcPr>
          <w:p w14:paraId="786BCFD7" w14:textId="591DBF55" w:rsidR="006067E8" w:rsidRPr="00FB38E1" w:rsidRDefault="006067E8" w:rsidP="006067E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102.595.811</w:t>
            </w:r>
          </w:p>
        </w:tc>
      </w:tr>
    </w:tbl>
    <w:p w14:paraId="58703BD0" w14:textId="77777777" w:rsidR="007D7AB7" w:rsidRPr="00FB38E1" w:rsidRDefault="007D7AB7" w:rsidP="00076C9E">
      <w:pPr>
        <w:pStyle w:val="BASLIK2"/>
        <w:numPr>
          <w:ilvl w:val="0"/>
          <w:numId w:val="18"/>
        </w:numPr>
        <w:spacing w:line="240" w:lineRule="exact"/>
        <w:ind w:left="0" w:hanging="425"/>
        <w:rPr>
          <w:rFonts w:ascii="Microsoft Sans Serif" w:hAnsi="Microsoft Sans Serif" w:cs="Microsoft Sans Serif"/>
          <w:bCs w:val="0"/>
          <w:sz w:val="16"/>
          <w:szCs w:val="16"/>
          <w:lang w:eastAsia="tr-TR"/>
        </w:rPr>
      </w:pPr>
      <w:r w:rsidRPr="00FB38E1">
        <w:rPr>
          <w:rFonts w:ascii="Microsoft Sans Serif" w:hAnsi="Microsoft Sans Serif" w:cs="Microsoft Sans Serif"/>
          <w:iCs/>
          <w:sz w:val="20"/>
          <w:szCs w:val="20"/>
        </w:rPr>
        <w:t>T.C. Merkez Bankası hesabına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FA69D1" w:rsidRPr="00FB38E1" w14:paraId="75C64779" w14:textId="1BB8CD4F" w:rsidTr="00FA69D1">
        <w:tc>
          <w:tcPr>
            <w:tcW w:w="2102" w:type="pct"/>
            <w:vAlign w:val="bottom"/>
          </w:tcPr>
          <w:p w14:paraId="64B3717B" w14:textId="77777777" w:rsidR="00FA69D1" w:rsidRPr="00FB38E1" w:rsidRDefault="00FA69D1" w:rsidP="000A1D64">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531557FF" w14:textId="77777777" w:rsidR="00FA69D1" w:rsidRPr="00FB38E1" w:rsidRDefault="00FA69D1" w:rsidP="000A1D6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1BA91589" w14:textId="6027F3E3" w:rsidR="00FA69D1" w:rsidRPr="00FB38E1" w:rsidRDefault="00FA69D1" w:rsidP="000A1D6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FA69D1" w:rsidRPr="00FB38E1" w14:paraId="5F9B9A35" w14:textId="40ABE756" w:rsidTr="00FA69D1">
        <w:tc>
          <w:tcPr>
            <w:tcW w:w="2102" w:type="pct"/>
            <w:tcBorders>
              <w:bottom w:val="single" w:sz="4" w:space="0" w:color="auto"/>
            </w:tcBorders>
            <w:vAlign w:val="bottom"/>
          </w:tcPr>
          <w:p w14:paraId="52B0EE0F" w14:textId="77777777" w:rsidR="00FA69D1" w:rsidRPr="00FB38E1" w:rsidRDefault="00FA69D1" w:rsidP="00FA69D1">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68A98E16" w14:textId="77777777" w:rsidR="00FA69D1" w:rsidRPr="00FB38E1" w:rsidRDefault="00FA69D1" w:rsidP="00FA69D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4BBCDDA0" w14:textId="77777777" w:rsidR="00FA69D1" w:rsidRPr="00FB38E1" w:rsidRDefault="00FA69D1" w:rsidP="00FA69D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2A140BA8" w14:textId="7F5533D2" w:rsidR="00FA69D1" w:rsidRPr="00FB38E1" w:rsidRDefault="00FA69D1" w:rsidP="00FA69D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DD69B6C" w14:textId="02B1EAD1" w:rsidR="00FA69D1" w:rsidRPr="00FB38E1" w:rsidRDefault="00FA69D1" w:rsidP="00FA69D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6067E8" w:rsidRPr="00FB38E1" w14:paraId="47390E4B" w14:textId="4D153528" w:rsidTr="00983F6F">
        <w:tc>
          <w:tcPr>
            <w:tcW w:w="2102" w:type="pct"/>
            <w:tcBorders>
              <w:top w:val="single" w:sz="4" w:space="0" w:color="auto"/>
              <w:bottom w:val="nil"/>
            </w:tcBorders>
            <w:vAlign w:val="bottom"/>
          </w:tcPr>
          <w:p w14:paraId="6F77C602" w14:textId="77777777" w:rsidR="006067E8" w:rsidRPr="00FB38E1" w:rsidRDefault="006067E8" w:rsidP="006067E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Vadesiz Serbest Hesap</w:t>
            </w:r>
          </w:p>
        </w:tc>
        <w:tc>
          <w:tcPr>
            <w:tcW w:w="725" w:type="pct"/>
            <w:tcBorders>
              <w:top w:val="single" w:sz="4" w:space="0" w:color="auto"/>
              <w:bottom w:val="nil"/>
            </w:tcBorders>
            <w:vAlign w:val="center"/>
          </w:tcPr>
          <w:p w14:paraId="60F42400" w14:textId="219DE7C2"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63.333.847</w:t>
            </w:r>
          </w:p>
        </w:tc>
        <w:tc>
          <w:tcPr>
            <w:tcW w:w="724" w:type="pct"/>
            <w:tcBorders>
              <w:top w:val="single" w:sz="4" w:space="0" w:color="auto"/>
              <w:bottom w:val="nil"/>
            </w:tcBorders>
            <w:vAlign w:val="center"/>
          </w:tcPr>
          <w:p w14:paraId="1115F5C9" w14:textId="4E28A579"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56.449.571</w:t>
            </w:r>
          </w:p>
        </w:tc>
        <w:tc>
          <w:tcPr>
            <w:tcW w:w="724" w:type="pct"/>
            <w:tcBorders>
              <w:top w:val="single" w:sz="4" w:space="0" w:color="auto"/>
              <w:bottom w:val="nil"/>
            </w:tcBorders>
            <w:vAlign w:val="center"/>
          </w:tcPr>
          <w:p w14:paraId="2337A1CE" w14:textId="0E2AC1B0"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38.489.129</w:t>
            </w:r>
          </w:p>
        </w:tc>
        <w:tc>
          <w:tcPr>
            <w:tcW w:w="724" w:type="pct"/>
            <w:tcBorders>
              <w:top w:val="single" w:sz="4" w:space="0" w:color="auto"/>
              <w:bottom w:val="nil"/>
            </w:tcBorders>
            <w:vAlign w:val="center"/>
          </w:tcPr>
          <w:p w14:paraId="41A51ED7" w14:textId="773D0100"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45.047.355</w:t>
            </w:r>
          </w:p>
        </w:tc>
      </w:tr>
      <w:tr w:rsidR="006067E8" w:rsidRPr="00FB38E1" w14:paraId="5FFCE57C" w14:textId="769CF9BD" w:rsidTr="00983F6F">
        <w:tc>
          <w:tcPr>
            <w:tcW w:w="2102" w:type="pct"/>
            <w:tcBorders>
              <w:top w:val="nil"/>
            </w:tcBorders>
            <w:vAlign w:val="bottom"/>
          </w:tcPr>
          <w:p w14:paraId="72E62956" w14:textId="77777777" w:rsidR="006067E8" w:rsidRPr="00FB38E1" w:rsidRDefault="006067E8" w:rsidP="006067E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Vadeli Serbest Hesap</w:t>
            </w:r>
          </w:p>
        </w:tc>
        <w:tc>
          <w:tcPr>
            <w:tcW w:w="725" w:type="pct"/>
            <w:tcBorders>
              <w:top w:val="nil"/>
            </w:tcBorders>
            <w:vAlign w:val="center"/>
          </w:tcPr>
          <w:p w14:paraId="02CCBD22" w14:textId="0A9CB1F2"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625.805</w:t>
            </w:r>
          </w:p>
        </w:tc>
        <w:tc>
          <w:tcPr>
            <w:tcW w:w="724" w:type="pct"/>
            <w:tcBorders>
              <w:top w:val="nil"/>
            </w:tcBorders>
            <w:vAlign w:val="center"/>
          </w:tcPr>
          <w:p w14:paraId="0380829E" w14:textId="4E62F4DA"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3.673.952</w:t>
            </w:r>
          </w:p>
        </w:tc>
        <w:tc>
          <w:tcPr>
            <w:tcW w:w="724" w:type="pct"/>
            <w:tcBorders>
              <w:top w:val="nil"/>
            </w:tcBorders>
            <w:vAlign w:val="center"/>
          </w:tcPr>
          <w:p w14:paraId="4ABE4F3E" w14:textId="431D34E6"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53.502.991</w:t>
            </w:r>
          </w:p>
        </w:tc>
        <w:tc>
          <w:tcPr>
            <w:tcW w:w="724" w:type="pct"/>
            <w:tcBorders>
              <w:top w:val="nil"/>
            </w:tcBorders>
            <w:vAlign w:val="center"/>
          </w:tcPr>
          <w:p w14:paraId="7F25CD7B" w14:textId="0DC3FF74"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7.362.923</w:t>
            </w:r>
          </w:p>
        </w:tc>
      </w:tr>
      <w:tr w:rsidR="006067E8" w:rsidRPr="00FB38E1" w14:paraId="221E9C9B" w14:textId="6848D168" w:rsidTr="00983F6F">
        <w:tc>
          <w:tcPr>
            <w:tcW w:w="2102" w:type="pct"/>
            <w:tcBorders>
              <w:bottom w:val="single" w:sz="4" w:space="0" w:color="auto"/>
            </w:tcBorders>
            <w:vAlign w:val="bottom"/>
          </w:tcPr>
          <w:p w14:paraId="03FCA2BD" w14:textId="77777777" w:rsidR="006067E8" w:rsidRPr="00FB38E1" w:rsidRDefault="006067E8" w:rsidP="006067E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Vadeli Serbest Olmayan Hesap</w:t>
            </w:r>
          </w:p>
        </w:tc>
        <w:tc>
          <w:tcPr>
            <w:tcW w:w="725" w:type="pct"/>
            <w:tcBorders>
              <w:bottom w:val="single" w:sz="4" w:space="0" w:color="auto"/>
            </w:tcBorders>
            <w:vAlign w:val="center"/>
          </w:tcPr>
          <w:p w14:paraId="0DFBD43A" w14:textId="00AD8B29"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41.516.769</w:t>
            </w:r>
          </w:p>
        </w:tc>
        <w:tc>
          <w:tcPr>
            <w:tcW w:w="724" w:type="pct"/>
            <w:tcBorders>
              <w:bottom w:val="single" w:sz="4" w:space="0" w:color="auto"/>
            </w:tcBorders>
            <w:vAlign w:val="center"/>
          </w:tcPr>
          <w:p w14:paraId="110964F4" w14:textId="7DDABB38"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39.131.717</w:t>
            </w:r>
          </w:p>
        </w:tc>
        <w:tc>
          <w:tcPr>
            <w:tcW w:w="724" w:type="pct"/>
            <w:tcBorders>
              <w:bottom w:val="single" w:sz="4" w:space="0" w:color="auto"/>
            </w:tcBorders>
            <w:vAlign w:val="center"/>
          </w:tcPr>
          <w:p w14:paraId="5A17D528" w14:textId="3172BEC2"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6.710.698</w:t>
            </w:r>
          </w:p>
        </w:tc>
        <w:tc>
          <w:tcPr>
            <w:tcW w:w="724" w:type="pct"/>
            <w:tcBorders>
              <w:bottom w:val="single" w:sz="4" w:space="0" w:color="auto"/>
            </w:tcBorders>
            <w:vAlign w:val="center"/>
          </w:tcPr>
          <w:p w14:paraId="4C966802" w14:textId="7C882CCE" w:rsidR="006067E8" w:rsidRPr="00FB38E1" w:rsidRDefault="006067E8" w:rsidP="006067E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43.768.688</w:t>
            </w:r>
          </w:p>
        </w:tc>
      </w:tr>
      <w:tr w:rsidR="006067E8" w:rsidRPr="00FB38E1" w14:paraId="6F972A37" w14:textId="4120FDC7" w:rsidTr="00983F6F">
        <w:tc>
          <w:tcPr>
            <w:tcW w:w="2102" w:type="pct"/>
            <w:tcBorders>
              <w:top w:val="single" w:sz="4" w:space="0" w:color="auto"/>
              <w:bottom w:val="thickThinSmallGap" w:sz="24" w:space="0" w:color="auto"/>
            </w:tcBorders>
            <w:vAlign w:val="bottom"/>
          </w:tcPr>
          <w:p w14:paraId="0B6A9B49" w14:textId="77777777" w:rsidR="006067E8" w:rsidRPr="00FB38E1" w:rsidRDefault="006067E8" w:rsidP="006067E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13D4031C" w14:textId="1D4DD332" w:rsidR="006067E8" w:rsidRPr="00FB38E1" w:rsidRDefault="006067E8" w:rsidP="006067E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105.476.421</w:t>
            </w:r>
          </w:p>
        </w:tc>
        <w:tc>
          <w:tcPr>
            <w:tcW w:w="724" w:type="pct"/>
            <w:tcBorders>
              <w:top w:val="single" w:sz="4" w:space="0" w:color="auto"/>
              <w:bottom w:val="thickThinSmallGap" w:sz="24" w:space="0" w:color="auto"/>
            </w:tcBorders>
            <w:vAlign w:val="center"/>
          </w:tcPr>
          <w:p w14:paraId="4787F681" w14:textId="64831615" w:rsidR="006067E8" w:rsidRPr="00FB38E1" w:rsidRDefault="006067E8" w:rsidP="006067E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99.255.240</w:t>
            </w:r>
          </w:p>
        </w:tc>
        <w:tc>
          <w:tcPr>
            <w:tcW w:w="724" w:type="pct"/>
            <w:tcBorders>
              <w:top w:val="single" w:sz="4" w:space="0" w:color="auto"/>
              <w:bottom w:val="thickThinSmallGap" w:sz="24" w:space="0" w:color="auto"/>
            </w:tcBorders>
            <w:vAlign w:val="center"/>
          </w:tcPr>
          <w:p w14:paraId="7FE358B0" w14:textId="1CE709C4" w:rsidR="006067E8" w:rsidRPr="00FB38E1" w:rsidRDefault="006067E8" w:rsidP="006067E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98.702.818</w:t>
            </w:r>
          </w:p>
        </w:tc>
        <w:tc>
          <w:tcPr>
            <w:tcW w:w="724" w:type="pct"/>
            <w:tcBorders>
              <w:top w:val="single" w:sz="4" w:space="0" w:color="auto"/>
              <w:bottom w:val="thickThinSmallGap" w:sz="24" w:space="0" w:color="auto"/>
            </w:tcBorders>
            <w:vAlign w:val="center"/>
          </w:tcPr>
          <w:p w14:paraId="29B48819" w14:textId="35487BCD" w:rsidR="006067E8" w:rsidRPr="00FB38E1" w:rsidRDefault="006067E8" w:rsidP="006067E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96.178.966</w:t>
            </w:r>
          </w:p>
        </w:tc>
      </w:tr>
    </w:tbl>
    <w:p w14:paraId="153B5FF7" w14:textId="634EDF9A" w:rsidR="00D65625" w:rsidRPr="00FB38E1" w:rsidRDefault="00D65625" w:rsidP="00076C9E">
      <w:pPr>
        <w:pStyle w:val="BASLIK2"/>
        <w:numPr>
          <w:ilvl w:val="0"/>
          <w:numId w:val="18"/>
        </w:numPr>
        <w:spacing w:line="240" w:lineRule="exact"/>
        <w:ind w:left="0" w:hanging="425"/>
        <w:rPr>
          <w:rFonts w:ascii="Microsoft Sans Serif" w:hAnsi="Microsoft Sans Serif" w:cs="Microsoft Sans Serif"/>
          <w:bCs w:val="0"/>
          <w:sz w:val="16"/>
          <w:szCs w:val="16"/>
          <w:lang w:eastAsia="tr-TR"/>
        </w:rPr>
      </w:pPr>
      <w:r w:rsidRPr="00FB38E1">
        <w:rPr>
          <w:rFonts w:ascii="Microsoft Sans Serif" w:hAnsi="Microsoft Sans Serif" w:cs="Microsoft Sans Serif"/>
          <w:iCs/>
          <w:sz w:val="20"/>
          <w:szCs w:val="20"/>
          <w:lang w:val="en-US"/>
        </w:rPr>
        <w:t>Zorunlu karşılıklara ilişkin açıklamalar</w:t>
      </w:r>
    </w:p>
    <w:p w14:paraId="3818F6E5" w14:textId="3A47F7F1" w:rsidR="00730BE0" w:rsidRPr="00FB38E1" w:rsidRDefault="00730BE0" w:rsidP="00730BE0">
      <w:pPr>
        <w:pStyle w:val="CommentText"/>
        <w:spacing w:before="120" w:line="220" w:lineRule="exact"/>
        <w:rPr>
          <w:rFonts w:ascii="Microsoft Sans Serif" w:hAnsi="Microsoft Sans Serif" w:cs="Microsoft Sans Serif"/>
          <w:color w:val="404040" w:themeColor="text1" w:themeTint="BF"/>
        </w:rPr>
      </w:pPr>
      <w:bookmarkStart w:id="47" w:name="_Hlk126827130"/>
      <w:r w:rsidRPr="00FB38E1">
        <w:rPr>
          <w:rFonts w:ascii="Microsoft Sans Serif" w:hAnsi="Microsoft Sans Serif" w:cs="Microsoft Sans Serif"/>
          <w:color w:val="404040" w:themeColor="text1" w:themeTint="BF"/>
        </w:rPr>
        <w:t>Banka, TCMB’nin “Zorunlu Karşılıklar Hakkında 2013/15 sayılı Tebliğ”ine göre Türk Parası ve yabancı para yükümlülükleri için TCMB nezdinde zor</w:t>
      </w:r>
      <w:r w:rsidR="00206FAE" w:rsidRPr="00FB38E1">
        <w:rPr>
          <w:rFonts w:ascii="Microsoft Sans Serif" w:hAnsi="Microsoft Sans Serif" w:cs="Microsoft Sans Serif"/>
          <w:color w:val="404040" w:themeColor="text1" w:themeTint="BF"/>
        </w:rPr>
        <w:t>unlu karşılık tesis etmektedir.</w:t>
      </w:r>
    </w:p>
    <w:p w14:paraId="23F070DB" w14:textId="641944D3" w:rsidR="00CA5925" w:rsidRPr="00FB38E1" w:rsidRDefault="00AD2A6F" w:rsidP="00730BE0">
      <w:pPr>
        <w:pStyle w:val="CommentText"/>
        <w:spacing w:before="120" w:line="220" w:lineRule="exact"/>
        <w:rPr>
          <w:rFonts w:ascii="Microsoft Sans Serif" w:hAnsi="Microsoft Sans Serif" w:cs="Microsoft Sans Serif"/>
          <w:color w:val="404040" w:themeColor="text1" w:themeTint="BF"/>
        </w:rPr>
      </w:pPr>
      <w:r w:rsidRPr="00FB38E1">
        <w:rPr>
          <w:rFonts w:ascii="Microsoft Sans Serif" w:hAnsi="Microsoft Sans Serif" w:cs="Microsoft Sans Serif"/>
          <w:color w:val="404040" w:themeColor="text1" w:themeTint="BF"/>
        </w:rPr>
        <w:t xml:space="preserve">31 Aralık 2024 </w:t>
      </w:r>
      <w:r w:rsidR="00CA5925" w:rsidRPr="00FB38E1">
        <w:rPr>
          <w:rFonts w:ascii="Microsoft Sans Serif" w:hAnsi="Microsoft Sans Serif" w:cs="Microsoft Sans Serif"/>
          <w:color w:val="404040" w:themeColor="text1" w:themeTint="BF"/>
        </w:rPr>
        <w:t>itibarıyla, Türkiye’de faaliyet gösteren bankalar, Türk Lirası yükümlülüklerin vade yapısına göre kur koruma desteği sağlayan hesaplar hariç %</w:t>
      </w:r>
      <w:r w:rsidR="00397FED" w:rsidRPr="00FB38E1">
        <w:rPr>
          <w:rFonts w:ascii="Microsoft Sans Serif" w:hAnsi="Microsoft Sans Serif" w:cs="Microsoft Sans Serif"/>
          <w:color w:val="404040" w:themeColor="text1" w:themeTint="BF"/>
        </w:rPr>
        <w:t>3</w:t>
      </w:r>
      <w:r w:rsidR="00CA5925" w:rsidRPr="00FB38E1">
        <w:rPr>
          <w:rFonts w:ascii="Microsoft Sans Serif" w:hAnsi="Microsoft Sans Serif" w:cs="Microsoft Sans Serif"/>
          <w:color w:val="404040" w:themeColor="text1" w:themeTint="BF"/>
        </w:rPr>
        <w:t xml:space="preserve"> ile %</w:t>
      </w:r>
      <w:r w:rsidR="00397FED" w:rsidRPr="00FB38E1">
        <w:rPr>
          <w:rFonts w:ascii="Microsoft Sans Serif" w:hAnsi="Microsoft Sans Serif" w:cs="Microsoft Sans Serif"/>
          <w:color w:val="404040" w:themeColor="text1" w:themeTint="BF"/>
        </w:rPr>
        <w:t>1</w:t>
      </w:r>
      <w:r w:rsidR="002A2DAA" w:rsidRPr="00FB38E1">
        <w:rPr>
          <w:rFonts w:ascii="Microsoft Sans Serif" w:hAnsi="Microsoft Sans Serif" w:cs="Microsoft Sans Serif"/>
          <w:color w:val="404040" w:themeColor="text1" w:themeTint="BF"/>
        </w:rPr>
        <w:t>7</w:t>
      </w:r>
      <w:r w:rsidR="00CA5925" w:rsidRPr="00FB38E1">
        <w:rPr>
          <w:rFonts w:ascii="Microsoft Sans Serif" w:hAnsi="Microsoft Sans Serif" w:cs="Microsoft Sans Serif"/>
          <w:color w:val="404040" w:themeColor="text1" w:themeTint="BF"/>
        </w:rPr>
        <w:t xml:space="preserve"> oranları arasında (31 Aralık 2023: %0 ile %8 arasında)</w:t>
      </w:r>
      <w:r w:rsidR="006904A5" w:rsidRPr="00FB38E1">
        <w:rPr>
          <w:rFonts w:ascii="Microsoft Sans Serif" w:hAnsi="Microsoft Sans Serif" w:cs="Microsoft Sans Serif"/>
          <w:color w:val="404040" w:themeColor="text1" w:themeTint="BF"/>
        </w:rPr>
        <w:t>, kur koruma desteği sağlayan hesaplar için %</w:t>
      </w:r>
      <w:r w:rsidR="00397FED" w:rsidRPr="00FB38E1">
        <w:rPr>
          <w:rFonts w:ascii="Microsoft Sans Serif" w:hAnsi="Microsoft Sans Serif" w:cs="Microsoft Sans Serif"/>
          <w:color w:val="404040" w:themeColor="text1" w:themeTint="BF"/>
        </w:rPr>
        <w:t>22</w:t>
      </w:r>
      <w:r w:rsidR="006904A5" w:rsidRPr="00FB38E1">
        <w:rPr>
          <w:rFonts w:ascii="Microsoft Sans Serif" w:hAnsi="Microsoft Sans Serif" w:cs="Microsoft Sans Serif"/>
          <w:color w:val="404040" w:themeColor="text1" w:themeTint="BF"/>
        </w:rPr>
        <w:t xml:space="preserve"> ile %</w:t>
      </w:r>
      <w:r w:rsidR="00397FED" w:rsidRPr="00FB38E1">
        <w:rPr>
          <w:rFonts w:ascii="Microsoft Sans Serif" w:hAnsi="Microsoft Sans Serif" w:cs="Microsoft Sans Serif"/>
          <w:color w:val="404040" w:themeColor="text1" w:themeTint="BF"/>
        </w:rPr>
        <w:t>33</w:t>
      </w:r>
      <w:r w:rsidR="006904A5" w:rsidRPr="00FB38E1">
        <w:rPr>
          <w:rFonts w:ascii="Microsoft Sans Serif" w:hAnsi="Microsoft Sans Serif" w:cs="Microsoft Sans Serif"/>
          <w:color w:val="404040" w:themeColor="text1" w:themeTint="BF"/>
        </w:rPr>
        <w:t xml:space="preserve"> oranları arasında (31 Aralık 2023: %10 ile %30 arasında), yabancı para yükümlülükleri için %5 ile %30 oranları arasında (31 Aralık 2023: %5 ile %30 arasında) TCMB nezdinde zorunlu karşılık tesis etmektedirler</w:t>
      </w:r>
      <w:r w:rsidR="00C332C0" w:rsidRPr="00FB38E1">
        <w:rPr>
          <w:rFonts w:ascii="Microsoft Sans Serif" w:hAnsi="Microsoft Sans Serif" w:cs="Microsoft Sans Serif"/>
          <w:color w:val="404040" w:themeColor="text1" w:themeTint="BF"/>
        </w:rPr>
        <w:t>.</w:t>
      </w:r>
    </w:p>
    <w:p w14:paraId="42FCE7A9" w14:textId="1640A103" w:rsidR="00D65625" w:rsidRPr="00FB38E1" w:rsidRDefault="00D65625" w:rsidP="00F9766F">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Banka’nın TCMB nez</w:t>
      </w:r>
      <w:r w:rsidR="00D15672" w:rsidRPr="00FB38E1">
        <w:rPr>
          <w:rFonts w:ascii="Microsoft Sans Serif" w:hAnsi="Microsoft Sans Serif" w:cs="Microsoft Sans Serif"/>
          <w:b w:val="0"/>
          <w:color w:val="404040" w:themeColor="text1" w:themeTint="BF"/>
          <w:sz w:val="20"/>
          <w:szCs w:val="20"/>
        </w:rPr>
        <w:t>d</w:t>
      </w:r>
      <w:r w:rsidRPr="00FB38E1">
        <w:rPr>
          <w:rFonts w:ascii="Microsoft Sans Serif" w:hAnsi="Microsoft Sans Serif" w:cs="Microsoft Sans Serif"/>
          <w:b w:val="0"/>
          <w:color w:val="404040" w:themeColor="text1" w:themeTint="BF"/>
          <w:sz w:val="20"/>
          <w:szCs w:val="20"/>
        </w:rPr>
        <w:t xml:space="preserve">inde tuttuğu zorunlu karşılıklardan alınan faiz geliri </w:t>
      </w:r>
      <w:r w:rsidR="002A2DAA" w:rsidRPr="00FB38E1">
        <w:rPr>
          <w:rFonts w:ascii="Microsoft Sans Serif" w:hAnsi="Microsoft Sans Serif" w:cs="Microsoft Sans Serif"/>
          <w:b w:val="0"/>
          <w:color w:val="404040" w:themeColor="text1" w:themeTint="BF"/>
          <w:sz w:val="20"/>
          <w:szCs w:val="20"/>
        </w:rPr>
        <w:t>18.360.470</w:t>
      </w:r>
      <w:r w:rsidR="00397FED" w:rsidRPr="00FB38E1">
        <w:rPr>
          <w:rFonts w:ascii="Microsoft Sans Serif" w:hAnsi="Microsoft Sans Serif" w:cs="Microsoft Sans Serif"/>
          <w:b w:val="0"/>
          <w:color w:val="404040" w:themeColor="text1" w:themeTint="BF"/>
          <w:sz w:val="20"/>
          <w:szCs w:val="20"/>
        </w:rPr>
        <w:t xml:space="preserve"> </w:t>
      </w:r>
      <w:r w:rsidR="0077218A" w:rsidRPr="00FB38E1">
        <w:rPr>
          <w:rFonts w:ascii="Microsoft Sans Serif" w:hAnsi="Microsoft Sans Serif" w:cs="Microsoft Sans Serif"/>
          <w:b w:val="0"/>
          <w:color w:val="404040" w:themeColor="text1" w:themeTint="BF"/>
          <w:sz w:val="20"/>
          <w:szCs w:val="20"/>
        </w:rPr>
        <w:t>TL’dir</w:t>
      </w:r>
      <w:r w:rsidR="001330BE" w:rsidRPr="00FB38E1">
        <w:rPr>
          <w:rFonts w:ascii="Microsoft Sans Serif" w:hAnsi="Microsoft Sans Serif" w:cs="Microsoft Sans Serif"/>
          <w:b w:val="0"/>
          <w:color w:val="404040" w:themeColor="text1" w:themeTint="BF"/>
          <w:sz w:val="20"/>
          <w:szCs w:val="20"/>
        </w:rPr>
        <w:t xml:space="preserve"> (</w:t>
      </w:r>
      <w:r w:rsidR="003E01A9" w:rsidRPr="00FB38E1">
        <w:rPr>
          <w:rFonts w:ascii="Microsoft Sans Serif" w:hAnsi="Microsoft Sans Serif" w:cs="Microsoft Sans Serif"/>
          <w:b w:val="0"/>
          <w:color w:val="404040" w:themeColor="text1" w:themeTint="BF"/>
          <w:sz w:val="20"/>
          <w:szCs w:val="20"/>
        </w:rPr>
        <w:t>1 Ocak – 31 Aralık 2023</w:t>
      </w:r>
      <w:r w:rsidR="001330BE" w:rsidRPr="00FB38E1">
        <w:rPr>
          <w:rFonts w:ascii="Microsoft Sans Serif" w:hAnsi="Microsoft Sans Serif" w:cs="Microsoft Sans Serif"/>
          <w:b w:val="0"/>
          <w:color w:val="404040" w:themeColor="text1" w:themeTint="BF"/>
          <w:sz w:val="20"/>
          <w:szCs w:val="20"/>
        </w:rPr>
        <w:t xml:space="preserve">: </w:t>
      </w:r>
      <w:r w:rsidR="00FD436A" w:rsidRPr="00FB38E1">
        <w:rPr>
          <w:rFonts w:ascii="Microsoft Sans Serif" w:hAnsi="Microsoft Sans Serif" w:cs="Microsoft Sans Serif"/>
          <w:b w:val="0"/>
          <w:color w:val="404040" w:themeColor="text1" w:themeTint="BF"/>
          <w:sz w:val="20"/>
          <w:szCs w:val="20"/>
        </w:rPr>
        <w:t>216.357</w:t>
      </w:r>
      <w:r w:rsidR="00DB1DB8" w:rsidRPr="00FB38E1">
        <w:rPr>
          <w:rFonts w:ascii="Microsoft Sans Serif" w:hAnsi="Microsoft Sans Serif" w:cs="Microsoft Sans Serif"/>
          <w:b w:val="0"/>
          <w:color w:val="404040" w:themeColor="text1" w:themeTint="BF"/>
          <w:sz w:val="20"/>
          <w:szCs w:val="20"/>
        </w:rPr>
        <w:t xml:space="preserve"> </w:t>
      </w:r>
      <w:r w:rsidR="008E1FBD" w:rsidRPr="00FB38E1">
        <w:rPr>
          <w:rFonts w:ascii="Microsoft Sans Serif" w:hAnsi="Microsoft Sans Serif" w:cs="Microsoft Sans Serif"/>
          <w:b w:val="0"/>
          <w:color w:val="404040" w:themeColor="text1" w:themeTint="BF"/>
          <w:sz w:val="20"/>
          <w:szCs w:val="20"/>
        </w:rPr>
        <w:t>TL</w:t>
      </w:r>
      <w:r w:rsidR="001330BE" w:rsidRPr="00FB38E1">
        <w:rPr>
          <w:rFonts w:ascii="Microsoft Sans Serif" w:hAnsi="Microsoft Sans Serif" w:cs="Microsoft Sans Serif"/>
          <w:b w:val="0"/>
          <w:color w:val="404040" w:themeColor="text1" w:themeTint="BF"/>
          <w:sz w:val="20"/>
          <w:szCs w:val="20"/>
        </w:rPr>
        <w:t>)</w:t>
      </w:r>
      <w:r w:rsidR="00FF4F20" w:rsidRPr="00FB38E1">
        <w:rPr>
          <w:rFonts w:ascii="Microsoft Sans Serif" w:hAnsi="Microsoft Sans Serif" w:cs="Microsoft Sans Serif"/>
          <w:b w:val="0"/>
          <w:color w:val="404040" w:themeColor="text1" w:themeTint="BF"/>
          <w:sz w:val="20"/>
          <w:szCs w:val="20"/>
        </w:rPr>
        <w:t>. Elde edilen faiz gelirleri,</w:t>
      </w:r>
      <w:r w:rsidR="00A263C0" w:rsidRPr="00FB38E1">
        <w:rPr>
          <w:rFonts w:ascii="Microsoft Sans Serif" w:hAnsi="Microsoft Sans Serif" w:cs="Microsoft Sans Serif"/>
          <w:b w:val="0"/>
          <w:color w:val="404040" w:themeColor="text1" w:themeTint="BF"/>
          <w:sz w:val="20"/>
          <w:szCs w:val="20"/>
        </w:rPr>
        <w:t xml:space="preserve"> </w:t>
      </w:r>
      <w:r w:rsidRPr="00FB38E1">
        <w:rPr>
          <w:rFonts w:ascii="Microsoft Sans Serif" w:hAnsi="Microsoft Sans Serif" w:cs="Microsoft Sans Serif"/>
          <w:b w:val="0"/>
          <w:color w:val="404040" w:themeColor="text1" w:themeTint="BF"/>
          <w:sz w:val="20"/>
          <w:szCs w:val="20"/>
        </w:rPr>
        <w:t xml:space="preserve"> “zorunlu karşılıklardan alınan faizler” hesabında kaydedil</w:t>
      </w:r>
      <w:r w:rsidR="00FF4F20" w:rsidRPr="00FB38E1">
        <w:rPr>
          <w:rFonts w:ascii="Microsoft Sans Serif" w:hAnsi="Microsoft Sans Serif" w:cs="Microsoft Sans Serif"/>
          <w:b w:val="0"/>
          <w:color w:val="404040" w:themeColor="text1" w:themeTint="BF"/>
          <w:sz w:val="20"/>
          <w:szCs w:val="20"/>
        </w:rPr>
        <w:t>mektedir.</w:t>
      </w:r>
    </w:p>
    <w:bookmarkEnd w:id="47"/>
    <w:p w14:paraId="52C224ED" w14:textId="2D4F7EB0" w:rsidR="00A84FF4" w:rsidRPr="00FB38E1" w:rsidRDefault="00A84FF4" w:rsidP="00076C9E">
      <w:pPr>
        <w:pStyle w:val="BASLIK2"/>
        <w:numPr>
          <w:ilvl w:val="0"/>
          <w:numId w:val="18"/>
        </w:numPr>
        <w:spacing w:line="240" w:lineRule="exact"/>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Bankalara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951049" w:rsidRPr="00FB38E1" w14:paraId="6CF97DA2" w14:textId="77777777" w:rsidTr="001B7C2F">
        <w:tc>
          <w:tcPr>
            <w:tcW w:w="2102" w:type="pct"/>
            <w:vAlign w:val="bottom"/>
          </w:tcPr>
          <w:p w14:paraId="59E5650B" w14:textId="77777777" w:rsidR="00951049" w:rsidRPr="00FB38E1" w:rsidRDefault="00951049" w:rsidP="001B7C2F">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5062388D" w14:textId="77777777" w:rsidR="00951049" w:rsidRPr="00FB38E1" w:rsidRDefault="00951049" w:rsidP="001B7C2F">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63206617" w14:textId="77777777" w:rsidR="00951049" w:rsidRPr="00FB38E1" w:rsidRDefault="00951049" w:rsidP="001B7C2F">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951049" w:rsidRPr="00FB38E1" w14:paraId="10D973E2" w14:textId="77777777" w:rsidTr="001B7C2F">
        <w:tc>
          <w:tcPr>
            <w:tcW w:w="2102" w:type="pct"/>
            <w:tcBorders>
              <w:bottom w:val="single" w:sz="4" w:space="0" w:color="auto"/>
            </w:tcBorders>
            <w:vAlign w:val="bottom"/>
          </w:tcPr>
          <w:p w14:paraId="3A55A4AA" w14:textId="77777777" w:rsidR="00951049" w:rsidRPr="00FB38E1" w:rsidRDefault="00951049" w:rsidP="001B7C2F">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029AEE7F" w14:textId="77777777" w:rsidR="00951049" w:rsidRPr="00FB38E1" w:rsidRDefault="00951049" w:rsidP="001B7C2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CBC1E5C" w14:textId="77777777" w:rsidR="00951049" w:rsidRPr="00FB38E1" w:rsidRDefault="00951049" w:rsidP="001B7C2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27E566F3" w14:textId="77777777" w:rsidR="00951049" w:rsidRPr="00FB38E1" w:rsidRDefault="00951049" w:rsidP="001B7C2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26AB333D" w14:textId="77777777" w:rsidR="00951049" w:rsidRPr="00FB38E1" w:rsidRDefault="00951049" w:rsidP="001B7C2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951049" w:rsidRPr="00FB38E1" w14:paraId="579A6A0F" w14:textId="77777777" w:rsidTr="001B7C2F">
        <w:tc>
          <w:tcPr>
            <w:tcW w:w="2102" w:type="pct"/>
            <w:tcBorders>
              <w:top w:val="single" w:sz="4" w:space="0" w:color="auto"/>
              <w:bottom w:val="nil"/>
            </w:tcBorders>
            <w:vAlign w:val="bottom"/>
          </w:tcPr>
          <w:p w14:paraId="013F503A" w14:textId="77777777" w:rsidR="00951049" w:rsidRPr="00FB38E1" w:rsidRDefault="00951049" w:rsidP="001B7C2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Bankalar</w:t>
            </w:r>
          </w:p>
        </w:tc>
        <w:tc>
          <w:tcPr>
            <w:tcW w:w="725" w:type="pct"/>
            <w:tcBorders>
              <w:top w:val="single" w:sz="4" w:space="0" w:color="auto"/>
              <w:bottom w:val="nil"/>
            </w:tcBorders>
            <w:vAlign w:val="bottom"/>
          </w:tcPr>
          <w:p w14:paraId="74F575DB" w14:textId="77777777" w:rsidR="00951049" w:rsidRPr="00FB38E1"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vAlign w:val="bottom"/>
          </w:tcPr>
          <w:p w14:paraId="07B73E46" w14:textId="77777777" w:rsidR="00951049" w:rsidRPr="00FB38E1"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tcPr>
          <w:p w14:paraId="1BDCB376" w14:textId="77777777" w:rsidR="00951049" w:rsidRPr="00FB38E1" w:rsidRDefault="00951049" w:rsidP="001B7C2F">
            <w:pPr>
              <w:jc w:val="right"/>
              <w:rPr>
                <w:rFonts w:ascii="Microsoft Sans Serif" w:hAnsi="Microsoft Sans Serif" w:cs="Microsoft Sans Serif"/>
                <w:color w:val="000000"/>
                <w:sz w:val="16"/>
                <w:szCs w:val="16"/>
              </w:rPr>
            </w:pPr>
          </w:p>
        </w:tc>
        <w:tc>
          <w:tcPr>
            <w:tcW w:w="724" w:type="pct"/>
            <w:tcBorders>
              <w:top w:val="single" w:sz="4" w:space="0" w:color="auto"/>
              <w:bottom w:val="nil"/>
            </w:tcBorders>
          </w:tcPr>
          <w:p w14:paraId="7CDD79E6" w14:textId="77777777" w:rsidR="00951049" w:rsidRPr="00FB38E1" w:rsidRDefault="00951049" w:rsidP="001B7C2F">
            <w:pPr>
              <w:jc w:val="right"/>
              <w:rPr>
                <w:rFonts w:ascii="Microsoft Sans Serif" w:hAnsi="Microsoft Sans Serif" w:cs="Microsoft Sans Serif"/>
                <w:color w:val="000000"/>
                <w:sz w:val="16"/>
                <w:szCs w:val="16"/>
              </w:rPr>
            </w:pPr>
          </w:p>
        </w:tc>
      </w:tr>
      <w:tr w:rsidR="00CC7F1F" w:rsidRPr="00FB38E1" w14:paraId="448A8489" w14:textId="77777777" w:rsidTr="001B7C2F">
        <w:tc>
          <w:tcPr>
            <w:tcW w:w="2102" w:type="pct"/>
            <w:tcBorders>
              <w:top w:val="nil"/>
            </w:tcBorders>
            <w:vAlign w:val="bottom"/>
          </w:tcPr>
          <w:p w14:paraId="59E3A4E1" w14:textId="78012DFD"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     Yurt içi</w:t>
            </w:r>
          </w:p>
        </w:tc>
        <w:tc>
          <w:tcPr>
            <w:tcW w:w="725" w:type="pct"/>
            <w:tcBorders>
              <w:top w:val="nil"/>
            </w:tcBorders>
            <w:vAlign w:val="center"/>
          </w:tcPr>
          <w:p w14:paraId="0D392701" w14:textId="001E2556"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390.130</w:t>
            </w:r>
          </w:p>
        </w:tc>
        <w:tc>
          <w:tcPr>
            <w:tcW w:w="724" w:type="pct"/>
            <w:tcBorders>
              <w:top w:val="nil"/>
            </w:tcBorders>
            <w:vAlign w:val="center"/>
          </w:tcPr>
          <w:p w14:paraId="649A0DFA" w14:textId="71F80062"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1.948.683</w:t>
            </w:r>
          </w:p>
        </w:tc>
        <w:tc>
          <w:tcPr>
            <w:tcW w:w="724" w:type="pct"/>
            <w:tcBorders>
              <w:top w:val="nil"/>
            </w:tcBorders>
            <w:vAlign w:val="center"/>
          </w:tcPr>
          <w:p w14:paraId="05172E01" w14:textId="404B72C3"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5.799.347</w:t>
            </w:r>
          </w:p>
        </w:tc>
        <w:tc>
          <w:tcPr>
            <w:tcW w:w="724" w:type="pct"/>
            <w:tcBorders>
              <w:top w:val="nil"/>
            </w:tcBorders>
            <w:vAlign w:val="center"/>
          </w:tcPr>
          <w:p w14:paraId="654C8B57" w14:textId="768479BB"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299.586</w:t>
            </w:r>
          </w:p>
        </w:tc>
      </w:tr>
      <w:tr w:rsidR="00CC7F1F" w:rsidRPr="00FB38E1" w14:paraId="7AB5358B" w14:textId="77777777" w:rsidTr="001B7C2F">
        <w:tc>
          <w:tcPr>
            <w:tcW w:w="2102" w:type="pct"/>
            <w:tcBorders>
              <w:top w:val="nil"/>
            </w:tcBorders>
            <w:vAlign w:val="bottom"/>
          </w:tcPr>
          <w:p w14:paraId="110B663F" w14:textId="20456CD8"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     Yurt dışı</w:t>
            </w:r>
          </w:p>
        </w:tc>
        <w:tc>
          <w:tcPr>
            <w:tcW w:w="725" w:type="pct"/>
            <w:tcBorders>
              <w:top w:val="nil"/>
            </w:tcBorders>
            <w:vAlign w:val="center"/>
          </w:tcPr>
          <w:p w14:paraId="7D5E36A1" w14:textId="22C9F0B9"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105.748</w:t>
            </w:r>
          </w:p>
        </w:tc>
        <w:tc>
          <w:tcPr>
            <w:tcW w:w="724" w:type="pct"/>
            <w:tcBorders>
              <w:top w:val="nil"/>
            </w:tcBorders>
            <w:vAlign w:val="center"/>
          </w:tcPr>
          <w:p w14:paraId="2262C416" w14:textId="353E47E7"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18.133.566</w:t>
            </w:r>
          </w:p>
        </w:tc>
        <w:tc>
          <w:tcPr>
            <w:tcW w:w="724" w:type="pct"/>
            <w:tcBorders>
              <w:top w:val="nil"/>
            </w:tcBorders>
            <w:vAlign w:val="center"/>
          </w:tcPr>
          <w:p w14:paraId="420954BC" w14:textId="30D3AF4C"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461.758</w:t>
            </w:r>
          </w:p>
        </w:tc>
        <w:tc>
          <w:tcPr>
            <w:tcW w:w="724" w:type="pct"/>
            <w:tcBorders>
              <w:top w:val="nil"/>
            </w:tcBorders>
            <w:vAlign w:val="center"/>
          </w:tcPr>
          <w:p w14:paraId="7B049AD7" w14:textId="36C9F258"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12.467.037</w:t>
            </w:r>
          </w:p>
        </w:tc>
      </w:tr>
      <w:tr w:rsidR="00CC7F1F" w:rsidRPr="00FB38E1" w14:paraId="361F0B68" w14:textId="77777777" w:rsidTr="001B7C2F">
        <w:tc>
          <w:tcPr>
            <w:tcW w:w="2102" w:type="pct"/>
            <w:tcBorders>
              <w:bottom w:val="single" w:sz="4" w:space="0" w:color="auto"/>
            </w:tcBorders>
            <w:vAlign w:val="bottom"/>
          </w:tcPr>
          <w:p w14:paraId="14D4170D" w14:textId="58A9F3AF"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     Yurt dışı Merkez ve Şubeler</w:t>
            </w:r>
          </w:p>
        </w:tc>
        <w:tc>
          <w:tcPr>
            <w:tcW w:w="725" w:type="pct"/>
            <w:tcBorders>
              <w:bottom w:val="single" w:sz="4" w:space="0" w:color="auto"/>
            </w:tcBorders>
            <w:vAlign w:val="center"/>
          </w:tcPr>
          <w:p w14:paraId="27850373" w14:textId="7F797B9A"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34E20F52" w14:textId="5F560388"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F728DA3" w14:textId="7AC002E9"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48B07FAE" w14:textId="39955EAE"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C7F1F" w:rsidRPr="00FB38E1" w14:paraId="15A09FF1" w14:textId="77777777" w:rsidTr="001B7C2F">
        <w:tc>
          <w:tcPr>
            <w:tcW w:w="2102" w:type="pct"/>
            <w:tcBorders>
              <w:top w:val="single" w:sz="4" w:space="0" w:color="auto"/>
              <w:bottom w:val="thickThinSmallGap" w:sz="24" w:space="0" w:color="auto"/>
            </w:tcBorders>
            <w:vAlign w:val="bottom"/>
          </w:tcPr>
          <w:p w14:paraId="60055C69" w14:textId="1FBF80C2" w:rsidR="00CC7F1F" w:rsidRPr="00FB38E1" w:rsidRDefault="00CC7F1F" w:rsidP="00CC7F1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48B71ADC" w14:textId="49687261"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495.878</w:t>
            </w:r>
          </w:p>
        </w:tc>
        <w:tc>
          <w:tcPr>
            <w:tcW w:w="724" w:type="pct"/>
            <w:tcBorders>
              <w:top w:val="single" w:sz="4" w:space="0" w:color="auto"/>
              <w:bottom w:val="thickThinSmallGap" w:sz="24" w:space="0" w:color="auto"/>
            </w:tcBorders>
            <w:vAlign w:val="center"/>
          </w:tcPr>
          <w:p w14:paraId="338E4749" w14:textId="783B0317"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20.082.249</w:t>
            </w:r>
          </w:p>
        </w:tc>
        <w:tc>
          <w:tcPr>
            <w:tcW w:w="724" w:type="pct"/>
            <w:tcBorders>
              <w:top w:val="single" w:sz="4" w:space="0" w:color="auto"/>
              <w:bottom w:val="thickThinSmallGap" w:sz="24" w:space="0" w:color="auto"/>
            </w:tcBorders>
            <w:vAlign w:val="center"/>
          </w:tcPr>
          <w:p w14:paraId="74517B6E" w14:textId="5FB43862"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6.261.105</w:t>
            </w:r>
          </w:p>
        </w:tc>
        <w:tc>
          <w:tcPr>
            <w:tcW w:w="724" w:type="pct"/>
            <w:tcBorders>
              <w:top w:val="single" w:sz="4" w:space="0" w:color="auto"/>
              <w:bottom w:val="thickThinSmallGap" w:sz="24" w:space="0" w:color="auto"/>
            </w:tcBorders>
            <w:vAlign w:val="center"/>
          </w:tcPr>
          <w:p w14:paraId="74F928D6" w14:textId="056ED0AA"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12.766.623</w:t>
            </w:r>
          </w:p>
        </w:tc>
      </w:tr>
    </w:tbl>
    <w:p w14:paraId="1E66FD34" w14:textId="77777777" w:rsidR="007C0607" w:rsidRPr="00FB38E1" w:rsidRDefault="007C0607" w:rsidP="007C0607">
      <w:pPr>
        <w:pStyle w:val="BASLIK2"/>
        <w:numPr>
          <w:ilvl w:val="0"/>
          <w:numId w:val="18"/>
        </w:numPr>
        <w:spacing w:line="240" w:lineRule="exact"/>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 xml:space="preserve">Yurtdışı </w:t>
      </w:r>
      <w:r w:rsidRPr="00FB38E1">
        <w:rPr>
          <w:rFonts w:ascii="Microsoft Sans Serif" w:hAnsi="Microsoft Sans Serif" w:cs="Microsoft Sans Serif"/>
          <w:bCs w:val="0"/>
          <w:sz w:val="20"/>
          <w:szCs w:val="20"/>
          <w:lang w:eastAsia="tr-TR"/>
        </w:rPr>
        <w:t>bankalar hesabına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80"/>
        <w:gridCol w:w="1388"/>
        <w:gridCol w:w="1538"/>
        <w:gridCol w:w="1386"/>
        <w:gridCol w:w="1247"/>
      </w:tblGrid>
      <w:tr w:rsidR="007C0607" w:rsidRPr="00FB38E1" w14:paraId="7522B218" w14:textId="77777777" w:rsidTr="00836EF2">
        <w:tc>
          <w:tcPr>
            <w:tcW w:w="2116" w:type="pct"/>
            <w:vAlign w:val="bottom"/>
          </w:tcPr>
          <w:p w14:paraId="700C73CD" w14:textId="77777777" w:rsidR="007C0607" w:rsidRPr="00FB38E1" w:rsidRDefault="007C0607" w:rsidP="00836EF2">
            <w:pPr>
              <w:jc w:val="right"/>
              <w:rPr>
                <w:rFonts w:ascii="Microsoft Sans Serif" w:hAnsi="Microsoft Sans Serif" w:cs="Microsoft Sans Serif"/>
                <w:color w:val="000000"/>
                <w:sz w:val="16"/>
                <w:szCs w:val="16"/>
              </w:rPr>
            </w:pPr>
          </w:p>
        </w:tc>
        <w:tc>
          <w:tcPr>
            <w:tcW w:w="1518" w:type="pct"/>
            <w:gridSpan w:val="2"/>
            <w:tcBorders>
              <w:top w:val="thinThickSmallGap" w:sz="24" w:space="0" w:color="auto"/>
              <w:bottom w:val="single" w:sz="4" w:space="0" w:color="auto"/>
            </w:tcBorders>
            <w:vAlign w:val="bottom"/>
          </w:tcPr>
          <w:p w14:paraId="28C37D5B" w14:textId="77777777" w:rsidR="007C0607" w:rsidRPr="00FB38E1" w:rsidRDefault="007C0607"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Serbest Tutar</w:t>
            </w:r>
          </w:p>
        </w:tc>
        <w:tc>
          <w:tcPr>
            <w:tcW w:w="1366" w:type="pct"/>
            <w:gridSpan w:val="2"/>
            <w:tcBorders>
              <w:top w:val="thinThickSmallGap" w:sz="24" w:space="0" w:color="auto"/>
              <w:bottom w:val="single" w:sz="4" w:space="0" w:color="auto"/>
            </w:tcBorders>
            <w:vAlign w:val="bottom"/>
          </w:tcPr>
          <w:p w14:paraId="6EACC587" w14:textId="77777777" w:rsidR="007C0607" w:rsidRPr="00FB38E1" w:rsidRDefault="007C0607"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Serbest Olmayan Tutar</w:t>
            </w:r>
          </w:p>
        </w:tc>
      </w:tr>
      <w:tr w:rsidR="007C0607" w:rsidRPr="00FB38E1" w14:paraId="7F0D718B" w14:textId="77777777" w:rsidTr="00836EF2">
        <w:tc>
          <w:tcPr>
            <w:tcW w:w="2116" w:type="pct"/>
            <w:tcBorders>
              <w:bottom w:val="single" w:sz="4" w:space="0" w:color="auto"/>
            </w:tcBorders>
            <w:vAlign w:val="bottom"/>
          </w:tcPr>
          <w:p w14:paraId="4F172BD8" w14:textId="77777777" w:rsidR="007C0607" w:rsidRPr="00FB38E1" w:rsidRDefault="007C0607" w:rsidP="00836EF2">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720" w:type="pct"/>
            <w:tcBorders>
              <w:top w:val="single" w:sz="4" w:space="0" w:color="auto"/>
              <w:bottom w:val="single" w:sz="4" w:space="0" w:color="auto"/>
            </w:tcBorders>
            <w:vAlign w:val="bottom"/>
          </w:tcPr>
          <w:p w14:paraId="46F9D150" w14:textId="77777777" w:rsidR="007C0607" w:rsidRPr="00FB38E1" w:rsidRDefault="007C060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798" w:type="pct"/>
            <w:tcBorders>
              <w:top w:val="single" w:sz="4" w:space="0" w:color="auto"/>
              <w:bottom w:val="single" w:sz="4" w:space="0" w:color="auto"/>
            </w:tcBorders>
            <w:vAlign w:val="bottom"/>
          </w:tcPr>
          <w:p w14:paraId="78DFCDB7" w14:textId="77777777" w:rsidR="007C0607" w:rsidRPr="00FB38E1" w:rsidRDefault="007C060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c>
          <w:tcPr>
            <w:tcW w:w="719" w:type="pct"/>
            <w:tcBorders>
              <w:top w:val="single" w:sz="4" w:space="0" w:color="auto"/>
              <w:bottom w:val="single" w:sz="4" w:space="0" w:color="auto"/>
            </w:tcBorders>
            <w:vAlign w:val="bottom"/>
          </w:tcPr>
          <w:p w14:paraId="3CE3D5A6" w14:textId="77777777" w:rsidR="007C0607" w:rsidRPr="00FB38E1" w:rsidRDefault="007C060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647" w:type="pct"/>
            <w:tcBorders>
              <w:top w:val="single" w:sz="4" w:space="0" w:color="auto"/>
              <w:bottom w:val="single" w:sz="4" w:space="0" w:color="auto"/>
            </w:tcBorders>
            <w:vAlign w:val="bottom"/>
          </w:tcPr>
          <w:p w14:paraId="0B881800" w14:textId="77777777" w:rsidR="007C0607" w:rsidRPr="00FB38E1" w:rsidRDefault="007C060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CC7F1F" w:rsidRPr="00FB38E1" w14:paraId="5E961ED2" w14:textId="77777777" w:rsidTr="00836EF2">
        <w:trPr>
          <w:trHeight w:val="145"/>
        </w:trPr>
        <w:tc>
          <w:tcPr>
            <w:tcW w:w="2116" w:type="pct"/>
            <w:tcBorders>
              <w:top w:val="single" w:sz="4" w:space="0" w:color="auto"/>
              <w:bottom w:val="nil"/>
            </w:tcBorders>
            <w:vAlign w:val="bottom"/>
          </w:tcPr>
          <w:p w14:paraId="41C9CE84" w14:textId="77777777" w:rsidR="00CC7F1F" w:rsidRPr="00FB38E1" w:rsidRDefault="00CC7F1F" w:rsidP="00CC7F1F">
            <w:pPr>
              <w:rPr>
                <w:rFonts w:ascii="Microsoft Sans Serif" w:hAnsi="Microsoft Sans Serif" w:cs="Microsoft Sans Serif"/>
                <w:bCs/>
                <w:color w:val="000000"/>
                <w:sz w:val="16"/>
                <w:szCs w:val="16"/>
              </w:rPr>
            </w:pPr>
            <w:r w:rsidRPr="00FB38E1">
              <w:rPr>
                <w:rFonts w:ascii="Microsoft Sans Serif" w:hAnsi="Microsoft Sans Serif" w:cs="Microsoft Sans Serif"/>
                <w:bCs/>
                <w:color w:val="404040" w:themeColor="text1" w:themeTint="BF"/>
                <w:sz w:val="16"/>
                <w:szCs w:val="16"/>
              </w:rPr>
              <w:t>AB Ülkeleri</w:t>
            </w:r>
          </w:p>
        </w:tc>
        <w:tc>
          <w:tcPr>
            <w:tcW w:w="720" w:type="pct"/>
            <w:tcBorders>
              <w:top w:val="single" w:sz="4" w:space="0" w:color="auto"/>
              <w:bottom w:val="nil"/>
            </w:tcBorders>
            <w:vAlign w:val="center"/>
          </w:tcPr>
          <w:p w14:paraId="760482E1" w14:textId="4232BF70"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2.038.858</w:t>
            </w:r>
          </w:p>
        </w:tc>
        <w:tc>
          <w:tcPr>
            <w:tcW w:w="798" w:type="pct"/>
            <w:tcBorders>
              <w:top w:val="single" w:sz="4" w:space="0" w:color="auto"/>
              <w:bottom w:val="nil"/>
            </w:tcBorders>
            <w:vAlign w:val="center"/>
          </w:tcPr>
          <w:p w14:paraId="261DE548" w14:textId="6BAACD2E"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2.302.377</w:t>
            </w:r>
          </w:p>
        </w:tc>
        <w:tc>
          <w:tcPr>
            <w:tcW w:w="719" w:type="pct"/>
            <w:tcBorders>
              <w:top w:val="single" w:sz="4" w:space="0" w:color="auto"/>
              <w:bottom w:val="nil"/>
            </w:tcBorders>
            <w:vAlign w:val="center"/>
          </w:tcPr>
          <w:p w14:paraId="63F1B23A" w14:textId="64F7D1D6"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4.487.392</w:t>
            </w:r>
          </w:p>
        </w:tc>
        <w:tc>
          <w:tcPr>
            <w:tcW w:w="647" w:type="pct"/>
            <w:tcBorders>
              <w:top w:val="single" w:sz="4" w:space="0" w:color="auto"/>
              <w:bottom w:val="nil"/>
            </w:tcBorders>
            <w:vAlign w:val="center"/>
          </w:tcPr>
          <w:p w14:paraId="4A4F4851" w14:textId="7F5EE27A"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2.030.829</w:t>
            </w:r>
          </w:p>
        </w:tc>
      </w:tr>
      <w:tr w:rsidR="00CC7F1F" w:rsidRPr="00FB38E1" w14:paraId="1A1F5E9B" w14:textId="77777777" w:rsidTr="00836EF2">
        <w:tc>
          <w:tcPr>
            <w:tcW w:w="2116" w:type="pct"/>
            <w:tcBorders>
              <w:top w:val="nil"/>
            </w:tcBorders>
            <w:vAlign w:val="bottom"/>
          </w:tcPr>
          <w:p w14:paraId="40293E7F" w14:textId="77777777"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ABD, Kanada</w:t>
            </w:r>
          </w:p>
        </w:tc>
        <w:tc>
          <w:tcPr>
            <w:tcW w:w="720" w:type="pct"/>
            <w:tcBorders>
              <w:top w:val="nil"/>
              <w:left w:val="nil"/>
              <w:bottom w:val="nil"/>
              <w:right w:val="nil"/>
            </w:tcBorders>
            <w:shd w:val="clear" w:color="auto" w:fill="auto"/>
            <w:vAlign w:val="center"/>
          </w:tcPr>
          <w:p w14:paraId="094F70AC" w14:textId="7FD42457"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8.685.683</w:t>
            </w:r>
          </w:p>
        </w:tc>
        <w:tc>
          <w:tcPr>
            <w:tcW w:w="798" w:type="pct"/>
            <w:tcBorders>
              <w:top w:val="nil"/>
              <w:left w:val="nil"/>
              <w:bottom w:val="nil"/>
              <w:right w:val="nil"/>
            </w:tcBorders>
            <w:shd w:val="clear" w:color="auto" w:fill="auto"/>
            <w:vAlign w:val="center"/>
          </w:tcPr>
          <w:p w14:paraId="47A2247D" w14:textId="774BD311"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7.065.164</w:t>
            </w:r>
          </w:p>
        </w:tc>
        <w:tc>
          <w:tcPr>
            <w:tcW w:w="719" w:type="pct"/>
            <w:tcBorders>
              <w:top w:val="nil"/>
            </w:tcBorders>
            <w:vAlign w:val="center"/>
          </w:tcPr>
          <w:p w14:paraId="325EBD7B" w14:textId="1C788F7A"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7" w:type="pct"/>
            <w:tcBorders>
              <w:top w:val="nil"/>
            </w:tcBorders>
            <w:vAlign w:val="center"/>
          </w:tcPr>
          <w:p w14:paraId="7797EB00" w14:textId="458D6B9A"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C7F1F" w:rsidRPr="00FB38E1" w14:paraId="0C01D5FF" w14:textId="77777777" w:rsidTr="00836EF2">
        <w:tc>
          <w:tcPr>
            <w:tcW w:w="2116" w:type="pct"/>
            <w:tcBorders>
              <w:top w:val="nil"/>
            </w:tcBorders>
            <w:vAlign w:val="bottom"/>
          </w:tcPr>
          <w:p w14:paraId="407D20AC" w14:textId="77777777"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OECD Ülkeleri (*)</w:t>
            </w:r>
          </w:p>
        </w:tc>
        <w:tc>
          <w:tcPr>
            <w:tcW w:w="720" w:type="pct"/>
            <w:tcBorders>
              <w:top w:val="nil"/>
              <w:left w:val="nil"/>
              <w:bottom w:val="nil"/>
              <w:right w:val="nil"/>
            </w:tcBorders>
            <w:shd w:val="clear" w:color="auto" w:fill="auto"/>
            <w:vAlign w:val="center"/>
          </w:tcPr>
          <w:p w14:paraId="1B5B4173" w14:textId="28270B04"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145.276</w:t>
            </w:r>
          </w:p>
        </w:tc>
        <w:tc>
          <w:tcPr>
            <w:tcW w:w="798" w:type="pct"/>
            <w:tcBorders>
              <w:top w:val="nil"/>
              <w:left w:val="nil"/>
              <w:bottom w:val="nil"/>
              <w:right w:val="nil"/>
            </w:tcBorders>
            <w:shd w:val="clear" w:color="auto" w:fill="auto"/>
            <w:vAlign w:val="center"/>
          </w:tcPr>
          <w:p w14:paraId="16EA9FE3" w14:textId="4FD90D92"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145.463</w:t>
            </w:r>
          </w:p>
        </w:tc>
        <w:tc>
          <w:tcPr>
            <w:tcW w:w="719" w:type="pct"/>
            <w:tcBorders>
              <w:top w:val="nil"/>
            </w:tcBorders>
            <w:vAlign w:val="center"/>
          </w:tcPr>
          <w:p w14:paraId="42048967" w14:textId="2C61A29B"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1.051.353</w:t>
            </w:r>
          </w:p>
        </w:tc>
        <w:tc>
          <w:tcPr>
            <w:tcW w:w="647" w:type="pct"/>
            <w:tcBorders>
              <w:top w:val="nil"/>
            </w:tcBorders>
            <w:vAlign w:val="center"/>
          </w:tcPr>
          <w:p w14:paraId="43180843" w14:textId="275C7673"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57.699</w:t>
            </w:r>
          </w:p>
        </w:tc>
      </w:tr>
      <w:tr w:rsidR="00CC7F1F" w:rsidRPr="00FB38E1" w14:paraId="0569AD0D" w14:textId="77777777" w:rsidTr="00836EF2">
        <w:tc>
          <w:tcPr>
            <w:tcW w:w="2116" w:type="pct"/>
            <w:tcBorders>
              <w:top w:val="nil"/>
            </w:tcBorders>
            <w:vAlign w:val="bottom"/>
          </w:tcPr>
          <w:p w14:paraId="3D7B6171" w14:textId="77777777"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Kıyı Bankacılığı Bölgeleri</w:t>
            </w:r>
          </w:p>
        </w:tc>
        <w:tc>
          <w:tcPr>
            <w:tcW w:w="720" w:type="pct"/>
            <w:tcBorders>
              <w:top w:val="nil"/>
              <w:left w:val="nil"/>
              <w:bottom w:val="nil"/>
              <w:right w:val="nil"/>
            </w:tcBorders>
            <w:shd w:val="clear" w:color="auto" w:fill="auto"/>
            <w:vAlign w:val="center"/>
          </w:tcPr>
          <w:p w14:paraId="415602AB" w14:textId="79D9BB30"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318.904</w:t>
            </w:r>
          </w:p>
        </w:tc>
        <w:tc>
          <w:tcPr>
            <w:tcW w:w="798" w:type="pct"/>
            <w:tcBorders>
              <w:top w:val="nil"/>
              <w:left w:val="nil"/>
              <w:bottom w:val="nil"/>
              <w:right w:val="nil"/>
            </w:tcBorders>
            <w:shd w:val="clear" w:color="auto" w:fill="auto"/>
            <w:vAlign w:val="center"/>
          </w:tcPr>
          <w:p w14:paraId="1BB13310" w14:textId="40EAF63B"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975.292</w:t>
            </w:r>
          </w:p>
        </w:tc>
        <w:tc>
          <w:tcPr>
            <w:tcW w:w="719" w:type="pct"/>
            <w:tcBorders>
              <w:top w:val="nil"/>
            </w:tcBorders>
            <w:vAlign w:val="center"/>
          </w:tcPr>
          <w:p w14:paraId="7800B796" w14:textId="06CBB093"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7" w:type="pct"/>
            <w:tcBorders>
              <w:top w:val="nil"/>
            </w:tcBorders>
            <w:vAlign w:val="center"/>
          </w:tcPr>
          <w:p w14:paraId="4E900055" w14:textId="1E182667"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C7F1F" w:rsidRPr="00FB38E1" w14:paraId="0DE4C207" w14:textId="77777777" w:rsidTr="00836EF2">
        <w:tc>
          <w:tcPr>
            <w:tcW w:w="2116" w:type="pct"/>
            <w:tcBorders>
              <w:bottom w:val="single" w:sz="4" w:space="0" w:color="auto"/>
            </w:tcBorders>
            <w:vAlign w:val="bottom"/>
          </w:tcPr>
          <w:p w14:paraId="42207BFA" w14:textId="77777777"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20" w:type="pct"/>
            <w:tcBorders>
              <w:top w:val="nil"/>
              <w:left w:val="nil"/>
              <w:bottom w:val="nil"/>
              <w:right w:val="nil"/>
            </w:tcBorders>
            <w:shd w:val="clear" w:color="auto" w:fill="auto"/>
            <w:vAlign w:val="center"/>
          </w:tcPr>
          <w:p w14:paraId="7340FEC2" w14:textId="0CEC5054"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1.486.446</w:t>
            </w:r>
          </w:p>
        </w:tc>
        <w:tc>
          <w:tcPr>
            <w:tcW w:w="798" w:type="pct"/>
            <w:tcBorders>
              <w:top w:val="nil"/>
              <w:left w:val="nil"/>
              <w:bottom w:val="nil"/>
              <w:right w:val="nil"/>
            </w:tcBorders>
            <w:shd w:val="clear" w:color="auto" w:fill="auto"/>
            <w:vAlign w:val="center"/>
          </w:tcPr>
          <w:p w14:paraId="1F7A499F" w14:textId="23522DDF"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330.775</w:t>
            </w:r>
          </w:p>
        </w:tc>
        <w:tc>
          <w:tcPr>
            <w:tcW w:w="719" w:type="pct"/>
            <w:tcBorders>
              <w:bottom w:val="single" w:sz="4" w:space="0" w:color="auto"/>
            </w:tcBorders>
            <w:vAlign w:val="center"/>
          </w:tcPr>
          <w:p w14:paraId="31671707" w14:textId="1957684C"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25.402</w:t>
            </w:r>
          </w:p>
        </w:tc>
        <w:tc>
          <w:tcPr>
            <w:tcW w:w="647" w:type="pct"/>
            <w:tcBorders>
              <w:bottom w:val="single" w:sz="4" w:space="0" w:color="auto"/>
            </w:tcBorders>
            <w:vAlign w:val="center"/>
          </w:tcPr>
          <w:p w14:paraId="5AEB3F35" w14:textId="75511AFE"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21.196</w:t>
            </w:r>
          </w:p>
        </w:tc>
      </w:tr>
      <w:tr w:rsidR="00CC7F1F" w:rsidRPr="00FB38E1" w14:paraId="4AA331AD" w14:textId="77777777" w:rsidTr="00836EF2">
        <w:tc>
          <w:tcPr>
            <w:tcW w:w="2116" w:type="pct"/>
            <w:tcBorders>
              <w:top w:val="single" w:sz="4" w:space="0" w:color="auto"/>
              <w:bottom w:val="thickThinSmallGap" w:sz="24" w:space="0" w:color="auto"/>
            </w:tcBorders>
            <w:vAlign w:val="bottom"/>
          </w:tcPr>
          <w:p w14:paraId="1BF43DFE" w14:textId="77777777" w:rsidR="00CC7F1F" w:rsidRPr="00FB38E1" w:rsidRDefault="00CC7F1F" w:rsidP="00CC7F1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20" w:type="pct"/>
            <w:tcBorders>
              <w:top w:val="single" w:sz="4" w:space="0" w:color="auto"/>
              <w:bottom w:val="thickThinSmallGap" w:sz="24" w:space="0" w:color="auto"/>
            </w:tcBorders>
            <w:vAlign w:val="center"/>
          </w:tcPr>
          <w:p w14:paraId="03FAFCA3" w14:textId="36AF6E65"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12.675.167</w:t>
            </w:r>
          </w:p>
        </w:tc>
        <w:tc>
          <w:tcPr>
            <w:tcW w:w="798" w:type="pct"/>
            <w:tcBorders>
              <w:top w:val="single" w:sz="4" w:space="0" w:color="auto"/>
              <w:bottom w:val="thickThinSmallGap" w:sz="24" w:space="0" w:color="auto"/>
            </w:tcBorders>
            <w:vAlign w:val="center"/>
          </w:tcPr>
          <w:p w14:paraId="4EBAB801" w14:textId="5176B584"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10.819.071</w:t>
            </w:r>
          </w:p>
        </w:tc>
        <w:tc>
          <w:tcPr>
            <w:tcW w:w="719" w:type="pct"/>
            <w:tcBorders>
              <w:top w:val="single" w:sz="4" w:space="0" w:color="auto"/>
              <w:bottom w:val="thickThinSmallGap" w:sz="24" w:space="0" w:color="auto"/>
            </w:tcBorders>
            <w:vAlign w:val="center"/>
          </w:tcPr>
          <w:p w14:paraId="6C31E071" w14:textId="46F0BA0D"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5.564.147</w:t>
            </w:r>
          </w:p>
        </w:tc>
        <w:tc>
          <w:tcPr>
            <w:tcW w:w="647" w:type="pct"/>
            <w:tcBorders>
              <w:top w:val="single" w:sz="4" w:space="0" w:color="auto"/>
              <w:bottom w:val="thickThinSmallGap" w:sz="24" w:space="0" w:color="auto"/>
            </w:tcBorders>
            <w:vAlign w:val="center"/>
          </w:tcPr>
          <w:p w14:paraId="507C4656" w14:textId="71842FBD"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2.109.724</w:t>
            </w:r>
          </w:p>
        </w:tc>
      </w:tr>
    </w:tbl>
    <w:p w14:paraId="71B58AEB" w14:textId="77777777" w:rsidR="007C0607" w:rsidRPr="00FB38E1" w:rsidRDefault="007C0607" w:rsidP="007C0607">
      <w:pPr>
        <w:pStyle w:val="BASLIK2"/>
        <w:spacing w:before="0" w:after="0" w:line="240" w:lineRule="exact"/>
        <w:ind w:firstLine="0"/>
        <w:rPr>
          <w:rFonts w:ascii="Microsoft Sans Serif" w:hAnsi="Microsoft Sans Serif"/>
          <w:b w:val="0"/>
          <w:color w:val="404040" w:themeColor="text1" w:themeTint="BF"/>
          <w:sz w:val="16"/>
        </w:rPr>
      </w:pPr>
      <w:r w:rsidRPr="00FB38E1">
        <w:rPr>
          <w:rFonts w:ascii="Microsoft Sans Serif" w:hAnsi="Microsoft Sans Serif" w:cs="Microsoft Sans Serif"/>
          <w:b w:val="0"/>
          <w:bCs w:val="0"/>
          <w:color w:val="404040" w:themeColor="text1" w:themeTint="BF"/>
          <w:sz w:val="16"/>
          <w:szCs w:val="16"/>
          <w:lang w:eastAsia="tr-TR"/>
        </w:rPr>
        <w:t>(*) AB Ülkeleri, ABD ve Kanada dışındaki OECD ülkeleri</w:t>
      </w:r>
    </w:p>
    <w:p w14:paraId="33B413C3" w14:textId="77777777" w:rsidR="007C0607" w:rsidRPr="00FB38E1" w:rsidRDefault="007C0607" w:rsidP="007C0607">
      <w:pPr>
        <w:pStyle w:val="BASLIK2"/>
        <w:spacing w:line="240" w:lineRule="exact"/>
        <w:ind w:firstLine="0"/>
        <w:rPr>
          <w:rFonts w:ascii="Microsoft Sans Serif" w:hAnsi="Microsoft Sans Serif" w:cs="Microsoft Sans Serif"/>
          <w:b w:val="0"/>
          <w:bCs w:val="0"/>
          <w:sz w:val="20"/>
          <w:szCs w:val="20"/>
          <w:lang w:eastAsia="tr-TR"/>
        </w:rPr>
      </w:pPr>
    </w:p>
    <w:p w14:paraId="7B502737" w14:textId="4F05FC7C" w:rsidR="00D65625" w:rsidRPr="00FB38E1" w:rsidRDefault="00D65625" w:rsidP="006904A5">
      <w:pPr>
        <w:pStyle w:val="BASLIK2"/>
        <w:numPr>
          <w:ilvl w:val="0"/>
          <w:numId w:val="17"/>
        </w:numPr>
        <w:spacing w:line="240" w:lineRule="exact"/>
        <w:ind w:left="0" w:hanging="567"/>
        <w:rPr>
          <w:rFonts w:ascii="Microsoft Sans Serif" w:hAnsi="Microsoft Sans Serif" w:cs="Microsoft Sans Serif"/>
          <w:b w:val="0"/>
          <w:bCs w:val="0"/>
          <w:sz w:val="20"/>
          <w:szCs w:val="20"/>
          <w:lang w:eastAsia="tr-TR"/>
        </w:rPr>
      </w:pPr>
      <w:r w:rsidRPr="00FB38E1">
        <w:rPr>
          <w:rFonts w:ascii="Microsoft Sans Serif" w:hAnsi="Microsoft Sans Serif" w:cs="Microsoft Sans Serif"/>
          <w:sz w:val="20"/>
          <w:szCs w:val="20"/>
        </w:rPr>
        <w:t>Gerçeğe uygun değer farkı kar/zarara yansıtılan finansal varlıklara ilişkin bilgiler</w:t>
      </w:r>
    </w:p>
    <w:p w14:paraId="4CFD6D9A" w14:textId="3899F03E" w:rsidR="00D65625" w:rsidRPr="00FB38E1" w:rsidRDefault="00D65625" w:rsidP="00076C9E">
      <w:pPr>
        <w:pStyle w:val="BASLIK2"/>
        <w:numPr>
          <w:ilvl w:val="0"/>
          <w:numId w:val="19"/>
        </w:numPr>
        <w:spacing w:line="240" w:lineRule="exact"/>
        <w:ind w:left="0" w:hanging="425"/>
        <w:rPr>
          <w:rFonts w:ascii="Microsoft Sans Serif" w:hAnsi="Microsoft Sans Serif" w:cs="Microsoft Sans Serif"/>
          <w:b w:val="0"/>
          <w:bCs w:val="0"/>
          <w:sz w:val="20"/>
          <w:szCs w:val="20"/>
          <w:lang w:eastAsia="tr-TR"/>
        </w:rPr>
      </w:pPr>
      <w:r w:rsidRPr="00FB38E1">
        <w:rPr>
          <w:rFonts w:ascii="Microsoft Sans Serif" w:hAnsi="Microsoft Sans Serif" w:cs="Microsoft Sans Serif"/>
          <w:iCs/>
          <w:sz w:val="20"/>
          <w:szCs w:val="20"/>
        </w:rPr>
        <w:t xml:space="preserve">Teminata verilen/bloke edilen </w:t>
      </w:r>
      <w:r w:rsidR="000E4209" w:rsidRPr="00FB38E1">
        <w:rPr>
          <w:rFonts w:ascii="Microsoft Sans Serif" w:hAnsi="Microsoft Sans Serif" w:cs="Microsoft Sans Serif"/>
          <w:sz w:val="20"/>
          <w:szCs w:val="20"/>
        </w:rPr>
        <w:t>gerçeğe uygun değer farkı kar/zarara yansıtılan</w:t>
      </w:r>
      <w:r w:rsidRPr="00FB38E1">
        <w:rPr>
          <w:rFonts w:ascii="Microsoft Sans Serif" w:hAnsi="Microsoft Sans Serif" w:cs="Microsoft Sans Serif"/>
          <w:iCs/>
          <w:sz w:val="20"/>
          <w:szCs w:val="20"/>
        </w:rPr>
        <w:t xml:space="preserve"> finansal varlıklara ilişkin bilgiler</w:t>
      </w:r>
    </w:p>
    <w:p w14:paraId="31629A44" w14:textId="7AEBBEBA" w:rsidR="000F4CE0" w:rsidRPr="00FB38E1" w:rsidRDefault="000938BD" w:rsidP="00E14145">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iCs/>
          <w:color w:val="404040" w:themeColor="text1" w:themeTint="BF"/>
          <w:sz w:val="20"/>
          <w:szCs w:val="20"/>
        </w:rPr>
        <w:t>Bulunmamaktadır</w:t>
      </w:r>
      <w:r w:rsidR="00A6403F" w:rsidRPr="00FB38E1">
        <w:rPr>
          <w:rFonts w:ascii="Microsoft Sans Serif" w:hAnsi="Microsoft Sans Serif" w:cs="Microsoft Sans Serif"/>
          <w:b w:val="0"/>
          <w:bCs w:val="0"/>
          <w:color w:val="404040" w:themeColor="text1" w:themeTint="BF"/>
          <w:sz w:val="20"/>
          <w:szCs w:val="20"/>
          <w:lang w:eastAsia="tr-TR"/>
        </w:rPr>
        <w:t>.</w:t>
      </w:r>
    </w:p>
    <w:p w14:paraId="04A68DA5" w14:textId="3DF662FC" w:rsidR="00982ED3" w:rsidRPr="00FB38E1" w:rsidRDefault="00982ED3" w:rsidP="006904A5">
      <w:pPr>
        <w:pStyle w:val="BASLIK2"/>
        <w:numPr>
          <w:ilvl w:val="0"/>
          <w:numId w:val="19"/>
        </w:numPr>
        <w:spacing w:before="120" w:line="240" w:lineRule="exact"/>
        <w:ind w:left="0" w:hanging="425"/>
        <w:rPr>
          <w:rFonts w:ascii="Microsoft Sans Serif" w:hAnsi="Microsoft Sans Serif" w:cs="Microsoft Sans Serif"/>
          <w:b w:val="0"/>
          <w:bCs w:val="0"/>
          <w:sz w:val="20"/>
          <w:szCs w:val="20"/>
          <w:lang w:eastAsia="tr-TR"/>
        </w:rPr>
      </w:pPr>
      <w:r w:rsidRPr="00FB38E1">
        <w:rPr>
          <w:rFonts w:ascii="Microsoft Sans Serif" w:hAnsi="Microsoft Sans Serif" w:cs="Microsoft Sans Serif"/>
          <w:iCs/>
          <w:sz w:val="20"/>
          <w:szCs w:val="20"/>
        </w:rPr>
        <w:t xml:space="preserve">Repo işlemlerine konu olan </w:t>
      </w:r>
      <w:r w:rsidRPr="00FB38E1">
        <w:rPr>
          <w:rFonts w:ascii="Microsoft Sans Serif" w:hAnsi="Microsoft Sans Serif" w:cs="Microsoft Sans Serif"/>
          <w:sz w:val="20"/>
          <w:szCs w:val="20"/>
        </w:rPr>
        <w:t>gerçeğe uygun değer farkı kar/zarara yansıtılan</w:t>
      </w:r>
      <w:r w:rsidRPr="00FB38E1">
        <w:rPr>
          <w:rFonts w:ascii="Microsoft Sans Serif" w:hAnsi="Microsoft Sans Serif" w:cs="Microsoft Sans Serif"/>
          <w:iCs/>
          <w:sz w:val="20"/>
          <w:szCs w:val="20"/>
        </w:rPr>
        <w:t xml:space="preserve"> finansal varlıklar</w:t>
      </w:r>
    </w:p>
    <w:p w14:paraId="7C8DE802" w14:textId="3068EF9C" w:rsidR="00FA29F5" w:rsidRPr="00FB38E1" w:rsidRDefault="00982ED3" w:rsidP="00CA49E1">
      <w:pPr>
        <w:pStyle w:val="BASLIK2"/>
        <w:spacing w:before="120" w:after="0" w:line="240" w:lineRule="exact"/>
        <w:ind w:firstLine="0"/>
        <w:rPr>
          <w:rFonts w:ascii="Microsoft Sans Serif" w:hAnsi="Microsoft Sans Serif" w:cs="Microsoft Sans Serif"/>
          <w:b w:val="0"/>
          <w:iCs/>
          <w:color w:val="404040" w:themeColor="text1" w:themeTint="BF"/>
          <w:sz w:val="20"/>
          <w:szCs w:val="20"/>
        </w:rPr>
      </w:pPr>
      <w:r w:rsidRPr="00FB38E1">
        <w:rPr>
          <w:rFonts w:ascii="Microsoft Sans Serif" w:hAnsi="Microsoft Sans Serif" w:cs="Microsoft Sans Serif"/>
          <w:b w:val="0"/>
          <w:iCs/>
          <w:color w:val="404040" w:themeColor="text1" w:themeTint="BF"/>
          <w:sz w:val="20"/>
          <w:szCs w:val="20"/>
        </w:rPr>
        <w:t>Bulunmamaktadır.</w:t>
      </w:r>
    </w:p>
    <w:p w14:paraId="2EC4FD11" w14:textId="5CC3D2B9" w:rsidR="00D65625" w:rsidRPr="00FB38E1" w:rsidRDefault="00982ED3" w:rsidP="006904A5">
      <w:pPr>
        <w:pStyle w:val="BASLIK2"/>
        <w:numPr>
          <w:ilvl w:val="0"/>
          <w:numId w:val="19"/>
        </w:numPr>
        <w:spacing w:before="120" w:line="240" w:lineRule="exact"/>
        <w:ind w:left="0" w:hanging="425"/>
        <w:rPr>
          <w:rFonts w:ascii="Microsoft Sans Serif" w:hAnsi="Microsoft Sans Serif" w:cs="Microsoft Sans Serif"/>
          <w:b w:val="0"/>
          <w:bCs w:val="0"/>
          <w:sz w:val="20"/>
          <w:szCs w:val="20"/>
          <w:lang w:eastAsia="tr-TR"/>
        </w:rPr>
      </w:pPr>
      <w:r w:rsidRPr="00FB38E1">
        <w:rPr>
          <w:rFonts w:ascii="Microsoft Sans Serif" w:hAnsi="Microsoft Sans Serif" w:cs="Microsoft Sans Serif"/>
          <w:iCs/>
          <w:sz w:val="20"/>
          <w:szCs w:val="20"/>
        </w:rPr>
        <w:t>Diğer</w:t>
      </w:r>
      <w:r w:rsidR="00D65625" w:rsidRPr="00FB38E1">
        <w:rPr>
          <w:rFonts w:ascii="Microsoft Sans Serif" w:hAnsi="Microsoft Sans Serif" w:cs="Microsoft Sans Serif"/>
          <w:iCs/>
          <w:sz w:val="20"/>
          <w:szCs w:val="20"/>
        </w:rPr>
        <w:t xml:space="preserve"> finansal varlıklar</w:t>
      </w:r>
    </w:p>
    <w:p w14:paraId="17623BCF" w14:textId="1E800B71" w:rsidR="00DC5654" w:rsidRPr="00FB38E1" w:rsidRDefault="00AD2A6F" w:rsidP="00DC5654">
      <w:pPr>
        <w:pStyle w:val="BASLIK2"/>
        <w:widowControl/>
        <w:spacing w:before="120" w:after="0" w:line="240" w:lineRule="exact"/>
        <w:ind w:firstLine="0"/>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b w:val="0"/>
          <w:iCs/>
          <w:color w:val="404040" w:themeColor="text1" w:themeTint="BF"/>
          <w:sz w:val="20"/>
          <w:szCs w:val="20"/>
        </w:rPr>
        <w:t xml:space="preserve">31 Aralık 2024 </w:t>
      </w:r>
      <w:r w:rsidR="00E96DD4" w:rsidRPr="00FB38E1">
        <w:rPr>
          <w:rFonts w:ascii="Microsoft Sans Serif" w:hAnsi="Microsoft Sans Serif" w:cs="Microsoft Sans Serif"/>
          <w:b w:val="0"/>
          <w:iCs/>
          <w:color w:val="404040" w:themeColor="text1" w:themeTint="BF"/>
          <w:sz w:val="20"/>
          <w:szCs w:val="20"/>
        </w:rPr>
        <w:t xml:space="preserve">tarihi itibarıyla diğer finansal varlıklar </w:t>
      </w:r>
      <w:r w:rsidR="003B5532" w:rsidRPr="00FB38E1">
        <w:rPr>
          <w:rFonts w:ascii="Microsoft Sans Serif" w:hAnsi="Microsoft Sans Serif" w:cs="Microsoft Sans Serif"/>
          <w:b w:val="0"/>
          <w:iCs/>
          <w:color w:val="404040" w:themeColor="text1" w:themeTint="BF"/>
          <w:sz w:val="20"/>
          <w:szCs w:val="20"/>
        </w:rPr>
        <w:t>d</w:t>
      </w:r>
      <w:r w:rsidR="00003EDE" w:rsidRPr="00FB38E1">
        <w:rPr>
          <w:rFonts w:ascii="Microsoft Sans Serif" w:hAnsi="Microsoft Sans Serif" w:cs="Microsoft Sans Serif"/>
          <w:b w:val="0"/>
          <w:iCs/>
          <w:color w:val="404040" w:themeColor="text1" w:themeTint="BF"/>
          <w:sz w:val="20"/>
          <w:szCs w:val="20"/>
        </w:rPr>
        <w:t>evlet borçlanma senetleri ve sermayede payı temsil eden menkul değerler haricindeki menkul değerleri içermektedir.</w:t>
      </w:r>
    </w:p>
    <w:p w14:paraId="0920036B" w14:textId="77777777" w:rsidR="00A84FF4" w:rsidRPr="00FB38E1" w:rsidRDefault="00A84FF4" w:rsidP="00076C9E">
      <w:pPr>
        <w:pStyle w:val="BASLIK2"/>
        <w:widowControl/>
        <w:numPr>
          <w:ilvl w:val="0"/>
          <w:numId w:val="19"/>
        </w:numPr>
        <w:spacing w:line="240" w:lineRule="exact"/>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Alım satım amaçlı türev finansal varlıklara ilişkin pozitif farklar tablosu</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A84FF4" w:rsidRPr="00FB38E1" w14:paraId="4F7A6A09" w14:textId="77777777" w:rsidTr="00980729">
        <w:tc>
          <w:tcPr>
            <w:tcW w:w="2102" w:type="pct"/>
            <w:vAlign w:val="bottom"/>
          </w:tcPr>
          <w:p w14:paraId="2C2FDB5E" w14:textId="77777777" w:rsidR="00A84FF4" w:rsidRPr="00FB38E1" w:rsidRDefault="00A84FF4" w:rsidP="00980729">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42FF612B" w14:textId="77777777" w:rsidR="00A84FF4" w:rsidRPr="00FB38E1" w:rsidRDefault="00A84FF4" w:rsidP="00980729">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vAlign w:val="bottom"/>
          </w:tcPr>
          <w:p w14:paraId="5A3F750D" w14:textId="77777777" w:rsidR="00A84FF4" w:rsidRPr="00FB38E1" w:rsidRDefault="00A84FF4" w:rsidP="00980729">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A84FF4" w:rsidRPr="00FB38E1" w14:paraId="0C66ED00" w14:textId="77777777" w:rsidTr="00980729">
        <w:tc>
          <w:tcPr>
            <w:tcW w:w="2102" w:type="pct"/>
            <w:tcBorders>
              <w:bottom w:val="single" w:sz="4" w:space="0" w:color="auto"/>
            </w:tcBorders>
            <w:vAlign w:val="bottom"/>
          </w:tcPr>
          <w:p w14:paraId="2642ADD8" w14:textId="77777777" w:rsidR="00A84FF4" w:rsidRPr="00FB38E1" w:rsidRDefault="00A84FF4" w:rsidP="00980729">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6713F163" w14:textId="77777777" w:rsidR="00A84FF4" w:rsidRPr="00FB38E1" w:rsidRDefault="00A84FF4" w:rsidP="0098072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3204C78" w14:textId="77777777" w:rsidR="00A84FF4" w:rsidRPr="00FB38E1" w:rsidRDefault="00A84FF4" w:rsidP="0098072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922417B" w14:textId="77777777" w:rsidR="00A84FF4" w:rsidRPr="00FB38E1" w:rsidRDefault="00A84FF4" w:rsidP="0098072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0236D3C5" w14:textId="77777777" w:rsidR="00A84FF4" w:rsidRPr="00FB38E1" w:rsidRDefault="00A84FF4" w:rsidP="0098072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CC7F1F" w:rsidRPr="00FB38E1" w14:paraId="32235B95" w14:textId="77777777" w:rsidTr="00B01B91">
        <w:trPr>
          <w:trHeight w:val="114"/>
        </w:trPr>
        <w:tc>
          <w:tcPr>
            <w:tcW w:w="2102" w:type="pct"/>
            <w:tcBorders>
              <w:top w:val="single" w:sz="4" w:space="0" w:color="auto"/>
              <w:bottom w:val="nil"/>
            </w:tcBorders>
            <w:vAlign w:val="center"/>
          </w:tcPr>
          <w:p w14:paraId="639EC550" w14:textId="77777777"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Vadeli İşlemler</w:t>
            </w:r>
          </w:p>
        </w:tc>
        <w:tc>
          <w:tcPr>
            <w:tcW w:w="725" w:type="pct"/>
            <w:tcBorders>
              <w:top w:val="single" w:sz="4" w:space="0" w:color="auto"/>
              <w:bottom w:val="nil"/>
            </w:tcBorders>
            <w:vAlign w:val="center"/>
          </w:tcPr>
          <w:p w14:paraId="5D046D5A" w14:textId="54918A28"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181.062</w:t>
            </w:r>
          </w:p>
        </w:tc>
        <w:tc>
          <w:tcPr>
            <w:tcW w:w="724" w:type="pct"/>
            <w:tcBorders>
              <w:top w:val="single" w:sz="4" w:space="0" w:color="auto"/>
              <w:bottom w:val="nil"/>
            </w:tcBorders>
            <w:vAlign w:val="center"/>
          </w:tcPr>
          <w:p w14:paraId="0DE3F934" w14:textId="0BEE82E7"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371.948</w:t>
            </w:r>
          </w:p>
        </w:tc>
        <w:tc>
          <w:tcPr>
            <w:tcW w:w="724" w:type="pct"/>
            <w:tcBorders>
              <w:top w:val="single" w:sz="4" w:space="0" w:color="auto"/>
              <w:bottom w:val="nil"/>
            </w:tcBorders>
            <w:vAlign w:val="center"/>
          </w:tcPr>
          <w:p w14:paraId="7DDBFBC1" w14:textId="4B7DEE4F"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110.200</w:t>
            </w:r>
          </w:p>
        </w:tc>
        <w:tc>
          <w:tcPr>
            <w:tcW w:w="724" w:type="pct"/>
            <w:tcBorders>
              <w:top w:val="single" w:sz="4" w:space="0" w:color="auto"/>
              <w:bottom w:val="nil"/>
            </w:tcBorders>
            <w:vAlign w:val="center"/>
          </w:tcPr>
          <w:p w14:paraId="7B562055" w14:textId="710568D1"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318.016</w:t>
            </w:r>
          </w:p>
        </w:tc>
      </w:tr>
      <w:tr w:rsidR="00CC7F1F" w:rsidRPr="00FB38E1" w14:paraId="0F986F31" w14:textId="77777777" w:rsidTr="00AE66A1">
        <w:tc>
          <w:tcPr>
            <w:tcW w:w="2102" w:type="pct"/>
            <w:tcBorders>
              <w:top w:val="nil"/>
            </w:tcBorders>
            <w:vAlign w:val="center"/>
          </w:tcPr>
          <w:p w14:paraId="117D42F7" w14:textId="77777777"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Swap İşlemleri</w:t>
            </w:r>
          </w:p>
        </w:tc>
        <w:tc>
          <w:tcPr>
            <w:tcW w:w="725" w:type="pct"/>
            <w:tcBorders>
              <w:top w:val="nil"/>
            </w:tcBorders>
            <w:vAlign w:val="center"/>
          </w:tcPr>
          <w:p w14:paraId="0D7EBD6C" w14:textId="3B855632"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1.634.570</w:t>
            </w:r>
          </w:p>
        </w:tc>
        <w:tc>
          <w:tcPr>
            <w:tcW w:w="724" w:type="pct"/>
            <w:tcBorders>
              <w:top w:val="nil"/>
            </w:tcBorders>
            <w:vAlign w:val="center"/>
          </w:tcPr>
          <w:p w14:paraId="52359AD8" w14:textId="7777BB5E"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7.730.338</w:t>
            </w:r>
          </w:p>
        </w:tc>
        <w:tc>
          <w:tcPr>
            <w:tcW w:w="724" w:type="pct"/>
            <w:tcBorders>
              <w:top w:val="nil"/>
            </w:tcBorders>
            <w:vAlign w:val="center"/>
          </w:tcPr>
          <w:p w14:paraId="6D823CAA" w14:textId="5D25665C"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1.116.698</w:t>
            </w:r>
          </w:p>
        </w:tc>
        <w:tc>
          <w:tcPr>
            <w:tcW w:w="724" w:type="pct"/>
            <w:tcBorders>
              <w:top w:val="nil"/>
            </w:tcBorders>
            <w:vAlign w:val="center"/>
          </w:tcPr>
          <w:p w14:paraId="385E2AB0" w14:textId="43DD03C4"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6.116.568</w:t>
            </w:r>
          </w:p>
        </w:tc>
      </w:tr>
      <w:tr w:rsidR="00CC7F1F" w:rsidRPr="00FB38E1" w14:paraId="3310949A" w14:textId="77777777" w:rsidTr="00AE66A1">
        <w:tc>
          <w:tcPr>
            <w:tcW w:w="2102" w:type="pct"/>
            <w:tcBorders>
              <w:top w:val="nil"/>
            </w:tcBorders>
            <w:vAlign w:val="center"/>
          </w:tcPr>
          <w:p w14:paraId="65EE68B1" w14:textId="77777777"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Futures İşlemleri</w:t>
            </w:r>
          </w:p>
        </w:tc>
        <w:tc>
          <w:tcPr>
            <w:tcW w:w="725" w:type="pct"/>
            <w:tcBorders>
              <w:top w:val="nil"/>
            </w:tcBorders>
            <w:vAlign w:val="center"/>
          </w:tcPr>
          <w:p w14:paraId="0633297E" w14:textId="73C81C31"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73CB7C6B" w14:textId="7F8D0935"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6071172B" w14:textId="6EEA040B"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6D92C807" w14:textId="729F2991"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C7F1F" w:rsidRPr="00FB38E1" w14:paraId="25916273" w14:textId="77777777" w:rsidTr="00AE66A1">
        <w:tc>
          <w:tcPr>
            <w:tcW w:w="2102" w:type="pct"/>
            <w:tcBorders>
              <w:top w:val="nil"/>
            </w:tcBorders>
            <w:vAlign w:val="center"/>
          </w:tcPr>
          <w:p w14:paraId="1E21ACB1" w14:textId="77777777"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Opsiyonlar</w:t>
            </w:r>
          </w:p>
        </w:tc>
        <w:tc>
          <w:tcPr>
            <w:tcW w:w="725" w:type="pct"/>
            <w:tcBorders>
              <w:top w:val="nil"/>
            </w:tcBorders>
            <w:vAlign w:val="center"/>
          </w:tcPr>
          <w:p w14:paraId="0CEAC67D" w14:textId="0931A038"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25CD6821" w14:textId="72026780"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1.961.944</w:t>
            </w:r>
          </w:p>
        </w:tc>
        <w:tc>
          <w:tcPr>
            <w:tcW w:w="724" w:type="pct"/>
            <w:tcBorders>
              <w:top w:val="nil"/>
            </w:tcBorders>
            <w:vAlign w:val="center"/>
          </w:tcPr>
          <w:p w14:paraId="54206EBD" w14:textId="314BDE76"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370</w:t>
            </w:r>
          </w:p>
        </w:tc>
        <w:tc>
          <w:tcPr>
            <w:tcW w:w="724" w:type="pct"/>
            <w:tcBorders>
              <w:top w:val="nil"/>
            </w:tcBorders>
            <w:vAlign w:val="center"/>
          </w:tcPr>
          <w:p w14:paraId="7B451DB3" w14:textId="545FE486"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382.291</w:t>
            </w:r>
          </w:p>
        </w:tc>
      </w:tr>
      <w:tr w:rsidR="00CC7F1F" w:rsidRPr="00FB38E1" w14:paraId="5922CCA4" w14:textId="77777777" w:rsidTr="00AE66A1">
        <w:tc>
          <w:tcPr>
            <w:tcW w:w="2102" w:type="pct"/>
            <w:tcBorders>
              <w:bottom w:val="single" w:sz="4" w:space="0" w:color="auto"/>
            </w:tcBorders>
            <w:vAlign w:val="center"/>
          </w:tcPr>
          <w:p w14:paraId="557AAA85" w14:textId="77777777" w:rsidR="00CC7F1F" w:rsidRPr="00FB38E1" w:rsidRDefault="00CC7F1F" w:rsidP="00CC7F1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25" w:type="pct"/>
            <w:tcBorders>
              <w:bottom w:val="single" w:sz="4" w:space="0" w:color="auto"/>
            </w:tcBorders>
            <w:vAlign w:val="center"/>
          </w:tcPr>
          <w:p w14:paraId="5DEC9ADD" w14:textId="299108C5"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8FDF55D" w14:textId="6C630C00"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21BACBE6" w14:textId="00F20F84"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162D0B9A" w14:textId="6DF6307E" w:rsidR="00CC7F1F" w:rsidRPr="00FB38E1" w:rsidRDefault="00CC7F1F" w:rsidP="00CC7F1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C7F1F" w:rsidRPr="00FB38E1" w14:paraId="2F4C355B" w14:textId="77777777" w:rsidTr="00AE66A1">
        <w:tc>
          <w:tcPr>
            <w:tcW w:w="2102" w:type="pct"/>
            <w:tcBorders>
              <w:top w:val="single" w:sz="4" w:space="0" w:color="auto"/>
              <w:bottom w:val="thickThinSmallGap" w:sz="24" w:space="0" w:color="auto"/>
            </w:tcBorders>
            <w:vAlign w:val="bottom"/>
          </w:tcPr>
          <w:p w14:paraId="2711842D" w14:textId="77777777" w:rsidR="00CC7F1F" w:rsidRPr="00FB38E1" w:rsidRDefault="00CC7F1F" w:rsidP="00CC7F1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6086898" w14:textId="2F20C84E"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1.815.632</w:t>
            </w:r>
          </w:p>
        </w:tc>
        <w:tc>
          <w:tcPr>
            <w:tcW w:w="724" w:type="pct"/>
            <w:tcBorders>
              <w:top w:val="single" w:sz="4" w:space="0" w:color="auto"/>
              <w:bottom w:val="thickThinSmallGap" w:sz="24" w:space="0" w:color="auto"/>
            </w:tcBorders>
            <w:vAlign w:val="center"/>
          </w:tcPr>
          <w:p w14:paraId="6BA17C89" w14:textId="1292745D"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10.064.230</w:t>
            </w:r>
          </w:p>
        </w:tc>
        <w:tc>
          <w:tcPr>
            <w:tcW w:w="724" w:type="pct"/>
            <w:tcBorders>
              <w:top w:val="single" w:sz="4" w:space="0" w:color="auto"/>
              <w:bottom w:val="thickThinSmallGap" w:sz="24" w:space="0" w:color="auto"/>
            </w:tcBorders>
            <w:vAlign w:val="center"/>
          </w:tcPr>
          <w:p w14:paraId="2D33947F" w14:textId="1564FE20"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1.227.268</w:t>
            </w:r>
          </w:p>
        </w:tc>
        <w:tc>
          <w:tcPr>
            <w:tcW w:w="724" w:type="pct"/>
            <w:tcBorders>
              <w:top w:val="single" w:sz="4" w:space="0" w:color="auto"/>
              <w:bottom w:val="thickThinSmallGap" w:sz="24" w:space="0" w:color="auto"/>
            </w:tcBorders>
            <w:vAlign w:val="center"/>
          </w:tcPr>
          <w:p w14:paraId="2ED4A860" w14:textId="66F1E9CC" w:rsidR="00CC7F1F" w:rsidRPr="00FB38E1" w:rsidRDefault="00CC7F1F" w:rsidP="00CC7F1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6.816.875</w:t>
            </w:r>
          </w:p>
        </w:tc>
      </w:tr>
    </w:tbl>
    <w:p w14:paraId="37B450D2" w14:textId="14FCE70C" w:rsidR="00EF3239" w:rsidRPr="00FB38E1" w:rsidRDefault="00012178" w:rsidP="00076C9E">
      <w:pPr>
        <w:pStyle w:val="BASLIK2"/>
        <w:numPr>
          <w:ilvl w:val="0"/>
          <w:numId w:val="17"/>
        </w:numPr>
        <w:spacing w:line="240" w:lineRule="exact"/>
        <w:ind w:left="0" w:hanging="567"/>
        <w:rPr>
          <w:rFonts w:ascii="Microsoft Sans Serif" w:hAnsi="Microsoft Sans Serif" w:cs="Microsoft Sans Serif"/>
          <w:b w:val="0"/>
          <w:bCs w:val="0"/>
          <w:sz w:val="20"/>
          <w:szCs w:val="20"/>
          <w:lang w:eastAsia="tr-TR"/>
        </w:rPr>
      </w:pPr>
      <w:r w:rsidRPr="00FB38E1">
        <w:rPr>
          <w:rFonts w:ascii="Microsoft Sans Serif" w:hAnsi="Microsoft Sans Serif" w:cs="Microsoft Sans Serif"/>
          <w:sz w:val="20"/>
          <w:szCs w:val="20"/>
        </w:rPr>
        <w:t>Gerçeğe uygun değer farkı diğer kapsamlı gelire yansıtılan</w:t>
      </w:r>
      <w:r w:rsidR="00EF3239" w:rsidRPr="00FB38E1">
        <w:rPr>
          <w:rFonts w:ascii="Microsoft Sans Serif" w:hAnsi="Microsoft Sans Serif" w:cs="Microsoft Sans Serif"/>
          <w:sz w:val="20"/>
          <w:szCs w:val="20"/>
        </w:rPr>
        <w:t xml:space="preserve"> finansal varlıklara ilişkin bilgiler</w:t>
      </w:r>
    </w:p>
    <w:p w14:paraId="1B8D516C" w14:textId="0DFFF106" w:rsidR="00EF3239" w:rsidRPr="00FB38E1" w:rsidRDefault="00012178" w:rsidP="00076C9E">
      <w:pPr>
        <w:pStyle w:val="BASLIK2"/>
        <w:numPr>
          <w:ilvl w:val="0"/>
          <w:numId w:val="20"/>
        </w:numPr>
        <w:spacing w:line="240" w:lineRule="exact"/>
        <w:ind w:left="0" w:hanging="425"/>
        <w:rPr>
          <w:rFonts w:ascii="Microsoft Sans Serif" w:hAnsi="Microsoft Sans Serif" w:cs="Microsoft Sans Serif"/>
          <w:b w:val="0"/>
          <w:bCs w:val="0"/>
          <w:sz w:val="20"/>
          <w:szCs w:val="20"/>
          <w:lang w:eastAsia="tr-TR"/>
        </w:rPr>
      </w:pPr>
      <w:r w:rsidRPr="00FB38E1">
        <w:rPr>
          <w:rFonts w:ascii="Microsoft Sans Serif" w:hAnsi="Microsoft Sans Serif" w:cs="Microsoft Sans Serif"/>
          <w:sz w:val="20"/>
          <w:szCs w:val="20"/>
        </w:rPr>
        <w:t>Gerçeğe uygun değer farkı diğer kapsamlı gelire yansıtılan</w:t>
      </w:r>
      <w:r w:rsidR="00EF3239" w:rsidRPr="00FB38E1">
        <w:rPr>
          <w:rFonts w:ascii="Microsoft Sans Serif" w:hAnsi="Microsoft Sans Serif" w:cs="Microsoft Sans Serif"/>
          <w:iCs/>
          <w:sz w:val="20"/>
          <w:szCs w:val="20"/>
        </w:rPr>
        <w:t xml:space="preserve"> finansal varlıkların başlıca türleri</w:t>
      </w:r>
    </w:p>
    <w:p w14:paraId="17795A81" w14:textId="38B80B87" w:rsidR="00E81D06" w:rsidRPr="00FB38E1" w:rsidRDefault="00012178" w:rsidP="00E81D06">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Gerçeğe uygun değer farkı diğer kapsamlı gelire yansıtılan</w:t>
      </w:r>
      <w:r w:rsidR="00E81D06" w:rsidRPr="00FB38E1">
        <w:rPr>
          <w:rFonts w:ascii="Microsoft Sans Serif" w:hAnsi="Microsoft Sans Serif" w:cs="Microsoft Sans Serif"/>
          <w:b w:val="0"/>
          <w:color w:val="404040" w:themeColor="text1" w:themeTint="BF"/>
          <w:sz w:val="20"/>
          <w:szCs w:val="20"/>
        </w:rPr>
        <w:t xml:space="preserve"> finansal varlıklar, hisse senetleri, Devlet İç Borçlanma Senetleri, Türk Hazinesi tarafından ihraç edilen Eurobond’lar, Türk Hazinesi tarafından ihraç edilen döviz tahvillerden oluşmaktadır.</w:t>
      </w:r>
    </w:p>
    <w:p w14:paraId="2591B82B" w14:textId="77101671" w:rsidR="00EF3239" w:rsidRPr="00FB38E1" w:rsidRDefault="00EF3239" w:rsidP="00076C9E">
      <w:pPr>
        <w:pStyle w:val="BASLIK2"/>
        <w:numPr>
          <w:ilvl w:val="0"/>
          <w:numId w:val="20"/>
        </w:numPr>
        <w:spacing w:line="240" w:lineRule="exact"/>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 xml:space="preserve">Teminat olarak gösterilen </w:t>
      </w:r>
      <w:r w:rsidR="00012178" w:rsidRPr="00FB38E1">
        <w:rPr>
          <w:rFonts w:ascii="Microsoft Sans Serif" w:hAnsi="Microsoft Sans Serif" w:cs="Microsoft Sans Serif"/>
          <w:sz w:val="20"/>
          <w:szCs w:val="20"/>
        </w:rPr>
        <w:t>gerçeğe uygun değer farkı diğer kapsamlı gelire yansıtılan</w:t>
      </w:r>
      <w:r w:rsidRPr="00FB38E1">
        <w:rPr>
          <w:rFonts w:ascii="Microsoft Sans Serif" w:hAnsi="Microsoft Sans Serif" w:cs="Microsoft Sans Serif"/>
          <w:iCs/>
          <w:sz w:val="20"/>
          <w:szCs w:val="20"/>
        </w:rPr>
        <w:t xml:space="preserve"> finansal varlıkların özellikleri ve defter değeri</w:t>
      </w:r>
    </w:p>
    <w:p w14:paraId="62531107" w14:textId="79EC0B58" w:rsidR="00EF3239" w:rsidRPr="00FB38E1" w:rsidRDefault="00855BFB" w:rsidP="00F9766F">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 xml:space="preserve">Teminat olarak gösterilen </w:t>
      </w:r>
      <w:r w:rsidR="00012178" w:rsidRPr="00FB38E1">
        <w:rPr>
          <w:rFonts w:ascii="Microsoft Sans Serif" w:hAnsi="Microsoft Sans Serif" w:cs="Microsoft Sans Serif"/>
          <w:b w:val="0"/>
          <w:color w:val="404040" w:themeColor="text1" w:themeTint="BF"/>
          <w:sz w:val="20"/>
          <w:szCs w:val="20"/>
        </w:rPr>
        <w:t>gerçeğe uygun değeri diğer kapsamlı gelire yansıtılan</w:t>
      </w:r>
      <w:r w:rsidRPr="00FB38E1">
        <w:rPr>
          <w:rFonts w:ascii="Microsoft Sans Serif" w:hAnsi="Microsoft Sans Serif" w:cs="Microsoft Sans Serif"/>
          <w:b w:val="0"/>
          <w:color w:val="404040" w:themeColor="text1" w:themeTint="BF"/>
          <w:sz w:val="20"/>
          <w:szCs w:val="20"/>
        </w:rPr>
        <w:t xml:space="preserve"> finansal varlıklar; başta T.C. Merkez Bankası A.Ş. ve İstanbul Takas ve Saklama Bankası A.Ş. olmak üzere, çeşitli finansal kuruluşlara bankalar</w:t>
      </w:r>
      <w:r w:rsidR="00863D41" w:rsidRPr="00FB38E1">
        <w:rPr>
          <w:rFonts w:ascii="Microsoft Sans Serif" w:hAnsi="Microsoft Sans Serif" w:cs="Microsoft Sans Serif"/>
          <w:b w:val="0"/>
          <w:color w:val="404040" w:themeColor="text1" w:themeTint="BF"/>
          <w:sz w:val="20"/>
          <w:szCs w:val="20"/>
        </w:rPr>
        <w:t xml:space="preserve"> </w:t>
      </w:r>
      <w:r w:rsidRPr="00FB38E1">
        <w:rPr>
          <w:rFonts w:ascii="Microsoft Sans Serif" w:hAnsi="Microsoft Sans Serif" w:cs="Microsoft Sans Serif"/>
          <w:b w:val="0"/>
          <w:color w:val="404040" w:themeColor="text1" w:themeTint="BF"/>
          <w:sz w:val="20"/>
          <w:szCs w:val="20"/>
        </w:rPr>
        <w:t xml:space="preserve">arası para piyasası, döviz piyasası ve diğer işlemler için verilen menkul değerlerden oluşmaktadır. Söz konusu finansal varlıklar, devlet tahvilleri ve eurobondları içermekte olup, defter değerleri toplamı </w:t>
      </w:r>
      <w:r w:rsidR="00BC5E4C" w:rsidRPr="00FB38E1">
        <w:rPr>
          <w:rFonts w:ascii="Microsoft Sans Serif" w:hAnsi="Microsoft Sans Serif" w:cs="Microsoft Sans Serif"/>
          <w:b w:val="0"/>
          <w:color w:val="404040" w:themeColor="text1" w:themeTint="BF"/>
          <w:sz w:val="20"/>
          <w:szCs w:val="20"/>
        </w:rPr>
        <w:t>4</w:t>
      </w:r>
      <w:r w:rsidR="00196DBB" w:rsidRPr="00FB38E1">
        <w:rPr>
          <w:rFonts w:ascii="Microsoft Sans Serif" w:hAnsi="Microsoft Sans Serif" w:cs="Microsoft Sans Serif"/>
          <w:b w:val="0"/>
          <w:color w:val="404040" w:themeColor="text1" w:themeTint="BF"/>
          <w:sz w:val="20"/>
          <w:szCs w:val="20"/>
        </w:rPr>
        <w:t>7</w:t>
      </w:r>
      <w:r w:rsidR="00BC5E4C" w:rsidRPr="00FB38E1">
        <w:rPr>
          <w:rFonts w:ascii="Microsoft Sans Serif" w:hAnsi="Microsoft Sans Serif" w:cs="Microsoft Sans Serif"/>
          <w:b w:val="0"/>
          <w:color w:val="404040" w:themeColor="text1" w:themeTint="BF"/>
          <w:sz w:val="20"/>
          <w:szCs w:val="20"/>
        </w:rPr>
        <w:t>.</w:t>
      </w:r>
      <w:r w:rsidR="00196DBB" w:rsidRPr="00FB38E1">
        <w:rPr>
          <w:rFonts w:ascii="Microsoft Sans Serif" w:hAnsi="Microsoft Sans Serif" w:cs="Microsoft Sans Serif"/>
          <w:b w:val="0"/>
          <w:color w:val="404040" w:themeColor="text1" w:themeTint="BF"/>
          <w:sz w:val="20"/>
          <w:szCs w:val="20"/>
        </w:rPr>
        <w:t>209</w:t>
      </w:r>
      <w:r w:rsidR="00BC5E4C" w:rsidRPr="00FB38E1">
        <w:rPr>
          <w:rFonts w:ascii="Microsoft Sans Serif" w:hAnsi="Microsoft Sans Serif" w:cs="Microsoft Sans Serif"/>
          <w:b w:val="0"/>
          <w:color w:val="404040" w:themeColor="text1" w:themeTint="BF"/>
          <w:sz w:val="20"/>
          <w:szCs w:val="20"/>
        </w:rPr>
        <w:t>.</w:t>
      </w:r>
      <w:r w:rsidR="00196DBB" w:rsidRPr="00FB38E1">
        <w:rPr>
          <w:rFonts w:ascii="Microsoft Sans Serif" w:hAnsi="Microsoft Sans Serif" w:cs="Microsoft Sans Serif"/>
          <w:b w:val="0"/>
          <w:color w:val="404040" w:themeColor="text1" w:themeTint="BF"/>
          <w:sz w:val="20"/>
          <w:szCs w:val="20"/>
        </w:rPr>
        <w:t>690</w:t>
      </w:r>
      <w:r w:rsidR="00B849EA" w:rsidRPr="00FB38E1">
        <w:rPr>
          <w:rFonts w:ascii="Microsoft Sans Serif" w:hAnsi="Microsoft Sans Serif" w:cs="Microsoft Sans Serif"/>
          <w:b w:val="0"/>
          <w:color w:val="404040" w:themeColor="text1" w:themeTint="BF"/>
          <w:sz w:val="20"/>
          <w:szCs w:val="20"/>
        </w:rPr>
        <w:t xml:space="preserve"> </w:t>
      </w:r>
      <w:r w:rsidRPr="00FB38E1">
        <w:rPr>
          <w:rFonts w:ascii="Microsoft Sans Serif" w:hAnsi="Microsoft Sans Serif" w:cs="Microsoft Sans Serif"/>
          <w:b w:val="0"/>
          <w:color w:val="404040" w:themeColor="text1" w:themeTint="BF"/>
          <w:sz w:val="20"/>
          <w:szCs w:val="20"/>
        </w:rPr>
        <w:t>TL tutarındadır</w:t>
      </w:r>
      <w:r w:rsidR="00654F4C" w:rsidRPr="00FB38E1">
        <w:rPr>
          <w:rFonts w:ascii="Microsoft Sans Serif" w:hAnsi="Microsoft Sans Serif" w:cs="Microsoft Sans Serif"/>
          <w:b w:val="0"/>
          <w:color w:val="404040" w:themeColor="text1" w:themeTint="BF"/>
          <w:sz w:val="20"/>
          <w:szCs w:val="20"/>
        </w:rPr>
        <w:t xml:space="preserve"> </w:t>
      </w:r>
      <w:r w:rsidR="005C6A0A" w:rsidRPr="00FB38E1">
        <w:rPr>
          <w:rFonts w:ascii="Microsoft Sans Serif" w:hAnsi="Microsoft Sans Serif" w:cs="Microsoft Sans Serif"/>
          <w:b w:val="0"/>
          <w:iCs/>
          <w:color w:val="404040" w:themeColor="text1" w:themeTint="BF"/>
          <w:sz w:val="20"/>
          <w:szCs w:val="20"/>
        </w:rPr>
        <w:t>(31 Aralık 202</w:t>
      </w:r>
      <w:r w:rsidR="00B01B91" w:rsidRPr="00FB38E1">
        <w:rPr>
          <w:rFonts w:ascii="Microsoft Sans Serif" w:hAnsi="Microsoft Sans Serif" w:cs="Microsoft Sans Serif"/>
          <w:b w:val="0"/>
          <w:iCs/>
          <w:color w:val="404040" w:themeColor="text1" w:themeTint="BF"/>
          <w:sz w:val="20"/>
          <w:szCs w:val="20"/>
        </w:rPr>
        <w:t>3</w:t>
      </w:r>
      <w:r w:rsidR="00654F4C" w:rsidRPr="00FB38E1">
        <w:rPr>
          <w:rFonts w:ascii="Microsoft Sans Serif" w:hAnsi="Microsoft Sans Serif" w:cs="Microsoft Sans Serif"/>
          <w:b w:val="0"/>
          <w:iCs/>
          <w:color w:val="404040" w:themeColor="text1" w:themeTint="BF"/>
          <w:sz w:val="20"/>
          <w:szCs w:val="20"/>
        </w:rPr>
        <w:t>:</w:t>
      </w:r>
      <w:r w:rsidR="00B01B91" w:rsidRPr="00FB38E1">
        <w:rPr>
          <w:rFonts w:ascii="Microsoft Sans Serif" w:hAnsi="Microsoft Sans Serif" w:cs="Microsoft Sans Serif"/>
          <w:b w:val="0"/>
          <w:color w:val="404040" w:themeColor="text1" w:themeTint="BF"/>
          <w:sz w:val="20"/>
          <w:szCs w:val="20"/>
        </w:rPr>
        <w:t xml:space="preserve"> 25.386.884 </w:t>
      </w:r>
      <w:r w:rsidR="00654F4C" w:rsidRPr="00FB38E1">
        <w:rPr>
          <w:rFonts w:ascii="Microsoft Sans Serif" w:hAnsi="Microsoft Sans Serif" w:cs="Microsoft Sans Serif"/>
          <w:b w:val="0"/>
          <w:iCs/>
          <w:color w:val="404040" w:themeColor="text1" w:themeTint="BF"/>
          <w:sz w:val="20"/>
          <w:szCs w:val="20"/>
        </w:rPr>
        <w:t>TL)</w:t>
      </w:r>
      <w:r w:rsidR="00EF3239" w:rsidRPr="00FB38E1">
        <w:rPr>
          <w:rFonts w:ascii="Microsoft Sans Serif" w:hAnsi="Microsoft Sans Serif" w:cs="Microsoft Sans Serif"/>
          <w:b w:val="0"/>
          <w:color w:val="404040" w:themeColor="text1" w:themeTint="BF"/>
          <w:sz w:val="20"/>
          <w:szCs w:val="20"/>
        </w:rPr>
        <w:t>.</w:t>
      </w:r>
    </w:p>
    <w:p w14:paraId="27C1175B" w14:textId="19E38570" w:rsidR="00EF3239" w:rsidRPr="00FB38E1" w:rsidRDefault="00EF3239"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FB38E1">
        <w:rPr>
          <w:rFonts w:ascii="Microsoft Sans Serif" w:hAnsi="Microsoft Sans Serif" w:cs="Microsoft Sans Serif"/>
          <w:iCs/>
          <w:sz w:val="20"/>
          <w:szCs w:val="20"/>
          <w:lang w:val="pt-BR"/>
        </w:rPr>
        <w:t xml:space="preserve">Teminata verilen/bloke edilen </w:t>
      </w:r>
      <w:r w:rsidR="00012178" w:rsidRPr="00FB38E1">
        <w:rPr>
          <w:rFonts w:ascii="Microsoft Sans Serif" w:hAnsi="Microsoft Sans Serif" w:cs="Microsoft Sans Serif"/>
          <w:sz w:val="20"/>
          <w:szCs w:val="20"/>
        </w:rPr>
        <w:t>gerçeğe uygun değer farkı diğer kapsamlı gelire yansıtılan</w:t>
      </w:r>
      <w:r w:rsidRPr="00FB38E1">
        <w:rPr>
          <w:rFonts w:ascii="Microsoft Sans Serif" w:hAnsi="Microsoft Sans Serif" w:cs="Microsoft Sans Serif"/>
          <w:iCs/>
          <w:sz w:val="20"/>
          <w:szCs w:val="20"/>
          <w:lang w:val="pt-BR"/>
        </w:rPr>
        <w:t xml:space="preserve"> finansal varlıklara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30"/>
        <w:gridCol w:w="1321"/>
        <w:gridCol w:w="1396"/>
        <w:gridCol w:w="1396"/>
        <w:gridCol w:w="1396"/>
      </w:tblGrid>
      <w:tr w:rsidR="0002442F" w:rsidRPr="00FB38E1" w14:paraId="704E2643" w14:textId="1F03F608" w:rsidTr="0002442F">
        <w:tc>
          <w:tcPr>
            <w:tcW w:w="2142" w:type="pct"/>
            <w:vAlign w:val="bottom"/>
          </w:tcPr>
          <w:p w14:paraId="35A9C16C" w14:textId="6189F68A" w:rsidR="0002442F" w:rsidRPr="00FB38E1" w:rsidRDefault="0002442F" w:rsidP="001A20D2">
            <w:pPr>
              <w:jc w:val="left"/>
              <w:rPr>
                <w:rFonts w:ascii="Microsoft Sans Serif" w:hAnsi="Microsoft Sans Serif" w:cs="Microsoft Sans Serif"/>
                <w:i/>
                <w:color w:val="000000"/>
                <w:sz w:val="16"/>
                <w:szCs w:val="16"/>
              </w:rPr>
            </w:pPr>
            <w:r w:rsidRPr="00FB38E1">
              <w:rPr>
                <w:rFonts w:ascii="Microsoft Sans Serif" w:hAnsi="Microsoft Sans Serif" w:cs="Microsoft Sans Serif"/>
                <w:i/>
                <w:color w:val="000000"/>
                <w:sz w:val="16"/>
                <w:szCs w:val="16"/>
              </w:rPr>
              <w:t>Teminata verilen/bloke edilen</w:t>
            </w:r>
          </w:p>
        </w:tc>
        <w:tc>
          <w:tcPr>
            <w:tcW w:w="1409" w:type="pct"/>
            <w:gridSpan w:val="2"/>
            <w:tcBorders>
              <w:top w:val="thinThickSmallGap" w:sz="24" w:space="0" w:color="auto"/>
              <w:bottom w:val="single" w:sz="4" w:space="0" w:color="auto"/>
            </w:tcBorders>
            <w:vAlign w:val="bottom"/>
          </w:tcPr>
          <w:p w14:paraId="4C6E0B06" w14:textId="77777777" w:rsidR="0002442F" w:rsidRPr="00FB38E1" w:rsidRDefault="0002442F" w:rsidP="000A1D6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76024F65" w14:textId="57E924EC" w:rsidR="0002442F" w:rsidRPr="00FB38E1" w:rsidRDefault="0002442F" w:rsidP="000A1D6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02442F" w:rsidRPr="00FB38E1" w14:paraId="43E506FB" w14:textId="51ACC243" w:rsidTr="0002442F">
        <w:tc>
          <w:tcPr>
            <w:tcW w:w="2142" w:type="pct"/>
            <w:tcBorders>
              <w:bottom w:val="single" w:sz="4" w:space="0" w:color="auto"/>
            </w:tcBorders>
            <w:vAlign w:val="bottom"/>
          </w:tcPr>
          <w:p w14:paraId="011EB8C7" w14:textId="66476C5C" w:rsidR="0002442F" w:rsidRPr="00FB38E1" w:rsidRDefault="0002442F" w:rsidP="0002442F">
            <w:pPr>
              <w:jc w:val="left"/>
              <w:rPr>
                <w:rFonts w:ascii="Microsoft Sans Serif" w:hAnsi="Microsoft Sans Serif" w:cs="Microsoft Sans Serif"/>
                <w:i/>
                <w:color w:val="000000"/>
                <w:sz w:val="16"/>
                <w:szCs w:val="16"/>
              </w:rPr>
            </w:pPr>
            <w:r w:rsidRPr="00FB38E1">
              <w:rPr>
                <w:rFonts w:ascii="Microsoft Sans Serif" w:hAnsi="Microsoft Sans Serif" w:cs="Microsoft Sans Serif"/>
                <w:i/>
                <w:color w:val="000000"/>
                <w:sz w:val="16"/>
                <w:szCs w:val="16"/>
              </w:rPr>
              <w:t>Gerçeğe Uygun Değer Farkı Diğer Kapsamlı Gelire Yansıtılan Finansal Varlıklar</w:t>
            </w:r>
          </w:p>
        </w:tc>
        <w:tc>
          <w:tcPr>
            <w:tcW w:w="685" w:type="pct"/>
            <w:tcBorders>
              <w:top w:val="single" w:sz="4" w:space="0" w:color="auto"/>
              <w:bottom w:val="single" w:sz="4" w:space="0" w:color="auto"/>
            </w:tcBorders>
            <w:vAlign w:val="bottom"/>
          </w:tcPr>
          <w:p w14:paraId="12A35515" w14:textId="77777777" w:rsidR="0002442F" w:rsidRPr="00FB38E1" w:rsidRDefault="0002442F" w:rsidP="0002442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1F03AF3E" w14:textId="77777777" w:rsidR="0002442F" w:rsidRPr="00FB38E1" w:rsidRDefault="0002442F" w:rsidP="0002442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8B9B0AA" w14:textId="70BC95D1" w:rsidR="0002442F" w:rsidRPr="00FB38E1" w:rsidRDefault="0002442F" w:rsidP="0002442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6BA565D2" w14:textId="0DCC79A6" w:rsidR="0002442F" w:rsidRPr="00FB38E1" w:rsidRDefault="0002442F" w:rsidP="0002442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2A2DAA" w:rsidRPr="00FB38E1" w14:paraId="299894F8" w14:textId="43400F31" w:rsidTr="00B01B91">
        <w:trPr>
          <w:trHeight w:val="68"/>
        </w:trPr>
        <w:tc>
          <w:tcPr>
            <w:tcW w:w="2142" w:type="pct"/>
            <w:tcBorders>
              <w:top w:val="single" w:sz="4" w:space="0" w:color="auto"/>
              <w:bottom w:val="nil"/>
            </w:tcBorders>
            <w:vAlign w:val="bottom"/>
          </w:tcPr>
          <w:p w14:paraId="4449A64C"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Hisse Senetleri</w:t>
            </w:r>
          </w:p>
        </w:tc>
        <w:tc>
          <w:tcPr>
            <w:tcW w:w="685" w:type="pct"/>
            <w:tcBorders>
              <w:top w:val="single" w:sz="4" w:space="0" w:color="auto"/>
              <w:bottom w:val="nil"/>
            </w:tcBorders>
            <w:vAlign w:val="center"/>
          </w:tcPr>
          <w:p w14:paraId="587D86A7" w14:textId="68F3B14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62A394B9" w14:textId="7518720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6406F0D6" w14:textId="71B514C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single" w:sz="4" w:space="0" w:color="auto"/>
              <w:bottom w:val="nil"/>
            </w:tcBorders>
            <w:vAlign w:val="center"/>
          </w:tcPr>
          <w:p w14:paraId="0B93A5D8" w14:textId="4CE404F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07F1659D" w14:textId="3A4DF72E" w:rsidTr="00522DEA">
        <w:tc>
          <w:tcPr>
            <w:tcW w:w="2142" w:type="pct"/>
            <w:tcBorders>
              <w:top w:val="nil"/>
            </w:tcBorders>
            <w:vAlign w:val="bottom"/>
          </w:tcPr>
          <w:p w14:paraId="5D97C875"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Bono, Tahvil ve Benzeri Men. Değ.</w:t>
            </w:r>
          </w:p>
        </w:tc>
        <w:tc>
          <w:tcPr>
            <w:tcW w:w="685" w:type="pct"/>
            <w:tcBorders>
              <w:top w:val="nil"/>
            </w:tcBorders>
            <w:vAlign w:val="center"/>
          </w:tcPr>
          <w:p w14:paraId="22F20C98" w14:textId="0D7325A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5.998.925</w:t>
            </w:r>
          </w:p>
        </w:tc>
        <w:tc>
          <w:tcPr>
            <w:tcW w:w="724" w:type="pct"/>
            <w:tcBorders>
              <w:top w:val="nil"/>
            </w:tcBorders>
            <w:vAlign w:val="center"/>
          </w:tcPr>
          <w:p w14:paraId="3AD9DFC3" w14:textId="2C10ABF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41.210.765</w:t>
            </w:r>
          </w:p>
        </w:tc>
        <w:tc>
          <w:tcPr>
            <w:tcW w:w="724" w:type="pct"/>
            <w:tcBorders>
              <w:top w:val="nil"/>
            </w:tcBorders>
            <w:vAlign w:val="center"/>
          </w:tcPr>
          <w:p w14:paraId="61B629BC" w14:textId="06B264D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21.591.575</w:t>
            </w:r>
          </w:p>
        </w:tc>
        <w:tc>
          <w:tcPr>
            <w:tcW w:w="724" w:type="pct"/>
            <w:tcBorders>
              <w:top w:val="nil"/>
            </w:tcBorders>
            <w:vAlign w:val="center"/>
          </w:tcPr>
          <w:p w14:paraId="5C1083E4" w14:textId="5AADD08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3.795.309</w:t>
            </w:r>
          </w:p>
        </w:tc>
      </w:tr>
      <w:tr w:rsidR="002A2DAA" w:rsidRPr="00FB38E1" w14:paraId="16025EFD" w14:textId="00A0960D" w:rsidTr="00522DEA">
        <w:tc>
          <w:tcPr>
            <w:tcW w:w="2142" w:type="pct"/>
            <w:tcBorders>
              <w:bottom w:val="single" w:sz="4" w:space="0" w:color="auto"/>
            </w:tcBorders>
            <w:vAlign w:val="bottom"/>
          </w:tcPr>
          <w:p w14:paraId="52D3FFAA"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685" w:type="pct"/>
            <w:tcBorders>
              <w:bottom w:val="single" w:sz="4" w:space="0" w:color="auto"/>
            </w:tcBorders>
            <w:vAlign w:val="center"/>
          </w:tcPr>
          <w:p w14:paraId="2A040F7A" w14:textId="3AAE857A"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78D27251" w14:textId="3B83139C"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C6A60E7" w14:textId="07E1F1A6"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2BA92A7E" w14:textId="58FC559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4D6E65F5" w14:textId="13CFFF57" w:rsidTr="00983F6F">
        <w:tc>
          <w:tcPr>
            <w:tcW w:w="2142" w:type="pct"/>
            <w:tcBorders>
              <w:top w:val="single" w:sz="4" w:space="0" w:color="auto"/>
              <w:bottom w:val="thickThinSmallGap" w:sz="24" w:space="0" w:color="auto"/>
            </w:tcBorders>
            <w:vAlign w:val="bottom"/>
          </w:tcPr>
          <w:p w14:paraId="7402CB7A"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685" w:type="pct"/>
            <w:tcBorders>
              <w:top w:val="single" w:sz="4" w:space="0" w:color="auto"/>
              <w:bottom w:val="thickThinSmallGap" w:sz="24" w:space="0" w:color="auto"/>
            </w:tcBorders>
            <w:vAlign w:val="center"/>
          </w:tcPr>
          <w:p w14:paraId="2A44F0AC" w14:textId="0235A305" w:rsidR="002A2DAA" w:rsidRPr="00FB38E1" w:rsidRDefault="002A2DAA" w:rsidP="002A2DAA">
            <w:pPr>
              <w:jc w:val="right"/>
              <w:rPr>
                <w:rFonts w:ascii="Microsoft Sans Serif" w:hAnsi="Microsoft Sans Serif" w:cs="Microsoft Sans Serif"/>
                <w:bCs/>
                <w:sz w:val="16"/>
                <w:szCs w:val="16"/>
              </w:rPr>
            </w:pPr>
            <w:r w:rsidRPr="00FB38E1">
              <w:rPr>
                <w:rFonts w:ascii="Microsoft Sans Serif" w:hAnsi="Microsoft Sans Serif" w:cs="Microsoft Sans Serif"/>
                <w:b/>
                <w:bCs/>
                <w:sz w:val="16"/>
                <w:szCs w:val="16"/>
              </w:rPr>
              <w:t>5.998.925</w:t>
            </w:r>
          </w:p>
        </w:tc>
        <w:tc>
          <w:tcPr>
            <w:tcW w:w="724" w:type="pct"/>
            <w:tcBorders>
              <w:top w:val="single" w:sz="4" w:space="0" w:color="auto"/>
              <w:bottom w:val="thickThinSmallGap" w:sz="24" w:space="0" w:color="auto"/>
            </w:tcBorders>
            <w:vAlign w:val="center"/>
          </w:tcPr>
          <w:p w14:paraId="31D1B8F2" w14:textId="5DFFCDC2" w:rsidR="002A2DAA" w:rsidRPr="00FB38E1" w:rsidRDefault="002A2DAA" w:rsidP="002A2DAA">
            <w:pPr>
              <w:jc w:val="right"/>
              <w:rPr>
                <w:rFonts w:ascii="Microsoft Sans Serif" w:hAnsi="Microsoft Sans Serif" w:cs="Microsoft Sans Serif"/>
                <w:bCs/>
                <w:sz w:val="16"/>
                <w:szCs w:val="16"/>
              </w:rPr>
            </w:pPr>
            <w:r w:rsidRPr="00FB38E1">
              <w:rPr>
                <w:rFonts w:ascii="Microsoft Sans Serif" w:hAnsi="Microsoft Sans Serif" w:cs="Microsoft Sans Serif"/>
                <w:b/>
                <w:bCs/>
                <w:sz w:val="16"/>
                <w:szCs w:val="16"/>
              </w:rPr>
              <w:t>41.210.765</w:t>
            </w:r>
          </w:p>
        </w:tc>
        <w:tc>
          <w:tcPr>
            <w:tcW w:w="724" w:type="pct"/>
            <w:tcBorders>
              <w:top w:val="single" w:sz="4" w:space="0" w:color="auto"/>
              <w:bottom w:val="thickThinSmallGap" w:sz="24" w:space="0" w:color="auto"/>
            </w:tcBorders>
            <w:vAlign w:val="center"/>
          </w:tcPr>
          <w:p w14:paraId="3F3841FE" w14:textId="3FB2F4DE" w:rsidR="002A2DAA" w:rsidRPr="00FB38E1" w:rsidRDefault="002A2DAA" w:rsidP="002A2DAA">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21.591.575</w:t>
            </w:r>
          </w:p>
        </w:tc>
        <w:tc>
          <w:tcPr>
            <w:tcW w:w="724" w:type="pct"/>
            <w:tcBorders>
              <w:top w:val="single" w:sz="4" w:space="0" w:color="auto"/>
              <w:bottom w:val="thickThinSmallGap" w:sz="24" w:space="0" w:color="auto"/>
            </w:tcBorders>
            <w:vAlign w:val="center"/>
          </w:tcPr>
          <w:p w14:paraId="2D836A3C" w14:textId="032D6DBD" w:rsidR="002A2DAA" w:rsidRPr="00FB38E1" w:rsidRDefault="002A2DAA" w:rsidP="002A2DAA">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3.795.309</w:t>
            </w:r>
          </w:p>
        </w:tc>
      </w:tr>
    </w:tbl>
    <w:p w14:paraId="1F4A4C56" w14:textId="55333875" w:rsidR="004A5292" w:rsidRPr="00FB38E1" w:rsidRDefault="004A5292"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FB38E1">
        <w:rPr>
          <w:rFonts w:ascii="Microsoft Sans Serif" w:hAnsi="Microsoft Sans Serif" w:cs="Microsoft Sans Serif"/>
          <w:iCs/>
          <w:sz w:val="20"/>
          <w:szCs w:val="20"/>
          <w:lang w:val="pt-BR"/>
        </w:rPr>
        <w:t xml:space="preserve">Repo işlemlerine konu olan </w:t>
      </w:r>
      <w:r w:rsidR="00012178" w:rsidRPr="00FB38E1">
        <w:rPr>
          <w:rFonts w:ascii="Microsoft Sans Serif" w:hAnsi="Microsoft Sans Serif" w:cs="Microsoft Sans Serif"/>
          <w:sz w:val="20"/>
          <w:szCs w:val="20"/>
        </w:rPr>
        <w:t>gerçeğe uygun değer farkı diğer kapsamlı gelire yansıtılan</w:t>
      </w:r>
      <w:r w:rsidRPr="00FB38E1">
        <w:rPr>
          <w:rFonts w:ascii="Microsoft Sans Serif" w:hAnsi="Microsoft Sans Serif" w:cs="Microsoft Sans Serif"/>
          <w:iCs/>
          <w:sz w:val="20"/>
          <w:szCs w:val="20"/>
          <w:lang w:val="pt-BR"/>
        </w:rPr>
        <w:t xml:space="preserve"> finansal varlıklar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30"/>
        <w:gridCol w:w="1321"/>
        <w:gridCol w:w="1396"/>
        <w:gridCol w:w="1396"/>
        <w:gridCol w:w="1396"/>
      </w:tblGrid>
      <w:tr w:rsidR="000E63D1" w:rsidRPr="00FB38E1" w14:paraId="0C03BD1D" w14:textId="3C6AFA8F" w:rsidTr="000E63D1">
        <w:tc>
          <w:tcPr>
            <w:tcW w:w="2142" w:type="pct"/>
            <w:vAlign w:val="bottom"/>
          </w:tcPr>
          <w:p w14:paraId="005F4681" w14:textId="337287DE" w:rsidR="000E63D1" w:rsidRPr="00FB38E1" w:rsidRDefault="000E63D1" w:rsidP="001A20D2">
            <w:pPr>
              <w:jc w:val="left"/>
              <w:rPr>
                <w:rFonts w:ascii="Microsoft Sans Serif" w:hAnsi="Microsoft Sans Serif" w:cs="Microsoft Sans Serif"/>
                <w:i/>
                <w:color w:val="000000"/>
                <w:sz w:val="16"/>
                <w:szCs w:val="16"/>
              </w:rPr>
            </w:pPr>
            <w:r w:rsidRPr="00FB38E1">
              <w:rPr>
                <w:rFonts w:ascii="Microsoft Sans Serif" w:hAnsi="Microsoft Sans Serif" w:cs="Microsoft Sans Serif"/>
                <w:i/>
                <w:color w:val="000000"/>
                <w:sz w:val="16"/>
                <w:szCs w:val="16"/>
              </w:rPr>
              <w:t>Repo işlemlerine konu olan</w:t>
            </w:r>
          </w:p>
        </w:tc>
        <w:tc>
          <w:tcPr>
            <w:tcW w:w="1409" w:type="pct"/>
            <w:gridSpan w:val="2"/>
            <w:tcBorders>
              <w:top w:val="thinThickSmallGap" w:sz="24" w:space="0" w:color="auto"/>
              <w:bottom w:val="single" w:sz="4" w:space="0" w:color="auto"/>
            </w:tcBorders>
            <w:vAlign w:val="bottom"/>
          </w:tcPr>
          <w:p w14:paraId="62206C5F" w14:textId="77777777" w:rsidR="000E63D1" w:rsidRPr="00FB38E1" w:rsidRDefault="000E63D1" w:rsidP="000A1D6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6F1B0302" w14:textId="154E6B82" w:rsidR="000E63D1" w:rsidRPr="00FB38E1" w:rsidRDefault="000E63D1" w:rsidP="000A1D6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0E63D1" w:rsidRPr="00FB38E1" w14:paraId="5CDA53C2" w14:textId="7A4F535E" w:rsidTr="000E63D1">
        <w:tc>
          <w:tcPr>
            <w:tcW w:w="2142" w:type="pct"/>
            <w:tcBorders>
              <w:bottom w:val="single" w:sz="4" w:space="0" w:color="auto"/>
            </w:tcBorders>
            <w:vAlign w:val="bottom"/>
          </w:tcPr>
          <w:p w14:paraId="067ABF81" w14:textId="1D891EB3" w:rsidR="000E63D1" w:rsidRPr="00FB38E1" w:rsidRDefault="000E63D1" w:rsidP="000E63D1">
            <w:pPr>
              <w:jc w:val="left"/>
              <w:rPr>
                <w:rFonts w:ascii="Microsoft Sans Serif" w:hAnsi="Microsoft Sans Serif" w:cs="Microsoft Sans Serif"/>
                <w:i/>
                <w:color w:val="000000"/>
                <w:sz w:val="16"/>
                <w:szCs w:val="16"/>
              </w:rPr>
            </w:pPr>
            <w:r w:rsidRPr="00FB38E1">
              <w:rPr>
                <w:rFonts w:ascii="Microsoft Sans Serif" w:hAnsi="Microsoft Sans Serif" w:cs="Microsoft Sans Serif"/>
                <w:i/>
                <w:color w:val="000000"/>
                <w:sz w:val="16"/>
                <w:szCs w:val="16"/>
              </w:rPr>
              <w:t>Gerçeğe Uygun Değer Farkı Diğer Kapsamlı Gelire Yansıtılan Finansal Varlıklar </w:t>
            </w:r>
          </w:p>
        </w:tc>
        <w:tc>
          <w:tcPr>
            <w:tcW w:w="685" w:type="pct"/>
            <w:tcBorders>
              <w:top w:val="single" w:sz="4" w:space="0" w:color="auto"/>
              <w:bottom w:val="single" w:sz="4" w:space="0" w:color="auto"/>
            </w:tcBorders>
            <w:vAlign w:val="bottom"/>
          </w:tcPr>
          <w:p w14:paraId="2E1173A8" w14:textId="77777777" w:rsidR="000E63D1" w:rsidRPr="00FB38E1" w:rsidRDefault="000E63D1" w:rsidP="000E63D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6E8ECBEB" w14:textId="77777777" w:rsidR="000E63D1" w:rsidRPr="00FB38E1" w:rsidRDefault="000E63D1" w:rsidP="000E63D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724" w:type="pct"/>
            <w:tcBorders>
              <w:top w:val="single" w:sz="4" w:space="0" w:color="auto"/>
              <w:bottom w:val="single" w:sz="4" w:space="0" w:color="auto"/>
            </w:tcBorders>
            <w:vAlign w:val="bottom"/>
          </w:tcPr>
          <w:p w14:paraId="0BDAE567" w14:textId="7E977740" w:rsidR="000E63D1" w:rsidRPr="00FB38E1" w:rsidRDefault="000E63D1" w:rsidP="000E63D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24" w:type="pct"/>
            <w:tcBorders>
              <w:top w:val="single" w:sz="4" w:space="0" w:color="auto"/>
              <w:bottom w:val="single" w:sz="4" w:space="0" w:color="auto"/>
            </w:tcBorders>
            <w:vAlign w:val="bottom"/>
          </w:tcPr>
          <w:p w14:paraId="503E2FDD" w14:textId="13C6C425" w:rsidR="000E63D1" w:rsidRPr="00FB38E1" w:rsidRDefault="000E63D1" w:rsidP="000E63D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2A2DAA" w:rsidRPr="00FB38E1" w14:paraId="31AC3E5C" w14:textId="7CBF0EB8" w:rsidTr="00983F6F">
        <w:tc>
          <w:tcPr>
            <w:tcW w:w="2142" w:type="pct"/>
            <w:tcBorders>
              <w:top w:val="single" w:sz="4" w:space="0" w:color="auto"/>
              <w:bottom w:val="nil"/>
            </w:tcBorders>
            <w:vAlign w:val="bottom"/>
          </w:tcPr>
          <w:p w14:paraId="3ECC1B09"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Devlet Tahvili</w:t>
            </w:r>
          </w:p>
        </w:tc>
        <w:tc>
          <w:tcPr>
            <w:tcW w:w="685" w:type="pct"/>
            <w:tcBorders>
              <w:top w:val="single" w:sz="4" w:space="0" w:color="auto"/>
              <w:bottom w:val="nil"/>
            </w:tcBorders>
            <w:vAlign w:val="center"/>
          </w:tcPr>
          <w:p w14:paraId="3735EEC7" w14:textId="3969CB5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8.278.123</w:t>
            </w:r>
          </w:p>
        </w:tc>
        <w:tc>
          <w:tcPr>
            <w:tcW w:w="724" w:type="pct"/>
            <w:tcBorders>
              <w:top w:val="single" w:sz="4" w:space="0" w:color="auto"/>
              <w:bottom w:val="nil"/>
            </w:tcBorders>
            <w:vAlign w:val="center"/>
          </w:tcPr>
          <w:p w14:paraId="2B161F36" w14:textId="79CBC67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22.200.340</w:t>
            </w:r>
          </w:p>
        </w:tc>
        <w:tc>
          <w:tcPr>
            <w:tcW w:w="724" w:type="pct"/>
            <w:tcBorders>
              <w:top w:val="single" w:sz="4" w:space="0" w:color="auto"/>
              <w:bottom w:val="nil"/>
            </w:tcBorders>
            <w:vAlign w:val="center"/>
          </w:tcPr>
          <w:p w14:paraId="6947E87F" w14:textId="39A72FC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4.685.417</w:t>
            </w:r>
          </w:p>
        </w:tc>
        <w:tc>
          <w:tcPr>
            <w:tcW w:w="724" w:type="pct"/>
            <w:tcBorders>
              <w:top w:val="single" w:sz="4" w:space="0" w:color="auto"/>
              <w:bottom w:val="nil"/>
            </w:tcBorders>
            <w:vAlign w:val="center"/>
          </w:tcPr>
          <w:p w14:paraId="48A49617" w14:textId="30B8ABF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47.972.863</w:t>
            </w:r>
          </w:p>
        </w:tc>
      </w:tr>
      <w:tr w:rsidR="002A2DAA" w:rsidRPr="00FB38E1" w14:paraId="08ADE89C" w14:textId="6D1EC3E6" w:rsidTr="00983F6F">
        <w:tc>
          <w:tcPr>
            <w:tcW w:w="2142" w:type="pct"/>
            <w:tcBorders>
              <w:top w:val="nil"/>
            </w:tcBorders>
            <w:vAlign w:val="bottom"/>
          </w:tcPr>
          <w:p w14:paraId="37E10B11"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Hazine Bonosu</w:t>
            </w:r>
          </w:p>
        </w:tc>
        <w:tc>
          <w:tcPr>
            <w:tcW w:w="685" w:type="pct"/>
            <w:tcBorders>
              <w:top w:val="nil"/>
            </w:tcBorders>
            <w:vAlign w:val="center"/>
          </w:tcPr>
          <w:p w14:paraId="4F725521" w14:textId="6CFA781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7038B78A" w14:textId="11123DBE"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0A7C9B64" w14:textId="0DB8D0D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504E3CB3" w14:textId="706B5E1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335B7D19" w14:textId="647B7977" w:rsidTr="00983F6F">
        <w:tc>
          <w:tcPr>
            <w:tcW w:w="2142" w:type="pct"/>
            <w:tcBorders>
              <w:top w:val="nil"/>
            </w:tcBorders>
            <w:vAlign w:val="bottom"/>
          </w:tcPr>
          <w:p w14:paraId="12C16B70"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Borçlanma Senetleri</w:t>
            </w:r>
          </w:p>
        </w:tc>
        <w:tc>
          <w:tcPr>
            <w:tcW w:w="685" w:type="pct"/>
            <w:tcBorders>
              <w:top w:val="nil"/>
            </w:tcBorders>
            <w:vAlign w:val="center"/>
          </w:tcPr>
          <w:p w14:paraId="21435519" w14:textId="79BDE13A"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2F245668" w14:textId="4B4F492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6F2E39DE" w14:textId="6085695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6FEFAD48" w14:textId="6C86CC0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3083234F" w14:textId="58D7A84D" w:rsidTr="00983F6F">
        <w:tc>
          <w:tcPr>
            <w:tcW w:w="2142" w:type="pct"/>
            <w:tcBorders>
              <w:top w:val="nil"/>
            </w:tcBorders>
            <w:vAlign w:val="bottom"/>
          </w:tcPr>
          <w:p w14:paraId="57DB0777"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 Bonoları ve Banka Garantili Bonolar</w:t>
            </w:r>
          </w:p>
        </w:tc>
        <w:tc>
          <w:tcPr>
            <w:tcW w:w="685" w:type="pct"/>
            <w:tcBorders>
              <w:top w:val="nil"/>
            </w:tcBorders>
            <w:vAlign w:val="center"/>
          </w:tcPr>
          <w:p w14:paraId="08BA42D7" w14:textId="062AAA66"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6CA2E714" w14:textId="4A1C88E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4A32006D" w14:textId="7E4B3CB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646089A2" w14:textId="76020C4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0F6B39CA" w14:textId="668CE8C3" w:rsidTr="00983F6F">
        <w:tc>
          <w:tcPr>
            <w:tcW w:w="2142" w:type="pct"/>
            <w:tcBorders>
              <w:top w:val="nil"/>
            </w:tcBorders>
            <w:vAlign w:val="bottom"/>
          </w:tcPr>
          <w:p w14:paraId="31EE5781"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Varlığa Dayalı Menkul Kıymetler</w:t>
            </w:r>
          </w:p>
        </w:tc>
        <w:tc>
          <w:tcPr>
            <w:tcW w:w="685" w:type="pct"/>
            <w:tcBorders>
              <w:top w:val="nil"/>
            </w:tcBorders>
            <w:vAlign w:val="center"/>
          </w:tcPr>
          <w:p w14:paraId="1F9FC67C" w14:textId="4E995D9A"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4F8E359F" w14:textId="2061E43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761BC009" w14:textId="155E355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46CA63AC" w14:textId="2FF5DA0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5AE2EE79" w14:textId="5D5E875D" w:rsidTr="00983F6F">
        <w:tc>
          <w:tcPr>
            <w:tcW w:w="2142" w:type="pct"/>
            <w:tcBorders>
              <w:bottom w:val="single" w:sz="4" w:space="0" w:color="auto"/>
            </w:tcBorders>
            <w:vAlign w:val="bottom"/>
          </w:tcPr>
          <w:p w14:paraId="1F94A3AC"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685" w:type="pct"/>
            <w:tcBorders>
              <w:bottom w:val="single" w:sz="4" w:space="0" w:color="auto"/>
            </w:tcBorders>
            <w:vAlign w:val="center"/>
          </w:tcPr>
          <w:p w14:paraId="2457B42F" w14:textId="631915D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53A8397A" w14:textId="0D0E44B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08A7CD9F" w14:textId="5A8397D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bottom w:val="single" w:sz="4" w:space="0" w:color="auto"/>
            </w:tcBorders>
            <w:vAlign w:val="center"/>
          </w:tcPr>
          <w:p w14:paraId="0E7BD860" w14:textId="6C07E07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46BF580F" w14:textId="40288955" w:rsidTr="00983F6F">
        <w:tc>
          <w:tcPr>
            <w:tcW w:w="2142" w:type="pct"/>
            <w:tcBorders>
              <w:top w:val="single" w:sz="4" w:space="0" w:color="auto"/>
              <w:bottom w:val="thickThinSmallGap" w:sz="24" w:space="0" w:color="auto"/>
            </w:tcBorders>
            <w:vAlign w:val="bottom"/>
          </w:tcPr>
          <w:p w14:paraId="4EE38DAB"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685" w:type="pct"/>
            <w:tcBorders>
              <w:top w:val="single" w:sz="4" w:space="0" w:color="auto"/>
              <w:bottom w:val="thickThinSmallGap" w:sz="24" w:space="0" w:color="auto"/>
            </w:tcBorders>
            <w:vAlign w:val="center"/>
          </w:tcPr>
          <w:p w14:paraId="0ABEC0AD" w14:textId="720B2C92"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8.278.123</w:t>
            </w:r>
          </w:p>
        </w:tc>
        <w:tc>
          <w:tcPr>
            <w:tcW w:w="724" w:type="pct"/>
            <w:tcBorders>
              <w:top w:val="single" w:sz="4" w:space="0" w:color="auto"/>
              <w:bottom w:val="thickThinSmallGap" w:sz="24" w:space="0" w:color="auto"/>
            </w:tcBorders>
            <w:vAlign w:val="center"/>
          </w:tcPr>
          <w:p w14:paraId="52F2615F" w14:textId="3F0B0C1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22.200.340</w:t>
            </w:r>
          </w:p>
        </w:tc>
        <w:tc>
          <w:tcPr>
            <w:tcW w:w="724" w:type="pct"/>
            <w:tcBorders>
              <w:top w:val="single" w:sz="4" w:space="0" w:color="auto"/>
              <w:bottom w:val="thickThinSmallGap" w:sz="24" w:space="0" w:color="auto"/>
            </w:tcBorders>
            <w:vAlign w:val="center"/>
          </w:tcPr>
          <w:p w14:paraId="05F0C527" w14:textId="61041D1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4.685.417</w:t>
            </w:r>
          </w:p>
        </w:tc>
        <w:tc>
          <w:tcPr>
            <w:tcW w:w="724" w:type="pct"/>
            <w:tcBorders>
              <w:top w:val="single" w:sz="4" w:space="0" w:color="auto"/>
              <w:bottom w:val="thickThinSmallGap" w:sz="24" w:space="0" w:color="auto"/>
            </w:tcBorders>
            <w:vAlign w:val="center"/>
          </w:tcPr>
          <w:p w14:paraId="6E294D08" w14:textId="2305937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47.972.863</w:t>
            </w:r>
          </w:p>
        </w:tc>
      </w:tr>
    </w:tbl>
    <w:p w14:paraId="35A21EC7" w14:textId="10B59412" w:rsidR="004A5292" w:rsidRPr="00FB38E1" w:rsidRDefault="00012178" w:rsidP="00076C9E">
      <w:pPr>
        <w:pStyle w:val="BASLIK2"/>
        <w:widowControl/>
        <w:numPr>
          <w:ilvl w:val="0"/>
          <w:numId w:val="20"/>
        </w:numPr>
        <w:spacing w:line="240" w:lineRule="exact"/>
        <w:ind w:left="0" w:hanging="425"/>
        <w:rPr>
          <w:rFonts w:ascii="Microsoft Sans Serif" w:hAnsi="Microsoft Sans Serif" w:cs="Microsoft Sans Serif"/>
          <w:iCs/>
          <w:sz w:val="20"/>
          <w:szCs w:val="20"/>
          <w:lang w:val="pt-BR"/>
        </w:rPr>
      </w:pPr>
      <w:r w:rsidRPr="00FB38E1">
        <w:rPr>
          <w:rFonts w:ascii="Microsoft Sans Serif" w:hAnsi="Microsoft Sans Serif" w:cs="Microsoft Sans Serif"/>
          <w:sz w:val="20"/>
          <w:szCs w:val="20"/>
        </w:rPr>
        <w:t>Gerçeğe uygun değer farkı diğer kapsamlı gelire yansıtılan</w:t>
      </w:r>
      <w:r w:rsidR="004A5292" w:rsidRPr="00FB38E1">
        <w:rPr>
          <w:rFonts w:ascii="Microsoft Sans Serif" w:hAnsi="Microsoft Sans Serif" w:cs="Microsoft Sans Serif"/>
          <w:iCs/>
          <w:sz w:val="20"/>
          <w:szCs w:val="20"/>
          <w:lang w:val="pt-BR"/>
        </w:rPr>
        <w:t xml:space="preserve"> finansal varlıklara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671"/>
        <w:gridCol w:w="1484"/>
        <w:gridCol w:w="1484"/>
      </w:tblGrid>
      <w:tr w:rsidR="000E63D1" w:rsidRPr="00FB38E1" w14:paraId="05F0A089" w14:textId="077AB1C3" w:rsidTr="000E63D1">
        <w:tc>
          <w:tcPr>
            <w:tcW w:w="3460" w:type="pct"/>
            <w:tcBorders>
              <w:top w:val="thinThickSmallGap" w:sz="24" w:space="0" w:color="auto"/>
              <w:bottom w:val="single" w:sz="4" w:space="0" w:color="auto"/>
            </w:tcBorders>
            <w:vAlign w:val="center"/>
          </w:tcPr>
          <w:p w14:paraId="27837E47" w14:textId="691E8661" w:rsidR="000E63D1" w:rsidRPr="00FB38E1" w:rsidRDefault="000E63D1" w:rsidP="008824CA">
            <w:pPr>
              <w:jc w:val="left"/>
              <w:rPr>
                <w:rFonts w:ascii="Microsoft Sans Serif" w:hAnsi="Microsoft Sans Serif" w:cs="Microsoft Sans Serif"/>
                <w:i/>
                <w:color w:val="000000"/>
                <w:sz w:val="16"/>
                <w:szCs w:val="16"/>
              </w:rPr>
            </w:pPr>
            <w:r w:rsidRPr="00FB38E1">
              <w:rPr>
                <w:rFonts w:ascii="Microsoft Sans Serif" w:hAnsi="Microsoft Sans Serif" w:cs="Microsoft Sans Serif"/>
                <w:i/>
                <w:color w:val="000000"/>
                <w:sz w:val="16"/>
                <w:szCs w:val="16"/>
              </w:rPr>
              <w:t>Gerçeğe Uygun Değer Farkı Diğer Kapsamlı Gelire Yansıtılan Finansal Varlıklar  </w:t>
            </w:r>
          </w:p>
        </w:tc>
        <w:tc>
          <w:tcPr>
            <w:tcW w:w="770" w:type="pct"/>
            <w:tcBorders>
              <w:top w:val="thinThickSmallGap" w:sz="24" w:space="0" w:color="auto"/>
              <w:bottom w:val="single" w:sz="4" w:space="0" w:color="auto"/>
            </w:tcBorders>
            <w:vAlign w:val="center"/>
          </w:tcPr>
          <w:p w14:paraId="7A90364B" w14:textId="77777777" w:rsidR="000E63D1" w:rsidRPr="00FB38E1" w:rsidRDefault="000E63D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770" w:type="pct"/>
            <w:tcBorders>
              <w:top w:val="thinThickSmallGap" w:sz="24" w:space="0" w:color="auto"/>
              <w:bottom w:val="single" w:sz="4" w:space="0" w:color="auto"/>
            </w:tcBorders>
          </w:tcPr>
          <w:p w14:paraId="09022A55" w14:textId="6544B4B5" w:rsidR="000E63D1" w:rsidRPr="00FB38E1" w:rsidRDefault="00200A0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196DBB" w:rsidRPr="00FB38E1" w14:paraId="019C8773" w14:textId="331EC3F7" w:rsidTr="00983F6F">
        <w:tc>
          <w:tcPr>
            <w:tcW w:w="3460" w:type="pct"/>
            <w:tcBorders>
              <w:top w:val="single" w:sz="4" w:space="0" w:color="auto"/>
            </w:tcBorders>
            <w:vAlign w:val="center"/>
          </w:tcPr>
          <w:p w14:paraId="7B4B59AB" w14:textId="77777777" w:rsidR="00196DBB" w:rsidRPr="00FB38E1" w:rsidRDefault="00196DBB" w:rsidP="00196DBB">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Borçlanma Senetleri</w:t>
            </w:r>
          </w:p>
        </w:tc>
        <w:tc>
          <w:tcPr>
            <w:tcW w:w="770" w:type="pct"/>
            <w:tcBorders>
              <w:top w:val="single" w:sz="4" w:space="0" w:color="auto"/>
            </w:tcBorders>
            <w:vAlign w:val="center"/>
          </w:tcPr>
          <w:p w14:paraId="14BBF447" w14:textId="3EA7632F" w:rsidR="00196DBB" w:rsidRPr="00FB38E1" w:rsidRDefault="00196DBB" w:rsidP="00196DBB">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109.189.165</w:t>
            </w:r>
          </w:p>
        </w:tc>
        <w:tc>
          <w:tcPr>
            <w:tcW w:w="770" w:type="pct"/>
            <w:tcBorders>
              <w:top w:val="single" w:sz="4" w:space="0" w:color="auto"/>
            </w:tcBorders>
            <w:vAlign w:val="center"/>
          </w:tcPr>
          <w:p w14:paraId="3E50A057" w14:textId="43B10D0D" w:rsidR="00196DBB" w:rsidRPr="00FB38E1" w:rsidRDefault="00196DBB" w:rsidP="00196DBB">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87.420.221</w:t>
            </w:r>
          </w:p>
        </w:tc>
      </w:tr>
      <w:tr w:rsidR="00196DBB" w:rsidRPr="00FB38E1" w14:paraId="109EDA42" w14:textId="3623F9A1" w:rsidTr="00983F6F">
        <w:tc>
          <w:tcPr>
            <w:tcW w:w="3460" w:type="pct"/>
            <w:vAlign w:val="center"/>
          </w:tcPr>
          <w:p w14:paraId="6D04E545" w14:textId="3DF7995C" w:rsidR="00196DBB" w:rsidRPr="00FB38E1" w:rsidRDefault="00196DBB" w:rsidP="00196DBB">
            <w:pPr>
              <w:ind w:firstLineChars="200" w:firstLine="32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Borsada İşlem Gören (*)</w:t>
            </w:r>
          </w:p>
        </w:tc>
        <w:tc>
          <w:tcPr>
            <w:tcW w:w="770" w:type="pct"/>
            <w:vAlign w:val="center"/>
          </w:tcPr>
          <w:p w14:paraId="6FDC857F" w14:textId="05E468FB" w:rsidR="00196DBB" w:rsidRPr="00FB38E1" w:rsidRDefault="00196DBB" w:rsidP="00196DB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109.189.165</w:t>
            </w:r>
          </w:p>
        </w:tc>
        <w:tc>
          <w:tcPr>
            <w:tcW w:w="770" w:type="pct"/>
            <w:vAlign w:val="center"/>
          </w:tcPr>
          <w:p w14:paraId="1D2C6F08" w14:textId="326C4B38" w:rsidR="00196DBB" w:rsidRPr="00FB38E1" w:rsidRDefault="00196DBB" w:rsidP="00196DB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87.420.221</w:t>
            </w:r>
          </w:p>
        </w:tc>
      </w:tr>
      <w:tr w:rsidR="00196DBB" w:rsidRPr="00FB38E1" w14:paraId="5C5F086E" w14:textId="4CAC3BB4" w:rsidTr="00983F6F">
        <w:tc>
          <w:tcPr>
            <w:tcW w:w="3460" w:type="pct"/>
            <w:vAlign w:val="center"/>
          </w:tcPr>
          <w:p w14:paraId="3927C88E" w14:textId="77777777" w:rsidR="00196DBB" w:rsidRPr="00FB38E1" w:rsidRDefault="00196DBB" w:rsidP="00196DBB">
            <w:pPr>
              <w:ind w:firstLineChars="200" w:firstLine="32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Borsada İşlem Görmeyen </w:t>
            </w:r>
          </w:p>
        </w:tc>
        <w:tc>
          <w:tcPr>
            <w:tcW w:w="770" w:type="pct"/>
            <w:vAlign w:val="center"/>
          </w:tcPr>
          <w:p w14:paraId="4645BA5D" w14:textId="21DF1736" w:rsidR="00196DBB" w:rsidRPr="00FB38E1" w:rsidRDefault="00196DBB" w:rsidP="00196DB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0" w:type="pct"/>
            <w:vAlign w:val="center"/>
          </w:tcPr>
          <w:p w14:paraId="067B5245" w14:textId="13E1B9BD" w:rsidR="00196DBB" w:rsidRPr="00FB38E1" w:rsidRDefault="00196DBB" w:rsidP="00196DB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196DBB" w:rsidRPr="00FB38E1" w14:paraId="1AA264EC" w14:textId="440FC76E" w:rsidTr="00983F6F">
        <w:tc>
          <w:tcPr>
            <w:tcW w:w="3460" w:type="pct"/>
            <w:vAlign w:val="center"/>
          </w:tcPr>
          <w:p w14:paraId="44D359F9" w14:textId="77777777" w:rsidR="00196DBB" w:rsidRPr="00FB38E1" w:rsidRDefault="00196DBB" w:rsidP="00196DBB">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Hisse Senetleri</w:t>
            </w:r>
          </w:p>
        </w:tc>
        <w:tc>
          <w:tcPr>
            <w:tcW w:w="770" w:type="pct"/>
            <w:vAlign w:val="center"/>
          </w:tcPr>
          <w:p w14:paraId="7B2F8284" w14:textId="7D3A7482" w:rsidR="00196DBB" w:rsidRPr="00FB38E1" w:rsidRDefault="00196DBB" w:rsidP="00196DBB">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960</w:t>
            </w:r>
          </w:p>
        </w:tc>
        <w:tc>
          <w:tcPr>
            <w:tcW w:w="770" w:type="pct"/>
            <w:vAlign w:val="center"/>
          </w:tcPr>
          <w:p w14:paraId="2C62A0CD" w14:textId="59A97401" w:rsidR="00196DBB" w:rsidRPr="00FB38E1" w:rsidRDefault="00196DBB" w:rsidP="00196DBB">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960</w:t>
            </w:r>
          </w:p>
        </w:tc>
      </w:tr>
      <w:tr w:rsidR="00196DBB" w:rsidRPr="00FB38E1" w14:paraId="307D54AE" w14:textId="5EBFAA25" w:rsidTr="00983F6F">
        <w:tc>
          <w:tcPr>
            <w:tcW w:w="3460" w:type="pct"/>
            <w:vAlign w:val="center"/>
          </w:tcPr>
          <w:p w14:paraId="630670AC" w14:textId="77777777" w:rsidR="00196DBB" w:rsidRPr="00FB38E1" w:rsidRDefault="00196DBB" w:rsidP="00196DBB">
            <w:pPr>
              <w:ind w:firstLineChars="200" w:firstLine="32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Borsada İşlem Gören</w:t>
            </w:r>
          </w:p>
        </w:tc>
        <w:tc>
          <w:tcPr>
            <w:tcW w:w="770" w:type="pct"/>
            <w:vAlign w:val="center"/>
          </w:tcPr>
          <w:p w14:paraId="091D6681" w14:textId="4D5C203A" w:rsidR="00196DBB" w:rsidRPr="00FB38E1" w:rsidRDefault="00196DBB" w:rsidP="00196DB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70" w:type="pct"/>
            <w:vAlign w:val="center"/>
          </w:tcPr>
          <w:p w14:paraId="79EF26D4" w14:textId="6C914D20" w:rsidR="00196DBB" w:rsidRPr="00FB38E1" w:rsidRDefault="00196DBB" w:rsidP="00196DB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196DBB" w:rsidRPr="00FB38E1" w14:paraId="10107E13" w14:textId="66B1879A" w:rsidTr="00ED442B">
        <w:tc>
          <w:tcPr>
            <w:tcW w:w="3460" w:type="pct"/>
            <w:shd w:val="clear" w:color="auto" w:fill="auto"/>
            <w:vAlign w:val="center"/>
          </w:tcPr>
          <w:p w14:paraId="5326613D" w14:textId="15B96E05" w:rsidR="00196DBB" w:rsidRPr="00FB38E1" w:rsidRDefault="00196DBB" w:rsidP="00196DBB">
            <w:pPr>
              <w:ind w:firstLineChars="200" w:firstLine="32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Borsada İşlem Görmeyen</w:t>
            </w:r>
          </w:p>
        </w:tc>
        <w:tc>
          <w:tcPr>
            <w:tcW w:w="770" w:type="pct"/>
            <w:shd w:val="clear" w:color="auto" w:fill="auto"/>
            <w:vAlign w:val="bottom"/>
          </w:tcPr>
          <w:p w14:paraId="026D4CB0" w14:textId="45CD1A4F" w:rsidR="00196DBB" w:rsidRPr="00FB38E1" w:rsidRDefault="00196DBB" w:rsidP="00196DB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960</w:t>
            </w:r>
          </w:p>
        </w:tc>
        <w:tc>
          <w:tcPr>
            <w:tcW w:w="770" w:type="pct"/>
            <w:shd w:val="clear" w:color="auto" w:fill="auto"/>
            <w:vAlign w:val="bottom"/>
          </w:tcPr>
          <w:p w14:paraId="43AC1110" w14:textId="09246841" w:rsidR="00196DBB" w:rsidRPr="00FB38E1" w:rsidRDefault="00196DBB" w:rsidP="00196DB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960</w:t>
            </w:r>
          </w:p>
        </w:tc>
      </w:tr>
      <w:tr w:rsidR="00196DBB" w:rsidRPr="00FB38E1" w14:paraId="3B131DF3" w14:textId="3B175ECA" w:rsidTr="00983F6F">
        <w:tc>
          <w:tcPr>
            <w:tcW w:w="3460" w:type="pct"/>
            <w:tcBorders>
              <w:bottom w:val="single" w:sz="4" w:space="0" w:color="auto"/>
            </w:tcBorders>
            <w:vAlign w:val="center"/>
          </w:tcPr>
          <w:p w14:paraId="63C16974" w14:textId="77777777" w:rsidR="00196DBB" w:rsidRPr="00FB38E1" w:rsidRDefault="00196DBB" w:rsidP="00196DBB">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Değer Azalma Karşılığı (-) </w:t>
            </w:r>
          </w:p>
        </w:tc>
        <w:tc>
          <w:tcPr>
            <w:tcW w:w="770" w:type="pct"/>
            <w:tcBorders>
              <w:bottom w:val="single" w:sz="4" w:space="0" w:color="auto"/>
            </w:tcBorders>
            <w:vAlign w:val="center"/>
          </w:tcPr>
          <w:p w14:paraId="0DF77D15" w14:textId="3B7DD070" w:rsidR="00196DBB" w:rsidRPr="00FB38E1" w:rsidRDefault="00196DBB" w:rsidP="00196DBB">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770" w:type="pct"/>
            <w:tcBorders>
              <w:bottom w:val="single" w:sz="4" w:space="0" w:color="auto"/>
            </w:tcBorders>
            <w:vAlign w:val="center"/>
          </w:tcPr>
          <w:p w14:paraId="0A9C4C45" w14:textId="6B69AF66" w:rsidR="00196DBB" w:rsidRPr="00FB38E1" w:rsidRDefault="00196DBB" w:rsidP="00196DBB">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196DBB" w:rsidRPr="00FB38E1" w14:paraId="3993EAAE" w14:textId="2926A139" w:rsidTr="00983F6F">
        <w:tc>
          <w:tcPr>
            <w:tcW w:w="3460" w:type="pct"/>
            <w:tcBorders>
              <w:top w:val="single" w:sz="4" w:space="0" w:color="auto"/>
              <w:bottom w:val="thickThinSmallGap" w:sz="24" w:space="0" w:color="auto"/>
            </w:tcBorders>
            <w:vAlign w:val="center"/>
          </w:tcPr>
          <w:p w14:paraId="6770B48A" w14:textId="77777777" w:rsidR="00196DBB" w:rsidRPr="00FB38E1" w:rsidRDefault="00196DBB" w:rsidP="00196DBB">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70" w:type="pct"/>
            <w:tcBorders>
              <w:top w:val="single" w:sz="4" w:space="0" w:color="auto"/>
              <w:bottom w:val="thickThinSmallGap" w:sz="24" w:space="0" w:color="auto"/>
            </w:tcBorders>
            <w:vAlign w:val="center"/>
          </w:tcPr>
          <w:p w14:paraId="69CAF3FD" w14:textId="2CBA24FC" w:rsidR="00196DBB" w:rsidRPr="00FB38E1" w:rsidRDefault="00196DBB" w:rsidP="00196DBB">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109.190.125</w:t>
            </w:r>
          </w:p>
        </w:tc>
        <w:tc>
          <w:tcPr>
            <w:tcW w:w="770" w:type="pct"/>
            <w:tcBorders>
              <w:top w:val="single" w:sz="4" w:space="0" w:color="auto"/>
              <w:bottom w:val="thickThinSmallGap" w:sz="24" w:space="0" w:color="auto"/>
            </w:tcBorders>
            <w:vAlign w:val="center"/>
          </w:tcPr>
          <w:p w14:paraId="4A03DD5A" w14:textId="11EB1DF9" w:rsidR="00196DBB" w:rsidRPr="00FB38E1" w:rsidRDefault="00196DBB" w:rsidP="00196DBB">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87.421.181</w:t>
            </w:r>
          </w:p>
        </w:tc>
      </w:tr>
    </w:tbl>
    <w:p w14:paraId="42652520" w14:textId="1295F20E" w:rsidR="000E7273" w:rsidRPr="00FB38E1" w:rsidRDefault="00DC5654" w:rsidP="007C0607">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 xml:space="preserve">(*) </w:t>
      </w:r>
      <w:r w:rsidR="00886D84" w:rsidRPr="00FB38E1">
        <w:rPr>
          <w:rFonts w:ascii="Microsoft Sans Serif" w:hAnsi="Microsoft Sans Serif" w:cs="Microsoft Sans Serif"/>
          <w:b w:val="0"/>
          <w:color w:val="404040" w:themeColor="text1" w:themeTint="BF"/>
          <w:sz w:val="14"/>
          <w:szCs w:val="14"/>
        </w:rPr>
        <w:t xml:space="preserve"> </w:t>
      </w:r>
      <w:r w:rsidR="00D42514" w:rsidRPr="00FB38E1">
        <w:rPr>
          <w:rFonts w:ascii="Microsoft Sans Serif" w:hAnsi="Microsoft Sans Serif" w:cs="Microsoft Sans Serif"/>
          <w:b w:val="0"/>
          <w:color w:val="404040" w:themeColor="text1" w:themeTint="BF"/>
          <w:sz w:val="14"/>
          <w:szCs w:val="14"/>
        </w:rPr>
        <w:t>Banka ve şirket bonoların</w:t>
      </w:r>
      <w:r w:rsidR="00F616BD" w:rsidRPr="00FB38E1">
        <w:rPr>
          <w:rFonts w:ascii="Microsoft Sans Serif" w:hAnsi="Microsoft Sans Serif" w:cs="Microsoft Sans Serif"/>
          <w:b w:val="0"/>
          <w:color w:val="404040" w:themeColor="text1" w:themeTint="BF"/>
          <w:sz w:val="14"/>
          <w:szCs w:val="14"/>
        </w:rPr>
        <w:t xml:space="preserve">ı </w:t>
      </w:r>
      <w:r w:rsidR="00D42514" w:rsidRPr="00FB38E1">
        <w:rPr>
          <w:rFonts w:ascii="Microsoft Sans Serif" w:hAnsi="Microsoft Sans Serif" w:cs="Microsoft Sans Serif"/>
          <w:b w:val="0"/>
          <w:color w:val="404040" w:themeColor="text1" w:themeTint="BF"/>
          <w:sz w:val="14"/>
          <w:szCs w:val="14"/>
        </w:rPr>
        <w:t>da içermektedir.</w:t>
      </w:r>
      <w:r w:rsidR="001256DD" w:rsidRPr="00FB38E1">
        <w:rPr>
          <w:rFonts w:ascii="Microsoft Sans Serif" w:hAnsi="Microsoft Sans Serif" w:cs="Microsoft Sans Serif"/>
          <w:b w:val="0"/>
          <w:color w:val="404040" w:themeColor="text1" w:themeTint="BF"/>
          <w:sz w:val="14"/>
          <w:szCs w:val="14"/>
        </w:rPr>
        <w:t xml:space="preserve"> </w:t>
      </w:r>
    </w:p>
    <w:p w14:paraId="3CCA2877" w14:textId="52953D7F" w:rsidR="004A5292" w:rsidRPr="00FB38E1" w:rsidRDefault="004A5292" w:rsidP="00076C9E">
      <w:pPr>
        <w:pStyle w:val="BASLIK2"/>
        <w:widowControl/>
        <w:numPr>
          <w:ilvl w:val="0"/>
          <w:numId w:val="17"/>
        </w:numPr>
        <w:spacing w:line="240" w:lineRule="exact"/>
        <w:ind w:left="0" w:hanging="567"/>
        <w:rPr>
          <w:rFonts w:ascii="Microsoft Sans Serif" w:hAnsi="Microsoft Sans Serif" w:cs="Microsoft Sans Serif"/>
          <w:iCs/>
          <w:sz w:val="20"/>
          <w:szCs w:val="20"/>
          <w:lang w:val="pt-BR"/>
        </w:rPr>
      </w:pPr>
      <w:r w:rsidRPr="00FB38E1">
        <w:rPr>
          <w:rFonts w:ascii="Microsoft Sans Serif" w:hAnsi="Microsoft Sans Serif" w:cs="Microsoft Sans Serif"/>
          <w:sz w:val="20"/>
          <w:szCs w:val="20"/>
          <w:lang w:val="en-US"/>
        </w:rPr>
        <w:t>Kredilere ilişkin açıklamalar</w:t>
      </w:r>
    </w:p>
    <w:p w14:paraId="327F3DAA" w14:textId="77777777" w:rsidR="008E2586" w:rsidRPr="00FB38E1" w:rsidRDefault="008E2586" w:rsidP="0065502D">
      <w:pPr>
        <w:pStyle w:val="BASLIK2"/>
        <w:widowControl/>
        <w:numPr>
          <w:ilvl w:val="0"/>
          <w:numId w:val="21"/>
        </w:numPr>
        <w:spacing w:before="120" w:line="240" w:lineRule="exact"/>
        <w:ind w:left="0" w:hanging="425"/>
        <w:rPr>
          <w:rFonts w:ascii="Microsoft Sans Serif" w:hAnsi="Microsoft Sans Serif" w:cs="Microsoft Sans Serif"/>
          <w:iCs/>
          <w:sz w:val="20"/>
          <w:szCs w:val="20"/>
          <w:lang w:val="pt-BR"/>
        </w:rPr>
      </w:pPr>
      <w:r w:rsidRPr="00FB38E1">
        <w:rPr>
          <w:rFonts w:ascii="Microsoft Sans Serif" w:hAnsi="Microsoft Sans Serif" w:cs="Microsoft Sans Serif"/>
          <w:iCs/>
          <w:sz w:val="20"/>
          <w:szCs w:val="20"/>
        </w:rPr>
        <w:t>Banka’nın ortaklarına ve mensuplarına verilen her çeşit kredi veya avansın bakiyesine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053"/>
        <w:gridCol w:w="1398"/>
        <w:gridCol w:w="1396"/>
        <w:gridCol w:w="1396"/>
        <w:gridCol w:w="1396"/>
      </w:tblGrid>
      <w:tr w:rsidR="00200A02" w:rsidRPr="00FB38E1" w14:paraId="6BE28ADD" w14:textId="121033EA" w:rsidTr="00200A02">
        <w:trPr>
          <w:trHeight w:val="64"/>
        </w:trPr>
        <w:tc>
          <w:tcPr>
            <w:tcW w:w="2102" w:type="pct"/>
            <w:vAlign w:val="bottom"/>
          </w:tcPr>
          <w:p w14:paraId="566D73D4" w14:textId="77777777" w:rsidR="00200A02" w:rsidRPr="00FB38E1" w:rsidRDefault="00200A02" w:rsidP="000A1D64">
            <w:pPr>
              <w:jc w:val="right"/>
              <w:rPr>
                <w:rFonts w:ascii="Microsoft Sans Serif" w:hAnsi="Microsoft Sans Serif" w:cs="Microsoft Sans Serif"/>
                <w:color w:val="000000"/>
                <w:sz w:val="16"/>
                <w:szCs w:val="16"/>
              </w:rPr>
            </w:pPr>
          </w:p>
        </w:tc>
        <w:tc>
          <w:tcPr>
            <w:tcW w:w="1449" w:type="pct"/>
            <w:gridSpan w:val="2"/>
            <w:tcBorders>
              <w:top w:val="thinThickSmallGap" w:sz="24" w:space="0" w:color="auto"/>
              <w:bottom w:val="single" w:sz="4" w:space="0" w:color="auto"/>
            </w:tcBorders>
            <w:vAlign w:val="bottom"/>
          </w:tcPr>
          <w:p w14:paraId="40017A63" w14:textId="77777777" w:rsidR="00200A02" w:rsidRPr="00FB38E1" w:rsidRDefault="00200A02" w:rsidP="000A1D6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448" w:type="pct"/>
            <w:gridSpan w:val="2"/>
            <w:tcBorders>
              <w:top w:val="thinThickSmallGap" w:sz="24" w:space="0" w:color="auto"/>
              <w:bottom w:val="single" w:sz="4" w:space="0" w:color="auto"/>
            </w:tcBorders>
          </w:tcPr>
          <w:p w14:paraId="12A452FB" w14:textId="4637654F" w:rsidR="00200A02" w:rsidRPr="00FB38E1" w:rsidRDefault="00200A02" w:rsidP="000A1D64">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200A02" w:rsidRPr="00FB38E1" w14:paraId="6F014E70" w14:textId="45102671" w:rsidTr="001824FD">
        <w:trPr>
          <w:trHeight w:val="47"/>
        </w:trPr>
        <w:tc>
          <w:tcPr>
            <w:tcW w:w="2102" w:type="pct"/>
            <w:tcBorders>
              <w:bottom w:val="single" w:sz="4" w:space="0" w:color="auto"/>
            </w:tcBorders>
            <w:vAlign w:val="bottom"/>
          </w:tcPr>
          <w:p w14:paraId="6CF6286F" w14:textId="77777777" w:rsidR="00200A02" w:rsidRPr="00FB38E1" w:rsidRDefault="00200A02" w:rsidP="00200A02">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725" w:type="pct"/>
            <w:tcBorders>
              <w:top w:val="single" w:sz="4" w:space="0" w:color="auto"/>
              <w:bottom w:val="single" w:sz="4" w:space="0" w:color="auto"/>
            </w:tcBorders>
            <w:vAlign w:val="bottom"/>
          </w:tcPr>
          <w:p w14:paraId="3A7A16BF" w14:textId="77777777" w:rsidR="00200A02" w:rsidRPr="00FB38E1" w:rsidRDefault="00200A02" w:rsidP="00200A0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w:t>
            </w:r>
          </w:p>
        </w:tc>
        <w:tc>
          <w:tcPr>
            <w:tcW w:w="724" w:type="pct"/>
            <w:tcBorders>
              <w:top w:val="single" w:sz="4" w:space="0" w:color="auto"/>
              <w:bottom w:val="single" w:sz="4" w:space="0" w:color="auto"/>
            </w:tcBorders>
            <w:vAlign w:val="bottom"/>
          </w:tcPr>
          <w:p w14:paraId="78C770EE" w14:textId="77777777" w:rsidR="00200A02" w:rsidRPr="00FB38E1" w:rsidRDefault="00200A02" w:rsidP="00200A0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Gayrinakdi</w:t>
            </w:r>
          </w:p>
        </w:tc>
        <w:tc>
          <w:tcPr>
            <w:tcW w:w="724" w:type="pct"/>
            <w:tcBorders>
              <w:top w:val="single" w:sz="4" w:space="0" w:color="auto"/>
              <w:bottom w:val="single" w:sz="4" w:space="0" w:color="auto"/>
            </w:tcBorders>
            <w:vAlign w:val="bottom"/>
          </w:tcPr>
          <w:p w14:paraId="41535707" w14:textId="00CC5652" w:rsidR="00200A02" w:rsidRPr="00FB38E1" w:rsidRDefault="00200A02" w:rsidP="00200A0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w:t>
            </w:r>
          </w:p>
        </w:tc>
        <w:tc>
          <w:tcPr>
            <w:tcW w:w="724" w:type="pct"/>
            <w:tcBorders>
              <w:top w:val="single" w:sz="4" w:space="0" w:color="auto"/>
              <w:bottom w:val="single" w:sz="4" w:space="0" w:color="auto"/>
            </w:tcBorders>
            <w:vAlign w:val="bottom"/>
          </w:tcPr>
          <w:p w14:paraId="179F9ABC" w14:textId="3A18399E" w:rsidR="00200A02" w:rsidRPr="00FB38E1" w:rsidRDefault="00200A02" w:rsidP="00200A0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Gayrinakdi</w:t>
            </w:r>
          </w:p>
        </w:tc>
      </w:tr>
      <w:tr w:rsidR="002A2DAA" w:rsidRPr="00FB38E1" w14:paraId="63ED1546" w14:textId="60FFCBDA" w:rsidTr="0052304B">
        <w:tc>
          <w:tcPr>
            <w:tcW w:w="2102" w:type="pct"/>
            <w:tcBorders>
              <w:top w:val="single" w:sz="4" w:space="0" w:color="auto"/>
              <w:bottom w:val="nil"/>
            </w:tcBorders>
            <w:vAlign w:val="bottom"/>
          </w:tcPr>
          <w:p w14:paraId="202B23D6"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 Ortaklarına Verilen Doğrudan Krediler</w:t>
            </w:r>
          </w:p>
        </w:tc>
        <w:tc>
          <w:tcPr>
            <w:tcW w:w="725" w:type="pct"/>
            <w:tcBorders>
              <w:top w:val="single" w:sz="4" w:space="0" w:color="auto"/>
              <w:bottom w:val="nil"/>
            </w:tcBorders>
            <w:vAlign w:val="center"/>
          </w:tcPr>
          <w:p w14:paraId="320A9A0A" w14:textId="68D8976A"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724" w:type="pct"/>
            <w:tcBorders>
              <w:top w:val="single" w:sz="4" w:space="0" w:color="auto"/>
              <w:bottom w:val="nil"/>
            </w:tcBorders>
            <w:vAlign w:val="center"/>
          </w:tcPr>
          <w:p w14:paraId="5BC44E8B" w14:textId="1BF337E2"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154.319</w:t>
            </w:r>
          </w:p>
        </w:tc>
        <w:tc>
          <w:tcPr>
            <w:tcW w:w="724" w:type="pct"/>
            <w:tcBorders>
              <w:top w:val="single" w:sz="4" w:space="0" w:color="auto"/>
              <w:bottom w:val="nil"/>
            </w:tcBorders>
            <w:vAlign w:val="center"/>
          </w:tcPr>
          <w:p w14:paraId="3AB415BD" w14:textId="4EF6C31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724" w:type="pct"/>
            <w:tcBorders>
              <w:top w:val="single" w:sz="4" w:space="0" w:color="auto"/>
              <w:bottom w:val="nil"/>
            </w:tcBorders>
            <w:vAlign w:val="center"/>
          </w:tcPr>
          <w:p w14:paraId="503C54D1" w14:textId="2688500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162.491</w:t>
            </w:r>
          </w:p>
        </w:tc>
      </w:tr>
      <w:tr w:rsidR="002A2DAA" w:rsidRPr="00FB38E1" w14:paraId="11F0A620" w14:textId="358EC1F9" w:rsidTr="0052304B">
        <w:tc>
          <w:tcPr>
            <w:tcW w:w="2102" w:type="pct"/>
            <w:tcBorders>
              <w:top w:val="nil"/>
            </w:tcBorders>
            <w:vAlign w:val="bottom"/>
          </w:tcPr>
          <w:p w14:paraId="1956199D"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Tüzel Kişi Ortaklara Verilen Krediler</w:t>
            </w:r>
          </w:p>
        </w:tc>
        <w:tc>
          <w:tcPr>
            <w:tcW w:w="725" w:type="pct"/>
            <w:tcBorders>
              <w:top w:val="nil"/>
            </w:tcBorders>
            <w:vAlign w:val="center"/>
          </w:tcPr>
          <w:p w14:paraId="17216731" w14:textId="7374A9C6"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77807D64" w14:textId="2BF6E86E"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154.319</w:t>
            </w:r>
          </w:p>
        </w:tc>
        <w:tc>
          <w:tcPr>
            <w:tcW w:w="724" w:type="pct"/>
            <w:tcBorders>
              <w:top w:val="nil"/>
            </w:tcBorders>
            <w:vAlign w:val="center"/>
          </w:tcPr>
          <w:p w14:paraId="4AECFFE5" w14:textId="3409E73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40B44473" w14:textId="788DA92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162.491</w:t>
            </w:r>
          </w:p>
        </w:tc>
      </w:tr>
      <w:tr w:rsidR="002A2DAA" w:rsidRPr="00FB38E1" w14:paraId="00FFCB83" w14:textId="5EB2C532" w:rsidTr="0052304B">
        <w:tc>
          <w:tcPr>
            <w:tcW w:w="2102" w:type="pct"/>
            <w:tcBorders>
              <w:top w:val="nil"/>
            </w:tcBorders>
            <w:vAlign w:val="bottom"/>
          </w:tcPr>
          <w:p w14:paraId="5821C59B"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Gerçek Kişi Ortaklara Verilen Krediler</w:t>
            </w:r>
          </w:p>
        </w:tc>
        <w:tc>
          <w:tcPr>
            <w:tcW w:w="725" w:type="pct"/>
            <w:tcBorders>
              <w:top w:val="nil"/>
            </w:tcBorders>
            <w:vAlign w:val="center"/>
          </w:tcPr>
          <w:p w14:paraId="22A6BD0D" w14:textId="33148FFC"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71AF6B38" w14:textId="79309B6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0C36F48F" w14:textId="14F609B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24" w:type="pct"/>
            <w:tcBorders>
              <w:top w:val="nil"/>
            </w:tcBorders>
            <w:vAlign w:val="center"/>
          </w:tcPr>
          <w:p w14:paraId="0B43EBB4" w14:textId="62C0379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4D9551F7" w14:textId="47B61861" w:rsidTr="0052304B">
        <w:tc>
          <w:tcPr>
            <w:tcW w:w="2102" w:type="pct"/>
            <w:tcBorders>
              <w:top w:val="nil"/>
            </w:tcBorders>
            <w:vAlign w:val="bottom"/>
          </w:tcPr>
          <w:p w14:paraId="702F0035"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 Ortaklarına Verilen Dolaylı Krediler</w:t>
            </w:r>
          </w:p>
        </w:tc>
        <w:tc>
          <w:tcPr>
            <w:tcW w:w="725" w:type="pct"/>
            <w:tcBorders>
              <w:top w:val="nil"/>
            </w:tcBorders>
            <w:vAlign w:val="center"/>
          </w:tcPr>
          <w:p w14:paraId="5627E41E" w14:textId="3F654FA7"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724" w:type="pct"/>
            <w:tcBorders>
              <w:top w:val="nil"/>
            </w:tcBorders>
            <w:vAlign w:val="center"/>
          </w:tcPr>
          <w:p w14:paraId="536749CF" w14:textId="1BB2C05F"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724" w:type="pct"/>
            <w:tcBorders>
              <w:top w:val="nil"/>
            </w:tcBorders>
            <w:vAlign w:val="center"/>
          </w:tcPr>
          <w:p w14:paraId="3F08A8DF" w14:textId="36F4B098"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724" w:type="pct"/>
            <w:tcBorders>
              <w:top w:val="nil"/>
            </w:tcBorders>
            <w:vAlign w:val="center"/>
          </w:tcPr>
          <w:p w14:paraId="2FD21FB9" w14:textId="5B796632"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06EF57DF" w14:textId="2B17D7EC" w:rsidTr="0052304B">
        <w:tc>
          <w:tcPr>
            <w:tcW w:w="2102" w:type="pct"/>
            <w:tcBorders>
              <w:bottom w:val="single" w:sz="4" w:space="0" w:color="auto"/>
            </w:tcBorders>
            <w:vAlign w:val="bottom"/>
          </w:tcPr>
          <w:p w14:paraId="74764B2B"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 Mensuplarına Verilen Krediler</w:t>
            </w:r>
          </w:p>
        </w:tc>
        <w:tc>
          <w:tcPr>
            <w:tcW w:w="725" w:type="pct"/>
            <w:tcBorders>
              <w:bottom w:val="single" w:sz="4" w:space="0" w:color="auto"/>
            </w:tcBorders>
            <w:vAlign w:val="center"/>
          </w:tcPr>
          <w:p w14:paraId="792E93AC" w14:textId="6EF7FBC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573.905</w:t>
            </w:r>
          </w:p>
        </w:tc>
        <w:tc>
          <w:tcPr>
            <w:tcW w:w="724" w:type="pct"/>
            <w:tcBorders>
              <w:bottom w:val="single" w:sz="4" w:space="0" w:color="auto"/>
            </w:tcBorders>
            <w:vAlign w:val="center"/>
          </w:tcPr>
          <w:p w14:paraId="0AE432C9" w14:textId="2B0E736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310</w:t>
            </w:r>
          </w:p>
        </w:tc>
        <w:tc>
          <w:tcPr>
            <w:tcW w:w="724" w:type="pct"/>
            <w:tcBorders>
              <w:bottom w:val="single" w:sz="4" w:space="0" w:color="auto"/>
            </w:tcBorders>
            <w:vAlign w:val="center"/>
          </w:tcPr>
          <w:p w14:paraId="130EE729" w14:textId="02BB6A9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583.587</w:t>
            </w:r>
          </w:p>
        </w:tc>
        <w:tc>
          <w:tcPr>
            <w:tcW w:w="724" w:type="pct"/>
            <w:tcBorders>
              <w:bottom w:val="single" w:sz="4" w:space="0" w:color="auto"/>
            </w:tcBorders>
            <w:vAlign w:val="center"/>
          </w:tcPr>
          <w:p w14:paraId="4CC338CC" w14:textId="29DE0A87"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120</w:t>
            </w:r>
          </w:p>
        </w:tc>
      </w:tr>
      <w:tr w:rsidR="002A2DAA" w:rsidRPr="00FB38E1" w14:paraId="7A21DA0B" w14:textId="7866CF8F" w:rsidTr="0052304B">
        <w:tc>
          <w:tcPr>
            <w:tcW w:w="2102" w:type="pct"/>
            <w:tcBorders>
              <w:top w:val="single" w:sz="4" w:space="0" w:color="auto"/>
              <w:bottom w:val="thickThinSmallGap" w:sz="24" w:space="0" w:color="auto"/>
            </w:tcBorders>
            <w:vAlign w:val="bottom"/>
          </w:tcPr>
          <w:p w14:paraId="270AB06C"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25" w:type="pct"/>
            <w:tcBorders>
              <w:top w:val="single" w:sz="4" w:space="0" w:color="auto"/>
              <w:bottom w:val="thickThinSmallGap" w:sz="24" w:space="0" w:color="auto"/>
            </w:tcBorders>
            <w:vAlign w:val="center"/>
          </w:tcPr>
          <w:p w14:paraId="601EF1BB" w14:textId="4A7E383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573.905</w:t>
            </w:r>
          </w:p>
        </w:tc>
        <w:tc>
          <w:tcPr>
            <w:tcW w:w="724" w:type="pct"/>
            <w:tcBorders>
              <w:top w:val="single" w:sz="4" w:space="0" w:color="auto"/>
              <w:bottom w:val="thickThinSmallGap" w:sz="24" w:space="0" w:color="auto"/>
            </w:tcBorders>
            <w:vAlign w:val="center"/>
          </w:tcPr>
          <w:p w14:paraId="1E2C6C40" w14:textId="2C71D5A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154.629</w:t>
            </w:r>
          </w:p>
        </w:tc>
        <w:tc>
          <w:tcPr>
            <w:tcW w:w="724" w:type="pct"/>
            <w:tcBorders>
              <w:top w:val="single" w:sz="4" w:space="0" w:color="auto"/>
              <w:bottom w:val="thickThinSmallGap" w:sz="24" w:space="0" w:color="auto"/>
            </w:tcBorders>
            <w:vAlign w:val="center"/>
          </w:tcPr>
          <w:p w14:paraId="10DF7B8B" w14:textId="1EB2728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583.587</w:t>
            </w:r>
          </w:p>
        </w:tc>
        <w:tc>
          <w:tcPr>
            <w:tcW w:w="724" w:type="pct"/>
            <w:tcBorders>
              <w:top w:val="single" w:sz="4" w:space="0" w:color="auto"/>
              <w:bottom w:val="thickThinSmallGap" w:sz="24" w:space="0" w:color="auto"/>
            </w:tcBorders>
            <w:vAlign w:val="center"/>
          </w:tcPr>
          <w:p w14:paraId="1B359EE8" w14:textId="200C646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162.611</w:t>
            </w:r>
          </w:p>
        </w:tc>
      </w:tr>
    </w:tbl>
    <w:p w14:paraId="7FB6E2C2" w14:textId="50128709" w:rsidR="008E2586" w:rsidRPr="00FB38E1" w:rsidRDefault="005A073A" w:rsidP="00076C9E">
      <w:pPr>
        <w:pStyle w:val="BASLIK2"/>
        <w:widowControl/>
        <w:numPr>
          <w:ilvl w:val="0"/>
          <w:numId w:val="21"/>
        </w:numPr>
        <w:spacing w:line="240" w:lineRule="exact"/>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Standart nitelikli ve yakın izlemedeki krediler ile yeniden yapılandırılan yakın izlemedeki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012178" w:rsidRPr="00FB38E1" w14:paraId="0A046CB0" w14:textId="77777777" w:rsidTr="005E677D">
        <w:tc>
          <w:tcPr>
            <w:tcW w:w="1528" w:type="pct"/>
            <w:vMerge w:val="restart"/>
            <w:tcBorders>
              <w:top w:val="thinThickSmallGap" w:sz="24" w:space="0" w:color="auto"/>
            </w:tcBorders>
            <w:vAlign w:val="center"/>
          </w:tcPr>
          <w:p w14:paraId="355C2D72" w14:textId="3BEBC6FA" w:rsidR="00654E59" w:rsidRPr="00FB38E1" w:rsidRDefault="00654E59" w:rsidP="005E677D">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p w14:paraId="04AB74F3" w14:textId="0E001CC3" w:rsidR="00012178" w:rsidRPr="00FB38E1" w:rsidRDefault="00012178" w:rsidP="005E677D">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 Krediler</w:t>
            </w:r>
            <w:r w:rsidR="008863CA" w:rsidRPr="00FB38E1">
              <w:rPr>
                <w:rFonts w:ascii="Microsoft Sans Serif" w:hAnsi="Microsoft Sans Serif" w:cs="Microsoft Sans Serif"/>
                <w:b/>
                <w:bCs/>
                <w:color w:val="000000"/>
                <w:sz w:val="16"/>
                <w:szCs w:val="16"/>
              </w:rPr>
              <w:t xml:space="preserve"> (*)</w:t>
            </w:r>
          </w:p>
        </w:tc>
        <w:tc>
          <w:tcPr>
            <w:tcW w:w="716" w:type="pct"/>
            <w:vMerge w:val="restart"/>
            <w:tcBorders>
              <w:top w:val="thinThickSmallGap" w:sz="24" w:space="0" w:color="auto"/>
            </w:tcBorders>
            <w:vAlign w:val="center"/>
          </w:tcPr>
          <w:p w14:paraId="40B25203" w14:textId="77777777" w:rsidR="00012178" w:rsidRPr="00FB38E1" w:rsidRDefault="00012178" w:rsidP="002A02D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14011EB9" w14:textId="77777777" w:rsidR="00012178" w:rsidRPr="00FB38E1" w:rsidRDefault="00012178" w:rsidP="005E677D">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Yakın İzlemedeki Krediler</w:t>
            </w:r>
          </w:p>
        </w:tc>
      </w:tr>
      <w:tr w:rsidR="00012178" w:rsidRPr="00FB38E1" w14:paraId="14A6956D" w14:textId="77777777" w:rsidTr="005E677D">
        <w:tc>
          <w:tcPr>
            <w:tcW w:w="1528" w:type="pct"/>
            <w:vMerge/>
            <w:vAlign w:val="bottom"/>
          </w:tcPr>
          <w:p w14:paraId="66CA485E" w14:textId="77777777" w:rsidR="00012178" w:rsidRPr="00FB38E1" w:rsidRDefault="00012178" w:rsidP="005E677D">
            <w:pPr>
              <w:rPr>
                <w:rFonts w:ascii="Microsoft Sans Serif" w:hAnsi="Microsoft Sans Serif" w:cs="Microsoft Sans Serif"/>
                <w:b/>
                <w:bCs/>
                <w:color w:val="000000"/>
                <w:sz w:val="16"/>
                <w:szCs w:val="16"/>
              </w:rPr>
            </w:pPr>
          </w:p>
        </w:tc>
        <w:tc>
          <w:tcPr>
            <w:tcW w:w="716" w:type="pct"/>
            <w:vMerge/>
            <w:vAlign w:val="bottom"/>
          </w:tcPr>
          <w:p w14:paraId="79473355" w14:textId="77777777" w:rsidR="00012178" w:rsidRPr="00FB38E1" w:rsidRDefault="00012178" w:rsidP="005E677D">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3B894761" w14:textId="77777777" w:rsidR="00012178" w:rsidRPr="00FB38E1" w:rsidRDefault="00012178" w:rsidP="002A02D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1C8425B0" w14:textId="77777777" w:rsidR="00012178" w:rsidRPr="00FB38E1" w:rsidRDefault="00012178" w:rsidP="005E677D">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Yeniden Yapılandırılanlar</w:t>
            </w:r>
          </w:p>
        </w:tc>
      </w:tr>
      <w:tr w:rsidR="00012178" w:rsidRPr="00FB38E1" w14:paraId="622479A8" w14:textId="77777777" w:rsidTr="005E677D">
        <w:tc>
          <w:tcPr>
            <w:tcW w:w="1528" w:type="pct"/>
            <w:vMerge/>
            <w:tcBorders>
              <w:bottom w:val="single" w:sz="4" w:space="0" w:color="auto"/>
            </w:tcBorders>
            <w:vAlign w:val="bottom"/>
          </w:tcPr>
          <w:p w14:paraId="55BF2AD2" w14:textId="77777777" w:rsidR="00012178" w:rsidRPr="00FB38E1" w:rsidRDefault="00012178" w:rsidP="005E677D">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21DAAB48" w14:textId="77777777" w:rsidR="00012178" w:rsidRPr="00FB38E1" w:rsidRDefault="00012178" w:rsidP="005E677D">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5CE9BFB2" w14:textId="77777777" w:rsidR="00012178" w:rsidRPr="00FB38E1" w:rsidRDefault="00012178" w:rsidP="005E677D">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0E6C0801" w14:textId="77777777" w:rsidR="00012178" w:rsidRPr="00FB38E1" w:rsidRDefault="00012178" w:rsidP="002A02D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617BB6E6" w14:textId="77777777" w:rsidR="00012178" w:rsidRPr="00FB38E1" w:rsidRDefault="00012178" w:rsidP="002A02D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Yeniden Finansman</w:t>
            </w:r>
          </w:p>
        </w:tc>
      </w:tr>
      <w:tr w:rsidR="004B1C2A" w:rsidRPr="00FB38E1" w14:paraId="1577CE46" w14:textId="77777777" w:rsidTr="005E677D">
        <w:tc>
          <w:tcPr>
            <w:tcW w:w="1528" w:type="pct"/>
            <w:tcBorders>
              <w:top w:val="single" w:sz="4" w:space="0" w:color="auto"/>
            </w:tcBorders>
            <w:vAlign w:val="bottom"/>
          </w:tcPr>
          <w:p w14:paraId="2C5C15A6" w14:textId="77777777" w:rsidR="004B1C2A" w:rsidRPr="00FB38E1" w:rsidRDefault="004B1C2A" w:rsidP="004B1C2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63B73F32" w14:textId="4C359189"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541.488.568</w:t>
            </w:r>
          </w:p>
        </w:tc>
        <w:tc>
          <w:tcPr>
            <w:tcW w:w="1023" w:type="pct"/>
            <w:tcBorders>
              <w:top w:val="single" w:sz="4" w:space="0" w:color="auto"/>
            </w:tcBorders>
            <w:vAlign w:val="center"/>
          </w:tcPr>
          <w:p w14:paraId="08003C5B" w14:textId="7A537906"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28.896.258</w:t>
            </w:r>
          </w:p>
        </w:tc>
        <w:tc>
          <w:tcPr>
            <w:tcW w:w="919" w:type="pct"/>
            <w:tcBorders>
              <w:top w:val="single" w:sz="4" w:space="0" w:color="auto"/>
            </w:tcBorders>
            <w:vAlign w:val="center"/>
          </w:tcPr>
          <w:p w14:paraId="0C1824B6" w14:textId="7147FA7D"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25.070.672</w:t>
            </w:r>
          </w:p>
        </w:tc>
        <w:tc>
          <w:tcPr>
            <w:tcW w:w="814" w:type="pct"/>
            <w:tcBorders>
              <w:top w:val="single" w:sz="4" w:space="0" w:color="auto"/>
            </w:tcBorders>
            <w:vAlign w:val="center"/>
          </w:tcPr>
          <w:p w14:paraId="15450FB2" w14:textId="43803471"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11.698.770</w:t>
            </w:r>
          </w:p>
        </w:tc>
      </w:tr>
      <w:tr w:rsidR="004B1C2A" w:rsidRPr="00FB38E1" w14:paraId="41831CB9" w14:textId="77777777" w:rsidTr="005E677D">
        <w:tc>
          <w:tcPr>
            <w:tcW w:w="1528" w:type="pct"/>
            <w:vAlign w:val="bottom"/>
          </w:tcPr>
          <w:p w14:paraId="30310628" w14:textId="77777777" w:rsidR="004B1C2A" w:rsidRPr="00FB38E1" w:rsidRDefault="004B1C2A" w:rsidP="004B1C2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İşletme Kredileri</w:t>
            </w:r>
          </w:p>
        </w:tc>
        <w:tc>
          <w:tcPr>
            <w:tcW w:w="716" w:type="pct"/>
            <w:vAlign w:val="center"/>
          </w:tcPr>
          <w:p w14:paraId="63C6053F" w14:textId="5283FB16"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3.424.563</w:t>
            </w:r>
          </w:p>
        </w:tc>
        <w:tc>
          <w:tcPr>
            <w:tcW w:w="1023" w:type="pct"/>
            <w:vAlign w:val="center"/>
          </w:tcPr>
          <w:p w14:paraId="3EC41E20" w14:textId="554077FF"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1.203.655</w:t>
            </w:r>
          </w:p>
        </w:tc>
        <w:tc>
          <w:tcPr>
            <w:tcW w:w="919" w:type="pct"/>
            <w:vAlign w:val="center"/>
          </w:tcPr>
          <w:p w14:paraId="04C47C1C" w14:textId="643639F4"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4.168.632</w:t>
            </w:r>
          </w:p>
        </w:tc>
        <w:tc>
          <w:tcPr>
            <w:tcW w:w="814" w:type="pct"/>
            <w:vAlign w:val="center"/>
          </w:tcPr>
          <w:p w14:paraId="00D9E06B" w14:textId="10A735A6"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3.306.964</w:t>
            </w:r>
          </w:p>
        </w:tc>
      </w:tr>
      <w:tr w:rsidR="004B1C2A" w:rsidRPr="00FB38E1" w14:paraId="1C6E952B" w14:textId="77777777" w:rsidTr="005E677D">
        <w:tc>
          <w:tcPr>
            <w:tcW w:w="1528" w:type="pct"/>
            <w:vAlign w:val="bottom"/>
          </w:tcPr>
          <w:p w14:paraId="5DF1B35B" w14:textId="77777777" w:rsidR="004B1C2A" w:rsidRPr="00FB38E1" w:rsidRDefault="004B1C2A" w:rsidP="004B1C2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İhracat Kredileri</w:t>
            </w:r>
          </w:p>
        </w:tc>
        <w:tc>
          <w:tcPr>
            <w:tcW w:w="716" w:type="pct"/>
            <w:vAlign w:val="center"/>
          </w:tcPr>
          <w:p w14:paraId="1C7AA0AC" w14:textId="1F82267F"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67.441.849</w:t>
            </w:r>
          </w:p>
        </w:tc>
        <w:tc>
          <w:tcPr>
            <w:tcW w:w="1023" w:type="pct"/>
            <w:vAlign w:val="center"/>
          </w:tcPr>
          <w:p w14:paraId="2772AE91" w14:textId="5DE0E1B3"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673.830</w:t>
            </w:r>
          </w:p>
        </w:tc>
        <w:tc>
          <w:tcPr>
            <w:tcW w:w="919" w:type="pct"/>
            <w:vAlign w:val="center"/>
          </w:tcPr>
          <w:p w14:paraId="759FC079" w14:textId="77A1F1BF"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4" w:type="pct"/>
            <w:vAlign w:val="center"/>
          </w:tcPr>
          <w:p w14:paraId="0CA7CCF5" w14:textId="7328EC03"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5.013</w:t>
            </w:r>
          </w:p>
        </w:tc>
      </w:tr>
      <w:tr w:rsidR="004B1C2A" w:rsidRPr="00FB38E1" w14:paraId="5DAC38AE" w14:textId="77777777" w:rsidTr="005E677D">
        <w:tc>
          <w:tcPr>
            <w:tcW w:w="1528" w:type="pct"/>
            <w:vAlign w:val="bottom"/>
          </w:tcPr>
          <w:p w14:paraId="595D5502" w14:textId="77777777" w:rsidR="004B1C2A" w:rsidRPr="00FB38E1" w:rsidRDefault="004B1C2A" w:rsidP="004B1C2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İthalat Kredileri</w:t>
            </w:r>
          </w:p>
        </w:tc>
        <w:tc>
          <w:tcPr>
            <w:tcW w:w="716" w:type="pct"/>
            <w:vAlign w:val="center"/>
          </w:tcPr>
          <w:p w14:paraId="6C930504" w14:textId="2389C0A6"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23" w:type="pct"/>
            <w:vAlign w:val="center"/>
          </w:tcPr>
          <w:p w14:paraId="5F345BBE" w14:textId="66850613"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919" w:type="pct"/>
            <w:vAlign w:val="center"/>
          </w:tcPr>
          <w:p w14:paraId="76B07A70" w14:textId="75DD4004"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4" w:type="pct"/>
            <w:vAlign w:val="center"/>
          </w:tcPr>
          <w:p w14:paraId="6B560289" w14:textId="141D724D"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4B1C2A" w:rsidRPr="00FB38E1" w14:paraId="23F5F951" w14:textId="77777777" w:rsidTr="005E677D">
        <w:tc>
          <w:tcPr>
            <w:tcW w:w="1528" w:type="pct"/>
            <w:vAlign w:val="bottom"/>
          </w:tcPr>
          <w:p w14:paraId="33074F3E" w14:textId="77777777" w:rsidR="004B1C2A" w:rsidRPr="00FB38E1" w:rsidRDefault="004B1C2A" w:rsidP="004B1C2A">
            <w:pPr>
              <w:ind w:left="174"/>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Mali Kesime Verilen Krediler</w:t>
            </w:r>
          </w:p>
        </w:tc>
        <w:tc>
          <w:tcPr>
            <w:tcW w:w="716" w:type="pct"/>
            <w:vAlign w:val="center"/>
          </w:tcPr>
          <w:p w14:paraId="3A77C3CF" w14:textId="254235EC"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28.390.102</w:t>
            </w:r>
          </w:p>
        </w:tc>
        <w:tc>
          <w:tcPr>
            <w:tcW w:w="1023" w:type="pct"/>
            <w:vAlign w:val="center"/>
          </w:tcPr>
          <w:p w14:paraId="1F9F9E37" w14:textId="4CF0FEFC"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919" w:type="pct"/>
            <w:vAlign w:val="center"/>
          </w:tcPr>
          <w:p w14:paraId="4985586E" w14:textId="5742165C"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4" w:type="pct"/>
            <w:vAlign w:val="center"/>
          </w:tcPr>
          <w:p w14:paraId="1B9E537F" w14:textId="1FBE1183"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4B1C2A" w:rsidRPr="00FB38E1" w14:paraId="7C162860" w14:textId="77777777" w:rsidTr="005E677D">
        <w:tc>
          <w:tcPr>
            <w:tcW w:w="1528" w:type="pct"/>
            <w:vAlign w:val="bottom"/>
          </w:tcPr>
          <w:p w14:paraId="2E6A6B86" w14:textId="77777777" w:rsidR="004B1C2A" w:rsidRPr="00FB38E1" w:rsidRDefault="004B1C2A" w:rsidP="004B1C2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Tüketici Kredileri</w:t>
            </w:r>
          </w:p>
        </w:tc>
        <w:tc>
          <w:tcPr>
            <w:tcW w:w="716" w:type="pct"/>
            <w:vAlign w:val="center"/>
          </w:tcPr>
          <w:p w14:paraId="43ABB804" w14:textId="348FE5AC"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73.253.346</w:t>
            </w:r>
          </w:p>
        </w:tc>
        <w:tc>
          <w:tcPr>
            <w:tcW w:w="1023" w:type="pct"/>
            <w:vAlign w:val="center"/>
          </w:tcPr>
          <w:p w14:paraId="2DBF3E1B" w14:textId="0BF39C9C"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8.284.988</w:t>
            </w:r>
          </w:p>
        </w:tc>
        <w:tc>
          <w:tcPr>
            <w:tcW w:w="919" w:type="pct"/>
            <w:vAlign w:val="center"/>
          </w:tcPr>
          <w:p w14:paraId="1CBE64AF" w14:textId="72AE4270"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9.226.514</w:t>
            </w:r>
          </w:p>
        </w:tc>
        <w:tc>
          <w:tcPr>
            <w:tcW w:w="814" w:type="pct"/>
            <w:vAlign w:val="center"/>
          </w:tcPr>
          <w:p w14:paraId="4F293D01" w14:textId="50FA2E0A"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23.167</w:t>
            </w:r>
          </w:p>
        </w:tc>
      </w:tr>
      <w:tr w:rsidR="004B1C2A" w:rsidRPr="00FB38E1" w14:paraId="63843432" w14:textId="77777777" w:rsidTr="005E677D">
        <w:tc>
          <w:tcPr>
            <w:tcW w:w="1528" w:type="pct"/>
            <w:vAlign w:val="bottom"/>
          </w:tcPr>
          <w:p w14:paraId="7917E2FB" w14:textId="77777777" w:rsidR="004B1C2A" w:rsidRPr="00FB38E1" w:rsidRDefault="004B1C2A" w:rsidP="004B1C2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Kredi Kartları</w:t>
            </w:r>
          </w:p>
        </w:tc>
        <w:tc>
          <w:tcPr>
            <w:tcW w:w="716" w:type="pct"/>
            <w:vAlign w:val="center"/>
          </w:tcPr>
          <w:p w14:paraId="246BBDFB" w14:textId="2B654154"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104.057.431</w:t>
            </w:r>
          </w:p>
        </w:tc>
        <w:tc>
          <w:tcPr>
            <w:tcW w:w="1023" w:type="pct"/>
            <w:vAlign w:val="center"/>
          </w:tcPr>
          <w:p w14:paraId="54641754" w14:textId="0A10E948"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6.120.567</w:t>
            </w:r>
          </w:p>
        </w:tc>
        <w:tc>
          <w:tcPr>
            <w:tcW w:w="919" w:type="pct"/>
            <w:vAlign w:val="center"/>
          </w:tcPr>
          <w:p w14:paraId="1EDFE6DB" w14:textId="28C6DB31"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9.284.213</w:t>
            </w:r>
          </w:p>
        </w:tc>
        <w:tc>
          <w:tcPr>
            <w:tcW w:w="814" w:type="pct"/>
            <w:vAlign w:val="center"/>
          </w:tcPr>
          <w:p w14:paraId="0EA82445" w14:textId="24E37B2E"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347.394</w:t>
            </w:r>
          </w:p>
        </w:tc>
      </w:tr>
      <w:tr w:rsidR="004B1C2A" w:rsidRPr="00FB38E1" w14:paraId="52E6ACAC" w14:textId="77777777" w:rsidTr="005E677D">
        <w:tc>
          <w:tcPr>
            <w:tcW w:w="1528" w:type="pct"/>
            <w:vAlign w:val="bottom"/>
          </w:tcPr>
          <w:p w14:paraId="61D346CB" w14:textId="77777777" w:rsidR="004B1C2A" w:rsidRPr="00FB38E1" w:rsidRDefault="004B1C2A" w:rsidP="004B1C2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16" w:type="pct"/>
            <w:vAlign w:val="center"/>
          </w:tcPr>
          <w:p w14:paraId="014FB16B" w14:textId="0BB05A20"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264.921.277</w:t>
            </w:r>
          </w:p>
        </w:tc>
        <w:tc>
          <w:tcPr>
            <w:tcW w:w="1023" w:type="pct"/>
            <w:vAlign w:val="center"/>
          </w:tcPr>
          <w:p w14:paraId="6955F6EA" w14:textId="0E0F110E"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12.613.218</w:t>
            </w:r>
          </w:p>
        </w:tc>
        <w:tc>
          <w:tcPr>
            <w:tcW w:w="919" w:type="pct"/>
            <w:vAlign w:val="center"/>
          </w:tcPr>
          <w:p w14:paraId="21EE4CD2" w14:textId="789F2CD4"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2.391.313</w:t>
            </w:r>
          </w:p>
        </w:tc>
        <w:tc>
          <w:tcPr>
            <w:tcW w:w="814" w:type="pct"/>
            <w:vAlign w:val="center"/>
          </w:tcPr>
          <w:p w14:paraId="4E05E31D" w14:textId="2AF85F82" w:rsidR="004B1C2A" w:rsidRPr="00FB38E1" w:rsidRDefault="004B1C2A" w:rsidP="004B1C2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8.016.232</w:t>
            </w:r>
          </w:p>
        </w:tc>
      </w:tr>
      <w:tr w:rsidR="004B1C2A" w:rsidRPr="00FB38E1" w14:paraId="57B4E99E" w14:textId="77777777" w:rsidTr="005E677D">
        <w:tc>
          <w:tcPr>
            <w:tcW w:w="1528" w:type="pct"/>
            <w:vAlign w:val="bottom"/>
          </w:tcPr>
          <w:p w14:paraId="767B13DA" w14:textId="77777777" w:rsidR="004B1C2A" w:rsidRPr="00FB38E1" w:rsidRDefault="004B1C2A" w:rsidP="004B1C2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İhtisas Kredileri</w:t>
            </w:r>
          </w:p>
        </w:tc>
        <w:tc>
          <w:tcPr>
            <w:tcW w:w="716" w:type="pct"/>
            <w:vAlign w:val="center"/>
          </w:tcPr>
          <w:p w14:paraId="6AB59C70" w14:textId="3B98181F"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92.780.429</w:t>
            </w:r>
          </w:p>
        </w:tc>
        <w:tc>
          <w:tcPr>
            <w:tcW w:w="1023" w:type="pct"/>
            <w:vAlign w:val="center"/>
          </w:tcPr>
          <w:p w14:paraId="543F5379" w14:textId="0246B634"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8.002.845</w:t>
            </w:r>
          </w:p>
        </w:tc>
        <w:tc>
          <w:tcPr>
            <w:tcW w:w="919" w:type="pct"/>
            <w:vAlign w:val="center"/>
          </w:tcPr>
          <w:p w14:paraId="1C721A2F" w14:textId="43E7368A"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178.847</w:t>
            </w:r>
          </w:p>
        </w:tc>
        <w:tc>
          <w:tcPr>
            <w:tcW w:w="814" w:type="pct"/>
            <w:vAlign w:val="center"/>
          </w:tcPr>
          <w:p w14:paraId="60632CA7" w14:textId="3CEB9D7A"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357.750</w:t>
            </w:r>
          </w:p>
        </w:tc>
      </w:tr>
      <w:tr w:rsidR="004B1C2A" w:rsidRPr="00FB38E1" w14:paraId="7A654BB5" w14:textId="77777777" w:rsidTr="005E677D">
        <w:tc>
          <w:tcPr>
            <w:tcW w:w="1528" w:type="pct"/>
            <w:tcBorders>
              <w:bottom w:val="single" w:sz="4" w:space="0" w:color="auto"/>
            </w:tcBorders>
            <w:vAlign w:val="bottom"/>
          </w:tcPr>
          <w:p w14:paraId="52734244" w14:textId="77777777" w:rsidR="004B1C2A" w:rsidRPr="00FB38E1" w:rsidRDefault="004B1C2A" w:rsidP="004B1C2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2AC20BD0" w14:textId="7CEE713D"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1023" w:type="pct"/>
            <w:tcBorders>
              <w:bottom w:val="single" w:sz="4" w:space="0" w:color="auto"/>
            </w:tcBorders>
            <w:vAlign w:val="center"/>
          </w:tcPr>
          <w:p w14:paraId="714BED9F" w14:textId="2AFF1016"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919" w:type="pct"/>
            <w:tcBorders>
              <w:bottom w:val="single" w:sz="4" w:space="0" w:color="auto"/>
            </w:tcBorders>
            <w:vAlign w:val="center"/>
          </w:tcPr>
          <w:p w14:paraId="08E7DC69" w14:textId="537F81E0"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14" w:type="pct"/>
            <w:tcBorders>
              <w:bottom w:val="single" w:sz="4" w:space="0" w:color="auto"/>
            </w:tcBorders>
            <w:vAlign w:val="center"/>
          </w:tcPr>
          <w:p w14:paraId="41FF4E22" w14:textId="4DB4A898"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4B1C2A" w:rsidRPr="00FB38E1" w14:paraId="174403A9" w14:textId="77777777" w:rsidTr="005E677D">
        <w:tc>
          <w:tcPr>
            <w:tcW w:w="1528" w:type="pct"/>
            <w:tcBorders>
              <w:top w:val="single" w:sz="4" w:space="0" w:color="auto"/>
              <w:bottom w:val="thickThinSmallGap" w:sz="24" w:space="0" w:color="auto"/>
            </w:tcBorders>
            <w:vAlign w:val="bottom"/>
          </w:tcPr>
          <w:p w14:paraId="1B166B66" w14:textId="77777777" w:rsidR="004B1C2A" w:rsidRPr="00FB38E1" w:rsidRDefault="004B1C2A" w:rsidP="004B1C2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4622D948" w14:textId="7C1F921C"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634.268.997</w:t>
            </w:r>
          </w:p>
        </w:tc>
        <w:tc>
          <w:tcPr>
            <w:tcW w:w="1023" w:type="pct"/>
            <w:tcBorders>
              <w:top w:val="single" w:sz="4" w:space="0" w:color="auto"/>
              <w:bottom w:val="thickThinSmallGap" w:sz="24" w:space="0" w:color="auto"/>
            </w:tcBorders>
            <w:vAlign w:val="center"/>
          </w:tcPr>
          <w:p w14:paraId="41F685F5" w14:textId="2D62F72E"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36.899.103</w:t>
            </w:r>
          </w:p>
        </w:tc>
        <w:tc>
          <w:tcPr>
            <w:tcW w:w="919" w:type="pct"/>
            <w:tcBorders>
              <w:top w:val="single" w:sz="4" w:space="0" w:color="auto"/>
              <w:bottom w:val="thickThinSmallGap" w:sz="24" w:space="0" w:color="auto"/>
            </w:tcBorders>
            <w:vAlign w:val="center"/>
          </w:tcPr>
          <w:p w14:paraId="297DE9F0" w14:textId="5A5795FD"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25.249.519</w:t>
            </w:r>
          </w:p>
        </w:tc>
        <w:tc>
          <w:tcPr>
            <w:tcW w:w="814" w:type="pct"/>
            <w:tcBorders>
              <w:top w:val="single" w:sz="4" w:space="0" w:color="auto"/>
              <w:bottom w:val="thickThinSmallGap" w:sz="24" w:space="0" w:color="auto"/>
            </w:tcBorders>
            <w:vAlign w:val="center"/>
          </w:tcPr>
          <w:p w14:paraId="5E845F2C" w14:textId="4C539D41"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12.056.520</w:t>
            </w:r>
          </w:p>
        </w:tc>
      </w:tr>
    </w:tbl>
    <w:p w14:paraId="509240C2" w14:textId="1AD92E43" w:rsidR="00AC3E1A" w:rsidRPr="00FB38E1" w:rsidRDefault="00C13E53" w:rsidP="00654E59">
      <w:pPr>
        <w:autoSpaceDE w:val="0"/>
        <w:autoSpaceDN w:val="0"/>
        <w:adjustRightInd w:val="0"/>
        <w:spacing w:before="60" w:after="240"/>
        <w:rPr>
          <w:rFonts w:ascii="Microsoft Sans Serif" w:eastAsia="Times New Roman" w:hAnsi="Microsoft Sans Serif" w:cs="Microsoft Sans Serif"/>
          <w:bCs/>
          <w:color w:val="404040" w:themeColor="text1" w:themeTint="BF"/>
          <w:sz w:val="14"/>
          <w:szCs w:val="14"/>
        </w:rPr>
      </w:pPr>
      <w:r w:rsidRPr="00FB38E1">
        <w:rPr>
          <w:rFonts w:ascii="Microsoft Sans Serif" w:eastAsia="Times New Roman" w:hAnsi="Microsoft Sans Serif" w:cs="Microsoft Sans Serif"/>
          <w:bCs/>
          <w:color w:val="404040" w:themeColor="text1" w:themeTint="BF"/>
          <w:sz w:val="14"/>
          <w:szCs w:val="14"/>
        </w:rPr>
        <w:t xml:space="preserve">(*) İtfa </w:t>
      </w:r>
      <w:r w:rsidR="0090214A" w:rsidRPr="00FB38E1">
        <w:rPr>
          <w:rFonts w:ascii="Microsoft Sans Serif" w:eastAsia="Times New Roman" w:hAnsi="Microsoft Sans Serif" w:cs="Microsoft Sans Serif"/>
          <w:bCs/>
          <w:color w:val="404040" w:themeColor="text1" w:themeTint="BF"/>
          <w:sz w:val="14"/>
          <w:szCs w:val="14"/>
        </w:rPr>
        <w:t xml:space="preserve">edilmiş </w:t>
      </w:r>
      <w:r w:rsidRPr="00FB38E1">
        <w:rPr>
          <w:rFonts w:ascii="Microsoft Sans Serif" w:eastAsia="Times New Roman" w:hAnsi="Microsoft Sans Serif" w:cs="Microsoft Sans Serif"/>
          <w:bCs/>
          <w:color w:val="404040" w:themeColor="text1" w:themeTint="BF"/>
          <w:sz w:val="14"/>
          <w:szCs w:val="14"/>
        </w:rPr>
        <w:t>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946"/>
        <w:gridCol w:w="1380"/>
        <w:gridCol w:w="1972"/>
        <w:gridCol w:w="1772"/>
        <w:gridCol w:w="1569"/>
      </w:tblGrid>
      <w:tr w:rsidR="00654E59" w:rsidRPr="00FB38E1" w14:paraId="5411D570" w14:textId="77777777" w:rsidTr="00654E59">
        <w:tc>
          <w:tcPr>
            <w:tcW w:w="1528" w:type="pct"/>
            <w:vMerge w:val="restart"/>
            <w:tcBorders>
              <w:top w:val="thinThickSmallGap" w:sz="24" w:space="0" w:color="auto"/>
            </w:tcBorders>
            <w:vAlign w:val="center"/>
          </w:tcPr>
          <w:p w14:paraId="3741E333" w14:textId="24101760" w:rsidR="00654E59" w:rsidRPr="00FB38E1" w:rsidRDefault="00654E59" w:rsidP="00654E59">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p w14:paraId="75B5E34E" w14:textId="77777777" w:rsidR="00654E59" w:rsidRPr="00FB38E1" w:rsidRDefault="00654E59" w:rsidP="00654E59">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 Krediler (*)</w:t>
            </w:r>
          </w:p>
        </w:tc>
        <w:tc>
          <w:tcPr>
            <w:tcW w:w="716" w:type="pct"/>
            <w:vMerge w:val="restart"/>
            <w:tcBorders>
              <w:top w:val="thinThickSmallGap" w:sz="24" w:space="0" w:color="auto"/>
            </w:tcBorders>
            <w:vAlign w:val="center"/>
          </w:tcPr>
          <w:p w14:paraId="5DDE27FC" w14:textId="77777777" w:rsidR="00654E59" w:rsidRPr="00FB38E1" w:rsidRDefault="00654E59" w:rsidP="00654E5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Standart Nitelikli Krediler</w:t>
            </w:r>
          </w:p>
        </w:tc>
        <w:tc>
          <w:tcPr>
            <w:tcW w:w="2756" w:type="pct"/>
            <w:gridSpan w:val="3"/>
            <w:tcBorders>
              <w:top w:val="thinThickSmallGap" w:sz="24" w:space="0" w:color="auto"/>
              <w:bottom w:val="single" w:sz="4" w:space="0" w:color="auto"/>
            </w:tcBorders>
            <w:vAlign w:val="bottom"/>
          </w:tcPr>
          <w:p w14:paraId="2EB0EA1B" w14:textId="77777777" w:rsidR="00654E59" w:rsidRPr="00FB38E1" w:rsidRDefault="00654E59" w:rsidP="00654E59">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Yakın İzlemedeki Krediler</w:t>
            </w:r>
          </w:p>
        </w:tc>
      </w:tr>
      <w:tr w:rsidR="00654E59" w:rsidRPr="00FB38E1" w14:paraId="37D2AF4A" w14:textId="77777777" w:rsidTr="00654E59">
        <w:tc>
          <w:tcPr>
            <w:tcW w:w="1528" w:type="pct"/>
            <w:vMerge/>
            <w:vAlign w:val="bottom"/>
          </w:tcPr>
          <w:p w14:paraId="4B361C67" w14:textId="77777777" w:rsidR="00654E59" w:rsidRPr="00FB38E1" w:rsidRDefault="00654E59" w:rsidP="00654E59">
            <w:pPr>
              <w:rPr>
                <w:rFonts w:ascii="Microsoft Sans Serif" w:hAnsi="Microsoft Sans Serif" w:cs="Microsoft Sans Serif"/>
                <w:b/>
                <w:bCs/>
                <w:color w:val="000000"/>
                <w:sz w:val="16"/>
                <w:szCs w:val="16"/>
              </w:rPr>
            </w:pPr>
          </w:p>
        </w:tc>
        <w:tc>
          <w:tcPr>
            <w:tcW w:w="716" w:type="pct"/>
            <w:vMerge/>
            <w:vAlign w:val="bottom"/>
          </w:tcPr>
          <w:p w14:paraId="75EC78C7" w14:textId="77777777" w:rsidR="00654E59" w:rsidRPr="00FB38E1" w:rsidRDefault="00654E59" w:rsidP="00654E59">
            <w:pPr>
              <w:jc w:val="right"/>
              <w:rPr>
                <w:rFonts w:ascii="Microsoft Sans Serif" w:hAnsi="Microsoft Sans Serif" w:cs="Microsoft Sans Serif"/>
                <w:b/>
                <w:bCs/>
                <w:color w:val="000000"/>
                <w:sz w:val="16"/>
                <w:szCs w:val="16"/>
              </w:rPr>
            </w:pPr>
          </w:p>
        </w:tc>
        <w:tc>
          <w:tcPr>
            <w:tcW w:w="1023" w:type="pct"/>
            <w:vMerge w:val="restart"/>
            <w:tcBorders>
              <w:top w:val="single" w:sz="4" w:space="0" w:color="auto"/>
            </w:tcBorders>
            <w:vAlign w:val="bottom"/>
          </w:tcPr>
          <w:p w14:paraId="0BE25093" w14:textId="77777777" w:rsidR="00654E59" w:rsidRPr="00FB38E1" w:rsidRDefault="00654E59" w:rsidP="00654E5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Yeniden Yapılandırma Kapsamında Yer Almayanlar</w:t>
            </w:r>
          </w:p>
        </w:tc>
        <w:tc>
          <w:tcPr>
            <w:tcW w:w="1733" w:type="pct"/>
            <w:gridSpan w:val="2"/>
            <w:tcBorders>
              <w:top w:val="single" w:sz="4" w:space="0" w:color="auto"/>
              <w:bottom w:val="single" w:sz="4" w:space="0" w:color="auto"/>
            </w:tcBorders>
            <w:vAlign w:val="bottom"/>
          </w:tcPr>
          <w:p w14:paraId="0439C8A2" w14:textId="77777777" w:rsidR="00654E59" w:rsidRPr="00FB38E1" w:rsidRDefault="00654E59" w:rsidP="00654E59">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Yeniden Yapılandırılanlar</w:t>
            </w:r>
          </w:p>
        </w:tc>
      </w:tr>
      <w:tr w:rsidR="00654E59" w:rsidRPr="00FB38E1" w14:paraId="243C46EF" w14:textId="77777777" w:rsidTr="00654E59">
        <w:tc>
          <w:tcPr>
            <w:tcW w:w="1528" w:type="pct"/>
            <w:vMerge/>
            <w:tcBorders>
              <w:bottom w:val="single" w:sz="4" w:space="0" w:color="auto"/>
            </w:tcBorders>
            <w:vAlign w:val="bottom"/>
          </w:tcPr>
          <w:p w14:paraId="289B8BD1" w14:textId="77777777" w:rsidR="00654E59" w:rsidRPr="00FB38E1" w:rsidRDefault="00654E59" w:rsidP="00654E59">
            <w:pPr>
              <w:rPr>
                <w:rFonts w:ascii="Microsoft Sans Serif" w:hAnsi="Microsoft Sans Serif" w:cs="Microsoft Sans Serif"/>
                <w:b/>
                <w:bCs/>
                <w:color w:val="000000"/>
                <w:sz w:val="16"/>
                <w:szCs w:val="16"/>
              </w:rPr>
            </w:pPr>
          </w:p>
        </w:tc>
        <w:tc>
          <w:tcPr>
            <w:tcW w:w="716" w:type="pct"/>
            <w:vMerge/>
            <w:tcBorders>
              <w:bottom w:val="single" w:sz="4" w:space="0" w:color="auto"/>
            </w:tcBorders>
            <w:vAlign w:val="bottom"/>
          </w:tcPr>
          <w:p w14:paraId="724F93E9" w14:textId="77777777" w:rsidR="00654E59" w:rsidRPr="00FB38E1" w:rsidRDefault="00654E59" w:rsidP="00654E59">
            <w:pPr>
              <w:jc w:val="right"/>
              <w:rPr>
                <w:rFonts w:ascii="Microsoft Sans Serif" w:hAnsi="Microsoft Sans Serif" w:cs="Microsoft Sans Serif"/>
                <w:b/>
                <w:bCs/>
                <w:color w:val="000000"/>
                <w:sz w:val="16"/>
                <w:szCs w:val="16"/>
              </w:rPr>
            </w:pPr>
          </w:p>
        </w:tc>
        <w:tc>
          <w:tcPr>
            <w:tcW w:w="1023" w:type="pct"/>
            <w:vMerge/>
            <w:tcBorders>
              <w:bottom w:val="single" w:sz="4" w:space="0" w:color="auto"/>
            </w:tcBorders>
            <w:vAlign w:val="bottom"/>
          </w:tcPr>
          <w:p w14:paraId="71EA3A51" w14:textId="77777777" w:rsidR="00654E59" w:rsidRPr="00FB38E1" w:rsidRDefault="00654E59" w:rsidP="00654E59">
            <w:pPr>
              <w:jc w:val="center"/>
              <w:rPr>
                <w:rFonts w:ascii="Microsoft Sans Serif" w:hAnsi="Microsoft Sans Serif" w:cs="Microsoft Sans Serif"/>
                <w:b/>
                <w:bCs/>
                <w:color w:val="000000"/>
                <w:sz w:val="16"/>
                <w:szCs w:val="16"/>
              </w:rPr>
            </w:pPr>
          </w:p>
        </w:tc>
        <w:tc>
          <w:tcPr>
            <w:tcW w:w="919" w:type="pct"/>
            <w:tcBorders>
              <w:top w:val="single" w:sz="4" w:space="0" w:color="auto"/>
              <w:bottom w:val="single" w:sz="4" w:space="0" w:color="auto"/>
            </w:tcBorders>
            <w:vAlign w:val="bottom"/>
          </w:tcPr>
          <w:p w14:paraId="41CC2C30" w14:textId="77777777" w:rsidR="00654E59" w:rsidRPr="00FB38E1" w:rsidRDefault="00654E59" w:rsidP="00654E5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Sözleşme Koşullarında Değişiklik</w:t>
            </w:r>
          </w:p>
        </w:tc>
        <w:tc>
          <w:tcPr>
            <w:tcW w:w="814" w:type="pct"/>
            <w:tcBorders>
              <w:top w:val="single" w:sz="4" w:space="0" w:color="auto"/>
              <w:bottom w:val="single" w:sz="4" w:space="0" w:color="auto"/>
            </w:tcBorders>
            <w:vAlign w:val="center"/>
          </w:tcPr>
          <w:p w14:paraId="50C80388" w14:textId="77777777" w:rsidR="00654E59" w:rsidRPr="00FB38E1" w:rsidRDefault="00654E59" w:rsidP="00654E59">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Yeniden Finansman</w:t>
            </w:r>
          </w:p>
        </w:tc>
      </w:tr>
      <w:tr w:rsidR="00EA314E" w:rsidRPr="00FB38E1" w14:paraId="0E07E914" w14:textId="77777777" w:rsidTr="00654E59">
        <w:tc>
          <w:tcPr>
            <w:tcW w:w="1528" w:type="pct"/>
            <w:tcBorders>
              <w:top w:val="single" w:sz="4" w:space="0" w:color="auto"/>
            </w:tcBorders>
            <w:vAlign w:val="bottom"/>
          </w:tcPr>
          <w:p w14:paraId="377A0016" w14:textId="77777777" w:rsidR="00EA314E" w:rsidRPr="00FB38E1" w:rsidRDefault="00EA314E" w:rsidP="00EA314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İhtisas Dışı Krediler</w:t>
            </w:r>
          </w:p>
        </w:tc>
        <w:tc>
          <w:tcPr>
            <w:tcW w:w="716" w:type="pct"/>
            <w:tcBorders>
              <w:top w:val="single" w:sz="4" w:space="0" w:color="auto"/>
            </w:tcBorders>
            <w:vAlign w:val="center"/>
          </w:tcPr>
          <w:p w14:paraId="5E622DD9" w14:textId="58DC226C"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410.061.443</w:t>
            </w:r>
          </w:p>
        </w:tc>
        <w:tc>
          <w:tcPr>
            <w:tcW w:w="1023" w:type="pct"/>
            <w:tcBorders>
              <w:top w:val="single" w:sz="4" w:space="0" w:color="auto"/>
            </w:tcBorders>
            <w:vAlign w:val="center"/>
          </w:tcPr>
          <w:p w14:paraId="7785C036" w14:textId="6CEB1A7F"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20.658.461</w:t>
            </w:r>
          </w:p>
        </w:tc>
        <w:tc>
          <w:tcPr>
            <w:tcW w:w="919" w:type="pct"/>
            <w:tcBorders>
              <w:top w:val="single" w:sz="4" w:space="0" w:color="auto"/>
            </w:tcBorders>
            <w:vAlign w:val="center"/>
          </w:tcPr>
          <w:p w14:paraId="612BC469" w14:textId="31BF23E9"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13.013.007</w:t>
            </w:r>
          </w:p>
        </w:tc>
        <w:tc>
          <w:tcPr>
            <w:tcW w:w="814" w:type="pct"/>
            <w:tcBorders>
              <w:top w:val="single" w:sz="4" w:space="0" w:color="auto"/>
            </w:tcBorders>
            <w:vAlign w:val="center"/>
          </w:tcPr>
          <w:p w14:paraId="671AE674" w14:textId="5A41C3D0"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11.412.665</w:t>
            </w:r>
          </w:p>
        </w:tc>
      </w:tr>
      <w:tr w:rsidR="00EA314E" w:rsidRPr="00FB38E1" w14:paraId="47029BBF" w14:textId="77777777" w:rsidTr="00A024C5">
        <w:tc>
          <w:tcPr>
            <w:tcW w:w="1528" w:type="pct"/>
            <w:vAlign w:val="bottom"/>
          </w:tcPr>
          <w:p w14:paraId="60855E2F" w14:textId="77777777" w:rsidR="00EA314E" w:rsidRPr="00FB38E1" w:rsidRDefault="00EA314E" w:rsidP="00EA314E">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İşletme Kredileri</w:t>
            </w:r>
          </w:p>
        </w:tc>
        <w:tc>
          <w:tcPr>
            <w:tcW w:w="716" w:type="pct"/>
            <w:vAlign w:val="center"/>
          </w:tcPr>
          <w:p w14:paraId="777B1A92" w14:textId="622C46A2"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4.189.995</w:t>
            </w:r>
          </w:p>
        </w:tc>
        <w:tc>
          <w:tcPr>
            <w:tcW w:w="1023" w:type="pct"/>
            <w:vAlign w:val="bottom"/>
          </w:tcPr>
          <w:p w14:paraId="48B749A6" w14:textId="6E735EEB"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2.642.573</w:t>
            </w:r>
          </w:p>
        </w:tc>
        <w:tc>
          <w:tcPr>
            <w:tcW w:w="919" w:type="pct"/>
            <w:vAlign w:val="bottom"/>
          </w:tcPr>
          <w:p w14:paraId="3A9153D3" w14:textId="28B7DA27"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4.232.504</w:t>
            </w:r>
          </w:p>
        </w:tc>
        <w:tc>
          <w:tcPr>
            <w:tcW w:w="814" w:type="pct"/>
            <w:vAlign w:val="bottom"/>
          </w:tcPr>
          <w:p w14:paraId="74499C6B" w14:textId="0D1AC5BF"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756.016</w:t>
            </w:r>
          </w:p>
        </w:tc>
      </w:tr>
      <w:tr w:rsidR="00EA314E" w:rsidRPr="00FB38E1" w14:paraId="3A5C1FB1" w14:textId="77777777" w:rsidTr="00A024C5">
        <w:tc>
          <w:tcPr>
            <w:tcW w:w="1528" w:type="pct"/>
            <w:vAlign w:val="bottom"/>
          </w:tcPr>
          <w:p w14:paraId="4A1DD75C" w14:textId="77777777" w:rsidR="00EA314E" w:rsidRPr="00FB38E1" w:rsidRDefault="00EA314E" w:rsidP="00EA314E">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İhracat Kredileri</w:t>
            </w:r>
          </w:p>
        </w:tc>
        <w:tc>
          <w:tcPr>
            <w:tcW w:w="716" w:type="pct"/>
            <w:vAlign w:val="center"/>
          </w:tcPr>
          <w:p w14:paraId="75DBD09E" w14:textId="0BB5FAA2"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41.685.016</w:t>
            </w:r>
          </w:p>
        </w:tc>
        <w:tc>
          <w:tcPr>
            <w:tcW w:w="1023" w:type="pct"/>
            <w:vAlign w:val="bottom"/>
          </w:tcPr>
          <w:p w14:paraId="0CDF2255" w14:textId="21B8DF25"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173.302</w:t>
            </w:r>
          </w:p>
        </w:tc>
        <w:tc>
          <w:tcPr>
            <w:tcW w:w="919" w:type="pct"/>
            <w:vAlign w:val="bottom"/>
          </w:tcPr>
          <w:p w14:paraId="6734BDC4" w14:textId="7E3EC0FF"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w:t>
            </w:r>
          </w:p>
        </w:tc>
        <w:tc>
          <w:tcPr>
            <w:tcW w:w="814" w:type="pct"/>
            <w:vAlign w:val="bottom"/>
          </w:tcPr>
          <w:p w14:paraId="6D60EC74" w14:textId="48A85519"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213.526</w:t>
            </w:r>
          </w:p>
        </w:tc>
      </w:tr>
      <w:tr w:rsidR="00EA314E" w:rsidRPr="00FB38E1" w14:paraId="0B0D4488" w14:textId="77777777" w:rsidTr="00A024C5">
        <w:tc>
          <w:tcPr>
            <w:tcW w:w="1528" w:type="pct"/>
            <w:vAlign w:val="bottom"/>
          </w:tcPr>
          <w:p w14:paraId="7B38A562" w14:textId="77777777" w:rsidR="00EA314E" w:rsidRPr="00FB38E1" w:rsidRDefault="00EA314E" w:rsidP="00EA314E">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İthalat Kredileri</w:t>
            </w:r>
          </w:p>
        </w:tc>
        <w:tc>
          <w:tcPr>
            <w:tcW w:w="716" w:type="pct"/>
            <w:vAlign w:val="center"/>
          </w:tcPr>
          <w:p w14:paraId="472DA9DF" w14:textId="331344EB"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23" w:type="pct"/>
            <w:vAlign w:val="bottom"/>
          </w:tcPr>
          <w:p w14:paraId="3DDAA0DC" w14:textId="2500C0EB"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w:t>
            </w:r>
          </w:p>
        </w:tc>
        <w:tc>
          <w:tcPr>
            <w:tcW w:w="919" w:type="pct"/>
            <w:vAlign w:val="bottom"/>
          </w:tcPr>
          <w:p w14:paraId="0759F164" w14:textId="742C528D"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w:t>
            </w:r>
          </w:p>
        </w:tc>
        <w:tc>
          <w:tcPr>
            <w:tcW w:w="814" w:type="pct"/>
            <w:vAlign w:val="bottom"/>
          </w:tcPr>
          <w:p w14:paraId="208E3829" w14:textId="2504833E"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w:t>
            </w:r>
          </w:p>
        </w:tc>
      </w:tr>
      <w:tr w:rsidR="00EA314E" w:rsidRPr="00FB38E1" w14:paraId="2192DB13" w14:textId="77777777" w:rsidTr="00A024C5">
        <w:tc>
          <w:tcPr>
            <w:tcW w:w="1528" w:type="pct"/>
            <w:vAlign w:val="bottom"/>
          </w:tcPr>
          <w:p w14:paraId="170ABB66" w14:textId="77777777" w:rsidR="00EA314E" w:rsidRPr="00FB38E1" w:rsidRDefault="00EA314E" w:rsidP="00EA314E">
            <w:pPr>
              <w:ind w:left="174"/>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Mali Kesime Verilen Krediler</w:t>
            </w:r>
          </w:p>
        </w:tc>
        <w:tc>
          <w:tcPr>
            <w:tcW w:w="716" w:type="pct"/>
            <w:vAlign w:val="center"/>
          </w:tcPr>
          <w:p w14:paraId="11C3EF0E" w14:textId="32175B9B"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13.080.835</w:t>
            </w:r>
          </w:p>
        </w:tc>
        <w:tc>
          <w:tcPr>
            <w:tcW w:w="1023" w:type="pct"/>
            <w:vAlign w:val="bottom"/>
          </w:tcPr>
          <w:p w14:paraId="24B6AC00" w14:textId="5B66EB7C"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w:t>
            </w:r>
          </w:p>
        </w:tc>
        <w:tc>
          <w:tcPr>
            <w:tcW w:w="919" w:type="pct"/>
            <w:vAlign w:val="bottom"/>
          </w:tcPr>
          <w:p w14:paraId="0EF15385" w14:textId="36C2120A"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w:t>
            </w:r>
          </w:p>
        </w:tc>
        <w:tc>
          <w:tcPr>
            <w:tcW w:w="814" w:type="pct"/>
            <w:vAlign w:val="bottom"/>
          </w:tcPr>
          <w:p w14:paraId="5B1DCEC9" w14:textId="432A16A8"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w:t>
            </w:r>
          </w:p>
        </w:tc>
      </w:tr>
      <w:tr w:rsidR="00EA314E" w:rsidRPr="00FB38E1" w14:paraId="5004BECC" w14:textId="77777777" w:rsidTr="00A024C5">
        <w:tc>
          <w:tcPr>
            <w:tcW w:w="1528" w:type="pct"/>
            <w:vAlign w:val="bottom"/>
          </w:tcPr>
          <w:p w14:paraId="19EB2A84" w14:textId="77777777" w:rsidR="00EA314E" w:rsidRPr="00FB38E1" w:rsidRDefault="00EA314E" w:rsidP="00EA314E">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Tüketici Kredileri</w:t>
            </w:r>
          </w:p>
        </w:tc>
        <w:tc>
          <w:tcPr>
            <w:tcW w:w="716" w:type="pct"/>
            <w:vAlign w:val="center"/>
          </w:tcPr>
          <w:p w14:paraId="6DCACFC9" w14:textId="57CC6524"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55.512.061</w:t>
            </w:r>
          </w:p>
        </w:tc>
        <w:tc>
          <w:tcPr>
            <w:tcW w:w="1023" w:type="pct"/>
            <w:vAlign w:val="bottom"/>
          </w:tcPr>
          <w:p w14:paraId="189236F3" w14:textId="550C121B"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4.388.391</w:t>
            </w:r>
          </w:p>
        </w:tc>
        <w:tc>
          <w:tcPr>
            <w:tcW w:w="919" w:type="pct"/>
            <w:vAlign w:val="bottom"/>
          </w:tcPr>
          <w:p w14:paraId="3C52D587" w14:textId="110519BA"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2.347.591</w:t>
            </w:r>
          </w:p>
        </w:tc>
        <w:tc>
          <w:tcPr>
            <w:tcW w:w="814" w:type="pct"/>
            <w:vAlign w:val="bottom"/>
          </w:tcPr>
          <w:p w14:paraId="50D6804C" w14:textId="49C55B7C"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19.193</w:t>
            </w:r>
          </w:p>
        </w:tc>
      </w:tr>
      <w:tr w:rsidR="00EA314E" w:rsidRPr="00FB38E1" w14:paraId="11DDF38E" w14:textId="77777777" w:rsidTr="00A024C5">
        <w:tc>
          <w:tcPr>
            <w:tcW w:w="1528" w:type="pct"/>
            <w:vAlign w:val="bottom"/>
          </w:tcPr>
          <w:p w14:paraId="6118741F" w14:textId="77777777" w:rsidR="00EA314E" w:rsidRPr="00FB38E1" w:rsidRDefault="00EA314E" w:rsidP="00EA314E">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Kredi Kartları</w:t>
            </w:r>
          </w:p>
        </w:tc>
        <w:tc>
          <w:tcPr>
            <w:tcW w:w="716" w:type="pct"/>
            <w:vAlign w:val="center"/>
          </w:tcPr>
          <w:p w14:paraId="022BA534" w14:textId="7D95B011"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94.050.181</w:t>
            </w:r>
          </w:p>
        </w:tc>
        <w:tc>
          <w:tcPr>
            <w:tcW w:w="1023" w:type="pct"/>
            <w:vAlign w:val="bottom"/>
          </w:tcPr>
          <w:p w14:paraId="5F6D6A7F" w14:textId="2308F68C"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3.508.533</w:t>
            </w:r>
          </w:p>
        </w:tc>
        <w:tc>
          <w:tcPr>
            <w:tcW w:w="919" w:type="pct"/>
            <w:vAlign w:val="bottom"/>
          </w:tcPr>
          <w:p w14:paraId="039B633C" w14:textId="224C5456"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1.776.424</w:t>
            </w:r>
          </w:p>
        </w:tc>
        <w:tc>
          <w:tcPr>
            <w:tcW w:w="814" w:type="pct"/>
            <w:vAlign w:val="bottom"/>
          </w:tcPr>
          <w:p w14:paraId="7B3A97C9" w14:textId="3516E618"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2.369</w:t>
            </w:r>
          </w:p>
        </w:tc>
      </w:tr>
      <w:tr w:rsidR="00EA314E" w:rsidRPr="00FB38E1" w14:paraId="78017FF3" w14:textId="77777777" w:rsidTr="00A024C5">
        <w:tc>
          <w:tcPr>
            <w:tcW w:w="1528" w:type="pct"/>
            <w:vAlign w:val="bottom"/>
          </w:tcPr>
          <w:p w14:paraId="0AD55A0B" w14:textId="77777777" w:rsidR="00EA314E" w:rsidRPr="00FB38E1" w:rsidRDefault="00EA314E" w:rsidP="00EA314E">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16" w:type="pct"/>
            <w:vAlign w:val="center"/>
          </w:tcPr>
          <w:p w14:paraId="35EC081A" w14:textId="62A70D50"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201.543.355</w:t>
            </w:r>
          </w:p>
        </w:tc>
        <w:tc>
          <w:tcPr>
            <w:tcW w:w="1023" w:type="pct"/>
            <w:vAlign w:val="bottom"/>
          </w:tcPr>
          <w:p w14:paraId="3AFF9873" w14:textId="0E0D4AF3"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9.945.662</w:t>
            </w:r>
          </w:p>
        </w:tc>
        <w:tc>
          <w:tcPr>
            <w:tcW w:w="919" w:type="pct"/>
            <w:vAlign w:val="bottom"/>
          </w:tcPr>
          <w:p w14:paraId="7A8846CB" w14:textId="543B0277"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4.656.488</w:t>
            </w:r>
          </w:p>
        </w:tc>
        <w:tc>
          <w:tcPr>
            <w:tcW w:w="814" w:type="pct"/>
            <w:vAlign w:val="bottom"/>
          </w:tcPr>
          <w:p w14:paraId="5910E3D6" w14:textId="3633EFBC" w:rsidR="00EA314E" w:rsidRPr="00FB38E1" w:rsidRDefault="00EA314E" w:rsidP="00EA314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10.421.561</w:t>
            </w:r>
          </w:p>
        </w:tc>
      </w:tr>
      <w:tr w:rsidR="00EA314E" w:rsidRPr="00FB38E1" w14:paraId="7FCBF448" w14:textId="77777777" w:rsidTr="00A024C5">
        <w:tc>
          <w:tcPr>
            <w:tcW w:w="1528" w:type="pct"/>
            <w:vAlign w:val="bottom"/>
          </w:tcPr>
          <w:p w14:paraId="6C968D1A" w14:textId="77777777" w:rsidR="00EA314E" w:rsidRPr="00FB38E1" w:rsidRDefault="00EA314E" w:rsidP="00EA314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İhtisas Kredileri</w:t>
            </w:r>
          </w:p>
        </w:tc>
        <w:tc>
          <w:tcPr>
            <w:tcW w:w="716" w:type="pct"/>
            <w:vAlign w:val="center"/>
          </w:tcPr>
          <w:p w14:paraId="66B01A26" w14:textId="6BB81BD0"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22.214.443</w:t>
            </w:r>
          </w:p>
        </w:tc>
        <w:tc>
          <w:tcPr>
            <w:tcW w:w="1023" w:type="pct"/>
            <w:vAlign w:val="bottom"/>
          </w:tcPr>
          <w:p w14:paraId="0CE81FD0" w14:textId="4619F0C4"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color w:val="000000"/>
                <w:sz w:val="16"/>
                <w:szCs w:val="16"/>
              </w:rPr>
              <w:t>1.399.415</w:t>
            </w:r>
          </w:p>
        </w:tc>
        <w:tc>
          <w:tcPr>
            <w:tcW w:w="919" w:type="pct"/>
            <w:vAlign w:val="bottom"/>
          </w:tcPr>
          <w:p w14:paraId="401939A4" w14:textId="00F24AE9"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color w:val="000000"/>
                <w:sz w:val="16"/>
                <w:szCs w:val="16"/>
              </w:rPr>
              <w:t>261.669</w:t>
            </w:r>
          </w:p>
        </w:tc>
        <w:tc>
          <w:tcPr>
            <w:tcW w:w="814" w:type="pct"/>
            <w:vAlign w:val="bottom"/>
          </w:tcPr>
          <w:p w14:paraId="22C52292" w14:textId="5ED5D7C8"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color w:val="000000"/>
                <w:sz w:val="16"/>
                <w:szCs w:val="16"/>
              </w:rPr>
              <w:t>212.307</w:t>
            </w:r>
          </w:p>
        </w:tc>
      </w:tr>
      <w:tr w:rsidR="00EA314E" w:rsidRPr="00FB38E1" w14:paraId="5B8AEA0D" w14:textId="77777777" w:rsidTr="00A024C5">
        <w:tc>
          <w:tcPr>
            <w:tcW w:w="1528" w:type="pct"/>
            <w:tcBorders>
              <w:bottom w:val="single" w:sz="4" w:space="0" w:color="auto"/>
            </w:tcBorders>
            <w:vAlign w:val="bottom"/>
          </w:tcPr>
          <w:p w14:paraId="4E6765AB" w14:textId="77777777" w:rsidR="00EA314E" w:rsidRPr="00FB38E1" w:rsidRDefault="00EA314E" w:rsidP="00EA314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Diğer Alacaklar</w:t>
            </w:r>
          </w:p>
        </w:tc>
        <w:tc>
          <w:tcPr>
            <w:tcW w:w="716" w:type="pct"/>
            <w:tcBorders>
              <w:bottom w:val="single" w:sz="4" w:space="0" w:color="auto"/>
            </w:tcBorders>
            <w:vAlign w:val="center"/>
          </w:tcPr>
          <w:p w14:paraId="6FB4202B" w14:textId="2CCFE23D"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1023" w:type="pct"/>
            <w:tcBorders>
              <w:bottom w:val="single" w:sz="4" w:space="0" w:color="auto"/>
            </w:tcBorders>
            <w:vAlign w:val="bottom"/>
          </w:tcPr>
          <w:p w14:paraId="6C4303A9" w14:textId="16C52CEB"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color w:val="000000"/>
                <w:sz w:val="16"/>
                <w:szCs w:val="16"/>
              </w:rPr>
              <w:t>--</w:t>
            </w:r>
          </w:p>
        </w:tc>
        <w:tc>
          <w:tcPr>
            <w:tcW w:w="919" w:type="pct"/>
            <w:tcBorders>
              <w:bottom w:val="single" w:sz="4" w:space="0" w:color="auto"/>
            </w:tcBorders>
            <w:vAlign w:val="bottom"/>
          </w:tcPr>
          <w:p w14:paraId="61F055EA" w14:textId="6190E27D"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color w:val="000000"/>
                <w:sz w:val="16"/>
                <w:szCs w:val="16"/>
              </w:rPr>
              <w:t>--</w:t>
            </w:r>
          </w:p>
        </w:tc>
        <w:tc>
          <w:tcPr>
            <w:tcW w:w="814" w:type="pct"/>
            <w:tcBorders>
              <w:bottom w:val="single" w:sz="4" w:space="0" w:color="auto"/>
            </w:tcBorders>
            <w:vAlign w:val="bottom"/>
          </w:tcPr>
          <w:p w14:paraId="5C1CE505" w14:textId="5984AB2A"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color w:val="000000"/>
                <w:sz w:val="16"/>
                <w:szCs w:val="16"/>
              </w:rPr>
              <w:t>--</w:t>
            </w:r>
          </w:p>
        </w:tc>
      </w:tr>
      <w:tr w:rsidR="00EA314E" w:rsidRPr="00FB38E1" w14:paraId="7D47D371" w14:textId="77777777" w:rsidTr="00654E59">
        <w:tc>
          <w:tcPr>
            <w:tcW w:w="1528" w:type="pct"/>
            <w:tcBorders>
              <w:top w:val="single" w:sz="4" w:space="0" w:color="auto"/>
              <w:bottom w:val="thickThinSmallGap" w:sz="24" w:space="0" w:color="auto"/>
            </w:tcBorders>
            <w:vAlign w:val="bottom"/>
          </w:tcPr>
          <w:p w14:paraId="7B41CA83" w14:textId="77777777" w:rsidR="00EA314E" w:rsidRPr="00FB38E1" w:rsidRDefault="00EA314E" w:rsidP="00EA314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16" w:type="pct"/>
            <w:tcBorders>
              <w:top w:val="single" w:sz="4" w:space="0" w:color="auto"/>
              <w:bottom w:val="thickThinSmallGap" w:sz="24" w:space="0" w:color="auto"/>
            </w:tcBorders>
            <w:vAlign w:val="center"/>
          </w:tcPr>
          <w:p w14:paraId="260302F8" w14:textId="059B069E"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432.275.886</w:t>
            </w:r>
          </w:p>
        </w:tc>
        <w:tc>
          <w:tcPr>
            <w:tcW w:w="1023" w:type="pct"/>
            <w:tcBorders>
              <w:top w:val="single" w:sz="4" w:space="0" w:color="auto"/>
              <w:bottom w:val="thickThinSmallGap" w:sz="24" w:space="0" w:color="auto"/>
            </w:tcBorders>
            <w:vAlign w:val="center"/>
          </w:tcPr>
          <w:p w14:paraId="5C95B5D7" w14:textId="1BBDC44C"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22.057.876</w:t>
            </w:r>
          </w:p>
        </w:tc>
        <w:tc>
          <w:tcPr>
            <w:tcW w:w="919" w:type="pct"/>
            <w:tcBorders>
              <w:top w:val="single" w:sz="4" w:space="0" w:color="auto"/>
              <w:bottom w:val="thickThinSmallGap" w:sz="24" w:space="0" w:color="auto"/>
            </w:tcBorders>
            <w:vAlign w:val="center"/>
          </w:tcPr>
          <w:p w14:paraId="766DD976" w14:textId="2412BAFC"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13.274.676</w:t>
            </w:r>
          </w:p>
        </w:tc>
        <w:tc>
          <w:tcPr>
            <w:tcW w:w="814" w:type="pct"/>
            <w:tcBorders>
              <w:top w:val="single" w:sz="4" w:space="0" w:color="auto"/>
              <w:bottom w:val="thickThinSmallGap" w:sz="24" w:space="0" w:color="auto"/>
            </w:tcBorders>
            <w:vAlign w:val="center"/>
          </w:tcPr>
          <w:p w14:paraId="6F3C7455" w14:textId="6979F5AA" w:rsidR="00EA314E" w:rsidRPr="00FB38E1" w:rsidRDefault="00EA314E" w:rsidP="00EA314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11.624.972</w:t>
            </w:r>
          </w:p>
        </w:tc>
      </w:tr>
    </w:tbl>
    <w:p w14:paraId="6640A423" w14:textId="77777777" w:rsidR="00654E59" w:rsidRPr="00FB38E1" w:rsidRDefault="00654E59" w:rsidP="00654E59">
      <w:pPr>
        <w:autoSpaceDE w:val="0"/>
        <w:autoSpaceDN w:val="0"/>
        <w:adjustRightInd w:val="0"/>
        <w:spacing w:before="60" w:after="240"/>
        <w:rPr>
          <w:rFonts w:ascii="Microsoft Sans Serif" w:eastAsia="Times New Roman" w:hAnsi="Microsoft Sans Serif" w:cs="Microsoft Sans Serif"/>
          <w:bCs/>
          <w:color w:val="404040" w:themeColor="text1" w:themeTint="BF"/>
          <w:sz w:val="14"/>
          <w:szCs w:val="14"/>
        </w:rPr>
      </w:pPr>
      <w:r w:rsidRPr="00FB38E1">
        <w:rPr>
          <w:rFonts w:ascii="Microsoft Sans Serif" w:eastAsia="Times New Roman" w:hAnsi="Microsoft Sans Serif" w:cs="Microsoft Sans Serif"/>
          <w:bCs/>
          <w:color w:val="404040" w:themeColor="text1" w:themeTint="BF"/>
          <w:sz w:val="14"/>
          <w:szCs w:val="14"/>
        </w:rPr>
        <w:t>(*) İtfa edilmiş maliyet ile tutulan kredileri içermektedir.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735"/>
        <w:gridCol w:w="1475"/>
        <w:gridCol w:w="1477"/>
        <w:gridCol w:w="1475"/>
        <w:gridCol w:w="1477"/>
      </w:tblGrid>
      <w:tr w:rsidR="00AA0985" w:rsidRPr="00FB38E1" w14:paraId="7F93CCA8" w14:textId="77777777" w:rsidTr="00E04EA0">
        <w:tc>
          <w:tcPr>
            <w:tcW w:w="1937" w:type="pct"/>
            <w:tcBorders>
              <w:top w:val="thinThickSmallGap" w:sz="24" w:space="0" w:color="auto"/>
              <w:bottom w:val="nil"/>
            </w:tcBorders>
            <w:vAlign w:val="bottom"/>
          </w:tcPr>
          <w:p w14:paraId="4E2A2F9F" w14:textId="77777777" w:rsidR="00AA0985" w:rsidRPr="00FB38E1" w:rsidRDefault="00AA0985" w:rsidP="00AA0985">
            <w:pPr>
              <w:rPr>
                <w:rFonts w:ascii="Microsoft Sans Serif" w:hAnsi="Microsoft Sans Serif" w:cs="Microsoft Sans Serif"/>
                <w:b/>
                <w:bCs/>
                <w:color w:val="000000"/>
                <w:sz w:val="16"/>
                <w:szCs w:val="16"/>
              </w:rPr>
            </w:pPr>
          </w:p>
        </w:tc>
        <w:tc>
          <w:tcPr>
            <w:tcW w:w="1531" w:type="pct"/>
            <w:gridSpan w:val="2"/>
            <w:tcBorders>
              <w:top w:val="thinThickSmallGap" w:sz="24" w:space="0" w:color="auto"/>
              <w:bottom w:val="nil"/>
            </w:tcBorders>
            <w:vAlign w:val="bottom"/>
          </w:tcPr>
          <w:p w14:paraId="1FDC401A" w14:textId="559C776B" w:rsidR="00AA0985" w:rsidRPr="00FB38E1" w:rsidRDefault="00AA0985" w:rsidP="00AA098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531" w:type="pct"/>
            <w:gridSpan w:val="2"/>
            <w:tcBorders>
              <w:top w:val="thinThickSmallGap" w:sz="24" w:space="0" w:color="auto"/>
              <w:bottom w:val="nil"/>
            </w:tcBorders>
            <w:vAlign w:val="bottom"/>
          </w:tcPr>
          <w:p w14:paraId="4371D74E" w14:textId="048CEA0A" w:rsidR="00AA0985" w:rsidRPr="00FB38E1" w:rsidRDefault="00AA0985" w:rsidP="00AA098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AA0985" w:rsidRPr="00FB38E1" w14:paraId="633D160E" w14:textId="77777777" w:rsidTr="00E04EA0">
        <w:tc>
          <w:tcPr>
            <w:tcW w:w="1937" w:type="pct"/>
            <w:tcBorders>
              <w:top w:val="nil"/>
              <w:bottom w:val="single" w:sz="4" w:space="0" w:color="auto"/>
            </w:tcBorders>
            <w:vAlign w:val="bottom"/>
          </w:tcPr>
          <w:p w14:paraId="16DC7690" w14:textId="77777777" w:rsidR="00F63E2A" w:rsidRPr="00FB38E1" w:rsidRDefault="00F63E2A" w:rsidP="00F63E2A">
            <w:pPr>
              <w:autoSpaceDE w:val="0"/>
              <w:autoSpaceDN w:val="0"/>
              <w:adjustRightInd w:val="0"/>
              <w:jc w:val="left"/>
              <w:rPr>
                <w:rFonts w:ascii="Microsoft Sans Serif" w:hAnsi="Microsoft Sans Serif" w:cs="Microsoft Sans Serif"/>
                <w:b/>
                <w:sz w:val="16"/>
                <w:szCs w:val="16"/>
              </w:rPr>
            </w:pPr>
            <w:r w:rsidRPr="00FB38E1">
              <w:rPr>
                <w:rFonts w:ascii="Microsoft Sans Serif" w:hAnsi="Microsoft Sans Serif" w:cs="Microsoft Sans Serif"/>
                <w:b/>
                <w:sz w:val="16"/>
                <w:szCs w:val="16"/>
              </w:rPr>
              <w:t>Birinci ve İkinci Aşama</w:t>
            </w:r>
          </w:p>
          <w:p w14:paraId="5E3C550D" w14:textId="22BD3740" w:rsidR="00AA0985" w:rsidRPr="00FB38E1" w:rsidRDefault="00F63E2A" w:rsidP="00F63E2A">
            <w:pPr>
              <w:rPr>
                <w:rFonts w:ascii="Microsoft Sans Serif" w:hAnsi="Microsoft Sans Serif" w:cs="Microsoft Sans Serif"/>
                <w:b/>
                <w:bCs/>
                <w:color w:val="000000"/>
                <w:sz w:val="16"/>
                <w:szCs w:val="16"/>
              </w:rPr>
            </w:pPr>
            <w:r w:rsidRPr="00FB38E1">
              <w:rPr>
                <w:rFonts w:ascii="Microsoft Sans Serif" w:hAnsi="Microsoft Sans Serif" w:cs="Microsoft Sans Serif"/>
                <w:b/>
                <w:sz w:val="16"/>
                <w:szCs w:val="16"/>
              </w:rPr>
              <w:t>Beklenen Zarar Karşılıkları</w:t>
            </w:r>
          </w:p>
        </w:tc>
        <w:tc>
          <w:tcPr>
            <w:tcW w:w="765" w:type="pct"/>
            <w:tcBorders>
              <w:top w:val="nil"/>
              <w:bottom w:val="single" w:sz="4" w:space="0" w:color="auto"/>
            </w:tcBorders>
            <w:vAlign w:val="bottom"/>
          </w:tcPr>
          <w:p w14:paraId="6C3484C5" w14:textId="507C8B05" w:rsidR="00AA0985" w:rsidRPr="00FB38E1" w:rsidRDefault="00AA0985" w:rsidP="00AA09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776D614" w14:textId="743A3305" w:rsidR="00AA0985" w:rsidRPr="00FB38E1" w:rsidRDefault="00AA0985" w:rsidP="00AA09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Yakın İzlemedeki Krediler </w:t>
            </w:r>
          </w:p>
        </w:tc>
        <w:tc>
          <w:tcPr>
            <w:tcW w:w="765" w:type="pct"/>
            <w:tcBorders>
              <w:top w:val="nil"/>
              <w:bottom w:val="single" w:sz="4" w:space="0" w:color="auto"/>
            </w:tcBorders>
            <w:vAlign w:val="bottom"/>
          </w:tcPr>
          <w:p w14:paraId="7424C11A" w14:textId="6594AC35" w:rsidR="00AA0985" w:rsidRPr="00FB38E1" w:rsidRDefault="00AA0985" w:rsidP="00AA09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Standart Nitelikli Krediler </w:t>
            </w:r>
          </w:p>
        </w:tc>
        <w:tc>
          <w:tcPr>
            <w:tcW w:w="766" w:type="pct"/>
            <w:tcBorders>
              <w:top w:val="nil"/>
              <w:bottom w:val="single" w:sz="4" w:space="0" w:color="auto"/>
            </w:tcBorders>
            <w:vAlign w:val="bottom"/>
          </w:tcPr>
          <w:p w14:paraId="4B97C577" w14:textId="139F4B84" w:rsidR="00AA0985" w:rsidRPr="00FB38E1" w:rsidRDefault="00AA0985" w:rsidP="00AA09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Yakın İzlemedeki Krediler </w:t>
            </w:r>
          </w:p>
        </w:tc>
      </w:tr>
      <w:tr w:rsidR="002A2DAA" w:rsidRPr="00FB38E1" w14:paraId="689F8323" w14:textId="77777777" w:rsidTr="00E04EA0">
        <w:tc>
          <w:tcPr>
            <w:tcW w:w="1937" w:type="pct"/>
            <w:tcBorders>
              <w:top w:val="nil"/>
            </w:tcBorders>
            <w:vAlign w:val="bottom"/>
          </w:tcPr>
          <w:p w14:paraId="641F3C0C"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 Aylık Beklenen Zarar Karşılığı</w:t>
            </w:r>
          </w:p>
        </w:tc>
        <w:tc>
          <w:tcPr>
            <w:tcW w:w="765" w:type="pct"/>
            <w:tcBorders>
              <w:top w:val="nil"/>
            </w:tcBorders>
            <w:vAlign w:val="center"/>
          </w:tcPr>
          <w:p w14:paraId="7EA5DC59" w14:textId="5B24124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5.982.186</w:t>
            </w:r>
          </w:p>
        </w:tc>
        <w:tc>
          <w:tcPr>
            <w:tcW w:w="766" w:type="pct"/>
            <w:tcBorders>
              <w:top w:val="nil"/>
            </w:tcBorders>
            <w:vAlign w:val="center"/>
          </w:tcPr>
          <w:p w14:paraId="49FED361" w14:textId="0D36AAC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65" w:type="pct"/>
            <w:tcBorders>
              <w:top w:val="nil"/>
            </w:tcBorders>
            <w:vAlign w:val="center"/>
          </w:tcPr>
          <w:p w14:paraId="426EE532" w14:textId="1C7C1BA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6.341.630</w:t>
            </w:r>
          </w:p>
        </w:tc>
        <w:tc>
          <w:tcPr>
            <w:tcW w:w="766" w:type="pct"/>
            <w:tcBorders>
              <w:top w:val="nil"/>
            </w:tcBorders>
            <w:vAlign w:val="center"/>
          </w:tcPr>
          <w:p w14:paraId="1D4F76D9" w14:textId="411A087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A2DAA" w:rsidRPr="00FB38E1" w14:paraId="5CE428CD" w14:textId="77777777" w:rsidTr="00E04EA0">
        <w:tc>
          <w:tcPr>
            <w:tcW w:w="1937" w:type="pct"/>
            <w:vAlign w:val="bottom"/>
          </w:tcPr>
          <w:p w14:paraId="4A76BB2B" w14:textId="77777777" w:rsidR="002A2DAA" w:rsidRPr="00FB38E1" w:rsidRDefault="002A2DAA" w:rsidP="002A2DA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Kredi Riskinde Önemli Artış</w:t>
            </w:r>
          </w:p>
        </w:tc>
        <w:tc>
          <w:tcPr>
            <w:tcW w:w="765" w:type="pct"/>
            <w:vAlign w:val="center"/>
          </w:tcPr>
          <w:p w14:paraId="612E1558" w14:textId="4F4E666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66" w:type="pct"/>
            <w:vAlign w:val="center"/>
          </w:tcPr>
          <w:p w14:paraId="2E781CF4" w14:textId="71415B3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13.286.197</w:t>
            </w:r>
          </w:p>
        </w:tc>
        <w:tc>
          <w:tcPr>
            <w:tcW w:w="765" w:type="pct"/>
            <w:vAlign w:val="center"/>
          </w:tcPr>
          <w:p w14:paraId="5944E14D" w14:textId="5E29023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66" w:type="pct"/>
            <w:vAlign w:val="center"/>
          </w:tcPr>
          <w:p w14:paraId="47F73836" w14:textId="3DBF951C"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14.180.707</w:t>
            </w:r>
          </w:p>
        </w:tc>
      </w:tr>
      <w:tr w:rsidR="002A2DAA" w:rsidRPr="00FB38E1" w14:paraId="10A36957" w14:textId="77777777" w:rsidTr="00E04EA0">
        <w:tc>
          <w:tcPr>
            <w:tcW w:w="1937" w:type="pct"/>
            <w:tcBorders>
              <w:top w:val="single" w:sz="4" w:space="0" w:color="auto"/>
              <w:bottom w:val="thickThinSmallGap" w:sz="24" w:space="0" w:color="auto"/>
            </w:tcBorders>
            <w:vAlign w:val="bottom"/>
          </w:tcPr>
          <w:p w14:paraId="37FE29E6"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65" w:type="pct"/>
            <w:tcBorders>
              <w:top w:val="single" w:sz="4" w:space="0" w:color="auto"/>
              <w:bottom w:val="thickThinSmallGap" w:sz="24" w:space="0" w:color="auto"/>
            </w:tcBorders>
            <w:vAlign w:val="center"/>
          </w:tcPr>
          <w:p w14:paraId="50E29F22" w14:textId="2D13F81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5.982.186</w:t>
            </w:r>
          </w:p>
        </w:tc>
        <w:tc>
          <w:tcPr>
            <w:tcW w:w="766" w:type="pct"/>
            <w:tcBorders>
              <w:top w:val="single" w:sz="4" w:space="0" w:color="auto"/>
              <w:bottom w:val="thickThinSmallGap" w:sz="24" w:space="0" w:color="auto"/>
            </w:tcBorders>
            <w:vAlign w:val="center"/>
          </w:tcPr>
          <w:p w14:paraId="5D365076" w14:textId="71BACDEA"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13.286.197</w:t>
            </w:r>
          </w:p>
        </w:tc>
        <w:tc>
          <w:tcPr>
            <w:tcW w:w="765" w:type="pct"/>
            <w:tcBorders>
              <w:top w:val="single" w:sz="4" w:space="0" w:color="auto"/>
              <w:bottom w:val="thickThinSmallGap" w:sz="24" w:space="0" w:color="auto"/>
            </w:tcBorders>
            <w:vAlign w:val="center"/>
          </w:tcPr>
          <w:p w14:paraId="64FC59ED" w14:textId="108D5117"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6.341.630</w:t>
            </w:r>
          </w:p>
        </w:tc>
        <w:tc>
          <w:tcPr>
            <w:tcW w:w="766" w:type="pct"/>
            <w:tcBorders>
              <w:top w:val="single" w:sz="4" w:space="0" w:color="auto"/>
              <w:bottom w:val="thickThinSmallGap" w:sz="24" w:space="0" w:color="auto"/>
            </w:tcBorders>
            <w:vAlign w:val="center"/>
          </w:tcPr>
          <w:p w14:paraId="2C9A25D6" w14:textId="1AF02888"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14.180.707</w:t>
            </w:r>
          </w:p>
        </w:tc>
      </w:tr>
    </w:tbl>
    <w:p w14:paraId="1C290DD5" w14:textId="77777777" w:rsidR="007C0607" w:rsidRPr="00FB38E1" w:rsidRDefault="007C0607" w:rsidP="007C0607">
      <w:pPr>
        <w:pStyle w:val="BASLIK2"/>
        <w:widowControl/>
        <w:numPr>
          <w:ilvl w:val="0"/>
          <w:numId w:val="21"/>
        </w:numPr>
        <w:spacing w:before="120" w:after="80" w:line="240" w:lineRule="auto"/>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 xml:space="preserve">Vade yapısına göre nakdi kredilerin dağılımı </w:t>
      </w:r>
    </w:p>
    <w:tbl>
      <w:tblPr>
        <w:tblStyle w:val="TableGrid"/>
        <w:tblW w:w="9638"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06"/>
        <w:gridCol w:w="1700"/>
        <w:gridCol w:w="1771"/>
        <w:gridCol w:w="1261"/>
      </w:tblGrid>
      <w:tr w:rsidR="007C0607" w:rsidRPr="00FB38E1" w14:paraId="69CC0730" w14:textId="77777777" w:rsidTr="00836EF2">
        <w:tc>
          <w:tcPr>
            <w:tcW w:w="2545" w:type="pct"/>
            <w:tcBorders>
              <w:right w:val="nil"/>
            </w:tcBorders>
            <w:vAlign w:val="bottom"/>
          </w:tcPr>
          <w:p w14:paraId="6E04741A" w14:textId="77777777" w:rsidR="007C0607" w:rsidRPr="00FB38E1" w:rsidRDefault="007C0607" w:rsidP="00836EF2">
            <w:pPr>
              <w:jc w:val="right"/>
              <w:rPr>
                <w:rFonts w:ascii="Microsoft Sans Serif" w:hAnsi="Microsoft Sans Serif" w:cs="Microsoft Sans Serif"/>
                <w:color w:val="000000"/>
                <w:sz w:val="16"/>
                <w:szCs w:val="16"/>
              </w:rPr>
            </w:pPr>
          </w:p>
        </w:tc>
        <w:tc>
          <w:tcPr>
            <w:tcW w:w="882" w:type="pct"/>
            <w:tcBorders>
              <w:right w:val="nil"/>
            </w:tcBorders>
          </w:tcPr>
          <w:p w14:paraId="3BE6ED7A" w14:textId="77777777" w:rsidR="007C0607" w:rsidRPr="00FB38E1" w:rsidRDefault="007C0607" w:rsidP="00836EF2">
            <w:pPr>
              <w:jc w:val="center"/>
              <w:rPr>
                <w:rFonts w:ascii="Microsoft Sans Serif" w:hAnsi="Microsoft Sans Serif" w:cs="Microsoft Sans Serif"/>
                <w:b/>
                <w:bCs/>
                <w:color w:val="000000"/>
                <w:sz w:val="16"/>
                <w:szCs w:val="16"/>
              </w:rPr>
            </w:pPr>
          </w:p>
        </w:tc>
        <w:tc>
          <w:tcPr>
            <w:tcW w:w="1573" w:type="pct"/>
            <w:gridSpan w:val="2"/>
            <w:tcBorders>
              <w:top w:val="thinThickSmallGap" w:sz="24" w:space="0" w:color="auto"/>
              <w:left w:val="nil"/>
              <w:bottom w:val="single" w:sz="4" w:space="0" w:color="auto"/>
            </w:tcBorders>
            <w:vAlign w:val="bottom"/>
          </w:tcPr>
          <w:p w14:paraId="253127AE" w14:textId="77777777" w:rsidR="007C0607" w:rsidRPr="00FB38E1" w:rsidRDefault="007C0607"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Yakın İzlemedeki Krediler</w:t>
            </w:r>
          </w:p>
        </w:tc>
      </w:tr>
      <w:tr w:rsidR="007C0607" w:rsidRPr="00FB38E1" w14:paraId="34ECF717" w14:textId="77777777" w:rsidTr="00836EF2">
        <w:tc>
          <w:tcPr>
            <w:tcW w:w="2545" w:type="pct"/>
            <w:tcBorders>
              <w:bottom w:val="single" w:sz="4" w:space="0" w:color="auto"/>
              <w:right w:val="nil"/>
            </w:tcBorders>
            <w:vAlign w:val="bottom"/>
          </w:tcPr>
          <w:p w14:paraId="533CB97E" w14:textId="77777777" w:rsidR="007C0607" w:rsidRPr="00FB38E1" w:rsidRDefault="007C0607" w:rsidP="00836EF2">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882" w:type="pct"/>
            <w:tcBorders>
              <w:bottom w:val="single" w:sz="4" w:space="0" w:color="auto"/>
              <w:right w:val="nil"/>
            </w:tcBorders>
            <w:vAlign w:val="bottom"/>
          </w:tcPr>
          <w:p w14:paraId="5BA4F6AE" w14:textId="77777777" w:rsidR="007C0607" w:rsidRPr="00FB38E1" w:rsidRDefault="007C060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Standart Nitelikli Krediler</w:t>
            </w:r>
          </w:p>
        </w:tc>
        <w:tc>
          <w:tcPr>
            <w:tcW w:w="919" w:type="pct"/>
            <w:tcBorders>
              <w:top w:val="single" w:sz="4" w:space="0" w:color="auto"/>
              <w:left w:val="nil"/>
              <w:bottom w:val="single" w:sz="4" w:space="0" w:color="auto"/>
            </w:tcBorders>
            <w:vAlign w:val="bottom"/>
          </w:tcPr>
          <w:p w14:paraId="62985E3B" w14:textId="77777777" w:rsidR="007C0607" w:rsidRPr="00FB38E1" w:rsidRDefault="007C060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Yeniden Yapılandırma Kapsamında Yer Almayanlar</w:t>
            </w:r>
          </w:p>
        </w:tc>
        <w:tc>
          <w:tcPr>
            <w:tcW w:w="654" w:type="pct"/>
            <w:tcBorders>
              <w:top w:val="single" w:sz="4" w:space="0" w:color="auto"/>
              <w:bottom w:val="single" w:sz="4" w:space="0" w:color="auto"/>
            </w:tcBorders>
            <w:vAlign w:val="bottom"/>
          </w:tcPr>
          <w:p w14:paraId="0A63E24A" w14:textId="77777777" w:rsidR="007C0607" w:rsidRPr="00FB38E1" w:rsidRDefault="007C060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Yeniden Yapılandırılanlar</w:t>
            </w:r>
          </w:p>
        </w:tc>
      </w:tr>
      <w:tr w:rsidR="004B1C2A" w:rsidRPr="00FB38E1" w14:paraId="1E36BD16" w14:textId="77777777" w:rsidTr="00836EF2">
        <w:tc>
          <w:tcPr>
            <w:tcW w:w="2545" w:type="pct"/>
            <w:tcBorders>
              <w:top w:val="single" w:sz="4" w:space="0" w:color="auto"/>
              <w:bottom w:val="nil"/>
            </w:tcBorders>
            <w:vAlign w:val="bottom"/>
          </w:tcPr>
          <w:p w14:paraId="01D00EC4" w14:textId="77777777" w:rsidR="004B1C2A" w:rsidRPr="00FB38E1" w:rsidRDefault="004B1C2A" w:rsidP="004B1C2A">
            <w:pPr>
              <w:rPr>
                <w:rFonts w:ascii="Microsoft Sans Serif" w:hAnsi="Microsoft Sans Serif" w:cs="Microsoft Sans Serif"/>
                <w:bCs/>
                <w:color w:val="000000"/>
                <w:sz w:val="16"/>
                <w:szCs w:val="16"/>
              </w:rPr>
            </w:pPr>
            <w:r w:rsidRPr="00FB38E1">
              <w:rPr>
                <w:rFonts w:ascii="Microsoft Sans Serif" w:hAnsi="Microsoft Sans Serif" w:cs="Microsoft Sans Serif"/>
                <w:bCs/>
                <w:color w:val="000000"/>
                <w:sz w:val="16"/>
                <w:szCs w:val="16"/>
              </w:rPr>
              <w:t>Kısa Vadeli Krediler</w:t>
            </w:r>
          </w:p>
        </w:tc>
        <w:tc>
          <w:tcPr>
            <w:tcW w:w="882" w:type="pct"/>
            <w:tcBorders>
              <w:top w:val="nil"/>
              <w:bottom w:val="nil"/>
            </w:tcBorders>
            <w:vAlign w:val="center"/>
          </w:tcPr>
          <w:p w14:paraId="25D32DC7" w14:textId="61E39E67" w:rsidR="004B1C2A" w:rsidRPr="00FB38E1" w:rsidRDefault="004B1C2A" w:rsidP="004B1C2A">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323.336.641</w:t>
            </w:r>
          </w:p>
        </w:tc>
        <w:tc>
          <w:tcPr>
            <w:tcW w:w="919" w:type="pct"/>
            <w:tcBorders>
              <w:top w:val="single" w:sz="4" w:space="0" w:color="auto"/>
              <w:bottom w:val="nil"/>
            </w:tcBorders>
            <w:vAlign w:val="center"/>
          </w:tcPr>
          <w:p w14:paraId="318FE418" w14:textId="72DD8E22" w:rsidR="004B1C2A" w:rsidRPr="00FB38E1" w:rsidRDefault="004B1C2A" w:rsidP="004B1C2A">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19.210.907</w:t>
            </w:r>
          </w:p>
        </w:tc>
        <w:tc>
          <w:tcPr>
            <w:tcW w:w="654" w:type="pct"/>
            <w:tcBorders>
              <w:top w:val="single" w:sz="4" w:space="0" w:color="auto"/>
              <w:bottom w:val="nil"/>
            </w:tcBorders>
            <w:vAlign w:val="center"/>
          </w:tcPr>
          <w:p w14:paraId="782E2B0E" w14:textId="53E15167" w:rsidR="004B1C2A" w:rsidRPr="00FB38E1" w:rsidRDefault="004B1C2A" w:rsidP="004B1C2A">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4.454.498</w:t>
            </w:r>
          </w:p>
        </w:tc>
      </w:tr>
      <w:tr w:rsidR="004B1C2A" w:rsidRPr="00FB38E1" w14:paraId="31DB5AC4" w14:textId="77777777" w:rsidTr="00836EF2">
        <w:tc>
          <w:tcPr>
            <w:tcW w:w="2545" w:type="pct"/>
            <w:tcBorders>
              <w:top w:val="nil"/>
            </w:tcBorders>
            <w:vAlign w:val="bottom"/>
          </w:tcPr>
          <w:p w14:paraId="3500B85B" w14:textId="77777777" w:rsidR="004B1C2A" w:rsidRPr="00FB38E1" w:rsidRDefault="004B1C2A" w:rsidP="004B1C2A">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Orta ve Uzun Vadeli Krediler</w:t>
            </w:r>
          </w:p>
        </w:tc>
        <w:tc>
          <w:tcPr>
            <w:tcW w:w="882" w:type="pct"/>
            <w:tcBorders>
              <w:top w:val="nil"/>
            </w:tcBorders>
            <w:vAlign w:val="center"/>
          </w:tcPr>
          <w:p w14:paraId="77AD39D8" w14:textId="4A44FB05" w:rsidR="004B1C2A" w:rsidRPr="00FB38E1" w:rsidRDefault="004B1C2A" w:rsidP="004B1C2A">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color w:val="404040"/>
                <w:sz w:val="16"/>
                <w:szCs w:val="16"/>
              </w:rPr>
              <w:t>310.932.356</w:t>
            </w:r>
          </w:p>
        </w:tc>
        <w:tc>
          <w:tcPr>
            <w:tcW w:w="919" w:type="pct"/>
            <w:tcBorders>
              <w:top w:val="nil"/>
            </w:tcBorders>
            <w:vAlign w:val="center"/>
          </w:tcPr>
          <w:p w14:paraId="4B911BEA" w14:textId="76E87F54" w:rsidR="004B1C2A" w:rsidRPr="00FB38E1" w:rsidRDefault="004B1C2A" w:rsidP="004B1C2A">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17.688.196</w:t>
            </w:r>
          </w:p>
        </w:tc>
        <w:tc>
          <w:tcPr>
            <w:tcW w:w="654" w:type="pct"/>
            <w:tcBorders>
              <w:top w:val="nil"/>
            </w:tcBorders>
            <w:vAlign w:val="center"/>
          </w:tcPr>
          <w:p w14:paraId="18E8B102" w14:textId="02404298" w:rsidR="004B1C2A" w:rsidRPr="00FB38E1" w:rsidRDefault="004B1C2A" w:rsidP="004B1C2A">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32.851.541</w:t>
            </w:r>
          </w:p>
        </w:tc>
      </w:tr>
      <w:tr w:rsidR="004B1C2A" w:rsidRPr="00FB38E1" w14:paraId="6FBCCC14" w14:textId="77777777" w:rsidTr="00836EF2">
        <w:tc>
          <w:tcPr>
            <w:tcW w:w="2545" w:type="pct"/>
            <w:tcBorders>
              <w:top w:val="single" w:sz="6" w:space="0" w:color="auto"/>
              <w:bottom w:val="thickThinSmallGap" w:sz="24" w:space="0" w:color="auto"/>
            </w:tcBorders>
            <w:vAlign w:val="bottom"/>
          </w:tcPr>
          <w:p w14:paraId="4735DE28" w14:textId="77777777" w:rsidR="004B1C2A" w:rsidRPr="00FB38E1" w:rsidRDefault="004B1C2A" w:rsidP="004B1C2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882" w:type="pct"/>
            <w:tcBorders>
              <w:top w:val="single" w:sz="6" w:space="0" w:color="auto"/>
              <w:bottom w:val="thickThinSmallGap" w:sz="24" w:space="0" w:color="auto"/>
            </w:tcBorders>
            <w:vAlign w:val="center"/>
          </w:tcPr>
          <w:p w14:paraId="78986CE9" w14:textId="2CF8D1FD"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634.268.997</w:t>
            </w:r>
          </w:p>
        </w:tc>
        <w:tc>
          <w:tcPr>
            <w:tcW w:w="919" w:type="pct"/>
            <w:tcBorders>
              <w:top w:val="single" w:sz="6" w:space="0" w:color="auto"/>
              <w:bottom w:val="thickThinSmallGap" w:sz="24" w:space="0" w:color="auto"/>
            </w:tcBorders>
            <w:vAlign w:val="center"/>
          </w:tcPr>
          <w:p w14:paraId="0A971252" w14:textId="73D422D6"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36.899.103</w:t>
            </w:r>
          </w:p>
        </w:tc>
        <w:tc>
          <w:tcPr>
            <w:tcW w:w="654" w:type="pct"/>
            <w:tcBorders>
              <w:top w:val="single" w:sz="6" w:space="0" w:color="auto"/>
              <w:bottom w:val="thickThinSmallGap" w:sz="24" w:space="0" w:color="auto"/>
            </w:tcBorders>
            <w:vAlign w:val="center"/>
          </w:tcPr>
          <w:p w14:paraId="60A68803" w14:textId="16604471" w:rsidR="004B1C2A" w:rsidRPr="00FB38E1" w:rsidRDefault="004B1C2A" w:rsidP="004B1C2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37.306.039</w:t>
            </w:r>
          </w:p>
        </w:tc>
      </w:tr>
    </w:tbl>
    <w:p w14:paraId="23E40988" w14:textId="2A87757F" w:rsidR="0004350B" w:rsidRPr="00FB38E1" w:rsidRDefault="0004350B" w:rsidP="006904A5">
      <w:pPr>
        <w:pStyle w:val="BASLIK2"/>
        <w:widowControl/>
        <w:numPr>
          <w:ilvl w:val="0"/>
          <w:numId w:val="21"/>
        </w:numPr>
        <w:spacing w:line="240" w:lineRule="exact"/>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Tüketici kredileri, bireysel kredi kartları ve personel kredi kartlarına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6"/>
        <w:gridCol w:w="1417"/>
        <w:gridCol w:w="1562"/>
        <w:gridCol w:w="1274"/>
      </w:tblGrid>
      <w:tr w:rsidR="0004350B" w:rsidRPr="00FB38E1" w14:paraId="012629C9" w14:textId="77777777" w:rsidTr="004E1B47">
        <w:trPr>
          <w:trHeight w:val="398"/>
        </w:trPr>
        <w:tc>
          <w:tcPr>
            <w:tcW w:w="2794" w:type="pct"/>
            <w:tcBorders>
              <w:top w:val="thinThickSmallGap" w:sz="24" w:space="0" w:color="auto"/>
              <w:bottom w:val="single" w:sz="4" w:space="0" w:color="auto"/>
            </w:tcBorders>
            <w:vAlign w:val="center"/>
          </w:tcPr>
          <w:p w14:paraId="7E4E7501" w14:textId="77777777" w:rsidR="0004350B" w:rsidRPr="00FB38E1" w:rsidRDefault="0004350B" w:rsidP="004E1B47">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735" w:type="pct"/>
            <w:tcBorders>
              <w:top w:val="thinThickSmallGap" w:sz="24" w:space="0" w:color="auto"/>
              <w:bottom w:val="single" w:sz="4" w:space="0" w:color="auto"/>
            </w:tcBorders>
            <w:vAlign w:val="center"/>
          </w:tcPr>
          <w:p w14:paraId="22EB95F6"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Kısa Vadeli</w:t>
            </w:r>
          </w:p>
        </w:tc>
        <w:tc>
          <w:tcPr>
            <w:tcW w:w="810" w:type="pct"/>
            <w:tcBorders>
              <w:top w:val="thinThickSmallGap" w:sz="24" w:space="0" w:color="auto"/>
              <w:bottom w:val="single" w:sz="4" w:space="0" w:color="auto"/>
            </w:tcBorders>
            <w:vAlign w:val="center"/>
          </w:tcPr>
          <w:p w14:paraId="42E4B5BD"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Orta ve Uzun Vadeli</w:t>
            </w:r>
          </w:p>
        </w:tc>
        <w:tc>
          <w:tcPr>
            <w:tcW w:w="661" w:type="pct"/>
            <w:tcBorders>
              <w:top w:val="thinThickSmallGap" w:sz="24" w:space="0" w:color="auto"/>
              <w:bottom w:val="single" w:sz="4" w:space="0" w:color="auto"/>
            </w:tcBorders>
            <w:vAlign w:val="center"/>
          </w:tcPr>
          <w:p w14:paraId="5B1CF66A"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2A2DAA" w:rsidRPr="00FB38E1" w14:paraId="4BFC18BB" w14:textId="77777777" w:rsidTr="004E1B47">
        <w:tc>
          <w:tcPr>
            <w:tcW w:w="2794" w:type="pct"/>
            <w:tcBorders>
              <w:top w:val="single" w:sz="4" w:space="0" w:color="auto"/>
            </w:tcBorders>
            <w:vAlign w:val="center"/>
          </w:tcPr>
          <w:p w14:paraId="301DBF5D"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Tüketici Kredileri-TP</w:t>
            </w:r>
          </w:p>
        </w:tc>
        <w:tc>
          <w:tcPr>
            <w:tcW w:w="735" w:type="pct"/>
            <w:tcBorders>
              <w:top w:val="single" w:sz="4" w:space="0" w:color="auto"/>
            </w:tcBorders>
            <w:vAlign w:val="center"/>
          </w:tcPr>
          <w:p w14:paraId="0043273C" w14:textId="77AF282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25.773.557</w:t>
            </w:r>
          </w:p>
        </w:tc>
        <w:tc>
          <w:tcPr>
            <w:tcW w:w="810" w:type="pct"/>
            <w:tcBorders>
              <w:top w:val="single" w:sz="4" w:space="0" w:color="auto"/>
            </w:tcBorders>
            <w:vAlign w:val="center"/>
          </w:tcPr>
          <w:p w14:paraId="2B44DC9D" w14:textId="4BD2E07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45.088.683</w:t>
            </w:r>
          </w:p>
        </w:tc>
        <w:tc>
          <w:tcPr>
            <w:tcW w:w="661" w:type="pct"/>
            <w:tcBorders>
              <w:top w:val="single" w:sz="4" w:space="0" w:color="auto"/>
            </w:tcBorders>
            <w:vAlign w:val="center"/>
          </w:tcPr>
          <w:p w14:paraId="0BD02A86" w14:textId="7D1E0FB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70.862.240</w:t>
            </w:r>
          </w:p>
        </w:tc>
      </w:tr>
      <w:tr w:rsidR="002A2DAA" w:rsidRPr="00FB38E1" w14:paraId="1FAEB971" w14:textId="77777777" w:rsidTr="004E1B47">
        <w:tc>
          <w:tcPr>
            <w:tcW w:w="2794" w:type="pct"/>
            <w:vAlign w:val="center"/>
          </w:tcPr>
          <w:p w14:paraId="214D890D"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Konut Kredisi</w:t>
            </w:r>
          </w:p>
        </w:tc>
        <w:tc>
          <w:tcPr>
            <w:tcW w:w="735" w:type="pct"/>
            <w:vAlign w:val="center"/>
          </w:tcPr>
          <w:p w14:paraId="368F820D" w14:textId="3906CCAC"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632</w:t>
            </w:r>
          </w:p>
        </w:tc>
        <w:tc>
          <w:tcPr>
            <w:tcW w:w="810" w:type="pct"/>
            <w:vAlign w:val="center"/>
          </w:tcPr>
          <w:p w14:paraId="3A7D0DC1" w14:textId="31E4F88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456.999</w:t>
            </w:r>
          </w:p>
        </w:tc>
        <w:tc>
          <w:tcPr>
            <w:tcW w:w="661" w:type="pct"/>
            <w:vAlign w:val="center"/>
          </w:tcPr>
          <w:p w14:paraId="6A858791" w14:textId="4C7AC06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457.631</w:t>
            </w:r>
          </w:p>
        </w:tc>
      </w:tr>
      <w:tr w:rsidR="002A2DAA" w:rsidRPr="00FB38E1" w14:paraId="3918FFD7" w14:textId="77777777" w:rsidTr="004E1B47">
        <w:tc>
          <w:tcPr>
            <w:tcW w:w="2794" w:type="pct"/>
            <w:vAlign w:val="center"/>
          </w:tcPr>
          <w:p w14:paraId="0D0CEFE2"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Taşıt Kredisi</w:t>
            </w:r>
          </w:p>
        </w:tc>
        <w:tc>
          <w:tcPr>
            <w:tcW w:w="735" w:type="pct"/>
            <w:vAlign w:val="center"/>
          </w:tcPr>
          <w:p w14:paraId="445B5DAF" w14:textId="0387909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83</w:t>
            </w:r>
          </w:p>
        </w:tc>
        <w:tc>
          <w:tcPr>
            <w:tcW w:w="810" w:type="pct"/>
            <w:vAlign w:val="center"/>
          </w:tcPr>
          <w:p w14:paraId="0025DF57" w14:textId="23662C9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8.005</w:t>
            </w:r>
          </w:p>
        </w:tc>
        <w:tc>
          <w:tcPr>
            <w:tcW w:w="661" w:type="pct"/>
            <w:vAlign w:val="center"/>
          </w:tcPr>
          <w:p w14:paraId="47F5BB23" w14:textId="53275CBF"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8.088</w:t>
            </w:r>
          </w:p>
        </w:tc>
      </w:tr>
      <w:tr w:rsidR="002A2DAA" w:rsidRPr="00FB38E1" w14:paraId="2314D6F4" w14:textId="77777777" w:rsidTr="004E1B47">
        <w:tc>
          <w:tcPr>
            <w:tcW w:w="2794" w:type="pct"/>
            <w:vAlign w:val="center"/>
          </w:tcPr>
          <w:p w14:paraId="0F1B9FF8"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İhtiyaç Kredisi</w:t>
            </w:r>
          </w:p>
        </w:tc>
        <w:tc>
          <w:tcPr>
            <w:tcW w:w="735" w:type="pct"/>
            <w:vAlign w:val="center"/>
          </w:tcPr>
          <w:p w14:paraId="31D49DCC" w14:textId="1F59E373"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25.772.842</w:t>
            </w:r>
          </w:p>
        </w:tc>
        <w:tc>
          <w:tcPr>
            <w:tcW w:w="810" w:type="pct"/>
            <w:vAlign w:val="center"/>
          </w:tcPr>
          <w:p w14:paraId="44B6777F" w14:textId="40357F4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44.623.679</w:t>
            </w:r>
          </w:p>
        </w:tc>
        <w:tc>
          <w:tcPr>
            <w:tcW w:w="661" w:type="pct"/>
            <w:vAlign w:val="center"/>
          </w:tcPr>
          <w:p w14:paraId="27131B8E" w14:textId="1F20B1EA"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70.396.521</w:t>
            </w:r>
          </w:p>
        </w:tc>
      </w:tr>
      <w:tr w:rsidR="002A2DAA" w:rsidRPr="00FB38E1" w14:paraId="15DA239E" w14:textId="77777777" w:rsidTr="004E1B47">
        <w:tc>
          <w:tcPr>
            <w:tcW w:w="2794" w:type="pct"/>
            <w:vAlign w:val="center"/>
          </w:tcPr>
          <w:p w14:paraId="7187033D"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35" w:type="pct"/>
            <w:vAlign w:val="center"/>
          </w:tcPr>
          <w:p w14:paraId="639428A1" w14:textId="36D7FD7A"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45E790DD" w14:textId="59FE55E6"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5FAD4919" w14:textId="58DE28B5"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754D3F44" w14:textId="77777777" w:rsidTr="004E1B47">
        <w:tc>
          <w:tcPr>
            <w:tcW w:w="2794" w:type="pct"/>
            <w:vAlign w:val="center"/>
          </w:tcPr>
          <w:p w14:paraId="6C952E93"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Tüketici Kredileri-Dövize Endeksli</w:t>
            </w:r>
          </w:p>
        </w:tc>
        <w:tc>
          <w:tcPr>
            <w:tcW w:w="735" w:type="pct"/>
            <w:vAlign w:val="center"/>
          </w:tcPr>
          <w:p w14:paraId="3228B6DD" w14:textId="0CED0F5B"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10" w:type="pct"/>
            <w:vAlign w:val="center"/>
          </w:tcPr>
          <w:p w14:paraId="5EFC00B1" w14:textId="3787DFF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11.141</w:t>
            </w:r>
          </w:p>
        </w:tc>
        <w:tc>
          <w:tcPr>
            <w:tcW w:w="661" w:type="pct"/>
            <w:vAlign w:val="center"/>
          </w:tcPr>
          <w:p w14:paraId="04B3804A" w14:textId="573B3095"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11.141</w:t>
            </w:r>
          </w:p>
        </w:tc>
      </w:tr>
      <w:tr w:rsidR="002A2DAA" w:rsidRPr="00FB38E1" w14:paraId="4A874E6E" w14:textId="77777777" w:rsidTr="004E1B47">
        <w:tc>
          <w:tcPr>
            <w:tcW w:w="2794" w:type="pct"/>
            <w:vAlign w:val="center"/>
          </w:tcPr>
          <w:p w14:paraId="2F81103C"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Konut Kredisi</w:t>
            </w:r>
          </w:p>
        </w:tc>
        <w:tc>
          <w:tcPr>
            <w:tcW w:w="735" w:type="pct"/>
            <w:vAlign w:val="center"/>
          </w:tcPr>
          <w:p w14:paraId="0558A372" w14:textId="3292621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3482F121" w14:textId="58B507C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9.841</w:t>
            </w:r>
          </w:p>
        </w:tc>
        <w:tc>
          <w:tcPr>
            <w:tcW w:w="661" w:type="pct"/>
            <w:vAlign w:val="center"/>
          </w:tcPr>
          <w:p w14:paraId="1E6958FB" w14:textId="60155E86"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9.841</w:t>
            </w:r>
          </w:p>
        </w:tc>
      </w:tr>
      <w:tr w:rsidR="002A2DAA" w:rsidRPr="00FB38E1" w14:paraId="48967542" w14:textId="77777777" w:rsidTr="004E1B47">
        <w:tc>
          <w:tcPr>
            <w:tcW w:w="2794" w:type="pct"/>
            <w:vAlign w:val="center"/>
          </w:tcPr>
          <w:p w14:paraId="43D8A31C"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Taşıt Kredisi</w:t>
            </w:r>
          </w:p>
        </w:tc>
        <w:tc>
          <w:tcPr>
            <w:tcW w:w="735" w:type="pct"/>
            <w:vAlign w:val="center"/>
          </w:tcPr>
          <w:p w14:paraId="68F63825" w14:textId="3424B22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48D4CE84" w14:textId="7D2FC62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27036716" w14:textId="2904710A"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15E248A1" w14:textId="77777777" w:rsidTr="004E1B47">
        <w:tc>
          <w:tcPr>
            <w:tcW w:w="2794" w:type="pct"/>
            <w:vAlign w:val="center"/>
          </w:tcPr>
          <w:p w14:paraId="4F1D3CA4"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İhtiyaç Kredisi</w:t>
            </w:r>
          </w:p>
        </w:tc>
        <w:tc>
          <w:tcPr>
            <w:tcW w:w="735" w:type="pct"/>
            <w:vAlign w:val="center"/>
          </w:tcPr>
          <w:p w14:paraId="2FAC4D59" w14:textId="5AD1290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00202D25" w14:textId="282FE86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1.300</w:t>
            </w:r>
          </w:p>
        </w:tc>
        <w:tc>
          <w:tcPr>
            <w:tcW w:w="661" w:type="pct"/>
            <w:vAlign w:val="center"/>
          </w:tcPr>
          <w:p w14:paraId="6D70A7CD" w14:textId="3011C95C"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1.300</w:t>
            </w:r>
          </w:p>
        </w:tc>
      </w:tr>
      <w:tr w:rsidR="002A2DAA" w:rsidRPr="00FB38E1" w14:paraId="6E2875EF" w14:textId="77777777" w:rsidTr="004E1B47">
        <w:tc>
          <w:tcPr>
            <w:tcW w:w="2794" w:type="pct"/>
            <w:vAlign w:val="center"/>
          </w:tcPr>
          <w:p w14:paraId="25091298"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Diğer </w:t>
            </w:r>
          </w:p>
        </w:tc>
        <w:tc>
          <w:tcPr>
            <w:tcW w:w="735" w:type="pct"/>
            <w:vAlign w:val="center"/>
          </w:tcPr>
          <w:p w14:paraId="681B1D58" w14:textId="3ADF6BB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7341A7C9" w14:textId="7357AEA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38CEBCA9" w14:textId="3EDEB2C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49A96213" w14:textId="77777777" w:rsidTr="004E1B47">
        <w:tc>
          <w:tcPr>
            <w:tcW w:w="2794" w:type="pct"/>
            <w:vAlign w:val="center"/>
          </w:tcPr>
          <w:p w14:paraId="21414A29"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Tüketici Kredileri-YP</w:t>
            </w:r>
          </w:p>
        </w:tc>
        <w:tc>
          <w:tcPr>
            <w:tcW w:w="735" w:type="pct"/>
            <w:vAlign w:val="center"/>
          </w:tcPr>
          <w:p w14:paraId="60C6D5F1" w14:textId="41FC4882"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10" w:type="pct"/>
            <w:vAlign w:val="center"/>
          </w:tcPr>
          <w:p w14:paraId="470A7097" w14:textId="0CB11AE8"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3.563</w:t>
            </w:r>
          </w:p>
        </w:tc>
        <w:tc>
          <w:tcPr>
            <w:tcW w:w="661" w:type="pct"/>
            <w:vAlign w:val="center"/>
          </w:tcPr>
          <w:p w14:paraId="768E3C3A" w14:textId="263FF2E8"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3.563</w:t>
            </w:r>
          </w:p>
        </w:tc>
      </w:tr>
      <w:tr w:rsidR="002A2DAA" w:rsidRPr="00FB38E1" w14:paraId="4D49F011" w14:textId="77777777" w:rsidTr="004E1B47">
        <w:tc>
          <w:tcPr>
            <w:tcW w:w="2794" w:type="pct"/>
            <w:vAlign w:val="center"/>
          </w:tcPr>
          <w:p w14:paraId="0224470D"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Konut Kredisi</w:t>
            </w:r>
          </w:p>
        </w:tc>
        <w:tc>
          <w:tcPr>
            <w:tcW w:w="735" w:type="pct"/>
            <w:vAlign w:val="center"/>
          </w:tcPr>
          <w:p w14:paraId="44C67086" w14:textId="55E24AC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0BD7A45E" w14:textId="7476B7AA"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3.563</w:t>
            </w:r>
          </w:p>
        </w:tc>
        <w:tc>
          <w:tcPr>
            <w:tcW w:w="661" w:type="pct"/>
            <w:vAlign w:val="center"/>
          </w:tcPr>
          <w:p w14:paraId="6AC972E7" w14:textId="4ABAB26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3.563</w:t>
            </w:r>
          </w:p>
        </w:tc>
      </w:tr>
      <w:tr w:rsidR="002A2DAA" w:rsidRPr="00FB38E1" w14:paraId="71F60779" w14:textId="77777777" w:rsidTr="004E1B47">
        <w:tc>
          <w:tcPr>
            <w:tcW w:w="2794" w:type="pct"/>
            <w:vAlign w:val="center"/>
          </w:tcPr>
          <w:p w14:paraId="288BA899"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Taşıt Kredisi</w:t>
            </w:r>
          </w:p>
        </w:tc>
        <w:tc>
          <w:tcPr>
            <w:tcW w:w="735" w:type="pct"/>
            <w:vAlign w:val="center"/>
          </w:tcPr>
          <w:p w14:paraId="10CFC90E" w14:textId="03A6CD3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0E60DEE7" w14:textId="19FFDCA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3553FBF7" w14:textId="665BC88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780BAAEF" w14:textId="77777777" w:rsidTr="004E1B47">
        <w:tc>
          <w:tcPr>
            <w:tcW w:w="2794" w:type="pct"/>
            <w:vAlign w:val="center"/>
          </w:tcPr>
          <w:p w14:paraId="06899782"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İhtiyaç Kredisi</w:t>
            </w:r>
          </w:p>
        </w:tc>
        <w:tc>
          <w:tcPr>
            <w:tcW w:w="735" w:type="pct"/>
            <w:vAlign w:val="center"/>
          </w:tcPr>
          <w:p w14:paraId="67861517" w14:textId="5BC5DE7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1DE3FC68" w14:textId="2F88C40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4E56EE95" w14:textId="30101338"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35D8C9DD" w14:textId="77777777" w:rsidTr="004E1B47">
        <w:tc>
          <w:tcPr>
            <w:tcW w:w="2794" w:type="pct"/>
            <w:vAlign w:val="center"/>
          </w:tcPr>
          <w:p w14:paraId="72A986BC"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Diğer </w:t>
            </w:r>
          </w:p>
        </w:tc>
        <w:tc>
          <w:tcPr>
            <w:tcW w:w="735" w:type="pct"/>
            <w:vAlign w:val="center"/>
          </w:tcPr>
          <w:p w14:paraId="6CA2DA7F" w14:textId="5C44402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3EA5323F" w14:textId="796B7E7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62857B51" w14:textId="10DAF815"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65769C26" w14:textId="77777777" w:rsidTr="004E1B47">
        <w:tc>
          <w:tcPr>
            <w:tcW w:w="2794" w:type="pct"/>
            <w:vAlign w:val="center"/>
          </w:tcPr>
          <w:p w14:paraId="58C4EB4A"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Bireysel Kredi Kartları-TP</w:t>
            </w:r>
          </w:p>
        </w:tc>
        <w:tc>
          <w:tcPr>
            <w:tcW w:w="735" w:type="pct"/>
            <w:vAlign w:val="center"/>
          </w:tcPr>
          <w:p w14:paraId="15836514" w14:textId="38E7B52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91.879.209</w:t>
            </w:r>
          </w:p>
        </w:tc>
        <w:tc>
          <w:tcPr>
            <w:tcW w:w="810" w:type="pct"/>
            <w:vAlign w:val="center"/>
          </w:tcPr>
          <w:p w14:paraId="6CC97905" w14:textId="7116BA95"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12.911.732</w:t>
            </w:r>
          </w:p>
        </w:tc>
        <w:tc>
          <w:tcPr>
            <w:tcW w:w="661" w:type="pct"/>
            <w:vAlign w:val="center"/>
          </w:tcPr>
          <w:p w14:paraId="08349CF8" w14:textId="0A9D1E9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104.790.941</w:t>
            </w:r>
          </w:p>
        </w:tc>
      </w:tr>
      <w:tr w:rsidR="002A2DAA" w:rsidRPr="00FB38E1" w14:paraId="0F6D59F8" w14:textId="77777777" w:rsidTr="004E1B47">
        <w:tc>
          <w:tcPr>
            <w:tcW w:w="2794" w:type="pct"/>
            <w:vAlign w:val="center"/>
          </w:tcPr>
          <w:p w14:paraId="125157A4"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Taksitli</w:t>
            </w:r>
          </w:p>
        </w:tc>
        <w:tc>
          <w:tcPr>
            <w:tcW w:w="735" w:type="pct"/>
            <w:vAlign w:val="center"/>
          </w:tcPr>
          <w:p w14:paraId="559BEF64" w14:textId="4ACCBDE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25.417.043</w:t>
            </w:r>
          </w:p>
        </w:tc>
        <w:tc>
          <w:tcPr>
            <w:tcW w:w="810" w:type="pct"/>
            <w:vAlign w:val="center"/>
          </w:tcPr>
          <w:p w14:paraId="5A3BADBD" w14:textId="190EE14E"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12.911.732</w:t>
            </w:r>
          </w:p>
        </w:tc>
        <w:tc>
          <w:tcPr>
            <w:tcW w:w="661" w:type="pct"/>
            <w:vAlign w:val="center"/>
          </w:tcPr>
          <w:p w14:paraId="3E850068" w14:textId="1B7CA69B"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38.328.775</w:t>
            </w:r>
          </w:p>
        </w:tc>
      </w:tr>
      <w:tr w:rsidR="002A2DAA" w:rsidRPr="00FB38E1" w14:paraId="0545873F" w14:textId="77777777" w:rsidTr="004E1B47">
        <w:tc>
          <w:tcPr>
            <w:tcW w:w="2794" w:type="pct"/>
            <w:vAlign w:val="center"/>
          </w:tcPr>
          <w:p w14:paraId="71213DCE"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Taksitsiz</w:t>
            </w:r>
          </w:p>
        </w:tc>
        <w:tc>
          <w:tcPr>
            <w:tcW w:w="735" w:type="pct"/>
            <w:vAlign w:val="center"/>
          </w:tcPr>
          <w:p w14:paraId="234D0950" w14:textId="42EC130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66.462.166</w:t>
            </w:r>
          </w:p>
        </w:tc>
        <w:tc>
          <w:tcPr>
            <w:tcW w:w="810" w:type="pct"/>
            <w:vAlign w:val="center"/>
          </w:tcPr>
          <w:p w14:paraId="5D6B171B" w14:textId="7315226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706246DD" w14:textId="731446BB"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66.462.166</w:t>
            </w:r>
          </w:p>
        </w:tc>
      </w:tr>
      <w:tr w:rsidR="002A2DAA" w:rsidRPr="00FB38E1" w14:paraId="468E3C97" w14:textId="77777777" w:rsidTr="004E1B47">
        <w:tc>
          <w:tcPr>
            <w:tcW w:w="2794" w:type="pct"/>
            <w:vAlign w:val="center"/>
          </w:tcPr>
          <w:p w14:paraId="57623235"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Bireysel Kredi Kartları-YP</w:t>
            </w:r>
          </w:p>
        </w:tc>
        <w:tc>
          <w:tcPr>
            <w:tcW w:w="735" w:type="pct"/>
            <w:vAlign w:val="center"/>
          </w:tcPr>
          <w:p w14:paraId="6D2D0F8A" w14:textId="1C1758CF"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117.905</w:t>
            </w:r>
          </w:p>
        </w:tc>
        <w:tc>
          <w:tcPr>
            <w:tcW w:w="810" w:type="pct"/>
            <w:vAlign w:val="center"/>
          </w:tcPr>
          <w:p w14:paraId="74BA1DBC" w14:textId="690F353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661" w:type="pct"/>
            <w:vAlign w:val="center"/>
          </w:tcPr>
          <w:p w14:paraId="2313B833" w14:textId="00DC8C70"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117.905</w:t>
            </w:r>
          </w:p>
        </w:tc>
      </w:tr>
      <w:tr w:rsidR="002A2DAA" w:rsidRPr="00FB38E1" w14:paraId="7F090A35" w14:textId="77777777" w:rsidTr="004E1B47">
        <w:tc>
          <w:tcPr>
            <w:tcW w:w="2794" w:type="pct"/>
            <w:vAlign w:val="center"/>
          </w:tcPr>
          <w:p w14:paraId="59B7524F"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Taksitli</w:t>
            </w:r>
          </w:p>
        </w:tc>
        <w:tc>
          <w:tcPr>
            <w:tcW w:w="735" w:type="pct"/>
            <w:vAlign w:val="center"/>
          </w:tcPr>
          <w:p w14:paraId="68DD784A" w14:textId="4C0CFA0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135C95B0" w14:textId="557C2AC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61E73C81" w14:textId="7528147F"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391CA77B" w14:textId="77777777" w:rsidTr="004E1B47">
        <w:trPr>
          <w:trHeight w:val="94"/>
        </w:trPr>
        <w:tc>
          <w:tcPr>
            <w:tcW w:w="2794" w:type="pct"/>
            <w:vAlign w:val="center"/>
          </w:tcPr>
          <w:p w14:paraId="18D9A24B"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Taksitsiz</w:t>
            </w:r>
          </w:p>
        </w:tc>
        <w:tc>
          <w:tcPr>
            <w:tcW w:w="735" w:type="pct"/>
            <w:vAlign w:val="center"/>
          </w:tcPr>
          <w:p w14:paraId="7033E7A4" w14:textId="31DE68C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117.905</w:t>
            </w:r>
          </w:p>
        </w:tc>
        <w:tc>
          <w:tcPr>
            <w:tcW w:w="810" w:type="pct"/>
            <w:vAlign w:val="center"/>
          </w:tcPr>
          <w:p w14:paraId="124A7AF6" w14:textId="20316DBC"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4E5BF6EC" w14:textId="257886A8"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117.905</w:t>
            </w:r>
          </w:p>
        </w:tc>
      </w:tr>
      <w:tr w:rsidR="002A2DAA" w:rsidRPr="00FB38E1" w14:paraId="4F0CD8BC" w14:textId="77777777" w:rsidTr="004E1B47">
        <w:tc>
          <w:tcPr>
            <w:tcW w:w="2794" w:type="pct"/>
            <w:vAlign w:val="center"/>
          </w:tcPr>
          <w:p w14:paraId="1B51FB2B"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Personel Kredileri-TP</w:t>
            </w:r>
          </w:p>
        </w:tc>
        <w:tc>
          <w:tcPr>
            <w:tcW w:w="735" w:type="pct"/>
            <w:vAlign w:val="center"/>
          </w:tcPr>
          <w:p w14:paraId="331D6029" w14:textId="7D69011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94.618</w:t>
            </w:r>
          </w:p>
        </w:tc>
        <w:tc>
          <w:tcPr>
            <w:tcW w:w="810" w:type="pct"/>
            <w:vAlign w:val="center"/>
          </w:tcPr>
          <w:p w14:paraId="08FEDFF0" w14:textId="7C810B7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194.694</w:t>
            </w:r>
          </w:p>
        </w:tc>
        <w:tc>
          <w:tcPr>
            <w:tcW w:w="661" w:type="pct"/>
            <w:vAlign w:val="center"/>
          </w:tcPr>
          <w:p w14:paraId="34E1A1E7" w14:textId="6E2D36AA"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289.312</w:t>
            </w:r>
          </w:p>
        </w:tc>
      </w:tr>
      <w:tr w:rsidR="002A2DAA" w:rsidRPr="00FB38E1" w14:paraId="688F4599" w14:textId="77777777" w:rsidTr="004E1B47">
        <w:tc>
          <w:tcPr>
            <w:tcW w:w="2794" w:type="pct"/>
            <w:vAlign w:val="center"/>
          </w:tcPr>
          <w:p w14:paraId="3AE37884"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Konut Kredisi</w:t>
            </w:r>
          </w:p>
        </w:tc>
        <w:tc>
          <w:tcPr>
            <w:tcW w:w="735" w:type="pct"/>
            <w:vAlign w:val="center"/>
          </w:tcPr>
          <w:p w14:paraId="43934016" w14:textId="572C306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030E678F" w14:textId="7CA49146"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w:t>
            </w:r>
          </w:p>
        </w:tc>
        <w:tc>
          <w:tcPr>
            <w:tcW w:w="661" w:type="pct"/>
            <w:vAlign w:val="center"/>
          </w:tcPr>
          <w:p w14:paraId="5AA78B13" w14:textId="796D46C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w:t>
            </w:r>
          </w:p>
        </w:tc>
      </w:tr>
      <w:tr w:rsidR="002A2DAA" w:rsidRPr="00FB38E1" w14:paraId="44561264" w14:textId="77777777" w:rsidTr="004E1B47">
        <w:tc>
          <w:tcPr>
            <w:tcW w:w="2794" w:type="pct"/>
            <w:vAlign w:val="center"/>
          </w:tcPr>
          <w:p w14:paraId="5B6DEC6D"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Taşıt Kredisi</w:t>
            </w:r>
          </w:p>
        </w:tc>
        <w:tc>
          <w:tcPr>
            <w:tcW w:w="735" w:type="pct"/>
            <w:vAlign w:val="center"/>
          </w:tcPr>
          <w:p w14:paraId="2313F661" w14:textId="3BAEDDA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4FDFA67A" w14:textId="6DF9448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52027BD9" w14:textId="72367E03"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1B236459" w14:textId="77777777" w:rsidTr="004E1B47">
        <w:tc>
          <w:tcPr>
            <w:tcW w:w="2794" w:type="pct"/>
            <w:vAlign w:val="center"/>
          </w:tcPr>
          <w:p w14:paraId="350C6902"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İhtiyaç Kredisi</w:t>
            </w:r>
          </w:p>
        </w:tc>
        <w:tc>
          <w:tcPr>
            <w:tcW w:w="735" w:type="pct"/>
            <w:vAlign w:val="center"/>
          </w:tcPr>
          <w:p w14:paraId="38255409" w14:textId="580CA1B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94.618</w:t>
            </w:r>
          </w:p>
        </w:tc>
        <w:tc>
          <w:tcPr>
            <w:tcW w:w="810" w:type="pct"/>
            <w:vAlign w:val="center"/>
          </w:tcPr>
          <w:p w14:paraId="0B159CBD" w14:textId="0D94458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194.682</w:t>
            </w:r>
          </w:p>
        </w:tc>
        <w:tc>
          <w:tcPr>
            <w:tcW w:w="661" w:type="pct"/>
            <w:vAlign w:val="center"/>
          </w:tcPr>
          <w:p w14:paraId="572AAC5E" w14:textId="63F464B7"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289.300</w:t>
            </w:r>
          </w:p>
        </w:tc>
      </w:tr>
      <w:tr w:rsidR="002A2DAA" w:rsidRPr="00FB38E1" w14:paraId="4AAC11C5" w14:textId="77777777" w:rsidTr="004E1B47">
        <w:tc>
          <w:tcPr>
            <w:tcW w:w="2794" w:type="pct"/>
            <w:vAlign w:val="center"/>
          </w:tcPr>
          <w:p w14:paraId="37CD67C6"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35" w:type="pct"/>
            <w:vAlign w:val="center"/>
          </w:tcPr>
          <w:p w14:paraId="5E12EEAB" w14:textId="7D0AD173"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175B0ADD" w14:textId="0B8FAD5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1ABC739D" w14:textId="22C2B966"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786E45FA" w14:textId="77777777" w:rsidTr="004E1B47">
        <w:tc>
          <w:tcPr>
            <w:tcW w:w="2794" w:type="pct"/>
            <w:vAlign w:val="center"/>
          </w:tcPr>
          <w:p w14:paraId="46329433"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Personel Kredileri-Dövize Endeksli</w:t>
            </w:r>
          </w:p>
        </w:tc>
        <w:tc>
          <w:tcPr>
            <w:tcW w:w="735" w:type="pct"/>
            <w:vAlign w:val="center"/>
          </w:tcPr>
          <w:p w14:paraId="1D6C3601" w14:textId="350E67D3"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10" w:type="pct"/>
            <w:vAlign w:val="center"/>
          </w:tcPr>
          <w:p w14:paraId="5B609728" w14:textId="332FBB76"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661" w:type="pct"/>
            <w:vAlign w:val="center"/>
          </w:tcPr>
          <w:p w14:paraId="2393CEB9" w14:textId="6E406036"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0E8C150D" w14:textId="77777777" w:rsidTr="004E1B47">
        <w:tc>
          <w:tcPr>
            <w:tcW w:w="2794" w:type="pct"/>
            <w:vAlign w:val="center"/>
          </w:tcPr>
          <w:p w14:paraId="397F7F8E"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Konut Kredisi</w:t>
            </w:r>
          </w:p>
        </w:tc>
        <w:tc>
          <w:tcPr>
            <w:tcW w:w="735" w:type="pct"/>
            <w:vAlign w:val="center"/>
          </w:tcPr>
          <w:p w14:paraId="6B4D4E9D" w14:textId="475B0B1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0FCDC9AF" w14:textId="6E86B6E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64BF00BC" w14:textId="748F810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7FC759C9" w14:textId="77777777" w:rsidTr="004E1B47">
        <w:tc>
          <w:tcPr>
            <w:tcW w:w="2794" w:type="pct"/>
            <w:vAlign w:val="center"/>
          </w:tcPr>
          <w:p w14:paraId="2F1044A7"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Taşıt Kredisi</w:t>
            </w:r>
          </w:p>
        </w:tc>
        <w:tc>
          <w:tcPr>
            <w:tcW w:w="735" w:type="pct"/>
            <w:vAlign w:val="center"/>
          </w:tcPr>
          <w:p w14:paraId="1E268599" w14:textId="28710B7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46E00AA2" w14:textId="70E139B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1C04D0B4" w14:textId="15EC54D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6097386A" w14:textId="77777777" w:rsidTr="004E1B47">
        <w:tc>
          <w:tcPr>
            <w:tcW w:w="2794" w:type="pct"/>
            <w:vAlign w:val="center"/>
          </w:tcPr>
          <w:p w14:paraId="1DCC7067"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İhtiyaç Kredisi</w:t>
            </w:r>
          </w:p>
        </w:tc>
        <w:tc>
          <w:tcPr>
            <w:tcW w:w="735" w:type="pct"/>
            <w:vAlign w:val="center"/>
          </w:tcPr>
          <w:p w14:paraId="4700E6F9" w14:textId="10CEED3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08A9CA35" w14:textId="32398E9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74BF0E5F" w14:textId="0DA55EAB"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55611022" w14:textId="77777777" w:rsidTr="004E1B47">
        <w:tc>
          <w:tcPr>
            <w:tcW w:w="2794" w:type="pct"/>
            <w:vAlign w:val="center"/>
          </w:tcPr>
          <w:p w14:paraId="245C158C"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35" w:type="pct"/>
            <w:vAlign w:val="center"/>
          </w:tcPr>
          <w:p w14:paraId="7BB369EE" w14:textId="16E0FCC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2CF3DA01" w14:textId="757E763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21FF2CA9" w14:textId="2D62A3E7"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478DA3E5" w14:textId="77777777" w:rsidTr="004E1B47">
        <w:tc>
          <w:tcPr>
            <w:tcW w:w="2794" w:type="pct"/>
            <w:vAlign w:val="center"/>
          </w:tcPr>
          <w:p w14:paraId="07B4BFCC"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Personel Kredileri-YP</w:t>
            </w:r>
          </w:p>
        </w:tc>
        <w:tc>
          <w:tcPr>
            <w:tcW w:w="735" w:type="pct"/>
            <w:vAlign w:val="center"/>
          </w:tcPr>
          <w:p w14:paraId="3C2EA79D" w14:textId="13ED32E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10" w:type="pct"/>
            <w:vAlign w:val="center"/>
          </w:tcPr>
          <w:p w14:paraId="64E0F5D8" w14:textId="35CEAC60"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661" w:type="pct"/>
            <w:vAlign w:val="center"/>
          </w:tcPr>
          <w:p w14:paraId="25444812" w14:textId="26D17AA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2F0FAF64" w14:textId="77777777" w:rsidTr="004E1B47">
        <w:tc>
          <w:tcPr>
            <w:tcW w:w="2794" w:type="pct"/>
            <w:vAlign w:val="center"/>
          </w:tcPr>
          <w:p w14:paraId="1FD55B5D"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Konut Kredisi</w:t>
            </w:r>
          </w:p>
        </w:tc>
        <w:tc>
          <w:tcPr>
            <w:tcW w:w="735" w:type="pct"/>
            <w:vAlign w:val="center"/>
          </w:tcPr>
          <w:p w14:paraId="571ECA16" w14:textId="6578D813"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533B9CE3" w14:textId="547F34B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30FE83B6" w14:textId="665E291B"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7871DC45" w14:textId="77777777" w:rsidTr="004E1B47">
        <w:tc>
          <w:tcPr>
            <w:tcW w:w="2794" w:type="pct"/>
            <w:vAlign w:val="center"/>
          </w:tcPr>
          <w:p w14:paraId="07C853BE"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Taşıt Kredisi</w:t>
            </w:r>
          </w:p>
        </w:tc>
        <w:tc>
          <w:tcPr>
            <w:tcW w:w="735" w:type="pct"/>
            <w:vAlign w:val="center"/>
          </w:tcPr>
          <w:p w14:paraId="2B414D48" w14:textId="7290396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033E91E9" w14:textId="0C25CCD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12704774" w14:textId="587DB115"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58245D30" w14:textId="77777777" w:rsidTr="004E1B47">
        <w:tc>
          <w:tcPr>
            <w:tcW w:w="2794" w:type="pct"/>
            <w:vAlign w:val="center"/>
          </w:tcPr>
          <w:p w14:paraId="431C3D93"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İhtiyaç Kredisi</w:t>
            </w:r>
          </w:p>
        </w:tc>
        <w:tc>
          <w:tcPr>
            <w:tcW w:w="735" w:type="pct"/>
            <w:vAlign w:val="center"/>
          </w:tcPr>
          <w:p w14:paraId="2D7309A5" w14:textId="26FFB3EE"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3145BF3B" w14:textId="1DFF2B6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5BC60E6D" w14:textId="2956FFAA"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62AF5708" w14:textId="77777777" w:rsidTr="004E1B47">
        <w:tc>
          <w:tcPr>
            <w:tcW w:w="2794" w:type="pct"/>
            <w:vAlign w:val="center"/>
          </w:tcPr>
          <w:p w14:paraId="0617E25E"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35" w:type="pct"/>
            <w:vAlign w:val="center"/>
          </w:tcPr>
          <w:p w14:paraId="5D53E126" w14:textId="1494EF9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75F16710" w14:textId="0000B5B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490BBF1B" w14:textId="0084F20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34C8B69D" w14:textId="77777777" w:rsidTr="004E1B47">
        <w:tc>
          <w:tcPr>
            <w:tcW w:w="2794" w:type="pct"/>
            <w:vAlign w:val="center"/>
          </w:tcPr>
          <w:p w14:paraId="7BAAC125"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Personel Kredi Kartları-TP</w:t>
            </w:r>
          </w:p>
        </w:tc>
        <w:tc>
          <w:tcPr>
            <w:tcW w:w="735" w:type="pct"/>
            <w:vAlign w:val="center"/>
          </w:tcPr>
          <w:p w14:paraId="60C09037" w14:textId="367EC413"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267.971</w:t>
            </w:r>
          </w:p>
        </w:tc>
        <w:tc>
          <w:tcPr>
            <w:tcW w:w="810" w:type="pct"/>
            <w:vAlign w:val="center"/>
          </w:tcPr>
          <w:p w14:paraId="56697DD9" w14:textId="611BC1D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2.625</w:t>
            </w:r>
          </w:p>
        </w:tc>
        <w:tc>
          <w:tcPr>
            <w:tcW w:w="661" w:type="pct"/>
            <w:vAlign w:val="center"/>
          </w:tcPr>
          <w:p w14:paraId="280DCEF1" w14:textId="10176B0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270.596</w:t>
            </w:r>
          </w:p>
        </w:tc>
      </w:tr>
      <w:tr w:rsidR="002A2DAA" w:rsidRPr="00FB38E1" w14:paraId="36A01707" w14:textId="77777777" w:rsidTr="004E1B47">
        <w:tc>
          <w:tcPr>
            <w:tcW w:w="2794" w:type="pct"/>
            <w:vAlign w:val="center"/>
          </w:tcPr>
          <w:p w14:paraId="13126E51" w14:textId="01BCC0A6"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Taksitli</w:t>
            </w:r>
          </w:p>
        </w:tc>
        <w:tc>
          <w:tcPr>
            <w:tcW w:w="735" w:type="pct"/>
            <w:vAlign w:val="center"/>
          </w:tcPr>
          <w:p w14:paraId="451EE5A1" w14:textId="2895734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71.794</w:t>
            </w:r>
          </w:p>
        </w:tc>
        <w:tc>
          <w:tcPr>
            <w:tcW w:w="810" w:type="pct"/>
            <w:vAlign w:val="center"/>
          </w:tcPr>
          <w:p w14:paraId="4D5C20E9" w14:textId="1CE2418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2.625</w:t>
            </w:r>
          </w:p>
        </w:tc>
        <w:tc>
          <w:tcPr>
            <w:tcW w:w="661" w:type="pct"/>
            <w:vAlign w:val="center"/>
          </w:tcPr>
          <w:p w14:paraId="62677929" w14:textId="191A16C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74.419</w:t>
            </w:r>
          </w:p>
        </w:tc>
      </w:tr>
      <w:tr w:rsidR="002A2DAA" w:rsidRPr="00FB38E1" w14:paraId="005BC2FD" w14:textId="77777777" w:rsidTr="004E1B47">
        <w:tc>
          <w:tcPr>
            <w:tcW w:w="2794" w:type="pct"/>
            <w:vAlign w:val="center"/>
          </w:tcPr>
          <w:p w14:paraId="36A0280F"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Taksitsiz</w:t>
            </w:r>
          </w:p>
        </w:tc>
        <w:tc>
          <w:tcPr>
            <w:tcW w:w="735" w:type="pct"/>
            <w:vAlign w:val="center"/>
          </w:tcPr>
          <w:p w14:paraId="392D89FC" w14:textId="0AEB60A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196.177</w:t>
            </w:r>
          </w:p>
        </w:tc>
        <w:tc>
          <w:tcPr>
            <w:tcW w:w="810" w:type="pct"/>
            <w:vAlign w:val="center"/>
          </w:tcPr>
          <w:p w14:paraId="23136DC7" w14:textId="6B4771B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3B672DFB" w14:textId="4A3C3157"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196.177</w:t>
            </w:r>
          </w:p>
        </w:tc>
      </w:tr>
      <w:tr w:rsidR="002A2DAA" w:rsidRPr="00FB38E1" w14:paraId="0881E3DA" w14:textId="77777777" w:rsidTr="004E1B47">
        <w:tc>
          <w:tcPr>
            <w:tcW w:w="2794" w:type="pct"/>
            <w:vAlign w:val="center"/>
          </w:tcPr>
          <w:p w14:paraId="5B541E5A"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Personel Kredi Kartları-YP</w:t>
            </w:r>
          </w:p>
        </w:tc>
        <w:tc>
          <w:tcPr>
            <w:tcW w:w="735" w:type="pct"/>
            <w:vAlign w:val="center"/>
          </w:tcPr>
          <w:p w14:paraId="451D569C" w14:textId="143F303C"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3.498</w:t>
            </w:r>
          </w:p>
        </w:tc>
        <w:tc>
          <w:tcPr>
            <w:tcW w:w="810" w:type="pct"/>
            <w:vAlign w:val="center"/>
          </w:tcPr>
          <w:p w14:paraId="119086D3" w14:textId="07FD6F9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661" w:type="pct"/>
            <w:vAlign w:val="center"/>
          </w:tcPr>
          <w:p w14:paraId="7091128F" w14:textId="5924DD0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3.498</w:t>
            </w:r>
          </w:p>
        </w:tc>
      </w:tr>
      <w:tr w:rsidR="002A2DAA" w:rsidRPr="00FB38E1" w14:paraId="79B9553E" w14:textId="77777777" w:rsidTr="004E1B47">
        <w:tc>
          <w:tcPr>
            <w:tcW w:w="2794" w:type="pct"/>
            <w:vAlign w:val="center"/>
          </w:tcPr>
          <w:p w14:paraId="7A0EC4E2"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Taksitli </w:t>
            </w:r>
          </w:p>
        </w:tc>
        <w:tc>
          <w:tcPr>
            <w:tcW w:w="735" w:type="pct"/>
            <w:vAlign w:val="center"/>
          </w:tcPr>
          <w:p w14:paraId="23A41621" w14:textId="0A93E7F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10" w:type="pct"/>
            <w:vAlign w:val="center"/>
          </w:tcPr>
          <w:p w14:paraId="68F1A58F" w14:textId="39CAF0F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19695A49" w14:textId="1801539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076B3905" w14:textId="77777777" w:rsidTr="004E1B47">
        <w:tc>
          <w:tcPr>
            <w:tcW w:w="2794" w:type="pct"/>
            <w:vAlign w:val="center"/>
          </w:tcPr>
          <w:p w14:paraId="56082A9A"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Taksitsiz</w:t>
            </w:r>
          </w:p>
        </w:tc>
        <w:tc>
          <w:tcPr>
            <w:tcW w:w="735" w:type="pct"/>
            <w:vAlign w:val="center"/>
          </w:tcPr>
          <w:p w14:paraId="1257322F" w14:textId="66E5E84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3.498</w:t>
            </w:r>
          </w:p>
        </w:tc>
        <w:tc>
          <w:tcPr>
            <w:tcW w:w="810" w:type="pct"/>
            <w:vAlign w:val="center"/>
          </w:tcPr>
          <w:p w14:paraId="362CFF8E" w14:textId="75CB809B"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vAlign w:val="center"/>
          </w:tcPr>
          <w:p w14:paraId="7754B330" w14:textId="110D9246"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3.498</w:t>
            </w:r>
          </w:p>
        </w:tc>
      </w:tr>
      <w:tr w:rsidR="002A2DAA" w:rsidRPr="00FB38E1" w14:paraId="06B2033D" w14:textId="77777777" w:rsidTr="004E1B47">
        <w:tc>
          <w:tcPr>
            <w:tcW w:w="2794" w:type="pct"/>
            <w:vAlign w:val="center"/>
          </w:tcPr>
          <w:p w14:paraId="37771C9B"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Kredili Mevduat Hesabı-TP (Gerçek Kişi) (*)</w:t>
            </w:r>
          </w:p>
        </w:tc>
        <w:tc>
          <w:tcPr>
            <w:tcW w:w="735" w:type="pct"/>
            <w:vAlign w:val="center"/>
          </w:tcPr>
          <w:p w14:paraId="6F912B17" w14:textId="39AC4DC6"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19.621.759</w:t>
            </w:r>
          </w:p>
        </w:tc>
        <w:tc>
          <w:tcPr>
            <w:tcW w:w="810" w:type="pct"/>
            <w:vAlign w:val="center"/>
          </w:tcPr>
          <w:p w14:paraId="2F2F07D2" w14:textId="38768902"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661" w:type="pct"/>
            <w:vAlign w:val="center"/>
          </w:tcPr>
          <w:p w14:paraId="3A4BBD82" w14:textId="70681AF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19.621.759</w:t>
            </w:r>
          </w:p>
        </w:tc>
      </w:tr>
      <w:tr w:rsidR="002A2DAA" w:rsidRPr="00FB38E1" w14:paraId="27638312" w14:textId="77777777" w:rsidTr="004E1B47">
        <w:tc>
          <w:tcPr>
            <w:tcW w:w="2794" w:type="pct"/>
            <w:tcBorders>
              <w:bottom w:val="single" w:sz="4" w:space="0" w:color="auto"/>
            </w:tcBorders>
            <w:vAlign w:val="center"/>
          </w:tcPr>
          <w:p w14:paraId="7632FAEC"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Kredili Mevduat Hesabı-YP (Gerçek Kişi)</w:t>
            </w:r>
          </w:p>
        </w:tc>
        <w:tc>
          <w:tcPr>
            <w:tcW w:w="735" w:type="pct"/>
            <w:tcBorders>
              <w:bottom w:val="single" w:sz="4" w:space="0" w:color="auto"/>
            </w:tcBorders>
            <w:vAlign w:val="center"/>
          </w:tcPr>
          <w:p w14:paraId="1CD11FAE" w14:textId="13E634E7"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10" w:type="pct"/>
            <w:tcBorders>
              <w:bottom w:val="single" w:sz="4" w:space="0" w:color="auto"/>
            </w:tcBorders>
            <w:vAlign w:val="center"/>
          </w:tcPr>
          <w:p w14:paraId="1DB91813" w14:textId="5FF6E690"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661" w:type="pct"/>
            <w:tcBorders>
              <w:bottom w:val="single" w:sz="4" w:space="0" w:color="auto"/>
            </w:tcBorders>
            <w:vAlign w:val="center"/>
          </w:tcPr>
          <w:p w14:paraId="60DD5DC7" w14:textId="4F268F1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37DCFA14" w14:textId="77777777" w:rsidTr="004E1B47">
        <w:tc>
          <w:tcPr>
            <w:tcW w:w="2794" w:type="pct"/>
            <w:tcBorders>
              <w:top w:val="single" w:sz="4" w:space="0" w:color="auto"/>
              <w:bottom w:val="thickThinSmallGap" w:sz="24" w:space="0" w:color="auto"/>
            </w:tcBorders>
            <w:vAlign w:val="center"/>
          </w:tcPr>
          <w:p w14:paraId="2FA812F8"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5DEC8E3B" w14:textId="0A46163A"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137.758.517</w:t>
            </w:r>
          </w:p>
        </w:tc>
        <w:tc>
          <w:tcPr>
            <w:tcW w:w="810" w:type="pct"/>
            <w:tcBorders>
              <w:top w:val="single" w:sz="4" w:space="0" w:color="auto"/>
              <w:bottom w:val="thickThinSmallGap" w:sz="24" w:space="0" w:color="auto"/>
            </w:tcBorders>
            <w:vAlign w:val="center"/>
          </w:tcPr>
          <w:p w14:paraId="57195AFA" w14:textId="59129A60"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58.212.438</w:t>
            </w:r>
          </w:p>
        </w:tc>
        <w:tc>
          <w:tcPr>
            <w:tcW w:w="661" w:type="pct"/>
            <w:tcBorders>
              <w:top w:val="single" w:sz="4" w:space="0" w:color="auto"/>
              <w:bottom w:val="thickThinSmallGap" w:sz="24" w:space="0" w:color="auto"/>
            </w:tcBorders>
            <w:vAlign w:val="center"/>
          </w:tcPr>
          <w:p w14:paraId="02C41818" w14:textId="0FA0FB66"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195.970.955</w:t>
            </w:r>
          </w:p>
        </w:tc>
      </w:tr>
    </w:tbl>
    <w:p w14:paraId="3372B54C" w14:textId="297FF670" w:rsidR="0004350B" w:rsidRPr="00FB38E1" w:rsidRDefault="0004350B" w:rsidP="0004350B">
      <w:pPr>
        <w:pStyle w:val="BASLIK2"/>
        <w:spacing w:before="60" w:line="240" w:lineRule="auto"/>
        <w:ind w:left="284" w:hanging="284"/>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b w:val="0"/>
          <w:color w:val="404040" w:themeColor="text1" w:themeTint="BF"/>
          <w:sz w:val="16"/>
          <w:szCs w:val="16"/>
        </w:rPr>
        <w:t>(*)</w:t>
      </w:r>
      <w:r w:rsidRPr="00FB38E1">
        <w:rPr>
          <w:rFonts w:ascii="Microsoft Sans Serif" w:hAnsi="Microsoft Sans Serif" w:cs="Microsoft Sans Serif"/>
          <w:b w:val="0"/>
          <w:color w:val="404040" w:themeColor="text1" w:themeTint="BF"/>
          <w:sz w:val="16"/>
          <w:szCs w:val="16"/>
        </w:rPr>
        <w:tab/>
        <w:t xml:space="preserve">Banka personelinin kullandığı kredili mevduat hesabı </w:t>
      </w:r>
      <w:r w:rsidR="007645D1" w:rsidRPr="00FB38E1">
        <w:rPr>
          <w:rFonts w:ascii="Microsoft Sans Serif" w:hAnsi="Microsoft Sans Serif" w:cs="Microsoft Sans Serif"/>
          <w:b w:val="0"/>
          <w:color w:val="404040" w:themeColor="text1" w:themeTint="BF"/>
          <w:sz w:val="16"/>
          <w:szCs w:val="16"/>
        </w:rPr>
        <w:t>10</w:t>
      </w:r>
      <w:r w:rsidR="00654E59" w:rsidRPr="00FB38E1">
        <w:rPr>
          <w:rFonts w:ascii="Microsoft Sans Serif" w:hAnsi="Microsoft Sans Serif" w:cs="Microsoft Sans Serif"/>
          <w:b w:val="0"/>
          <w:color w:val="404040" w:themeColor="text1" w:themeTint="BF"/>
          <w:sz w:val="16"/>
          <w:szCs w:val="16"/>
        </w:rPr>
        <w:t>.</w:t>
      </w:r>
      <w:r w:rsidR="007645D1" w:rsidRPr="00FB38E1">
        <w:rPr>
          <w:rFonts w:ascii="Microsoft Sans Serif" w:hAnsi="Microsoft Sans Serif" w:cs="Microsoft Sans Serif"/>
          <w:b w:val="0"/>
          <w:color w:val="404040" w:themeColor="text1" w:themeTint="BF"/>
          <w:sz w:val="16"/>
          <w:szCs w:val="16"/>
        </w:rPr>
        <w:t>4</w:t>
      </w:r>
      <w:r w:rsidR="002A2DAA" w:rsidRPr="00FB38E1">
        <w:rPr>
          <w:rFonts w:ascii="Microsoft Sans Serif" w:hAnsi="Microsoft Sans Serif" w:cs="Microsoft Sans Serif"/>
          <w:b w:val="0"/>
          <w:color w:val="404040" w:themeColor="text1" w:themeTint="BF"/>
          <w:sz w:val="16"/>
          <w:szCs w:val="16"/>
        </w:rPr>
        <w:t>99</w:t>
      </w:r>
      <w:r w:rsidRPr="00FB38E1">
        <w:rPr>
          <w:rFonts w:ascii="Microsoft Sans Serif" w:hAnsi="Microsoft Sans Serif" w:cs="Microsoft Sans Serif"/>
          <w:b w:val="0"/>
          <w:color w:val="404040" w:themeColor="text1" w:themeTint="BF"/>
          <w:sz w:val="16"/>
          <w:szCs w:val="16"/>
        </w:rPr>
        <w:t xml:space="preserve"> TL tutarındadır.</w:t>
      </w:r>
      <w:r w:rsidRPr="00FB38E1">
        <w:rPr>
          <w:rFonts w:ascii="Microsoft Sans Serif" w:hAnsi="Microsoft Sans Serif" w:cs="Microsoft Sans Serif"/>
          <w:b w:val="0"/>
          <w:color w:val="404040" w:themeColor="text1" w:themeTint="BF"/>
          <w:sz w:val="16"/>
          <w:szCs w:val="16"/>
        </w:rPr>
        <w:tab/>
      </w:r>
    </w:p>
    <w:p w14:paraId="52A201E5" w14:textId="77777777" w:rsidR="0004350B" w:rsidRPr="00FB38E1" w:rsidRDefault="0004350B" w:rsidP="0004350B">
      <w:pPr>
        <w:tabs>
          <w:tab w:val="left" w:pos="3874"/>
        </w:tabs>
        <w:sectPr w:rsidR="0004350B" w:rsidRPr="00FB38E1" w:rsidSect="000E7273">
          <w:headerReference w:type="default" r:id="rId51"/>
          <w:pgSz w:w="11906" w:h="16838"/>
          <w:pgMar w:top="-1985" w:right="567" w:bottom="-862" w:left="1701" w:header="709" w:footer="306" w:gutter="0"/>
          <w:cols w:space="708"/>
          <w:docGrid w:linePitch="360"/>
        </w:sectPr>
      </w:pPr>
    </w:p>
    <w:p w14:paraId="2C2F8D80" w14:textId="77777777" w:rsidR="0004350B" w:rsidRPr="00FB38E1" w:rsidRDefault="0004350B" w:rsidP="009C3D5F">
      <w:pPr>
        <w:pStyle w:val="BASLIK2"/>
        <w:widowControl/>
        <w:numPr>
          <w:ilvl w:val="0"/>
          <w:numId w:val="21"/>
        </w:numPr>
        <w:spacing w:before="200" w:line="240" w:lineRule="exact"/>
        <w:ind w:left="0" w:hanging="425"/>
        <w:rPr>
          <w:rFonts w:ascii="Microsoft Sans Serif" w:hAnsi="Microsoft Sans Serif" w:cs="Microsoft Sans Serif"/>
          <w:iCs/>
          <w:sz w:val="20"/>
          <w:szCs w:val="20"/>
          <w:lang w:val="pt-BR"/>
        </w:rPr>
      </w:pPr>
      <w:r w:rsidRPr="00FB38E1">
        <w:rPr>
          <w:rFonts w:ascii="Microsoft Sans Serif" w:hAnsi="Microsoft Sans Serif" w:cs="Microsoft Sans Serif"/>
          <w:iCs/>
          <w:sz w:val="20"/>
          <w:szCs w:val="20"/>
        </w:rPr>
        <w:t>Taksitli ticari krediler ve kurumsal kredi kartlarına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88"/>
        <w:gridCol w:w="1417"/>
        <w:gridCol w:w="1700"/>
        <w:gridCol w:w="1134"/>
      </w:tblGrid>
      <w:tr w:rsidR="0004350B" w:rsidRPr="00FB38E1" w14:paraId="4FDBD895" w14:textId="77777777" w:rsidTr="004E1B47">
        <w:tc>
          <w:tcPr>
            <w:tcW w:w="2795" w:type="pct"/>
            <w:tcBorders>
              <w:top w:val="thinThickSmallGap" w:sz="24" w:space="0" w:color="auto"/>
              <w:bottom w:val="single" w:sz="4" w:space="0" w:color="auto"/>
            </w:tcBorders>
            <w:vAlign w:val="center"/>
          </w:tcPr>
          <w:p w14:paraId="37544323" w14:textId="77777777" w:rsidR="0004350B" w:rsidRPr="00FB38E1" w:rsidRDefault="0004350B" w:rsidP="00B9442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735" w:type="pct"/>
            <w:tcBorders>
              <w:top w:val="thinThickSmallGap" w:sz="24" w:space="0" w:color="auto"/>
              <w:bottom w:val="single" w:sz="4" w:space="0" w:color="auto"/>
            </w:tcBorders>
            <w:vAlign w:val="center"/>
          </w:tcPr>
          <w:p w14:paraId="36A0752D"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Kısa Vadeli</w:t>
            </w:r>
          </w:p>
        </w:tc>
        <w:tc>
          <w:tcPr>
            <w:tcW w:w="882" w:type="pct"/>
            <w:tcBorders>
              <w:top w:val="thinThickSmallGap" w:sz="24" w:space="0" w:color="auto"/>
              <w:bottom w:val="single" w:sz="4" w:space="0" w:color="auto"/>
            </w:tcBorders>
            <w:vAlign w:val="center"/>
          </w:tcPr>
          <w:p w14:paraId="44BC028F"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Orta ve Uzun Vadeli</w:t>
            </w:r>
          </w:p>
        </w:tc>
        <w:tc>
          <w:tcPr>
            <w:tcW w:w="588" w:type="pct"/>
            <w:tcBorders>
              <w:top w:val="thinThickSmallGap" w:sz="24" w:space="0" w:color="auto"/>
              <w:bottom w:val="single" w:sz="4" w:space="0" w:color="auto"/>
            </w:tcBorders>
            <w:vAlign w:val="center"/>
          </w:tcPr>
          <w:p w14:paraId="7BBAFF2A"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2A2DAA" w:rsidRPr="00FB38E1" w14:paraId="4B46E6EF" w14:textId="77777777" w:rsidTr="004E1B47">
        <w:tc>
          <w:tcPr>
            <w:tcW w:w="2795" w:type="pct"/>
            <w:tcBorders>
              <w:top w:val="single" w:sz="4" w:space="0" w:color="auto"/>
            </w:tcBorders>
            <w:vAlign w:val="center"/>
          </w:tcPr>
          <w:p w14:paraId="40109C61"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Taksitli Ticari Krediler-TP</w:t>
            </w:r>
          </w:p>
        </w:tc>
        <w:tc>
          <w:tcPr>
            <w:tcW w:w="735" w:type="pct"/>
            <w:tcBorders>
              <w:top w:val="single" w:sz="4" w:space="0" w:color="auto"/>
            </w:tcBorders>
            <w:vAlign w:val="center"/>
          </w:tcPr>
          <w:p w14:paraId="584BFD51" w14:textId="4449E085"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7.715.427</w:t>
            </w:r>
          </w:p>
        </w:tc>
        <w:tc>
          <w:tcPr>
            <w:tcW w:w="882" w:type="pct"/>
            <w:tcBorders>
              <w:top w:val="single" w:sz="4" w:space="0" w:color="auto"/>
            </w:tcBorders>
            <w:vAlign w:val="center"/>
          </w:tcPr>
          <w:p w14:paraId="76420296" w14:textId="1C0C5835"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38.679.263</w:t>
            </w:r>
          </w:p>
        </w:tc>
        <w:tc>
          <w:tcPr>
            <w:tcW w:w="588" w:type="pct"/>
            <w:tcBorders>
              <w:top w:val="single" w:sz="4" w:space="0" w:color="auto"/>
            </w:tcBorders>
            <w:vAlign w:val="center"/>
          </w:tcPr>
          <w:p w14:paraId="5D6A1F7D" w14:textId="4C984462"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46.394.690</w:t>
            </w:r>
          </w:p>
        </w:tc>
      </w:tr>
      <w:tr w:rsidR="002A2DAA" w:rsidRPr="00FB38E1" w14:paraId="2CD2CBCF" w14:textId="77777777" w:rsidTr="004E1B47">
        <w:tc>
          <w:tcPr>
            <w:tcW w:w="2795" w:type="pct"/>
            <w:vAlign w:val="center"/>
          </w:tcPr>
          <w:p w14:paraId="7A164792"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İşyeri Kredileri</w:t>
            </w:r>
          </w:p>
        </w:tc>
        <w:tc>
          <w:tcPr>
            <w:tcW w:w="735" w:type="pct"/>
            <w:vAlign w:val="center"/>
          </w:tcPr>
          <w:p w14:paraId="43C4A9B2" w14:textId="5219820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w:t>
            </w:r>
          </w:p>
        </w:tc>
        <w:tc>
          <w:tcPr>
            <w:tcW w:w="882" w:type="pct"/>
            <w:vAlign w:val="center"/>
          </w:tcPr>
          <w:p w14:paraId="6AAEDCAA" w14:textId="54DAD0B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64.156</w:t>
            </w:r>
          </w:p>
        </w:tc>
        <w:tc>
          <w:tcPr>
            <w:tcW w:w="588" w:type="pct"/>
            <w:vAlign w:val="center"/>
          </w:tcPr>
          <w:p w14:paraId="51545F24" w14:textId="259CB036"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64.159</w:t>
            </w:r>
          </w:p>
        </w:tc>
      </w:tr>
      <w:tr w:rsidR="002A2DAA" w:rsidRPr="00FB38E1" w14:paraId="70568F36" w14:textId="77777777" w:rsidTr="004E1B47">
        <w:tc>
          <w:tcPr>
            <w:tcW w:w="2795" w:type="pct"/>
            <w:vAlign w:val="center"/>
          </w:tcPr>
          <w:p w14:paraId="2DE194F9"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Taşıt Kredileri</w:t>
            </w:r>
          </w:p>
        </w:tc>
        <w:tc>
          <w:tcPr>
            <w:tcW w:w="735" w:type="pct"/>
            <w:vAlign w:val="center"/>
          </w:tcPr>
          <w:p w14:paraId="421CE6F4" w14:textId="0DBC1923"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3.129</w:t>
            </w:r>
          </w:p>
        </w:tc>
        <w:tc>
          <w:tcPr>
            <w:tcW w:w="882" w:type="pct"/>
            <w:vAlign w:val="center"/>
          </w:tcPr>
          <w:p w14:paraId="69D4F7F4" w14:textId="675C437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77.232</w:t>
            </w:r>
          </w:p>
        </w:tc>
        <w:tc>
          <w:tcPr>
            <w:tcW w:w="588" w:type="pct"/>
            <w:vAlign w:val="center"/>
          </w:tcPr>
          <w:p w14:paraId="2A393943" w14:textId="532B500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80.361</w:t>
            </w:r>
          </w:p>
        </w:tc>
      </w:tr>
      <w:tr w:rsidR="002A2DAA" w:rsidRPr="00FB38E1" w14:paraId="27751A3D" w14:textId="77777777" w:rsidTr="004E1B47">
        <w:tc>
          <w:tcPr>
            <w:tcW w:w="2795" w:type="pct"/>
            <w:vAlign w:val="center"/>
          </w:tcPr>
          <w:p w14:paraId="43C0FC95"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İhtiyaç Kredileri</w:t>
            </w:r>
          </w:p>
        </w:tc>
        <w:tc>
          <w:tcPr>
            <w:tcW w:w="735" w:type="pct"/>
            <w:vAlign w:val="center"/>
          </w:tcPr>
          <w:p w14:paraId="5DA6C49B" w14:textId="037B483A"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7.712.295</w:t>
            </w:r>
          </w:p>
        </w:tc>
        <w:tc>
          <w:tcPr>
            <w:tcW w:w="882" w:type="pct"/>
            <w:vAlign w:val="center"/>
          </w:tcPr>
          <w:p w14:paraId="61D15E66" w14:textId="13EF885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38.537.875</w:t>
            </w:r>
          </w:p>
        </w:tc>
        <w:tc>
          <w:tcPr>
            <w:tcW w:w="588" w:type="pct"/>
            <w:vAlign w:val="center"/>
          </w:tcPr>
          <w:p w14:paraId="381F6511" w14:textId="49D2487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46.250.170</w:t>
            </w:r>
          </w:p>
        </w:tc>
      </w:tr>
      <w:tr w:rsidR="002A2DAA" w:rsidRPr="00FB38E1" w14:paraId="338E70B0" w14:textId="77777777" w:rsidTr="004E1B47">
        <w:tc>
          <w:tcPr>
            <w:tcW w:w="2795" w:type="pct"/>
            <w:vAlign w:val="center"/>
          </w:tcPr>
          <w:p w14:paraId="527C6090"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35" w:type="pct"/>
            <w:vAlign w:val="center"/>
          </w:tcPr>
          <w:p w14:paraId="08915C51" w14:textId="606E97A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4B8F4766" w14:textId="7AF0BDCE"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52B2E1D4" w14:textId="3FF9982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3ACBC481" w14:textId="77777777" w:rsidTr="004E1B47">
        <w:tc>
          <w:tcPr>
            <w:tcW w:w="2795" w:type="pct"/>
            <w:vAlign w:val="center"/>
          </w:tcPr>
          <w:p w14:paraId="7A85CE46"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Taksitli Ticari Krediler-Dövize Endeksli</w:t>
            </w:r>
          </w:p>
        </w:tc>
        <w:tc>
          <w:tcPr>
            <w:tcW w:w="735" w:type="pct"/>
            <w:vAlign w:val="center"/>
          </w:tcPr>
          <w:p w14:paraId="7A47586D" w14:textId="296F98E5"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82" w:type="pct"/>
            <w:vAlign w:val="center"/>
          </w:tcPr>
          <w:p w14:paraId="1E183753" w14:textId="4B472B2B"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1.432.347</w:t>
            </w:r>
          </w:p>
        </w:tc>
        <w:tc>
          <w:tcPr>
            <w:tcW w:w="588" w:type="pct"/>
            <w:vAlign w:val="center"/>
          </w:tcPr>
          <w:p w14:paraId="220F2A05" w14:textId="0BDF202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1.432.347</w:t>
            </w:r>
          </w:p>
        </w:tc>
      </w:tr>
      <w:tr w:rsidR="002A2DAA" w:rsidRPr="00FB38E1" w14:paraId="1226ED73" w14:textId="77777777" w:rsidTr="004E1B47">
        <w:tc>
          <w:tcPr>
            <w:tcW w:w="2795" w:type="pct"/>
            <w:vAlign w:val="center"/>
          </w:tcPr>
          <w:p w14:paraId="363E55AA"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İşyeri Kredileri</w:t>
            </w:r>
          </w:p>
        </w:tc>
        <w:tc>
          <w:tcPr>
            <w:tcW w:w="735" w:type="pct"/>
            <w:vAlign w:val="center"/>
          </w:tcPr>
          <w:p w14:paraId="10693B92" w14:textId="0F7655D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301EF73A" w14:textId="17FC315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2EFF45D6" w14:textId="7D2280A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1CCCD5BD" w14:textId="77777777" w:rsidTr="004E1B47">
        <w:tc>
          <w:tcPr>
            <w:tcW w:w="2795" w:type="pct"/>
            <w:vAlign w:val="center"/>
          </w:tcPr>
          <w:p w14:paraId="7A700BEC"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Taşıt Kredileri</w:t>
            </w:r>
          </w:p>
        </w:tc>
        <w:tc>
          <w:tcPr>
            <w:tcW w:w="735" w:type="pct"/>
            <w:vAlign w:val="center"/>
          </w:tcPr>
          <w:p w14:paraId="378650F3" w14:textId="304E56D4"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36DC49A1" w14:textId="055280B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3C0166AD" w14:textId="63F8588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16AC2E87" w14:textId="77777777" w:rsidTr="004E1B47">
        <w:tc>
          <w:tcPr>
            <w:tcW w:w="2795" w:type="pct"/>
            <w:vAlign w:val="center"/>
          </w:tcPr>
          <w:p w14:paraId="793073CC"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İhtiyaç Kredileri</w:t>
            </w:r>
          </w:p>
        </w:tc>
        <w:tc>
          <w:tcPr>
            <w:tcW w:w="735" w:type="pct"/>
            <w:vAlign w:val="center"/>
          </w:tcPr>
          <w:p w14:paraId="52D74588" w14:textId="3BC6F76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279345F4" w14:textId="24AEAFC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1.432.347</w:t>
            </w:r>
          </w:p>
        </w:tc>
        <w:tc>
          <w:tcPr>
            <w:tcW w:w="588" w:type="pct"/>
            <w:vAlign w:val="center"/>
          </w:tcPr>
          <w:p w14:paraId="57EF696C" w14:textId="7EBD5F6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1.432.347</w:t>
            </w:r>
          </w:p>
        </w:tc>
      </w:tr>
      <w:tr w:rsidR="002A2DAA" w:rsidRPr="00FB38E1" w14:paraId="22E82209" w14:textId="77777777" w:rsidTr="004E1B47">
        <w:tc>
          <w:tcPr>
            <w:tcW w:w="2795" w:type="pct"/>
            <w:vAlign w:val="center"/>
          </w:tcPr>
          <w:p w14:paraId="66819FCC"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35" w:type="pct"/>
            <w:vAlign w:val="center"/>
          </w:tcPr>
          <w:p w14:paraId="15DC3C24" w14:textId="0138AE53"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3CFBDB30" w14:textId="50665087"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25149D6D" w14:textId="3B64232F"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747A4FAA" w14:textId="77777777" w:rsidTr="004E1B47">
        <w:tc>
          <w:tcPr>
            <w:tcW w:w="2795" w:type="pct"/>
            <w:vAlign w:val="center"/>
          </w:tcPr>
          <w:p w14:paraId="3E6E7907"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Taksitli Ticari Krediler-YP</w:t>
            </w:r>
          </w:p>
        </w:tc>
        <w:tc>
          <w:tcPr>
            <w:tcW w:w="735" w:type="pct"/>
            <w:vAlign w:val="center"/>
          </w:tcPr>
          <w:p w14:paraId="2F25DF81" w14:textId="113F8580"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544.246</w:t>
            </w:r>
          </w:p>
        </w:tc>
        <w:tc>
          <w:tcPr>
            <w:tcW w:w="882" w:type="pct"/>
            <w:vAlign w:val="center"/>
          </w:tcPr>
          <w:p w14:paraId="5AFC2929" w14:textId="5E6559A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43.904.489</w:t>
            </w:r>
          </w:p>
        </w:tc>
        <w:tc>
          <w:tcPr>
            <w:tcW w:w="588" w:type="pct"/>
            <w:vAlign w:val="center"/>
          </w:tcPr>
          <w:p w14:paraId="16C3E6CF" w14:textId="7C00B16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44.448.735</w:t>
            </w:r>
          </w:p>
        </w:tc>
      </w:tr>
      <w:tr w:rsidR="002A2DAA" w:rsidRPr="00FB38E1" w14:paraId="6B946C57" w14:textId="77777777" w:rsidTr="004E1B47">
        <w:tc>
          <w:tcPr>
            <w:tcW w:w="2795" w:type="pct"/>
            <w:vAlign w:val="center"/>
          </w:tcPr>
          <w:p w14:paraId="134F1D01"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İşyeri Kredileri</w:t>
            </w:r>
          </w:p>
        </w:tc>
        <w:tc>
          <w:tcPr>
            <w:tcW w:w="735" w:type="pct"/>
            <w:vAlign w:val="center"/>
          </w:tcPr>
          <w:p w14:paraId="5D1866BC" w14:textId="26B5EC90"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0C2A1D0E" w14:textId="597C9D0A"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46A964FF" w14:textId="77E0DB6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69B61311" w14:textId="77777777" w:rsidTr="004E1B47">
        <w:tc>
          <w:tcPr>
            <w:tcW w:w="2795" w:type="pct"/>
            <w:vAlign w:val="center"/>
          </w:tcPr>
          <w:p w14:paraId="380D406A"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Taşıt Kredileri</w:t>
            </w:r>
          </w:p>
        </w:tc>
        <w:tc>
          <w:tcPr>
            <w:tcW w:w="735" w:type="pct"/>
            <w:vAlign w:val="center"/>
          </w:tcPr>
          <w:p w14:paraId="6F6CF141" w14:textId="2105DCB5"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41704725" w14:textId="4732A89D"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2.179</w:t>
            </w:r>
          </w:p>
        </w:tc>
        <w:tc>
          <w:tcPr>
            <w:tcW w:w="588" w:type="pct"/>
            <w:vAlign w:val="center"/>
          </w:tcPr>
          <w:p w14:paraId="0B662C17" w14:textId="02F7651A"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2.179</w:t>
            </w:r>
          </w:p>
        </w:tc>
      </w:tr>
      <w:tr w:rsidR="002A2DAA" w:rsidRPr="00FB38E1" w14:paraId="58E636A0" w14:textId="77777777" w:rsidTr="004E1B47">
        <w:tc>
          <w:tcPr>
            <w:tcW w:w="2795" w:type="pct"/>
            <w:vAlign w:val="center"/>
          </w:tcPr>
          <w:p w14:paraId="09067388"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İhtiyaç Kredileri</w:t>
            </w:r>
          </w:p>
        </w:tc>
        <w:tc>
          <w:tcPr>
            <w:tcW w:w="735" w:type="pct"/>
            <w:vAlign w:val="center"/>
          </w:tcPr>
          <w:p w14:paraId="578AE1A6" w14:textId="3BDBB14E"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544.246</w:t>
            </w:r>
          </w:p>
        </w:tc>
        <w:tc>
          <w:tcPr>
            <w:tcW w:w="882" w:type="pct"/>
            <w:vAlign w:val="center"/>
          </w:tcPr>
          <w:p w14:paraId="05FF94D2" w14:textId="57B30A5F"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43.902.310</w:t>
            </w:r>
          </w:p>
        </w:tc>
        <w:tc>
          <w:tcPr>
            <w:tcW w:w="588" w:type="pct"/>
            <w:vAlign w:val="center"/>
          </w:tcPr>
          <w:p w14:paraId="38FCE4E7" w14:textId="7BC5085C"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44.446.556</w:t>
            </w:r>
          </w:p>
        </w:tc>
      </w:tr>
      <w:tr w:rsidR="002A2DAA" w:rsidRPr="00FB38E1" w14:paraId="496E9BBB" w14:textId="77777777" w:rsidTr="004E1B47">
        <w:tc>
          <w:tcPr>
            <w:tcW w:w="2795" w:type="pct"/>
            <w:vAlign w:val="center"/>
          </w:tcPr>
          <w:p w14:paraId="12CA879F"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735" w:type="pct"/>
            <w:vAlign w:val="center"/>
          </w:tcPr>
          <w:p w14:paraId="7EC19D06" w14:textId="0AB2D47A"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64B1ED35" w14:textId="2A94C483"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18E5F82D" w14:textId="44EDA05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5DCB037C" w14:textId="77777777" w:rsidTr="004E1B47">
        <w:tc>
          <w:tcPr>
            <w:tcW w:w="2795" w:type="pct"/>
            <w:vAlign w:val="center"/>
          </w:tcPr>
          <w:p w14:paraId="3359366B"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Kurumsal Kredi Kartları-TP</w:t>
            </w:r>
          </w:p>
        </w:tc>
        <w:tc>
          <w:tcPr>
            <w:tcW w:w="735" w:type="pct"/>
            <w:vAlign w:val="center"/>
          </w:tcPr>
          <w:p w14:paraId="0089666A" w14:textId="182ED713"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14.281.886</w:t>
            </w:r>
          </w:p>
        </w:tc>
        <w:tc>
          <w:tcPr>
            <w:tcW w:w="882" w:type="pct"/>
            <w:vAlign w:val="center"/>
          </w:tcPr>
          <w:p w14:paraId="322AA52F" w14:textId="39C2FDA2"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340.227</w:t>
            </w:r>
          </w:p>
        </w:tc>
        <w:tc>
          <w:tcPr>
            <w:tcW w:w="588" w:type="pct"/>
            <w:vAlign w:val="center"/>
          </w:tcPr>
          <w:p w14:paraId="290FCA27" w14:textId="0CEC557A"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14.622.113</w:t>
            </w:r>
          </w:p>
        </w:tc>
      </w:tr>
      <w:tr w:rsidR="002A2DAA" w:rsidRPr="00FB38E1" w14:paraId="52B029E2" w14:textId="77777777" w:rsidTr="004E1B47">
        <w:tc>
          <w:tcPr>
            <w:tcW w:w="2795" w:type="pct"/>
            <w:vAlign w:val="center"/>
          </w:tcPr>
          <w:p w14:paraId="50518EEA"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Taksitli </w:t>
            </w:r>
          </w:p>
        </w:tc>
        <w:tc>
          <w:tcPr>
            <w:tcW w:w="735" w:type="pct"/>
            <w:vAlign w:val="center"/>
          </w:tcPr>
          <w:p w14:paraId="63E48783" w14:textId="1899DFD2"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2.713.702</w:t>
            </w:r>
          </w:p>
        </w:tc>
        <w:tc>
          <w:tcPr>
            <w:tcW w:w="882" w:type="pct"/>
            <w:vAlign w:val="center"/>
          </w:tcPr>
          <w:p w14:paraId="512FAAFE" w14:textId="55D11271"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340.227</w:t>
            </w:r>
          </w:p>
        </w:tc>
        <w:tc>
          <w:tcPr>
            <w:tcW w:w="588" w:type="pct"/>
            <w:vAlign w:val="center"/>
          </w:tcPr>
          <w:p w14:paraId="2CBFBC86" w14:textId="0A38C578"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3.053.929</w:t>
            </w:r>
          </w:p>
        </w:tc>
      </w:tr>
      <w:tr w:rsidR="002A2DAA" w:rsidRPr="00FB38E1" w14:paraId="183988A6" w14:textId="77777777" w:rsidTr="004E1B47">
        <w:tc>
          <w:tcPr>
            <w:tcW w:w="2795" w:type="pct"/>
            <w:vAlign w:val="center"/>
          </w:tcPr>
          <w:p w14:paraId="4B43AEB3"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Taksitsiz</w:t>
            </w:r>
          </w:p>
        </w:tc>
        <w:tc>
          <w:tcPr>
            <w:tcW w:w="735" w:type="pct"/>
            <w:vAlign w:val="center"/>
          </w:tcPr>
          <w:p w14:paraId="7E91DC92" w14:textId="6EF07BAC"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11.568.184</w:t>
            </w:r>
          </w:p>
        </w:tc>
        <w:tc>
          <w:tcPr>
            <w:tcW w:w="882" w:type="pct"/>
            <w:vAlign w:val="center"/>
          </w:tcPr>
          <w:p w14:paraId="3CC7BB2F" w14:textId="23AB396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5564D483" w14:textId="22D02763"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11.568.184</w:t>
            </w:r>
          </w:p>
        </w:tc>
      </w:tr>
      <w:tr w:rsidR="002A2DAA" w:rsidRPr="00FB38E1" w14:paraId="5811F254" w14:textId="77777777" w:rsidTr="004E1B47">
        <w:tc>
          <w:tcPr>
            <w:tcW w:w="2795" w:type="pct"/>
            <w:vAlign w:val="center"/>
          </w:tcPr>
          <w:p w14:paraId="723C00B9"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Kurumsal Kredi Kartları-YP</w:t>
            </w:r>
          </w:p>
        </w:tc>
        <w:tc>
          <w:tcPr>
            <w:tcW w:w="735" w:type="pct"/>
            <w:vAlign w:val="center"/>
          </w:tcPr>
          <w:p w14:paraId="02F4B0CC" w14:textId="2815490C"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4.552</w:t>
            </w:r>
          </w:p>
        </w:tc>
        <w:tc>
          <w:tcPr>
            <w:tcW w:w="882" w:type="pct"/>
            <w:vAlign w:val="center"/>
          </w:tcPr>
          <w:p w14:paraId="002F31B1" w14:textId="42A61533"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88" w:type="pct"/>
            <w:vAlign w:val="center"/>
          </w:tcPr>
          <w:p w14:paraId="2D9213E5" w14:textId="1916EB9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4.552</w:t>
            </w:r>
          </w:p>
        </w:tc>
      </w:tr>
      <w:tr w:rsidR="002A2DAA" w:rsidRPr="00FB38E1" w14:paraId="73C6AD10" w14:textId="77777777" w:rsidTr="004E1B47">
        <w:tc>
          <w:tcPr>
            <w:tcW w:w="2795" w:type="pct"/>
            <w:vAlign w:val="center"/>
          </w:tcPr>
          <w:p w14:paraId="438A6EA9"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Taksitli </w:t>
            </w:r>
          </w:p>
        </w:tc>
        <w:tc>
          <w:tcPr>
            <w:tcW w:w="735" w:type="pct"/>
            <w:vAlign w:val="center"/>
          </w:tcPr>
          <w:p w14:paraId="30C423AF" w14:textId="38076738"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6F99C5B1" w14:textId="67E87596"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7941FE53" w14:textId="396AB494"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7F7C5A6C" w14:textId="77777777" w:rsidTr="004E1B47">
        <w:tc>
          <w:tcPr>
            <w:tcW w:w="2795" w:type="pct"/>
            <w:vAlign w:val="center"/>
          </w:tcPr>
          <w:p w14:paraId="27EA22D8" w14:textId="77777777" w:rsidR="002A2DAA" w:rsidRPr="00FB38E1" w:rsidRDefault="002A2DAA" w:rsidP="002A2DA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Taksitsiz</w:t>
            </w:r>
          </w:p>
        </w:tc>
        <w:tc>
          <w:tcPr>
            <w:tcW w:w="735" w:type="pct"/>
            <w:vAlign w:val="center"/>
          </w:tcPr>
          <w:p w14:paraId="5C477ED3" w14:textId="5198AAB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4.552</w:t>
            </w:r>
          </w:p>
        </w:tc>
        <w:tc>
          <w:tcPr>
            <w:tcW w:w="882" w:type="pct"/>
            <w:vAlign w:val="center"/>
          </w:tcPr>
          <w:p w14:paraId="3DD953FF" w14:textId="19B00E09" w:rsidR="002A2DAA" w:rsidRPr="00FB38E1" w:rsidRDefault="002A2DAA" w:rsidP="002A2DA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55783454" w14:textId="1F31ED51"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4.552</w:t>
            </w:r>
          </w:p>
        </w:tc>
      </w:tr>
      <w:tr w:rsidR="002A2DAA" w:rsidRPr="00FB38E1" w14:paraId="0DEA5CE1" w14:textId="77777777" w:rsidTr="004E1B47">
        <w:tc>
          <w:tcPr>
            <w:tcW w:w="2795" w:type="pct"/>
            <w:vAlign w:val="center"/>
          </w:tcPr>
          <w:p w14:paraId="60A5CE41"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Kredili Mevduat Hesabı-TP (Tüzel Kişi)</w:t>
            </w:r>
          </w:p>
        </w:tc>
        <w:tc>
          <w:tcPr>
            <w:tcW w:w="735" w:type="pct"/>
            <w:vAlign w:val="center"/>
          </w:tcPr>
          <w:p w14:paraId="53E6788A" w14:textId="51C32FF7"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8.576.803</w:t>
            </w:r>
          </w:p>
        </w:tc>
        <w:tc>
          <w:tcPr>
            <w:tcW w:w="882" w:type="pct"/>
            <w:vAlign w:val="center"/>
          </w:tcPr>
          <w:p w14:paraId="4BAB39AC" w14:textId="42FD804F"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88" w:type="pct"/>
            <w:vAlign w:val="center"/>
          </w:tcPr>
          <w:p w14:paraId="02D058C6" w14:textId="60245463"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8.576.803</w:t>
            </w:r>
          </w:p>
        </w:tc>
      </w:tr>
      <w:tr w:rsidR="002A2DAA" w:rsidRPr="00FB38E1" w14:paraId="3025CC78" w14:textId="77777777" w:rsidTr="004E1B47">
        <w:tc>
          <w:tcPr>
            <w:tcW w:w="2795" w:type="pct"/>
            <w:tcBorders>
              <w:bottom w:val="single" w:sz="4" w:space="0" w:color="auto"/>
            </w:tcBorders>
            <w:vAlign w:val="center"/>
          </w:tcPr>
          <w:p w14:paraId="72F9D903"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Kredili Mevduat Hesabı-YP (Tüzel Kişi)</w:t>
            </w:r>
          </w:p>
        </w:tc>
        <w:tc>
          <w:tcPr>
            <w:tcW w:w="735" w:type="pct"/>
            <w:tcBorders>
              <w:bottom w:val="single" w:sz="4" w:space="0" w:color="auto"/>
            </w:tcBorders>
            <w:vAlign w:val="center"/>
          </w:tcPr>
          <w:p w14:paraId="76073E8C" w14:textId="0BFA694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82" w:type="pct"/>
            <w:tcBorders>
              <w:bottom w:val="single" w:sz="4" w:space="0" w:color="auto"/>
            </w:tcBorders>
            <w:vAlign w:val="center"/>
          </w:tcPr>
          <w:p w14:paraId="0EF787CF" w14:textId="1419A4E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88" w:type="pct"/>
            <w:tcBorders>
              <w:bottom w:val="single" w:sz="4" w:space="0" w:color="auto"/>
            </w:tcBorders>
            <w:vAlign w:val="center"/>
          </w:tcPr>
          <w:p w14:paraId="4921C8EB" w14:textId="3ED9F26D"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2A2DAA" w:rsidRPr="00FB38E1" w14:paraId="6BAC1ED2" w14:textId="77777777" w:rsidTr="004E1B47">
        <w:tc>
          <w:tcPr>
            <w:tcW w:w="2795" w:type="pct"/>
            <w:tcBorders>
              <w:top w:val="single" w:sz="4" w:space="0" w:color="auto"/>
              <w:bottom w:val="thickThinSmallGap" w:sz="24" w:space="0" w:color="auto"/>
            </w:tcBorders>
            <w:vAlign w:val="center"/>
          </w:tcPr>
          <w:p w14:paraId="3521DD0E" w14:textId="77777777" w:rsidR="002A2DAA" w:rsidRPr="00FB38E1" w:rsidRDefault="002A2DAA" w:rsidP="002A2DA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35" w:type="pct"/>
            <w:tcBorders>
              <w:top w:val="single" w:sz="4" w:space="0" w:color="auto"/>
              <w:bottom w:val="thickThinSmallGap" w:sz="24" w:space="0" w:color="auto"/>
            </w:tcBorders>
            <w:vAlign w:val="center"/>
          </w:tcPr>
          <w:p w14:paraId="6F2A242C" w14:textId="15EB4CD9"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31.122.914</w:t>
            </w:r>
          </w:p>
        </w:tc>
        <w:tc>
          <w:tcPr>
            <w:tcW w:w="882" w:type="pct"/>
            <w:tcBorders>
              <w:top w:val="single" w:sz="4" w:space="0" w:color="auto"/>
              <w:bottom w:val="thickThinSmallGap" w:sz="24" w:space="0" w:color="auto"/>
            </w:tcBorders>
            <w:vAlign w:val="center"/>
          </w:tcPr>
          <w:p w14:paraId="3EBA8DC4" w14:textId="5473CC8E"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84.356.326</w:t>
            </w:r>
          </w:p>
        </w:tc>
        <w:tc>
          <w:tcPr>
            <w:tcW w:w="588" w:type="pct"/>
            <w:tcBorders>
              <w:top w:val="single" w:sz="4" w:space="0" w:color="auto"/>
              <w:bottom w:val="thickThinSmallGap" w:sz="24" w:space="0" w:color="auto"/>
            </w:tcBorders>
            <w:vAlign w:val="center"/>
          </w:tcPr>
          <w:p w14:paraId="15DD73B2" w14:textId="0B2C2B07" w:rsidR="002A2DAA" w:rsidRPr="00FB38E1" w:rsidRDefault="002A2DAA" w:rsidP="002A2DA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115.479.240</w:t>
            </w:r>
          </w:p>
        </w:tc>
      </w:tr>
    </w:tbl>
    <w:p w14:paraId="244E6C8D" w14:textId="77777777" w:rsidR="00B94420" w:rsidRPr="00FB38E1" w:rsidRDefault="00B94420"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Kredilerin kullanıcılara göre dağılımı</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49"/>
        <w:gridCol w:w="1717"/>
        <w:gridCol w:w="1715"/>
      </w:tblGrid>
      <w:tr w:rsidR="00B94420" w:rsidRPr="00FB38E1" w14:paraId="60EA18F0" w14:textId="77777777" w:rsidTr="00836EF2">
        <w:trPr>
          <w:trHeight w:val="208"/>
        </w:trPr>
        <w:tc>
          <w:tcPr>
            <w:tcW w:w="3209" w:type="pct"/>
            <w:tcBorders>
              <w:top w:val="thinThickSmallGap" w:sz="24" w:space="0" w:color="auto"/>
              <w:bottom w:val="single" w:sz="4" w:space="0" w:color="auto"/>
            </w:tcBorders>
            <w:vAlign w:val="center"/>
          </w:tcPr>
          <w:p w14:paraId="6FA7290C" w14:textId="77777777" w:rsidR="00B94420" w:rsidRPr="00FB38E1" w:rsidRDefault="00B94420" w:rsidP="00B94420">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tcPr>
          <w:p w14:paraId="7ADEAAAA" w14:textId="77777777" w:rsidR="00B94420" w:rsidRPr="00FB38E1" w:rsidRDefault="00B94420"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vAlign w:val="center"/>
          </w:tcPr>
          <w:p w14:paraId="4B463EF5" w14:textId="77777777" w:rsidR="00B94420" w:rsidRPr="00FB38E1" w:rsidRDefault="00B94420"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9F52CC" w:rsidRPr="00FB38E1" w14:paraId="2F396B60" w14:textId="77777777" w:rsidTr="00836EF2">
        <w:trPr>
          <w:trHeight w:val="47"/>
        </w:trPr>
        <w:tc>
          <w:tcPr>
            <w:tcW w:w="3209" w:type="pct"/>
            <w:tcBorders>
              <w:bottom w:val="nil"/>
            </w:tcBorders>
            <w:vAlign w:val="center"/>
          </w:tcPr>
          <w:p w14:paraId="0FCBAA86"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Kamu</w:t>
            </w:r>
          </w:p>
        </w:tc>
        <w:tc>
          <w:tcPr>
            <w:tcW w:w="896" w:type="pct"/>
            <w:tcBorders>
              <w:bottom w:val="nil"/>
            </w:tcBorders>
            <w:vAlign w:val="center"/>
          </w:tcPr>
          <w:p w14:paraId="13598969" w14:textId="493FAA32"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9.351.561</w:t>
            </w:r>
          </w:p>
        </w:tc>
        <w:tc>
          <w:tcPr>
            <w:tcW w:w="895" w:type="pct"/>
            <w:tcBorders>
              <w:top w:val="nil"/>
              <w:left w:val="nil"/>
              <w:bottom w:val="nil"/>
              <w:right w:val="nil"/>
            </w:tcBorders>
            <w:shd w:val="clear" w:color="auto" w:fill="auto"/>
            <w:vAlign w:val="center"/>
          </w:tcPr>
          <w:p w14:paraId="6CF9337E" w14:textId="12538CF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11.204.522</w:t>
            </w:r>
          </w:p>
        </w:tc>
      </w:tr>
      <w:tr w:rsidR="009F52CC" w:rsidRPr="00FB38E1" w14:paraId="2B16D4D0" w14:textId="77777777" w:rsidTr="00836EF2">
        <w:trPr>
          <w:trHeight w:val="57"/>
        </w:trPr>
        <w:tc>
          <w:tcPr>
            <w:tcW w:w="3209" w:type="pct"/>
            <w:tcBorders>
              <w:top w:val="nil"/>
              <w:bottom w:val="single" w:sz="6" w:space="0" w:color="auto"/>
            </w:tcBorders>
            <w:vAlign w:val="center"/>
          </w:tcPr>
          <w:p w14:paraId="48D90C6E"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Özel</w:t>
            </w:r>
          </w:p>
        </w:tc>
        <w:tc>
          <w:tcPr>
            <w:tcW w:w="896" w:type="pct"/>
            <w:tcBorders>
              <w:top w:val="nil"/>
              <w:bottom w:val="single" w:sz="6" w:space="0" w:color="auto"/>
            </w:tcBorders>
            <w:vAlign w:val="center"/>
          </w:tcPr>
          <w:p w14:paraId="49BEA789" w14:textId="4F75703E"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699.122.578</w:t>
            </w:r>
          </w:p>
        </w:tc>
        <w:tc>
          <w:tcPr>
            <w:tcW w:w="895" w:type="pct"/>
            <w:tcBorders>
              <w:top w:val="nil"/>
              <w:left w:val="nil"/>
              <w:bottom w:val="single" w:sz="6" w:space="0" w:color="auto"/>
              <w:right w:val="nil"/>
            </w:tcBorders>
            <w:shd w:val="clear" w:color="auto" w:fill="auto"/>
            <w:vAlign w:val="center"/>
          </w:tcPr>
          <w:p w14:paraId="322E08DD" w14:textId="73E16A85"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468.028.888</w:t>
            </w:r>
          </w:p>
        </w:tc>
      </w:tr>
      <w:tr w:rsidR="009F52CC" w:rsidRPr="00FB38E1" w14:paraId="2D4F201B" w14:textId="77777777" w:rsidTr="00836EF2">
        <w:trPr>
          <w:trHeight w:val="42"/>
        </w:trPr>
        <w:tc>
          <w:tcPr>
            <w:tcW w:w="3209" w:type="pct"/>
            <w:tcBorders>
              <w:top w:val="single" w:sz="6" w:space="0" w:color="auto"/>
              <w:bottom w:val="thickThinSmallGap" w:sz="24" w:space="0" w:color="auto"/>
            </w:tcBorders>
            <w:vAlign w:val="center"/>
          </w:tcPr>
          <w:p w14:paraId="25EEF0D4" w14:textId="77777777" w:rsidR="009F52CC" w:rsidRPr="00FB38E1" w:rsidRDefault="009F52CC" w:rsidP="009F52CC">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896" w:type="pct"/>
            <w:tcBorders>
              <w:top w:val="single" w:sz="6" w:space="0" w:color="auto"/>
              <w:bottom w:val="thickThinSmallGap" w:sz="24" w:space="0" w:color="000000"/>
            </w:tcBorders>
            <w:vAlign w:val="center"/>
          </w:tcPr>
          <w:p w14:paraId="5A99B082" w14:textId="63377BE3" w:rsidR="009F52CC" w:rsidRPr="00FB38E1" w:rsidRDefault="009F52CC" w:rsidP="009F52C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708.474.139</w:t>
            </w:r>
          </w:p>
        </w:tc>
        <w:tc>
          <w:tcPr>
            <w:tcW w:w="895" w:type="pct"/>
            <w:tcBorders>
              <w:top w:val="single" w:sz="6" w:space="0" w:color="auto"/>
              <w:left w:val="nil"/>
              <w:bottom w:val="thickThinSmallGap" w:sz="24" w:space="0" w:color="000000"/>
              <w:right w:val="nil"/>
            </w:tcBorders>
            <w:shd w:val="clear" w:color="auto" w:fill="auto"/>
            <w:vAlign w:val="center"/>
          </w:tcPr>
          <w:p w14:paraId="55154D9B" w14:textId="56AF2FCE" w:rsidR="009F52CC" w:rsidRPr="00FB38E1" w:rsidRDefault="009F52CC" w:rsidP="009F52C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479.233.410</w:t>
            </w:r>
          </w:p>
        </w:tc>
      </w:tr>
    </w:tbl>
    <w:p w14:paraId="77037F8E" w14:textId="7F71A777" w:rsidR="0004350B" w:rsidRPr="00FB38E1"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Yurtiçi ve yurtdışı kredilerin dağılımı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FB38E1" w14:paraId="459FEE33" w14:textId="77777777" w:rsidTr="004E1B47">
        <w:tc>
          <w:tcPr>
            <w:tcW w:w="3209" w:type="pct"/>
            <w:tcBorders>
              <w:top w:val="thinThickSmallGap" w:sz="24" w:space="0" w:color="auto"/>
              <w:bottom w:val="single" w:sz="4" w:space="0" w:color="auto"/>
            </w:tcBorders>
            <w:vAlign w:val="center"/>
          </w:tcPr>
          <w:p w14:paraId="5C415429" w14:textId="77777777" w:rsidR="0004350B" w:rsidRPr="00FB38E1" w:rsidRDefault="0004350B" w:rsidP="00B94420">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vAlign w:val="center"/>
          </w:tcPr>
          <w:p w14:paraId="5146802F"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18B07C5E"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9F52CC" w:rsidRPr="00FB38E1" w14:paraId="48D9075A" w14:textId="77777777" w:rsidTr="004E1B47">
        <w:tc>
          <w:tcPr>
            <w:tcW w:w="3209" w:type="pct"/>
            <w:vAlign w:val="center"/>
          </w:tcPr>
          <w:p w14:paraId="23820261"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içi Krediler</w:t>
            </w:r>
          </w:p>
        </w:tc>
        <w:tc>
          <w:tcPr>
            <w:tcW w:w="896" w:type="pct"/>
            <w:shd w:val="clear" w:color="auto" w:fill="auto"/>
            <w:vAlign w:val="center"/>
          </w:tcPr>
          <w:p w14:paraId="4DA213A3" w14:textId="76FD52D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673.516.950</w:t>
            </w:r>
          </w:p>
        </w:tc>
        <w:tc>
          <w:tcPr>
            <w:tcW w:w="895" w:type="pct"/>
            <w:vAlign w:val="center"/>
          </w:tcPr>
          <w:p w14:paraId="5DD82A3B" w14:textId="232DAE35"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463.991.104</w:t>
            </w:r>
          </w:p>
        </w:tc>
      </w:tr>
      <w:tr w:rsidR="009F52CC" w:rsidRPr="00FB38E1" w14:paraId="6F758BBC" w14:textId="77777777" w:rsidTr="004E1B47">
        <w:tc>
          <w:tcPr>
            <w:tcW w:w="3209" w:type="pct"/>
            <w:vAlign w:val="center"/>
          </w:tcPr>
          <w:p w14:paraId="48FBF371"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Yurt dışı Krediler </w:t>
            </w:r>
          </w:p>
        </w:tc>
        <w:tc>
          <w:tcPr>
            <w:tcW w:w="896" w:type="pct"/>
            <w:shd w:val="clear" w:color="auto" w:fill="auto"/>
            <w:vAlign w:val="center"/>
          </w:tcPr>
          <w:p w14:paraId="04B71789" w14:textId="4D996CA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34.957.189</w:t>
            </w:r>
          </w:p>
        </w:tc>
        <w:tc>
          <w:tcPr>
            <w:tcW w:w="895" w:type="pct"/>
            <w:vAlign w:val="center"/>
          </w:tcPr>
          <w:p w14:paraId="7F0EA24E" w14:textId="30649AC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15.242.306</w:t>
            </w:r>
          </w:p>
        </w:tc>
      </w:tr>
      <w:tr w:rsidR="009F52CC" w:rsidRPr="00FB38E1" w14:paraId="4BE81F5C" w14:textId="77777777" w:rsidTr="004E1B47">
        <w:tc>
          <w:tcPr>
            <w:tcW w:w="3209" w:type="pct"/>
            <w:tcBorders>
              <w:top w:val="single" w:sz="4" w:space="0" w:color="auto"/>
              <w:bottom w:val="thickThinSmallGap" w:sz="24" w:space="0" w:color="auto"/>
            </w:tcBorders>
            <w:vAlign w:val="center"/>
          </w:tcPr>
          <w:p w14:paraId="0B7E9FD0" w14:textId="77777777" w:rsidR="009F52CC" w:rsidRPr="00FB38E1" w:rsidRDefault="009F52CC" w:rsidP="009F52CC">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13C5B36D" w14:textId="69806CB5" w:rsidR="009F52CC" w:rsidRPr="00FB38E1" w:rsidRDefault="009F52CC" w:rsidP="009F52C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708.474.139</w:t>
            </w:r>
          </w:p>
        </w:tc>
        <w:tc>
          <w:tcPr>
            <w:tcW w:w="895" w:type="pct"/>
            <w:tcBorders>
              <w:top w:val="single" w:sz="4" w:space="0" w:color="auto"/>
              <w:bottom w:val="thickThinSmallGap" w:sz="24" w:space="0" w:color="auto"/>
            </w:tcBorders>
            <w:vAlign w:val="center"/>
          </w:tcPr>
          <w:p w14:paraId="22810D4E" w14:textId="0B9E02A8" w:rsidR="009F52CC" w:rsidRPr="00FB38E1" w:rsidRDefault="009F52CC" w:rsidP="009F52C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479.233.410</w:t>
            </w:r>
          </w:p>
        </w:tc>
      </w:tr>
    </w:tbl>
    <w:p w14:paraId="2307E4D7" w14:textId="77777777" w:rsidR="0004350B" w:rsidRPr="00FB38E1"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Bağlı ortaklık ve iştiraklere verilen krediler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FB38E1" w14:paraId="1B5C4FE4" w14:textId="77777777" w:rsidTr="004E1B47">
        <w:tc>
          <w:tcPr>
            <w:tcW w:w="3209" w:type="pct"/>
            <w:tcBorders>
              <w:top w:val="thinThickSmallGap" w:sz="24" w:space="0" w:color="auto"/>
              <w:bottom w:val="single" w:sz="4" w:space="0" w:color="auto"/>
            </w:tcBorders>
            <w:vAlign w:val="center"/>
          </w:tcPr>
          <w:p w14:paraId="00E2CC79" w14:textId="64983E71" w:rsidR="0004350B" w:rsidRPr="00FB38E1" w:rsidRDefault="0004350B" w:rsidP="00B94420">
            <w:pPr>
              <w:rPr>
                <w:rFonts w:ascii="Microsoft Sans Serif" w:hAnsi="Microsoft Sans Serif" w:cs="Microsoft Sans Serif"/>
                <w:color w:val="000000"/>
                <w:sz w:val="16"/>
                <w:szCs w:val="16"/>
              </w:rPr>
            </w:pPr>
            <w:bookmarkStart w:id="48" w:name="RANGE!K306"/>
            <w:r w:rsidRPr="00FB38E1">
              <w:rPr>
                <w:rFonts w:ascii="Microsoft Sans Serif" w:hAnsi="Microsoft Sans Serif" w:cs="Microsoft Sans Serif"/>
                <w:color w:val="000000"/>
                <w:sz w:val="16"/>
                <w:szCs w:val="16"/>
              </w:rPr>
              <w:t> </w:t>
            </w:r>
            <w:bookmarkEnd w:id="48"/>
          </w:p>
        </w:tc>
        <w:tc>
          <w:tcPr>
            <w:tcW w:w="896" w:type="pct"/>
            <w:tcBorders>
              <w:top w:val="thinThickSmallGap" w:sz="24" w:space="0" w:color="auto"/>
              <w:bottom w:val="single" w:sz="4" w:space="0" w:color="auto"/>
            </w:tcBorders>
            <w:shd w:val="clear" w:color="auto" w:fill="auto"/>
            <w:vAlign w:val="bottom"/>
          </w:tcPr>
          <w:p w14:paraId="17CAF28F"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vAlign w:val="bottom"/>
          </w:tcPr>
          <w:p w14:paraId="5FC81F0E"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103AA1" w:rsidRPr="00FB38E1" w14:paraId="337C0971" w14:textId="77777777" w:rsidTr="004E1B47">
        <w:tc>
          <w:tcPr>
            <w:tcW w:w="3209" w:type="pct"/>
            <w:vAlign w:val="center"/>
          </w:tcPr>
          <w:p w14:paraId="3F7199EC" w14:textId="77777777" w:rsidR="00103AA1" w:rsidRPr="00FB38E1" w:rsidRDefault="00103AA1" w:rsidP="00103AA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Bağlı Ortaklık ve İştiraklere Verilen Doğrudan Krediler</w:t>
            </w:r>
          </w:p>
        </w:tc>
        <w:tc>
          <w:tcPr>
            <w:tcW w:w="896" w:type="pct"/>
            <w:vAlign w:val="center"/>
          </w:tcPr>
          <w:p w14:paraId="042AC024" w14:textId="403AD698" w:rsidR="00103AA1" w:rsidRPr="00FB38E1" w:rsidRDefault="00103AA1" w:rsidP="00103AA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23.148.410</w:t>
            </w:r>
          </w:p>
        </w:tc>
        <w:tc>
          <w:tcPr>
            <w:tcW w:w="895" w:type="pct"/>
            <w:vAlign w:val="center"/>
          </w:tcPr>
          <w:p w14:paraId="7719CA8A" w14:textId="3670C67C" w:rsidR="00103AA1" w:rsidRPr="00FB38E1" w:rsidRDefault="00103AA1" w:rsidP="00103AA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10.106.073</w:t>
            </w:r>
          </w:p>
        </w:tc>
      </w:tr>
      <w:tr w:rsidR="00103AA1" w:rsidRPr="00FB38E1" w14:paraId="7A6F2929" w14:textId="77777777" w:rsidTr="004E1B47">
        <w:tc>
          <w:tcPr>
            <w:tcW w:w="3209" w:type="pct"/>
            <w:vAlign w:val="center"/>
          </w:tcPr>
          <w:p w14:paraId="388310E3" w14:textId="77777777" w:rsidR="00103AA1" w:rsidRPr="00FB38E1" w:rsidRDefault="00103AA1" w:rsidP="00103AA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Bağlı Ortaklık ve İştiraklere Verilen Dolaylı Krediler</w:t>
            </w:r>
          </w:p>
        </w:tc>
        <w:tc>
          <w:tcPr>
            <w:tcW w:w="896" w:type="pct"/>
            <w:vAlign w:val="center"/>
          </w:tcPr>
          <w:p w14:paraId="172BB054" w14:textId="32F127F6" w:rsidR="00103AA1" w:rsidRPr="00FB38E1" w:rsidRDefault="00103AA1" w:rsidP="00103AA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95" w:type="pct"/>
            <w:vAlign w:val="center"/>
          </w:tcPr>
          <w:p w14:paraId="02185485" w14:textId="56743281" w:rsidR="00103AA1" w:rsidRPr="00FB38E1" w:rsidRDefault="00103AA1" w:rsidP="00103AA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103AA1" w:rsidRPr="00FB38E1" w14:paraId="5CDDAE77" w14:textId="77777777" w:rsidTr="004E1B47">
        <w:tc>
          <w:tcPr>
            <w:tcW w:w="3209" w:type="pct"/>
            <w:tcBorders>
              <w:top w:val="single" w:sz="4" w:space="0" w:color="auto"/>
              <w:bottom w:val="thickThinSmallGap" w:sz="24" w:space="0" w:color="auto"/>
            </w:tcBorders>
            <w:vAlign w:val="center"/>
          </w:tcPr>
          <w:p w14:paraId="158B089B" w14:textId="77777777" w:rsidR="00103AA1" w:rsidRPr="00FB38E1" w:rsidRDefault="00103AA1" w:rsidP="00103AA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vAlign w:val="center"/>
          </w:tcPr>
          <w:p w14:paraId="11D5CC59" w14:textId="3049FA95" w:rsidR="00103AA1" w:rsidRPr="00FB38E1" w:rsidRDefault="00103AA1" w:rsidP="00103AA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23.148.410</w:t>
            </w:r>
          </w:p>
        </w:tc>
        <w:tc>
          <w:tcPr>
            <w:tcW w:w="895" w:type="pct"/>
            <w:tcBorders>
              <w:top w:val="single" w:sz="4" w:space="0" w:color="auto"/>
              <w:bottom w:val="thickThinSmallGap" w:sz="24" w:space="0" w:color="auto"/>
            </w:tcBorders>
            <w:vAlign w:val="center"/>
          </w:tcPr>
          <w:p w14:paraId="520D21FC" w14:textId="35C33833" w:rsidR="00103AA1" w:rsidRPr="00FB38E1" w:rsidRDefault="00103AA1" w:rsidP="00103AA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10.106.073</w:t>
            </w:r>
          </w:p>
        </w:tc>
      </w:tr>
    </w:tbl>
    <w:p w14:paraId="3F7AF6FA" w14:textId="77777777" w:rsidR="0004350B" w:rsidRPr="00FB38E1" w:rsidRDefault="0004350B" w:rsidP="002E3C4F">
      <w:pPr>
        <w:pStyle w:val="BASLIK2"/>
        <w:widowControl/>
        <w:numPr>
          <w:ilvl w:val="0"/>
          <w:numId w:val="21"/>
        </w:numPr>
        <w:spacing w:line="240" w:lineRule="auto"/>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Kredilere ilişkin olarak ayrılan özel karşılıklar veya temerrüt (Üçüncü Aşama) karşılıklar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04350B" w:rsidRPr="00FB38E1" w14:paraId="713CA195" w14:textId="77777777" w:rsidTr="004E1B47">
        <w:tc>
          <w:tcPr>
            <w:tcW w:w="3209" w:type="pct"/>
            <w:tcBorders>
              <w:top w:val="thinThickSmallGap" w:sz="24" w:space="0" w:color="auto"/>
              <w:bottom w:val="single" w:sz="4" w:space="0" w:color="auto"/>
            </w:tcBorders>
            <w:vAlign w:val="center"/>
          </w:tcPr>
          <w:p w14:paraId="6B61B64D" w14:textId="77777777" w:rsidR="0004350B" w:rsidRPr="00FB38E1" w:rsidRDefault="0004350B" w:rsidP="00B9442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Temerrüt (Üçüncü Aşama) Karşılıklar</w:t>
            </w:r>
          </w:p>
        </w:tc>
        <w:tc>
          <w:tcPr>
            <w:tcW w:w="896" w:type="pct"/>
            <w:tcBorders>
              <w:top w:val="thinThickSmallGap" w:sz="24" w:space="0" w:color="auto"/>
              <w:bottom w:val="single" w:sz="4" w:space="0" w:color="auto"/>
            </w:tcBorders>
            <w:vAlign w:val="center"/>
          </w:tcPr>
          <w:p w14:paraId="1E9B8DE1"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509EA56A"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9F52CC" w:rsidRPr="00FB38E1" w14:paraId="09DEF852" w14:textId="77777777" w:rsidTr="004E1B47">
        <w:tc>
          <w:tcPr>
            <w:tcW w:w="3209" w:type="pct"/>
            <w:vAlign w:val="center"/>
          </w:tcPr>
          <w:p w14:paraId="3E0FB54F"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Tahsil İmkanı Sınırlı Krediler İçin Ayrılanlar</w:t>
            </w:r>
          </w:p>
        </w:tc>
        <w:tc>
          <w:tcPr>
            <w:tcW w:w="896" w:type="pct"/>
            <w:vAlign w:val="center"/>
          </w:tcPr>
          <w:p w14:paraId="7BAB6BFD" w14:textId="34BB364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4.016.115</w:t>
            </w:r>
          </w:p>
        </w:tc>
        <w:tc>
          <w:tcPr>
            <w:tcW w:w="895" w:type="pct"/>
            <w:vAlign w:val="center"/>
          </w:tcPr>
          <w:p w14:paraId="7A5AD65F" w14:textId="62238DB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1.618.843</w:t>
            </w:r>
          </w:p>
        </w:tc>
      </w:tr>
      <w:tr w:rsidR="009F52CC" w:rsidRPr="00FB38E1" w14:paraId="6FD0037E" w14:textId="77777777" w:rsidTr="004E1B47">
        <w:tc>
          <w:tcPr>
            <w:tcW w:w="3209" w:type="pct"/>
            <w:vAlign w:val="center"/>
          </w:tcPr>
          <w:p w14:paraId="49E9145E"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Tahsili Şüpheli Krediler İçin Ayrılanlar</w:t>
            </w:r>
          </w:p>
        </w:tc>
        <w:tc>
          <w:tcPr>
            <w:tcW w:w="896" w:type="pct"/>
            <w:vAlign w:val="center"/>
          </w:tcPr>
          <w:p w14:paraId="0DBF24EE" w14:textId="68B233BE"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5.172.321</w:t>
            </w:r>
          </w:p>
        </w:tc>
        <w:tc>
          <w:tcPr>
            <w:tcW w:w="895" w:type="pct"/>
            <w:vAlign w:val="center"/>
          </w:tcPr>
          <w:p w14:paraId="78F87C93" w14:textId="6EAEF1A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2.890.947</w:t>
            </w:r>
          </w:p>
        </w:tc>
      </w:tr>
      <w:tr w:rsidR="009F52CC" w:rsidRPr="00FB38E1" w14:paraId="472936CC" w14:textId="77777777" w:rsidTr="004E1B47">
        <w:tc>
          <w:tcPr>
            <w:tcW w:w="3209" w:type="pct"/>
            <w:vAlign w:val="center"/>
          </w:tcPr>
          <w:p w14:paraId="1A22EECA"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Zarar Niteliğindeki Krediler İçin Ayrılanlar</w:t>
            </w:r>
          </w:p>
        </w:tc>
        <w:tc>
          <w:tcPr>
            <w:tcW w:w="896" w:type="pct"/>
            <w:vAlign w:val="center"/>
          </w:tcPr>
          <w:p w14:paraId="492F7228" w14:textId="6DBC9022"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7.578.779</w:t>
            </w:r>
          </w:p>
        </w:tc>
        <w:tc>
          <w:tcPr>
            <w:tcW w:w="895" w:type="pct"/>
            <w:vAlign w:val="center"/>
          </w:tcPr>
          <w:p w14:paraId="3C3B39E7" w14:textId="1531B7F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9.868.341</w:t>
            </w:r>
          </w:p>
        </w:tc>
      </w:tr>
      <w:tr w:rsidR="009F52CC" w:rsidRPr="00FB38E1" w14:paraId="6B64A287" w14:textId="77777777" w:rsidTr="004E1B47">
        <w:trPr>
          <w:trHeight w:val="43"/>
        </w:trPr>
        <w:tc>
          <w:tcPr>
            <w:tcW w:w="3209" w:type="pct"/>
            <w:tcBorders>
              <w:top w:val="single" w:sz="4" w:space="0" w:color="auto"/>
              <w:bottom w:val="thickThinSmallGap" w:sz="24" w:space="0" w:color="auto"/>
            </w:tcBorders>
            <w:vAlign w:val="center"/>
          </w:tcPr>
          <w:p w14:paraId="13280ED2" w14:textId="77777777" w:rsidR="009F52CC" w:rsidRPr="00FB38E1" w:rsidRDefault="009F52CC" w:rsidP="009F52CC">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vAlign w:val="center"/>
          </w:tcPr>
          <w:p w14:paraId="02CD588C" w14:textId="6DDE95B6" w:rsidR="009F52CC" w:rsidRPr="00FB38E1" w:rsidRDefault="009F52CC" w:rsidP="009F52C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16.767.215</w:t>
            </w:r>
          </w:p>
        </w:tc>
        <w:tc>
          <w:tcPr>
            <w:tcW w:w="895" w:type="pct"/>
            <w:tcBorders>
              <w:top w:val="single" w:sz="4" w:space="0" w:color="auto"/>
              <w:bottom w:val="thickThinSmallGap" w:sz="24" w:space="0" w:color="auto"/>
            </w:tcBorders>
            <w:vAlign w:val="center"/>
          </w:tcPr>
          <w:p w14:paraId="1ACAA690" w14:textId="5C24F6DC" w:rsidR="009F52CC" w:rsidRPr="00FB38E1" w:rsidRDefault="009F52CC" w:rsidP="009F52C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14.378.131</w:t>
            </w:r>
          </w:p>
        </w:tc>
      </w:tr>
    </w:tbl>
    <w:p w14:paraId="3AE2DAFD" w14:textId="5FCA18E2" w:rsidR="002E3C4F" w:rsidRPr="00FB38E1" w:rsidRDefault="002E3C4F" w:rsidP="002E3C4F">
      <w:pPr>
        <w:pStyle w:val="BASLIK2"/>
        <w:spacing w:line="240" w:lineRule="exact"/>
        <w:ind w:firstLine="0"/>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b w:val="0"/>
          <w:color w:val="404040" w:themeColor="text1" w:themeTint="BF"/>
          <w:sz w:val="16"/>
          <w:szCs w:val="16"/>
        </w:rPr>
        <w:br w:type="page"/>
      </w:r>
    </w:p>
    <w:p w14:paraId="0EBBF913" w14:textId="09EF42D0" w:rsidR="0004350B" w:rsidRPr="00FB38E1" w:rsidRDefault="0004350B" w:rsidP="002E3C4F">
      <w:pPr>
        <w:pStyle w:val="BASLIK2"/>
        <w:numPr>
          <w:ilvl w:val="0"/>
          <w:numId w:val="21"/>
        </w:numPr>
        <w:spacing w:line="240" w:lineRule="exact"/>
        <w:ind w:left="0" w:hanging="425"/>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iCs/>
          <w:sz w:val="20"/>
          <w:szCs w:val="20"/>
        </w:rPr>
        <w:t>Donuk alacaklara ilişkin bilgiler (Net)</w:t>
      </w:r>
    </w:p>
    <w:p w14:paraId="5C4F1442" w14:textId="77777777" w:rsidR="0004350B" w:rsidRPr="00FB38E1" w:rsidRDefault="0004350B" w:rsidP="00B94420">
      <w:pPr>
        <w:pStyle w:val="BASLIK2"/>
        <w:numPr>
          <w:ilvl w:val="0"/>
          <w:numId w:val="22"/>
        </w:numPr>
        <w:spacing w:before="0" w:line="220" w:lineRule="exact"/>
        <w:ind w:left="0" w:hanging="284"/>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sz w:val="20"/>
          <w:szCs w:val="20"/>
        </w:rPr>
        <w:t>Donuk alacaklara ve Banka tarafından yeniden yapılandırılan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FB38E1" w14:paraId="2D1B543B" w14:textId="77777777" w:rsidTr="004E1B47">
        <w:tc>
          <w:tcPr>
            <w:tcW w:w="2280" w:type="pct"/>
            <w:tcBorders>
              <w:top w:val="thinThickSmallGap" w:sz="24" w:space="0" w:color="auto"/>
              <w:bottom w:val="nil"/>
            </w:tcBorders>
            <w:vAlign w:val="bottom"/>
          </w:tcPr>
          <w:p w14:paraId="60C91751" w14:textId="77777777" w:rsidR="0004350B" w:rsidRPr="00FB38E1" w:rsidRDefault="0004350B" w:rsidP="00B94420">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1D907B7C"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4ADDFD97"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415676E0"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 Grup</w:t>
            </w:r>
          </w:p>
        </w:tc>
      </w:tr>
      <w:tr w:rsidR="0004350B" w:rsidRPr="00FB38E1" w14:paraId="76806C09" w14:textId="77777777" w:rsidTr="00B94420">
        <w:trPr>
          <w:trHeight w:val="183"/>
        </w:trPr>
        <w:tc>
          <w:tcPr>
            <w:tcW w:w="2280" w:type="pct"/>
            <w:tcBorders>
              <w:top w:val="nil"/>
              <w:bottom w:val="single" w:sz="4" w:space="0" w:color="auto"/>
            </w:tcBorders>
            <w:vAlign w:val="bottom"/>
          </w:tcPr>
          <w:p w14:paraId="0C7B21A5" w14:textId="77777777" w:rsidR="0004350B" w:rsidRPr="00FB38E1" w:rsidRDefault="0004350B" w:rsidP="00B94420">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6AC671FC"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A0FAF7B"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26CBE0EB" w14:textId="77777777" w:rsidR="0004350B" w:rsidRPr="00FB38E1" w:rsidRDefault="0004350B" w:rsidP="00B9442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Zarar Niteliğindeki Krediler </w:t>
            </w:r>
          </w:p>
        </w:tc>
      </w:tr>
      <w:tr w:rsidR="002E3C4F" w:rsidRPr="00FB38E1" w14:paraId="0DD8BF46" w14:textId="77777777" w:rsidTr="004E1B47">
        <w:tc>
          <w:tcPr>
            <w:tcW w:w="2280" w:type="pct"/>
            <w:tcBorders>
              <w:top w:val="single" w:sz="4" w:space="0" w:color="auto"/>
            </w:tcBorders>
            <w:vAlign w:val="bottom"/>
          </w:tcPr>
          <w:p w14:paraId="37BD9F37" w14:textId="77777777" w:rsidR="002E3C4F" w:rsidRPr="00FB38E1" w:rsidRDefault="002E3C4F" w:rsidP="002E3C4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029" w:type="pct"/>
            <w:tcBorders>
              <w:top w:val="single" w:sz="4" w:space="0" w:color="auto"/>
            </w:tcBorders>
            <w:vAlign w:val="center"/>
          </w:tcPr>
          <w:p w14:paraId="0091C3E5" w14:textId="0F2567F4"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243.535</w:t>
            </w:r>
          </w:p>
        </w:tc>
        <w:tc>
          <w:tcPr>
            <w:tcW w:w="882" w:type="pct"/>
            <w:tcBorders>
              <w:top w:val="single" w:sz="4" w:space="0" w:color="auto"/>
            </w:tcBorders>
            <w:vAlign w:val="center"/>
          </w:tcPr>
          <w:p w14:paraId="7314E388" w14:textId="296EC16E"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215.200</w:t>
            </w:r>
          </w:p>
        </w:tc>
        <w:tc>
          <w:tcPr>
            <w:tcW w:w="809" w:type="pct"/>
            <w:tcBorders>
              <w:top w:val="single" w:sz="4" w:space="0" w:color="auto"/>
            </w:tcBorders>
            <w:vAlign w:val="center"/>
          </w:tcPr>
          <w:p w14:paraId="0369D338" w14:textId="18C1CCB8"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4.290.210</w:t>
            </w:r>
          </w:p>
        </w:tc>
      </w:tr>
      <w:tr w:rsidR="002E3C4F" w:rsidRPr="00FB38E1" w14:paraId="124866DC" w14:textId="77777777" w:rsidTr="004E1B47">
        <w:tc>
          <w:tcPr>
            <w:tcW w:w="2280" w:type="pct"/>
            <w:vAlign w:val="bottom"/>
          </w:tcPr>
          <w:p w14:paraId="4F2E8F2F" w14:textId="77777777" w:rsidR="002E3C4F" w:rsidRPr="00FB38E1" w:rsidRDefault="002E3C4F" w:rsidP="002E3C4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4837E51A" w14:textId="77777777" w:rsidR="002E3C4F" w:rsidRPr="00FB38E1" w:rsidRDefault="002E3C4F" w:rsidP="002E3C4F">
            <w:pPr>
              <w:jc w:val="right"/>
              <w:rPr>
                <w:rFonts w:ascii="Microsoft Sans Serif" w:hAnsi="Microsoft Sans Serif" w:cs="Microsoft Sans Serif"/>
                <w:sz w:val="16"/>
                <w:szCs w:val="16"/>
              </w:rPr>
            </w:pPr>
          </w:p>
        </w:tc>
        <w:tc>
          <w:tcPr>
            <w:tcW w:w="882" w:type="pct"/>
            <w:vAlign w:val="center"/>
          </w:tcPr>
          <w:p w14:paraId="235CE6EC" w14:textId="77777777" w:rsidR="002E3C4F" w:rsidRPr="00FB38E1" w:rsidRDefault="002E3C4F" w:rsidP="002E3C4F">
            <w:pPr>
              <w:jc w:val="right"/>
              <w:rPr>
                <w:rFonts w:ascii="Microsoft Sans Serif" w:hAnsi="Microsoft Sans Serif" w:cs="Microsoft Sans Serif"/>
                <w:sz w:val="16"/>
                <w:szCs w:val="16"/>
              </w:rPr>
            </w:pPr>
          </w:p>
        </w:tc>
        <w:tc>
          <w:tcPr>
            <w:tcW w:w="809" w:type="pct"/>
            <w:vAlign w:val="center"/>
          </w:tcPr>
          <w:p w14:paraId="3E13A25C" w14:textId="77777777" w:rsidR="002E3C4F" w:rsidRPr="00FB38E1" w:rsidRDefault="002E3C4F" w:rsidP="002E3C4F">
            <w:pPr>
              <w:jc w:val="right"/>
              <w:rPr>
                <w:rFonts w:ascii="Microsoft Sans Serif" w:hAnsi="Microsoft Sans Serif" w:cs="Microsoft Sans Serif"/>
                <w:sz w:val="16"/>
                <w:szCs w:val="16"/>
              </w:rPr>
            </w:pPr>
          </w:p>
        </w:tc>
      </w:tr>
      <w:tr w:rsidR="002E3C4F" w:rsidRPr="00FB38E1" w14:paraId="7A1BCEC9" w14:textId="77777777" w:rsidTr="004E1B47">
        <w:tc>
          <w:tcPr>
            <w:tcW w:w="2280" w:type="pct"/>
            <w:vAlign w:val="bottom"/>
          </w:tcPr>
          <w:p w14:paraId="7E9ECBAD" w14:textId="77777777"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Yeniden Yapılandırılan Krediler </w:t>
            </w:r>
          </w:p>
        </w:tc>
        <w:tc>
          <w:tcPr>
            <w:tcW w:w="1029" w:type="pct"/>
            <w:vAlign w:val="center"/>
          </w:tcPr>
          <w:p w14:paraId="2CF8B02C" w14:textId="2D2E1B14" w:rsidR="002E3C4F" w:rsidRPr="00FB38E1" w:rsidRDefault="002E3C4F" w:rsidP="002E3C4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000000"/>
                <w:sz w:val="16"/>
                <w:szCs w:val="16"/>
              </w:rPr>
              <w:t>243.535</w:t>
            </w:r>
          </w:p>
        </w:tc>
        <w:tc>
          <w:tcPr>
            <w:tcW w:w="882" w:type="pct"/>
            <w:vAlign w:val="center"/>
          </w:tcPr>
          <w:p w14:paraId="5B8B596E" w14:textId="72982090" w:rsidR="002E3C4F" w:rsidRPr="00FB38E1" w:rsidRDefault="002E3C4F" w:rsidP="002E3C4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000000"/>
                <w:sz w:val="16"/>
                <w:szCs w:val="16"/>
              </w:rPr>
              <w:t>215.200</w:t>
            </w:r>
          </w:p>
        </w:tc>
        <w:tc>
          <w:tcPr>
            <w:tcW w:w="809" w:type="pct"/>
            <w:vAlign w:val="center"/>
          </w:tcPr>
          <w:p w14:paraId="0BF2BBD0" w14:textId="412F83E8" w:rsidR="002E3C4F" w:rsidRPr="00FB38E1" w:rsidRDefault="002E3C4F" w:rsidP="002E3C4F">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000000"/>
                <w:sz w:val="16"/>
                <w:szCs w:val="16"/>
              </w:rPr>
              <w:t>4.290.210</w:t>
            </w:r>
          </w:p>
        </w:tc>
      </w:tr>
      <w:tr w:rsidR="00F978BD" w:rsidRPr="00FB38E1" w14:paraId="3D396912" w14:textId="77777777" w:rsidTr="004E1B47">
        <w:tc>
          <w:tcPr>
            <w:tcW w:w="2280" w:type="pct"/>
            <w:vAlign w:val="bottom"/>
          </w:tcPr>
          <w:p w14:paraId="17D8E604" w14:textId="77777777" w:rsidR="00F978BD" w:rsidRPr="00FB38E1" w:rsidRDefault="00F978BD" w:rsidP="00B9442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c>
          <w:tcPr>
            <w:tcW w:w="1029" w:type="pct"/>
            <w:vAlign w:val="center"/>
          </w:tcPr>
          <w:p w14:paraId="76FCD7A1" w14:textId="0509A738" w:rsidR="00F978BD" w:rsidRPr="00FB38E1" w:rsidRDefault="00F978BD" w:rsidP="00B94420">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77.785</w:t>
            </w:r>
          </w:p>
        </w:tc>
        <w:tc>
          <w:tcPr>
            <w:tcW w:w="882" w:type="pct"/>
            <w:vAlign w:val="center"/>
          </w:tcPr>
          <w:p w14:paraId="5CE933D2" w14:textId="3F52D8A7" w:rsidR="00F978BD" w:rsidRPr="00FB38E1" w:rsidRDefault="00F978BD" w:rsidP="00B94420">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366.399</w:t>
            </w:r>
          </w:p>
        </w:tc>
        <w:tc>
          <w:tcPr>
            <w:tcW w:w="809" w:type="pct"/>
            <w:vAlign w:val="center"/>
          </w:tcPr>
          <w:p w14:paraId="7975F4B3" w14:textId="21A8F943" w:rsidR="00F978BD" w:rsidRPr="00FB38E1" w:rsidRDefault="00F978BD" w:rsidP="00B94420">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9.052.906</w:t>
            </w:r>
          </w:p>
        </w:tc>
      </w:tr>
      <w:tr w:rsidR="00F978BD" w:rsidRPr="00FB38E1" w14:paraId="5DFAF40B" w14:textId="77777777" w:rsidTr="004E1B47">
        <w:trPr>
          <w:trHeight w:val="80"/>
        </w:trPr>
        <w:tc>
          <w:tcPr>
            <w:tcW w:w="2280" w:type="pct"/>
            <w:vAlign w:val="bottom"/>
          </w:tcPr>
          <w:p w14:paraId="5E809CB2" w14:textId="77777777" w:rsidR="00F978BD" w:rsidRPr="00FB38E1" w:rsidRDefault="00F978BD" w:rsidP="00B9442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(Karşılıklardan Önceki Brüt Tutarlar)                                  </w:t>
            </w:r>
          </w:p>
        </w:tc>
        <w:tc>
          <w:tcPr>
            <w:tcW w:w="1029" w:type="pct"/>
            <w:vAlign w:val="center"/>
          </w:tcPr>
          <w:p w14:paraId="07084B9C" w14:textId="77777777" w:rsidR="00F978BD" w:rsidRPr="00FB38E1" w:rsidRDefault="00F978BD" w:rsidP="00B94420">
            <w:pPr>
              <w:jc w:val="right"/>
              <w:rPr>
                <w:rFonts w:ascii="Microsoft Sans Serif" w:hAnsi="Microsoft Sans Serif" w:cs="Microsoft Sans Serif"/>
                <w:color w:val="404040"/>
                <w:sz w:val="16"/>
                <w:szCs w:val="16"/>
              </w:rPr>
            </w:pPr>
          </w:p>
        </w:tc>
        <w:tc>
          <w:tcPr>
            <w:tcW w:w="882" w:type="pct"/>
            <w:vAlign w:val="center"/>
          </w:tcPr>
          <w:p w14:paraId="64494536" w14:textId="77777777" w:rsidR="00F978BD" w:rsidRPr="00FB38E1" w:rsidRDefault="00F978BD" w:rsidP="00B94420">
            <w:pPr>
              <w:jc w:val="right"/>
              <w:rPr>
                <w:rFonts w:ascii="Microsoft Sans Serif" w:hAnsi="Microsoft Sans Serif" w:cs="Microsoft Sans Serif"/>
                <w:color w:val="404040"/>
                <w:sz w:val="16"/>
                <w:szCs w:val="16"/>
              </w:rPr>
            </w:pPr>
          </w:p>
        </w:tc>
        <w:tc>
          <w:tcPr>
            <w:tcW w:w="809" w:type="pct"/>
            <w:vAlign w:val="center"/>
          </w:tcPr>
          <w:p w14:paraId="69F10287" w14:textId="77777777" w:rsidR="00F978BD" w:rsidRPr="00FB38E1" w:rsidRDefault="00F978BD" w:rsidP="00B94420">
            <w:pPr>
              <w:jc w:val="right"/>
              <w:rPr>
                <w:rFonts w:ascii="Microsoft Sans Serif" w:hAnsi="Microsoft Sans Serif" w:cs="Microsoft Sans Serif"/>
                <w:color w:val="404040"/>
                <w:sz w:val="16"/>
                <w:szCs w:val="16"/>
              </w:rPr>
            </w:pPr>
          </w:p>
        </w:tc>
      </w:tr>
      <w:tr w:rsidR="00F978BD" w:rsidRPr="00FB38E1" w14:paraId="427F7FB7" w14:textId="77777777" w:rsidTr="00F978BD">
        <w:trPr>
          <w:trHeight w:val="78"/>
        </w:trPr>
        <w:tc>
          <w:tcPr>
            <w:tcW w:w="2280" w:type="pct"/>
            <w:vAlign w:val="bottom"/>
          </w:tcPr>
          <w:p w14:paraId="7F7145A0" w14:textId="77777777" w:rsidR="00F978BD" w:rsidRPr="00FB38E1" w:rsidRDefault="00F978BD" w:rsidP="00B94420">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Yeniden Yapılandırılan Krediler </w:t>
            </w:r>
          </w:p>
        </w:tc>
        <w:tc>
          <w:tcPr>
            <w:tcW w:w="1029" w:type="pct"/>
            <w:vAlign w:val="center"/>
          </w:tcPr>
          <w:p w14:paraId="37890017" w14:textId="48D4B863" w:rsidR="00F978BD" w:rsidRPr="00FB38E1" w:rsidRDefault="00F978BD" w:rsidP="00B94420">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Cs/>
                <w:color w:val="404040" w:themeColor="text1" w:themeTint="BF"/>
                <w:sz w:val="16"/>
                <w:szCs w:val="16"/>
              </w:rPr>
              <w:t>77.785</w:t>
            </w:r>
          </w:p>
        </w:tc>
        <w:tc>
          <w:tcPr>
            <w:tcW w:w="882" w:type="pct"/>
            <w:vAlign w:val="center"/>
          </w:tcPr>
          <w:p w14:paraId="1DD53AAA" w14:textId="1532E2F0" w:rsidR="00F978BD" w:rsidRPr="00FB38E1" w:rsidRDefault="00F978BD" w:rsidP="00B94420">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Cs/>
                <w:color w:val="404040" w:themeColor="text1" w:themeTint="BF"/>
                <w:sz w:val="16"/>
                <w:szCs w:val="16"/>
              </w:rPr>
              <w:t>366.399</w:t>
            </w:r>
          </w:p>
        </w:tc>
        <w:tc>
          <w:tcPr>
            <w:tcW w:w="809" w:type="pct"/>
            <w:vAlign w:val="center"/>
          </w:tcPr>
          <w:p w14:paraId="18384A1A" w14:textId="0C305927" w:rsidR="00F978BD" w:rsidRPr="00FB38E1" w:rsidRDefault="00F978BD" w:rsidP="00B94420">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Cs/>
                <w:color w:val="404040" w:themeColor="text1" w:themeTint="BF"/>
                <w:sz w:val="16"/>
                <w:szCs w:val="16"/>
              </w:rPr>
              <w:t>9.052.906</w:t>
            </w:r>
          </w:p>
        </w:tc>
      </w:tr>
    </w:tbl>
    <w:p w14:paraId="6E36F43A" w14:textId="1007478A" w:rsidR="00F978BD" w:rsidRPr="00FB38E1" w:rsidRDefault="00F978BD" w:rsidP="00F978BD">
      <w:pPr>
        <w:pStyle w:val="BASLIK2"/>
        <w:numPr>
          <w:ilvl w:val="0"/>
          <w:numId w:val="22"/>
        </w:numPr>
        <w:spacing w:line="220" w:lineRule="exact"/>
        <w:ind w:left="0" w:hanging="284"/>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sz w:val="20"/>
          <w:szCs w:val="20"/>
        </w:rPr>
        <w:t>Toplam donuk alacak hareketlerine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FB38E1" w14:paraId="6FF4B30C" w14:textId="77777777" w:rsidTr="004E1B47">
        <w:tc>
          <w:tcPr>
            <w:tcW w:w="2280" w:type="pct"/>
            <w:tcBorders>
              <w:top w:val="thinThickSmallGap" w:sz="24" w:space="0" w:color="auto"/>
              <w:bottom w:val="nil"/>
            </w:tcBorders>
            <w:vAlign w:val="bottom"/>
          </w:tcPr>
          <w:p w14:paraId="0D5AC52D" w14:textId="77777777" w:rsidR="0004350B" w:rsidRPr="00FB38E1" w:rsidRDefault="0004350B" w:rsidP="004E1B47">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6E4B0F2F"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509274FC"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1D9ECB94"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 Grup</w:t>
            </w:r>
          </w:p>
        </w:tc>
      </w:tr>
      <w:tr w:rsidR="0004350B" w:rsidRPr="00FB38E1" w14:paraId="5035C01F" w14:textId="77777777" w:rsidTr="004E1B47">
        <w:tc>
          <w:tcPr>
            <w:tcW w:w="2280" w:type="pct"/>
            <w:tcBorders>
              <w:top w:val="nil"/>
              <w:bottom w:val="single" w:sz="4" w:space="0" w:color="auto"/>
            </w:tcBorders>
            <w:vAlign w:val="bottom"/>
          </w:tcPr>
          <w:p w14:paraId="1985BBBD" w14:textId="77777777" w:rsidR="0004350B" w:rsidRPr="00FB38E1" w:rsidRDefault="0004350B" w:rsidP="004E1B47">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3A7FF630"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5A144F93"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583DA6D3"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Zarar Niteliğindeki Krediler </w:t>
            </w:r>
          </w:p>
        </w:tc>
      </w:tr>
      <w:tr w:rsidR="002E3C4F" w:rsidRPr="00FB38E1" w14:paraId="7A9BE879" w14:textId="77777777" w:rsidTr="004E1B47">
        <w:tc>
          <w:tcPr>
            <w:tcW w:w="2280" w:type="pct"/>
            <w:tcBorders>
              <w:top w:val="single" w:sz="4" w:space="0" w:color="auto"/>
            </w:tcBorders>
            <w:vAlign w:val="bottom"/>
          </w:tcPr>
          <w:p w14:paraId="39184C70" w14:textId="77777777" w:rsidR="002E3C4F" w:rsidRPr="00FB38E1" w:rsidRDefault="002E3C4F" w:rsidP="002E3C4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 Sonu Bakiyesi</w:t>
            </w:r>
          </w:p>
        </w:tc>
        <w:tc>
          <w:tcPr>
            <w:tcW w:w="1029" w:type="pct"/>
            <w:tcBorders>
              <w:top w:val="single" w:sz="4" w:space="0" w:color="auto"/>
            </w:tcBorders>
            <w:vAlign w:val="center"/>
          </w:tcPr>
          <w:p w14:paraId="74394318" w14:textId="4CF58D08"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2.885.715</w:t>
            </w:r>
          </w:p>
        </w:tc>
        <w:tc>
          <w:tcPr>
            <w:tcW w:w="882" w:type="pct"/>
            <w:tcBorders>
              <w:top w:val="single" w:sz="4" w:space="0" w:color="auto"/>
            </w:tcBorders>
            <w:vAlign w:val="center"/>
          </w:tcPr>
          <w:p w14:paraId="53CFEAD3" w14:textId="715D3A9D"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5.655.949</w:t>
            </w:r>
          </w:p>
        </w:tc>
        <w:tc>
          <w:tcPr>
            <w:tcW w:w="809" w:type="pct"/>
            <w:tcBorders>
              <w:top w:val="single" w:sz="4" w:space="0" w:color="auto"/>
            </w:tcBorders>
            <w:vAlign w:val="center"/>
          </w:tcPr>
          <w:p w14:paraId="6A708B46" w14:textId="7AF47540"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12.683.252</w:t>
            </w:r>
          </w:p>
        </w:tc>
      </w:tr>
      <w:tr w:rsidR="002E3C4F" w:rsidRPr="00FB38E1" w14:paraId="353FD16D" w14:textId="77777777" w:rsidTr="004E1B47">
        <w:tc>
          <w:tcPr>
            <w:tcW w:w="2280" w:type="pct"/>
            <w:vAlign w:val="bottom"/>
          </w:tcPr>
          <w:p w14:paraId="4A326750" w14:textId="77777777"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İçinde İntikal (+)</w:t>
            </w:r>
          </w:p>
        </w:tc>
        <w:tc>
          <w:tcPr>
            <w:tcW w:w="1029" w:type="pct"/>
            <w:vAlign w:val="center"/>
          </w:tcPr>
          <w:p w14:paraId="0AB23D8F" w14:textId="19A3E79F"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12.674.349</w:t>
            </w:r>
          </w:p>
        </w:tc>
        <w:tc>
          <w:tcPr>
            <w:tcW w:w="882" w:type="pct"/>
            <w:vAlign w:val="center"/>
          </w:tcPr>
          <w:p w14:paraId="72F05417" w14:textId="601BFA45"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8.286.474</w:t>
            </w:r>
          </w:p>
        </w:tc>
        <w:tc>
          <w:tcPr>
            <w:tcW w:w="809" w:type="pct"/>
            <w:vAlign w:val="center"/>
          </w:tcPr>
          <w:p w14:paraId="08D6D897" w14:textId="09649784"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6.667.772</w:t>
            </w:r>
          </w:p>
        </w:tc>
      </w:tr>
      <w:tr w:rsidR="002E3C4F" w:rsidRPr="00FB38E1" w14:paraId="23B0BB3A" w14:textId="77777777" w:rsidTr="004E1B47">
        <w:tc>
          <w:tcPr>
            <w:tcW w:w="2280" w:type="pct"/>
            <w:vAlign w:val="bottom"/>
          </w:tcPr>
          <w:p w14:paraId="6C5221C1" w14:textId="77777777"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Donuk Alacak Hesaplarından Giriş (+)</w:t>
            </w:r>
          </w:p>
        </w:tc>
        <w:tc>
          <w:tcPr>
            <w:tcW w:w="1029" w:type="pct"/>
            <w:vAlign w:val="center"/>
          </w:tcPr>
          <w:p w14:paraId="25E5DD2E" w14:textId="12D2C075"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7E62EF1F" w14:textId="12CC4AFA"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848.078</w:t>
            </w:r>
          </w:p>
        </w:tc>
        <w:tc>
          <w:tcPr>
            <w:tcW w:w="809" w:type="pct"/>
            <w:vAlign w:val="center"/>
          </w:tcPr>
          <w:p w14:paraId="347C680E" w14:textId="3B55FD1B"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4.174.479</w:t>
            </w:r>
          </w:p>
        </w:tc>
      </w:tr>
      <w:tr w:rsidR="002E3C4F" w:rsidRPr="00FB38E1" w14:paraId="0CEE1A0B" w14:textId="77777777" w:rsidTr="004E1B47">
        <w:tc>
          <w:tcPr>
            <w:tcW w:w="2280" w:type="pct"/>
            <w:vAlign w:val="bottom"/>
          </w:tcPr>
          <w:p w14:paraId="4E0B6740" w14:textId="77777777"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Donuk Alacak Hesaplarına Çıkış(-)</w:t>
            </w:r>
          </w:p>
        </w:tc>
        <w:tc>
          <w:tcPr>
            <w:tcW w:w="1029" w:type="pct"/>
            <w:vAlign w:val="center"/>
          </w:tcPr>
          <w:p w14:paraId="2684F185" w14:textId="48E6B8B7"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848.078</w:t>
            </w:r>
          </w:p>
        </w:tc>
        <w:tc>
          <w:tcPr>
            <w:tcW w:w="882" w:type="pct"/>
            <w:vAlign w:val="center"/>
          </w:tcPr>
          <w:p w14:paraId="55324B0A" w14:textId="4FE8ECC5"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4.174.479</w:t>
            </w:r>
          </w:p>
        </w:tc>
        <w:tc>
          <w:tcPr>
            <w:tcW w:w="809" w:type="pct"/>
            <w:vAlign w:val="center"/>
          </w:tcPr>
          <w:p w14:paraId="0575A2AA" w14:textId="0A9303A6"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E3C4F" w:rsidRPr="00FB38E1" w14:paraId="46145111" w14:textId="77777777" w:rsidTr="004E1B47">
        <w:tc>
          <w:tcPr>
            <w:tcW w:w="2280" w:type="pct"/>
            <w:vAlign w:val="bottom"/>
          </w:tcPr>
          <w:p w14:paraId="2569DA03" w14:textId="77777777"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İçinde Tahsilat (-)</w:t>
            </w:r>
          </w:p>
        </w:tc>
        <w:tc>
          <w:tcPr>
            <w:tcW w:w="1029" w:type="pct"/>
            <w:vAlign w:val="center"/>
          </w:tcPr>
          <w:p w14:paraId="68DD598A" w14:textId="1EF70FF4"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6.239.411</w:t>
            </w:r>
          </w:p>
        </w:tc>
        <w:tc>
          <w:tcPr>
            <w:tcW w:w="882" w:type="pct"/>
            <w:vAlign w:val="center"/>
          </w:tcPr>
          <w:p w14:paraId="0EC0E2AB" w14:textId="33170BD4"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2.427.940</w:t>
            </w:r>
          </w:p>
        </w:tc>
        <w:tc>
          <w:tcPr>
            <w:tcW w:w="809" w:type="pct"/>
            <w:vAlign w:val="center"/>
          </w:tcPr>
          <w:p w14:paraId="18C4844E" w14:textId="70389EC7"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6.706.759</w:t>
            </w:r>
          </w:p>
        </w:tc>
      </w:tr>
      <w:tr w:rsidR="002E3C4F" w:rsidRPr="00FB38E1" w14:paraId="3A1A7AFD" w14:textId="77777777" w:rsidTr="004E1B47">
        <w:tc>
          <w:tcPr>
            <w:tcW w:w="2280" w:type="pct"/>
            <w:vAlign w:val="bottom"/>
          </w:tcPr>
          <w:p w14:paraId="1476E3E0" w14:textId="456F6D02"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Kayıttan düşülen (-)</w:t>
            </w:r>
          </w:p>
        </w:tc>
        <w:tc>
          <w:tcPr>
            <w:tcW w:w="1029" w:type="pct"/>
            <w:vAlign w:val="center"/>
          </w:tcPr>
          <w:p w14:paraId="3010D507" w14:textId="1EE5FE0B"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10C9406B" w14:textId="232F84EA"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13B8F84E" w14:textId="44E6AC9D"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2.579.112</w:t>
            </w:r>
          </w:p>
        </w:tc>
      </w:tr>
      <w:tr w:rsidR="002E3C4F" w:rsidRPr="00FB38E1" w14:paraId="75C87498" w14:textId="77777777" w:rsidTr="004E1B47">
        <w:tc>
          <w:tcPr>
            <w:tcW w:w="2280" w:type="pct"/>
            <w:vAlign w:val="bottom"/>
          </w:tcPr>
          <w:p w14:paraId="24ED0DA9" w14:textId="77777777"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Satılan (-) </w:t>
            </w:r>
          </w:p>
        </w:tc>
        <w:tc>
          <w:tcPr>
            <w:tcW w:w="1029" w:type="pct"/>
            <w:vAlign w:val="center"/>
          </w:tcPr>
          <w:p w14:paraId="3531C664" w14:textId="17795227"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5194B46E" w14:textId="6291071B"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50DAD273" w14:textId="261EAAA1"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3.457.570</w:t>
            </w:r>
          </w:p>
        </w:tc>
      </w:tr>
      <w:tr w:rsidR="002E3C4F" w:rsidRPr="00FB38E1" w14:paraId="5FEA507D" w14:textId="77777777" w:rsidTr="004E1B47">
        <w:tc>
          <w:tcPr>
            <w:tcW w:w="2280" w:type="pct"/>
            <w:vAlign w:val="bottom"/>
          </w:tcPr>
          <w:p w14:paraId="262DDDDC" w14:textId="77777777" w:rsidR="002E3C4F" w:rsidRPr="00FB38E1" w:rsidRDefault="002E3C4F" w:rsidP="002E3C4F">
            <w:pPr>
              <w:ind w:firstLineChars="200" w:firstLine="32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Kurumsal ve Ticari Krediler</w:t>
            </w:r>
          </w:p>
        </w:tc>
        <w:tc>
          <w:tcPr>
            <w:tcW w:w="1029" w:type="pct"/>
            <w:vAlign w:val="center"/>
          </w:tcPr>
          <w:p w14:paraId="48A51777" w14:textId="5690F55E"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00820235" w14:textId="3BE4AE83"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169B53CB" w14:textId="73658F31"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w:t>
            </w:r>
          </w:p>
        </w:tc>
      </w:tr>
      <w:tr w:rsidR="002E3C4F" w:rsidRPr="00FB38E1" w14:paraId="625FED32" w14:textId="77777777" w:rsidTr="004E1B47">
        <w:tc>
          <w:tcPr>
            <w:tcW w:w="2280" w:type="pct"/>
            <w:vAlign w:val="bottom"/>
          </w:tcPr>
          <w:p w14:paraId="3B1EA42A" w14:textId="77777777" w:rsidR="002E3C4F" w:rsidRPr="00FB38E1" w:rsidRDefault="002E3C4F" w:rsidP="002E3C4F">
            <w:pPr>
              <w:ind w:firstLineChars="200" w:firstLine="32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Bireysel Krediler</w:t>
            </w:r>
          </w:p>
        </w:tc>
        <w:tc>
          <w:tcPr>
            <w:tcW w:w="1029" w:type="pct"/>
            <w:vAlign w:val="center"/>
          </w:tcPr>
          <w:p w14:paraId="218CABD6" w14:textId="3D35D2A9"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2CA8FCA5" w14:textId="19954580"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69F11FDA" w14:textId="78D7F564"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1.572.120</w:t>
            </w:r>
          </w:p>
        </w:tc>
      </w:tr>
      <w:tr w:rsidR="002E3C4F" w:rsidRPr="00FB38E1" w14:paraId="4C2E62EE" w14:textId="77777777" w:rsidTr="004E1B47">
        <w:tc>
          <w:tcPr>
            <w:tcW w:w="2280" w:type="pct"/>
            <w:vAlign w:val="bottom"/>
          </w:tcPr>
          <w:p w14:paraId="151B92CC" w14:textId="77777777" w:rsidR="002E3C4F" w:rsidRPr="00FB38E1" w:rsidRDefault="002E3C4F" w:rsidP="002E3C4F">
            <w:pPr>
              <w:ind w:firstLineChars="200" w:firstLine="32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Kredi Kartları</w:t>
            </w:r>
          </w:p>
        </w:tc>
        <w:tc>
          <w:tcPr>
            <w:tcW w:w="1029" w:type="pct"/>
            <w:vAlign w:val="center"/>
          </w:tcPr>
          <w:p w14:paraId="5DDB6AB5" w14:textId="3718C842"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45999059" w14:textId="14D1202F"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2F438412" w14:textId="7D6AEC59"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1.350.768</w:t>
            </w:r>
          </w:p>
        </w:tc>
      </w:tr>
      <w:tr w:rsidR="002E3C4F" w:rsidRPr="00FB38E1" w14:paraId="48A154B9" w14:textId="77777777" w:rsidTr="004E1B47">
        <w:tc>
          <w:tcPr>
            <w:tcW w:w="2280" w:type="pct"/>
            <w:vAlign w:val="bottom"/>
          </w:tcPr>
          <w:p w14:paraId="2A962DBD" w14:textId="77777777" w:rsidR="002E3C4F" w:rsidRPr="00FB38E1" w:rsidRDefault="002E3C4F" w:rsidP="002E3C4F">
            <w:pPr>
              <w:ind w:firstLineChars="200" w:firstLine="32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1029" w:type="pct"/>
            <w:vAlign w:val="center"/>
          </w:tcPr>
          <w:p w14:paraId="5E656700" w14:textId="572AA02C"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732D65CE" w14:textId="1D213740"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2FA784E0" w14:textId="2E93A641"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534.679</w:t>
            </w:r>
          </w:p>
        </w:tc>
      </w:tr>
      <w:tr w:rsidR="002E3C4F" w:rsidRPr="00FB38E1" w14:paraId="216951EA" w14:textId="77777777" w:rsidTr="004E1B47">
        <w:tc>
          <w:tcPr>
            <w:tcW w:w="2280" w:type="pct"/>
            <w:vAlign w:val="bottom"/>
          </w:tcPr>
          <w:p w14:paraId="703C24C1" w14:textId="77777777"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 farkı</w:t>
            </w:r>
          </w:p>
        </w:tc>
        <w:tc>
          <w:tcPr>
            <w:tcW w:w="1029" w:type="pct"/>
            <w:vAlign w:val="center"/>
          </w:tcPr>
          <w:p w14:paraId="4E5B015D" w14:textId="364D31F3"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w:t>
            </w:r>
          </w:p>
        </w:tc>
        <w:tc>
          <w:tcPr>
            <w:tcW w:w="882" w:type="pct"/>
            <w:vAlign w:val="center"/>
          </w:tcPr>
          <w:p w14:paraId="1450335D" w14:textId="77DADFF8"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w:t>
            </w:r>
          </w:p>
        </w:tc>
        <w:tc>
          <w:tcPr>
            <w:tcW w:w="809" w:type="pct"/>
            <w:vAlign w:val="center"/>
          </w:tcPr>
          <w:p w14:paraId="63CF43CF" w14:textId="7E85AB52"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301.317</w:t>
            </w:r>
          </w:p>
        </w:tc>
      </w:tr>
      <w:tr w:rsidR="002E3C4F" w:rsidRPr="00FB38E1" w14:paraId="08D79BEC" w14:textId="77777777" w:rsidTr="004E1B47">
        <w:tc>
          <w:tcPr>
            <w:tcW w:w="2280" w:type="pct"/>
            <w:vAlign w:val="bottom"/>
          </w:tcPr>
          <w:p w14:paraId="60783F32" w14:textId="77777777" w:rsidR="002E3C4F" w:rsidRPr="00FB38E1" w:rsidRDefault="002E3C4F" w:rsidP="002E3C4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Sonu Bakiyesi</w:t>
            </w:r>
          </w:p>
        </w:tc>
        <w:tc>
          <w:tcPr>
            <w:tcW w:w="1029" w:type="pct"/>
            <w:vAlign w:val="center"/>
          </w:tcPr>
          <w:p w14:paraId="001D3C0E" w14:textId="50C0BAB4"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8.472.597</w:t>
            </w:r>
          </w:p>
        </w:tc>
        <w:tc>
          <w:tcPr>
            <w:tcW w:w="882" w:type="pct"/>
            <w:vAlign w:val="center"/>
          </w:tcPr>
          <w:p w14:paraId="7C95A539" w14:textId="5BC7D478"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8.188.166</w:t>
            </w:r>
          </w:p>
        </w:tc>
        <w:tc>
          <w:tcPr>
            <w:tcW w:w="809" w:type="pct"/>
            <w:vAlign w:val="center"/>
          </w:tcPr>
          <w:p w14:paraId="13F06822" w14:textId="508878C2"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11.083.379</w:t>
            </w:r>
          </w:p>
        </w:tc>
      </w:tr>
      <w:tr w:rsidR="002E3C4F" w:rsidRPr="00FB38E1" w14:paraId="36BBBA2B" w14:textId="77777777" w:rsidTr="004E1B47">
        <w:tc>
          <w:tcPr>
            <w:tcW w:w="2280" w:type="pct"/>
            <w:vAlign w:val="bottom"/>
          </w:tcPr>
          <w:p w14:paraId="52856FB8" w14:textId="77777777"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w:t>
            </w:r>
          </w:p>
        </w:tc>
        <w:tc>
          <w:tcPr>
            <w:tcW w:w="1029" w:type="pct"/>
            <w:vAlign w:val="center"/>
          </w:tcPr>
          <w:p w14:paraId="641BCE84" w14:textId="35A40E67"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4.016.115</w:t>
            </w:r>
          </w:p>
        </w:tc>
        <w:tc>
          <w:tcPr>
            <w:tcW w:w="882" w:type="pct"/>
            <w:vAlign w:val="center"/>
          </w:tcPr>
          <w:p w14:paraId="19CE94A4" w14:textId="51DA40DE"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5.172.321</w:t>
            </w:r>
          </w:p>
        </w:tc>
        <w:tc>
          <w:tcPr>
            <w:tcW w:w="809" w:type="pct"/>
            <w:vAlign w:val="center"/>
          </w:tcPr>
          <w:p w14:paraId="252926A1" w14:textId="7B3B18B2"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7.578.779</w:t>
            </w:r>
          </w:p>
        </w:tc>
      </w:tr>
      <w:tr w:rsidR="002E3C4F" w:rsidRPr="00FB38E1" w14:paraId="79EAB573" w14:textId="77777777" w:rsidTr="004E1B47">
        <w:tc>
          <w:tcPr>
            <w:tcW w:w="2280" w:type="pct"/>
            <w:vAlign w:val="bottom"/>
          </w:tcPr>
          <w:p w14:paraId="5AE1C8A1" w14:textId="77777777" w:rsidR="002E3C4F" w:rsidRPr="00FB38E1" w:rsidRDefault="002E3C4F" w:rsidP="002E3C4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Bilançodaki Net Bakiyesi</w:t>
            </w:r>
          </w:p>
        </w:tc>
        <w:tc>
          <w:tcPr>
            <w:tcW w:w="1029" w:type="pct"/>
            <w:vAlign w:val="center"/>
          </w:tcPr>
          <w:p w14:paraId="22DAAD7E" w14:textId="26AAA57C"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4.456.482</w:t>
            </w:r>
          </w:p>
        </w:tc>
        <w:tc>
          <w:tcPr>
            <w:tcW w:w="882" w:type="pct"/>
            <w:vAlign w:val="center"/>
          </w:tcPr>
          <w:p w14:paraId="3A3E8EEB" w14:textId="0D7BF589"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3.015.845</w:t>
            </w:r>
          </w:p>
        </w:tc>
        <w:tc>
          <w:tcPr>
            <w:tcW w:w="809" w:type="pct"/>
            <w:vAlign w:val="center"/>
          </w:tcPr>
          <w:p w14:paraId="0CFDA68A" w14:textId="4B050436"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3.504.600</w:t>
            </w:r>
          </w:p>
        </w:tc>
      </w:tr>
    </w:tbl>
    <w:p w14:paraId="7D96DDD4" w14:textId="77777777" w:rsidR="0004350B" w:rsidRPr="00FB38E1" w:rsidRDefault="0004350B" w:rsidP="0004350B">
      <w:pPr>
        <w:pStyle w:val="BASLIK2"/>
        <w:numPr>
          <w:ilvl w:val="0"/>
          <w:numId w:val="22"/>
        </w:numPr>
        <w:spacing w:line="240" w:lineRule="exact"/>
        <w:ind w:left="0" w:hanging="284"/>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sz w:val="20"/>
          <w:szCs w:val="20"/>
        </w:rPr>
        <w:t>Yabancı para olarak kullandırılan kredilerden kaynaklanan donuk alacaklara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FB38E1" w14:paraId="75C6C959" w14:textId="77777777" w:rsidTr="004E1B47">
        <w:tc>
          <w:tcPr>
            <w:tcW w:w="2280" w:type="pct"/>
            <w:tcBorders>
              <w:top w:val="thinThickSmallGap" w:sz="24" w:space="0" w:color="auto"/>
              <w:bottom w:val="nil"/>
            </w:tcBorders>
            <w:vAlign w:val="bottom"/>
          </w:tcPr>
          <w:p w14:paraId="1FC8F977" w14:textId="77777777" w:rsidR="0004350B" w:rsidRPr="00FB38E1" w:rsidRDefault="0004350B" w:rsidP="004E1B47">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7C170FFC"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1BCD3ADF"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2B584E76"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 Grup</w:t>
            </w:r>
          </w:p>
        </w:tc>
      </w:tr>
      <w:tr w:rsidR="0004350B" w:rsidRPr="00FB38E1" w14:paraId="2F7EE271" w14:textId="77777777" w:rsidTr="004E1B47">
        <w:tc>
          <w:tcPr>
            <w:tcW w:w="2280" w:type="pct"/>
            <w:tcBorders>
              <w:top w:val="nil"/>
              <w:bottom w:val="single" w:sz="4" w:space="0" w:color="auto"/>
            </w:tcBorders>
            <w:vAlign w:val="bottom"/>
          </w:tcPr>
          <w:p w14:paraId="66275C48" w14:textId="77777777" w:rsidR="0004350B" w:rsidRPr="00FB38E1" w:rsidRDefault="0004350B" w:rsidP="004E1B47">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0F0C273A"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60499337"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01A19933"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Zarar Niteliğindeki Krediler </w:t>
            </w:r>
          </w:p>
        </w:tc>
      </w:tr>
      <w:tr w:rsidR="0004350B" w:rsidRPr="00FB38E1" w14:paraId="3D8BA80E" w14:textId="77777777" w:rsidTr="004E1B47">
        <w:tc>
          <w:tcPr>
            <w:tcW w:w="2280" w:type="pct"/>
            <w:tcBorders>
              <w:top w:val="single" w:sz="4" w:space="0" w:color="auto"/>
            </w:tcBorders>
            <w:vAlign w:val="center"/>
          </w:tcPr>
          <w:p w14:paraId="31C1C346" w14:textId="7DB7D093" w:rsidR="0004350B" w:rsidRPr="00FB38E1" w:rsidRDefault="00B94958" w:rsidP="004E1B47">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Dönem: </w:t>
            </w:r>
            <w:r w:rsidR="009E5C75" w:rsidRPr="00FB38E1">
              <w:rPr>
                <w:rFonts w:ascii="Microsoft Sans Serif" w:hAnsi="Microsoft Sans Serif" w:cs="Microsoft Sans Serif"/>
                <w:b/>
                <w:bCs/>
                <w:color w:val="000000"/>
                <w:sz w:val="16"/>
                <w:szCs w:val="16"/>
              </w:rPr>
              <w:t>3</w:t>
            </w:r>
            <w:r w:rsidR="007C0607" w:rsidRPr="00FB38E1">
              <w:rPr>
                <w:rFonts w:ascii="Microsoft Sans Serif" w:hAnsi="Microsoft Sans Serif" w:cs="Microsoft Sans Serif"/>
                <w:b/>
                <w:bCs/>
                <w:color w:val="000000"/>
                <w:sz w:val="16"/>
                <w:szCs w:val="16"/>
              </w:rPr>
              <w:t>1</w:t>
            </w:r>
            <w:r w:rsidR="009E5C75" w:rsidRPr="00FB38E1">
              <w:rPr>
                <w:rFonts w:ascii="Microsoft Sans Serif" w:hAnsi="Microsoft Sans Serif" w:cs="Microsoft Sans Serif"/>
                <w:b/>
                <w:bCs/>
                <w:color w:val="000000"/>
                <w:sz w:val="16"/>
                <w:szCs w:val="16"/>
              </w:rPr>
              <w:t xml:space="preserve"> </w:t>
            </w:r>
            <w:r w:rsidR="007C0607" w:rsidRPr="00FB38E1">
              <w:rPr>
                <w:rFonts w:ascii="Microsoft Sans Serif" w:hAnsi="Microsoft Sans Serif" w:cs="Microsoft Sans Serif"/>
                <w:b/>
                <w:bCs/>
                <w:color w:val="000000"/>
                <w:sz w:val="16"/>
                <w:szCs w:val="16"/>
              </w:rPr>
              <w:t>Aralık</w:t>
            </w:r>
            <w:r w:rsidR="009E5C75" w:rsidRPr="00FB38E1">
              <w:rPr>
                <w:rFonts w:ascii="Microsoft Sans Serif" w:hAnsi="Microsoft Sans Serif" w:cs="Microsoft Sans Serif"/>
                <w:b/>
                <w:bCs/>
                <w:color w:val="000000"/>
                <w:sz w:val="16"/>
                <w:szCs w:val="16"/>
              </w:rPr>
              <w:t xml:space="preserve"> 2024</w:t>
            </w:r>
          </w:p>
        </w:tc>
        <w:tc>
          <w:tcPr>
            <w:tcW w:w="1029" w:type="pct"/>
            <w:tcBorders>
              <w:top w:val="single" w:sz="4" w:space="0" w:color="auto"/>
            </w:tcBorders>
            <w:vAlign w:val="center"/>
          </w:tcPr>
          <w:p w14:paraId="716D1893" w14:textId="77777777" w:rsidR="0004350B" w:rsidRPr="00FB38E1" w:rsidRDefault="0004350B" w:rsidP="004E1B47">
            <w:pPr>
              <w:jc w:val="right"/>
              <w:rPr>
                <w:rFonts w:ascii="Microsoft Sans Serif" w:hAnsi="Microsoft Sans Serif" w:cs="Microsoft Sans Serif"/>
                <w:b/>
                <w:bCs/>
                <w:color w:val="000000"/>
                <w:sz w:val="16"/>
                <w:szCs w:val="16"/>
              </w:rPr>
            </w:pPr>
          </w:p>
        </w:tc>
        <w:tc>
          <w:tcPr>
            <w:tcW w:w="882" w:type="pct"/>
            <w:tcBorders>
              <w:top w:val="single" w:sz="4" w:space="0" w:color="auto"/>
            </w:tcBorders>
            <w:vAlign w:val="center"/>
          </w:tcPr>
          <w:p w14:paraId="0154B42F" w14:textId="77777777" w:rsidR="0004350B" w:rsidRPr="00FB38E1" w:rsidRDefault="0004350B" w:rsidP="004E1B47">
            <w:pPr>
              <w:jc w:val="right"/>
              <w:rPr>
                <w:rFonts w:ascii="Microsoft Sans Serif" w:hAnsi="Microsoft Sans Serif" w:cs="Microsoft Sans Serif"/>
                <w:b/>
                <w:bCs/>
                <w:color w:val="000000"/>
                <w:sz w:val="16"/>
                <w:szCs w:val="16"/>
              </w:rPr>
            </w:pPr>
          </w:p>
        </w:tc>
        <w:tc>
          <w:tcPr>
            <w:tcW w:w="809" w:type="pct"/>
            <w:tcBorders>
              <w:top w:val="single" w:sz="4" w:space="0" w:color="auto"/>
            </w:tcBorders>
            <w:vAlign w:val="center"/>
          </w:tcPr>
          <w:p w14:paraId="299112D1" w14:textId="77777777" w:rsidR="0004350B" w:rsidRPr="00FB38E1" w:rsidRDefault="0004350B" w:rsidP="004E1B47">
            <w:pPr>
              <w:jc w:val="right"/>
              <w:rPr>
                <w:rFonts w:ascii="Microsoft Sans Serif" w:hAnsi="Microsoft Sans Serif" w:cs="Microsoft Sans Serif"/>
                <w:b/>
                <w:bCs/>
                <w:color w:val="000000"/>
                <w:sz w:val="16"/>
                <w:szCs w:val="16"/>
              </w:rPr>
            </w:pPr>
          </w:p>
        </w:tc>
      </w:tr>
      <w:tr w:rsidR="002B6EB3" w:rsidRPr="00FB38E1" w14:paraId="3A6782C5" w14:textId="77777777" w:rsidTr="004E1B47">
        <w:tc>
          <w:tcPr>
            <w:tcW w:w="2280" w:type="pct"/>
            <w:vAlign w:val="center"/>
          </w:tcPr>
          <w:p w14:paraId="31BAF50B" w14:textId="77777777" w:rsidR="002B6EB3" w:rsidRPr="00FB38E1" w:rsidRDefault="002B6EB3" w:rsidP="002B6EB3">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Sonu Bakiyesi</w:t>
            </w:r>
          </w:p>
        </w:tc>
        <w:tc>
          <w:tcPr>
            <w:tcW w:w="1029" w:type="pct"/>
            <w:vAlign w:val="center"/>
          </w:tcPr>
          <w:p w14:paraId="6C5781F5" w14:textId="79488B8D" w:rsidR="002B6EB3" w:rsidRPr="00FB38E1" w:rsidRDefault="002B6EB3" w:rsidP="002B6E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74218179" w14:textId="01B5ED1D" w:rsidR="002B6EB3" w:rsidRPr="00FB38E1" w:rsidRDefault="002B6EB3" w:rsidP="002B6E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w:t>
            </w:r>
          </w:p>
        </w:tc>
        <w:tc>
          <w:tcPr>
            <w:tcW w:w="809" w:type="pct"/>
            <w:vAlign w:val="center"/>
          </w:tcPr>
          <w:p w14:paraId="4470E755" w14:textId="70305448" w:rsidR="002B6EB3" w:rsidRPr="00FB38E1" w:rsidRDefault="002B6EB3" w:rsidP="002B6E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B6EB3" w:rsidRPr="00FB38E1" w14:paraId="4B19D50A" w14:textId="77777777" w:rsidTr="004E1B47">
        <w:tc>
          <w:tcPr>
            <w:tcW w:w="2280" w:type="pct"/>
            <w:vAlign w:val="center"/>
          </w:tcPr>
          <w:p w14:paraId="30107FB5" w14:textId="77777777" w:rsidR="002B6EB3" w:rsidRPr="00FB38E1" w:rsidRDefault="002B6EB3" w:rsidP="002B6EB3">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vAlign w:val="center"/>
          </w:tcPr>
          <w:p w14:paraId="040008D1" w14:textId="6A57D51A" w:rsidR="002B6EB3" w:rsidRPr="00FB38E1" w:rsidRDefault="002B6EB3" w:rsidP="002B6E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105EE709" w14:textId="3092ED1D" w:rsidR="002B6EB3" w:rsidRPr="00FB38E1" w:rsidRDefault="002B6EB3" w:rsidP="002B6E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w:t>
            </w:r>
          </w:p>
        </w:tc>
        <w:tc>
          <w:tcPr>
            <w:tcW w:w="809" w:type="pct"/>
            <w:vAlign w:val="center"/>
          </w:tcPr>
          <w:p w14:paraId="23D20516" w14:textId="6A1BF613" w:rsidR="002B6EB3" w:rsidRPr="00FB38E1" w:rsidRDefault="002B6EB3" w:rsidP="002B6E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2B6EB3" w:rsidRPr="00FB38E1" w14:paraId="43480564" w14:textId="77777777" w:rsidTr="004E1B47">
        <w:tc>
          <w:tcPr>
            <w:tcW w:w="2280" w:type="pct"/>
            <w:vAlign w:val="center"/>
          </w:tcPr>
          <w:p w14:paraId="390EB561" w14:textId="77777777" w:rsidR="002B6EB3" w:rsidRPr="00FB38E1" w:rsidRDefault="002B6EB3" w:rsidP="002B6EB3">
            <w:pPr>
              <w:ind w:firstLineChars="15" w:firstLine="24"/>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Bilançodaki Net Bakiyesi</w:t>
            </w:r>
          </w:p>
        </w:tc>
        <w:tc>
          <w:tcPr>
            <w:tcW w:w="1029" w:type="pct"/>
            <w:vAlign w:val="center"/>
          </w:tcPr>
          <w:p w14:paraId="04510E6D" w14:textId="46B50E56" w:rsidR="002B6EB3" w:rsidRPr="00FB38E1" w:rsidRDefault="002B6EB3" w:rsidP="002B6EB3">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000000"/>
                <w:sz w:val="16"/>
                <w:szCs w:val="16"/>
              </w:rPr>
              <w:t>--</w:t>
            </w:r>
          </w:p>
        </w:tc>
        <w:tc>
          <w:tcPr>
            <w:tcW w:w="882" w:type="pct"/>
            <w:vAlign w:val="center"/>
          </w:tcPr>
          <w:p w14:paraId="34A32A50" w14:textId="67C774DC" w:rsidR="002B6EB3" w:rsidRPr="00FB38E1" w:rsidRDefault="002B6EB3" w:rsidP="002B6EB3">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34</w:t>
            </w:r>
          </w:p>
        </w:tc>
        <w:tc>
          <w:tcPr>
            <w:tcW w:w="809" w:type="pct"/>
            <w:vAlign w:val="center"/>
          </w:tcPr>
          <w:p w14:paraId="729B1A2C" w14:textId="10EAA1D1" w:rsidR="002B6EB3" w:rsidRPr="00FB38E1" w:rsidRDefault="002B6EB3" w:rsidP="002B6EB3">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w:t>
            </w:r>
          </w:p>
        </w:tc>
      </w:tr>
      <w:tr w:rsidR="00441058" w:rsidRPr="00FB38E1" w14:paraId="1838C0CD" w14:textId="77777777" w:rsidTr="004E1B47">
        <w:tc>
          <w:tcPr>
            <w:tcW w:w="2280" w:type="pct"/>
            <w:vAlign w:val="center"/>
          </w:tcPr>
          <w:p w14:paraId="3D03AD76" w14:textId="3DB916AC" w:rsidR="00441058" w:rsidRPr="00FB38E1" w:rsidRDefault="00B94958" w:rsidP="00441058">
            <w:pPr>
              <w:ind w:firstLineChars="15" w:firstLine="24"/>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Önceki Dönem: 31 Aralık 2023</w:t>
            </w:r>
          </w:p>
        </w:tc>
        <w:tc>
          <w:tcPr>
            <w:tcW w:w="1029" w:type="pct"/>
            <w:vAlign w:val="center"/>
          </w:tcPr>
          <w:p w14:paraId="5122636E" w14:textId="77777777" w:rsidR="00441058" w:rsidRPr="00FB38E1" w:rsidRDefault="00441058" w:rsidP="00441058">
            <w:pPr>
              <w:jc w:val="right"/>
              <w:rPr>
                <w:rFonts w:ascii="Microsoft Sans Serif" w:hAnsi="Microsoft Sans Serif" w:cs="Microsoft Sans Serif"/>
                <w:color w:val="404040"/>
                <w:sz w:val="16"/>
                <w:szCs w:val="16"/>
              </w:rPr>
            </w:pPr>
          </w:p>
        </w:tc>
        <w:tc>
          <w:tcPr>
            <w:tcW w:w="882" w:type="pct"/>
            <w:vAlign w:val="center"/>
          </w:tcPr>
          <w:p w14:paraId="2F4D4B74" w14:textId="77777777" w:rsidR="00441058" w:rsidRPr="00FB38E1" w:rsidRDefault="00441058" w:rsidP="00441058">
            <w:pPr>
              <w:jc w:val="right"/>
              <w:rPr>
                <w:rFonts w:ascii="Microsoft Sans Serif" w:hAnsi="Microsoft Sans Serif" w:cs="Microsoft Sans Serif"/>
                <w:color w:val="404040"/>
                <w:sz w:val="16"/>
                <w:szCs w:val="16"/>
              </w:rPr>
            </w:pPr>
          </w:p>
        </w:tc>
        <w:tc>
          <w:tcPr>
            <w:tcW w:w="809" w:type="pct"/>
            <w:vAlign w:val="center"/>
          </w:tcPr>
          <w:p w14:paraId="43546879" w14:textId="77777777" w:rsidR="00441058" w:rsidRPr="00FB38E1" w:rsidRDefault="00441058" w:rsidP="00441058">
            <w:pPr>
              <w:jc w:val="right"/>
              <w:rPr>
                <w:rFonts w:ascii="Microsoft Sans Serif" w:hAnsi="Microsoft Sans Serif" w:cs="Microsoft Sans Serif"/>
                <w:color w:val="404040"/>
                <w:sz w:val="16"/>
                <w:szCs w:val="16"/>
              </w:rPr>
            </w:pPr>
          </w:p>
        </w:tc>
      </w:tr>
      <w:tr w:rsidR="00B94958" w:rsidRPr="00FB38E1" w14:paraId="0A60949C" w14:textId="77777777" w:rsidTr="004E1B47">
        <w:tc>
          <w:tcPr>
            <w:tcW w:w="2280" w:type="pct"/>
            <w:vAlign w:val="center"/>
          </w:tcPr>
          <w:p w14:paraId="54493FF4" w14:textId="77777777" w:rsidR="00B94958" w:rsidRPr="00FB38E1" w:rsidRDefault="00B94958" w:rsidP="00B9495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Sonu Bakiyesi</w:t>
            </w:r>
          </w:p>
        </w:tc>
        <w:tc>
          <w:tcPr>
            <w:tcW w:w="1029" w:type="pct"/>
            <w:vAlign w:val="center"/>
          </w:tcPr>
          <w:p w14:paraId="1927586C" w14:textId="56AF5016"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1577E67A" w14:textId="079F0B9E"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33D1957C" w14:textId="7A2DDFD6"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4.021.749</w:t>
            </w:r>
          </w:p>
        </w:tc>
      </w:tr>
      <w:tr w:rsidR="00B94958" w:rsidRPr="00FB38E1" w14:paraId="22E05544" w14:textId="77777777" w:rsidTr="004E1B47">
        <w:tc>
          <w:tcPr>
            <w:tcW w:w="2280" w:type="pct"/>
            <w:vAlign w:val="center"/>
          </w:tcPr>
          <w:p w14:paraId="3631E0FD" w14:textId="77777777" w:rsidR="00B94958" w:rsidRPr="00FB38E1" w:rsidRDefault="00B94958" w:rsidP="00B9495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vAlign w:val="center"/>
          </w:tcPr>
          <w:p w14:paraId="32912C38" w14:textId="56CBE486"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065A1FD0" w14:textId="23F1CD30"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4A831C45" w14:textId="177CF446"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2.964.347</w:t>
            </w:r>
          </w:p>
        </w:tc>
      </w:tr>
      <w:tr w:rsidR="00B94958" w:rsidRPr="00FB38E1" w14:paraId="203DAF68" w14:textId="77777777" w:rsidTr="004E1B47">
        <w:tc>
          <w:tcPr>
            <w:tcW w:w="2280" w:type="pct"/>
            <w:vAlign w:val="center"/>
          </w:tcPr>
          <w:p w14:paraId="1333CF26" w14:textId="77777777" w:rsidR="00B94958" w:rsidRPr="00FB38E1" w:rsidRDefault="00B94958" w:rsidP="00B9495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Bilançodaki Net Bakiyesi</w:t>
            </w:r>
          </w:p>
        </w:tc>
        <w:tc>
          <w:tcPr>
            <w:tcW w:w="1029" w:type="pct"/>
            <w:vAlign w:val="center"/>
          </w:tcPr>
          <w:p w14:paraId="459E962F" w14:textId="241D95E0" w:rsidR="00B94958" w:rsidRPr="00FB38E1" w:rsidRDefault="00B94958" w:rsidP="00B9495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82" w:type="pct"/>
            <w:vAlign w:val="center"/>
          </w:tcPr>
          <w:p w14:paraId="6FF45772" w14:textId="36690CB4" w:rsidR="00B94958" w:rsidRPr="00FB38E1" w:rsidRDefault="00B94958" w:rsidP="00B9495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09" w:type="pct"/>
            <w:vAlign w:val="center"/>
          </w:tcPr>
          <w:p w14:paraId="0BCBB078" w14:textId="1C555AAF" w:rsidR="00B94958" w:rsidRPr="00FB38E1" w:rsidRDefault="00B94958" w:rsidP="00B9495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1.057.402</w:t>
            </w:r>
          </w:p>
        </w:tc>
      </w:tr>
    </w:tbl>
    <w:p w14:paraId="2E29EAFE" w14:textId="50A3B577" w:rsidR="002E3C4F" w:rsidRPr="00FB38E1" w:rsidRDefault="002E3C4F" w:rsidP="002E3C4F">
      <w:pPr>
        <w:pStyle w:val="Head4"/>
        <w:keepNext w:val="0"/>
        <w:keepLines w:val="0"/>
        <w:tabs>
          <w:tab w:val="clear" w:pos="340"/>
        </w:tabs>
        <w:spacing w:before="240" w:line="240" w:lineRule="auto"/>
        <w:ind w:left="0" w:firstLine="0"/>
        <w:rPr>
          <w:rFonts w:ascii="Microsoft Sans Serif" w:hAnsi="Microsoft Sans Serif" w:cs="Microsoft Sans Serif"/>
          <w:i w:val="0"/>
          <w:sz w:val="20"/>
          <w:szCs w:val="20"/>
        </w:rPr>
      </w:pPr>
      <w:r w:rsidRPr="00FB38E1">
        <w:rPr>
          <w:rFonts w:ascii="Microsoft Sans Serif" w:hAnsi="Microsoft Sans Serif" w:cs="Microsoft Sans Serif"/>
          <w:i w:val="0"/>
          <w:sz w:val="20"/>
          <w:szCs w:val="20"/>
        </w:rPr>
        <w:br w:type="page"/>
      </w:r>
    </w:p>
    <w:p w14:paraId="797EEB04" w14:textId="5E6D9CEC" w:rsidR="0004350B" w:rsidRPr="00FB38E1" w:rsidRDefault="0004350B" w:rsidP="0004350B">
      <w:pPr>
        <w:pStyle w:val="Head4"/>
        <w:keepNext w:val="0"/>
        <w:keepLines w:val="0"/>
        <w:numPr>
          <w:ilvl w:val="0"/>
          <w:numId w:val="22"/>
        </w:numPr>
        <w:spacing w:before="240" w:line="240" w:lineRule="auto"/>
        <w:ind w:left="0" w:hanging="284"/>
        <w:rPr>
          <w:rFonts w:ascii="Microsoft Sans Serif" w:hAnsi="Microsoft Sans Serif" w:cs="Microsoft Sans Serif"/>
          <w:i w:val="0"/>
          <w:sz w:val="20"/>
          <w:szCs w:val="20"/>
        </w:rPr>
      </w:pPr>
      <w:r w:rsidRPr="00FB38E1">
        <w:rPr>
          <w:rFonts w:ascii="Microsoft Sans Serif" w:hAnsi="Microsoft Sans Serif" w:cs="Microsoft Sans Serif"/>
          <w:i w:val="0"/>
          <w:sz w:val="20"/>
          <w:szCs w:val="20"/>
        </w:rPr>
        <w:t>Donuk alacakların kullanıcı gruplarına göre brüt ve net tutarlarına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FB38E1" w14:paraId="326822F4" w14:textId="77777777" w:rsidTr="004E1B47">
        <w:tc>
          <w:tcPr>
            <w:tcW w:w="2280" w:type="pct"/>
            <w:tcBorders>
              <w:top w:val="thinThickSmallGap" w:sz="24" w:space="0" w:color="auto"/>
              <w:bottom w:val="nil"/>
            </w:tcBorders>
            <w:vAlign w:val="bottom"/>
          </w:tcPr>
          <w:p w14:paraId="150AE82D" w14:textId="77777777" w:rsidR="0004350B" w:rsidRPr="00FB38E1" w:rsidRDefault="0004350B" w:rsidP="004E1B47">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E79B33A"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7DDDB0B4"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3CD0D42A"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 Grup</w:t>
            </w:r>
          </w:p>
        </w:tc>
      </w:tr>
      <w:tr w:rsidR="0004350B" w:rsidRPr="00FB38E1" w14:paraId="1D34EED3" w14:textId="77777777" w:rsidTr="004E1B47">
        <w:tc>
          <w:tcPr>
            <w:tcW w:w="2280" w:type="pct"/>
            <w:tcBorders>
              <w:top w:val="nil"/>
              <w:bottom w:val="single" w:sz="4" w:space="0" w:color="auto"/>
            </w:tcBorders>
            <w:vAlign w:val="bottom"/>
          </w:tcPr>
          <w:p w14:paraId="6011C05B" w14:textId="77777777" w:rsidR="0004350B" w:rsidRPr="00FB38E1" w:rsidRDefault="0004350B" w:rsidP="004E1B47">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240D5B78"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2F7AE077"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1801EEDA"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Zarar Niteliğindeki Krediler </w:t>
            </w:r>
          </w:p>
        </w:tc>
      </w:tr>
      <w:tr w:rsidR="002E3C4F" w:rsidRPr="00FB38E1" w14:paraId="1FC45E97" w14:textId="77777777" w:rsidTr="004E1B47">
        <w:tc>
          <w:tcPr>
            <w:tcW w:w="2280" w:type="pct"/>
            <w:tcBorders>
              <w:top w:val="single" w:sz="4" w:space="0" w:color="auto"/>
            </w:tcBorders>
            <w:vAlign w:val="center"/>
          </w:tcPr>
          <w:p w14:paraId="12BACF06" w14:textId="2990FEB9" w:rsidR="002E3C4F" w:rsidRPr="00FB38E1" w:rsidRDefault="002E3C4F" w:rsidP="002E3C4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 (Net): 31 Aralık 2024</w:t>
            </w:r>
          </w:p>
        </w:tc>
        <w:tc>
          <w:tcPr>
            <w:tcW w:w="1029" w:type="pct"/>
            <w:tcBorders>
              <w:top w:val="single" w:sz="4" w:space="0" w:color="auto"/>
            </w:tcBorders>
            <w:vAlign w:val="center"/>
          </w:tcPr>
          <w:p w14:paraId="23A4DFC4" w14:textId="2DC3679F"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4.456.482</w:t>
            </w:r>
          </w:p>
        </w:tc>
        <w:tc>
          <w:tcPr>
            <w:tcW w:w="882" w:type="pct"/>
            <w:tcBorders>
              <w:top w:val="single" w:sz="4" w:space="0" w:color="auto"/>
            </w:tcBorders>
            <w:vAlign w:val="center"/>
          </w:tcPr>
          <w:p w14:paraId="072919BB" w14:textId="72CCA6ED"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3.015.845</w:t>
            </w:r>
          </w:p>
        </w:tc>
        <w:tc>
          <w:tcPr>
            <w:tcW w:w="809" w:type="pct"/>
            <w:tcBorders>
              <w:top w:val="single" w:sz="4" w:space="0" w:color="auto"/>
            </w:tcBorders>
            <w:vAlign w:val="center"/>
          </w:tcPr>
          <w:p w14:paraId="4ECCBEE6" w14:textId="40F47815" w:rsidR="002E3C4F" w:rsidRPr="00FB38E1" w:rsidRDefault="002E3C4F" w:rsidP="002E3C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3.504.600</w:t>
            </w:r>
          </w:p>
        </w:tc>
      </w:tr>
      <w:tr w:rsidR="002E3C4F" w:rsidRPr="00FB38E1" w14:paraId="284E2087" w14:textId="77777777" w:rsidTr="004E1B47">
        <w:tc>
          <w:tcPr>
            <w:tcW w:w="2280" w:type="pct"/>
            <w:vAlign w:val="center"/>
          </w:tcPr>
          <w:p w14:paraId="4B6D82F3" w14:textId="77777777" w:rsidR="002E3C4F" w:rsidRPr="00FB38E1" w:rsidRDefault="002E3C4F" w:rsidP="002E3C4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434571AE" w14:textId="56C26C33"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8.472.597</w:t>
            </w:r>
          </w:p>
        </w:tc>
        <w:tc>
          <w:tcPr>
            <w:tcW w:w="882" w:type="pct"/>
            <w:vAlign w:val="center"/>
          </w:tcPr>
          <w:p w14:paraId="5A26EC09" w14:textId="3C8BCCD1"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8.188.166</w:t>
            </w:r>
          </w:p>
        </w:tc>
        <w:tc>
          <w:tcPr>
            <w:tcW w:w="809" w:type="pct"/>
            <w:vAlign w:val="center"/>
          </w:tcPr>
          <w:p w14:paraId="223A0E95" w14:textId="79B815BD"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11.083.379</w:t>
            </w:r>
          </w:p>
        </w:tc>
      </w:tr>
      <w:tr w:rsidR="002E3C4F" w:rsidRPr="00FB38E1" w14:paraId="0D5962DB" w14:textId="77777777" w:rsidTr="004E1B47">
        <w:tc>
          <w:tcPr>
            <w:tcW w:w="2280" w:type="pct"/>
            <w:vAlign w:val="center"/>
          </w:tcPr>
          <w:p w14:paraId="5842AFF0" w14:textId="77777777" w:rsidR="002E3C4F" w:rsidRPr="00FB38E1" w:rsidRDefault="002E3C4F" w:rsidP="002E3C4F">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vAlign w:val="center"/>
          </w:tcPr>
          <w:p w14:paraId="11645C50" w14:textId="3C5E19F3"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4.016.115</w:t>
            </w:r>
          </w:p>
        </w:tc>
        <w:tc>
          <w:tcPr>
            <w:tcW w:w="882" w:type="pct"/>
            <w:vAlign w:val="center"/>
          </w:tcPr>
          <w:p w14:paraId="52361F89" w14:textId="52657A0F"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5.172.321</w:t>
            </w:r>
          </w:p>
        </w:tc>
        <w:tc>
          <w:tcPr>
            <w:tcW w:w="809" w:type="pct"/>
            <w:vAlign w:val="center"/>
          </w:tcPr>
          <w:p w14:paraId="0164A6A3" w14:textId="527E56B2"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7.578.779</w:t>
            </w:r>
          </w:p>
        </w:tc>
      </w:tr>
      <w:tr w:rsidR="002E3C4F" w:rsidRPr="00FB38E1" w14:paraId="56076BCB" w14:textId="77777777" w:rsidTr="004E1B47">
        <w:tc>
          <w:tcPr>
            <w:tcW w:w="2280" w:type="pct"/>
            <w:vAlign w:val="center"/>
          </w:tcPr>
          <w:p w14:paraId="39322268" w14:textId="77777777" w:rsidR="002E3C4F" w:rsidRPr="00FB38E1" w:rsidRDefault="002E3C4F" w:rsidP="002E3C4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Gerçek ve Tüzel Kişilere Kullandırılan Krediler (Net)</w:t>
            </w:r>
          </w:p>
        </w:tc>
        <w:tc>
          <w:tcPr>
            <w:tcW w:w="1029" w:type="pct"/>
            <w:vAlign w:val="center"/>
          </w:tcPr>
          <w:p w14:paraId="535ED39F" w14:textId="0C8509BA"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4.456.482</w:t>
            </w:r>
          </w:p>
        </w:tc>
        <w:tc>
          <w:tcPr>
            <w:tcW w:w="882" w:type="pct"/>
            <w:vAlign w:val="center"/>
          </w:tcPr>
          <w:p w14:paraId="77E96934" w14:textId="41D9947B"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3.015.845</w:t>
            </w:r>
          </w:p>
        </w:tc>
        <w:tc>
          <w:tcPr>
            <w:tcW w:w="809" w:type="pct"/>
            <w:vAlign w:val="center"/>
          </w:tcPr>
          <w:p w14:paraId="5075E60D" w14:textId="5A8C9644" w:rsidR="002E3C4F" w:rsidRPr="00FB38E1" w:rsidRDefault="002E3C4F" w:rsidP="002E3C4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3.504.600</w:t>
            </w:r>
          </w:p>
        </w:tc>
      </w:tr>
      <w:tr w:rsidR="009F52CC" w:rsidRPr="00FB38E1" w14:paraId="00B312B1" w14:textId="77777777" w:rsidTr="004E1B47">
        <w:tc>
          <w:tcPr>
            <w:tcW w:w="2280" w:type="pct"/>
            <w:vAlign w:val="center"/>
          </w:tcPr>
          <w:p w14:paraId="75BF3A3D"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 (Brüt)</w:t>
            </w:r>
          </w:p>
        </w:tc>
        <w:tc>
          <w:tcPr>
            <w:tcW w:w="1029" w:type="pct"/>
            <w:vAlign w:val="center"/>
          </w:tcPr>
          <w:p w14:paraId="442A1ACA" w14:textId="013D360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1E528F20" w14:textId="5E42C6B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60498D00" w14:textId="0C14B31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1DF4C129" w14:textId="77777777" w:rsidTr="004E1B47">
        <w:tc>
          <w:tcPr>
            <w:tcW w:w="2280" w:type="pct"/>
            <w:vAlign w:val="center"/>
          </w:tcPr>
          <w:p w14:paraId="70E0D409" w14:textId="77777777" w:rsidR="009F52CC" w:rsidRPr="00FB38E1" w:rsidRDefault="009F52CC" w:rsidP="009F52CC">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vAlign w:val="center"/>
          </w:tcPr>
          <w:p w14:paraId="7C333EE6" w14:textId="01356B9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5500FD02" w14:textId="6CE9DA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21F70E85" w14:textId="54DF68B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20CEBB1E" w14:textId="77777777" w:rsidTr="004E1B47">
        <w:tc>
          <w:tcPr>
            <w:tcW w:w="2280" w:type="pct"/>
            <w:vAlign w:val="center"/>
          </w:tcPr>
          <w:p w14:paraId="51A30840"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 (Net)</w:t>
            </w:r>
          </w:p>
        </w:tc>
        <w:tc>
          <w:tcPr>
            <w:tcW w:w="1029" w:type="pct"/>
            <w:vAlign w:val="center"/>
          </w:tcPr>
          <w:p w14:paraId="76806E97" w14:textId="1CEDA15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381F93E9" w14:textId="3A0E0A43"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2E7A31A1" w14:textId="4034496D"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4D279405" w14:textId="77777777" w:rsidTr="004E1B47">
        <w:tc>
          <w:tcPr>
            <w:tcW w:w="2280" w:type="pct"/>
            <w:vAlign w:val="center"/>
          </w:tcPr>
          <w:p w14:paraId="35ED2845"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Krediler (Brüt)</w:t>
            </w:r>
          </w:p>
        </w:tc>
        <w:tc>
          <w:tcPr>
            <w:tcW w:w="1029" w:type="pct"/>
            <w:vAlign w:val="center"/>
          </w:tcPr>
          <w:p w14:paraId="662EA5A6" w14:textId="44A9929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2695AF31" w14:textId="444DC43D"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576EB521" w14:textId="7E1C092D"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0C4894BD" w14:textId="77777777" w:rsidTr="004E1B47">
        <w:tc>
          <w:tcPr>
            <w:tcW w:w="2280" w:type="pct"/>
            <w:vAlign w:val="center"/>
          </w:tcPr>
          <w:p w14:paraId="02666647" w14:textId="77777777" w:rsidR="009F52CC" w:rsidRPr="00FB38E1" w:rsidRDefault="009F52CC" w:rsidP="009F52CC">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vAlign w:val="center"/>
          </w:tcPr>
          <w:p w14:paraId="2D6E58D5" w14:textId="4B07E28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7D52AF35" w14:textId="4CCA58B8"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68186E33" w14:textId="4F30F9A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14599F9D" w14:textId="77777777" w:rsidTr="004E1B47">
        <w:tc>
          <w:tcPr>
            <w:tcW w:w="2280" w:type="pct"/>
            <w:vAlign w:val="center"/>
          </w:tcPr>
          <w:p w14:paraId="577ED3F3" w14:textId="77777777" w:rsidR="009F52CC" w:rsidRPr="00FB38E1" w:rsidRDefault="009F52CC" w:rsidP="009F52C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Krediler (Net)</w:t>
            </w:r>
          </w:p>
        </w:tc>
        <w:tc>
          <w:tcPr>
            <w:tcW w:w="1029" w:type="pct"/>
            <w:vAlign w:val="center"/>
          </w:tcPr>
          <w:p w14:paraId="37960172" w14:textId="638863B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10C24909" w14:textId="47FAEBFE"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087890DA" w14:textId="256E937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94958" w:rsidRPr="00FB38E1" w14:paraId="1D46720C" w14:textId="77777777" w:rsidTr="004E1B47">
        <w:tc>
          <w:tcPr>
            <w:tcW w:w="2280" w:type="pct"/>
            <w:vAlign w:val="center"/>
          </w:tcPr>
          <w:p w14:paraId="4D4D0826" w14:textId="0C6F07FB" w:rsidR="00B94958" w:rsidRPr="00FB38E1" w:rsidRDefault="00B94958" w:rsidP="00B94958">
            <w:pPr>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Önceki Dönem (Net): 31 Aralık 2023</w:t>
            </w:r>
          </w:p>
        </w:tc>
        <w:tc>
          <w:tcPr>
            <w:tcW w:w="1029" w:type="pct"/>
            <w:vAlign w:val="center"/>
          </w:tcPr>
          <w:p w14:paraId="1F3E89E6" w14:textId="290B4438"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1.266.872</w:t>
            </w:r>
          </w:p>
        </w:tc>
        <w:tc>
          <w:tcPr>
            <w:tcW w:w="882" w:type="pct"/>
            <w:vAlign w:val="center"/>
          </w:tcPr>
          <w:p w14:paraId="3D3D0C34" w14:textId="5EB89601"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2.765.002</w:t>
            </w:r>
          </w:p>
        </w:tc>
        <w:tc>
          <w:tcPr>
            <w:tcW w:w="809" w:type="pct"/>
            <w:vAlign w:val="center"/>
          </w:tcPr>
          <w:p w14:paraId="6A0A03F3" w14:textId="704AB697"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2.814.911</w:t>
            </w:r>
          </w:p>
        </w:tc>
      </w:tr>
      <w:tr w:rsidR="00B94958" w:rsidRPr="00FB38E1" w14:paraId="39085126" w14:textId="77777777" w:rsidTr="004E1B47">
        <w:tc>
          <w:tcPr>
            <w:tcW w:w="2280" w:type="pct"/>
            <w:vAlign w:val="center"/>
          </w:tcPr>
          <w:p w14:paraId="3291F7FF" w14:textId="77777777" w:rsidR="00B94958" w:rsidRPr="00FB38E1" w:rsidRDefault="00B94958" w:rsidP="00B9495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Gerçek ve Tüzel Kişilere kullandırılan Krediler (Brüt)</w:t>
            </w:r>
          </w:p>
        </w:tc>
        <w:tc>
          <w:tcPr>
            <w:tcW w:w="1029" w:type="pct"/>
            <w:vAlign w:val="center"/>
          </w:tcPr>
          <w:p w14:paraId="24E3CFF9" w14:textId="5AD9D7A1"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2.885.715</w:t>
            </w:r>
          </w:p>
        </w:tc>
        <w:tc>
          <w:tcPr>
            <w:tcW w:w="882" w:type="pct"/>
            <w:vAlign w:val="center"/>
          </w:tcPr>
          <w:p w14:paraId="52AE513B" w14:textId="09E4211A"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5.655.949</w:t>
            </w:r>
          </w:p>
        </w:tc>
        <w:tc>
          <w:tcPr>
            <w:tcW w:w="809" w:type="pct"/>
            <w:vAlign w:val="center"/>
          </w:tcPr>
          <w:p w14:paraId="046F331B" w14:textId="34766519"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12.683.252</w:t>
            </w:r>
          </w:p>
        </w:tc>
      </w:tr>
      <w:tr w:rsidR="00B94958" w:rsidRPr="00FB38E1" w14:paraId="0E2C8806" w14:textId="77777777" w:rsidTr="004E1B47">
        <w:tc>
          <w:tcPr>
            <w:tcW w:w="2280" w:type="pct"/>
            <w:vAlign w:val="center"/>
          </w:tcPr>
          <w:p w14:paraId="0F1DFD71" w14:textId="77777777" w:rsidR="00B94958" w:rsidRPr="00FB38E1" w:rsidRDefault="00B94958" w:rsidP="00B9495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vAlign w:val="center"/>
          </w:tcPr>
          <w:p w14:paraId="0C909B57" w14:textId="5C5068C4"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1.618.843</w:t>
            </w:r>
          </w:p>
        </w:tc>
        <w:tc>
          <w:tcPr>
            <w:tcW w:w="882" w:type="pct"/>
            <w:vAlign w:val="center"/>
          </w:tcPr>
          <w:p w14:paraId="22A4106E" w14:textId="2F9C3F76"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2.890.947</w:t>
            </w:r>
          </w:p>
        </w:tc>
        <w:tc>
          <w:tcPr>
            <w:tcW w:w="809" w:type="pct"/>
            <w:vAlign w:val="center"/>
          </w:tcPr>
          <w:p w14:paraId="0B170BCE" w14:textId="37023A12"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9.868.341</w:t>
            </w:r>
          </w:p>
        </w:tc>
      </w:tr>
      <w:tr w:rsidR="00B94958" w:rsidRPr="00FB38E1" w14:paraId="3A2CD3AB" w14:textId="77777777" w:rsidTr="004E1B47">
        <w:tc>
          <w:tcPr>
            <w:tcW w:w="2280" w:type="pct"/>
            <w:vAlign w:val="center"/>
          </w:tcPr>
          <w:p w14:paraId="5D6B0BC5" w14:textId="77777777" w:rsidR="00B94958" w:rsidRPr="00FB38E1" w:rsidRDefault="00B94958" w:rsidP="00B9495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Gerçek ve Tüzel Kişilere Kullandırılan Krediler (Net)</w:t>
            </w:r>
          </w:p>
        </w:tc>
        <w:tc>
          <w:tcPr>
            <w:tcW w:w="1029" w:type="pct"/>
            <w:vAlign w:val="center"/>
          </w:tcPr>
          <w:p w14:paraId="6EAF6A3E" w14:textId="57ADDCD8"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1.266.872</w:t>
            </w:r>
          </w:p>
        </w:tc>
        <w:tc>
          <w:tcPr>
            <w:tcW w:w="882" w:type="pct"/>
            <w:vAlign w:val="center"/>
          </w:tcPr>
          <w:p w14:paraId="5A8BB905" w14:textId="08E32F71"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2.765.002</w:t>
            </w:r>
          </w:p>
        </w:tc>
        <w:tc>
          <w:tcPr>
            <w:tcW w:w="809" w:type="pct"/>
            <w:vAlign w:val="center"/>
          </w:tcPr>
          <w:p w14:paraId="3D45CF41" w14:textId="216DFD6C"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2.814.911</w:t>
            </w:r>
          </w:p>
        </w:tc>
      </w:tr>
      <w:tr w:rsidR="00B94958" w:rsidRPr="00FB38E1" w14:paraId="757AB7E2" w14:textId="77777777" w:rsidTr="004E1B47">
        <w:tc>
          <w:tcPr>
            <w:tcW w:w="2280" w:type="pct"/>
            <w:vAlign w:val="center"/>
          </w:tcPr>
          <w:p w14:paraId="64C125E7" w14:textId="77777777" w:rsidR="00B94958" w:rsidRPr="00FB38E1" w:rsidRDefault="00B94958" w:rsidP="00B9495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 (Brüt)</w:t>
            </w:r>
          </w:p>
        </w:tc>
        <w:tc>
          <w:tcPr>
            <w:tcW w:w="1029" w:type="pct"/>
            <w:vAlign w:val="center"/>
          </w:tcPr>
          <w:p w14:paraId="60D80680" w14:textId="76F1B8C8"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5A7E58CE" w14:textId="7B9D1545"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3C21BDCA" w14:textId="188C40AF"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94958" w:rsidRPr="00FB38E1" w14:paraId="22009E36" w14:textId="77777777" w:rsidTr="004E1B47">
        <w:tc>
          <w:tcPr>
            <w:tcW w:w="2280" w:type="pct"/>
            <w:vAlign w:val="center"/>
          </w:tcPr>
          <w:p w14:paraId="7FED6091" w14:textId="77777777" w:rsidR="00B94958" w:rsidRPr="00FB38E1" w:rsidRDefault="00B94958" w:rsidP="00B9495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vAlign w:val="center"/>
          </w:tcPr>
          <w:p w14:paraId="509EAA76" w14:textId="53BE9ADD"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71FE6095" w14:textId="2DB0EAFE"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46CC2DAA" w14:textId="1EAAFE10"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94958" w:rsidRPr="00FB38E1" w14:paraId="3307ECB0" w14:textId="77777777" w:rsidTr="004E1B47">
        <w:tc>
          <w:tcPr>
            <w:tcW w:w="2280" w:type="pct"/>
            <w:vAlign w:val="center"/>
          </w:tcPr>
          <w:p w14:paraId="0CC25416" w14:textId="77777777" w:rsidR="00B94958" w:rsidRPr="00FB38E1" w:rsidRDefault="00B94958" w:rsidP="00B9495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 (Net)</w:t>
            </w:r>
          </w:p>
        </w:tc>
        <w:tc>
          <w:tcPr>
            <w:tcW w:w="1029" w:type="pct"/>
            <w:vAlign w:val="center"/>
          </w:tcPr>
          <w:p w14:paraId="16209B00" w14:textId="02591CD1"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7BE6FBA7" w14:textId="06FF9F2B"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67513FC2" w14:textId="1F43C825"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94958" w:rsidRPr="00FB38E1" w14:paraId="2E7AD252" w14:textId="77777777" w:rsidTr="004E1B47">
        <w:tc>
          <w:tcPr>
            <w:tcW w:w="2280" w:type="pct"/>
            <w:vAlign w:val="center"/>
          </w:tcPr>
          <w:p w14:paraId="520FF567" w14:textId="77777777" w:rsidR="00B94958" w:rsidRPr="00FB38E1" w:rsidRDefault="00B94958" w:rsidP="00B9495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Krediler (Brüt)</w:t>
            </w:r>
          </w:p>
        </w:tc>
        <w:tc>
          <w:tcPr>
            <w:tcW w:w="1029" w:type="pct"/>
            <w:vAlign w:val="center"/>
          </w:tcPr>
          <w:p w14:paraId="4946459C" w14:textId="795403F5"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27E95FAB" w14:textId="60EF1648"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3F07EF79" w14:textId="00168C9D"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94958" w:rsidRPr="00FB38E1" w14:paraId="3A598078" w14:textId="77777777" w:rsidTr="004E1B47">
        <w:tc>
          <w:tcPr>
            <w:tcW w:w="2280" w:type="pct"/>
            <w:vAlign w:val="center"/>
          </w:tcPr>
          <w:p w14:paraId="38E353B4" w14:textId="77777777" w:rsidR="00B94958" w:rsidRPr="00FB38E1" w:rsidRDefault="00B94958" w:rsidP="00B9495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vAlign w:val="center"/>
          </w:tcPr>
          <w:p w14:paraId="040EF7E9" w14:textId="7FEA744F"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4D495F1D" w14:textId="3293259E"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12D2C197" w14:textId="566EEBA2"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94958" w:rsidRPr="00FB38E1" w14:paraId="4EDB17CC" w14:textId="77777777" w:rsidTr="004E1B47">
        <w:tc>
          <w:tcPr>
            <w:tcW w:w="2280" w:type="pct"/>
            <w:vAlign w:val="center"/>
          </w:tcPr>
          <w:p w14:paraId="16A2416E" w14:textId="77777777" w:rsidR="00B94958" w:rsidRPr="00FB38E1" w:rsidRDefault="00B94958" w:rsidP="00B9495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Krediler (Net)</w:t>
            </w:r>
          </w:p>
        </w:tc>
        <w:tc>
          <w:tcPr>
            <w:tcW w:w="1029" w:type="pct"/>
            <w:vAlign w:val="center"/>
          </w:tcPr>
          <w:p w14:paraId="69B4D786" w14:textId="10E8103E"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82" w:type="pct"/>
            <w:vAlign w:val="center"/>
          </w:tcPr>
          <w:p w14:paraId="59BD2338" w14:textId="402FE2C2"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vAlign w:val="center"/>
          </w:tcPr>
          <w:p w14:paraId="47FCF8A1" w14:textId="0F44294F" w:rsidR="00B94958" w:rsidRPr="00FB38E1" w:rsidRDefault="00B94958" w:rsidP="00B9495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3F1E26D9" w14:textId="77777777" w:rsidR="0004350B" w:rsidRPr="00FB38E1" w:rsidRDefault="0004350B" w:rsidP="0004350B">
      <w:pPr>
        <w:pStyle w:val="Head4"/>
        <w:keepNext w:val="0"/>
        <w:keepLines w:val="0"/>
        <w:numPr>
          <w:ilvl w:val="0"/>
          <w:numId w:val="22"/>
        </w:numPr>
        <w:spacing w:before="120" w:line="240" w:lineRule="exact"/>
        <w:ind w:left="0" w:hanging="284"/>
        <w:rPr>
          <w:rFonts w:ascii="Microsoft Sans Serif" w:hAnsi="Microsoft Sans Serif" w:cs="Microsoft Sans Serif"/>
          <w:i w:val="0"/>
          <w:sz w:val="20"/>
          <w:szCs w:val="20"/>
        </w:rPr>
      </w:pPr>
      <w:bookmarkStart w:id="49" w:name="_Hlk172108437"/>
      <w:r w:rsidRPr="00FB38E1">
        <w:rPr>
          <w:rFonts w:ascii="Microsoft Sans Serif" w:hAnsi="Microsoft Sans Serif" w:cs="Microsoft Sans Serif"/>
          <w:i w:val="0"/>
          <w:sz w:val="20"/>
          <w:szCs w:val="20"/>
        </w:rPr>
        <w:t>Donuk alacaklar için hesaplanan faiz tahakkukları, reeskontları ve değerleme farkları ile bunların karşılıklarına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395"/>
        <w:gridCol w:w="1984"/>
        <w:gridCol w:w="1700"/>
        <w:gridCol w:w="1560"/>
      </w:tblGrid>
      <w:tr w:rsidR="0004350B" w:rsidRPr="00FB38E1" w14:paraId="757B61FA" w14:textId="77777777" w:rsidTr="004E1B47">
        <w:tc>
          <w:tcPr>
            <w:tcW w:w="2280" w:type="pct"/>
            <w:tcBorders>
              <w:top w:val="thinThickSmallGap" w:sz="24" w:space="0" w:color="auto"/>
              <w:bottom w:val="nil"/>
            </w:tcBorders>
            <w:vAlign w:val="bottom"/>
          </w:tcPr>
          <w:p w14:paraId="02C5160C" w14:textId="77777777" w:rsidR="0004350B" w:rsidRPr="00FB38E1" w:rsidRDefault="0004350B" w:rsidP="004E1B47">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xml:space="preserve">  </w:t>
            </w:r>
          </w:p>
        </w:tc>
        <w:tc>
          <w:tcPr>
            <w:tcW w:w="1029" w:type="pct"/>
            <w:tcBorders>
              <w:top w:val="thinThickSmallGap" w:sz="24" w:space="0" w:color="auto"/>
              <w:bottom w:val="single" w:sz="4" w:space="0" w:color="auto"/>
            </w:tcBorders>
            <w:vAlign w:val="bottom"/>
          </w:tcPr>
          <w:p w14:paraId="5DEB7B36"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III. Grup</w:t>
            </w:r>
          </w:p>
        </w:tc>
        <w:tc>
          <w:tcPr>
            <w:tcW w:w="882" w:type="pct"/>
            <w:tcBorders>
              <w:top w:val="thinThickSmallGap" w:sz="24" w:space="0" w:color="auto"/>
              <w:bottom w:val="single" w:sz="4" w:space="0" w:color="auto"/>
            </w:tcBorders>
            <w:vAlign w:val="bottom"/>
          </w:tcPr>
          <w:p w14:paraId="2DE2B0F2"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IV. Grup</w:t>
            </w:r>
          </w:p>
        </w:tc>
        <w:tc>
          <w:tcPr>
            <w:tcW w:w="809" w:type="pct"/>
            <w:tcBorders>
              <w:top w:val="thinThickSmallGap" w:sz="24" w:space="0" w:color="auto"/>
              <w:bottom w:val="single" w:sz="4" w:space="0" w:color="auto"/>
            </w:tcBorders>
            <w:vAlign w:val="bottom"/>
          </w:tcPr>
          <w:p w14:paraId="6CAAF4BA"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 Grup</w:t>
            </w:r>
          </w:p>
        </w:tc>
      </w:tr>
      <w:tr w:rsidR="0004350B" w:rsidRPr="00FB38E1" w14:paraId="2332CCB6" w14:textId="77777777" w:rsidTr="004E1B47">
        <w:tc>
          <w:tcPr>
            <w:tcW w:w="2280" w:type="pct"/>
            <w:tcBorders>
              <w:top w:val="nil"/>
              <w:bottom w:val="single" w:sz="4" w:space="0" w:color="auto"/>
            </w:tcBorders>
            <w:vAlign w:val="bottom"/>
          </w:tcPr>
          <w:p w14:paraId="196AAEEE" w14:textId="77777777" w:rsidR="0004350B" w:rsidRPr="00FB38E1" w:rsidRDefault="0004350B" w:rsidP="004E1B47">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1029" w:type="pct"/>
            <w:tcBorders>
              <w:top w:val="single" w:sz="4" w:space="0" w:color="auto"/>
              <w:bottom w:val="single" w:sz="4" w:space="0" w:color="auto"/>
            </w:tcBorders>
            <w:vAlign w:val="bottom"/>
          </w:tcPr>
          <w:p w14:paraId="2CC5A4B9"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 İmkanı Sınırlı Krediler </w:t>
            </w:r>
          </w:p>
        </w:tc>
        <w:tc>
          <w:tcPr>
            <w:tcW w:w="882" w:type="pct"/>
            <w:tcBorders>
              <w:top w:val="single" w:sz="4" w:space="0" w:color="auto"/>
              <w:bottom w:val="single" w:sz="4" w:space="0" w:color="auto"/>
            </w:tcBorders>
            <w:vAlign w:val="bottom"/>
          </w:tcPr>
          <w:p w14:paraId="354D12E4"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Tahsili Şüpheli Krediler </w:t>
            </w:r>
          </w:p>
        </w:tc>
        <w:tc>
          <w:tcPr>
            <w:tcW w:w="809" w:type="pct"/>
            <w:tcBorders>
              <w:top w:val="single" w:sz="4" w:space="0" w:color="auto"/>
              <w:bottom w:val="single" w:sz="4" w:space="0" w:color="auto"/>
            </w:tcBorders>
            <w:vAlign w:val="bottom"/>
          </w:tcPr>
          <w:p w14:paraId="68DA8BD1"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Zarar Niteliğindeki Krediler </w:t>
            </w:r>
          </w:p>
        </w:tc>
      </w:tr>
      <w:tr w:rsidR="00E250F0" w:rsidRPr="00FB38E1" w14:paraId="776534DB" w14:textId="77777777" w:rsidTr="004E1B47">
        <w:tc>
          <w:tcPr>
            <w:tcW w:w="2280" w:type="pct"/>
            <w:tcBorders>
              <w:top w:val="single" w:sz="4" w:space="0" w:color="auto"/>
            </w:tcBorders>
            <w:vAlign w:val="center"/>
          </w:tcPr>
          <w:p w14:paraId="6EE4184A" w14:textId="77777777" w:rsidR="00E250F0" w:rsidRPr="00FB38E1" w:rsidRDefault="00E250F0" w:rsidP="00E250F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 (Net)</w:t>
            </w:r>
          </w:p>
        </w:tc>
        <w:tc>
          <w:tcPr>
            <w:tcW w:w="1029" w:type="pct"/>
            <w:tcBorders>
              <w:top w:val="single" w:sz="4" w:space="0" w:color="auto"/>
            </w:tcBorders>
            <w:vAlign w:val="center"/>
          </w:tcPr>
          <w:p w14:paraId="3F84B53C" w14:textId="7D211FD0" w:rsidR="00E250F0" w:rsidRPr="00FB38E1" w:rsidRDefault="00E250F0" w:rsidP="008200B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834.</w:t>
            </w:r>
            <w:r w:rsidR="008200B7" w:rsidRPr="00FB38E1">
              <w:rPr>
                <w:rFonts w:ascii="Microsoft Sans Serif" w:hAnsi="Microsoft Sans Serif" w:cs="Microsoft Sans Serif"/>
                <w:b/>
                <w:bCs/>
                <w:color w:val="000000"/>
                <w:sz w:val="16"/>
                <w:szCs w:val="16"/>
              </w:rPr>
              <w:t>195</w:t>
            </w:r>
          </w:p>
        </w:tc>
        <w:tc>
          <w:tcPr>
            <w:tcW w:w="882" w:type="pct"/>
            <w:tcBorders>
              <w:top w:val="single" w:sz="4" w:space="0" w:color="auto"/>
            </w:tcBorders>
            <w:vAlign w:val="center"/>
          </w:tcPr>
          <w:p w14:paraId="61299D6E" w14:textId="74DEA02C" w:rsidR="00E250F0" w:rsidRPr="00FB38E1" w:rsidRDefault="00E250F0" w:rsidP="008200B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w:t>
            </w:r>
            <w:r w:rsidR="008200B7" w:rsidRPr="00FB38E1">
              <w:rPr>
                <w:rFonts w:ascii="Microsoft Sans Serif" w:hAnsi="Microsoft Sans Serif" w:cs="Microsoft Sans Serif"/>
                <w:b/>
                <w:bCs/>
                <w:color w:val="000000"/>
                <w:sz w:val="16"/>
                <w:szCs w:val="16"/>
              </w:rPr>
              <w:t>71.785</w:t>
            </w:r>
          </w:p>
        </w:tc>
        <w:tc>
          <w:tcPr>
            <w:tcW w:w="809" w:type="pct"/>
            <w:tcBorders>
              <w:top w:val="single" w:sz="4" w:space="0" w:color="auto"/>
            </w:tcBorders>
            <w:vAlign w:val="center"/>
          </w:tcPr>
          <w:p w14:paraId="14896E9D" w14:textId="6EB6CD92" w:rsidR="00E250F0" w:rsidRPr="00FB38E1" w:rsidRDefault="00E250F0" w:rsidP="008200B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w:t>
            </w:r>
            <w:r w:rsidR="008200B7" w:rsidRPr="00FB38E1">
              <w:rPr>
                <w:rFonts w:ascii="Microsoft Sans Serif" w:hAnsi="Microsoft Sans Serif" w:cs="Microsoft Sans Serif"/>
                <w:b/>
                <w:bCs/>
                <w:color w:val="000000"/>
                <w:sz w:val="16"/>
                <w:szCs w:val="16"/>
              </w:rPr>
              <w:t>4.156</w:t>
            </w:r>
          </w:p>
        </w:tc>
      </w:tr>
      <w:tr w:rsidR="00E250F0" w:rsidRPr="00FB38E1" w14:paraId="5A984904" w14:textId="77777777" w:rsidTr="004E1B47">
        <w:trPr>
          <w:trHeight w:val="121"/>
        </w:trPr>
        <w:tc>
          <w:tcPr>
            <w:tcW w:w="2280" w:type="pct"/>
            <w:vAlign w:val="center"/>
          </w:tcPr>
          <w:p w14:paraId="00A99BC4" w14:textId="77777777" w:rsidR="00E250F0" w:rsidRPr="00FB38E1" w:rsidRDefault="00E250F0" w:rsidP="00E250F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    Faiz Tahakkuk ve Reeskontları ile Değerleme Farkları</w:t>
            </w:r>
          </w:p>
        </w:tc>
        <w:tc>
          <w:tcPr>
            <w:tcW w:w="1029" w:type="pct"/>
            <w:vAlign w:val="center"/>
          </w:tcPr>
          <w:p w14:paraId="05C95864" w14:textId="73FF68C5" w:rsidR="00E250F0" w:rsidRPr="00FB38E1" w:rsidRDefault="00E250F0" w:rsidP="008200B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1.410.</w:t>
            </w:r>
            <w:r w:rsidR="008200B7" w:rsidRPr="00FB38E1">
              <w:rPr>
                <w:rFonts w:ascii="Microsoft Sans Serif" w:hAnsi="Microsoft Sans Serif" w:cs="Microsoft Sans Serif"/>
                <w:color w:val="404040"/>
                <w:sz w:val="16"/>
                <w:szCs w:val="16"/>
              </w:rPr>
              <w:t>510</w:t>
            </w:r>
          </w:p>
        </w:tc>
        <w:tc>
          <w:tcPr>
            <w:tcW w:w="882" w:type="pct"/>
            <w:vAlign w:val="center"/>
          </w:tcPr>
          <w:p w14:paraId="1850B1EC" w14:textId="27C7CDF2" w:rsidR="00E250F0" w:rsidRPr="00FB38E1" w:rsidRDefault="00E250F0" w:rsidP="008200B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w:t>
            </w:r>
            <w:r w:rsidR="008200B7" w:rsidRPr="00FB38E1">
              <w:rPr>
                <w:rFonts w:ascii="Microsoft Sans Serif" w:hAnsi="Microsoft Sans Serif" w:cs="Microsoft Sans Serif"/>
                <w:color w:val="404040"/>
                <w:sz w:val="16"/>
                <w:szCs w:val="16"/>
              </w:rPr>
              <w:t>89.659</w:t>
            </w:r>
          </w:p>
        </w:tc>
        <w:tc>
          <w:tcPr>
            <w:tcW w:w="809" w:type="pct"/>
            <w:vAlign w:val="center"/>
          </w:tcPr>
          <w:p w14:paraId="6AC6758B" w14:textId="49AAB6C8" w:rsidR="00E250F0" w:rsidRPr="00FB38E1" w:rsidRDefault="00E250F0" w:rsidP="008200B7">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w:t>
            </w:r>
            <w:r w:rsidR="008200B7" w:rsidRPr="00FB38E1">
              <w:rPr>
                <w:rFonts w:ascii="Microsoft Sans Serif" w:hAnsi="Microsoft Sans Serif" w:cs="Microsoft Sans Serif"/>
                <w:color w:val="404040"/>
                <w:sz w:val="16"/>
                <w:szCs w:val="16"/>
              </w:rPr>
              <w:t>26.985</w:t>
            </w:r>
          </w:p>
        </w:tc>
      </w:tr>
      <w:tr w:rsidR="00E250F0" w:rsidRPr="00FB38E1" w14:paraId="78ACF0E2" w14:textId="77777777" w:rsidTr="004E1B47">
        <w:tc>
          <w:tcPr>
            <w:tcW w:w="2280" w:type="pct"/>
            <w:tcBorders>
              <w:bottom w:val="single" w:sz="4" w:space="0" w:color="auto"/>
            </w:tcBorders>
            <w:vAlign w:val="center"/>
          </w:tcPr>
          <w:p w14:paraId="1F3603AF" w14:textId="77777777" w:rsidR="00E250F0" w:rsidRPr="00FB38E1" w:rsidRDefault="00E250F0" w:rsidP="00E250F0">
            <w:pPr>
              <w:ind w:firstLine="174"/>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tcBorders>
              <w:bottom w:val="single" w:sz="4" w:space="0" w:color="auto"/>
            </w:tcBorders>
            <w:vAlign w:val="center"/>
          </w:tcPr>
          <w:p w14:paraId="76381342" w14:textId="2143955C"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576.315</w:t>
            </w:r>
          </w:p>
        </w:tc>
        <w:tc>
          <w:tcPr>
            <w:tcW w:w="882" w:type="pct"/>
            <w:tcBorders>
              <w:bottom w:val="single" w:sz="4" w:space="0" w:color="auto"/>
            </w:tcBorders>
            <w:vAlign w:val="center"/>
          </w:tcPr>
          <w:p w14:paraId="6047BE24" w14:textId="0FEB565E"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817.874</w:t>
            </w:r>
          </w:p>
        </w:tc>
        <w:tc>
          <w:tcPr>
            <w:tcW w:w="809" w:type="pct"/>
            <w:tcBorders>
              <w:bottom w:val="single" w:sz="4" w:space="0" w:color="auto"/>
            </w:tcBorders>
            <w:vAlign w:val="center"/>
          </w:tcPr>
          <w:p w14:paraId="3B564BF6" w14:textId="586CFA9A"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742.829</w:t>
            </w:r>
          </w:p>
        </w:tc>
      </w:tr>
      <w:tr w:rsidR="00450579" w:rsidRPr="00FB38E1" w14:paraId="564651A8" w14:textId="77777777" w:rsidTr="004E1B47">
        <w:tc>
          <w:tcPr>
            <w:tcW w:w="2280" w:type="pct"/>
            <w:tcBorders>
              <w:top w:val="single" w:sz="4" w:space="0" w:color="auto"/>
              <w:bottom w:val="nil"/>
            </w:tcBorders>
            <w:vAlign w:val="center"/>
          </w:tcPr>
          <w:p w14:paraId="1DA20A1C" w14:textId="77777777" w:rsidR="00450579" w:rsidRPr="00FB38E1" w:rsidRDefault="00450579" w:rsidP="00450579">
            <w:pPr>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Önceki Dönem (Net)</w:t>
            </w:r>
          </w:p>
        </w:tc>
        <w:tc>
          <w:tcPr>
            <w:tcW w:w="1029" w:type="pct"/>
            <w:tcBorders>
              <w:top w:val="single" w:sz="4" w:space="0" w:color="auto"/>
              <w:bottom w:val="nil"/>
            </w:tcBorders>
            <w:vAlign w:val="center"/>
          </w:tcPr>
          <w:p w14:paraId="6C6A9F53" w14:textId="12CC7FF8" w:rsidR="00450579" w:rsidRPr="00FB38E1" w:rsidRDefault="00450579" w:rsidP="00450579">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141.945</w:t>
            </w:r>
          </w:p>
        </w:tc>
        <w:tc>
          <w:tcPr>
            <w:tcW w:w="882" w:type="pct"/>
            <w:tcBorders>
              <w:top w:val="single" w:sz="4" w:space="0" w:color="auto"/>
              <w:bottom w:val="nil"/>
            </w:tcBorders>
            <w:vAlign w:val="center"/>
          </w:tcPr>
          <w:p w14:paraId="516F141C" w14:textId="608EB0A4" w:rsidR="00450579" w:rsidRPr="00FB38E1" w:rsidRDefault="00450579" w:rsidP="00450579">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171.649</w:t>
            </w:r>
          </w:p>
        </w:tc>
        <w:tc>
          <w:tcPr>
            <w:tcW w:w="809" w:type="pct"/>
            <w:tcBorders>
              <w:top w:val="single" w:sz="4" w:space="0" w:color="auto"/>
              <w:bottom w:val="nil"/>
            </w:tcBorders>
            <w:vAlign w:val="center"/>
          </w:tcPr>
          <w:p w14:paraId="2D6351D0" w14:textId="7F6851B1" w:rsidR="00450579" w:rsidRPr="00FB38E1" w:rsidRDefault="00450579" w:rsidP="00450579">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93.398</w:t>
            </w:r>
          </w:p>
        </w:tc>
      </w:tr>
      <w:tr w:rsidR="00450579" w:rsidRPr="00FB38E1" w14:paraId="4B094C3F" w14:textId="77777777" w:rsidTr="004E1B47">
        <w:tc>
          <w:tcPr>
            <w:tcW w:w="2280" w:type="pct"/>
            <w:tcBorders>
              <w:top w:val="nil"/>
            </w:tcBorders>
            <w:vAlign w:val="center"/>
          </w:tcPr>
          <w:p w14:paraId="62B7839A" w14:textId="77777777" w:rsidR="00450579" w:rsidRPr="00FB38E1" w:rsidRDefault="00450579" w:rsidP="00450579">
            <w:pPr>
              <w:ind w:firstLine="174"/>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Faiz Tahakkuk ve Reeskontları ile Değerleme Farkları</w:t>
            </w:r>
          </w:p>
        </w:tc>
        <w:tc>
          <w:tcPr>
            <w:tcW w:w="1029" w:type="pct"/>
            <w:tcBorders>
              <w:top w:val="nil"/>
            </w:tcBorders>
            <w:vAlign w:val="center"/>
          </w:tcPr>
          <w:p w14:paraId="3540A887" w14:textId="5305E2BF" w:rsidR="00450579" w:rsidRPr="00FB38E1" w:rsidRDefault="00450579" w:rsidP="0045057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276.875</w:t>
            </w:r>
          </w:p>
        </w:tc>
        <w:tc>
          <w:tcPr>
            <w:tcW w:w="882" w:type="pct"/>
            <w:tcBorders>
              <w:top w:val="nil"/>
            </w:tcBorders>
            <w:vAlign w:val="center"/>
          </w:tcPr>
          <w:p w14:paraId="0C8E0702" w14:textId="476C800B" w:rsidR="00450579" w:rsidRPr="00FB38E1" w:rsidRDefault="00450579" w:rsidP="0045057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405.884</w:t>
            </w:r>
          </w:p>
        </w:tc>
        <w:tc>
          <w:tcPr>
            <w:tcW w:w="809" w:type="pct"/>
            <w:tcBorders>
              <w:top w:val="nil"/>
            </w:tcBorders>
            <w:vAlign w:val="center"/>
          </w:tcPr>
          <w:p w14:paraId="3FAF8189" w14:textId="4496EAF1" w:rsidR="00450579" w:rsidRPr="00FB38E1" w:rsidRDefault="00450579" w:rsidP="0045057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966.898</w:t>
            </w:r>
          </w:p>
        </w:tc>
      </w:tr>
      <w:tr w:rsidR="00450579" w:rsidRPr="00FB38E1" w14:paraId="41A10C66" w14:textId="77777777" w:rsidTr="004E1B47">
        <w:tc>
          <w:tcPr>
            <w:tcW w:w="2280" w:type="pct"/>
            <w:tcBorders>
              <w:bottom w:val="thickThinSmallGap" w:sz="24" w:space="0" w:color="auto"/>
            </w:tcBorders>
            <w:vAlign w:val="center"/>
          </w:tcPr>
          <w:p w14:paraId="3EBEE0CF" w14:textId="77777777" w:rsidR="00450579" w:rsidRPr="00FB38E1" w:rsidRDefault="00450579" w:rsidP="00450579">
            <w:pPr>
              <w:ind w:firstLine="174"/>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Karşılık Tutarı (-)</w:t>
            </w:r>
          </w:p>
        </w:tc>
        <w:tc>
          <w:tcPr>
            <w:tcW w:w="1029" w:type="pct"/>
            <w:tcBorders>
              <w:bottom w:val="thickThinSmallGap" w:sz="24" w:space="0" w:color="auto"/>
            </w:tcBorders>
            <w:vAlign w:val="center"/>
          </w:tcPr>
          <w:p w14:paraId="3BC32976" w14:textId="1A5C73B0" w:rsidR="00450579" w:rsidRPr="00FB38E1" w:rsidRDefault="00450579" w:rsidP="0045057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134.930</w:t>
            </w:r>
          </w:p>
        </w:tc>
        <w:tc>
          <w:tcPr>
            <w:tcW w:w="882" w:type="pct"/>
            <w:tcBorders>
              <w:bottom w:val="thickThinSmallGap" w:sz="24" w:space="0" w:color="auto"/>
            </w:tcBorders>
            <w:vAlign w:val="center"/>
          </w:tcPr>
          <w:p w14:paraId="491A598D" w14:textId="04BDB045" w:rsidR="00450579" w:rsidRPr="00FB38E1" w:rsidRDefault="00450579" w:rsidP="0045057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234.235</w:t>
            </w:r>
          </w:p>
        </w:tc>
        <w:tc>
          <w:tcPr>
            <w:tcW w:w="809" w:type="pct"/>
            <w:tcBorders>
              <w:bottom w:val="thickThinSmallGap" w:sz="24" w:space="0" w:color="auto"/>
            </w:tcBorders>
            <w:vAlign w:val="center"/>
          </w:tcPr>
          <w:p w14:paraId="12EA4D38" w14:textId="73F7DFDA" w:rsidR="00450579" w:rsidRPr="00FB38E1" w:rsidRDefault="00450579" w:rsidP="0045057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873.500</w:t>
            </w:r>
          </w:p>
        </w:tc>
      </w:tr>
    </w:tbl>
    <w:bookmarkEnd w:id="49"/>
    <w:p w14:paraId="19F8351E" w14:textId="77777777" w:rsidR="007C0607" w:rsidRPr="00FB38E1" w:rsidRDefault="007C0607" w:rsidP="007C0607">
      <w:pPr>
        <w:pStyle w:val="BASLIK2"/>
        <w:numPr>
          <w:ilvl w:val="0"/>
          <w:numId w:val="21"/>
        </w:numPr>
        <w:spacing w:line="240" w:lineRule="exact"/>
        <w:ind w:left="0" w:hanging="425"/>
        <w:rPr>
          <w:rFonts w:ascii="Microsoft Sans Serif" w:hAnsi="Microsoft Sans Serif" w:cs="Microsoft Sans Serif"/>
          <w:sz w:val="20"/>
          <w:szCs w:val="20"/>
        </w:rPr>
      </w:pPr>
      <w:r w:rsidRPr="00FB38E1">
        <w:rPr>
          <w:rFonts w:ascii="Microsoft Sans Serif" w:hAnsi="Microsoft Sans Serif" w:cs="Microsoft Sans Serif"/>
          <w:sz w:val="20"/>
          <w:szCs w:val="20"/>
        </w:rPr>
        <w:t>Zarar niteliğindeki krediler ve diğer alacaklar için tasfiye politikasının ana hatları</w:t>
      </w:r>
    </w:p>
    <w:p w14:paraId="621A6ECD" w14:textId="77777777" w:rsidR="007C0607" w:rsidRPr="00FB38E1" w:rsidRDefault="007C0607" w:rsidP="007C0607">
      <w:pPr>
        <w:pStyle w:val="BASLIK2"/>
        <w:spacing w:before="120" w:after="0" w:line="220" w:lineRule="exact"/>
        <w:ind w:firstLine="0"/>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b w:val="0"/>
          <w:color w:val="404040" w:themeColor="text1" w:themeTint="BF"/>
          <w:sz w:val="20"/>
          <w:szCs w:val="20"/>
        </w:rPr>
        <w:t>Zarar niteliğindeki krediler için öncelikle Banka ve firma olarak anlaşma zemini aranmakta, bu yollar tükendikten sonra ve takipten sonuç alınamaması halinde, yasal mevzuat çerçevesinde yapılması gereken tüm işlemler yapılmaktadır. Bu işlemler firmaların rehin açığı belgesine veya aciz vesikasına bağlanmasına kadar sürmektedir.</w:t>
      </w:r>
    </w:p>
    <w:p w14:paraId="2B19A370" w14:textId="77777777" w:rsidR="007C0607" w:rsidRPr="00FB38E1" w:rsidRDefault="007C0607" w:rsidP="007C0607">
      <w:pPr>
        <w:pStyle w:val="BASLIK2"/>
        <w:numPr>
          <w:ilvl w:val="0"/>
          <w:numId w:val="21"/>
        </w:numPr>
        <w:spacing w:line="240" w:lineRule="exact"/>
        <w:ind w:left="0" w:hanging="425"/>
        <w:rPr>
          <w:rFonts w:ascii="Microsoft Sans Serif" w:hAnsi="Microsoft Sans Serif" w:cs="Microsoft Sans Serif"/>
          <w:sz w:val="20"/>
          <w:szCs w:val="20"/>
        </w:rPr>
      </w:pPr>
      <w:r w:rsidRPr="00FB38E1">
        <w:rPr>
          <w:rFonts w:ascii="Microsoft Sans Serif" w:hAnsi="Microsoft Sans Serif" w:cs="Microsoft Sans Serif"/>
          <w:sz w:val="20"/>
          <w:szCs w:val="20"/>
        </w:rPr>
        <w:t>Aktiften silme/kayıttan düşme politikasına ilişkin açıklamalar</w:t>
      </w:r>
    </w:p>
    <w:p w14:paraId="119FC7EC" w14:textId="77777777" w:rsidR="007C0607" w:rsidRPr="00FB38E1" w:rsidRDefault="007C0607" w:rsidP="007C0607">
      <w:pPr>
        <w:pStyle w:val="BASLIK2"/>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 xml:space="preserve">Banka’nın genel politikası, hukuki takip sürecinde tahsilinin mümkün olmadığı belgelenen alacakların aktiften silinmesi yönündedir. </w:t>
      </w:r>
    </w:p>
    <w:p w14:paraId="39C5601B" w14:textId="77777777" w:rsidR="007C0607" w:rsidRPr="00FB38E1" w:rsidRDefault="007C0607" w:rsidP="007C0607">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Kayıttan düşme politikası :</w:t>
      </w:r>
    </w:p>
    <w:p w14:paraId="6404CE90" w14:textId="77777777" w:rsidR="007C0607" w:rsidRPr="00FB38E1" w:rsidRDefault="007C0607" w:rsidP="007C0607">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Banka, BDDK tarafından 27 Kasım 2019 tarih ve 30961 sayılı Resmi Gazete’de yayımlanan Karşılıklar Yönetmeliği değişikliğine uygun olarak, Beşinci Grup - Zarar Niteliğindeki Krediler altında sınıflandırılan ve borçlunun temerrüdü nedeniyle ömür boyu beklenen kredi zararı karşılığı ayrılan kredilerin geri kazanılmasına ilişkin makul beklentiler bulunmayan kısmını, beşinci grupta sınıflandırılmalarını takip eden ilk raporlama döneminden itibaren TFRS 9 kapsamında kayıtlardan düşebilmektedir.</w:t>
      </w:r>
    </w:p>
    <w:p w14:paraId="27755397" w14:textId="77777777" w:rsidR="007C0607" w:rsidRPr="00FB38E1" w:rsidRDefault="007C0607" w:rsidP="007C0607">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İlgili Karşılıklar Yönetmeliği değişikliğine uygun olarak kredilerin kayıtlardan düşülmesi bir muhasebe uygulamasıdır ve alacak hakkından vazgeçilmesi sonucunu doğurmamaktadır.</w:t>
      </w:r>
    </w:p>
    <w:p w14:paraId="3DA576CA" w14:textId="77777777" w:rsidR="002E3C4F" w:rsidRPr="00FB38E1" w:rsidRDefault="002E3C4F" w:rsidP="007C0607">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br w:type="page"/>
      </w:r>
    </w:p>
    <w:p w14:paraId="5B148333" w14:textId="6BFF567A" w:rsidR="007C0607" w:rsidRPr="00FB38E1" w:rsidRDefault="007C0607" w:rsidP="007C0607">
      <w:pPr>
        <w:pStyle w:val="BASLIK2"/>
        <w:spacing w:before="120" w:after="0" w:line="220" w:lineRule="exact"/>
        <w:ind w:firstLine="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Banka, kredilerin tahsil imkânına dair makul beklentilerin bulunmadığına ilişkin olarak aşağıdaki göstergelerden faydalanmaktadır:</w:t>
      </w:r>
    </w:p>
    <w:p w14:paraId="3CFA0FF9" w14:textId="77777777" w:rsidR="007C0607" w:rsidRPr="00FB38E1" w:rsidRDefault="007C0607" w:rsidP="00364B59">
      <w:pPr>
        <w:pStyle w:val="BASLIK2"/>
        <w:numPr>
          <w:ilvl w:val="0"/>
          <w:numId w:val="63"/>
        </w:numPr>
        <w:spacing w:before="120" w:after="0" w:line="220" w:lineRule="exact"/>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Toplulaştırılmış değerlendirmeye tabi alacaklar için,</w:t>
      </w:r>
    </w:p>
    <w:p w14:paraId="60439221" w14:textId="77777777" w:rsidR="007C0607" w:rsidRPr="00FB38E1" w:rsidRDefault="007C0607" w:rsidP="00364B59">
      <w:pPr>
        <w:pStyle w:val="BASLIK2"/>
        <w:numPr>
          <w:ilvl w:val="0"/>
          <w:numId w:val="64"/>
        </w:numPr>
        <w:spacing w:before="120" w:after="0" w:line="220" w:lineRule="exact"/>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Kanuni takip süresince tahsilata ilişkin bankaca azami girişimlerin yapılmış ve sonuçsuz kalmış olması</w:t>
      </w:r>
    </w:p>
    <w:p w14:paraId="1B49F18E" w14:textId="77777777" w:rsidR="007C0607" w:rsidRPr="00FB38E1" w:rsidRDefault="007C0607" w:rsidP="00364B59">
      <w:pPr>
        <w:pStyle w:val="BASLIK2"/>
        <w:numPr>
          <w:ilvl w:val="0"/>
          <w:numId w:val="64"/>
        </w:numPr>
        <w:spacing w:before="120" w:after="0" w:line="220" w:lineRule="exact"/>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Tahsilat ufkunun dolmuş olması</w:t>
      </w:r>
    </w:p>
    <w:p w14:paraId="7EC487D5" w14:textId="77777777" w:rsidR="007C0607" w:rsidRPr="00FB38E1" w:rsidRDefault="007C0607" w:rsidP="00364B59">
      <w:pPr>
        <w:pStyle w:val="BASLIK2"/>
        <w:numPr>
          <w:ilvl w:val="0"/>
          <w:numId w:val="64"/>
        </w:numPr>
        <w:spacing w:before="120" w:after="0" w:line="220" w:lineRule="exact"/>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%100 karşılık ayrılmış olması</w:t>
      </w:r>
    </w:p>
    <w:p w14:paraId="549BFFDF" w14:textId="77777777" w:rsidR="007C0607" w:rsidRPr="00FB38E1" w:rsidRDefault="007C0607" w:rsidP="00364B59">
      <w:pPr>
        <w:pStyle w:val="BASLIK2"/>
        <w:numPr>
          <w:ilvl w:val="0"/>
          <w:numId w:val="63"/>
        </w:numPr>
        <w:spacing w:before="120" w:line="220" w:lineRule="exact"/>
        <w:ind w:left="714" w:hanging="357"/>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Münferit değerlendirmeye tabi alacaklar için, müşteri analizleri ve yapılan görüşmeler sonucu tahsil kabiliyetinin tamamen yitirildiğine ilişkin somut verilerin olması</w:t>
      </w:r>
    </w:p>
    <w:p w14:paraId="276CF4CD" w14:textId="240291DC" w:rsidR="007C0607" w:rsidRPr="00FB38E1" w:rsidRDefault="007C0607" w:rsidP="007C0607">
      <w:pPr>
        <w:pStyle w:val="Head4"/>
        <w:keepNext w:val="0"/>
        <w:keepLines w:val="0"/>
        <w:tabs>
          <w:tab w:val="clear" w:pos="340"/>
        </w:tabs>
        <w:spacing w:before="0" w:line="220" w:lineRule="exact"/>
        <w:ind w:left="0" w:firstLine="0"/>
        <w:rPr>
          <w:rFonts w:ascii="Microsoft Sans Serif" w:hAnsi="Microsoft Sans Serif" w:cs="Microsoft Sans Serif"/>
          <w:b/>
          <w:i w:val="0"/>
          <w:sz w:val="20"/>
          <w:szCs w:val="20"/>
        </w:rPr>
      </w:pPr>
      <w:r w:rsidRPr="00FB38E1">
        <w:rPr>
          <w:rFonts w:ascii="Microsoft Sans Serif" w:hAnsi="Microsoft Sans Serif" w:cs="Microsoft Sans Serif"/>
          <w:bCs/>
          <w:i w:val="0"/>
          <w:iCs w:val="0"/>
          <w:noProof/>
          <w:color w:val="404040" w:themeColor="text1" w:themeTint="BF"/>
          <w:sz w:val="20"/>
          <w:szCs w:val="20"/>
        </w:rPr>
        <w:t>Bankanın kayıttan düşmüş olmakla birlikte takibini yaptığı krediler için politikaları borçlulardan yasal yollardan tahsili için uygulanan yöntemler, kredilerin donuk alacak satışına konu edilmesi, alacaktan vazgeçme kararları açılarından aktifte takip ettiği krediler ile paraleldir.</w:t>
      </w:r>
    </w:p>
    <w:p w14:paraId="614CE40B" w14:textId="09B2B240" w:rsidR="001C1ECC" w:rsidRPr="00FB38E1" w:rsidRDefault="009B2106" w:rsidP="00076C9E">
      <w:pPr>
        <w:pStyle w:val="Head4"/>
        <w:keepNext w:val="0"/>
        <w:keepLines w:val="0"/>
        <w:numPr>
          <w:ilvl w:val="0"/>
          <w:numId w:val="17"/>
        </w:numPr>
        <w:spacing w:before="240" w:line="240" w:lineRule="auto"/>
        <w:ind w:left="0" w:hanging="567"/>
        <w:rPr>
          <w:rFonts w:ascii="Microsoft Sans Serif" w:hAnsi="Microsoft Sans Serif" w:cs="Microsoft Sans Serif"/>
          <w:b/>
          <w:i w:val="0"/>
          <w:sz w:val="20"/>
          <w:szCs w:val="20"/>
        </w:rPr>
      </w:pPr>
      <w:r w:rsidRPr="00FB38E1">
        <w:rPr>
          <w:rFonts w:ascii="Microsoft Sans Serif" w:hAnsi="Microsoft Sans Serif" w:cs="Microsoft Sans Serif"/>
          <w:b/>
          <w:i w:val="0"/>
          <w:noProof/>
          <w:snapToGrid w:val="0"/>
          <w:sz w:val="20"/>
          <w:szCs w:val="20"/>
        </w:rPr>
        <w:t>İtfa edilmiş maliyeti üzerinden değerlenen finansal varlıklara</w:t>
      </w:r>
      <w:r w:rsidR="00BC768C" w:rsidRPr="00FB38E1">
        <w:rPr>
          <w:rFonts w:ascii="Microsoft Sans Serif" w:hAnsi="Microsoft Sans Serif" w:cs="Microsoft Sans Serif"/>
          <w:b/>
          <w:i w:val="0"/>
          <w:noProof/>
          <w:snapToGrid w:val="0"/>
          <w:sz w:val="20"/>
          <w:szCs w:val="20"/>
        </w:rPr>
        <w:t xml:space="preserve"> ilişkin bilgiler</w:t>
      </w:r>
    </w:p>
    <w:p w14:paraId="40BA28B4" w14:textId="77777777" w:rsidR="00BC768C" w:rsidRPr="00FB38E1" w:rsidRDefault="00BC768C" w:rsidP="00076C9E">
      <w:pPr>
        <w:pStyle w:val="Head4"/>
        <w:keepNext w:val="0"/>
        <w:keepLines w:val="0"/>
        <w:numPr>
          <w:ilvl w:val="0"/>
          <w:numId w:val="23"/>
        </w:numPr>
        <w:spacing w:before="240" w:line="240" w:lineRule="exact"/>
        <w:ind w:left="0" w:hanging="425"/>
        <w:rPr>
          <w:rFonts w:ascii="Microsoft Sans Serif" w:hAnsi="Microsoft Sans Serif" w:cs="Microsoft Sans Serif"/>
          <w:b/>
          <w:i w:val="0"/>
          <w:sz w:val="20"/>
          <w:szCs w:val="20"/>
        </w:rPr>
      </w:pPr>
      <w:r w:rsidRPr="00FB38E1">
        <w:rPr>
          <w:rFonts w:ascii="Microsoft Sans Serif" w:hAnsi="Microsoft Sans Serif" w:cs="Microsoft Sans Serif"/>
          <w:b/>
          <w:i w:val="0"/>
          <w:iCs w:val="0"/>
          <w:sz w:val="20"/>
          <w:szCs w:val="20"/>
        </w:rPr>
        <w:t>Repo işlemine konu olanlar ve teminata verilen/bloke edilenlere ilişkin bilgiler</w:t>
      </w:r>
    </w:p>
    <w:p w14:paraId="40B8504A" w14:textId="77777777" w:rsidR="00BC768C" w:rsidRPr="00FB38E1" w:rsidRDefault="00BC768C" w:rsidP="00076C9E">
      <w:pPr>
        <w:pStyle w:val="Head4"/>
        <w:keepNext w:val="0"/>
        <w:keepLines w:val="0"/>
        <w:numPr>
          <w:ilvl w:val="0"/>
          <w:numId w:val="24"/>
        </w:numPr>
        <w:spacing w:before="240" w:line="240" w:lineRule="exact"/>
        <w:ind w:left="0" w:hanging="284"/>
        <w:rPr>
          <w:rFonts w:ascii="Microsoft Sans Serif" w:hAnsi="Microsoft Sans Serif" w:cs="Microsoft Sans Serif"/>
          <w:i w:val="0"/>
          <w:sz w:val="20"/>
          <w:szCs w:val="20"/>
        </w:rPr>
      </w:pPr>
      <w:r w:rsidRPr="00FB38E1">
        <w:rPr>
          <w:rFonts w:ascii="Microsoft Sans Serif" w:hAnsi="Microsoft Sans Serif" w:cs="Microsoft Sans Serif"/>
          <w:bCs/>
          <w:i w:val="0"/>
          <w:iCs w:val="0"/>
          <w:sz w:val="20"/>
          <w:szCs w:val="20"/>
        </w:rPr>
        <w:t>Repo işlemine konu olanlara ilişkin bilgiler</w:t>
      </w:r>
    </w:p>
    <w:p w14:paraId="79ED0AFC" w14:textId="215F625A" w:rsidR="00BC768C" w:rsidRPr="00FB38E1" w:rsidRDefault="00BC768C" w:rsidP="00140703">
      <w:pPr>
        <w:rPr>
          <w:rFonts w:ascii="Microsoft Sans Serif" w:hAnsi="Microsoft Sans Serif" w:cs="Microsoft Sans Serif"/>
          <w:bCs/>
          <w:color w:val="404040" w:themeColor="text1" w:themeTint="BF"/>
          <w:sz w:val="20"/>
          <w:szCs w:val="20"/>
        </w:rPr>
      </w:pPr>
      <w:r w:rsidRPr="00FB38E1">
        <w:rPr>
          <w:rFonts w:ascii="Microsoft Sans Serif" w:hAnsi="Microsoft Sans Serif" w:cs="Microsoft Sans Serif"/>
          <w:bCs/>
          <w:color w:val="404040" w:themeColor="text1" w:themeTint="BF"/>
          <w:sz w:val="20"/>
          <w:szCs w:val="20"/>
        </w:rPr>
        <w:t xml:space="preserve">Repo işlemine konu olan </w:t>
      </w:r>
      <w:r w:rsidR="009B2106" w:rsidRPr="00FB38E1">
        <w:rPr>
          <w:rFonts w:ascii="Microsoft Sans Serif" w:hAnsi="Microsoft Sans Serif" w:cs="Microsoft Sans Serif"/>
          <w:bCs/>
          <w:color w:val="404040" w:themeColor="text1" w:themeTint="BF"/>
          <w:sz w:val="20"/>
          <w:szCs w:val="20"/>
        </w:rPr>
        <w:t>itfa edilmiş maliyeti üzerinden değerlenen finansal varlıklar</w:t>
      </w:r>
      <w:r w:rsidRPr="00FB38E1">
        <w:rPr>
          <w:rFonts w:ascii="Microsoft Sans Serif" w:hAnsi="Microsoft Sans Serif" w:cs="Microsoft Sans Serif"/>
          <w:bCs/>
          <w:color w:val="404040" w:themeColor="text1" w:themeTint="BF"/>
          <w:sz w:val="20"/>
          <w:szCs w:val="20"/>
        </w:rPr>
        <w:t xml:space="preserve"> </w:t>
      </w:r>
      <w:r w:rsidR="00E250F0" w:rsidRPr="00FB38E1">
        <w:rPr>
          <w:rFonts w:ascii="Microsoft Sans Serif" w:hAnsi="Microsoft Sans Serif" w:cs="Microsoft Sans Serif"/>
          <w:bCs/>
          <w:color w:val="404040" w:themeColor="text1" w:themeTint="BF"/>
          <w:sz w:val="20"/>
          <w:szCs w:val="20"/>
        </w:rPr>
        <w:t>28</w:t>
      </w:r>
      <w:r w:rsidR="007645D1" w:rsidRPr="00FB38E1">
        <w:rPr>
          <w:rFonts w:ascii="Microsoft Sans Serif" w:hAnsi="Microsoft Sans Serif" w:cs="Microsoft Sans Serif"/>
          <w:bCs/>
          <w:color w:val="404040" w:themeColor="text1" w:themeTint="BF"/>
          <w:sz w:val="20"/>
          <w:szCs w:val="20"/>
        </w:rPr>
        <w:t>.</w:t>
      </w:r>
      <w:r w:rsidR="00E250F0" w:rsidRPr="00FB38E1">
        <w:rPr>
          <w:rFonts w:ascii="Microsoft Sans Serif" w:hAnsi="Microsoft Sans Serif" w:cs="Microsoft Sans Serif"/>
          <w:bCs/>
          <w:color w:val="404040" w:themeColor="text1" w:themeTint="BF"/>
          <w:sz w:val="20"/>
          <w:szCs w:val="20"/>
        </w:rPr>
        <w:t>247</w:t>
      </w:r>
      <w:r w:rsidR="007645D1" w:rsidRPr="00FB38E1">
        <w:rPr>
          <w:rFonts w:ascii="Microsoft Sans Serif" w:hAnsi="Microsoft Sans Serif" w:cs="Microsoft Sans Serif"/>
          <w:bCs/>
          <w:color w:val="404040" w:themeColor="text1" w:themeTint="BF"/>
          <w:sz w:val="20"/>
          <w:szCs w:val="20"/>
        </w:rPr>
        <w:t>.</w:t>
      </w:r>
      <w:r w:rsidR="00E250F0" w:rsidRPr="00FB38E1">
        <w:rPr>
          <w:rFonts w:ascii="Microsoft Sans Serif" w:hAnsi="Microsoft Sans Serif" w:cs="Microsoft Sans Serif"/>
          <w:bCs/>
          <w:color w:val="404040" w:themeColor="text1" w:themeTint="BF"/>
          <w:sz w:val="20"/>
          <w:szCs w:val="20"/>
        </w:rPr>
        <w:t>697</w:t>
      </w:r>
      <w:r w:rsidR="00D75DCD" w:rsidRPr="00FB38E1">
        <w:rPr>
          <w:rFonts w:ascii="Microsoft Sans Serif" w:hAnsi="Microsoft Sans Serif" w:cs="Microsoft Sans Serif"/>
          <w:bCs/>
          <w:color w:val="404040" w:themeColor="text1" w:themeTint="BF"/>
          <w:sz w:val="20"/>
          <w:szCs w:val="20"/>
        </w:rPr>
        <w:t xml:space="preserve"> </w:t>
      </w:r>
      <w:r w:rsidR="00E62AB5" w:rsidRPr="00FB38E1">
        <w:rPr>
          <w:rFonts w:ascii="Microsoft Sans Serif" w:hAnsi="Microsoft Sans Serif" w:cs="Microsoft Sans Serif"/>
          <w:bCs/>
          <w:color w:val="404040" w:themeColor="text1" w:themeTint="BF"/>
          <w:sz w:val="20"/>
          <w:szCs w:val="20"/>
        </w:rPr>
        <w:t xml:space="preserve">TL’dir </w:t>
      </w:r>
      <w:r w:rsidR="001C2452" w:rsidRPr="00FB38E1">
        <w:rPr>
          <w:rFonts w:ascii="Microsoft Sans Serif" w:hAnsi="Microsoft Sans Serif" w:cs="Microsoft Sans Serif"/>
          <w:bCs/>
          <w:color w:val="404040" w:themeColor="text1" w:themeTint="BF"/>
          <w:sz w:val="20"/>
          <w:szCs w:val="20"/>
        </w:rPr>
        <w:t>(31 Ar</w:t>
      </w:r>
      <w:r w:rsidR="009224C4" w:rsidRPr="00FB38E1">
        <w:rPr>
          <w:rFonts w:ascii="Microsoft Sans Serif" w:hAnsi="Microsoft Sans Serif" w:cs="Microsoft Sans Serif"/>
          <w:bCs/>
          <w:color w:val="404040" w:themeColor="text1" w:themeTint="BF"/>
          <w:sz w:val="20"/>
          <w:szCs w:val="20"/>
        </w:rPr>
        <w:t>alık 202</w:t>
      </w:r>
      <w:r w:rsidR="000713F7" w:rsidRPr="00FB38E1">
        <w:rPr>
          <w:rFonts w:ascii="Microsoft Sans Serif" w:hAnsi="Microsoft Sans Serif" w:cs="Microsoft Sans Serif"/>
          <w:bCs/>
          <w:color w:val="404040" w:themeColor="text1" w:themeTint="BF"/>
          <w:sz w:val="20"/>
          <w:szCs w:val="20"/>
        </w:rPr>
        <w:t>3</w:t>
      </w:r>
      <w:r w:rsidR="00CE415C" w:rsidRPr="00FB38E1">
        <w:rPr>
          <w:rFonts w:ascii="Microsoft Sans Serif" w:hAnsi="Microsoft Sans Serif" w:cs="Microsoft Sans Serif"/>
          <w:bCs/>
          <w:color w:val="404040" w:themeColor="text1" w:themeTint="BF"/>
          <w:sz w:val="20"/>
          <w:szCs w:val="20"/>
        </w:rPr>
        <w:t xml:space="preserve">: </w:t>
      </w:r>
      <w:r w:rsidR="000713F7" w:rsidRPr="00FB38E1">
        <w:rPr>
          <w:rFonts w:ascii="Microsoft Sans Serif" w:hAnsi="Microsoft Sans Serif" w:cs="Microsoft Sans Serif"/>
          <w:bCs/>
          <w:color w:val="404040" w:themeColor="text1" w:themeTint="BF"/>
          <w:sz w:val="20"/>
          <w:szCs w:val="20"/>
        </w:rPr>
        <w:t xml:space="preserve">22.343.684 </w:t>
      </w:r>
      <w:r w:rsidR="00CE415C" w:rsidRPr="00FB38E1">
        <w:rPr>
          <w:rFonts w:ascii="Microsoft Sans Serif" w:hAnsi="Microsoft Sans Serif" w:cs="Microsoft Sans Serif"/>
          <w:bCs/>
          <w:color w:val="404040" w:themeColor="text1" w:themeTint="BF"/>
          <w:sz w:val="20"/>
          <w:szCs w:val="20"/>
        </w:rPr>
        <w:t>TL).</w:t>
      </w:r>
    </w:p>
    <w:p w14:paraId="15CB592A" w14:textId="77777777" w:rsidR="00ED0291" w:rsidRPr="00FB38E1" w:rsidRDefault="00ED0291" w:rsidP="00076C9E">
      <w:pPr>
        <w:pStyle w:val="BASLIK2"/>
        <w:widowControl/>
        <w:numPr>
          <w:ilvl w:val="0"/>
          <w:numId w:val="24"/>
        </w:numPr>
        <w:spacing w:line="240" w:lineRule="exact"/>
        <w:ind w:left="0" w:hanging="284"/>
        <w:rPr>
          <w:rFonts w:ascii="Microsoft Sans Serif" w:hAnsi="Microsoft Sans Serif" w:cs="Microsoft Sans Serif"/>
          <w:b w:val="0"/>
          <w:bCs w:val="0"/>
          <w:iCs/>
          <w:sz w:val="20"/>
          <w:szCs w:val="20"/>
        </w:rPr>
      </w:pPr>
      <w:r w:rsidRPr="00FB38E1">
        <w:rPr>
          <w:rFonts w:ascii="Microsoft Sans Serif" w:hAnsi="Microsoft Sans Serif" w:cs="Microsoft Sans Serif"/>
          <w:b w:val="0"/>
          <w:bCs w:val="0"/>
          <w:iCs/>
          <w:sz w:val="20"/>
          <w:szCs w:val="20"/>
        </w:rPr>
        <w:t>Teminata verilen/bloke edilenlere ilişkin bilgiler</w:t>
      </w:r>
    </w:p>
    <w:p w14:paraId="35285E39" w14:textId="142F7C42" w:rsidR="00ED0291" w:rsidRPr="00FB38E1" w:rsidRDefault="00ED0291" w:rsidP="00217C78">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rPr>
      </w:pPr>
      <w:r w:rsidRPr="00FB38E1">
        <w:rPr>
          <w:rFonts w:ascii="Microsoft Sans Serif" w:hAnsi="Microsoft Sans Serif" w:cs="Microsoft Sans Serif"/>
          <w:b w:val="0"/>
          <w:bCs w:val="0"/>
          <w:color w:val="404040" w:themeColor="text1" w:themeTint="BF"/>
          <w:sz w:val="20"/>
          <w:szCs w:val="20"/>
        </w:rPr>
        <w:t xml:space="preserve">Teminata </w:t>
      </w:r>
      <w:r w:rsidR="00E250F0" w:rsidRPr="00FB38E1">
        <w:rPr>
          <w:rFonts w:ascii="Microsoft Sans Serif" w:hAnsi="Microsoft Sans Serif" w:cs="Microsoft Sans Serif"/>
          <w:b w:val="0"/>
          <w:bCs w:val="0"/>
          <w:color w:val="404040" w:themeColor="text1" w:themeTint="BF"/>
          <w:sz w:val="20"/>
          <w:szCs w:val="20"/>
        </w:rPr>
        <w:t>ş</w:t>
      </w:r>
      <w:r w:rsidRPr="00FB38E1">
        <w:rPr>
          <w:rFonts w:ascii="Microsoft Sans Serif" w:hAnsi="Microsoft Sans Serif" w:cs="Microsoft Sans Serif"/>
          <w:b w:val="0"/>
          <w:bCs w:val="0"/>
          <w:color w:val="404040" w:themeColor="text1" w:themeTint="BF"/>
          <w:sz w:val="20"/>
          <w:szCs w:val="20"/>
        </w:rPr>
        <w:t xml:space="preserve">verilen </w:t>
      </w:r>
      <w:r w:rsidR="009B2106" w:rsidRPr="00FB38E1">
        <w:rPr>
          <w:rFonts w:ascii="Microsoft Sans Serif" w:hAnsi="Microsoft Sans Serif" w:cs="Microsoft Sans Serif"/>
          <w:b w:val="0"/>
          <w:bCs w:val="0"/>
          <w:color w:val="404040" w:themeColor="text1" w:themeTint="BF"/>
          <w:sz w:val="20"/>
          <w:szCs w:val="20"/>
        </w:rPr>
        <w:t>itfa edilmiş maliyeti üzerinden değerlenen finansal varlıklar</w:t>
      </w:r>
      <w:r w:rsidRPr="00FB38E1">
        <w:rPr>
          <w:rFonts w:ascii="Microsoft Sans Serif" w:hAnsi="Microsoft Sans Serif" w:cs="Microsoft Sans Serif"/>
          <w:b w:val="0"/>
          <w:bCs w:val="0"/>
          <w:color w:val="404040" w:themeColor="text1" w:themeTint="BF"/>
          <w:sz w:val="20"/>
          <w:szCs w:val="20"/>
        </w:rPr>
        <w:t xml:space="preserve"> devlet tahvili olup, defter değeri </w:t>
      </w:r>
      <w:r w:rsidR="00380627" w:rsidRPr="00FB38E1">
        <w:rPr>
          <w:rFonts w:ascii="Microsoft Sans Serif" w:hAnsi="Microsoft Sans Serif" w:cs="Microsoft Sans Serif"/>
          <w:b w:val="0"/>
          <w:bCs w:val="0"/>
          <w:color w:val="404040" w:themeColor="text1" w:themeTint="BF"/>
          <w:sz w:val="20"/>
          <w:szCs w:val="20"/>
        </w:rPr>
        <w:t xml:space="preserve"> </w:t>
      </w:r>
      <w:r w:rsidR="00FB1FFB" w:rsidRPr="00FB38E1">
        <w:rPr>
          <w:rFonts w:ascii="Microsoft Sans Serif" w:hAnsi="Microsoft Sans Serif" w:cs="Microsoft Sans Serif"/>
          <w:b w:val="0"/>
          <w:bCs w:val="0"/>
          <w:color w:val="404040" w:themeColor="text1" w:themeTint="BF"/>
          <w:sz w:val="20"/>
          <w:szCs w:val="20"/>
        </w:rPr>
        <w:t>5.</w:t>
      </w:r>
      <w:r w:rsidR="00E250F0" w:rsidRPr="00FB38E1">
        <w:rPr>
          <w:rFonts w:ascii="Microsoft Sans Serif" w:hAnsi="Microsoft Sans Serif" w:cs="Microsoft Sans Serif"/>
          <w:b w:val="0"/>
          <w:bCs w:val="0"/>
          <w:color w:val="404040" w:themeColor="text1" w:themeTint="BF"/>
          <w:sz w:val="20"/>
          <w:szCs w:val="20"/>
        </w:rPr>
        <w:t>186</w:t>
      </w:r>
      <w:r w:rsidR="00FB1FFB" w:rsidRPr="00FB38E1">
        <w:rPr>
          <w:rFonts w:ascii="Microsoft Sans Serif" w:hAnsi="Microsoft Sans Serif" w:cs="Microsoft Sans Serif"/>
          <w:b w:val="0"/>
          <w:bCs w:val="0"/>
          <w:color w:val="404040" w:themeColor="text1" w:themeTint="BF"/>
          <w:sz w:val="20"/>
          <w:szCs w:val="20"/>
        </w:rPr>
        <w:t>.</w:t>
      </w:r>
      <w:r w:rsidR="00E250F0" w:rsidRPr="00FB38E1">
        <w:rPr>
          <w:rFonts w:ascii="Microsoft Sans Serif" w:hAnsi="Microsoft Sans Serif" w:cs="Microsoft Sans Serif"/>
          <w:b w:val="0"/>
          <w:bCs w:val="0"/>
          <w:color w:val="404040" w:themeColor="text1" w:themeTint="BF"/>
          <w:sz w:val="20"/>
          <w:szCs w:val="20"/>
        </w:rPr>
        <w:t>300</w:t>
      </w:r>
      <w:r w:rsidR="00FB1FFB" w:rsidRPr="00FB38E1">
        <w:rPr>
          <w:rFonts w:ascii="Microsoft Sans Serif" w:hAnsi="Microsoft Sans Serif" w:cs="Microsoft Sans Serif"/>
          <w:b w:val="0"/>
          <w:bCs w:val="0"/>
          <w:color w:val="404040" w:themeColor="text1" w:themeTint="BF"/>
          <w:sz w:val="20"/>
          <w:szCs w:val="20"/>
        </w:rPr>
        <w:t xml:space="preserve"> </w:t>
      </w:r>
      <w:r w:rsidR="009224C4" w:rsidRPr="00FB38E1">
        <w:rPr>
          <w:rFonts w:ascii="Microsoft Sans Serif" w:hAnsi="Microsoft Sans Serif" w:cs="Microsoft Sans Serif"/>
          <w:b w:val="0"/>
          <w:bCs w:val="0"/>
          <w:color w:val="404040" w:themeColor="text1" w:themeTint="BF"/>
          <w:sz w:val="20"/>
          <w:szCs w:val="20"/>
        </w:rPr>
        <w:t>TL (31 Aralık 202</w:t>
      </w:r>
      <w:r w:rsidR="000713F7" w:rsidRPr="00FB38E1">
        <w:rPr>
          <w:rFonts w:ascii="Microsoft Sans Serif" w:hAnsi="Microsoft Sans Serif" w:cs="Microsoft Sans Serif"/>
          <w:b w:val="0"/>
          <w:bCs w:val="0"/>
          <w:color w:val="404040" w:themeColor="text1" w:themeTint="BF"/>
          <w:sz w:val="20"/>
          <w:szCs w:val="20"/>
        </w:rPr>
        <w:t>3</w:t>
      </w:r>
      <w:r w:rsidR="00EB7612" w:rsidRPr="00FB38E1">
        <w:rPr>
          <w:rFonts w:ascii="Microsoft Sans Serif" w:hAnsi="Microsoft Sans Serif" w:cs="Microsoft Sans Serif"/>
          <w:b w:val="0"/>
          <w:bCs w:val="0"/>
          <w:color w:val="404040" w:themeColor="text1" w:themeTint="BF"/>
          <w:sz w:val="20"/>
          <w:szCs w:val="20"/>
        </w:rPr>
        <w:t xml:space="preserve">: </w:t>
      </w:r>
      <w:r w:rsidR="000713F7" w:rsidRPr="00FB38E1">
        <w:rPr>
          <w:rFonts w:ascii="Microsoft Sans Serif" w:hAnsi="Microsoft Sans Serif" w:cs="Microsoft Sans Serif"/>
          <w:b w:val="0"/>
          <w:bCs w:val="0"/>
          <w:color w:val="404040" w:themeColor="text1" w:themeTint="BF"/>
          <w:sz w:val="20"/>
          <w:szCs w:val="20"/>
        </w:rPr>
        <w:t xml:space="preserve">15.046.368 </w:t>
      </w:r>
      <w:r w:rsidR="00A75C0D" w:rsidRPr="00FB38E1">
        <w:rPr>
          <w:rFonts w:ascii="Microsoft Sans Serif" w:hAnsi="Microsoft Sans Serif" w:cs="Microsoft Sans Serif"/>
          <w:b w:val="0"/>
          <w:bCs w:val="0"/>
          <w:color w:val="404040" w:themeColor="text1" w:themeTint="BF"/>
          <w:sz w:val="20"/>
          <w:szCs w:val="20"/>
        </w:rPr>
        <w:t>TL)</w:t>
      </w:r>
      <w:r w:rsidR="009525B7" w:rsidRPr="00FB38E1">
        <w:rPr>
          <w:rFonts w:ascii="Microsoft Sans Serif" w:hAnsi="Microsoft Sans Serif" w:cs="Microsoft Sans Serif"/>
          <w:b w:val="0"/>
          <w:bCs w:val="0"/>
          <w:color w:val="404040" w:themeColor="text1" w:themeTint="BF"/>
          <w:sz w:val="20"/>
          <w:szCs w:val="20"/>
        </w:rPr>
        <w:t xml:space="preserve"> </w:t>
      </w:r>
      <w:r w:rsidRPr="00FB38E1">
        <w:rPr>
          <w:rFonts w:ascii="Microsoft Sans Serif" w:hAnsi="Microsoft Sans Serif" w:cs="Microsoft Sans Serif"/>
          <w:b w:val="0"/>
          <w:bCs w:val="0"/>
          <w:color w:val="404040" w:themeColor="text1" w:themeTint="BF"/>
          <w:sz w:val="20"/>
          <w:szCs w:val="20"/>
        </w:rPr>
        <w:t>tutarındadır.</w:t>
      </w:r>
    </w:p>
    <w:p w14:paraId="68B392DC" w14:textId="68C0F99D" w:rsidR="00ED0291" w:rsidRPr="00FB38E1"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İtfa edilmiş maliyeti üzerinden değerlenen</w:t>
      </w:r>
      <w:r w:rsidR="00ED0291" w:rsidRPr="00FB38E1">
        <w:rPr>
          <w:rFonts w:ascii="Microsoft Sans Serif" w:hAnsi="Microsoft Sans Serif" w:cs="Microsoft Sans Serif"/>
          <w:iCs/>
          <w:sz w:val="20"/>
          <w:szCs w:val="20"/>
        </w:rPr>
        <w:t xml:space="preserve"> devlet borçlanma senetlerine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806AC8" w:rsidRPr="00FB38E1" w14:paraId="6EE420F4" w14:textId="77E94CDB" w:rsidTr="00806AC8">
        <w:tc>
          <w:tcPr>
            <w:tcW w:w="3209" w:type="pct"/>
            <w:tcBorders>
              <w:top w:val="thinThickSmallGap" w:sz="24" w:space="0" w:color="auto"/>
              <w:bottom w:val="single" w:sz="4" w:space="0" w:color="auto"/>
            </w:tcBorders>
            <w:vAlign w:val="center"/>
          </w:tcPr>
          <w:p w14:paraId="4C16002D" w14:textId="064EF669" w:rsidR="00806AC8" w:rsidRPr="00FB38E1" w:rsidRDefault="00806AC8">
            <w:pPr>
              <w:rPr>
                <w:rFonts w:ascii="Microsoft Sans Serif" w:hAnsi="Microsoft Sans Serif" w:cs="Microsoft Sans Serif"/>
                <w:i/>
                <w:color w:val="000000"/>
                <w:sz w:val="16"/>
                <w:szCs w:val="16"/>
              </w:rPr>
            </w:pPr>
            <w:r w:rsidRPr="00FB38E1">
              <w:rPr>
                <w:rFonts w:ascii="Microsoft Sans Serif" w:hAnsi="Microsoft Sans Serif" w:cs="Microsoft Sans Serif"/>
                <w:color w:val="000000"/>
                <w:sz w:val="16"/>
                <w:szCs w:val="16"/>
              </w:rPr>
              <w:t> </w:t>
            </w:r>
            <w:r w:rsidRPr="00FB38E1">
              <w:rPr>
                <w:rFonts w:ascii="Microsoft Sans Serif" w:hAnsi="Microsoft Sans Serif" w:cs="Microsoft Sans Serif"/>
                <w:i/>
                <w:color w:val="000000"/>
                <w:sz w:val="16"/>
                <w:szCs w:val="16"/>
              </w:rPr>
              <w:t>İtfa edilmiş maliyeti üzerinden değerlenen devlet borçlanma senetleri</w:t>
            </w:r>
          </w:p>
        </w:tc>
        <w:tc>
          <w:tcPr>
            <w:tcW w:w="896" w:type="pct"/>
            <w:tcBorders>
              <w:top w:val="thinThickSmallGap" w:sz="24" w:space="0" w:color="auto"/>
              <w:bottom w:val="single" w:sz="4" w:space="0" w:color="auto"/>
            </w:tcBorders>
            <w:vAlign w:val="bottom"/>
          </w:tcPr>
          <w:p w14:paraId="03119AAA" w14:textId="77777777" w:rsidR="00806AC8" w:rsidRPr="00FB38E1" w:rsidRDefault="00806AC8" w:rsidP="00806AC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vAlign w:val="bottom"/>
          </w:tcPr>
          <w:p w14:paraId="4C36709C" w14:textId="2421F642" w:rsidR="00806AC8" w:rsidRPr="00FB38E1" w:rsidRDefault="00806AC8" w:rsidP="00806AC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E250F0" w:rsidRPr="00FB38E1" w14:paraId="6752D847" w14:textId="5F8ADEAC" w:rsidTr="00F43672">
        <w:tc>
          <w:tcPr>
            <w:tcW w:w="3209" w:type="pct"/>
            <w:vAlign w:val="center"/>
          </w:tcPr>
          <w:p w14:paraId="40D1223B" w14:textId="77777777" w:rsidR="00E250F0" w:rsidRPr="00FB38E1" w:rsidRDefault="00E250F0" w:rsidP="00E250F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Devlet Tahvili</w:t>
            </w:r>
          </w:p>
        </w:tc>
        <w:tc>
          <w:tcPr>
            <w:tcW w:w="896" w:type="pct"/>
            <w:shd w:val="clear" w:color="auto" w:fill="auto"/>
            <w:vAlign w:val="center"/>
          </w:tcPr>
          <w:p w14:paraId="321B195C" w14:textId="0C521B4C"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65.595.391</w:t>
            </w:r>
          </w:p>
        </w:tc>
        <w:tc>
          <w:tcPr>
            <w:tcW w:w="895" w:type="pct"/>
            <w:vAlign w:val="center"/>
          </w:tcPr>
          <w:p w14:paraId="6D8D49B1" w14:textId="2E13D236"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51.237.084</w:t>
            </w:r>
          </w:p>
        </w:tc>
      </w:tr>
      <w:tr w:rsidR="00E250F0" w:rsidRPr="00FB38E1" w14:paraId="103DFEFE" w14:textId="60510A01" w:rsidTr="00F43672">
        <w:tc>
          <w:tcPr>
            <w:tcW w:w="3209" w:type="pct"/>
            <w:vAlign w:val="center"/>
          </w:tcPr>
          <w:p w14:paraId="70400A16" w14:textId="77777777" w:rsidR="00E250F0" w:rsidRPr="00FB38E1" w:rsidRDefault="00E250F0" w:rsidP="00E250F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Hazine Bonosu</w:t>
            </w:r>
          </w:p>
        </w:tc>
        <w:tc>
          <w:tcPr>
            <w:tcW w:w="896" w:type="pct"/>
            <w:shd w:val="clear" w:color="auto" w:fill="auto"/>
            <w:vAlign w:val="center"/>
          </w:tcPr>
          <w:p w14:paraId="63CFD637" w14:textId="792B9074"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95" w:type="pct"/>
            <w:vAlign w:val="center"/>
          </w:tcPr>
          <w:p w14:paraId="1FF9A833" w14:textId="0673BEB8"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250F0" w:rsidRPr="00FB38E1" w14:paraId="6319FC9B" w14:textId="47B66C37" w:rsidTr="00F43672">
        <w:tc>
          <w:tcPr>
            <w:tcW w:w="3209" w:type="pct"/>
            <w:vAlign w:val="center"/>
          </w:tcPr>
          <w:p w14:paraId="356C1B95" w14:textId="77777777" w:rsidR="00E250F0" w:rsidRPr="00FB38E1" w:rsidRDefault="00E250F0" w:rsidP="00E250F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Kamu Borçlanma Senetleri</w:t>
            </w:r>
          </w:p>
        </w:tc>
        <w:tc>
          <w:tcPr>
            <w:tcW w:w="896" w:type="pct"/>
            <w:shd w:val="clear" w:color="auto" w:fill="auto"/>
            <w:vAlign w:val="center"/>
          </w:tcPr>
          <w:p w14:paraId="0F6AFDA5" w14:textId="32762E13"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95" w:type="pct"/>
            <w:vAlign w:val="center"/>
          </w:tcPr>
          <w:p w14:paraId="3C6262F5" w14:textId="3BEB18F1"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250F0" w:rsidRPr="00FB38E1" w14:paraId="7B61FDDA" w14:textId="257B16D7" w:rsidTr="00F43672">
        <w:tc>
          <w:tcPr>
            <w:tcW w:w="3209" w:type="pct"/>
            <w:tcBorders>
              <w:top w:val="single" w:sz="4" w:space="0" w:color="auto"/>
              <w:bottom w:val="thickThinSmallGap" w:sz="24" w:space="0" w:color="auto"/>
            </w:tcBorders>
            <w:vAlign w:val="center"/>
          </w:tcPr>
          <w:p w14:paraId="76FCBE44" w14:textId="77777777" w:rsidR="00E250F0" w:rsidRPr="00FB38E1" w:rsidRDefault="00E250F0" w:rsidP="00E250F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591C2F7C" w14:textId="5710D426"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65.595.391</w:t>
            </w:r>
          </w:p>
        </w:tc>
        <w:tc>
          <w:tcPr>
            <w:tcW w:w="895" w:type="pct"/>
            <w:tcBorders>
              <w:top w:val="single" w:sz="4" w:space="0" w:color="auto"/>
              <w:bottom w:val="thickThinSmallGap" w:sz="24" w:space="0" w:color="auto"/>
            </w:tcBorders>
            <w:vAlign w:val="center"/>
          </w:tcPr>
          <w:p w14:paraId="7E27F4AB" w14:textId="42C6B90E"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51.237.084</w:t>
            </w:r>
          </w:p>
        </w:tc>
      </w:tr>
    </w:tbl>
    <w:p w14:paraId="79548A0E" w14:textId="69C2B31C" w:rsidR="00ED0291" w:rsidRPr="00FB38E1"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İtfa edilmiş maliyeti üzerinden değerlenen finansal varlıklara</w:t>
      </w:r>
      <w:r w:rsidR="00ED0291" w:rsidRPr="00FB38E1">
        <w:rPr>
          <w:rFonts w:ascii="Microsoft Sans Serif" w:hAnsi="Microsoft Sans Serif" w:cs="Microsoft Sans Serif"/>
          <w:iCs/>
          <w:sz w:val="20"/>
          <w:szCs w:val="20"/>
        </w:rPr>
        <w:t xml:space="preserv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A723ED" w:rsidRPr="00FB38E1" w14:paraId="64B52124" w14:textId="346B3E0F" w:rsidTr="00A723ED">
        <w:tc>
          <w:tcPr>
            <w:tcW w:w="3209" w:type="pct"/>
            <w:tcBorders>
              <w:top w:val="thinThickSmallGap" w:sz="24" w:space="0" w:color="auto"/>
              <w:bottom w:val="single" w:sz="4" w:space="0" w:color="auto"/>
            </w:tcBorders>
            <w:vAlign w:val="center"/>
          </w:tcPr>
          <w:p w14:paraId="3B4130A6" w14:textId="7BC58B4D" w:rsidR="00A723ED" w:rsidRPr="00FB38E1" w:rsidRDefault="00A723ED" w:rsidP="00560BCC">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r w:rsidRPr="00FB38E1">
              <w:rPr>
                <w:rFonts w:ascii="Microsoft Sans Serif" w:hAnsi="Microsoft Sans Serif" w:cs="Microsoft Sans Serif"/>
                <w:i/>
                <w:color w:val="000000"/>
                <w:sz w:val="16"/>
                <w:szCs w:val="16"/>
              </w:rPr>
              <w:t>İtfa edilmiş maliyeti üzerinden değerlenen finansal varlıklar</w:t>
            </w:r>
          </w:p>
        </w:tc>
        <w:tc>
          <w:tcPr>
            <w:tcW w:w="896" w:type="pct"/>
            <w:tcBorders>
              <w:top w:val="thinThickSmallGap" w:sz="24" w:space="0" w:color="auto"/>
              <w:bottom w:val="single" w:sz="4" w:space="0" w:color="auto"/>
            </w:tcBorders>
            <w:vAlign w:val="center"/>
          </w:tcPr>
          <w:p w14:paraId="4EF429FE" w14:textId="77777777" w:rsidR="00A723ED" w:rsidRPr="00FB38E1" w:rsidRDefault="00A723ED" w:rsidP="00560BC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1138A835" w14:textId="6B443B1A" w:rsidR="00A723ED" w:rsidRPr="00FB38E1" w:rsidRDefault="00A723ED" w:rsidP="00560BC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E250F0" w:rsidRPr="00FB38E1" w14:paraId="2EF8B58D" w14:textId="4599BC2A" w:rsidTr="00F43672">
        <w:trPr>
          <w:trHeight w:val="68"/>
        </w:trPr>
        <w:tc>
          <w:tcPr>
            <w:tcW w:w="3209" w:type="pct"/>
            <w:vAlign w:val="center"/>
          </w:tcPr>
          <w:p w14:paraId="13C555EC" w14:textId="77777777" w:rsidR="00E250F0" w:rsidRPr="00FB38E1" w:rsidRDefault="00E250F0" w:rsidP="00E250F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Borçlanma Senetleri</w:t>
            </w:r>
          </w:p>
        </w:tc>
        <w:tc>
          <w:tcPr>
            <w:tcW w:w="896" w:type="pct"/>
            <w:shd w:val="clear" w:color="auto" w:fill="auto"/>
            <w:vAlign w:val="center"/>
          </w:tcPr>
          <w:p w14:paraId="147DEB2B" w14:textId="505DB219"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65.595.391</w:t>
            </w:r>
          </w:p>
        </w:tc>
        <w:tc>
          <w:tcPr>
            <w:tcW w:w="895" w:type="pct"/>
            <w:vAlign w:val="center"/>
          </w:tcPr>
          <w:p w14:paraId="35D478F7" w14:textId="332ACE14"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51.237.084</w:t>
            </w:r>
          </w:p>
        </w:tc>
      </w:tr>
      <w:tr w:rsidR="00E250F0" w:rsidRPr="00FB38E1" w14:paraId="2D5B0100" w14:textId="3331702D" w:rsidTr="00F43672">
        <w:tc>
          <w:tcPr>
            <w:tcW w:w="3209" w:type="pct"/>
            <w:vAlign w:val="center"/>
          </w:tcPr>
          <w:p w14:paraId="1659B399" w14:textId="77777777" w:rsidR="00E250F0" w:rsidRPr="00FB38E1" w:rsidRDefault="00E250F0" w:rsidP="00E250F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Borsada İşlem Görenler</w:t>
            </w:r>
          </w:p>
        </w:tc>
        <w:tc>
          <w:tcPr>
            <w:tcW w:w="896" w:type="pct"/>
            <w:shd w:val="clear" w:color="auto" w:fill="auto"/>
            <w:vAlign w:val="center"/>
          </w:tcPr>
          <w:p w14:paraId="0A4BB21A" w14:textId="3DE3160C"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65.595.391</w:t>
            </w:r>
          </w:p>
        </w:tc>
        <w:tc>
          <w:tcPr>
            <w:tcW w:w="895" w:type="pct"/>
            <w:vAlign w:val="center"/>
          </w:tcPr>
          <w:p w14:paraId="0AA93D07" w14:textId="40EBA54D"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51.237.084</w:t>
            </w:r>
          </w:p>
        </w:tc>
      </w:tr>
      <w:tr w:rsidR="00E250F0" w:rsidRPr="00FB38E1" w14:paraId="566A3668" w14:textId="1996DE62" w:rsidTr="00F43672">
        <w:tc>
          <w:tcPr>
            <w:tcW w:w="3209" w:type="pct"/>
            <w:vAlign w:val="center"/>
          </w:tcPr>
          <w:p w14:paraId="17423711" w14:textId="77777777" w:rsidR="00E250F0" w:rsidRPr="00FB38E1" w:rsidRDefault="00E250F0" w:rsidP="00E250F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Borsada İşlem Görmeyenler</w:t>
            </w:r>
          </w:p>
        </w:tc>
        <w:tc>
          <w:tcPr>
            <w:tcW w:w="896" w:type="pct"/>
            <w:shd w:val="clear" w:color="auto" w:fill="auto"/>
            <w:vAlign w:val="center"/>
          </w:tcPr>
          <w:p w14:paraId="62474763" w14:textId="176B832F"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95" w:type="pct"/>
            <w:vAlign w:val="center"/>
          </w:tcPr>
          <w:p w14:paraId="4BDE08DA" w14:textId="20304E7C"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250F0" w:rsidRPr="00FB38E1" w14:paraId="6CFA0CCF" w14:textId="20067654" w:rsidTr="00F43672">
        <w:tc>
          <w:tcPr>
            <w:tcW w:w="3209" w:type="pct"/>
            <w:vAlign w:val="center"/>
          </w:tcPr>
          <w:p w14:paraId="43B61B55" w14:textId="77777777" w:rsidR="00E250F0" w:rsidRPr="00FB38E1" w:rsidRDefault="00E250F0" w:rsidP="00E250F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Değer Azalma Karşılığı (-)</w:t>
            </w:r>
          </w:p>
        </w:tc>
        <w:tc>
          <w:tcPr>
            <w:tcW w:w="896" w:type="pct"/>
            <w:shd w:val="clear" w:color="auto" w:fill="auto"/>
            <w:vAlign w:val="center"/>
          </w:tcPr>
          <w:p w14:paraId="3C4366C4" w14:textId="5FA5B3C3"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95" w:type="pct"/>
            <w:vAlign w:val="center"/>
          </w:tcPr>
          <w:p w14:paraId="32F633E8" w14:textId="3E0FD110"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E250F0" w:rsidRPr="00FB38E1" w14:paraId="5B23AC8A" w14:textId="2A321862" w:rsidTr="00F43672">
        <w:tc>
          <w:tcPr>
            <w:tcW w:w="3209" w:type="pct"/>
            <w:tcBorders>
              <w:top w:val="single" w:sz="4" w:space="0" w:color="auto"/>
              <w:bottom w:val="thickThinSmallGap" w:sz="24" w:space="0" w:color="auto"/>
            </w:tcBorders>
            <w:vAlign w:val="center"/>
          </w:tcPr>
          <w:p w14:paraId="4FCA5B08" w14:textId="77777777" w:rsidR="00E250F0" w:rsidRPr="00FB38E1" w:rsidRDefault="00E250F0" w:rsidP="00E250F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896" w:type="pct"/>
            <w:tcBorders>
              <w:top w:val="single" w:sz="4" w:space="0" w:color="auto"/>
              <w:bottom w:val="thickThinSmallGap" w:sz="24" w:space="0" w:color="auto"/>
            </w:tcBorders>
            <w:shd w:val="clear" w:color="auto" w:fill="auto"/>
            <w:vAlign w:val="center"/>
          </w:tcPr>
          <w:p w14:paraId="211334A0" w14:textId="3539801C"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65.595.391</w:t>
            </w:r>
          </w:p>
        </w:tc>
        <w:tc>
          <w:tcPr>
            <w:tcW w:w="895" w:type="pct"/>
            <w:tcBorders>
              <w:top w:val="single" w:sz="4" w:space="0" w:color="auto"/>
              <w:bottom w:val="thickThinSmallGap" w:sz="24" w:space="0" w:color="auto"/>
            </w:tcBorders>
            <w:vAlign w:val="center"/>
          </w:tcPr>
          <w:p w14:paraId="5EDE3DEB" w14:textId="0B9EFEE0"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51.237.084</w:t>
            </w:r>
          </w:p>
        </w:tc>
      </w:tr>
    </w:tbl>
    <w:p w14:paraId="029F01BA" w14:textId="1A21CCF6" w:rsidR="00ED0291" w:rsidRPr="00FB38E1" w:rsidRDefault="009B2106" w:rsidP="00076C9E">
      <w:pPr>
        <w:pStyle w:val="BASLIK2"/>
        <w:widowControl/>
        <w:numPr>
          <w:ilvl w:val="0"/>
          <w:numId w:val="23"/>
        </w:numPr>
        <w:spacing w:line="240" w:lineRule="exact"/>
        <w:ind w:left="0" w:hanging="425"/>
        <w:rPr>
          <w:rFonts w:ascii="Microsoft Sans Serif" w:hAnsi="Microsoft Sans Serif" w:cs="Microsoft Sans Serif"/>
          <w:iCs/>
          <w:sz w:val="20"/>
          <w:szCs w:val="20"/>
        </w:rPr>
      </w:pPr>
      <w:r w:rsidRPr="00FB38E1">
        <w:rPr>
          <w:rFonts w:ascii="Microsoft Sans Serif" w:hAnsi="Microsoft Sans Serif" w:cs="Microsoft Sans Serif"/>
          <w:iCs/>
          <w:sz w:val="20"/>
          <w:szCs w:val="20"/>
        </w:rPr>
        <w:t>İtfa edilmiş maliyeti üzerinden değerlenen finansal varlıkların</w:t>
      </w:r>
      <w:r w:rsidR="00ED0291" w:rsidRPr="00FB38E1">
        <w:rPr>
          <w:rFonts w:ascii="Microsoft Sans Serif" w:hAnsi="Microsoft Sans Serif" w:cs="Microsoft Sans Serif"/>
          <w:iCs/>
          <w:sz w:val="20"/>
          <w:szCs w:val="20"/>
        </w:rPr>
        <w:t xml:space="preserve"> yıl içindeki hareketleri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187"/>
        <w:gridCol w:w="1727"/>
        <w:gridCol w:w="1725"/>
      </w:tblGrid>
      <w:tr w:rsidR="00A723ED" w:rsidRPr="00FB38E1" w14:paraId="4EF8F736" w14:textId="3FB30F17" w:rsidTr="00A723ED">
        <w:tc>
          <w:tcPr>
            <w:tcW w:w="3209" w:type="pct"/>
            <w:tcBorders>
              <w:top w:val="thinThickSmallGap" w:sz="24" w:space="0" w:color="auto"/>
              <w:bottom w:val="single" w:sz="4" w:space="0" w:color="auto"/>
            </w:tcBorders>
            <w:vAlign w:val="center"/>
          </w:tcPr>
          <w:p w14:paraId="2911FD03" w14:textId="77777777" w:rsidR="00A723ED" w:rsidRPr="00FB38E1" w:rsidRDefault="00A723ED">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896" w:type="pct"/>
            <w:tcBorders>
              <w:top w:val="thinThickSmallGap" w:sz="24" w:space="0" w:color="auto"/>
              <w:bottom w:val="single" w:sz="4" w:space="0" w:color="auto"/>
            </w:tcBorders>
            <w:vAlign w:val="center"/>
          </w:tcPr>
          <w:p w14:paraId="322417A9" w14:textId="77777777" w:rsidR="00A723ED" w:rsidRPr="00FB38E1" w:rsidRDefault="00A723E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95" w:type="pct"/>
            <w:tcBorders>
              <w:top w:val="thinThickSmallGap" w:sz="24" w:space="0" w:color="auto"/>
              <w:bottom w:val="single" w:sz="4" w:space="0" w:color="auto"/>
            </w:tcBorders>
          </w:tcPr>
          <w:p w14:paraId="5356BE38" w14:textId="52F22ED5" w:rsidR="00A723ED" w:rsidRPr="00FB38E1" w:rsidRDefault="00A723E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E250F0" w:rsidRPr="00FB38E1" w14:paraId="3FB6AA5D" w14:textId="41CC5484" w:rsidTr="00D22D4F">
        <w:tc>
          <w:tcPr>
            <w:tcW w:w="3209" w:type="pct"/>
            <w:vAlign w:val="bottom"/>
          </w:tcPr>
          <w:p w14:paraId="4030A3C4" w14:textId="77777777" w:rsidR="00E250F0" w:rsidRPr="00FB38E1" w:rsidRDefault="00E250F0" w:rsidP="00E250F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Dönem Başındaki Değer </w:t>
            </w:r>
          </w:p>
        </w:tc>
        <w:tc>
          <w:tcPr>
            <w:tcW w:w="896" w:type="pct"/>
            <w:vAlign w:val="center"/>
          </w:tcPr>
          <w:p w14:paraId="2507652E" w14:textId="4190390E"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51.237.084</w:t>
            </w:r>
          </w:p>
        </w:tc>
        <w:tc>
          <w:tcPr>
            <w:tcW w:w="895" w:type="pct"/>
            <w:vAlign w:val="center"/>
          </w:tcPr>
          <w:p w14:paraId="56D3348D" w14:textId="1792F32D"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17.027.396</w:t>
            </w:r>
          </w:p>
        </w:tc>
      </w:tr>
      <w:tr w:rsidR="00E250F0" w:rsidRPr="00FB38E1" w14:paraId="178C12ED" w14:textId="7F93F4F0" w:rsidTr="00D22D4F">
        <w:tc>
          <w:tcPr>
            <w:tcW w:w="3209" w:type="pct"/>
            <w:vAlign w:val="bottom"/>
          </w:tcPr>
          <w:p w14:paraId="5DB2966A" w14:textId="77777777" w:rsidR="00E250F0" w:rsidRPr="00FB38E1" w:rsidRDefault="00E250F0" w:rsidP="00E250F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Parasal Varlıklarda Meydana Gelen Kur Farkları (*)</w:t>
            </w:r>
          </w:p>
        </w:tc>
        <w:tc>
          <w:tcPr>
            <w:tcW w:w="896" w:type="pct"/>
            <w:vAlign w:val="center"/>
          </w:tcPr>
          <w:p w14:paraId="2741382D" w14:textId="49781637"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16.098.868</w:t>
            </w:r>
          </w:p>
        </w:tc>
        <w:tc>
          <w:tcPr>
            <w:tcW w:w="895" w:type="pct"/>
            <w:vAlign w:val="center"/>
          </w:tcPr>
          <w:p w14:paraId="6A2894B8" w14:textId="2379496B"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18.577.036</w:t>
            </w:r>
          </w:p>
        </w:tc>
      </w:tr>
      <w:tr w:rsidR="00E250F0" w:rsidRPr="00FB38E1" w14:paraId="4B830646" w14:textId="31DE48A9" w:rsidTr="00D22D4F">
        <w:tc>
          <w:tcPr>
            <w:tcW w:w="3209" w:type="pct"/>
            <w:vAlign w:val="bottom"/>
          </w:tcPr>
          <w:p w14:paraId="73BED175" w14:textId="46BE9B05" w:rsidR="00E250F0" w:rsidRPr="00FB38E1" w:rsidRDefault="00E250F0" w:rsidP="00E250F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Yıl İçindeki Alımlar (**)</w:t>
            </w:r>
          </w:p>
        </w:tc>
        <w:tc>
          <w:tcPr>
            <w:tcW w:w="896" w:type="pct"/>
            <w:vAlign w:val="center"/>
          </w:tcPr>
          <w:p w14:paraId="7A765AA7" w14:textId="7A7FD034"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95" w:type="pct"/>
            <w:vAlign w:val="center"/>
          </w:tcPr>
          <w:p w14:paraId="379651DD" w14:textId="1663700E"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16.732.722</w:t>
            </w:r>
          </w:p>
        </w:tc>
      </w:tr>
      <w:tr w:rsidR="00E250F0" w:rsidRPr="00FB38E1" w14:paraId="4B3DDC37" w14:textId="1CCF564A" w:rsidTr="00D22D4F">
        <w:tc>
          <w:tcPr>
            <w:tcW w:w="3209" w:type="pct"/>
            <w:vAlign w:val="bottom"/>
          </w:tcPr>
          <w:p w14:paraId="7C948A96" w14:textId="20038BB7" w:rsidR="00E250F0" w:rsidRPr="00FB38E1" w:rsidRDefault="00E250F0" w:rsidP="00E250F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Satış ve İtfa Yolu İle Elden Çıkarılanlar</w:t>
            </w:r>
          </w:p>
        </w:tc>
        <w:tc>
          <w:tcPr>
            <w:tcW w:w="896" w:type="pct"/>
            <w:vAlign w:val="center"/>
          </w:tcPr>
          <w:p w14:paraId="6995908E" w14:textId="00684A8D"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(1.740.561)</w:t>
            </w:r>
          </w:p>
        </w:tc>
        <w:tc>
          <w:tcPr>
            <w:tcW w:w="895" w:type="pct"/>
            <w:vAlign w:val="center"/>
          </w:tcPr>
          <w:p w14:paraId="592E27E7" w14:textId="32EBCB30" w:rsidR="00E250F0" w:rsidRPr="00FB38E1" w:rsidRDefault="00E250F0" w:rsidP="00E250F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(1.100.070)</w:t>
            </w:r>
          </w:p>
        </w:tc>
      </w:tr>
      <w:tr w:rsidR="00E250F0" w:rsidRPr="00FB38E1" w14:paraId="307E9F97" w14:textId="5ABDACA5" w:rsidTr="00D22D4F">
        <w:tc>
          <w:tcPr>
            <w:tcW w:w="3209" w:type="pct"/>
            <w:vAlign w:val="bottom"/>
          </w:tcPr>
          <w:p w14:paraId="1F36041F" w14:textId="77777777" w:rsidR="00E250F0" w:rsidRPr="00FB38E1" w:rsidRDefault="00E250F0" w:rsidP="00E250F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Değer Azalışı Karşılığı (-)</w:t>
            </w:r>
          </w:p>
        </w:tc>
        <w:tc>
          <w:tcPr>
            <w:tcW w:w="896" w:type="pct"/>
            <w:vAlign w:val="center"/>
          </w:tcPr>
          <w:p w14:paraId="7648E071" w14:textId="0F708B2A"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95" w:type="pct"/>
            <w:vAlign w:val="center"/>
          </w:tcPr>
          <w:p w14:paraId="39952D14" w14:textId="6EA9E6FB"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E250F0" w:rsidRPr="00FB38E1" w14:paraId="526BD6B1" w14:textId="2AEF2AC3" w:rsidTr="00D22D4F">
        <w:tc>
          <w:tcPr>
            <w:tcW w:w="3209" w:type="pct"/>
            <w:tcBorders>
              <w:top w:val="single" w:sz="4" w:space="0" w:color="auto"/>
              <w:bottom w:val="thickThinSmallGap" w:sz="24" w:space="0" w:color="auto"/>
            </w:tcBorders>
            <w:vAlign w:val="center"/>
          </w:tcPr>
          <w:p w14:paraId="04BD287E" w14:textId="49C4CBAB" w:rsidR="00E250F0" w:rsidRPr="00FB38E1" w:rsidRDefault="00E250F0" w:rsidP="00E250F0">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Sonundaki Değer</w:t>
            </w:r>
          </w:p>
        </w:tc>
        <w:tc>
          <w:tcPr>
            <w:tcW w:w="896" w:type="pct"/>
            <w:tcBorders>
              <w:top w:val="single" w:sz="4" w:space="0" w:color="auto"/>
              <w:bottom w:val="thickThinSmallGap" w:sz="24" w:space="0" w:color="auto"/>
            </w:tcBorders>
            <w:vAlign w:val="center"/>
          </w:tcPr>
          <w:p w14:paraId="67C72BEF" w14:textId="1CA61E1D"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65.595.391</w:t>
            </w:r>
          </w:p>
        </w:tc>
        <w:tc>
          <w:tcPr>
            <w:tcW w:w="895" w:type="pct"/>
            <w:tcBorders>
              <w:top w:val="single" w:sz="4" w:space="0" w:color="auto"/>
              <w:bottom w:val="thickThinSmallGap" w:sz="24" w:space="0" w:color="auto"/>
            </w:tcBorders>
            <w:vAlign w:val="center"/>
          </w:tcPr>
          <w:p w14:paraId="34485428" w14:textId="6B4E0EBA" w:rsidR="00E250F0" w:rsidRPr="00FB38E1" w:rsidRDefault="00E250F0" w:rsidP="00E250F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51.237.084</w:t>
            </w:r>
          </w:p>
        </w:tc>
      </w:tr>
    </w:tbl>
    <w:p w14:paraId="10395EAE" w14:textId="194DDDA5" w:rsidR="00AF24AC" w:rsidRPr="00FB38E1" w:rsidRDefault="001A239B" w:rsidP="000E7940">
      <w:pPr>
        <w:tabs>
          <w:tab w:val="left" w:pos="0"/>
        </w:tabs>
        <w:spacing w:before="60" w:after="120"/>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 xml:space="preserve">(*) </w:t>
      </w:r>
      <w:r w:rsidR="00812314" w:rsidRPr="00FB38E1">
        <w:rPr>
          <w:rFonts w:ascii="Microsoft Sans Serif" w:hAnsi="Microsoft Sans Serif" w:cs="Microsoft Sans Serif"/>
          <w:color w:val="404040" w:themeColor="text1" w:themeTint="BF"/>
          <w:sz w:val="14"/>
          <w:szCs w:val="14"/>
        </w:rPr>
        <w:t>İtfa edilmiş maliyeti üzerinden değerlenen finansal varlıklara</w:t>
      </w:r>
      <w:r w:rsidRPr="00FB38E1">
        <w:rPr>
          <w:rFonts w:ascii="Microsoft Sans Serif" w:hAnsi="Microsoft Sans Serif" w:cs="Microsoft Sans Serif"/>
          <w:color w:val="404040" w:themeColor="text1" w:themeTint="BF"/>
          <w:sz w:val="14"/>
          <w:szCs w:val="14"/>
        </w:rPr>
        <w:t xml:space="preserve"> ilişkin reeskontlar “Parasal varlıklarda meydana gelen kur farkları” satırında gösterilmiştir.</w:t>
      </w:r>
    </w:p>
    <w:p w14:paraId="55C8F771" w14:textId="77777777" w:rsidR="0004350B" w:rsidRPr="00FB38E1" w:rsidRDefault="000E7940" w:rsidP="0004350B">
      <w:pPr>
        <w:tabs>
          <w:tab w:val="left" w:pos="0"/>
        </w:tabs>
        <w:spacing w:before="60" w:after="240"/>
        <w:rPr>
          <w:rFonts w:ascii="Microsoft Sans Serif" w:hAnsi="Microsoft Sans Serif" w:cs="Microsoft Sans Serif"/>
          <w:color w:val="404040" w:themeColor="text1" w:themeTint="BF"/>
          <w:sz w:val="14"/>
          <w:szCs w:val="14"/>
        </w:rPr>
      </w:pPr>
      <w:bookmarkStart w:id="50" w:name="_Hlk141970430"/>
      <w:r w:rsidRPr="00FB38E1">
        <w:rPr>
          <w:rFonts w:ascii="Microsoft Sans Serif" w:hAnsi="Microsoft Sans Serif" w:cs="Microsoft Sans Serif"/>
          <w:color w:val="404040" w:themeColor="text1" w:themeTint="BF"/>
          <w:sz w:val="14"/>
          <w:szCs w:val="14"/>
        </w:rPr>
        <w:t xml:space="preserve">(**) Banka, 2023 yılı Mayıs ayında iş modelindeki değişiklik nedeniyle 15.691.318 TL maliyet bedelli tahvili “Gerçeğe uygun değer farkı diğer kapsamlı gelire yansıtılan finansal varlıklar” kategorisinden </w:t>
      </w:r>
      <w:r w:rsidR="00204696" w:rsidRPr="00FB38E1">
        <w:rPr>
          <w:rFonts w:ascii="Microsoft Sans Serif" w:hAnsi="Microsoft Sans Serif" w:cs="Microsoft Sans Serif"/>
          <w:color w:val="404040" w:themeColor="text1" w:themeTint="BF"/>
          <w:sz w:val="14"/>
          <w:szCs w:val="14"/>
        </w:rPr>
        <w:t>“İtfa edilmiş maliyeti ile ölçülen finansal varlıklar” kategorisine sınıflandırmıştır.</w:t>
      </w:r>
      <w:bookmarkEnd w:id="50"/>
    </w:p>
    <w:p w14:paraId="77561CEA" w14:textId="44B2B0E3" w:rsidR="002E3C4F" w:rsidRPr="00FB38E1" w:rsidRDefault="002E3C4F" w:rsidP="002E3C4F">
      <w:pPr>
        <w:pStyle w:val="Head4"/>
        <w:keepNext w:val="0"/>
        <w:keepLines w:val="0"/>
        <w:tabs>
          <w:tab w:val="clear" w:pos="340"/>
        </w:tabs>
        <w:spacing w:before="240" w:line="240" w:lineRule="exact"/>
        <w:ind w:left="0" w:firstLine="0"/>
        <w:rPr>
          <w:rFonts w:ascii="Microsoft Sans Serif" w:hAnsi="Microsoft Sans Serif" w:cs="Microsoft Sans Serif"/>
          <w:b/>
          <w:i w:val="0"/>
          <w:sz w:val="20"/>
          <w:szCs w:val="20"/>
        </w:rPr>
      </w:pPr>
      <w:r w:rsidRPr="00FB38E1">
        <w:rPr>
          <w:rFonts w:ascii="Microsoft Sans Serif" w:hAnsi="Microsoft Sans Serif" w:cs="Microsoft Sans Serif"/>
          <w:b/>
          <w:i w:val="0"/>
          <w:sz w:val="20"/>
          <w:szCs w:val="20"/>
        </w:rPr>
        <w:br w:type="page"/>
      </w:r>
    </w:p>
    <w:p w14:paraId="580DEFDC" w14:textId="0FCAEF97" w:rsidR="0004350B" w:rsidRPr="00FB38E1" w:rsidRDefault="0004350B" w:rsidP="0004350B">
      <w:pPr>
        <w:pStyle w:val="Head4"/>
        <w:keepNext w:val="0"/>
        <w:keepLines w:val="0"/>
        <w:numPr>
          <w:ilvl w:val="0"/>
          <w:numId w:val="17"/>
        </w:numPr>
        <w:spacing w:before="240" w:line="240" w:lineRule="exact"/>
        <w:ind w:left="0" w:hanging="567"/>
        <w:rPr>
          <w:rFonts w:ascii="Microsoft Sans Serif" w:hAnsi="Microsoft Sans Serif" w:cs="Microsoft Sans Serif"/>
          <w:b/>
          <w:i w:val="0"/>
          <w:sz w:val="20"/>
          <w:szCs w:val="20"/>
        </w:rPr>
      </w:pPr>
      <w:r w:rsidRPr="00FB38E1">
        <w:rPr>
          <w:rFonts w:ascii="Microsoft Sans Serif" w:hAnsi="Microsoft Sans Serif" w:cs="Microsoft Sans Serif"/>
          <w:b/>
          <w:i w:val="0"/>
          <w:noProof/>
          <w:snapToGrid w:val="0"/>
          <w:sz w:val="20"/>
          <w:szCs w:val="20"/>
        </w:rPr>
        <w:t>İştiraklere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13"/>
        <w:gridCol w:w="2096"/>
        <w:gridCol w:w="2375"/>
        <w:gridCol w:w="1955"/>
      </w:tblGrid>
      <w:tr w:rsidR="0004350B" w:rsidRPr="00FB38E1" w14:paraId="4EAD0668" w14:textId="77777777" w:rsidTr="004E1B47">
        <w:tc>
          <w:tcPr>
            <w:tcW w:w="1667" w:type="pct"/>
            <w:tcBorders>
              <w:top w:val="thinThickSmallGap" w:sz="24" w:space="0" w:color="auto"/>
              <w:bottom w:val="single" w:sz="4" w:space="0" w:color="auto"/>
            </w:tcBorders>
            <w:vAlign w:val="bottom"/>
          </w:tcPr>
          <w:p w14:paraId="29B7AD61" w14:textId="77777777" w:rsidR="0004350B" w:rsidRPr="00FB38E1" w:rsidRDefault="0004350B" w:rsidP="004E1B47">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Unvanı</w:t>
            </w:r>
          </w:p>
        </w:tc>
        <w:tc>
          <w:tcPr>
            <w:tcW w:w="1087" w:type="pct"/>
            <w:tcBorders>
              <w:top w:val="thinThickSmallGap" w:sz="24" w:space="0" w:color="auto"/>
              <w:bottom w:val="single" w:sz="4" w:space="0" w:color="auto"/>
            </w:tcBorders>
            <w:vAlign w:val="bottom"/>
          </w:tcPr>
          <w:p w14:paraId="06832FA5" w14:textId="77777777" w:rsidR="0004350B" w:rsidRPr="00FB38E1" w:rsidRDefault="0004350B" w:rsidP="004E1B47">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Adres </w:t>
            </w:r>
            <w:r w:rsidRPr="00FB38E1">
              <w:rPr>
                <w:rFonts w:ascii="Microsoft Sans Serif" w:hAnsi="Microsoft Sans Serif" w:cs="Microsoft Sans Serif"/>
                <w:b/>
                <w:bCs/>
                <w:color w:val="000000"/>
                <w:sz w:val="16"/>
                <w:szCs w:val="16"/>
              </w:rPr>
              <w:br/>
              <w:t>(Şehir/ Ülke)</w:t>
            </w:r>
          </w:p>
        </w:tc>
        <w:tc>
          <w:tcPr>
            <w:tcW w:w="1232" w:type="pct"/>
            <w:tcBorders>
              <w:top w:val="thinThickSmallGap" w:sz="24" w:space="0" w:color="auto"/>
              <w:bottom w:val="single" w:sz="4" w:space="0" w:color="auto"/>
            </w:tcBorders>
            <w:vAlign w:val="bottom"/>
          </w:tcPr>
          <w:p w14:paraId="71C77267" w14:textId="77777777" w:rsidR="0004350B" w:rsidRPr="00FB38E1" w:rsidRDefault="0004350B" w:rsidP="004E1B47">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Bankanın </w:t>
            </w:r>
            <w:r w:rsidRPr="00FB38E1">
              <w:rPr>
                <w:rFonts w:ascii="Microsoft Sans Serif" w:hAnsi="Microsoft Sans Serif" w:cs="Microsoft Sans Serif"/>
                <w:b/>
                <w:bCs/>
                <w:color w:val="000000"/>
                <w:sz w:val="16"/>
                <w:szCs w:val="16"/>
              </w:rPr>
              <w:br/>
              <w:t>Pay Oranı (%)</w:t>
            </w:r>
          </w:p>
        </w:tc>
        <w:tc>
          <w:tcPr>
            <w:tcW w:w="1014" w:type="pct"/>
            <w:tcBorders>
              <w:top w:val="thinThickSmallGap" w:sz="24" w:space="0" w:color="auto"/>
              <w:bottom w:val="single" w:sz="4" w:space="0" w:color="auto"/>
            </w:tcBorders>
            <w:vAlign w:val="bottom"/>
          </w:tcPr>
          <w:p w14:paraId="0B7CD2BB" w14:textId="77777777" w:rsidR="0004350B" w:rsidRPr="00FB38E1" w:rsidRDefault="0004350B" w:rsidP="004E1B47">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Banka Risk Grubu </w:t>
            </w:r>
            <w:r w:rsidRPr="00FB38E1">
              <w:rPr>
                <w:rFonts w:ascii="Microsoft Sans Serif" w:hAnsi="Microsoft Sans Serif" w:cs="Microsoft Sans Serif"/>
                <w:b/>
                <w:bCs/>
                <w:color w:val="000000"/>
                <w:sz w:val="16"/>
                <w:szCs w:val="16"/>
              </w:rPr>
              <w:br/>
              <w:t>Pay Oranı (%)</w:t>
            </w:r>
          </w:p>
        </w:tc>
      </w:tr>
      <w:tr w:rsidR="00FC3D5C" w:rsidRPr="00FB38E1" w14:paraId="0C61AD79" w14:textId="77777777" w:rsidTr="00167824">
        <w:trPr>
          <w:trHeight w:val="71"/>
        </w:trPr>
        <w:tc>
          <w:tcPr>
            <w:tcW w:w="1667" w:type="pct"/>
            <w:tcBorders>
              <w:top w:val="single" w:sz="4" w:space="0" w:color="auto"/>
            </w:tcBorders>
            <w:vAlign w:val="center"/>
          </w:tcPr>
          <w:p w14:paraId="5EDB9FA4" w14:textId="7E8883A8" w:rsidR="00FC3D5C" w:rsidRPr="00FB38E1" w:rsidRDefault="00FC3D5C" w:rsidP="00FC3D5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1-Kredi Kayıt Bürosu A.Ş. (1)</w:t>
            </w:r>
          </w:p>
        </w:tc>
        <w:tc>
          <w:tcPr>
            <w:tcW w:w="1087" w:type="pct"/>
            <w:tcBorders>
              <w:top w:val="single" w:sz="4" w:space="0" w:color="auto"/>
            </w:tcBorders>
            <w:vAlign w:val="center"/>
          </w:tcPr>
          <w:p w14:paraId="2A884AF2" w14:textId="03B2CA83"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İstanbul/Türkiye</w:t>
            </w:r>
          </w:p>
        </w:tc>
        <w:tc>
          <w:tcPr>
            <w:tcW w:w="1232" w:type="pct"/>
            <w:tcBorders>
              <w:top w:val="single" w:sz="4" w:space="0" w:color="auto"/>
            </w:tcBorders>
            <w:vAlign w:val="center"/>
          </w:tcPr>
          <w:p w14:paraId="49AFDCC3" w14:textId="606767E7"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9,00</w:t>
            </w:r>
          </w:p>
        </w:tc>
        <w:tc>
          <w:tcPr>
            <w:tcW w:w="1014" w:type="pct"/>
            <w:tcBorders>
              <w:top w:val="single" w:sz="4" w:space="0" w:color="auto"/>
            </w:tcBorders>
            <w:vAlign w:val="center"/>
          </w:tcPr>
          <w:p w14:paraId="7AB4FD2D" w14:textId="6D94015D"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C3D5C" w:rsidRPr="00FB38E1" w14:paraId="1E78D2D6" w14:textId="77777777" w:rsidTr="00167824">
        <w:tc>
          <w:tcPr>
            <w:tcW w:w="1667" w:type="pct"/>
            <w:vAlign w:val="center"/>
          </w:tcPr>
          <w:p w14:paraId="1A48B3D5" w14:textId="7D8778C3" w:rsidR="00FC3D5C" w:rsidRPr="00FB38E1" w:rsidRDefault="00FC3D5C" w:rsidP="00FC3D5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2-Kredi Garanti Fonu A.Ş. (2)</w:t>
            </w:r>
          </w:p>
        </w:tc>
        <w:tc>
          <w:tcPr>
            <w:tcW w:w="1087" w:type="pct"/>
            <w:vAlign w:val="center"/>
          </w:tcPr>
          <w:p w14:paraId="7227A0AF" w14:textId="56EA9AAC"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Ankara/Türkiye</w:t>
            </w:r>
          </w:p>
        </w:tc>
        <w:tc>
          <w:tcPr>
            <w:tcW w:w="1232" w:type="pct"/>
            <w:vAlign w:val="center"/>
          </w:tcPr>
          <w:p w14:paraId="754C3D27" w14:textId="0EAECA55"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2,00</w:t>
            </w:r>
          </w:p>
        </w:tc>
        <w:tc>
          <w:tcPr>
            <w:tcW w:w="1014" w:type="pct"/>
            <w:vAlign w:val="center"/>
          </w:tcPr>
          <w:p w14:paraId="08D2EA72" w14:textId="034B1F3E"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C3D5C" w:rsidRPr="00FB38E1" w14:paraId="0D84ADE9" w14:textId="77777777" w:rsidTr="00167824">
        <w:tc>
          <w:tcPr>
            <w:tcW w:w="1667" w:type="pct"/>
            <w:vAlign w:val="center"/>
          </w:tcPr>
          <w:p w14:paraId="1C3D10CB" w14:textId="63FDFEC4" w:rsidR="00FC3D5C" w:rsidRPr="00FB38E1" w:rsidRDefault="00FC3D5C" w:rsidP="00FC3D5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3-Ege Tarım Ürünleri Lisanslı Dep. A.Ş. (3)</w:t>
            </w:r>
          </w:p>
        </w:tc>
        <w:tc>
          <w:tcPr>
            <w:tcW w:w="1087" w:type="pct"/>
            <w:vAlign w:val="center"/>
          </w:tcPr>
          <w:p w14:paraId="6DBA064C" w14:textId="48F581D6"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İzmir/Türkiye</w:t>
            </w:r>
          </w:p>
        </w:tc>
        <w:tc>
          <w:tcPr>
            <w:tcW w:w="1232" w:type="pct"/>
            <w:vAlign w:val="center"/>
          </w:tcPr>
          <w:p w14:paraId="1490878D" w14:textId="6F6C75BE"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9,00</w:t>
            </w:r>
          </w:p>
        </w:tc>
        <w:tc>
          <w:tcPr>
            <w:tcW w:w="1014" w:type="pct"/>
            <w:vAlign w:val="center"/>
          </w:tcPr>
          <w:p w14:paraId="07ACDC1B" w14:textId="7AB0D44C"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C3D5C" w:rsidRPr="00FB38E1" w14:paraId="29914950" w14:textId="77777777" w:rsidTr="00167824">
        <w:tc>
          <w:tcPr>
            <w:tcW w:w="1667" w:type="pct"/>
            <w:vAlign w:val="center"/>
          </w:tcPr>
          <w:p w14:paraId="36107CAA" w14:textId="1D961996" w:rsidR="00FC3D5C" w:rsidRPr="00FB38E1" w:rsidRDefault="00FC3D5C" w:rsidP="00FC3D5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4-İhracatı Geliştirme A.Ş.(2)</w:t>
            </w:r>
          </w:p>
        </w:tc>
        <w:tc>
          <w:tcPr>
            <w:tcW w:w="1087" w:type="pct"/>
            <w:vAlign w:val="center"/>
          </w:tcPr>
          <w:p w14:paraId="318B685D" w14:textId="65A4CB58"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İstanbul/Türkiye</w:t>
            </w:r>
          </w:p>
        </w:tc>
        <w:tc>
          <w:tcPr>
            <w:tcW w:w="1232" w:type="pct"/>
            <w:vAlign w:val="center"/>
          </w:tcPr>
          <w:p w14:paraId="4C2F931F" w14:textId="428F0CF4"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0,16</w:t>
            </w:r>
          </w:p>
        </w:tc>
        <w:tc>
          <w:tcPr>
            <w:tcW w:w="1014" w:type="pct"/>
            <w:vAlign w:val="center"/>
          </w:tcPr>
          <w:p w14:paraId="582BF636" w14:textId="213DCDEA"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45B657C8" w14:textId="77777777" w:rsidR="0004350B" w:rsidRPr="00FB38E1" w:rsidRDefault="0004350B" w:rsidP="0004350B">
      <w:pPr>
        <w:pStyle w:val="BASLIK2"/>
        <w:widowControl/>
        <w:spacing w:before="0" w:line="240" w:lineRule="auto"/>
        <w:ind w:firstLine="0"/>
        <w:rPr>
          <w:rFonts w:ascii="Microsoft Sans Serif" w:hAnsi="Microsoft Sans Serif" w:cs="Microsoft Sans Serif"/>
          <w:b w:val="0"/>
          <w:bCs w:val="0"/>
          <w:iCs/>
          <w:sz w:val="20"/>
          <w:szCs w:val="20"/>
        </w:rPr>
      </w:pP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82"/>
        <w:gridCol w:w="1560"/>
        <w:gridCol w:w="1369"/>
        <w:gridCol w:w="1070"/>
        <w:gridCol w:w="1070"/>
        <w:gridCol w:w="1072"/>
        <w:gridCol w:w="1072"/>
        <w:gridCol w:w="1072"/>
        <w:gridCol w:w="1072"/>
      </w:tblGrid>
      <w:tr w:rsidR="0004350B" w:rsidRPr="00FB38E1" w14:paraId="69EA7C17" w14:textId="77777777" w:rsidTr="004E1B47">
        <w:tc>
          <w:tcPr>
            <w:tcW w:w="146" w:type="pct"/>
            <w:tcBorders>
              <w:top w:val="thinThickSmallGap" w:sz="24" w:space="0" w:color="auto"/>
              <w:bottom w:val="single" w:sz="4" w:space="0" w:color="auto"/>
            </w:tcBorders>
            <w:vAlign w:val="bottom"/>
          </w:tcPr>
          <w:p w14:paraId="7F5265B3" w14:textId="77777777" w:rsidR="0004350B" w:rsidRPr="00FB38E1" w:rsidRDefault="0004350B" w:rsidP="004E1B47">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809" w:type="pct"/>
            <w:tcBorders>
              <w:top w:val="thinThickSmallGap" w:sz="24" w:space="0" w:color="auto"/>
              <w:bottom w:val="single" w:sz="4" w:space="0" w:color="auto"/>
            </w:tcBorders>
            <w:vAlign w:val="bottom"/>
          </w:tcPr>
          <w:p w14:paraId="17148043"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Aktif Toplamı</w:t>
            </w:r>
          </w:p>
        </w:tc>
        <w:tc>
          <w:tcPr>
            <w:tcW w:w="710" w:type="pct"/>
            <w:tcBorders>
              <w:top w:val="thinThickSmallGap" w:sz="24" w:space="0" w:color="auto"/>
              <w:bottom w:val="single" w:sz="4" w:space="0" w:color="auto"/>
            </w:tcBorders>
            <w:vAlign w:val="bottom"/>
          </w:tcPr>
          <w:p w14:paraId="0889441D"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Özkaynak</w:t>
            </w:r>
          </w:p>
        </w:tc>
        <w:tc>
          <w:tcPr>
            <w:tcW w:w="555" w:type="pct"/>
            <w:tcBorders>
              <w:top w:val="thinThickSmallGap" w:sz="24" w:space="0" w:color="auto"/>
              <w:bottom w:val="single" w:sz="4" w:space="0" w:color="auto"/>
            </w:tcBorders>
            <w:vAlign w:val="bottom"/>
          </w:tcPr>
          <w:p w14:paraId="1506C1BD"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Sabit Varlık Toplamı</w:t>
            </w:r>
          </w:p>
        </w:tc>
        <w:tc>
          <w:tcPr>
            <w:tcW w:w="555" w:type="pct"/>
            <w:tcBorders>
              <w:top w:val="thinThickSmallGap" w:sz="24" w:space="0" w:color="auto"/>
              <w:bottom w:val="single" w:sz="4" w:space="0" w:color="auto"/>
            </w:tcBorders>
            <w:vAlign w:val="bottom"/>
          </w:tcPr>
          <w:p w14:paraId="3F4321CA"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Faiz </w:t>
            </w:r>
            <w:r w:rsidRPr="00FB38E1">
              <w:rPr>
                <w:rFonts w:ascii="Microsoft Sans Serif" w:hAnsi="Microsoft Sans Serif" w:cs="Microsoft Sans Serif"/>
                <w:b/>
                <w:bCs/>
                <w:color w:val="000000"/>
                <w:sz w:val="16"/>
                <w:szCs w:val="16"/>
              </w:rPr>
              <w:br/>
              <w:t>Gelirleri</w:t>
            </w:r>
          </w:p>
        </w:tc>
        <w:tc>
          <w:tcPr>
            <w:tcW w:w="556" w:type="pct"/>
            <w:tcBorders>
              <w:top w:val="thinThickSmallGap" w:sz="24" w:space="0" w:color="auto"/>
              <w:bottom w:val="single" w:sz="4" w:space="0" w:color="auto"/>
            </w:tcBorders>
            <w:vAlign w:val="bottom"/>
          </w:tcPr>
          <w:p w14:paraId="0D7409B8"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Menkul Değer Gelirleri</w:t>
            </w:r>
          </w:p>
        </w:tc>
        <w:tc>
          <w:tcPr>
            <w:tcW w:w="556" w:type="pct"/>
            <w:tcBorders>
              <w:top w:val="thinThickSmallGap" w:sz="24" w:space="0" w:color="auto"/>
              <w:bottom w:val="single" w:sz="4" w:space="0" w:color="auto"/>
            </w:tcBorders>
            <w:vAlign w:val="bottom"/>
          </w:tcPr>
          <w:p w14:paraId="37A58853"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 Kar/Zararı</w:t>
            </w:r>
          </w:p>
        </w:tc>
        <w:tc>
          <w:tcPr>
            <w:tcW w:w="556" w:type="pct"/>
            <w:tcBorders>
              <w:top w:val="thinThickSmallGap" w:sz="24" w:space="0" w:color="auto"/>
              <w:bottom w:val="single" w:sz="4" w:space="0" w:color="auto"/>
            </w:tcBorders>
            <w:vAlign w:val="bottom"/>
          </w:tcPr>
          <w:p w14:paraId="646B9FA2"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 Kar/Zararı</w:t>
            </w:r>
          </w:p>
        </w:tc>
        <w:tc>
          <w:tcPr>
            <w:tcW w:w="556" w:type="pct"/>
            <w:tcBorders>
              <w:top w:val="thinThickSmallGap" w:sz="24" w:space="0" w:color="auto"/>
              <w:bottom w:val="single" w:sz="4" w:space="0" w:color="auto"/>
            </w:tcBorders>
            <w:vAlign w:val="bottom"/>
          </w:tcPr>
          <w:p w14:paraId="0FD7EEA2"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Gerçeğe Uygun Değer</w:t>
            </w:r>
          </w:p>
        </w:tc>
      </w:tr>
      <w:tr w:rsidR="00FC3D5C" w:rsidRPr="00FB38E1" w14:paraId="1EC8AF42" w14:textId="77777777" w:rsidTr="004E1B47">
        <w:tc>
          <w:tcPr>
            <w:tcW w:w="146" w:type="pct"/>
            <w:tcBorders>
              <w:top w:val="single" w:sz="4" w:space="0" w:color="auto"/>
            </w:tcBorders>
            <w:vAlign w:val="bottom"/>
          </w:tcPr>
          <w:p w14:paraId="63A763E2" w14:textId="77777777"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w:t>
            </w:r>
          </w:p>
        </w:tc>
        <w:tc>
          <w:tcPr>
            <w:tcW w:w="809" w:type="pct"/>
            <w:tcBorders>
              <w:top w:val="single" w:sz="4" w:space="0" w:color="auto"/>
            </w:tcBorders>
            <w:vAlign w:val="center"/>
          </w:tcPr>
          <w:p w14:paraId="27AFB3AA" w14:textId="3A29A7C4"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3.029.242</w:t>
            </w:r>
          </w:p>
        </w:tc>
        <w:tc>
          <w:tcPr>
            <w:tcW w:w="710" w:type="pct"/>
            <w:tcBorders>
              <w:top w:val="single" w:sz="4" w:space="0" w:color="auto"/>
            </w:tcBorders>
            <w:vAlign w:val="center"/>
          </w:tcPr>
          <w:p w14:paraId="1A8C3D14" w14:textId="4216A8F4"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827.800</w:t>
            </w:r>
          </w:p>
        </w:tc>
        <w:tc>
          <w:tcPr>
            <w:tcW w:w="555" w:type="pct"/>
            <w:tcBorders>
              <w:top w:val="single" w:sz="4" w:space="0" w:color="auto"/>
            </w:tcBorders>
            <w:vAlign w:val="center"/>
          </w:tcPr>
          <w:p w14:paraId="110FE436" w14:textId="4619BBF2"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671.223</w:t>
            </w:r>
          </w:p>
        </w:tc>
        <w:tc>
          <w:tcPr>
            <w:tcW w:w="555" w:type="pct"/>
            <w:tcBorders>
              <w:top w:val="single" w:sz="4" w:space="0" w:color="auto"/>
            </w:tcBorders>
            <w:vAlign w:val="center"/>
          </w:tcPr>
          <w:p w14:paraId="29B2AB15" w14:textId="5247B42B"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223.952</w:t>
            </w:r>
          </w:p>
        </w:tc>
        <w:tc>
          <w:tcPr>
            <w:tcW w:w="556" w:type="pct"/>
            <w:tcBorders>
              <w:top w:val="single" w:sz="4" w:space="0" w:color="auto"/>
            </w:tcBorders>
            <w:vAlign w:val="center"/>
          </w:tcPr>
          <w:p w14:paraId="465A18B3" w14:textId="23E35A02"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56" w:type="pct"/>
            <w:tcBorders>
              <w:top w:val="single" w:sz="4" w:space="0" w:color="auto"/>
            </w:tcBorders>
            <w:vAlign w:val="center"/>
          </w:tcPr>
          <w:p w14:paraId="09725D3A" w14:textId="0BD22EC5"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517.710</w:t>
            </w:r>
          </w:p>
        </w:tc>
        <w:tc>
          <w:tcPr>
            <w:tcW w:w="556" w:type="pct"/>
            <w:tcBorders>
              <w:top w:val="single" w:sz="4" w:space="0" w:color="auto"/>
            </w:tcBorders>
            <w:vAlign w:val="center"/>
          </w:tcPr>
          <w:p w14:paraId="036F3784" w14:textId="051EFBEE"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128.362</w:t>
            </w:r>
          </w:p>
        </w:tc>
        <w:tc>
          <w:tcPr>
            <w:tcW w:w="556" w:type="pct"/>
            <w:tcBorders>
              <w:top w:val="single" w:sz="4" w:space="0" w:color="auto"/>
            </w:tcBorders>
            <w:vAlign w:val="center"/>
          </w:tcPr>
          <w:p w14:paraId="5CB17454" w14:textId="51B735EE"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C3D5C" w:rsidRPr="00FB38E1" w14:paraId="7248849D" w14:textId="77777777" w:rsidTr="004E1B47">
        <w:tc>
          <w:tcPr>
            <w:tcW w:w="146" w:type="pct"/>
            <w:vAlign w:val="bottom"/>
          </w:tcPr>
          <w:p w14:paraId="13F82A4E" w14:textId="77777777"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p>
        </w:tc>
        <w:tc>
          <w:tcPr>
            <w:tcW w:w="809" w:type="pct"/>
            <w:vAlign w:val="center"/>
          </w:tcPr>
          <w:p w14:paraId="327BB613" w14:textId="26412186"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4.453.050</w:t>
            </w:r>
          </w:p>
        </w:tc>
        <w:tc>
          <w:tcPr>
            <w:tcW w:w="710" w:type="pct"/>
            <w:vAlign w:val="center"/>
          </w:tcPr>
          <w:p w14:paraId="4F04B22C" w14:textId="157B2F8B"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1.780.091</w:t>
            </w:r>
          </w:p>
        </w:tc>
        <w:tc>
          <w:tcPr>
            <w:tcW w:w="555" w:type="pct"/>
            <w:vAlign w:val="center"/>
          </w:tcPr>
          <w:p w14:paraId="02340F77" w14:textId="5513A33E"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38.063</w:t>
            </w:r>
          </w:p>
        </w:tc>
        <w:tc>
          <w:tcPr>
            <w:tcW w:w="555" w:type="pct"/>
            <w:vAlign w:val="center"/>
          </w:tcPr>
          <w:p w14:paraId="2241F4AA" w14:textId="2673371C"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473.046</w:t>
            </w:r>
          </w:p>
        </w:tc>
        <w:tc>
          <w:tcPr>
            <w:tcW w:w="556" w:type="pct"/>
            <w:vAlign w:val="center"/>
          </w:tcPr>
          <w:p w14:paraId="5753EC95" w14:textId="40BBD3E7"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56" w:type="pct"/>
            <w:vAlign w:val="center"/>
          </w:tcPr>
          <w:p w14:paraId="49A80444" w14:textId="6F04B02B"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(50.232)</w:t>
            </w:r>
          </w:p>
        </w:tc>
        <w:tc>
          <w:tcPr>
            <w:tcW w:w="556" w:type="pct"/>
            <w:vAlign w:val="center"/>
          </w:tcPr>
          <w:p w14:paraId="4DB8935F" w14:textId="42285564"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(262.350)</w:t>
            </w:r>
          </w:p>
        </w:tc>
        <w:tc>
          <w:tcPr>
            <w:tcW w:w="556" w:type="pct"/>
            <w:vAlign w:val="center"/>
          </w:tcPr>
          <w:p w14:paraId="3CFA8837" w14:textId="38152D2B"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C3D5C" w:rsidRPr="00FB38E1" w14:paraId="0DF6F9D5" w14:textId="77777777" w:rsidTr="004E1B47">
        <w:tc>
          <w:tcPr>
            <w:tcW w:w="146" w:type="pct"/>
            <w:vAlign w:val="bottom"/>
          </w:tcPr>
          <w:p w14:paraId="631464AF" w14:textId="77777777"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w:t>
            </w:r>
          </w:p>
        </w:tc>
        <w:tc>
          <w:tcPr>
            <w:tcW w:w="809" w:type="pct"/>
            <w:vAlign w:val="center"/>
          </w:tcPr>
          <w:p w14:paraId="20676BE9" w14:textId="08536020"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218.373</w:t>
            </w:r>
          </w:p>
        </w:tc>
        <w:tc>
          <w:tcPr>
            <w:tcW w:w="710" w:type="pct"/>
            <w:vAlign w:val="center"/>
          </w:tcPr>
          <w:p w14:paraId="3AA3976C" w14:textId="41B30D93"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165.402</w:t>
            </w:r>
          </w:p>
        </w:tc>
        <w:tc>
          <w:tcPr>
            <w:tcW w:w="555" w:type="pct"/>
            <w:vAlign w:val="center"/>
          </w:tcPr>
          <w:p w14:paraId="30F4D28B" w14:textId="1ADAD63E"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172.951</w:t>
            </w:r>
          </w:p>
        </w:tc>
        <w:tc>
          <w:tcPr>
            <w:tcW w:w="555" w:type="pct"/>
            <w:vAlign w:val="center"/>
          </w:tcPr>
          <w:p w14:paraId="3B3DDCD6" w14:textId="088ABB46"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4.267</w:t>
            </w:r>
          </w:p>
        </w:tc>
        <w:tc>
          <w:tcPr>
            <w:tcW w:w="556" w:type="pct"/>
            <w:vAlign w:val="center"/>
          </w:tcPr>
          <w:p w14:paraId="4F4DDC60" w14:textId="0C193D8A"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56" w:type="pct"/>
            <w:vAlign w:val="center"/>
          </w:tcPr>
          <w:p w14:paraId="790C3885" w14:textId="10C0861F"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15.998</w:t>
            </w:r>
          </w:p>
        </w:tc>
        <w:tc>
          <w:tcPr>
            <w:tcW w:w="556" w:type="pct"/>
            <w:vAlign w:val="center"/>
          </w:tcPr>
          <w:p w14:paraId="64E14ADD" w14:textId="489A46F3"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14.217</w:t>
            </w:r>
          </w:p>
        </w:tc>
        <w:tc>
          <w:tcPr>
            <w:tcW w:w="556" w:type="pct"/>
            <w:vAlign w:val="center"/>
          </w:tcPr>
          <w:p w14:paraId="3201E690" w14:textId="6FF19722"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C3D5C" w:rsidRPr="00FB38E1" w14:paraId="6139F4A4" w14:textId="77777777" w:rsidTr="004E1B47">
        <w:tc>
          <w:tcPr>
            <w:tcW w:w="146" w:type="pct"/>
            <w:vAlign w:val="bottom"/>
          </w:tcPr>
          <w:p w14:paraId="56DB19D9" w14:textId="77777777" w:rsidR="00FC3D5C" w:rsidRPr="00FB38E1" w:rsidRDefault="00FC3D5C" w:rsidP="00FC3D5C">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w:t>
            </w:r>
          </w:p>
        </w:tc>
        <w:tc>
          <w:tcPr>
            <w:tcW w:w="809" w:type="pct"/>
            <w:vAlign w:val="center"/>
          </w:tcPr>
          <w:p w14:paraId="2E7B7FE3" w14:textId="07DFFDD3"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7.805.520</w:t>
            </w:r>
          </w:p>
        </w:tc>
        <w:tc>
          <w:tcPr>
            <w:tcW w:w="710" w:type="pct"/>
            <w:vAlign w:val="center"/>
          </w:tcPr>
          <w:p w14:paraId="52E5EA13" w14:textId="5C0CE908"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7.020.592</w:t>
            </w:r>
          </w:p>
        </w:tc>
        <w:tc>
          <w:tcPr>
            <w:tcW w:w="555" w:type="pct"/>
            <w:vAlign w:val="center"/>
          </w:tcPr>
          <w:p w14:paraId="5951C719" w14:textId="2D7DF82B"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48.247</w:t>
            </w:r>
          </w:p>
        </w:tc>
        <w:tc>
          <w:tcPr>
            <w:tcW w:w="555" w:type="pct"/>
            <w:vAlign w:val="center"/>
          </w:tcPr>
          <w:p w14:paraId="314FEF03" w14:textId="0B79979E"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2.550.138</w:t>
            </w:r>
          </w:p>
        </w:tc>
        <w:tc>
          <w:tcPr>
            <w:tcW w:w="556" w:type="pct"/>
            <w:vAlign w:val="center"/>
          </w:tcPr>
          <w:p w14:paraId="62911344" w14:textId="4B75AA9E"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56" w:type="pct"/>
            <w:vAlign w:val="center"/>
          </w:tcPr>
          <w:p w14:paraId="729CF4FC" w14:textId="5993E073"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(485.859)</w:t>
            </w:r>
          </w:p>
        </w:tc>
        <w:tc>
          <w:tcPr>
            <w:tcW w:w="556" w:type="pct"/>
            <w:vAlign w:val="center"/>
          </w:tcPr>
          <w:p w14:paraId="0A6F6D39" w14:textId="0E1DFAE7"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(783.738)</w:t>
            </w:r>
          </w:p>
        </w:tc>
        <w:tc>
          <w:tcPr>
            <w:tcW w:w="556" w:type="pct"/>
            <w:vAlign w:val="center"/>
          </w:tcPr>
          <w:p w14:paraId="6FBDD8FA" w14:textId="3CA77FCC" w:rsidR="00FC3D5C" w:rsidRPr="00FB38E1" w:rsidRDefault="00FC3D5C" w:rsidP="00FC3D5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076B214E" w14:textId="399E60C6" w:rsidR="0004350B" w:rsidRPr="00FB38E1" w:rsidRDefault="0004350B" w:rsidP="0004350B">
      <w:pPr>
        <w:pStyle w:val="BASLIK2"/>
        <w:widowControl/>
        <w:tabs>
          <w:tab w:val="left" w:pos="284"/>
        </w:tabs>
        <w:spacing w:before="60" w:after="0" w:line="240" w:lineRule="auto"/>
        <w:ind w:firstLine="0"/>
        <w:rPr>
          <w:rFonts w:ascii="Microsoft Sans Serif" w:hAnsi="Microsoft Sans Serif" w:cs="Microsoft Sans Serif"/>
          <w:b w:val="0"/>
          <w:bCs w:val="0"/>
          <w:color w:val="404040" w:themeColor="text1" w:themeTint="BF"/>
          <w:sz w:val="14"/>
          <w:szCs w:val="14"/>
        </w:rPr>
      </w:pPr>
      <w:r w:rsidRPr="00FB38E1">
        <w:rPr>
          <w:rFonts w:ascii="Microsoft Sans Serif" w:hAnsi="Microsoft Sans Serif" w:cs="Microsoft Sans Serif"/>
          <w:b w:val="0"/>
          <w:bCs w:val="0"/>
          <w:color w:val="404040" w:themeColor="text1" w:themeTint="BF"/>
          <w:sz w:val="14"/>
          <w:szCs w:val="14"/>
          <w:vertAlign w:val="superscript"/>
        </w:rPr>
        <w:t xml:space="preserve">(1) </w:t>
      </w:r>
      <w:r w:rsidRPr="00FB38E1">
        <w:rPr>
          <w:rFonts w:ascii="Microsoft Sans Serif" w:hAnsi="Microsoft Sans Serif" w:cs="Microsoft Sans Serif"/>
          <w:b w:val="0"/>
          <w:bCs w:val="0"/>
          <w:color w:val="404040" w:themeColor="text1" w:themeTint="BF"/>
          <w:sz w:val="14"/>
          <w:szCs w:val="14"/>
        </w:rPr>
        <w:t xml:space="preserve">Finansal tablo bilgileri </w:t>
      </w:r>
      <w:r w:rsidR="00FF580C" w:rsidRPr="00FB38E1">
        <w:rPr>
          <w:rFonts w:ascii="Microsoft Sans Serif" w:hAnsi="Microsoft Sans Serif" w:cs="Microsoft Sans Serif"/>
          <w:b w:val="0"/>
          <w:bCs w:val="0"/>
          <w:color w:val="404040" w:themeColor="text1" w:themeTint="BF"/>
          <w:sz w:val="14"/>
          <w:szCs w:val="14"/>
        </w:rPr>
        <w:t xml:space="preserve">30 </w:t>
      </w:r>
      <w:r w:rsidR="00FC3D5C" w:rsidRPr="00FB38E1">
        <w:rPr>
          <w:rFonts w:ascii="Microsoft Sans Serif" w:hAnsi="Microsoft Sans Serif" w:cs="Microsoft Sans Serif"/>
          <w:b w:val="0"/>
          <w:bCs w:val="0"/>
          <w:color w:val="404040" w:themeColor="text1" w:themeTint="BF"/>
          <w:sz w:val="14"/>
          <w:szCs w:val="14"/>
        </w:rPr>
        <w:t>Eylül</w:t>
      </w:r>
      <w:r w:rsidR="00FF580C" w:rsidRPr="00FB38E1">
        <w:rPr>
          <w:rFonts w:ascii="Microsoft Sans Serif" w:hAnsi="Microsoft Sans Serif" w:cs="Microsoft Sans Serif"/>
          <w:b w:val="0"/>
          <w:bCs w:val="0"/>
          <w:color w:val="404040" w:themeColor="text1" w:themeTint="BF"/>
          <w:sz w:val="14"/>
          <w:szCs w:val="14"/>
        </w:rPr>
        <w:t xml:space="preserve"> 2024 </w:t>
      </w:r>
      <w:r w:rsidRPr="00FB38E1">
        <w:rPr>
          <w:rFonts w:ascii="Microsoft Sans Serif" w:hAnsi="Microsoft Sans Serif" w:cs="Microsoft Sans Serif"/>
          <w:b w:val="0"/>
          <w:bCs w:val="0"/>
          <w:color w:val="404040" w:themeColor="text1" w:themeTint="BF"/>
          <w:sz w:val="14"/>
          <w:szCs w:val="14"/>
        </w:rPr>
        <w:t xml:space="preserve">tarihinde sona eren hesap dönemine aittir. </w:t>
      </w:r>
    </w:p>
    <w:p w14:paraId="33E96C20" w14:textId="26C32E90" w:rsidR="0004350B" w:rsidRPr="00FB38E1" w:rsidRDefault="0004350B" w:rsidP="0004350B">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FB38E1">
        <w:rPr>
          <w:rFonts w:ascii="Microsoft Sans Serif" w:hAnsi="Microsoft Sans Serif" w:cs="Microsoft Sans Serif"/>
          <w:b w:val="0"/>
          <w:color w:val="404040"/>
          <w:sz w:val="14"/>
          <w:szCs w:val="14"/>
          <w:vertAlign w:val="superscript"/>
        </w:rPr>
        <w:t>(2)</w:t>
      </w:r>
      <w:r w:rsidRPr="00FB38E1">
        <w:rPr>
          <w:rFonts w:ascii="Microsoft Sans Serif" w:hAnsi="Microsoft Sans Serif" w:cs="Microsoft Sans Serif"/>
          <w:color w:val="404040"/>
          <w:sz w:val="14"/>
          <w:szCs w:val="14"/>
          <w:vertAlign w:val="superscript"/>
        </w:rPr>
        <w:t xml:space="preserve"> </w:t>
      </w:r>
      <w:r w:rsidR="0087001E" w:rsidRPr="00FB38E1">
        <w:rPr>
          <w:rFonts w:ascii="Microsoft Sans Serif" w:hAnsi="Microsoft Sans Serif" w:cs="Microsoft Sans Serif"/>
          <w:b w:val="0"/>
          <w:bCs w:val="0"/>
          <w:color w:val="404040" w:themeColor="text1" w:themeTint="BF"/>
          <w:sz w:val="14"/>
          <w:szCs w:val="14"/>
        </w:rPr>
        <w:t xml:space="preserve">Finansal tablo bilgileri </w:t>
      </w:r>
      <w:r w:rsidR="00FF580C" w:rsidRPr="00FB38E1">
        <w:rPr>
          <w:rFonts w:ascii="Microsoft Sans Serif" w:hAnsi="Microsoft Sans Serif" w:cs="Microsoft Sans Serif"/>
          <w:b w:val="0"/>
          <w:bCs w:val="0"/>
          <w:color w:val="404040" w:themeColor="text1" w:themeTint="BF"/>
          <w:sz w:val="14"/>
          <w:szCs w:val="14"/>
        </w:rPr>
        <w:t xml:space="preserve">31 Aralık 2023 </w:t>
      </w:r>
      <w:r w:rsidRPr="00FB38E1">
        <w:rPr>
          <w:rFonts w:ascii="Microsoft Sans Serif" w:hAnsi="Microsoft Sans Serif" w:cs="Microsoft Sans Serif"/>
          <w:b w:val="0"/>
          <w:bCs w:val="0"/>
          <w:color w:val="404040" w:themeColor="text1" w:themeTint="BF"/>
          <w:sz w:val="14"/>
          <w:szCs w:val="14"/>
        </w:rPr>
        <w:t>tarihinde sona eren hesap dönemine aittir.</w:t>
      </w:r>
    </w:p>
    <w:p w14:paraId="36FC6048" w14:textId="0C1AB7CC" w:rsidR="00FF580C" w:rsidRPr="00FB38E1" w:rsidRDefault="00FF580C" w:rsidP="0004350B">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FB38E1">
        <w:rPr>
          <w:rFonts w:ascii="Microsoft Sans Serif" w:hAnsi="Microsoft Sans Serif" w:cs="Microsoft Sans Serif"/>
          <w:b w:val="0"/>
          <w:color w:val="404040"/>
          <w:sz w:val="14"/>
          <w:szCs w:val="14"/>
          <w:vertAlign w:val="superscript"/>
        </w:rPr>
        <w:t>(2)</w:t>
      </w:r>
      <w:r w:rsidRPr="00FB38E1">
        <w:rPr>
          <w:rFonts w:ascii="Microsoft Sans Serif" w:hAnsi="Microsoft Sans Serif" w:cs="Microsoft Sans Serif"/>
          <w:color w:val="404040"/>
          <w:sz w:val="14"/>
          <w:szCs w:val="14"/>
          <w:vertAlign w:val="superscript"/>
        </w:rPr>
        <w:t xml:space="preserve"> </w:t>
      </w:r>
      <w:r w:rsidRPr="00FB38E1">
        <w:rPr>
          <w:rFonts w:ascii="Microsoft Sans Serif" w:hAnsi="Microsoft Sans Serif" w:cs="Microsoft Sans Serif"/>
          <w:b w:val="0"/>
          <w:bCs w:val="0"/>
          <w:color w:val="404040" w:themeColor="text1" w:themeTint="BF"/>
          <w:sz w:val="14"/>
          <w:szCs w:val="14"/>
        </w:rPr>
        <w:t xml:space="preserve">Finansal tablo bilgileri </w:t>
      </w:r>
      <w:r w:rsidR="00312E64" w:rsidRPr="00FB38E1">
        <w:rPr>
          <w:rFonts w:ascii="Microsoft Sans Serif" w:hAnsi="Microsoft Sans Serif" w:cs="Microsoft Sans Serif"/>
          <w:b w:val="0"/>
          <w:bCs w:val="0"/>
          <w:color w:val="404040" w:themeColor="text1" w:themeTint="BF"/>
          <w:sz w:val="14"/>
          <w:szCs w:val="14"/>
        </w:rPr>
        <w:t>3</w:t>
      </w:r>
      <w:r w:rsidR="00FC3D5C" w:rsidRPr="00FB38E1">
        <w:rPr>
          <w:rFonts w:ascii="Microsoft Sans Serif" w:hAnsi="Microsoft Sans Serif" w:cs="Microsoft Sans Serif"/>
          <w:b w:val="0"/>
          <w:bCs w:val="0"/>
          <w:color w:val="404040" w:themeColor="text1" w:themeTint="BF"/>
          <w:sz w:val="14"/>
          <w:szCs w:val="14"/>
        </w:rPr>
        <w:t>1</w:t>
      </w:r>
      <w:r w:rsidR="00AD2A6F" w:rsidRPr="00FB38E1">
        <w:rPr>
          <w:rFonts w:ascii="Microsoft Sans Serif" w:hAnsi="Microsoft Sans Serif" w:cs="Microsoft Sans Serif"/>
          <w:b w:val="0"/>
          <w:bCs w:val="0"/>
          <w:color w:val="404040" w:themeColor="text1" w:themeTint="BF"/>
          <w:sz w:val="14"/>
          <w:szCs w:val="14"/>
        </w:rPr>
        <w:t xml:space="preserve"> </w:t>
      </w:r>
      <w:r w:rsidR="00FC3D5C" w:rsidRPr="00FB38E1">
        <w:rPr>
          <w:rFonts w:ascii="Microsoft Sans Serif" w:hAnsi="Microsoft Sans Serif" w:cs="Microsoft Sans Serif"/>
          <w:b w:val="0"/>
          <w:bCs w:val="0"/>
          <w:color w:val="404040" w:themeColor="text1" w:themeTint="BF"/>
          <w:sz w:val="14"/>
          <w:szCs w:val="14"/>
        </w:rPr>
        <w:t>Aralık</w:t>
      </w:r>
      <w:r w:rsidR="00AD2A6F" w:rsidRPr="00FB38E1">
        <w:rPr>
          <w:rFonts w:ascii="Microsoft Sans Serif" w:hAnsi="Microsoft Sans Serif" w:cs="Microsoft Sans Serif"/>
          <w:b w:val="0"/>
          <w:bCs w:val="0"/>
          <w:color w:val="404040" w:themeColor="text1" w:themeTint="BF"/>
          <w:sz w:val="14"/>
          <w:szCs w:val="14"/>
        </w:rPr>
        <w:t xml:space="preserve"> 2024 </w:t>
      </w:r>
      <w:r w:rsidRPr="00FB38E1">
        <w:rPr>
          <w:rFonts w:ascii="Microsoft Sans Serif" w:hAnsi="Microsoft Sans Serif" w:cs="Microsoft Sans Serif"/>
          <w:b w:val="0"/>
          <w:bCs w:val="0"/>
          <w:color w:val="404040" w:themeColor="text1" w:themeTint="BF"/>
          <w:sz w:val="14"/>
          <w:szCs w:val="14"/>
        </w:rPr>
        <w:t>tarihinde sona eren hesap dönemine aittir.</w:t>
      </w:r>
    </w:p>
    <w:p w14:paraId="51DF620E" w14:textId="4BF82B35" w:rsidR="00E6614A" w:rsidRPr="00FB38E1" w:rsidRDefault="0065234F" w:rsidP="0065502D">
      <w:pPr>
        <w:pStyle w:val="BASLIK2"/>
        <w:widowControl/>
        <w:numPr>
          <w:ilvl w:val="0"/>
          <w:numId w:val="17"/>
        </w:numPr>
        <w:spacing w:line="240" w:lineRule="exact"/>
        <w:ind w:left="0" w:hanging="567"/>
        <w:rPr>
          <w:rFonts w:ascii="Microsoft Sans Serif" w:hAnsi="Microsoft Sans Serif" w:cs="Microsoft Sans Serif"/>
          <w:bCs w:val="0"/>
          <w:iCs/>
          <w:sz w:val="20"/>
          <w:szCs w:val="20"/>
        </w:rPr>
      </w:pPr>
      <w:r w:rsidRPr="00FB38E1">
        <w:rPr>
          <w:rFonts w:ascii="Microsoft Sans Serif" w:hAnsi="Microsoft Sans Serif" w:cs="Microsoft Sans Serif"/>
          <w:noProof/>
          <w:snapToGrid w:val="0"/>
          <w:sz w:val="20"/>
          <w:szCs w:val="20"/>
        </w:rPr>
        <w:t>Bağlı ortaklıklara ilişkin bilgiler</w:t>
      </w:r>
    </w:p>
    <w:p w14:paraId="01C18A3B" w14:textId="77777777" w:rsidR="0065234F" w:rsidRPr="00FB38E1" w:rsidRDefault="0065234F" w:rsidP="00076C9E">
      <w:pPr>
        <w:pStyle w:val="BASLIK2"/>
        <w:widowControl/>
        <w:numPr>
          <w:ilvl w:val="0"/>
          <w:numId w:val="25"/>
        </w:numPr>
        <w:spacing w:before="120" w:line="240" w:lineRule="exact"/>
        <w:ind w:left="0" w:hanging="425"/>
        <w:rPr>
          <w:rFonts w:ascii="Microsoft Sans Serif" w:hAnsi="Microsoft Sans Serif" w:cs="Microsoft Sans Serif"/>
          <w:bCs w:val="0"/>
          <w:iCs/>
          <w:sz w:val="20"/>
          <w:szCs w:val="20"/>
        </w:rPr>
      </w:pPr>
      <w:r w:rsidRPr="00FB38E1">
        <w:rPr>
          <w:rFonts w:ascii="Microsoft Sans Serif" w:hAnsi="Microsoft Sans Serif" w:cs="Microsoft Sans Serif"/>
          <w:iCs/>
          <w:sz w:val="20"/>
          <w:szCs w:val="20"/>
          <w:lang w:val="pt-BR"/>
        </w:rPr>
        <w:t>Önemli büyüklükteki bağlı ortaklıkların özkaynak kalemlerine ilişkin bilgiler</w:t>
      </w:r>
    </w:p>
    <w:p w14:paraId="78E0B66C" w14:textId="4DF6E64E" w:rsidR="0065234F" w:rsidRPr="00FB38E1" w:rsidRDefault="0065234F" w:rsidP="002010A3">
      <w:pPr>
        <w:pStyle w:val="BASLIK2"/>
        <w:widowControl/>
        <w:spacing w:before="120" w:line="220" w:lineRule="atLeast"/>
        <w:ind w:firstLine="0"/>
        <w:rPr>
          <w:rFonts w:ascii="Microsoft Sans Serif" w:hAnsi="Microsoft Sans Serif" w:cs="Microsoft Sans Serif"/>
          <w:b w:val="0"/>
          <w:iCs/>
          <w:color w:val="404040" w:themeColor="text1" w:themeTint="BF"/>
          <w:sz w:val="20"/>
          <w:szCs w:val="20"/>
          <w:lang w:val="pt-BR"/>
        </w:rPr>
      </w:pPr>
      <w:r w:rsidRPr="00FB38E1">
        <w:rPr>
          <w:rFonts w:ascii="Microsoft Sans Serif" w:hAnsi="Microsoft Sans Serif" w:cs="Microsoft Sans Serif"/>
          <w:b w:val="0"/>
          <w:iCs/>
          <w:color w:val="404040" w:themeColor="text1" w:themeTint="BF"/>
          <w:sz w:val="20"/>
          <w:szCs w:val="20"/>
          <w:lang w:val="pt-BR"/>
        </w:rPr>
        <w:t xml:space="preserve">Aşağıdaki tutarlar Denizbank AG’nin tabi olduğu mevzuat çerçevesinde hazırlanmış </w:t>
      </w:r>
      <w:r w:rsidR="00AD2A6F" w:rsidRPr="00FB38E1">
        <w:rPr>
          <w:rFonts w:ascii="Microsoft Sans Serif" w:hAnsi="Microsoft Sans Serif" w:cs="Microsoft Sans Serif"/>
          <w:b w:val="0"/>
          <w:iCs/>
          <w:color w:val="404040" w:themeColor="text1" w:themeTint="BF"/>
          <w:sz w:val="20"/>
          <w:szCs w:val="20"/>
          <w:lang w:val="pt-BR"/>
        </w:rPr>
        <w:t xml:space="preserve">31 Aralık 2024 </w:t>
      </w:r>
      <w:r w:rsidRPr="00FB38E1">
        <w:rPr>
          <w:rFonts w:ascii="Microsoft Sans Serif" w:hAnsi="Microsoft Sans Serif" w:cs="Microsoft Sans Serif"/>
          <w:b w:val="0"/>
          <w:iCs/>
          <w:color w:val="404040" w:themeColor="text1" w:themeTint="BF"/>
          <w:sz w:val="20"/>
          <w:szCs w:val="20"/>
          <w:lang w:val="pt-BR"/>
        </w:rPr>
        <w:t>tarihli finansal verilerinden elde edilmiştir.</w:t>
      </w:r>
      <w:r w:rsidR="00EF69AB" w:rsidRPr="00FB38E1">
        <w:rPr>
          <w:rFonts w:ascii="Microsoft Sans Serif" w:hAnsi="Microsoft Sans Serif" w:cs="Microsoft Sans Serif"/>
          <w:b w:val="0"/>
          <w:iCs/>
          <w:color w:val="404040" w:themeColor="text1" w:themeTint="BF"/>
          <w:sz w:val="20"/>
          <w:szCs w:val="20"/>
          <w:lang w:val="pt-BR"/>
        </w:rPr>
        <w:t xml:space="preserve">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119"/>
        <w:gridCol w:w="6520"/>
      </w:tblGrid>
      <w:tr w:rsidR="0065234F" w:rsidRPr="00FB38E1" w14:paraId="4FFFE633" w14:textId="77777777" w:rsidTr="00834CE0">
        <w:tc>
          <w:tcPr>
            <w:tcW w:w="1618" w:type="pct"/>
            <w:tcBorders>
              <w:top w:val="thinThickSmallGap" w:sz="24" w:space="0" w:color="auto"/>
              <w:bottom w:val="single" w:sz="4" w:space="0" w:color="auto"/>
            </w:tcBorders>
            <w:vAlign w:val="center"/>
          </w:tcPr>
          <w:p w14:paraId="5FC347E5" w14:textId="77777777" w:rsidR="0065234F" w:rsidRPr="00FB38E1" w:rsidRDefault="0065234F">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3382" w:type="pct"/>
            <w:tcBorders>
              <w:top w:val="thinThickSmallGap" w:sz="24" w:space="0" w:color="auto"/>
              <w:bottom w:val="single" w:sz="4" w:space="0" w:color="auto"/>
            </w:tcBorders>
            <w:vAlign w:val="center"/>
          </w:tcPr>
          <w:p w14:paraId="61A9F3EE" w14:textId="77777777" w:rsidR="0065234F" w:rsidRPr="00FB38E1" w:rsidRDefault="0065234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Denizbank AG</w:t>
            </w:r>
          </w:p>
        </w:tc>
      </w:tr>
      <w:tr w:rsidR="00C838CD" w:rsidRPr="00FB38E1" w14:paraId="097BD4E7" w14:textId="77777777" w:rsidTr="001B7C2F">
        <w:tc>
          <w:tcPr>
            <w:tcW w:w="1618" w:type="pct"/>
            <w:tcBorders>
              <w:top w:val="single" w:sz="4" w:space="0" w:color="auto"/>
            </w:tcBorders>
            <w:vAlign w:val="center"/>
          </w:tcPr>
          <w:p w14:paraId="272F0C38" w14:textId="77777777" w:rsidR="00C838CD" w:rsidRPr="00FB38E1" w:rsidRDefault="00C838CD" w:rsidP="00C838C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Ödenmiş Sermaye</w:t>
            </w:r>
          </w:p>
        </w:tc>
        <w:tc>
          <w:tcPr>
            <w:tcW w:w="3382" w:type="pct"/>
            <w:tcBorders>
              <w:top w:val="single" w:sz="4" w:space="0" w:color="auto"/>
            </w:tcBorders>
            <w:shd w:val="clear" w:color="auto" w:fill="auto"/>
            <w:vAlign w:val="center"/>
          </w:tcPr>
          <w:p w14:paraId="52F48414" w14:textId="3D8F29A8" w:rsidR="00C838CD" w:rsidRPr="00FB38E1" w:rsidRDefault="00C838CD" w:rsidP="00C838C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8.516.598</w:t>
            </w:r>
          </w:p>
        </w:tc>
      </w:tr>
      <w:tr w:rsidR="00C838CD" w:rsidRPr="00FB38E1" w14:paraId="6616EA4A" w14:textId="77777777" w:rsidTr="001B7C2F">
        <w:tc>
          <w:tcPr>
            <w:tcW w:w="1618" w:type="pct"/>
            <w:vAlign w:val="center"/>
          </w:tcPr>
          <w:p w14:paraId="6EA34907" w14:textId="77777777" w:rsidR="00C838CD" w:rsidRPr="00FB38E1" w:rsidRDefault="00C838CD" w:rsidP="00C838C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Hisse Senedi İhraç Primleri</w:t>
            </w:r>
          </w:p>
        </w:tc>
        <w:tc>
          <w:tcPr>
            <w:tcW w:w="3382" w:type="pct"/>
            <w:shd w:val="clear" w:color="auto" w:fill="auto"/>
            <w:vAlign w:val="center"/>
          </w:tcPr>
          <w:p w14:paraId="09358AB5" w14:textId="7B289493" w:rsidR="00C838CD" w:rsidRPr="00FB38E1" w:rsidRDefault="00C838CD" w:rsidP="00C838C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12.513.316</w:t>
            </w:r>
          </w:p>
        </w:tc>
      </w:tr>
      <w:tr w:rsidR="00C838CD" w:rsidRPr="00FB38E1" w14:paraId="46516026" w14:textId="77777777" w:rsidTr="001B7C2F">
        <w:tc>
          <w:tcPr>
            <w:tcW w:w="1618" w:type="pct"/>
            <w:vAlign w:val="center"/>
          </w:tcPr>
          <w:p w14:paraId="1826FCFD" w14:textId="77777777" w:rsidR="00C838CD" w:rsidRPr="00FB38E1" w:rsidRDefault="00C838CD" w:rsidP="00C838C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Yedekler</w:t>
            </w:r>
          </w:p>
        </w:tc>
        <w:tc>
          <w:tcPr>
            <w:tcW w:w="3382" w:type="pct"/>
            <w:shd w:val="clear" w:color="auto" w:fill="auto"/>
            <w:vAlign w:val="center"/>
          </w:tcPr>
          <w:p w14:paraId="2AC4432A" w14:textId="4E0EFE8D" w:rsidR="00C838CD" w:rsidRPr="00FB38E1" w:rsidRDefault="00C838CD" w:rsidP="00C838C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24.770.446</w:t>
            </w:r>
          </w:p>
        </w:tc>
      </w:tr>
      <w:tr w:rsidR="00C838CD" w:rsidRPr="00FB38E1" w14:paraId="05225476" w14:textId="77777777" w:rsidTr="001B7C2F">
        <w:tc>
          <w:tcPr>
            <w:tcW w:w="1618" w:type="pct"/>
            <w:vAlign w:val="center"/>
          </w:tcPr>
          <w:p w14:paraId="3AE26CFE" w14:textId="77777777" w:rsidR="00C838CD" w:rsidRPr="00FB38E1" w:rsidRDefault="00C838CD" w:rsidP="00C838C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Sermayeden indirilecek değerler</w:t>
            </w:r>
          </w:p>
        </w:tc>
        <w:tc>
          <w:tcPr>
            <w:tcW w:w="3382" w:type="pct"/>
            <w:shd w:val="clear" w:color="auto" w:fill="auto"/>
            <w:vAlign w:val="center"/>
          </w:tcPr>
          <w:p w14:paraId="1B7C284A" w14:textId="600BA7F0" w:rsidR="00C838CD" w:rsidRPr="00FB38E1" w:rsidRDefault="00C838CD" w:rsidP="00C838C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65.688</w:t>
            </w:r>
          </w:p>
        </w:tc>
      </w:tr>
      <w:tr w:rsidR="00C838CD" w:rsidRPr="00FB38E1" w14:paraId="4E5D7D13" w14:textId="77777777" w:rsidTr="001B7C2F">
        <w:tc>
          <w:tcPr>
            <w:tcW w:w="1618" w:type="pct"/>
            <w:vAlign w:val="center"/>
          </w:tcPr>
          <w:p w14:paraId="110EE17A" w14:textId="77777777" w:rsidR="00C838CD" w:rsidRPr="00FB38E1" w:rsidRDefault="00C838CD" w:rsidP="00C838CD">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Çekirdek Sermaye Toplamı</w:t>
            </w:r>
          </w:p>
        </w:tc>
        <w:tc>
          <w:tcPr>
            <w:tcW w:w="3382" w:type="pct"/>
            <w:shd w:val="clear" w:color="auto" w:fill="auto"/>
            <w:vAlign w:val="center"/>
          </w:tcPr>
          <w:p w14:paraId="02ECB80D" w14:textId="57A74ABE" w:rsidR="00C838CD" w:rsidRPr="00FB38E1" w:rsidRDefault="00C838CD" w:rsidP="00C838C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45.734.672</w:t>
            </w:r>
          </w:p>
        </w:tc>
      </w:tr>
      <w:tr w:rsidR="00C838CD" w:rsidRPr="00FB38E1" w14:paraId="229B4FEE" w14:textId="77777777" w:rsidTr="001B7C2F">
        <w:tc>
          <w:tcPr>
            <w:tcW w:w="1618" w:type="pct"/>
            <w:vAlign w:val="center"/>
          </w:tcPr>
          <w:p w14:paraId="73941E23" w14:textId="77777777" w:rsidR="00C838CD" w:rsidRPr="00FB38E1" w:rsidRDefault="00C838CD" w:rsidP="00C838C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İlave ana sermaye toplamı</w:t>
            </w:r>
          </w:p>
        </w:tc>
        <w:tc>
          <w:tcPr>
            <w:tcW w:w="3382" w:type="pct"/>
            <w:shd w:val="clear" w:color="auto" w:fill="auto"/>
            <w:vAlign w:val="center"/>
          </w:tcPr>
          <w:p w14:paraId="14552C90" w14:textId="06AFD0F1" w:rsidR="00C838CD" w:rsidRPr="00FB38E1" w:rsidRDefault="00C838CD" w:rsidP="00C838C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C838CD" w:rsidRPr="00FB38E1" w14:paraId="3DF41F65" w14:textId="77777777" w:rsidTr="001B7C2F">
        <w:tc>
          <w:tcPr>
            <w:tcW w:w="1618" w:type="pct"/>
            <w:vAlign w:val="center"/>
          </w:tcPr>
          <w:p w14:paraId="3B56191B" w14:textId="77777777" w:rsidR="00C838CD" w:rsidRPr="00FB38E1" w:rsidRDefault="00C838CD" w:rsidP="00C838C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Sermayeden indirilecek değerler</w:t>
            </w:r>
          </w:p>
        </w:tc>
        <w:tc>
          <w:tcPr>
            <w:tcW w:w="3382" w:type="pct"/>
            <w:shd w:val="clear" w:color="auto" w:fill="auto"/>
            <w:vAlign w:val="center"/>
          </w:tcPr>
          <w:p w14:paraId="710DEAC3" w14:textId="70063757" w:rsidR="00C838CD" w:rsidRPr="00FB38E1" w:rsidRDefault="00300EA1" w:rsidP="00C838C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262.751</w:t>
            </w:r>
          </w:p>
        </w:tc>
      </w:tr>
      <w:tr w:rsidR="00C838CD" w:rsidRPr="00FB38E1" w14:paraId="23B133C7" w14:textId="77777777" w:rsidTr="001B7C2F">
        <w:tc>
          <w:tcPr>
            <w:tcW w:w="1618" w:type="pct"/>
            <w:vAlign w:val="center"/>
          </w:tcPr>
          <w:p w14:paraId="5965368A" w14:textId="77777777" w:rsidR="00C838CD" w:rsidRPr="00FB38E1" w:rsidRDefault="00C838CD" w:rsidP="00C838CD">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Ana Sermaye Toplamı</w:t>
            </w:r>
          </w:p>
        </w:tc>
        <w:tc>
          <w:tcPr>
            <w:tcW w:w="3382" w:type="pct"/>
            <w:shd w:val="clear" w:color="auto" w:fill="auto"/>
            <w:vAlign w:val="center"/>
          </w:tcPr>
          <w:p w14:paraId="1AEA259A" w14:textId="0FADA92B" w:rsidR="00C838CD" w:rsidRPr="00FB38E1" w:rsidRDefault="00300EA1" w:rsidP="00C838C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45.471.921</w:t>
            </w:r>
          </w:p>
        </w:tc>
      </w:tr>
      <w:tr w:rsidR="00C838CD" w:rsidRPr="00FB38E1" w14:paraId="41404923" w14:textId="77777777" w:rsidTr="001B7C2F">
        <w:tc>
          <w:tcPr>
            <w:tcW w:w="1618" w:type="pct"/>
            <w:vAlign w:val="center"/>
          </w:tcPr>
          <w:p w14:paraId="601C20EC" w14:textId="77777777" w:rsidR="00C838CD" w:rsidRPr="00FB38E1" w:rsidRDefault="00C838CD" w:rsidP="00C838C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Katkı sermaye toplamı</w:t>
            </w:r>
          </w:p>
        </w:tc>
        <w:tc>
          <w:tcPr>
            <w:tcW w:w="3382" w:type="pct"/>
            <w:shd w:val="clear" w:color="auto" w:fill="auto"/>
            <w:vAlign w:val="center"/>
          </w:tcPr>
          <w:p w14:paraId="3227F073" w14:textId="55659D18" w:rsidR="00C838CD" w:rsidRPr="00FB38E1" w:rsidRDefault="00C838CD" w:rsidP="00C838C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3.182.457</w:t>
            </w:r>
          </w:p>
        </w:tc>
      </w:tr>
      <w:tr w:rsidR="00C838CD" w:rsidRPr="00FB38E1" w14:paraId="370EC138" w14:textId="77777777" w:rsidTr="001B7C2F">
        <w:tc>
          <w:tcPr>
            <w:tcW w:w="1618" w:type="pct"/>
            <w:vAlign w:val="center"/>
          </w:tcPr>
          <w:p w14:paraId="5A42A9FE" w14:textId="77777777" w:rsidR="00C838CD" w:rsidRPr="00FB38E1" w:rsidRDefault="00C838CD" w:rsidP="00C838CD">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Sermaye</w:t>
            </w:r>
          </w:p>
        </w:tc>
        <w:tc>
          <w:tcPr>
            <w:tcW w:w="3382" w:type="pct"/>
            <w:shd w:val="clear" w:color="auto" w:fill="auto"/>
            <w:vAlign w:val="center"/>
          </w:tcPr>
          <w:p w14:paraId="4A804CCA" w14:textId="2A69FEEB" w:rsidR="00C838CD" w:rsidRPr="00FB38E1" w:rsidRDefault="00C838CD" w:rsidP="00C838C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48.654</w:t>
            </w:r>
            <w:r w:rsidR="00300EA1" w:rsidRPr="00FB38E1">
              <w:rPr>
                <w:rFonts w:ascii="Microsoft Sans Serif" w:hAnsi="Microsoft Sans Serif" w:cs="Microsoft Sans Serif"/>
                <w:b/>
                <w:bCs/>
                <w:color w:val="000000"/>
                <w:sz w:val="16"/>
                <w:szCs w:val="16"/>
              </w:rPr>
              <w:t>.378</w:t>
            </w:r>
          </w:p>
        </w:tc>
      </w:tr>
      <w:tr w:rsidR="00FB1FFB" w:rsidRPr="00FB38E1" w14:paraId="6F8F7BEF" w14:textId="77777777" w:rsidTr="001B7C2F">
        <w:tc>
          <w:tcPr>
            <w:tcW w:w="1618" w:type="pct"/>
            <w:tcBorders>
              <w:bottom w:val="single" w:sz="4" w:space="0" w:color="auto"/>
            </w:tcBorders>
            <w:vAlign w:val="center"/>
          </w:tcPr>
          <w:p w14:paraId="4C174108" w14:textId="77777777" w:rsidR="00FB1FFB" w:rsidRPr="00FB38E1" w:rsidRDefault="00FB1FFB" w:rsidP="00FB1FFB">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Sermayeden indirilecek değerler</w:t>
            </w:r>
          </w:p>
        </w:tc>
        <w:tc>
          <w:tcPr>
            <w:tcW w:w="3382" w:type="pct"/>
            <w:tcBorders>
              <w:bottom w:val="single" w:sz="4" w:space="0" w:color="auto"/>
            </w:tcBorders>
            <w:shd w:val="clear" w:color="auto" w:fill="auto"/>
            <w:vAlign w:val="center"/>
          </w:tcPr>
          <w:p w14:paraId="3326B8E2" w14:textId="471A2388"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B1FFB" w:rsidRPr="00FB38E1" w14:paraId="2B7D8D1E" w14:textId="77777777" w:rsidTr="001B7C2F">
        <w:tc>
          <w:tcPr>
            <w:tcW w:w="1618" w:type="pct"/>
            <w:tcBorders>
              <w:top w:val="single" w:sz="4" w:space="0" w:color="auto"/>
              <w:bottom w:val="thickThinSmallGap" w:sz="24" w:space="0" w:color="auto"/>
            </w:tcBorders>
            <w:vAlign w:val="center"/>
          </w:tcPr>
          <w:p w14:paraId="6E9264C0" w14:textId="4F999E5B" w:rsidR="00FB1FFB" w:rsidRPr="00FB38E1" w:rsidRDefault="00FB1FFB" w:rsidP="00FB1FFB">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 Kullanılabilir Özkaynak</w:t>
            </w:r>
          </w:p>
        </w:tc>
        <w:tc>
          <w:tcPr>
            <w:tcW w:w="3382" w:type="pct"/>
            <w:tcBorders>
              <w:top w:val="single" w:sz="4" w:space="0" w:color="auto"/>
              <w:bottom w:val="thickThinSmallGap" w:sz="24" w:space="0" w:color="auto"/>
            </w:tcBorders>
            <w:shd w:val="clear" w:color="auto" w:fill="auto"/>
            <w:vAlign w:val="center"/>
          </w:tcPr>
          <w:p w14:paraId="01300D5E" w14:textId="3D5F92F2" w:rsidR="00FB1FFB" w:rsidRPr="00FB38E1" w:rsidRDefault="00300EA1" w:rsidP="00C838C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48.654.378</w:t>
            </w:r>
          </w:p>
        </w:tc>
      </w:tr>
    </w:tbl>
    <w:p w14:paraId="0A9B73B2" w14:textId="0E9C8AFF" w:rsidR="0065234F" w:rsidRPr="00FB38E1" w:rsidRDefault="00A6628A" w:rsidP="00A6628A">
      <w:pPr>
        <w:pStyle w:val="BASLIK2"/>
        <w:widowControl/>
        <w:numPr>
          <w:ilvl w:val="0"/>
          <w:numId w:val="25"/>
        </w:numPr>
        <w:spacing w:line="240" w:lineRule="exact"/>
        <w:ind w:left="0" w:hanging="425"/>
        <w:rPr>
          <w:rFonts w:ascii="Microsoft Sans Serif" w:hAnsi="Microsoft Sans Serif" w:cs="Microsoft Sans Serif"/>
          <w:bCs w:val="0"/>
          <w:iCs/>
          <w:sz w:val="20"/>
          <w:szCs w:val="20"/>
        </w:rPr>
      </w:pPr>
      <w:bookmarkStart w:id="51" w:name="OLE_LINK4"/>
      <w:r w:rsidRPr="00FB38E1">
        <w:rPr>
          <w:rFonts w:ascii="Microsoft Sans Serif" w:hAnsi="Microsoft Sans Serif" w:cs="Microsoft Sans Serif"/>
          <w:iCs/>
          <w:sz w:val="20"/>
          <w:szCs w:val="20"/>
        </w:rPr>
        <w:t>Bağlı ortaklıklara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61"/>
        <w:gridCol w:w="5309"/>
        <w:gridCol w:w="1419"/>
        <w:gridCol w:w="1172"/>
        <w:gridCol w:w="1378"/>
      </w:tblGrid>
      <w:tr w:rsidR="00E117D1" w:rsidRPr="00FB38E1" w14:paraId="439228D9" w14:textId="77777777" w:rsidTr="00215593">
        <w:tc>
          <w:tcPr>
            <w:tcW w:w="187" w:type="pct"/>
            <w:tcBorders>
              <w:top w:val="thinThickSmallGap" w:sz="24" w:space="0" w:color="auto"/>
              <w:bottom w:val="single" w:sz="4" w:space="0" w:color="auto"/>
            </w:tcBorders>
            <w:vAlign w:val="bottom"/>
          </w:tcPr>
          <w:bookmarkEnd w:id="51"/>
          <w:p w14:paraId="08B230B2" w14:textId="77777777" w:rsidR="00E117D1" w:rsidRPr="00FB38E1" w:rsidRDefault="00E117D1" w:rsidP="008124A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2754" w:type="pct"/>
            <w:tcBorders>
              <w:top w:val="thinThickSmallGap" w:sz="24" w:space="0" w:color="auto"/>
              <w:bottom w:val="single" w:sz="4" w:space="0" w:color="auto"/>
            </w:tcBorders>
            <w:vAlign w:val="bottom"/>
          </w:tcPr>
          <w:p w14:paraId="3702E143" w14:textId="77777777" w:rsidR="00E117D1" w:rsidRPr="00FB38E1" w:rsidRDefault="00E117D1" w:rsidP="008124A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Unvanı</w:t>
            </w:r>
          </w:p>
        </w:tc>
        <w:tc>
          <w:tcPr>
            <w:tcW w:w="736" w:type="pct"/>
            <w:tcBorders>
              <w:top w:val="thinThickSmallGap" w:sz="24" w:space="0" w:color="auto"/>
              <w:bottom w:val="single" w:sz="4" w:space="0" w:color="auto"/>
            </w:tcBorders>
            <w:vAlign w:val="bottom"/>
          </w:tcPr>
          <w:p w14:paraId="04889934" w14:textId="77777777" w:rsidR="00E117D1" w:rsidRPr="00FB38E1" w:rsidRDefault="00E117D1" w:rsidP="008124A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Adres(Şehir/ Ülke)</w:t>
            </w:r>
          </w:p>
        </w:tc>
        <w:tc>
          <w:tcPr>
            <w:tcW w:w="608" w:type="pct"/>
            <w:tcBorders>
              <w:top w:val="thinThickSmallGap" w:sz="24" w:space="0" w:color="auto"/>
              <w:bottom w:val="single" w:sz="4" w:space="0" w:color="auto"/>
            </w:tcBorders>
            <w:vAlign w:val="bottom"/>
          </w:tcPr>
          <w:p w14:paraId="076A1132" w14:textId="219D9402" w:rsidR="00E117D1" w:rsidRPr="00FB38E1" w:rsidRDefault="00E117D1" w:rsidP="008124A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Bankanın Pay Oranı</w:t>
            </w:r>
            <w:r w:rsidR="00CB17C3" w:rsidRPr="00FB38E1">
              <w:rPr>
                <w:rFonts w:ascii="Microsoft Sans Serif" w:hAnsi="Microsoft Sans Serif" w:cs="Microsoft Sans Serif"/>
                <w:b/>
                <w:bCs/>
                <w:color w:val="000000"/>
                <w:sz w:val="16"/>
                <w:szCs w:val="16"/>
              </w:rPr>
              <w:t xml:space="preserve"> </w:t>
            </w:r>
            <w:r w:rsidRPr="00FB38E1">
              <w:rPr>
                <w:rFonts w:ascii="Microsoft Sans Serif" w:hAnsi="Microsoft Sans Serif" w:cs="Microsoft Sans Serif"/>
                <w:b/>
                <w:bCs/>
                <w:color w:val="000000"/>
                <w:sz w:val="16"/>
                <w:szCs w:val="16"/>
              </w:rPr>
              <w:t>(%)</w:t>
            </w:r>
          </w:p>
        </w:tc>
        <w:tc>
          <w:tcPr>
            <w:tcW w:w="715" w:type="pct"/>
            <w:tcBorders>
              <w:top w:val="thinThickSmallGap" w:sz="24" w:space="0" w:color="auto"/>
              <w:bottom w:val="single" w:sz="4" w:space="0" w:color="auto"/>
            </w:tcBorders>
            <w:vAlign w:val="bottom"/>
          </w:tcPr>
          <w:p w14:paraId="0B227293" w14:textId="2711E898" w:rsidR="00E117D1" w:rsidRPr="00FB38E1" w:rsidRDefault="00E117D1" w:rsidP="008124A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Diğer Ortakların Pay Oranı (%) </w:t>
            </w:r>
            <w:r w:rsidR="002C07B5" w:rsidRPr="00FB38E1">
              <w:rPr>
                <w:rFonts w:ascii="Microsoft Sans Serif" w:hAnsi="Microsoft Sans Serif" w:cs="Microsoft Sans Serif"/>
                <w:b/>
                <w:bCs/>
                <w:color w:val="000000"/>
                <w:sz w:val="16"/>
                <w:szCs w:val="16"/>
                <w:vertAlign w:val="superscript"/>
              </w:rPr>
              <w:t>(3</w:t>
            </w:r>
            <w:r w:rsidRPr="00FB38E1">
              <w:rPr>
                <w:rFonts w:ascii="Microsoft Sans Serif" w:hAnsi="Microsoft Sans Serif" w:cs="Microsoft Sans Serif"/>
                <w:b/>
                <w:bCs/>
                <w:color w:val="000000"/>
                <w:sz w:val="16"/>
                <w:szCs w:val="16"/>
                <w:vertAlign w:val="superscript"/>
              </w:rPr>
              <w:t>)</w:t>
            </w:r>
          </w:p>
        </w:tc>
      </w:tr>
      <w:tr w:rsidR="00FB1FFB" w:rsidRPr="00FB38E1" w14:paraId="73403A67" w14:textId="77777777" w:rsidTr="000A4377">
        <w:trPr>
          <w:trHeight w:val="60"/>
        </w:trPr>
        <w:tc>
          <w:tcPr>
            <w:tcW w:w="187" w:type="pct"/>
            <w:tcBorders>
              <w:top w:val="single" w:sz="4" w:space="0" w:color="auto"/>
            </w:tcBorders>
            <w:vAlign w:val="bottom"/>
          </w:tcPr>
          <w:p w14:paraId="5935F68E" w14:textId="77777777"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w:t>
            </w:r>
          </w:p>
        </w:tc>
        <w:tc>
          <w:tcPr>
            <w:tcW w:w="2754" w:type="pct"/>
            <w:tcBorders>
              <w:top w:val="single" w:sz="4" w:space="0" w:color="auto"/>
            </w:tcBorders>
            <w:vAlign w:val="center"/>
          </w:tcPr>
          <w:p w14:paraId="06408ABE" w14:textId="277ABE36"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İntertech Bilgi İşlem ve Pazarlama Ticaret A.Ş.</w:t>
            </w:r>
            <w:r w:rsidRPr="00FB38E1">
              <w:rPr>
                <w:rFonts w:ascii="Microsoft Sans Serif" w:hAnsi="Microsoft Sans Serif" w:cs="Microsoft Sans Serif"/>
                <w:color w:val="000000" w:themeColor="text1"/>
                <w:sz w:val="16"/>
                <w:szCs w:val="16"/>
                <w:vertAlign w:val="superscript"/>
              </w:rPr>
              <w:t>(1)</w:t>
            </w:r>
          </w:p>
        </w:tc>
        <w:tc>
          <w:tcPr>
            <w:tcW w:w="736" w:type="pct"/>
            <w:tcBorders>
              <w:top w:val="single" w:sz="4" w:space="0" w:color="auto"/>
            </w:tcBorders>
            <w:vAlign w:val="center"/>
          </w:tcPr>
          <w:p w14:paraId="751756BD" w14:textId="6811CFA1"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Borders>
              <w:top w:val="single" w:sz="4" w:space="0" w:color="auto"/>
            </w:tcBorders>
            <w:tcMar>
              <w:right w:w="539" w:type="dxa"/>
            </w:tcMar>
            <w:vAlign w:val="center"/>
          </w:tcPr>
          <w:p w14:paraId="1B6787F3" w14:textId="4491DD3C"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c>
          <w:tcPr>
            <w:tcW w:w="715" w:type="pct"/>
            <w:tcBorders>
              <w:top w:val="single" w:sz="4" w:space="0" w:color="auto"/>
            </w:tcBorders>
            <w:tcMar>
              <w:right w:w="539" w:type="dxa"/>
            </w:tcMar>
            <w:vAlign w:val="center"/>
          </w:tcPr>
          <w:p w14:paraId="6DD72F58" w14:textId="1A65D69D"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r>
      <w:tr w:rsidR="00FB1FFB" w:rsidRPr="00FB38E1" w14:paraId="2EEBDF16" w14:textId="77777777" w:rsidTr="000A4377">
        <w:tc>
          <w:tcPr>
            <w:tcW w:w="187" w:type="pct"/>
            <w:vAlign w:val="bottom"/>
          </w:tcPr>
          <w:p w14:paraId="020D6FF1" w14:textId="77777777"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p>
        </w:tc>
        <w:tc>
          <w:tcPr>
            <w:tcW w:w="2754" w:type="pct"/>
            <w:vAlign w:val="center"/>
          </w:tcPr>
          <w:p w14:paraId="588C2107" w14:textId="6B7F43C2"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 xml:space="preserve">Denizbank Kültür Sanat Yayıncılık Ticaret ve Sanayi A.Ş </w:t>
            </w:r>
            <w:r w:rsidRPr="00FB38E1">
              <w:rPr>
                <w:rFonts w:ascii="Microsoft Sans Serif" w:hAnsi="Microsoft Sans Serif" w:cs="Microsoft Sans Serif"/>
                <w:color w:val="000000" w:themeColor="text1"/>
                <w:sz w:val="16"/>
                <w:szCs w:val="16"/>
                <w:vertAlign w:val="superscript"/>
              </w:rPr>
              <w:t>(1)</w:t>
            </w:r>
          </w:p>
        </w:tc>
        <w:tc>
          <w:tcPr>
            <w:tcW w:w="736" w:type="pct"/>
            <w:vAlign w:val="center"/>
          </w:tcPr>
          <w:p w14:paraId="12DBF765" w14:textId="0F1999FF"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BAE8CC0" w14:textId="762BCCBE"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c>
          <w:tcPr>
            <w:tcW w:w="715" w:type="pct"/>
            <w:tcMar>
              <w:right w:w="539" w:type="dxa"/>
            </w:tcMar>
            <w:vAlign w:val="center"/>
          </w:tcPr>
          <w:p w14:paraId="125A57ED" w14:textId="7341020F"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r>
      <w:tr w:rsidR="00FB1FFB" w:rsidRPr="00FB38E1" w14:paraId="30DA6266" w14:textId="77777777" w:rsidTr="000A4377">
        <w:tc>
          <w:tcPr>
            <w:tcW w:w="187" w:type="pct"/>
            <w:vAlign w:val="bottom"/>
          </w:tcPr>
          <w:p w14:paraId="29DA2D7A" w14:textId="77777777"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w:t>
            </w:r>
          </w:p>
        </w:tc>
        <w:tc>
          <w:tcPr>
            <w:tcW w:w="2754" w:type="pct"/>
            <w:vAlign w:val="center"/>
          </w:tcPr>
          <w:p w14:paraId="320F7D09" w14:textId="2B358885"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Denizbank AG</w:t>
            </w:r>
          </w:p>
        </w:tc>
        <w:tc>
          <w:tcPr>
            <w:tcW w:w="736" w:type="pct"/>
            <w:vAlign w:val="center"/>
          </w:tcPr>
          <w:p w14:paraId="173C8256" w14:textId="3CF8ED44"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Viyana/Avusturya</w:t>
            </w:r>
          </w:p>
        </w:tc>
        <w:tc>
          <w:tcPr>
            <w:tcW w:w="608" w:type="pct"/>
            <w:tcMar>
              <w:right w:w="539" w:type="dxa"/>
            </w:tcMar>
            <w:vAlign w:val="center"/>
          </w:tcPr>
          <w:p w14:paraId="0760DC56" w14:textId="5678C7E7"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c>
          <w:tcPr>
            <w:tcW w:w="715" w:type="pct"/>
            <w:tcMar>
              <w:right w:w="539" w:type="dxa"/>
            </w:tcMar>
            <w:vAlign w:val="center"/>
          </w:tcPr>
          <w:p w14:paraId="29F18079" w14:textId="0F44847D"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r>
      <w:tr w:rsidR="00FB1FFB" w:rsidRPr="00FB38E1" w14:paraId="6734E529" w14:textId="77777777" w:rsidTr="000A4377">
        <w:tc>
          <w:tcPr>
            <w:tcW w:w="187" w:type="pct"/>
            <w:vAlign w:val="bottom"/>
          </w:tcPr>
          <w:p w14:paraId="744E4C35" w14:textId="10C2E166"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w:t>
            </w:r>
          </w:p>
        </w:tc>
        <w:tc>
          <w:tcPr>
            <w:tcW w:w="2754" w:type="pct"/>
            <w:vAlign w:val="center"/>
          </w:tcPr>
          <w:p w14:paraId="7ACE7241" w14:textId="2FA31F53"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Deniz Yatırım Menkul Kıymetler A.Ş.</w:t>
            </w:r>
          </w:p>
        </w:tc>
        <w:tc>
          <w:tcPr>
            <w:tcW w:w="736" w:type="pct"/>
            <w:vAlign w:val="center"/>
          </w:tcPr>
          <w:p w14:paraId="5D02221F" w14:textId="2A513C65"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35E3D881" w14:textId="110D2EFF"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c>
          <w:tcPr>
            <w:tcW w:w="715" w:type="pct"/>
            <w:tcMar>
              <w:right w:w="539" w:type="dxa"/>
            </w:tcMar>
            <w:vAlign w:val="center"/>
          </w:tcPr>
          <w:p w14:paraId="00F58D28" w14:textId="7EA92707"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r>
      <w:tr w:rsidR="00FB1FFB" w:rsidRPr="00FB38E1" w14:paraId="64CD8697" w14:textId="77777777" w:rsidTr="000A4377">
        <w:tc>
          <w:tcPr>
            <w:tcW w:w="187" w:type="pct"/>
            <w:vAlign w:val="bottom"/>
          </w:tcPr>
          <w:p w14:paraId="7348477C" w14:textId="50B9C729"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w:t>
            </w:r>
          </w:p>
        </w:tc>
        <w:tc>
          <w:tcPr>
            <w:tcW w:w="2754" w:type="pct"/>
            <w:vAlign w:val="center"/>
          </w:tcPr>
          <w:p w14:paraId="36EB5370" w14:textId="71533B64"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Ekspres Gayrimenkul Turizm Yatırım İşletme ve Ticaret A.Ş</w:t>
            </w:r>
            <w:r w:rsidRPr="00FB38E1">
              <w:rPr>
                <w:rFonts w:ascii="Microsoft Sans Serif" w:hAnsi="Microsoft Sans Serif" w:cs="Microsoft Sans Serif"/>
                <w:color w:val="000000" w:themeColor="text1"/>
                <w:sz w:val="16"/>
                <w:szCs w:val="16"/>
                <w:vertAlign w:val="superscript"/>
              </w:rPr>
              <w:t xml:space="preserve"> (1)(4)</w:t>
            </w:r>
          </w:p>
        </w:tc>
        <w:tc>
          <w:tcPr>
            <w:tcW w:w="736" w:type="pct"/>
            <w:vAlign w:val="center"/>
          </w:tcPr>
          <w:p w14:paraId="7CECBF08" w14:textId="0CB8FC4C"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2169A3D3" w14:textId="1C3ED53E"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c>
          <w:tcPr>
            <w:tcW w:w="715" w:type="pct"/>
            <w:tcMar>
              <w:right w:w="539" w:type="dxa"/>
            </w:tcMar>
            <w:vAlign w:val="center"/>
          </w:tcPr>
          <w:p w14:paraId="6CBE8A53" w14:textId="30AABC4E"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r>
      <w:tr w:rsidR="00FB1FFB" w:rsidRPr="00FB38E1" w14:paraId="2D29F0B2" w14:textId="77777777" w:rsidTr="000A4377">
        <w:tc>
          <w:tcPr>
            <w:tcW w:w="187" w:type="pct"/>
            <w:vAlign w:val="bottom"/>
          </w:tcPr>
          <w:p w14:paraId="3BB1332F" w14:textId="3BB5BFBB"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w:t>
            </w:r>
          </w:p>
        </w:tc>
        <w:tc>
          <w:tcPr>
            <w:tcW w:w="2754" w:type="pct"/>
            <w:vAlign w:val="center"/>
          </w:tcPr>
          <w:p w14:paraId="1805743C" w14:textId="1A739AA4"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 xml:space="preserve">JSC Denizbank Moskova </w:t>
            </w:r>
            <w:r w:rsidRPr="00FB38E1">
              <w:rPr>
                <w:rFonts w:ascii="Microsoft Sans Serif" w:hAnsi="Microsoft Sans Serif" w:cs="Microsoft Sans Serif"/>
                <w:color w:val="000000" w:themeColor="text1"/>
                <w:sz w:val="16"/>
                <w:szCs w:val="16"/>
                <w:vertAlign w:val="superscript"/>
              </w:rPr>
              <w:t>(4)</w:t>
            </w:r>
          </w:p>
        </w:tc>
        <w:tc>
          <w:tcPr>
            <w:tcW w:w="736" w:type="pct"/>
            <w:vAlign w:val="center"/>
          </w:tcPr>
          <w:p w14:paraId="2448D354" w14:textId="03E17C87"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Moskova/Rusya</w:t>
            </w:r>
          </w:p>
        </w:tc>
        <w:tc>
          <w:tcPr>
            <w:tcW w:w="608" w:type="pct"/>
            <w:tcMar>
              <w:right w:w="539" w:type="dxa"/>
            </w:tcMar>
            <w:vAlign w:val="center"/>
          </w:tcPr>
          <w:p w14:paraId="18DFF377" w14:textId="63BF1DF1"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c>
          <w:tcPr>
            <w:tcW w:w="715" w:type="pct"/>
            <w:tcMar>
              <w:right w:w="539" w:type="dxa"/>
            </w:tcMar>
            <w:vAlign w:val="center"/>
          </w:tcPr>
          <w:p w14:paraId="628BEDAD" w14:textId="4EFA777F"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r>
      <w:tr w:rsidR="00FB1FFB" w:rsidRPr="00FB38E1" w14:paraId="3485033D" w14:textId="77777777" w:rsidTr="000A4377">
        <w:tc>
          <w:tcPr>
            <w:tcW w:w="187" w:type="pct"/>
            <w:vAlign w:val="bottom"/>
          </w:tcPr>
          <w:p w14:paraId="3D03B741" w14:textId="5E74E917"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w:t>
            </w:r>
          </w:p>
        </w:tc>
        <w:tc>
          <w:tcPr>
            <w:tcW w:w="2754" w:type="pct"/>
            <w:vAlign w:val="center"/>
          </w:tcPr>
          <w:p w14:paraId="529A033E" w14:textId="686460D5"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Deniz Portföy Yönetimi A.Ş.</w:t>
            </w:r>
          </w:p>
        </w:tc>
        <w:tc>
          <w:tcPr>
            <w:tcW w:w="736" w:type="pct"/>
            <w:vAlign w:val="center"/>
          </w:tcPr>
          <w:p w14:paraId="797B3810" w14:textId="55177B0B"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0722B627" w14:textId="033B7A61"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c>
          <w:tcPr>
            <w:tcW w:w="715" w:type="pct"/>
            <w:tcMar>
              <w:right w:w="539" w:type="dxa"/>
            </w:tcMar>
            <w:vAlign w:val="center"/>
          </w:tcPr>
          <w:p w14:paraId="59B29EDA" w14:textId="78EA91F1"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r>
      <w:tr w:rsidR="00FB1FFB" w:rsidRPr="00FB38E1" w14:paraId="5EA0D504" w14:textId="77777777" w:rsidTr="000A4377">
        <w:tc>
          <w:tcPr>
            <w:tcW w:w="187" w:type="pct"/>
            <w:vAlign w:val="bottom"/>
          </w:tcPr>
          <w:p w14:paraId="6DDA002B" w14:textId="2B7CE187"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w:t>
            </w:r>
          </w:p>
        </w:tc>
        <w:tc>
          <w:tcPr>
            <w:tcW w:w="2754" w:type="pct"/>
            <w:vAlign w:val="center"/>
          </w:tcPr>
          <w:p w14:paraId="5F45569F" w14:textId="0EFD38A1"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Deniz Finansal Kiralama A.Ş.</w:t>
            </w:r>
          </w:p>
        </w:tc>
        <w:tc>
          <w:tcPr>
            <w:tcW w:w="736" w:type="pct"/>
            <w:vAlign w:val="center"/>
          </w:tcPr>
          <w:p w14:paraId="02190C46" w14:textId="6DE25657"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5F88C3C" w14:textId="58DD5C88"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c>
          <w:tcPr>
            <w:tcW w:w="715" w:type="pct"/>
            <w:tcMar>
              <w:right w:w="539" w:type="dxa"/>
            </w:tcMar>
            <w:vAlign w:val="center"/>
          </w:tcPr>
          <w:p w14:paraId="7B28931E" w14:textId="3DC8F4DC"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r>
      <w:tr w:rsidR="00FB1FFB" w:rsidRPr="00FB38E1" w14:paraId="11EBC08E" w14:textId="77777777" w:rsidTr="000A4377">
        <w:tc>
          <w:tcPr>
            <w:tcW w:w="187" w:type="pct"/>
            <w:vAlign w:val="bottom"/>
          </w:tcPr>
          <w:p w14:paraId="5B18E2AD" w14:textId="44DD19A4"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w:t>
            </w:r>
          </w:p>
        </w:tc>
        <w:tc>
          <w:tcPr>
            <w:tcW w:w="2754" w:type="pct"/>
            <w:vAlign w:val="center"/>
          </w:tcPr>
          <w:p w14:paraId="64BCFA16" w14:textId="2FB58E8F"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Deniz Faktoring A.Ş.</w:t>
            </w:r>
          </w:p>
        </w:tc>
        <w:tc>
          <w:tcPr>
            <w:tcW w:w="736" w:type="pct"/>
            <w:vAlign w:val="center"/>
          </w:tcPr>
          <w:p w14:paraId="40D305C5" w14:textId="7F1DF975"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A911FFE" w14:textId="30FB5AE3"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c>
          <w:tcPr>
            <w:tcW w:w="715" w:type="pct"/>
            <w:tcMar>
              <w:right w:w="539" w:type="dxa"/>
            </w:tcMar>
            <w:vAlign w:val="center"/>
          </w:tcPr>
          <w:p w14:paraId="2C8553C7" w14:textId="1C96F53E"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r>
      <w:tr w:rsidR="00FB1FFB" w:rsidRPr="00FB38E1" w14:paraId="13F62043" w14:textId="77777777" w:rsidTr="000A4377">
        <w:tc>
          <w:tcPr>
            <w:tcW w:w="187" w:type="pct"/>
            <w:vAlign w:val="bottom"/>
          </w:tcPr>
          <w:p w14:paraId="1C46B119" w14:textId="5B659DBA"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w:t>
            </w:r>
          </w:p>
        </w:tc>
        <w:tc>
          <w:tcPr>
            <w:tcW w:w="2754" w:type="pct"/>
            <w:vAlign w:val="center"/>
          </w:tcPr>
          <w:p w14:paraId="5F04D7AF" w14:textId="3E1A52C0"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Deniz Gayrimenkul Yatırım Ortaklığı A.Ş.</w:t>
            </w:r>
          </w:p>
        </w:tc>
        <w:tc>
          <w:tcPr>
            <w:tcW w:w="736" w:type="pct"/>
            <w:vAlign w:val="center"/>
          </w:tcPr>
          <w:p w14:paraId="57D338FA" w14:textId="0BB44C8F"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5D3DB7F1" w14:textId="2C0AC964"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7</w:t>
            </w:r>
            <w:r w:rsidR="009F52CC" w:rsidRPr="00FB38E1">
              <w:rPr>
                <w:rFonts w:ascii="Microsoft Sans Serif" w:hAnsi="Microsoft Sans Serif" w:cs="Microsoft Sans Serif"/>
                <w:color w:val="000000" w:themeColor="text1"/>
                <w:sz w:val="16"/>
                <w:szCs w:val="16"/>
              </w:rPr>
              <w:t>2</w:t>
            </w:r>
          </w:p>
        </w:tc>
        <w:tc>
          <w:tcPr>
            <w:tcW w:w="715" w:type="pct"/>
            <w:tcMar>
              <w:right w:w="539" w:type="dxa"/>
            </w:tcMar>
            <w:vAlign w:val="center"/>
          </w:tcPr>
          <w:p w14:paraId="23C692B0" w14:textId="0AE822E1"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r>
      <w:tr w:rsidR="00FB1FFB" w:rsidRPr="00FB38E1" w14:paraId="1BE88D78" w14:textId="77777777" w:rsidTr="000A4377">
        <w:tc>
          <w:tcPr>
            <w:tcW w:w="187" w:type="pct"/>
            <w:vAlign w:val="bottom"/>
          </w:tcPr>
          <w:p w14:paraId="64407843" w14:textId="2E916DE6"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w:t>
            </w:r>
          </w:p>
        </w:tc>
        <w:tc>
          <w:tcPr>
            <w:tcW w:w="2754" w:type="pct"/>
            <w:vAlign w:val="center"/>
          </w:tcPr>
          <w:p w14:paraId="18529EF3" w14:textId="305E4790"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 xml:space="preserve">CR Erdberg Eins GmbH &amp; Co KG. </w:t>
            </w:r>
            <w:r w:rsidRPr="00FB38E1">
              <w:rPr>
                <w:rFonts w:ascii="Microsoft Sans Serif" w:hAnsi="Microsoft Sans Serif" w:cs="Microsoft Sans Serif"/>
                <w:color w:val="000000" w:themeColor="text1"/>
                <w:sz w:val="16"/>
                <w:szCs w:val="16"/>
                <w:vertAlign w:val="superscript"/>
              </w:rPr>
              <w:t>(2)</w:t>
            </w:r>
          </w:p>
        </w:tc>
        <w:tc>
          <w:tcPr>
            <w:tcW w:w="736" w:type="pct"/>
            <w:vAlign w:val="center"/>
          </w:tcPr>
          <w:p w14:paraId="34A88660" w14:textId="2133D503"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Viyana/Avusturya</w:t>
            </w:r>
          </w:p>
        </w:tc>
        <w:tc>
          <w:tcPr>
            <w:tcW w:w="608" w:type="pct"/>
            <w:tcMar>
              <w:right w:w="539" w:type="dxa"/>
            </w:tcMar>
            <w:vAlign w:val="center"/>
          </w:tcPr>
          <w:p w14:paraId="4037F042" w14:textId="283DA0C6"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c>
          <w:tcPr>
            <w:tcW w:w="715" w:type="pct"/>
            <w:tcMar>
              <w:right w:w="539" w:type="dxa"/>
            </w:tcMar>
            <w:vAlign w:val="center"/>
          </w:tcPr>
          <w:p w14:paraId="3D08F695" w14:textId="3EE35F00"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r>
      <w:tr w:rsidR="00FB1FFB" w:rsidRPr="00FB38E1" w14:paraId="73DC1065" w14:textId="77777777" w:rsidTr="000A4377">
        <w:tc>
          <w:tcPr>
            <w:tcW w:w="187" w:type="pct"/>
            <w:vAlign w:val="bottom"/>
          </w:tcPr>
          <w:p w14:paraId="034AE389" w14:textId="7857BF00"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w:t>
            </w:r>
          </w:p>
        </w:tc>
        <w:tc>
          <w:tcPr>
            <w:tcW w:w="2754" w:type="pct"/>
            <w:shd w:val="clear" w:color="auto" w:fill="auto"/>
            <w:vAlign w:val="center"/>
          </w:tcPr>
          <w:p w14:paraId="6B07A32F" w14:textId="6951DDED" w:rsidR="00FB1FFB" w:rsidRPr="00FB38E1" w:rsidRDefault="007030E9"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Denizöde</w:t>
            </w:r>
            <w:r w:rsidR="00FB1FFB" w:rsidRPr="00FB38E1">
              <w:rPr>
                <w:rFonts w:ascii="Microsoft Sans Serif" w:hAnsi="Microsoft Sans Serif" w:cs="Microsoft Sans Serif"/>
                <w:color w:val="000000" w:themeColor="text1"/>
                <w:sz w:val="16"/>
                <w:szCs w:val="16"/>
              </w:rPr>
              <w:t xml:space="preserve"> Elektronik Para ve Ödeme Hizmetleri A.Ş.</w:t>
            </w:r>
            <w:r w:rsidR="00FB1FFB" w:rsidRPr="00FB38E1">
              <w:rPr>
                <w:rFonts w:ascii="Microsoft Sans Serif" w:hAnsi="Microsoft Sans Serif" w:cs="Microsoft Sans Serif"/>
                <w:color w:val="000000" w:themeColor="text1"/>
                <w:sz w:val="16"/>
                <w:szCs w:val="16"/>
                <w:vertAlign w:val="superscript"/>
              </w:rPr>
              <w:t xml:space="preserve"> </w:t>
            </w:r>
            <w:r w:rsidRPr="00FB38E1">
              <w:rPr>
                <w:rFonts w:ascii="Microsoft Sans Serif" w:hAnsi="Microsoft Sans Serif" w:cs="Microsoft Sans Serif"/>
                <w:color w:val="000000" w:themeColor="text1"/>
                <w:sz w:val="16"/>
                <w:szCs w:val="16"/>
                <w:vertAlign w:val="superscript"/>
              </w:rPr>
              <w:t>(5)</w:t>
            </w:r>
          </w:p>
        </w:tc>
        <w:tc>
          <w:tcPr>
            <w:tcW w:w="736" w:type="pct"/>
            <w:vAlign w:val="center"/>
          </w:tcPr>
          <w:p w14:paraId="1F0C268F" w14:textId="089318EE"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302FF652" w14:textId="647618FD"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c>
          <w:tcPr>
            <w:tcW w:w="715" w:type="pct"/>
            <w:tcMar>
              <w:right w:w="539" w:type="dxa"/>
            </w:tcMar>
            <w:vAlign w:val="center"/>
          </w:tcPr>
          <w:p w14:paraId="3B096E5F" w14:textId="01308191"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r>
      <w:tr w:rsidR="00FB1FFB" w:rsidRPr="00FB38E1" w14:paraId="75F1CA7E" w14:textId="77777777" w:rsidTr="000A4377">
        <w:tc>
          <w:tcPr>
            <w:tcW w:w="187" w:type="pct"/>
            <w:vAlign w:val="bottom"/>
          </w:tcPr>
          <w:p w14:paraId="7C007103" w14:textId="133A9625"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w:t>
            </w:r>
          </w:p>
        </w:tc>
        <w:tc>
          <w:tcPr>
            <w:tcW w:w="2754" w:type="pct"/>
            <w:shd w:val="clear" w:color="auto" w:fill="auto"/>
            <w:vAlign w:val="center"/>
          </w:tcPr>
          <w:p w14:paraId="37FC7880" w14:textId="125FF025"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Neohub Teknoloji Yazılım Pazarlama ve Danışmanlık A.Ş.</w:t>
            </w:r>
            <w:r w:rsidRPr="00FB38E1">
              <w:rPr>
                <w:rFonts w:ascii="Microsoft Sans Serif" w:hAnsi="Microsoft Sans Serif" w:cs="Microsoft Sans Serif"/>
                <w:color w:val="000000" w:themeColor="text1"/>
                <w:sz w:val="16"/>
                <w:szCs w:val="16"/>
                <w:vertAlign w:val="superscript"/>
              </w:rPr>
              <w:t>(1)</w:t>
            </w:r>
          </w:p>
        </w:tc>
        <w:tc>
          <w:tcPr>
            <w:tcW w:w="736" w:type="pct"/>
            <w:vAlign w:val="center"/>
          </w:tcPr>
          <w:p w14:paraId="6BA79C71" w14:textId="7634CE4D"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18298201" w14:textId="13170657"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c>
          <w:tcPr>
            <w:tcW w:w="715" w:type="pct"/>
            <w:tcMar>
              <w:right w:w="539" w:type="dxa"/>
            </w:tcMar>
            <w:vAlign w:val="center"/>
          </w:tcPr>
          <w:p w14:paraId="0B6D2A05" w14:textId="3FB0CB7F"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r>
      <w:tr w:rsidR="00FB1FFB" w:rsidRPr="00FB38E1" w14:paraId="2BEDF1D8" w14:textId="77777777" w:rsidTr="00215593">
        <w:tc>
          <w:tcPr>
            <w:tcW w:w="187" w:type="pct"/>
          </w:tcPr>
          <w:p w14:paraId="17D01875" w14:textId="06597489" w:rsidR="00FB1FFB" w:rsidRPr="00FB38E1" w:rsidRDefault="00FB1FFB" w:rsidP="00FB1FF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themeColor="text1" w:themeTint="BF"/>
                <w:sz w:val="16"/>
                <w:szCs w:val="16"/>
              </w:rPr>
              <w:t>14</w:t>
            </w:r>
          </w:p>
        </w:tc>
        <w:tc>
          <w:tcPr>
            <w:tcW w:w="2754" w:type="pct"/>
            <w:shd w:val="clear" w:color="auto" w:fill="auto"/>
            <w:vAlign w:val="center"/>
          </w:tcPr>
          <w:p w14:paraId="2546F9E7" w14:textId="2A99CE00"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Neo Elektronik Ticaret Bilişim Teknolojileri Yazılım ve Danışmanlık A. Ş.</w:t>
            </w:r>
            <w:r w:rsidRPr="00FB38E1">
              <w:rPr>
                <w:rFonts w:ascii="Microsoft Sans Serif" w:hAnsi="Microsoft Sans Serif" w:cs="Microsoft Sans Serif"/>
                <w:color w:val="000000" w:themeColor="text1"/>
                <w:sz w:val="16"/>
                <w:szCs w:val="16"/>
                <w:vertAlign w:val="superscript"/>
              </w:rPr>
              <w:t>(1)</w:t>
            </w:r>
            <w:r w:rsidRPr="00FB38E1">
              <w:rPr>
                <w:rFonts w:ascii="Microsoft Sans Serif" w:hAnsi="Microsoft Sans Serif" w:cs="Microsoft Sans Serif"/>
                <w:color w:val="000000" w:themeColor="text1"/>
                <w:sz w:val="16"/>
                <w:szCs w:val="16"/>
              </w:rPr>
              <w:t xml:space="preserve"> </w:t>
            </w:r>
          </w:p>
        </w:tc>
        <w:tc>
          <w:tcPr>
            <w:tcW w:w="736" w:type="pct"/>
            <w:vAlign w:val="center"/>
          </w:tcPr>
          <w:p w14:paraId="2EEDCBA4" w14:textId="03F5D5AF"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3AA194F" w14:textId="461BC995"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c>
          <w:tcPr>
            <w:tcW w:w="715" w:type="pct"/>
            <w:tcMar>
              <w:right w:w="539" w:type="dxa"/>
            </w:tcMar>
            <w:vAlign w:val="center"/>
          </w:tcPr>
          <w:p w14:paraId="5F99D785" w14:textId="35FFA437"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r>
      <w:tr w:rsidR="00FB1FFB" w:rsidRPr="00FB38E1" w14:paraId="19A5AA3E" w14:textId="77777777" w:rsidTr="00215593">
        <w:tc>
          <w:tcPr>
            <w:tcW w:w="187" w:type="pct"/>
          </w:tcPr>
          <w:p w14:paraId="5FFAE9ED" w14:textId="76AC270B" w:rsidR="00FB1FFB" w:rsidRPr="00FB38E1" w:rsidRDefault="00FB1FFB" w:rsidP="00FB1FFB">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15</w:t>
            </w:r>
          </w:p>
        </w:tc>
        <w:tc>
          <w:tcPr>
            <w:tcW w:w="2754" w:type="pct"/>
            <w:shd w:val="clear" w:color="auto" w:fill="auto"/>
            <w:vAlign w:val="center"/>
          </w:tcPr>
          <w:p w14:paraId="37ED0064" w14:textId="0F50BCE1" w:rsidR="00FB1FFB" w:rsidRPr="00FB38E1" w:rsidRDefault="00FB1FFB" w:rsidP="00FB1FFB">
            <w:pP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Neohub Bulut Teknolojileri A.Ş.</w:t>
            </w:r>
            <w:r w:rsidRPr="00FB38E1">
              <w:rPr>
                <w:rFonts w:ascii="Microsoft Sans Serif" w:hAnsi="Microsoft Sans Serif" w:cs="Microsoft Sans Serif"/>
                <w:color w:val="000000" w:themeColor="text1"/>
                <w:sz w:val="16"/>
                <w:szCs w:val="16"/>
                <w:vertAlign w:val="superscript"/>
              </w:rPr>
              <w:t>(1)</w:t>
            </w:r>
          </w:p>
        </w:tc>
        <w:tc>
          <w:tcPr>
            <w:tcW w:w="736" w:type="pct"/>
            <w:vAlign w:val="center"/>
          </w:tcPr>
          <w:p w14:paraId="1A34C742" w14:textId="4711677A" w:rsidR="00FB1FFB" w:rsidRPr="00FB38E1" w:rsidRDefault="00FB1FFB" w:rsidP="00FB1FFB">
            <w:pPr>
              <w:jc w:val="center"/>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İstanbul/Türkiye</w:t>
            </w:r>
          </w:p>
        </w:tc>
        <w:tc>
          <w:tcPr>
            <w:tcW w:w="608" w:type="pct"/>
            <w:tcMar>
              <w:right w:w="539" w:type="dxa"/>
            </w:tcMar>
            <w:vAlign w:val="center"/>
          </w:tcPr>
          <w:p w14:paraId="75CCFB07" w14:textId="11CFFED4"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w:t>
            </w:r>
          </w:p>
        </w:tc>
        <w:tc>
          <w:tcPr>
            <w:tcW w:w="715" w:type="pct"/>
            <w:tcMar>
              <w:right w:w="539" w:type="dxa"/>
            </w:tcMar>
            <w:vAlign w:val="center"/>
          </w:tcPr>
          <w:p w14:paraId="53C72365" w14:textId="24BD247B" w:rsidR="00FB1FFB" w:rsidRPr="00FB38E1" w:rsidRDefault="00FB1FFB" w:rsidP="00FB1FFB">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000000" w:themeColor="text1"/>
                <w:sz w:val="16"/>
                <w:szCs w:val="16"/>
              </w:rPr>
              <w:t>100</w:t>
            </w:r>
          </w:p>
        </w:tc>
      </w:tr>
    </w:tbl>
    <w:p w14:paraId="4387F82E" w14:textId="3051180B" w:rsidR="00E117D1" w:rsidRPr="00FB38E1" w:rsidRDefault="00E117D1" w:rsidP="00E2446C">
      <w:pPr>
        <w:pStyle w:val="Head4"/>
        <w:keepNext w:val="0"/>
        <w:keepLines w:val="0"/>
        <w:widowControl w:val="0"/>
        <w:tabs>
          <w:tab w:val="clear" w:pos="340"/>
          <w:tab w:val="left" w:pos="284"/>
        </w:tabs>
        <w:spacing w:after="0" w:line="240" w:lineRule="auto"/>
        <w:ind w:left="0" w:firstLine="0"/>
        <w:rPr>
          <w:rFonts w:ascii="Microsoft Sans Serif" w:hAnsi="Microsoft Sans Serif" w:cs="Microsoft Sans Serif"/>
          <w:i w:val="0"/>
          <w:color w:val="404040" w:themeColor="text1" w:themeTint="BF"/>
          <w:sz w:val="14"/>
          <w:szCs w:val="14"/>
        </w:rPr>
      </w:pPr>
      <w:r w:rsidRPr="00FB38E1">
        <w:rPr>
          <w:rFonts w:ascii="Microsoft Sans Serif" w:hAnsi="Microsoft Sans Serif" w:cs="Microsoft Sans Serif"/>
          <w:i w:val="0"/>
          <w:color w:val="404040" w:themeColor="text1" w:themeTint="BF"/>
          <w:sz w:val="14"/>
          <w:szCs w:val="14"/>
        </w:rPr>
        <w:t>(1)</w:t>
      </w:r>
      <w:r w:rsidR="00E2446C" w:rsidRPr="00FB38E1">
        <w:rPr>
          <w:rFonts w:ascii="Microsoft Sans Serif" w:hAnsi="Microsoft Sans Serif" w:cs="Microsoft Sans Serif"/>
          <w:i w:val="0"/>
          <w:color w:val="404040" w:themeColor="text1" w:themeTint="BF"/>
          <w:sz w:val="14"/>
          <w:szCs w:val="14"/>
        </w:rPr>
        <w:tab/>
      </w:r>
      <w:r w:rsidRPr="00FB38E1">
        <w:rPr>
          <w:rFonts w:ascii="Microsoft Sans Serif" w:hAnsi="Microsoft Sans Serif" w:cs="Microsoft Sans Serif"/>
          <w:i w:val="0"/>
          <w:color w:val="404040" w:themeColor="text1" w:themeTint="BF"/>
          <w:sz w:val="14"/>
          <w:szCs w:val="14"/>
        </w:rPr>
        <w:t>TMS 27</w:t>
      </w:r>
      <w:r w:rsidR="00200D4C" w:rsidRPr="00FB38E1">
        <w:rPr>
          <w:rFonts w:ascii="Microsoft Sans Serif" w:hAnsi="Microsoft Sans Serif" w:cs="Microsoft Sans Serif"/>
          <w:i w:val="0"/>
          <w:color w:val="404040" w:themeColor="text1" w:themeTint="BF"/>
          <w:sz w:val="14"/>
          <w:szCs w:val="14"/>
        </w:rPr>
        <w:t xml:space="preserve"> özkaynak yöntemi uygulamasına </w:t>
      </w:r>
      <w:r w:rsidRPr="00FB38E1">
        <w:rPr>
          <w:rFonts w:ascii="Microsoft Sans Serif" w:hAnsi="Microsoft Sans Serif" w:cs="Microsoft Sans Serif"/>
          <w:i w:val="0"/>
          <w:color w:val="404040" w:themeColor="text1" w:themeTint="BF"/>
          <w:sz w:val="14"/>
          <w:szCs w:val="14"/>
        </w:rPr>
        <w:t>dahil değildir.</w:t>
      </w:r>
      <w:r w:rsidR="00E2446C" w:rsidRPr="00FB38E1">
        <w:rPr>
          <w:rFonts w:ascii="Microsoft Sans Serif" w:hAnsi="Microsoft Sans Serif" w:cs="Microsoft Sans Serif"/>
          <w:i w:val="0"/>
          <w:color w:val="404040" w:themeColor="text1" w:themeTint="BF"/>
          <w:sz w:val="14"/>
          <w:szCs w:val="14"/>
        </w:rPr>
        <w:t xml:space="preserve"> </w:t>
      </w:r>
    </w:p>
    <w:p w14:paraId="5248D068" w14:textId="538B4B4A" w:rsidR="00E117D1" w:rsidRPr="00FB38E1" w:rsidRDefault="00E117D1" w:rsidP="00E2446C">
      <w:pPr>
        <w:pStyle w:val="BASLIK2"/>
        <w:widowControl/>
        <w:tabs>
          <w:tab w:val="left" w:pos="284"/>
        </w:tabs>
        <w:spacing w:before="0" w:after="0" w:line="240" w:lineRule="auto"/>
        <w:ind w:firstLine="0"/>
        <w:rPr>
          <w:rFonts w:ascii="Microsoft Sans Serif" w:hAnsi="Microsoft Sans Serif" w:cs="Microsoft Sans Serif"/>
          <w:b w:val="0"/>
          <w:bCs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(2)</w:t>
      </w:r>
      <w:r w:rsidR="00E2446C" w:rsidRPr="00FB38E1">
        <w:rPr>
          <w:rFonts w:ascii="Microsoft Sans Serif" w:hAnsi="Microsoft Sans Serif" w:cs="Microsoft Sans Serif"/>
          <w:b w:val="0"/>
          <w:color w:val="404040" w:themeColor="text1" w:themeTint="BF"/>
          <w:sz w:val="14"/>
          <w:szCs w:val="14"/>
        </w:rPr>
        <w:tab/>
      </w:r>
      <w:r w:rsidRPr="00FB38E1">
        <w:rPr>
          <w:rFonts w:ascii="Microsoft Sans Serif" w:hAnsi="Microsoft Sans Serif" w:cs="Microsoft Sans Serif"/>
          <w:b w:val="0"/>
          <w:bCs w:val="0"/>
          <w:color w:val="404040" w:themeColor="text1" w:themeTint="BF"/>
          <w:sz w:val="14"/>
          <w:szCs w:val="14"/>
        </w:rPr>
        <w:t>Banka’nın doğrudan bağlı ortaklıkları olmamakla birlikte TMS 27 “özkaynak yöntemi” uygulamasına  dahil edilmiştir.</w:t>
      </w:r>
    </w:p>
    <w:p w14:paraId="039CC587" w14:textId="1F9D6B83" w:rsidR="00C02E72" w:rsidRPr="00FB38E1" w:rsidRDefault="002C07B5" w:rsidP="00E2446C">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(3</w:t>
      </w:r>
      <w:r w:rsidR="00E117D1" w:rsidRPr="00FB38E1">
        <w:rPr>
          <w:rFonts w:ascii="Microsoft Sans Serif" w:hAnsi="Microsoft Sans Serif" w:cs="Microsoft Sans Serif"/>
          <w:b w:val="0"/>
          <w:color w:val="404040" w:themeColor="text1" w:themeTint="BF"/>
          <w:sz w:val="14"/>
          <w:szCs w:val="14"/>
        </w:rPr>
        <w:t>)</w:t>
      </w:r>
      <w:r w:rsidR="00E2446C" w:rsidRPr="00FB38E1">
        <w:rPr>
          <w:rFonts w:ascii="Microsoft Sans Serif" w:hAnsi="Microsoft Sans Serif" w:cs="Microsoft Sans Serif"/>
          <w:b w:val="0"/>
          <w:color w:val="404040" w:themeColor="text1" w:themeTint="BF"/>
          <w:sz w:val="14"/>
          <w:szCs w:val="14"/>
        </w:rPr>
        <w:tab/>
      </w:r>
      <w:r w:rsidR="00E117D1" w:rsidRPr="00FB38E1">
        <w:rPr>
          <w:rFonts w:ascii="Microsoft Sans Serif" w:hAnsi="Microsoft Sans Serif" w:cs="Microsoft Sans Serif"/>
          <w:b w:val="0"/>
          <w:color w:val="404040" w:themeColor="text1" w:themeTint="BF"/>
          <w:sz w:val="14"/>
          <w:szCs w:val="14"/>
        </w:rPr>
        <w:t>Banka risk grubu pay oranını göstermektedir.</w:t>
      </w:r>
    </w:p>
    <w:p w14:paraId="639CBDEE" w14:textId="524CD4C0" w:rsidR="00AF24AC" w:rsidRPr="00FB38E1" w:rsidRDefault="00DB13E0" w:rsidP="00E2446C">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(4)</w:t>
      </w:r>
      <w:r w:rsidR="00E2446C" w:rsidRPr="00FB38E1">
        <w:rPr>
          <w:rFonts w:ascii="Microsoft Sans Serif" w:hAnsi="Microsoft Sans Serif" w:cs="Microsoft Sans Serif"/>
          <w:b w:val="0"/>
          <w:color w:val="404040" w:themeColor="text1" w:themeTint="BF"/>
          <w:sz w:val="14"/>
          <w:szCs w:val="14"/>
        </w:rPr>
        <w:tab/>
      </w:r>
      <w:r w:rsidR="00270E83" w:rsidRPr="00FB38E1">
        <w:rPr>
          <w:rFonts w:ascii="Microsoft Sans Serif" w:hAnsi="Microsoft Sans Serif" w:cs="Microsoft Sans Serif"/>
          <w:b w:val="0"/>
          <w:color w:val="404040" w:themeColor="text1" w:themeTint="BF"/>
          <w:sz w:val="14"/>
          <w:szCs w:val="14"/>
        </w:rPr>
        <w:t xml:space="preserve">Denizbank </w:t>
      </w:r>
      <w:r w:rsidR="00F71C34" w:rsidRPr="00FB38E1">
        <w:rPr>
          <w:rFonts w:ascii="Microsoft Sans Serif" w:hAnsi="Microsoft Sans Serif" w:cs="Microsoft Sans Serif"/>
          <w:b w:val="0"/>
          <w:color w:val="404040" w:themeColor="text1" w:themeTint="BF"/>
          <w:sz w:val="14"/>
          <w:szCs w:val="14"/>
        </w:rPr>
        <w:t xml:space="preserve">AG , </w:t>
      </w:r>
      <w:r w:rsidR="008F580F" w:rsidRPr="00FB38E1">
        <w:rPr>
          <w:rFonts w:ascii="Microsoft Sans Serif" w:hAnsi="Microsoft Sans Serif" w:cs="Microsoft Sans Serif"/>
          <w:b w:val="0"/>
          <w:color w:val="404040" w:themeColor="text1" w:themeTint="BF"/>
          <w:sz w:val="14"/>
          <w:szCs w:val="14"/>
        </w:rPr>
        <w:t xml:space="preserve">JSC </w:t>
      </w:r>
      <w:r w:rsidR="00F71C34" w:rsidRPr="00FB38E1">
        <w:rPr>
          <w:rFonts w:ascii="Microsoft Sans Serif" w:hAnsi="Microsoft Sans Serif" w:cs="Microsoft Sans Serif"/>
          <w:b w:val="0"/>
          <w:color w:val="404040" w:themeColor="text1" w:themeTint="BF"/>
          <w:sz w:val="14"/>
          <w:szCs w:val="14"/>
        </w:rPr>
        <w:t>Denizbank Moskova’ya olan iştirak payını Denizbank’a satmıştır.</w:t>
      </w:r>
    </w:p>
    <w:p w14:paraId="688AACE1" w14:textId="12E56087" w:rsidR="00E2446C" w:rsidRPr="00FB38E1" w:rsidRDefault="00E2446C" w:rsidP="00E2446C">
      <w:pPr>
        <w:pStyle w:val="BASLIK2"/>
        <w:widowControl/>
        <w:tabs>
          <w:tab w:val="left" w:pos="284"/>
        </w:tabs>
        <w:spacing w:before="0" w:after="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ab/>
        <w:t>Banka, Ekspres Gayrimenkul Turizm Yatırım İşletme ve Ticaret A.Ş’ye olan iştirak payını Deniz Finansal Kiralama A.Ş.’ye satmıştır.</w:t>
      </w:r>
    </w:p>
    <w:p w14:paraId="04B4C72E" w14:textId="3BE0F2E0" w:rsidR="00854A31" w:rsidRPr="00FB38E1" w:rsidRDefault="00854A31" w:rsidP="00854A31">
      <w:pPr>
        <w:pStyle w:val="BASLIK2"/>
        <w:widowControl/>
        <w:tabs>
          <w:tab w:val="left" w:pos="284"/>
        </w:tabs>
        <w:spacing w:before="0" w:after="0" w:line="240" w:lineRule="auto"/>
        <w:ind w:left="284"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ab/>
        <w:t>Banka’nın bağlı ortaklığı Deniz Yatırım Menkul Kıymetler A.Ş.’nin maliki bulunduğu “Deniz Gayrimenkul Yatırım Ortaklığı A.Ş.”nin paylarının Banka tarafından satın alınmasına ilişkin süreç 2 Nisan 2024 tarihinde tamamlanmıştır.</w:t>
      </w:r>
    </w:p>
    <w:p w14:paraId="707EC00A" w14:textId="4B720B03" w:rsidR="00CB00B0" w:rsidRPr="00FB38E1" w:rsidRDefault="007030E9" w:rsidP="00667438">
      <w:pPr>
        <w:pStyle w:val="BASLIK2"/>
        <w:widowControl/>
        <w:tabs>
          <w:tab w:val="left" w:pos="284"/>
        </w:tabs>
        <w:spacing w:before="0" w:after="0" w:line="240" w:lineRule="auto"/>
        <w:ind w:left="284" w:hanging="284"/>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(5)</w:t>
      </w:r>
      <w:r w:rsidRPr="00FB38E1">
        <w:rPr>
          <w:rFonts w:ascii="Microsoft Sans Serif" w:hAnsi="Microsoft Sans Serif" w:cs="Microsoft Sans Serif"/>
          <w:b w:val="0"/>
          <w:color w:val="404040" w:themeColor="text1" w:themeTint="BF"/>
          <w:sz w:val="14"/>
          <w:szCs w:val="14"/>
        </w:rPr>
        <w:tab/>
      </w:r>
      <w:bookmarkStart w:id="52" w:name="_Hlk180486465"/>
      <w:r w:rsidRPr="00FB38E1">
        <w:rPr>
          <w:rFonts w:ascii="Microsoft Sans Serif" w:hAnsi="Microsoft Sans Serif" w:cs="Microsoft Sans Serif"/>
          <w:b w:val="0"/>
          <w:color w:val="404040" w:themeColor="text1" w:themeTint="BF"/>
          <w:sz w:val="14"/>
          <w:szCs w:val="14"/>
        </w:rPr>
        <w:t>25 Eylül 2024 tarihinde “Fastpay Elektronik Para Ödeme Hizmetleri A.Ş.” nin unvanı “Denizöde Elektronik Para Ödeme Hizmetleri A.Ş.” olarak değişmiş ve Ticaret Sicil Gazetesinde yayınlanmıştır</w:t>
      </w:r>
      <w:bookmarkEnd w:id="52"/>
      <w:r w:rsidRPr="00FB38E1">
        <w:rPr>
          <w:rFonts w:ascii="Microsoft Sans Serif" w:hAnsi="Microsoft Sans Serif" w:cs="Microsoft Sans Serif"/>
          <w:b w:val="0"/>
          <w:color w:val="404040" w:themeColor="text1" w:themeTint="BF"/>
          <w:sz w:val="14"/>
          <w:szCs w:val="14"/>
        </w:rPr>
        <w:t>.</w:t>
      </w:r>
    </w:p>
    <w:p w14:paraId="711D3F30" w14:textId="58B38F54" w:rsidR="002E3C4F" w:rsidRPr="00FB38E1" w:rsidRDefault="002E3C4F" w:rsidP="00667438">
      <w:pPr>
        <w:pStyle w:val="BASLIK2"/>
        <w:widowControl/>
        <w:tabs>
          <w:tab w:val="left" w:pos="284"/>
        </w:tabs>
        <w:spacing w:before="0" w:after="0" w:line="240" w:lineRule="auto"/>
        <w:ind w:left="284" w:hanging="284"/>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br w:type="page"/>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92"/>
        <w:gridCol w:w="1004"/>
        <w:gridCol w:w="988"/>
        <w:gridCol w:w="989"/>
        <w:gridCol w:w="987"/>
        <w:gridCol w:w="991"/>
        <w:gridCol w:w="991"/>
        <w:gridCol w:w="1134"/>
        <w:gridCol w:w="993"/>
        <w:gridCol w:w="1270"/>
      </w:tblGrid>
      <w:tr w:rsidR="0004350B" w:rsidRPr="00FB38E1" w14:paraId="30978AC3" w14:textId="77777777" w:rsidTr="000E7273">
        <w:tc>
          <w:tcPr>
            <w:tcW w:w="151" w:type="pct"/>
            <w:tcBorders>
              <w:top w:val="thinThickSmallGap" w:sz="24" w:space="0" w:color="auto"/>
              <w:bottom w:val="single" w:sz="4" w:space="0" w:color="auto"/>
            </w:tcBorders>
            <w:shd w:val="clear" w:color="auto" w:fill="auto"/>
            <w:vAlign w:val="bottom"/>
          </w:tcPr>
          <w:p w14:paraId="4BBCCD6C" w14:textId="77777777" w:rsidR="0004350B" w:rsidRPr="00FB38E1" w:rsidRDefault="0004350B" w:rsidP="004E1B47">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521" w:type="pct"/>
            <w:tcBorders>
              <w:top w:val="thinThickSmallGap" w:sz="24" w:space="0" w:color="auto"/>
              <w:bottom w:val="single" w:sz="4" w:space="0" w:color="auto"/>
            </w:tcBorders>
            <w:shd w:val="clear" w:color="auto" w:fill="auto"/>
            <w:vAlign w:val="bottom"/>
          </w:tcPr>
          <w:p w14:paraId="25218200"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Aktif </w:t>
            </w:r>
          </w:p>
          <w:p w14:paraId="118504B5"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Toplamı</w:t>
            </w:r>
          </w:p>
        </w:tc>
        <w:tc>
          <w:tcPr>
            <w:tcW w:w="513" w:type="pct"/>
            <w:tcBorders>
              <w:top w:val="thinThickSmallGap" w:sz="24" w:space="0" w:color="auto"/>
              <w:bottom w:val="single" w:sz="4" w:space="0" w:color="auto"/>
            </w:tcBorders>
            <w:shd w:val="clear" w:color="auto" w:fill="auto"/>
            <w:vAlign w:val="bottom"/>
          </w:tcPr>
          <w:p w14:paraId="37124AE7"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Özkaynak</w:t>
            </w:r>
          </w:p>
        </w:tc>
        <w:tc>
          <w:tcPr>
            <w:tcW w:w="513" w:type="pct"/>
            <w:tcBorders>
              <w:top w:val="thinThickSmallGap" w:sz="24" w:space="0" w:color="auto"/>
              <w:bottom w:val="single" w:sz="4" w:space="0" w:color="auto"/>
            </w:tcBorders>
            <w:shd w:val="clear" w:color="auto" w:fill="auto"/>
            <w:vAlign w:val="bottom"/>
          </w:tcPr>
          <w:p w14:paraId="53D04DC5"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Sabit Varlık Toplamı</w:t>
            </w:r>
          </w:p>
        </w:tc>
        <w:tc>
          <w:tcPr>
            <w:tcW w:w="512" w:type="pct"/>
            <w:tcBorders>
              <w:top w:val="thinThickSmallGap" w:sz="24" w:space="0" w:color="auto"/>
              <w:bottom w:val="single" w:sz="4" w:space="0" w:color="auto"/>
            </w:tcBorders>
            <w:shd w:val="clear" w:color="auto" w:fill="auto"/>
            <w:vAlign w:val="bottom"/>
          </w:tcPr>
          <w:p w14:paraId="79444DD6"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Faiz </w:t>
            </w:r>
          </w:p>
          <w:p w14:paraId="4C6B11B0"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Gelirleri</w:t>
            </w:r>
          </w:p>
        </w:tc>
        <w:tc>
          <w:tcPr>
            <w:tcW w:w="514" w:type="pct"/>
            <w:tcBorders>
              <w:top w:val="thinThickSmallGap" w:sz="24" w:space="0" w:color="auto"/>
              <w:bottom w:val="single" w:sz="4" w:space="0" w:color="auto"/>
            </w:tcBorders>
            <w:shd w:val="clear" w:color="auto" w:fill="auto"/>
            <w:vAlign w:val="bottom"/>
          </w:tcPr>
          <w:p w14:paraId="42926C06"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Menkul Değer Gelirleri</w:t>
            </w:r>
          </w:p>
        </w:tc>
        <w:tc>
          <w:tcPr>
            <w:tcW w:w="514" w:type="pct"/>
            <w:tcBorders>
              <w:top w:val="thinThickSmallGap" w:sz="24" w:space="0" w:color="auto"/>
              <w:bottom w:val="single" w:sz="4" w:space="0" w:color="auto"/>
            </w:tcBorders>
            <w:shd w:val="clear" w:color="auto" w:fill="auto"/>
            <w:vAlign w:val="bottom"/>
          </w:tcPr>
          <w:p w14:paraId="0646E8EA"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 Kar/(Zararı)</w:t>
            </w:r>
          </w:p>
        </w:tc>
        <w:tc>
          <w:tcPr>
            <w:tcW w:w="588" w:type="pct"/>
            <w:tcBorders>
              <w:top w:val="thinThickSmallGap" w:sz="24" w:space="0" w:color="auto"/>
              <w:bottom w:val="single" w:sz="4" w:space="0" w:color="auto"/>
            </w:tcBorders>
            <w:shd w:val="clear" w:color="auto" w:fill="auto"/>
            <w:vAlign w:val="bottom"/>
          </w:tcPr>
          <w:p w14:paraId="69621E77"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 Kar/(Zararı)</w:t>
            </w:r>
          </w:p>
        </w:tc>
        <w:tc>
          <w:tcPr>
            <w:tcW w:w="515" w:type="pct"/>
            <w:tcBorders>
              <w:top w:val="thinThickSmallGap" w:sz="24" w:space="0" w:color="auto"/>
              <w:bottom w:val="single" w:sz="4" w:space="0" w:color="auto"/>
            </w:tcBorders>
            <w:shd w:val="clear" w:color="auto" w:fill="auto"/>
            <w:vAlign w:val="bottom"/>
          </w:tcPr>
          <w:p w14:paraId="7437A3AD"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Gerçeğe Uygun Değer</w:t>
            </w:r>
          </w:p>
        </w:tc>
        <w:tc>
          <w:tcPr>
            <w:tcW w:w="659" w:type="pct"/>
            <w:tcBorders>
              <w:top w:val="thinThickSmallGap" w:sz="24" w:space="0" w:color="auto"/>
              <w:bottom w:val="single" w:sz="4" w:space="0" w:color="auto"/>
            </w:tcBorders>
            <w:shd w:val="clear" w:color="auto" w:fill="auto"/>
            <w:vAlign w:val="bottom"/>
          </w:tcPr>
          <w:p w14:paraId="158F2BFF" w14:textId="77777777" w:rsidR="0004350B" w:rsidRPr="00FB38E1" w:rsidRDefault="0004350B"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İhtiyaç Duyulan Özkaynak Tutarı</w:t>
            </w:r>
          </w:p>
        </w:tc>
      </w:tr>
      <w:tr w:rsidR="009F52CC" w:rsidRPr="00FB38E1" w14:paraId="31CA18EE" w14:textId="77777777" w:rsidTr="000E7273">
        <w:tc>
          <w:tcPr>
            <w:tcW w:w="151" w:type="pct"/>
            <w:tcBorders>
              <w:top w:val="single" w:sz="4" w:space="0" w:color="auto"/>
            </w:tcBorders>
            <w:shd w:val="clear" w:color="auto" w:fill="auto"/>
            <w:vAlign w:val="bottom"/>
          </w:tcPr>
          <w:p w14:paraId="40B32C5D"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w:t>
            </w:r>
          </w:p>
        </w:tc>
        <w:tc>
          <w:tcPr>
            <w:tcW w:w="521" w:type="pct"/>
            <w:tcBorders>
              <w:top w:val="single" w:sz="4" w:space="0" w:color="auto"/>
            </w:tcBorders>
            <w:shd w:val="clear" w:color="auto" w:fill="auto"/>
            <w:vAlign w:val="center"/>
          </w:tcPr>
          <w:p w14:paraId="34B9B73D" w14:textId="3048650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4.615.319</w:t>
            </w:r>
          </w:p>
        </w:tc>
        <w:tc>
          <w:tcPr>
            <w:tcW w:w="513" w:type="pct"/>
            <w:tcBorders>
              <w:top w:val="single" w:sz="4" w:space="0" w:color="auto"/>
            </w:tcBorders>
            <w:shd w:val="clear" w:color="auto" w:fill="auto"/>
            <w:vAlign w:val="center"/>
          </w:tcPr>
          <w:p w14:paraId="53B775A0" w14:textId="0D568D3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3.559.740</w:t>
            </w:r>
          </w:p>
        </w:tc>
        <w:tc>
          <w:tcPr>
            <w:tcW w:w="513" w:type="pct"/>
            <w:tcBorders>
              <w:top w:val="single" w:sz="4" w:space="0" w:color="auto"/>
            </w:tcBorders>
            <w:shd w:val="clear" w:color="auto" w:fill="auto"/>
            <w:vAlign w:val="center"/>
          </w:tcPr>
          <w:p w14:paraId="40286C7E" w14:textId="0F487792"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2.286.578</w:t>
            </w:r>
          </w:p>
        </w:tc>
        <w:tc>
          <w:tcPr>
            <w:tcW w:w="512" w:type="pct"/>
            <w:tcBorders>
              <w:top w:val="single" w:sz="4" w:space="0" w:color="auto"/>
            </w:tcBorders>
            <w:shd w:val="clear" w:color="auto" w:fill="auto"/>
            <w:vAlign w:val="center"/>
          </w:tcPr>
          <w:p w14:paraId="69D6F0CB" w14:textId="651A8213"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9.558</w:t>
            </w:r>
          </w:p>
        </w:tc>
        <w:tc>
          <w:tcPr>
            <w:tcW w:w="514" w:type="pct"/>
            <w:tcBorders>
              <w:top w:val="single" w:sz="4" w:space="0" w:color="auto"/>
            </w:tcBorders>
            <w:shd w:val="clear" w:color="auto" w:fill="auto"/>
            <w:vAlign w:val="center"/>
          </w:tcPr>
          <w:p w14:paraId="75E07F79" w14:textId="39CA7BE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tcBorders>
              <w:top w:val="single" w:sz="4" w:space="0" w:color="auto"/>
            </w:tcBorders>
            <w:shd w:val="clear" w:color="auto" w:fill="auto"/>
            <w:vAlign w:val="center"/>
          </w:tcPr>
          <w:p w14:paraId="40873C18" w14:textId="1457FE6E"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1.583.618</w:t>
            </w:r>
          </w:p>
        </w:tc>
        <w:tc>
          <w:tcPr>
            <w:tcW w:w="588" w:type="pct"/>
            <w:tcBorders>
              <w:top w:val="single" w:sz="4" w:space="0" w:color="auto"/>
            </w:tcBorders>
            <w:shd w:val="clear" w:color="auto" w:fill="auto"/>
            <w:vAlign w:val="center"/>
          </w:tcPr>
          <w:p w14:paraId="1F19375E" w14:textId="3CBB2AE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611.720</w:t>
            </w:r>
          </w:p>
        </w:tc>
        <w:tc>
          <w:tcPr>
            <w:tcW w:w="515" w:type="pct"/>
            <w:tcBorders>
              <w:top w:val="single" w:sz="4" w:space="0" w:color="auto"/>
            </w:tcBorders>
            <w:shd w:val="clear" w:color="auto" w:fill="auto"/>
            <w:vAlign w:val="center"/>
          </w:tcPr>
          <w:p w14:paraId="256DD20A" w14:textId="6A02D08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tcBorders>
              <w:top w:val="single" w:sz="4" w:space="0" w:color="auto"/>
            </w:tcBorders>
            <w:shd w:val="clear" w:color="auto" w:fill="auto"/>
            <w:vAlign w:val="center"/>
          </w:tcPr>
          <w:p w14:paraId="011F88A7" w14:textId="700CFEAE"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1330511D" w14:textId="77777777" w:rsidTr="000E7273">
        <w:tc>
          <w:tcPr>
            <w:tcW w:w="151" w:type="pct"/>
            <w:shd w:val="clear" w:color="auto" w:fill="auto"/>
            <w:vAlign w:val="bottom"/>
          </w:tcPr>
          <w:p w14:paraId="312B2706"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p>
        </w:tc>
        <w:tc>
          <w:tcPr>
            <w:tcW w:w="521" w:type="pct"/>
            <w:shd w:val="clear" w:color="auto" w:fill="auto"/>
            <w:vAlign w:val="center"/>
          </w:tcPr>
          <w:p w14:paraId="5F84D7DF" w14:textId="54B2791B"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667</w:t>
            </w:r>
          </w:p>
        </w:tc>
        <w:tc>
          <w:tcPr>
            <w:tcW w:w="513" w:type="pct"/>
            <w:shd w:val="clear" w:color="auto" w:fill="auto"/>
            <w:vAlign w:val="center"/>
          </w:tcPr>
          <w:p w14:paraId="065A8189" w14:textId="7C41498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508</w:t>
            </w:r>
          </w:p>
        </w:tc>
        <w:tc>
          <w:tcPr>
            <w:tcW w:w="513" w:type="pct"/>
            <w:shd w:val="clear" w:color="auto" w:fill="auto"/>
            <w:vAlign w:val="center"/>
          </w:tcPr>
          <w:p w14:paraId="592815C5" w14:textId="274FB84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2" w:type="pct"/>
            <w:shd w:val="clear" w:color="auto" w:fill="auto"/>
            <w:vAlign w:val="center"/>
          </w:tcPr>
          <w:p w14:paraId="71D81ED3" w14:textId="699ABF5B"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0B2372F3" w14:textId="12734A4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69FD9623" w14:textId="350E1281"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(270)</w:t>
            </w:r>
          </w:p>
        </w:tc>
        <w:tc>
          <w:tcPr>
            <w:tcW w:w="588" w:type="pct"/>
            <w:shd w:val="clear" w:color="auto" w:fill="auto"/>
            <w:vAlign w:val="center"/>
          </w:tcPr>
          <w:p w14:paraId="4075AFF4" w14:textId="34FA2EF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w:t>
            </w:r>
          </w:p>
        </w:tc>
        <w:tc>
          <w:tcPr>
            <w:tcW w:w="515" w:type="pct"/>
            <w:shd w:val="clear" w:color="auto" w:fill="auto"/>
            <w:vAlign w:val="center"/>
          </w:tcPr>
          <w:p w14:paraId="7DEC0B6A" w14:textId="7AFA6433"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637ED14D" w14:textId="07A9787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646C5E41" w14:textId="77777777" w:rsidTr="000E7273">
        <w:tc>
          <w:tcPr>
            <w:tcW w:w="151" w:type="pct"/>
            <w:shd w:val="clear" w:color="auto" w:fill="auto"/>
            <w:vAlign w:val="bottom"/>
          </w:tcPr>
          <w:p w14:paraId="3FA48CB8"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w:t>
            </w:r>
          </w:p>
        </w:tc>
        <w:tc>
          <w:tcPr>
            <w:tcW w:w="521" w:type="pct"/>
            <w:shd w:val="clear" w:color="auto" w:fill="auto"/>
            <w:vAlign w:val="center"/>
          </w:tcPr>
          <w:p w14:paraId="26B737C0" w14:textId="3B132B3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233.469.710</w:t>
            </w:r>
          </w:p>
        </w:tc>
        <w:tc>
          <w:tcPr>
            <w:tcW w:w="513" w:type="pct"/>
            <w:shd w:val="clear" w:color="auto" w:fill="auto"/>
            <w:vAlign w:val="center"/>
          </w:tcPr>
          <w:p w14:paraId="5DE29079" w14:textId="4102F00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47.315.122</w:t>
            </w:r>
          </w:p>
        </w:tc>
        <w:tc>
          <w:tcPr>
            <w:tcW w:w="513" w:type="pct"/>
            <w:shd w:val="clear" w:color="auto" w:fill="auto"/>
            <w:vAlign w:val="center"/>
          </w:tcPr>
          <w:p w14:paraId="57CD55FC" w14:textId="75215E08"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478.524</w:t>
            </w:r>
          </w:p>
        </w:tc>
        <w:tc>
          <w:tcPr>
            <w:tcW w:w="512" w:type="pct"/>
            <w:shd w:val="clear" w:color="auto" w:fill="auto"/>
            <w:vAlign w:val="center"/>
          </w:tcPr>
          <w:p w14:paraId="7B689131" w14:textId="46F4127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10.448.427</w:t>
            </w:r>
          </w:p>
        </w:tc>
        <w:tc>
          <w:tcPr>
            <w:tcW w:w="514" w:type="pct"/>
            <w:shd w:val="clear" w:color="auto" w:fill="auto"/>
            <w:vAlign w:val="center"/>
          </w:tcPr>
          <w:p w14:paraId="7596ED2C" w14:textId="45B3ED2D"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882.960</w:t>
            </w:r>
          </w:p>
        </w:tc>
        <w:tc>
          <w:tcPr>
            <w:tcW w:w="514" w:type="pct"/>
            <w:shd w:val="clear" w:color="auto" w:fill="auto"/>
            <w:vAlign w:val="center"/>
          </w:tcPr>
          <w:p w14:paraId="3A15B23D" w14:textId="3D4DEC9E"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3.710.596</w:t>
            </w:r>
          </w:p>
        </w:tc>
        <w:tc>
          <w:tcPr>
            <w:tcW w:w="588" w:type="pct"/>
            <w:shd w:val="clear" w:color="auto" w:fill="auto"/>
            <w:vAlign w:val="center"/>
          </w:tcPr>
          <w:p w14:paraId="6D638E5F" w14:textId="2150A70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2.738.122</w:t>
            </w:r>
          </w:p>
        </w:tc>
        <w:tc>
          <w:tcPr>
            <w:tcW w:w="515" w:type="pct"/>
            <w:shd w:val="clear" w:color="auto" w:fill="auto"/>
            <w:vAlign w:val="center"/>
          </w:tcPr>
          <w:p w14:paraId="1F59C5E7" w14:textId="35D12CC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5209FE44" w14:textId="5F961378"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0D1CF981" w14:textId="77777777" w:rsidTr="000E7273">
        <w:tc>
          <w:tcPr>
            <w:tcW w:w="151" w:type="pct"/>
            <w:shd w:val="clear" w:color="auto" w:fill="auto"/>
            <w:vAlign w:val="bottom"/>
          </w:tcPr>
          <w:p w14:paraId="2C68BE81"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w:t>
            </w:r>
          </w:p>
        </w:tc>
        <w:tc>
          <w:tcPr>
            <w:tcW w:w="521" w:type="pct"/>
            <w:shd w:val="clear" w:color="auto" w:fill="auto"/>
            <w:vAlign w:val="center"/>
          </w:tcPr>
          <w:p w14:paraId="49611B00" w14:textId="10742CD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11.393.552</w:t>
            </w:r>
          </w:p>
        </w:tc>
        <w:tc>
          <w:tcPr>
            <w:tcW w:w="513" w:type="pct"/>
            <w:shd w:val="clear" w:color="auto" w:fill="auto"/>
            <w:vAlign w:val="center"/>
          </w:tcPr>
          <w:p w14:paraId="2D55BB6C" w14:textId="464BFFC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6.777.631</w:t>
            </w:r>
          </w:p>
        </w:tc>
        <w:tc>
          <w:tcPr>
            <w:tcW w:w="513" w:type="pct"/>
            <w:shd w:val="clear" w:color="auto" w:fill="auto"/>
            <w:vAlign w:val="center"/>
          </w:tcPr>
          <w:p w14:paraId="4D03F1B4" w14:textId="5D4D99EB"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51.386</w:t>
            </w:r>
          </w:p>
        </w:tc>
        <w:tc>
          <w:tcPr>
            <w:tcW w:w="512" w:type="pct"/>
            <w:shd w:val="clear" w:color="auto" w:fill="auto"/>
            <w:vAlign w:val="center"/>
          </w:tcPr>
          <w:p w14:paraId="2B5C6D92" w14:textId="53549BD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5.385.358</w:t>
            </w:r>
          </w:p>
        </w:tc>
        <w:tc>
          <w:tcPr>
            <w:tcW w:w="514" w:type="pct"/>
            <w:shd w:val="clear" w:color="auto" w:fill="auto"/>
            <w:vAlign w:val="center"/>
          </w:tcPr>
          <w:p w14:paraId="13E43217" w14:textId="632D15A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34624ABD" w14:textId="58C6E52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4.006.101</w:t>
            </w:r>
          </w:p>
        </w:tc>
        <w:tc>
          <w:tcPr>
            <w:tcW w:w="588" w:type="pct"/>
            <w:shd w:val="clear" w:color="auto" w:fill="auto"/>
            <w:vAlign w:val="center"/>
          </w:tcPr>
          <w:p w14:paraId="39D9F8D8" w14:textId="2C11AD8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939.236</w:t>
            </w:r>
          </w:p>
        </w:tc>
        <w:tc>
          <w:tcPr>
            <w:tcW w:w="515" w:type="pct"/>
            <w:shd w:val="clear" w:color="auto" w:fill="auto"/>
            <w:vAlign w:val="center"/>
          </w:tcPr>
          <w:p w14:paraId="7A2C5B8B" w14:textId="21B4E1D5"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12C0E4FA" w14:textId="7CBBD26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0B608DED" w14:textId="77777777" w:rsidTr="000E7273">
        <w:tc>
          <w:tcPr>
            <w:tcW w:w="151" w:type="pct"/>
            <w:shd w:val="clear" w:color="auto" w:fill="auto"/>
            <w:vAlign w:val="bottom"/>
          </w:tcPr>
          <w:p w14:paraId="2B9C838F"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w:t>
            </w:r>
          </w:p>
        </w:tc>
        <w:tc>
          <w:tcPr>
            <w:tcW w:w="521" w:type="pct"/>
            <w:shd w:val="clear" w:color="auto" w:fill="auto"/>
            <w:vAlign w:val="center"/>
          </w:tcPr>
          <w:p w14:paraId="2E6FD98B" w14:textId="033030D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58.901</w:t>
            </w:r>
          </w:p>
        </w:tc>
        <w:tc>
          <w:tcPr>
            <w:tcW w:w="513" w:type="pct"/>
            <w:shd w:val="clear" w:color="auto" w:fill="auto"/>
            <w:vAlign w:val="center"/>
          </w:tcPr>
          <w:p w14:paraId="13F9861C" w14:textId="053287A2"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13.807</w:t>
            </w:r>
          </w:p>
        </w:tc>
        <w:tc>
          <w:tcPr>
            <w:tcW w:w="513" w:type="pct"/>
            <w:shd w:val="clear" w:color="auto" w:fill="auto"/>
            <w:vAlign w:val="center"/>
          </w:tcPr>
          <w:p w14:paraId="669AA720" w14:textId="0EDBC62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10.783</w:t>
            </w:r>
          </w:p>
        </w:tc>
        <w:tc>
          <w:tcPr>
            <w:tcW w:w="512" w:type="pct"/>
            <w:shd w:val="clear" w:color="auto" w:fill="auto"/>
            <w:vAlign w:val="center"/>
          </w:tcPr>
          <w:p w14:paraId="560A775A" w14:textId="2D7B61B5"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1.469</w:t>
            </w:r>
          </w:p>
        </w:tc>
        <w:tc>
          <w:tcPr>
            <w:tcW w:w="514" w:type="pct"/>
            <w:shd w:val="clear" w:color="auto" w:fill="auto"/>
            <w:vAlign w:val="center"/>
          </w:tcPr>
          <w:p w14:paraId="6A9193C8" w14:textId="10CB118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6DDF428F" w14:textId="2F9482CD"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(9.102)</w:t>
            </w:r>
          </w:p>
        </w:tc>
        <w:tc>
          <w:tcPr>
            <w:tcW w:w="588" w:type="pct"/>
            <w:shd w:val="clear" w:color="auto" w:fill="auto"/>
            <w:vAlign w:val="center"/>
          </w:tcPr>
          <w:p w14:paraId="29095F29" w14:textId="6C8C48F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5.269</w:t>
            </w:r>
          </w:p>
        </w:tc>
        <w:tc>
          <w:tcPr>
            <w:tcW w:w="515" w:type="pct"/>
            <w:shd w:val="clear" w:color="auto" w:fill="auto"/>
            <w:vAlign w:val="center"/>
          </w:tcPr>
          <w:p w14:paraId="6794816F" w14:textId="151069CB"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47365B7C" w14:textId="60731CD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6794FF6C" w14:textId="77777777" w:rsidTr="000E7273">
        <w:tc>
          <w:tcPr>
            <w:tcW w:w="151" w:type="pct"/>
            <w:shd w:val="clear" w:color="auto" w:fill="auto"/>
            <w:vAlign w:val="bottom"/>
          </w:tcPr>
          <w:p w14:paraId="12316377"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w:t>
            </w:r>
          </w:p>
        </w:tc>
        <w:tc>
          <w:tcPr>
            <w:tcW w:w="521" w:type="pct"/>
            <w:shd w:val="clear" w:color="auto" w:fill="auto"/>
            <w:vAlign w:val="center"/>
          </w:tcPr>
          <w:p w14:paraId="0BC17FB6" w14:textId="550C6755"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29.861.110</w:t>
            </w:r>
          </w:p>
        </w:tc>
        <w:tc>
          <w:tcPr>
            <w:tcW w:w="513" w:type="pct"/>
            <w:shd w:val="clear" w:color="auto" w:fill="auto"/>
            <w:vAlign w:val="center"/>
          </w:tcPr>
          <w:p w14:paraId="194D146E" w14:textId="062F70A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3.271.000</w:t>
            </w:r>
          </w:p>
        </w:tc>
        <w:tc>
          <w:tcPr>
            <w:tcW w:w="513" w:type="pct"/>
            <w:shd w:val="clear" w:color="auto" w:fill="auto"/>
            <w:vAlign w:val="center"/>
          </w:tcPr>
          <w:p w14:paraId="3D1572FD" w14:textId="7FC55C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50.582</w:t>
            </w:r>
          </w:p>
        </w:tc>
        <w:tc>
          <w:tcPr>
            <w:tcW w:w="512" w:type="pct"/>
            <w:shd w:val="clear" w:color="auto" w:fill="auto"/>
            <w:vAlign w:val="center"/>
          </w:tcPr>
          <w:p w14:paraId="7AE92222" w14:textId="35F51872"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1.697.201</w:t>
            </w:r>
          </w:p>
        </w:tc>
        <w:tc>
          <w:tcPr>
            <w:tcW w:w="514" w:type="pct"/>
            <w:shd w:val="clear" w:color="auto" w:fill="auto"/>
            <w:vAlign w:val="center"/>
          </w:tcPr>
          <w:p w14:paraId="5CCF6477" w14:textId="1DA3E548"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2.078</w:t>
            </w:r>
          </w:p>
        </w:tc>
        <w:tc>
          <w:tcPr>
            <w:tcW w:w="514" w:type="pct"/>
            <w:shd w:val="clear" w:color="auto" w:fill="auto"/>
            <w:vAlign w:val="center"/>
          </w:tcPr>
          <w:p w14:paraId="1B4E1BA6" w14:textId="10AAA6A3"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1.589.213</w:t>
            </w:r>
          </w:p>
        </w:tc>
        <w:tc>
          <w:tcPr>
            <w:tcW w:w="588" w:type="pct"/>
            <w:shd w:val="clear" w:color="auto" w:fill="auto"/>
            <w:vAlign w:val="center"/>
          </w:tcPr>
          <w:p w14:paraId="1E8770CB" w14:textId="696F5121"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486.721</w:t>
            </w:r>
          </w:p>
        </w:tc>
        <w:tc>
          <w:tcPr>
            <w:tcW w:w="515" w:type="pct"/>
            <w:shd w:val="clear" w:color="auto" w:fill="auto"/>
            <w:vAlign w:val="center"/>
          </w:tcPr>
          <w:p w14:paraId="4CFEEC25" w14:textId="00EC6A2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6AB61D75" w14:textId="05F6033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21E7002D" w14:textId="77777777" w:rsidTr="000E7273">
        <w:tc>
          <w:tcPr>
            <w:tcW w:w="151" w:type="pct"/>
            <w:shd w:val="clear" w:color="auto" w:fill="auto"/>
            <w:vAlign w:val="bottom"/>
          </w:tcPr>
          <w:p w14:paraId="5A17BDFB"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w:t>
            </w:r>
          </w:p>
        </w:tc>
        <w:tc>
          <w:tcPr>
            <w:tcW w:w="521" w:type="pct"/>
            <w:shd w:val="clear" w:color="auto" w:fill="auto"/>
            <w:vAlign w:val="center"/>
          </w:tcPr>
          <w:p w14:paraId="5BE027AA" w14:textId="14BC01D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1.036.326</w:t>
            </w:r>
          </w:p>
        </w:tc>
        <w:tc>
          <w:tcPr>
            <w:tcW w:w="513" w:type="pct"/>
            <w:shd w:val="clear" w:color="auto" w:fill="auto"/>
            <w:vAlign w:val="center"/>
          </w:tcPr>
          <w:p w14:paraId="415E8AA9" w14:textId="735AEB3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910.819</w:t>
            </w:r>
          </w:p>
        </w:tc>
        <w:tc>
          <w:tcPr>
            <w:tcW w:w="513" w:type="pct"/>
            <w:shd w:val="clear" w:color="auto" w:fill="auto"/>
            <w:vAlign w:val="center"/>
          </w:tcPr>
          <w:p w14:paraId="62FA506E" w14:textId="31343E5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7.815</w:t>
            </w:r>
          </w:p>
        </w:tc>
        <w:tc>
          <w:tcPr>
            <w:tcW w:w="512" w:type="pct"/>
            <w:shd w:val="clear" w:color="auto" w:fill="auto"/>
            <w:vAlign w:val="center"/>
          </w:tcPr>
          <w:p w14:paraId="37EC8066" w14:textId="4A34592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1.481</w:t>
            </w:r>
          </w:p>
        </w:tc>
        <w:tc>
          <w:tcPr>
            <w:tcW w:w="514" w:type="pct"/>
            <w:shd w:val="clear" w:color="auto" w:fill="auto"/>
            <w:vAlign w:val="center"/>
          </w:tcPr>
          <w:p w14:paraId="0706AD3D" w14:textId="2283ED5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353</w:t>
            </w:r>
          </w:p>
        </w:tc>
        <w:tc>
          <w:tcPr>
            <w:tcW w:w="514" w:type="pct"/>
            <w:shd w:val="clear" w:color="auto" w:fill="auto"/>
            <w:vAlign w:val="center"/>
          </w:tcPr>
          <w:p w14:paraId="2630AB05" w14:textId="095B9E3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681.424</w:t>
            </w:r>
          </w:p>
        </w:tc>
        <w:tc>
          <w:tcPr>
            <w:tcW w:w="588" w:type="pct"/>
            <w:shd w:val="clear" w:color="auto" w:fill="auto"/>
            <w:vAlign w:val="center"/>
          </w:tcPr>
          <w:p w14:paraId="341D9896" w14:textId="5C73A932"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104.850</w:t>
            </w:r>
          </w:p>
        </w:tc>
        <w:tc>
          <w:tcPr>
            <w:tcW w:w="515" w:type="pct"/>
            <w:shd w:val="clear" w:color="auto" w:fill="auto"/>
            <w:vAlign w:val="center"/>
          </w:tcPr>
          <w:p w14:paraId="6E738E0D" w14:textId="0B123EA3"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621D8793" w14:textId="67DE0A8E"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24751AE9" w14:textId="77777777" w:rsidTr="000E7273">
        <w:tc>
          <w:tcPr>
            <w:tcW w:w="151" w:type="pct"/>
            <w:shd w:val="clear" w:color="auto" w:fill="auto"/>
            <w:vAlign w:val="bottom"/>
          </w:tcPr>
          <w:p w14:paraId="35FE75CC"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w:t>
            </w:r>
          </w:p>
        </w:tc>
        <w:tc>
          <w:tcPr>
            <w:tcW w:w="521" w:type="pct"/>
            <w:shd w:val="clear" w:color="auto" w:fill="auto"/>
            <w:vAlign w:val="center"/>
          </w:tcPr>
          <w:p w14:paraId="7DF9D677" w14:textId="795D300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36.114.196</w:t>
            </w:r>
          </w:p>
        </w:tc>
        <w:tc>
          <w:tcPr>
            <w:tcW w:w="513" w:type="pct"/>
            <w:shd w:val="clear" w:color="auto" w:fill="auto"/>
            <w:vAlign w:val="center"/>
          </w:tcPr>
          <w:p w14:paraId="74A59EBE" w14:textId="7DE2AB1B"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9.512.359</w:t>
            </w:r>
          </w:p>
        </w:tc>
        <w:tc>
          <w:tcPr>
            <w:tcW w:w="513" w:type="pct"/>
            <w:shd w:val="clear" w:color="auto" w:fill="auto"/>
            <w:vAlign w:val="center"/>
          </w:tcPr>
          <w:p w14:paraId="10C7E79F" w14:textId="3A9D16A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7.647.993</w:t>
            </w:r>
          </w:p>
        </w:tc>
        <w:tc>
          <w:tcPr>
            <w:tcW w:w="512" w:type="pct"/>
            <w:shd w:val="clear" w:color="auto" w:fill="auto"/>
            <w:vAlign w:val="center"/>
          </w:tcPr>
          <w:p w14:paraId="600D7755" w14:textId="108EB0E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3.939.472</w:t>
            </w:r>
          </w:p>
        </w:tc>
        <w:tc>
          <w:tcPr>
            <w:tcW w:w="514" w:type="pct"/>
            <w:shd w:val="clear" w:color="auto" w:fill="auto"/>
            <w:vAlign w:val="center"/>
          </w:tcPr>
          <w:p w14:paraId="7FA7D709" w14:textId="39B5144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64F16855" w14:textId="6B0F730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4.155.814</w:t>
            </w:r>
          </w:p>
        </w:tc>
        <w:tc>
          <w:tcPr>
            <w:tcW w:w="588" w:type="pct"/>
            <w:shd w:val="clear" w:color="auto" w:fill="auto"/>
            <w:vAlign w:val="center"/>
          </w:tcPr>
          <w:p w14:paraId="1C3C6CA8" w14:textId="348D848B"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1.407.704</w:t>
            </w:r>
          </w:p>
        </w:tc>
        <w:tc>
          <w:tcPr>
            <w:tcW w:w="515" w:type="pct"/>
            <w:shd w:val="clear" w:color="auto" w:fill="auto"/>
            <w:vAlign w:val="center"/>
          </w:tcPr>
          <w:p w14:paraId="55213276" w14:textId="2D114D91"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7599B301" w14:textId="30E9573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4060DCA5" w14:textId="77777777" w:rsidTr="000E7273">
        <w:tc>
          <w:tcPr>
            <w:tcW w:w="151" w:type="pct"/>
            <w:shd w:val="clear" w:color="auto" w:fill="auto"/>
            <w:vAlign w:val="bottom"/>
          </w:tcPr>
          <w:p w14:paraId="3B9625B3"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w:t>
            </w:r>
          </w:p>
        </w:tc>
        <w:tc>
          <w:tcPr>
            <w:tcW w:w="521" w:type="pct"/>
            <w:shd w:val="clear" w:color="auto" w:fill="auto"/>
            <w:vAlign w:val="center"/>
          </w:tcPr>
          <w:p w14:paraId="0A3121B1" w14:textId="366B75C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20.158.413</w:t>
            </w:r>
          </w:p>
        </w:tc>
        <w:tc>
          <w:tcPr>
            <w:tcW w:w="513" w:type="pct"/>
            <w:shd w:val="clear" w:color="auto" w:fill="auto"/>
            <w:vAlign w:val="center"/>
          </w:tcPr>
          <w:p w14:paraId="19E638BA" w14:textId="445D08B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5.303.993</w:t>
            </w:r>
          </w:p>
        </w:tc>
        <w:tc>
          <w:tcPr>
            <w:tcW w:w="513" w:type="pct"/>
            <w:shd w:val="clear" w:color="auto" w:fill="auto"/>
            <w:vAlign w:val="center"/>
          </w:tcPr>
          <w:p w14:paraId="301AFE9B" w14:textId="1F91586E"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69.190</w:t>
            </w:r>
          </w:p>
        </w:tc>
        <w:tc>
          <w:tcPr>
            <w:tcW w:w="512" w:type="pct"/>
            <w:shd w:val="clear" w:color="auto" w:fill="auto"/>
            <w:vAlign w:val="center"/>
          </w:tcPr>
          <w:p w14:paraId="16A63B48" w14:textId="0DF209D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7.258.999</w:t>
            </w:r>
          </w:p>
        </w:tc>
        <w:tc>
          <w:tcPr>
            <w:tcW w:w="514" w:type="pct"/>
            <w:shd w:val="clear" w:color="auto" w:fill="auto"/>
            <w:vAlign w:val="center"/>
          </w:tcPr>
          <w:p w14:paraId="023CEAC3" w14:textId="314F9E1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7606F7C1" w14:textId="10C8F0A8"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1.783.089</w:t>
            </w:r>
          </w:p>
        </w:tc>
        <w:tc>
          <w:tcPr>
            <w:tcW w:w="588" w:type="pct"/>
            <w:shd w:val="clear" w:color="auto" w:fill="auto"/>
            <w:vAlign w:val="center"/>
          </w:tcPr>
          <w:p w14:paraId="045B9ACF" w14:textId="31CBB23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782.761</w:t>
            </w:r>
          </w:p>
        </w:tc>
        <w:tc>
          <w:tcPr>
            <w:tcW w:w="515" w:type="pct"/>
            <w:shd w:val="clear" w:color="auto" w:fill="auto"/>
            <w:vAlign w:val="center"/>
          </w:tcPr>
          <w:p w14:paraId="494EACC6" w14:textId="6571810D"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6A46FCE5" w14:textId="551FB43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6BEBBEAA" w14:textId="77777777" w:rsidTr="000E7273">
        <w:tc>
          <w:tcPr>
            <w:tcW w:w="151" w:type="pct"/>
            <w:shd w:val="clear" w:color="auto" w:fill="auto"/>
            <w:vAlign w:val="bottom"/>
          </w:tcPr>
          <w:p w14:paraId="5EFD7EA8"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w:t>
            </w:r>
          </w:p>
        </w:tc>
        <w:tc>
          <w:tcPr>
            <w:tcW w:w="521" w:type="pct"/>
            <w:shd w:val="clear" w:color="auto" w:fill="auto"/>
            <w:vAlign w:val="center"/>
          </w:tcPr>
          <w:p w14:paraId="3DF0CF45" w14:textId="29002F1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4.368.611</w:t>
            </w:r>
          </w:p>
        </w:tc>
        <w:tc>
          <w:tcPr>
            <w:tcW w:w="513" w:type="pct"/>
            <w:shd w:val="clear" w:color="auto" w:fill="auto"/>
            <w:vAlign w:val="center"/>
          </w:tcPr>
          <w:p w14:paraId="5A4C548B" w14:textId="4E5CAED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3.685.802</w:t>
            </w:r>
          </w:p>
        </w:tc>
        <w:tc>
          <w:tcPr>
            <w:tcW w:w="513" w:type="pct"/>
            <w:shd w:val="clear" w:color="auto" w:fill="auto"/>
            <w:vAlign w:val="center"/>
          </w:tcPr>
          <w:p w14:paraId="3D544777" w14:textId="004868B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2.155</w:t>
            </w:r>
          </w:p>
        </w:tc>
        <w:tc>
          <w:tcPr>
            <w:tcW w:w="512" w:type="pct"/>
            <w:shd w:val="clear" w:color="auto" w:fill="auto"/>
            <w:vAlign w:val="center"/>
          </w:tcPr>
          <w:p w14:paraId="65467A71" w14:textId="0C1B33A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654</w:t>
            </w:r>
          </w:p>
        </w:tc>
        <w:tc>
          <w:tcPr>
            <w:tcW w:w="514" w:type="pct"/>
            <w:shd w:val="clear" w:color="auto" w:fill="auto"/>
            <w:vAlign w:val="center"/>
          </w:tcPr>
          <w:p w14:paraId="5BD43590" w14:textId="485BD42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7717C075" w14:textId="1B9471D8"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1.583.276</w:t>
            </w:r>
          </w:p>
        </w:tc>
        <w:tc>
          <w:tcPr>
            <w:tcW w:w="588" w:type="pct"/>
            <w:shd w:val="clear" w:color="auto" w:fill="auto"/>
            <w:vAlign w:val="center"/>
          </w:tcPr>
          <w:p w14:paraId="653F3EF7" w14:textId="3B771FE9"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392.196</w:t>
            </w:r>
          </w:p>
        </w:tc>
        <w:tc>
          <w:tcPr>
            <w:tcW w:w="515" w:type="pct"/>
            <w:shd w:val="clear" w:color="auto" w:fill="auto"/>
            <w:vAlign w:val="center"/>
          </w:tcPr>
          <w:p w14:paraId="465F6A50" w14:textId="55FBF1B8"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557E5E12" w14:textId="4B8A410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4EBD7DD0" w14:textId="77777777" w:rsidTr="000E7273">
        <w:tc>
          <w:tcPr>
            <w:tcW w:w="151" w:type="pct"/>
            <w:shd w:val="clear" w:color="auto" w:fill="auto"/>
            <w:vAlign w:val="bottom"/>
          </w:tcPr>
          <w:p w14:paraId="4DFE6FB3"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w:t>
            </w:r>
          </w:p>
        </w:tc>
        <w:tc>
          <w:tcPr>
            <w:tcW w:w="521" w:type="pct"/>
            <w:shd w:val="clear" w:color="auto" w:fill="auto"/>
            <w:vAlign w:val="center"/>
          </w:tcPr>
          <w:p w14:paraId="35100E41" w14:textId="57F9F2CD"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1.115.373</w:t>
            </w:r>
          </w:p>
        </w:tc>
        <w:tc>
          <w:tcPr>
            <w:tcW w:w="513" w:type="pct"/>
            <w:shd w:val="clear" w:color="auto" w:fill="auto"/>
            <w:vAlign w:val="center"/>
          </w:tcPr>
          <w:p w14:paraId="43FFA07D" w14:textId="1B900E95"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950.382</w:t>
            </w:r>
          </w:p>
        </w:tc>
        <w:tc>
          <w:tcPr>
            <w:tcW w:w="513" w:type="pct"/>
            <w:shd w:val="clear" w:color="auto" w:fill="auto"/>
            <w:vAlign w:val="center"/>
          </w:tcPr>
          <w:p w14:paraId="40BCC330" w14:textId="19B79C3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977.183</w:t>
            </w:r>
          </w:p>
        </w:tc>
        <w:tc>
          <w:tcPr>
            <w:tcW w:w="512" w:type="pct"/>
            <w:shd w:val="clear" w:color="auto" w:fill="auto"/>
            <w:vAlign w:val="center"/>
          </w:tcPr>
          <w:p w14:paraId="2498D1DF" w14:textId="421A67C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582</w:t>
            </w:r>
          </w:p>
        </w:tc>
        <w:tc>
          <w:tcPr>
            <w:tcW w:w="514" w:type="pct"/>
            <w:shd w:val="clear" w:color="auto" w:fill="auto"/>
            <w:vAlign w:val="center"/>
          </w:tcPr>
          <w:p w14:paraId="15B80BCA" w14:textId="08050CF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50A90B90" w14:textId="0837F48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6.882</w:t>
            </w:r>
          </w:p>
        </w:tc>
        <w:tc>
          <w:tcPr>
            <w:tcW w:w="588" w:type="pct"/>
            <w:shd w:val="clear" w:color="auto" w:fill="auto"/>
            <w:vAlign w:val="center"/>
          </w:tcPr>
          <w:p w14:paraId="002D8296" w14:textId="1932BA22"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578</w:t>
            </w:r>
          </w:p>
        </w:tc>
        <w:tc>
          <w:tcPr>
            <w:tcW w:w="515" w:type="pct"/>
            <w:shd w:val="clear" w:color="auto" w:fill="auto"/>
            <w:vAlign w:val="center"/>
          </w:tcPr>
          <w:p w14:paraId="6CF75DDA" w14:textId="18A04C08"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68D85839" w14:textId="650F4F8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1A1EFE1C" w14:textId="77777777" w:rsidTr="000E7273">
        <w:tc>
          <w:tcPr>
            <w:tcW w:w="151" w:type="pct"/>
            <w:shd w:val="clear" w:color="auto" w:fill="auto"/>
            <w:vAlign w:val="bottom"/>
          </w:tcPr>
          <w:p w14:paraId="56907F1C"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w:t>
            </w:r>
          </w:p>
        </w:tc>
        <w:tc>
          <w:tcPr>
            <w:tcW w:w="521" w:type="pct"/>
            <w:shd w:val="clear" w:color="auto" w:fill="auto"/>
            <w:vAlign w:val="center"/>
          </w:tcPr>
          <w:p w14:paraId="00693A41" w14:textId="28693C0D"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314.498</w:t>
            </w:r>
          </w:p>
        </w:tc>
        <w:tc>
          <w:tcPr>
            <w:tcW w:w="513" w:type="pct"/>
            <w:shd w:val="clear" w:color="auto" w:fill="auto"/>
            <w:vAlign w:val="center"/>
          </w:tcPr>
          <w:p w14:paraId="5FEC845C" w14:textId="4F71F81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217.585</w:t>
            </w:r>
          </w:p>
        </w:tc>
        <w:tc>
          <w:tcPr>
            <w:tcW w:w="513" w:type="pct"/>
            <w:shd w:val="clear" w:color="auto" w:fill="auto"/>
            <w:vAlign w:val="center"/>
          </w:tcPr>
          <w:p w14:paraId="0F9EB8D5" w14:textId="02CE6D75"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67.127</w:t>
            </w:r>
          </w:p>
        </w:tc>
        <w:tc>
          <w:tcPr>
            <w:tcW w:w="512" w:type="pct"/>
            <w:shd w:val="clear" w:color="auto" w:fill="auto"/>
            <w:vAlign w:val="center"/>
          </w:tcPr>
          <w:p w14:paraId="57258B75" w14:textId="607F273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3.847</w:t>
            </w:r>
          </w:p>
        </w:tc>
        <w:tc>
          <w:tcPr>
            <w:tcW w:w="514" w:type="pct"/>
            <w:shd w:val="clear" w:color="auto" w:fill="auto"/>
            <w:vAlign w:val="center"/>
          </w:tcPr>
          <w:p w14:paraId="5663FDAA" w14:textId="552A270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55074DC1" w14:textId="34302935"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(125.848)</w:t>
            </w:r>
          </w:p>
        </w:tc>
        <w:tc>
          <w:tcPr>
            <w:tcW w:w="588" w:type="pct"/>
            <w:shd w:val="clear" w:color="auto" w:fill="auto"/>
            <w:vAlign w:val="center"/>
          </w:tcPr>
          <w:p w14:paraId="143ECDA4" w14:textId="235D225B"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(3.861)</w:t>
            </w:r>
          </w:p>
        </w:tc>
        <w:tc>
          <w:tcPr>
            <w:tcW w:w="515" w:type="pct"/>
            <w:shd w:val="clear" w:color="auto" w:fill="auto"/>
            <w:vAlign w:val="center"/>
          </w:tcPr>
          <w:p w14:paraId="4863CEF7" w14:textId="41BB9D6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3807B106" w14:textId="7AA6D921"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5104C9F4" w14:textId="77777777" w:rsidTr="000E7273">
        <w:tc>
          <w:tcPr>
            <w:tcW w:w="151" w:type="pct"/>
            <w:shd w:val="clear" w:color="auto" w:fill="auto"/>
            <w:vAlign w:val="bottom"/>
          </w:tcPr>
          <w:p w14:paraId="3207443A"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w:t>
            </w:r>
          </w:p>
        </w:tc>
        <w:tc>
          <w:tcPr>
            <w:tcW w:w="521" w:type="pct"/>
            <w:shd w:val="clear" w:color="auto" w:fill="auto"/>
            <w:vAlign w:val="center"/>
          </w:tcPr>
          <w:p w14:paraId="5BD1268E" w14:textId="7D474E22"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567.358</w:t>
            </w:r>
          </w:p>
        </w:tc>
        <w:tc>
          <w:tcPr>
            <w:tcW w:w="513" w:type="pct"/>
            <w:shd w:val="clear" w:color="auto" w:fill="auto"/>
            <w:vAlign w:val="center"/>
          </w:tcPr>
          <w:p w14:paraId="01C10C5A" w14:textId="5244A17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520.761</w:t>
            </w:r>
          </w:p>
        </w:tc>
        <w:tc>
          <w:tcPr>
            <w:tcW w:w="513" w:type="pct"/>
            <w:shd w:val="clear" w:color="auto" w:fill="auto"/>
            <w:vAlign w:val="center"/>
          </w:tcPr>
          <w:p w14:paraId="66038859" w14:textId="3DE3E1E1"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69.590</w:t>
            </w:r>
          </w:p>
        </w:tc>
        <w:tc>
          <w:tcPr>
            <w:tcW w:w="512" w:type="pct"/>
            <w:shd w:val="clear" w:color="auto" w:fill="auto"/>
            <w:vAlign w:val="center"/>
          </w:tcPr>
          <w:p w14:paraId="3092AC41" w14:textId="15B3D6F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14.972</w:t>
            </w:r>
          </w:p>
        </w:tc>
        <w:tc>
          <w:tcPr>
            <w:tcW w:w="514" w:type="pct"/>
            <w:shd w:val="clear" w:color="auto" w:fill="auto"/>
            <w:vAlign w:val="center"/>
          </w:tcPr>
          <w:p w14:paraId="05E71601" w14:textId="2D2A3FFA"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0D43D66B" w14:textId="1894B341"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439.038</w:t>
            </w:r>
          </w:p>
        </w:tc>
        <w:tc>
          <w:tcPr>
            <w:tcW w:w="588" w:type="pct"/>
            <w:shd w:val="clear" w:color="auto" w:fill="auto"/>
            <w:vAlign w:val="center"/>
          </w:tcPr>
          <w:p w14:paraId="7E85873B" w14:textId="6BFB587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13.576</w:t>
            </w:r>
          </w:p>
        </w:tc>
        <w:tc>
          <w:tcPr>
            <w:tcW w:w="515" w:type="pct"/>
            <w:shd w:val="clear" w:color="auto" w:fill="auto"/>
            <w:vAlign w:val="center"/>
          </w:tcPr>
          <w:p w14:paraId="63A1E3C2" w14:textId="0051B3D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54AB7719" w14:textId="1DA0E593"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31B46630" w14:textId="77777777" w:rsidTr="000E7273">
        <w:tc>
          <w:tcPr>
            <w:tcW w:w="151" w:type="pct"/>
            <w:shd w:val="clear" w:color="auto" w:fill="auto"/>
            <w:vAlign w:val="bottom"/>
          </w:tcPr>
          <w:p w14:paraId="3FC4879B" w14:textId="7777777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w:t>
            </w:r>
          </w:p>
        </w:tc>
        <w:tc>
          <w:tcPr>
            <w:tcW w:w="521" w:type="pct"/>
            <w:shd w:val="clear" w:color="auto" w:fill="auto"/>
            <w:vAlign w:val="center"/>
          </w:tcPr>
          <w:p w14:paraId="719329B6" w14:textId="05B8C952"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11.812</w:t>
            </w:r>
          </w:p>
        </w:tc>
        <w:tc>
          <w:tcPr>
            <w:tcW w:w="513" w:type="pct"/>
            <w:shd w:val="clear" w:color="auto" w:fill="auto"/>
            <w:vAlign w:val="center"/>
          </w:tcPr>
          <w:p w14:paraId="35B4143E" w14:textId="08B56D9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11.094</w:t>
            </w:r>
          </w:p>
        </w:tc>
        <w:tc>
          <w:tcPr>
            <w:tcW w:w="513" w:type="pct"/>
            <w:shd w:val="clear" w:color="auto" w:fill="auto"/>
            <w:vAlign w:val="center"/>
          </w:tcPr>
          <w:p w14:paraId="5879625E" w14:textId="40A8BBF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417</w:t>
            </w:r>
          </w:p>
        </w:tc>
        <w:tc>
          <w:tcPr>
            <w:tcW w:w="512" w:type="pct"/>
            <w:shd w:val="clear" w:color="auto" w:fill="auto"/>
            <w:vAlign w:val="center"/>
          </w:tcPr>
          <w:p w14:paraId="43BF93CE" w14:textId="37EF3B6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1.160</w:t>
            </w:r>
          </w:p>
        </w:tc>
        <w:tc>
          <w:tcPr>
            <w:tcW w:w="514" w:type="pct"/>
            <w:shd w:val="clear" w:color="auto" w:fill="auto"/>
            <w:vAlign w:val="center"/>
          </w:tcPr>
          <w:p w14:paraId="27960FA4" w14:textId="33CE8236"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42E2DD32" w14:textId="2F057485"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(11.407)</w:t>
            </w:r>
          </w:p>
        </w:tc>
        <w:tc>
          <w:tcPr>
            <w:tcW w:w="588" w:type="pct"/>
            <w:shd w:val="clear" w:color="auto" w:fill="auto"/>
            <w:vAlign w:val="center"/>
          </w:tcPr>
          <w:p w14:paraId="144CA01B" w14:textId="5249C42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(983)</w:t>
            </w:r>
          </w:p>
        </w:tc>
        <w:tc>
          <w:tcPr>
            <w:tcW w:w="515" w:type="pct"/>
            <w:shd w:val="clear" w:color="auto" w:fill="auto"/>
            <w:vAlign w:val="center"/>
          </w:tcPr>
          <w:p w14:paraId="5AA6F696" w14:textId="34C384F4"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524EBCF8" w14:textId="1374E9FB"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F52CC" w:rsidRPr="00FB38E1" w14:paraId="40A49E1B" w14:textId="77777777" w:rsidTr="000E7273">
        <w:tc>
          <w:tcPr>
            <w:tcW w:w="151" w:type="pct"/>
            <w:shd w:val="clear" w:color="auto" w:fill="auto"/>
            <w:vAlign w:val="bottom"/>
          </w:tcPr>
          <w:p w14:paraId="37147A45" w14:textId="6967B8D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w:t>
            </w:r>
          </w:p>
        </w:tc>
        <w:tc>
          <w:tcPr>
            <w:tcW w:w="521" w:type="pct"/>
            <w:shd w:val="clear" w:color="auto" w:fill="auto"/>
            <w:vAlign w:val="center"/>
          </w:tcPr>
          <w:p w14:paraId="27A37A71" w14:textId="62176653"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2.567</w:t>
            </w:r>
          </w:p>
        </w:tc>
        <w:tc>
          <w:tcPr>
            <w:tcW w:w="513" w:type="pct"/>
            <w:shd w:val="clear" w:color="auto" w:fill="auto"/>
            <w:vAlign w:val="center"/>
          </w:tcPr>
          <w:p w14:paraId="459CFE91" w14:textId="1A106F7F"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2.559</w:t>
            </w:r>
          </w:p>
        </w:tc>
        <w:tc>
          <w:tcPr>
            <w:tcW w:w="513" w:type="pct"/>
            <w:shd w:val="clear" w:color="auto" w:fill="auto"/>
            <w:vAlign w:val="center"/>
          </w:tcPr>
          <w:p w14:paraId="32DEDF63" w14:textId="19F8F8A7"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2" w:type="pct"/>
            <w:shd w:val="clear" w:color="auto" w:fill="auto"/>
            <w:vAlign w:val="center"/>
          </w:tcPr>
          <w:p w14:paraId="2B2CA338" w14:textId="4D74216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86</w:t>
            </w:r>
          </w:p>
        </w:tc>
        <w:tc>
          <w:tcPr>
            <w:tcW w:w="514" w:type="pct"/>
            <w:shd w:val="clear" w:color="auto" w:fill="auto"/>
            <w:vAlign w:val="center"/>
          </w:tcPr>
          <w:p w14:paraId="6A7E7568" w14:textId="7103C6F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4" w:type="pct"/>
            <w:shd w:val="clear" w:color="auto" w:fill="auto"/>
            <w:vAlign w:val="center"/>
          </w:tcPr>
          <w:p w14:paraId="106AFD5C" w14:textId="41248D5D"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w:t>
            </w:r>
          </w:p>
        </w:tc>
        <w:tc>
          <w:tcPr>
            <w:tcW w:w="588" w:type="pct"/>
            <w:shd w:val="clear" w:color="auto" w:fill="auto"/>
            <w:vAlign w:val="center"/>
          </w:tcPr>
          <w:p w14:paraId="73867F72" w14:textId="432B1E2B"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15" w:type="pct"/>
            <w:shd w:val="clear" w:color="auto" w:fill="auto"/>
            <w:vAlign w:val="center"/>
          </w:tcPr>
          <w:p w14:paraId="09D42E21" w14:textId="4040C4B0"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59" w:type="pct"/>
            <w:shd w:val="clear" w:color="auto" w:fill="auto"/>
            <w:vAlign w:val="center"/>
          </w:tcPr>
          <w:p w14:paraId="2BFA6941" w14:textId="4BAD4E9C" w:rsidR="009F52CC" w:rsidRPr="00FB38E1" w:rsidRDefault="009F52CC" w:rsidP="009F52C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64A855D1" w14:textId="176D7B6C" w:rsidR="0004350B" w:rsidRPr="00FB38E1" w:rsidRDefault="0004350B" w:rsidP="0004350B">
      <w:pPr>
        <w:pStyle w:val="Head4"/>
        <w:keepNext w:val="0"/>
        <w:keepLines w:val="0"/>
        <w:tabs>
          <w:tab w:val="clear" w:pos="340"/>
        </w:tabs>
        <w:spacing w:before="0" w:line="240" w:lineRule="exact"/>
        <w:ind w:left="0" w:firstLine="0"/>
        <w:rPr>
          <w:rFonts w:ascii="Microsoft Sans Serif" w:hAnsi="Microsoft Sans Serif" w:cs="Microsoft Sans Serif"/>
          <w:i w:val="0"/>
          <w:sz w:val="14"/>
          <w:szCs w:val="14"/>
        </w:rPr>
      </w:pPr>
      <w:r w:rsidRPr="00FB38E1">
        <w:rPr>
          <w:rFonts w:ascii="Microsoft Sans Serif" w:hAnsi="Microsoft Sans Serif" w:cs="Microsoft Sans Serif"/>
          <w:i w:val="0"/>
          <w:color w:val="404040" w:themeColor="text1" w:themeTint="BF"/>
          <w:sz w:val="14"/>
          <w:szCs w:val="14"/>
        </w:rPr>
        <w:t>Finansa</w:t>
      </w:r>
      <w:r w:rsidR="00ED442B" w:rsidRPr="00FB38E1">
        <w:rPr>
          <w:rFonts w:ascii="Microsoft Sans Serif" w:hAnsi="Microsoft Sans Serif" w:cs="Microsoft Sans Serif"/>
          <w:i w:val="0"/>
          <w:color w:val="404040" w:themeColor="text1" w:themeTint="BF"/>
          <w:sz w:val="14"/>
          <w:szCs w:val="14"/>
        </w:rPr>
        <w:t xml:space="preserve">l tablo bilgileri </w:t>
      </w:r>
      <w:r w:rsidR="00AD2A6F" w:rsidRPr="00FB38E1">
        <w:rPr>
          <w:rFonts w:ascii="Microsoft Sans Serif" w:hAnsi="Microsoft Sans Serif" w:cs="Microsoft Sans Serif"/>
          <w:i w:val="0"/>
          <w:color w:val="404040" w:themeColor="text1" w:themeTint="BF"/>
          <w:sz w:val="14"/>
          <w:szCs w:val="14"/>
        </w:rPr>
        <w:t xml:space="preserve">31 Aralık 2024 </w:t>
      </w:r>
      <w:r w:rsidRPr="00FB38E1">
        <w:rPr>
          <w:rFonts w:ascii="Microsoft Sans Serif" w:hAnsi="Microsoft Sans Serif" w:cs="Microsoft Sans Serif"/>
          <w:i w:val="0"/>
          <w:color w:val="404040" w:themeColor="text1" w:themeTint="BF"/>
          <w:sz w:val="14"/>
          <w:szCs w:val="14"/>
        </w:rPr>
        <w:t>tarihinde sona eren hesap dönemine aittir.</w:t>
      </w:r>
      <w:r w:rsidRPr="00FB38E1">
        <w:rPr>
          <w:rFonts w:ascii="Microsoft Sans Serif" w:hAnsi="Microsoft Sans Serif" w:cs="Microsoft Sans Serif"/>
          <w:i w:val="0"/>
          <w:sz w:val="14"/>
          <w:szCs w:val="14"/>
        </w:rPr>
        <w:t xml:space="preserve"> </w:t>
      </w:r>
    </w:p>
    <w:p w14:paraId="1B96EBB6" w14:textId="2809F25D" w:rsidR="00A819FB" w:rsidRPr="00FB38E1" w:rsidRDefault="00B33E4E" w:rsidP="002E3C4F">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FB38E1">
        <w:rPr>
          <w:rFonts w:ascii="Microsoft Sans Serif" w:hAnsi="Microsoft Sans Serif" w:cs="Microsoft Sans Serif"/>
          <w:b w:val="0"/>
          <w:sz w:val="20"/>
          <w:szCs w:val="20"/>
        </w:rPr>
        <w:t>B</w:t>
      </w:r>
      <w:r w:rsidR="00A819FB" w:rsidRPr="00FB38E1">
        <w:rPr>
          <w:rFonts w:ascii="Microsoft Sans Serif" w:hAnsi="Microsoft Sans Serif" w:cs="Microsoft Sans Serif"/>
          <w:b w:val="0"/>
          <w:sz w:val="20"/>
          <w:szCs w:val="20"/>
        </w:rPr>
        <w:t>ağlı ortaklıklar</w:t>
      </w:r>
      <w:r w:rsidRPr="00FB38E1">
        <w:rPr>
          <w:rFonts w:ascii="Microsoft Sans Serif" w:hAnsi="Microsoft Sans Serif" w:cs="Microsoft Sans Serif"/>
          <w:b w:val="0"/>
          <w:sz w:val="20"/>
          <w:szCs w:val="20"/>
        </w:rPr>
        <w:t>ın dönem içindeki hareketleri</w:t>
      </w:r>
    </w:p>
    <w:tbl>
      <w:tblPr>
        <w:tblStyle w:val="TableGrid"/>
        <w:tblW w:w="9640"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954"/>
        <w:gridCol w:w="1843"/>
        <w:gridCol w:w="1843"/>
      </w:tblGrid>
      <w:tr w:rsidR="00D75840" w:rsidRPr="00FB38E1" w14:paraId="22D843F7" w14:textId="77777777" w:rsidTr="003F6AA7">
        <w:tc>
          <w:tcPr>
            <w:tcW w:w="3088" w:type="pct"/>
            <w:tcBorders>
              <w:top w:val="thinThickSmallGap" w:sz="24" w:space="0" w:color="auto"/>
              <w:bottom w:val="single" w:sz="4" w:space="0" w:color="auto"/>
            </w:tcBorders>
            <w:vAlign w:val="bottom"/>
          </w:tcPr>
          <w:p w14:paraId="07DD54AA" w14:textId="77777777" w:rsidR="00D75840" w:rsidRPr="00FB38E1" w:rsidRDefault="00D75840" w:rsidP="00D75840">
            <w:pPr>
              <w:jc w:val="cente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956" w:type="pct"/>
            <w:tcBorders>
              <w:top w:val="thinThickSmallGap" w:sz="24" w:space="0" w:color="auto"/>
              <w:bottom w:val="single" w:sz="4" w:space="0" w:color="auto"/>
            </w:tcBorders>
            <w:vAlign w:val="bottom"/>
          </w:tcPr>
          <w:p w14:paraId="21597D68" w14:textId="2DC7CF5B" w:rsidR="00D75840" w:rsidRPr="00FB38E1" w:rsidRDefault="00D75840" w:rsidP="00D7584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956" w:type="pct"/>
            <w:tcBorders>
              <w:top w:val="thinThickSmallGap" w:sz="24" w:space="0" w:color="auto"/>
              <w:bottom w:val="single" w:sz="4" w:space="0" w:color="auto"/>
            </w:tcBorders>
          </w:tcPr>
          <w:p w14:paraId="6F4C5D99" w14:textId="398014A3" w:rsidR="00D75840" w:rsidRPr="00FB38E1" w:rsidRDefault="00D75840" w:rsidP="00D75840">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8B6762" w:rsidRPr="00FB38E1" w14:paraId="5008CF18" w14:textId="77777777" w:rsidTr="00ED442B">
        <w:tc>
          <w:tcPr>
            <w:tcW w:w="3088" w:type="pct"/>
            <w:tcBorders>
              <w:top w:val="single" w:sz="4" w:space="0" w:color="auto"/>
            </w:tcBorders>
            <w:vAlign w:val="center"/>
          </w:tcPr>
          <w:p w14:paraId="5DB40FDA" w14:textId="64FBF948" w:rsidR="008B6762" w:rsidRPr="00FB38E1" w:rsidRDefault="008B6762" w:rsidP="008B676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Başı Değeri</w:t>
            </w:r>
          </w:p>
        </w:tc>
        <w:tc>
          <w:tcPr>
            <w:tcW w:w="956" w:type="pct"/>
            <w:tcBorders>
              <w:top w:val="single" w:sz="4" w:space="0" w:color="auto"/>
            </w:tcBorders>
            <w:vAlign w:val="center"/>
          </w:tcPr>
          <w:p w14:paraId="2DF29ACB" w14:textId="13DF972A" w:rsidR="008B6762" w:rsidRPr="00FB38E1" w:rsidRDefault="008B6762" w:rsidP="008B676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69.103.842</w:t>
            </w:r>
          </w:p>
        </w:tc>
        <w:tc>
          <w:tcPr>
            <w:tcW w:w="956" w:type="pct"/>
            <w:tcBorders>
              <w:top w:val="single" w:sz="4" w:space="0" w:color="auto"/>
            </w:tcBorders>
            <w:vAlign w:val="center"/>
          </w:tcPr>
          <w:p w14:paraId="70D667DA" w14:textId="1E76C457" w:rsidR="008B6762" w:rsidRPr="00FB38E1" w:rsidRDefault="008B6762" w:rsidP="008B676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37.560.090</w:t>
            </w:r>
          </w:p>
        </w:tc>
      </w:tr>
      <w:tr w:rsidR="008B6762" w:rsidRPr="00FB38E1" w14:paraId="2B8EEF36" w14:textId="77777777" w:rsidTr="00567048">
        <w:tc>
          <w:tcPr>
            <w:tcW w:w="3088" w:type="pct"/>
            <w:vAlign w:val="center"/>
          </w:tcPr>
          <w:p w14:paraId="7CFDBD3B" w14:textId="64D6910B" w:rsidR="008B6762" w:rsidRPr="00FB38E1" w:rsidRDefault="008B6762" w:rsidP="008B676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Dönem İçi Hareketler </w:t>
            </w:r>
          </w:p>
        </w:tc>
        <w:tc>
          <w:tcPr>
            <w:tcW w:w="956" w:type="pct"/>
            <w:vAlign w:val="center"/>
          </w:tcPr>
          <w:p w14:paraId="77AB9C2D" w14:textId="175623C9" w:rsidR="008B6762" w:rsidRPr="00FB38E1" w:rsidRDefault="008B6762" w:rsidP="008B676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19.612.822</w:t>
            </w:r>
          </w:p>
        </w:tc>
        <w:tc>
          <w:tcPr>
            <w:tcW w:w="956" w:type="pct"/>
            <w:vAlign w:val="center"/>
          </w:tcPr>
          <w:p w14:paraId="7D857814" w14:textId="1AFE4938" w:rsidR="008B6762" w:rsidRPr="00FB38E1" w:rsidRDefault="008B6762" w:rsidP="008B676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31.543.752</w:t>
            </w:r>
          </w:p>
        </w:tc>
      </w:tr>
      <w:tr w:rsidR="008B6762" w:rsidRPr="00FB38E1" w14:paraId="477BDCA6" w14:textId="77777777" w:rsidTr="00567048">
        <w:tc>
          <w:tcPr>
            <w:tcW w:w="3088" w:type="pct"/>
            <w:vAlign w:val="center"/>
          </w:tcPr>
          <w:p w14:paraId="257BADD4" w14:textId="72C4D356" w:rsidR="008B6762" w:rsidRPr="00FB38E1" w:rsidRDefault="008B6762" w:rsidP="008B6762">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Alışlar </w:t>
            </w:r>
            <w:r w:rsidRPr="00FB38E1">
              <w:rPr>
                <w:rFonts w:ascii="Microsoft Sans Serif" w:hAnsi="Microsoft Sans Serif" w:cs="Microsoft Sans Serif"/>
                <w:color w:val="404040"/>
                <w:sz w:val="16"/>
                <w:szCs w:val="16"/>
                <w:vertAlign w:val="superscript"/>
              </w:rPr>
              <w:t>(4)</w:t>
            </w:r>
          </w:p>
        </w:tc>
        <w:tc>
          <w:tcPr>
            <w:tcW w:w="956" w:type="pct"/>
            <w:vAlign w:val="center"/>
          </w:tcPr>
          <w:p w14:paraId="6A93DE97" w14:textId="5C0DA1E9"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1.701.956</w:t>
            </w:r>
          </w:p>
        </w:tc>
        <w:tc>
          <w:tcPr>
            <w:tcW w:w="956" w:type="pct"/>
            <w:vAlign w:val="center"/>
          </w:tcPr>
          <w:p w14:paraId="6C06CC8D" w14:textId="7833714D"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4.073.000</w:t>
            </w:r>
          </w:p>
        </w:tc>
      </w:tr>
      <w:tr w:rsidR="008B6762" w:rsidRPr="00FB38E1" w14:paraId="09B9673B" w14:textId="77777777" w:rsidTr="00567048">
        <w:tc>
          <w:tcPr>
            <w:tcW w:w="3088" w:type="pct"/>
            <w:vAlign w:val="center"/>
          </w:tcPr>
          <w:p w14:paraId="75CCB3C7" w14:textId="34B2E6DC" w:rsidR="008B6762" w:rsidRPr="00FB38E1" w:rsidRDefault="008B6762" w:rsidP="008B6762">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Bedelsiz Edinilen Hisse Senetleri </w:t>
            </w:r>
            <w:r w:rsidRPr="00FB38E1">
              <w:rPr>
                <w:rFonts w:ascii="Microsoft Sans Serif" w:hAnsi="Microsoft Sans Serif" w:cs="Microsoft Sans Serif"/>
                <w:color w:val="404040"/>
                <w:sz w:val="16"/>
                <w:szCs w:val="16"/>
                <w:vertAlign w:val="superscript"/>
              </w:rPr>
              <w:t>(5)</w:t>
            </w:r>
          </w:p>
        </w:tc>
        <w:tc>
          <w:tcPr>
            <w:tcW w:w="956" w:type="pct"/>
            <w:vAlign w:val="center"/>
          </w:tcPr>
          <w:p w14:paraId="3C27F926" w14:textId="0B639E38"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956" w:type="pct"/>
            <w:vAlign w:val="center"/>
          </w:tcPr>
          <w:p w14:paraId="0D08A237" w14:textId="41FCA314"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1.485.401</w:t>
            </w:r>
          </w:p>
        </w:tc>
      </w:tr>
      <w:tr w:rsidR="008B6762" w:rsidRPr="00FB38E1" w14:paraId="0E3CC9DB" w14:textId="77777777" w:rsidTr="00567048">
        <w:tc>
          <w:tcPr>
            <w:tcW w:w="3088" w:type="pct"/>
            <w:vAlign w:val="center"/>
          </w:tcPr>
          <w:p w14:paraId="28B9F337" w14:textId="5DAA4448" w:rsidR="008B6762" w:rsidRPr="00FB38E1" w:rsidRDefault="008B6762" w:rsidP="008B6762">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Cari Yıl Payından Alınan Kar </w:t>
            </w:r>
            <w:r w:rsidRPr="00FB38E1">
              <w:rPr>
                <w:rFonts w:ascii="Microsoft Sans Serif" w:hAnsi="Microsoft Sans Serif" w:cs="Microsoft Sans Serif"/>
                <w:color w:val="404040"/>
                <w:sz w:val="16"/>
                <w:szCs w:val="16"/>
                <w:vertAlign w:val="superscript"/>
              </w:rPr>
              <w:t>(1)</w:t>
            </w:r>
          </w:p>
        </w:tc>
        <w:tc>
          <w:tcPr>
            <w:tcW w:w="956" w:type="pct"/>
            <w:vAlign w:val="center"/>
          </w:tcPr>
          <w:p w14:paraId="33F58B8F" w14:textId="712B3DD2"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15.593.952</w:t>
            </w:r>
          </w:p>
        </w:tc>
        <w:tc>
          <w:tcPr>
            <w:tcW w:w="956" w:type="pct"/>
            <w:vAlign w:val="center"/>
          </w:tcPr>
          <w:p w14:paraId="0534CC73" w14:textId="37EA2DF1"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9.326.429</w:t>
            </w:r>
          </w:p>
        </w:tc>
      </w:tr>
      <w:tr w:rsidR="008B6762" w:rsidRPr="00FB38E1" w14:paraId="05A0967B" w14:textId="77777777" w:rsidTr="00567048">
        <w:tc>
          <w:tcPr>
            <w:tcW w:w="3088" w:type="pct"/>
            <w:vAlign w:val="center"/>
          </w:tcPr>
          <w:p w14:paraId="4D189323" w14:textId="1A25429E" w:rsidR="008B6762" w:rsidRPr="00FB38E1" w:rsidRDefault="008B6762" w:rsidP="008B6762">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Satışlar </w:t>
            </w:r>
            <w:r w:rsidRPr="00FB38E1">
              <w:rPr>
                <w:rFonts w:ascii="Microsoft Sans Serif" w:hAnsi="Microsoft Sans Serif" w:cs="Microsoft Sans Serif"/>
                <w:color w:val="404040"/>
                <w:sz w:val="16"/>
                <w:szCs w:val="16"/>
                <w:vertAlign w:val="superscript"/>
              </w:rPr>
              <w:t>(6)</w:t>
            </w:r>
          </w:p>
        </w:tc>
        <w:tc>
          <w:tcPr>
            <w:tcW w:w="956" w:type="pct"/>
            <w:vAlign w:val="center"/>
          </w:tcPr>
          <w:p w14:paraId="52D1C4BD" w14:textId="5E246FBE"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(54.011)</w:t>
            </w:r>
          </w:p>
        </w:tc>
        <w:tc>
          <w:tcPr>
            <w:tcW w:w="956" w:type="pct"/>
            <w:vAlign w:val="center"/>
          </w:tcPr>
          <w:p w14:paraId="2B77EEAD" w14:textId="1D5E013C"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(4.195)</w:t>
            </w:r>
          </w:p>
        </w:tc>
      </w:tr>
      <w:tr w:rsidR="008B6762" w:rsidRPr="00FB38E1" w14:paraId="7416081F" w14:textId="77777777" w:rsidTr="00567048">
        <w:tblPrEx>
          <w:tblCellMar>
            <w:left w:w="70" w:type="dxa"/>
            <w:right w:w="70" w:type="dxa"/>
          </w:tblCellMar>
        </w:tblPrEx>
        <w:tc>
          <w:tcPr>
            <w:tcW w:w="3088" w:type="pct"/>
            <w:vAlign w:val="center"/>
          </w:tcPr>
          <w:p w14:paraId="7CB9A181" w14:textId="6F8F0950" w:rsidR="008B6762" w:rsidRPr="00FB38E1" w:rsidRDefault="008B6762" w:rsidP="008B6762">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Yeniden Değ.Artışı, Enflasyon Düzeltme Farkı ve Kur Farkı </w:t>
            </w:r>
            <w:r w:rsidRPr="00FB38E1">
              <w:rPr>
                <w:rFonts w:ascii="Microsoft Sans Serif" w:hAnsi="Microsoft Sans Serif" w:cs="Microsoft Sans Serif"/>
                <w:color w:val="404040"/>
                <w:sz w:val="16"/>
                <w:szCs w:val="16"/>
                <w:vertAlign w:val="superscript"/>
              </w:rPr>
              <w:t>(2)(3)</w:t>
            </w:r>
          </w:p>
        </w:tc>
        <w:tc>
          <w:tcPr>
            <w:tcW w:w="956" w:type="pct"/>
            <w:vAlign w:val="center"/>
          </w:tcPr>
          <w:p w14:paraId="37CA0BBD" w14:textId="3FF01E2B"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2.370.925</w:t>
            </w:r>
          </w:p>
        </w:tc>
        <w:tc>
          <w:tcPr>
            <w:tcW w:w="956" w:type="pct"/>
            <w:vAlign w:val="center"/>
          </w:tcPr>
          <w:p w14:paraId="738A4B42" w14:textId="62AA187B"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16.663.117</w:t>
            </w:r>
          </w:p>
        </w:tc>
      </w:tr>
      <w:tr w:rsidR="008B6762" w:rsidRPr="00FB38E1" w14:paraId="2D5ECBB0" w14:textId="77777777" w:rsidTr="00567048">
        <w:tc>
          <w:tcPr>
            <w:tcW w:w="3088" w:type="pct"/>
            <w:vAlign w:val="center"/>
          </w:tcPr>
          <w:p w14:paraId="0C4293B0" w14:textId="6534EBE7" w:rsidR="008B6762" w:rsidRPr="00FB38E1" w:rsidRDefault="008B6762" w:rsidP="008B6762">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Değer Azalma Karşılıkları</w:t>
            </w:r>
          </w:p>
        </w:tc>
        <w:tc>
          <w:tcPr>
            <w:tcW w:w="956" w:type="pct"/>
            <w:vAlign w:val="center"/>
          </w:tcPr>
          <w:p w14:paraId="42759E23" w14:textId="2A776776"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956" w:type="pct"/>
            <w:vAlign w:val="center"/>
          </w:tcPr>
          <w:p w14:paraId="1DA95377" w14:textId="12C848ED"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8B6762" w:rsidRPr="00FB38E1" w14:paraId="090DC0D6" w14:textId="77777777" w:rsidTr="00567048">
        <w:tblPrEx>
          <w:tblCellMar>
            <w:left w:w="70" w:type="dxa"/>
            <w:right w:w="70" w:type="dxa"/>
          </w:tblCellMar>
        </w:tblPrEx>
        <w:tc>
          <w:tcPr>
            <w:tcW w:w="3088" w:type="pct"/>
            <w:vAlign w:val="center"/>
          </w:tcPr>
          <w:p w14:paraId="28B8E1A0" w14:textId="0E73380E" w:rsidR="008B6762" w:rsidRPr="00FB38E1" w:rsidRDefault="008B6762" w:rsidP="008B676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Sonu Değeri</w:t>
            </w:r>
          </w:p>
        </w:tc>
        <w:tc>
          <w:tcPr>
            <w:tcW w:w="956" w:type="pct"/>
            <w:vAlign w:val="center"/>
          </w:tcPr>
          <w:p w14:paraId="070196BA" w14:textId="54E3FC4E" w:rsidR="008B6762" w:rsidRPr="00FB38E1" w:rsidRDefault="008B6762" w:rsidP="008B676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88.716.664</w:t>
            </w:r>
          </w:p>
        </w:tc>
        <w:tc>
          <w:tcPr>
            <w:tcW w:w="956" w:type="pct"/>
            <w:vAlign w:val="center"/>
          </w:tcPr>
          <w:p w14:paraId="36DF21F8" w14:textId="7802BE87" w:rsidR="008B6762" w:rsidRPr="00FB38E1" w:rsidRDefault="008B6762" w:rsidP="008B676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69.103.842</w:t>
            </w:r>
          </w:p>
        </w:tc>
      </w:tr>
      <w:tr w:rsidR="001574B2" w:rsidRPr="00FB38E1" w14:paraId="6E79255C" w14:textId="77777777" w:rsidTr="00567048">
        <w:tc>
          <w:tcPr>
            <w:tcW w:w="3088" w:type="pct"/>
            <w:vAlign w:val="center"/>
          </w:tcPr>
          <w:p w14:paraId="6FAB8524" w14:textId="6AECE6E7" w:rsidR="001574B2" w:rsidRPr="00FB38E1" w:rsidRDefault="001574B2" w:rsidP="001574B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Sermaye Taahhütleri </w:t>
            </w:r>
          </w:p>
        </w:tc>
        <w:tc>
          <w:tcPr>
            <w:tcW w:w="956" w:type="pct"/>
            <w:vAlign w:val="center"/>
          </w:tcPr>
          <w:p w14:paraId="140551C2" w14:textId="3C68F01E" w:rsidR="001574B2" w:rsidRPr="00FB38E1" w:rsidRDefault="001574B2" w:rsidP="001574B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956" w:type="pct"/>
            <w:vAlign w:val="center"/>
          </w:tcPr>
          <w:p w14:paraId="580E05FD" w14:textId="6782FDC4" w:rsidR="001574B2" w:rsidRPr="00FB38E1" w:rsidRDefault="001574B2" w:rsidP="001574B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1574B2" w:rsidRPr="00FB38E1" w14:paraId="70BB62DF" w14:textId="77777777" w:rsidTr="00567048">
        <w:tc>
          <w:tcPr>
            <w:tcW w:w="3088" w:type="pct"/>
            <w:vAlign w:val="center"/>
          </w:tcPr>
          <w:p w14:paraId="389B2BF0" w14:textId="006A5EC7" w:rsidR="001574B2" w:rsidRPr="00FB38E1" w:rsidRDefault="001574B2" w:rsidP="001574B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Sonu Sermaye Katılma Payı (%)</w:t>
            </w:r>
          </w:p>
        </w:tc>
        <w:tc>
          <w:tcPr>
            <w:tcW w:w="956" w:type="pct"/>
            <w:vAlign w:val="center"/>
          </w:tcPr>
          <w:p w14:paraId="43E2A64A" w14:textId="7CBB5994" w:rsidR="001574B2" w:rsidRPr="00FB38E1" w:rsidRDefault="001574B2" w:rsidP="001574B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956" w:type="pct"/>
            <w:vAlign w:val="center"/>
          </w:tcPr>
          <w:p w14:paraId="3C9B82CB" w14:textId="7FBE40A6" w:rsidR="001574B2" w:rsidRPr="00FB38E1" w:rsidRDefault="001574B2" w:rsidP="001574B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bl>
    <w:p w14:paraId="5FCCF733" w14:textId="2FCCE237" w:rsidR="00E117D1" w:rsidRPr="00FB38E1" w:rsidRDefault="00E117D1" w:rsidP="00E117D1">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vertAlign w:val="superscript"/>
        </w:rPr>
        <w:t>(</w:t>
      </w:r>
      <w:r w:rsidR="002C5BA0" w:rsidRPr="00FB38E1">
        <w:rPr>
          <w:rFonts w:ascii="Microsoft Sans Serif" w:hAnsi="Microsoft Sans Serif" w:cs="Microsoft Sans Serif"/>
          <w:b w:val="0"/>
          <w:color w:val="404040" w:themeColor="text1" w:themeTint="BF"/>
          <w:sz w:val="14"/>
          <w:szCs w:val="14"/>
          <w:vertAlign w:val="superscript"/>
        </w:rPr>
        <w:t>1</w:t>
      </w:r>
      <w:r w:rsidRPr="00FB38E1">
        <w:rPr>
          <w:rFonts w:ascii="Microsoft Sans Serif" w:hAnsi="Microsoft Sans Serif" w:cs="Microsoft Sans Serif"/>
          <w:b w:val="0"/>
          <w:color w:val="404040" w:themeColor="text1" w:themeTint="BF"/>
          <w:sz w:val="14"/>
          <w:szCs w:val="14"/>
          <w:vertAlign w:val="superscript"/>
        </w:rPr>
        <w:t>)</w:t>
      </w:r>
      <w:r w:rsidRPr="00FB38E1">
        <w:rPr>
          <w:rFonts w:ascii="Microsoft Sans Serif" w:hAnsi="Microsoft Sans Serif" w:cs="Microsoft Sans Serif"/>
          <w:b w:val="0"/>
          <w:color w:val="404040" w:themeColor="text1" w:themeTint="BF"/>
          <w:sz w:val="14"/>
          <w:szCs w:val="14"/>
        </w:rPr>
        <w:t xml:space="preserve"> Üçüncü bölüm I no’lu dipnot’ta belirtilen TMS 27 uyarınca özkaynak yöntemi uygul</w:t>
      </w:r>
      <w:r w:rsidR="00F909FC" w:rsidRPr="00FB38E1">
        <w:rPr>
          <w:rFonts w:ascii="Microsoft Sans Serif" w:hAnsi="Microsoft Sans Serif" w:cs="Microsoft Sans Serif"/>
          <w:b w:val="0"/>
          <w:color w:val="404040" w:themeColor="text1" w:themeTint="BF"/>
          <w:sz w:val="14"/>
          <w:szCs w:val="14"/>
        </w:rPr>
        <w:t>a</w:t>
      </w:r>
      <w:r w:rsidRPr="00FB38E1">
        <w:rPr>
          <w:rFonts w:ascii="Microsoft Sans Serif" w:hAnsi="Microsoft Sans Serif" w:cs="Microsoft Sans Serif"/>
          <w:b w:val="0"/>
          <w:color w:val="404040" w:themeColor="text1" w:themeTint="BF"/>
          <w:sz w:val="14"/>
          <w:szCs w:val="14"/>
        </w:rPr>
        <w:t xml:space="preserve">ması sonucunda </w:t>
      </w:r>
      <w:r w:rsidR="00F909FC" w:rsidRPr="00FB38E1">
        <w:rPr>
          <w:rFonts w:ascii="Microsoft Sans Serif" w:hAnsi="Microsoft Sans Serif" w:cs="Microsoft Sans Serif"/>
          <w:b w:val="0"/>
          <w:color w:val="404040" w:themeColor="text1" w:themeTint="BF"/>
          <w:sz w:val="14"/>
          <w:szCs w:val="14"/>
        </w:rPr>
        <w:t xml:space="preserve">konsolide edilmeyen finansal tablolara eklenen tutardır. </w:t>
      </w:r>
      <w:r w:rsidR="00AD2A6F" w:rsidRPr="00FB38E1">
        <w:rPr>
          <w:rFonts w:ascii="Microsoft Sans Serif" w:hAnsi="Microsoft Sans Serif" w:cs="Microsoft Sans Serif"/>
          <w:b w:val="0"/>
          <w:color w:val="404040" w:themeColor="text1" w:themeTint="BF"/>
          <w:sz w:val="14"/>
          <w:szCs w:val="14"/>
        </w:rPr>
        <w:t xml:space="preserve">31 Aralık 2024 </w:t>
      </w:r>
      <w:r w:rsidR="00F909FC" w:rsidRPr="00FB38E1">
        <w:rPr>
          <w:rFonts w:ascii="Microsoft Sans Serif" w:hAnsi="Microsoft Sans Serif" w:cs="Microsoft Sans Serif"/>
          <w:b w:val="0"/>
          <w:color w:val="404040" w:themeColor="text1" w:themeTint="BF"/>
          <w:sz w:val="14"/>
          <w:szCs w:val="14"/>
        </w:rPr>
        <w:t>itibarıyla</w:t>
      </w:r>
      <w:r w:rsidRPr="00FB38E1">
        <w:rPr>
          <w:rFonts w:ascii="Microsoft Sans Serif" w:hAnsi="Microsoft Sans Serif" w:cs="Microsoft Sans Serif"/>
          <w:b w:val="0"/>
          <w:color w:val="404040" w:themeColor="text1" w:themeTint="BF"/>
          <w:sz w:val="14"/>
          <w:szCs w:val="14"/>
        </w:rPr>
        <w:t xml:space="preserve"> temettü geliri yoktur. </w:t>
      </w:r>
    </w:p>
    <w:p w14:paraId="553458D6" w14:textId="373E364C" w:rsidR="00E117D1" w:rsidRPr="00FB38E1" w:rsidRDefault="00A2372A" w:rsidP="00E117D1">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vertAlign w:val="superscript"/>
        </w:rPr>
        <w:t>(</w:t>
      </w:r>
      <w:r w:rsidR="002C5BA0" w:rsidRPr="00FB38E1">
        <w:rPr>
          <w:rFonts w:ascii="Microsoft Sans Serif" w:hAnsi="Microsoft Sans Serif" w:cs="Microsoft Sans Serif"/>
          <w:b w:val="0"/>
          <w:color w:val="404040" w:themeColor="text1" w:themeTint="BF"/>
          <w:sz w:val="14"/>
          <w:szCs w:val="14"/>
          <w:vertAlign w:val="superscript"/>
        </w:rPr>
        <w:t>2</w:t>
      </w:r>
      <w:r w:rsidR="00E117D1" w:rsidRPr="00FB38E1">
        <w:rPr>
          <w:rFonts w:ascii="Microsoft Sans Serif" w:hAnsi="Microsoft Sans Serif" w:cs="Microsoft Sans Serif"/>
          <w:b w:val="0"/>
          <w:color w:val="404040" w:themeColor="text1" w:themeTint="BF"/>
          <w:sz w:val="14"/>
          <w:szCs w:val="14"/>
          <w:vertAlign w:val="superscript"/>
        </w:rPr>
        <w:t>)</w:t>
      </w:r>
      <w:r w:rsidR="00E117D1" w:rsidRPr="00FB38E1">
        <w:rPr>
          <w:rFonts w:ascii="Microsoft Sans Serif" w:hAnsi="Microsoft Sans Serif" w:cs="Microsoft Sans Serif"/>
          <w:b w:val="0"/>
          <w:color w:val="404040" w:themeColor="text1" w:themeTint="BF"/>
          <w:sz w:val="14"/>
          <w:szCs w:val="14"/>
        </w:rPr>
        <w:t xml:space="preserve"> Üçüncü bölüm I no’lu dipnot’ta belirtilen TMS 27 uyarınca özkaynak yöntemi uygul</w:t>
      </w:r>
      <w:r w:rsidR="00F909FC" w:rsidRPr="00FB38E1">
        <w:rPr>
          <w:rFonts w:ascii="Microsoft Sans Serif" w:hAnsi="Microsoft Sans Serif" w:cs="Microsoft Sans Serif"/>
          <w:b w:val="0"/>
          <w:color w:val="404040" w:themeColor="text1" w:themeTint="BF"/>
          <w:sz w:val="14"/>
          <w:szCs w:val="14"/>
        </w:rPr>
        <w:t>a</w:t>
      </w:r>
      <w:r w:rsidR="00E117D1" w:rsidRPr="00FB38E1">
        <w:rPr>
          <w:rFonts w:ascii="Microsoft Sans Serif" w:hAnsi="Microsoft Sans Serif" w:cs="Microsoft Sans Serif"/>
          <w:b w:val="0"/>
          <w:color w:val="404040" w:themeColor="text1" w:themeTint="BF"/>
          <w:sz w:val="14"/>
          <w:szCs w:val="14"/>
        </w:rPr>
        <w:t>ması sonucunda diğer yedekler</w:t>
      </w:r>
      <w:r w:rsidR="00F909FC" w:rsidRPr="00FB38E1">
        <w:rPr>
          <w:rFonts w:ascii="Microsoft Sans Serif" w:hAnsi="Microsoft Sans Serif" w:cs="Microsoft Sans Serif"/>
          <w:b w:val="0"/>
          <w:color w:val="404040" w:themeColor="text1" w:themeTint="BF"/>
          <w:sz w:val="14"/>
          <w:szCs w:val="14"/>
        </w:rPr>
        <w:t>e eklenen</w:t>
      </w:r>
      <w:r w:rsidR="00E117D1" w:rsidRPr="00FB38E1">
        <w:rPr>
          <w:rFonts w:ascii="Microsoft Sans Serif" w:hAnsi="Microsoft Sans Serif" w:cs="Microsoft Sans Serif"/>
          <w:b w:val="0"/>
          <w:color w:val="404040" w:themeColor="text1" w:themeTint="BF"/>
          <w:sz w:val="14"/>
          <w:szCs w:val="14"/>
        </w:rPr>
        <w:t xml:space="preserve">  </w:t>
      </w:r>
      <w:r w:rsidR="006F58A3" w:rsidRPr="00FB38E1">
        <w:rPr>
          <w:rFonts w:ascii="Microsoft Sans Serif" w:hAnsi="Microsoft Sans Serif" w:cs="Microsoft Sans Serif"/>
          <w:b w:val="0"/>
          <w:color w:val="404040" w:themeColor="text1" w:themeTint="BF"/>
          <w:sz w:val="14"/>
          <w:szCs w:val="14"/>
        </w:rPr>
        <w:t>(</w:t>
      </w:r>
      <w:r w:rsidR="00940CDE" w:rsidRPr="00FB38E1">
        <w:rPr>
          <w:rFonts w:ascii="Microsoft Sans Serif" w:hAnsi="Microsoft Sans Serif" w:cs="Microsoft Sans Serif"/>
          <w:b w:val="0"/>
          <w:color w:val="404040" w:themeColor="text1" w:themeTint="BF"/>
          <w:sz w:val="14"/>
          <w:szCs w:val="14"/>
        </w:rPr>
        <w:t>2.040.684</w:t>
      </w:r>
      <w:r w:rsidR="006F58A3" w:rsidRPr="00FB38E1">
        <w:rPr>
          <w:rFonts w:ascii="Microsoft Sans Serif" w:hAnsi="Microsoft Sans Serif" w:cs="Microsoft Sans Serif"/>
          <w:b w:val="0"/>
          <w:color w:val="404040" w:themeColor="text1" w:themeTint="BF"/>
          <w:sz w:val="14"/>
          <w:szCs w:val="14"/>
        </w:rPr>
        <w:t>)</w:t>
      </w:r>
      <w:r w:rsidR="001145F2" w:rsidRPr="00FB38E1">
        <w:rPr>
          <w:rFonts w:ascii="Microsoft Sans Serif" w:hAnsi="Microsoft Sans Serif" w:cs="Microsoft Sans Serif"/>
          <w:b w:val="0"/>
          <w:color w:val="404040" w:themeColor="text1" w:themeTint="BF"/>
          <w:sz w:val="14"/>
          <w:szCs w:val="14"/>
        </w:rPr>
        <w:t xml:space="preserve"> </w:t>
      </w:r>
      <w:r w:rsidR="00E117D1" w:rsidRPr="00FB38E1">
        <w:rPr>
          <w:rFonts w:ascii="Microsoft Sans Serif" w:hAnsi="Microsoft Sans Serif" w:cs="Microsoft Sans Serif"/>
          <w:b w:val="0"/>
          <w:color w:val="404040" w:themeColor="text1" w:themeTint="BF"/>
          <w:sz w:val="14"/>
          <w:szCs w:val="14"/>
        </w:rPr>
        <w:t xml:space="preserve">TL (31 </w:t>
      </w:r>
      <w:r w:rsidR="0043123D" w:rsidRPr="00FB38E1">
        <w:rPr>
          <w:rFonts w:ascii="Microsoft Sans Serif" w:hAnsi="Microsoft Sans Serif" w:cs="Microsoft Sans Serif"/>
          <w:b w:val="0"/>
          <w:color w:val="404040" w:themeColor="text1" w:themeTint="BF"/>
          <w:sz w:val="14"/>
          <w:szCs w:val="14"/>
        </w:rPr>
        <w:t>Aralık</w:t>
      </w:r>
      <w:r w:rsidR="00AF24AC" w:rsidRPr="00FB38E1">
        <w:rPr>
          <w:rFonts w:ascii="Microsoft Sans Serif" w:hAnsi="Microsoft Sans Serif" w:cs="Microsoft Sans Serif"/>
          <w:b w:val="0"/>
          <w:color w:val="404040" w:themeColor="text1" w:themeTint="BF"/>
          <w:sz w:val="14"/>
          <w:szCs w:val="14"/>
        </w:rPr>
        <w:t xml:space="preserve"> 202</w:t>
      </w:r>
      <w:r w:rsidR="00ED442B" w:rsidRPr="00FB38E1">
        <w:rPr>
          <w:rFonts w:ascii="Microsoft Sans Serif" w:hAnsi="Microsoft Sans Serif" w:cs="Microsoft Sans Serif"/>
          <w:b w:val="0"/>
          <w:color w:val="404040" w:themeColor="text1" w:themeTint="BF"/>
          <w:sz w:val="14"/>
          <w:szCs w:val="14"/>
        </w:rPr>
        <w:t>3</w:t>
      </w:r>
      <w:r w:rsidR="00E117D1" w:rsidRPr="00FB38E1">
        <w:rPr>
          <w:rFonts w:ascii="Microsoft Sans Serif" w:hAnsi="Microsoft Sans Serif" w:cs="Microsoft Sans Serif"/>
          <w:b w:val="0"/>
          <w:color w:val="404040" w:themeColor="text1" w:themeTint="BF"/>
          <w:sz w:val="14"/>
          <w:szCs w:val="14"/>
        </w:rPr>
        <w:t xml:space="preserve">: </w:t>
      </w:r>
      <w:r w:rsidR="00ED442B" w:rsidRPr="00FB38E1">
        <w:rPr>
          <w:rFonts w:ascii="Microsoft Sans Serif" w:hAnsi="Microsoft Sans Serif" w:cs="Microsoft Sans Serif"/>
          <w:b w:val="0"/>
          <w:color w:val="404040" w:themeColor="text1" w:themeTint="BF"/>
          <w:sz w:val="14"/>
          <w:szCs w:val="14"/>
        </w:rPr>
        <w:t xml:space="preserve">10.435.191 </w:t>
      </w:r>
      <w:r w:rsidR="00E117D1" w:rsidRPr="00FB38E1">
        <w:rPr>
          <w:rFonts w:ascii="Microsoft Sans Serif" w:hAnsi="Microsoft Sans Serif" w:cs="Microsoft Sans Serif"/>
          <w:b w:val="0"/>
          <w:color w:val="404040" w:themeColor="text1" w:themeTint="BF"/>
          <w:sz w:val="14"/>
          <w:szCs w:val="14"/>
        </w:rPr>
        <w:t xml:space="preserve"> TL)</w:t>
      </w:r>
      <w:r w:rsidR="00DE0C55" w:rsidRPr="00FB38E1">
        <w:rPr>
          <w:rFonts w:ascii="Microsoft Sans Serif" w:hAnsi="Microsoft Sans Serif" w:cs="Microsoft Sans Serif"/>
          <w:b w:val="0"/>
          <w:color w:val="404040" w:themeColor="text1" w:themeTint="BF"/>
          <w:sz w:val="14"/>
          <w:szCs w:val="14"/>
        </w:rPr>
        <w:t xml:space="preserve">, </w:t>
      </w:r>
      <w:r w:rsidR="00E117D1" w:rsidRPr="00FB38E1">
        <w:rPr>
          <w:rFonts w:ascii="Microsoft Sans Serif" w:hAnsi="Microsoft Sans Serif" w:cs="Microsoft Sans Serif"/>
          <w:b w:val="0"/>
          <w:color w:val="404040" w:themeColor="text1" w:themeTint="BF"/>
          <w:sz w:val="14"/>
          <w:szCs w:val="14"/>
        </w:rPr>
        <w:t>menkul değerler değerleme farkları</w:t>
      </w:r>
      <w:r w:rsidR="00DE0C55" w:rsidRPr="00FB38E1">
        <w:rPr>
          <w:rFonts w:ascii="Microsoft Sans Serif" w:hAnsi="Microsoft Sans Serif" w:cs="Microsoft Sans Serif"/>
          <w:b w:val="0"/>
          <w:color w:val="404040" w:themeColor="text1" w:themeTint="BF"/>
          <w:sz w:val="14"/>
          <w:szCs w:val="14"/>
        </w:rPr>
        <w:t xml:space="preserve"> </w:t>
      </w:r>
      <w:r w:rsidR="00FF1B8B" w:rsidRPr="00FB38E1">
        <w:rPr>
          <w:rFonts w:ascii="Microsoft Sans Serif" w:hAnsi="Microsoft Sans Serif" w:cs="Microsoft Sans Serif"/>
          <w:b w:val="0"/>
          <w:color w:val="404040" w:themeColor="text1" w:themeTint="BF"/>
          <w:sz w:val="14"/>
          <w:szCs w:val="14"/>
        </w:rPr>
        <w:t>132.583</w:t>
      </w:r>
      <w:r w:rsidR="00B26F9E" w:rsidRPr="00FB38E1">
        <w:rPr>
          <w:rFonts w:ascii="Microsoft Sans Serif" w:hAnsi="Microsoft Sans Serif" w:cs="Microsoft Sans Serif"/>
          <w:b w:val="0"/>
          <w:color w:val="404040" w:themeColor="text1" w:themeTint="BF"/>
          <w:sz w:val="14"/>
          <w:szCs w:val="14"/>
        </w:rPr>
        <w:t xml:space="preserve"> </w:t>
      </w:r>
      <w:r w:rsidR="00DE0C55" w:rsidRPr="00FB38E1">
        <w:rPr>
          <w:rFonts w:ascii="Microsoft Sans Serif" w:hAnsi="Microsoft Sans Serif" w:cs="Microsoft Sans Serif"/>
          <w:b w:val="0"/>
          <w:color w:val="404040" w:themeColor="text1" w:themeTint="BF"/>
          <w:sz w:val="14"/>
          <w:szCs w:val="14"/>
        </w:rPr>
        <w:t xml:space="preserve">TL </w:t>
      </w:r>
      <w:r w:rsidR="00E117D1" w:rsidRPr="00FB38E1">
        <w:rPr>
          <w:rFonts w:ascii="Microsoft Sans Serif" w:hAnsi="Microsoft Sans Serif" w:cs="Microsoft Sans Serif"/>
          <w:b w:val="0"/>
          <w:color w:val="404040" w:themeColor="text1" w:themeTint="BF"/>
          <w:sz w:val="14"/>
          <w:szCs w:val="14"/>
        </w:rPr>
        <w:t xml:space="preserve">(31 </w:t>
      </w:r>
      <w:r w:rsidR="0043123D" w:rsidRPr="00FB38E1">
        <w:rPr>
          <w:rFonts w:ascii="Microsoft Sans Serif" w:hAnsi="Microsoft Sans Serif" w:cs="Microsoft Sans Serif"/>
          <w:b w:val="0"/>
          <w:color w:val="404040" w:themeColor="text1" w:themeTint="BF"/>
          <w:sz w:val="14"/>
          <w:szCs w:val="14"/>
        </w:rPr>
        <w:t>Aralık</w:t>
      </w:r>
      <w:r w:rsidR="00AF24AC" w:rsidRPr="00FB38E1">
        <w:rPr>
          <w:rFonts w:ascii="Microsoft Sans Serif" w:hAnsi="Microsoft Sans Serif" w:cs="Microsoft Sans Serif"/>
          <w:b w:val="0"/>
          <w:color w:val="404040" w:themeColor="text1" w:themeTint="BF"/>
          <w:sz w:val="14"/>
          <w:szCs w:val="14"/>
        </w:rPr>
        <w:t xml:space="preserve"> 202</w:t>
      </w:r>
      <w:r w:rsidR="00ED442B" w:rsidRPr="00FB38E1">
        <w:rPr>
          <w:rFonts w:ascii="Microsoft Sans Serif" w:hAnsi="Microsoft Sans Serif" w:cs="Microsoft Sans Serif"/>
          <w:b w:val="0"/>
          <w:color w:val="404040" w:themeColor="text1" w:themeTint="BF"/>
          <w:sz w:val="14"/>
          <w:szCs w:val="14"/>
        </w:rPr>
        <w:t>3</w:t>
      </w:r>
      <w:r w:rsidR="00E117D1" w:rsidRPr="00FB38E1">
        <w:rPr>
          <w:rFonts w:ascii="Microsoft Sans Serif" w:hAnsi="Microsoft Sans Serif" w:cs="Microsoft Sans Serif"/>
          <w:b w:val="0"/>
          <w:color w:val="404040" w:themeColor="text1" w:themeTint="BF"/>
          <w:sz w:val="14"/>
          <w:szCs w:val="14"/>
        </w:rPr>
        <w:t xml:space="preserve">: </w:t>
      </w:r>
      <w:r w:rsidR="00ED442B" w:rsidRPr="00FB38E1">
        <w:rPr>
          <w:rFonts w:ascii="Microsoft Sans Serif" w:hAnsi="Microsoft Sans Serif" w:cs="Microsoft Sans Serif"/>
          <w:b w:val="0"/>
          <w:color w:val="404040" w:themeColor="text1" w:themeTint="BF"/>
          <w:sz w:val="14"/>
          <w:szCs w:val="14"/>
        </w:rPr>
        <w:t>103.868</w:t>
      </w:r>
      <w:r w:rsidR="00E117D1" w:rsidRPr="00FB38E1">
        <w:rPr>
          <w:rFonts w:ascii="Microsoft Sans Serif" w:hAnsi="Microsoft Sans Serif" w:cs="Microsoft Sans Serif"/>
          <w:b w:val="0"/>
          <w:color w:val="404040" w:themeColor="text1" w:themeTint="BF"/>
          <w:sz w:val="14"/>
          <w:szCs w:val="14"/>
        </w:rPr>
        <w:t xml:space="preserve"> TL)</w:t>
      </w:r>
      <w:r w:rsidR="009A4793" w:rsidRPr="00FB38E1">
        <w:rPr>
          <w:rFonts w:ascii="Microsoft Sans Serif" w:hAnsi="Microsoft Sans Serif" w:cs="Microsoft Sans Serif"/>
          <w:b w:val="0"/>
          <w:color w:val="404040" w:themeColor="text1" w:themeTint="BF"/>
          <w:sz w:val="14"/>
          <w:szCs w:val="14"/>
        </w:rPr>
        <w:t>, nakit akış riskinden korunma işlemlerinden</w:t>
      </w:r>
      <w:r w:rsidR="006F58A3" w:rsidRPr="00FB38E1">
        <w:rPr>
          <w:rFonts w:ascii="Microsoft Sans Serif" w:hAnsi="Microsoft Sans Serif" w:cs="Microsoft Sans Serif"/>
          <w:b w:val="0"/>
          <w:color w:val="404040" w:themeColor="text1" w:themeTint="BF"/>
          <w:sz w:val="14"/>
          <w:szCs w:val="14"/>
        </w:rPr>
        <w:t xml:space="preserve"> eklenen tutar bulunmamaktadır</w:t>
      </w:r>
      <w:r w:rsidR="009A4793" w:rsidRPr="00FB38E1">
        <w:rPr>
          <w:rFonts w:ascii="Microsoft Sans Serif" w:hAnsi="Microsoft Sans Serif" w:cs="Microsoft Sans Serif"/>
          <w:b w:val="0"/>
          <w:color w:val="404040" w:themeColor="text1" w:themeTint="BF"/>
          <w:sz w:val="14"/>
          <w:szCs w:val="14"/>
        </w:rPr>
        <w:t xml:space="preserve">  (</w:t>
      </w:r>
      <w:r w:rsidR="007320E1" w:rsidRPr="00FB38E1">
        <w:rPr>
          <w:rFonts w:ascii="Microsoft Sans Serif" w:hAnsi="Microsoft Sans Serif" w:cs="Microsoft Sans Serif"/>
          <w:b w:val="0"/>
          <w:color w:val="404040" w:themeColor="text1" w:themeTint="BF"/>
          <w:sz w:val="14"/>
          <w:szCs w:val="14"/>
        </w:rPr>
        <w:t>31 Ar</w:t>
      </w:r>
      <w:r w:rsidR="009E7B79" w:rsidRPr="00FB38E1">
        <w:rPr>
          <w:rFonts w:ascii="Microsoft Sans Serif" w:hAnsi="Microsoft Sans Serif" w:cs="Microsoft Sans Serif"/>
          <w:b w:val="0"/>
          <w:color w:val="404040" w:themeColor="text1" w:themeTint="BF"/>
          <w:sz w:val="14"/>
          <w:szCs w:val="14"/>
        </w:rPr>
        <w:t>alık 202</w:t>
      </w:r>
      <w:r w:rsidR="00ED442B" w:rsidRPr="00FB38E1">
        <w:rPr>
          <w:rFonts w:ascii="Microsoft Sans Serif" w:hAnsi="Microsoft Sans Serif" w:cs="Microsoft Sans Serif"/>
          <w:b w:val="0"/>
          <w:color w:val="404040" w:themeColor="text1" w:themeTint="BF"/>
          <w:sz w:val="14"/>
          <w:szCs w:val="14"/>
        </w:rPr>
        <w:t>3</w:t>
      </w:r>
      <w:r w:rsidR="008115CF" w:rsidRPr="00FB38E1">
        <w:rPr>
          <w:rFonts w:ascii="Microsoft Sans Serif" w:hAnsi="Microsoft Sans Serif" w:cs="Microsoft Sans Serif"/>
          <w:b w:val="0"/>
          <w:color w:val="404040" w:themeColor="text1" w:themeTint="BF"/>
          <w:sz w:val="14"/>
          <w:szCs w:val="14"/>
        </w:rPr>
        <w:t xml:space="preserve">: </w:t>
      </w:r>
      <w:r w:rsidR="00ED442B" w:rsidRPr="00FB38E1">
        <w:rPr>
          <w:rFonts w:ascii="Microsoft Sans Serif" w:hAnsi="Microsoft Sans Serif" w:cs="Microsoft Sans Serif"/>
          <w:b w:val="0"/>
          <w:color w:val="404040" w:themeColor="text1" w:themeTint="BF"/>
          <w:sz w:val="14"/>
          <w:szCs w:val="14"/>
        </w:rPr>
        <w:t>3.131</w:t>
      </w:r>
      <w:r w:rsidR="003D2860" w:rsidRPr="00FB38E1">
        <w:rPr>
          <w:rFonts w:ascii="Microsoft Sans Serif" w:hAnsi="Microsoft Sans Serif" w:cs="Microsoft Sans Serif"/>
          <w:b w:val="0"/>
          <w:color w:val="404040" w:themeColor="text1" w:themeTint="BF"/>
          <w:sz w:val="14"/>
          <w:szCs w:val="14"/>
        </w:rPr>
        <w:t xml:space="preserve"> TL</w:t>
      </w:r>
      <w:r w:rsidR="008115CF" w:rsidRPr="00FB38E1">
        <w:rPr>
          <w:rFonts w:ascii="Microsoft Sans Serif" w:hAnsi="Microsoft Sans Serif" w:cs="Microsoft Sans Serif"/>
          <w:b w:val="0"/>
          <w:color w:val="404040" w:themeColor="text1" w:themeTint="BF"/>
          <w:sz w:val="14"/>
          <w:szCs w:val="14"/>
        </w:rPr>
        <w:t>)</w:t>
      </w:r>
      <w:r w:rsidR="00D45A8C" w:rsidRPr="00FB38E1">
        <w:rPr>
          <w:rFonts w:ascii="Microsoft Sans Serif" w:hAnsi="Microsoft Sans Serif" w:cs="Microsoft Sans Serif"/>
          <w:b w:val="0"/>
          <w:color w:val="404040" w:themeColor="text1" w:themeTint="BF"/>
          <w:sz w:val="14"/>
          <w:szCs w:val="14"/>
        </w:rPr>
        <w:t xml:space="preserve">, </w:t>
      </w:r>
      <w:r w:rsidR="00DE0C55" w:rsidRPr="00FB38E1">
        <w:rPr>
          <w:rFonts w:ascii="Microsoft Sans Serif" w:hAnsi="Microsoft Sans Serif" w:cs="Microsoft Sans Serif"/>
          <w:b w:val="0"/>
          <w:color w:val="404040" w:themeColor="text1" w:themeTint="BF"/>
          <w:sz w:val="14"/>
          <w:szCs w:val="14"/>
        </w:rPr>
        <w:t xml:space="preserve">gayrimenkul yeniden değerleme </w:t>
      </w:r>
      <w:r w:rsidR="00FF1B8B" w:rsidRPr="00FB38E1">
        <w:rPr>
          <w:rFonts w:ascii="Microsoft Sans Serif" w:hAnsi="Microsoft Sans Serif" w:cs="Microsoft Sans Serif"/>
          <w:b w:val="0"/>
          <w:color w:val="404040" w:themeColor="text1" w:themeTint="BF"/>
          <w:sz w:val="14"/>
          <w:szCs w:val="14"/>
        </w:rPr>
        <w:t>206.362</w:t>
      </w:r>
      <w:r w:rsidR="00DE0C55" w:rsidRPr="00FB38E1">
        <w:rPr>
          <w:rFonts w:ascii="Microsoft Sans Serif" w:hAnsi="Microsoft Sans Serif" w:cs="Microsoft Sans Serif"/>
          <w:b w:val="0"/>
          <w:color w:val="404040" w:themeColor="text1" w:themeTint="BF"/>
          <w:sz w:val="14"/>
          <w:szCs w:val="14"/>
        </w:rPr>
        <w:t xml:space="preserve"> TL (31 </w:t>
      </w:r>
      <w:r w:rsidR="0043123D" w:rsidRPr="00FB38E1">
        <w:rPr>
          <w:rFonts w:ascii="Microsoft Sans Serif" w:hAnsi="Microsoft Sans Serif" w:cs="Microsoft Sans Serif"/>
          <w:b w:val="0"/>
          <w:color w:val="404040" w:themeColor="text1" w:themeTint="BF"/>
          <w:sz w:val="14"/>
          <w:szCs w:val="14"/>
        </w:rPr>
        <w:t>Aralık</w:t>
      </w:r>
      <w:r w:rsidR="009E7B79" w:rsidRPr="00FB38E1">
        <w:rPr>
          <w:rFonts w:ascii="Microsoft Sans Serif" w:hAnsi="Microsoft Sans Serif" w:cs="Microsoft Sans Serif"/>
          <w:b w:val="0"/>
          <w:color w:val="404040" w:themeColor="text1" w:themeTint="BF"/>
          <w:sz w:val="14"/>
          <w:szCs w:val="14"/>
        </w:rPr>
        <w:t xml:space="preserve"> 202</w:t>
      </w:r>
      <w:r w:rsidR="00ED442B" w:rsidRPr="00FB38E1">
        <w:rPr>
          <w:rFonts w:ascii="Microsoft Sans Serif" w:hAnsi="Microsoft Sans Serif" w:cs="Microsoft Sans Serif"/>
          <w:b w:val="0"/>
          <w:color w:val="404040" w:themeColor="text1" w:themeTint="BF"/>
          <w:sz w:val="14"/>
          <w:szCs w:val="14"/>
        </w:rPr>
        <w:t>3</w:t>
      </w:r>
      <w:r w:rsidR="00DE0C55" w:rsidRPr="00FB38E1">
        <w:rPr>
          <w:rFonts w:ascii="Microsoft Sans Serif" w:hAnsi="Microsoft Sans Serif" w:cs="Microsoft Sans Serif"/>
          <w:b w:val="0"/>
          <w:color w:val="404040" w:themeColor="text1" w:themeTint="BF"/>
          <w:sz w:val="14"/>
          <w:szCs w:val="14"/>
        </w:rPr>
        <w:t>:</w:t>
      </w:r>
      <w:r w:rsidR="0043123D" w:rsidRPr="00FB38E1">
        <w:rPr>
          <w:rFonts w:ascii="Microsoft Sans Serif" w:hAnsi="Microsoft Sans Serif" w:cs="Microsoft Sans Serif"/>
          <w:b w:val="0"/>
          <w:color w:val="404040" w:themeColor="text1" w:themeTint="BF"/>
          <w:sz w:val="14"/>
          <w:szCs w:val="14"/>
        </w:rPr>
        <w:t xml:space="preserve"> </w:t>
      </w:r>
      <w:r w:rsidR="00ED442B" w:rsidRPr="00FB38E1">
        <w:rPr>
          <w:rFonts w:ascii="Microsoft Sans Serif" w:hAnsi="Microsoft Sans Serif" w:cs="Microsoft Sans Serif"/>
          <w:b w:val="0"/>
          <w:color w:val="404040" w:themeColor="text1" w:themeTint="BF"/>
          <w:sz w:val="14"/>
          <w:szCs w:val="14"/>
        </w:rPr>
        <w:t>124.924</w:t>
      </w:r>
      <w:r w:rsidR="00657E99" w:rsidRPr="00FB38E1">
        <w:rPr>
          <w:rFonts w:ascii="Microsoft Sans Serif" w:hAnsi="Microsoft Sans Serif" w:cs="Microsoft Sans Serif"/>
          <w:b w:val="0"/>
          <w:color w:val="404040" w:themeColor="text1" w:themeTint="BF"/>
          <w:sz w:val="14"/>
          <w:szCs w:val="14"/>
        </w:rPr>
        <w:t xml:space="preserve"> TL</w:t>
      </w:r>
      <w:r w:rsidR="00DE0C55" w:rsidRPr="00FB38E1">
        <w:rPr>
          <w:rFonts w:ascii="Microsoft Sans Serif" w:hAnsi="Microsoft Sans Serif" w:cs="Microsoft Sans Serif"/>
          <w:b w:val="0"/>
          <w:color w:val="404040" w:themeColor="text1" w:themeTint="BF"/>
          <w:sz w:val="14"/>
          <w:szCs w:val="14"/>
        </w:rPr>
        <w:t>)</w:t>
      </w:r>
      <w:r w:rsidR="00310DF6" w:rsidRPr="00FB38E1">
        <w:rPr>
          <w:rFonts w:ascii="Microsoft Sans Serif" w:hAnsi="Microsoft Sans Serif" w:cs="Microsoft Sans Serif"/>
          <w:b w:val="0"/>
          <w:color w:val="404040" w:themeColor="text1" w:themeTint="BF"/>
          <w:sz w:val="14"/>
          <w:szCs w:val="14"/>
        </w:rPr>
        <w:t xml:space="preserve"> ve aktüeryal kazanç/(kayıp)</w:t>
      </w:r>
      <w:r w:rsidR="0063487B" w:rsidRPr="00FB38E1">
        <w:rPr>
          <w:rFonts w:ascii="Microsoft Sans Serif" w:hAnsi="Microsoft Sans Serif" w:cs="Microsoft Sans Serif"/>
          <w:b w:val="0"/>
          <w:color w:val="404040" w:themeColor="text1" w:themeTint="BF"/>
          <w:sz w:val="14"/>
          <w:szCs w:val="14"/>
        </w:rPr>
        <w:t xml:space="preserve"> </w:t>
      </w:r>
      <w:r w:rsidR="00FF1B8B" w:rsidRPr="00FB38E1">
        <w:rPr>
          <w:rFonts w:ascii="Microsoft Sans Serif" w:hAnsi="Microsoft Sans Serif" w:cs="Microsoft Sans Serif"/>
          <w:b w:val="0"/>
          <w:color w:val="404040" w:themeColor="text1" w:themeTint="BF"/>
          <w:sz w:val="14"/>
          <w:szCs w:val="14"/>
        </w:rPr>
        <w:t>(20.</w:t>
      </w:r>
      <w:r w:rsidR="00926B8B" w:rsidRPr="00FB38E1">
        <w:rPr>
          <w:rFonts w:ascii="Microsoft Sans Serif" w:hAnsi="Microsoft Sans Serif" w:cs="Microsoft Sans Serif"/>
          <w:b w:val="0"/>
          <w:color w:val="404040" w:themeColor="text1" w:themeTint="BF"/>
          <w:sz w:val="14"/>
          <w:szCs w:val="14"/>
        </w:rPr>
        <w:t>864</w:t>
      </w:r>
      <w:r w:rsidR="00FF1B8B" w:rsidRPr="00FB38E1">
        <w:rPr>
          <w:rFonts w:ascii="Microsoft Sans Serif" w:hAnsi="Microsoft Sans Serif" w:cs="Microsoft Sans Serif"/>
          <w:b w:val="0"/>
          <w:color w:val="404040" w:themeColor="text1" w:themeTint="BF"/>
          <w:sz w:val="14"/>
          <w:szCs w:val="14"/>
        </w:rPr>
        <w:t xml:space="preserve">) TL </w:t>
      </w:r>
      <w:r w:rsidR="009E7B79" w:rsidRPr="00FB38E1">
        <w:rPr>
          <w:rFonts w:ascii="Microsoft Sans Serif" w:hAnsi="Microsoft Sans Serif" w:cs="Microsoft Sans Serif"/>
          <w:b w:val="0"/>
          <w:color w:val="404040" w:themeColor="text1" w:themeTint="BF"/>
          <w:sz w:val="14"/>
          <w:szCs w:val="14"/>
        </w:rPr>
        <w:t>(31 Aralık 202</w:t>
      </w:r>
      <w:r w:rsidR="00ED442B" w:rsidRPr="00FB38E1">
        <w:rPr>
          <w:rFonts w:ascii="Microsoft Sans Serif" w:hAnsi="Microsoft Sans Serif" w:cs="Microsoft Sans Serif"/>
          <w:b w:val="0"/>
          <w:color w:val="404040" w:themeColor="text1" w:themeTint="BF"/>
          <w:sz w:val="14"/>
          <w:szCs w:val="14"/>
        </w:rPr>
        <w:t>3</w:t>
      </w:r>
      <w:r w:rsidR="00D45A8C" w:rsidRPr="00FB38E1">
        <w:rPr>
          <w:rFonts w:ascii="Microsoft Sans Serif" w:hAnsi="Microsoft Sans Serif" w:cs="Microsoft Sans Serif"/>
          <w:b w:val="0"/>
          <w:color w:val="404040" w:themeColor="text1" w:themeTint="BF"/>
          <w:sz w:val="14"/>
          <w:szCs w:val="14"/>
        </w:rPr>
        <w:t xml:space="preserve">: </w:t>
      </w:r>
      <w:r w:rsidR="00ED442B" w:rsidRPr="00FB38E1">
        <w:rPr>
          <w:rFonts w:ascii="Microsoft Sans Serif" w:hAnsi="Microsoft Sans Serif" w:cs="Microsoft Sans Serif"/>
          <w:b w:val="0"/>
          <w:color w:val="404040" w:themeColor="text1" w:themeTint="BF"/>
          <w:sz w:val="14"/>
          <w:szCs w:val="14"/>
        </w:rPr>
        <w:t xml:space="preserve">3.051 </w:t>
      </w:r>
      <w:r w:rsidR="003D2860" w:rsidRPr="00FB38E1">
        <w:rPr>
          <w:rFonts w:ascii="Microsoft Sans Serif" w:hAnsi="Microsoft Sans Serif" w:cs="Microsoft Sans Serif"/>
          <w:b w:val="0"/>
          <w:color w:val="404040" w:themeColor="text1" w:themeTint="BF"/>
          <w:sz w:val="14"/>
          <w:szCs w:val="14"/>
        </w:rPr>
        <w:t>TL</w:t>
      </w:r>
      <w:r w:rsidR="0074077B" w:rsidRPr="00FB38E1">
        <w:rPr>
          <w:rFonts w:ascii="Microsoft Sans Serif" w:hAnsi="Microsoft Sans Serif" w:cs="Microsoft Sans Serif"/>
          <w:b w:val="0"/>
          <w:color w:val="404040" w:themeColor="text1" w:themeTint="BF"/>
          <w:sz w:val="14"/>
          <w:szCs w:val="14"/>
        </w:rPr>
        <w:t>)</w:t>
      </w:r>
      <w:r w:rsidR="00A847A6" w:rsidRPr="00FB38E1">
        <w:rPr>
          <w:rFonts w:ascii="Microsoft Sans Serif" w:hAnsi="Microsoft Sans Serif" w:cs="Microsoft Sans Serif"/>
          <w:b w:val="0"/>
          <w:color w:val="404040" w:themeColor="text1" w:themeTint="BF"/>
          <w:sz w:val="14"/>
          <w:szCs w:val="14"/>
        </w:rPr>
        <w:t>.</w:t>
      </w:r>
    </w:p>
    <w:p w14:paraId="1627D234" w14:textId="1A28C236" w:rsidR="00966949" w:rsidRPr="00FB38E1" w:rsidRDefault="00966949"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vertAlign w:val="superscript"/>
        </w:rPr>
        <w:t>(</w:t>
      </w:r>
      <w:r w:rsidR="002C5BA0" w:rsidRPr="00FB38E1">
        <w:rPr>
          <w:rFonts w:ascii="Microsoft Sans Serif" w:hAnsi="Microsoft Sans Serif" w:cs="Microsoft Sans Serif"/>
          <w:b w:val="0"/>
          <w:color w:val="404040" w:themeColor="text1" w:themeTint="BF"/>
          <w:sz w:val="14"/>
          <w:szCs w:val="14"/>
          <w:vertAlign w:val="superscript"/>
        </w:rPr>
        <w:t>3</w:t>
      </w:r>
      <w:r w:rsidRPr="00FB38E1">
        <w:rPr>
          <w:rFonts w:ascii="Microsoft Sans Serif" w:hAnsi="Microsoft Sans Serif" w:cs="Microsoft Sans Serif"/>
          <w:b w:val="0"/>
          <w:color w:val="404040" w:themeColor="text1" w:themeTint="BF"/>
          <w:sz w:val="14"/>
          <w:szCs w:val="14"/>
          <w:vertAlign w:val="superscript"/>
        </w:rPr>
        <w:t>)</w:t>
      </w:r>
      <w:r w:rsidR="000C52FE" w:rsidRPr="00FB38E1">
        <w:rPr>
          <w:rFonts w:ascii="Microsoft Sans Serif" w:hAnsi="Microsoft Sans Serif" w:cs="Microsoft Sans Serif"/>
          <w:b w:val="0"/>
          <w:color w:val="404040" w:themeColor="text1" w:themeTint="BF"/>
          <w:sz w:val="14"/>
          <w:szCs w:val="14"/>
        </w:rPr>
        <w:t xml:space="preserve"> </w:t>
      </w:r>
      <w:r w:rsidRPr="00FB38E1">
        <w:rPr>
          <w:rFonts w:ascii="Microsoft Sans Serif" w:hAnsi="Microsoft Sans Serif" w:cs="Microsoft Sans Serif"/>
          <w:b w:val="0"/>
          <w:color w:val="404040" w:themeColor="text1" w:themeTint="BF"/>
          <w:sz w:val="14"/>
          <w:szCs w:val="14"/>
        </w:rPr>
        <w:t xml:space="preserve">TFRS 9 uyarınca Intertech’in </w:t>
      </w:r>
      <w:r w:rsidR="00A847A6" w:rsidRPr="00FB38E1">
        <w:rPr>
          <w:rFonts w:ascii="Microsoft Sans Serif" w:hAnsi="Microsoft Sans Serif" w:cs="Microsoft Sans Serif"/>
          <w:b w:val="0"/>
          <w:color w:val="404040" w:themeColor="text1" w:themeTint="BF"/>
          <w:sz w:val="14"/>
          <w:szCs w:val="14"/>
        </w:rPr>
        <w:t xml:space="preserve">31 </w:t>
      </w:r>
      <w:r w:rsidR="00F34A3A" w:rsidRPr="00FB38E1">
        <w:rPr>
          <w:rFonts w:ascii="Microsoft Sans Serif" w:hAnsi="Microsoft Sans Serif" w:cs="Microsoft Sans Serif"/>
          <w:b w:val="0"/>
          <w:color w:val="404040" w:themeColor="text1" w:themeTint="BF"/>
          <w:sz w:val="14"/>
          <w:szCs w:val="14"/>
        </w:rPr>
        <w:t>Aralık</w:t>
      </w:r>
      <w:r w:rsidR="00A847A6" w:rsidRPr="00FB38E1">
        <w:rPr>
          <w:rFonts w:ascii="Microsoft Sans Serif" w:hAnsi="Microsoft Sans Serif" w:cs="Microsoft Sans Serif"/>
          <w:b w:val="0"/>
          <w:color w:val="404040" w:themeColor="text1" w:themeTint="BF"/>
          <w:sz w:val="14"/>
          <w:szCs w:val="14"/>
        </w:rPr>
        <w:t xml:space="preserve"> 202</w:t>
      </w:r>
      <w:r w:rsidR="00FF1B8B" w:rsidRPr="00FB38E1">
        <w:rPr>
          <w:rFonts w:ascii="Microsoft Sans Serif" w:hAnsi="Microsoft Sans Serif" w:cs="Microsoft Sans Serif"/>
          <w:b w:val="0"/>
          <w:color w:val="404040" w:themeColor="text1" w:themeTint="BF"/>
          <w:sz w:val="14"/>
          <w:szCs w:val="14"/>
        </w:rPr>
        <w:t>4</w:t>
      </w:r>
      <w:r w:rsidR="00A847A6" w:rsidRPr="00FB38E1">
        <w:rPr>
          <w:rFonts w:ascii="Microsoft Sans Serif" w:hAnsi="Microsoft Sans Serif" w:cs="Microsoft Sans Serif"/>
          <w:b w:val="0"/>
          <w:color w:val="404040" w:themeColor="text1" w:themeTint="BF"/>
          <w:sz w:val="14"/>
          <w:szCs w:val="14"/>
        </w:rPr>
        <w:t xml:space="preserve"> tarihindeki</w:t>
      </w:r>
      <w:r w:rsidR="00FF1B8B" w:rsidRPr="00FB38E1">
        <w:rPr>
          <w:rFonts w:ascii="Microsoft Sans Serif" w:hAnsi="Microsoft Sans Serif" w:cs="Microsoft Sans Serif"/>
          <w:b w:val="0"/>
          <w:color w:val="404040" w:themeColor="text1" w:themeTint="BF"/>
          <w:sz w:val="14"/>
          <w:szCs w:val="14"/>
        </w:rPr>
        <w:t xml:space="preserve"> 4.093.528 TL</w:t>
      </w:r>
      <w:r w:rsidR="00B23D83" w:rsidRPr="00FB38E1">
        <w:rPr>
          <w:rFonts w:ascii="Microsoft Sans Serif" w:hAnsi="Microsoft Sans Serif" w:cs="Microsoft Sans Serif"/>
          <w:b w:val="0"/>
          <w:color w:val="404040" w:themeColor="text1" w:themeTint="BF"/>
          <w:sz w:val="14"/>
          <w:szCs w:val="14"/>
        </w:rPr>
        <w:t xml:space="preserve"> </w:t>
      </w:r>
      <w:r w:rsidR="00310DF6" w:rsidRPr="00FB38E1">
        <w:rPr>
          <w:rFonts w:ascii="Microsoft Sans Serif" w:hAnsi="Microsoft Sans Serif" w:cs="Microsoft Sans Serif"/>
          <w:b w:val="0"/>
          <w:color w:val="404040" w:themeColor="text1" w:themeTint="BF"/>
          <w:sz w:val="14"/>
          <w:szCs w:val="14"/>
        </w:rPr>
        <w:t>tutarındaki gerçeğe uygun değişimini içermektedir</w:t>
      </w:r>
      <w:r w:rsidR="00FF1B8B" w:rsidRPr="00FB38E1">
        <w:rPr>
          <w:rFonts w:ascii="Microsoft Sans Serif" w:hAnsi="Microsoft Sans Serif" w:cs="Microsoft Sans Serif"/>
          <w:b w:val="0"/>
          <w:color w:val="404040" w:themeColor="text1" w:themeTint="BF"/>
          <w:sz w:val="14"/>
          <w:szCs w:val="14"/>
        </w:rPr>
        <w:t xml:space="preserve"> (31 Aralık 2023: 5.592.952 TL)</w:t>
      </w:r>
      <w:r w:rsidR="006F58A3" w:rsidRPr="00FB38E1">
        <w:rPr>
          <w:rFonts w:ascii="Microsoft Sans Serif" w:hAnsi="Microsoft Sans Serif" w:cs="Microsoft Sans Serif"/>
          <w:b w:val="0"/>
          <w:color w:val="404040" w:themeColor="text1" w:themeTint="BF"/>
          <w:sz w:val="14"/>
          <w:szCs w:val="14"/>
        </w:rPr>
        <w:t>.</w:t>
      </w:r>
    </w:p>
    <w:p w14:paraId="1B0E1EF3" w14:textId="693C0606" w:rsidR="00F773C4" w:rsidRPr="00FB38E1" w:rsidRDefault="0084624B"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vertAlign w:val="superscript"/>
        </w:rPr>
        <w:t>(</w:t>
      </w:r>
      <w:r w:rsidR="002C5BA0" w:rsidRPr="00FB38E1">
        <w:rPr>
          <w:rFonts w:ascii="Microsoft Sans Serif" w:hAnsi="Microsoft Sans Serif" w:cs="Microsoft Sans Serif"/>
          <w:b w:val="0"/>
          <w:color w:val="404040" w:themeColor="text1" w:themeTint="BF"/>
          <w:sz w:val="14"/>
          <w:szCs w:val="14"/>
          <w:vertAlign w:val="superscript"/>
        </w:rPr>
        <w:t>4</w:t>
      </w:r>
      <w:r w:rsidRPr="00FB38E1">
        <w:rPr>
          <w:rFonts w:ascii="Microsoft Sans Serif" w:hAnsi="Microsoft Sans Serif" w:cs="Microsoft Sans Serif"/>
          <w:b w:val="0"/>
          <w:color w:val="404040" w:themeColor="text1" w:themeTint="BF"/>
          <w:sz w:val="14"/>
          <w:szCs w:val="14"/>
          <w:vertAlign w:val="superscript"/>
        </w:rPr>
        <w:t>)</w:t>
      </w:r>
      <w:r w:rsidR="00F773C4" w:rsidRPr="00FB38E1">
        <w:rPr>
          <w:rFonts w:ascii="Microsoft Sans Serif" w:hAnsi="Microsoft Sans Serif" w:cs="Microsoft Sans Serif"/>
          <w:b w:val="0"/>
          <w:color w:val="404040" w:themeColor="text1" w:themeTint="BF"/>
          <w:sz w:val="14"/>
          <w:szCs w:val="14"/>
          <w:vertAlign w:val="superscript"/>
        </w:rPr>
        <w:t xml:space="preserve"> </w:t>
      </w:r>
      <w:r w:rsidR="00272CAD" w:rsidRPr="00FB38E1">
        <w:rPr>
          <w:rFonts w:ascii="Microsoft Sans Serif" w:hAnsi="Microsoft Sans Serif" w:cs="Microsoft Sans Serif"/>
          <w:b w:val="0"/>
          <w:color w:val="404040" w:themeColor="text1" w:themeTint="BF"/>
          <w:sz w:val="14"/>
          <w:szCs w:val="14"/>
        </w:rPr>
        <w:t xml:space="preserve">Banka’nın </w:t>
      </w:r>
      <w:r w:rsidR="00644BD2" w:rsidRPr="00FB38E1">
        <w:rPr>
          <w:rFonts w:ascii="Microsoft Sans Serif" w:hAnsi="Microsoft Sans Serif" w:cs="Microsoft Sans Serif"/>
          <w:b w:val="0"/>
          <w:color w:val="404040" w:themeColor="text1" w:themeTint="BF"/>
          <w:sz w:val="14"/>
          <w:szCs w:val="14"/>
        </w:rPr>
        <w:t>bağlı ortaklığı</w:t>
      </w:r>
      <w:r w:rsidR="00272CAD" w:rsidRPr="00FB38E1">
        <w:rPr>
          <w:rFonts w:ascii="Microsoft Sans Serif" w:hAnsi="Microsoft Sans Serif" w:cs="Microsoft Sans Serif"/>
          <w:b w:val="0"/>
          <w:color w:val="404040" w:themeColor="text1" w:themeTint="BF"/>
          <w:sz w:val="14"/>
          <w:szCs w:val="14"/>
        </w:rPr>
        <w:t xml:space="preserve"> Deniz Yatırım Menkul Kıymetler A.Ş.’nin maliki bulunduğu “Deniz Gayrimenkul Yatırım Ortaklığı A.Ş.”nin 5.000 adet A Grubu ve 299.678.561 adet B Grubu olmak üzere toplam 299.683.561 adet payın Banka tarafından satın alınmasına ilişkin süreç 2 Nisan 2024 tarihinde tamamlanmış ve payların DenizBank’a devir işlemi aynı tarih itibarıyla gerçekleşmiştir</w:t>
      </w:r>
      <w:r w:rsidR="00644BD2" w:rsidRPr="00FB38E1">
        <w:rPr>
          <w:rFonts w:ascii="Microsoft Sans Serif" w:hAnsi="Microsoft Sans Serif" w:cs="Microsoft Sans Serif"/>
          <w:b w:val="0"/>
          <w:color w:val="404040" w:themeColor="text1" w:themeTint="BF"/>
          <w:sz w:val="14"/>
          <w:szCs w:val="14"/>
        </w:rPr>
        <w:t>.</w:t>
      </w:r>
    </w:p>
    <w:p w14:paraId="4C76E461" w14:textId="75D5FC10" w:rsidR="005960C6" w:rsidRPr="00FB38E1" w:rsidRDefault="00740497"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bookmarkStart w:id="53" w:name="_Hlk171898595"/>
      <w:r w:rsidRPr="00FB38E1">
        <w:rPr>
          <w:rFonts w:ascii="Microsoft Sans Serif" w:hAnsi="Microsoft Sans Serif" w:cs="Microsoft Sans Serif"/>
          <w:b w:val="0"/>
          <w:color w:val="404040" w:themeColor="text1" w:themeTint="BF"/>
          <w:sz w:val="14"/>
          <w:szCs w:val="14"/>
        </w:rPr>
        <w:t>“</w:t>
      </w:r>
      <w:r w:rsidR="007030E9" w:rsidRPr="00FB38E1">
        <w:rPr>
          <w:rFonts w:ascii="Microsoft Sans Serif" w:hAnsi="Microsoft Sans Serif" w:cs="Microsoft Sans Serif"/>
          <w:b w:val="0"/>
          <w:color w:val="404040" w:themeColor="text1" w:themeTint="BF"/>
          <w:sz w:val="14"/>
          <w:szCs w:val="14"/>
        </w:rPr>
        <w:t>Denizöde</w:t>
      </w:r>
      <w:r w:rsidRPr="00FB38E1">
        <w:rPr>
          <w:rFonts w:ascii="Microsoft Sans Serif" w:hAnsi="Microsoft Sans Serif" w:cs="Microsoft Sans Serif"/>
          <w:b w:val="0"/>
          <w:color w:val="404040" w:themeColor="text1" w:themeTint="BF"/>
          <w:sz w:val="14"/>
          <w:szCs w:val="14"/>
        </w:rPr>
        <w:t xml:space="preserve"> Elektronik Para ve Ödeme Hizmetleri A.Ş</w:t>
      </w:r>
      <w:r w:rsidR="00E53CF1" w:rsidRPr="00FB38E1">
        <w:rPr>
          <w:rFonts w:ascii="Microsoft Sans Serif" w:hAnsi="Microsoft Sans Serif" w:cs="Microsoft Sans Serif"/>
          <w:b w:val="0"/>
          <w:color w:val="404040" w:themeColor="text1" w:themeTint="BF"/>
          <w:sz w:val="14"/>
          <w:szCs w:val="14"/>
        </w:rPr>
        <w:t>”</w:t>
      </w:r>
      <w:r w:rsidR="00A12764" w:rsidRPr="00FB38E1">
        <w:rPr>
          <w:rFonts w:ascii="Microsoft Sans Serif" w:hAnsi="Microsoft Sans Serif" w:cs="Microsoft Sans Serif"/>
          <w:b w:val="0"/>
          <w:color w:val="404040" w:themeColor="text1" w:themeTint="BF"/>
          <w:sz w:val="14"/>
          <w:szCs w:val="14"/>
        </w:rPr>
        <w:t xml:space="preserve">nin </w:t>
      </w:r>
      <w:r w:rsidR="00EC0A91" w:rsidRPr="00FB38E1">
        <w:rPr>
          <w:rFonts w:ascii="Microsoft Sans Serif" w:hAnsi="Microsoft Sans Serif" w:cs="Microsoft Sans Serif"/>
          <w:b w:val="0"/>
          <w:color w:val="404040" w:themeColor="text1" w:themeTint="BF"/>
          <w:sz w:val="14"/>
          <w:szCs w:val="14"/>
        </w:rPr>
        <w:t xml:space="preserve">24 Temmuz </w:t>
      </w:r>
      <w:r w:rsidR="007368C6" w:rsidRPr="00FB38E1">
        <w:rPr>
          <w:rFonts w:ascii="Microsoft Sans Serif" w:hAnsi="Microsoft Sans Serif" w:cs="Microsoft Sans Serif"/>
          <w:b w:val="0"/>
          <w:color w:val="404040" w:themeColor="text1" w:themeTint="BF"/>
          <w:sz w:val="14"/>
          <w:szCs w:val="14"/>
        </w:rPr>
        <w:t xml:space="preserve">ve </w:t>
      </w:r>
      <w:r w:rsidR="00190DC6" w:rsidRPr="00FB38E1">
        <w:rPr>
          <w:rFonts w:ascii="Microsoft Sans Serif" w:hAnsi="Microsoft Sans Serif" w:cs="Microsoft Sans Serif"/>
          <w:b w:val="0"/>
          <w:color w:val="404040" w:themeColor="text1" w:themeTint="BF"/>
          <w:sz w:val="14"/>
          <w:szCs w:val="14"/>
        </w:rPr>
        <w:t>31</w:t>
      </w:r>
      <w:r w:rsidR="007368C6" w:rsidRPr="00FB38E1">
        <w:rPr>
          <w:rFonts w:ascii="Microsoft Sans Serif" w:hAnsi="Microsoft Sans Serif" w:cs="Microsoft Sans Serif"/>
          <w:b w:val="0"/>
          <w:color w:val="404040" w:themeColor="text1" w:themeTint="BF"/>
          <w:sz w:val="14"/>
          <w:szCs w:val="14"/>
        </w:rPr>
        <w:t xml:space="preserve"> Aralık </w:t>
      </w:r>
      <w:r w:rsidR="00EC0A91" w:rsidRPr="00FB38E1">
        <w:rPr>
          <w:rFonts w:ascii="Microsoft Sans Serif" w:hAnsi="Microsoft Sans Serif" w:cs="Microsoft Sans Serif"/>
          <w:b w:val="0"/>
          <w:color w:val="404040" w:themeColor="text1" w:themeTint="BF"/>
          <w:sz w:val="14"/>
          <w:szCs w:val="14"/>
        </w:rPr>
        <w:t xml:space="preserve">2024 tarihi itibarı ile </w:t>
      </w:r>
      <w:r w:rsidR="00761871" w:rsidRPr="00FB38E1">
        <w:rPr>
          <w:rFonts w:ascii="Microsoft Sans Serif" w:hAnsi="Microsoft Sans Serif" w:cs="Microsoft Sans Serif"/>
          <w:b w:val="0"/>
          <w:color w:val="404040" w:themeColor="text1" w:themeTint="BF"/>
          <w:sz w:val="14"/>
          <w:szCs w:val="14"/>
        </w:rPr>
        <w:t>2</w:t>
      </w:r>
      <w:r w:rsidR="00EC0A91" w:rsidRPr="00FB38E1">
        <w:rPr>
          <w:rFonts w:ascii="Microsoft Sans Serif" w:hAnsi="Microsoft Sans Serif" w:cs="Microsoft Sans Serif"/>
          <w:b w:val="0"/>
          <w:color w:val="404040" w:themeColor="text1" w:themeTint="BF"/>
          <w:sz w:val="14"/>
          <w:szCs w:val="14"/>
        </w:rPr>
        <w:t xml:space="preserve">42.000 TL tutarında, </w:t>
      </w:r>
      <w:r w:rsidR="00650912" w:rsidRPr="00FB38E1">
        <w:rPr>
          <w:rFonts w:ascii="Microsoft Sans Serif" w:hAnsi="Microsoft Sans Serif" w:cs="Microsoft Sans Serif"/>
          <w:b w:val="0"/>
          <w:color w:val="404040" w:themeColor="text1" w:themeTint="BF"/>
          <w:sz w:val="14"/>
          <w:szCs w:val="14"/>
        </w:rPr>
        <w:t>31 Mart 2023 tarihi itibarıyla 73.000 TL tutarında sermaye artışı yapılmıştır</w:t>
      </w:r>
      <w:bookmarkEnd w:id="53"/>
      <w:r w:rsidR="00650912" w:rsidRPr="00FB38E1">
        <w:rPr>
          <w:rFonts w:ascii="Microsoft Sans Serif" w:hAnsi="Microsoft Sans Serif" w:cs="Microsoft Sans Serif"/>
          <w:b w:val="0"/>
          <w:color w:val="404040" w:themeColor="text1" w:themeTint="BF"/>
          <w:sz w:val="14"/>
          <w:szCs w:val="14"/>
        </w:rPr>
        <w:t>.</w:t>
      </w:r>
    </w:p>
    <w:p w14:paraId="7451B42F" w14:textId="4E4F659B" w:rsidR="00EC0097" w:rsidRPr="00FB38E1" w:rsidRDefault="00EC0097"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 xml:space="preserve">Banka, 2023 </w:t>
      </w:r>
      <w:r w:rsidR="002C5BA0" w:rsidRPr="00FB38E1">
        <w:rPr>
          <w:rFonts w:ascii="Microsoft Sans Serif" w:hAnsi="Microsoft Sans Serif" w:cs="Microsoft Sans Serif"/>
          <w:b w:val="0"/>
          <w:color w:val="404040" w:themeColor="text1" w:themeTint="BF"/>
          <w:sz w:val="14"/>
          <w:szCs w:val="14"/>
        </w:rPr>
        <w:t xml:space="preserve">yılı </w:t>
      </w:r>
      <w:r w:rsidRPr="00FB38E1">
        <w:rPr>
          <w:rFonts w:ascii="Microsoft Sans Serif" w:hAnsi="Microsoft Sans Serif" w:cs="Microsoft Sans Serif"/>
          <w:b w:val="0"/>
          <w:color w:val="404040" w:themeColor="text1" w:themeTint="BF"/>
          <w:sz w:val="14"/>
          <w:szCs w:val="14"/>
        </w:rPr>
        <w:t xml:space="preserve">Eylül ayı içerisinde Deniz Finansal Kiralama A.Ş.’nin sermayesini 2.000.000 TL </w:t>
      </w:r>
      <w:r w:rsidR="002C5BA0" w:rsidRPr="00FB38E1">
        <w:rPr>
          <w:rFonts w:ascii="Microsoft Sans Serif" w:hAnsi="Microsoft Sans Serif" w:cs="Microsoft Sans Serif"/>
          <w:b w:val="0"/>
          <w:color w:val="404040" w:themeColor="text1" w:themeTint="BF"/>
          <w:sz w:val="14"/>
          <w:szCs w:val="14"/>
        </w:rPr>
        <w:t xml:space="preserve">nakden </w:t>
      </w:r>
      <w:r w:rsidRPr="00FB38E1">
        <w:rPr>
          <w:rFonts w:ascii="Microsoft Sans Serif" w:hAnsi="Microsoft Sans Serif" w:cs="Microsoft Sans Serif"/>
          <w:b w:val="0"/>
          <w:color w:val="404040" w:themeColor="text1" w:themeTint="BF"/>
          <w:sz w:val="14"/>
          <w:szCs w:val="14"/>
        </w:rPr>
        <w:t>ve Deniz Faktoring A.Ş’nin sermayesini 2.000.000 TL</w:t>
      </w:r>
      <w:r w:rsidR="002C5BA0" w:rsidRPr="00FB38E1">
        <w:rPr>
          <w:rFonts w:ascii="Microsoft Sans Serif" w:hAnsi="Microsoft Sans Serif" w:cs="Microsoft Sans Serif"/>
          <w:b w:val="0"/>
          <w:color w:val="404040" w:themeColor="text1" w:themeTint="BF"/>
          <w:sz w:val="14"/>
          <w:szCs w:val="14"/>
        </w:rPr>
        <w:t xml:space="preserve"> nakden olmak üzere arttırmıştır.</w:t>
      </w:r>
    </w:p>
    <w:p w14:paraId="56F9C36C" w14:textId="3EF0D78D" w:rsidR="002C5BA0" w:rsidRPr="00FB38E1" w:rsidRDefault="002C5BA0"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vertAlign w:val="superscript"/>
        </w:rPr>
        <w:t>(5)</w:t>
      </w:r>
      <w:r w:rsidRPr="00FB38E1">
        <w:rPr>
          <w:rFonts w:ascii="Microsoft Sans Serif" w:hAnsi="Microsoft Sans Serif" w:cs="Microsoft Sans Serif"/>
          <w:b w:val="0"/>
          <w:color w:val="404040" w:themeColor="text1" w:themeTint="BF"/>
          <w:sz w:val="14"/>
          <w:szCs w:val="14"/>
        </w:rPr>
        <w:t xml:space="preserve"> </w:t>
      </w:r>
      <w:r w:rsidR="006F58A3" w:rsidRPr="00FB38E1">
        <w:rPr>
          <w:rFonts w:ascii="Microsoft Sans Serif" w:hAnsi="Microsoft Sans Serif" w:cs="Microsoft Sans Serif"/>
          <w:b w:val="0"/>
          <w:color w:val="404040" w:themeColor="text1" w:themeTint="BF"/>
          <w:sz w:val="14"/>
          <w:szCs w:val="14"/>
        </w:rPr>
        <w:t xml:space="preserve">2023 yılı Eylül ayı içerisinde </w:t>
      </w:r>
      <w:r w:rsidRPr="00FB38E1">
        <w:rPr>
          <w:rFonts w:ascii="Microsoft Sans Serif" w:hAnsi="Microsoft Sans Serif" w:cs="Microsoft Sans Serif"/>
          <w:b w:val="0"/>
          <w:color w:val="404040" w:themeColor="text1" w:themeTint="BF"/>
          <w:sz w:val="14"/>
          <w:szCs w:val="14"/>
        </w:rPr>
        <w:t xml:space="preserve">Deniz Finansal Kiralama A.Ş. </w:t>
      </w:r>
      <w:r w:rsidR="001575B1" w:rsidRPr="00FB38E1">
        <w:rPr>
          <w:rFonts w:ascii="Microsoft Sans Serif" w:hAnsi="Microsoft Sans Serif" w:cs="Microsoft Sans Serif"/>
          <w:b w:val="0"/>
          <w:color w:val="404040" w:themeColor="text1" w:themeTint="BF"/>
          <w:sz w:val="14"/>
          <w:szCs w:val="14"/>
        </w:rPr>
        <w:t xml:space="preserve">ödenmiş sermayesini 1.133.000 TL tutarında içsel kaynaklarından, Deniz Faktoring A.Ş ödenmiş sermayesini 352.400 TL tutarında içsel kaynaklarından arttırmıştır. </w:t>
      </w:r>
      <w:r w:rsidR="00740497" w:rsidRPr="00FB38E1">
        <w:rPr>
          <w:rFonts w:ascii="Microsoft Sans Serif" w:hAnsi="Microsoft Sans Serif" w:cs="Microsoft Sans Serif"/>
          <w:b w:val="0"/>
          <w:color w:val="404040" w:themeColor="text1" w:themeTint="BF"/>
          <w:sz w:val="14"/>
          <w:szCs w:val="14"/>
        </w:rPr>
        <w:t>Banka, b</w:t>
      </w:r>
      <w:r w:rsidR="001575B1" w:rsidRPr="00FB38E1">
        <w:rPr>
          <w:rFonts w:ascii="Microsoft Sans Serif" w:hAnsi="Microsoft Sans Serif" w:cs="Microsoft Sans Serif"/>
          <w:b w:val="0"/>
          <w:color w:val="404040" w:themeColor="text1" w:themeTint="BF"/>
          <w:sz w:val="14"/>
          <w:szCs w:val="14"/>
        </w:rPr>
        <w:t>u tutarlar</w:t>
      </w:r>
      <w:r w:rsidR="00740497" w:rsidRPr="00FB38E1">
        <w:rPr>
          <w:rFonts w:ascii="Microsoft Sans Serif" w:hAnsi="Microsoft Sans Serif" w:cs="Microsoft Sans Serif"/>
          <w:b w:val="0"/>
          <w:color w:val="404040" w:themeColor="text1" w:themeTint="BF"/>
          <w:sz w:val="14"/>
          <w:szCs w:val="14"/>
        </w:rPr>
        <w:t>ı</w:t>
      </w:r>
      <w:r w:rsidR="001575B1" w:rsidRPr="00FB38E1">
        <w:rPr>
          <w:rFonts w:ascii="Microsoft Sans Serif" w:hAnsi="Microsoft Sans Serif" w:cs="Microsoft Sans Serif"/>
          <w:b w:val="0"/>
          <w:color w:val="404040" w:themeColor="text1" w:themeTint="BF"/>
          <w:sz w:val="14"/>
          <w:szCs w:val="14"/>
        </w:rPr>
        <w:t xml:space="preserve"> </w:t>
      </w:r>
      <w:r w:rsidR="00740497" w:rsidRPr="00FB38E1">
        <w:rPr>
          <w:rFonts w:ascii="Microsoft Sans Serif" w:hAnsi="Microsoft Sans Serif" w:cs="Microsoft Sans Serif"/>
          <w:b w:val="0"/>
          <w:color w:val="404040" w:themeColor="text1" w:themeTint="BF"/>
          <w:sz w:val="14"/>
          <w:szCs w:val="14"/>
        </w:rPr>
        <w:t>“</w:t>
      </w:r>
      <w:r w:rsidR="001575B1" w:rsidRPr="00FB38E1">
        <w:rPr>
          <w:rFonts w:ascii="Microsoft Sans Serif" w:hAnsi="Microsoft Sans Serif" w:cs="Microsoft Sans Serif"/>
          <w:b w:val="0"/>
          <w:color w:val="404040" w:themeColor="text1" w:themeTint="BF"/>
          <w:sz w:val="14"/>
          <w:szCs w:val="14"/>
        </w:rPr>
        <w:t xml:space="preserve">Bağlı </w:t>
      </w:r>
      <w:r w:rsidR="00740497" w:rsidRPr="00FB38E1">
        <w:rPr>
          <w:rFonts w:ascii="Microsoft Sans Serif" w:hAnsi="Microsoft Sans Serif" w:cs="Microsoft Sans Serif"/>
          <w:b w:val="0"/>
          <w:color w:val="404040" w:themeColor="text1" w:themeTint="BF"/>
          <w:sz w:val="14"/>
          <w:szCs w:val="14"/>
        </w:rPr>
        <w:t>O</w:t>
      </w:r>
      <w:r w:rsidR="001575B1" w:rsidRPr="00FB38E1">
        <w:rPr>
          <w:rFonts w:ascii="Microsoft Sans Serif" w:hAnsi="Microsoft Sans Serif" w:cs="Microsoft Sans Serif"/>
          <w:b w:val="0"/>
          <w:color w:val="404040" w:themeColor="text1" w:themeTint="BF"/>
          <w:sz w:val="14"/>
          <w:szCs w:val="14"/>
        </w:rPr>
        <w:t>rtaklıklar</w:t>
      </w:r>
      <w:r w:rsidR="00740497" w:rsidRPr="00FB38E1">
        <w:rPr>
          <w:rFonts w:ascii="Microsoft Sans Serif" w:hAnsi="Microsoft Sans Serif" w:cs="Microsoft Sans Serif"/>
          <w:b w:val="0"/>
          <w:color w:val="404040" w:themeColor="text1" w:themeTint="BF"/>
          <w:sz w:val="14"/>
          <w:szCs w:val="14"/>
        </w:rPr>
        <w:t>”</w:t>
      </w:r>
      <w:r w:rsidR="001575B1" w:rsidRPr="00FB38E1">
        <w:rPr>
          <w:rFonts w:ascii="Microsoft Sans Serif" w:hAnsi="Microsoft Sans Serif" w:cs="Microsoft Sans Serif"/>
          <w:b w:val="0"/>
          <w:color w:val="404040" w:themeColor="text1" w:themeTint="BF"/>
          <w:sz w:val="14"/>
          <w:szCs w:val="14"/>
        </w:rPr>
        <w:t xml:space="preserve"> </w:t>
      </w:r>
      <w:r w:rsidR="00740497" w:rsidRPr="00FB38E1">
        <w:rPr>
          <w:rFonts w:ascii="Microsoft Sans Serif" w:hAnsi="Microsoft Sans Serif" w:cs="Microsoft Sans Serif"/>
          <w:b w:val="0"/>
          <w:color w:val="404040" w:themeColor="text1" w:themeTint="BF"/>
          <w:sz w:val="14"/>
          <w:szCs w:val="14"/>
        </w:rPr>
        <w:t>hesaplarında</w:t>
      </w:r>
      <w:r w:rsidR="001575B1" w:rsidRPr="00FB38E1">
        <w:rPr>
          <w:rFonts w:ascii="Microsoft Sans Serif" w:hAnsi="Microsoft Sans Serif" w:cs="Microsoft Sans Serif"/>
          <w:b w:val="0"/>
          <w:color w:val="404040" w:themeColor="text1" w:themeTint="BF"/>
          <w:sz w:val="14"/>
          <w:szCs w:val="14"/>
        </w:rPr>
        <w:t xml:space="preserve"> muhasebeleştirilmiştir. </w:t>
      </w:r>
    </w:p>
    <w:p w14:paraId="38A3B67D" w14:textId="28AF4C23" w:rsidR="00644BD2" w:rsidRPr="00FB38E1" w:rsidRDefault="00DD1F86"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vertAlign w:val="superscript"/>
        </w:rPr>
        <w:t>(6)</w:t>
      </w:r>
      <w:r w:rsidRPr="00FB38E1">
        <w:rPr>
          <w:rFonts w:ascii="Microsoft Sans Serif" w:hAnsi="Microsoft Sans Serif" w:cs="Microsoft Sans Serif"/>
          <w:b w:val="0"/>
          <w:color w:val="404040" w:themeColor="text1" w:themeTint="BF"/>
          <w:sz w:val="14"/>
          <w:szCs w:val="14"/>
        </w:rPr>
        <w:t xml:space="preserve"> </w:t>
      </w:r>
      <w:r w:rsidR="00644BD2" w:rsidRPr="00FB38E1">
        <w:rPr>
          <w:rFonts w:ascii="Microsoft Sans Serif" w:hAnsi="Microsoft Sans Serif" w:cs="Microsoft Sans Serif"/>
          <w:b w:val="0"/>
          <w:color w:val="404040" w:themeColor="text1" w:themeTint="BF"/>
          <w:sz w:val="14"/>
          <w:szCs w:val="14"/>
        </w:rPr>
        <w:t>Banka’nın bağlı ortaklıklarından Eurodeniz International Banking Unit Ltd. tasfiye süreci 26 Haziran 2024 tarihi itibarıyla sonuçlanmıştır.</w:t>
      </w:r>
    </w:p>
    <w:p w14:paraId="6808AF3B" w14:textId="14CBDADC" w:rsidR="00FF1B8B" w:rsidRPr="00FB38E1" w:rsidRDefault="00922409"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bookmarkStart w:id="54" w:name="_Hlk188390938"/>
      <w:r w:rsidRPr="00FB38E1">
        <w:rPr>
          <w:rFonts w:ascii="Microsoft Sans Serif" w:hAnsi="Microsoft Sans Serif" w:cs="Microsoft Sans Serif"/>
          <w:b w:val="0"/>
          <w:color w:val="404040" w:themeColor="text1" w:themeTint="BF"/>
          <w:sz w:val="14"/>
          <w:szCs w:val="14"/>
        </w:rPr>
        <w:t>Banka’nın bağlı ortaklıklarından Deniz Gayrimenkul Yatırım Ortaklığı A.Ş. paylarından 2024 yılı Ekim ve Kasım aylarında toplam 10.240.841 TL nominal tutarlı satışı gerçekleşmiştir</w:t>
      </w:r>
      <w:bookmarkEnd w:id="54"/>
      <w:r w:rsidRPr="00FB38E1">
        <w:rPr>
          <w:rFonts w:ascii="Microsoft Sans Serif" w:hAnsi="Microsoft Sans Serif" w:cs="Microsoft Sans Serif"/>
          <w:b w:val="0"/>
          <w:color w:val="404040" w:themeColor="text1" w:themeTint="BF"/>
          <w:sz w:val="14"/>
          <w:szCs w:val="14"/>
        </w:rPr>
        <w:t>.</w:t>
      </w:r>
    </w:p>
    <w:p w14:paraId="44D7732C" w14:textId="7B9CB32C" w:rsidR="00F049F9" w:rsidRPr="00FB38E1" w:rsidRDefault="00F049F9" w:rsidP="00966949">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Bankamız Yönetim Kurulu’nun 14 Eylül 2023 tarihli kararı kapsamında, İştirakimiz Ekspres Gayrimenkul Turizm Yatırım İşletme ve Ticaret A.Ş.’nin Bankamızın sahipliğinde bulunan %70,58 oranındaki 4.195 TL tutarındaki payı Deniz Finansal Kiralama A.Ş.’ye devredilmesine karar verilmiş olup, pay devrine ilişkin Pay Devir Sözleşmesi 15 Eylül 2023 tarihinde gerçekleştirilmiştir.</w:t>
      </w:r>
    </w:p>
    <w:p w14:paraId="58D7B7C1" w14:textId="01BF27A5" w:rsidR="00A819FB" w:rsidRPr="00FB38E1" w:rsidRDefault="00B33E4E" w:rsidP="00076C9E">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FB38E1">
        <w:rPr>
          <w:rFonts w:ascii="Microsoft Sans Serif" w:hAnsi="Microsoft Sans Serif" w:cs="Microsoft Sans Serif"/>
          <w:b w:val="0"/>
          <w:sz w:val="20"/>
          <w:szCs w:val="20"/>
        </w:rPr>
        <w:t>B</w:t>
      </w:r>
      <w:r w:rsidR="007035D4" w:rsidRPr="00FB38E1">
        <w:rPr>
          <w:rFonts w:ascii="Microsoft Sans Serif" w:hAnsi="Microsoft Sans Serif" w:cs="Microsoft Sans Serif"/>
          <w:b w:val="0"/>
          <w:sz w:val="20"/>
          <w:szCs w:val="20"/>
        </w:rPr>
        <w:t>ağlı ortaklıklara ilişkin sektör bilgileri ve bunlara ilişkin kayıtlı tutarlar</w:t>
      </w:r>
    </w:p>
    <w:tbl>
      <w:tblPr>
        <w:tblStyle w:val="TableGrid"/>
        <w:tblW w:w="9640"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954"/>
        <w:gridCol w:w="1843"/>
        <w:gridCol w:w="1843"/>
      </w:tblGrid>
      <w:tr w:rsidR="00D75840" w:rsidRPr="00FB38E1" w14:paraId="106A434D" w14:textId="77777777" w:rsidTr="003F6AA7">
        <w:tc>
          <w:tcPr>
            <w:tcW w:w="3088" w:type="pct"/>
            <w:tcBorders>
              <w:top w:val="thinThickSmallGap" w:sz="24" w:space="0" w:color="auto"/>
              <w:bottom w:val="single" w:sz="4" w:space="0" w:color="auto"/>
            </w:tcBorders>
            <w:vAlign w:val="center"/>
          </w:tcPr>
          <w:p w14:paraId="66B15F99" w14:textId="77777777" w:rsidR="00D75840" w:rsidRPr="00FB38E1" w:rsidRDefault="00D75840" w:rsidP="00D75840">
            <w:pPr>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 </w:t>
            </w:r>
          </w:p>
        </w:tc>
        <w:tc>
          <w:tcPr>
            <w:tcW w:w="956" w:type="pct"/>
            <w:tcBorders>
              <w:top w:val="thinThickSmallGap" w:sz="24" w:space="0" w:color="auto"/>
              <w:bottom w:val="single" w:sz="4" w:space="0" w:color="auto"/>
            </w:tcBorders>
            <w:vAlign w:val="center"/>
          </w:tcPr>
          <w:p w14:paraId="646AF68A" w14:textId="70E93AB3" w:rsidR="00D75840" w:rsidRPr="00FB38E1" w:rsidRDefault="00D75840" w:rsidP="00D75840">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Cari Dönem</w:t>
            </w:r>
          </w:p>
        </w:tc>
        <w:tc>
          <w:tcPr>
            <w:tcW w:w="956" w:type="pct"/>
            <w:tcBorders>
              <w:top w:val="thinThickSmallGap" w:sz="24" w:space="0" w:color="auto"/>
              <w:bottom w:val="single" w:sz="4" w:space="0" w:color="auto"/>
            </w:tcBorders>
          </w:tcPr>
          <w:p w14:paraId="6F1917B5" w14:textId="01624B83" w:rsidR="00D75840" w:rsidRPr="00FB38E1" w:rsidRDefault="00D75840" w:rsidP="00D75840">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Önceki Dönem</w:t>
            </w:r>
          </w:p>
        </w:tc>
      </w:tr>
      <w:tr w:rsidR="008C640E" w:rsidRPr="00FB38E1" w14:paraId="739112F8" w14:textId="77777777" w:rsidTr="003F6AA7">
        <w:tc>
          <w:tcPr>
            <w:tcW w:w="3088" w:type="pct"/>
            <w:tcBorders>
              <w:top w:val="single" w:sz="4" w:space="0" w:color="auto"/>
            </w:tcBorders>
            <w:vAlign w:val="center"/>
          </w:tcPr>
          <w:p w14:paraId="57A497D2" w14:textId="77777777" w:rsidR="008C640E" w:rsidRPr="00FB38E1" w:rsidRDefault="008C640E" w:rsidP="008C640E">
            <w:pPr>
              <w:rPr>
                <w:rFonts w:ascii="Microsoft Sans Serif" w:hAnsi="Microsoft Sans Serif" w:cs="Microsoft Sans Serif"/>
                <w:sz w:val="16"/>
                <w:szCs w:val="16"/>
              </w:rPr>
            </w:pPr>
            <w:r w:rsidRPr="00FB38E1">
              <w:rPr>
                <w:rFonts w:ascii="Microsoft Sans Serif" w:hAnsi="Microsoft Sans Serif" w:cs="Microsoft Sans Serif"/>
                <w:sz w:val="16"/>
                <w:szCs w:val="16"/>
              </w:rPr>
              <w:t xml:space="preserve">Bankalar </w:t>
            </w:r>
          </w:p>
        </w:tc>
        <w:tc>
          <w:tcPr>
            <w:tcW w:w="956" w:type="pct"/>
            <w:tcBorders>
              <w:top w:val="single" w:sz="4" w:space="0" w:color="auto"/>
            </w:tcBorders>
            <w:vAlign w:val="center"/>
          </w:tcPr>
          <w:p w14:paraId="4DD4A728" w14:textId="303707E1"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51.006.445</w:t>
            </w:r>
          </w:p>
        </w:tc>
        <w:tc>
          <w:tcPr>
            <w:tcW w:w="956" w:type="pct"/>
            <w:tcBorders>
              <w:top w:val="single" w:sz="4" w:space="0" w:color="auto"/>
            </w:tcBorders>
            <w:vAlign w:val="center"/>
          </w:tcPr>
          <w:p w14:paraId="57B39340" w14:textId="08E321C8"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47.721.089</w:t>
            </w:r>
          </w:p>
        </w:tc>
      </w:tr>
      <w:tr w:rsidR="008C640E" w:rsidRPr="00FB38E1" w14:paraId="2A813D61" w14:textId="77777777" w:rsidTr="003F6AA7">
        <w:tc>
          <w:tcPr>
            <w:tcW w:w="3088" w:type="pct"/>
            <w:vAlign w:val="center"/>
          </w:tcPr>
          <w:p w14:paraId="1F91A131" w14:textId="77777777" w:rsidR="008C640E" w:rsidRPr="00FB38E1" w:rsidRDefault="008C640E" w:rsidP="008C640E">
            <w:pPr>
              <w:rPr>
                <w:rFonts w:ascii="Microsoft Sans Serif" w:hAnsi="Microsoft Sans Serif" w:cs="Microsoft Sans Serif"/>
                <w:sz w:val="16"/>
                <w:szCs w:val="16"/>
              </w:rPr>
            </w:pPr>
            <w:r w:rsidRPr="00FB38E1">
              <w:rPr>
                <w:rFonts w:ascii="Microsoft Sans Serif" w:hAnsi="Microsoft Sans Serif" w:cs="Microsoft Sans Serif"/>
                <w:sz w:val="16"/>
                <w:szCs w:val="16"/>
              </w:rPr>
              <w:t>Sigorta Şirketleri</w:t>
            </w:r>
          </w:p>
        </w:tc>
        <w:tc>
          <w:tcPr>
            <w:tcW w:w="956" w:type="pct"/>
            <w:vAlign w:val="center"/>
          </w:tcPr>
          <w:p w14:paraId="73F78624" w14:textId="185AD24B"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956" w:type="pct"/>
            <w:vAlign w:val="center"/>
          </w:tcPr>
          <w:p w14:paraId="6329A009" w14:textId="32A35C91"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r>
      <w:tr w:rsidR="008C640E" w:rsidRPr="00FB38E1" w14:paraId="74EA2C3F" w14:textId="77777777" w:rsidTr="003F6AA7">
        <w:tc>
          <w:tcPr>
            <w:tcW w:w="3088" w:type="pct"/>
            <w:vAlign w:val="center"/>
          </w:tcPr>
          <w:p w14:paraId="3B1C8DA7" w14:textId="77777777" w:rsidR="008C640E" w:rsidRPr="00FB38E1" w:rsidRDefault="008C640E" w:rsidP="008C640E">
            <w:pPr>
              <w:rPr>
                <w:rFonts w:ascii="Microsoft Sans Serif" w:hAnsi="Microsoft Sans Serif" w:cs="Microsoft Sans Serif"/>
                <w:sz w:val="16"/>
                <w:szCs w:val="16"/>
              </w:rPr>
            </w:pPr>
            <w:r w:rsidRPr="00FB38E1">
              <w:rPr>
                <w:rFonts w:ascii="Microsoft Sans Serif" w:hAnsi="Microsoft Sans Serif" w:cs="Microsoft Sans Serif"/>
                <w:sz w:val="16"/>
                <w:szCs w:val="16"/>
              </w:rPr>
              <w:t>Faktoring Şirketleri</w:t>
            </w:r>
          </w:p>
        </w:tc>
        <w:tc>
          <w:tcPr>
            <w:tcW w:w="956" w:type="pct"/>
            <w:vAlign w:val="center"/>
          </w:tcPr>
          <w:p w14:paraId="7240F4EF" w14:textId="5EBECFBE"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5.305.176</w:t>
            </w:r>
          </w:p>
        </w:tc>
        <w:tc>
          <w:tcPr>
            <w:tcW w:w="956" w:type="pct"/>
            <w:vAlign w:val="center"/>
          </w:tcPr>
          <w:p w14:paraId="036EB5C5" w14:textId="24BC70BE"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3.541.838</w:t>
            </w:r>
          </w:p>
        </w:tc>
      </w:tr>
      <w:tr w:rsidR="008C640E" w:rsidRPr="00FB38E1" w14:paraId="68CB066E" w14:textId="77777777" w:rsidTr="003F6AA7">
        <w:tc>
          <w:tcPr>
            <w:tcW w:w="3088" w:type="pct"/>
            <w:vAlign w:val="center"/>
          </w:tcPr>
          <w:p w14:paraId="56B061C6" w14:textId="77777777" w:rsidR="008C640E" w:rsidRPr="00FB38E1" w:rsidRDefault="008C640E" w:rsidP="008C640E">
            <w:pPr>
              <w:rPr>
                <w:rFonts w:ascii="Microsoft Sans Serif" w:hAnsi="Microsoft Sans Serif" w:cs="Microsoft Sans Serif"/>
                <w:sz w:val="16"/>
                <w:szCs w:val="16"/>
              </w:rPr>
            </w:pPr>
            <w:r w:rsidRPr="00FB38E1">
              <w:rPr>
                <w:rFonts w:ascii="Microsoft Sans Serif" w:hAnsi="Microsoft Sans Serif" w:cs="Microsoft Sans Serif"/>
                <w:sz w:val="16"/>
                <w:szCs w:val="16"/>
              </w:rPr>
              <w:t>Leasing Şirketleri</w:t>
            </w:r>
          </w:p>
        </w:tc>
        <w:tc>
          <w:tcPr>
            <w:tcW w:w="956" w:type="pct"/>
            <w:vAlign w:val="center"/>
          </w:tcPr>
          <w:p w14:paraId="6D7AFBBD" w14:textId="51E01FD9"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9.518.937</w:t>
            </w:r>
          </w:p>
        </w:tc>
        <w:tc>
          <w:tcPr>
            <w:tcW w:w="956" w:type="pct"/>
            <w:vAlign w:val="center"/>
          </w:tcPr>
          <w:p w14:paraId="3368CC33" w14:textId="7BB698BC"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5.247.906</w:t>
            </w:r>
          </w:p>
        </w:tc>
      </w:tr>
      <w:tr w:rsidR="008C640E" w:rsidRPr="00FB38E1" w14:paraId="5FA08A2E" w14:textId="77777777" w:rsidTr="003F6AA7">
        <w:tc>
          <w:tcPr>
            <w:tcW w:w="3088" w:type="pct"/>
            <w:vAlign w:val="center"/>
          </w:tcPr>
          <w:p w14:paraId="4FC296D5" w14:textId="77777777" w:rsidR="008C640E" w:rsidRPr="00FB38E1" w:rsidRDefault="008C640E" w:rsidP="008C640E">
            <w:pPr>
              <w:rPr>
                <w:rFonts w:ascii="Microsoft Sans Serif" w:hAnsi="Microsoft Sans Serif" w:cs="Microsoft Sans Serif"/>
                <w:sz w:val="16"/>
                <w:szCs w:val="16"/>
              </w:rPr>
            </w:pPr>
            <w:r w:rsidRPr="00FB38E1">
              <w:rPr>
                <w:rFonts w:ascii="Microsoft Sans Serif" w:hAnsi="Microsoft Sans Serif" w:cs="Microsoft Sans Serif"/>
                <w:sz w:val="16"/>
                <w:szCs w:val="16"/>
              </w:rPr>
              <w:t>Finansman Şirketleri</w:t>
            </w:r>
          </w:p>
        </w:tc>
        <w:tc>
          <w:tcPr>
            <w:tcW w:w="956" w:type="pct"/>
            <w:vAlign w:val="center"/>
          </w:tcPr>
          <w:p w14:paraId="20187A2C" w14:textId="1A3FB4D4"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956" w:type="pct"/>
            <w:vAlign w:val="center"/>
          </w:tcPr>
          <w:p w14:paraId="6A3F0FAD" w14:textId="706A8A1C"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r>
      <w:tr w:rsidR="008C640E" w:rsidRPr="00FB38E1" w14:paraId="273FAA10" w14:textId="77777777" w:rsidTr="003F6AA7">
        <w:tc>
          <w:tcPr>
            <w:tcW w:w="3088" w:type="pct"/>
            <w:tcBorders>
              <w:bottom w:val="single" w:sz="4" w:space="0" w:color="auto"/>
            </w:tcBorders>
            <w:vAlign w:val="center"/>
          </w:tcPr>
          <w:p w14:paraId="2CE1F3A8" w14:textId="77777777" w:rsidR="008C640E" w:rsidRPr="00FB38E1" w:rsidRDefault="008C640E" w:rsidP="008C640E">
            <w:pPr>
              <w:rPr>
                <w:rFonts w:ascii="Microsoft Sans Serif" w:hAnsi="Microsoft Sans Serif" w:cs="Microsoft Sans Serif"/>
                <w:sz w:val="16"/>
                <w:szCs w:val="16"/>
              </w:rPr>
            </w:pPr>
            <w:r w:rsidRPr="00FB38E1">
              <w:rPr>
                <w:rFonts w:ascii="Microsoft Sans Serif" w:hAnsi="Microsoft Sans Serif" w:cs="Microsoft Sans Serif"/>
                <w:sz w:val="16"/>
                <w:szCs w:val="16"/>
              </w:rPr>
              <w:t>Diğer Bağlı Ortaklıklar</w:t>
            </w:r>
          </w:p>
        </w:tc>
        <w:tc>
          <w:tcPr>
            <w:tcW w:w="956" w:type="pct"/>
            <w:tcBorders>
              <w:bottom w:val="single" w:sz="4" w:space="0" w:color="auto"/>
            </w:tcBorders>
            <w:vAlign w:val="center"/>
          </w:tcPr>
          <w:p w14:paraId="1AB49C39" w14:textId="04C316A8"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22.886.106</w:t>
            </w:r>
          </w:p>
        </w:tc>
        <w:tc>
          <w:tcPr>
            <w:tcW w:w="956" w:type="pct"/>
            <w:tcBorders>
              <w:bottom w:val="single" w:sz="4" w:space="0" w:color="auto"/>
            </w:tcBorders>
            <w:vAlign w:val="center"/>
          </w:tcPr>
          <w:p w14:paraId="6508BD2B" w14:textId="75B354C1"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12.593.009</w:t>
            </w:r>
          </w:p>
        </w:tc>
      </w:tr>
      <w:tr w:rsidR="008C640E" w:rsidRPr="00FB38E1" w14:paraId="602CAB91" w14:textId="77777777" w:rsidTr="003F6AA7">
        <w:tc>
          <w:tcPr>
            <w:tcW w:w="3088" w:type="pct"/>
            <w:tcBorders>
              <w:top w:val="single" w:sz="4" w:space="0" w:color="auto"/>
              <w:bottom w:val="thickThinSmallGap" w:sz="24" w:space="0" w:color="auto"/>
            </w:tcBorders>
            <w:vAlign w:val="center"/>
          </w:tcPr>
          <w:p w14:paraId="506BE3FB" w14:textId="77777777" w:rsidR="008C640E" w:rsidRPr="00FB38E1" w:rsidRDefault="008C640E" w:rsidP="008C640E">
            <w:pPr>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Toplam</w:t>
            </w:r>
          </w:p>
        </w:tc>
        <w:tc>
          <w:tcPr>
            <w:tcW w:w="956" w:type="pct"/>
            <w:tcBorders>
              <w:top w:val="single" w:sz="4" w:space="0" w:color="auto"/>
              <w:bottom w:val="thickThinSmallGap" w:sz="24" w:space="0" w:color="auto"/>
            </w:tcBorders>
            <w:vAlign w:val="center"/>
          </w:tcPr>
          <w:p w14:paraId="4B89C3CA" w14:textId="43BB47D9" w:rsidR="008C640E" w:rsidRPr="00FB38E1" w:rsidRDefault="008C640E" w:rsidP="008C640E">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88.716.664</w:t>
            </w:r>
          </w:p>
        </w:tc>
        <w:tc>
          <w:tcPr>
            <w:tcW w:w="956" w:type="pct"/>
            <w:tcBorders>
              <w:top w:val="single" w:sz="4" w:space="0" w:color="auto"/>
              <w:bottom w:val="thickThinSmallGap" w:sz="24" w:space="0" w:color="auto"/>
            </w:tcBorders>
            <w:vAlign w:val="center"/>
          </w:tcPr>
          <w:p w14:paraId="197FBAD8" w14:textId="1132EEFE" w:rsidR="008C640E" w:rsidRPr="00FB38E1" w:rsidRDefault="008C640E" w:rsidP="008C640E">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69.103.842</w:t>
            </w:r>
          </w:p>
        </w:tc>
      </w:tr>
    </w:tbl>
    <w:p w14:paraId="38E6C670" w14:textId="6920D0B0" w:rsidR="0065502D" w:rsidRPr="00FB38E1" w:rsidRDefault="0065502D" w:rsidP="002E3C4F">
      <w:pPr>
        <w:pStyle w:val="BASLIK2"/>
        <w:widowControl/>
        <w:spacing w:line="240" w:lineRule="exact"/>
        <w:ind w:firstLine="0"/>
        <w:rPr>
          <w:rFonts w:ascii="Microsoft Sans Serif" w:hAnsi="Microsoft Sans Serif" w:cs="Microsoft Sans Serif"/>
          <w:b w:val="0"/>
          <w:bCs w:val="0"/>
          <w:iCs/>
          <w:sz w:val="20"/>
          <w:szCs w:val="20"/>
        </w:rPr>
      </w:pPr>
      <w:r w:rsidRPr="00FB38E1">
        <w:rPr>
          <w:rFonts w:ascii="Microsoft Sans Serif" w:hAnsi="Microsoft Sans Serif" w:cs="Microsoft Sans Serif"/>
          <w:b w:val="0"/>
          <w:bCs w:val="0"/>
          <w:iCs/>
          <w:sz w:val="20"/>
          <w:szCs w:val="20"/>
        </w:rPr>
        <w:br w:type="page"/>
      </w:r>
    </w:p>
    <w:p w14:paraId="08640AFC" w14:textId="56E20BAD" w:rsidR="00510B6F" w:rsidRPr="00FB38E1" w:rsidRDefault="007035D4" w:rsidP="00510B6F">
      <w:pPr>
        <w:pStyle w:val="BASLIK2"/>
        <w:widowControl/>
        <w:numPr>
          <w:ilvl w:val="0"/>
          <w:numId w:val="26"/>
        </w:numPr>
        <w:spacing w:line="240" w:lineRule="exact"/>
        <w:ind w:left="0" w:hanging="284"/>
        <w:rPr>
          <w:rFonts w:ascii="Microsoft Sans Serif" w:hAnsi="Microsoft Sans Serif" w:cs="Microsoft Sans Serif"/>
          <w:b w:val="0"/>
          <w:bCs w:val="0"/>
          <w:iCs/>
          <w:sz w:val="20"/>
          <w:szCs w:val="20"/>
        </w:rPr>
      </w:pPr>
      <w:r w:rsidRPr="00FB38E1">
        <w:rPr>
          <w:rFonts w:ascii="Microsoft Sans Serif" w:hAnsi="Microsoft Sans Serif" w:cs="Microsoft Sans Serif"/>
          <w:b w:val="0"/>
          <w:sz w:val="20"/>
          <w:szCs w:val="20"/>
        </w:rPr>
        <w:t>Borsaya kote edilen bağlı ortaklıklar</w:t>
      </w:r>
      <w:r w:rsidR="00B33E4E" w:rsidRPr="00FB38E1">
        <w:rPr>
          <w:rFonts w:ascii="Microsoft Sans Serif" w:hAnsi="Microsoft Sans Serif" w:cs="Microsoft Sans Serif"/>
          <w:b w:val="0"/>
          <w:sz w:val="20"/>
          <w:szCs w:val="20"/>
        </w:rPr>
        <w:t>:</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587"/>
        <w:gridCol w:w="2026"/>
        <w:gridCol w:w="2026"/>
      </w:tblGrid>
      <w:tr w:rsidR="00510B6F" w:rsidRPr="00FB38E1" w14:paraId="41BC90D5" w14:textId="77777777" w:rsidTr="00510B6F">
        <w:tc>
          <w:tcPr>
            <w:tcW w:w="2898" w:type="pct"/>
            <w:tcBorders>
              <w:top w:val="thinThickSmallGap" w:sz="24" w:space="0" w:color="auto"/>
              <w:bottom w:val="single" w:sz="4" w:space="0" w:color="auto"/>
            </w:tcBorders>
            <w:shd w:val="clear" w:color="auto" w:fill="auto"/>
            <w:vAlign w:val="bottom"/>
          </w:tcPr>
          <w:p w14:paraId="68C9FF1F" w14:textId="77777777" w:rsidR="00510B6F" w:rsidRPr="00FB38E1" w:rsidRDefault="00510B6F" w:rsidP="00510B6F">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051" w:type="pct"/>
            <w:tcBorders>
              <w:top w:val="thinThickSmallGap" w:sz="24" w:space="0" w:color="auto"/>
              <w:bottom w:val="single" w:sz="4" w:space="0" w:color="auto"/>
            </w:tcBorders>
            <w:shd w:val="clear" w:color="auto" w:fill="auto"/>
            <w:vAlign w:val="bottom"/>
          </w:tcPr>
          <w:p w14:paraId="284D3DD3" w14:textId="77777777" w:rsidR="00510B6F" w:rsidRPr="00FB38E1" w:rsidRDefault="00510B6F" w:rsidP="00510B6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051" w:type="pct"/>
            <w:tcBorders>
              <w:top w:val="thinThickSmallGap" w:sz="24" w:space="0" w:color="auto"/>
              <w:bottom w:val="single" w:sz="4" w:space="0" w:color="auto"/>
            </w:tcBorders>
            <w:shd w:val="clear" w:color="auto" w:fill="auto"/>
          </w:tcPr>
          <w:p w14:paraId="3649A144" w14:textId="77777777" w:rsidR="00510B6F" w:rsidRPr="00FB38E1" w:rsidRDefault="00510B6F" w:rsidP="00510B6F">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510B6F" w:rsidRPr="00FB38E1" w14:paraId="1A9315CF" w14:textId="77777777" w:rsidTr="00510B6F">
        <w:trPr>
          <w:trHeight w:val="84"/>
        </w:trPr>
        <w:tc>
          <w:tcPr>
            <w:tcW w:w="2898" w:type="pct"/>
            <w:tcBorders>
              <w:top w:val="single" w:sz="4" w:space="0" w:color="auto"/>
              <w:bottom w:val="nil"/>
            </w:tcBorders>
            <w:shd w:val="clear" w:color="auto" w:fill="auto"/>
            <w:vAlign w:val="bottom"/>
          </w:tcPr>
          <w:p w14:paraId="7A0D2121" w14:textId="77777777" w:rsidR="00510B6F" w:rsidRPr="00FB38E1" w:rsidRDefault="00510B6F" w:rsidP="00510B6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Yurtiçi Borsalara Kote Edilenler</w:t>
            </w:r>
          </w:p>
        </w:tc>
        <w:tc>
          <w:tcPr>
            <w:tcW w:w="1051" w:type="pct"/>
            <w:tcBorders>
              <w:top w:val="single" w:sz="4" w:space="0" w:color="auto"/>
              <w:bottom w:val="nil"/>
            </w:tcBorders>
            <w:shd w:val="clear" w:color="auto" w:fill="auto"/>
            <w:vAlign w:val="bottom"/>
          </w:tcPr>
          <w:p w14:paraId="64BCE273" w14:textId="3EC9AE95" w:rsidR="00510B6F" w:rsidRPr="00FB38E1" w:rsidRDefault="00497977" w:rsidP="00510B6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3.024.605</w:t>
            </w:r>
          </w:p>
        </w:tc>
        <w:tc>
          <w:tcPr>
            <w:tcW w:w="1051" w:type="pct"/>
            <w:tcBorders>
              <w:top w:val="single" w:sz="4" w:space="0" w:color="auto"/>
              <w:bottom w:val="nil"/>
            </w:tcBorders>
            <w:shd w:val="clear" w:color="auto" w:fill="auto"/>
            <w:vAlign w:val="bottom"/>
          </w:tcPr>
          <w:p w14:paraId="3D485289" w14:textId="7FF584FF" w:rsidR="00510B6F" w:rsidRPr="00FB38E1" w:rsidRDefault="00510B6F" w:rsidP="00510B6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10B6F" w:rsidRPr="00FB38E1" w14:paraId="61B1DCAD" w14:textId="77777777" w:rsidTr="00510B6F">
        <w:tc>
          <w:tcPr>
            <w:tcW w:w="2898" w:type="pct"/>
            <w:tcBorders>
              <w:top w:val="nil"/>
              <w:bottom w:val="thickThinSmallGap" w:sz="24" w:space="0" w:color="auto"/>
            </w:tcBorders>
            <w:shd w:val="clear" w:color="auto" w:fill="auto"/>
            <w:vAlign w:val="bottom"/>
          </w:tcPr>
          <w:p w14:paraId="17B856FB" w14:textId="77777777" w:rsidR="00510B6F" w:rsidRPr="00FB38E1" w:rsidRDefault="00510B6F" w:rsidP="00510B6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Yurtdışı Borsalara Kote Edilenler</w:t>
            </w:r>
          </w:p>
        </w:tc>
        <w:tc>
          <w:tcPr>
            <w:tcW w:w="1051" w:type="pct"/>
            <w:tcBorders>
              <w:top w:val="nil"/>
              <w:bottom w:val="thickThinSmallGap" w:sz="24" w:space="0" w:color="auto"/>
            </w:tcBorders>
            <w:shd w:val="clear" w:color="auto" w:fill="auto"/>
            <w:vAlign w:val="bottom"/>
          </w:tcPr>
          <w:p w14:paraId="15ED982E" w14:textId="77777777" w:rsidR="00510B6F" w:rsidRPr="00FB38E1" w:rsidRDefault="00510B6F" w:rsidP="00510B6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051" w:type="pct"/>
            <w:tcBorders>
              <w:top w:val="nil"/>
              <w:bottom w:val="thickThinSmallGap" w:sz="24" w:space="0" w:color="auto"/>
            </w:tcBorders>
            <w:shd w:val="clear" w:color="auto" w:fill="auto"/>
            <w:vAlign w:val="bottom"/>
          </w:tcPr>
          <w:p w14:paraId="56F3CAA4" w14:textId="77777777" w:rsidR="00510B6F" w:rsidRPr="00FB38E1" w:rsidRDefault="00510B6F" w:rsidP="00510B6F">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220E10C7" w14:textId="77777777" w:rsidR="00BD3527" w:rsidRPr="00FB38E1" w:rsidRDefault="00EE5D49" w:rsidP="00510B6F">
      <w:pPr>
        <w:pStyle w:val="BASLIK2"/>
        <w:widowControl/>
        <w:numPr>
          <w:ilvl w:val="0"/>
          <w:numId w:val="26"/>
        </w:numPr>
        <w:spacing w:after="0" w:line="240" w:lineRule="exact"/>
        <w:ind w:left="0" w:hanging="284"/>
        <w:rPr>
          <w:rFonts w:ascii="Microsoft Sans Serif" w:hAnsi="Microsoft Sans Serif" w:cs="Microsoft Sans Serif"/>
          <w:b w:val="0"/>
          <w:iCs/>
          <w:sz w:val="20"/>
          <w:szCs w:val="20"/>
        </w:rPr>
      </w:pPr>
      <w:r w:rsidRPr="00FB38E1">
        <w:rPr>
          <w:rFonts w:ascii="Microsoft Sans Serif" w:hAnsi="Microsoft Sans Serif" w:cs="Microsoft Sans Serif"/>
          <w:b w:val="0"/>
          <w:sz w:val="20"/>
          <w:szCs w:val="20"/>
        </w:rPr>
        <w:t xml:space="preserve">Cari dönem içinde elden çıkarılan bağlı ortaklıklar: </w:t>
      </w:r>
      <w:bookmarkStart w:id="55" w:name="_Hlk172137043"/>
    </w:p>
    <w:p w14:paraId="2AE2A1A9" w14:textId="585A7A2E" w:rsidR="00EE5D49" w:rsidRPr="00FB38E1" w:rsidRDefault="00644BD2" w:rsidP="00BD3527">
      <w:pPr>
        <w:pStyle w:val="BASLIK2"/>
        <w:widowControl/>
        <w:spacing w:before="120" w:after="0" w:line="240" w:lineRule="exact"/>
        <w:ind w:firstLine="0"/>
        <w:rPr>
          <w:rFonts w:ascii="Microsoft Sans Serif" w:hAnsi="Microsoft Sans Serif" w:cs="Microsoft Sans Serif"/>
          <w:b w:val="0"/>
          <w:iCs/>
          <w:sz w:val="20"/>
          <w:szCs w:val="20"/>
        </w:rPr>
      </w:pPr>
      <w:r w:rsidRPr="00FB38E1">
        <w:rPr>
          <w:rFonts w:ascii="Microsoft Sans Serif" w:hAnsi="Microsoft Sans Serif" w:cs="Microsoft Sans Serif"/>
          <w:b w:val="0"/>
          <w:iCs/>
          <w:sz w:val="20"/>
          <w:szCs w:val="20"/>
        </w:rPr>
        <w:t xml:space="preserve">Eurodeniz International Banking Unit Ltd. </w:t>
      </w:r>
      <w:bookmarkStart w:id="56" w:name="_Hlk172132662"/>
      <w:r w:rsidRPr="00FB38E1">
        <w:rPr>
          <w:rFonts w:ascii="Microsoft Sans Serif" w:hAnsi="Microsoft Sans Serif" w:cs="Microsoft Sans Serif"/>
          <w:b w:val="0"/>
          <w:iCs/>
          <w:sz w:val="20"/>
          <w:szCs w:val="20"/>
        </w:rPr>
        <w:t>tasfiye süreci 26 Haziran 2024 tarihi itibarıyla sonuçlanmıştır</w:t>
      </w:r>
      <w:bookmarkEnd w:id="56"/>
      <w:r w:rsidRPr="00FB38E1">
        <w:rPr>
          <w:rFonts w:ascii="Microsoft Sans Serif" w:hAnsi="Microsoft Sans Serif" w:cs="Microsoft Sans Serif"/>
          <w:b w:val="0"/>
          <w:iCs/>
          <w:sz w:val="20"/>
          <w:szCs w:val="20"/>
        </w:rPr>
        <w:t>.</w:t>
      </w:r>
      <w:bookmarkEnd w:id="55"/>
    </w:p>
    <w:p w14:paraId="642456F9" w14:textId="77777777" w:rsidR="00BD3527" w:rsidRPr="00FB38E1" w:rsidRDefault="007035D4" w:rsidP="00BD3527">
      <w:pPr>
        <w:pStyle w:val="BASLIK2"/>
        <w:widowControl/>
        <w:numPr>
          <w:ilvl w:val="0"/>
          <w:numId w:val="26"/>
        </w:numPr>
        <w:spacing w:after="0" w:line="240" w:lineRule="exact"/>
        <w:ind w:left="0" w:hanging="284"/>
        <w:rPr>
          <w:rFonts w:ascii="Microsoft Sans Serif" w:hAnsi="Microsoft Sans Serif" w:cs="Microsoft Sans Serif"/>
          <w:b w:val="0"/>
          <w:iCs/>
          <w:sz w:val="20"/>
          <w:szCs w:val="20"/>
        </w:rPr>
      </w:pPr>
      <w:r w:rsidRPr="00FB38E1">
        <w:rPr>
          <w:rFonts w:ascii="Microsoft Sans Serif" w:hAnsi="Microsoft Sans Serif" w:cs="Microsoft Sans Serif"/>
          <w:b w:val="0"/>
          <w:sz w:val="20"/>
          <w:szCs w:val="20"/>
        </w:rPr>
        <w:t xml:space="preserve">Cari dönem içinde satın alınan konsolidasyon kapsamındaki bağlı ortaklıklar: </w:t>
      </w:r>
      <w:bookmarkStart w:id="57" w:name="_Hlk172137069"/>
    </w:p>
    <w:p w14:paraId="0A60CE3D" w14:textId="6E42D3A4" w:rsidR="004538AD" w:rsidRPr="00FB38E1" w:rsidRDefault="00644BD2" w:rsidP="00BD3527">
      <w:pPr>
        <w:pStyle w:val="BASLIK2"/>
        <w:widowControl/>
        <w:spacing w:before="120" w:after="0" w:line="240" w:lineRule="exact"/>
        <w:ind w:firstLine="0"/>
        <w:rPr>
          <w:rFonts w:ascii="Microsoft Sans Serif" w:hAnsi="Microsoft Sans Serif" w:cs="Microsoft Sans Serif"/>
          <w:b w:val="0"/>
          <w:iCs/>
          <w:sz w:val="20"/>
          <w:szCs w:val="20"/>
        </w:rPr>
      </w:pPr>
      <w:r w:rsidRPr="00FB38E1">
        <w:rPr>
          <w:rFonts w:ascii="Microsoft Sans Serif" w:hAnsi="Microsoft Sans Serif" w:cs="Microsoft Sans Serif"/>
          <w:b w:val="0"/>
          <w:iCs/>
          <w:sz w:val="20"/>
          <w:szCs w:val="20"/>
        </w:rPr>
        <w:t>Banka’nın bağlı ortaklığı Deniz Yatırım Menkul Kıymetler A.Ş.’nin maliki bulunduğu “Deniz Gayrimenkul Yatırım Ortaklığı A.Ş.”nin 5.000 adet A Grubu ve 299.678.561 adet B Grubu olmak üzere toplam 299.683.561 adet payın Banka tarafından satın alınmasına ilişkin süreç 2 Nisan 2024 tarihinde tamamlanmış ve payların DenizBank’a devir işlemi aynı tarih itibarıyla gerçekleşmiştir.</w:t>
      </w:r>
      <w:bookmarkEnd w:id="57"/>
    </w:p>
    <w:p w14:paraId="3D8F5B8E" w14:textId="50B71F6A" w:rsidR="00AE515E" w:rsidRPr="00FB38E1" w:rsidRDefault="00AE515E" w:rsidP="00076C9E">
      <w:pPr>
        <w:pStyle w:val="BASLIK2"/>
        <w:widowControl/>
        <w:numPr>
          <w:ilvl w:val="0"/>
          <w:numId w:val="17"/>
        </w:numPr>
        <w:spacing w:line="240" w:lineRule="exact"/>
        <w:ind w:left="0" w:hanging="567"/>
        <w:rPr>
          <w:rFonts w:ascii="Microsoft Sans Serif" w:hAnsi="Microsoft Sans Serif" w:cs="Microsoft Sans Serif"/>
          <w:b w:val="0"/>
          <w:i/>
          <w:noProof/>
          <w:snapToGrid w:val="0"/>
          <w:sz w:val="20"/>
          <w:szCs w:val="20"/>
        </w:rPr>
      </w:pPr>
      <w:r w:rsidRPr="00FB38E1">
        <w:rPr>
          <w:rFonts w:ascii="Microsoft Sans Serif" w:hAnsi="Microsoft Sans Serif" w:cs="Microsoft Sans Serif"/>
          <w:noProof/>
          <w:snapToGrid w:val="0"/>
          <w:sz w:val="20"/>
          <w:szCs w:val="20"/>
        </w:rPr>
        <w:t>Birlikte kontrol edilen ortaklıklara (iş ortaklıklarına) ilişkin bilgiler</w:t>
      </w:r>
    </w:p>
    <w:tbl>
      <w:tblPr>
        <w:tblStyle w:val="TableGrid"/>
        <w:tblW w:w="960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048"/>
        <w:gridCol w:w="1072"/>
        <w:gridCol w:w="1072"/>
        <w:gridCol w:w="788"/>
        <w:gridCol w:w="794"/>
        <w:gridCol w:w="1074"/>
        <w:gridCol w:w="826"/>
        <w:gridCol w:w="933"/>
      </w:tblGrid>
      <w:tr w:rsidR="005C0F81" w:rsidRPr="00FB38E1" w14:paraId="6D107A36" w14:textId="77777777" w:rsidTr="00F931CF">
        <w:trPr>
          <w:trHeight w:val="284"/>
        </w:trPr>
        <w:tc>
          <w:tcPr>
            <w:tcW w:w="1587" w:type="pct"/>
            <w:tcBorders>
              <w:top w:val="thinThickSmallGap" w:sz="24" w:space="0" w:color="auto"/>
              <w:bottom w:val="single" w:sz="4" w:space="0" w:color="auto"/>
            </w:tcBorders>
            <w:shd w:val="clear" w:color="auto" w:fill="auto"/>
            <w:vAlign w:val="bottom"/>
          </w:tcPr>
          <w:p w14:paraId="313ED368" w14:textId="77777777" w:rsidR="005C0F81" w:rsidRPr="00FB38E1" w:rsidRDefault="005C0F81" w:rsidP="00D866C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Unvanı</w:t>
            </w:r>
          </w:p>
        </w:tc>
        <w:tc>
          <w:tcPr>
            <w:tcW w:w="558" w:type="pct"/>
            <w:tcBorders>
              <w:top w:val="thinThickSmallGap" w:sz="24" w:space="0" w:color="auto"/>
              <w:bottom w:val="single" w:sz="4" w:space="0" w:color="auto"/>
            </w:tcBorders>
            <w:shd w:val="clear" w:color="auto" w:fill="auto"/>
            <w:vAlign w:val="bottom"/>
          </w:tcPr>
          <w:p w14:paraId="524116FE" w14:textId="77777777" w:rsidR="005C0F81" w:rsidRPr="00FB38E1" w:rsidRDefault="005C0F81" w:rsidP="00D866C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Bankanın Payı (%)</w:t>
            </w:r>
          </w:p>
        </w:tc>
        <w:tc>
          <w:tcPr>
            <w:tcW w:w="558" w:type="pct"/>
            <w:tcBorders>
              <w:top w:val="thinThickSmallGap" w:sz="24" w:space="0" w:color="auto"/>
              <w:bottom w:val="single" w:sz="4" w:space="0" w:color="auto"/>
            </w:tcBorders>
            <w:shd w:val="clear" w:color="auto" w:fill="auto"/>
            <w:vAlign w:val="bottom"/>
          </w:tcPr>
          <w:p w14:paraId="261C02CA" w14:textId="77777777" w:rsidR="005C0F81" w:rsidRPr="00FB38E1" w:rsidRDefault="005C0F81" w:rsidP="00D866C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Grubun Payı </w:t>
            </w:r>
            <w:r w:rsidRPr="00FB38E1">
              <w:rPr>
                <w:rFonts w:ascii="Microsoft Sans Serif" w:hAnsi="Microsoft Sans Serif" w:cs="Microsoft Sans Serif"/>
                <w:b/>
                <w:bCs/>
                <w:color w:val="000000"/>
                <w:sz w:val="16"/>
                <w:szCs w:val="16"/>
              </w:rPr>
              <w:br/>
              <w:t>(%)</w:t>
            </w:r>
          </w:p>
        </w:tc>
        <w:tc>
          <w:tcPr>
            <w:tcW w:w="410" w:type="pct"/>
            <w:tcBorders>
              <w:top w:val="thinThickSmallGap" w:sz="24" w:space="0" w:color="auto"/>
              <w:bottom w:val="single" w:sz="4" w:space="0" w:color="auto"/>
            </w:tcBorders>
            <w:shd w:val="clear" w:color="auto" w:fill="auto"/>
            <w:vAlign w:val="bottom"/>
          </w:tcPr>
          <w:p w14:paraId="1BA3C42B" w14:textId="77777777" w:rsidR="005C0F81" w:rsidRPr="00FB38E1" w:rsidRDefault="005C0F81" w:rsidP="00D866C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Dönen Varlık</w:t>
            </w:r>
          </w:p>
        </w:tc>
        <w:tc>
          <w:tcPr>
            <w:tcW w:w="413" w:type="pct"/>
            <w:tcBorders>
              <w:top w:val="thinThickSmallGap" w:sz="24" w:space="0" w:color="auto"/>
              <w:bottom w:val="single" w:sz="4" w:space="0" w:color="auto"/>
            </w:tcBorders>
            <w:shd w:val="clear" w:color="auto" w:fill="auto"/>
            <w:vAlign w:val="bottom"/>
          </w:tcPr>
          <w:p w14:paraId="74A975B7" w14:textId="77777777" w:rsidR="005C0F81" w:rsidRPr="00FB38E1" w:rsidRDefault="005C0F81" w:rsidP="00D866C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Duran Varlık</w:t>
            </w:r>
          </w:p>
        </w:tc>
        <w:tc>
          <w:tcPr>
            <w:tcW w:w="559" w:type="pct"/>
            <w:tcBorders>
              <w:top w:val="thinThickSmallGap" w:sz="24" w:space="0" w:color="auto"/>
              <w:bottom w:val="single" w:sz="4" w:space="0" w:color="auto"/>
            </w:tcBorders>
            <w:shd w:val="clear" w:color="auto" w:fill="auto"/>
            <w:vAlign w:val="bottom"/>
          </w:tcPr>
          <w:p w14:paraId="2415F45A" w14:textId="77777777" w:rsidR="005C0F81" w:rsidRPr="00FB38E1" w:rsidRDefault="005C0F81" w:rsidP="00D866C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Uzun Vadeli Borç</w:t>
            </w:r>
          </w:p>
        </w:tc>
        <w:tc>
          <w:tcPr>
            <w:tcW w:w="430" w:type="pct"/>
            <w:tcBorders>
              <w:top w:val="thinThickSmallGap" w:sz="24" w:space="0" w:color="auto"/>
              <w:bottom w:val="single" w:sz="4" w:space="0" w:color="auto"/>
            </w:tcBorders>
            <w:shd w:val="clear" w:color="auto" w:fill="auto"/>
            <w:vAlign w:val="bottom"/>
          </w:tcPr>
          <w:p w14:paraId="794BF8BC" w14:textId="77777777" w:rsidR="005C0F81" w:rsidRPr="00FB38E1" w:rsidRDefault="005C0F81" w:rsidP="00D866C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Gelir</w:t>
            </w:r>
          </w:p>
        </w:tc>
        <w:tc>
          <w:tcPr>
            <w:tcW w:w="486" w:type="pct"/>
            <w:tcBorders>
              <w:top w:val="thinThickSmallGap" w:sz="24" w:space="0" w:color="auto"/>
              <w:bottom w:val="single" w:sz="4" w:space="0" w:color="auto"/>
            </w:tcBorders>
            <w:shd w:val="clear" w:color="auto" w:fill="auto"/>
            <w:vAlign w:val="bottom"/>
          </w:tcPr>
          <w:p w14:paraId="72922E8B" w14:textId="77777777" w:rsidR="005C0F81" w:rsidRPr="00FB38E1" w:rsidRDefault="005C0F81" w:rsidP="00D866C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Gider</w:t>
            </w:r>
          </w:p>
        </w:tc>
      </w:tr>
      <w:tr w:rsidR="00F931CF" w:rsidRPr="00FB38E1" w14:paraId="2B0BEFF4" w14:textId="77777777" w:rsidTr="00F931CF">
        <w:trPr>
          <w:trHeight w:val="451"/>
        </w:trPr>
        <w:tc>
          <w:tcPr>
            <w:tcW w:w="1587" w:type="pct"/>
            <w:tcBorders>
              <w:top w:val="single" w:sz="4" w:space="0" w:color="auto"/>
            </w:tcBorders>
            <w:shd w:val="clear" w:color="auto" w:fill="auto"/>
            <w:vAlign w:val="bottom"/>
          </w:tcPr>
          <w:p w14:paraId="2C2D633A" w14:textId="77777777" w:rsidR="00F931CF" w:rsidRPr="00FB38E1" w:rsidRDefault="00F931CF" w:rsidP="00F931CF">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Bantaş Nakit ve Kıymetli Mal Taşıma ve Güvenlik Hizmetleri A.Ş.</w:t>
            </w:r>
          </w:p>
        </w:tc>
        <w:tc>
          <w:tcPr>
            <w:tcW w:w="558" w:type="pct"/>
            <w:tcBorders>
              <w:top w:val="single" w:sz="4" w:space="0" w:color="auto"/>
            </w:tcBorders>
            <w:shd w:val="clear" w:color="auto" w:fill="auto"/>
            <w:vAlign w:val="center"/>
          </w:tcPr>
          <w:p w14:paraId="64447A6A" w14:textId="32AB30C3" w:rsidR="00F931CF" w:rsidRPr="00FB38E1" w:rsidRDefault="00F931CF" w:rsidP="00F931CF">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w:t>
            </w:r>
          </w:p>
        </w:tc>
        <w:tc>
          <w:tcPr>
            <w:tcW w:w="558" w:type="pct"/>
            <w:tcBorders>
              <w:top w:val="single" w:sz="4" w:space="0" w:color="auto"/>
            </w:tcBorders>
            <w:shd w:val="clear" w:color="auto" w:fill="auto"/>
            <w:vAlign w:val="center"/>
          </w:tcPr>
          <w:p w14:paraId="32192640" w14:textId="311F93F7" w:rsidR="00F931CF" w:rsidRPr="00FB38E1" w:rsidRDefault="00F931CF" w:rsidP="00F931CF">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w:t>
            </w:r>
          </w:p>
        </w:tc>
        <w:tc>
          <w:tcPr>
            <w:tcW w:w="410" w:type="pct"/>
            <w:tcBorders>
              <w:top w:val="single" w:sz="4" w:space="0" w:color="auto"/>
            </w:tcBorders>
            <w:shd w:val="clear" w:color="auto" w:fill="auto"/>
            <w:vAlign w:val="center"/>
          </w:tcPr>
          <w:p w14:paraId="09DD34C1" w14:textId="6E7F87D1" w:rsidR="00F931CF" w:rsidRPr="00FB38E1" w:rsidRDefault="00F931CF" w:rsidP="00F931CF">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360.587</w:t>
            </w:r>
          </w:p>
        </w:tc>
        <w:tc>
          <w:tcPr>
            <w:tcW w:w="413" w:type="pct"/>
            <w:tcBorders>
              <w:top w:val="single" w:sz="4" w:space="0" w:color="auto"/>
            </w:tcBorders>
            <w:shd w:val="clear" w:color="auto" w:fill="auto"/>
            <w:vAlign w:val="center"/>
          </w:tcPr>
          <w:p w14:paraId="063D78E1" w14:textId="2D326E9F" w:rsidR="00F931CF" w:rsidRPr="00FB38E1" w:rsidRDefault="00F931CF" w:rsidP="00F931CF">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232.046</w:t>
            </w:r>
          </w:p>
        </w:tc>
        <w:tc>
          <w:tcPr>
            <w:tcW w:w="559" w:type="pct"/>
            <w:tcBorders>
              <w:top w:val="single" w:sz="4" w:space="0" w:color="auto"/>
            </w:tcBorders>
            <w:shd w:val="clear" w:color="auto" w:fill="auto"/>
            <w:vAlign w:val="center"/>
          </w:tcPr>
          <w:p w14:paraId="7F52FC04" w14:textId="2F022A03" w:rsidR="00F931CF" w:rsidRPr="00FB38E1" w:rsidRDefault="00F931CF" w:rsidP="00F931CF">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144.313</w:t>
            </w:r>
          </w:p>
        </w:tc>
        <w:tc>
          <w:tcPr>
            <w:tcW w:w="430" w:type="pct"/>
            <w:tcBorders>
              <w:top w:val="single" w:sz="4" w:space="0" w:color="auto"/>
            </w:tcBorders>
            <w:shd w:val="clear" w:color="auto" w:fill="auto"/>
            <w:vAlign w:val="center"/>
          </w:tcPr>
          <w:p w14:paraId="2D9B3312" w14:textId="3E3EDD71" w:rsidR="00F931CF" w:rsidRPr="00FB38E1" w:rsidRDefault="00F931CF" w:rsidP="00F931CF">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1.312.511</w:t>
            </w:r>
          </w:p>
        </w:tc>
        <w:tc>
          <w:tcPr>
            <w:tcW w:w="486" w:type="pct"/>
            <w:tcBorders>
              <w:top w:val="single" w:sz="4" w:space="0" w:color="auto"/>
            </w:tcBorders>
            <w:shd w:val="clear" w:color="auto" w:fill="auto"/>
            <w:vAlign w:val="center"/>
          </w:tcPr>
          <w:p w14:paraId="3602F8B4" w14:textId="0A01CE51" w:rsidR="00F931CF" w:rsidRPr="00FB38E1" w:rsidRDefault="00F931CF" w:rsidP="00F931CF">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(1.197.126)</w:t>
            </w:r>
          </w:p>
        </w:tc>
      </w:tr>
    </w:tbl>
    <w:p w14:paraId="4B444CA2" w14:textId="77FAA4DE" w:rsidR="005C0F81" w:rsidRPr="00FB38E1" w:rsidRDefault="005C0F81" w:rsidP="005C0F81">
      <w:pPr>
        <w:pStyle w:val="BASLIK2"/>
        <w:widowControl/>
        <w:spacing w:before="60" w:line="240" w:lineRule="exact"/>
        <w:ind w:firstLine="0"/>
        <w:rPr>
          <w:rFonts w:ascii="Microsoft Sans Serif" w:hAnsi="Microsoft Sans Serif" w:cs="Microsoft Sans Serif"/>
          <w:b w:val="0"/>
          <w:bCs w:val="0"/>
          <w:color w:val="404040" w:themeColor="text1" w:themeTint="BF"/>
          <w:sz w:val="14"/>
          <w:szCs w:val="14"/>
        </w:rPr>
      </w:pPr>
      <w:r w:rsidRPr="00FB38E1">
        <w:rPr>
          <w:rFonts w:ascii="Microsoft Sans Serif" w:hAnsi="Microsoft Sans Serif" w:cs="Microsoft Sans Serif"/>
          <w:b w:val="0"/>
          <w:bCs w:val="0"/>
          <w:color w:val="404040" w:themeColor="text1" w:themeTint="BF"/>
          <w:sz w:val="14"/>
          <w:szCs w:val="14"/>
        </w:rPr>
        <w:t>Denetlenm</w:t>
      </w:r>
      <w:r w:rsidR="00AC1DCA" w:rsidRPr="00FB38E1">
        <w:rPr>
          <w:rFonts w:ascii="Microsoft Sans Serif" w:hAnsi="Microsoft Sans Serif" w:cs="Microsoft Sans Serif"/>
          <w:b w:val="0"/>
          <w:bCs w:val="0"/>
          <w:color w:val="404040" w:themeColor="text1" w:themeTint="BF"/>
          <w:sz w:val="14"/>
          <w:szCs w:val="14"/>
        </w:rPr>
        <w:t xml:space="preserve">emiş finansal tablo bilgileri </w:t>
      </w:r>
      <w:r w:rsidR="00AD2A6F" w:rsidRPr="00FB38E1">
        <w:rPr>
          <w:rFonts w:ascii="Microsoft Sans Serif" w:hAnsi="Microsoft Sans Serif" w:cs="Microsoft Sans Serif"/>
          <w:b w:val="0"/>
          <w:bCs w:val="0"/>
          <w:color w:val="404040" w:themeColor="text1" w:themeTint="BF"/>
          <w:sz w:val="14"/>
          <w:szCs w:val="14"/>
        </w:rPr>
        <w:t xml:space="preserve">31 Aralık 2024 </w:t>
      </w:r>
      <w:r w:rsidRPr="00FB38E1">
        <w:rPr>
          <w:rFonts w:ascii="Microsoft Sans Serif" w:hAnsi="Microsoft Sans Serif" w:cs="Microsoft Sans Serif"/>
          <w:b w:val="0"/>
          <w:bCs w:val="0"/>
          <w:color w:val="404040" w:themeColor="text1" w:themeTint="BF"/>
          <w:sz w:val="14"/>
          <w:szCs w:val="14"/>
        </w:rPr>
        <w:t>tarihinde sona eren hesap dönemine aittir.</w:t>
      </w:r>
    </w:p>
    <w:p w14:paraId="2EE87B71" w14:textId="6FCB37E8" w:rsidR="002B41D4" w:rsidRPr="00FB38E1" w:rsidRDefault="00070C12" w:rsidP="00076C9E">
      <w:pPr>
        <w:pStyle w:val="BASLIK2"/>
        <w:widowControl/>
        <w:numPr>
          <w:ilvl w:val="0"/>
          <w:numId w:val="17"/>
        </w:numPr>
        <w:spacing w:line="240" w:lineRule="exact"/>
        <w:ind w:left="0" w:hanging="567"/>
        <w:rPr>
          <w:rFonts w:ascii="Microsoft Sans Serif" w:hAnsi="Microsoft Sans Serif" w:cs="Microsoft Sans Serif"/>
          <w:b w:val="0"/>
          <w:bCs w:val="0"/>
          <w:iCs/>
          <w:sz w:val="20"/>
          <w:szCs w:val="20"/>
        </w:rPr>
      </w:pPr>
      <w:r w:rsidRPr="00FB38E1">
        <w:rPr>
          <w:rFonts w:ascii="Microsoft Sans Serif" w:hAnsi="Microsoft Sans Serif" w:cs="Microsoft Sans Serif"/>
          <w:noProof/>
          <w:snapToGrid w:val="0"/>
          <w:sz w:val="20"/>
          <w:szCs w:val="20"/>
        </w:rPr>
        <w:t>Kiralama işlemlerinden alacaklara ilişkin bilgiler</w:t>
      </w:r>
    </w:p>
    <w:p w14:paraId="27D45BA5" w14:textId="3F02BA3E" w:rsidR="00FB2D98" w:rsidRPr="00FB38E1" w:rsidRDefault="000938BD"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iCs/>
          <w:color w:val="404040" w:themeColor="text1" w:themeTint="BF"/>
          <w:sz w:val="20"/>
          <w:szCs w:val="20"/>
        </w:rPr>
        <w:t>Bulunmamaktadır</w:t>
      </w:r>
      <w:r w:rsidR="00FB2D98" w:rsidRPr="00FB38E1">
        <w:rPr>
          <w:rFonts w:ascii="Microsoft Sans Serif" w:hAnsi="Microsoft Sans Serif" w:cs="Microsoft Sans Serif"/>
          <w:b w:val="0"/>
          <w:color w:val="404040" w:themeColor="text1" w:themeTint="BF"/>
          <w:sz w:val="20"/>
          <w:szCs w:val="20"/>
        </w:rPr>
        <w:t>.</w:t>
      </w:r>
    </w:p>
    <w:p w14:paraId="18CC8842" w14:textId="77777777" w:rsidR="007057B8" w:rsidRPr="00FB38E1" w:rsidRDefault="007057B8" w:rsidP="00076C9E">
      <w:pPr>
        <w:pStyle w:val="BASLIK2"/>
        <w:widowControl/>
        <w:numPr>
          <w:ilvl w:val="0"/>
          <w:numId w:val="17"/>
        </w:numPr>
        <w:spacing w:line="240" w:lineRule="exact"/>
        <w:ind w:left="0" w:hanging="567"/>
        <w:rPr>
          <w:rFonts w:ascii="Microsoft Sans Serif" w:hAnsi="Microsoft Sans Serif" w:cs="Microsoft Sans Serif"/>
          <w:b w:val="0"/>
          <w:bCs w:val="0"/>
          <w:iCs/>
          <w:sz w:val="20"/>
          <w:szCs w:val="20"/>
        </w:rPr>
      </w:pPr>
      <w:r w:rsidRPr="00FB38E1">
        <w:rPr>
          <w:rFonts w:ascii="Microsoft Sans Serif" w:hAnsi="Microsoft Sans Serif" w:cs="Microsoft Sans Serif"/>
          <w:noProof/>
          <w:snapToGrid w:val="0"/>
          <w:sz w:val="20"/>
          <w:szCs w:val="20"/>
        </w:rPr>
        <w:t>Riskten korunma amaçlı türev finansal araçlara ilişkin açıklamalar</w:t>
      </w:r>
    </w:p>
    <w:p w14:paraId="15442F54" w14:textId="07ED1E2E" w:rsidR="00A349C3" w:rsidRPr="00FB38E1" w:rsidRDefault="000938BD" w:rsidP="00166378">
      <w:pPr>
        <w:pStyle w:val="BASLIK2"/>
        <w:widowControl/>
        <w:spacing w:before="120" w:after="0" w:line="220" w:lineRule="exact"/>
        <w:ind w:firstLine="0"/>
        <w:rPr>
          <w:rFonts w:ascii="Microsoft Sans Serif" w:hAnsi="Microsoft Sans Serif" w:cs="Microsoft Sans Serif"/>
          <w:noProof/>
          <w:snapToGrid w:val="0"/>
          <w:sz w:val="20"/>
          <w:szCs w:val="20"/>
        </w:rPr>
      </w:pPr>
      <w:r w:rsidRPr="00FB38E1">
        <w:rPr>
          <w:rFonts w:ascii="Microsoft Sans Serif" w:hAnsi="Microsoft Sans Serif" w:cs="Microsoft Sans Serif"/>
          <w:b w:val="0"/>
          <w:iCs/>
          <w:color w:val="404040" w:themeColor="text1" w:themeTint="BF"/>
          <w:sz w:val="20"/>
          <w:szCs w:val="20"/>
        </w:rPr>
        <w:t>Bulunmamaktadır</w:t>
      </w:r>
      <w:r w:rsidR="00FB2D98" w:rsidRPr="00FB38E1">
        <w:rPr>
          <w:rFonts w:ascii="Microsoft Sans Serif" w:hAnsi="Microsoft Sans Serif" w:cs="Microsoft Sans Serif"/>
          <w:b w:val="0"/>
          <w:color w:val="404040" w:themeColor="text1" w:themeTint="BF"/>
          <w:sz w:val="20"/>
          <w:szCs w:val="20"/>
        </w:rPr>
        <w:t>.</w:t>
      </w:r>
    </w:p>
    <w:p w14:paraId="4E1337EA" w14:textId="7F116DF1" w:rsidR="007057B8" w:rsidRPr="00FB38E1" w:rsidRDefault="00F30C15" w:rsidP="00076C9E">
      <w:pPr>
        <w:pStyle w:val="BASLIK2"/>
        <w:widowControl/>
        <w:numPr>
          <w:ilvl w:val="0"/>
          <w:numId w:val="17"/>
        </w:numPr>
        <w:spacing w:line="240" w:lineRule="exact"/>
        <w:ind w:left="0" w:hanging="567"/>
        <w:rPr>
          <w:rFonts w:ascii="Microsoft Sans Serif" w:hAnsi="Microsoft Sans Serif" w:cs="Microsoft Sans Serif"/>
          <w:bCs w:val="0"/>
          <w:iCs/>
          <w:sz w:val="20"/>
          <w:szCs w:val="20"/>
        </w:rPr>
      </w:pPr>
      <w:r w:rsidRPr="00FB38E1">
        <w:rPr>
          <w:rFonts w:ascii="Microsoft Sans Serif" w:hAnsi="Microsoft Sans Serif" w:cs="Microsoft Sans Serif"/>
          <w:bCs w:val="0"/>
          <w:noProof/>
          <w:snapToGrid w:val="0"/>
          <w:sz w:val="20"/>
          <w:szCs w:val="20"/>
        </w:rPr>
        <w:t>Yatırım amaçlı gayrimenkullere ilişkin açıklamalar</w:t>
      </w:r>
    </w:p>
    <w:p w14:paraId="6BD60013" w14:textId="7B576B61" w:rsidR="00B65387" w:rsidRPr="00FB38E1" w:rsidRDefault="000938BD"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iCs/>
          <w:color w:val="404040" w:themeColor="text1" w:themeTint="BF"/>
          <w:sz w:val="20"/>
          <w:szCs w:val="20"/>
        </w:rPr>
        <w:t>Bulunmamaktadır</w:t>
      </w:r>
      <w:r w:rsidR="00FB2D98" w:rsidRPr="00FB38E1">
        <w:rPr>
          <w:rFonts w:ascii="Microsoft Sans Serif" w:hAnsi="Microsoft Sans Serif" w:cs="Microsoft Sans Serif"/>
          <w:b w:val="0"/>
          <w:color w:val="404040" w:themeColor="text1" w:themeTint="BF"/>
          <w:sz w:val="20"/>
          <w:szCs w:val="20"/>
        </w:rPr>
        <w:t>.</w:t>
      </w:r>
    </w:p>
    <w:p w14:paraId="37C64F46" w14:textId="77777777" w:rsidR="0066480E" w:rsidRPr="00FB38E1" w:rsidRDefault="0066480E" w:rsidP="0066480E">
      <w:pPr>
        <w:pStyle w:val="BASLIK2"/>
        <w:widowControl/>
        <w:numPr>
          <w:ilvl w:val="0"/>
          <w:numId w:val="17"/>
        </w:numPr>
        <w:spacing w:line="240" w:lineRule="exact"/>
        <w:ind w:left="0" w:hanging="502"/>
        <w:rPr>
          <w:rFonts w:ascii="Microsoft Sans Serif" w:hAnsi="Microsoft Sans Serif" w:cs="Microsoft Sans Serif"/>
          <w:bCs w:val="0"/>
          <w:iCs/>
          <w:sz w:val="20"/>
          <w:szCs w:val="20"/>
        </w:rPr>
      </w:pPr>
      <w:r w:rsidRPr="00FB38E1">
        <w:rPr>
          <w:rFonts w:ascii="Microsoft Sans Serif" w:hAnsi="Microsoft Sans Serif" w:cs="Microsoft Sans Serif"/>
          <w:noProof/>
          <w:snapToGrid w:val="0"/>
          <w:sz w:val="20"/>
          <w:szCs w:val="20"/>
        </w:rPr>
        <w:t>Maddi duran varlıklara ilişkin bilgiler</w:t>
      </w:r>
    </w:p>
    <w:tbl>
      <w:tblPr>
        <w:tblStyle w:val="TableGrid"/>
        <w:tblW w:w="9649" w:type="dxa"/>
        <w:tblInd w:w="4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85"/>
        <w:gridCol w:w="1241"/>
        <w:gridCol w:w="1237"/>
        <w:gridCol w:w="1237"/>
        <w:gridCol w:w="1237"/>
        <w:gridCol w:w="1112"/>
      </w:tblGrid>
      <w:tr w:rsidR="0066480E" w:rsidRPr="00FB38E1" w14:paraId="42AB0DDD" w14:textId="77777777" w:rsidTr="00836EF2">
        <w:tc>
          <w:tcPr>
            <w:tcW w:w="1858" w:type="pct"/>
            <w:tcBorders>
              <w:top w:val="thinThickSmallGap" w:sz="24" w:space="0" w:color="auto"/>
              <w:bottom w:val="single" w:sz="4" w:space="0" w:color="auto"/>
            </w:tcBorders>
            <w:vAlign w:val="bottom"/>
          </w:tcPr>
          <w:p w14:paraId="4DDC04E0" w14:textId="77777777" w:rsidR="0066480E" w:rsidRPr="00FB38E1" w:rsidRDefault="0066480E" w:rsidP="00836EF2">
            <w:pPr>
              <w:jc w:val="left"/>
              <w:rPr>
                <w:rFonts w:ascii="Microsoft Sans Serif" w:hAnsi="Microsoft Sans Serif" w:cs="Microsoft Sans Serif"/>
                <w:b/>
                <w:color w:val="000000"/>
                <w:sz w:val="16"/>
                <w:szCs w:val="16"/>
              </w:rPr>
            </w:pPr>
            <w:bookmarkStart w:id="58" w:name="_Hlk125400045"/>
          </w:p>
        </w:tc>
        <w:tc>
          <w:tcPr>
            <w:tcW w:w="643" w:type="pct"/>
            <w:tcBorders>
              <w:top w:val="thinThickSmallGap" w:sz="24" w:space="0" w:color="auto"/>
              <w:bottom w:val="single" w:sz="4" w:space="0" w:color="auto"/>
            </w:tcBorders>
            <w:vAlign w:val="bottom"/>
          </w:tcPr>
          <w:p w14:paraId="0CB3D40E" w14:textId="77777777" w:rsidR="0066480E" w:rsidRPr="00FB38E1" w:rsidRDefault="0066480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G.Menkul</w:t>
            </w:r>
          </w:p>
        </w:tc>
        <w:tc>
          <w:tcPr>
            <w:tcW w:w="641" w:type="pct"/>
            <w:tcBorders>
              <w:top w:val="thinThickSmallGap" w:sz="24" w:space="0" w:color="auto"/>
              <w:bottom w:val="single" w:sz="4" w:space="0" w:color="auto"/>
            </w:tcBorders>
            <w:vAlign w:val="bottom"/>
          </w:tcPr>
          <w:p w14:paraId="69DAC5EB" w14:textId="77777777" w:rsidR="0066480E" w:rsidRPr="00FB38E1" w:rsidRDefault="0066480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Araçlar</w:t>
            </w:r>
          </w:p>
        </w:tc>
        <w:tc>
          <w:tcPr>
            <w:tcW w:w="641" w:type="pct"/>
            <w:tcBorders>
              <w:top w:val="thinThickSmallGap" w:sz="24" w:space="0" w:color="auto"/>
              <w:bottom w:val="single" w:sz="4" w:space="0" w:color="auto"/>
            </w:tcBorders>
            <w:vAlign w:val="bottom"/>
          </w:tcPr>
          <w:p w14:paraId="08E7C85A" w14:textId="77777777" w:rsidR="0066480E" w:rsidRPr="00FB38E1" w:rsidRDefault="0066480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Kullanım Hakkı Olan Varlıklar</w:t>
            </w:r>
          </w:p>
        </w:tc>
        <w:tc>
          <w:tcPr>
            <w:tcW w:w="641" w:type="pct"/>
            <w:tcBorders>
              <w:top w:val="thinThickSmallGap" w:sz="24" w:space="0" w:color="auto"/>
              <w:bottom w:val="single" w:sz="4" w:space="0" w:color="auto"/>
            </w:tcBorders>
            <w:vAlign w:val="bottom"/>
          </w:tcPr>
          <w:p w14:paraId="3EFDE176" w14:textId="77777777" w:rsidR="0066480E" w:rsidRPr="00FB38E1" w:rsidRDefault="0066480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Diğer</w:t>
            </w:r>
          </w:p>
        </w:tc>
        <w:tc>
          <w:tcPr>
            <w:tcW w:w="576" w:type="pct"/>
            <w:tcBorders>
              <w:top w:val="thinThickSmallGap" w:sz="24" w:space="0" w:color="auto"/>
              <w:bottom w:val="single" w:sz="4" w:space="0" w:color="auto"/>
            </w:tcBorders>
            <w:vAlign w:val="bottom"/>
          </w:tcPr>
          <w:p w14:paraId="2CBF519F" w14:textId="77777777" w:rsidR="0066480E" w:rsidRPr="00FB38E1" w:rsidRDefault="0066480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8C640E" w:rsidRPr="00FB38E1" w14:paraId="3DC60D1D" w14:textId="77777777" w:rsidTr="00836EF2">
        <w:tc>
          <w:tcPr>
            <w:tcW w:w="1858" w:type="pct"/>
            <w:tcBorders>
              <w:top w:val="single" w:sz="4" w:space="0" w:color="auto"/>
              <w:bottom w:val="nil"/>
            </w:tcBorders>
            <w:vAlign w:val="bottom"/>
          </w:tcPr>
          <w:p w14:paraId="373FAD9A" w14:textId="77777777" w:rsidR="008C640E" w:rsidRPr="00FB38E1" w:rsidRDefault="008C640E" w:rsidP="008C640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 Sonu Maliyet</w:t>
            </w:r>
          </w:p>
        </w:tc>
        <w:tc>
          <w:tcPr>
            <w:tcW w:w="643" w:type="pct"/>
            <w:tcBorders>
              <w:top w:val="nil"/>
              <w:left w:val="nil"/>
              <w:bottom w:val="nil"/>
              <w:right w:val="nil"/>
            </w:tcBorders>
            <w:shd w:val="clear" w:color="auto" w:fill="auto"/>
            <w:vAlign w:val="center"/>
          </w:tcPr>
          <w:p w14:paraId="20F3D061" w14:textId="0F90247B"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404040"/>
                <w:sz w:val="16"/>
                <w:szCs w:val="16"/>
              </w:rPr>
              <w:t>508.166</w:t>
            </w:r>
          </w:p>
        </w:tc>
        <w:tc>
          <w:tcPr>
            <w:tcW w:w="641" w:type="pct"/>
            <w:tcBorders>
              <w:top w:val="nil"/>
              <w:left w:val="nil"/>
              <w:bottom w:val="nil"/>
              <w:right w:val="nil"/>
            </w:tcBorders>
            <w:vAlign w:val="center"/>
          </w:tcPr>
          <w:p w14:paraId="448DCE23" w14:textId="12991B4B"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404040"/>
                <w:sz w:val="16"/>
                <w:szCs w:val="16"/>
              </w:rPr>
              <w:t>3.744</w:t>
            </w:r>
          </w:p>
        </w:tc>
        <w:tc>
          <w:tcPr>
            <w:tcW w:w="641" w:type="pct"/>
            <w:tcBorders>
              <w:top w:val="nil"/>
              <w:left w:val="nil"/>
              <w:bottom w:val="nil"/>
              <w:right w:val="nil"/>
            </w:tcBorders>
            <w:shd w:val="clear" w:color="auto" w:fill="auto"/>
            <w:vAlign w:val="center"/>
          </w:tcPr>
          <w:p w14:paraId="0F29F7B3" w14:textId="4BED07DB"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404040"/>
                <w:sz w:val="16"/>
                <w:szCs w:val="16"/>
              </w:rPr>
              <w:t>1.905.540</w:t>
            </w:r>
          </w:p>
        </w:tc>
        <w:tc>
          <w:tcPr>
            <w:tcW w:w="641" w:type="pct"/>
            <w:tcBorders>
              <w:top w:val="single" w:sz="4" w:space="0" w:color="auto"/>
              <w:bottom w:val="nil"/>
            </w:tcBorders>
            <w:vAlign w:val="center"/>
          </w:tcPr>
          <w:p w14:paraId="58103F7B" w14:textId="18B09DD4"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404040"/>
                <w:sz w:val="16"/>
                <w:szCs w:val="16"/>
              </w:rPr>
              <w:t>2.485.818</w:t>
            </w:r>
          </w:p>
        </w:tc>
        <w:tc>
          <w:tcPr>
            <w:tcW w:w="576" w:type="pct"/>
            <w:tcBorders>
              <w:top w:val="single" w:sz="4" w:space="0" w:color="auto"/>
              <w:bottom w:val="nil"/>
            </w:tcBorders>
            <w:vAlign w:val="center"/>
          </w:tcPr>
          <w:p w14:paraId="02602708" w14:textId="016025C6"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404040"/>
                <w:sz w:val="16"/>
                <w:szCs w:val="16"/>
              </w:rPr>
              <w:t>4.903.268</w:t>
            </w:r>
          </w:p>
        </w:tc>
      </w:tr>
      <w:tr w:rsidR="008C640E" w:rsidRPr="00FB38E1" w14:paraId="6CDF3F67" w14:textId="77777777" w:rsidTr="00836EF2">
        <w:tc>
          <w:tcPr>
            <w:tcW w:w="1858" w:type="pct"/>
            <w:tcBorders>
              <w:top w:val="nil"/>
            </w:tcBorders>
            <w:tcMar>
              <w:left w:w="170" w:type="dxa"/>
            </w:tcMar>
            <w:vAlign w:val="bottom"/>
          </w:tcPr>
          <w:p w14:paraId="71F1D5A5" w14:textId="77777777" w:rsidR="008C640E" w:rsidRPr="00FB38E1" w:rsidRDefault="008C640E" w:rsidP="008C640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Transferler</w:t>
            </w:r>
          </w:p>
        </w:tc>
        <w:tc>
          <w:tcPr>
            <w:tcW w:w="643" w:type="pct"/>
            <w:tcBorders>
              <w:top w:val="nil"/>
              <w:left w:val="nil"/>
              <w:bottom w:val="nil"/>
              <w:right w:val="nil"/>
            </w:tcBorders>
            <w:shd w:val="clear" w:color="auto" w:fill="auto"/>
            <w:vAlign w:val="center"/>
          </w:tcPr>
          <w:p w14:paraId="659E100D" w14:textId="6BC295F9"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1" w:type="pct"/>
            <w:tcBorders>
              <w:top w:val="nil"/>
              <w:left w:val="nil"/>
              <w:bottom w:val="nil"/>
              <w:right w:val="nil"/>
            </w:tcBorders>
            <w:vAlign w:val="center"/>
          </w:tcPr>
          <w:p w14:paraId="7BDABF53" w14:textId="61016A24"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1" w:type="pct"/>
            <w:tcBorders>
              <w:top w:val="nil"/>
              <w:left w:val="nil"/>
              <w:bottom w:val="nil"/>
              <w:right w:val="nil"/>
            </w:tcBorders>
            <w:shd w:val="clear" w:color="auto" w:fill="auto"/>
            <w:vAlign w:val="center"/>
          </w:tcPr>
          <w:p w14:paraId="11EAD5FB" w14:textId="72AD5A2B"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1" w:type="pct"/>
            <w:tcBorders>
              <w:top w:val="nil"/>
            </w:tcBorders>
            <w:vAlign w:val="center"/>
          </w:tcPr>
          <w:p w14:paraId="791FB75A" w14:textId="7D769F81"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w:t>
            </w:r>
          </w:p>
        </w:tc>
        <w:tc>
          <w:tcPr>
            <w:tcW w:w="576" w:type="pct"/>
            <w:tcBorders>
              <w:top w:val="nil"/>
            </w:tcBorders>
            <w:vAlign w:val="center"/>
          </w:tcPr>
          <w:p w14:paraId="50C9E83D" w14:textId="796510BF"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8C640E" w:rsidRPr="00FB38E1" w14:paraId="67230A48" w14:textId="77777777" w:rsidTr="00836EF2">
        <w:tc>
          <w:tcPr>
            <w:tcW w:w="1858" w:type="pct"/>
            <w:tcBorders>
              <w:top w:val="nil"/>
            </w:tcBorders>
            <w:tcMar>
              <w:left w:w="170" w:type="dxa"/>
            </w:tcMar>
            <w:vAlign w:val="bottom"/>
          </w:tcPr>
          <w:p w14:paraId="4B904B0D" w14:textId="77777777" w:rsidR="008C640E" w:rsidRPr="00FB38E1" w:rsidRDefault="008C640E" w:rsidP="008C640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İktisap edilenler</w:t>
            </w:r>
          </w:p>
        </w:tc>
        <w:tc>
          <w:tcPr>
            <w:tcW w:w="643" w:type="pct"/>
            <w:tcBorders>
              <w:top w:val="nil"/>
              <w:left w:val="nil"/>
              <w:bottom w:val="nil"/>
              <w:right w:val="nil"/>
            </w:tcBorders>
            <w:shd w:val="clear" w:color="auto" w:fill="auto"/>
            <w:vAlign w:val="center"/>
          </w:tcPr>
          <w:p w14:paraId="799C1CA4" w14:textId="034AEE16"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14.416.025</w:t>
            </w:r>
          </w:p>
        </w:tc>
        <w:tc>
          <w:tcPr>
            <w:tcW w:w="641" w:type="pct"/>
            <w:tcBorders>
              <w:top w:val="nil"/>
              <w:left w:val="nil"/>
              <w:bottom w:val="nil"/>
              <w:right w:val="nil"/>
            </w:tcBorders>
            <w:vAlign w:val="center"/>
          </w:tcPr>
          <w:p w14:paraId="7503C77F" w14:textId="4B3ED827"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22.044</w:t>
            </w:r>
          </w:p>
        </w:tc>
        <w:tc>
          <w:tcPr>
            <w:tcW w:w="641" w:type="pct"/>
            <w:tcBorders>
              <w:top w:val="nil"/>
              <w:left w:val="nil"/>
              <w:bottom w:val="nil"/>
              <w:right w:val="nil"/>
            </w:tcBorders>
            <w:shd w:val="clear" w:color="auto" w:fill="auto"/>
            <w:vAlign w:val="center"/>
          </w:tcPr>
          <w:p w14:paraId="2D094029" w14:textId="5A5551EA"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1.367.486</w:t>
            </w:r>
          </w:p>
        </w:tc>
        <w:tc>
          <w:tcPr>
            <w:tcW w:w="641" w:type="pct"/>
            <w:tcBorders>
              <w:top w:val="nil"/>
            </w:tcBorders>
            <w:vAlign w:val="center"/>
          </w:tcPr>
          <w:p w14:paraId="56EF2375" w14:textId="70DBB459"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color w:val="404040"/>
                <w:sz w:val="16"/>
                <w:szCs w:val="16"/>
              </w:rPr>
              <w:t>1.442.366</w:t>
            </w:r>
          </w:p>
        </w:tc>
        <w:tc>
          <w:tcPr>
            <w:tcW w:w="576" w:type="pct"/>
            <w:tcBorders>
              <w:top w:val="nil"/>
            </w:tcBorders>
            <w:vAlign w:val="center"/>
          </w:tcPr>
          <w:p w14:paraId="2F30330B" w14:textId="75209673"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17.247.921</w:t>
            </w:r>
          </w:p>
        </w:tc>
      </w:tr>
      <w:tr w:rsidR="008C640E" w:rsidRPr="00FB38E1" w14:paraId="3B06232F" w14:textId="77777777" w:rsidTr="00836EF2">
        <w:trPr>
          <w:trHeight w:val="57"/>
        </w:trPr>
        <w:tc>
          <w:tcPr>
            <w:tcW w:w="1858" w:type="pct"/>
            <w:tcBorders>
              <w:top w:val="nil"/>
            </w:tcBorders>
            <w:tcMar>
              <w:left w:w="170" w:type="dxa"/>
            </w:tcMar>
            <w:vAlign w:val="bottom"/>
          </w:tcPr>
          <w:p w14:paraId="464E4B77" w14:textId="77777777" w:rsidR="008C640E" w:rsidRPr="00FB38E1" w:rsidRDefault="008C640E" w:rsidP="008C640E">
            <w:pPr>
              <w:ind w:left="2"/>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Yeniden değerleme farkları</w:t>
            </w:r>
          </w:p>
        </w:tc>
        <w:tc>
          <w:tcPr>
            <w:tcW w:w="643" w:type="pct"/>
            <w:tcBorders>
              <w:top w:val="nil"/>
              <w:left w:val="nil"/>
              <w:bottom w:val="nil"/>
              <w:right w:val="nil"/>
            </w:tcBorders>
            <w:shd w:val="clear" w:color="auto" w:fill="auto"/>
            <w:vAlign w:val="center"/>
          </w:tcPr>
          <w:p w14:paraId="44B1EFDE" w14:textId="604F4EFF" w:rsidR="008C640E" w:rsidRPr="00FB38E1" w:rsidRDefault="008C640E" w:rsidP="008C640E">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404040"/>
                <w:sz w:val="16"/>
                <w:szCs w:val="16"/>
              </w:rPr>
              <w:t>365.406</w:t>
            </w:r>
          </w:p>
        </w:tc>
        <w:tc>
          <w:tcPr>
            <w:tcW w:w="641" w:type="pct"/>
            <w:tcBorders>
              <w:top w:val="nil"/>
              <w:left w:val="nil"/>
              <w:bottom w:val="nil"/>
              <w:right w:val="nil"/>
            </w:tcBorders>
            <w:vAlign w:val="center"/>
          </w:tcPr>
          <w:p w14:paraId="794BF71B" w14:textId="70AF07EB" w:rsidR="008C640E" w:rsidRPr="00FB38E1" w:rsidRDefault="008C640E" w:rsidP="008C640E">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404040"/>
                <w:sz w:val="16"/>
                <w:szCs w:val="16"/>
              </w:rPr>
              <w:t>--</w:t>
            </w:r>
          </w:p>
        </w:tc>
        <w:tc>
          <w:tcPr>
            <w:tcW w:w="641" w:type="pct"/>
            <w:tcBorders>
              <w:top w:val="nil"/>
              <w:left w:val="nil"/>
              <w:bottom w:val="nil"/>
              <w:right w:val="nil"/>
            </w:tcBorders>
            <w:shd w:val="clear" w:color="auto" w:fill="auto"/>
            <w:vAlign w:val="center"/>
          </w:tcPr>
          <w:p w14:paraId="7253B061" w14:textId="0AA83E59" w:rsidR="008C640E" w:rsidRPr="00FB38E1" w:rsidRDefault="008C640E" w:rsidP="008C640E">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404040"/>
                <w:sz w:val="16"/>
                <w:szCs w:val="16"/>
              </w:rPr>
              <w:t>--</w:t>
            </w:r>
          </w:p>
        </w:tc>
        <w:tc>
          <w:tcPr>
            <w:tcW w:w="641" w:type="pct"/>
            <w:tcBorders>
              <w:top w:val="nil"/>
            </w:tcBorders>
            <w:vAlign w:val="center"/>
          </w:tcPr>
          <w:p w14:paraId="0FA276E5" w14:textId="271DA6A4"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w:t>
            </w:r>
          </w:p>
        </w:tc>
        <w:tc>
          <w:tcPr>
            <w:tcW w:w="576" w:type="pct"/>
            <w:tcBorders>
              <w:top w:val="nil"/>
            </w:tcBorders>
            <w:vAlign w:val="center"/>
          </w:tcPr>
          <w:p w14:paraId="66B7FA31" w14:textId="75B97794" w:rsidR="008C640E" w:rsidRPr="00FB38E1" w:rsidRDefault="008C640E" w:rsidP="008C640E">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404040"/>
                <w:sz w:val="16"/>
                <w:szCs w:val="16"/>
              </w:rPr>
              <w:t>365.406</w:t>
            </w:r>
          </w:p>
        </w:tc>
      </w:tr>
      <w:tr w:rsidR="008C640E" w:rsidRPr="00FB38E1" w14:paraId="2097253A" w14:textId="77777777" w:rsidTr="00836EF2">
        <w:trPr>
          <w:trHeight w:val="57"/>
        </w:trPr>
        <w:tc>
          <w:tcPr>
            <w:tcW w:w="1858" w:type="pct"/>
            <w:tcBorders>
              <w:top w:val="nil"/>
            </w:tcBorders>
            <w:tcMar>
              <w:left w:w="170" w:type="dxa"/>
              <w:right w:w="57" w:type="dxa"/>
            </w:tcMar>
            <w:vAlign w:val="bottom"/>
          </w:tcPr>
          <w:p w14:paraId="7580A5CD" w14:textId="77777777" w:rsidR="008C640E" w:rsidRPr="00FB38E1" w:rsidRDefault="008C640E" w:rsidP="008C640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Elden çıkarılanlar</w:t>
            </w:r>
          </w:p>
        </w:tc>
        <w:tc>
          <w:tcPr>
            <w:tcW w:w="643" w:type="pct"/>
            <w:tcBorders>
              <w:top w:val="nil"/>
              <w:left w:val="nil"/>
              <w:bottom w:val="nil"/>
              <w:right w:val="nil"/>
            </w:tcBorders>
            <w:shd w:val="clear" w:color="auto" w:fill="auto"/>
            <w:vAlign w:val="center"/>
          </w:tcPr>
          <w:p w14:paraId="6365A09B" w14:textId="5573F494" w:rsidR="008C640E" w:rsidRPr="00FB38E1" w:rsidRDefault="008C640E" w:rsidP="008C640E">
            <w:pPr>
              <w:jc w:val="right"/>
              <w:rPr>
                <w:rFonts w:ascii="Microsoft Sans Serif" w:hAnsi="Microsoft Sans Serif" w:cs="Microsoft Sans Serif"/>
                <w:b/>
                <w:color w:val="000000"/>
                <w:sz w:val="16"/>
                <w:szCs w:val="16"/>
              </w:rPr>
            </w:pPr>
            <w:r w:rsidRPr="00FB38E1">
              <w:rPr>
                <w:rFonts w:ascii="Microsoft Sans Serif" w:hAnsi="Microsoft Sans Serif" w:cs="Microsoft Sans Serif"/>
                <w:color w:val="404040"/>
                <w:sz w:val="16"/>
                <w:szCs w:val="16"/>
              </w:rPr>
              <w:t>--</w:t>
            </w:r>
          </w:p>
        </w:tc>
        <w:tc>
          <w:tcPr>
            <w:tcW w:w="641" w:type="pct"/>
            <w:tcBorders>
              <w:top w:val="nil"/>
              <w:left w:val="nil"/>
              <w:bottom w:val="nil"/>
              <w:right w:val="nil"/>
            </w:tcBorders>
            <w:vAlign w:val="center"/>
          </w:tcPr>
          <w:p w14:paraId="4CCF5351" w14:textId="6BED6A42" w:rsidR="008C640E" w:rsidRPr="00FB38E1" w:rsidRDefault="008C640E" w:rsidP="008C640E">
            <w:pPr>
              <w:jc w:val="right"/>
              <w:rPr>
                <w:b/>
                <w:sz w:val="16"/>
                <w:szCs w:val="16"/>
              </w:rPr>
            </w:pPr>
            <w:r w:rsidRPr="00FB38E1">
              <w:rPr>
                <w:rFonts w:ascii="Microsoft Sans Serif" w:hAnsi="Microsoft Sans Serif" w:cs="Microsoft Sans Serif"/>
                <w:color w:val="404040"/>
                <w:sz w:val="16"/>
                <w:szCs w:val="16"/>
              </w:rPr>
              <w:t>(600)</w:t>
            </w:r>
          </w:p>
        </w:tc>
        <w:tc>
          <w:tcPr>
            <w:tcW w:w="641" w:type="pct"/>
            <w:tcBorders>
              <w:top w:val="nil"/>
              <w:left w:val="nil"/>
              <w:bottom w:val="nil"/>
              <w:right w:val="nil"/>
            </w:tcBorders>
            <w:shd w:val="clear" w:color="auto" w:fill="auto"/>
            <w:vAlign w:val="center"/>
          </w:tcPr>
          <w:p w14:paraId="48BC31AD" w14:textId="71CFF113" w:rsidR="008C640E" w:rsidRPr="00FB38E1" w:rsidRDefault="008C640E" w:rsidP="008C640E">
            <w:pPr>
              <w:jc w:val="right"/>
              <w:rPr>
                <w:b/>
                <w:sz w:val="16"/>
                <w:szCs w:val="16"/>
              </w:rPr>
            </w:pPr>
            <w:r w:rsidRPr="00FB38E1">
              <w:rPr>
                <w:rFonts w:ascii="Microsoft Sans Serif" w:hAnsi="Microsoft Sans Serif" w:cs="Microsoft Sans Serif"/>
                <w:color w:val="404040"/>
                <w:sz w:val="16"/>
                <w:szCs w:val="16"/>
              </w:rPr>
              <w:t>(917.359)</w:t>
            </w:r>
          </w:p>
        </w:tc>
        <w:tc>
          <w:tcPr>
            <w:tcW w:w="641" w:type="pct"/>
            <w:tcBorders>
              <w:top w:val="nil"/>
            </w:tcBorders>
            <w:vAlign w:val="center"/>
          </w:tcPr>
          <w:p w14:paraId="76CA9F39" w14:textId="78E99AC2" w:rsidR="008C640E" w:rsidRPr="00FB38E1" w:rsidRDefault="008C640E" w:rsidP="008C640E">
            <w:pPr>
              <w:jc w:val="right"/>
              <w:rPr>
                <w:b/>
                <w:sz w:val="16"/>
                <w:szCs w:val="16"/>
              </w:rPr>
            </w:pPr>
            <w:r w:rsidRPr="00FB38E1">
              <w:rPr>
                <w:rFonts w:ascii="Microsoft Sans Serif" w:hAnsi="Microsoft Sans Serif" w:cs="Microsoft Sans Serif"/>
                <w:color w:val="404040"/>
                <w:sz w:val="16"/>
                <w:szCs w:val="16"/>
              </w:rPr>
              <w:t>(232.138)</w:t>
            </w:r>
          </w:p>
        </w:tc>
        <w:tc>
          <w:tcPr>
            <w:tcW w:w="576" w:type="pct"/>
            <w:tcBorders>
              <w:top w:val="nil"/>
            </w:tcBorders>
            <w:vAlign w:val="center"/>
          </w:tcPr>
          <w:p w14:paraId="564B44B1" w14:textId="03C17E57"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(1.150.097)</w:t>
            </w:r>
          </w:p>
        </w:tc>
      </w:tr>
      <w:tr w:rsidR="008C640E" w:rsidRPr="00FB38E1" w14:paraId="5581F2D3" w14:textId="77777777" w:rsidTr="00836EF2">
        <w:tc>
          <w:tcPr>
            <w:tcW w:w="1858" w:type="pct"/>
            <w:tcBorders>
              <w:top w:val="nil"/>
              <w:bottom w:val="nil"/>
            </w:tcBorders>
            <w:tcMar>
              <w:left w:w="170" w:type="dxa"/>
            </w:tcMar>
            <w:vAlign w:val="bottom"/>
          </w:tcPr>
          <w:p w14:paraId="617BDD43" w14:textId="77777777" w:rsidR="008C640E" w:rsidRPr="00FB38E1" w:rsidRDefault="008C640E" w:rsidP="008C640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 farkları</w:t>
            </w:r>
          </w:p>
        </w:tc>
        <w:tc>
          <w:tcPr>
            <w:tcW w:w="643" w:type="pct"/>
            <w:tcBorders>
              <w:top w:val="nil"/>
              <w:left w:val="nil"/>
              <w:bottom w:val="nil"/>
              <w:right w:val="nil"/>
            </w:tcBorders>
            <w:shd w:val="clear" w:color="auto" w:fill="auto"/>
            <w:vAlign w:val="center"/>
          </w:tcPr>
          <w:p w14:paraId="67E44035" w14:textId="13023E78"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1" w:type="pct"/>
            <w:tcBorders>
              <w:top w:val="nil"/>
              <w:left w:val="nil"/>
              <w:bottom w:val="nil"/>
              <w:right w:val="nil"/>
            </w:tcBorders>
            <w:vAlign w:val="center"/>
          </w:tcPr>
          <w:p w14:paraId="3A802E89" w14:textId="5C1C09AA"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218</w:t>
            </w:r>
          </w:p>
        </w:tc>
        <w:tc>
          <w:tcPr>
            <w:tcW w:w="641" w:type="pct"/>
            <w:tcBorders>
              <w:top w:val="nil"/>
              <w:left w:val="nil"/>
              <w:bottom w:val="nil"/>
              <w:right w:val="nil"/>
            </w:tcBorders>
            <w:shd w:val="clear" w:color="auto" w:fill="auto"/>
            <w:vAlign w:val="center"/>
          </w:tcPr>
          <w:p w14:paraId="62860C38" w14:textId="64A81024"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1.289</w:t>
            </w:r>
          </w:p>
        </w:tc>
        <w:tc>
          <w:tcPr>
            <w:tcW w:w="641" w:type="pct"/>
            <w:tcBorders>
              <w:top w:val="nil"/>
              <w:bottom w:val="nil"/>
            </w:tcBorders>
            <w:vAlign w:val="center"/>
          </w:tcPr>
          <w:p w14:paraId="4B8FA100" w14:textId="323EF9BE"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370</w:t>
            </w:r>
          </w:p>
        </w:tc>
        <w:tc>
          <w:tcPr>
            <w:tcW w:w="576" w:type="pct"/>
            <w:tcBorders>
              <w:top w:val="nil"/>
              <w:bottom w:val="nil"/>
            </w:tcBorders>
            <w:vAlign w:val="center"/>
          </w:tcPr>
          <w:p w14:paraId="602062FA" w14:textId="513EF681"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1.877</w:t>
            </w:r>
          </w:p>
        </w:tc>
      </w:tr>
      <w:tr w:rsidR="008C640E" w:rsidRPr="00FB38E1" w14:paraId="5D70E3A0" w14:textId="77777777" w:rsidTr="00836EF2">
        <w:tc>
          <w:tcPr>
            <w:tcW w:w="1858" w:type="pct"/>
            <w:tcBorders>
              <w:top w:val="nil"/>
              <w:bottom w:val="nil"/>
            </w:tcBorders>
            <w:tcMar>
              <w:left w:w="57" w:type="dxa"/>
            </w:tcMar>
            <w:vAlign w:val="bottom"/>
          </w:tcPr>
          <w:p w14:paraId="754D78F8" w14:textId="77777777" w:rsidR="008C640E" w:rsidRPr="00FB38E1" w:rsidRDefault="008C640E" w:rsidP="008C640E">
            <w:pPr>
              <w:rPr>
                <w:rFonts w:ascii="Microsoft Sans Serif" w:hAnsi="Microsoft Sans Serif" w:cs="Microsoft Sans Serif"/>
                <w:b/>
                <w:color w:val="404040"/>
                <w:sz w:val="16"/>
                <w:szCs w:val="16"/>
              </w:rPr>
            </w:pPr>
            <w:r w:rsidRPr="00FB38E1">
              <w:rPr>
                <w:rFonts w:ascii="Microsoft Sans Serif" w:hAnsi="Microsoft Sans Serif" w:cs="Microsoft Sans Serif"/>
                <w:b/>
                <w:sz w:val="16"/>
                <w:szCs w:val="16"/>
              </w:rPr>
              <w:t>Cari Dönem Sonu Maliyet</w:t>
            </w:r>
          </w:p>
        </w:tc>
        <w:tc>
          <w:tcPr>
            <w:tcW w:w="643" w:type="pct"/>
            <w:tcBorders>
              <w:top w:val="nil"/>
              <w:left w:val="nil"/>
              <w:bottom w:val="nil"/>
              <w:right w:val="nil"/>
            </w:tcBorders>
            <w:shd w:val="clear" w:color="auto" w:fill="auto"/>
            <w:vAlign w:val="center"/>
          </w:tcPr>
          <w:p w14:paraId="3826A6A6" w14:textId="0BF90FBB" w:rsidR="008C640E" w:rsidRPr="00FB38E1" w:rsidRDefault="008C640E" w:rsidP="008C640E">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15.289.597</w:t>
            </w:r>
          </w:p>
        </w:tc>
        <w:tc>
          <w:tcPr>
            <w:tcW w:w="641" w:type="pct"/>
            <w:tcBorders>
              <w:top w:val="nil"/>
              <w:left w:val="nil"/>
              <w:bottom w:val="nil"/>
              <w:right w:val="nil"/>
            </w:tcBorders>
            <w:vAlign w:val="center"/>
          </w:tcPr>
          <w:p w14:paraId="3DD3FF27" w14:textId="7D117D66" w:rsidR="008C640E" w:rsidRPr="00FB38E1" w:rsidRDefault="008C640E" w:rsidP="008C640E">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25.406</w:t>
            </w:r>
          </w:p>
        </w:tc>
        <w:tc>
          <w:tcPr>
            <w:tcW w:w="641" w:type="pct"/>
            <w:tcBorders>
              <w:top w:val="nil"/>
              <w:left w:val="nil"/>
              <w:bottom w:val="nil"/>
              <w:right w:val="nil"/>
            </w:tcBorders>
            <w:shd w:val="clear" w:color="auto" w:fill="auto"/>
            <w:vAlign w:val="center"/>
          </w:tcPr>
          <w:p w14:paraId="08F054A3" w14:textId="045FF4F0" w:rsidR="008C640E" w:rsidRPr="00FB38E1" w:rsidRDefault="008C640E" w:rsidP="008C640E">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2.356.956</w:t>
            </w:r>
          </w:p>
        </w:tc>
        <w:tc>
          <w:tcPr>
            <w:tcW w:w="641" w:type="pct"/>
            <w:tcBorders>
              <w:top w:val="nil"/>
              <w:bottom w:val="nil"/>
            </w:tcBorders>
            <w:vAlign w:val="center"/>
          </w:tcPr>
          <w:p w14:paraId="06EBA00D" w14:textId="06514F88" w:rsidR="008C640E" w:rsidRPr="00FB38E1" w:rsidRDefault="008C640E" w:rsidP="008C640E">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3.696.416</w:t>
            </w:r>
          </w:p>
        </w:tc>
        <w:tc>
          <w:tcPr>
            <w:tcW w:w="576" w:type="pct"/>
            <w:tcBorders>
              <w:top w:val="nil"/>
              <w:bottom w:val="nil"/>
            </w:tcBorders>
            <w:vAlign w:val="center"/>
          </w:tcPr>
          <w:p w14:paraId="1867B3FE" w14:textId="4B9A4EB0" w:rsidR="008C640E" w:rsidRPr="00FB38E1" w:rsidRDefault="008C640E" w:rsidP="008C640E">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21.368.375</w:t>
            </w:r>
          </w:p>
        </w:tc>
      </w:tr>
      <w:tr w:rsidR="0066480E" w:rsidRPr="00FB38E1" w14:paraId="6A4ECFD7" w14:textId="77777777" w:rsidTr="00836EF2">
        <w:tc>
          <w:tcPr>
            <w:tcW w:w="1858" w:type="pct"/>
            <w:tcBorders>
              <w:top w:val="nil"/>
              <w:bottom w:val="single" w:sz="4" w:space="0" w:color="auto"/>
            </w:tcBorders>
            <w:tcMar>
              <w:left w:w="57" w:type="dxa"/>
            </w:tcMar>
            <w:vAlign w:val="bottom"/>
          </w:tcPr>
          <w:p w14:paraId="4ED94E7C" w14:textId="77777777" w:rsidR="0066480E" w:rsidRPr="00FB38E1" w:rsidRDefault="0066480E" w:rsidP="00836EF2">
            <w:pPr>
              <w:rPr>
                <w:rFonts w:ascii="Microsoft Sans Serif" w:hAnsi="Microsoft Sans Serif" w:cs="Microsoft Sans Serif"/>
                <w:b/>
                <w:sz w:val="8"/>
                <w:szCs w:val="8"/>
              </w:rPr>
            </w:pPr>
          </w:p>
        </w:tc>
        <w:tc>
          <w:tcPr>
            <w:tcW w:w="643" w:type="pct"/>
            <w:tcBorders>
              <w:top w:val="nil"/>
              <w:left w:val="nil"/>
              <w:bottom w:val="single" w:sz="4" w:space="0" w:color="auto"/>
              <w:right w:val="nil"/>
            </w:tcBorders>
            <w:shd w:val="clear" w:color="auto" w:fill="auto"/>
            <w:vAlign w:val="center"/>
          </w:tcPr>
          <w:p w14:paraId="01A4D154" w14:textId="77777777" w:rsidR="0066480E" w:rsidRPr="00FB38E1" w:rsidRDefault="0066480E" w:rsidP="00836EF2">
            <w:pPr>
              <w:jc w:val="right"/>
              <w:rPr>
                <w:rFonts w:ascii="Microsoft Sans Serif" w:hAnsi="Microsoft Sans Serif" w:cs="Microsoft Sans Serif"/>
                <w:b/>
                <w:bCs/>
                <w:color w:val="404040"/>
                <w:sz w:val="8"/>
                <w:szCs w:val="8"/>
              </w:rPr>
            </w:pPr>
          </w:p>
        </w:tc>
        <w:tc>
          <w:tcPr>
            <w:tcW w:w="641" w:type="pct"/>
            <w:tcBorders>
              <w:top w:val="nil"/>
              <w:left w:val="nil"/>
              <w:bottom w:val="single" w:sz="4" w:space="0" w:color="auto"/>
              <w:right w:val="nil"/>
            </w:tcBorders>
            <w:vAlign w:val="center"/>
          </w:tcPr>
          <w:p w14:paraId="2AFF34AC" w14:textId="77777777" w:rsidR="0066480E" w:rsidRPr="00FB38E1" w:rsidRDefault="0066480E" w:rsidP="00836EF2">
            <w:pPr>
              <w:jc w:val="right"/>
              <w:rPr>
                <w:rFonts w:ascii="Microsoft Sans Serif" w:hAnsi="Microsoft Sans Serif" w:cs="Microsoft Sans Serif"/>
                <w:b/>
                <w:bCs/>
                <w:color w:val="404040"/>
                <w:sz w:val="8"/>
                <w:szCs w:val="8"/>
              </w:rPr>
            </w:pPr>
          </w:p>
        </w:tc>
        <w:tc>
          <w:tcPr>
            <w:tcW w:w="641" w:type="pct"/>
            <w:tcBorders>
              <w:top w:val="nil"/>
              <w:left w:val="nil"/>
              <w:bottom w:val="single" w:sz="4" w:space="0" w:color="auto"/>
              <w:right w:val="nil"/>
            </w:tcBorders>
            <w:shd w:val="clear" w:color="auto" w:fill="auto"/>
            <w:vAlign w:val="center"/>
          </w:tcPr>
          <w:p w14:paraId="1B9463F5" w14:textId="77777777" w:rsidR="0066480E" w:rsidRPr="00FB38E1" w:rsidRDefault="0066480E" w:rsidP="00836EF2">
            <w:pPr>
              <w:jc w:val="right"/>
              <w:rPr>
                <w:rFonts w:ascii="Microsoft Sans Serif" w:hAnsi="Microsoft Sans Serif" w:cs="Microsoft Sans Serif"/>
                <w:b/>
                <w:bCs/>
                <w:color w:val="404040"/>
                <w:sz w:val="8"/>
                <w:szCs w:val="8"/>
              </w:rPr>
            </w:pPr>
          </w:p>
        </w:tc>
        <w:tc>
          <w:tcPr>
            <w:tcW w:w="641" w:type="pct"/>
            <w:tcBorders>
              <w:top w:val="nil"/>
              <w:bottom w:val="single" w:sz="4" w:space="0" w:color="auto"/>
            </w:tcBorders>
            <w:vAlign w:val="center"/>
          </w:tcPr>
          <w:p w14:paraId="26CB7932" w14:textId="77777777" w:rsidR="0066480E" w:rsidRPr="00FB38E1" w:rsidRDefault="0066480E" w:rsidP="00836EF2">
            <w:pPr>
              <w:jc w:val="right"/>
              <w:rPr>
                <w:rFonts w:ascii="Microsoft Sans Serif" w:hAnsi="Microsoft Sans Serif" w:cs="Microsoft Sans Serif"/>
                <w:b/>
                <w:bCs/>
                <w:color w:val="404040"/>
                <w:sz w:val="8"/>
                <w:szCs w:val="8"/>
              </w:rPr>
            </w:pPr>
          </w:p>
        </w:tc>
        <w:tc>
          <w:tcPr>
            <w:tcW w:w="576" w:type="pct"/>
            <w:tcBorders>
              <w:top w:val="nil"/>
              <w:bottom w:val="single" w:sz="4" w:space="0" w:color="auto"/>
            </w:tcBorders>
            <w:vAlign w:val="center"/>
          </w:tcPr>
          <w:p w14:paraId="66F5446C" w14:textId="77777777" w:rsidR="0066480E" w:rsidRPr="00FB38E1" w:rsidRDefault="0066480E" w:rsidP="00836EF2">
            <w:pPr>
              <w:jc w:val="right"/>
              <w:rPr>
                <w:rFonts w:ascii="Microsoft Sans Serif" w:hAnsi="Microsoft Sans Serif" w:cs="Microsoft Sans Serif"/>
                <w:b/>
                <w:bCs/>
                <w:color w:val="404040"/>
                <w:sz w:val="8"/>
                <w:szCs w:val="8"/>
              </w:rPr>
            </w:pPr>
          </w:p>
        </w:tc>
      </w:tr>
      <w:tr w:rsidR="008C640E" w:rsidRPr="00FB38E1" w14:paraId="6F2BB97E" w14:textId="77777777" w:rsidTr="00836EF2">
        <w:tc>
          <w:tcPr>
            <w:tcW w:w="1858" w:type="pct"/>
            <w:tcBorders>
              <w:top w:val="single" w:sz="4" w:space="0" w:color="auto"/>
              <w:bottom w:val="nil"/>
            </w:tcBorders>
            <w:tcMar>
              <w:left w:w="57" w:type="dxa"/>
            </w:tcMar>
            <w:vAlign w:val="bottom"/>
          </w:tcPr>
          <w:p w14:paraId="6C886323" w14:textId="77777777" w:rsidR="008C640E" w:rsidRPr="00FB38E1" w:rsidRDefault="008C640E" w:rsidP="008C640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 Sonu Birikmiş Amortisman</w:t>
            </w:r>
          </w:p>
        </w:tc>
        <w:tc>
          <w:tcPr>
            <w:tcW w:w="643" w:type="pct"/>
            <w:tcBorders>
              <w:top w:val="single" w:sz="4" w:space="0" w:color="auto"/>
              <w:left w:val="nil"/>
              <w:bottom w:val="nil"/>
              <w:right w:val="nil"/>
            </w:tcBorders>
            <w:shd w:val="clear" w:color="auto" w:fill="auto"/>
            <w:vAlign w:val="center"/>
          </w:tcPr>
          <w:p w14:paraId="47503578" w14:textId="320884FB"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(25)</w:t>
            </w:r>
          </w:p>
        </w:tc>
        <w:tc>
          <w:tcPr>
            <w:tcW w:w="641" w:type="pct"/>
            <w:tcBorders>
              <w:top w:val="single" w:sz="4" w:space="0" w:color="auto"/>
              <w:left w:val="nil"/>
              <w:bottom w:val="nil"/>
              <w:right w:val="nil"/>
            </w:tcBorders>
            <w:vAlign w:val="center"/>
          </w:tcPr>
          <w:p w14:paraId="6B200AE4" w14:textId="067E8A62"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(2.696)</w:t>
            </w:r>
          </w:p>
        </w:tc>
        <w:tc>
          <w:tcPr>
            <w:tcW w:w="641" w:type="pct"/>
            <w:tcBorders>
              <w:top w:val="single" w:sz="4" w:space="0" w:color="auto"/>
              <w:left w:val="nil"/>
              <w:bottom w:val="nil"/>
              <w:right w:val="nil"/>
            </w:tcBorders>
            <w:shd w:val="clear" w:color="auto" w:fill="auto"/>
            <w:vAlign w:val="center"/>
          </w:tcPr>
          <w:p w14:paraId="474EC5EA" w14:textId="0124B41B"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(1.189.569)</w:t>
            </w:r>
          </w:p>
        </w:tc>
        <w:tc>
          <w:tcPr>
            <w:tcW w:w="641" w:type="pct"/>
            <w:tcBorders>
              <w:top w:val="single" w:sz="4" w:space="0" w:color="auto"/>
              <w:bottom w:val="nil"/>
            </w:tcBorders>
            <w:vAlign w:val="center"/>
          </w:tcPr>
          <w:p w14:paraId="340B69DD" w14:textId="3453FAB0"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(1.441.198)</w:t>
            </w:r>
          </w:p>
        </w:tc>
        <w:tc>
          <w:tcPr>
            <w:tcW w:w="576" w:type="pct"/>
            <w:tcBorders>
              <w:top w:val="single" w:sz="4" w:space="0" w:color="auto"/>
              <w:bottom w:val="nil"/>
            </w:tcBorders>
            <w:vAlign w:val="center"/>
          </w:tcPr>
          <w:p w14:paraId="34E9248B" w14:textId="67085B76"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(2.633.488)</w:t>
            </w:r>
          </w:p>
        </w:tc>
      </w:tr>
      <w:tr w:rsidR="008C640E" w:rsidRPr="00FB38E1" w14:paraId="57E9AAC6" w14:textId="77777777" w:rsidTr="00836EF2">
        <w:tc>
          <w:tcPr>
            <w:tcW w:w="1858" w:type="pct"/>
            <w:tcBorders>
              <w:top w:val="nil"/>
            </w:tcBorders>
            <w:tcMar>
              <w:left w:w="170" w:type="dxa"/>
            </w:tcMar>
            <w:vAlign w:val="bottom"/>
          </w:tcPr>
          <w:p w14:paraId="7B77FE2C" w14:textId="77777777" w:rsidR="008C640E" w:rsidRPr="00FB38E1" w:rsidRDefault="008C640E" w:rsidP="008C640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Transferler</w:t>
            </w:r>
          </w:p>
        </w:tc>
        <w:tc>
          <w:tcPr>
            <w:tcW w:w="643" w:type="pct"/>
            <w:tcBorders>
              <w:top w:val="nil"/>
              <w:left w:val="nil"/>
              <w:bottom w:val="nil"/>
              <w:right w:val="nil"/>
            </w:tcBorders>
            <w:shd w:val="clear" w:color="auto" w:fill="auto"/>
            <w:vAlign w:val="center"/>
          </w:tcPr>
          <w:p w14:paraId="455ED14D" w14:textId="77891A3F"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1" w:type="pct"/>
            <w:tcBorders>
              <w:top w:val="nil"/>
              <w:left w:val="nil"/>
              <w:bottom w:val="nil"/>
              <w:right w:val="nil"/>
            </w:tcBorders>
            <w:vAlign w:val="center"/>
          </w:tcPr>
          <w:p w14:paraId="61903F6D" w14:textId="3BDB28E2"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1" w:type="pct"/>
            <w:tcBorders>
              <w:top w:val="nil"/>
              <w:left w:val="nil"/>
              <w:bottom w:val="nil"/>
              <w:right w:val="nil"/>
            </w:tcBorders>
            <w:shd w:val="clear" w:color="auto" w:fill="auto"/>
            <w:vAlign w:val="center"/>
          </w:tcPr>
          <w:p w14:paraId="75DE2B3C" w14:textId="0F10252A"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1" w:type="pct"/>
            <w:tcBorders>
              <w:top w:val="nil"/>
            </w:tcBorders>
            <w:vAlign w:val="center"/>
          </w:tcPr>
          <w:p w14:paraId="672D998D" w14:textId="1D8D67CA"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76" w:type="pct"/>
            <w:tcBorders>
              <w:top w:val="nil"/>
            </w:tcBorders>
            <w:vAlign w:val="center"/>
          </w:tcPr>
          <w:p w14:paraId="5B68A0B2" w14:textId="4EC1688A"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8C640E" w:rsidRPr="00FB38E1" w14:paraId="4A7A259B" w14:textId="77777777" w:rsidTr="00836EF2">
        <w:tc>
          <w:tcPr>
            <w:tcW w:w="1858" w:type="pct"/>
            <w:tcBorders>
              <w:top w:val="nil"/>
            </w:tcBorders>
            <w:tcMar>
              <w:left w:w="170" w:type="dxa"/>
            </w:tcMar>
            <w:vAlign w:val="bottom"/>
          </w:tcPr>
          <w:p w14:paraId="3A494D2A" w14:textId="77777777" w:rsidR="008C640E" w:rsidRPr="00FB38E1" w:rsidRDefault="008C640E" w:rsidP="008C640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amortisman gideri</w:t>
            </w:r>
          </w:p>
        </w:tc>
        <w:tc>
          <w:tcPr>
            <w:tcW w:w="643" w:type="pct"/>
            <w:tcBorders>
              <w:top w:val="nil"/>
              <w:left w:val="nil"/>
              <w:bottom w:val="nil"/>
              <w:right w:val="nil"/>
            </w:tcBorders>
            <w:shd w:val="clear" w:color="auto" w:fill="auto"/>
            <w:vAlign w:val="center"/>
          </w:tcPr>
          <w:p w14:paraId="292218EE" w14:textId="2818549D"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(122.442)</w:t>
            </w:r>
          </w:p>
        </w:tc>
        <w:tc>
          <w:tcPr>
            <w:tcW w:w="641" w:type="pct"/>
            <w:tcBorders>
              <w:top w:val="nil"/>
              <w:left w:val="nil"/>
              <w:bottom w:val="nil"/>
              <w:right w:val="nil"/>
            </w:tcBorders>
            <w:vAlign w:val="center"/>
          </w:tcPr>
          <w:p w14:paraId="1C231FAE" w14:textId="783F5403"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(1.652)</w:t>
            </w:r>
          </w:p>
        </w:tc>
        <w:tc>
          <w:tcPr>
            <w:tcW w:w="641" w:type="pct"/>
            <w:tcBorders>
              <w:top w:val="nil"/>
              <w:left w:val="nil"/>
              <w:bottom w:val="nil"/>
              <w:right w:val="nil"/>
            </w:tcBorders>
            <w:shd w:val="clear" w:color="auto" w:fill="auto"/>
            <w:vAlign w:val="center"/>
          </w:tcPr>
          <w:p w14:paraId="0A83190D" w14:textId="451486A1"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(625.954)</w:t>
            </w:r>
          </w:p>
        </w:tc>
        <w:tc>
          <w:tcPr>
            <w:tcW w:w="641" w:type="pct"/>
            <w:tcBorders>
              <w:top w:val="nil"/>
            </w:tcBorders>
            <w:vAlign w:val="center"/>
          </w:tcPr>
          <w:p w14:paraId="6264BC19" w14:textId="54DA373A"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(397.101)</w:t>
            </w:r>
          </w:p>
        </w:tc>
        <w:tc>
          <w:tcPr>
            <w:tcW w:w="576" w:type="pct"/>
            <w:tcBorders>
              <w:top w:val="nil"/>
            </w:tcBorders>
            <w:vAlign w:val="center"/>
          </w:tcPr>
          <w:p w14:paraId="4D90E3A6" w14:textId="68E79C5F"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(1.147.149)</w:t>
            </w:r>
          </w:p>
        </w:tc>
      </w:tr>
      <w:tr w:rsidR="008C640E" w:rsidRPr="00FB38E1" w14:paraId="06A51295" w14:textId="77777777" w:rsidTr="00836EF2">
        <w:tc>
          <w:tcPr>
            <w:tcW w:w="1858" w:type="pct"/>
            <w:tcBorders>
              <w:top w:val="nil"/>
            </w:tcBorders>
            <w:tcMar>
              <w:left w:w="170" w:type="dxa"/>
            </w:tcMar>
            <w:vAlign w:val="bottom"/>
          </w:tcPr>
          <w:p w14:paraId="4B017E07" w14:textId="77777777" w:rsidR="008C640E" w:rsidRPr="00FB38E1" w:rsidRDefault="008C640E" w:rsidP="008C640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Elden çıkarılanlar</w:t>
            </w:r>
          </w:p>
        </w:tc>
        <w:tc>
          <w:tcPr>
            <w:tcW w:w="643" w:type="pct"/>
            <w:tcBorders>
              <w:top w:val="nil"/>
              <w:left w:val="nil"/>
              <w:bottom w:val="nil"/>
              <w:right w:val="nil"/>
            </w:tcBorders>
            <w:shd w:val="clear" w:color="auto" w:fill="auto"/>
            <w:vAlign w:val="center"/>
          </w:tcPr>
          <w:p w14:paraId="134CC0C4" w14:textId="3E7EEBB7"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41" w:type="pct"/>
            <w:tcBorders>
              <w:top w:val="nil"/>
              <w:left w:val="nil"/>
              <w:bottom w:val="nil"/>
              <w:right w:val="nil"/>
            </w:tcBorders>
            <w:vAlign w:val="center"/>
          </w:tcPr>
          <w:p w14:paraId="028BDA1A" w14:textId="0B024675"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600</w:t>
            </w:r>
          </w:p>
        </w:tc>
        <w:tc>
          <w:tcPr>
            <w:tcW w:w="641" w:type="pct"/>
            <w:tcBorders>
              <w:top w:val="nil"/>
              <w:left w:val="nil"/>
              <w:bottom w:val="nil"/>
              <w:right w:val="nil"/>
            </w:tcBorders>
            <w:shd w:val="clear" w:color="auto" w:fill="auto"/>
            <w:vAlign w:val="center"/>
          </w:tcPr>
          <w:p w14:paraId="4A3AC214" w14:textId="01BC8D73"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574.282</w:t>
            </w:r>
          </w:p>
        </w:tc>
        <w:tc>
          <w:tcPr>
            <w:tcW w:w="641" w:type="pct"/>
            <w:tcBorders>
              <w:top w:val="nil"/>
            </w:tcBorders>
            <w:vAlign w:val="center"/>
          </w:tcPr>
          <w:p w14:paraId="4B3460AB" w14:textId="2B129199"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184.988</w:t>
            </w:r>
          </w:p>
        </w:tc>
        <w:tc>
          <w:tcPr>
            <w:tcW w:w="576" w:type="pct"/>
            <w:tcBorders>
              <w:top w:val="nil"/>
            </w:tcBorders>
            <w:vAlign w:val="center"/>
          </w:tcPr>
          <w:p w14:paraId="336D6414" w14:textId="7B7B0E16"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759.870</w:t>
            </w:r>
          </w:p>
        </w:tc>
      </w:tr>
      <w:tr w:rsidR="008C640E" w:rsidRPr="00FB38E1" w14:paraId="733B16D7" w14:textId="77777777" w:rsidTr="00836EF2">
        <w:tc>
          <w:tcPr>
            <w:tcW w:w="1858" w:type="pct"/>
            <w:tcBorders>
              <w:top w:val="nil"/>
              <w:bottom w:val="nil"/>
            </w:tcBorders>
            <w:tcMar>
              <w:left w:w="170" w:type="dxa"/>
            </w:tcMar>
            <w:vAlign w:val="bottom"/>
          </w:tcPr>
          <w:p w14:paraId="05C6A444" w14:textId="77777777" w:rsidR="008C640E" w:rsidRPr="00FB38E1" w:rsidRDefault="008C640E" w:rsidP="008C640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 farkları</w:t>
            </w:r>
          </w:p>
        </w:tc>
        <w:tc>
          <w:tcPr>
            <w:tcW w:w="643" w:type="pct"/>
            <w:tcBorders>
              <w:top w:val="nil"/>
              <w:left w:val="nil"/>
              <w:bottom w:val="nil"/>
              <w:right w:val="nil"/>
            </w:tcBorders>
            <w:shd w:val="clear" w:color="auto" w:fill="auto"/>
            <w:vAlign w:val="center"/>
          </w:tcPr>
          <w:p w14:paraId="309878C8" w14:textId="1805BA65"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1.434</w:t>
            </w:r>
          </w:p>
        </w:tc>
        <w:tc>
          <w:tcPr>
            <w:tcW w:w="641" w:type="pct"/>
            <w:tcBorders>
              <w:top w:val="nil"/>
              <w:left w:val="nil"/>
              <w:bottom w:val="nil"/>
              <w:right w:val="nil"/>
            </w:tcBorders>
            <w:vAlign w:val="center"/>
          </w:tcPr>
          <w:p w14:paraId="645E4D59" w14:textId="7351E4F4"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(344)</w:t>
            </w:r>
          </w:p>
        </w:tc>
        <w:tc>
          <w:tcPr>
            <w:tcW w:w="641" w:type="pct"/>
            <w:tcBorders>
              <w:top w:val="nil"/>
              <w:left w:val="nil"/>
              <w:bottom w:val="nil"/>
              <w:right w:val="nil"/>
            </w:tcBorders>
            <w:shd w:val="clear" w:color="auto" w:fill="auto"/>
            <w:vAlign w:val="center"/>
          </w:tcPr>
          <w:p w14:paraId="10CA2E1F" w14:textId="72993686"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(1.154)</w:t>
            </w:r>
          </w:p>
        </w:tc>
        <w:tc>
          <w:tcPr>
            <w:tcW w:w="641" w:type="pct"/>
            <w:tcBorders>
              <w:top w:val="nil"/>
              <w:bottom w:val="nil"/>
            </w:tcBorders>
            <w:vAlign w:val="center"/>
          </w:tcPr>
          <w:p w14:paraId="3758061F" w14:textId="3D719B29"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(220)</w:t>
            </w:r>
          </w:p>
        </w:tc>
        <w:tc>
          <w:tcPr>
            <w:tcW w:w="576" w:type="pct"/>
            <w:tcBorders>
              <w:top w:val="nil"/>
              <w:bottom w:val="nil"/>
            </w:tcBorders>
            <w:vAlign w:val="center"/>
          </w:tcPr>
          <w:p w14:paraId="46EFA934" w14:textId="052B798F" w:rsidR="008C640E" w:rsidRPr="00FB38E1" w:rsidRDefault="008C640E" w:rsidP="008C640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(284)</w:t>
            </w:r>
          </w:p>
        </w:tc>
      </w:tr>
      <w:tr w:rsidR="008C640E" w:rsidRPr="00FB38E1" w14:paraId="6E662745" w14:textId="77777777" w:rsidTr="00836EF2">
        <w:tc>
          <w:tcPr>
            <w:tcW w:w="1858" w:type="pct"/>
            <w:tcBorders>
              <w:top w:val="nil"/>
              <w:bottom w:val="nil"/>
            </w:tcBorders>
            <w:tcMar>
              <w:left w:w="57" w:type="dxa"/>
            </w:tcMar>
            <w:vAlign w:val="bottom"/>
          </w:tcPr>
          <w:p w14:paraId="3CE825F9" w14:textId="77777777" w:rsidR="008C640E" w:rsidRPr="00FB38E1" w:rsidRDefault="008C640E" w:rsidP="008C640E">
            <w:pPr>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Cari Dönem Sonu Birikmiş Amortisman</w:t>
            </w:r>
          </w:p>
        </w:tc>
        <w:tc>
          <w:tcPr>
            <w:tcW w:w="643" w:type="pct"/>
            <w:tcBorders>
              <w:top w:val="nil"/>
              <w:left w:val="nil"/>
              <w:bottom w:val="nil"/>
              <w:right w:val="nil"/>
            </w:tcBorders>
            <w:shd w:val="clear" w:color="auto" w:fill="auto"/>
            <w:vAlign w:val="center"/>
          </w:tcPr>
          <w:p w14:paraId="3105A2A4" w14:textId="76A95C37"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b/>
                <w:bCs/>
                <w:color w:val="404040"/>
                <w:sz w:val="16"/>
                <w:szCs w:val="16"/>
              </w:rPr>
              <w:t>(121.033)</w:t>
            </w:r>
          </w:p>
        </w:tc>
        <w:tc>
          <w:tcPr>
            <w:tcW w:w="641" w:type="pct"/>
            <w:tcBorders>
              <w:top w:val="nil"/>
              <w:left w:val="nil"/>
              <w:bottom w:val="nil"/>
              <w:right w:val="nil"/>
            </w:tcBorders>
            <w:vAlign w:val="center"/>
          </w:tcPr>
          <w:p w14:paraId="403D379C" w14:textId="6DD6C1FF"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b/>
                <w:bCs/>
                <w:color w:val="404040"/>
                <w:sz w:val="16"/>
                <w:szCs w:val="16"/>
              </w:rPr>
              <w:t>(4.092)</w:t>
            </w:r>
          </w:p>
        </w:tc>
        <w:tc>
          <w:tcPr>
            <w:tcW w:w="641" w:type="pct"/>
            <w:tcBorders>
              <w:top w:val="nil"/>
              <w:left w:val="nil"/>
              <w:bottom w:val="nil"/>
              <w:right w:val="nil"/>
            </w:tcBorders>
            <w:shd w:val="clear" w:color="auto" w:fill="auto"/>
            <w:vAlign w:val="center"/>
          </w:tcPr>
          <w:p w14:paraId="078B20D6" w14:textId="5C627968"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b/>
                <w:bCs/>
                <w:color w:val="404040"/>
                <w:sz w:val="16"/>
                <w:szCs w:val="16"/>
              </w:rPr>
              <w:t>(1.242.395)</w:t>
            </w:r>
          </w:p>
        </w:tc>
        <w:tc>
          <w:tcPr>
            <w:tcW w:w="641" w:type="pct"/>
            <w:tcBorders>
              <w:top w:val="nil"/>
              <w:bottom w:val="nil"/>
            </w:tcBorders>
            <w:vAlign w:val="center"/>
          </w:tcPr>
          <w:p w14:paraId="7F7757F4" w14:textId="30739B1E"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b/>
                <w:bCs/>
                <w:color w:val="404040"/>
                <w:sz w:val="16"/>
                <w:szCs w:val="16"/>
              </w:rPr>
              <w:t>(1.653.531)</w:t>
            </w:r>
          </w:p>
        </w:tc>
        <w:tc>
          <w:tcPr>
            <w:tcW w:w="576" w:type="pct"/>
            <w:tcBorders>
              <w:top w:val="nil"/>
              <w:bottom w:val="nil"/>
            </w:tcBorders>
            <w:vAlign w:val="center"/>
          </w:tcPr>
          <w:p w14:paraId="20761DE9" w14:textId="09305813" w:rsidR="008C640E" w:rsidRPr="00FB38E1" w:rsidRDefault="008C640E" w:rsidP="008C640E">
            <w:pPr>
              <w:jc w:val="right"/>
              <w:rPr>
                <w:rFonts w:ascii="Microsoft Sans Serif" w:hAnsi="Microsoft Sans Serif" w:cs="Microsoft Sans Serif"/>
                <w:sz w:val="16"/>
                <w:szCs w:val="16"/>
              </w:rPr>
            </w:pPr>
            <w:r w:rsidRPr="00FB38E1">
              <w:rPr>
                <w:rFonts w:ascii="Microsoft Sans Serif" w:hAnsi="Microsoft Sans Serif" w:cs="Microsoft Sans Serif"/>
                <w:b/>
                <w:bCs/>
                <w:color w:val="404040"/>
                <w:sz w:val="16"/>
                <w:szCs w:val="16"/>
              </w:rPr>
              <w:t>(3.021.051)</w:t>
            </w:r>
          </w:p>
        </w:tc>
      </w:tr>
      <w:tr w:rsidR="0066480E" w:rsidRPr="00FB38E1" w14:paraId="0B034DCC" w14:textId="77777777" w:rsidTr="00836EF2">
        <w:tc>
          <w:tcPr>
            <w:tcW w:w="1858" w:type="pct"/>
            <w:tcBorders>
              <w:top w:val="nil"/>
              <w:bottom w:val="single" w:sz="8" w:space="0" w:color="auto"/>
            </w:tcBorders>
            <w:tcMar>
              <w:left w:w="170" w:type="dxa"/>
            </w:tcMar>
            <w:vAlign w:val="bottom"/>
          </w:tcPr>
          <w:p w14:paraId="5FFD61AC" w14:textId="77777777" w:rsidR="0066480E" w:rsidRPr="00FB38E1" w:rsidRDefault="0066480E" w:rsidP="00836EF2">
            <w:pPr>
              <w:rPr>
                <w:rFonts w:ascii="Microsoft Sans Serif" w:hAnsi="Microsoft Sans Serif" w:cs="Microsoft Sans Serif"/>
                <w:color w:val="404040"/>
                <w:sz w:val="8"/>
                <w:szCs w:val="8"/>
              </w:rPr>
            </w:pPr>
          </w:p>
        </w:tc>
        <w:tc>
          <w:tcPr>
            <w:tcW w:w="643" w:type="pct"/>
            <w:tcBorders>
              <w:top w:val="nil"/>
              <w:left w:val="nil"/>
              <w:bottom w:val="single" w:sz="8" w:space="0" w:color="auto"/>
              <w:right w:val="nil"/>
            </w:tcBorders>
            <w:shd w:val="clear" w:color="auto" w:fill="auto"/>
            <w:vAlign w:val="center"/>
          </w:tcPr>
          <w:p w14:paraId="1698FAFF" w14:textId="77777777" w:rsidR="0066480E" w:rsidRPr="00FB38E1" w:rsidRDefault="0066480E" w:rsidP="00836EF2">
            <w:pPr>
              <w:jc w:val="right"/>
              <w:rPr>
                <w:rFonts w:ascii="Microsoft Sans Serif" w:hAnsi="Microsoft Sans Serif" w:cs="Microsoft Sans Serif"/>
                <w:sz w:val="8"/>
                <w:szCs w:val="8"/>
              </w:rPr>
            </w:pPr>
          </w:p>
        </w:tc>
        <w:tc>
          <w:tcPr>
            <w:tcW w:w="641" w:type="pct"/>
            <w:tcBorders>
              <w:top w:val="nil"/>
              <w:left w:val="nil"/>
              <w:bottom w:val="single" w:sz="8" w:space="0" w:color="auto"/>
              <w:right w:val="nil"/>
            </w:tcBorders>
            <w:vAlign w:val="center"/>
          </w:tcPr>
          <w:p w14:paraId="05E1D79D" w14:textId="77777777" w:rsidR="0066480E" w:rsidRPr="00FB38E1" w:rsidRDefault="0066480E" w:rsidP="00836EF2">
            <w:pPr>
              <w:jc w:val="right"/>
              <w:rPr>
                <w:rFonts w:ascii="Microsoft Sans Serif" w:hAnsi="Microsoft Sans Serif" w:cs="Microsoft Sans Serif"/>
                <w:sz w:val="8"/>
                <w:szCs w:val="8"/>
              </w:rPr>
            </w:pPr>
          </w:p>
        </w:tc>
        <w:tc>
          <w:tcPr>
            <w:tcW w:w="641" w:type="pct"/>
            <w:tcBorders>
              <w:top w:val="nil"/>
              <w:left w:val="nil"/>
              <w:bottom w:val="single" w:sz="8" w:space="0" w:color="auto"/>
              <w:right w:val="nil"/>
            </w:tcBorders>
            <w:shd w:val="clear" w:color="auto" w:fill="auto"/>
            <w:vAlign w:val="center"/>
          </w:tcPr>
          <w:p w14:paraId="441966BF" w14:textId="77777777" w:rsidR="0066480E" w:rsidRPr="00FB38E1" w:rsidRDefault="0066480E" w:rsidP="00836EF2">
            <w:pPr>
              <w:jc w:val="right"/>
              <w:rPr>
                <w:rFonts w:ascii="Microsoft Sans Serif" w:hAnsi="Microsoft Sans Serif" w:cs="Microsoft Sans Serif"/>
                <w:sz w:val="8"/>
                <w:szCs w:val="8"/>
              </w:rPr>
            </w:pPr>
          </w:p>
        </w:tc>
        <w:tc>
          <w:tcPr>
            <w:tcW w:w="641" w:type="pct"/>
            <w:tcBorders>
              <w:top w:val="nil"/>
              <w:bottom w:val="single" w:sz="8" w:space="0" w:color="auto"/>
            </w:tcBorders>
            <w:vAlign w:val="center"/>
          </w:tcPr>
          <w:p w14:paraId="1D877685" w14:textId="77777777" w:rsidR="0066480E" w:rsidRPr="00FB38E1" w:rsidRDefault="0066480E" w:rsidP="00836EF2">
            <w:pPr>
              <w:jc w:val="right"/>
              <w:rPr>
                <w:rFonts w:ascii="Microsoft Sans Serif" w:hAnsi="Microsoft Sans Serif" w:cs="Microsoft Sans Serif"/>
                <w:sz w:val="8"/>
                <w:szCs w:val="8"/>
              </w:rPr>
            </w:pPr>
          </w:p>
        </w:tc>
        <w:tc>
          <w:tcPr>
            <w:tcW w:w="576" w:type="pct"/>
            <w:tcBorders>
              <w:top w:val="nil"/>
              <w:bottom w:val="single" w:sz="8" w:space="0" w:color="auto"/>
            </w:tcBorders>
            <w:vAlign w:val="center"/>
          </w:tcPr>
          <w:p w14:paraId="70DA8A94" w14:textId="77777777" w:rsidR="0066480E" w:rsidRPr="00FB38E1" w:rsidRDefault="0066480E" w:rsidP="00836EF2">
            <w:pPr>
              <w:jc w:val="right"/>
              <w:rPr>
                <w:rFonts w:ascii="Microsoft Sans Serif" w:hAnsi="Microsoft Sans Serif" w:cs="Microsoft Sans Serif"/>
                <w:sz w:val="8"/>
                <w:szCs w:val="8"/>
              </w:rPr>
            </w:pPr>
          </w:p>
        </w:tc>
      </w:tr>
      <w:tr w:rsidR="008C640E" w:rsidRPr="00FB38E1" w14:paraId="73927E7D" w14:textId="77777777" w:rsidTr="00836EF2">
        <w:tc>
          <w:tcPr>
            <w:tcW w:w="1858" w:type="pct"/>
            <w:tcBorders>
              <w:top w:val="single" w:sz="8" w:space="0" w:color="auto"/>
              <w:bottom w:val="thickThinSmallGap" w:sz="24" w:space="0" w:color="auto"/>
            </w:tcBorders>
            <w:vAlign w:val="bottom"/>
          </w:tcPr>
          <w:p w14:paraId="18CC52AB" w14:textId="77777777" w:rsidR="008C640E" w:rsidRPr="00FB38E1" w:rsidRDefault="008C640E" w:rsidP="008C640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Sonu Net Defter Değeri</w:t>
            </w:r>
          </w:p>
        </w:tc>
        <w:tc>
          <w:tcPr>
            <w:tcW w:w="643" w:type="pct"/>
            <w:tcBorders>
              <w:top w:val="single" w:sz="8" w:space="0" w:color="auto"/>
              <w:left w:val="nil"/>
              <w:bottom w:val="thickThinSmallGap" w:sz="24" w:space="0" w:color="auto"/>
              <w:right w:val="nil"/>
            </w:tcBorders>
            <w:shd w:val="clear" w:color="auto" w:fill="auto"/>
            <w:vAlign w:val="center"/>
          </w:tcPr>
          <w:p w14:paraId="718C2F81" w14:textId="7D31347F"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15.168.564</w:t>
            </w:r>
          </w:p>
        </w:tc>
        <w:tc>
          <w:tcPr>
            <w:tcW w:w="641" w:type="pct"/>
            <w:tcBorders>
              <w:top w:val="single" w:sz="8" w:space="0" w:color="auto"/>
              <w:left w:val="nil"/>
              <w:bottom w:val="thickThinSmallGap" w:sz="24" w:space="0" w:color="auto"/>
              <w:right w:val="nil"/>
            </w:tcBorders>
            <w:vAlign w:val="center"/>
          </w:tcPr>
          <w:p w14:paraId="2A074959" w14:textId="20FE426C"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21.314</w:t>
            </w:r>
          </w:p>
        </w:tc>
        <w:tc>
          <w:tcPr>
            <w:tcW w:w="641" w:type="pct"/>
            <w:tcBorders>
              <w:top w:val="single" w:sz="8" w:space="0" w:color="auto"/>
              <w:left w:val="nil"/>
              <w:bottom w:val="thickThinSmallGap" w:sz="24" w:space="0" w:color="auto"/>
              <w:right w:val="nil"/>
            </w:tcBorders>
            <w:shd w:val="clear" w:color="auto" w:fill="auto"/>
            <w:vAlign w:val="center"/>
          </w:tcPr>
          <w:p w14:paraId="74959AF1" w14:textId="1D5403D9"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1.114.561</w:t>
            </w:r>
          </w:p>
        </w:tc>
        <w:tc>
          <w:tcPr>
            <w:tcW w:w="641" w:type="pct"/>
            <w:tcBorders>
              <w:top w:val="single" w:sz="8" w:space="0" w:color="auto"/>
              <w:bottom w:val="thickThinSmallGap" w:sz="24" w:space="0" w:color="auto"/>
            </w:tcBorders>
            <w:vAlign w:val="center"/>
          </w:tcPr>
          <w:p w14:paraId="2A6617EC" w14:textId="7DA11D3C"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2.042.885</w:t>
            </w:r>
          </w:p>
        </w:tc>
        <w:tc>
          <w:tcPr>
            <w:tcW w:w="576" w:type="pct"/>
            <w:tcBorders>
              <w:top w:val="single" w:sz="8" w:space="0" w:color="auto"/>
              <w:bottom w:val="thickThinSmallGap" w:sz="24" w:space="0" w:color="auto"/>
            </w:tcBorders>
            <w:vAlign w:val="center"/>
          </w:tcPr>
          <w:p w14:paraId="29B082B1" w14:textId="6E6A7F89" w:rsidR="008C640E" w:rsidRPr="00FB38E1" w:rsidRDefault="008C640E" w:rsidP="008C640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18.347.324</w:t>
            </w:r>
          </w:p>
        </w:tc>
      </w:tr>
    </w:tbl>
    <w:bookmarkEnd w:id="58"/>
    <w:p w14:paraId="560B7878" w14:textId="02C038A9" w:rsidR="0066480E" w:rsidRPr="00FB38E1" w:rsidRDefault="0066480E" w:rsidP="0066480E">
      <w:pPr>
        <w:pStyle w:val="BASLIK2"/>
        <w:widowControl/>
        <w:spacing w:before="120" w:after="0" w:line="220" w:lineRule="exact"/>
        <w:ind w:firstLine="0"/>
        <w:rPr>
          <w:rFonts w:ascii="Microsoft Sans Serif" w:hAnsi="Microsoft Sans Serif" w:cs="Microsoft Sans Serif"/>
          <w:b w:val="0"/>
          <w:bCs w:val="0"/>
          <w:iCs/>
          <w:color w:val="404040" w:themeColor="text1" w:themeTint="BF"/>
          <w:sz w:val="20"/>
          <w:szCs w:val="20"/>
        </w:rPr>
      </w:pPr>
      <w:r w:rsidRPr="00FB38E1">
        <w:rPr>
          <w:rFonts w:ascii="Microsoft Sans Serif" w:hAnsi="Microsoft Sans Serif" w:cs="Microsoft Sans Serif"/>
          <w:b w:val="0"/>
          <w:bCs w:val="0"/>
          <w:iCs/>
          <w:color w:val="404040" w:themeColor="text1" w:themeTint="BF"/>
          <w:sz w:val="20"/>
          <w:szCs w:val="20"/>
        </w:rPr>
        <w:t>31 Aralık 2016 itibarıyla maddi duran varlıklar altında izlenen kullanımdaki gayrimenkullerin değerlemesinde TMS 16 “Maddi Duran Varlıklar” çerçevesinde maliyet modelinden yeniden değerleme modeline geçilmiştir. Lisanslı değerleme şirketleri tarafından hazırlanan ekpertiz raporlarındaki gayrimenkul değerleri ile ilgili gayrimenkullerin net defter değeri arasındaki olumlu fark özkaynak hesaplarında, olumsuz farklar ise gelir tablosunda takip edilmektedir.</w:t>
      </w:r>
      <w:r w:rsidR="008C640E" w:rsidRPr="00FB38E1">
        <w:rPr>
          <w:rFonts w:ascii="Microsoft Sans Serif" w:hAnsi="Microsoft Sans Serif" w:cs="Microsoft Sans Serif"/>
          <w:b w:val="0"/>
          <w:bCs w:val="0"/>
          <w:iCs/>
          <w:color w:val="404040" w:themeColor="text1" w:themeTint="BF"/>
          <w:sz w:val="20"/>
          <w:szCs w:val="20"/>
        </w:rPr>
        <w:tab/>
      </w:r>
    </w:p>
    <w:p w14:paraId="11198590" w14:textId="4C1E569A" w:rsidR="0066480E" w:rsidRPr="00FB38E1" w:rsidRDefault="0066480E" w:rsidP="0066480E">
      <w:pPr>
        <w:pStyle w:val="BASLIK2"/>
        <w:widowControl/>
        <w:spacing w:before="120" w:after="0" w:line="220" w:lineRule="exact"/>
        <w:ind w:firstLine="0"/>
        <w:rPr>
          <w:rFonts w:ascii="Microsoft Sans Serif" w:hAnsi="Microsoft Sans Serif" w:cs="Microsoft Sans Serif"/>
          <w:b w:val="0"/>
          <w:bCs w:val="0"/>
          <w:iCs/>
          <w:color w:val="404040" w:themeColor="text1" w:themeTint="BF"/>
          <w:sz w:val="20"/>
          <w:szCs w:val="20"/>
        </w:rPr>
      </w:pPr>
      <w:r w:rsidRPr="00FB38E1">
        <w:rPr>
          <w:rFonts w:ascii="Microsoft Sans Serif" w:hAnsi="Microsoft Sans Serif" w:cs="Microsoft Sans Serif"/>
          <w:b w:val="0"/>
          <w:bCs w:val="0"/>
          <w:iCs/>
          <w:color w:val="404040" w:themeColor="text1" w:themeTint="BF"/>
          <w:sz w:val="20"/>
          <w:szCs w:val="20"/>
        </w:rPr>
        <w:t xml:space="preserve">Yapılan değerleme sonucunda </w:t>
      </w:r>
      <w:r w:rsidR="00664205" w:rsidRPr="00FB38E1">
        <w:rPr>
          <w:rFonts w:ascii="Microsoft Sans Serif" w:hAnsi="Microsoft Sans Serif" w:cs="Microsoft Sans Serif"/>
          <w:b w:val="0"/>
          <w:bCs w:val="0"/>
          <w:iCs/>
          <w:color w:val="404040" w:themeColor="text1" w:themeTint="BF"/>
          <w:sz w:val="20"/>
          <w:szCs w:val="20"/>
        </w:rPr>
        <w:t>365.406</w:t>
      </w:r>
      <w:r w:rsidRPr="00FB38E1">
        <w:rPr>
          <w:rFonts w:ascii="Microsoft Sans Serif" w:hAnsi="Microsoft Sans Serif" w:cs="Microsoft Sans Serif"/>
          <w:b w:val="0"/>
          <w:bCs w:val="0"/>
          <w:iCs/>
          <w:color w:val="404040" w:themeColor="text1" w:themeTint="BF"/>
          <w:sz w:val="20"/>
          <w:szCs w:val="20"/>
        </w:rPr>
        <w:t xml:space="preserve"> TL (31 Aralık 2023: 469.984 TL) tutarındaki yeniden değerleme farkı özkaynaklar altında muhasebeleştirilmiştir.</w:t>
      </w:r>
    </w:p>
    <w:p w14:paraId="1B25A35B" w14:textId="77777777" w:rsidR="0066480E" w:rsidRPr="00FB38E1" w:rsidRDefault="0066480E" w:rsidP="0066480E">
      <w:pPr>
        <w:pStyle w:val="BASLIK2"/>
        <w:widowControl/>
        <w:numPr>
          <w:ilvl w:val="0"/>
          <w:numId w:val="17"/>
        </w:numPr>
        <w:spacing w:line="240" w:lineRule="exact"/>
        <w:ind w:left="0" w:hanging="567"/>
        <w:rPr>
          <w:rFonts w:ascii="Microsoft Sans Serif" w:hAnsi="Microsoft Sans Serif" w:cs="Microsoft Sans Serif"/>
          <w:bCs w:val="0"/>
          <w:iCs/>
          <w:sz w:val="20"/>
          <w:szCs w:val="20"/>
        </w:rPr>
      </w:pPr>
      <w:r w:rsidRPr="00FB38E1">
        <w:rPr>
          <w:rFonts w:ascii="Microsoft Sans Serif" w:hAnsi="Microsoft Sans Serif" w:cs="Microsoft Sans Serif"/>
          <w:noProof/>
          <w:snapToGrid w:val="0"/>
          <w:sz w:val="20"/>
          <w:szCs w:val="20"/>
        </w:rPr>
        <w:t>Maddi olmayan duran varlıklara ilişkin bilgiler</w:t>
      </w:r>
    </w:p>
    <w:tbl>
      <w:tblPr>
        <w:tblStyle w:val="TableGrid"/>
        <w:tblW w:w="9649" w:type="dxa"/>
        <w:tblInd w:w="4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739"/>
        <w:gridCol w:w="1640"/>
        <w:gridCol w:w="1635"/>
        <w:gridCol w:w="1635"/>
      </w:tblGrid>
      <w:tr w:rsidR="0066480E" w:rsidRPr="00FB38E1" w14:paraId="1EFD99D3" w14:textId="77777777" w:rsidTr="00836EF2">
        <w:tc>
          <w:tcPr>
            <w:tcW w:w="2456" w:type="pct"/>
            <w:tcBorders>
              <w:top w:val="thinThickSmallGap" w:sz="24" w:space="0" w:color="auto"/>
              <w:bottom w:val="single" w:sz="4" w:space="0" w:color="auto"/>
            </w:tcBorders>
            <w:vAlign w:val="bottom"/>
          </w:tcPr>
          <w:p w14:paraId="0DF89CD3" w14:textId="77777777" w:rsidR="0066480E" w:rsidRPr="00FB38E1" w:rsidRDefault="0066480E" w:rsidP="00836EF2">
            <w:pPr>
              <w:jc w:val="left"/>
              <w:rPr>
                <w:rFonts w:ascii="Microsoft Sans Serif" w:hAnsi="Microsoft Sans Serif" w:cs="Microsoft Sans Serif"/>
                <w:b/>
                <w:color w:val="000000"/>
                <w:sz w:val="16"/>
                <w:szCs w:val="16"/>
              </w:rPr>
            </w:pPr>
            <w:bookmarkStart w:id="59" w:name="_Hlk125400072"/>
          </w:p>
        </w:tc>
        <w:tc>
          <w:tcPr>
            <w:tcW w:w="850" w:type="pct"/>
            <w:tcBorders>
              <w:top w:val="thinThickSmallGap" w:sz="24" w:space="0" w:color="auto"/>
              <w:bottom w:val="single" w:sz="4" w:space="0" w:color="auto"/>
            </w:tcBorders>
            <w:vAlign w:val="bottom"/>
          </w:tcPr>
          <w:p w14:paraId="15A4F810" w14:textId="77777777" w:rsidR="0066480E" w:rsidRPr="00FB38E1" w:rsidRDefault="0066480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Diğer</w:t>
            </w:r>
          </w:p>
        </w:tc>
        <w:tc>
          <w:tcPr>
            <w:tcW w:w="847" w:type="pct"/>
            <w:tcBorders>
              <w:top w:val="thinThickSmallGap" w:sz="24" w:space="0" w:color="auto"/>
              <w:bottom w:val="single" w:sz="4" w:space="0" w:color="auto"/>
            </w:tcBorders>
            <w:vAlign w:val="bottom"/>
          </w:tcPr>
          <w:p w14:paraId="74CD3422" w14:textId="77777777" w:rsidR="0066480E" w:rsidRPr="00FB38E1" w:rsidRDefault="0066480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Şerefiye</w:t>
            </w:r>
          </w:p>
        </w:tc>
        <w:tc>
          <w:tcPr>
            <w:tcW w:w="847" w:type="pct"/>
            <w:tcBorders>
              <w:top w:val="thinThickSmallGap" w:sz="24" w:space="0" w:color="auto"/>
              <w:bottom w:val="single" w:sz="4" w:space="0" w:color="auto"/>
            </w:tcBorders>
            <w:vAlign w:val="bottom"/>
          </w:tcPr>
          <w:p w14:paraId="7F55F0A3" w14:textId="77777777" w:rsidR="0066480E" w:rsidRPr="00FB38E1" w:rsidRDefault="0066480E"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664205" w:rsidRPr="00FB38E1" w14:paraId="6E620938" w14:textId="77777777" w:rsidTr="00836EF2">
        <w:tc>
          <w:tcPr>
            <w:tcW w:w="2456" w:type="pct"/>
            <w:tcBorders>
              <w:top w:val="single" w:sz="4" w:space="0" w:color="auto"/>
              <w:bottom w:val="nil"/>
            </w:tcBorders>
            <w:vAlign w:val="bottom"/>
          </w:tcPr>
          <w:p w14:paraId="0202E9D4" w14:textId="77777777" w:rsidR="00664205" w:rsidRPr="00FB38E1" w:rsidRDefault="00664205" w:rsidP="0066420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 Sonu Maliyet</w:t>
            </w:r>
          </w:p>
        </w:tc>
        <w:tc>
          <w:tcPr>
            <w:tcW w:w="850" w:type="pct"/>
            <w:tcBorders>
              <w:top w:val="nil"/>
              <w:left w:val="nil"/>
              <w:bottom w:val="nil"/>
              <w:right w:val="nil"/>
            </w:tcBorders>
            <w:shd w:val="clear" w:color="auto" w:fill="auto"/>
            <w:vAlign w:val="center"/>
          </w:tcPr>
          <w:p w14:paraId="44D12A01" w14:textId="5DD9D6AB" w:rsidR="00664205" w:rsidRPr="00FB38E1" w:rsidRDefault="00664205" w:rsidP="00664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404040"/>
                <w:sz w:val="16"/>
                <w:szCs w:val="16"/>
              </w:rPr>
              <w:t>4.613.602</w:t>
            </w:r>
          </w:p>
        </w:tc>
        <w:tc>
          <w:tcPr>
            <w:tcW w:w="847" w:type="pct"/>
            <w:tcBorders>
              <w:top w:val="nil"/>
              <w:left w:val="nil"/>
              <w:bottom w:val="nil"/>
              <w:right w:val="nil"/>
            </w:tcBorders>
            <w:vAlign w:val="center"/>
          </w:tcPr>
          <w:p w14:paraId="274546DA" w14:textId="5F1F5C63" w:rsidR="00664205" w:rsidRPr="00FB38E1" w:rsidRDefault="00664205" w:rsidP="00664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404040"/>
                <w:sz w:val="16"/>
                <w:szCs w:val="16"/>
              </w:rPr>
              <w:t>--</w:t>
            </w:r>
          </w:p>
        </w:tc>
        <w:tc>
          <w:tcPr>
            <w:tcW w:w="847" w:type="pct"/>
            <w:tcBorders>
              <w:top w:val="nil"/>
              <w:left w:val="nil"/>
              <w:bottom w:val="nil"/>
              <w:right w:val="nil"/>
            </w:tcBorders>
            <w:shd w:val="clear" w:color="auto" w:fill="auto"/>
            <w:vAlign w:val="center"/>
          </w:tcPr>
          <w:p w14:paraId="27BBE58D" w14:textId="0B241AFC" w:rsidR="00664205" w:rsidRPr="00FB38E1" w:rsidRDefault="00664205" w:rsidP="00664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404040"/>
                <w:sz w:val="16"/>
                <w:szCs w:val="16"/>
              </w:rPr>
              <w:t>4.613.602</w:t>
            </w:r>
          </w:p>
        </w:tc>
      </w:tr>
      <w:tr w:rsidR="00664205" w:rsidRPr="00FB38E1" w14:paraId="2B074887" w14:textId="77777777" w:rsidTr="00234AA8">
        <w:trPr>
          <w:trHeight w:val="66"/>
        </w:trPr>
        <w:tc>
          <w:tcPr>
            <w:tcW w:w="2456" w:type="pct"/>
            <w:tcBorders>
              <w:top w:val="nil"/>
            </w:tcBorders>
            <w:tcMar>
              <w:left w:w="170" w:type="dxa"/>
            </w:tcMar>
            <w:vAlign w:val="bottom"/>
          </w:tcPr>
          <w:p w14:paraId="42088F9F" w14:textId="77777777"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Transferler</w:t>
            </w:r>
          </w:p>
        </w:tc>
        <w:tc>
          <w:tcPr>
            <w:tcW w:w="850" w:type="pct"/>
            <w:tcBorders>
              <w:top w:val="nil"/>
              <w:left w:val="nil"/>
              <w:bottom w:val="nil"/>
              <w:right w:val="nil"/>
            </w:tcBorders>
            <w:shd w:val="clear" w:color="auto" w:fill="auto"/>
            <w:vAlign w:val="center"/>
          </w:tcPr>
          <w:p w14:paraId="5D7A9E5A" w14:textId="47E7ADB8"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vAlign w:val="center"/>
          </w:tcPr>
          <w:p w14:paraId="4419C97F" w14:textId="0DE83773"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2C53EF12" w14:textId="4964A80C"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664205" w:rsidRPr="00FB38E1" w14:paraId="5052C757" w14:textId="77777777" w:rsidTr="00836EF2">
        <w:tc>
          <w:tcPr>
            <w:tcW w:w="2456" w:type="pct"/>
            <w:tcBorders>
              <w:top w:val="nil"/>
            </w:tcBorders>
            <w:tcMar>
              <w:left w:w="170" w:type="dxa"/>
            </w:tcMar>
            <w:vAlign w:val="bottom"/>
          </w:tcPr>
          <w:p w14:paraId="5176255B" w14:textId="77777777"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İktisap edilenler</w:t>
            </w:r>
          </w:p>
        </w:tc>
        <w:tc>
          <w:tcPr>
            <w:tcW w:w="850" w:type="pct"/>
            <w:tcBorders>
              <w:top w:val="nil"/>
              <w:left w:val="nil"/>
              <w:bottom w:val="nil"/>
              <w:right w:val="nil"/>
            </w:tcBorders>
            <w:shd w:val="clear" w:color="auto" w:fill="auto"/>
            <w:vAlign w:val="center"/>
          </w:tcPr>
          <w:p w14:paraId="3C83E462" w14:textId="637F732E"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4.263.169</w:t>
            </w:r>
          </w:p>
        </w:tc>
        <w:tc>
          <w:tcPr>
            <w:tcW w:w="847" w:type="pct"/>
            <w:tcBorders>
              <w:top w:val="nil"/>
              <w:left w:val="nil"/>
              <w:bottom w:val="nil"/>
              <w:right w:val="nil"/>
            </w:tcBorders>
            <w:vAlign w:val="center"/>
          </w:tcPr>
          <w:p w14:paraId="2ADD52A7" w14:textId="68038FA5"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07B89C59" w14:textId="0B659146"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4.263.169</w:t>
            </w:r>
          </w:p>
        </w:tc>
      </w:tr>
      <w:tr w:rsidR="00664205" w:rsidRPr="00FB38E1" w14:paraId="46A3317D" w14:textId="77777777" w:rsidTr="00836EF2">
        <w:trPr>
          <w:trHeight w:val="57"/>
        </w:trPr>
        <w:tc>
          <w:tcPr>
            <w:tcW w:w="2456" w:type="pct"/>
            <w:tcBorders>
              <w:top w:val="nil"/>
            </w:tcBorders>
            <w:tcMar>
              <w:left w:w="170" w:type="dxa"/>
            </w:tcMar>
            <w:vAlign w:val="bottom"/>
          </w:tcPr>
          <w:p w14:paraId="12B6399D" w14:textId="77777777" w:rsidR="00664205" w:rsidRPr="00FB38E1" w:rsidRDefault="00664205" w:rsidP="00664205">
            <w:pPr>
              <w:ind w:left="2"/>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Yeniden değerleme farkları</w:t>
            </w:r>
          </w:p>
        </w:tc>
        <w:tc>
          <w:tcPr>
            <w:tcW w:w="850" w:type="pct"/>
            <w:tcBorders>
              <w:top w:val="nil"/>
              <w:left w:val="nil"/>
              <w:bottom w:val="nil"/>
              <w:right w:val="nil"/>
            </w:tcBorders>
            <w:shd w:val="clear" w:color="auto" w:fill="auto"/>
            <w:vAlign w:val="center"/>
          </w:tcPr>
          <w:p w14:paraId="73CCE9D0" w14:textId="04ACBABF" w:rsidR="00664205" w:rsidRPr="00FB38E1" w:rsidRDefault="00664205" w:rsidP="00664205">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vAlign w:val="center"/>
          </w:tcPr>
          <w:p w14:paraId="1732D018" w14:textId="11C889E9" w:rsidR="00664205" w:rsidRPr="00FB38E1" w:rsidRDefault="00664205" w:rsidP="00664205">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1365E231" w14:textId="4702F297" w:rsidR="00664205" w:rsidRPr="00FB38E1" w:rsidRDefault="00664205" w:rsidP="00664205">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404040"/>
                <w:sz w:val="16"/>
                <w:szCs w:val="16"/>
              </w:rPr>
              <w:t>--</w:t>
            </w:r>
          </w:p>
        </w:tc>
      </w:tr>
      <w:tr w:rsidR="00664205" w:rsidRPr="00FB38E1" w14:paraId="0824357D" w14:textId="77777777" w:rsidTr="00836EF2">
        <w:trPr>
          <w:trHeight w:val="57"/>
        </w:trPr>
        <w:tc>
          <w:tcPr>
            <w:tcW w:w="2456" w:type="pct"/>
            <w:tcBorders>
              <w:top w:val="nil"/>
            </w:tcBorders>
            <w:tcMar>
              <w:left w:w="170" w:type="dxa"/>
              <w:right w:w="57" w:type="dxa"/>
            </w:tcMar>
            <w:vAlign w:val="bottom"/>
          </w:tcPr>
          <w:p w14:paraId="7DAE7162" w14:textId="77777777"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Elden çıkarılanlar</w:t>
            </w:r>
          </w:p>
        </w:tc>
        <w:tc>
          <w:tcPr>
            <w:tcW w:w="850" w:type="pct"/>
            <w:tcBorders>
              <w:top w:val="nil"/>
              <w:left w:val="nil"/>
              <w:bottom w:val="nil"/>
              <w:right w:val="nil"/>
            </w:tcBorders>
            <w:shd w:val="clear" w:color="auto" w:fill="auto"/>
            <w:vAlign w:val="center"/>
          </w:tcPr>
          <w:p w14:paraId="2840A8CD" w14:textId="364C1BE8" w:rsidR="00664205" w:rsidRPr="00FB38E1" w:rsidRDefault="00664205" w:rsidP="00664205">
            <w:pPr>
              <w:jc w:val="right"/>
              <w:rPr>
                <w:rFonts w:ascii="Microsoft Sans Serif" w:hAnsi="Microsoft Sans Serif" w:cs="Microsoft Sans Serif"/>
                <w:b/>
                <w:color w:val="000000"/>
                <w:sz w:val="16"/>
                <w:szCs w:val="16"/>
              </w:rPr>
            </w:pPr>
            <w:r w:rsidRPr="00FB38E1">
              <w:rPr>
                <w:rFonts w:ascii="Microsoft Sans Serif" w:hAnsi="Microsoft Sans Serif" w:cs="Microsoft Sans Serif"/>
                <w:color w:val="404040"/>
                <w:sz w:val="16"/>
                <w:szCs w:val="16"/>
              </w:rPr>
              <w:t>(8.205)</w:t>
            </w:r>
          </w:p>
        </w:tc>
        <w:tc>
          <w:tcPr>
            <w:tcW w:w="847" w:type="pct"/>
            <w:tcBorders>
              <w:top w:val="nil"/>
              <w:left w:val="nil"/>
              <w:bottom w:val="nil"/>
              <w:right w:val="nil"/>
            </w:tcBorders>
            <w:vAlign w:val="center"/>
          </w:tcPr>
          <w:p w14:paraId="53987F09" w14:textId="03261413" w:rsidR="00664205" w:rsidRPr="00FB38E1" w:rsidRDefault="00664205" w:rsidP="00664205">
            <w:pPr>
              <w:jc w:val="right"/>
              <w:rPr>
                <w:b/>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1C4E6FD0" w14:textId="42A58EB8" w:rsidR="00664205" w:rsidRPr="00FB38E1" w:rsidRDefault="00664205" w:rsidP="00664205">
            <w:pPr>
              <w:jc w:val="right"/>
              <w:rPr>
                <w:b/>
                <w:sz w:val="16"/>
                <w:szCs w:val="16"/>
              </w:rPr>
            </w:pPr>
            <w:r w:rsidRPr="00FB38E1">
              <w:rPr>
                <w:rFonts w:ascii="Microsoft Sans Serif" w:hAnsi="Microsoft Sans Serif" w:cs="Microsoft Sans Serif"/>
                <w:color w:val="404040"/>
                <w:sz w:val="16"/>
                <w:szCs w:val="16"/>
              </w:rPr>
              <w:t>(8.205)</w:t>
            </w:r>
          </w:p>
        </w:tc>
      </w:tr>
      <w:tr w:rsidR="00664205" w:rsidRPr="00FB38E1" w14:paraId="79100FD9" w14:textId="77777777" w:rsidTr="00836EF2">
        <w:tc>
          <w:tcPr>
            <w:tcW w:w="2456" w:type="pct"/>
            <w:tcBorders>
              <w:top w:val="nil"/>
              <w:bottom w:val="nil"/>
            </w:tcBorders>
            <w:tcMar>
              <w:left w:w="170" w:type="dxa"/>
            </w:tcMar>
            <w:vAlign w:val="bottom"/>
          </w:tcPr>
          <w:p w14:paraId="7024B55A" w14:textId="77777777"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 farkları</w:t>
            </w:r>
          </w:p>
        </w:tc>
        <w:tc>
          <w:tcPr>
            <w:tcW w:w="850" w:type="pct"/>
            <w:tcBorders>
              <w:top w:val="nil"/>
              <w:left w:val="nil"/>
              <w:bottom w:val="nil"/>
              <w:right w:val="nil"/>
            </w:tcBorders>
            <w:shd w:val="clear" w:color="auto" w:fill="auto"/>
            <w:vAlign w:val="center"/>
          </w:tcPr>
          <w:p w14:paraId="4B4E3FB2" w14:textId="79AAD9FE"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5.922</w:t>
            </w:r>
          </w:p>
        </w:tc>
        <w:tc>
          <w:tcPr>
            <w:tcW w:w="847" w:type="pct"/>
            <w:tcBorders>
              <w:top w:val="nil"/>
              <w:left w:val="nil"/>
              <w:bottom w:val="nil"/>
              <w:right w:val="nil"/>
            </w:tcBorders>
            <w:vAlign w:val="center"/>
          </w:tcPr>
          <w:p w14:paraId="13EE6F33" w14:textId="1F5742A9"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3D2CC1B5" w14:textId="65D6B1E0"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5.922</w:t>
            </w:r>
          </w:p>
        </w:tc>
      </w:tr>
      <w:tr w:rsidR="00664205" w:rsidRPr="00FB38E1" w14:paraId="2F7B6409" w14:textId="77777777" w:rsidTr="00836EF2">
        <w:tc>
          <w:tcPr>
            <w:tcW w:w="2456" w:type="pct"/>
            <w:tcBorders>
              <w:top w:val="nil"/>
              <w:bottom w:val="nil"/>
            </w:tcBorders>
            <w:tcMar>
              <w:left w:w="57" w:type="dxa"/>
            </w:tcMar>
            <w:vAlign w:val="bottom"/>
          </w:tcPr>
          <w:p w14:paraId="783CE287" w14:textId="77777777" w:rsidR="00664205" w:rsidRPr="00FB38E1" w:rsidRDefault="00664205" w:rsidP="00664205">
            <w:pPr>
              <w:rPr>
                <w:rFonts w:ascii="Microsoft Sans Serif" w:hAnsi="Microsoft Sans Serif" w:cs="Microsoft Sans Serif"/>
                <w:b/>
                <w:color w:val="404040"/>
                <w:sz w:val="16"/>
                <w:szCs w:val="16"/>
              </w:rPr>
            </w:pPr>
            <w:r w:rsidRPr="00FB38E1">
              <w:rPr>
                <w:rFonts w:ascii="Microsoft Sans Serif" w:hAnsi="Microsoft Sans Serif" w:cs="Microsoft Sans Serif"/>
                <w:b/>
                <w:sz w:val="16"/>
                <w:szCs w:val="16"/>
              </w:rPr>
              <w:t>Cari Dönem Sonu Maliyet</w:t>
            </w:r>
          </w:p>
        </w:tc>
        <w:tc>
          <w:tcPr>
            <w:tcW w:w="850" w:type="pct"/>
            <w:tcBorders>
              <w:top w:val="nil"/>
              <w:left w:val="nil"/>
              <w:bottom w:val="nil"/>
              <w:right w:val="nil"/>
            </w:tcBorders>
            <w:shd w:val="clear" w:color="auto" w:fill="auto"/>
            <w:vAlign w:val="center"/>
          </w:tcPr>
          <w:p w14:paraId="52CB480F" w14:textId="66900AF1" w:rsidR="00664205" w:rsidRPr="00FB38E1" w:rsidRDefault="00664205" w:rsidP="00664205">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8.874.488</w:t>
            </w:r>
          </w:p>
        </w:tc>
        <w:tc>
          <w:tcPr>
            <w:tcW w:w="847" w:type="pct"/>
            <w:tcBorders>
              <w:top w:val="nil"/>
              <w:left w:val="nil"/>
              <w:bottom w:val="nil"/>
              <w:right w:val="nil"/>
            </w:tcBorders>
            <w:vAlign w:val="center"/>
          </w:tcPr>
          <w:p w14:paraId="5B983A65" w14:textId="15D859B1" w:rsidR="00664205" w:rsidRPr="00FB38E1" w:rsidRDefault="00664205" w:rsidP="00664205">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w:t>
            </w:r>
          </w:p>
        </w:tc>
        <w:tc>
          <w:tcPr>
            <w:tcW w:w="847" w:type="pct"/>
            <w:tcBorders>
              <w:top w:val="nil"/>
              <w:left w:val="nil"/>
              <w:bottom w:val="nil"/>
              <w:right w:val="nil"/>
            </w:tcBorders>
            <w:shd w:val="clear" w:color="auto" w:fill="auto"/>
            <w:vAlign w:val="center"/>
          </w:tcPr>
          <w:p w14:paraId="7A051173" w14:textId="13E8E928" w:rsidR="00664205" w:rsidRPr="00FB38E1" w:rsidRDefault="00664205" w:rsidP="00664205">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8.874.488</w:t>
            </w:r>
          </w:p>
        </w:tc>
      </w:tr>
      <w:tr w:rsidR="0066480E" w:rsidRPr="00FB38E1" w14:paraId="659210EB" w14:textId="77777777" w:rsidTr="00836EF2">
        <w:tc>
          <w:tcPr>
            <w:tcW w:w="2456" w:type="pct"/>
            <w:tcBorders>
              <w:top w:val="nil"/>
              <w:bottom w:val="single" w:sz="4" w:space="0" w:color="auto"/>
            </w:tcBorders>
            <w:tcMar>
              <w:left w:w="57" w:type="dxa"/>
            </w:tcMar>
            <w:vAlign w:val="bottom"/>
          </w:tcPr>
          <w:p w14:paraId="2BB97F78" w14:textId="77777777" w:rsidR="0066480E" w:rsidRPr="00FB38E1" w:rsidRDefault="0066480E" w:rsidP="00836EF2">
            <w:pPr>
              <w:rPr>
                <w:rFonts w:ascii="Microsoft Sans Serif" w:hAnsi="Microsoft Sans Serif" w:cs="Microsoft Sans Serif"/>
                <w:b/>
                <w:sz w:val="8"/>
                <w:szCs w:val="8"/>
              </w:rPr>
            </w:pPr>
          </w:p>
        </w:tc>
        <w:tc>
          <w:tcPr>
            <w:tcW w:w="850" w:type="pct"/>
            <w:tcBorders>
              <w:top w:val="nil"/>
              <w:left w:val="nil"/>
              <w:bottom w:val="single" w:sz="4" w:space="0" w:color="auto"/>
              <w:right w:val="nil"/>
            </w:tcBorders>
            <w:shd w:val="clear" w:color="auto" w:fill="auto"/>
            <w:vAlign w:val="center"/>
          </w:tcPr>
          <w:p w14:paraId="065BDC0A" w14:textId="77777777" w:rsidR="0066480E" w:rsidRPr="00FB38E1" w:rsidRDefault="0066480E" w:rsidP="00836EF2">
            <w:pPr>
              <w:jc w:val="right"/>
              <w:rPr>
                <w:rFonts w:ascii="Microsoft Sans Serif" w:hAnsi="Microsoft Sans Serif" w:cs="Microsoft Sans Serif"/>
                <w:b/>
                <w:bCs/>
                <w:color w:val="404040"/>
                <w:sz w:val="8"/>
                <w:szCs w:val="8"/>
              </w:rPr>
            </w:pPr>
          </w:p>
        </w:tc>
        <w:tc>
          <w:tcPr>
            <w:tcW w:w="847" w:type="pct"/>
            <w:tcBorders>
              <w:top w:val="nil"/>
              <w:left w:val="nil"/>
              <w:bottom w:val="single" w:sz="4" w:space="0" w:color="auto"/>
              <w:right w:val="nil"/>
            </w:tcBorders>
            <w:vAlign w:val="center"/>
          </w:tcPr>
          <w:p w14:paraId="0D151D04" w14:textId="77777777" w:rsidR="0066480E" w:rsidRPr="00FB38E1" w:rsidRDefault="0066480E" w:rsidP="00836EF2">
            <w:pPr>
              <w:jc w:val="right"/>
              <w:rPr>
                <w:rFonts w:ascii="Microsoft Sans Serif" w:hAnsi="Microsoft Sans Serif" w:cs="Microsoft Sans Serif"/>
                <w:b/>
                <w:bCs/>
                <w:color w:val="404040"/>
                <w:sz w:val="8"/>
                <w:szCs w:val="8"/>
              </w:rPr>
            </w:pPr>
          </w:p>
        </w:tc>
        <w:tc>
          <w:tcPr>
            <w:tcW w:w="847" w:type="pct"/>
            <w:tcBorders>
              <w:top w:val="nil"/>
              <w:left w:val="nil"/>
              <w:bottom w:val="single" w:sz="4" w:space="0" w:color="auto"/>
              <w:right w:val="nil"/>
            </w:tcBorders>
            <w:shd w:val="clear" w:color="auto" w:fill="auto"/>
            <w:vAlign w:val="center"/>
          </w:tcPr>
          <w:p w14:paraId="7E06CA76" w14:textId="77777777" w:rsidR="0066480E" w:rsidRPr="00FB38E1" w:rsidRDefault="0066480E" w:rsidP="00836EF2">
            <w:pPr>
              <w:jc w:val="right"/>
              <w:rPr>
                <w:rFonts w:ascii="Microsoft Sans Serif" w:hAnsi="Microsoft Sans Serif" w:cs="Microsoft Sans Serif"/>
                <w:b/>
                <w:bCs/>
                <w:color w:val="404040"/>
                <w:sz w:val="8"/>
                <w:szCs w:val="8"/>
              </w:rPr>
            </w:pPr>
          </w:p>
        </w:tc>
      </w:tr>
      <w:tr w:rsidR="00664205" w:rsidRPr="00FB38E1" w14:paraId="4C2F4C39" w14:textId="77777777" w:rsidTr="00836EF2">
        <w:tc>
          <w:tcPr>
            <w:tcW w:w="2456" w:type="pct"/>
            <w:tcBorders>
              <w:top w:val="single" w:sz="4" w:space="0" w:color="auto"/>
              <w:bottom w:val="nil"/>
            </w:tcBorders>
            <w:tcMar>
              <w:left w:w="57" w:type="dxa"/>
            </w:tcMar>
            <w:vAlign w:val="bottom"/>
          </w:tcPr>
          <w:p w14:paraId="2F9FF18C" w14:textId="77777777" w:rsidR="00664205" w:rsidRPr="00FB38E1" w:rsidRDefault="00664205" w:rsidP="0066420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 Sonu Birikmiş Amortisman</w:t>
            </w:r>
          </w:p>
        </w:tc>
        <w:tc>
          <w:tcPr>
            <w:tcW w:w="850" w:type="pct"/>
            <w:tcBorders>
              <w:top w:val="single" w:sz="4" w:space="0" w:color="auto"/>
              <w:left w:val="nil"/>
              <w:bottom w:val="nil"/>
              <w:right w:val="nil"/>
            </w:tcBorders>
            <w:shd w:val="clear" w:color="auto" w:fill="auto"/>
            <w:vAlign w:val="center"/>
          </w:tcPr>
          <w:p w14:paraId="26024A19" w14:textId="05C946C8"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(2.329.884)</w:t>
            </w:r>
          </w:p>
        </w:tc>
        <w:tc>
          <w:tcPr>
            <w:tcW w:w="847" w:type="pct"/>
            <w:tcBorders>
              <w:top w:val="single" w:sz="4" w:space="0" w:color="auto"/>
              <w:left w:val="nil"/>
              <w:bottom w:val="nil"/>
              <w:right w:val="nil"/>
            </w:tcBorders>
            <w:vAlign w:val="center"/>
          </w:tcPr>
          <w:p w14:paraId="40E16A70" w14:textId="2AC53390"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w:t>
            </w:r>
          </w:p>
        </w:tc>
        <w:tc>
          <w:tcPr>
            <w:tcW w:w="847" w:type="pct"/>
            <w:tcBorders>
              <w:top w:val="single" w:sz="4" w:space="0" w:color="auto"/>
              <w:left w:val="nil"/>
              <w:bottom w:val="nil"/>
              <w:right w:val="nil"/>
            </w:tcBorders>
            <w:shd w:val="clear" w:color="auto" w:fill="auto"/>
            <w:vAlign w:val="center"/>
          </w:tcPr>
          <w:p w14:paraId="22BD1DDC" w14:textId="48BE495C"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(2.329.884)</w:t>
            </w:r>
          </w:p>
        </w:tc>
      </w:tr>
      <w:tr w:rsidR="00664205" w:rsidRPr="00FB38E1" w14:paraId="01E57BB0" w14:textId="77777777" w:rsidTr="00836EF2">
        <w:tc>
          <w:tcPr>
            <w:tcW w:w="2456" w:type="pct"/>
            <w:tcBorders>
              <w:top w:val="nil"/>
            </w:tcBorders>
            <w:tcMar>
              <w:left w:w="170" w:type="dxa"/>
            </w:tcMar>
            <w:vAlign w:val="bottom"/>
          </w:tcPr>
          <w:p w14:paraId="4D8C159A" w14:textId="77777777"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Transferler</w:t>
            </w:r>
          </w:p>
        </w:tc>
        <w:tc>
          <w:tcPr>
            <w:tcW w:w="850" w:type="pct"/>
            <w:tcBorders>
              <w:top w:val="nil"/>
              <w:left w:val="nil"/>
              <w:bottom w:val="nil"/>
              <w:right w:val="nil"/>
            </w:tcBorders>
            <w:shd w:val="clear" w:color="auto" w:fill="auto"/>
            <w:vAlign w:val="center"/>
          </w:tcPr>
          <w:p w14:paraId="12258832" w14:textId="7A368D81"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vAlign w:val="center"/>
          </w:tcPr>
          <w:p w14:paraId="44E69212" w14:textId="320EE044"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5C7EA74F" w14:textId="462152A5"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664205" w:rsidRPr="00FB38E1" w14:paraId="6186270F" w14:textId="77777777" w:rsidTr="00836EF2">
        <w:tc>
          <w:tcPr>
            <w:tcW w:w="2456" w:type="pct"/>
            <w:tcBorders>
              <w:top w:val="nil"/>
            </w:tcBorders>
            <w:tcMar>
              <w:left w:w="170" w:type="dxa"/>
            </w:tcMar>
            <w:vAlign w:val="bottom"/>
          </w:tcPr>
          <w:p w14:paraId="5BC6B753" w14:textId="77777777"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amortisman gideri</w:t>
            </w:r>
          </w:p>
        </w:tc>
        <w:tc>
          <w:tcPr>
            <w:tcW w:w="850" w:type="pct"/>
            <w:tcBorders>
              <w:top w:val="nil"/>
              <w:left w:val="nil"/>
              <w:bottom w:val="nil"/>
              <w:right w:val="nil"/>
            </w:tcBorders>
            <w:shd w:val="clear" w:color="auto" w:fill="auto"/>
            <w:vAlign w:val="center"/>
          </w:tcPr>
          <w:p w14:paraId="7173C152" w14:textId="619067C3"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(1.673.593)</w:t>
            </w:r>
          </w:p>
        </w:tc>
        <w:tc>
          <w:tcPr>
            <w:tcW w:w="847" w:type="pct"/>
            <w:tcBorders>
              <w:top w:val="nil"/>
              <w:left w:val="nil"/>
              <w:bottom w:val="nil"/>
              <w:right w:val="nil"/>
            </w:tcBorders>
            <w:vAlign w:val="center"/>
          </w:tcPr>
          <w:p w14:paraId="00CC534A" w14:textId="474DD078"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39A3F1F5" w14:textId="28661BB0"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(1.673.593)</w:t>
            </w:r>
          </w:p>
        </w:tc>
      </w:tr>
      <w:tr w:rsidR="00664205" w:rsidRPr="00FB38E1" w14:paraId="72C97CCF" w14:textId="77777777" w:rsidTr="00836EF2">
        <w:tc>
          <w:tcPr>
            <w:tcW w:w="2456" w:type="pct"/>
            <w:tcBorders>
              <w:top w:val="nil"/>
            </w:tcBorders>
            <w:tcMar>
              <w:left w:w="170" w:type="dxa"/>
            </w:tcMar>
            <w:vAlign w:val="bottom"/>
          </w:tcPr>
          <w:p w14:paraId="729554B2" w14:textId="77777777"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Elden çıkarılanlar</w:t>
            </w:r>
          </w:p>
        </w:tc>
        <w:tc>
          <w:tcPr>
            <w:tcW w:w="850" w:type="pct"/>
            <w:tcBorders>
              <w:top w:val="nil"/>
              <w:left w:val="nil"/>
              <w:bottom w:val="nil"/>
              <w:right w:val="nil"/>
            </w:tcBorders>
            <w:shd w:val="clear" w:color="auto" w:fill="auto"/>
            <w:vAlign w:val="center"/>
          </w:tcPr>
          <w:p w14:paraId="65DF203B" w14:textId="05B07D5F"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684</w:t>
            </w:r>
          </w:p>
        </w:tc>
        <w:tc>
          <w:tcPr>
            <w:tcW w:w="847" w:type="pct"/>
            <w:tcBorders>
              <w:top w:val="nil"/>
              <w:left w:val="nil"/>
              <w:bottom w:val="nil"/>
              <w:right w:val="nil"/>
            </w:tcBorders>
            <w:vAlign w:val="center"/>
          </w:tcPr>
          <w:p w14:paraId="3BE4631B" w14:textId="7A733207"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43BADD52" w14:textId="01AD630E"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684</w:t>
            </w:r>
          </w:p>
        </w:tc>
      </w:tr>
      <w:tr w:rsidR="00664205" w:rsidRPr="00FB38E1" w14:paraId="60EAD640" w14:textId="77777777" w:rsidTr="00836EF2">
        <w:tc>
          <w:tcPr>
            <w:tcW w:w="2456" w:type="pct"/>
            <w:tcBorders>
              <w:top w:val="nil"/>
              <w:bottom w:val="nil"/>
            </w:tcBorders>
            <w:tcMar>
              <w:left w:w="170" w:type="dxa"/>
            </w:tcMar>
            <w:vAlign w:val="bottom"/>
          </w:tcPr>
          <w:p w14:paraId="36C6123A" w14:textId="77777777"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Kur farkları</w:t>
            </w:r>
          </w:p>
        </w:tc>
        <w:tc>
          <w:tcPr>
            <w:tcW w:w="850" w:type="pct"/>
            <w:tcBorders>
              <w:top w:val="nil"/>
              <w:left w:val="nil"/>
              <w:bottom w:val="nil"/>
              <w:right w:val="nil"/>
            </w:tcBorders>
            <w:shd w:val="clear" w:color="auto" w:fill="auto"/>
            <w:vAlign w:val="center"/>
          </w:tcPr>
          <w:p w14:paraId="67B60CD1" w14:textId="505DAFFF"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(5.921)</w:t>
            </w:r>
          </w:p>
        </w:tc>
        <w:tc>
          <w:tcPr>
            <w:tcW w:w="847" w:type="pct"/>
            <w:tcBorders>
              <w:top w:val="nil"/>
              <w:left w:val="nil"/>
              <w:bottom w:val="nil"/>
              <w:right w:val="nil"/>
            </w:tcBorders>
            <w:vAlign w:val="center"/>
          </w:tcPr>
          <w:p w14:paraId="4E168E48" w14:textId="67FAF7E7"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47" w:type="pct"/>
            <w:tcBorders>
              <w:top w:val="nil"/>
              <w:left w:val="nil"/>
              <w:bottom w:val="nil"/>
              <w:right w:val="nil"/>
            </w:tcBorders>
            <w:shd w:val="clear" w:color="auto" w:fill="auto"/>
            <w:vAlign w:val="center"/>
          </w:tcPr>
          <w:p w14:paraId="525D509F" w14:textId="3D538452"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(5.921)</w:t>
            </w:r>
          </w:p>
        </w:tc>
      </w:tr>
      <w:tr w:rsidR="00664205" w:rsidRPr="00FB38E1" w14:paraId="7E0570A9" w14:textId="77777777" w:rsidTr="00836EF2">
        <w:tc>
          <w:tcPr>
            <w:tcW w:w="2456" w:type="pct"/>
            <w:tcBorders>
              <w:top w:val="nil"/>
              <w:bottom w:val="nil"/>
            </w:tcBorders>
            <w:tcMar>
              <w:left w:w="57" w:type="dxa"/>
            </w:tcMar>
            <w:vAlign w:val="bottom"/>
          </w:tcPr>
          <w:p w14:paraId="2C2A4412" w14:textId="77777777"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Cari Dönem Sonu Birikmiş Amortisman</w:t>
            </w:r>
          </w:p>
        </w:tc>
        <w:tc>
          <w:tcPr>
            <w:tcW w:w="850" w:type="pct"/>
            <w:tcBorders>
              <w:top w:val="nil"/>
              <w:left w:val="nil"/>
              <w:bottom w:val="nil"/>
              <w:right w:val="nil"/>
            </w:tcBorders>
            <w:shd w:val="clear" w:color="auto" w:fill="auto"/>
            <w:vAlign w:val="center"/>
          </w:tcPr>
          <w:p w14:paraId="6C8232D0" w14:textId="787C98CC" w:rsidR="00664205" w:rsidRPr="00FB38E1" w:rsidRDefault="00664205" w:rsidP="00664205">
            <w:pPr>
              <w:jc w:val="right"/>
              <w:rPr>
                <w:rFonts w:ascii="Microsoft Sans Serif" w:hAnsi="Microsoft Sans Serif" w:cs="Microsoft Sans Serif"/>
                <w:sz w:val="16"/>
                <w:szCs w:val="16"/>
              </w:rPr>
            </w:pPr>
            <w:r w:rsidRPr="00FB38E1">
              <w:rPr>
                <w:rFonts w:ascii="Microsoft Sans Serif" w:hAnsi="Microsoft Sans Serif" w:cs="Microsoft Sans Serif"/>
                <w:b/>
                <w:bCs/>
                <w:color w:val="404040"/>
                <w:sz w:val="16"/>
                <w:szCs w:val="16"/>
              </w:rPr>
              <w:t>(4.008.714)</w:t>
            </w:r>
          </w:p>
        </w:tc>
        <w:tc>
          <w:tcPr>
            <w:tcW w:w="847" w:type="pct"/>
            <w:tcBorders>
              <w:top w:val="nil"/>
              <w:left w:val="nil"/>
              <w:bottom w:val="nil"/>
              <w:right w:val="nil"/>
            </w:tcBorders>
            <w:vAlign w:val="center"/>
          </w:tcPr>
          <w:p w14:paraId="59E45251" w14:textId="6DAA4791" w:rsidR="00664205" w:rsidRPr="00FB38E1" w:rsidRDefault="00664205" w:rsidP="00664205">
            <w:pPr>
              <w:jc w:val="right"/>
              <w:rPr>
                <w:rFonts w:ascii="Microsoft Sans Serif" w:hAnsi="Microsoft Sans Serif" w:cs="Microsoft Sans Serif"/>
                <w:sz w:val="16"/>
                <w:szCs w:val="16"/>
              </w:rPr>
            </w:pPr>
            <w:r w:rsidRPr="00FB38E1">
              <w:rPr>
                <w:rFonts w:ascii="Microsoft Sans Serif" w:hAnsi="Microsoft Sans Serif" w:cs="Microsoft Sans Serif"/>
                <w:b/>
                <w:bCs/>
                <w:color w:val="404040"/>
                <w:sz w:val="16"/>
                <w:szCs w:val="16"/>
              </w:rPr>
              <w:t>--</w:t>
            </w:r>
          </w:p>
        </w:tc>
        <w:tc>
          <w:tcPr>
            <w:tcW w:w="847" w:type="pct"/>
            <w:tcBorders>
              <w:top w:val="nil"/>
              <w:left w:val="nil"/>
              <w:bottom w:val="nil"/>
              <w:right w:val="nil"/>
            </w:tcBorders>
            <w:shd w:val="clear" w:color="auto" w:fill="auto"/>
            <w:vAlign w:val="center"/>
          </w:tcPr>
          <w:p w14:paraId="2736D7E7" w14:textId="68F4F584" w:rsidR="00664205" w:rsidRPr="00FB38E1" w:rsidRDefault="00664205" w:rsidP="00664205">
            <w:pPr>
              <w:jc w:val="right"/>
              <w:rPr>
                <w:rFonts w:ascii="Microsoft Sans Serif" w:hAnsi="Microsoft Sans Serif" w:cs="Microsoft Sans Serif"/>
                <w:sz w:val="16"/>
                <w:szCs w:val="16"/>
              </w:rPr>
            </w:pPr>
            <w:r w:rsidRPr="00FB38E1">
              <w:rPr>
                <w:rFonts w:ascii="Microsoft Sans Serif" w:hAnsi="Microsoft Sans Serif" w:cs="Microsoft Sans Serif"/>
                <w:b/>
                <w:bCs/>
                <w:color w:val="404040"/>
                <w:sz w:val="16"/>
                <w:szCs w:val="16"/>
              </w:rPr>
              <w:t>(4.008.714)</w:t>
            </w:r>
          </w:p>
        </w:tc>
      </w:tr>
      <w:tr w:rsidR="0066480E" w:rsidRPr="00FB38E1" w14:paraId="77B2B060" w14:textId="77777777" w:rsidTr="00836EF2">
        <w:tc>
          <w:tcPr>
            <w:tcW w:w="2456" w:type="pct"/>
            <w:tcBorders>
              <w:top w:val="nil"/>
              <w:bottom w:val="single" w:sz="8" w:space="0" w:color="auto"/>
            </w:tcBorders>
            <w:tcMar>
              <w:left w:w="170" w:type="dxa"/>
            </w:tcMar>
            <w:vAlign w:val="bottom"/>
          </w:tcPr>
          <w:p w14:paraId="31C008FE" w14:textId="77777777" w:rsidR="0066480E" w:rsidRPr="00FB38E1" w:rsidRDefault="0066480E" w:rsidP="00836EF2">
            <w:pPr>
              <w:rPr>
                <w:rFonts w:ascii="Microsoft Sans Serif" w:hAnsi="Microsoft Sans Serif" w:cs="Microsoft Sans Serif"/>
                <w:color w:val="404040"/>
                <w:sz w:val="8"/>
                <w:szCs w:val="8"/>
              </w:rPr>
            </w:pPr>
          </w:p>
        </w:tc>
        <w:tc>
          <w:tcPr>
            <w:tcW w:w="850" w:type="pct"/>
            <w:tcBorders>
              <w:top w:val="nil"/>
              <w:left w:val="nil"/>
              <w:bottom w:val="single" w:sz="8" w:space="0" w:color="auto"/>
              <w:right w:val="nil"/>
            </w:tcBorders>
            <w:shd w:val="clear" w:color="auto" w:fill="auto"/>
            <w:vAlign w:val="center"/>
          </w:tcPr>
          <w:p w14:paraId="2F25CD05" w14:textId="77777777" w:rsidR="0066480E" w:rsidRPr="00FB38E1" w:rsidRDefault="0066480E" w:rsidP="00836EF2">
            <w:pPr>
              <w:jc w:val="right"/>
              <w:rPr>
                <w:rFonts w:ascii="Microsoft Sans Serif" w:hAnsi="Microsoft Sans Serif" w:cs="Microsoft Sans Serif"/>
                <w:sz w:val="8"/>
                <w:szCs w:val="8"/>
              </w:rPr>
            </w:pPr>
          </w:p>
        </w:tc>
        <w:tc>
          <w:tcPr>
            <w:tcW w:w="847" w:type="pct"/>
            <w:tcBorders>
              <w:top w:val="nil"/>
              <w:left w:val="nil"/>
              <w:bottom w:val="single" w:sz="8" w:space="0" w:color="auto"/>
              <w:right w:val="nil"/>
            </w:tcBorders>
            <w:vAlign w:val="center"/>
          </w:tcPr>
          <w:p w14:paraId="5836FD00" w14:textId="77777777" w:rsidR="0066480E" w:rsidRPr="00FB38E1" w:rsidRDefault="0066480E" w:rsidP="00836EF2">
            <w:pPr>
              <w:jc w:val="right"/>
              <w:rPr>
                <w:rFonts w:ascii="Microsoft Sans Serif" w:hAnsi="Microsoft Sans Serif" w:cs="Microsoft Sans Serif"/>
                <w:sz w:val="8"/>
                <w:szCs w:val="8"/>
              </w:rPr>
            </w:pPr>
          </w:p>
        </w:tc>
        <w:tc>
          <w:tcPr>
            <w:tcW w:w="847" w:type="pct"/>
            <w:tcBorders>
              <w:top w:val="nil"/>
              <w:left w:val="nil"/>
              <w:bottom w:val="single" w:sz="8" w:space="0" w:color="auto"/>
              <w:right w:val="nil"/>
            </w:tcBorders>
            <w:shd w:val="clear" w:color="auto" w:fill="auto"/>
            <w:vAlign w:val="center"/>
          </w:tcPr>
          <w:p w14:paraId="5094CE14" w14:textId="77777777" w:rsidR="0066480E" w:rsidRPr="00FB38E1" w:rsidRDefault="0066480E" w:rsidP="00836EF2">
            <w:pPr>
              <w:jc w:val="right"/>
              <w:rPr>
                <w:rFonts w:ascii="Microsoft Sans Serif" w:hAnsi="Microsoft Sans Serif" w:cs="Microsoft Sans Serif"/>
                <w:sz w:val="8"/>
                <w:szCs w:val="8"/>
              </w:rPr>
            </w:pPr>
          </w:p>
        </w:tc>
      </w:tr>
      <w:tr w:rsidR="00D108A8" w:rsidRPr="00FB38E1" w14:paraId="17D0A69E" w14:textId="77777777" w:rsidTr="00836EF2">
        <w:tc>
          <w:tcPr>
            <w:tcW w:w="2456" w:type="pct"/>
            <w:tcBorders>
              <w:top w:val="single" w:sz="8" w:space="0" w:color="auto"/>
              <w:bottom w:val="thickThinSmallGap" w:sz="24" w:space="0" w:color="auto"/>
            </w:tcBorders>
            <w:vAlign w:val="bottom"/>
          </w:tcPr>
          <w:p w14:paraId="1D254E49" w14:textId="77777777" w:rsidR="00D108A8" w:rsidRPr="00FB38E1" w:rsidRDefault="00D108A8" w:rsidP="00D108A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Sonu Net Defter Değeri</w:t>
            </w:r>
          </w:p>
        </w:tc>
        <w:tc>
          <w:tcPr>
            <w:tcW w:w="850" w:type="pct"/>
            <w:tcBorders>
              <w:top w:val="single" w:sz="8" w:space="0" w:color="auto"/>
              <w:left w:val="nil"/>
              <w:bottom w:val="thickThinSmallGap" w:sz="24" w:space="0" w:color="auto"/>
              <w:right w:val="nil"/>
            </w:tcBorders>
            <w:shd w:val="clear" w:color="auto" w:fill="auto"/>
            <w:vAlign w:val="center"/>
          </w:tcPr>
          <w:p w14:paraId="3B39004A" w14:textId="347E37F9"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4.865.774</w:t>
            </w:r>
          </w:p>
        </w:tc>
        <w:tc>
          <w:tcPr>
            <w:tcW w:w="847" w:type="pct"/>
            <w:tcBorders>
              <w:top w:val="single" w:sz="8" w:space="0" w:color="auto"/>
              <w:left w:val="nil"/>
              <w:bottom w:val="thickThinSmallGap" w:sz="24" w:space="0" w:color="auto"/>
              <w:right w:val="nil"/>
            </w:tcBorders>
            <w:vAlign w:val="center"/>
          </w:tcPr>
          <w:p w14:paraId="14CCF273" w14:textId="58329E4B"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847" w:type="pct"/>
            <w:tcBorders>
              <w:top w:val="single" w:sz="8" w:space="0" w:color="auto"/>
              <w:left w:val="nil"/>
              <w:bottom w:val="thickThinSmallGap" w:sz="24" w:space="0" w:color="auto"/>
              <w:right w:val="nil"/>
            </w:tcBorders>
            <w:shd w:val="clear" w:color="auto" w:fill="auto"/>
            <w:vAlign w:val="center"/>
          </w:tcPr>
          <w:p w14:paraId="157DD7E8" w14:textId="75499E23"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4.865.774</w:t>
            </w:r>
          </w:p>
        </w:tc>
      </w:tr>
    </w:tbl>
    <w:p w14:paraId="1EF11CC6" w14:textId="61D8C6D1" w:rsidR="00F30C15" w:rsidRPr="00FB38E1" w:rsidRDefault="00F30C15" w:rsidP="00076C9E">
      <w:pPr>
        <w:pStyle w:val="BASLIK2"/>
        <w:widowControl/>
        <w:numPr>
          <w:ilvl w:val="0"/>
          <w:numId w:val="17"/>
        </w:numPr>
        <w:spacing w:line="240" w:lineRule="exact"/>
        <w:ind w:left="0" w:hanging="567"/>
        <w:rPr>
          <w:rFonts w:ascii="Microsoft Sans Serif" w:hAnsi="Microsoft Sans Serif" w:cs="Microsoft Sans Serif"/>
          <w:bCs w:val="0"/>
          <w:iCs/>
          <w:sz w:val="20"/>
          <w:szCs w:val="20"/>
        </w:rPr>
      </w:pPr>
      <w:bookmarkStart w:id="60" w:name="OLE_LINK5"/>
      <w:bookmarkStart w:id="61" w:name="_Hlk165302142"/>
      <w:bookmarkEnd w:id="59"/>
      <w:r w:rsidRPr="00FB38E1">
        <w:rPr>
          <w:rFonts w:ascii="Microsoft Sans Serif" w:hAnsi="Microsoft Sans Serif" w:cs="Microsoft Sans Serif"/>
          <w:bCs w:val="0"/>
          <w:noProof/>
          <w:snapToGrid w:val="0"/>
          <w:sz w:val="20"/>
          <w:szCs w:val="20"/>
        </w:rPr>
        <w:t>Ertelenmiş vergi varlığına ilişkin bilgiler</w:t>
      </w:r>
    </w:p>
    <w:bookmarkEnd w:id="60"/>
    <w:p w14:paraId="22E98E2E" w14:textId="53AE7D55" w:rsidR="00F30C15" w:rsidRPr="00FB38E1" w:rsidRDefault="00FB2D98" w:rsidP="00F9766F">
      <w:pPr>
        <w:pStyle w:val="BDDKmetin"/>
        <w:spacing w:line="220" w:lineRule="exact"/>
        <w:rPr>
          <w:rFonts w:ascii="Microsoft Sans Serif" w:hAnsi="Microsoft Sans Serif" w:cs="Microsoft Sans Serif"/>
          <w:iCs/>
          <w:color w:val="404040" w:themeColor="text1" w:themeTint="BF"/>
          <w:sz w:val="20"/>
          <w:szCs w:val="20"/>
          <w:lang w:val="tr-TR" w:eastAsia="en-US"/>
        </w:rPr>
      </w:pPr>
      <w:r w:rsidRPr="00FB38E1">
        <w:rPr>
          <w:rFonts w:ascii="Microsoft Sans Serif" w:hAnsi="Microsoft Sans Serif" w:cs="Microsoft Sans Serif"/>
          <w:iCs/>
          <w:color w:val="404040" w:themeColor="text1" w:themeTint="BF"/>
          <w:sz w:val="20"/>
          <w:szCs w:val="20"/>
          <w:lang w:eastAsia="en-US"/>
        </w:rPr>
        <w:t>İlgili düzenlemeler kapsamında ertelenmiş vergi bilanço tarihi itibarıyla indirilebilir ve vergilendirilebilir geçici farklar üzerinden hesaplanmış ve bilançoda net değeri ile gösterilmiştir.</w:t>
      </w:r>
      <w:r w:rsidR="00F30C15" w:rsidRPr="00FB38E1">
        <w:rPr>
          <w:rFonts w:ascii="Microsoft Sans Serif" w:hAnsi="Microsoft Sans Serif" w:cs="Microsoft Sans Serif"/>
          <w:iCs/>
          <w:color w:val="404040" w:themeColor="text1" w:themeTint="BF"/>
          <w:sz w:val="20"/>
          <w:szCs w:val="20"/>
          <w:lang w:val="tr-TR" w:eastAsia="en-US"/>
        </w:rPr>
        <w:t xml:space="preserve"> </w:t>
      </w:r>
    </w:p>
    <w:p w14:paraId="680B09AE" w14:textId="41E63DAD" w:rsidR="00497D59" w:rsidRPr="00FB38E1" w:rsidRDefault="00497D59" w:rsidP="00F9766F">
      <w:pPr>
        <w:pStyle w:val="BDDKmetin"/>
        <w:spacing w:line="220" w:lineRule="exact"/>
        <w:rPr>
          <w:rFonts w:ascii="Microsoft Sans Serif" w:hAnsi="Microsoft Sans Serif" w:cs="Microsoft Sans Serif"/>
          <w:iCs/>
          <w:color w:val="404040" w:themeColor="text1" w:themeTint="BF"/>
          <w:sz w:val="20"/>
          <w:szCs w:val="20"/>
          <w:lang w:val="tr-TR" w:eastAsia="en-US"/>
        </w:rPr>
      </w:pPr>
      <w:r w:rsidRPr="00FB38E1">
        <w:rPr>
          <w:rFonts w:ascii="Microsoft Sans Serif" w:hAnsi="Microsoft Sans Serif" w:cs="Microsoft Sans Serif"/>
          <w:color w:val="404040"/>
          <w:sz w:val="20"/>
          <w:szCs w:val="20"/>
        </w:rPr>
        <w:t>TMS</w:t>
      </w:r>
      <w:r w:rsidR="00E158A9" w:rsidRPr="00FB38E1">
        <w:rPr>
          <w:rFonts w:ascii="Microsoft Sans Serif" w:hAnsi="Microsoft Sans Serif" w:cs="Microsoft Sans Serif"/>
          <w:color w:val="404040"/>
          <w:sz w:val="20"/>
          <w:szCs w:val="20"/>
        </w:rPr>
        <w:t xml:space="preserve"> </w:t>
      </w:r>
      <w:r w:rsidRPr="00FB38E1">
        <w:rPr>
          <w:rFonts w:ascii="Microsoft Sans Serif" w:hAnsi="Microsoft Sans Serif" w:cs="Microsoft Sans Serif"/>
          <w:color w:val="404040"/>
          <w:sz w:val="20"/>
          <w:szCs w:val="20"/>
        </w:rPr>
        <w:t xml:space="preserve">27 etkisinden kaynaklanan özkaynaklarda muhasebeleştirilen ertelenmiş vergi </w:t>
      </w:r>
      <w:r w:rsidR="00957C9E" w:rsidRPr="00FB38E1">
        <w:rPr>
          <w:rFonts w:ascii="Microsoft Sans Serif" w:hAnsi="Microsoft Sans Serif" w:cs="Microsoft Sans Serif"/>
          <w:color w:val="404040"/>
          <w:sz w:val="20"/>
          <w:szCs w:val="20"/>
        </w:rPr>
        <w:t>geliri</w:t>
      </w:r>
      <w:r w:rsidRPr="00FB38E1">
        <w:rPr>
          <w:rFonts w:ascii="Microsoft Sans Serif" w:hAnsi="Microsoft Sans Serif" w:cs="Microsoft Sans Serif"/>
          <w:color w:val="404040"/>
          <w:sz w:val="20"/>
          <w:szCs w:val="20"/>
        </w:rPr>
        <w:t xml:space="preserve"> </w:t>
      </w:r>
      <w:r w:rsidR="0036746A" w:rsidRPr="00FB38E1">
        <w:rPr>
          <w:rFonts w:ascii="Microsoft Sans Serif" w:hAnsi="Microsoft Sans Serif" w:cs="Microsoft Sans Serif"/>
          <w:color w:val="404040"/>
          <w:sz w:val="20"/>
          <w:szCs w:val="20"/>
        </w:rPr>
        <w:t>(</w:t>
      </w:r>
      <w:r w:rsidR="00664205" w:rsidRPr="00FB38E1">
        <w:rPr>
          <w:rFonts w:ascii="Microsoft Sans Serif" w:hAnsi="Microsoft Sans Serif" w:cs="Microsoft Sans Serif"/>
          <w:color w:val="404040"/>
          <w:sz w:val="20"/>
          <w:szCs w:val="20"/>
        </w:rPr>
        <w:t>100.640</w:t>
      </w:r>
      <w:r w:rsidR="0036746A" w:rsidRPr="00FB38E1">
        <w:rPr>
          <w:rFonts w:ascii="Microsoft Sans Serif" w:hAnsi="Microsoft Sans Serif" w:cs="Microsoft Sans Serif"/>
          <w:color w:val="404040"/>
          <w:sz w:val="20"/>
          <w:szCs w:val="20"/>
        </w:rPr>
        <w:t xml:space="preserve">) </w:t>
      </w:r>
      <w:r w:rsidR="009E7B79" w:rsidRPr="00FB38E1">
        <w:rPr>
          <w:rFonts w:ascii="Microsoft Sans Serif" w:hAnsi="Microsoft Sans Serif" w:cs="Microsoft Sans Serif"/>
          <w:color w:val="404040"/>
          <w:sz w:val="20"/>
          <w:szCs w:val="20"/>
        </w:rPr>
        <w:t>TL (31  Aralık 202</w:t>
      </w:r>
      <w:r w:rsidR="0003320B" w:rsidRPr="00FB38E1">
        <w:rPr>
          <w:rFonts w:ascii="Microsoft Sans Serif" w:hAnsi="Microsoft Sans Serif" w:cs="Microsoft Sans Serif"/>
          <w:color w:val="404040"/>
          <w:sz w:val="20"/>
          <w:szCs w:val="20"/>
        </w:rPr>
        <w:t>3</w:t>
      </w:r>
      <w:r w:rsidR="00EE76A8" w:rsidRPr="00FB38E1">
        <w:rPr>
          <w:rFonts w:ascii="Microsoft Sans Serif" w:hAnsi="Microsoft Sans Serif" w:cs="Microsoft Sans Serif"/>
          <w:color w:val="404040"/>
          <w:sz w:val="20"/>
          <w:szCs w:val="20"/>
        </w:rPr>
        <w:t xml:space="preserve">: </w:t>
      </w:r>
      <w:r w:rsidR="0003320B" w:rsidRPr="00FB38E1">
        <w:rPr>
          <w:rFonts w:ascii="Microsoft Sans Serif" w:hAnsi="Microsoft Sans Serif" w:cs="Microsoft Sans Serif"/>
          <w:color w:val="404040"/>
          <w:sz w:val="20"/>
          <w:szCs w:val="20"/>
        </w:rPr>
        <w:t>72.508</w:t>
      </w:r>
      <w:r w:rsidR="009357ED" w:rsidRPr="00FB38E1">
        <w:rPr>
          <w:rFonts w:ascii="Microsoft Sans Serif" w:hAnsi="Microsoft Sans Serif" w:cs="Microsoft Sans Serif"/>
          <w:color w:val="404040"/>
          <w:sz w:val="20"/>
          <w:szCs w:val="20"/>
        </w:rPr>
        <w:t xml:space="preserve"> </w:t>
      </w:r>
      <w:r w:rsidRPr="00FB38E1">
        <w:rPr>
          <w:rFonts w:ascii="Microsoft Sans Serif" w:hAnsi="Microsoft Sans Serif" w:cs="Microsoft Sans Serif"/>
          <w:color w:val="404040"/>
          <w:sz w:val="20"/>
          <w:szCs w:val="20"/>
        </w:rPr>
        <w:t>TL)’dir</w:t>
      </w:r>
      <w:r w:rsidR="00513B88" w:rsidRPr="00FB38E1">
        <w:rPr>
          <w:rFonts w:ascii="Microsoft Sans Serif" w:hAnsi="Microsoft Sans Serif" w:cs="Microsoft Sans Serif"/>
          <w:color w:val="404040"/>
          <w:sz w:val="20"/>
          <w:szCs w:val="20"/>
        </w:rPr>
        <w:t>.</w:t>
      </w:r>
    </w:p>
    <w:p w14:paraId="750041AA" w14:textId="34CC63C5" w:rsidR="00F30C15" w:rsidRPr="00FB38E1" w:rsidRDefault="00F30C15" w:rsidP="00CE71F4">
      <w:pPr>
        <w:pStyle w:val="BASLIK2"/>
        <w:widowControl/>
        <w:spacing w:before="12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Aşağıdaki tablo ertelenmiş verginin kaynakları itibarıyla dağılımını özetlemektedir: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A64398" w:rsidRPr="00FB38E1" w14:paraId="2DF6E39B" w14:textId="0648B7AC" w:rsidTr="004467EA">
        <w:tc>
          <w:tcPr>
            <w:tcW w:w="2702" w:type="pct"/>
            <w:tcBorders>
              <w:top w:val="thinThickSmallGap" w:sz="24" w:space="0" w:color="auto"/>
              <w:bottom w:val="single" w:sz="4" w:space="0" w:color="auto"/>
            </w:tcBorders>
            <w:shd w:val="clear" w:color="auto" w:fill="auto"/>
            <w:vAlign w:val="bottom"/>
          </w:tcPr>
          <w:p w14:paraId="25E4177D" w14:textId="77777777" w:rsidR="00A64398" w:rsidRPr="00FB38E1" w:rsidRDefault="00A64398" w:rsidP="008124A2">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1149" w:type="pct"/>
            <w:tcBorders>
              <w:top w:val="thinThickSmallGap" w:sz="24" w:space="0" w:color="auto"/>
              <w:bottom w:val="single" w:sz="4" w:space="0" w:color="auto"/>
            </w:tcBorders>
            <w:shd w:val="clear" w:color="auto" w:fill="auto"/>
            <w:vAlign w:val="bottom"/>
          </w:tcPr>
          <w:p w14:paraId="3A65CC49" w14:textId="77777777" w:rsidR="00A64398" w:rsidRPr="00FB38E1" w:rsidRDefault="00A64398" w:rsidP="008124A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shd w:val="clear" w:color="auto" w:fill="auto"/>
          </w:tcPr>
          <w:p w14:paraId="2EBAEEF8" w14:textId="76C5F3EF" w:rsidR="00A64398" w:rsidRPr="00FB38E1" w:rsidRDefault="00A64398" w:rsidP="008124A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664205" w:rsidRPr="00FB38E1" w14:paraId="409F848F" w14:textId="546E5D62" w:rsidTr="000F2B6A">
        <w:tc>
          <w:tcPr>
            <w:tcW w:w="2702" w:type="pct"/>
            <w:tcBorders>
              <w:top w:val="single" w:sz="4" w:space="0" w:color="auto"/>
              <w:bottom w:val="nil"/>
            </w:tcBorders>
            <w:vAlign w:val="center"/>
          </w:tcPr>
          <w:p w14:paraId="73868B98" w14:textId="2DC44794"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Muhtelif Karşılıklar</w:t>
            </w:r>
          </w:p>
        </w:tc>
        <w:tc>
          <w:tcPr>
            <w:tcW w:w="1149" w:type="pct"/>
            <w:tcBorders>
              <w:top w:val="single" w:sz="4" w:space="0" w:color="auto"/>
              <w:bottom w:val="nil"/>
            </w:tcBorders>
            <w:shd w:val="clear" w:color="auto" w:fill="auto"/>
            <w:vAlign w:val="center"/>
          </w:tcPr>
          <w:p w14:paraId="0BA641B4" w14:textId="79C4BD9C"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5.892.645</w:t>
            </w:r>
          </w:p>
        </w:tc>
        <w:tc>
          <w:tcPr>
            <w:tcW w:w="1149" w:type="pct"/>
            <w:tcBorders>
              <w:top w:val="single" w:sz="4" w:space="0" w:color="auto"/>
              <w:bottom w:val="nil"/>
            </w:tcBorders>
            <w:vAlign w:val="center"/>
          </w:tcPr>
          <w:p w14:paraId="290168C5" w14:textId="37C6F4D1"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5.994.008</w:t>
            </w:r>
          </w:p>
        </w:tc>
      </w:tr>
      <w:tr w:rsidR="00664205" w:rsidRPr="00FB38E1" w14:paraId="5C086D19" w14:textId="77777777" w:rsidTr="00664205">
        <w:tc>
          <w:tcPr>
            <w:tcW w:w="2702" w:type="pct"/>
            <w:vAlign w:val="center"/>
          </w:tcPr>
          <w:p w14:paraId="1C1A77DC" w14:textId="3E902ACD"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Çalışan Hakları Karşılığı</w:t>
            </w:r>
          </w:p>
        </w:tc>
        <w:tc>
          <w:tcPr>
            <w:tcW w:w="1149" w:type="pct"/>
            <w:shd w:val="clear" w:color="auto" w:fill="auto"/>
            <w:vAlign w:val="center"/>
          </w:tcPr>
          <w:p w14:paraId="3E74FEF9" w14:textId="57A61D65" w:rsidR="00664205" w:rsidRPr="00FB38E1" w:rsidRDefault="00664205" w:rsidP="00664205">
            <w:pPr>
              <w:jc w:val="right"/>
              <w:rPr>
                <w:rFonts w:ascii="Microsoft Sans Serif" w:hAnsi="Microsoft Sans Serif" w:cs="Microsoft Sans Serif"/>
                <w:color w:val="000000"/>
                <w:sz w:val="16"/>
                <w:szCs w:val="16"/>
              </w:rPr>
            </w:pPr>
            <w:r w:rsidRPr="00FB38E1">
              <w:rPr>
                <w:rFonts w:ascii="Microsoft Sans Serif" w:hAnsi="Microsoft Sans Serif" w:cs="Microsoft Sans Serif"/>
                <w:color w:val="404040"/>
                <w:sz w:val="16"/>
                <w:szCs w:val="16"/>
              </w:rPr>
              <w:t>919.798</w:t>
            </w:r>
          </w:p>
        </w:tc>
        <w:tc>
          <w:tcPr>
            <w:tcW w:w="1149" w:type="pct"/>
            <w:vAlign w:val="center"/>
          </w:tcPr>
          <w:p w14:paraId="29667E4F" w14:textId="350D929F"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474.039</w:t>
            </w:r>
          </w:p>
        </w:tc>
      </w:tr>
      <w:tr w:rsidR="00664205" w:rsidRPr="00FB38E1" w14:paraId="71686909" w14:textId="77777777" w:rsidTr="00664205">
        <w:tc>
          <w:tcPr>
            <w:tcW w:w="2702" w:type="pct"/>
            <w:vAlign w:val="center"/>
          </w:tcPr>
          <w:p w14:paraId="3EC05FE9" w14:textId="00A262A2"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Maddi Duran Varlıklar Değerleme Farkları</w:t>
            </w:r>
          </w:p>
        </w:tc>
        <w:tc>
          <w:tcPr>
            <w:tcW w:w="1149" w:type="pct"/>
            <w:shd w:val="clear" w:color="auto" w:fill="auto"/>
            <w:vAlign w:val="bottom"/>
          </w:tcPr>
          <w:p w14:paraId="752C40D0" w14:textId="75DEBC47"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596.661</w:t>
            </w:r>
          </w:p>
        </w:tc>
        <w:tc>
          <w:tcPr>
            <w:tcW w:w="1149" w:type="pct"/>
            <w:vAlign w:val="bottom"/>
          </w:tcPr>
          <w:p w14:paraId="3DBF5D3B" w14:textId="361BD636"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000000"/>
                <w:sz w:val="16"/>
                <w:szCs w:val="16"/>
              </w:rPr>
              <w:t>416.581</w:t>
            </w:r>
          </w:p>
        </w:tc>
      </w:tr>
      <w:tr w:rsidR="00664205" w:rsidRPr="00FB38E1" w14:paraId="59B77863" w14:textId="77777777" w:rsidTr="000F2B6A">
        <w:tc>
          <w:tcPr>
            <w:tcW w:w="2702" w:type="pct"/>
            <w:vAlign w:val="center"/>
          </w:tcPr>
          <w:p w14:paraId="585B5491" w14:textId="3FA0F574" w:rsidR="00664205" w:rsidRPr="00FB38E1" w:rsidRDefault="00664205" w:rsidP="0066420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Kazanılmamış Gelirler</w:t>
            </w:r>
          </w:p>
        </w:tc>
        <w:tc>
          <w:tcPr>
            <w:tcW w:w="1149" w:type="pct"/>
            <w:shd w:val="clear" w:color="auto" w:fill="auto"/>
            <w:vAlign w:val="center"/>
          </w:tcPr>
          <w:p w14:paraId="42C8131F" w14:textId="066803E9"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473.932</w:t>
            </w:r>
          </w:p>
        </w:tc>
        <w:tc>
          <w:tcPr>
            <w:tcW w:w="1149" w:type="pct"/>
            <w:vAlign w:val="center"/>
          </w:tcPr>
          <w:p w14:paraId="10925AF1" w14:textId="1E9E9650" w:rsidR="00664205" w:rsidRPr="00FB38E1" w:rsidRDefault="00664205" w:rsidP="0066420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280.632</w:t>
            </w:r>
          </w:p>
        </w:tc>
      </w:tr>
      <w:tr w:rsidR="00F773C4" w:rsidRPr="00FB38E1" w14:paraId="0630F3F3" w14:textId="77777777" w:rsidTr="000F2B6A">
        <w:tc>
          <w:tcPr>
            <w:tcW w:w="2702" w:type="pct"/>
            <w:tcBorders>
              <w:top w:val="nil"/>
            </w:tcBorders>
            <w:vAlign w:val="center"/>
          </w:tcPr>
          <w:p w14:paraId="05BB1913" w14:textId="2DD17D8A" w:rsidR="00F773C4" w:rsidRPr="00FB38E1" w:rsidRDefault="00F773C4" w:rsidP="0009587B">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Mali </w:t>
            </w:r>
            <w:r w:rsidR="0009587B" w:rsidRPr="00FB38E1">
              <w:rPr>
                <w:rFonts w:ascii="Microsoft Sans Serif" w:hAnsi="Microsoft Sans Serif" w:cs="Microsoft Sans Serif"/>
                <w:color w:val="404040"/>
                <w:sz w:val="16"/>
                <w:szCs w:val="16"/>
              </w:rPr>
              <w:t xml:space="preserve">Zarar </w:t>
            </w:r>
            <w:r w:rsidRPr="00FB38E1">
              <w:rPr>
                <w:rFonts w:ascii="Microsoft Sans Serif" w:hAnsi="Microsoft Sans Serif" w:cs="Microsoft Sans Serif"/>
                <w:color w:val="404040"/>
                <w:sz w:val="16"/>
                <w:szCs w:val="16"/>
              </w:rPr>
              <w:t>(*)</w:t>
            </w:r>
          </w:p>
        </w:tc>
        <w:tc>
          <w:tcPr>
            <w:tcW w:w="1149" w:type="pct"/>
            <w:tcBorders>
              <w:top w:val="nil"/>
            </w:tcBorders>
            <w:shd w:val="clear" w:color="auto" w:fill="auto"/>
            <w:vAlign w:val="center"/>
          </w:tcPr>
          <w:p w14:paraId="75BDABB7" w14:textId="4A9A7381" w:rsidR="00F773C4" w:rsidRPr="00FB38E1" w:rsidRDefault="00F773C4" w:rsidP="00F773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tcBorders>
            <w:vAlign w:val="center"/>
          </w:tcPr>
          <w:p w14:paraId="08718611" w14:textId="237050B8" w:rsidR="00F773C4" w:rsidRPr="00FB38E1" w:rsidRDefault="00F773C4" w:rsidP="00F773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348.300</w:t>
            </w:r>
          </w:p>
        </w:tc>
      </w:tr>
      <w:tr w:rsidR="0036746A" w:rsidRPr="00FB38E1" w14:paraId="268FA6F8" w14:textId="77777777" w:rsidTr="000F2B6A">
        <w:tc>
          <w:tcPr>
            <w:tcW w:w="2702" w:type="pct"/>
            <w:tcBorders>
              <w:top w:val="nil"/>
            </w:tcBorders>
            <w:vAlign w:val="center"/>
          </w:tcPr>
          <w:p w14:paraId="1446E69E" w14:textId="59E1916D" w:rsidR="0036746A" w:rsidRPr="00FB38E1" w:rsidRDefault="0036746A" w:rsidP="0036746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1149" w:type="pct"/>
            <w:tcBorders>
              <w:top w:val="nil"/>
            </w:tcBorders>
            <w:shd w:val="clear" w:color="auto" w:fill="auto"/>
            <w:vAlign w:val="center"/>
          </w:tcPr>
          <w:p w14:paraId="7F09EEB9" w14:textId="38C1D8EE" w:rsidR="0036746A"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2.025.707</w:t>
            </w:r>
          </w:p>
        </w:tc>
        <w:tc>
          <w:tcPr>
            <w:tcW w:w="1149" w:type="pct"/>
            <w:tcBorders>
              <w:top w:val="nil"/>
            </w:tcBorders>
            <w:vAlign w:val="center"/>
          </w:tcPr>
          <w:p w14:paraId="3B18194E" w14:textId="0546FDA5" w:rsidR="0036746A" w:rsidRPr="00FB38E1" w:rsidRDefault="0036746A" w:rsidP="0036746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36746A" w:rsidRPr="00FB38E1" w14:paraId="2D9F7E81" w14:textId="6320393A" w:rsidTr="000F2B6A">
        <w:tblPrEx>
          <w:tblCellMar>
            <w:left w:w="70" w:type="dxa"/>
            <w:right w:w="70" w:type="dxa"/>
          </w:tblCellMar>
        </w:tblPrEx>
        <w:tc>
          <w:tcPr>
            <w:tcW w:w="2702" w:type="pct"/>
            <w:tcBorders>
              <w:top w:val="single" w:sz="4" w:space="0" w:color="auto"/>
              <w:bottom w:val="nil"/>
            </w:tcBorders>
            <w:vAlign w:val="center"/>
          </w:tcPr>
          <w:p w14:paraId="6045619F" w14:textId="4A328376" w:rsidR="0036746A" w:rsidRPr="00FB38E1" w:rsidRDefault="0036746A" w:rsidP="0036746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Ertelenmiş Vergi Varlığı</w:t>
            </w:r>
          </w:p>
        </w:tc>
        <w:tc>
          <w:tcPr>
            <w:tcW w:w="1149" w:type="pct"/>
            <w:tcBorders>
              <w:top w:val="single" w:sz="4" w:space="0" w:color="auto"/>
              <w:bottom w:val="nil"/>
            </w:tcBorders>
            <w:shd w:val="clear" w:color="auto" w:fill="auto"/>
            <w:vAlign w:val="center"/>
          </w:tcPr>
          <w:p w14:paraId="60BF0426" w14:textId="69A99CA4" w:rsidR="0036746A" w:rsidRPr="00FB38E1" w:rsidRDefault="00F87BC4" w:rsidP="00F87BC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9.908.743</w:t>
            </w:r>
          </w:p>
        </w:tc>
        <w:tc>
          <w:tcPr>
            <w:tcW w:w="1149" w:type="pct"/>
            <w:tcBorders>
              <w:top w:val="single" w:sz="4" w:space="0" w:color="auto"/>
              <w:bottom w:val="nil"/>
            </w:tcBorders>
            <w:vAlign w:val="center"/>
          </w:tcPr>
          <w:p w14:paraId="664054BD" w14:textId="44E6BA1F" w:rsidR="0036746A" w:rsidRPr="00FB38E1" w:rsidRDefault="0036746A" w:rsidP="0036746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7.513.560</w:t>
            </w:r>
          </w:p>
        </w:tc>
      </w:tr>
      <w:tr w:rsidR="00F07E6D" w:rsidRPr="00FB38E1" w14:paraId="49BB05F4" w14:textId="4CFFBB5D" w:rsidTr="000F2B6A">
        <w:tc>
          <w:tcPr>
            <w:tcW w:w="2702" w:type="pct"/>
            <w:tcBorders>
              <w:top w:val="nil"/>
            </w:tcBorders>
            <w:vAlign w:val="center"/>
          </w:tcPr>
          <w:p w14:paraId="5AC4F5C0" w14:textId="77777777" w:rsidR="00F07E6D" w:rsidRPr="00FB38E1" w:rsidRDefault="00F07E6D" w:rsidP="00F07E6D">
            <w:pPr>
              <w:rPr>
                <w:rFonts w:ascii="Microsoft Sans Serif" w:hAnsi="Microsoft Sans Serif" w:cs="Microsoft Sans Serif"/>
                <w:color w:val="000000"/>
                <w:sz w:val="16"/>
                <w:szCs w:val="16"/>
              </w:rPr>
            </w:pPr>
          </w:p>
        </w:tc>
        <w:tc>
          <w:tcPr>
            <w:tcW w:w="1149" w:type="pct"/>
            <w:tcBorders>
              <w:top w:val="nil"/>
            </w:tcBorders>
            <w:shd w:val="clear" w:color="auto" w:fill="auto"/>
            <w:vAlign w:val="center"/>
          </w:tcPr>
          <w:p w14:paraId="5114AD40" w14:textId="77777777" w:rsidR="00F07E6D" w:rsidRPr="00FB38E1" w:rsidRDefault="00F07E6D" w:rsidP="00F07E6D">
            <w:pPr>
              <w:jc w:val="right"/>
              <w:rPr>
                <w:rFonts w:ascii="Microsoft Sans Serif" w:hAnsi="Microsoft Sans Serif" w:cs="Microsoft Sans Serif"/>
                <w:b/>
                <w:bCs/>
                <w:color w:val="000000"/>
                <w:sz w:val="16"/>
                <w:szCs w:val="16"/>
              </w:rPr>
            </w:pPr>
          </w:p>
        </w:tc>
        <w:tc>
          <w:tcPr>
            <w:tcW w:w="1149" w:type="pct"/>
            <w:tcBorders>
              <w:top w:val="nil"/>
            </w:tcBorders>
            <w:vAlign w:val="center"/>
          </w:tcPr>
          <w:p w14:paraId="09C3BD6C" w14:textId="77777777" w:rsidR="00F07E6D" w:rsidRPr="00FB38E1" w:rsidRDefault="00F07E6D" w:rsidP="00F07E6D">
            <w:pPr>
              <w:jc w:val="right"/>
              <w:rPr>
                <w:rFonts w:ascii="Microsoft Sans Serif" w:hAnsi="Microsoft Sans Serif" w:cs="Microsoft Sans Serif"/>
                <w:b/>
                <w:bCs/>
                <w:color w:val="000000"/>
                <w:sz w:val="16"/>
                <w:szCs w:val="16"/>
              </w:rPr>
            </w:pPr>
          </w:p>
        </w:tc>
      </w:tr>
      <w:tr w:rsidR="00704BFE" w:rsidRPr="00FB38E1" w14:paraId="65C287EA" w14:textId="77777777" w:rsidTr="00E26D80">
        <w:tc>
          <w:tcPr>
            <w:tcW w:w="2702" w:type="pct"/>
            <w:tcBorders>
              <w:top w:val="nil"/>
            </w:tcBorders>
            <w:vAlign w:val="center"/>
          </w:tcPr>
          <w:p w14:paraId="239728EB" w14:textId="77777777" w:rsidR="00704BFE" w:rsidRPr="00FB38E1" w:rsidRDefault="00704BFE" w:rsidP="00E26D80">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Finansal Varlıklar Değerleme Farkları</w:t>
            </w:r>
          </w:p>
        </w:tc>
        <w:tc>
          <w:tcPr>
            <w:tcW w:w="1149" w:type="pct"/>
            <w:tcBorders>
              <w:top w:val="nil"/>
            </w:tcBorders>
            <w:shd w:val="clear" w:color="auto" w:fill="auto"/>
            <w:vAlign w:val="center"/>
          </w:tcPr>
          <w:p w14:paraId="79098D38" w14:textId="53676979" w:rsidR="00704BFE"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(3.533.818)</w:t>
            </w:r>
          </w:p>
        </w:tc>
        <w:tc>
          <w:tcPr>
            <w:tcW w:w="1149" w:type="pct"/>
            <w:tcBorders>
              <w:top w:val="nil"/>
            </w:tcBorders>
            <w:vAlign w:val="center"/>
          </w:tcPr>
          <w:p w14:paraId="7E7B92FA" w14:textId="77777777" w:rsidR="00704BFE" w:rsidRPr="00FB38E1" w:rsidRDefault="00704BFE" w:rsidP="00E26D80">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(2.105.243)</w:t>
            </w:r>
          </w:p>
        </w:tc>
      </w:tr>
      <w:tr w:rsidR="0036746A" w:rsidRPr="00FB38E1" w14:paraId="7A05F28E" w14:textId="77777777" w:rsidTr="000F2B6A">
        <w:tc>
          <w:tcPr>
            <w:tcW w:w="2702" w:type="pct"/>
            <w:tcBorders>
              <w:top w:val="nil"/>
            </w:tcBorders>
            <w:vAlign w:val="center"/>
          </w:tcPr>
          <w:p w14:paraId="08A4B325" w14:textId="5937D51E" w:rsidR="0036746A" w:rsidRPr="00FB38E1" w:rsidRDefault="0036746A" w:rsidP="0036746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Türev İşlemler Değerleme Farkları</w:t>
            </w:r>
          </w:p>
        </w:tc>
        <w:tc>
          <w:tcPr>
            <w:tcW w:w="1149" w:type="pct"/>
            <w:tcBorders>
              <w:top w:val="nil"/>
            </w:tcBorders>
            <w:shd w:val="clear" w:color="auto" w:fill="auto"/>
            <w:vAlign w:val="center"/>
          </w:tcPr>
          <w:p w14:paraId="317943BF" w14:textId="42C66346" w:rsidR="0036746A"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(1.618.138)</w:t>
            </w:r>
          </w:p>
        </w:tc>
        <w:tc>
          <w:tcPr>
            <w:tcW w:w="1149" w:type="pct"/>
            <w:tcBorders>
              <w:top w:val="nil"/>
            </w:tcBorders>
            <w:vAlign w:val="center"/>
          </w:tcPr>
          <w:p w14:paraId="1428BDCC" w14:textId="15BA15CF" w:rsidR="0036746A" w:rsidRPr="00FB38E1" w:rsidRDefault="0036746A" w:rsidP="0036746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(1.210.148)</w:t>
            </w:r>
          </w:p>
        </w:tc>
      </w:tr>
      <w:tr w:rsidR="00F773C4" w:rsidRPr="00FB38E1" w14:paraId="3084AE05" w14:textId="77777777" w:rsidTr="000F2B6A">
        <w:tc>
          <w:tcPr>
            <w:tcW w:w="2702" w:type="pct"/>
            <w:tcBorders>
              <w:top w:val="nil"/>
            </w:tcBorders>
            <w:vAlign w:val="center"/>
          </w:tcPr>
          <w:p w14:paraId="7904938C" w14:textId="4484D7A6" w:rsidR="00F773C4" w:rsidRPr="00FB38E1" w:rsidRDefault="00F773C4" w:rsidP="00F773C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1149" w:type="pct"/>
            <w:tcBorders>
              <w:top w:val="nil"/>
            </w:tcBorders>
            <w:shd w:val="clear" w:color="auto" w:fill="auto"/>
            <w:vAlign w:val="center"/>
          </w:tcPr>
          <w:p w14:paraId="3F9D6CA0" w14:textId="422D82BA" w:rsidR="00F773C4" w:rsidRPr="00FB38E1" w:rsidRDefault="00F773C4" w:rsidP="00F773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tcBorders>
            <w:vAlign w:val="center"/>
          </w:tcPr>
          <w:p w14:paraId="155D1F41" w14:textId="0F274AEF" w:rsidR="00F773C4" w:rsidRPr="00FB38E1" w:rsidRDefault="00F773C4" w:rsidP="00F773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(24.647)</w:t>
            </w:r>
          </w:p>
        </w:tc>
      </w:tr>
      <w:tr w:rsidR="0036746A" w:rsidRPr="00FB38E1" w14:paraId="0F39E59D" w14:textId="59741B37" w:rsidTr="000F2B6A">
        <w:tc>
          <w:tcPr>
            <w:tcW w:w="2702" w:type="pct"/>
            <w:tcBorders>
              <w:top w:val="single" w:sz="4" w:space="0" w:color="auto"/>
              <w:bottom w:val="single" w:sz="4" w:space="0" w:color="auto"/>
            </w:tcBorders>
            <w:vAlign w:val="center"/>
          </w:tcPr>
          <w:p w14:paraId="3F03DB08" w14:textId="0620603A" w:rsidR="0036746A" w:rsidRPr="00FB38E1" w:rsidRDefault="0036746A" w:rsidP="0036746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Ertelenmiş Vergi Borcu</w:t>
            </w:r>
          </w:p>
        </w:tc>
        <w:tc>
          <w:tcPr>
            <w:tcW w:w="1149" w:type="pct"/>
            <w:tcBorders>
              <w:top w:val="single" w:sz="4" w:space="0" w:color="auto"/>
              <w:bottom w:val="single" w:sz="4" w:space="0" w:color="auto"/>
            </w:tcBorders>
            <w:shd w:val="clear" w:color="auto" w:fill="auto"/>
            <w:vAlign w:val="center"/>
          </w:tcPr>
          <w:p w14:paraId="11F6A4D1" w14:textId="0596B49C" w:rsidR="0036746A" w:rsidRPr="00FB38E1" w:rsidRDefault="00F87BC4" w:rsidP="00F87BC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(5.151.956)</w:t>
            </w:r>
          </w:p>
        </w:tc>
        <w:tc>
          <w:tcPr>
            <w:tcW w:w="1149" w:type="pct"/>
            <w:tcBorders>
              <w:top w:val="single" w:sz="4" w:space="0" w:color="auto"/>
              <w:bottom w:val="single" w:sz="4" w:space="0" w:color="auto"/>
            </w:tcBorders>
            <w:vAlign w:val="center"/>
          </w:tcPr>
          <w:p w14:paraId="5644F9A0" w14:textId="246738D6" w:rsidR="0036746A" w:rsidRPr="00FB38E1" w:rsidRDefault="0036746A" w:rsidP="0036746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(3.340.038)</w:t>
            </w:r>
          </w:p>
        </w:tc>
      </w:tr>
      <w:tr w:rsidR="0036746A" w:rsidRPr="00FB38E1" w14:paraId="167D4097" w14:textId="2F295780" w:rsidTr="000F2B6A">
        <w:tc>
          <w:tcPr>
            <w:tcW w:w="2702" w:type="pct"/>
            <w:tcBorders>
              <w:top w:val="single" w:sz="4" w:space="0" w:color="auto"/>
              <w:bottom w:val="thickThinSmallGap" w:sz="24" w:space="0" w:color="auto"/>
            </w:tcBorders>
            <w:vAlign w:val="center"/>
          </w:tcPr>
          <w:p w14:paraId="3B2A66DE" w14:textId="3B0D6BBC" w:rsidR="0036746A" w:rsidRPr="00FB38E1" w:rsidRDefault="0036746A" w:rsidP="0036746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 Ertelenmiş Vergi Varlığı</w:t>
            </w:r>
          </w:p>
        </w:tc>
        <w:tc>
          <w:tcPr>
            <w:tcW w:w="1149" w:type="pct"/>
            <w:tcBorders>
              <w:top w:val="single" w:sz="4" w:space="0" w:color="auto"/>
              <w:bottom w:val="thickThinSmallGap" w:sz="24" w:space="0" w:color="auto"/>
            </w:tcBorders>
            <w:shd w:val="clear" w:color="auto" w:fill="auto"/>
            <w:vAlign w:val="center"/>
          </w:tcPr>
          <w:p w14:paraId="64B91A47" w14:textId="2F2BE824" w:rsidR="0036746A" w:rsidRPr="00FB38E1" w:rsidRDefault="00F87BC4" w:rsidP="00F87BC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4.756.787</w:t>
            </w:r>
          </w:p>
        </w:tc>
        <w:tc>
          <w:tcPr>
            <w:tcW w:w="1149" w:type="pct"/>
            <w:tcBorders>
              <w:top w:val="single" w:sz="4" w:space="0" w:color="auto"/>
              <w:bottom w:val="thickThinSmallGap" w:sz="24" w:space="0" w:color="auto"/>
            </w:tcBorders>
            <w:vAlign w:val="center"/>
          </w:tcPr>
          <w:p w14:paraId="600EA450" w14:textId="71361025" w:rsidR="0036746A" w:rsidRPr="00FB38E1" w:rsidRDefault="0036746A" w:rsidP="0036746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4.173.522</w:t>
            </w:r>
          </w:p>
        </w:tc>
      </w:tr>
    </w:tbl>
    <w:bookmarkEnd w:id="61"/>
    <w:p w14:paraId="07A03226" w14:textId="0BDCC636" w:rsidR="000F2B6A" w:rsidRPr="00FB38E1" w:rsidRDefault="000F2B6A" w:rsidP="000F2B6A">
      <w:pPr>
        <w:pStyle w:val="BASLIK2"/>
        <w:widowControl/>
        <w:spacing w:before="120" w:line="240" w:lineRule="auto"/>
        <w:ind w:firstLine="0"/>
        <w:rPr>
          <w:rFonts w:ascii="Microsoft Sans Serif" w:hAnsi="Microsoft Sans Serif" w:cs="Microsoft Sans Serif"/>
          <w:b w:val="0"/>
          <w:bCs w:val="0"/>
          <w:color w:val="404040"/>
          <w:sz w:val="16"/>
          <w:szCs w:val="16"/>
        </w:rPr>
      </w:pPr>
      <w:r w:rsidRPr="00FB38E1">
        <w:rPr>
          <w:rFonts w:ascii="Microsoft Sans Serif" w:hAnsi="Microsoft Sans Serif" w:cs="Microsoft Sans Serif"/>
          <w:b w:val="0"/>
          <w:color w:val="404040"/>
          <w:sz w:val="16"/>
          <w:szCs w:val="16"/>
        </w:rPr>
        <w:t>(*)</w:t>
      </w:r>
      <w:r w:rsidRPr="00FB38E1">
        <w:rPr>
          <w:rFonts w:ascii="Microsoft Sans Serif" w:hAnsi="Microsoft Sans Serif" w:cs="Microsoft Sans Serif"/>
          <w:color w:val="404040"/>
          <w:sz w:val="16"/>
          <w:szCs w:val="16"/>
        </w:rPr>
        <w:t xml:space="preserve"> </w:t>
      </w:r>
      <w:r w:rsidRPr="00FB38E1">
        <w:rPr>
          <w:rFonts w:ascii="Microsoft Sans Serif" w:hAnsi="Microsoft Sans Serif" w:cs="Microsoft Sans Serif"/>
          <w:b w:val="0"/>
          <w:bCs w:val="0"/>
          <w:color w:val="404040"/>
          <w:sz w:val="16"/>
          <w:szCs w:val="16"/>
        </w:rPr>
        <w:t>Mali zarar, kurumlar vergisi hesaplamasında esas itibarıyla finansal araçların Vergi Usul Kanunu (VUK) uyarınca değerlemesinden kaynaklanmaktadır.</w:t>
      </w:r>
    </w:p>
    <w:p w14:paraId="5E23A0C5" w14:textId="619FBABA" w:rsidR="00F30C15" w:rsidRPr="00FB38E1" w:rsidRDefault="00F30C15" w:rsidP="00076C9E">
      <w:pPr>
        <w:pStyle w:val="BASLIK2"/>
        <w:widowControl/>
        <w:numPr>
          <w:ilvl w:val="0"/>
          <w:numId w:val="17"/>
        </w:numPr>
        <w:spacing w:line="240" w:lineRule="exact"/>
        <w:ind w:left="0" w:hanging="426"/>
        <w:rPr>
          <w:rFonts w:ascii="Microsoft Sans Serif" w:hAnsi="Microsoft Sans Serif" w:cs="Microsoft Sans Serif"/>
          <w:bCs w:val="0"/>
          <w:iCs/>
          <w:sz w:val="20"/>
          <w:szCs w:val="20"/>
        </w:rPr>
      </w:pPr>
      <w:r w:rsidRPr="00FB38E1">
        <w:rPr>
          <w:rFonts w:ascii="Microsoft Sans Serif" w:hAnsi="Microsoft Sans Serif" w:cs="Microsoft Sans Serif"/>
          <w:bCs w:val="0"/>
          <w:noProof/>
          <w:snapToGrid w:val="0"/>
          <w:sz w:val="20"/>
          <w:szCs w:val="20"/>
        </w:rPr>
        <w:t>Satış amaçlı elde tutulan ve durdurulan faaliyetlere ilişkin duran varlıklar hakkında açıklamalar</w:t>
      </w:r>
    </w:p>
    <w:p w14:paraId="6F6E79EC" w14:textId="6B8964D8" w:rsidR="00A45ED3" w:rsidRPr="00FB38E1" w:rsidRDefault="00A45ED3" w:rsidP="00A45ED3">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Banka’nın bağlı ortaklıklarından Eurodeniz International Banking Unit Ltd.</w:t>
      </w:r>
      <w:r w:rsidR="00F65B65" w:rsidRPr="00FB38E1">
        <w:rPr>
          <w:rFonts w:ascii="Microsoft Sans Serif" w:hAnsi="Microsoft Sans Serif" w:cs="Microsoft Sans Serif"/>
          <w:b w:val="0"/>
          <w:noProof/>
          <w:color w:val="404040" w:themeColor="text1" w:themeTint="BF"/>
          <w:sz w:val="20"/>
          <w:szCs w:val="20"/>
        </w:rPr>
        <w:t>’in</w:t>
      </w:r>
      <w:r w:rsidRPr="00FB38E1">
        <w:rPr>
          <w:rFonts w:ascii="Microsoft Sans Serif" w:hAnsi="Microsoft Sans Serif" w:cs="Microsoft Sans Serif"/>
          <w:b w:val="0"/>
          <w:noProof/>
          <w:color w:val="404040" w:themeColor="text1" w:themeTint="BF"/>
          <w:sz w:val="20"/>
          <w:szCs w:val="20"/>
        </w:rPr>
        <w:t xml:space="preserve"> tasfiye </w:t>
      </w:r>
      <w:r w:rsidR="00F65B65" w:rsidRPr="00FB38E1">
        <w:rPr>
          <w:rFonts w:ascii="Microsoft Sans Serif" w:hAnsi="Microsoft Sans Serif" w:cs="Microsoft Sans Serif"/>
          <w:b w:val="0"/>
          <w:iCs/>
          <w:sz w:val="20"/>
          <w:szCs w:val="20"/>
        </w:rPr>
        <w:t xml:space="preserve">süreci 26 Haziran 2024 tarihi itibarıyla sonuçlanmıştır. </w:t>
      </w:r>
      <w:r w:rsidR="00EB10F1" w:rsidRPr="00FB38E1">
        <w:rPr>
          <w:rFonts w:ascii="Microsoft Sans Serif" w:hAnsi="Microsoft Sans Serif" w:cs="Microsoft Sans Serif"/>
          <w:b w:val="0"/>
          <w:noProof/>
          <w:color w:val="404040" w:themeColor="text1" w:themeTint="BF"/>
          <w:sz w:val="20"/>
          <w:szCs w:val="20"/>
        </w:rPr>
        <w:t>Üçüncü bölüm XI no’lu dipnotta açıklanmıştır.</w:t>
      </w:r>
    </w:p>
    <w:p w14:paraId="5A5A6E76" w14:textId="4D71CE3B" w:rsidR="00F30C15" w:rsidRPr="00FB38E1" w:rsidRDefault="00F30C15" w:rsidP="00076C9E">
      <w:pPr>
        <w:pStyle w:val="BodyTextIndent"/>
        <w:numPr>
          <w:ilvl w:val="0"/>
          <w:numId w:val="17"/>
        </w:numPr>
        <w:spacing w:before="240" w:line="240" w:lineRule="exact"/>
        <w:ind w:left="0" w:hanging="426"/>
        <w:rPr>
          <w:rFonts w:ascii="Microsoft Sans Serif" w:hAnsi="Microsoft Sans Serif" w:cs="Microsoft Sans Serif"/>
          <w:b/>
          <w:bCs/>
          <w:noProof/>
          <w:snapToGrid w:val="0"/>
          <w:sz w:val="20"/>
          <w:szCs w:val="20"/>
        </w:rPr>
      </w:pPr>
      <w:r w:rsidRPr="00FB38E1">
        <w:rPr>
          <w:rFonts w:ascii="Microsoft Sans Serif" w:hAnsi="Microsoft Sans Serif" w:cs="Microsoft Sans Serif"/>
          <w:b/>
          <w:bCs/>
          <w:noProof/>
          <w:snapToGrid w:val="0"/>
          <w:sz w:val="20"/>
          <w:szCs w:val="20"/>
        </w:rPr>
        <w:t>Diğer aktiflere ilişkin bilgiler</w:t>
      </w:r>
      <w:r w:rsidR="005E1B49" w:rsidRPr="00FB38E1">
        <w:rPr>
          <w:rFonts w:ascii="Microsoft Sans Serif" w:hAnsi="Microsoft Sans Serif" w:cs="Microsoft Sans Serif"/>
          <w:b/>
          <w:bCs/>
          <w:noProof/>
          <w:snapToGrid w:val="0"/>
          <w:sz w:val="20"/>
          <w:szCs w:val="20"/>
        </w:rPr>
        <w:t xml:space="preserve"> </w:t>
      </w:r>
    </w:p>
    <w:p w14:paraId="5A4C8AEB" w14:textId="77777777" w:rsidR="00F30C15" w:rsidRPr="00FB38E1" w:rsidRDefault="00F30C15" w:rsidP="00076C9E">
      <w:pPr>
        <w:pStyle w:val="BodyTextIndent"/>
        <w:numPr>
          <w:ilvl w:val="0"/>
          <w:numId w:val="27"/>
        </w:numPr>
        <w:spacing w:before="240" w:line="240" w:lineRule="exact"/>
        <w:ind w:left="0" w:hanging="425"/>
        <w:rPr>
          <w:rFonts w:ascii="Microsoft Sans Serif" w:hAnsi="Microsoft Sans Serif" w:cs="Microsoft Sans Serif"/>
          <w:color w:val="404040" w:themeColor="text1" w:themeTint="BF"/>
          <w:sz w:val="20"/>
          <w:szCs w:val="20"/>
          <w:lang w:eastAsia="en-US"/>
        </w:rPr>
      </w:pPr>
      <w:r w:rsidRPr="00FB38E1">
        <w:rPr>
          <w:rFonts w:ascii="Microsoft Sans Serif" w:hAnsi="Microsoft Sans Serif" w:cs="Microsoft Sans Serif"/>
          <w:color w:val="404040" w:themeColor="text1" w:themeTint="BF"/>
          <w:sz w:val="20"/>
          <w:szCs w:val="20"/>
          <w:lang w:eastAsia="en-US"/>
        </w:rPr>
        <w:t>Peşin ödenen gider, vergi ve benzeri işlemlere ilişkin bilgiler</w:t>
      </w:r>
    </w:p>
    <w:p w14:paraId="457A4258" w14:textId="24A1B410" w:rsidR="00F30C15" w:rsidRPr="00FB38E1" w:rsidRDefault="009170B0" w:rsidP="00F9766F">
      <w:pPr>
        <w:pStyle w:val="BASLIK2"/>
        <w:widowControl/>
        <w:spacing w:before="120" w:after="0" w:line="220" w:lineRule="exact"/>
        <w:ind w:firstLine="0"/>
        <w:rPr>
          <w:rFonts w:ascii="Microsoft Sans Serif" w:hAnsi="Microsoft Sans Serif" w:cs="Microsoft Sans Serif"/>
          <w:b w:val="0"/>
          <w:iCs/>
          <w:color w:val="404040" w:themeColor="text1" w:themeTint="BF"/>
          <w:sz w:val="20"/>
          <w:szCs w:val="20"/>
        </w:rPr>
      </w:pPr>
      <w:r w:rsidRPr="00FB38E1">
        <w:rPr>
          <w:rFonts w:ascii="Microsoft Sans Serif" w:hAnsi="Microsoft Sans Serif" w:cs="Microsoft Sans Serif"/>
          <w:b w:val="0"/>
          <w:iCs/>
          <w:color w:val="404040" w:themeColor="text1" w:themeTint="BF"/>
          <w:sz w:val="20"/>
          <w:szCs w:val="20"/>
        </w:rPr>
        <w:t xml:space="preserve">Banka’nın peşin ödenen giderlerinin toplamı </w:t>
      </w:r>
      <w:r w:rsidR="00664205" w:rsidRPr="00FB38E1">
        <w:rPr>
          <w:rFonts w:ascii="Microsoft Sans Serif" w:hAnsi="Microsoft Sans Serif" w:cs="Microsoft Sans Serif"/>
          <w:b w:val="0"/>
          <w:iCs/>
          <w:color w:val="404040" w:themeColor="text1" w:themeTint="BF"/>
          <w:sz w:val="20"/>
          <w:szCs w:val="20"/>
        </w:rPr>
        <w:t>7.264.567</w:t>
      </w:r>
      <w:r w:rsidR="00D0280F" w:rsidRPr="00FB38E1">
        <w:rPr>
          <w:rFonts w:ascii="Microsoft Sans Serif" w:hAnsi="Microsoft Sans Serif" w:cs="Microsoft Sans Serif"/>
          <w:b w:val="0"/>
          <w:iCs/>
          <w:color w:val="404040" w:themeColor="text1" w:themeTint="BF"/>
          <w:sz w:val="20"/>
          <w:szCs w:val="20"/>
        </w:rPr>
        <w:t xml:space="preserve"> TL</w:t>
      </w:r>
      <w:r w:rsidR="009F78F3" w:rsidRPr="00FB38E1">
        <w:rPr>
          <w:rFonts w:ascii="Microsoft Sans Serif" w:hAnsi="Microsoft Sans Serif" w:cs="Microsoft Sans Serif"/>
          <w:b w:val="0"/>
          <w:iCs/>
          <w:color w:val="404040" w:themeColor="text1" w:themeTint="BF"/>
          <w:sz w:val="20"/>
          <w:szCs w:val="20"/>
        </w:rPr>
        <w:t xml:space="preserve"> (</w:t>
      </w:r>
      <w:r w:rsidR="00ED442B" w:rsidRPr="00FB38E1">
        <w:rPr>
          <w:rFonts w:ascii="Microsoft Sans Serif" w:hAnsi="Microsoft Sans Serif" w:cs="Microsoft Sans Serif"/>
          <w:b w:val="0"/>
          <w:iCs/>
          <w:color w:val="404040" w:themeColor="text1" w:themeTint="BF"/>
          <w:sz w:val="20"/>
          <w:szCs w:val="20"/>
        </w:rPr>
        <w:t>31 Aralık 2023</w:t>
      </w:r>
      <w:r w:rsidR="001B1BB0" w:rsidRPr="00FB38E1">
        <w:rPr>
          <w:rFonts w:ascii="Microsoft Sans Serif" w:hAnsi="Microsoft Sans Serif" w:cs="Microsoft Sans Serif"/>
          <w:b w:val="0"/>
          <w:iCs/>
          <w:color w:val="404040" w:themeColor="text1" w:themeTint="BF"/>
          <w:sz w:val="20"/>
          <w:szCs w:val="20"/>
        </w:rPr>
        <w:t xml:space="preserve">: </w:t>
      </w:r>
      <w:r w:rsidR="00F07E6D" w:rsidRPr="00FB38E1">
        <w:rPr>
          <w:rFonts w:ascii="Microsoft Sans Serif" w:hAnsi="Microsoft Sans Serif" w:cs="Microsoft Sans Serif"/>
          <w:b w:val="0"/>
          <w:iCs/>
          <w:color w:val="404040" w:themeColor="text1" w:themeTint="BF"/>
          <w:sz w:val="20"/>
          <w:szCs w:val="20"/>
        </w:rPr>
        <w:t xml:space="preserve">7.013.485 </w:t>
      </w:r>
      <w:r w:rsidR="00A018BD" w:rsidRPr="00FB38E1">
        <w:rPr>
          <w:rFonts w:ascii="Microsoft Sans Serif" w:hAnsi="Microsoft Sans Serif" w:cs="Microsoft Sans Serif"/>
          <w:b w:val="0"/>
          <w:iCs/>
          <w:color w:val="404040" w:themeColor="text1" w:themeTint="BF"/>
          <w:sz w:val="20"/>
          <w:szCs w:val="20"/>
        </w:rPr>
        <w:t>TL)</w:t>
      </w:r>
      <w:r w:rsidR="00D0280F" w:rsidRPr="00FB38E1">
        <w:rPr>
          <w:rFonts w:ascii="Microsoft Sans Serif" w:hAnsi="Microsoft Sans Serif" w:cs="Microsoft Sans Serif"/>
          <w:b w:val="0"/>
          <w:iCs/>
          <w:color w:val="404040" w:themeColor="text1" w:themeTint="BF"/>
          <w:sz w:val="20"/>
          <w:szCs w:val="20"/>
        </w:rPr>
        <w:t xml:space="preserve"> </w:t>
      </w:r>
      <w:r w:rsidRPr="00FB38E1">
        <w:rPr>
          <w:rFonts w:ascii="Microsoft Sans Serif" w:hAnsi="Microsoft Sans Serif" w:cs="Microsoft Sans Serif"/>
          <w:b w:val="0"/>
          <w:iCs/>
          <w:color w:val="404040" w:themeColor="text1" w:themeTint="BF"/>
          <w:sz w:val="20"/>
          <w:szCs w:val="20"/>
        </w:rPr>
        <w:t>tutarındadır</w:t>
      </w:r>
      <w:r w:rsidR="00F30C15" w:rsidRPr="00FB38E1">
        <w:rPr>
          <w:rFonts w:ascii="Microsoft Sans Serif" w:hAnsi="Microsoft Sans Serif" w:cs="Microsoft Sans Serif"/>
          <w:b w:val="0"/>
          <w:iCs/>
          <w:color w:val="404040" w:themeColor="text1" w:themeTint="BF"/>
          <w:sz w:val="20"/>
          <w:szCs w:val="20"/>
        </w:rPr>
        <w:t>.</w:t>
      </w:r>
    </w:p>
    <w:p w14:paraId="7E501629" w14:textId="77777777" w:rsidR="00F30C15" w:rsidRPr="00FB38E1" w:rsidRDefault="00F30C15" w:rsidP="00076C9E">
      <w:pPr>
        <w:pStyle w:val="BASLIK2"/>
        <w:widowControl/>
        <w:numPr>
          <w:ilvl w:val="0"/>
          <w:numId w:val="27"/>
        </w:numPr>
        <w:spacing w:line="240" w:lineRule="exact"/>
        <w:ind w:left="0" w:hanging="425"/>
        <w:rPr>
          <w:rFonts w:ascii="Microsoft Sans Serif" w:hAnsi="Microsoft Sans Serif" w:cs="Microsoft Sans Serif"/>
          <w:b w:val="0"/>
          <w:bCs w:val="0"/>
          <w:iCs/>
          <w:sz w:val="20"/>
          <w:szCs w:val="20"/>
        </w:rPr>
      </w:pPr>
      <w:r w:rsidRPr="00FB38E1">
        <w:rPr>
          <w:rFonts w:ascii="Microsoft Sans Serif" w:hAnsi="Microsoft Sans Serif" w:cs="Microsoft Sans Serif"/>
          <w:b w:val="0"/>
          <w:bCs w:val="0"/>
          <w:color w:val="404040" w:themeColor="text1" w:themeTint="BF"/>
          <w:sz w:val="20"/>
          <w:szCs w:val="20"/>
        </w:rPr>
        <w:t>Bilançonun diğer aktifler kalemi bilanço dışı taahhütler hariç bilanço toplamının %10’unu aşmamaktadır.</w:t>
      </w:r>
    </w:p>
    <w:p w14:paraId="015B056B" w14:textId="03A6C478" w:rsidR="009B2106" w:rsidRPr="00FB38E1" w:rsidRDefault="009B2106" w:rsidP="009B2106">
      <w:pPr>
        <w:pStyle w:val="ListParagraph"/>
        <w:autoSpaceDE w:val="0"/>
        <w:autoSpaceDN w:val="0"/>
        <w:adjustRightInd w:val="0"/>
        <w:spacing w:before="240" w:after="120" w:line="240" w:lineRule="exact"/>
        <w:ind w:left="0"/>
        <w:contextualSpacing w:val="0"/>
        <w:rPr>
          <w:rFonts w:ascii="Microsoft Sans Serif" w:hAnsi="Microsoft Sans Serif" w:cs="Microsoft Sans Serif"/>
          <w:b/>
        </w:rPr>
      </w:pPr>
      <w:r w:rsidRPr="00FB38E1">
        <w:rPr>
          <w:rFonts w:ascii="Microsoft Sans Serif" w:hAnsi="Microsoft Sans Serif" w:cs="Microsoft Sans Serif"/>
          <w:b/>
        </w:rPr>
        <w:br w:type="page"/>
      </w:r>
    </w:p>
    <w:p w14:paraId="616F2E2F" w14:textId="28277C92" w:rsidR="00F30C15" w:rsidRPr="00FB38E1" w:rsidRDefault="00240B5A" w:rsidP="00076C9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B</w:t>
      </w:r>
      <w:r w:rsidR="00BA4EA3" w:rsidRPr="00FB38E1">
        <w:rPr>
          <w:rFonts w:ascii="Microsoft Sans Serif" w:hAnsi="Microsoft Sans Serif" w:cs="Microsoft Sans Serif"/>
          <w:b/>
        </w:rPr>
        <w:t>ilançonun pasif hesaplarına ilişkin açıklama ve dipnotlar</w:t>
      </w:r>
    </w:p>
    <w:p w14:paraId="3AE2013C" w14:textId="77777777" w:rsidR="00847084" w:rsidRPr="00FB38E1" w:rsidRDefault="00BA4EA3" w:rsidP="00076C9E">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t>Mevduata ilişkin bilgiler</w:t>
      </w:r>
    </w:p>
    <w:p w14:paraId="03834E3C" w14:textId="2C0BA9FE" w:rsidR="00847084" w:rsidRPr="00FB38E1" w:rsidRDefault="00847084" w:rsidP="00847084">
      <w:pPr>
        <w:pStyle w:val="BASLIK2"/>
        <w:widowControl/>
        <w:spacing w:before="120" w:line="240" w:lineRule="exact"/>
        <w:ind w:firstLine="0"/>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b w:val="0"/>
          <w:color w:val="404040" w:themeColor="text1" w:themeTint="BF"/>
          <w:sz w:val="20"/>
          <w:szCs w:val="20"/>
        </w:rPr>
        <w:t xml:space="preserve">Hazine ve Maliye Bakanlığı ile TCMB tarafından işleyiş kuralları belirlenen ve TL mevduatların faiz oranıyla değerlenirken yabancı parada oluşacak kur değişimine karşı da korunmasını sağlayan kur korumalı mevduat ürünü banka müşterilerine raporlanan </w:t>
      </w:r>
      <w:r w:rsidR="00FE264B" w:rsidRPr="00FB38E1">
        <w:rPr>
          <w:rFonts w:ascii="Microsoft Sans Serif" w:hAnsi="Microsoft Sans Serif" w:cs="Microsoft Sans Serif"/>
          <w:b w:val="0"/>
          <w:color w:val="404040" w:themeColor="text1" w:themeTint="BF"/>
          <w:sz w:val="20"/>
          <w:szCs w:val="20"/>
        </w:rPr>
        <w:t>2021 yılı</w:t>
      </w:r>
      <w:r w:rsidRPr="00FB38E1">
        <w:rPr>
          <w:rFonts w:ascii="Microsoft Sans Serif" w:hAnsi="Microsoft Sans Serif" w:cs="Microsoft Sans Serif"/>
          <w:b w:val="0"/>
          <w:color w:val="404040" w:themeColor="text1" w:themeTint="BF"/>
          <w:sz w:val="20"/>
          <w:szCs w:val="20"/>
        </w:rPr>
        <w:t xml:space="preserve"> hesap dönemi itibarıyla sunulmaya başlanmıştır. </w:t>
      </w:r>
      <w:r w:rsidR="00AD2A6F" w:rsidRPr="00FB38E1">
        <w:rPr>
          <w:rFonts w:ascii="Microsoft Sans Serif" w:hAnsi="Microsoft Sans Serif" w:cs="Microsoft Sans Serif"/>
          <w:b w:val="0"/>
          <w:color w:val="404040" w:themeColor="text1" w:themeTint="BF"/>
          <w:sz w:val="20"/>
          <w:szCs w:val="20"/>
        </w:rPr>
        <w:t xml:space="preserve">31 Aralık 2024 </w:t>
      </w:r>
      <w:r w:rsidRPr="00FB38E1">
        <w:rPr>
          <w:rFonts w:ascii="Microsoft Sans Serif" w:hAnsi="Microsoft Sans Serif" w:cs="Microsoft Sans Serif"/>
          <w:b w:val="0"/>
          <w:color w:val="404040" w:themeColor="text1" w:themeTint="BF"/>
          <w:sz w:val="20"/>
          <w:szCs w:val="20"/>
        </w:rPr>
        <w:t xml:space="preserve">tarihi itibarıyla TL mevduat tutarı bu kapsamdaki </w:t>
      </w:r>
      <w:r w:rsidR="00036DBE" w:rsidRPr="00FB38E1">
        <w:rPr>
          <w:rFonts w:ascii="Microsoft Sans Serif" w:hAnsi="Microsoft Sans Serif" w:cs="Microsoft Sans Serif"/>
          <w:b w:val="0"/>
          <w:color w:val="404040" w:themeColor="text1" w:themeTint="BF"/>
          <w:sz w:val="20"/>
          <w:szCs w:val="20"/>
        </w:rPr>
        <w:t>95.445.198</w:t>
      </w:r>
      <w:r w:rsidR="008804DC" w:rsidRPr="00FB38E1">
        <w:rPr>
          <w:rFonts w:ascii="Microsoft Sans Serif" w:hAnsi="Microsoft Sans Serif" w:cs="Microsoft Sans Serif"/>
          <w:b w:val="0"/>
          <w:color w:val="404040" w:themeColor="text1" w:themeTint="BF"/>
          <w:sz w:val="20"/>
          <w:szCs w:val="20"/>
        </w:rPr>
        <w:t xml:space="preserve"> </w:t>
      </w:r>
      <w:r w:rsidRPr="00FB38E1">
        <w:rPr>
          <w:rFonts w:ascii="Microsoft Sans Serif" w:hAnsi="Microsoft Sans Serif" w:cs="Microsoft Sans Serif"/>
          <w:b w:val="0"/>
          <w:color w:val="404040" w:themeColor="text1" w:themeTint="BF"/>
          <w:sz w:val="20"/>
          <w:szCs w:val="20"/>
        </w:rPr>
        <w:t>TL mevduatı içermektedir</w:t>
      </w:r>
      <w:r w:rsidR="00FE264B" w:rsidRPr="00FB38E1">
        <w:rPr>
          <w:rFonts w:ascii="Microsoft Sans Serif" w:hAnsi="Microsoft Sans Serif" w:cs="Microsoft Sans Serif"/>
          <w:b w:val="0"/>
          <w:color w:val="404040" w:themeColor="text1" w:themeTint="BF"/>
          <w:sz w:val="20"/>
          <w:szCs w:val="20"/>
        </w:rPr>
        <w:t xml:space="preserve"> (</w:t>
      </w:r>
      <w:r w:rsidR="00ED442B" w:rsidRPr="00FB38E1">
        <w:rPr>
          <w:rFonts w:ascii="Microsoft Sans Serif" w:hAnsi="Microsoft Sans Serif" w:cs="Microsoft Sans Serif"/>
          <w:b w:val="0"/>
          <w:color w:val="404040" w:themeColor="text1" w:themeTint="BF"/>
          <w:sz w:val="20"/>
          <w:szCs w:val="20"/>
        </w:rPr>
        <w:t>31 Aralık 2023</w:t>
      </w:r>
      <w:r w:rsidR="00F07E6D" w:rsidRPr="00FB38E1">
        <w:rPr>
          <w:rFonts w:ascii="Microsoft Sans Serif" w:hAnsi="Microsoft Sans Serif" w:cs="Microsoft Sans Serif"/>
          <w:b w:val="0"/>
          <w:color w:val="404040" w:themeColor="text1" w:themeTint="BF"/>
          <w:sz w:val="20"/>
          <w:szCs w:val="20"/>
        </w:rPr>
        <w:t>:196.906.806</w:t>
      </w:r>
      <w:r w:rsidR="00B65387" w:rsidRPr="00FB38E1">
        <w:rPr>
          <w:rFonts w:ascii="Microsoft Sans Serif" w:hAnsi="Microsoft Sans Serif" w:cs="Microsoft Sans Serif"/>
          <w:b w:val="0"/>
          <w:color w:val="404040" w:themeColor="text1" w:themeTint="BF"/>
          <w:sz w:val="20"/>
          <w:szCs w:val="20"/>
        </w:rPr>
        <w:t xml:space="preserve"> </w:t>
      </w:r>
      <w:r w:rsidR="00FE264B" w:rsidRPr="00FB38E1">
        <w:rPr>
          <w:rFonts w:ascii="Microsoft Sans Serif" w:hAnsi="Microsoft Sans Serif" w:cs="Microsoft Sans Serif"/>
          <w:b w:val="0"/>
          <w:color w:val="404040" w:themeColor="text1" w:themeTint="BF"/>
          <w:sz w:val="20"/>
          <w:szCs w:val="20"/>
        </w:rPr>
        <w:t xml:space="preserve">TL). </w:t>
      </w:r>
    </w:p>
    <w:p w14:paraId="505FA831" w14:textId="77777777" w:rsidR="00BA4EA3" w:rsidRPr="00FB38E1" w:rsidRDefault="00BA4EA3" w:rsidP="00076C9E">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t>Mevduatın vade yapısına ilişkin bilgiler:</w:t>
      </w:r>
    </w:p>
    <w:p w14:paraId="00C43AFE" w14:textId="7374493F" w:rsidR="00BA4EA3" w:rsidRPr="00FB38E1" w:rsidRDefault="00BA4EA3" w:rsidP="00847084">
      <w:pPr>
        <w:pStyle w:val="BASLIK2"/>
        <w:widowControl/>
        <w:spacing w:before="120" w:line="240" w:lineRule="exact"/>
        <w:ind w:firstLine="0"/>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t xml:space="preserve">Cari </w:t>
      </w:r>
      <w:r w:rsidR="00F36355" w:rsidRPr="00FB38E1">
        <w:rPr>
          <w:rFonts w:ascii="Microsoft Sans Serif" w:hAnsi="Microsoft Sans Serif" w:cs="Microsoft Sans Serif"/>
          <w:noProof/>
          <w:snapToGrid w:val="0"/>
          <w:sz w:val="20"/>
          <w:szCs w:val="20"/>
          <w:lang w:val="de-DE"/>
        </w:rPr>
        <w:t>D</w:t>
      </w:r>
      <w:r w:rsidRPr="00FB38E1">
        <w:rPr>
          <w:rFonts w:ascii="Microsoft Sans Serif" w:hAnsi="Microsoft Sans Serif" w:cs="Microsoft Sans Serif"/>
          <w:noProof/>
          <w:snapToGrid w:val="0"/>
          <w:sz w:val="20"/>
          <w:szCs w:val="20"/>
          <w:lang w:val="de-DE"/>
        </w:rPr>
        <w:t>önem</w:t>
      </w:r>
      <w:r w:rsidR="00B37F6D" w:rsidRPr="00FB38E1">
        <w:rPr>
          <w:rFonts w:ascii="Microsoft Sans Serif" w:hAnsi="Microsoft Sans Serif" w:cs="Microsoft Sans Serif"/>
          <w:noProof/>
          <w:snapToGrid w:val="0"/>
          <w:sz w:val="20"/>
          <w:szCs w:val="20"/>
          <w:lang w:val="de-DE"/>
        </w:rPr>
        <w:t xml:space="preserve">: </w:t>
      </w:r>
      <w:r w:rsidR="00554317" w:rsidRPr="00FB38E1">
        <w:rPr>
          <w:rFonts w:ascii="Microsoft Sans Serif" w:hAnsi="Microsoft Sans Serif" w:cs="Microsoft Sans Serif"/>
          <w:noProof/>
          <w:snapToGrid w:val="0"/>
          <w:sz w:val="20"/>
          <w:szCs w:val="20"/>
          <w:lang w:val="de-DE"/>
        </w:rPr>
        <w:t>31 Aralık 2024</w:t>
      </w:r>
    </w:p>
    <w:tbl>
      <w:tblPr>
        <w:tblStyle w:val="TableGrid"/>
        <w:tblW w:w="9923" w:type="dxa"/>
        <w:tblInd w:w="-28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930"/>
        <w:gridCol w:w="854"/>
        <w:gridCol w:w="151"/>
        <w:gridCol w:w="407"/>
        <w:gridCol w:w="917"/>
        <w:gridCol w:w="1004"/>
        <w:gridCol w:w="1004"/>
        <w:gridCol w:w="1004"/>
        <w:gridCol w:w="917"/>
        <w:gridCol w:w="730"/>
        <w:gridCol w:w="1005"/>
      </w:tblGrid>
      <w:tr w:rsidR="00BA4EA3" w:rsidRPr="00FB38E1" w14:paraId="45A0CF19" w14:textId="77777777" w:rsidTr="00D108A8">
        <w:tc>
          <w:tcPr>
            <w:tcW w:w="972" w:type="pct"/>
            <w:tcBorders>
              <w:top w:val="thinThickSmallGap" w:sz="24" w:space="0" w:color="auto"/>
              <w:bottom w:val="single" w:sz="4" w:space="0" w:color="auto"/>
            </w:tcBorders>
            <w:vAlign w:val="bottom"/>
          </w:tcPr>
          <w:p w14:paraId="0317E364" w14:textId="77777777" w:rsidR="00BA4EA3" w:rsidRPr="00FB38E1" w:rsidRDefault="00BA4EA3">
            <w:pPr>
              <w:rPr>
                <w:rFonts w:ascii="Microsoft Sans Serif" w:hAnsi="Microsoft Sans Serif" w:cs="Microsoft Sans Serif"/>
                <w:b/>
                <w:bCs/>
                <w:sz w:val="16"/>
                <w:szCs w:val="16"/>
              </w:rPr>
            </w:pPr>
          </w:p>
        </w:tc>
        <w:tc>
          <w:tcPr>
            <w:tcW w:w="430" w:type="pct"/>
            <w:tcBorders>
              <w:top w:val="thinThickSmallGap" w:sz="24" w:space="0" w:color="auto"/>
              <w:bottom w:val="single" w:sz="4" w:space="0" w:color="auto"/>
            </w:tcBorders>
            <w:vAlign w:val="bottom"/>
          </w:tcPr>
          <w:p w14:paraId="467B20E3" w14:textId="77777777" w:rsidR="00BA4EA3" w:rsidRPr="00FB38E1" w:rsidRDefault="00BA4EA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Vadesiz</w:t>
            </w:r>
          </w:p>
        </w:tc>
        <w:tc>
          <w:tcPr>
            <w:tcW w:w="281" w:type="pct"/>
            <w:gridSpan w:val="2"/>
            <w:tcBorders>
              <w:top w:val="thinThickSmallGap" w:sz="24" w:space="0" w:color="auto"/>
              <w:bottom w:val="single" w:sz="4" w:space="0" w:color="auto"/>
            </w:tcBorders>
            <w:vAlign w:val="bottom"/>
          </w:tcPr>
          <w:p w14:paraId="7CA97438" w14:textId="77777777" w:rsidR="00BA4EA3" w:rsidRPr="00FB38E1" w:rsidRDefault="00BA4EA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7 Gün İhbarlı</w:t>
            </w:r>
          </w:p>
        </w:tc>
        <w:tc>
          <w:tcPr>
            <w:tcW w:w="462" w:type="pct"/>
            <w:tcBorders>
              <w:top w:val="thinThickSmallGap" w:sz="24" w:space="0" w:color="auto"/>
              <w:bottom w:val="single" w:sz="4" w:space="0" w:color="auto"/>
            </w:tcBorders>
            <w:vAlign w:val="bottom"/>
          </w:tcPr>
          <w:p w14:paraId="0BDC9271" w14:textId="77777777" w:rsidR="00BA4EA3" w:rsidRPr="00FB38E1" w:rsidRDefault="00BA4EA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 Aya Kadar</w:t>
            </w:r>
          </w:p>
        </w:tc>
        <w:tc>
          <w:tcPr>
            <w:tcW w:w="506" w:type="pct"/>
            <w:tcBorders>
              <w:top w:val="thinThickSmallGap" w:sz="24" w:space="0" w:color="auto"/>
              <w:bottom w:val="single" w:sz="4" w:space="0" w:color="auto"/>
            </w:tcBorders>
            <w:vAlign w:val="bottom"/>
          </w:tcPr>
          <w:p w14:paraId="27EAA389" w14:textId="77777777" w:rsidR="00BA4EA3" w:rsidRPr="00FB38E1" w:rsidRDefault="00BA4EA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1-3 Ay</w:t>
            </w:r>
          </w:p>
        </w:tc>
        <w:tc>
          <w:tcPr>
            <w:tcW w:w="506" w:type="pct"/>
            <w:tcBorders>
              <w:top w:val="thinThickSmallGap" w:sz="24" w:space="0" w:color="auto"/>
              <w:bottom w:val="single" w:sz="4" w:space="0" w:color="auto"/>
            </w:tcBorders>
            <w:vAlign w:val="bottom"/>
          </w:tcPr>
          <w:p w14:paraId="6F90983B" w14:textId="77777777" w:rsidR="00BA4EA3" w:rsidRPr="00FB38E1" w:rsidRDefault="00BA4EA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3-6 Ay</w:t>
            </w:r>
          </w:p>
        </w:tc>
        <w:tc>
          <w:tcPr>
            <w:tcW w:w="506" w:type="pct"/>
            <w:tcBorders>
              <w:top w:val="thinThickSmallGap" w:sz="24" w:space="0" w:color="auto"/>
              <w:bottom w:val="single" w:sz="4" w:space="0" w:color="auto"/>
            </w:tcBorders>
            <w:vAlign w:val="bottom"/>
          </w:tcPr>
          <w:p w14:paraId="192D0AFE" w14:textId="77777777" w:rsidR="00BA4EA3" w:rsidRPr="00FB38E1" w:rsidRDefault="00BA4EA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6 Ay-1</w:t>
            </w:r>
            <w:r w:rsidRPr="00FB38E1">
              <w:rPr>
                <w:rFonts w:ascii="Microsoft Sans Serif" w:hAnsi="Microsoft Sans Serif" w:cs="Microsoft Sans Serif"/>
                <w:b/>
                <w:bCs/>
                <w:sz w:val="16"/>
                <w:szCs w:val="16"/>
              </w:rPr>
              <w:br/>
              <w:t>Yıl</w:t>
            </w:r>
          </w:p>
        </w:tc>
        <w:tc>
          <w:tcPr>
            <w:tcW w:w="462" w:type="pct"/>
            <w:tcBorders>
              <w:top w:val="thinThickSmallGap" w:sz="24" w:space="0" w:color="auto"/>
              <w:bottom w:val="single" w:sz="4" w:space="0" w:color="auto"/>
            </w:tcBorders>
            <w:vAlign w:val="bottom"/>
          </w:tcPr>
          <w:p w14:paraId="700B79FA" w14:textId="77777777" w:rsidR="00BA4EA3" w:rsidRPr="00FB38E1" w:rsidRDefault="00BA4EA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 Yıl ve Üstü</w:t>
            </w:r>
          </w:p>
        </w:tc>
        <w:tc>
          <w:tcPr>
            <w:tcW w:w="368" w:type="pct"/>
            <w:tcBorders>
              <w:top w:val="thinThickSmallGap" w:sz="24" w:space="0" w:color="auto"/>
              <w:bottom w:val="single" w:sz="4" w:space="0" w:color="auto"/>
            </w:tcBorders>
            <w:vAlign w:val="bottom"/>
          </w:tcPr>
          <w:p w14:paraId="03536582" w14:textId="77777777" w:rsidR="00BA4EA3" w:rsidRPr="00FB38E1" w:rsidRDefault="00BA4EA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Birikimli Mevduat</w:t>
            </w:r>
          </w:p>
        </w:tc>
        <w:tc>
          <w:tcPr>
            <w:tcW w:w="506" w:type="pct"/>
            <w:tcBorders>
              <w:top w:val="thinThickSmallGap" w:sz="24" w:space="0" w:color="auto"/>
              <w:bottom w:val="single" w:sz="4" w:space="0" w:color="auto"/>
            </w:tcBorders>
            <w:vAlign w:val="bottom"/>
          </w:tcPr>
          <w:p w14:paraId="3169DF1B" w14:textId="77777777" w:rsidR="00BA4EA3" w:rsidRPr="00FB38E1" w:rsidRDefault="00BA4EA3">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Toplam</w:t>
            </w:r>
          </w:p>
        </w:tc>
      </w:tr>
      <w:tr w:rsidR="00D108A8" w:rsidRPr="00FB38E1" w14:paraId="2953910B" w14:textId="77777777" w:rsidTr="00D108A8">
        <w:tc>
          <w:tcPr>
            <w:tcW w:w="972" w:type="pct"/>
            <w:tcBorders>
              <w:top w:val="single" w:sz="4" w:space="0" w:color="auto"/>
            </w:tcBorders>
            <w:vAlign w:val="bottom"/>
          </w:tcPr>
          <w:p w14:paraId="4535DD14"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Tasarruf Mevduatı</w:t>
            </w:r>
          </w:p>
        </w:tc>
        <w:tc>
          <w:tcPr>
            <w:tcW w:w="506" w:type="pct"/>
            <w:gridSpan w:val="2"/>
            <w:tcBorders>
              <w:top w:val="single" w:sz="4" w:space="0" w:color="auto"/>
            </w:tcBorders>
            <w:vAlign w:val="center"/>
          </w:tcPr>
          <w:p w14:paraId="3E6F30CA" w14:textId="42A0B52B"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25.071.613</w:t>
            </w:r>
          </w:p>
        </w:tc>
        <w:tc>
          <w:tcPr>
            <w:tcW w:w="205" w:type="pct"/>
            <w:tcBorders>
              <w:top w:val="single" w:sz="4" w:space="0" w:color="auto"/>
            </w:tcBorders>
            <w:vAlign w:val="center"/>
          </w:tcPr>
          <w:p w14:paraId="4AAF9E22" w14:textId="73241D22"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tcBorders>
              <w:top w:val="single" w:sz="4" w:space="0" w:color="auto"/>
            </w:tcBorders>
            <w:vAlign w:val="center"/>
          </w:tcPr>
          <w:p w14:paraId="4E5255A4" w14:textId="41893FD3"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17.486.005</w:t>
            </w:r>
          </w:p>
        </w:tc>
        <w:tc>
          <w:tcPr>
            <w:tcW w:w="506" w:type="pct"/>
            <w:tcBorders>
              <w:top w:val="single" w:sz="4" w:space="0" w:color="auto"/>
            </w:tcBorders>
            <w:vAlign w:val="center"/>
          </w:tcPr>
          <w:p w14:paraId="47AC65DF" w14:textId="690BEDB4"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176.883.749</w:t>
            </w:r>
          </w:p>
        </w:tc>
        <w:tc>
          <w:tcPr>
            <w:tcW w:w="506" w:type="pct"/>
            <w:tcBorders>
              <w:top w:val="single" w:sz="4" w:space="0" w:color="auto"/>
            </w:tcBorders>
            <w:vAlign w:val="center"/>
          </w:tcPr>
          <w:p w14:paraId="3BCCE811" w14:textId="1A8628B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80.915.765</w:t>
            </w:r>
          </w:p>
        </w:tc>
        <w:tc>
          <w:tcPr>
            <w:tcW w:w="506" w:type="pct"/>
            <w:tcBorders>
              <w:top w:val="single" w:sz="4" w:space="0" w:color="auto"/>
            </w:tcBorders>
            <w:vAlign w:val="center"/>
          </w:tcPr>
          <w:p w14:paraId="3EEF95AA" w14:textId="0A4D1E61"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23.706.040</w:t>
            </w:r>
          </w:p>
        </w:tc>
        <w:tc>
          <w:tcPr>
            <w:tcW w:w="462" w:type="pct"/>
            <w:tcBorders>
              <w:top w:val="single" w:sz="4" w:space="0" w:color="auto"/>
            </w:tcBorders>
            <w:vAlign w:val="center"/>
          </w:tcPr>
          <w:p w14:paraId="084D6B29" w14:textId="62B7DF96"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40.070.385</w:t>
            </w:r>
          </w:p>
        </w:tc>
        <w:tc>
          <w:tcPr>
            <w:tcW w:w="368" w:type="pct"/>
            <w:tcBorders>
              <w:top w:val="single" w:sz="4" w:space="0" w:color="auto"/>
            </w:tcBorders>
            <w:vAlign w:val="center"/>
          </w:tcPr>
          <w:p w14:paraId="1D14B38D" w14:textId="5D5EB063"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5.504</w:t>
            </w:r>
          </w:p>
        </w:tc>
        <w:tc>
          <w:tcPr>
            <w:tcW w:w="506" w:type="pct"/>
            <w:tcBorders>
              <w:top w:val="single" w:sz="4" w:space="0" w:color="auto"/>
            </w:tcBorders>
            <w:vAlign w:val="center"/>
          </w:tcPr>
          <w:p w14:paraId="3E38EFC8" w14:textId="3A79BF58" w:rsidR="00D108A8" w:rsidRPr="00FB38E1" w:rsidRDefault="00D108A8" w:rsidP="00D108A8">
            <w:pPr>
              <w:jc w:val="right"/>
              <w:rPr>
                <w:rFonts w:ascii="Microsoft Sans Serif" w:hAnsi="Microsoft Sans Serif" w:cs="Microsoft Sans Serif"/>
                <w:b/>
                <w:color w:val="404040"/>
                <w:sz w:val="14"/>
                <w:szCs w:val="14"/>
              </w:rPr>
            </w:pPr>
            <w:r w:rsidRPr="00FB38E1">
              <w:rPr>
                <w:rFonts w:ascii="Microsoft Sans Serif" w:hAnsi="Microsoft Sans Serif" w:cs="Microsoft Sans Serif"/>
                <w:b/>
                <w:bCs/>
                <w:color w:val="000000"/>
                <w:sz w:val="16"/>
                <w:szCs w:val="16"/>
              </w:rPr>
              <w:t>364.139.061</w:t>
            </w:r>
          </w:p>
        </w:tc>
      </w:tr>
      <w:tr w:rsidR="00D108A8" w:rsidRPr="00FB38E1" w14:paraId="178B23F7" w14:textId="77777777" w:rsidTr="00D108A8">
        <w:tc>
          <w:tcPr>
            <w:tcW w:w="972" w:type="pct"/>
            <w:vAlign w:val="bottom"/>
          </w:tcPr>
          <w:p w14:paraId="05F00E1E"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Döviz Tevdiat Hesabı (*)</w:t>
            </w:r>
          </w:p>
        </w:tc>
        <w:tc>
          <w:tcPr>
            <w:tcW w:w="506" w:type="pct"/>
            <w:gridSpan w:val="2"/>
            <w:vAlign w:val="center"/>
          </w:tcPr>
          <w:p w14:paraId="655A5470" w14:textId="0C743B0E"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94.230.941</w:t>
            </w:r>
          </w:p>
        </w:tc>
        <w:tc>
          <w:tcPr>
            <w:tcW w:w="205" w:type="pct"/>
            <w:vAlign w:val="center"/>
          </w:tcPr>
          <w:p w14:paraId="556627B9" w14:textId="6BE79FDB"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4B0ED8A5" w14:textId="72C6726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16.068.747</w:t>
            </w:r>
          </w:p>
        </w:tc>
        <w:tc>
          <w:tcPr>
            <w:tcW w:w="506" w:type="pct"/>
            <w:vAlign w:val="center"/>
          </w:tcPr>
          <w:p w14:paraId="139A1620" w14:textId="6B06DF0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28.896.350</w:t>
            </w:r>
          </w:p>
        </w:tc>
        <w:tc>
          <w:tcPr>
            <w:tcW w:w="506" w:type="pct"/>
            <w:vAlign w:val="center"/>
          </w:tcPr>
          <w:p w14:paraId="194F777C" w14:textId="0893A95A"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3.843.583</w:t>
            </w:r>
          </w:p>
        </w:tc>
        <w:tc>
          <w:tcPr>
            <w:tcW w:w="506" w:type="pct"/>
            <w:vAlign w:val="center"/>
          </w:tcPr>
          <w:p w14:paraId="18A789D2" w14:textId="10D02D1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11.952.058</w:t>
            </w:r>
          </w:p>
        </w:tc>
        <w:tc>
          <w:tcPr>
            <w:tcW w:w="462" w:type="pct"/>
            <w:vAlign w:val="center"/>
          </w:tcPr>
          <w:p w14:paraId="6E5EF27C" w14:textId="2D399278"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5.519.043</w:t>
            </w:r>
          </w:p>
        </w:tc>
        <w:tc>
          <w:tcPr>
            <w:tcW w:w="368" w:type="pct"/>
            <w:vAlign w:val="center"/>
          </w:tcPr>
          <w:p w14:paraId="4B897DE6" w14:textId="78122C55"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13.306</w:t>
            </w:r>
          </w:p>
        </w:tc>
        <w:tc>
          <w:tcPr>
            <w:tcW w:w="506" w:type="pct"/>
            <w:vAlign w:val="center"/>
          </w:tcPr>
          <w:p w14:paraId="74AFCE52" w14:textId="3F701313"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160.524.028</w:t>
            </w:r>
          </w:p>
        </w:tc>
      </w:tr>
      <w:tr w:rsidR="00D108A8" w:rsidRPr="00FB38E1" w14:paraId="6505DAF6" w14:textId="77777777" w:rsidTr="00D108A8">
        <w:tc>
          <w:tcPr>
            <w:tcW w:w="972" w:type="pct"/>
            <w:vAlign w:val="bottom"/>
          </w:tcPr>
          <w:p w14:paraId="4FEF7E17" w14:textId="77777777" w:rsidR="00D108A8" w:rsidRPr="00FB38E1" w:rsidRDefault="00D108A8" w:rsidP="00D108A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içinde Yer. K.</w:t>
            </w:r>
          </w:p>
        </w:tc>
        <w:tc>
          <w:tcPr>
            <w:tcW w:w="506" w:type="pct"/>
            <w:gridSpan w:val="2"/>
            <w:vAlign w:val="center"/>
          </w:tcPr>
          <w:p w14:paraId="31C51D83" w14:textId="3ED9CE6A"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68.116.181</w:t>
            </w:r>
          </w:p>
        </w:tc>
        <w:tc>
          <w:tcPr>
            <w:tcW w:w="205" w:type="pct"/>
            <w:vAlign w:val="center"/>
          </w:tcPr>
          <w:p w14:paraId="7209E64E" w14:textId="2C2BD21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00D535A0" w14:textId="25394DD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14.770.459</w:t>
            </w:r>
          </w:p>
        </w:tc>
        <w:tc>
          <w:tcPr>
            <w:tcW w:w="506" w:type="pct"/>
            <w:vAlign w:val="center"/>
          </w:tcPr>
          <w:p w14:paraId="0E76F533" w14:textId="4EDDB06A"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24.786.573</w:t>
            </w:r>
          </w:p>
        </w:tc>
        <w:tc>
          <w:tcPr>
            <w:tcW w:w="506" w:type="pct"/>
            <w:vAlign w:val="center"/>
          </w:tcPr>
          <w:p w14:paraId="04A9503E" w14:textId="4F0A2156"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2.904.689</w:t>
            </w:r>
          </w:p>
        </w:tc>
        <w:tc>
          <w:tcPr>
            <w:tcW w:w="506" w:type="pct"/>
            <w:vAlign w:val="center"/>
          </w:tcPr>
          <w:p w14:paraId="6E7807AA" w14:textId="34D6C7C8"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4.641.247</w:t>
            </w:r>
          </w:p>
        </w:tc>
        <w:tc>
          <w:tcPr>
            <w:tcW w:w="462" w:type="pct"/>
            <w:vAlign w:val="center"/>
          </w:tcPr>
          <w:p w14:paraId="0DCB029A" w14:textId="2C949E96"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3.037.400</w:t>
            </w:r>
          </w:p>
        </w:tc>
        <w:tc>
          <w:tcPr>
            <w:tcW w:w="368" w:type="pct"/>
            <w:vAlign w:val="center"/>
          </w:tcPr>
          <w:p w14:paraId="402F9727" w14:textId="4C59331E"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8.862</w:t>
            </w:r>
          </w:p>
        </w:tc>
        <w:tc>
          <w:tcPr>
            <w:tcW w:w="506" w:type="pct"/>
            <w:vAlign w:val="center"/>
          </w:tcPr>
          <w:p w14:paraId="7CC67866" w14:textId="7278B146"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118.265.411</w:t>
            </w:r>
          </w:p>
        </w:tc>
      </w:tr>
      <w:tr w:rsidR="00D108A8" w:rsidRPr="00FB38E1" w14:paraId="17FE0E87" w14:textId="77777777" w:rsidTr="00D108A8">
        <w:tc>
          <w:tcPr>
            <w:tcW w:w="972" w:type="pct"/>
            <w:vAlign w:val="bottom"/>
          </w:tcPr>
          <w:p w14:paraId="2CADFD97" w14:textId="4F0B9651" w:rsidR="00D108A8" w:rsidRPr="00FB38E1" w:rsidRDefault="00D108A8" w:rsidP="00D108A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dışında Yer. K.</w:t>
            </w:r>
          </w:p>
        </w:tc>
        <w:tc>
          <w:tcPr>
            <w:tcW w:w="506" w:type="pct"/>
            <w:gridSpan w:val="2"/>
            <w:vAlign w:val="center"/>
          </w:tcPr>
          <w:p w14:paraId="29E644C0" w14:textId="779E4E3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26.114.760</w:t>
            </w:r>
          </w:p>
        </w:tc>
        <w:tc>
          <w:tcPr>
            <w:tcW w:w="205" w:type="pct"/>
            <w:vAlign w:val="center"/>
          </w:tcPr>
          <w:p w14:paraId="01E84AC0" w14:textId="151D1F11"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478868CA" w14:textId="13896C4B"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1.298.288</w:t>
            </w:r>
          </w:p>
        </w:tc>
        <w:tc>
          <w:tcPr>
            <w:tcW w:w="506" w:type="pct"/>
            <w:vAlign w:val="center"/>
          </w:tcPr>
          <w:p w14:paraId="5728DA56" w14:textId="168EC613"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4.109.777</w:t>
            </w:r>
          </w:p>
        </w:tc>
        <w:tc>
          <w:tcPr>
            <w:tcW w:w="506" w:type="pct"/>
            <w:vAlign w:val="center"/>
          </w:tcPr>
          <w:p w14:paraId="554CF4A0" w14:textId="175D8693"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938.894</w:t>
            </w:r>
          </w:p>
        </w:tc>
        <w:tc>
          <w:tcPr>
            <w:tcW w:w="506" w:type="pct"/>
            <w:vAlign w:val="center"/>
          </w:tcPr>
          <w:p w14:paraId="045180BC" w14:textId="527C5B2A"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7.310.811</w:t>
            </w:r>
          </w:p>
        </w:tc>
        <w:tc>
          <w:tcPr>
            <w:tcW w:w="462" w:type="pct"/>
            <w:vAlign w:val="center"/>
          </w:tcPr>
          <w:p w14:paraId="45C46145" w14:textId="1205F31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2.481.643</w:t>
            </w:r>
          </w:p>
        </w:tc>
        <w:tc>
          <w:tcPr>
            <w:tcW w:w="368" w:type="pct"/>
            <w:vAlign w:val="center"/>
          </w:tcPr>
          <w:p w14:paraId="19D47E05" w14:textId="38A499E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4.444</w:t>
            </w:r>
          </w:p>
        </w:tc>
        <w:tc>
          <w:tcPr>
            <w:tcW w:w="506" w:type="pct"/>
            <w:vAlign w:val="center"/>
          </w:tcPr>
          <w:p w14:paraId="07F33327" w14:textId="6A8D0B3A"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42.258.617</w:t>
            </w:r>
          </w:p>
        </w:tc>
      </w:tr>
      <w:tr w:rsidR="00D108A8" w:rsidRPr="00FB38E1" w14:paraId="328B3BC0" w14:textId="77777777" w:rsidTr="00D108A8">
        <w:tc>
          <w:tcPr>
            <w:tcW w:w="972" w:type="pct"/>
            <w:vAlign w:val="bottom"/>
          </w:tcPr>
          <w:p w14:paraId="087FFCBB"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Resmi Kur. Mevduatı</w:t>
            </w:r>
          </w:p>
        </w:tc>
        <w:tc>
          <w:tcPr>
            <w:tcW w:w="506" w:type="pct"/>
            <w:gridSpan w:val="2"/>
            <w:vAlign w:val="center"/>
          </w:tcPr>
          <w:p w14:paraId="310F4170" w14:textId="538B6147"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4.130.123</w:t>
            </w:r>
          </w:p>
        </w:tc>
        <w:tc>
          <w:tcPr>
            <w:tcW w:w="205" w:type="pct"/>
            <w:vAlign w:val="center"/>
          </w:tcPr>
          <w:p w14:paraId="314E45AC" w14:textId="0170005E"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22D3A51D" w14:textId="29270E00"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1.365.744</w:t>
            </w:r>
          </w:p>
        </w:tc>
        <w:tc>
          <w:tcPr>
            <w:tcW w:w="506" w:type="pct"/>
            <w:vAlign w:val="center"/>
          </w:tcPr>
          <w:p w14:paraId="2C7203E8" w14:textId="6D89A2B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723.978</w:t>
            </w:r>
          </w:p>
        </w:tc>
        <w:tc>
          <w:tcPr>
            <w:tcW w:w="506" w:type="pct"/>
            <w:vAlign w:val="center"/>
          </w:tcPr>
          <w:p w14:paraId="2D0CA1DD" w14:textId="7FA0798B"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88.237</w:t>
            </w:r>
          </w:p>
        </w:tc>
        <w:tc>
          <w:tcPr>
            <w:tcW w:w="506" w:type="pct"/>
            <w:vAlign w:val="center"/>
          </w:tcPr>
          <w:p w14:paraId="58AA792B" w14:textId="71744764"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5.571</w:t>
            </w:r>
          </w:p>
        </w:tc>
        <w:tc>
          <w:tcPr>
            <w:tcW w:w="462" w:type="pct"/>
            <w:vAlign w:val="center"/>
          </w:tcPr>
          <w:p w14:paraId="1EF75751" w14:textId="7D73CBE0"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3.639</w:t>
            </w:r>
          </w:p>
        </w:tc>
        <w:tc>
          <w:tcPr>
            <w:tcW w:w="368" w:type="pct"/>
            <w:vAlign w:val="center"/>
          </w:tcPr>
          <w:p w14:paraId="11DD7919" w14:textId="38496C03"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787B702C" w14:textId="35FFCE75"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6.317.292</w:t>
            </w:r>
          </w:p>
        </w:tc>
      </w:tr>
      <w:tr w:rsidR="00D108A8" w:rsidRPr="00FB38E1" w14:paraId="33A840D5" w14:textId="77777777" w:rsidTr="00D108A8">
        <w:tc>
          <w:tcPr>
            <w:tcW w:w="972" w:type="pct"/>
            <w:vAlign w:val="bottom"/>
          </w:tcPr>
          <w:p w14:paraId="228000A8"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Tic. Kur. Mevduatı</w:t>
            </w:r>
          </w:p>
        </w:tc>
        <w:tc>
          <w:tcPr>
            <w:tcW w:w="506" w:type="pct"/>
            <w:gridSpan w:val="2"/>
            <w:vAlign w:val="center"/>
          </w:tcPr>
          <w:p w14:paraId="23A5E095" w14:textId="5575DA2A"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24.022.523</w:t>
            </w:r>
          </w:p>
        </w:tc>
        <w:tc>
          <w:tcPr>
            <w:tcW w:w="205" w:type="pct"/>
            <w:vAlign w:val="center"/>
          </w:tcPr>
          <w:p w14:paraId="2DA58CC5" w14:textId="039DB7AE"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431636D6" w14:textId="0119CDDC"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45.483.774</w:t>
            </w:r>
          </w:p>
        </w:tc>
        <w:tc>
          <w:tcPr>
            <w:tcW w:w="506" w:type="pct"/>
            <w:vAlign w:val="center"/>
          </w:tcPr>
          <w:p w14:paraId="46427E58" w14:textId="579993D5"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39.214.189</w:t>
            </w:r>
          </w:p>
        </w:tc>
        <w:tc>
          <w:tcPr>
            <w:tcW w:w="506" w:type="pct"/>
            <w:vAlign w:val="center"/>
          </w:tcPr>
          <w:p w14:paraId="7FF5BE32" w14:textId="0436CD74"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34.974.150</w:t>
            </w:r>
          </w:p>
        </w:tc>
        <w:tc>
          <w:tcPr>
            <w:tcW w:w="506" w:type="pct"/>
            <w:vAlign w:val="center"/>
          </w:tcPr>
          <w:p w14:paraId="118E8844" w14:textId="2EF5D387"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25.746.149</w:t>
            </w:r>
          </w:p>
        </w:tc>
        <w:tc>
          <w:tcPr>
            <w:tcW w:w="462" w:type="pct"/>
            <w:vAlign w:val="center"/>
          </w:tcPr>
          <w:p w14:paraId="240E552C" w14:textId="5FF3FBCE"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15.209.905</w:t>
            </w:r>
          </w:p>
        </w:tc>
        <w:tc>
          <w:tcPr>
            <w:tcW w:w="368" w:type="pct"/>
            <w:vAlign w:val="center"/>
          </w:tcPr>
          <w:p w14:paraId="54E642DD" w14:textId="4ACB6F1C"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209FF5DF" w14:textId="1BD91767"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184.650.690</w:t>
            </w:r>
          </w:p>
        </w:tc>
      </w:tr>
      <w:tr w:rsidR="00D108A8" w:rsidRPr="00FB38E1" w14:paraId="0F35719B" w14:textId="77777777" w:rsidTr="00D108A8">
        <w:tc>
          <w:tcPr>
            <w:tcW w:w="972" w:type="pct"/>
            <w:vAlign w:val="bottom"/>
          </w:tcPr>
          <w:p w14:paraId="58CBF688"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 Kur. Mevduatı</w:t>
            </w:r>
          </w:p>
        </w:tc>
        <w:tc>
          <w:tcPr>
            <w:tcW w:w="506" w:type="pct"/>
            <w:gridSpan w:val="2"/>
            <w:vAlign w:val="center"/>
          </w:tcPr>
          <w:p w14:paraId="23BDA05E" w14:textId="6E490734"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527.132</w:t>
            </w:r>
          </w:p>
        </w:tc>
        <w:tc>
          <w:tcPr>
            <w:tcW w:w="205" w:type="pct"/>
            <w:vAlign w:val="center"/>
          </w:tcPr>
          <w:p w14:paraId="3CBDEB46" w14:textId="4C9F6B70"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5CF7ADF3" w14:textId="42F9A030"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971.631</w:t>
            </w:r>
          </w:p>
        </w:tc>
        <w:tc>
          <w:tcPr>
            <w:tcW w:w="506" w:type="pct"/>
            <w:vAlign w:val="center"/>
          </w:tcPr>
          <w:p w14:paraId="24D93518" w14:textId="7385D70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2.440.181</w:t>
            </w:r>
          </w:p>
        </w:tc>
        <w:tc>
          <w:tcPr>
            <w:tcW w:w="506" w:type="pct"/>
            <w:vAlign w:val="center"/>
          </w:tcPr>
          <w:p w14:paraId="3BD6B030" w14:textId="7790FC47"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1.177.189</w:t>
            </w:r>
          </w:p>
        </w:tc>
        <w:tc>
          <w:tcPr>
            <w:tcW w:w="506" w:type="pct"/>
            <w:vAlign w:val="center"/>
          </w:tcPr>
          <w:p w14:paraId="3631EC71" w14:textId="6036E57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295.732</w:t>
            </w:r>
          </w:p>
        </w:tc>
        <w:tc>
          <w:tcPr>
            <w:tcW w:w="462" w:type="pct"/>
            <w:vAlign w:val="center"/>
          </w:tcPr>
          <w:p w14:paraId="34487E13" w14:textId="145C6577"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2.415</w:t>
            </w:r>
          </w:p>
        </w:tc>
        <w:tc>
          <w:tcPr>
            <w:tcW w:w="368" w:type="pct"/>
            <w:vAlign w:val="center"/>
          </w:tcPr>
          <w:p w14:paraId="5C195C44" w14:textId="5661022C"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53F593D7" w14:textId="030DC6A1"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5.414.280</w:t>
            </w:r>
          </w:p>
        </w:tc>
      </w:tr>
      <w:tr w:rsidR="00D108A8" w:rsidRPr="00FB38E1" w14:paraId="72D0997D" w14:textId="77777777" w:rsidTr="00D108A8">
        <w:tc>
          <w:tcPr>
            <w:tcW w:w="972" w:type="pct"/>
            <w:vAlign w:val="bottom"/>
          </w:tcPr>
          <w:p w14:paraId="1053FA43"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Kıymetli Maden DH</w:t>
            </w:r>
          </w:p>
        </w:tc>
        <w:tc>
          <w:tcPr>
            <w:tcW w:w="506" w:type="pct"/>
            <w:gridSpan w:val="2"/>
            <w:vAlign w:val="center"/>
          </w:tcPr>
          <w:p w14:paraId="00B4A39A" w14:textId="3D266E67"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28.781.618</w:t>
            </w:r>
          </w:p>
        </w:tc>
        <w:tc>
          <w:tcPr>
            <w:tcW w:w="205" w:type="pct"/>
            <w:vAlign w:val="center"/>
          </w:tcPr>
          <w:p w14:paraId="2CF4F475" w14:textId="5025320B"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4C52F81B" w14:textId="1CCC0AAF"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218.152</w:t>
            </w:r>
          </w:p>
        </w:tc>
        <w:tc>
          <w:tcPr>
            <w:tcW w:w="506" w:type="pct"/>
            <w:vAlign w:val="center"/>
          </w:tcPr>
          <w:p w14:paraId="260513B7" w14:textId="2C793714"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2.764.740</w:t>
            </w:r>
          </w:p>
        </w:tc>
        <w:tc>
          <w:tcPr>
            <w:tcW w:w="506" w:type="pct"/>
            <w:vAlign w:val="center"/>
          </w:tcPr>
          <w:p w14:paraId="2BD224DB" w14:textId="44BC7F0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1.901.889</w:t>
            </w:r>
          </w:p>
        </w:tc>
        <w:tc>
          <w:tcPr>
            <w:tcW w:w="506" w:type="pct"/>
            <w:vAlign w:val="center"/>
          </w:tcPr>
          <w:p w14:paraId="37DCA313" w14:textId="0FEE6145"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1.131.238</w:t>
            </w:r>
          </w:p>
        </w:tc>
        <w:tc>
          <w:tcPr>
            <w:tcW w:w="462" w:type="pct"/>
            <w:vAlign w:val="center"/>
          </w:tcPr>
          <w:p w14:paraId="2668EE9D" w14:textId="3F1F1603"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132.519</w:t>
            </w:r>
          </w:p>
        </w:tc>
        <w:tc>
          <w:tcPr>
            <w:tcW w:w="368" w:type="pct"/>
            <w:vAlign w:val="center"/>
          </w:tcPr>
          <w:p w14:paraId="2296C74B" w14:textId="1630695B"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439</w:t>
            </w:r>
          </w:p>
        </w:tc>
        <w:tc>
          <w:tcPr>
            <w:tcW w:w="506" w:type="pct"/>
            <w:vAlign w:val="center"/>
          </w:tcPr>
          <w:p w14:paraId="0D683BF3" w14:textId="58E3270A"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34.930.595</w:t>
            </w:r>
          </w:p>
        </w:tc>
      </w:tr>
      <w:tr w:rsidR="00D108A8" w:rsidRPr="00FB38E1" w14:paraId="0EB94808" w14:textId="77777777" w:rsidTr="00D108A8">
        <w:tc>
          <w:tcPr>
            <w:tcW w:w="972" w:type="pct"/>
            <w:vAlign w:val="bottom"/>
          </w:tcPr>
          <w:p w14:paraId="479D43CD"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 Mevduatı</w:t>
            </w:r>
          </w:p>
        </w:tc>
        <w:tc>
          <w:tcPr>
            <w:tcW w:w="506" w:type="pct"/>
            <w:gridSpan w:val="2"/>
            <w:vAlign w:val="center"/>
          </w:tcPr>
          <w:p w14:paraId="773EDED2" w14:textId="2A33CAA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945.915</w:t>
            </w:r>
          </w:p>
        </w:tc>
        <w:tc>
          <w:tcPr>
            <w:tcW w:w="205" w:type="pct"/>
            <w:vAlign w:val="center"/>
          </w:tcPr>
          <w:p w14:paraId="41F705D7" w14:textId="71CECBB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3CA7E425" w14:textId="37008762"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612.738</w:t>
            </w:r>
          </w:p>
        </w:tc>
        <w:tc>
          <w:tcPr>
            <w:tcW w:w="506" w:type="pct"/>
            <w:vAlign w:val="center"/>
          </w:tcPr>
          <w:p w14:paraId="0FE82D85" w14:textId="56F10011"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971.286</w:t>
            </w:r>
          </w:p>
        </w:tc>
        <w:tc>
          <w:tcPr>
            <w:tcW w:w="506" w:type="pct"/>
            <w:vAlign w:val="center"/>
          </w:tcPr>
          <w:p w14:paraId="59270522" w14:textId="69B4B11B"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551.939</w:t>
            </w:r>
          </w:p>
        </w:tc>
        <w:tc>
          <w:tcPr>
            <w:tcW w:w="506" w:type="pct"/>
            <w:vAlign w:val="center"/>
          </w:tcPr>
          <w:p w14:paraId="48FCBD92" w14:textId="6A8D8AE8"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2.043.512</w:t>
            </w:r>
          </w:p>
        </w:tc>
        <w:tc>
          <w:tcPr>
            <w:tcW w:w="462" w:type="pct"/>
            <w:vAlign w:val="center"/>
          </w:tcPr>
          <w:p w14:paraId="23016A2D" w14:textId="6D760A1A"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1.340.480</w:t>
            </w:r>
          </w:p>
        </w:tc>
        <w:tc>
          <w:tcPr>
            <w:tcW w:w="368" w:type="pct"/>
            <w:vAlign w:val="center"/>
          </w:tcPr>
          <w:p w14:paraId="0852F58D" w14:textId="1870ABB2"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71A2D459" w14:textId="4F7ADEAF"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6.465.870</w:t>
            </w:r>
          </w:p>
        </w:tc>
      </w:tr>
      <w:tr w:rsidR="00D108A8" w:rsidRPr="00FB38E1" w14:paraId="6C891A61" w14:textId="77777777" w:rsidTr="00D108A8">
        <w:tc>
          <w:tcPr>
            <w:tcW w:w="972" w:type="pct"/>
            <w:vAlign w:val="bottom"/>
          </w:tcPr>
          <w:p w14:paraId="750D0B62" w14:textId="77777777" w:rsidR="00D108A8" w:rsidRPr="00FB38E1" w:rsidRDefault="00D108A8" w:rsidP="00D108A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TC Merkez B.</w:t>
            </w:r>
          </w:p>
        </w:tc>
        <w:tc>
          <w:tcPr>
            <w:tcW w:w="506" w:type="pct"/>
            <w:gridSpan w:val="2"/>
            <w:vAlign w:val="center"/>
          </w:tcPr>
          <w:p w14:paraId="107A9C73" w14:textId="11CFBC9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205" w:type="pct"/>
            <w:vAlign w:val="center"/>
          </w:tcPr>
          <w:p w14:paraId="4AD0A658" w14:textId="5EC48A82"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418A4B25" w14:textId="3C67A44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7171A7B9" w14:textId="47A7A72C"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303C69E1" w14:textId="762919BC"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18B6B861" w14:textId="596AE7DA"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34CC1A56" w14:textId="36B03C5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368" w:type="pct"/>
            <w:vAlign w:val="center"/>
          </w:tcPr>
          <w:p w14:paraId="151B1875" w14:textId="3F5DE16B"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4B85F15B" w14:textId="2A58B992"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w:t>
            </w:r>
          </w:p>
        </w:tc>
      </w:tr>
      <w:tr w:rsidR="00D108A8" w:rsidRPr="00FB38E1" w14:paraId="667379D7" w14:textId="77777777" w:rsidTr="00D108A8">
        <w:tc>
          <w:tcPr>
            <w:tcW w:w="972" w:type="pct"/>
            <w:vAlign w:val="bottom"/>
          </w:tcPr>
          <w:p w14:paraId="62C5F1C6" w14:textId="76F0236F" w:rsidR="00D108A8" w:rsidRPr="00FB38E1" w:rsidRDefault="00D108A8" w:rsidP="00D108A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içi Bankalar</w:t>
            </w:r>
          </w:p>
        </w:tc>
        <w:tc>
          <w:tcPr>
            <w:tcW w:w="506" w:type="pct"/>
            <w:gridSpan w:val="2"/>
            <w:vAlign w:val="center"/>
          </w:tcPr>
          <w:p w14:paraId="5ED9208E" w14:textId="05C97A50"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6.896</w:t>
            </w:r>
          </w:p>
        </w:tc>
        <w:tc>
          <w:tcPr>
            <w:tcW w:w="205" w:type="pct"/>
            <w:vAlign w:val="center"/>
          </w:tcPr>
          <w:p w14:paraId="4AC2C971" w14:textId="083444C5"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2DB6D66F" w14:textId="7E94ADA2"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353</w:t>
            </w:r>
          </w:p>
        </w:tc>
        <w:tc>
          <w:tcPr>
            <w:tcW w:w="506" w:type="pct"/>
            <w:vAlign w:val="center"/>
          </w:tcPr>
          <w:p w14:paraId="5A4D26C1" w14:textId="6B62B1FC"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397.453</w:t>
            </w:r>
          </w:p>
        </w:tc>
        <w:tc>
          <w:tcPr>
            <w:tcW w:w="506" w:type="pct"/>
            <w:vAlign w:val="center"/>
          </w:tcPr>
          <w:p w14:paraId="5CD4B06C" w14:textId="42268287"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397.451</w:t>
            </w:r>
          </w:p>
        </w:tc>
        <w:tc>
          <w:tcPr>
            <w:tcW w:w="506" w:type="pct"/>
            <w:vAlign w:val="center"/>
          </w:tcPr>
          <w:p w14:paraId="6681182B" w14:textId="23A98CE7"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018909E8" w14:textId="3C4F9B0A"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408.875</w:t>
            </w:r>
          </w:p>
        </w:tc>
        <w:tc>
          <w:tcPr>
            <w:tcW w:w="368" w:type="pct"/>
            <w:vAlign w:val="center"/>
          </w:tcPr>
          <w:p w14:paraId="014DCC6C" w14:textId="077DF5A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20A7F51F" w14:textId="1C78A578"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1.211.028</w:t>
            </w:r>
          </w:p>
        </w:tc>
      </w:tr>
      <w:tr w:rsidR="00D108A8" w:rsidRPr="00FB38E1" w14:paraId="68B3E796" w14:textId="77777777" w:rsidTr="00D108A8">
        <w:tc>
          <w:tcPr>
            <w:tcW w:w="972" w:type="pct"/>
            <w:vAlign w:val="bottom"/>
          </w:tcPr>
          <w:p w14:paraId="77161AE9" w14:textId="12FD6BF1" w:rsidR="00D108A8" w:rsidRPr="00FB38E1" w:rsidRDefault="00D108A8" w:rsidP="00D108A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 Bankalar</w:t>
            </w:r>
          </w:p>
        </w:tc>
        <w:tc>
          <w:tcPr>
            <w:tcW w:w="506" w:type="pct"/>
            <w:gridSpan w:val="2"/>
            <w:vAlign w:val="center"/>
          </w:tcPr>
          <w:p w14:paraId="26135116" w14:textId="0C157491"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936.716</w:t>
            </w:r>
          </w:p>
        </w:tc>
        <w:tc>
          <w:tcPr>
            <w:tcW w:w="205" w:type="pct"/>
            <w:vAlign w:val="center"/>
          </w:tcPr>
          <w:p w14:paraId="4E1A76F5" w14:textId="76C011F5"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68527728" w14:textId="7256547C"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612.385</w:t>
            </w:r>
          </w:p>
        </w:tc>
        <w:tc>
          <w:tcPr>
            <w:tcW w:w="506" w:type="pct"/>
            <w:vAlign w:val="center"/>
          </w:tcPr>
          <w:p w14:paraId="3EB237C9" w14:textId="50BEFD5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573.833</w:t>
            </w:r>
          </w:p>
        </w:tc>
        <w:tc>
          <w:tcPr>
            <w:tcW w:w="506" w:type="pct"/>
            <w:vAlign w:val="center"/>
          </w:tcPr>
          <w:p w14:paraId="5612F655" w14:textId="00FE7874"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154.488</w:t>
            </w:r>
          </w:p>
        </w:tc>
        <w:tc>
          <w:tcPr>
            <w:tcW w:w="506" w:type="pct"/>
            <w:vAlign w:val="center"/>
          </w:tcPr>
          <w:p w14:paraId="3080EC54" w14:textId="2FFDEA76"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2.043.512</w:t>
            </w:r>
          </w:p>
        </w:tc>
        <w:tc>
          <w:tcPr>
            <w:tcW w:w="462" w:type="pct"/>
            <w:vAlign w:val="center"/>
          </w:tcPr>
          <w:p w14:paraId="5CF71700" w14:textId="38152D5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931.605</w:t>
            </w:r>
          </w:p>
        </w:tc>
        <w:tc>
          <w:tcPr>
            <w:tcW w:w="368" w:type="pct"/>
            <w:vAlign w:val="center"/>
          </w:tcPr>
          <w:p w14:paraId="0E3A3597" w14:textId="2241BBF2"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6A26AC7B" w14:textId="1FBD932D"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5.252.539</w:t>
            </w:r>
          </w:p>
        </w:tc>
      </w:tr>
      <w:tr w:rsidR="00D108A8" w:rsidRPr="00FB38E1" w14:paraId="1BC9FB04" w14:textId="77777777" w:rsidTr="00D108A8">
        <w:tc>
          <w:tcPr>
            <w:tcW w:w="972" w:type="pct"/>
            <w:vAlign w:val="bottom"/>
          </w:tcPr>
          <w:p w14:paraId="58C85DD3" w14:textId="77777777" w:rsidR="00D108A8" w:rsidRPr="00FB38E1" w:rsidRDefault="00D108A8" w:rsidP="00D108A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Katılım Bankaları</w:t>
            </w:r>
          </w:p>
        </w:tc>
        <w:tc>
          <w:tcPr>
            <w:tcW w:w="506" w:type="pct"/>
            <w:gridSpan w:val="2"/>
            <w:vAlign w:val="center"/>
          </w:tcPr>
          <w:p w14:paraId="19C45CEB" w14:textId="652228A3"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2.303</w:t>
            </w:r>
          </w:p>
        </w:tc>
        <w:tc>
          <w:tcPr>
            <w:tcW w:w="205" w:type="pct"/>
            <w:vAlign w:val="center"/>
          </w:tcPr>
          <w:p w14:paraId="1D2D611D" w14:textId="27632C27"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70F362C9" w14:textId="2E7B0176"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44219D46" w14:textId="09D18D2A"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589B61C4" w14:textId="5FD71F4E"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5C028626" w14:textId="4BB6D856"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vAlign w:val="center"/>
          </w:tcPr>
          <w:p w14:paraId="67E159DC" w14:textId="5E3FCFA2"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368" w:type="pct"/>
            <w:vAlign w:val="center"/>
          </w:tcPr>
          <w:p w14:paraId="4B414901" w14:textId="0BDCAA9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vAlign w:val="center"/>
          </w:tcPr>
          <w:p w14:paraId="229A7D69" w14:textId="7B571165"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2.303</w:t>
            </w:r>
          </w:p>
        </w:tc>
      </w:tr>
      <w:tr w:rsidR="00D108A8" w:rsidRPr="00FB38E1" w14:paraId="512EEC23" w14:textId="77777777" w:rsidTr="00D108A8">
        <w:tc>
          <w:tcPr>
            <w:tcW w:w="972" w:type="pct"/>
            <w:tcBorders>
              <w:bottom w:val="single" w:sz="4" w:space="0" w:color="auto"/>
            </w:tcBorders>
            <w:vAlign w:val="bottom"/>
          </w:tcPr>
          <w:p w14:paraId="2EAF8213" w14:textId="77777777" w:rsidR="00D108A8" w:rsidRPr="00FB38E1" w:rsidRDefault="00D108A8" w:rsidP="00D108A8">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506" w:type="pct"/>
            <w:gridSpan w:val="2"/>
            <w:tcBorders>
              <w:bottom w:val="single" w:sz="4" w:space="0" w:color="auto"/>
            </w:tcBorders>
            <w:vAlign w:val="center"/>
          </w:tcPr>
          <w:p w14:paraId="1E1DE088" w14:textId="0D3E44FB"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205" w:type="pct"/>
            <w:tcBorders>
              <w:bottom w:val="single" w:sz="4" w:space="0" w:color="auto"/>
            </w:tcBorders>
            <w:vAlign w:val="center"/>
          </w:tcPr>
          <w:p w14:paraId="7B3B7BC6" w14:textId="0E283BC9"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340847E0" w14:textId="2C66C6A5"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3CBA3A69" w14:textId="7FFBE46C"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4F5FA669" w14:textId="5AB766D4"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237FE2F0" w14:textId="563AC72D"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462" w:type="pct"/>
            <w:tcBorders>
              <w:bottom w:val="single" w:sz="4" w:space="0" w:color="auto"/>
            </w:tcBorders>
            <w:vAlign w:val="center"/>
          </w:tcPr>
          <w:p w14:paraId="7C31CE07" w14:textId="6BDEF997"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368" w:type="pct"/>
            <w:tcBorders>
              <w:bottom w:val="single" w:sz="4" w:space="0" w:color="auto"/>
            </w:tcBorders>
            <w:vAlign w:val="center"/>
          </w:tcPr>
          <w:p w14:paraId="1DB9CF44" w14:textId="55436C6C" w:rsidR="00D108A8" w:rsidRPr="00FB38E1" w:rsidRDefault="00D108A8" w:rsidP="00D108A8">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6"/>
                <w:szCs w:val="16"/>
              </w:rPr>
              <w:t>--</w:t>
            </w:r>
          </w:p>
        </w:tc>
        <w:tc>
          <w:tcPr>
            <w:tcW w:w="506" w:type="pct"/>
            <w:tcBorders>
              <w:bottom w:val="single" w:sz="4" w:space="0" w:color="auto"/>
            </w:tcBorders>
            <w:vAlign w:val="center"/>
          </w:tcPr>
          <w:p w14:paraId="7C512CC1" w14:textId="132FFDF6" w:rsidR="00D108A8" w:rsidRPr="00FB38E1" w:rsidRDefault="00D108A8" w:rsidP="00D108A8">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6"/>
                <w:szCs w:val="16"/>
              </w:rPr>
              <w:t>--</w:t>
            </w:r>
          </w:p>
        </w:tc>
      </w:tr>
      <w:tr w:rsidR="00D108A8" w:rsidRPr="00FB38E1" w14:paraId="64D7FF40" w14:textId="77777777" w:rsidTr="00D108A8">
        <w:tc>
          <w:tcPr>
            <w:tcW w:w="972" w:type="pct"/>
            <w:tcBorders>
              <w:top w:val="single" w:sz="4" w:space="0" w:color="auto"/>
              <w:bottom w:val="thickThinSmallGap" w:sz="24" w:space="0" w:color="auto"/>
            </w:tcBorders>
            <w:vAlign w:val="bottom"/>
          </w:tcPr>
          <w:p w14:paraId="1025D6A8" w14:textId="77777777" w:rsidR="00D108A8" w:rsidRPr="00FB38E1" w:rsidRDefault="00D108A8" w:rsidP="00D108A8">
            <w:pPr>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Toplam</w:t>
            </w:r>
          </w:p>
        </w:tc>
        <w:tc>
          <w:tcPr>
            <w:tcW w:w="506" w:type="pct"/>
            <w:gridSpan w:val="2"/>
            <w:tcBorders>
              <w:top w:val="single" w:sz="4" w:space="0" w:color="auto"/>
              <w:bottom w:val="thickThinSmallGap" w:sz="24" w:space="0" w:color="auto"/>
            </w:tcBorders>
            <w:vAlign w:val="center"/>
          </w:tcPr>
          <w:p w14:paraId="16A899A4" w14:textId="6CEE74CD" w:rsidR="00D108A8" w:rsidRPr="00FB38E1" w:rsidRDefault="00D108A8" w:rsidP="00D108A8">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177.709.865</w:t>
            </w:r>
          </w:p>
        </w:tc>
        <w:tc>
          <w:tcPr>
            <w:tcW w:w="205" w:type="pct"/>
            <w:tcBorders>
              <w:top w:val="single" w:sz="4" w:space="0" w:color="auto"/>
              <w:bottom w:val="thickThinSmallGap" w:sz="24" w:space="0" w:color="auto"/>
            </w:tcBorders>
            <w:vAlign w:val="center"/>
          </w:tcPr>
          <w:p w14:paraId="5D1ADB4E" w14:textId="12E17A33" w:rsidR="00D108A8" w:rsidRPr="00FB38E1" w:rsidRDefault="00D108A8" w:rsidP="00D108A8">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w:t>
            </w:r>
          </w:p>
        </w:tc>
        <w:tc>
          <w:tcPr>
            <w:tcW w:w="462" w:type="pct"/>
            <w:tcBorders>
              <w:top w:val="single" w:sz="4" w:space="0" w:color="auto"/>
              <w:bottom w:val="thickThinSmallGap" w:sz="24" w:space="0" w:color="auto"/>
            </w:tcBorders>
            <w:vAlign w:val="center"/>
          </w:tcPr>
          <w:p w14:paraId="6A5C180C" w14:textId="71EB5249" w:rsidR="00D108A8" w:rsidRPr="00FB38E1" w:rsidRDefault="00D108A8" w:rsidP="00D108A8">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82.206.791</w:t>
            </w:r>
          </w:p>
        </w:tc>
        <w:tc>
          <w:tcPr>
            <w:tcW w:w="506" w:type="pct"/>
            <w:tcBorders>
              <w:top w:val="single" w:sz="4" w:space="0" w:color="auto"/>
              <w:bottom w:val="thickThinSmallGap" w:sz="24" w:space="0" w:color="auto"/>
            </w:tcBorders>
            <w:vAlign w:val="center"/>
          </w:tcPr>
          <w:p w14:paraId="6A1386F5" w14:textId="6AA3448D" w:rsidR="00D108A8" w:rsidRPr="00FB38E1" w:rsidRDefault="00D108A8" w:rsidP="00D108A8">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251.894.473</w:t>
            </w:r>
          </w:p>
        </w:tc>
        <w:tc>
          <w:tcPr>
            <w:tcW w:w="506" w:type="pct"/>
            <w:tcBorders>
              <w:top w:val="single" w:sz="4" w:space="0" w:color="auto"/>
              <w:bottom w:val="thickThinSmallGap" w:sz="24" w:space="0" w:color="auto"/>
            </w:tcBorders>
            <w:vAlign w:val="center"/>
          </w:tcPr>
          <w:p w14:paraId="0A2D55D9" w14:textId="6784475B" w:rsidR="00D108A8" w:rsidRPr="00FB38E1" w:rsidRDefault="00D108A8" w:rsidP="00D108A8">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123.452.752</w:t>
            </w:r>
          </w:p>
        </w:tc>
        <w:tc>
          <w:tcPr>
            <w:tcW w:w="506" w:type="pct"/>
            <w:tcBorders>
              <w:top w:val="single" w:sz="4" w:space="0" w:color="auto"/>
              <w:bottom w:val="thickThinSmallGap" w:sz="24" w:space="0" w:color="auto"/>
            </w:tcBorders>
            <w:vAlign w:val="center"/>
          </w:tcPr>
          <w:p w14:paraId="08432E71" w14:textId="7FDE0BDD" w:rsidR="00D108A8" w:rsidRPr="00FB38E1" w:rsidRDefault="00D108A8" w:rsidP="00D108A8">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64.880.300</w:t>
            </w:r>
          </w:p>
        </w:tc>
        <w:tc>
          <w:tcPr>
            <w:tcW w:w="462" w:type="pct"/>
            <w:tcBorders>
              <w:top w:val="single" w:sz="4" w:space="0" w:color="auto"/>
              <w:bottom w:val="thickThinSmallGap" w:sz="24" w:space="0" w:color="auto"/>
            </w:tcBorders>
            <w:vAlign w:val="center"/>
          </w:tcPr>
          <w:p w14:paraId="145958E7" w14:textId="752B99A1" w:rsidR="00D108A8" w:rsidRPr="00FB38E1" w:rsidRDefault="00D108A8" w:rsidP="00D108A8">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62.278.386</w:t>
            </w:r>
          </w:p>
        </w:tc>
        <w:tc>
          <w:tcPr>
            <w:tcW w:w="368" w:type="pct"/>
            <w:tcBorders>
              <w:top w:val="single" w:sz="4" w:space="0" w:color="auto"/>
              <w:bottom w:val="thickThinSmallGap" w:sz="24" w:space="0" w:color="auto"/>
            </w:tcBorders>
            <w:vAlign w:val="center"/>
          </w:tcPr>
          <w:p w14:paraId="42B46411" w14:textId="50495C69" w:rsidR="00D108A8" w:rsidRPr="00FB38E1" w:rsidRDefault="00D108A8" w:rsidP="00D108A8">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19.249</w:t>
            </w:r>
          </w:p>
        </w:tc>
        <w:tc>
          <w:tcPr>
            <w:tcW w:w="506" w:type="pct"/>
            <w:tcBorders>
              <w:top w:val="single" w:sz="4" w:space="0" w:color="auto"/>
              <w:bottom w:val="thickThinSmallGap" w:sz="24" w:space="0" w:color="auto"/>
            </w:tcBorders>
            <w:vAlign w:val="center"/>
          </w:tcPr>
          <w:p w14:paraId="1D6FCB53" w14:textId="72DB31AB" w:rsidR="00D108A8" w:rsidRPr="00FB38E1" w:rsidRDefault="00D108A8" w:rsidP="00D108A8">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762.441.816</w:t>
            </w:r>
          </w:p>
        </w:tc>
      </w:tr>
    </w:tbl>
    <w:p w14:paraId="4D681AC2" w14:textId="19E92DC2" w:rsidR="00BA4EA3" w:rsidRPr="00FB38E1" w:rsidRDefault="00BA4EA3" w:rsidP="007E3D03">
      <w:pPr>
        <w:pStyle w:val="BASLIK2"/>
        <w:widowControl/>
        <w:spacing w:before="60" w:line="240" w:lineRule="auto"/>
        <w:ind w:left="284" w:hanging="284"/>
        <w:rPr>
          <w:rFonts w:ascii="Microsoft Sans Serif" w:hAnsi="Microsoft Sans Serif" w:cs="Microsoft Sans Serif"/>
          <w:b w:val="0"/>
          <w:iCs/>
          <w:color w:val="404040" w:themeColor="text1" w:themeTint="BF"/>
          <w:sz w:val="14"/>
          <w:szCs w:val="14"/>
          <w:lang w:val="pt-BR"/>
        </w:rPr>
      </w:pPr>
      <w:r w:rsidRPr="00FB38E1">
        <w:rPr>
          <w:rFonts w:ascii="Microsoft Sans Serif" w:hAnsi="Microsoft Sans Serif" w:cs="Microsoft Sans Serif"/>
          <w:b w:val="0"/>
          <w:iCs/>
          <w:color w:val="404040" w:themeColor="text1" w:themeTint="BF"/>
          <w:sz w:val="14"/>
          <w:szCs w:val="14"/>
          <w:lang w:val="pt-BR"/>
        </w:rPr>
        <w:t>(*)</w:t>
      </w:r>
      <w:r w:rsidRPr="00FB38E1">
        <w:rPr>
          <w:rFonts w:ascii="Microsoft Sans Serif" w:hAnsi="Microsoft Sans Serif" w:cs="Microsoft Sans Serif"/>
          <w:b w:val="0"/>
          <w:iCs/>
          <w:color w:val="404040" w:themeColor="text1" w:themeTint="BF"/>
          <w:sz w:val="14"/>
          <w:szCs w:val="14"/>
          <w:lang w:val="pt-BR"/>
        </w:rPr>
        <w:tab/>
      </w:r>
      <w:r w:rsidR="00B71680" w:rsidRPr="00FB38E1">
        <w:rPr>
          <w:rFonts w:ascii="Microsoft Sans Serif" w:hAnsi="Microsoft Sans Serif" w:cs="Microsoft Sans Serif"/>
          <w:b w:val="0"/>
          <w:noProof/>
          <w:snapToGrid w:val="0"/>
          <w:color w:val="595959" w:themeColor="text1" w:themeTint="A6"/>
          <w:sz w:val="14"/>
          <w:szCs w:val="14"/>
          <w:lang w:val="de-DE"/>
        </w:rPr>
        <w:t>Döviz Tevdiat Hesabının</w:t>
      </w:r>
      <w:r w:rsidR="007144CB" w:rsidRPr="00FB38E1">
        <w:rPr>
          <w:rFonts w:ascii="Microsoft Sans Serif" w:hAnsi="Microsoft Sans Serif" w:cs="Microsoft Sans Serif"/>
          <w:b w:val="0"/>
          <w:noProof/>
          <w:snapToGrid w:val="0"/>
          <w:color w:val="595959" w:themeColor="text1" w:themeTint="A6"/>
          <w:sz w:val="14"/>
          <w:szCs w:val="14"/>
          <w:lang w:val="de-DE"/>
        </w:rPr>
        <w:t xml:space="preserve"> 90</w:t>
      </w:r>
      <w:r w:rsidR="00664205" w:rsidRPr="00FB38E1">
        <w:rPr>
          <w:rFonts w:ascii="Microsoft Sans Serif" w:hAnsi="Microsoft Sans Serif" w:cs="Microsoft Sans Serif"/>
          <w:b w:val="0"/>
          <w:noProof/>
          <w:snapToGrid w:val="0"/>
          <w:color w:val="595959" w:themeColor="text1" w:themeTint="A6"/>
          <w:sz w:val="14"/>
          <w:szCs w:val="14"/>
          <w:lang w:val="de-DE"/>
        </w:rPr>
        <w:t>.</w:t>
      </w:r>
      <w:r w:rsidR="007144CB" w:rsidRPr="00FB38E1">
        <w:rPr>
          <w:rFonts w:ascii="Microsoft Sans Serif" w:hAnsi="Microsoft Sans Serif" w:cs="Microsoft Sans Serif"/>
          <w:b w:val="0"/>
          <w:noProof/>
          <w:snapToGrid w:val="0"/>
          <w:color w:val="595959" w:themeColor="text1" w:themeTint="A6"/>
          <w:sz w:val="14"/>
          <w:szCs w:val="14"/>
          <w:lang w:val="de-DE"/>
        </w:rPr>
        <w:t>755</w:t>
      </w:r>
      <w:r w:rsidR="00664205" w:rsidRPr="00FB38E1">
        <w:rPr>
          <w:rFonts w:ascii="Microsoft Sans Serif" w:hAnsi="Microsoft Sans Serif" w:cs="Microsoft Sans Serif"/>
          <w:b w:val="0"/>
          <w:noProof/>
          <w:snapToGrid w:val="0"/>
          <w:color w:val="595959" w:themeColor="text1" w:themeTint="A6"/>
          <w:sz w:val="14"/>
          <w:szCs w:val="14"/>
          <w:lang w:val="de-DE"/>
        </w:rPr>
        <w:t>.</w:t>
      </w:r>
      <w:r w:rsidR="007144CB" w:rsidRPr="00FB38E1">
        <w:rPr>
          <w:rFonts w:ascii="Microsoft Sans Serif" w:hAnsi="Microsoft Sans Serif" w:cs="Microsoft Sans Serif"/>
          <w:b w:val="0"/>
          <w:noProof/>
          <w:snapToGrid w:val="0"/>
          <w:color w:val="595959" w:themeColor="text1" w:themeTint="A6"/>
          <w:sz w:val="14"/>
          <w:szCs w:val="14"/>
          <w:lang w:val="de-DE"/>
        </w:rPr>
        <w:t>328</w:t>
      </w:r>
      <w:r w:rsidR="00CD0962" w:rsidRPr="00FB38E1">
        <w:rPr>
          <w:rFonts w:ascii="Microsoft Sans Serif" w:hAnsi="Microsoft Sans Serif" w:cs="Microsoft Sans Serif"/>
          <w:b w:val="0"/>
          <w:noProof/>
          <w:snapToGrid w:val="0"/>
          <w:color w:val="595959" w:themeColor="text1" w:themeTint="A6"/>
          <w:sz w:val="14"/>
          <w:szCs w:val="14"/>
          <w:lang w:val="de-DE"/>
        </w:rPr>
        <w:t xml:space="preserve"> </w:t>
      </w:r>
      <w:r w:rsidR="00B71680" w:rsidRPr="00FB38E1">
        <w:rPr>
          <w:rFonts w:ascii="Microsoft Sans Serif" w:hAnsi="Microsoft Sans Serif" w:cs="Microsoft Sans Serif"/>
          <w:b w:val="0"/>
          <w:noProof/>
          <w:snapToGrid w:val="0"/>
          <w:color w:val="595959" w:themeColor="text1" w:themeTint="A6"/>
          <w:sz w:val="14"/>
          <w:szCs w:val="14"/>
          <w:lang w:val="de-DE"/>
        </w:rPr>
        <w:t xml:space="preserve">TL‘si Tasarruf Mevduatı müşterisi, </w:t>
      </w:r>
      <w:r w:rsidR="00664205" w:rsidRPr="00FB38E1">
        <w:rPr>
          <w:rFonts w:ascii="Microsoft Sans Serif" w:hAnsi="Microsoft Sans Serif" w:cs="Microsoft Sans Serif"/>
          <w:b w:val="0"/>
          <w:noProof/>
          <w:snapToGrid w:val="0"/>
          <w:color w:val="595959" w:themeColor="text1" w:themeTint="A6"/>
          <w:sz w:val="14"/>
          <w:szCs w:val="14"/>
          <w:lang w:val="de-DE"/>
        </w:rPr>
        <w:t>6</w:t>
      </w:r>
      <w:r w:rsidR="007144CB" w:rsidRPr="00FB38E1">
        <w:rPr>
          <w:rFonts w:ascii="Microsoft Sans Serif" w:hAnsi="Microsoft Sans Serif" w:cs="Microsoft Sans Serif"/>
          <w:b w:val="0"/>
          <w:noProof/>
          <w:snapToGrid w:val="0"/>
          <w:color w:val="595959" w:themeColor="text1" w:themeTint="A6"/>
          <w:sz w:val="14"/>
          <w:szCs w:val="14"/>
          <w:lang w:val="de-DE"/>
        </w:rPr>
        <w:t>9</w:t>
      </w:r>
      <w:r w:rsidR="00664205" w:rsidRPr="00FB38E1">
        <w:rPr>
          <w:rFonts w:ascii="Microsoft Sans Serif" w:hAnsi="Microsoft Sans Serif" w:cs="Microsoft Sans Serif"/>
          <w:b w:val="0"/>
          <w:noProof/>
          <w:snapToGrid w:val="0"/>
          <w:color w:val="595959" w:themeColor="text1" w:themeTint="A6"/>
          <w:sz w:val="14"/>
          <w:szCs w:val="14"/>
          <w:lang w:val="de-DE"/>
        </w:rPr>
        <w:t>.</w:t>
      </w:r>
      <w:r w:rsidR="007144CB" w:rsidRPr="00FB38E1">
        <w:rPr>
          <w:rFonts w:ascii="Microsoft Sans Serif" w:hAnsi="Microsoft Sans Serif" w:cs="Microsoft Sans Serif"/>
          <w:b w:val="0"/>
          <w:noProof/>
          <w:snapToGrid w:val="0"/>
          <w:color w:val="595959" w:themeColor="text1" w:themeTint="A6"/>
          <w:sz w:val="14"/>
          <w:szCs w:val="14"/>
          <w:lang w:val="de-DE"/>
        </w:rPr>
        <w:t>768</w:t>
      </w:r>
      <w:r w:rsidR="00664205" w:rsidRPr="00FB38E1">
        <w:rPr>
          <w:rFonts w:ascii="Microsoft Sans Serif" w:hAnsi="Microsoft Sans Serif" w:cs="Microsoft Sans Serif"/>
          <w:b w:val="0"/>
          <w:noProof/>
          <w:snapToGrid w:val="0"/>
          <w:color w:val="595959" w:themeColor="text1" w:themeTint="A6"/>
          <w:sz w:val="14"/>
          <w:szCs w:val="14"/>
          <w:lang w:val="de-DE"/>
        </w:rPr>
        <w:t>.</w:t>
      </w:r>
      <w:r w:rsidR="00FF712B" w:rsidRPr="00FB38E1">
        <w:rPr>
          <w:rFonts w:ascii="Microsoft Sans Serif" w:hAnsi="Microsoft Sans Serif" w:cs="Microsoft Sans Serif"/>
          <w:b w:val="0"/>
          <w:noProof/>
          <w:snapToGrid w:val="0"/>
          <w:color w:val="595959" w:themeColor="text1" w:themeTint="A6"/>
          <w:sz w:val="14"/>
          <w:szCs w:val="14"/>
          <w:lang w:val="de-DE"/>
        </w:rPr>
        <w:t>700</w:t>
      </w:r>
      <w:r w:rsidR="00CD0962" w:rsidRPr="00FB38E1">
        <w:rPr>
          <w:rFonts w:ascii="Microsoft Sans Serif" w:hAnsi="Microsoft Sans Serif" w:cs="Microsoft Sans Serif"/>
          <w:b w:val="0"/>
          <w:noProof/>
          <w:snapToGrid w:val="0"/>
          <w:color w:val="595959" w:themeColor="text1" w:themeTint="A6"/>
          <w:sz w:val="14"/>
          <w:szCs w:val="14"/>
          <w:lang w:val="de-DE"/>
        </w:rPr>
        <w:t xml:space="preserve"> </w:t>
      </w:r>
      <w:r w:rsidR="00B71680" w:rsidRPr="00FB38E1">
        <w:rPr>
          <w:rFonts w:ascii="Microsoft Sans Serif" w:hAnsi="Microsoft Sans Serif" w:cs="Microsoft Sans Serif"/>
          <w:b w:val="0"/>
          <w:noProof/>
          <w:snapToGrid w:val="0"/>
          <w:color w:val="595959" w:themeColor="text1" w:themeTint="A6"/>
          <w:sz w:val="14"/>
          <w:szCs w:val="14"/>
          <w:lang w:val="de-DE"/>
        </w:rPr>
        <w:t>TL‘si Ticari Mevduat müşterisinden oluşmaktadır</w:t>
      </w:r>
      <w:r w:rsidRPr="00FB38E1">
        <w:rPr>
          <w:rFonts w:ascii="Microsoft Sans Serif" w:hAnsi="Microsoft Sans Serif" w:cs="Microsoft Sans Serif"/>
          <w:b w:val="0"/>
          <w:iCs/>
          <w:color w:val="404040" w:themeColor="text1" w:themeTint="BF"/>
          <w:sz w:val="14"/>
          <w:szCs w:val="14"/>
          <w:lang w:val="pt-BR"/>
        </w:rPr>
        <w:t>.</w:t>
      </w:r>
    </w:p>
    <w:p w14:paraId="2A03B8A9" w14:textId="0ACD62F0" w:rsidR="0025735E" w:rsidRPr="00FB38E1" w:rsidRDefault="0025735E" w:rsidP="0025735E">
      <w:pPr>
        <w:pStyle w:val="BASLIK2"/>
        <w:widowControl/>
        <w:spacing w:line="240" w:lineRule="exact"/>
        <w:ind w:firstLine="0"/>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t xml:space="preserve">Önceki Dönem: </w:t>
      </w:r>
      <w:r w:rsidR="00ED442B" w:rsidRPr="00FB38E1">
        <w:rPr>
          <w:rFonts w:ascii="Microsoft Sans Serif" w:hAnsi="Microsoft Sans Serif" w:cs="Microsoft Sans Serif"/>
          <w:noProof/>
          <w:snapToGrid w:val="0"/>
          <w:sz w:val="20"/>
          <w:szCs w:val="20"/>
          <w:lang w:val="de-DE"/>
        </w:rPr>
        <w:t>31 Aralık 2023</w:t>
      </w:r>
    </w:p>
    <w:tbl>
      <w:tblPr>
        <w:tblStyle w:val="TableGrid"/>
        <w:tblW w:w="9923" w:type="dxa"/>
        <w:tblInd w:w="-284"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97"/>
        <w:gridCol w:w="865"/>
        <w:gridCol w:w="149"/>
        <w:gridCol w:w="411"/>
        <w:gridCol w:w="917"/>
        <w:gridCol w:w="917"/>
        <w:gridCol w:w="1004"/>
        <w:gridCol w:w="917"/>
        <w:gridCol w:w="917"/>
        <w:gridCol w:w="729"/>
        <w:gridCol w:w="1000"/>
      </w:tblGrid>
      <w:tr w:rsidR="002B3660" w:rsidRPr="00FB38E1" w14:paraId="567F4855" w14:textId="77777777" w:rsidTr="00CA3C7D">
        <w:tc>
          <w:tcPr>
            <w:tcW w:w="1057" w:type="pct"/>
            <w:tcBorders>
              <w:top w:val="thinThickSmallGap" w:sz="24" w:space="0" w:color="auto"/>
              <w:bottom w:val="single" w:sz="4" w:space="0" w:color="auto"/>
            </w:tcBorders>
            <w:vAlign w:val="bottom"/>
          </w:tcPr>
          <w:p w14:paraId="7E30262B" w14:textId="77777777" w:rsidR="002B3660" w:rsidRPr="00FB38E1" w:rsidRDefault="002B3660" w:rsidP="002D6ABB">
            <w:pPr>
              <w:rPr>
                <w:rFonts w:ascii="Microsoft Sans Serif" w:hAnsi="Microsoft Sans Serif" w:cs="Microsoft Sans Serif"/>
                <w:b/>
                <w:bCs/>
                <w:sz w:val="16"/>
                <w:szCs w:val="16"/>
              </w:rPr>
            </w:pPr>
          </w:p>
        </w:tc>
        <w:tc>
          <w:tcPr>
            <w:tcW w:w="436" w:type="pct"/>
            <w:tcBorders>
              <w:top w:val="thinThickSmallGap" w:sz="24" w:space="0" w:color="auto"/>
              <w:bottom w:val="single" w:sz="4" w:space="0" w:color="auto"/>
            </w:tcBorders>
            <w:vAlign w:val="bottom"/>
          </w:tcPr>
          <w:p w14:paraId="18353722" w14:textId="77777777" w:rsidR="002B3660" w:rsidRPr="00FB38E1" w:rsidRDefault="002B3660" w:rsidP="002D6AB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Vadesiz</w:t>
            </w:r>
          </w:p>
        </w:tc>
        <w:tc>
          <w:tcPr>
            <w:tcW w:w="282" w:type="pct"/>
            <w:gridSpan w:val="2"/>
            <w:tcBorders>
              <w:top w:val="thinThickSmallGap" w:sz="24" w:space="0" w:color="auto"/>
              <w:bottom w:val="single" w:sz="4" w:space="0" w:color="auto"/>
            </w:tcBorders>
            <w:vAlign w:val="bottom"/>
          </w:tcPr>
          <w:p w14:paraId="4C90E267" w14:textId="77777777" w:rsidR="002B3660" w:rsidRPr="00FB38E1" w:rsidRDefault="002B3660" w:rsidP="002D6AB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7 Gün İhbarlı</w:t>
            </w:r>
          </w:p>
        </w:tc>
        <w:tc>
          <w:tcPr>
            <w:tcW w:w="462" w:type="pct"/>
            <w:tcBorders>
              <w:top w:val="thinThickSmallGap" w:sz="24" w:space="0" w:color="auto"/>
              <w:bottom w:val="single" w:sz="4" w:space="0" w:color="auto"/>
            </w:tcBorders>
            <w:vAlign w:val="bottom"/>
          </w:tcPr>
          <w:p w14:paraId="6D4A5518" w14:textId="77777777" w:rsidR="002B3660" w:rsidRPr="00FB38E1" w:rsidRDefault="002B3660" w:rsidP="002D6AB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 Aya Kadar</w:t>
            </w:r>
          </w:p>
        </w:tc>
        <w:tc>
          <w:tcPr>
            <w:tcW w:w="462" w:type="pct"/>
            <w:tcBorders>
              <w:top w:val="thinThickSmallGap" w:sz="24" w:space="0" w:color="auto"/>
              <w:bottom w:val="single" w:sz="4" w:space="0" w:color="auto"/>
            </w:tcBorders>
            <w:vAlign w:val="bottom"/>
          </w:tcPr>
          <w:p w14:paraId="57AF6517" w14:textId="77777777" w:rsidR="002B3660" w:rsidRPr="00FB38E1" w:rsidRDefault="002B3660" w:rsidP="002D6AB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1-3 Ay</w:t>
            </w:r>
          </w:p>
        </w:tc>
        <w:tc>
          <w:tcPr>
            <w:tcW w:w="506" w:type="pct"/>
            <w:tcBorders>
              <w:top w:val="thinThickSmallGap" w:sz="24" w:space="0" w:color="auto"/>
              <w:bottom w:val="single" w:sz="4" w:space="0" w:color="auto"/>
            </w:tcBorders>
            <w:vAlign w:val="bottom"/>
          </w:tcPr>
          <w:p w14:paraId="7EC6086E" w14:textId="77777777" w:rsidR="002B3660" w:rsidRPr="00FB38E1" w:rsidRDefault="002B3660" w:rsidP="002D6AB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3-6 Ay</w:t>
            </w:r>
          </w:p>
        </w:tc>
        <w:tc>
          <w:tcPr>
            <w:tcW w:w="462" w:type="pct"/>
            <w:tcBorders>
              <w:top w:val="thinThickSmallGap" w:sz="24" w:space="0" w:color="auto"/>
              <w:bottom w:val="single" w:sz="4" w:space="0" w:color="auto"/>
            </w:tcBorders>
            <w:vAlign w:val="bottom"/>
          </w:tcPr>
          <w:p w14:paraId="0E3E6571" w14:textId="77777777" w:rsidR="002B3660" w:rsidRPr="00FB38E1" w:rsidRDefault="002B3660" w:rsidP="002D6AB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6 Ay-1</w:t>
            </w:r>
            <w:r w:rsidRPr="00FB38E1">
              <w:rPr>
                <w:rFonts w:ascii="Microsoft Sans Serif" w:hAnsi="Microsoft Sans Serif" w:cs="Microsoft Sans Serif"/>
                <w:b/>
                <w:bCs/>
                <w:sz w:val="16"/>
                <w:szCs w:val="16"/>
              </w:rPr>
              <w:br/>
              <w:t>Yıl</w:t>
            </w:r>
          </w:p>
        </w:tc>
        <w:tc>
          <w:tcPr>
            <w:tcW w:w="462" w:type="pct"/>
            <w:tcBorders>
              <w:top w:val="thinThickSmallGap" w:sz="24" w:space="0" w:color="auto"/>
              <w:bottom w:val="single" w:sz="4" w:space="0" w:color="auto"/>
            </w:tcBorders>
            <w:vAlign w:val="bottom"/>
          </w:tcPr>
          <w:p w14:paraId="0AC64EBC" w14:textId="77777777" w:rsidR="002B3660" w:rsidRPr="00FB38E1" w:rsidRDefault="002B3660" w:rsidP="002D6AB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 Yıl ve Üstü</w:t>
            </w:r>
          </w:p>
        </w:tc>
        <w:tc>
          <w:tcPr>
            <w:tcW w:w="367" w:type="pct"/>
            <w:tcBorders>
              <w:top w:val="thinThickSmallGap" w:sz="24" w:space="0" w:color="auto"/>
              <w:bottom w:val="single" w:sz="4" w:space="0" w:color="auto"/>
            </w:tcBorders>
            <w:vAlign w:val="bottom"/>
          </w:tcPr>
          <w:p w14:paraId="74C73BFD" w14:textId="77777777" w:rsidR="002B3660" w:rsidRPr="00FB38E1" w:rsidRDefault="002B3660" w:rsidP="002D6AB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Birikimli Mevduat</w:t>
            </w:r>
          </w:p>
        </w:tc>
        <w:tc>
          <w:tcPr>
            <w:tcW w:w="506" w:type="pct"/>
            <w:tcBorders>
              <w:top w:val="thinThickSmallGap" w:sz="24" w:space="0" w:color="auto"/>
              <w:bottom w:val="single" w:sz="4" w:space="0" w:color="auto"/>
            </w:tcBorders>
            <w:vAlign w:val="bottom"/>
          </w:tcPr>
          <w:p w14:paraId="1A5553DF" w14:textId="77777777" w:rsidR="002B3660" w:rsidRPr="00FB38E1" w:rsidRDefault="002B3660" w:rsidP="002D6ABB">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Toplam</w:t>
            </w:r>
          </w:p>
        </w:tc>
      </w:tr>
      <w:tr w:rsidR="00F07E6D" w:rsidRPr="00FB38E1" w14:paraId="7DDACD45" w14:textId="77777777" w:rsidTr="00CA3C7D">
        <w:tc>
          <w:tcPr>
            <w:tcW w:w="1057" w:type="pct"/>
            <w:tcBorders>
              <w:top w:val="single" w:sz="4" w:space="0" w:color="auto"/>
            </w:tcBorders>
            <w:vAlign w:val="bottom"/>
          </w:tcPr>
          <w:p w14:paraId="6C06D92A" w14:textId="77777777" w:rsidR="00F07E6D" w:rsidRPr="00FB38E1" w:rsidRDefault="00F07E6D" w:rsidP="00F07E6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Tasarruf Mevduatı</w:t>
            </w:r>
          </w:p>
        </w:tc>
        <w:tc>
          <w:tcPr>
            <w:tcW w:w="511" w:type="pct"/>
            <w:gridSpan w:val="2"/>
            <w:tcBorders>
              <w:top w:val="single" w:sz="4" w:space="0" w:color="auto"/>
            </w:tcBorders>
            <w:vAlign w:val="center"/>
          </w:tcPr>
          <w:p w14:paraId="5DC61CDD" w14:textId="71EC75C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17.439.466</w:t>
            </w:r>
          </w:p>
        </w:tc>
        <w:tc>
          <w:tcPr>
            <w:tcW w:w="207" w:type="pct"/>
            <w:tcBorders>
              <w:top w:val="single" w:sz="4" w:space="0" w:color="auto"/>
            </w:tcBorders>
            <w:vAlign w:val="center"/>
          </w:tcPr>
          <w:p w14:paraId="144E26D3" w14:textId="4DAB2B2C"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tcBorders>
              <w:top w:val="single" w:sz="4" w:space="0" w:color="auto"/>
            </w:tcBorders>
            <w:vAlign w:val="center"/>
          </w:tcPr>
          <w:p w14:paraId="15342CA5" w14:textId="433A5F6B"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14.188.509</w:t>
            </w:r>
          </w:p>
        </w:tc>
        <w:tc>
          <w:tcPr>
            <w:tcW w:w="462" w:type="pct"/>
            <w:tcBorders>
              <w:top w:val="single" w:sz="4" w:space="0" w:color="auto"/>
            </w:tcBorders>
            <w:vAlign w:val="center"/>
          </w:tcPr>
          <w:p w14:paraId="0DA16E11" w14:textId="01859925"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70.365.653</w:t>
            </w:r>
          </w:p>
        </w:tc>
        <w:tc>
          <w:tcPr>
            <w:tcW w:w="506" w:type="pct"/>
            <w:tcBorders>
              <w:top w:val="single" w:sz="4" w:space="0" w:color="auto"/>
            </w:tcBorders>
            <w:vAlign w:val="center"/>
          </w:tcPr>
          <w:p w14:paraId="05083787" w14:textId="20D050B1"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90.301.008</w:t>
            </w:r>
          </w:p>
        </w:tc>
        <w:tc>
          <w:tcPr>
            <w:tcW w:w="462" w:type="pct"/>
            <w:tcBorders>
              <w:top w:val="single" w:sz="4" w:space="0" w:color="auto"/>
            </w:tcBorders>
            <w:vAlign w:val="center"/>
          </w:tcPr>
          <w:p w14:paraId="2746F61C" w14:textId="0E41F222"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54.697.814</w:t>
            </w:r>
          </w:p>
        </w:tc>
        <w:tc>
          <w:tcPr>
            <w:tcW w:w="462" w:type="pct"/>
            <w:tcBorders>
              <w:top w:val="single" w:sz="4" w:space="0" w:color="auto"/>
            </w:tcBorders>
            <w:vAlign w:val="center"/>
          </w:tcPr>
          <w:p w14:paraId="685C4F42" w14:textId="06C5BA3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27.262.350</w:t>
            </w:r>
          </w:p>
        </w:tc>
        <w:tc>
          <w:tcPr>
            <w:tcW w:w="367" w:type="pct"/>
            <w:tcBorders>
              <w:top w:val="single" w:sz="4" w:space="0" w:color="auto"/>
            </w:tcBorders>
            <w:vAlign w:val="center"/>
          </w:tcPr>
          <w:p w14:paraId="385994EF" w14:textId="10ABD6FA"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3.688</w:t>
            </w:r>
          </w:p>
        </w:tc>
        <w:tc>
          <w:tcPr>
            <w:tcW w:w="506" w:type="pct"/>
            <w:tcBorders>
              <w:top w:val="single" w:sz="4" w:space="0" w:color="auto"/>
            </w:tcBorders>
            <w:vAlign w:val="center"/>
          </w:tcPr>
          <w:p w14:paraId="5FB35543" w14:textId="0AC190F1" w:rsidR="00F07E6D" w:rsidRPr="00FB38E1" w:rsidRDefault="00F07E6D" w:rsidP="00F07E6D">
            <w:pPr>
              <w:jc w:val="right"/>
              <w:rPr>
                <w:rFonts w:ascii="Microsoft Sans Serif" w:hAnsi="Microsoft Sans Serif" w:cs="Microsoft Sans Serif"/>
                <w:b/>
                <w:color w:val="404040"/>
                <w:sz w:val="14"/>
                <w:szCs w:val="16"/>
              </w:rPr>
            </w:pPr>
            <w:r w:rsidRPr="00FB38E1">
              <w:rPr>
                <w:rFonts w:ascii="Microsoft Sans Serif" w:hAnsi="Microsoft Sans Serif" w:cs="Microsoft Sans Serif"/>
                <w:b/>
                <w:bCs/>
                <w:color w:val="000000"/>
                <w:sz w:val="14"/>
                <w:szCs w:val="16"/>
              </w:rPr>
              <w:t>274.258.488</w:t>
            </w:r>
          </w:p>
        </w:tc>
      </w:tr>
      <w:tr w:rsidR="00F07E6D" w:rsidRPr="00FB38E1" w14:paraId="2395C438" w14:textId="77777777" w:rsidTr="00CA3C7D">
        <w:tc>
          <w:tcPr>
            <w:tcW w:w="1057" w:type="pct"/>
            <w:vAlign w:val="bottom"/>
          </w:tcPr>
          <w:p w14:paraId="4E01B96A" w14:textId="77777777" w:rsidR="00F07E6D" w:rsidRPr="00FB38E1" w:rsidRDefault="00F07E6D" w:rsidP="00F07E6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Döviz Tevdiat Hesabı (*)</w:t>
            </w:r>
          </w:p>
        </w:tc>
        <w:tc>
          <w:tcPr>
            <w:tcW w:w="511" w:type="pct"/>
            <w:gridSpan w:val="2"/>
            <w:vAlign w:val="center"/>
          </w:tcPr>
          <w:p w14:paraId="33330055" w14:textId="05EB8645"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104.167.809</w:t>
            </w:r>
          </w:p>
        </w:tc>
        <w:tc>
          <w:tcPr>
            <w:tcW w:w="207" w:type="pct"/>
            <w:vAlign w:val="center"/>
          </w:tcPr>
          <w:p w14:paraId="46A09B23" w14:textId="5D751995"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1A6C7AE3" w14:textId="2F6E035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19.036.462</w:t>
            </w:r>
          </w:p>
        </w:tc>
        <w:tc>
          <w:tcPr>
            <w:tcW w:w="462" w:type="pct"/>
            <w:vAlign w:val="center"/>
          </w:tcPr>
          <w:p w14:paraId="4EB322E4" w14:textId="6D197985"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28.817.858</w:t>
            </w:r>
          </w:p>
        </w:tc>
        <w:tc>
          <w:tcPr>
            <w:tcW w:w="506" w:type="pct"/>
            <w:vAlign w:val="center"/>
          </w:tcPr>
          <w:p w14:paraId="494E6928" w14:textId="16C90230"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4.173.268</w:t>
            </w:r>
          </w:p>
        </w:tc>
        <w:tc>
          <w:tcPr>
            <w:tcW w:w="462" w:type="pct"/>
            <w:vAlign w:val="center"/>
          </w:tcPr>
          <w:p w14:paraId="602505B0" w14:textId="2FE70DA7"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12.176.181</w:t>
            </w:r>
          </w:p>
        </w:tc>
        <w:tc>
          <w:tcPr>
            <w:tcW w:w="462" w:type="pct"/>
            <w:vAlign w:val="center"/>
          </w:tcPr>
          <w:p w14:paraId="075808D5" w14:textId="787BA08C"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6.294.573</w:t>
            </w:r>
          </w:p>
        </w:tc>
        <w:tc>
          <w:tcPr>
            <w:tcW w:w="367" w:type="pct"/>
            <w:vAlign w:val="center"/>
          </w:tcPr>
          <w:p w14:paraId="57578954" w14:textId="3CAC8B16"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12.998</w:t>
            </w:r>
          </w:p>
        </w:tc>
        <w:tc>
          <w:tcPr>
            <w:tcW w:w="506" w:type="pct"/>
            <w:vAlign w:val="center"/>
          </w:tcPr>
          <w:p w14:paraId="543C2CF6" w14:textId="0D1C9988"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174.679.149</w:t>
            </w:r>
          </w:p>
        </w:tc>
      </w:tr>
      <w:tr w:rsidR="00F07E6D" w:rsidRPr="00FB38E1" w14:paraId="768C13E6" w14:textId="77777777" w:rsidTr="00CA3C7D">
        <w:tc>
          <w:tcPr>
            <w:tcW w:w="1057" w:type="pct"/>
            <w:vAlign w:val="bottom"/>
          </w:tcPr>
          <w:p w14:paraId="43954C92" w14:textId="77777777" w:rsidR="00F07E6D" w:rsidRPr="00FB38E1" w:rsidRDefault="00F07E6D" w:rsidP="00F07E6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içinde Yer. K.</w:t>
            </w:r>
          </w:p>
        </w:tc>
        <w:tc>
          <w:tcPr>
            <w:tcW w:w="511" w:type="pct"/>
            <w:gridSpan w:val="2"/>
            <w:vAlign w:val="center"/>
          </w:tcPr>
          <w:p w14:paraId="51A747AB" w14:textId="7217CC4B"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75.816.815</w:t>
            </w:r>
          </w:p>
        </w:tc>
        <w:tc>
          <w:tcPr>
            <w:tcW w:w="207" w:type="pct"/>
            <w:vAlign w:val="center"/>
          </w:tcPr>
          <w:p w14:paraId="197541AA" w14:textId="629F2CA1"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4264E8BB" w14:textId="3C9DD4BB"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17.455.943</w:t>
            </w:r>
          </w:p>
        </w:tc>
        <w:tc>
          <w:tcPr>
            <w:tcW w:w="462" w:type="pct"/>
            <w:vAlign w:val="center"/>
          </w:tcPr>
          <w:p w14:paraId="34411CD6" w14:textId="5098F69D"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25.780.042</w:t>
            </w:r>
          </w:p>
        </w:tc>
        <w:tc>
          <w:tcPr>
            <w:tcW w:w="506" w:type="pct"/>
            <w:vAlign w:val="center"/>
          </w:tcPr>
          <w:p w14:paraId="40FBFB7C" w14:textId="1EBDF92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2.982.489</w:t>
            </w:r>
          </w:p>
        </w:tc>
        <w:tc>
          <w:tcPr>
            <w:tcW w:w="462" w:type="pct"/>
            <w:vAlign w:val="center"/>
          </w:tcPr>
          <w:p w14:paraId="1DEB914D" w14:textId="4FB77EEA"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4.644.685</w:t>
            </w:r>
          </w:p>
        </w:tc>
        <w:tc>
          <w:tcPr>
            <w:tcW w:w="462" w:type="pct"/>
            <w:vAlign w:val="center"/>
          </w:tcPr>
          <w:p w14:paraId="7131F4DC" w14:textId="2B632FB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3.458.708</w:t>
            </w:r>
          </w:p>
        </w:tc>
        <w:tc>
          <w:tcPr>
            <w:tcW w:w="367" w:type="pct"/>
            <w:vAlign w:val="center"/>
          </w:tcPr>
          <w:p w14:paraId="248B9D7A" w14:textId="77685B86"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9.924</w:t>
            </w:r>
          </w:p>
        </w:tc>
        <w:tc>
          <w:tcPr>
            <w:tcW w:w="506" w:type="pct"/>
            <w:vAlign w:val="center"/>
          </w:tcPr>
          <w:p w14:paraId="1B25070C" w14:textId="0D470983"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130.148.606</w:t>
            </w:r>
          </w:p>
        </w:tc>
      </w:tr>
      <w:tr w:rsidR="00F07E6D" w:rsidRPr="00FB38E1" w14:paraId="339747F2" w14:textId="77777777" w:rsidTr="00CA3C7D">
        <w:tc>
          <w:tcPr>
            <w:tcW w:w="1057" w:type="pct"/>
            <w:vAlign w:val="bottom"/>
          </w:tcPr>
          <w:p w14:paraId="76E455C3" w14:textId="77777777" w:rsidR="00F07E6D" w:rsidRPr="00FB38E1" w:rsidRDefault="00F07E6D" w:rsidP="00F07E6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dışında Yer. K.</w:t>
            </w:r>
          </w:p>
        </w:tc>
        <w:tc>
          <w:tcPr>
            <w:tcW w:w="511" w:type="pct"/>
            <w:gridSpan w:val="2"/>
            <w:vAlign w:val="center"/>
          </w:tcPr>
          <w:p w14:paraId="30BB19BE" w14:textId="579DD26F"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28.350.994</w:t>
            </w:r>
          </w:p>
        </w:tc>
        <w:tc>
          <w:tcPr>
            <w:tcW w:w="207" w:type="pct"/>
            <w:vAlign w:val="center"/>
          </w:tcPr>
          <w:p w14:paraId="14D76A43" w14:textId="52F4019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271456D2" w14:textId="6A2C790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1.580.519</w:t>
            </w:r>
          </w:p>
        </w:tc>
        <w:tc>
          <w:tcPr>
            <w:tcW w:w="462" w:type="pct"/>
            <w:vAlign w:val="center"/>
          </w:tcPr>
          <w:p w14:paraId="52537EE5" w14:textId="6D2F1326"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3.037.816</w:t>
            </w:r>
          </w:p>
        </w:tc>
        <w:tc>
          <w:tcPr>
            <w:tcW w:w="506" w:type="pct"/>
            <w:vAlign w:val="center"/>
          </w:tcPr>
          <w:p w14:paraId="6837F167" w14:textId="5D860763"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1.190.779</w:t>
            </w:r>
          </w:p>
        </w:tc>
        <w:tc>
          <w:tcPr>
            <w:tcW w:w="462" w:type="pct"/>
            <w:vAlign w:val="center"/>
          </w:tcPr>
          <w:p w14:paraId="4534F0EE" w14:textId="2EB3F34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7.531.496</w:t>
            </w:r>
          </w:p>
        </w:tc>
        <w:tc>
          <w:tcPr>
            <w:tcW w:w="462" w:type="pct"/>
            <w:vAlign w:val="center"/>
          </w:tcPr>
          <w:p w14:paraId="1B0BC59C" w14:textId="68E88B80"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2.835.865</w:t>
            </w:r>
          </w:p>
        </w:tc>
        <w:tc>
          <w:tcPr>
            <w:tcW w:w="367" w:type="pct"/>
            <w:vAlign w:val="center"/>
          </w:tcPr>
          <w:p w14:paraId="2DA8C1C6" w14:textId="7EFD62C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3.074</w:t>
            </w:r>
          </w:p>
        </w:tc>
        <w:tc>
          <w:tcPr>
            <w:tcW w:w="506" w:type="pct"/>
            <w:vAlign w:val="center"/>
          </w:tcPr>
          <w:p w14:paraId="3E1E8313" w14:textId="27686238"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44.530.543</w:t>
            </w:r>
          </w:p>
        </w:tc>
      </w:tr>
      <w:tr w:rsidR="00F07E6D" w:rsidRPr="00FB38E1" w14:paraId="7F8C1632" w14:textId="77777777" w:rsidTr="00CA3C7D">
        <w:tc>
          <w:tcPr>
            <w:tcW w:w="1057" w:type="pct"/>
            <w:vAlign w:val="bottom"/>
          </w:tcPr>
          <w:p w14:paraId="4DAFD2CC" w14:textId="77777777" w:rsidR="00F07E6D" w:rsidRPr="00FB38E1" w:rsidRDefault="00F07E6D" w:rsidP="00F07E6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Resmi Kur. Mevduatı</w:t>
            </w:r>
          </w:p>
        </w:tc>
        <w:tc>
          <w:tcPr>
            <w:tcW w:w="511" w:type="pct"/>
            <w:gridSpan w:val="2"/>
            <w:vAlign w:val="center"/>
          </w:tcPr>
          <w:p w14:paraId="6D36CBAD" w14:textId="37B5FB9A"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2.047.372</w:t>
            </w:r>
          </w:p>
        </w:tc>
        <w:tc>
          <w:tcPr>
            <w:tcW w:w="207" w:type="pct"/>
            <w:vAlign w:val="center"/>
          </w:tcPr>
          <w:p w14:paraId="6A309771" w14:textId="27C291C6"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652EC3F5" w14:textId="5248C27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122.638</w:t>
            </w:r>
          </w:p>
        </w:tc>
        <w:tc>
          <w:tcPr>
            <w:tcW w:w="462" w:type="pct"/>
            <w:vAlign w:val="center"/>
          </w:tcPr>
          <w:p w14:paraId="4E207C26" w14:textId="22787D36"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199.027</w:t>
            </w:r>
          </w:p>
        </w:tc>
        <w:tc>
          <w:tcPr>
            <w:tcW w:w="506" w:type="pct"/>
            <w:vAlign w:val="center"/>
          </w:tcPr>
          <w:p w14:paraId="4F479818" w14:textId="504FC6A1"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742</w:t>
            </w:r>
          </w:p>
        </w:tc>
        <w:tc>
          <w:tcPr>
            <w:tcW w:w="462" w:type="pct"/>
            <w:vAlign w:val="center"/>
          </w:tcPr>
          <w:p w14:paraId="08A2A5D7" w14:textId="2593CC3D"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3.195</w:t>
            </w:r>
          </w:p>
        </w:tc>
        <w:tc>
          <w:tcPr>
            <w:tcW w:w="462" w:type="pct"/>
            <w:vAlign w:val="center"/>
          </w:tcPr>
          <w:p w14:paraId="62C0E9C4" w14:textId="035D7D9D"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2.491</w:t>
            </w:r>
          </w:p>
        </w:tc>
        <w:tc>
          <w:tcPr>
            <w:tcW w:w="367" w:type="pct"/>
            <w:vAlign w:val="center"/>
          </w:tcPr>
          <w:p w14:paraId="1DD4FB0B" w14:textId="453C62C3"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0EAF8B9F" w14:textId="4579F0EB"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2.375.465</w:t>
            </w:r>
          </w:p>
        </w:tc>
      </w:tr>
      <w:tr w:rsidR="00F07E6D" w:rsidRPr="00FB38E1" w14:paraId="309E4039" w14:textId="77777777" w:rsidTr="00CA3C7D">
        <w:tc>
          <w:tcPr>
            <w:tcW w:w="1057" w:type="pct"/>
            <w:vAlign w:val="bottom"/>
          </w:tcPr>
          <w:p w14:paraId="3C3C6849" w14:textId="77777777" w:rsidR="00F07E6D" w:rsidRPr="00FB38E1" w:rsidRDefault="00F07E6D" w:rsidP="00F07E6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Tic. Kur. Mevduatı</w:t>
            </w:r>
          </w:p>
        </w:tc>
        <w:tc>
          <w:tcPr>
            <w:tcW w:w="511" w:type="pct"/>
            <w:gridSpan w:val="2"/>
            <w:vAlign w:val="center"/>
          </w:tcPr>
          <w:p w14:paraId="7479968D" w14:textId="42C4B1DB"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21.171.211</w:t>
            </w:r>
          </w:p>
        </w:tc>
        <w:tc>
          <w:tcPr>
            <w:tcW w:w="207" w:type="pct"/>
            <w:vAlign w:val="center"/>
          </w:tcPr>
          <w:p w14:paraId="77919DD9" w14:textId="744831B0"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28618D23" w14:textId="7939474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9.477.640</w:t>
            </w:r>
          </w:p>
        </w:tc>
        <w:tc>
          <w:tcPr>
            <w:tcW w:w="462" w:type="pct"/>
            <w:vAlign w:val="center"/>
          </w:tcPr>
          <w:p w14:paraId="41704292" w14:textId="71545493"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16.451.248</w:t>
            </w:r>
          </w:p>
        </w:tc>
        <w:tc>
          <w:tcPr>
            <w:tcW w:w="506" w:type="pct"/>
            <w:vAlign w:val="center"/>
          </w:tcPr>
          <w:p w14:paraId="0AB6A020" w14:textId="10BD46A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27.409.036</w:t>
            </w:r>
          </w:p>
        </w:tc>
        <w:tc>
          <w:tcPr>
            <w:tcW w:w="462" w:type="pct"/>
            <w:vAlign w:val="center"/>
          </w:tcPr>
          <w:p w14:paraId="1B29B13C" w14:textId="56412638"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28.156.586</w:t>
            </w:r>
          </w:p>
        </w:tc>
        <w:tc>
          <w:tcPr>
            <w:tcW w:w="462" w:type="pct"/>
            <w:vAlign w:val="center"/>
          </w:tcPr>
          <w:p w14:paraId="29811AD2" w14:textId="46620B2B"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13.801.214</w:t>
            </w:r>
          </w:p>
        </w:tc>
        <w:tc>
          <w:tcPr>
            <w:tcW w:w="367" w:type="pct"/>
            <w:vAlign w:val="center"/>
          </w:tcPr>
          <w:p w14:paraId="58EEC3D4" w14:textId="26B015CF"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5ADB782D" w14:textId="07D131B2"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116.466.935</w:t>
            </w:r>
          </w:p>
        </w:tc>
      </w:tr>
      <w:tr w:rsidR="00F07E6D" w:rsidRPr="00FB38E1" w14:paraId="5DC07B5F" w14:textId="77777777" w:rsidTr="00CA3C7D">
        <w:tc>
          <w:tcPr>
            <w:tcW w:w="1057" w:type="pct"/>
            <w:vAlign w:val="bottom"/>
          </w:tcPr>
          <w:p w14:paraId="4212976F" w14:textId="77777777" w:rsidR="00F07E6D" w:rsidRPr="00FB38E1" w:rsidRDefault="00F07E6D" w:rsidP="00F07E6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 Kur. Mevduatı</w:t>
            </w:r>
          </w:p>
        </w:tc>
        <w:tc>
          <w:tcPr>
            <w:tcW w:w="511" w:type="pct"/>
            <w:gridSpan w:val="2"/>
            <w:vAlign w:val="center"/>
          </w:tcPr>
          <w:p w14:paraId="5E485729" w14:textId="75D59B2F"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570.491</w:t>
            </w:r>
          </w:p>
        </w:tc>
        <w:tc>
          <w:tcPr>
            <w:tcW w:w="207" w:type="pct"/>
            <w:vAlign w:val="center"/>
          </w:tcPr>
          <w:p w14:paraId="1844B7EF" w14:textId="47A2ED7D"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1F50FEDA" w14:textId="0136778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520.067</w:t>
            </w:r>
          </w:p>
        </w:tc>
        <w:tc>
          <w:tcPr>
            <w:tcW w:w="462" w:type="pct"/>
            <w:vAlign w:val="center"/>
          </w:tcPr>
          <w:p w14:paraId="014DBF6D" w14:textId="73817E68"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1.052.585</w:t>
            </w:r>
          </w:p>
        </w:tc>
        <w:tc>
          <w:tcPr>
            <w:tcW w:w="506" w:type="pct"/>
            <w:vAlign w:val="center"/>
          </w:tcPr>
          <w:p w14:paraId="1EB55DFD" w14:textId="7DAB681B"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1.196.011</w:t>
            </w:r>
          </w:p>
        </w:tc>
        <w:tc>
          <w:tcPr>
            <w:tcW w:w="462" w:type="pct"/>
            <w:vAlign w:val="center"/>
          </w:tcPr>
          <w:p w14:paraId="2EE37EE4" w14:textId="44E8057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336.543</w:t>
            </w:r>
          </w:p>
        </w:tc>
        <w:tc>
          <w:tcPr>
            <w:tcW w:w="462" w:type="pct"/>
            <w:vAlign w:val="center"/>
          </w:tcPr>
          <w:p w14:paraId="6887B6D9" w14:textId="4CD14EA1"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7.302</w:t>
            </w:r>
          </w:p>
        </w:tc>
        <w:tc>
          <w:tcPr>
            <w:tcW w:w="367" w:type="pct"/>
            <w:vAlign w:val="center"/>
          </w:tcPr>
          <w:p w14:paraId="397E8600" w14:textId="7D375C31"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45E78405" w14:textId="4BB8B71B"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3.682.999</w:t>
            </w:r>
          </w:p>
        </w:tc>
      </w:tr>
      <w:tr w:rsidR="00F07E6D" w:rsidRPr="00FB38E1" w14:paraId="4386EACA" w14:textId="77777777" w:rsidTr="00CA3C7D">
        <w:tc>
          <w:tcPr>
            <w:tcW w:w="1057" w:type="pct"/>
            <w:vAlign w:val="bottom"/>
          </w:tcPr>
          <w:p w14:paraId="3C49D742" w14:textId="77777777" w:rsidR="00F07E6D" w:rsidRPr="00FB38E1" w:rsidRDefault="00F07E6D" w:rsidP="00F07E6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Kıymetli Maden DH</w:t>
            </w:r>
          </w:p>
        </w:tc>
        <w:tc>
          <w:tcPr>
            <w:tcW w:w="511" w:type="pct"/>
            <w:gridSpan w:val="2"/>
            <w:vAlign w:val="center"/>
          </w:tcPr>
          <w:p w14:paraId="77D3E075" w14:textId="4D80BC7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19.221.552</w:t>
            </w:r>
          </w:p>
        </w:tc>
        <w:tc>
          <w:tcPr>
            <w:tcW w:w="207" w:type="pct"/>
            <w:vAlign w:val="center"/>
          </w:tcPr>
          <w:p w14:paraId="1656CE69" w14:textId="19066E6C"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1B3946D2" w14:textId="35D92B43"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165.060</w:t>
            </w:r>
          </w:p>
        </w:tc>
        <w:tc>
          <w:tcPr>
            <w:tcW w:w="462" w:type="pct"/>
            <w:vAlign w:val="center"/>
          </w:tcPr>
          <w:p w14:paraId="7F5EB45C" w14:textId="0ACE9E41"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2.648.361</w:t>
            </w:r>
          </w:p>
        </w:tc>
        <w:tc>
          <w:tcPr>
            <w:tcW w:w="506" w:type="pct"/>
            <w:vAlign w:val="center"/>
          </w:tcPr>
          <w:p w14:paraId="6F3A37F6" w14:textId="3247633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847.004</w:t>
            </w:r>
          </w:p>
        </w:tc>
        <w:tc>
          <w:tcPr>
            <w:tcW w:w="462" w:type="pct"/>
            <w:vAlign w:val="center"/>
          </w:tcPr>
          <w:p w14:paraId="2781D307" w14:textId="2944C2A5"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613.366</w:t>
            </w:r>
          </w:p>
        </w:tc>
        <w:tc>
          <w:tcPr>
            <w:tcW w:w="462" w:type="pct"/>
            <w:vAlign w:val="center"/>
          </w:tcPr>
          <w:p w14:paraId="3A89745B" w14:textId="73440A0D"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109.438</w:t>
            </w:r>
          </w:p>
        </w:tc>
        <w:tc>
          <w:tcPr>
            <w:tcW w:w="367" w:type="pct"/>
            <w:vAlign w:val="center"/>
          </w:tcPr>
          <w:p w14:paraId="4641A578" w14:textId="56E5760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5.264</w:t>
            </w:r>
          </w:p>
        </w:tc>
        <w:tc>
          <w:tcPr>
            <w:tcW w:w="506" w:type="pct"/>
            <w:vAlign w:val="center"/>
          </w:tcPr>
          <w:p w14:paraId="5F75C156" w14:textId="3A7469EB"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23.610.045</w:t>
            </w:r>
          </w:p>
        </w:tc>
      </w:tr>
      <w:tr w:rsidR="00F07E6D" w:rsidRPr="00FB38E1" w14:paraId="3C222D23" w14:textId="77777777" w:rsidTr="00CA3C7D">
        <w:tc>
          <w:tcPr>
            <w:tcW w:w="1057" w:type="pct"/>
            <w:vAlign w:val="bottom"/>
          </w:tcPr>
          <w:p w14:paraId="29EA2C76" w14:textId="77777777" w:rsidR="00F07E6D" w:rsidRPr="00FB38E1" w:rsidRDefault="00F07E6D" w:rsidP="00F07E6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 Mevduatı</w:t>
            </w:r>
          </w:p>
        </w:tc>
        <w:tc>
          <w:tcPr>
            <w:tcW w:w="511" w:type="pct"/>
            <w:gridSpan w:val="2"/>
            <w:vAlign w:val="center"/>
          </w:tcPr>
          <w:p w14:paraId="17B885FC" w14:textId="49FFBE2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1.212.506</w:t>
            </w:r>
          </w:p>
        </w:tc>
        <w:tc>
          <w:tcPr>
            <w:tcW w:w="207" w:type="pct"/>
            <w:vAlign w:val="center"/>
          </w:tcPr>
          <w:p w14:paraId="1CF8C33B" w14:textId="0A9706C5"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0E666822" w14:textId="07306A6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923.695</w:t>
            </w:r>
          </w:p>
        </w:tc>
        <w:tc>
          <w:tcPr>
            <w:tcW w:w="462" w:type="pct"/>
            <w:vAlign w:val="center"/>
          </w:tcPr>
          <w:p w14:paraId="09B58E96" w14:textId="45750AA6"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2.389.582</w:t>
            </w:r>
          </w:p>
        </w:tc>
        <w:tc>
          <w:tcPr>
            <w:tcW w:w="506" w:type="pct"/>
            <w:vAlign w:val="center"/>
          </w:tcPr>
          <w:p w14:paraId="152BC6BE" w14:textId="7978BFCC"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2.850.350</w:t>
            </w:r>
          </w:p>
        </w:tc>
        <w:tc>
          <w:tcPr>
            <w:tcW w:w="462" w:type="pct"/>
            <w:vAlign w:val="center"/>
          </w:tcPr>
          <w:p w14:paraId="4B742DFB" w14:textId="78DF7EFE"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279.274</w:t>
            </w:r>
          </w:p>
        </w:tc>
        <w:tc>
          <w:tcPr>
            <w:tcW w:w="462" w:type="pct"/>
            <w:vAlign w:val="center"/>
          </w:tcPr>
          <w:p w14:paraId="4314D08C" w14:textId="7BB9AA6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264.149</w:t>
            </w:r>
          </w:p>
        </w:tc>
        <w:tc>
          <w:tcPr>
            <w:tcW w:w="367" w:type="pct"/>
            <w:vAlign w:val="center"/>
          </w:tcPr>
          <w:p w14:paraId="109166F3" w14:textId="440EA16C"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352734D2" w14:textId="215960E9"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7.919.556</w:t>
            </w:r>
          </w:p>
        </w:tc>
      </w:tr>
      <w:tr w:rsidR="00F07E6D" w:rsidRPr="00FB38E1" w14:paraId="59DE103B" w14:textId="77777777" w:rsidTr="00CA3C7D">
        <w:tc>
          <w:tcPr>
            <w:tcW w:w="1057" w:type="pct"/>
            <w:vAlign w:val="bottom"/>
          </w:tcPr>
          <w:p w14:paraId="062A712F" w14:textId="77777777" w:rsidR="00F07E6D" w:rsidRPr="00FB38E1" w:rsidRDefault="00F07E6D" w:rsidP="00F07E6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TC Merkez B.</w:t>
            </w:r>
          </w:p>
        </w:tc>
        <w:tc>
          <w:tcPr>
            <w:tcW w:w="511" w:type="pct"/>
            <w:gridSpan w:val="2"/>
            <w:vAlign w:val="center"/>
          </w:tcPr>
          <w:p w14:paraId="2544C6E8" w14:textId="59C41576"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w:t>
            </w:r>
          </w:p>
        </w:tc>
        <w:tc>
          <w:tcPr>
            <w:tcW w:w="207" w:type="pct"/>
            <w:vAlign w:val="center"/>
          </w:tcPr>
          <w:p w14:paraId="5A8F79E9" w14:textId="6AFB275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4D44D25C" w14:textId="5FCC7E0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6446F0C8" w14:textId="22EF096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10900EF0" w14:textId="4B152BA2"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0199BE58" w14:textId="22B0A743"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0227EF71" w14:textId="14977ECC"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367" w:type="pct"/>
            <w:vAlign w:val="center"/>
          </w:tcPr>
          <w:p w14:paraId="511981BE" w14:textId="6D1C73A0"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5A932422" w14:textId="6AA5AA82"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w:t>
            </w:r>
          </w:p>
        </w:tc>
      </w:tr>
      <w:tr w:rsidR="00F07E6D" w:rsidRPr="00FB38E1" w14:paraId="74F6C5D6" w14:textId="77777777" w:rsidTr="00CA3C7D">
        <w:tc>
          <w:tcPr>
            <w:tcW w:w="1057" w:type="pct"/>
            <w:vAlign w:val="bottom"/>
          </w:tcPr>
          <w:p w14:paraId="37218625" w14:textId="77777777" w:rsidR="00F07E6D" w:rsidRPr="00FB38E1" w:rsidRDefault="00F07E6D" w:rsidP="00F07E6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içi Bankalar</w:t>
            </w:r>
          </w:p>
        </w:tc>
        <w:tc>
          <w:tcPr>
            <w:tcW w:w="511" w:type="pct"/>
            <w:gridSpan w:val="2"/>
            <w:vAlign w:val="center"/>
          </w:tcPr>
          <w:p w14:paraId="1C2403B3" w14:textId="23A1B19C"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3.002</w:t>
            </w:r>
          </w:p>
        </w:tc>
        <w:tc>
          <w:tcPr>
            <w:tcW w:w="207" w:type="pct"/>
            <w:vAlign w:val="center"/>
          </w:tcPr>
          <w:p w14:paraId="2CAE9DBB" w14:textId="3AA44207"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41E5CF26" w14:textId="0E960EEA"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2848B1D5" w14:textId="3F31AA4F"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456.620</w:t>
            </w:r>
          </w:p>
        </w:tc>
        <w:tc>
          <w:tcPr>
            <w:tcW w:w="506" w:type="pct"/>
            <w:vAlign w:val="center"/>
          </w:tcPr>
          <w:p w14:paraId="07DB07BB" w14:textId="3969C472"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402.919</w:t>
            </w:r>
          </w:p>
        </w:tc>
        <w:tc>
          <w:tcPr>
            <w:tcW w:w="462" w:type="pct"/>
            <w:vAlign w:val="center"/>
          </w:tcPr>
          <w:p w14:paraId="78C4521E" w14:textId="4CDBBE86"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1E8F4A27" w14:textId="3258800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367" w:type="pct"/>
            <w:vAlign w:val="center"/>
          </w:tcPr>
          <w:p w14:paraId="7A1C7A61" w14:textId="69800291"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318FCEA1" w14:textId="6E4AA81F"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862.541</w:t>
            </w:r>
          </w:p>
        </w:tc>
      </w:tr>
      <w:tr w:rsidR="00F07E6D" w:rsidRPr="00FB38E1" w14:paraId="1C8C0C07" w14:textId="77777777" w:rsidTr="00CA3C7D">
        <w:tc>
          <w:tcPr>
            <w:tcW w:w="1057" w:type="pct"/>
            <w:vAlign w:val="bottom"/>
          </w:tcPr>
          <w:p w14:paraId="3A108A4B" w14:textId="77777777" w:rsidR="00F07E6D" w:rsidRPr="00FB38E1" w:rsidRDefault="00F07E6D" w:rsidP="00F07E6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 Bankalar</w:t>
            </w:r>
          </w:p>
        </w:tc>
        <w:tc>
          <w:tcPr>
            <w:tcW w:w="511" w:type="pct"/>
            <w:gridSpan w:val="2"/>
            <w:vAlign w:val="center"/>
          </w:tcPr>
          <w:p w14:paraId="27963A49" w14:textId="1C47100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1.207.568</w:t>
            </w:r>
          </w:p>
        </w:tc>
        <w:tc>
          <w:tcPr>
            <w:tcW w:w="207" w:type="pct"/>
            <w:vAlign w:val="center"/>
          </w:tcPr>
          <w:p w14:paraId="4946D098" w14:textId="05BA27AD"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3CBD3B66" w14:textId="3AFD3F0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923.695</w:t>
            </w:r>
          </w:p>
        </w:tc>
        <w:tc>
          <w:tcPr>
            <w:tcW w:w="462" w:type="pct"/>
            <w:vAlign w:val="center"/>
          </w:tcPr>
          <w:p w14:paraId="429C8C46" w14:textId="346F6F10"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1.932.962</w:t>
            </w:r>
          </w:p>
        </w:tc>
        <w:tc>
          <w:tcPr>
            <w:tcW w:w="506" w:type="pct"/>
            <w:vAlign w:val="center"/>
          </w:tcPr>
          <w:p w14:paraId="0ABE3991" w14:textId="70BACD88"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2.447.431</w:t>
            </w:r>
          </w:p>
        </w:tc>
        <w:tc>
          <w:tcPr>
            <w:tcW w:w="462" w:type="pct"/>
            <w:vAlign w:val="center"/>
          </w:tcPr>
          <w:p w14:paraId="3EB324E0" w14:textId="48EAED36"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279.274</w:t>
            </w:r>
          </w:p>
        </w:tc>
        <w:tc>
          <w:tcPr>
            <w:tcW w:w="462" w:type="pct"/>
            <w:vAlign w:val="center"/>
          </w:tcPr>
          <w:p w14:paraId="799A7DDD" w14:textId="14A77CC1"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264.149</w:t>
            </w:r>
          </w:p>
        </w:tc>
        <w:tc>
          <w:tcPr>
            <w:tcW w:w="367" w:type="pct"/>
            <w:vAlign w:val="center"/>
          </w:tcPr>
          <w:p w14:paraId="36DB74FB" w14:textId="0841D908"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1C239807" w14:textId="007661CB"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7.055.079</w:t>
            </w:r>
          </w:p>
        </w:tc>
      </w:tr>
      <w:tr w:rsidR="00F07E6D" w:rsidRPr="00FB38E1" w14:paraId="6CBB1E90" w14:textId="77777777" w:rsidTr="00CA3C7D">
        <w:tc>
          <w:tcPr>
            <w:tcW w:w="1057" w:type="pct"/>
            <w:vAlign w:val="bottom"/>
          </w:tcPr>
          <w:p w14:paraId="43B626F5" w14:textId="77777777" w:rsidR="00F07E6D" w:rsidRPr="00FB38E1" w:rsidRDefault="00F07E6D" w:rsidP="00F07E6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Katılım Bankaları</w:t>
            </w:r>
          </w:p>
        </w:tc>
        <w:tc>
          <w:tcPr>
            <w:tcW w:w="511" w:type="pct"/>
            <w:gridSpan w:val="2"/>
            <w:vAlign w:val="center"/>
          </w:tcPr>
          <w:p w14:paraId="3E016A9B" w14:textId="01A98B3B"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1.936</w:t>
            </w:r>
          </w:p>
        </w:tc>
        <w:tc>
          <w:tcPr>
            <w:tcW w:w="207" w:type="pct"/>
            <w:vAlign w:val="center"/>
          </w:tcPr>
          <w:p w14:paraId="5763A1D6" w14:textId="51397877"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24446D4E" w14:textId="41DD2D12"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702205A7" w14:textId="5048647B"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643FB9F9" w14:textId="3322F7F8"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7BCE6B48" w14:textId="2909E395"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vAlign w:val="center"/>
          </w:tcPr>
          <w:p w14:paraId="38F6A397" w14:textId="117795FA"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367" w:type="pct"/>
            <w:vAlign w:val="center"/>
          </w:tcPr>
          <w:p w14:paraId="68EEAA33" w14:textId="1A4CEA7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vAlign w:val="center"/>
          </w:tcPr>
          <w:p w14:paraId="27045845" w14:textId="7612E37E"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1.936</w:t>
            </w:r>
          </w:p>
        </w:tc>
      </w:tr>
      <w:tr w:rsidR="00F07E6D" w:rsidRPr="00FB38E1" w14:paraId="1A151C6A" w14:textId="77777777" w:rsidTr="00CA3C7D">
        <w:tc>
          <w:tcPr>
            <w:tcW w:w="1057" w:type="pct"/>
            <w:tcBorders>
              <w:bottom w:val="single" w:sz="4" w:space="0" w:color="auto"/>
            </w:tcBorders>
            <w:vAlign w:val="bottom"/>
          </w:tcPr>
          <w:p w14:paraId="61906FCC" w14:textId="77777777" w:rsidR="00F07E6D" w:rsidRPr="00FB38E1" w:rsidRDefault="00F07E6D" w:rsidP="00F07E6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511" w:type="pct"/>
            <w:gridSpan w:val="2"/>
            <w:tcBorders>
              <w:bottom w:val="single" w:sz="4" w:space="0" w:color="auto"/>
            </w:tcBorders>
            <w:vAlign w:val="center"/>
          </w:tcPr>
          <w:p w14:paraId="7D1DDE1D" w14:textId="329E5754"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207" w:type="pct"/>
            <w:tcBorders>
              <w:bottom w:val="single" w:sz="4" w:space="0" w:color="auto"/>
            </w:tcBorders>
            <w:vAlign w:val="center"/>
          </w:tcPr>
          <w:p w14:paraId="7DDF0C25" w14:textId="47F58EB0"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tcBorders>
              <w:bottom w:val="single" w:sz="4" w:space="0" w:color="auto"/>
            </w:tcBorders>
            <w:vAlign w:val="center"/>
          </w:tcPr>
          <w:p w14:paraId="70E1F354" w14:textId="055DA42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tcBorders>
              <w:bottom w:val="single" w:sz="4" w:space="0" w:color="auto"/>
            </w:tcBorders>
            <w:vAlign w:val="center"/>
          </w:tcPr>
          <w:p w14:paraId="2740E284" w14:textId="714CCDCD"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tcBorders>
              <w:bottom w:val="single" w:sz="4" w:space="0" w:color="auto"/>
            </w:tcBorders>
            <w:vAlign w:val="center"/>
          </w:tcPr>
          <w:p w14:paraId="7F3EA54F" w14:textId="12FE8B9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tcBorders>
              <w:bottom w:val="single" w:sz="4" w:space="0" w:color="auto"/>
            </w:tcBorders>
            <w:vAlign w:val="center"/>
          </w:tcPr>
          <w:p w14:paraId="2158D338" w14:textId="4D5AC5DF"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462" w:type="pct"/>
            <w:tcBorders>
              <w:bottom w:val="single" w:sz="4" w:space="0" w:color="auto"/>
            </w:tcBorders>
            <w:vAlign w:val="center"/>
          </w:tcPr>
          <w:p w14:paraId="67ABC736" w14:textId="11BBD589"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367" w:type="pct"/>
            <w:tcBorders>
              <w:bottom w:val="single" w:sz="4" w:space="0" w:color="auto"/>
            </w:tcBorders>
            <w:vAlign w:val="center"/>
          </w:tcPr>
          <w:p w14:paraId="4406417A" w14:textId="6C5D63C0" w:rsidR="00F07E6D" w:rsidRPr="00FB38E1" w:rsidRDefault="00F07E6D" w:rsidP="00F07E6D">
            <w:pPr>
              <w:jc w:val="right"/>
              <w:rPr>
                <w:rFonts w:ascii="Microsoft Sans Serif" w:hAnsi="Microsoft Sans Serif" w:cs="Microsoft Sans Serif"/>
                <w:color w:val="404040"/>
                <w:sz w:val="14"/>
                <w:szCs w:val="16"/>
              </w:rPr>
            </w:pPr>
            <w:r w:rsidRPr="00FB38E1">
              <w:rPr>
                <w:rFonts w:ascii="Microsoft Sans Serif" w:hAnsi="Microsoft Sans Serif" w:cs="Microsoft Sans Serif"/>
                <w:color w:val="404040"/>
                <w:sz w:val="14"/>
                <w:szCs w:val="16"/>
              </w:rPr>
              <w:t>--</w:t>
            </w:r>
          </w:p>
        </w:tc>
        <w:tc>
          <w:tcPr>
            <w:tcW w:w="506" w:type="pct"/>
            <w:tcBorders>
              <w:bottom w:val="single" w:sz="4" w:space="0" w:color="auto"/>
            </w:tcBorders>
            <w:vAlign w:val="center"/>
          </w:tcPr>
          <w:p w14:paraId="3F0ABD83" w14:textId="0DC413E5"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w:t>
            </w:r>
          </w:p>
        </w:tc>
      </w:tr>
      <w:tr w:rsidR="00F07E6D" w:rsidRPr="00FB38E1" w14:paraId="45A806B1" w14:textId="77777777" w:rsidTr="00CA3C7D">
        <w:tc>
          <w:tcPr>
            <w:tcW w:w="1057" w:type="pct"/>
            <w:tcBorders>
              <w:top w:val="single" w:sz="4" w:space="0" w:color="auto"/>
              <w:bottom w:val="thickThinSmallGap" w:sz="24" w:space="0" w:color="auto"/>
            </w:tcBorders>
            <w:vAlign w:val="bottom"/>
          </w:tcPr>
          <w:p w14:paraId="36EFCF79" w14:textId="77777777" w:rsidR="00F07E6D" w:rsidRPr="00FB38E1" w:rsidRDefault="00F07E6D" w:rsidP="00F07E6D">
            <w:pPr>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Toplam</w:t>
            </w:r>
          </w:p>
        </w:tc>
        <w:tc>
          <w:tcPr>
            <w:tcW w:w="511" w:type="pct"/>
            <w:gridSpan w:val="2"/>
            <w:tcBorders>
              <w:top w:val="single" w:sz="4" w:space="0" w:color="auto"/>
              <w:bottom w:val="thickThinSmallGap" w:sz="24" w:space="0" w:color="auto"/>
            </w:tcBorders>
            <w:vAlign w:val="center"/>
          </w:tcPr>
          <w:p w14:paraId="28F71AF1" w14:textId="35A71B75"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165.830.407</w:t>
            </w:r>
          </w:p>
        </w:tc>
        <w:tc>
          <w:tcPr>
            <w:tcW w:w="207" w:type="pct"/>
            <w:tcBorders>
              <w:top w:val="single" w:sz="4" w:space="0" w:color="auto"/>
              <w:bottom w:val="thickThinSmallGap" w:sz="24" w:space="0" w:color="auto"/>
            </w:tcBorders>
            <w:vAlign w:val="center"/>
          </w:tcPr>
          <w:p w14:paraId="2AD15C0E" w14:textId="17971F66"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w:t>
            </w:r>
          </w:p>
        </w:tc>
        <w:tc>
          <w:tcPr>
            <w:tcW w:w="462" w:type="pct"/>
            <w:tcBorders>
              <w:top w:val="single" w:sz="4" w:space="0" w:color="auto"/>
              <w:bottom w:val="thickThinSmallGap" w:sz="24" w:space="0" w:color="auto"/>
            </w:tcBorders>
            <w:vAlign w:val="center"/>
          </w:tcPr>
          <w:p w14:paraId="3CC54A05" w14:textId="5709D5E0"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44.434.071</w:t>
            </w:r>
          </w:p>
        </w:tc>
        <w:tc>
          <w:tcPr>
            <w:tcW w:w="462" w:type="pct"/>
            <w:tcBorders>
              <w:top w:val="single" w:sz="4" w:space="0" w:color="auto"/>
              <w:bottom w:val="thickThinSmallGap" w:sz="24" w:space="0" w:color="auto"/>
            </w:tcBorders>
            <w:vAlign w:val="center"/>
          </w:tcPr>
          <w:p w14:paraId="77B57FD9" w14:textId="642EBBBE"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121.924.314</w:t>
            </w:r>
          </w:p>
        </w:tc>
        <w:tc>
          <w:tcPr>
            <w:tcW w:w="506" w:type="pct"/>
            <w:tcBorders>
              <w:top w:val="single" w:sz="4" w:space="0" w:color="auto"/>
              <w:bottom w:val="thickThinSmallGap" w:sz="24" w:space="0" w:color="auto"/>
            </w:tcBorders>
            <w:vAlign w:val="center"/>
          </w:tcPr>
          <w:p w14:paraId="08F6A677" w14:textId="4D91B99D"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126.777.419</w:t>
            </w:r>
          </w:p>
        </w:tc>
        <w:tc>
          <w:tcPr>
            <w:tcW w:w="462" w:type="pct"/>
            <w:tcBorders>
              <w:top w:val="single" w:sz="4" w:space="0" w:color="auto"/>
              <w:bottom w:val="thickThinSmallGap" w:sz="24" w:space="0" w:color="auto"/>
            </w:tcBorders>
            <w:vAlign w:val="center"/>
          </w:tcPr>
          <w:p w14:paraId="795CD5CE" w14:textId="639E6D49"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96.262.959</w:t>
            </w:r>
          </w:p>
        </w:tc>
        <w:tc>
          <w:tcPr>
            <w:tcW w:w="462" w:type="pct"/>
            <w:tcBorders>
              <w:top w:val="single" w:sz="4" w:space="0" w:color="auto"/>
              <w:bottom w:val="thickThinSmallGap" w:sz="24" w:space="0" w:color="auto"/>
            </w:tcBorders>
            <w:vAlign w:val="center"/>
          </w:tcPr>
          <w:p w14:paraId="798330F9" w14:textId="7C104CA9"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47.741.517</w:t>
            </w:r>
          </w:p>
        </w:tc>
        <w:tc>
          <w:tcPr>
            <w:tcW w:w="367" w:type="pct"/>
            <w:tcBorders>
              <w:top w:val="single" w:sz="4" w:space="0" w:color="auto"/>
              <w:bottom w:val="thickThinSmallGap" w:sz="24" w:space="0" w:color="auto"/>
            </w:tcBorders>
            <w:vAlign w:val="center"/>
          </w:tcPr>
          <w:p w14:paraId="38FACB73" w14:textId="4A4734FD"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21.950</w:t>
            </w:r>
          </w:p>
        </w:tc>
        <w:tc>
          <w:tcPr>
            <w:tcW w:w="506" w:type="pct"/>
            <w:tcBorders>
              <w:top w:val="single" w:sz="4" w:space="0" w:color="auto"/>
              <w:bottom w:val="thickThinSmallGap" w:sz="24" w:space="0" w:color="auto"/>
            </w:tcBorders>
            <w:vAlign w:val="center"/>
          </w:tcPr>
          <w:p w14:paraId="085BD286" w14:textId="349BE524" w:rsidR="00F07E6D" w:rsidRPr="00FB38E1" w:rsidRDefault="00F07E6D" w:rsidP="00F07E6D">
            <w:pPr>
              <w:jc w:val="right"/>
              <w:rPr>
                <w:rFonts w:ascii="Microsoft Sans Serif" w:hAnsi="Microsoft Sans Serif" w:cs="Microsoft Sans Serif"/>
                <w:b/>
                <w:bCs/>
                <w:color w:val="000000"/>
                <w:sz w:val="14"/>
                <w:szCs w:val="16"/>
              </w:rPr>
            </w:pPr>
            <w:r w:rsidRPr="00FB38E1">
              <w:rPr>
                <w:rFonts w:ascii="Microsoft Sans Serif" w:hAnsi="Microsoft Sans Serif" w:cs="Microsoft Sans Serif"/>
                <w:b/>
                <w:bCs/>
                <w:color w:val="000000"/>
                <w:sz w:val="14"/>
                <w:szCs w:val="16"/>
              </w:rPr>
              <w:t>602.992.637</w:t>
            </w:r>
          </w:p>
        </w:tc>
      </w:tr>
    </w:tbl>
    <w:p w14:paraId="4C7293A3" w14:textId="09E7506D" w:rsidR="0025735E" w:rsidRPr="00FB38E1" w:rsidRDefault="00591161" w:rsidP="007E3D03">
      <w:pPr>
        <w:pStyle w:val="BASLIK2"/>
        <w:widowControl/>
        <w:spacing w:before="60" w:line="240" w:lineRule="auto"/>
        <w:ind w:firstLine="0"/>
        <w:rPr>
          <w:rFonts w:ascii="Microsoft Sans Serif" w:hAnsi="Microsoft Sans Serif" w:cs="Microsoft Sans Serif"/>
          <w:noProof/>
          <w:snapToGrid w:val="0"/>
          <w:sz w:val="14"/>
          <w:szCs w:val="14"/>
          <w:lang w:val="de-DE"/>
        </w:rPr>
      </w:pPr>
      <w:r w:rsidRPr="00FB38E1">
        <w:rPr>
          <w:rFonts w:ascii="Microsoft Sans Serif" w:hAnsi="Microsoft Sans Serif" w:cs="Microsoft Sans Serif"/>
          <w:b w:val="0"/>
          <w:iCs/>
          <w:color w:val="404040" w:themeColor="text1" w:themeTint="BF"/>
          <w:sz w:val="14"/>
          <w:szCs w:val="14"/>
          <w:lang w:val="pt-BR"/>
        </w:rPr>
        <w:t xml:space="preserve"> </w:t>
      </w:r>
      <w:r w:rsidR="00C42D21" w:rsidRPr="00FB38E1">
        <w:rPr>
          <w:rFonts w:ascii="Microsoft Sans Serif" w:hAnsi="Microsoft Sans Serif" w:cs="Microsoft Sans Serif"/>
          <w:b w:val="0"/>
          <w:iCs/>
          <w:color w:val="404040" w:themeColor="text1" w:themeTint="BF"/>
          <w:sz w:val="14"/>
          <w:szCs w:val="14"/>
          <w:lang w:val="pt-BR"/>
        </w:rPr>
        <w:t>(*)</w:t>
      </w:r>
      <w:r w:rsidR="00C42D21" w:rsidRPr="00FB38E1">
        <w:rPr>
          <w:rFonts w:ascii="Microsoft Sans Serif" w:hAnsi="Microsoft Sans Serif" w:cs="Microsoft Sans Serif"/>
          <w:b w:val="0"/>
          <w:iCs/>
          <w:color w:val="404040" w:themeColor="text1" w:themeTint="BF"/>
          <w:sz w:val="14"/>
          <w:szCs w:val="14"/>
          <w:lang w:val="pt-BR"/>
        </w:rPr>
        <w:tab/>
      </w:r>
      <w:r w:rsidR="00441568" w:rsidRPr="00FB38E1">
        <w:rPr>
          <w:rFonts w:ascii="Microsoft Sans Serif" w:hAnsi="Microsoft Sans Serif" w:cs="Microsoft Sans Serif"/>
          <w:b w:val="0"/>
          <w:iCs/>
          <w:color w:val="404040" w:themeColor="text1" w:themeTint="BF"/>
          <w:sz w:val="14"/>
          <w:szCs w:val="14"/>
          <w:lang w:val="pt-BR"/>
        </w:rPr>
        <w:t xml:space="preserve">  </w:t>
      </w:r>
      <w:r w:rsidR="002F13E5" w:rsidRPr="00FB38E1">
        <w:rPr>
          <w:rFonts w:ascii="Microsoft Sans Serif" w:hAnsi="Microsoft Sans Serif" w:cs="Microsoft Sans Serif"/>
          <w:b w:val="0"/>
          <w:noProof/>
          <w:snapToGrid w:val="0"/>
          <w:color w:val="595959" w:themeColor="text1" w:themeTint="A6"/>
          <w:sz w:val="14"/>
          <w:szCs w:val="14"/>
          <w:lang w:val="de-DE"/>
        </w:rPr>
        <w:t>D</w:t>
      </w:r>
      <w:r w:rsidR="00F07E6D" w:rsidRPr="00FB38E1">
        <w:rPr>
          <w:rFonts w:ascii="Microsoft Sans Serif" w:hAnsi="Microsoft Sans Serif" w:cs="Microsoft Sans Serif"/>
          <w:b w:val="0"/>
          <w:noProof/>
          <w:snapToGrid w:val="0"/>
          <w:color w:val="595959" w:themeColor="text1" w:themeTint="A6"/>
          <w:sz w:val="14"/>
          <w:szCs w:val="14"/>
          <w:lang w:val="de-DE"/>
        </w:rPr>
        <w:t xml:space="preserve">öviz Tevdiat Hesabının 102.618.035 </w:t>
      </w:r>
      <w:r w:rsidR="002F13E5" w:rsidRPr="00FB38E1">
        <w:rPr>
          <w:rFonts w:ascii="Microsoft Sans Serif" w:hAnsi="Microsoft Sans Serif" w:cs="Microsoft Sans Serif"/>
          <w:b w:val="0"/>
          <w:noProof/>
          <w:snapToGrid w:val="0"/>
          <w:color w:val="595959" w:themeColor="text1" w:themeTint="A6"/>
          <w:sz w:val="14"/>
          <w:szCs w:val="14"/>
          <w:lang w:val="de-DE"/>
        </w:rPr>
        <w:t>TL‘si Tasarruf</w:t>
      </w:r>
      <w:r w:rsidR="00F07E6D" w:rsidRPr="00FB38E1">
        <w:rPr>
          <w:rFonts w:ascii="Microsoft Sans Serif" w:hAnsi="Microsoft Sans Serif" w:cs="Microsoft Sans Serif"/>
          <w:b w:val="0"/>
          <w:noProof/>
          <w:snapToGrid w:val="0"/>
          <w:color w:val="595959" w:themeColor="text1" w:themeTint="A6"/>
          <w:sz w:val="14"/>
          <w:szCs w:val="14"/>
          <w:lang w:val="de-DE"/>
        </w:rPr>
        <w:t xml:space="preserve"> Mevduatı müşterisi, 72.061.114 </w:t>
      </w:r>
      <w:r w:rsidR="002F13E5" w:rsidRPr="00FB38E1">
        <w:rPr>
          <w:rFonts w:ascii="Microsoft Sans Serif" w:hAnsi="Microsoft Sans Serif" w:cs="Microsoft Sans Serif"/>
          <w:b w:val="0"/>
          <w:noProof/>
          <w:snapToGrid w:val="0"/>
          <w:color w:val="595959" w:themeColor="text1" w:themeTint="A6"/>
          <w:sz w:val="14"/>
          <w:szCs w:val="14"/>
          <w:lang w:val="de-DE"/>
        </w:rPr>
        <w:t>TL‘si Ticari Mevduat müşterisinden oluşmaktadır</w:t>
      </w:r>
      <w:r w:rsidR="002F13E5" w:rsidRPr="00FB38E1">
        <w:rPr>
          <w:rFonts w:ascii="Microsoft Sans Serif" w:hAnsi="Microsoft Sans Serif" w:cs="Microsoft Sans Serif"/>
          <w:b w:val="0"/>
          <w:iCs/>
          <w:color w:val="404040" w:themeColor="text1" w:themeTint="BF"/>
          <w:sz w:val="14"/>
          <w:szCs w:val="14"/>
          <w:lang w:val="pt-BR"/>
        </w:rPr>
        <w:t>.</w:t>
      </w:r>
    </w:p>
    <w:p w14:paraId="4179130D" w14:textId="5505B15E" w:rsidR="00550AAD" w:rsidRPr="00FB38E1" w:rsidRDefault="00550AAD" w:rsidP="00550AAD">
      <w:pPr>
        <w:pStyle w:val="BASLIK2"/>
        <w:widowControl/>
        <w:spacing w:line="240" w:lineRule="exact"/>
        <w:ind w:firstLine="0"/>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br w:type="page"/>
      </w:r>
    </w:p>
    <w:p w14:paraId="0A634A0D" w14:textId="15498B7E" w:rsidR="00FF3EF3" w:rsidRPr="00FB38E1" w:rsidRDefault="00FF3EF3"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62" w:name="OLE_LINK6"/>
      <w:r w:rsidRPr="00FB38E1">
        <w:rPr>
          <w:rFonts w:ascii="Microsoft Sans Serif" w:hAnsi="Microsoft Sans Serif" w:cs="Microsoft Sans Serif"/>
          <w:iCs/>
          <w:sz w:val="20"/>
          <w:szCs w:val="20"/>
        </w:rPr>
        <w:t>Mevduat sigortasına ilişkin bilgiler</w:t>
      </w:r>
      <w:r w:rsidRPr="00FB38E1">
        <w:rPr>
          <w:rFonts w:ascii="Microsoft Sans Serif" w:hAnsi="Microsoft Sans Serif" w:cs="Microsoft Sans Serif"/>
          <w:noProof/>
          <w:snapToGrid w:val="0"/>
          <w:sz w:val="20"/>
          <w:szCs w:val="20"/>
          <w:lang w:val="de-DE"/>
        </w:rPr>
        <w:t>:</w:t>
      </w:r>
    </w:p>
    <w:bookmarkEnd w:id="62"/>
    <w:p w14:paraId="1E1C971D" w14:textId="01673F6C" w:rsidR="00FF3EF3" w:rsidRPr="00FB38E1" w:rsidRDefault="00A1091D" w:rsidP="001279F1">
      <w:pPr>
        <w:pStyle w:val="BASLIK2"/>
        <w:widowControl/>
        <w:numPr>
          <w:ilvl w:val="0"/>
          <w:numId w:val="28"/>
        </w:numPr>
        <w:spacing w:line="240" w:lineRule="exact"/>
        <w:ind w:left="0" w:hanging="284"/>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b w:val="0"/>
          <w:iCs/>
          <w:sz w:val="20"/>
          <w:szCs w:val="20"/>
        </w:rPr>
        <w:t xml:space="preserve">Mevduat sigortası kapsamında bulunan ve mevduat sigortası limitini aşan tasarruf mevduatına </w:t>
      </w:r>
      <w:r w:rsidR="00FF3EF3" w:rsidRPr="00FB38E1">
        <w:rPr>
          <w:rFonts w:ascii="Microsoft Sans Serif" w:hAnsi="Microsoft Sans Serif" w:cs="Microsoft Sans Serif"/>
          <w:b w:val="0"/>
          <w:iCs/>
          <w:sz w:val="20"/>
          <w:szCs w:val="20"/>
        </w:rPr>
        <w:t>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715"/>
        <w:gridCol w:w="1392"/>
        <w:gridCol w:w="1178"/>
        <w:gridCol w:w="1178"/>
        <w:gridCol w:w="1176"/>
      </w:tblGrid>
      <w:tr w:rsidR="007A7123" w:rsidRPr="00FB38E1" w14:paraId="305C66D6" w14:textId="7D34C6E9" w:rsidTr="007A7123">
        <w:tc>
          <w:tcPr>
            <w:tcW w:w="2446" w:type="pct"/>
            <w:vAlign w:val="bottom"/>
          </w:tcPr>
          <w:p w14:paraId="49531448" w14:textId="77777777" w:rsidR="007A7123" w:rsidRPr="00FB38E1" w:rsidRDefault="007A7123" w:rsidP="001279F1">
            <w:pPr>
              <w:rPr>
                <w:rFonts w:ascii="Microsoft Sans Serif" w:hAnsi="Microsoft Sans Serif" w:cs="Microsoft Sans Serif"/>
                <w:color w:val="000000"/>
                <w:sz w:val="16"/>
                <w:szCs w:val="16"/>
              </w:rPr>
            </w:pPr>
          </w:p>
        </w:tc>
        <w:tc>
          <w:tcPr>
            <w:tcW w:w="1333" w:type="pct"/>
            <w:gridSpan w:val="2"/>
            <w:vMerge w:val="restart"/>
            <w:vAlign w:val="bottom"/>
          </w:tcPr>
          <w:p w14:paraId="3B07CBA4" w14:textId="77777777" w:rsidR="007A7123" w:rsidRPr="00FB38E1" w:rsidRDefault="007A7123"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Mevduat Sigortası</w:t>
            </w:r>
          </w:p>
          <w:p w14:paraId="7FE5D950" w14:textId="351C1364" w:rsidR="007A7123" w:rsidRPr="00FB38E1" w:rsidRDefault="007A7123"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Kapsamında Bulunan</w:t>
            </w:r>
          </w:p>
        </w:tc>
        <w:tc>
          <w:tcPr>
            <w:tcW w:w="1221" w:type="pct"/>
            <w:gridSpan w:val="2"/>
            <w:vMerge w:val="restart"/>
            <w:vAlign w:val="bottom"/>
          </w:tcPr>
          <w:p w14:paraId="1E238CC0" w14:textId="77777777" w:rsidR="007A7123" w:rsidRPr="00FB38E1" w:rsidRDefault="007A7123"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Mevduat Sigortası</w:t>
            </w:r>
          </w:p>
          <w:p w14:paraId="6CBFD8D8" w14:textId="54DB523A" w:rsidR="007A7123" w:rsidRPr="00FB38E1" w:rsidRDefault="007A7123"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Limitini Aşan</w:t>
            </w:r>
          </w:p>
        </w:tc>
      </w:tr>
      <w:tr w:rsidR="007A7123" w:rsidRPr="00FB38E1" w14:paraId="592CCA0E" w14:textId="16EECE95" w:rsidTr="007A7123">
        <w:tc>
          <w:tcPr>
            <w:tcW w:w="2446" w:type="pct"/>
            <w:vAlign w:val="bottom"/>
          </w:tcPr>
          <w:p w14:paraId="63E1DE61" w14:textId="77777777" w:rsidR="007A7123" w:rsidRPr="00FB38E1" w:rsidRDefault="007A7123" w:rsidP="001279F1">
            <w:pPr>
              <w:rPr>
                <w:rFonts w:ascii="Microsoft Sans Serif" w:hAnsi="Microsoft Sans Serif" w:cs="Microsoft Sans Serif"/>
                <w:color w:val="000000"/>
                <w:sz w:val="16"/>
                <w:szCs w:val="16"/>
              </w:rPr>
            </w:pPr>
          </w:p>
        </w:tc>
        <w:tc>
          <w:tcPr>
            <w:tcW w:w="1333" w:type="pct"/>
            <w:gridSpan w:val="2"/>
            <w:vMerge/>
            <w:tcBorders>
              <w:bottom w:val="single" w:sz="4" w:space="0" w:color="auto"/>
            </w:tcBorders>
            <w:vAlign w:val="bottom"/>
          </w:tcPr>
          <w:p w14:paraId="2CCCC7CC" w14:textId="416170F8" w:rsidR="007A7123" w:rsidRPr="00FB38E1" w:rsidRDefault="007A7123" w:rsidP="001279F1">
            <w:pPr>
              <w:jc w:val="right"/>
              <w:rPr>
                <w:rFonts w:ascii="Microsoft Sans Serif" w:hAnsi="Microsoft Sans Serif" w:cs="Microsoft Sans Serif"/>
                <w:b/>
                <w:bCs/>
                <w:color w:val="000000"/>
                <w:sz w:val="16"/>
                <w:szCs w:val="16"/>
              </w:rPr>
            </w:pPr>
          </w:p>
        </w:tc>
        <w:tc>
          <w:tcPr>
            <w:tcW w:w="1221" w:type="pct"/>
            <w:gridSpan w:val="2"/>
            <w:vMerge/>
            <w:tcBorders>
              <w:bottom w:val="single" w:sz="4" w:space="0" w:color="auto"/>
            </w:tcBorders>
            <w:vAlign w:val="bottom"/>
          </w:tcPr>
          <w:p w14:paraId="6277E432" w14:textId="4B971084" w:rsidR="007A7123" w:rsidRPr="00FB38E1" w:rsidRDefault="007A7123" w:rsidP="001279F1">
            <w:pPr>
              <w:jc w:val="right"/>
              <w:rPr>
                <w:rFonts w:ascii="Microsoft Sans Serif" w:hAnsi="Microsoft Sans Serif" w:cs="Microsoft Sans Serif"/>
                <w:b/>
                <w:bCs/>
                <w:color w:val="000000"/>
                <w:sz w:val="16"/>
                <w:szCs w:val="16"/>
              </w:rPr>
            </w:pPr>
          </w:p>
        </w:tc>
      </w:tr>
      <w:tr w:rsidR="007A7123" w:rsidRPr="00FB38E1" w14:paraId="0283B285" w14:textId="2C7A499A" w:rsidTr="00591F27">
        <w:trPr>
          <w:trHeight w:val="62"/>
        </w:trPr>
        <w:tc>
          <w:tcPr>
            <w:tcW w:w="2446" w:type="pct"/>
            <w:tcBorders>
              <w:top w:val="nil"/>
              <w:bottom w:val="single" w:sz="6" w:space="0" w:color="auto"/>
            </w:tcBorders>
            <w:vAlign w:val="bottom"/>
          </w:tcPr>
          <w:p w14:paraId="26506124" w14:textId="77777777" w:rsidR="007A7123" w:rsidRPr="00FB38E1" w:rsidRDefault="007A7123" w:rsidP="001279F1">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722" w:type="pct"/>
            <w:tcBorders>
              <w:top w:val="nil"/>
              <w:bottom w:val="single" w:sz="6" w:space="0" w:color="auto"/>
            </w:tcBorders>
            <w:vAlign w:val="bottom"/>
          </w:tcPr>
          <w:p w14:paraId="534E1A09" w14:textId="7A025DFB" w:rsidR="007A7123" w:rsidRPr="00FB38E1" w:rsidRDefault="007A7123"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611" w:type="pct"/>
            <w:tcBorders>
              <w:top w:val="nil"/>
              <w:bottom w:val="single" w:sz="6" w:space="0" w:color="auto"/>
            </w:tcBorders>
            <w:vAlign w:val="bottom"/>
          </w:tcPr>
          <w:p w14:paraId="3C8A281E" w14:textId="2099993E" w:rsidR="007A7123" w:rsidRPr="00FB38E1" w:rsidRDefault="00AA1245"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c>
          <w:tcPr>
            <w:tcW w:w="611" w:type="pct"/>
            <w:tcBorders>
              <w:top w:val="nil"/>
              <w:bottom w:val="single" w:sz="6" w:space="0" w:color="auto"/>
            </w:tcBorders>
            <w:vAlign w:val="bottom"/>
          </w:tcPr>
          <w:p w14:paraId="72835CC3" w14:textId="47199C33" w:rsidR="007A7123" w:rsidRPr="00FB38E1" w:rsidRDefault="007A7123" w:rsidP="001279F1">
            <w:pPr>
              <w:jc w:val="right"/>
            </w:pPr>
            <w:r w:rsidRPr="00FB38E1">
              <w:rPr>
                <w:rFonts w:ascii="Microsoft Sans Serif" w:hAnsi="Microsoft Sans Serif" w:cs="Microsoft Sans Serif"/>
                <w:b/>
                <w:bCs/>
                <w:color w:val="000000"/>
                <w:sz w:val="16"/>
                <w:szCs w:val="16"/>
              </w:rPr>
              <w:t>Cari Dönem</w:t>
            </w:r>
          </w:p>
        </w:tc>
        <w:tc>
          <w:tcPr>
            <w:tcW w:w="610" w:type="pct"/>
            <w:tcBorders>
              <w:top w:val="nil"/>
              <w:bottom w:val="single" w:sz="6" w:space="0" w:color="auto"/>
            </w:tcBorders>
            <w:vAlign w:val="bottom"/>
          </w:tcPr>
          <w:p w14:paraId="6A6660F3" w14:textId="3C7D76FB" w:rsidR="007A7123" w:rsidRPr="00FB38E1" w:rsidRDefault="00AA1245"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5A49B6" w:rsidRPr="00FB38E1" w14:paraId="0D8CB392" w14:textId="74A23978" w:rsidTr="004B61E1">
        <w:tc>
          <w:tcPr>
            <w:tcW w:w="2446" w:type="pct"/>
            <w:tcBorders>
              <w:top w:val="single" w:sz="6" w:space="0" w:color="auto"/>
              <w:bottom w:val="nil"/>
            </w:tcBorders>
            <w:vAlign w:val="bottom"/>
          </w:tcPr>
          <w:p w14:paraId="11644DE5" w14:textId="77777777" w:rsidR="005A49B6" w:rsidRPr="00FB38E1" w:rsidRDefault="005A49B6" w:rsidP="005A49B6">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Tasarruf Mevduatı</w:t>
            </w:r>
          </w:p>
        </w:tc>
        <w:tc>
          <w:tcPr>
            <w:tcW w:w="722" w:type="pct"/>
            <w:tcBorders>
              <w:top w:val="single" w:sz="6" w:space="0" w:color="auto"/>
              <w:bottom w:val="nil"/>
            </w:tcBorders>
            <w:vAlign w:val="center"/>
          </w:tcPr>
          <w:p w14:paraId="64758C8A" w14:textId="070D38E3"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115.096.786</w:t>
            </w:r>
          </w:p>
        </w:tc>
        <w:tc>
          <w:tcPr>
            <w:tcW w:w="611" w:type="pct"/>
            <w:tcBorders>
              <w:top w:val="single" w:sz="6" w:space="0" w:color="auto"/>
            </w:tcBorders>
            <w:vAlign w:val="center"/>
          </w:tcPr>
          <w:p w14:paraId="6578CDF5" w14:textId="21C408F7"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75.257.544</w:t>
            </w:r>
          </w:p>
        </w:tc>
        <w:tc>
          <w:tcPr>
            <w:tcW w:w="611" w:type="pct"/>
            <w:tcBorders>
              <w:top w:val="single" w:sz="6" w:space="0" w:color="auto"/>
            </w:tcBorders>
            <w:vAlign w:val="center"/>
          </w:tcPr>
          <w:p w14:paraId="4B56B1BF" w14:textId="5547766D" w:rsidR="005A49B6" w:rsidRPr="00FB38E1" w:rsidRDefault="005A49B6" w:rsidP="005A49B6">
            <w:pPr>
              <w:jc w:val="right"/>
            </w:pPr>
            <w:r w:rsidRPr="00FB38E1">
              <w:rPr>
                <w:rFonts w:ascii="Microsoft Sans Serif" w:hAnsi="Microsoft Sans Serif" w:cs="Microsoft Sans Serif"/>
                <w:color w:val="404040"/>
                <w:sz w:val="16"/>
                <w:szCs w:val="16"/>
              </w:rPr>
              <w:t>247.945.896</w:t>
            </w:r>
          </w:p>
        </w:tc>
        <w:tc>
          <w:tcPr>
            <w:tcW w:w="610" w:type="pct"/>
            <w:tcBorders>
              <w:top w:val="single" w:sz="6" w:space="0" w:color="auto"/>
            </w:tcBorders>
            <w:vAlign w:val="center"/>
          </w:tcPr>
          <w:p w14:paraId="0E839FB7" w14:textId="3053FEF0"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197.318.835</w:t>
            </w:r>
          </w:p>
        </w:tc>
      </w:tr>
      <w:tr w:rsidR="005A49B6" w:rsidRPr="00FB38E1" w14:paraId="6DD54386" w14:textId="6A92F157" w:rsidTr="004B61E1">
        <w:tc>
          <w:tcPr>
            <w:tcW w:w="2446" w:type="pct"/>
            <w:tcBorders>
              <w:top w:val="nil"/>
            </w:tcBorders>
            <w:vAlign w:val="bottom"/>
          </w:tcPr>
          <w:p w14:paraId="69D1A9AD" w14:textId="77777777" w:rsidR="005A49B6" w:rsidRPr="00FB38E1" w:rsidRDefault="005A49B6" w:rsidP="005A49B6">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Tasarruf Mevduatı Niteliğini Haiz DTH</w:t>
            </w:r>
          </w:p>
        </w:tc>
        <w:tc>
          <w:tcPr>
            <w:tcW w:w="722" w:type="pct"/>
            <w:tcBorders>
              <w:top w:val="nil"/>
            </w:tcBorders>
            <w:vAlign w:val="center"/>
          </w:tcPr>
          <w:p w14:paraId="75E79B80" w14:textId="7DF56341"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43.926.440</w:t>
            </w:r>
          </w:p>
        </w:tc>
        <w:tc>
          <w:tcPr>
            <w:tcW w:w="611" w:type="pct"/>
            <w:vAlign w:val="center"/>
          </w:tcPr>
          <w:p w14:paraId="28137A5F" w14:textId="4476B205"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38.701.518</w:t>
            </w:r>
          </w:p>
        </w:tc>
        <w:tc>
          <w:tcPr>
            <w:tcW w:w="611" w:type="pct"/>
            <w:vAlign w:val="center"/>
          </w:tcPr>
          <w:p w14:paraId="1BC84F41" w14:textId="0F076408" w:rsidR="005A49B6" w:rsidRPr="00FB38E1" w:rsidRDefault="005A49B6" w:rsidP="005A49B6">
            <w:pPr>
              <w:jc w:val="right"/>
            </w:pPr>
            <w:r w:rsidRPr="00FB38E1">
              <w:rPr>
                <w:rFonts w:ascii="Microsoft Sans Serif" w:hAnsi="Microsoft Sans Serif" w:cs="Microsoft Sans Serif"/>
                <w:color w:val="404040"/>
                <w:sz w:val="16"/>
                <w:szCs w:val="16"/>
              </w:rPr>
              <w:t>77.895.043</w:t>
            </w:r>
          </w:p>
        </w:tc>
        <w:tc>
          <w:tcPr>
            <w:tcW w:w="610" w:type="pct"/>
            <w:vAlign w:val="center"/>
          </w:tcPr>
          <w:p w14:paraId="224189D9" w14:textId="1D2999FA"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84.924.514</w:t>
            </w:r>
          </w:p>
        </w:tc>
      </w:tr>
      <w:tr w:rsidR="005A49B6" w:rsidRPr="00FB38E1" w14:paraId="1636D122" w14:textId="47520B3F" w:rsidTr="004B61E1">
        <w:tc>
          <w:tcPr>
            <w:tcW w:w="2446" w:type="pct"/>
            <w:vAlign w:val="bottom"/>
          </w:tcPr>
          <w:p w14:paraId="298C5555" w14:textId="77777777" w:rsidR="005A49B6" w:rsidRPr="00FB38E1" w:rsidRDefault="005A49B6" w:rsidP="005A49B6">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Tasarruf Mevduatı Niteliğini Haiz Diğ.H.</w:t>
            </w:r>
          </w:p>
        </w:tc>
        <w:tc>
          <w:tcPr>
            <w:tcW w:w="722" w:type="pct"/>
            <w:vAlign w:val="center"/>
          </w:tcPr>
          <w:p w14:paraId="594C6DC3" w14:textId="3E5E51C3"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1" w:type="pct"/>
            <w:vAlign w:val="center"/>
          </w:tcPr>
          <w:p w14:paraId="562506CA" w14:textId="07A1A5E0"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1" w:type="pct"/>
            <w:vAlign w:val="center"/>
          </w:tcPr>
          <w:p w14:paraId="49F6D12F" w14:textId="5B0AA900" w:rsidR="005A49B6" w:rsidRPr="00FB38E1" w:rsidRDefault="005A49B6" w:rsidP="005A49B6">
            <w:pPr>
              <w:jc w:val="right"/>
            </w:pPr>
            <w:r w:rsidRPr="00FB38E1">
              <w:rPr>
                <w:rFonts w:ascii="Microsoft Sans Serif" w:hAnsi="Microsoft Sans Serif" w:cs="Microsoft Sans Serif"/>
                <w:color w:val="404040"/>
                <w:sz w:val="16"/>
                <w:szCs w:val="16"/>
              </w:rPr>
              <w:t>--</w:t>
            </w:r>
          </w:p>
        </w:tc>
        <w:tc>
          <w:tcPr>
            <w:tcW w:w="610" w:type="pct"/>
            <w:vAlign w:val="center"/>
          </w:tcPr>
          <w:p w14:paraId="31863951" w14:textId="73864169"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A49B6" w:rsidRPr="00FB38E1" w14:paraId="5310E687" w14:textId="0551B292" w:rsidTr="004B61E1">
        <w:tc>
          <w:tcPr>
            <w:tcW w:w="2446" w:type="pct"/>
            <w:vAlign w:val="bottom"/>
          </w:tcPr>
          <w:p w14:paraId="5001C8A3" w14:textId="77BF0366" w:rsidR="005A49B6" w:rsidRPr="00FB38E1" w:rsidRDefault="005A49B6" w:rsidP="005A49B6">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 Şubelerde Bulunan Yabancı Mercilerin Sigortasına Tabi Hesaplar</w:t>
            </w:r>
          </w:p>
        </w:tc>
        <w:tc>
          <w:tcPr>
            <w:tcW w:w="722" w:type="pct"/>
            <w:vAlign w:val="center"/>
          </w:tcPr>
          <w:p w14:paraId="3D3D9286" w14:textId="3E5E05C2"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1" w:type="pct"/>
            <w:vAlign w:val="center"/>
          </w:tcPr>
          <w:p w14:paraId="5679CB9B" w14:textId="52616C4C"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1" w:type="pct"/>
            <w:vAlign w:val="center"/>
          </w:tcPr>
          <w:p w14:paraId="13AFDC22" w14:textId="48654D73" w:rsidR="005A49B6" w:rsidRPr="00FB38E1" w:rsidRDefault="005A49B6" w:rsidP="005A49B6">
            <w:pPr>
              <w:jc w:val="right"/>
            </w:pPr>
            <w:r w:rsidRPr="00FB38E1">
              <w:rPr>
                <w:rFonts w:ascii="Microsoft Sans Serif" w:hAnsi="Microsoft Sans Serif" w:cs="Microsoft Sans Serif"/>
                <w:color w:val="404040"/>
                <w:sz w:val="16"/>
                <w:szCs w:val="16"/>
              </w:rPr>
              <w:t>--</w:t>
            </w:r>
          </w:p>
        </w:tc>
        <w:tc>
          <w:tcPr>
            <w:tcW w:w="610" w:type="pct"/>
            <w:vAlign w:val="center"/>
          </w:tcPr>
          <w:p w14:paraId="2A3C2BDC" w14:textId="1B52A660"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A49B6" w:rsidRPr="00FB38E1" w14:paraId="63520ED7" w14:textId="616B5FD3" w:rsidTr="004B61E1">
        <w:tc>
          <w:tcPr>
            <w:tcW w:w="2446" w:type="pct"/>
            <w:tcBorders>
              <w:bottom w:val="single" w:sz="4" w:space="0" w:color="auto"/>
            </w:tcBorders>
            <w:vAlign w:val="bottom"/>
          </w:tcPr>
          <w:p w14:paraId="4A68B59D" w14:textId="77777777" w:rsidR="005A49B6" w:rsidRPr="00FB38E1" w:rsidRDefault="005A49B6" w:rsidP="005A49B6">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Kıyı Bnk.Blg. Şubelerde Bulunan Yabancı Mercilerin Sigortasına Tabi Hesaplar</w:t>
            </w:r>
          </w:p>
        </w:tc>
        <w:tc>
          <w:tcPr>
            <w:tcW w:w="722" w:type="pct"/>
            <w:tcBorders>
              <w:bottom w:val="single" w:sz="4" w:space="0" w:color="auto"/>
            </w:tcBorders>
            <w:vAlign w:val="center"/>
          </w:tcPr>
          <w:p w14:paraId="1A454CB5" w14:textId="4DBC4B29"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1" w:type="pct"/>
            <w:tcBorders>
              <w:bottom w:val="single" w:sz="4" w:space="0" w:color="auto"/>
            </w:tcBorders>
            <w:vAlign w:val="center"/>
          </w:tcPr>
          <w:p w14:paraId="19517736" w14:textId="2DCAA376"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11" w:type="pct"/>
            <w:tcBorders>
              <w:bottom w:val="single" w:sz="4" w:space="0" w:color="auto"/>
            </w:tcBorders>
            <w:vAlign w:val="center"/>
          </w:tcPr>
          <w:p w14:paraId="54B0BFEF" w14:textId="00E31174" w:rsidR="005A49B6" w:rsidRPr="00FB38E1" w:rsidRDefault="005A49B6" w:rsidP="005A49B6">
            <w:pPr>
              <w:jc w:val="right"/>
            </w:pPr>
            <w:r w:rsidRPr="00FB38E1">
              <w:rPr>
                <w:rFonts w:ascii="Microsoft Sans Serif" w:hAnsi="Microsoft Sans Serif" w:cs="Microsoft Sans Serif"/>
                <w:color w:val="404040"/>
                <w:sz w:val="16"/>
                <w:szCs w:val="16"/>
              </w:rPr>
              <w:t>--</w:t>
            </w:r>
          </w:p>
        </w:tc>
        <w:tc>
          <w:tcPr>
            <w:tcW w:w="610" w:type="pct"/>
            <w:tcBorders>
              <w:bottom w:val="single" w:sz="4" w:space="0" w:color="auto"/>
            </w:tcBorders>
            <w:vAlign w:val="center"/>
          </w:tcPr>
          <w:p w14:paraId="6F4817BD" w14:textId="3D0F63B9" w:rsidR="005A49B6" w:rsidRPr="00FB38E1" w:rsidRDefault="005A49B6" w:rsidP="005A49B6">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A49B6" w:rsidRPr="00FB38E1" w14:paraId="7806ED54" w14:textId="3BC391B1" w:rsidTr="00E52370">
        <w:tc>
          <w:tcPr>
            <w:tcW w:w="2446" w:type="pct"/>
            <w:tcBorders>
              <w:top w:val="single" w:sz="4" w:space="0" w:color="auto"/>
              <w:bottom w:val="thickThinSmallGap" w:sz="24" w:space="0" w:color="auto"/>
            </w:tcBorders>
            <w:vAlign w:val="bottom"/>
          </w:tcPr>
          <w:p w14:paraId="5E1036EE" w14:textId="77777777" w:rsidR="005A49B6" w:rsidRPr="00FB38E1" w:rsidRDefault="005A49B6" w:rsidP="005A49B6">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r w:rsidRPr="00FB38E1">
              <w:rPr>
                <w:rFonts w:ascii="Microsoft Sans Serif" w:hAnsi="Microsoft Sans Serif" w:cs="Microsoft Sans Serif"/>
                <w:color w:val="000000"/>
                <w:sz w:val="16"/>
                <w:szCs w:val="16"/>
              </w:rPr>
              <w:t> </w:t>
            </w:r>
          </w:p>
        </w:tc>
        <w:tc>
          <w:tcPr>
            <w:tcW w:w="722" w:type="pct"/>
            <w:tcBorders>
              <w:top w:val="single" w:sz="4" w:space="0" w:color="auto"/>
              <w:bottom w:val="thickThinSmallGap" w:sz="24" w:space="0" w:color="auto"/>
            </w:tcBorders>
            <w:vAlign w:val="center"/>
          </w:tcPr>
          <w:p w14:paraId="23C7BBE2" w14:textId="430A91B4" w:rsidR="005A49B6" w:rsidRPr="00FB38E1" w:rsidRDefault="005A49B6" w:rsidP="005A49B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159.023.226</w:t>
            </w:r>
          </w:p>
        </w:tc>
        <w:tc>
          <w:tcPr>
            <w:tcW w:w="611" w:type="pct"/>
            <w:tcBorders>
              <w:top w:val="single" w:sz="4" w:space="0" w:color="auto"/>
              <w:bottom w:val="thickThinSmallGap" w:sz="24" w:space="0" w:color="auto"/>
            </w:tcBorders>
            <w:vAlign w:val="center"/>
          </w:tcPr>
          <w:p w14:paraId="5677B98E" w14:textId="4CEA6FCA" w:rsidR="005A49B6" w:rsidRPr="00FB38E1" w:rsidRDefault="005A49B6" w:rsidP="005A49B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113.959.062</w:t>
            </w:r>
          </w:p>
        </w:tc>
        <w:tc>
          <w:tcPr>
            <w:tcW w:w="611" w:type="pct"/>
            <w:tcBorders>
              <w:top w:val="single" w:sz="4" w:space="0" w:color="auto"/>
              <w:bottom w:val="thickThinSmallGap" w:sz="24" w:space="0" w:color="auto"/>
            </w:tcBorders>
            <w:vAlign w:val="center"/>
          </w:tcPr>
          <w:p w14:paraId="25CDACA8" w14:textId="70EE7A1A" w:rsidR="005A49B6" w:rsidRPr="00FB38E1" w:rsidRDefault="005A49B6" w:rsidP="005A49B6">
            <w:pPr>
              <w:jc w:val="right"/>
            </w:pPr>
            <w:r w:rsidRPr="00FB38E1">
              <w:rPr>
                <w:rFonts w:ascii="Microsoft Sans Serif" w:hAnsi="Microsoft Sans Serif" w:cs="Microsoft Sans Serif"/>
                <w:b/>
                <w:bCs/>
                <w:color w:val="000000"/>
                <w:sz w:val="16"/>
                <w:szCs w:val="16"/>
              </w:rPr>
              <w:t>325.840.939</w:t>
            </w:r>
          </w:p>
        </w:tc>
        <w:tc>
          <w:tcPr>
            <w:tcW w:w="610" w:type="pct"/>
            <w:tcBorders>
              <w:top w:val="single" w:sz="4" w:space="0" w:color="auto"/>
              <w:bottom w:val="thickThinSmallGap" w:sz="24" w:space="0" w:color="auto"/>
            </w:tcBorders>
            <w:vAlign w:val="center"/>
          </w:tcPr>
          <w:p w14:paraId="58B8F9A8" w14:textId="201D81EC" w:rsidR="005A49B6" w:rsidRPr="00FB38E1" w:rsidRDefault="005A49B6" w:rsidP="005A49B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282.243.349</w:t>
            </w:r>
          </w:p>
        </w:tc>
      </w:tr>
    </w:tbl>
    <w:p w14:paraId="64B70E8C" w14:textId="63DAAAB9" w:rsidR="00550AAD" w:rsidRPr="00FB38E1" w:rsidRDefault="00550AAD" w:rsidP="001279F1">
      <w:pPr>
        <w:autoSpaceDE w:val="0"/>
        <w:autoSpaceDN w:val="0"/>
        <w:adjustRightInd w:val="0"/>
        <w:spacing w:before="120" w:after="0"/>
        <w:rPr>
          <w:rFonts w:ascii="Microsoft Sans Serif" w:hAnsi="Microsoft Sans Serif" w:cs="Microsoft Sans Serif"/>
          <w:b/>
          <w:noProof/>
          <w:snapToGrid w:val="0"/>
          <w:color w:val="404040" w:themeColor="text1" w:themeTint="BF"/>
          <w:sz w:val="14"/>
          <w:szCs w:val="14"/>
          <w:lang w:val="de-DE"/>
        </w:rPr>
      </w:pPr>
      <w:r w:rsidRPr="00FB38E1">
        <w:rPr>
          <w:rFonts w:ascii="Microsoft Sans Serif" w:hAnsi="Microsoft Sans Serif" w:cs="Microsoft Sans Serif"/>
          <w:color w:val="404040" w:themeColor="text1" w:themeTint="BF"/>
          <w:sz w:val="14"/>
          <w:szCs w:val="14"/>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 kredi kuruluşları ve finansal kuruluşlara ait olanlar haricindeki tüm mevduat ve katılım fonları sigortalanmaya başlanmıştır. Bu kapsamda sigorta kapsamında bulunan ticari mevduatlar </w:t>
      </w:r>
      <w:bookmarkStart w:id="63" w:name="_Hlk126318522"/>
      <w:r w:rsidR="00C13EE7" w:rsidRPr="00FB38E1">
        <w:rPr>
          <w:rFonts w:ascii="Microsoft Sans Serif" w:hAnsi="Microsoft Sans Serif" w:cs="Microsoft Sans Serif"/>
          <w:color w:val="404040" w:themeColor="text1" w:themeTint="BF"/>
          <w:sz w:val="14"/>
          <w:szCs w:val="14"/>
        </w:rPr>
        <w:t>19.</w:t>
      </w:r>
      <w:r w:rsidR="00B21C5F" w:rsidRPr="00FB38E1">
        <w:rPr>
          <w:rFonts w:ascii="Microsoft Sans Serif" w:hAnsi="Microsoft Sans Serif" w:cs="Microsoft Sans Serif"/>
          <w:color w:val="404040" w:themeColor="text1" w:themeTint="BF"/>
          <w:sz w:val="14"/>
          <w:szCs w:val="14"/>
        </w:rPr>
        <w:t>199</w:t>
      </w:r>
      <w:r w:rsidR="00C13EE7" w:rsidRPr="00FB38E1">
        <w:rPr>
          <w:rFonts w:ascii="Microsoft Sans Serif" w:hAnsi="Microsoft Sans Serif" w:cs="Microsoft Sans Serif"/>
          <w:color w:val="404040" w:themeColor="text1" w:themeTint="BF"/>
          <w:sz w:val="14"/>
          <w:szCs w:val="14"/>
        </w:rPr>
        <w:t>.</w:t>
      </w:r>
      <w:r w:rsidR="00B21C5F" w:rsidRPr="00FB38E1">
        <w:rPr>
          <w:rFonts w:ascii="Microsoft Sans Serif" w:hAnsi="Microsoft Sans Serif" w:cs="Microsoft Sans Serif"/>
          <w:color w:val="404040" w:themeColor="text1" w:themeTint="BF"/>
          <w:sz w:val="14"/>
          <w:szCs w:val="14"/>
        </w:rPr>
        <w:t>408</w:t>
      </w:r>
      <w:r w:rsidRPr="00FB38E1">
        <w:rPr>
          <w:rFonts w:ascii="Microsoft Sans Serif" w:hAnsi="Microsoft Sans Serif" w:cs="Microsoft Sans Serif"/>
          <w:color w:val="404040" w:themeColor="text1" w:themeTint="BF"/>
          <w:sz w:val="14"/>
          <w:szCs w:val="14"/>
        </w:rPr>
        <w:t xml:space="preserve"> </w:t>
      </w:r>
      <w:bookmarkEnd w:id="63"/>
      <w:r w:rsidRPr="00FB38E1">
        <w:rPr>
          <w:rFonts w:ascii="Microsoft Sans Serif" w:hAnsi="Microsoft Sans Serif" w:cs="Microsoft Sans Serif"/>
          <w:color w:val="404040" w:themeColor="text1" w:themeTint="BF"/>
          <w:sz w:val="14"/>
          <w:szCs w:val="14"/>
        </w:rPr>
        <w:t>TL olup, ilgili tutar dipnota dahil edilmemiştir.</w:t>
      </w:r>
    </w:p>
    <w:p w14:paraId="031F66CB" w14:textId="2A99AE0E" w:rsidR="00FF3EF3" w:rsidRPr="00FB38E1" w:rsidRDefault="00FF3EF3" w:rsidP="001279F1">
      <w:pPr>
        <w:pStyle w:val="BASLIK2"/>
        <w:widowControl/>
        <w:numPr>
          <w:ilvl w:val="0"/>
          <w:numId w:val="28"/>
        </w:numPr>
        <w:spacing w:line="240" w:lineRule="exact"/>
        <w:ind w:left="0" w:hanging="284"/>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b w:val="0"/>
          <w:iCs/>
          <w:sz w:val="20"/>
          <w:szCs w:val="20"/>
        </w:rPr>
        <w:t>Mevduat sigortası kapsamında bulunmayan gerçek kişilerin mevduatı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6523"/>
        <w:gridCol w:w="1558"/>
        <w:gridCol w:w="1558"/>
      </w:tblGrid>
      <w:tr w:rsidR="00AA1245" w:rsidRPr="00FB38E1" w14:paraId="16C0D408" w14:textId="27C593CA" w:rsidTr="00417026">
        <w:trPr>
          <w:trHeight w:val="15"/>
        </w:trPr>
        <w:tc>
          <w:tcPr>
            <w:tcW w:w="3384" w:type="pct"/>
            <w:tcBorders>
              <w:top w:val="thinThickSmallGap" w:sz="24" w:space="0" w:color="auto"/>
              <w:bottom w:val="single" w:sz="4" w:space="0" w:color="auto"/>
            </w:tcBorders>
            <w:vAlign w:val="bottom"/>
          </w:tcPr>
          <w:p w14:paraId="410CB535" w14:textId="77777777" w:rsidR="00AA1245" w:rsidRPr="00FB38E1" w:rsidRDefault="00AA1245"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808" w:type="pct"/>
            <w:tcBorders>
              <w:top w:val="thinThickSmallGap" w:sz="24" w:space="0" w:color="auto"/>
              <w:bottom w:val="single" w:sz="4" w:space="0" w:color="auto"/>
            </w:tcBorders>
            <w:vAlign w:val="bottom"/>
          </w:tcPr>
          <w:p w14:paraId="1F908667" w14:textId="77777777" w:rsidR="00AA1245" w:rsidRPr="00FB38E1" w:rsidRDefault="00AA1245"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08" w:type="pct"/>
            <w:tcBorders>
              <w:top w:val="thinThickSmallGap" w:sz="24" w:space="0" w:color="auto"/>
              <w:bottom w:val="single" w:sz="4" w:space="0" w:color="auto"/>
            </w:tcBorders>
          </w:tcPr>
          <w:p w14:paraId="61C37270" w14:textId="01580B35" w:rsidR="00AA1245" w:rsidRPr="00FB38E1" w:rsidRDefault="00AA1245"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D108A8" w:rsidRPr="00FB38E1" w14:paraId="11160AB9" w14:textId="220A2C86" w:rsidTr="00E52370">
        <w:tc>
          <w:tcPr>
            <w:tcW w:w="3384" w:type="pct"/>
            <w:tcBorders>
              <w:top w:val="single" w:sz="4" w:space="0" w:color="auto"/>
            </w:tcBorders>
            <w:vAlign w:val="bottom"/>
          </w:tcPr>
          <w:p w14:paraId="7E92E8A8" w14:textId="4B2F57F8"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 Şubelerde Bulunan Mevduat ve Diğer Hesaplar</w:t>
            </w:r>
          </w:p>
        </w:tc>
        <w:tc>
          <w:tcPr>
            <w:tcW w:w="808" w:type="pct"/>
            <w:tcBorders>
              <w:top w:val="single" w:sz="4" w:space="0" w:color="auto"/>
            </w:tcBorders>
            <w:vAlign w:val="center"/>
          </w:tcPr>
          <w:p w14:paraId="64F4663F" w14:textId="640A844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r w:rsidR="007F105B" w:rsidRPr="00FB38E1">
              <w:rPr>
                <w:rFonts w:ascii="Microsoft Sans Serif" w:hAnsi="Microsoft Sans Serif" w:cs="Microsoft Sans Serif"/>
                <w:color w:val="404040"/>
                <w:sz w:val="16"/>
                <w:szCs w:val="16"/>
              </w:rPr>
              <w:t>0</w:t>
            </w:r>
            <w:r w:rsidRPr="00FB38E1">
              <w:rPr>
                <w:rFonts w:ascii="Microsoft Sans Serif" w:hAnsi="Microsoft Sans Serif" w:cs="Microsoft Sans Serif"/>
                <w:color w:val="404040"/>
                <w:sz w:val="16"/>
                <w:szCs w:val="16"/>
              </w:rPr>
              <w:t>.</w:t>
            </w:r>
            <w:r w:rsidR="007F105B" w:rsidRPr="00FB38E1">
              <w:rPr>
                <w:rFonts w:ascii="Microsoft Sans Serif" w:hAnsi="Microsoft Sans Serif" w:cs="Microsoft Sans Serif"/>
                <w:color w:val="404040"/>
                <w:sz w:val="16"/>
                <w:szCs w:val="16"/>
              </w:rPr>
              <w:t>658</w:t>
            </w:r>
          </w:p>
        </w:tc>
        <w:tc>
          <w:tcPr>
            <w:tcW w:w="808" w:type="pct"/>
            <w:tcBorders>
              <w:top w:val="single" w:sz="4" w:space="0" w:color="auto"/>
            </w:tcBorders>
            <w:vAlign w:val="center"/>
          </w:tcPr>
          <w:p w14:paraId="7B5AD17D" w14:textId="6C87218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51.431</w:t>
            </w:r>
          </w:p>
        </w:tc>
      </w:tr>
      <w:tr w:rsidR="00D108A8" w:rsidRPr="00FB38E1" w14:paraId="7F4F5F1E" w14:textId="6623AD2E" w:rsidTr="00E52370">
        <w:tc>
          <w:tcPr>
            <w:tcW w:w="3384" w:type="pct"/>
            <w:vAlign w:val="bottom"/>
          </w:tcPr>
          <w:p w14:paraId="15A6271D"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Hakim Ortaklar ile Bunların Ana, Baba, Eş ve Velayet Altındaki Çocuklarına Ait Mevduat ile Diğer Hesaplar</w:t>
            </w:r>
          </w:p>
        </w:tc>
        <w:tc>
          <w:tcPr>
            <w:tcW w:w="808" w:type="pct"/>
            <w:vAlign w:val="center"/>
          </w:tcPr>
          <w:p w14:paraId="22373717" w14:textId="34304456"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8" w:type="pct"/>
            <w:vAlign w:val="center"/>
          </w:tcPr>
          <w:p w14:paraId="01B7B8D2" w14:textId="3CDB654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41D40195" w14:textId="003A147A" w:rsidTr="00E52370">
        <w:tc>
          <w:tcPr>
            <w:tcW w:w="3384" w:type="pct"/>
            <w:vAlign w:val="bottom"/>
          </w:tcPr>
          <w:p w14:paraId="2300F6DD"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Yönetim veya Müdürler Kurulu Başkan ve Üyeler, Genel Müdür ve Yardımcıları ile Bunların Ana, Baba, Eş ve Velayet Altındaki Çocuklarına Ait Mevduat ile Diğer Hesaplar</w:t>
            </w:r>
          </w:p>
        </w:tc>
        <w:tc>
          <w:tcPr>
            <w:tcW w:w="808" w:type="pct"/>
            <w:vAlign w:val="center"/>
          </w:tcPr>
          <w:p w14:paraId="770B4497" w14:textId="21B69A4A" w:rsidR="00D108A8" w:rsidRPr="00FB38E1" w:rsidRDefault="007F105B"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877.143</w:t>
            </w:r>
          </w:p>
        </w:tc>
        <w:tc>
          <w:tcPr>
            <w:tcW w:w="808" w:type="pct"/>
            <w:vAlign w:val="center"/>
          </w:tcPr>
          <w:p w14:paraId="4F304B09" w14:textId="5C0A9C28"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248.325</w:t>
            </w:r>
          </w:p>
        </w:tc>
      </w:tr>
      <w:tr w:rsidR="00D108A8" w:rsidRPr="00FB38E1" w14:paraId="3F93AD19" w14:textId="0ABB8A62" w:rsidTr="00E52370">
        <w:tc>
          <w:tcPr>
            <w:tcW w:w="3384" w:type="pct"/>
            <w:vAlign w:val="bottom"/>
          </w:tcPr>
          <w:p w14:paraId="7D4D9AC6"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26/9/2004 Tarihli ve 5237 sayılı TCK'nın 282’nci Maddesindeki Suçtan Kaynaklanan Mal Varlığı Değerleri Kapsamına Giren Mevduat ve Diğer Hesaplar</w:t>
            </w:r>
          </w:p>
        </w:tc>
        <w:tc>
          <w:tcPr>
            <w:tcW w:w="808" w:type="pct"/>
            <w:vAlign w:val="center"/>
          </w:tcPr>
          <w:p w14:paraId="2537A27B" w14:textId="13EE3D70"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8" w:type="pct"/>
            <w:vAlign w:val="center"/>
          </w:tcPr>
          <w:p w14:paraId="57B88D51" w14:textId="7785C30F"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6980E581" w14:textId="5E1253B6" w:rsidTr="00E52370">
        <w:tc>
          <w:tcPr>
            <w:tcW w:w="3384" w:type="pct"/>
            <w:tcBorders>
              <w:bottom w:val="single" w:sz="4" w:space="0" w:color="auto"/>
            </w:tcBorders>
            <w:vAlign w:val="bottom"/>
          </w:tcPr>
          <w:p w14:paraId="1F6477EB"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Türkiye'de Münhasıran Kıyı Bankacılığı Faaliyeti Göstermek Üzere Kurulan Mevduat Bankalarında Bulunan Mevduat </w:t>
            </w:r>
          </w:p>
        </w:tc>
        <w:tc>
          <w:tcPr>
            <w:tcW w:w="808" w:type="pct"/>
            <w:tcBorders>
              <w:bottom w:val="single" w:sz="4" w:space="0" w:color="auto"/>
            </w:tcBorders>
            <w:vAlign w:val="center"/>
          </w:tcPr>
          <w:p w14:paraId="6C59320F" w14:textId="61F4862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8" w:type="pct"/>
            <w:tcBorders>
              <w:bottom w:val="single" w:sz="4" w:space="0" w:color="auto"/>
            </w:tcBorders>
            <w:vAlign w:val="center"/>
          </w:tcPr>
          <w:p w14:paraId="00224D8E" w14:textId="27D4611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29DC3AFC" w14:textId="3F05EB4C" w:rsidTr="00E52370">
        <w:tc>
          <w:tcPr>
            <w:tcW w:w="3384" w:type="pct"/>
            <w:tcBorders>
              <w:top w:val="single" w:sz="4" w:space="0" w:color="auto"/>
            </w:tcBorders>
            <w:vAlign w:val="bottom"/>
          </w:tcPr>
          <w:p w14:paraId="10F171C3" w14:textId="77777777" w:rsidR="00D108A8" w:rsidRPr="00FB38E1" w:rsidRDefault="00D108A8" w:rsidP="00D108A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808" w:type="pct"/>
            <w:tcBorders>
              <w:top w:val="single" w:sz="4" w:space="0" w:color="auto"/>
            </w:tcBorders>
            <w:vAlign w:val="center"/>
          </w:tcPr>
          <w:p w14:paraId="19A60EE6" w14:textId="2A5A73E2" w:rsidR="00D108A8" w:rsidRPr="00FB38E1" w:rsidRDefault="007F105B" w:rsidP="00D108A8">
            <w:pPr>
              <w:jc w:val="right"/>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897.801</w:t>
            </w:r>
          </w:p>
        </w:tc>
        <w:tc>
          <w:tcPr>
            <w:tcW w:w="808" w:type="pct"/>
            <w:tcBorders>
              <w:top w:val="single" w:sz="4" w:space="0" w:color="auto"/>
            </w:tcBorders>
            <w:vAlign w:val="center"/>
          </w:tcPr>
          <w:p w14:paraId="61208A9D" w14:textId="2188A090"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299.756</w:t>
            </w:r>
          </w:p>
        </w:tc>
      </w:tr>
    </w:tbl>
    <w:p w14:paraId="56E91AC6" w14:textId="0D5CB2F4" w:rsidR="00FF3EF3" w:rsidRPr="00FB38E1" w:rsidRDefault="00947CB5" w:rsidP="001279F1">
      <w:pPr>
        <w:pStyle w:val="BASLIK2"/>
        <w:widowControl/>
        <w:numPr>
          <w:ilvl w:val="0"/>
          <w:numId w:val="28"/>
        </w:numPr>
        <w:spacing w:line="240" w:lineRule="exact"/>
        <w:ind w:left="0" w:hanging="284"/>
        <w:rPr>
          <w:rFonts w:ascii="Microsoft Sans Serif" w:hAnsi="Microsoft Sans Serif" w:cs="Microsoft Sans Serif"/>
          <w:b w:val="0"/>
          <w:iCs/>
          <w:color w:val="404040" w:themeColor="text1" w:themeTint="BF"/>
          <w:sz w:val="20"/>
          <w:szCs w:val="14"/>
        </w:rPr>
      </w:pPr>
      <w:r w:rsidRPr="00FB38E1">
        <w:rPr>
          <w:rFonts w:ascii="Microsoft Sans Serif" w:hAnsi="Microsoft Sans Serif" w:cs="Microsoft Sans Serif"/>
          <w:b w:val="0"/>
          <w:iCs/>
          <w:color w:val="404040" w:themeColor="text1" w:themeTint="BF"/>
          <w:sz w:val="20"/>
          <w:szCs w:val="14"/>
        </w:rPr>
        <w:t xml:space="preserve">Banka’nın merkezi </w:t>
      </w:r>
      <w:r w:rsidR="00CC65DD" w:rsidRPr="00FB38E1">
        <w:rPr>
          <w:rFonts w:ascii="Microsoft Sans Serif" w:hAnsi="Microsoft Sans Serif" w:cs="Microsoft Sans Serif"/>
          <w:b w:val="0"/>
          <w:iCs/>
          <w:color w:val="404040" w:themeColor="text1" w:themeTint="BF"/>
          <w:sz w:val="20"/>
          <w:szCs w:val="14"/>
        </w:rPr>
        <w:t>yurt dışı</w:t>
      </w:r>
      <w:r w:rsidRPr="00FB38E1">
        <w:rPr>
          <w:rFonts w:ascii="Microsoft Sans Serif" w:hAnsi="Microsoft Sans Serif" w:cs="Microsoft Sans Serif"/>
          <w:b w:val="0"/>
          <w:iCs/>
          <w:color w:val="404040" w:themeColor="text1" w:themeTint="BF"/>
          <w:sz w:val="20"/>
          <w:szCs w:val="14"/>
        </w:rPr>
        <w:t>nda bulunmadığından Türkiye’de bulunan mevduatı, başka bir ülkede sigorta kapsamında değildir.</w:t>
      </w:r>
    </w:p>
    <w:p w14:paraId="47B507CE" w14:textId="401AB74E" w:rsidR="00947CB5" w:rsidRPr="00FB38E1" w:rsidRDefault="00947CB5"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rPr>
        <w:t>Alım satım amaçlı türev finansal borçlara ilişkin bilgiler</w:t>
      </w:r>
    </w:p>
    <w:p w14:paraId="06F93691" w14:textId="77777777" w:rsidR="00947CB5" w:rsidRPr="00FB38E1" w:rsidRDefault="00947CB5"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64" w:name="OLE_LINK7"/>
      <w:r w:rsidRPr="00FB38E1">
        <w:rPr>
          <w:rFonts w:ascii="Microsoft Sans Serif" w:hAnsi="Microsoft Sans Serif" w:cs="Microsoft Sans Serif"/>
          <w:iCs/>
          <w:sz w:val="20"/>
          <w:szCs w:val="20"/>
        </w:rPr>
        <w:t>Alım satım amaçlı türev finansal borçlara ilişkin negatif farklar tablosu</w:t>
      </w:r>
    </w:p>
    <w:bookmarkEnd w:id="64"/>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AA1245" w:rsidRPr="00FB38E1" w14:paraId="183BF05D" w14:textId="33A35CB8" w:rsidTr="00AA1245">
        <w:tc>
          <w:tcPr>
            <w:tcW w:w="2722" w:type="pct"/>
            <w:vAlign w:val="bottom"/>
          </w:tcPr>
          <w:p w14:paraId="21AF0C27" w14:textId="77777777" w:rsidR="00AA1245" w:rsidRPr="00FB38E1" w:rsidRDefault="00AA1245"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537205D7" w14:textId="77777777" w:rsidR="00AA1245" w:rsidRPr="00FB38E1" w:rsidRDefault="00AA1245"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74" w:type="pct"/>
            <w:gridSpan w:val="2"/>
            <w:tcBorders>
              <w:bottom w:val="nil"/>
            </w:tcBorders>
          </w:tcPr>
          <w:p w14:paraId="1D28C893" w14:textId="2FF3F61F" w:rsidR="00AA1245" w:rsidRPr="00FB38E1" w:rsidRDefault="00AA1245"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AA1245" w:rsidRPr="00FB38E1" w14:paraId="61BB6BCB" w14:textId="40A37F0D" w:rsidTr="007A0E5A">
        <w:tc>
          <w:tcPr>
            <w:tcW w:w="2722" w:type="pct"/>
            <w:tcBorders>
              <w:bottom w:val="single" w:sz="4" w:space="0" w:color="auto"/>
            </w:tcBorders>
            <w:vAlign w:val="bottom"/>
          </w:tcPr>
          <w:p w14:paraId="4E80EB89" w14:textId="77777777" w:rsidR="00AA1245" w:rsidRPr="00FB38E1" w:rsidRDefault="00AA1245" w:rsidP="001279F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42D8D91C" w14:textId="77777777" w:rsidR="00AA1245" w:rsidRPr="00FB38E1" w:rsidRDefault="00AA1245"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140DE80F" w14:textId="77777777" w:rsidR="00AA1245" w:rsidRPr="00FB38E1" w:rsidRDefault="00AA1245"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37CB564F" w14:textId="72D978F1" w:rsidR="00AA1245" w:rsidRPr="00FB38E1" w:rsidRDefault="00AA1245"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5B4DF2C8" w14:textId="1C01AE7D" w:rsidR="00AA1245" w:rsidRPr="00FB38E1" w:rsidRDefault="00AA1245"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F87BC4" w:rsidRPr="00FB38E1" w14:paraId="77F6202F" w14:textId="5867D36C" w:rsidTr="007A0E5A">
        <w:tc>
          <w:tcPr>
            <w:tcW w:w="2722" w:type="pct"/>
            <w:tcBorders>
              <w:top w:val="single" w:sz="4" w:space="0" w:color="auto"/>
              <w:bottom w:val="nil"/>
            </w:tcBorders>
            <w:vAlign w:val="bottom"/>
          </w:tcPr>
          <w:p w14:paraId="6E232BB3" w14:textId="77777777" w:rsidR="00F87BC4" w:rsidRPr="00FB38E1" w:rsidRDefault="00F87BC4" w:rsidP="00F87BC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Vadeli İşlemler</w:t>
            </w:r>
          </w:p>
        </w:tc>
        <w:tc>
          <w:tcPr>
            <w:tcW w:w="515" w:type="pct"/>
            <w:tcBorders>
              <w:top w:val="single" w:sz="4" w:space="0" w:color="auto"/>
              <w:bottom w:val="nil"/>
            </w:tcBorders>
            <w:vAlign w:val="center"/>
          </w:tcPr>
          <w:p w14:paraId="565073E1" w14:textId="5FF9E100"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313</w:t>
            </w:r>
          </w:p>
        </w:tc>
        <w:tc>
          <w:tcPr>
            <w:tcW w:w="588" w:type="pct"/>
            <w:tcBorders>
              <w:top w:val="single" w:sz="4" w:space="0" w:color="auto"/>
              <w:bottom w:val="nil"/>
            </w:tcBorders>
            <w:vAlign w:val="center"/>
          </w:tcPr>
          <w:p w14:paraId="677A5055" w14:textId="45E4E81E"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1.327.397</w:t>
            </w:r>
          </w:p>
        </w:tc>
        <w:tc>
          <w:tcPr>
            <w:tcW w:w="588" w:type="pct"/>
            <w:tcBorders>
              <w:top w:val="single" w:sz="4" w:space="0" w:color="auto"/>
              <w:bottom w:val="nil"/>
            </w:tcBorders>
            <w:vAlign w:val="center"/>
          </w:tcPr>
          <w:p w14:paraId="319515E1" w14:textId="17E9A843"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346.354</w:t>
            </w:r>
          </w:p>
        </w:tc>
        <w:tc>
          <w:tcPr>
            <w:tcW w:w="586" w:type="pct"/>
            <w:tcBorders>
              <w:top w:val="single" w:sz="4" w:space="0" w:color="auto"/>
              <w:bottom w:val="nil"/>
            </w:tcBorders>
            <w:vAlign w:val="center"/>
          </w:tcPr>
          <w:p w14:paraId="2226BE3D" w14:textId="766081E6"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166.842</w:t>
            </w:r>
          </w:p>
        </w:tc>
      </w:tr>
      <w:tr w:rsidR="00F87BC4" w:rsidRPr="00FB38E1" w14:paraId="25BFFED8" w14:textId="435CE222" w:rsidTr="007A0E5A">
        <w:tc>
          <w:tcPr>
            <w:tcW w:w="2722" w:type="pct"/>
            <w:tcBorders>
              <w:top w:val="nil"/>
            </w:tcBorders>
            <w:vAlign w:val="bottom"/>
          </w:tcPr>
          <w:p w14:paraId="383DA0F0" w14:textId="77777777" w:rsidR="00F87BC4" w:rsidRPr="00FB38E1" w:rsidRDefault="00F87BC4" w:rsidP="00F87BC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Swap İşlemleri</w:t>
            </w:r>
          </w:p>
        </w:tc>
        <w:tc>
          <w:tcPr>
            <w:tcW w:w="515" w:type="pct"/>
            <w:tcBorders>
              <w:top w:val="nil"/>
            </w:tcBorders>
            <w:vAlign w:val="center"/>
          </w:tcPr>
          <w:p w14:paraId="2F53F1ED" w14:textId="76846431"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tcBorders>
              <w:top w:val="nil"/>
            </w:tcBorders>
            <w:vAlign w:val="center"/>
          </w:tcPr>
          <w:p w14:paraId="4274E9AA" w14:textId="22ECCFC6"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2.174.722</w:t>
            </w:r>
          </w:p>
        </w:tc>
        <w:tc>
          <w:tcPr>
            <w:tcW w:w="588" w:type="pct"/>
            <w:tcBorders>
              <w:top w:val="nil"/>
            </w:tcBorders>
            <w:vAlign w:val="center"/>
          </w:tcPr>
          <w:p w14:paraId="0C000203" w14:textId="7667EFFB"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53.263</w:t>
            </w:r>
          </w:p>
        </w:tc>
        <w:tc>
          <w:tcPr>
            <w:tcW w:w="586" w:type="pct"/>
            <w:tcBorders>
              <w:top w:val="nil"/>
            </w:tcBorders>
            <w:vAlign w:val="center"/>
          </w:tcPr>
          <w:p w14:paraId="5D5C0020" w14:textId="01A6F110"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2.023.535</w:t>
            </w:r>
          </w:p>
        </w:tc>
      </w:tr>
      <w:tr w:rsidR="00F87BC4" w:rsidRPr="00FB38E1" w14:paraId="2FD13AB0" w14:textId="2D7DBA4C" w:rsidTr="007A0E5A">
        <w:tc>
          <w:tcPr>
            <w:tcW w:w="2722" w:type="pct"/>
            <w:vAlign w:val="bottom"/>
          </w:tcPr>
          <w:p w14:paraId="51A05F70" w14:textId="77777777" w:rsidR="00F87BC4" w:rsidRPr="00FB38E1" w:rsidRDefault="00F87BC4" w:rsidP="00F87BC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Futures İşlemleri</w:t>
            </w:r>
          </w:p>
        </w:tc>
        <w:tc>
          <w:tcPr>
            <w:tcW w:w="515" w:type="pct"/>
            <w:vAlign w:val="center"/>
          </w:tcPr>
          <w:p w14:paraId="107A23A8" w14:textId="7C9BAF5C"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38B6A0F3" w14:textId="46810826"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505351F7" w14:textId="0994C7B0"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981</w:t>
            </w:r>
          </w:p>
        </w:tc>
        <w:tc>
          <w:tcPr>
            <w:tcW w:w="586" w:type="pct"/>
            <w:vAlign w:val="center"/>
          </w:tcPr>
          <w:p w14:paraId="4B60B3F3" w14:textId="1A7FDE52"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87BC4" w:rsidRPr="00FB38E1" w14:paraId="0585E2CD" w14:textId="57E44FE9" w:rsidTr="007A0E5A">
        <w:tc>
          <w:tcPr>
            <w:tcW w:w="2722" w:type="pct"/>
            <w:vAlign w:val="bottom"/>
          </w:tcPr>
          <w:p w14:paraId="08C54E54" w14:textId="77777777" w:rsidR="00F87BC4" w:rsidRPr="00FB38E1" w:rsidRDefault="00F87BC4" w:rsidP="00F87BC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Opsiyonlar</w:t>
            </w:r>
          </w:p>
        </w:tc>
        <w:tc>
          <w:tcPr>
            <w:tcW w:w="515" w:type="pct"/>
            <w:vAlign w:val="center"/>
          </w:tcPr>
          <w:p w14:paraId="145A9E92" w14:textId="47AFD321"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73820766" w14:textId="1A6765D4"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1.613.049</w:t>
            </w:r>
          </w:p>
        </w:tc>
        <w:tc>
          <w:tcPr>
            <w:tcW w:w="588" w:type="pct"/>
            <w:vAlign w:val="center"/>
          </w:tcPr>
          <w:p w14:paraId="66B88F89" w14:textId="0276DD30"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vAlign w:val="center"/>
          </w:tcPr>
          <w:p w14:paraId="6CDA874A" w14:textId="7645D821"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255.390</w:t>
            </w:r>
          </w:p>
        </w:tc>
      </w:tr>
      <w:tr w:rsidR="00F87BC4" w:rsidRPr="00FB38E1" w14:paraId="79CCC2BE" w14:textId="1685266F" w:rsidTr="00DE5CCA">
        <w:trPr>
          <w:trHeight w:val="80"/>
        </w:trPr>
        <w:tc>
          <w:tcPr>
            <w:tcW w:w="2722" w:type="pct"/>
            <w:tcBorders>
              <w:bottom w:val="single" w:sz="4" w:space="0" w:color="auto"/>
            </w:tcBorders>
            <w:vAlign w:val="bottom"/>
          </w:tcPr>
          <w:p w14:paraId="7C5A77B5" w14:textId="77777777" w:rsidR="00F87BC4" w:rsidRPr="00FB38E1" w:rsidRDefault="00F87BC4" w:rsidP="00F87BC4">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515" w:type="pct"/>
            <w:tcBorders>
              <w:bottom w:val="single" w:sz="4" w:space="0" w:color="auto"/>
            </w:tcBorders>
            <w:vAlign w:val="center"/>
          </w:tcPr>
          <w:p w14:paraId="35AF6586" w14:textId="1ABB2523"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24D68871" w14:textId="5CB4E13F"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081F4891" w14:textId="31187CDC"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0D20303E" w14:textId="6ABFDD57" w:rsidR="00F87BC4" w:rsidRPr="00FB38E1" w:rsidRDefault="00F87BC4" w:rsidP="00F87BC4">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87BC4" w:rsidRPr="00FB38E1" w14:paraId="1749E56F" w14:textId="26E76BAE" w:rsidTr="007A0E5A">
        <w:tc>
          <w:tcPr>
            <w:tcW w:w="2722" w:type="pct"/>
            <w:tcBorders>
              <w:top w:val="single" w:sz="4" w:space="0" w:color="auto"/>
              <w:bottom w:val="thickThinSmallGap" w:sz="24" w:space="0" w:color="auto"/>
            </w:tcBorders>
            <w:vAlign w:val="bottom"/>
          </w:tcPr>
          <w:p w14:paraId="3F57EFA1" w14:textId="77777777" w:rsidR="00F87BC4" w:rsidRPr="00FB38E1" w:rsidRDefault="00F87BC4" w:rsidP="00F87BC4">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2B90D007" w14:textId="78029256" w:rsidR="00F87BC4" w:rsidRPr="00FB38E1" w:rsidRDefault="00F87BC4" w:rsidP="00F87BC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313</w:t>
            </w:r>
          </w:p>
        </w:tc>
        <w:tc>
          <w:tcPr>
            <w:tcW w:w="588" w:type="pct"/>
            <w:tcBorders>
              <w:top w:val="single" w:sz="4" w:space="0" w:color="auto"/>
              <w:bottom w:val="thickThinSmallGap" w:sz="24" w:space="0" w:color="auto"/>
            </w:tcBorders>
            <w:vAlign w:val="center"/>
          </w:tcPr>
          <w:p w14:paraId="6D895C87" w14:textId="1344C19C" w:rsidR="00F87BC4" w:rsidRPr="00FB38E1" w:rsidRDefault="00F87BC4" w:rsidP="00F87BC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5.115.168</w:t>
            </w:r>
          </w:p>
        </w:tc>
        <w:tc>
          <w:tcPr>
            <w:tcW w:w="588" w:type="pct"/>
            <w:tcBorders>
              <w:top w:val="single" w:sz="4" w:space="0" w:color="auto"/>
              <w:bottom w:val="thickThinSmallGap" w:sz="24" w:space="0" w:color="auto"/>
            </w:tcBorders>
            <w:vAlign w:val="center"/>
          </w:tcPr>
          <w:p w14:paraId="4366AA6D" w14:textId="25E51900" w:rsidR="00F87BC4" w:rsidRPr="00FB38E1" w:rsidRDefault="00F87BC4" w:rsidP="00F87BC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400.598</w:t>
            </w:r>
          </w:p>
        </w:tc>
        <w:tc>
          <w:tcPr>
            <w:tcW w:w="586" w:type="pct"/>
            <w:tcBorders>
              <w:top w:val="single" w:sz="4" w:space="0" w:color="auto"/>
              <w:bottom w:val="thickThinSmallGap" w:sz="24" w:space="0" w:color="auto"/>
            </w:tcBorders>
            <w:vAlign w:val="center"/>
          </w:tcPr>
          <w:p w14:paraId="171AABAF" w14:textId="602499A4" w:rsidR="00F87BC4" w:rsidRPr="00FB38E1" w:rsidRDefault="00F87BC4" w:rsidP="00F87BC4">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2.445.767</w:t>
            </w:r>
          </w:p>
        </w:tc>
      </w:tr>
    </w:tbl>
    <w:p w14:paraId="28B482B8" w14:textId="77777777" w:rsidR="0004350B" w:rsidRPr="00FB38E1" w:rsidRDefault="0004350B"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t>Alınan kredilere ilişkin bilgiler</w:t>
      </w:r>
    </w:p>
    <w:p w14:paraId="30079D3E" w14:textId="77777777" w:rsidR="0004350B" w:rsidRPr="00FB38E1" w:rsidRDefault="0004350B"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65" w:name="OLE_LINK8"/>
      <w:r w:rsidRPr="00FB38E1">
        <w:rPr>
          <w:rFonts w:ascii="Microsoft Sans Serif" w:hAnsi="Microsoft Sans Serif" w:cs="Microsoft Sans Serif"/>
          <w:iCs/>
          <w:sz w:val="20"/>
          <w:szCs w:val="20"/>
        </w:rPr>
        <w:t>Bankalar ve diğer mali kuruluşlara ilişkin bilgiler</w:t>
      </w:r>
    </w:p>
    <w:bookmarkEnd w:id="65"/>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04350B" w:rsidRPr="00FB38E1" w14:paraId="3CD9CC13" w14:textId="77777777" w:rsidTr="004E1B47">
        <w:tc>
          <w:tcPr>
            <w:tcW w:w="2722" w:type="pct"/>
            <w:vAlign w:val="bottom"/>
          </w:tcPr>
          <w:p w14:paraId="2F28298B" w14:textId="77777777" w:rsidR="0004350B" w:rsidRPr="00FB38E1" w:rsidRDefault="0004350B"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32CE810E" w14:textId="77777777" w:rsidR="0004350B" w:rsidRPr="00FB38E1" w:rsidRDefault="0004350B"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74" w:type="pct"/>
            <w:gridSpan w:val="2"/>
            <w:tcBorders>
              <w:bottom w:val="nil"/>
            </w:tcBorders>
          </w:tcPr>
          <w:p w14:paraId="3739BB78" w14:textId="77777777" w:rsidR="0004350B" w:rsidRPr="00FB38E1" w:rsidRDefault="0004350B"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04350B" w:rsidRPr="00FB38E1" w14:paraId="18A0F6D8" w14:textId="77777777" w:rsidTr="004E1B47">
        <w:tc>
          <w:tcPr>
            <w:tcW w:w="2722" w:type="pct"/>
            <w:tcBorders>
              <w:bottom w:val="single" w:sz="4" w:space="0" w:color="auto"/>
            </w:tcBorders>
            <w:vAlign w:val="bottom"/>
          </w:tcPr>
          <w:p w14:paraId="0A76DACF" w14:textId="77777777" w:rsidR="0004350B" w:rsidRPr="00FB38E1" w:rsidRDefault="0004350B" w:rsidP="001279F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0CB4EBE1"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13C9BE74"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3D9C25F5"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2A68FC3A"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D108A8" w:rsidRPr="00FB38E1" w14:paraId="45D3A318" w14:textId="77777777" w:rsidTr="00D67AB3">
        <w:trPr>
          <w:trHeight w:val="62"/>
        </w:trPr>
        <w:tc>
          <w:tcPr>
            <w:tcW w:w="2722" w:type="pct"/>
            <w:vAlign w:val="bottom"/>
          </w:tcPr>
          <w:p w14:paraId="722A71AA"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T.C. Merkez Bankası Kredileri</w:t>
            </w:r>
          </w:p>
        </w:tc>
        <w:tc>
          <w:tcPr>
            <w:tcW w:w="515" w:type="pct"/>
            <w:vAlign w:val="center"/>
          </w:tcPr>
          <w:p w14:paraId="6157859C" w14:textId="2D5881AF"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75AD9F70" w14:textId="740C1900"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20CA8FDD" w14:textId="036F234D"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vAlign w:val="center"/>
          </w:tcPr>
          <w:p w14:paraId="15FDD4A6" w14:textId="674A7A80"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3CFA71D7" w14:textId="77777777" w:rsidTr="004E1B47">
        <w:tc>
          <w:tcPr>
            <w:tcW w:w="2722" w:type="pct"/>
            <w:vAlign w:val="bottom"/>
          </w:tcPr>
          <w:p w14:paraId="6324B1CC"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içi Banka ve Kuruluşlardan</w:t>
            </w:r>
          </w:p>
        </w:tc>
        <w:tc>
          <w:tcPr>
            <w:tcW w:w="515" w:type="pct"/>
            <w:vAlign w:val="center"/>
          </w:tcPr>
          <w:p w14:paraId="11C5D666" w14:textId="519F6604"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817.837</w:t>
            </w:r>
          </w:p>
        </w:tc>
        <w:tc>
          <w:tcPr>
            <w:tcW w:w="588" w:type="pct"/>
            <w:vAlign w:val="center"/>
          </w:tcPr>
          <w:p w14:paraId="6DBEC11F" w14:textId="30AE0D6C"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3.232.992</w:t>
            </w:r>
          </w:p>
        </w:tc>
        <w:tc>
          <w:tcPr>
            <w:tcW w:w="588" w:type="pct"/>
            <w:vAlign w:val="center"/>
          </w:tcPr>
          <w:p w14:paraId="4A03B9B2" w14:textId="5563EBA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998.809</w:t>
            </w:r>
          </w:p>
        </w:tc>
        <w:tc>
          <w:tcPr>
            <w:tcW w:w="586" w:type="pct"/>
            <w:vAlign w:val="center"/>
          </w:tcPr>
          <w:p w14:paraId="0BF7D030" w14:textId="3C6B6C05"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1.466.708</w:t>
            </w:r>
          </w:p>
        </w:tc>
      </w:tr>
      <w:tr w:rsidR="00D108A8" w:rsidRPr="00FB38E1" w14:paraId="1E85DA67" w14:textId="77777777" w:rsidTr="004E1B47">
        <w:tc>
          <w:tcPr>
            <w:tcW w:w="2722" w:type="pct"/>
            <w:tcBorders>
              <w:bottom w:val="single" w:sz="4" w:space="0" w:color="auto"/>
            </w:tcBorders>
            <w:vAlign w:val="bottom"/>
          </w:tcPr>
          <w:p w14:paraId="6EEE2BFB"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 Banka, Kuruluş ve Fonlardan (*)</w:t>
            </w:r>
          </w:p>
        </w:tc>
        <w:tc>
          <w:tcPr>
            <w:tcW w:w="515" w:type="pct"/>
            <w:tcBorders>
              <w:bottom w:val="single" w:sz="4" w:space="0" w:color="auto"/>
            </w:tcBorders>
            <w:vAlign w:val="center"/>
          </w:tcPr>
          <w:p w14:paraId="421A2515" w14:textId="27C7DB7C"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000D7BDC" w14:textId="428B660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226.310.745</w:t>
            </w:r>
          </w:p>
        </w:tc>
        <w:tc>
          <w:tcPr>
            <w:tcW w:w="588" w:type="pct"/>
            <w:tcBorders>
              <w:bottom w:val="single" w:sz="4" w:space="0" w:color="auto"/>
            </w:tcBorders>
            <w:vAlign w:val="center"/>
          </w:tcPr>
          <w:p w14:paraId="2055699C" w14:textId="45876F39"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07C1527B" w14:textId="03561DF1"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139.941.069</w:t>
            </w:r>
          </w:p>
        </w:tc>
      </w:tr>
      <w:tr w:rsidR="00D108A8" w:rsidRPr="00FB38E1" w14:paraId="61DF83A4" w14:textId="77777777" w:rsidTr="004E1B47">
        <w:tc>
          <w:tcPr>
            <w:tcW w:w="2722" w:type="pct"/>
            <w:tcBorders>
              <w:top w:val="single" w:sz="4" w:space="0" w:color="auto"/>
              <w:bottom w:val="thickThinSmallGap" w:sz="24" w:space="0" w:color="auto"/>
            </w:tcBorders>
            <w:vAlign w:val="bottom"/>
          </w:tcPr>
          <w:p w14:paraId="10187138" w14:textId="77777777" w:rsidR="00D108A8" w:rsidRPr="00FB38E1" w:rsidRDefault="00D108A8" w:rsidP="00D108A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14BC35FB" w14:textId="2620726B"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817.837</w:t>
            </w:r>
          </w:p>
        </w:tc>
        <w:tc>
          <w:tcPr>
            <w:tcW w:w="588" w:type="pct"/>
            <w:tcBorders>
              <w:top w:val="single" w:sz="4" w:space="0" w:color="auto"/>
              <w:bottom w:val="thickThinSmallGap" w:sz="24" w:space="0" w:color="auto"/>
            </w:tcBorders>
            <w:vAlign w:val="center"/>
          </w:tcPr>
          <w:p w14:paraId="136FA059" w14:textId="591A8D25"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229.543.737</w:t>
            </w:r>
          </w:p>
        </w:tc>
        <w:tc>
          <w:tcPr>
            <w:tcW w:w="588" w:type="pct"/>
            <w:tcBorders>
              <w:top w:val="single" w:sz="4" w:space="0" w:color="auto"/>
              <w:bottom w:val="thickThinSmallGap" w:sz="24" w:space="0" w:color="auto"/>
            </w:tcBorders>
            <w:vAlign w:val="center"/>
          </w:tcPr>
          <w:p w14:paraId="3C6738B8" w14:textId="0D182FC6"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998.809</w:t>
            </w:r>
          </w:p>
        </w:tc>
        <w:tc>
          <w:tcPr>
            <w:tcW w:w="586" w:type="pct"/>
            <w:tcBorders>
              <w:top w:val="single" w:sz="4" w:space="0" w:color="auto"/>
              <w:bottom w:val="thickThinSmallGap" w:sz="24" w:space="0" w:color="auto"/>
            </w:tcBorders>
            <w:vAlign w:val="center"/>
          </w:tcPr>
          <w:p w14:paraId="5EF7C222" w14:textId="78700442"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141.407.777</w:t>
            </w:r>
          </w:p>
        </w:tc>
      </w:tr>
    </w:tbl>
    <w:p w14:paraId="56CA1CFE" w14:textId="77777777" w:rsidR="0004350B" w:rsidRPr="00FB38E1" w:rsidRDefault="0004350B" w:rsidP="001279F1">
      <w:pPr>
        <w:pStyle w:val="BASLIK2"/>
        <w:widowControl/>
        <w:spacing w:before="60" w:line="240" w:lineRule="auto"/>
        <w:ind w:firstLine="0"/>
        <w:rPr>
          <w:rFonts w:ascii="Microsoft Sans Serif" w:hAnsi="Microsoft Sans Serif" w:cs="Microsoft Sans Serif"/>
          <w:noProof/>
          <w:snapToGrid w:val="0"/>
          <w:color w:val="404040" w:themeColor="text1" w:themeTint="BF"/>
          <w:sz w:val="14"/>
          <w:szCs w:val="14"/>
          <w:lang w:val="de-DE"/>
        </w:rPr>
      </w:pPr>
      <w:r w:rsidRPr="00FB38E1">
        <w:rPr>
          <w:rFonts w:ascii="Microsoft Sans Serif" w:hAnsi="Microsoft Sans Serif" w:cs="Microsoft Sans Serif"/>
          <w:b w:val="0"/>
          <w:color w:val="404040" w:themeColor="text1" w:themeTint="BF"/>
          <w:sz w:val="14"/>
          <w:szCs w:val="14"/>
        </w:rPr>
        <w:t>(*) Banka, yurt dışı borçlanma programı çerçevesinde yurtdışında kurulu özel amaçlı kuruluş olan DFS Funding Corporation aracılığıyla yurtdışı havale akımlarına dayalı seküritizasyon işlemleri ile kaynak temin etmektedir.</w:t>
      </w:r>
    </w:p>
    <w:p w14:paraId="7E614F52" w14:textId="49C3A07A" w:rsidR="00034B0C" w:rsidRPr="00FB38E1" w:rsidRDefault="00034B0C" w:rsidP="001279F1">
      <w:pPr>
        <w:pStyle w:val="BASLIK2"/>
        <w:widowControl/>
        <w:spacing w:line="240" w:lineRule="exact"/>
        <w:ind w:firstLine="0"/>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br w:type="page"/>
      </w:r>
    </w:p>
    <w:p w14:paraId="0DA44B51" w14:textId="5C835335" w:rsidR="006853E6" w:rsidRPr="00FB38E1" w:rsidRDefault="006853E6" w:rsidP="001279F1">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bookmarkStart w:id="66" w:name="OLE_LINK9"/>
      <w:r w:rsidRPr="00FB38E1">
        <w:rPr>
          <w:rFonts w:ascii="Microsoft Sans Serif" w:hAnsi="Microsoft Sans Serif" w:cs="Microsoft Sans Serif"/>
          <w:iCs/>
          <w:sz w:val="20"/>
          <w:szCs w:val="20"/>
        </w:rPr>
        <w:t>Alınan kredilerin vade ayrımına göre gösterilmesi</w:t>
      </w:r>
    </w:p>
    <w:bookmarkEnd w:id="66"/>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7A0E5A" w:rsidRPr="00FB38E1" w14:paraId="5D1130D1" w14:textId="3C45CE2A" w:rsidTr="007A0E5A">
        <w:tc>
          <w:tcPr>
            <w:tcW w:w="2722" w:type="pct"/>
            <w:vAlign w:val="bottom"/>
          </w:tcPr>
          <w:p w14:paraId="72EA21AA" w14:textId="77777777" w:rsidR="007A0E5A" w:rsidRPr="00FB38E1" w:rsidRDefault="007A0E5A"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1B1A5C4A" w14:textId="77777777" w:rsidR="007A0E5A" w:rsidRPr="00FB38E1" w:rsidRDefault="007A0E5A"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74" w:type="pct"/>
            <w:gridSpan w:val="2"/>
            <w:tcBorders>
              <w:bottom w:val="nil"/>
            </w:tcBorders>
          </w:tcPr>
          <w:p w14:paraId="5D02F4E0" w14:textId="616D4887" w:rsidR="007A0E5A" w:rsidRPr="00FB38E1" w:rsidRDefault="007A0E5A"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021F47" w:rsidRPr="00FB38E1" w14:paraId="5D754208" w14:textId="55792A7D" w:rsidTr="007A0E5A">
        <w:tc>
          <w:tcPr>
            <w:tcW w:w="2722" w:type="pct"/>
            <w:tcBorders>
              <w:bottom w:val="single" w:sz="4" w:space="0" w:color="auto"/>
            </w:tcBorders>
            <w:vAlign w:val="bottom"/>
          </w:tcPr>
          <w:p w14:paraId="778AA01C" w14:textId="77777777" w:rsidR="00021F47" w:rsidRPr="00FB38E1" w:rsidRDefault="00021F47" w:rsidP="001279F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1C2D3860" w14:textId="77777777" w:rsidR="00021F47" w:rsidRPr="00FB38E1" w:rsidRDefault="00021F47"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DD88B6D" w14:textId="77777777" w:rsidR="00021F47" w:rsidRPr="00FB38E1" w:rsidRDefault="00021F47"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6583F9D2" w14:textId="4D64BD1D" w:rsidR="00021F47" w:rsidRPr="00FB38E1" w:rsidRDefault="00021F47"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245FD394" w14:textId="2CB7D947" w:rsidR="00021F47" w:rsidRPr="00FB38E1" w:rsidRDefault="00021F47"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D108A8" w:rsidRPr="00FB38E1" w14:paraId="5D6FEF3A" w14:textId="0B44AA43" w:rsidTr="0003645B">
        <w:tc>
          <w:tcPr>
            <w:tcW w:w="2722" w:type="pct"/>
            <w:vAlign w:val="bottom"/>
          </w:tcPr>
          <w:p w14:paraId="76730757"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Kısa Vadeli</w:t>
            </w:r>
          </w:p>
        </w:tc>
        <w:tc>
          <w:tcPr>
            <w:tcW w:w="515" w:type="pct"/>
            <w:vAlign w:val="center"/>
          </w:tcPr>
          <w:p w14:paraId="35ED9E06" w14:textId="2DECD543"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448.648</w:t>
            </w:r>
          </w:p>
        </w:tc>
        <w:tc>
          <w:tcPr>
            <w:tcW w:w="588" w:type="pct"/>
            <w:vAlign w:val="center"/>
          </w:tcPr>
          <w:p w14:paraId="77D42B1C" w14:textId="5D7BDE03"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57.718.963</w:t>
            </w:r>
          </w:p>
        </w:tc>
        <w:tc>
          <w:tcPr>
            <w:tcW w:w="588" w:type="pct"/>
            <w:vAlign w:val="center"/>
          </w:tcPr>
          <w:p w14:paraId="7AF2F5D4" w14:textId="1374B74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998.809</w:t>
            </w:r>
          </w:p>
        </w:tc>
        <w:tc>
          <w:tcPr>
            <w:tcW w:w="586" w:type="pct"/>
            <w:vAlign w:val="center"/>
          </w:tcPr>
          <w:p w14:paraId="6444897B" w14:textId="65C44105"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39.976.541</w:t>
            </w:r>
          </w:p>
        </w:tc>
      </w:tr>
      <w:tr w:rsidR="00D108A8" w:rsidRPr="00FB38E1" w14:paraId="7506F154" w14:textId="345B15EA" w:rsidTr="0003645B">
        <w:tc>
          <w:tcPr>
            <w:tcW w:w="2722" w:type="pct"/>
            <w:tcBorders>
              <w:bottom w:val="single" w:sz="4" w:space="0" w:color="auto"/>
            </w:tcBorders>
            <w:vAlign w:val="bottom"/>
          </w:tcPr>
          <w:p w14:paraId="2A3964A8"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Orta ve Uzun Vadeli</w:t>
            </w:r>
          </w:p>
        </w:tc>
        <w:tc>
          <w:tcPr>
            <w:tcW w:w="515" w:type="pct"/>
            <w:tcBorders>
              <w:bottom w:val="single" w:sz="4" w:space="0" w:color="auto"/>
            </w:tcBorders>
            <w:vAlign w:val="center"/>
          </w:tcPr>
          <w:p w14:paraId="76D739AD" w14:textId="66D2BF55"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369.189</w:t>
            </w:r>
          </w:p>
        </w:tc>
        <w:tc>
          <w:tcPr>
            <w:tcW w:w="588" w:type="pct"/>
            <w:tcBorders>
              <w:bottom w:val="single" w:sz="4" w:space="0" w:color="auto"/>
            </w:tcBorders>
            <w:vAlign w:val="center"/>
          </w:tcPr>
          <w:p w14:paraId="39CC87FA" w14:textId="5ED6ABAD"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171.824.774</w:t>
            </w:r>
          </w:p>
        </w:tc>
        <w:tc>
          <w:tcPr>
            <w:tcW w:w="588" w:type="pct"/>
            <w:tcBorders>
              <w:bottom w:val="single" w:sz="4" w:space="0" w:color="auto"/>
            </w:tcBorders>
            <w:vAlign w:val="center"/>
          </w:tcPr>
          <w:p w14:paraId="4E910E40" w14:textId="3F730A99"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256490DE" w14:textId="7C106944"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101.431.236</w:t>
            </w:r>
          </w:p>
        </w:tc>
      </w:tr>
      <w:tr w:rsidR="00D108A8" w:rsidRPr="00FB38E1" w14:paraId="298E4C6D" w14:textId="1E166CD7" w:rsidTr="0003645B">
        <w:tc>
          <w:tcPr>
            <w:tcW w:w="2722" w:type="pct"/>
            <w:tcBorders>
              <w:top w:val="single" w:sz="4" w:space="0" w:color="auto"/>
              <w:bottom w:val="thickThinSmallGap" w:sz="24" w:space="0" w:color="auto"/>
            </w:tcBorders>
            <w:vAlign w:val="bottom"/>
          </w:tcPr>
          <w:p w14:paraId="266521D9" w14:textId="77777777" w:rsidR="00D108A8" w:rsidRPr="00FB38E1" w:rsidRDefault="00D108A8" w:rsidP="00D108A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10D03EE7" w14:textId="4526B7AC"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817.837</w:t>
            </w:r>
          </w:p>
        </w:tc>
        <w:tc>
          <w:tcPr>
            <w:tcW w:w="588" w:type="pct"/>
            <w:tcBorders>
              <w:top w:val="single" w:sz="4" w:space="0" w:color="auto"/>
              <w:bottom w:val="thickThinSmallGap" w:sz="24" w:space="0" w:color="auto"/>
            </w:tcBorders>
            <w:vAlign w:val="center"/>
          </w:tcPr>
          <w:p w14:paraId="2009D8D2" w14:textId="25EEFE07"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229.543.737</w:t>
            </w:r>
          </w:p>
        </w:tc>
        <w:tc>
          <w:tcPr>
            <w:tcW w:w="588" w:type="pct"/>
            <w:tcBorders>
              <w:top w:val="single" w:sz="4" w:space="0" w:color="auto"/>
              <w:bottom w:val="thickThinSmallGap" w:sz="24" w:space="0" w:color="auto"/>
            </w:tcBorders>
            <w:vAlign w:val="center"/>
          </w:tcPr>
          <w:p w14:paraId="014E227D" w14:textId="3FE18583"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998.809</w:t>
            </w:r>
          </w:p>
        </w:tc>
        <w:tc>
          <w:tcPr>
            <w:tcW w:w="586" w:type="pct"/>
            <w:tcBorders>
              <w:top w:val="single" w:sz="4" w:space="0" w:color="auto"/>
              <w:bottom w:val="thickThinSmallGap" w:sz="24" w:space="0" w:color="auto"/>
            </w:tcBorders>
            <w:vAlign w:val="center"/>
          </w:tcPr>
          <w:p w14:paraId="5D5A45ED" w14:textId="2B967C50"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141.407.777</w:t>
            </w:r>
          </w:p>
        </w:tc>
      </w:tr>
    </w:tbl>
    <w:p w14:paraId="4F66744A" w14:textId="72E2FE78" w:rsidR="003149CF" w:rsidRPr="00FB38E1" w:rsidRDefault="003149CF" w:rsidP="003149CF">
      <w:pPr>
        <w:pStyle w:val="BASLIK2"/>
        <w:widowControl/>
        <w:numPr>
          <w:ilvl w:val="2"/>
          <w:numId w:val="33"/>
        </w:numPr>
        <w:spacing w:line="240" w:lineRule="exact"/>
        <w:ind w:left="0" w:hanging="425"/>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iCs/>
          <w:sz w:val="20"/>
          <w:szCs w:val="20"/>
        </w:rPr>
        <w:t xml:space="preserve">Banka’nın yükümlülüklerinin yoğunlaştığı alanlara ilişkin ilave açıklamalar </w:t>
      </w:r>
    </w:p>
    <w:p w14:paraId="5B652B8F" w14:textId="2BA68E3B" w:rsidR="003149CF" w:rsidRPr="00FB38E1" w:rsidRDefault="00CE390F" w:rsidP="003149CF">
      <w:pPr>
        <w:pStyle w:val="BASLIK2"/>
        <w:widowControl/>
        <w:spacing w:line="24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31 Aralık 2024</w:t>
      </w:r>
      <w:r w:rsidR="003149CF" w:rsidRPr="00FB38E1">
        <w:rPr>
          <w:rFonts w:ascii="Microsoft Sans Serif" w:hAnsi="Microsoft Sans Serif" w:cs="Microsoft Sans Serif"/>
          <w:b w:val="0"/>
          <w:color w:val="404040" w:themeColor="text1" w:themeTint="BF"/>
          <w:sz w:val="20"/>
          <w:szCs w:val="20"/>
        </w:rPr>
        <w:t xml:space="preserve"> tarihi itibarıyla Banka’nın yükümlülüklerinin %</w:t>
      </w:r>
      <w:r w:rsidR="004B61E1" w:rsidRPr="00FB38E1">
        <w:rPr>
          <w:rFonts w:ascii="Microsoft Sans Serif" w:hAnsi="Microsoft Sans Serif" w:cs="Microsoft Sans Serif"/>
          <w:b w:val="0"/>
          <w:color w:val="404040" w:themeColor="text1" w:themeTint="BF"/>
          <w:sz w:val="20"/>
          <w:szCs w:val="20"/>
        </w:rPr>
        <w:t>56</w:t>
      </w:r>
      <w:r w:rsidR="003149CF" w:rsidRPr="00FB38E1">
        <w:rPr>
          <w:rFonts w:ascii="Microsoft Sans Serif" w:hAnsi="Microsoft Sans Serif" w:cs="Microsoft Sans Serif"/>
          <w:b w:val="0"/>
          <w:color w:val="404040" w:themeColor="text1" w:themeTint="BF"/>
          <w:sz w:val="20"/>
          <w:szCs w:val="20"/>
        </w:rPr>
        <w:t>’</w:t>
      </w:r>
      <w:r w:rsidR="004B61E1" w:rsidRPr="00FB38E1">
        <w:rPr>
          <w:rFonts w:ascii="Microsoft Sans Serif" w:hAnsi="Microsoft Sans Serif" w:cs="Microsoft Sans Serif"/>
          <w:b w:val="0"/>
          <w:color w:val="404040" w:themeColor="text1" w:themeTint="BF"/>
          <w:sz w:val="20"/>
          <w:szCs w:val="20"/>
        </w:rPr>
        <w:t>s</w:t>
      </w:r>
      <w:r w:rsidR="003149CF" w:rsidRPr="00FB38E1">
        <w:rPr>
          <w:rFonts w:ascii="Microsoft Sans Serif" w:hAnsi="Microsoft Sans Serif" w:cs="Microsoft Sans Serif"/>
          <w:b w:val="0"/>
          <w:color w:val="404040" w:themeColor="text1" w:themeTint="BF"/>
          <w:sz w:val="20"/>
          <w:szCs w:val="20"/>
        </w:rPr>
        <w:t>ı (31 Aralık 2023: %60) mevduat, %24’ü (31 Aralık 2023: %24) alınan krediler, para piyasalarına borçlar, ihraç edilen menkul kıymetler ve sermaye benzeri kredilerden oluşmaktadır.</w:t>
      </w:r>
    </w:p>
    <w:p w14:paraId="1E8215DF" w14:textId="26490C2F" w:rsidR="0004350B" w:rsidRPr="00FB38E1" w:rsidRDefault="0004350B" w:rsidP="001279F1">
      <w:pPr>
        <w:pStyle w:val="BASLIK2"/>
        <w:widowControl/>
        <w:numPr>
          <w:ilvl w:val="1"/>
          <w:numId w:val="33"/>
        </w:numPr>
        <w:spacing w:line="240" w:lineRule="exact"/>
        <w:ind w:left="0" w:hanging="567"/>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rPr>
        <w:t>İhraç edilen menkul kıymetlere ait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04350B" w:rsidRPr="00FB38E1" w14:paraId="0890642E" w14:textId="77777777" w:rsidTr="004E1B47">
        <w:tc>
          <w:tcPr>
            <w:tcW w:w="2722" w:type="pct"/>
            <w:vAlign w:val="bottom"/>
          </w:tcPr>
          <w:p w14:paraId="7F8DD85C" w14:textId="77777777" w:rsidR="0004350B" w:rsidRPr="00FB38E1" w:rsidRDefault="0004350B" w:rsidP="001279F1">
            <w:pPr>
              <w:rPr>
                <w:rFonts w:ascii="Microsoft Sans Serif" w:hAnsi="Microsoft Sans Serif" w:cs="Microsoft Sans Serif"/>
                <w:color w:val="000000"/>
                <w:sz w:val="16"/>
                <w:szCs w:val="16"/>
              </w:rPr>
            </w:pPr>
          </w:p>
        </w:tc>
        <w:tc>
          <w:tcPr>
            <w:tcW w:w="1103" w:type="pct"/>
            <w:gridSpan w:val="2"/>
            <w:tcBorders>
              <w:bottom w:val="nil"/>
            </w:tcBorders>
            <w:vAlign w:val="bottom"/>
          </w:tcPr>
          <w:p w14:paraId="7FB24524" w14:textId="77777777" w:rsidR="0004350B" w:rsidRPr="00FB38E1" w:rsidRDefault="0004350B"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74" w:type="pct"/>
            <w:gridSpan w:val="2"/>
            <w:tcBorders>
              <w:bottom w:val="nil"/>
            </w:tcBorders>
          </w:tcPr>
          <w:p w14:paraId="751382DE" w14:textId="77777777" w:rsidR="0004350B" w:rsidRPr="00FB38E1" w:rsidRDefault="0004350B"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04350B" w:rsidRPr="00FB38E1" w14:paraId="27CDAE76" w14:textId="77777777" w:rsidTr="004E1B47">
        <w:tc>
          <w:tcPr>
            <w:tcW w:w="2722" w:type="pct"/>
            <w:tcBorders>
              <w:bottom w:val="single" w:sz="4" w:space="0" w:color="auto"/>
            </w:tcBorders>
            <w:vAlign w:val="bottom"/>
          </w:tcPr>
          <w:p w14:paraId="265FF0FC" w14:textId="77777777" w:rsidR="0004350B" w:rsidRPr="00FB38E1" w:rsidRDefault="0004350B" w:rsidP="001279F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49ACB6D5"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1EEE791"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bottom"/>
          </w:tcPr>
          <w:p w14:paraId="45366584"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bottom"/>
          </w:tcPr>
          <w:p w14:paraId="52E14981"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D108A8" w:rsidRPr="00FB38E1" w14:paraId="55C629E2" w14:textId="77777777" w:rsidTr="001279F1">
        <w:trPr>
          <w:trHeight w:val="77"/>
        </w:trPr>
        <w:tc>
          <w:tcPr>
            <w:tcW w:w="2722" w:type="pct"/>
            <w:vAlign w:val="bottom"/>
          </w:tcPr>
          <w:p w14:paraId="18AA9B1E"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Tahvil</w:t>
            </w:r>
          </w:p>
        </w:tc>
        <w:tc>
          <w:tcPr>
            <w:tcW w:w="515" w:type="pct"/>
            <w:vAlign w:val="center"/>
          </w:tcPr>
          <w:p w14:paraId="640D94DB" w14:textId="6B575A7F"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78146FEB" w14:textId="0C46213F"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44.142.566</w:t>
            </w:r>
          </w:p>
        </w:tc>
        <w:tc>
          <w:tcPr>
            <w:tcW w:w="588" w:type="pct"/>
            <w:vAlign w:val="center"/>
          </w:tcPr>
          <w:p w14:paraId="43168CD2" w14:textId="68C285C9"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vAlign w:val="center"/>
          </w:tcPr>
          <w:p w14:paraId="53253745" w14:textId="778D14A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18.743.592</w:t>
            </w:r>
          </w:p>
        </w:tc>
      </w:tr>
      <w:tr w:rsidR="00D108A8" w:rsidRPr="00FB38E1" w14:paraId="44318DBB" w14:textId="77777777" w:rsidTr="004E1B47">
        <w:tblPrEx>
          <w:tblCellMar>
            <w:left w:w="70" w:type="dxa"/>
            <w:right w:w="70" w:type="dxa"/>
          </w:tblCellMar>
        </w:tblPrEx>
        <w:tc>
          <w:tcPr>
            <w:tcW w:w="2722" w:type="pct"/>
            <w:vAlign w:val="bottom"/>
          </w:tcPr>
          <w:p w14:paraId="2E419872"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Bono</w:t>
            </w:r>
          </w:p>
        </w:tc>
        <w:tc>
          <w:tcPr>
            <w:tcW w:w="515" w:type="pct"/>
            <w:vAlign w:val="center"/>
          </w:tcPr>
          <w:p w14:paraId="258222FC" w14:textId="674BC45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0C84E1A9" w14:textId="46A11880"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10.018.359</w:t>
            </w:r>
          </w:p>
        </w:tc>
        <w:tc>
          <w:tcPr>
            <w:tcW w:w="588" w:type="pct"/>
            <w:vAlign w:val="center"/>
          </w:tcPr>
          <w:p w14:paraId="60D1C824" w14:textId="0DA1E7D1"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vAlign w:val="center"/>
          </w:tcPr>
          <w:p w14:paraId="6AF7EC4F" w14:textId="15BB458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1.516.251</w:t>
            </w:r>
          </w:p>
        </w:tc>
      </w:tr>
      <w:tr w:rsidR="00D108A8" w:rsidRPr="00FB38E1" w14:paraId="663DCC08" w14:textId="77777777" w:rsidTr="004E1B47">
        <w:tc>
          <w:tcPr>
            <w:tcW w:w="2722" w:type="pct"/>
            <w:tcBorders>
              <w:bottom w:val="single" w:sz="4" w:space="0" w:color="auto"/>
            </w:tcBorders>
            <w:vAlign w:val="bottom"/>
          </w:tcPr>
          <w:p w14:paraId="3C1722AA"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Varlık Teminatlı Menkul Kıymet</w:t>
            </w:r>
          </w:p>
        </w:tc>
        <w:tc>
          <w:tcPr>
            <w:tcW w:w="515" w:type="pct"/>
            <w:tcBorders>
              <w:bottom w:val="single" w:sz="4" w:space="0" w:color="auto"/>
            </w:tcBorders>
            <w:vAlign w:val="center"/>
          </w:tcPr>
          <w:p w14:paraId="5E99A487" w14:textId="44D9013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4749C7E7" w14:textId="76C2BA03"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tcBorders>
              <w:bottom w:val="single" w:sz="4" w:space="0" w:color="auto"/>
            </w:tcBorders>
            <w:vAlign w:val="center"/>
          </w:tcPr>
          <w:p w14:paraId="7486C23B" w14:textId="262BE594"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tcBorders>
              <w:bottom w:val="single" w:sz="4" w:space="0" w:color="auto"/>
            </w:tcBorders>
            <w:vAlign w:val="center"/>
          </w:tcPr>
          <w:p w14:paraId="70D63F0D" w14:textId="6078DD24"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3E1A4B64" w14:textId="77777777" w:rsidTr="004E1B47">
        <w:tc>
          <w:tcPr>
            <w:tcW w:w="2722" w:type="pct"/>
            <w:tcBorders>
              <w:top w:val="single" w:sz="4" w:space="0" w:color="auto"/>
              <w:bottom w:val="thickThinSmallGap" w:sz="24" w:space="0" w:color="auto"/>
            </w:tcBorders>
            <w:vAlign w:val="bottom"/>
          </w:tcPr>
          <w:p w14:paraId="6BC947EA" w14:textId="77777777" w:rsidR="00D108A8" w:rsidRPr="00FB38E1" w:rsidRDefault="00D108A8" w:rsidP="00D108A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23D8C343" w14:textId="32B3A911" w:rsidR="00D108A8" w:rsidRPr="00FB38E1" w:rsidRDefault="00D108A8" w:rsidP="00D108A8">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w:t>
            </w:r>
          </w:p>
        </w:tc>
        <w:tc>
          <w:tcPr>
            <w:tcW w:w="588" w:type="pct"/>
            <w:tcBorders>
              <w:top w:val="single" w:sz="4" w:space="0" w:color="auto"/>
              <w:bottom w:val="thickThinSmallGap" w:sz="24" w:space="0" w:color="auto"/>
            </w:tcBorders>
            <w:vAlign w:val="center"/>
          </w:tcPr>
          <w:p w14:paraId="4DC7A081" w14:textId="50F2857C" w:rsidR="00D108A8" w:rsidRPr="00FB38E1" w:rsidRDefault="00D108A8" w:rsidP="00D108A8">
            <w:pPr>
              <w:jc w:val="right"/>
              <w:rPr>
                <w:rFonts w:ascii="Microsoft Sans Serif" w:hAnsi="Microsoft Sans Serif" w:cs="Microsoft Sans Serif"/>
                <w:b/>
                <w:bCs/>
                <w:sz w:val="16"/>
                <w:szCs w:val="16"/>
              </w:rPr>
            </w:pPr>
            <w:r w:rsidRPr="00FB38E1">
              <w:rPr>
                <w:rFonts w:ascii="Microsoft Sans Serif" w:hAnsi="Microsoft Sans Serif" w:cs="Microsoft Sans Serif"/>
                <w:b/>
                <w:bCs/>
                <w:color w:val="000000"/>
                <w:sz w:val="16"/>
                <w:szCs w:val="16"/>
              </w:rPr>
              <w:t>54.160.925</w:t>
            </w:r>
          </w:p>
        </w:tc>
        <w:tc>
          <w:tcPr>
            <w:tcW w:w="588" w:type="pct"/>
            <w:tcBorders>
              <w:top w:val="single" w:sz="4" w:space="0" w:color="auto"/>
              <w:bottom w:val="thickThinSmallGap" w:sz="24" w:space="0" w:color="auto"/>
            </w:tcBorders>
            <w:vAlign w:val="center"/>
          </w:tcPr>
          <w:p w14:paraId="7E65536B" w14:textId="05C4F502"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86" w:type="pct"/>
            <w:tcBorders>
              <w:top w:val="single" w:sz="4" w:space="0" w:color="auto"/>
              <w:bottom w:val="thickThinSmallGap" w:sz="24" w:space="0" w:color="auto"/>
            </w:tcBorders>
            <w:vAlign w:val="center"/>
          </w:tcPr>
          <w:p w14:paraId="103E38EB" w14:textId="1983ABDB"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20.259.843</w:t>
            </w:r>
          </w:p>
        </w:tc>
      </w:tr>
    </w:tbl>
    <w:p w14:paraId="11CB01C4" w14:textId="5F54E4DC" w:rsidR="0004350B" w:rsidRPr="00FB38E1" w:rsidRDefault="00A519DA" w:rsidP="001279F1">
      <w:pPr>
        <w:pStyle w:val="BASLIK2"/>
        <w:widowControl/>
        <w:spacing w:before="120" w:after="240" w:line="240" w:lineRule="auto"/>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Banka’nın ihraç ettiği menkul kıymetlerden geri alarak mali tablolarda netlediği tutar bulunmamaktadır (</w:t>
      </w:r>
      <w:r w:rsidR="00ED442B" w:rsidRPr="00FB38E1">
        <w:rPr>
          <w:rFonts w:ascii="Microsoft Sans Serif" w:hAnsi="Microsoft Sans Serif" w:cs="Microsoft Sans Serif"/>
          <w:b w:val="0"/>
          <w:color w:val="404040" w:themeColor="text1" w:themeTint="BF"/>
          <w:sz w:val="20"/>
          <w:szCs w:val="20"/>
        </w:rPr>
        <w:t>31 Aralık 2023</w:t>
      </w:r>
      <w:r w:rsidR="00D67AB3" w:rsidRPr="00FB38E1">
        <w:rPr>
          <w:rFonts w:ascii="Microsoft Sans Serif" w:hAnsi="Microsoft Sans Serif" w:cs="Microsoft Sans Serif"/>
          <w:b w:val="0"/>
          <w:color w:val="404040" w:themeColor="text1" w:themeTint="BF"/>
          <w:sz w:val="20"/>
          <w:szCs w:val="20"/>
        </w:rPr>
        <w:t>: Bulunmamaktadır</w:t>
      </w:r>
      <w:r w:rsidRPr="00FB38E1">
        <w:rPr>
          <w:rFonts w:ascii="Microsoft Sans Serif" w:hAnsi="Microsoft Sans Serif" w:cs="Microsoft Sans Serif"/>
          <w:b w:val="0"/>
          <w:color w:val="404040" w:themeColor="text1" w:themeTint="BF"/>
          <w:sz w:val="20"/>
          <w:szCs w:val="20"/>
        </w:rPr>
        <w:t>).</w:t>
      </w:r>
    </w:p>
    <w:p w14:paraId="340F65CA" w14:textId="77777777" w:rsidR="0004350B" w:rsidRPr="00FB38E1" w:rsidRDefault="0004350B" w:rsidP="001279F1">
      <w:pPr>
        <w:pStyle w:val="BASLIK2"/>
        <w:widowControl/>
        <w:numPr>
          <w:ilvl w:val="1"/>
          <w:numId w:val="33"/>
        </w:numPr>
        <w:spacing w:line="240" w:lineRule="atLeas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noProof/>
          <w:snapToGrid w:val="0"/>
          <w:sz w:val="20"/>
          <w:szCs w:val="20"/>
        </w:rPr>
        <w:t>Bilançonun diğer yükümlülükler kalemi, bilanço dışı taahhütler hariç bilanço toplamının %10’u aşıyorsa, bunların en az %20’sini oluşturan alt hesapların isim ve tutarları</w:t>
      </w:r>
    </w:p>
    <w:p w14:paraId="4DC0C8F4" w14:textId="77777777" w:rsidR="0004350B" w:rsidRPr="00FB38E1" w:rsidRDefault="0004350B" w:rsidP="001279F1">
      <w:pPr>
        <w:pStyle w:val="BDDKmetin"/>
        <w:spacing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lang w:val="tr-TR"/>
        </w:rPr>
        <w:t>Bilançonun diğer yükümlülükler kalemi, bilanço dışı taahhütler hariç bilanço toplamının %10’unu aşmamaktadır.</w:t>
      </w:r>
    </w:p>
    <w:p w14:paraId="77EA18EC" w14:textId="77777777" w:rsidR="0004350B" w:rsidRPr="00FB38E1" w:rsidRDefault="0004350B" w:rsidP="001279F1">
      <w:pPr>
        <w:pStyle w:val="BDDKmetin"/>
        <w:numPr>
          <w:ilvl w:val="1"/>
          <w:numId w:val="33"/>
        </w:numPr>
        <w:spacing w:before="240" w:after="120" w:line="240" w:lineRule="atLeast"/>
        <w:ind w:left="0" w:hanging="567"/>
        <w:rPr>
          <w:rFonts w:ascii="Microsoft Sans Serif" w:hAnsi="Microsoft Sans Serif" w:cs="Microsoft Sans Serif"/>
          <w:b/>
          <w:color w:val="404040" w:themeColor="text1" w:themeTint="BF"/>
          <w:sz w:val="20"/>
          <w:szCs w:val="20"/>
          <w:lang w:val="tr-TR"/>
        </w:rPr>
      </w:pPr>
      <w:r w:rsidRPr="00FB38E1">
        <w:rPr>
          <w:rFonts w:ascii="Microsoft Sans Serif" w:hAnsi="Microsoft Sans Serif" w:cs="Microsoft Sans Serif"/>
          <w:b/>
          <w:noProof/>
          <w:snapToGrid w:val="0"/>
          <w:sz w:val="20"/>
          <w:szCs w:val="20"/>
        </w:rPr>
        <w:t>Kiralama işlemlerinden borçlara ilişkin bilgiler (net)</w:t>
      </w:r>
    </w:p>
    <w:p w14:paraId="6ACAFF3B" w14:textId="77777777" w:rsidR="0004350B" w:rsidRPr="00FB38E1" w:rsidRDefault="0004350B" w:rsidP="001279F1">
      <w:pPr>
        <w:pStyle w:val="BDDKmetin"/>
        <w:spacing w:after="120" w:line="220" w:lineRule="exact"/>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Finansal kiralama sözleşmelerinin vadeleri çoğunlukla 4 yıldır. Yapılan kira sözleşmelerinde, faiz oranı ve Banka’nın nakit akışı göz önüne alınan kriterlerdir. Kiralama sözleşmelerinde Banka’ya önemli yükümlülükler getiren hükümler bulunmamaktadır.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35"/>
        <w:gridCol w:w="1151"/>
        <w:gridCol w:w="1151"/>
        <w:gridCol w:w="1151"/>
        <w:gridCol w:w="1151"/>
      </w:tblGrid>
      <w:tr w:rsidR="0004350B" w:rsidRPr="00FB38E1" w14:paraId="51DC48B8" w14:textId="77777777" w:rsidTr="004E1B47">
        <w:tc>
          <w:tcPr>
            <w:tcW w:w="2612" w:type="pct"/>
            <w:tcBorders>
              <w:top w:val="thinThickSmallGap" w:sz="24" w:space="0" w:color="auto"/>
              <w:bottom w:val="nil"/>
            </w:tcBorders>
            <w:vAlign w:val="bottom"/>
          </w:tcPr>
          <w:p w14:paraId="08AE710C" w14:textId="77777777" w:rsidR="0004350B" w:rsidRPr="00FB38E1" w:rsidRDefault="0004350B" w:rsidP="001279F1">
            <w:pPr>
              <w:rPr>
                <w:rFonts w:ascii="Microsoft Sans Serif" w:hAnsi="Microsoft Sans Serif" w:cs="Microsoft Sans Serif"/>
                <w:color w:val="000000"/>
                <w:sz w:val="16"/>
                <w:szCs w:val="16"/>
              </w:rPr>
            </w:pPr>
          </w:p>
        </w:tc>
        <w:tc>
          <w:tcPr>
            <w:tcW w:w="1194" w:type="pct"/>
            <w:gridSpan w:val="2"/>
            <w:tcBorders>
              <w:bottom w:val="single" w:sz="4" w:space="0" w:color="auto"/>
            </w:tcBorders>
            <w:vAlign w:val="bottom"/>
          </w:tcPr>
          <w:p w14:paraId="2733A184" w14:textId="77777777" w:rsidR="0004350B" w:rsidRPr="00FB38E1" w:rsidRDefault="0004350B"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94" w:type="pct"/>
            <w:gridSpan w:val="2"/>
            <w:tcBorders>
              <w:bottom w:val="single" w:sz="4" w:space="0" w:color="auto"/>
            </w:tcBorders>
          </w:tcPr>
          <w:p w14:paraId="02C81BB9" w14:textId="77777777" w:rsidR="0004350B" w:rsidRPr="00FB38E1" w:rsidRDefault="0004350B" w:rsidP="001279F1">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04350B" w:rsidRPr="00FB38E1" w14:paraId="2BBAED7F" w14:textId="77777777" w:rsidTr="007568E1">
        <w:trPr>
          <w:trHeight w:val="61"/>
        </w:trPr>
        <w:tc>
          <w:tcPr>
            <w:tcW w:w="2612" w:type="pct"/>
            <w:tcBorders>
              <w:top w:val="nil"/>
              <w:bottom w:val="single" w:sz="4" w:space="0" w:color="auto"/>
            </w:tcBorders>
            <w:vAlign w:val="bottom"/>
          </w:tcPr>
          <w:p w14:paraId="0ADEA3C0" w14:textId="77777777" w:rsidR="0004350B" w:rsidRPr="00FB38E1" w:rsidRDefault="0004350B" w:rsidP="001279F1">
            <w:pPr>
              <w:rPr>
                <w:rFonts w:ascii="Microsoft Sans Serif" w:hAnsi="Microsoft Sans Serif" w:cs="Microsoft Sans Serif"/>
                <w:color w:val="000000"/>
                <w:sz w:val="16"/>
                <w:szCs w:val="16"/>
              </w:rPr>
            </w:pPr>
            <w:r w:rsidRPr="00FB38E1">
              <w:rPr>
                <w:rFonts w:ascii="Microsoft Sans Serif" w:hAnsi="Microsoft Sans Serif" w:cs="Microsoft Sans Serif"/>
                <w:color w:val="000000"/>
                <w:sz w:val="16"/>
                <w:szCs w:val="16"/>
              </w:rPr>
              <w:t> </w:t>
            </w:r>
          </w:p>
        </w:tc>
        <w:tc>
          <w:tcPr>
            <w:tcW w:w="597" w:type="pct"/>
            <w:tcBorders>
              <w:top w:val="single" w:sz="4" w:space="0" w:color="auto"/>
              <w:bottom w:val="single" w:sz="4" w:space="0" w:color="auto"/>
            </w:tcBorders>
            <w:vAlign w:val="bottom"/>
          </w:tcPr>
          <w:p w14:paraId="1A3CAC42"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Brüt</w:t>
            </w:r>
          </w:p>
        </w:tc>
        <w:tc>
          <w:tcPr>
            <w:tcW w:w="597" w:type="pct"/>
            <w:tcBorders>
              <w:top w:val="single" w:sz="4" w:space="0" w:color="auto"/>
              <w:bottom w:val="single" w:sz="4" w:space="0" w:color="auto"/>
            </w:tcBorders>
            <w:vAlign w:val="bottom"/>
          </w:tcPr>
          <w:p w14:paraId="24A91999"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w:t>
            </w:r>
          </w:p>
        </w:tc>
        <w:tc>
          <w:tcPr>
            <w:tcW w:w="597" w:type="pct"/>
            <w:tcBorders>
              <w:top w:val="single" w:sz="4" w:space="0" w:color="auto"/>
              <w:bottom w:val="single" w:sz="4" w:space="0" w:color="auto"/>
            </w:tcBorders>
            <w:vAlign w:val="bottom"/>
          </w:tcPr>
          <w:p w14:paraId="0647D036"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Brüt</w:t>
            </w:r>
          </w:p>
        </w:tc>
        <w:tc>
          <w:tcPr>
            <w:tcW w:w="597" w:type="pct"/>
            <w:tcBorders>
              <w:top w:val="single" w:sz="4" w:space="0" w:color="auto"/>
              <w:bottom w:val="single" w:sz="4" w:space="0" w:color="auto"/>
            </w:tcBorders>
            <w:vAlign w:val="bottom"/>
          </w:tcPr>
          <w:p w14:paraId="0C0B61FD" w14:textId="77777777" w:rsidR="0004350B" w:rsidRPr="00FB38E1" w:rsidRDefault="0004350B" w:rsidP="001279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w:t>
            </w:r>
          </w:p>
        </w:tc>
      </w:tr>
      <w:tr w:rsidR="00D108A8" w:rsidRPr="00FB38E1" w14:paraId="359D334D" w14:textId="77777777" w:rsidTr="004E1B47">
        <w:tc>
          <w:tcPr>
            <w:tcW w:w="2612" w:type="pct"/>
            <w:tcBorders>
              <w:top w:val="single" w:sz="4" w:space="0" w:color="auto"/>
            </w:tcBorders>
            <w:vAlign w:val="bottom"/>
          </w:tcPr>
          <w:p w14:paraId="3D35D8A9"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 Yıldan Az</w:t>
            </w:r>
          </w:p>
        </w:tc>
        <w:tc>
          <w:tcPr>
            <w:tcW w:w="597" w:type="pct"/>
            <w:tcBorders>
              <w:top w:val="single" w:sz="4" w:space="0" w:color="auto"/>
            </w:tcBorders>
            <w:vAlign w:val="center"/>
          </w:tcPr>
          <w:p w14:paraId="55C595B9" w14:textId="227C0A28"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912.940</w:t>
            </w:r>
          </w:p>
        </w:tc>
        <w:tc>
          <w:tcPr>
            <w:tcW w:w="597" w:type="pct"/>
            <w:tcBorders>
              <w:top w:val="single" w:sz="4" w:space="0" w:color="auto"/>
            </w:tcBorders>
            <w:vAlign w:val="center"/>
          </w:tcPr>
          <w:p w14:paraId="180DBB3E" w14:textId="56B2E3BF"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534.535</w:t>
            </w:r>
          </w:p>
        </w:tc>
        <w:tc>
          <w:tcPr>
            <w:tcW w:w="597" w:type="pct"/>
            <w:tcBorders>
              <w:top w:val="single" w:sz="4" w:space="0" w:color="auto"/>
            </w:tcBorders>
            <w:vAlign w:val="center"/>
          </w:tcPr>
          <w:p w14:paraId="61D4F59D" w14:textId="0C068E84"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703.990</w:t>
            </w:r>
          </w:p>
        </w:tc>
        <w:tc>
          <w:tcPr>
            <w:tcW w:w="597" w:type="pct"/>
            <w:tcBorders>
              <w:top w:val="single" w:sz="4" w:space="0" w:color="auto"/>
            </w:tcBorders>
            <w:vAlign w:val="center"/>
          </w:tcPr>
          <w:p w14:paraId="41DF7BCD" w14:textId="0391AA5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521.888</w:t>
            </w:r>
          </w:p>
        </w:tc>
      </w:tr>
      <w:tr w:rsidR="00D108A8" w:rsidRPr="00FB38E1" w14:paraId="7A3FAC94" w14:textId="77777777" w:rsidTr="004E1B47">
        <w:tc>
          <w:tcPr>
            <w:tcW w:w="2612" w:type="pct"/>
            <w:vAlign w:val="bottom"/>
          </w:tcPr>
          <w:p w14:paraId="6AC5E3EA"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 Yıl Arası</w:t>
            </w:r>
          </w:p>
        </w:tc>
        <w:tc>
          <w:tcPr>
            <w:tcW w:w="597" w:type="pct"/>
            <w:vAlign w:val="center"/>
          </w:tcPr>
          <w:p w14:paraId="44C58B22" w14:textId="06A923B0"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1.386.050</w:t>
            </w:r>
          </w:p>
        </w:tc>
        <w:tc>
          <w:tcPr>
            <w:tcW w:w="597" w:type="pct"/>
            <w:vAlign w:val="center"/>
          </w:tcPr>
          <w:p w14:paraId="69776C65" w14:textId="7A5CC658"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775.377</w:t>
            </w:r>
          </w:p>
        </w:tc>
        <w:tc>
          <w:tcPr>
            <w:tcW w:w="597" w:type="pct"/>
            <w:vAlign w:val="center"/>
          </w:tcPr>
          <w:p w14:paraId="25863EC0" w14:textId="75F2FC4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598.653</w:t>
            </w:r>
          </w:p>
        </w:tc>
        <w:tc>
          <w:tcPr>
            <w:tcW w:w="597" w:type="pct"/>
            <w:vAlign w:val="center"/>
          </w:tcPr>
          <w:p w14:paraId="2A222058" w14:textId="102FCE21"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382.688</w:t>
            </w:r>
          </w:p>
        </w:tc>
      </w:tr>
      <w:tr w:rsidR="00D108A8" w:rsidRPr="00FB38E1" w14:paraId="44C124CA" w14:textId="77777777" w:rsidTr="004E1B47">
        <w:tc>
          <w:tcPr>
            <w:tcW w:w="2612" w:type="pct"/>
            <w:tcBorders>
              <w:bottom w:val="single" w:sz="4" w:space="0" w:color="auto"/>
            </w:tcBorders>
            <w:vAlign w:val="bottom"/>
          </w:tcPr>
          <w:p w14:paraId="77CC9715"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 Yıldan Fazla</w:t>
            </w:r>
          </w:p>
        </w:tc>
        <w:tc>
          <w:tcPr>
            <w:tcW w:w="597" w:type="pct"/>
            <w:tcBorders>
              <w:bottom w:val="single" w:sz="4" w:space="0" w:color="auto"/>
            </w:tcBorders>
            <w:vAlign w:val="center"/>
          </w:tcPr>
          <w:p w14:paraId="7ECD016D" w14:textId="36DC85D5"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1.003.800</w:t>
            </w:r>
          </w:p>
        </w:tc>
        <w:tc>
          <w:tcPr>
            <w:tcW w:w="597" w:type="pct"/>
            <w:tcBorders>
              <w:bottom w:val="single" w:sz="4" w:space="0" w:color="auto"/>
            </w:tcBorders>
            <w:vAlign w:val="center"/>
          </w:tcPr>
          <w:p w14:paraId="19BCBC18" w14:textId="3C620EB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309.980</w:t>
            </w:r>
          </w:p>
        </w:tc>
        <w:tc>
          <w:tcPr>
            <w:tcW w:w="597" w:type="pct"/>
            <w:tcBorders>
              <w:bottom w:val="single" w:sz="4" w:space="0" w:color="auto"/>
            </w:tcBorders>
            <w:vAlign w:val="center"/>
          </w:tcPr>
          <w:p w14:paraId="7888A42E" w14:textId="449E13A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68.251</w:t>
            </w:r>
          </w:p>
        </w:tc>
        <w:tc>
          <w:tcPr>
            <w:tcW w:w="597" w:type="pct"/>
            <w:tcBorders>
              <w:bottom w:val="single" w:sz="4" w:space="0" w:color="auto"/>
            </w:tcBorders>
            <w:vAlign w:val="center"/>
          </w:tcPr>
          <w:p w14:paraId="2D0F7325" w14:textId="38C7A2A9"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44.700</w:t>
            </w:r>
          </w:p>
        </w:tc>
      </w:tr>
      <w:tr w:rsidR="00D108A8" w:rsidRPr="00FB38E1" w14:paraId="23F7CBD5" w14:textId="77777777" w:rsidTr="004E1B47">
        <w:tc>
          <w:tcPr>
            <w:tcW w:w="2612" w:type="pct"/>
            <w:tcBorders>
              <w:top w:val="single" w:sz="4" w:space="0" w:color="auto"/>
              <w:bottom w:val="thickThinSmallGap" w:sz="24" w:space="0" w:color="auto"/>
            </w:tcBorders>
            <w:vAlign w:val="bottom"/>
          </w:tcPr>
          <w:p w14:paraId="40AD24C3" w14:textId="77777777" w:rsidR="00D108A8" w:rsidRPr="00FB38E1" w:rsidRDefault="00D108A8" w:rsidP="00D108A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97" w:type="pct"/>
            <w:tcBorders>
              <w:top w:val="single" w:sz="4" w:space="0" w:color="auto"/>
              <w:bottom w:val="thickThinSmallGap" w:sz="24" w:space="0" w:color="auto"/>
            </w:tcBorders>
            <w:vAlign w:val="center"/>
          </w:tcPr>
          <w:p w14:paraId="4D681C57" w14:textId="63AD5E03"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3.302.790</w:t>
            </w:r>
          </w:p>
        </w:tc>
        <w:tc>
          <w:tcPr>
            <w:tcW w:w="597" w:type="pct"/>
            <w:tcBorders>
              <w:top w:val="single" w:sz="4" w:space="0" w:color="auto"/>
              <w:bottom w:val="thickThinSmallGap" w:sz="24" w:space="0" w:color="auto"/>
            </w:tcBorders>
            <w:vAlign w:val="center"/>
          </w:tcPr>
          <w:p w14:paraId="2E1404BB" w14:textId="6C612D82"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1.619.892</w:t>
            </w:r>
          </w:p>
        </w:tc>
        <w:tc>
          <w:tcPr>
            <w:tcW w:w="597" w:type="pct"/>
            <w:tcBorders>
              <w:top w:val="single" w:sz="4" w:space="0" w:color="auto"/>
              <w:bottom w:val="thickThinSmallGap" w:sz="24" w:space="0" w:color="auto"/>
            </w:tcBorders>
            <w:vAlign w:val="center"/>
          </w:tcPr>
          <w:p w14:paraId="51064C94" w14:textId="7400C83F"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1.370.894</w:t>
            </w:r>
          </w:p>
        </w:tc>
        <w:tc>
          <w:tcPr>
            <w:tcW w:w="597" w:type="pct"/>
            <w:tcBorders>
              <w:top w:val="single" w:sz="4" w:space="0" w:color="auto"/>
              <w:bottom w:val="thickThinSmallGap" w:sz="24" w:space="0" w:color="auto"/>
            </w:tcBorders>
            <w:vAlign w:val="center"/>
          </w:tcPr>
          <w:p w14:paraId="79B4B103" w14:textId="27595812"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949.276</w:t>
            </w:r>
          </w:p>
        </w:tc>
      </w:tr>
    </w:tbl>
    <w:p w14:paraId="74537B13" w14:textId="77777777" w:rsidR="0004350B" w:rsidRPr="00FB38E1" w:rsidRDefault="0004350B" w:rsidP="001279F1">
      <w:pPr>
        <w:pStyle w:val="BDDKmetin"/>
        <w:numPr>
          <w:ilvl w:val="1"/>
          <w:numId w:val="33"/>
        </w:numPr>
        <w:spacing w:before="240" w:after="120" w:line="240" w:lineRule="atLeast"/>
        <w:ind w:left="0" w:hanging="567"/>
        <w:rPr>
          <w:rFonts w:ascii="Microsoft Sans Serif" w:hAnsi="Microsoft Sans Serif" w:cs="Microsoft Sans Serif"/>
          <w:b/>
          <w:color w:val="404040" w:themeColor="text1" w:themeTint="BF"/>
          <w:sz w:val="20"/>
          <w:szCs w:val="20"/>
          <w:lang w:val="tr-TR"/>
        </w:rPr>
      </w:pPr>
      <w:r w:rsidRPr="00FB38E1">
        <w:rPr>
          <w:rFonts w:ascii="Microsoft Sans Serif" w:hAnsi="Microsoft Sans Serif" w:cs="Microsoft Sans Serif"/>
          <w:b/>
          <w:noProof/>
          <w:snapToGrid w:val="0"/>
          <w:sz w:val="20"/>
          <w:szCs w:val="20"/>
        </w:rPr>
        <w:t>Riskten korunma amaçlı türev finansal borçlara ilişkin bilgiler</w:t>
      </w:r>
    </w:p>
    <w:p w14:paraId="41A579CB" w14:textId="77777777" w:rsidR="0004350B" w:rsidRPr="00FB38E1" w:rsidRDefault="0004350B" w:rsidP="001279F1">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b w:val="0"/>
          <w:iCs/>
          <w:color w:val="404040" w:themeColor="text1" w:themeTint="BF"/>
          <w:sz w:val="20"/>
          <w:szCs w:val="20"/>
        </w:rPr>
        <w:t>Bulunmamaktadır</w:t>
      </w:r>
      <w:r w:rsidRPr="00FB38E1">
        <w:rPr>
          <w:rFonts w:ascii="Microsoft Sans Serif" w:hAnsi="Microsoft Sans Serif" w:cs="Microsoft Sans Serif"/>
          <w:b w:val="0"/>
          <w:noProof/>
          <w:snapToGrid w:val="0"/>
          <w:color w:val="404040" w:themeColor="text1" w:themeTint="BF"/>
          <w:sz w:val="20"/>
          <w:szCs w:val="20"/>
        </w:rPr>
        <w:t>.</w:t>
      </w:r>
    </w:p>
    <w:p w14:paraId="043E3E30" w14:textId="77777777" w:rsidR="0004350B" w:rsidRPr="00FB38E1" w:rsidRDefault="0004350B" w:rsidP="001279F1">
      <w:pPr>
        <w:pStyle w:val="BASLIK2"/>
        <w:widowControl/>
        <w:numPr>
          <w:ilvl w:val="1"/>
          <w:numId w:val="33"/>
        </w:numPr>
        <w:spacing w:line="240" w:lineRule="atLeas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noProof/>
          <w:snapToGrid w:val="0"/>
          <w:sz w:val="20"/>
          <w:szCs w:val="20"/>
        </w:rPr>
        <w:t>Karşılıklara ilişkin açıklamalar</w:t>
      </w:r>
    </w:p>
    <w:p w14:paraId="62E457F4" w14:textId="77777777" w:rsidR="0004350B" w:rsidRPr="00FB38E1" w:rsidRDefault="0004350B" w:rsidP="001279F1">
      <w:pPr>
        <w:pStyle w:val="BASLIK2"/>
        <w:widowControl/>
        <w:numPr>
          <w:ilvl w:val="2"/>
          <w:numId w:val="33"/>
        </w:numPr>
        <w:spacing w:line="240" w:lineRule="atLeas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Dövize endeksli krediler kur farkı karşılıkları</w:t>
      </w:r>
    </w:p>
    <w:p w14:paraId="6D0F2566" w14:textId="77777777" w:rsidR="0004350B" w:rsidRPr="00FB38E1" w:rsidRDefault="0004350B" w:rsidP="001279F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Bulunmamaktadır.</w:t>
      </w:r>
    </w:p>
    <w:p w14:paraId="564612F4" w14:textId="28201D53" w:rsidR="00E76FB1" w:rsidRPr="00FB38E1" w:rsidRDefault="0004350B" w:rsidP="00E76FB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Dövize endeksli kredilere ait kur fark</w:t>
      </w:r>
      <w:r w:rsidRPr="00FB38E1">
        <w:rPr>
          <w:rFonts w:ascii="Microsoft Sans Serif" w:hAnsi="Microsoft Sans Serif" w:cs="Microsoft Sans Serif" w:hint="eastAsia"/>
          <w:b w:val="0"/>
          <w:bCs w:val="0"/>
          <w:color w:val="404040" w:themeColor="text1" w:themeTint="BF"/>
          <w:sz w:val="20"/>
          <w:szCs w:val="20"/>
          <w:lang w:eastAsia="tr-TR"/>
        </w:rPr>
        <w:t>ı</w:t>
      </w:r>
      <w:r w:rsidRPr="00FB38E1">
        <w:rPr>
          <w:rFonts w:ascii="Microsoft Sans Serif" w:hAnsi="Microsoft Sans Serif" w:cs="Microsoft Sans Serif"/>
          <w:b w:val="0"/>
          <w:bCs w:val="0"/>
          <w:color w:val="404040" w:themeColor="text1" w:themeTint="BF"/>
          <w:sz w:val="20"/>
          <w:szCs w:val="20"/>
          <w:lang w:eastAsia="tr-TR"/>
        </w:rPr>
        <w:t xml:space="preserve"> kar</w:t>
      </w:r>
      <w:r w:rsidRPr="00FB38E1">
        <w:rPr>
          <w:rFonts w:ascii="Microsoft Sans Serif" w:hAnsi="Microsoft Sans Serif" w:cs="Microsoft Sans Serif" w:hint="eastAsia"/>
          <w:b w:val="0"/>
          <w:bCs w:val="0"/>
          <w:color w:val="404040" w:themeColor="text1" w:themeTint="BF"/>
          <w:sz w:val="20"/>
          <w:szCs w:val="20"/>
          <w:lang w:eastAsia="tr-TR"/>
        </w:rPr>
        <w:t>şı</w:t>
      </w:r>
      <w:r w:rsidRPr="00FB38E1">
        <w:rPr>
          <w:rFonts w:ascii="Microsoft Sans Serif" w:hAnsi="Microsoft Sans Serif" w:cs="Microsoft Sans Serif"/>
          <w:b w:val="0"/>
          <w:bCs w:val="0"/>
          <w:color w:val="404040" w:themeColor="text1" w:themeTint="BF"/>
          <w:sz w:val="20"/>
          <w:szCs w:val="20"/>
          <w:lang w:eastAsia="tr-TR"/>
        </w:rPr>
        <w:t>l</w:t>
      </w:r>
      <w:r w:rsidRPr="00FB38E1">
        <w:rPr>
          <w:rFonts w:ascii="Microsoft Sans Serif" w:hAnsi="Microsoft Sans Serif" w:cs="Microsoft Sans Serif" w:hint="eastAsia"/>
          <w:b w:val="0"/>
          <w:bCs w:val="0"/>
          <w:color w:val="404040" w:themeColor="text1" w:themeTint="BF"/>
          <w:sz w:val="20"/>
          <w:szCs w:val="20"/>
          <w:lang w:eastAsia="tr-TR"/>
        </w:rPr>
        <w:t>ı</w:t>
      </w:r>
      <w:r w:rsidRPr="00FB38E1">
        <w:rPr>
          <w:rFonts w:ascii="Microsoft Sans Serif" w:hAnsi="Microsoft Sans Serif" w:cs="Microsoft Sans Serif"/>
          <w:b w:val="0"/>
          <w:bCs w:val="0"/>
          <w:color w:val="404040" w:themeColor="text1" w:themeTint="BF"/>
          <w:sz w:val="20"/>
          <w:szCs w:val="20"/>
          <w:lang w:eastAsia="tr-TR"/>
        </w:rPr>
        <w:t>k tutar</w:t>
      </w:r>
      <w:r w:rsidRPr="00FB38E1">
        <w:rPr>
          <w:rFonts w:ascii="Microsoft Sans Serif" w:hAnsi="Microsoft Sans Serif" w:cs="Microsoft Sans Serif" w:hint="eastAsia"/>
          <w:b w:val="0"/>
          <w:bCs w:val="0"/>
          <w:color w:val="404040" w:themeColor="text1" w:themeTint="BF"/>
          <w:sz w:val="20"/>
          <w:szCs w:val="20"/>
          <w:lang w:eastAsia="tr-TR"/>
        </w:rPr>
        <w:t>ı</w:t>
      </w:r>
      <w:r w:rsidRPr="00FB38E1">
        <w:rPr>
          <w:rFonts w:ascii="Microsoft Sans Serif" w:hAnsi="Microsoft Sans Serif" w:cs="Microsoft Sans Serif"/>
          <w:b w:val="0"/>
          <w:bCs w:val="0"/>
          <w:color w:val="404040" w:themeColor="text1" w:themeTint="BF"/>
          <w:sz w:val="20"/>
          <w:szCs w:val="20"/>
          <w:lang w:eastAsia="tr-TR"/>
        </w:rPr>
        <w:t>, finansal tablolarda aktif kalemler alt</w:t>
      </w:r>
      <w:r w:rsidRPr="00FB38E1">
        <w:rPr>
          <w:rFonts w:ascii="Microsoft Sans Serif" w:hAnsi="Microsoft Sans Serif" w:cs="Microsoft Sans Serif" w:hint="eastAsia"/>
          <w:b w:val="0"/>
          <w:bCs w:val="0"/>
          <w:color w:val="404040" w:themeColor="text1" w:themeTint="BF"/>
          <w:sz w:val="20"/>
          <w:szCs w:val="20"/>
          <w:lang w:eastAsia="tr-TR"/>
        </w:rPr>
        <w:t>ı</w:t>
      </w:r>
      <w:r w:rsidRPr="00FB38E1">
        <w:rPr>
          <w:rFonts w:ascii="Microsoft Sans Serif" w:hAnsi="Microsoft Sans Serif" w:cs="Microsoft Sans Serif"/>
          <w:b w:val="0"/>
          <w:bCs w:val="0"/>
          <w:color w:val="404040" w:themeColor="text1" w:themeTint="BF"/>
          <w:sz w:val="20"/>
          <w:szCs w:val="20"/>
          <w:lang w:eastAsia="tr-TR"/>
        </w:rPr>
        <w:t>nda yer alan krediler ile netleştirilmektedir</w:t>
      </w:r>
      <w:bookmarkStart w:id="67" w:name="OLE_LINK12"/>
      <w:r w:rsidR="00E76FB1" w:rsidRPr="00FB38E1">
        <w:rPr>
          <w:rFonts w:ascii="Microsoft Sans Serif" w:hAnsi="Microsoft Sans Serif" w:cs="Microsoft Sans Serif"/>
          <w:b w:val="0"/>
          <w:bCs w:val="0"/>
          <w:color w:val="404040" w:themeColor="text1" w:themeTint="BF"/>
          <w:sz w:val="20"/>
          <w:szCs w:val="20"/>
          <w:lang w:eastAsia="tr-TR"/>
        </w:rPr>
        <w:t>.</w:t>
      </w:r>
    </w:p>
    <w:p w14:paraId="7311B29F" w14:textId="19A72671" w:rsidR="00E76FB1" w:rsidRPr="00FB38E1" w:rsidRDefault="00E76FB1" w:rsidP="00E76FB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p>
    <w:p w14:paraId="3C7A8AFA" w14:textId="4BFA7DD0" w:rsidR="00E76FB1" w:rsidRPr="00FB38E1" w:rsidRDefault="00E76FB1" w:rsidP="00E76FB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p>
    <w:p w14:paraId="63B9772B" w14:textId="5D1D87F5" w:rsidR="00E76FB1" w:rsidRPr="00FB38E1" w:rsidRDefault="00E76FB1" w:rsidP="00E76FB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p>
    <w:p w14:paraId="50F5ABF4" w14:textId="7BD28355" w:rsidR="00E76FB1" w:rsidRPr="00FB38E1" w:rsidRDefault="00E76FB1" w:rsidP="00E76FB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p>
    <w:p w14:paraId="56054FF6" w14:textId="24D9626A" w:rsidR="00E76FB1" w:rsidRPr="00FB38E1" w:rsidRDefault="00E76FB1" w:rsidP="00E76FB1">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p>
    <w:p w14:paraId="7AC1310B" w14:textId="40619CA2" w:rsidR="00D16F46" w:rsidRPr="00FB38E1" w:rsidRDefault="00D16F4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Çalışan hakları karşılığına ilişkin yükümlülükler</w:t>
      </w:r>
    </w:p>
    <w:bookmarkEnd w:id="67"/>
    <w:p w14:paraId="60837C30" w14:textId="77777777" w:rsidR="00504499" w:rsidRPr="00FB38E1" w:rsidRDefault="00504499" w:rsidP="00F9766F">
      <w:pPr>
        <w:pStyle w:val="Head3"/>
        <w:keepNext w:val="0"/>
        <w:keepLines w:val="0"/>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FB38E1">
        <w:rPr>
          <w:rFonts w:ascii="Microsoft Sans Serif" w:hAnsi="Microsoft Sans Serif" w:cs="Microsoft Sans Serif"/>
          <w:b w:val="0"/>
          <w:bCs w:val="0"/>
          <w:i w:val="0"/>
          <w:iCs w:val="0"/>
          <w:color w:val="404040" w:themeColor="text1" w:themeTint="BF"/>
          <w:sz w:val="20"/>
          <w:szCs w:val="20"/>
          <w:lang w:eastAsia="tr-TR"/>
        </w:rPr>
        <w:t>TMS 19 işletmenin yükümlülüklerinin hesaplanabilmesi için aktüeryel değerleme yöntemlerinin kullanımını gerekli kılmaktadır.</w:t>
      </w:r>
    </w:p>
    <w:p w14:paraId="2F402DC2" w14:textId="77777777" w:rsidR="00504499" w:rsidRPr="00FB38E1" w:rsidRDefault="00504499" w:rsidP="002010A3">
      <w:pPr>
        <w:pStyle w:val="BASLIK2"/>
        <w:widowControl/>
        <w:spacing w:before="12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Bu bağlamda, toplam kıdem tazminatı yükümlülüğünün hesaplanmasında aşağıdaki aktüeryel varsayımlar kullanılmıştır: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9"/>
        <w:gridCol w:w="2410"/>
        <w:gridCol w:w="1560"/>
      </w:tblGrid>
      <w:tr w:rsidR="00504499" w:rsidRPr="00FB38E1" w14:paraId="75E1435C" w14:textId="77777777" w:rsidTr="009F74D9">
        <w:tc>
          <w:tcPr>
            <w:tcW w:w="2941" w:type="pct"/>
            <w:tcBorders>
              <w:top w:val="thinThickSmallGap" w:sz="24" w:space="0" w:color="auto"/>
              <w:bottom w:val="single" w:sz="4" w:space="0" w:color="auto"/>
            </w:tcBorders>
            <w:vAlign w:val="bottom"/>
          </w:tcPr>
          <w:p w14:paraId="4C2829AB" w14:textId="77777777" w:rsidR="00504499" w:rsidRPr="00FB38E1" w:rsidRDefault="00504499" w:rsidP="0066720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250" w:type="pct"/>
            <w:tcBorders>
              <w:top w:val="thinThickSmallGap" w:sz="24" w:space="0" w:color="auto"/>
              <w:bottom w:val="single" w:sz="4" w:space="0" w:color="auto"/>
            </w:tcBorders>
            <w:vAlign w:val="bottom"/>
          </w:tcPr>
          <w:p w14:paraId="3BD355D2" w14:textId="77777777" w:rsidR="00504499" w:rsidRPr="00FB38E1" w:rsidRDefault="00504499"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vAlign w:val="bottom"/>
          </w:tcPr>
          <w:p w14:paraId="359024D1" w14:textId="77777777" w:rsidR="00504499" w:rsidRPr="00FB38E1" w:rsidRDefault="00504499"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CA3C7D" w:rsidRPr="00FB38E1" w14:paraId="53166F35" w14:textId="77777777" w:rsidTr="005B7A0E">
        <w:tc>
          <w:tcPr>
            <w:tcW w:w="2941" w:type="pct"/>
            <w:vAlign w:val="bottom"/>
          </w:tcPr>
          <w:p w14:paraId="5DE20DAA" w14:textId="77777777" w:rsidR="00CA3C7D" w:rsidRPr="00FB38E1" w:rsidRDefault="00CA3C7D" w:rsidP="00CA3C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İskonto oranı </w:t>
            </w:r>
          </w:p>
        </w:tc>
        <w:tc>
          <w:tcPr>
            <w:tcW w:w="1250" w:type="pct"/>
            <w:shd w:val="clear" w:color="auto" w:fill="auto"/>
            <w:vAlign w:val="center"/>
          </w:tcPr>
          <w:p w14:paraId="44332CAB" w14:textId="662C52C9" w:rsidR="00CA3C7D" w:rsidRPr="00FB38E1" w:rsidRDefault="00CA3C7D" w:rsidP="00CA3C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r w:rsidR="00D108A8" w:rsidRPr="00FB38E1">
              <w:rPr>
                <w:rFonts w:ascii="Microsoft Sans Serif" w:hAnsi="Microsoft Sans Serif" w:cs="Microsoft Sans Serif"/>
                <w:color w:val="404040"/>
                <w:sz w:val="16"/>
                <w:szCs w:val="16"/>
              </w:rPr>
              <w:t>4</w:t>
            </w:r>
            <w:r w:rsidRPr="00FB38E1">
              <w:rPr>
                <w:rFonts w:ascii="Microsoft Sans Serif" w:hAnsi="Microsoft Sans Serif" w:cs="Microsoft Sans Serif"/>
                <w:color w:val="404040"/>
                <w:sz w:val="16"/>
                <w:szCs w:val="16"/>
              </w:rPr>
              <w:t>,</w:t>
            </w:r>
            <w:r w:rsidR="00D108A8" w:rsidRPr="00FB38E1">
              <w:rPr>
                <w:rFonts w:ascii="Microsoft Sans Serif" w:hAnsi="Microsoft Sans Serif" w:cs="Microsoft Sans Serif"/>
                <w:color w:val="404040"/>
                <w:sz w:val="16"/>
                <w:szCs w:val="16"/>
              </w:rPr>
              <w:t>05</w:t>
            </w:r>
          </w:p>
        </w:tc>
        <w:tc>
          <w:tcPr>
            <w:tcW w:w="809" w:type="pct"/>
            <w:vAlign w:val="center"/>
          </w:tcPr>
          <w:p w14:paraId="7A4563E6" w14:textId="4C9892D1" w:rsidR="00CA3C7D" w:rsidRPr="00FB38E1" w:rsidRDefault="00CA3C7D" w:rsidP="00CA3C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%5,33</w:t>
            </w:r>
          </w:p>
        </w:tc>
      </w:tr>
      <w:tr w:rsidR="00CA3C7D" w:rsidRPr="00FB38E1" w14:paraId="10862580" w14:textId="77777777" w:rsidTr="005B7A0E">
        <w:tc>
          <w:tcPr>
            <w:tcW w:w="2941" w:type="pct"/>
            <w:vAlign w:val="bottom"/>
          </w:tcPr>
          <w:p w14:paraId="1EB51973" w14:textId="77777777" w:rsidR="00CA3C7D" w:rsidRPr="00FB38E1" w:rsidRDefault="00CA3C7D" w:rsidP="00CA3C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Faiz oranı</w:t>
            </w:r>
          </w:p>
        </w:tc>
        <w:tc>
          <w:tcPr>
            <w:tcW w:w="1250" w:type="pct"/>
            <w:shd w:val="clear" w:color="auto" w:fill="auto"/>
            <w:vAlign w:val="center"/>
          </w:tcPr>
          <w:p w14:paraId="249E1869" w14:textId="749AA4C7" w:rsidR="00CA3C7D" w:rsidRPr="00FB38E1" w:rsidRDefault="00CA3C7D" w:rsidP="00CA3C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r w:rsidR="00D108A8" w:rsidRPr="00FB38E1">
              <w:rPr>
                <w:rFonts w:ascii="Microsoft Sans Serif" w:hAnsi="Microsoft Sans Serif" w:cs="Microsoft Sans Serif"/>
                <w:color w:val="404040"/>
                <w:sz w:val="16"/>
                <w:szCs w:val="16"/>
              </w:rPr>
              <w:t>9</w:t>
            </w:r>
            <w:r w:rsidRPr="00FB38E1">
              <w:rPr>
                <w:rFonts w:ascii="Microsoft Sans Serif" w:hAnsi="Microsoft Sans Serif" w:cs="Microsoft Sans Serif"/>
                <w:color w:val="404040"/>
                <w:sz w:val="16"/>
                <w:szCs w:val="16"/>
              </w:rPr>
              <w:t>,</w:t>
            </w:r>
            <w:r w:rsidR="00D108A8" w:rsidRPr="00FB38E1">
              <w:rPr>
                <w:rFonts w:ascii="Microsoft Sans Serif" w:hAnsi="Microsoft Sans Serif" w:cs="Microsoft Sans Serif"/>
                <w:color w:val="404040"/>
                <w:sz w:val="16"/>
                <w:szCs w:val="16"/>
              </w:rPr>
              <w:t>02</w:t>
            </w:r>
          </w:p>
        </w:tc>
        <w:tc>
          <w:tcPr>
            <w:tcW w:w="809" w:type="pct"/>
            <w:vAlign w:val="center"/>
          </w:tcPr>
          <w:p w14:paraId="601B407F" w14:textId="3F742322" w:rsidR="00CA3C7D" w:rsidRPr="00FB38E1" w:rsidRDefault="00CA3C7D" w:rsidP="00CA3C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%24,18</w:t>
            </w:r>
          </w:p>
        </w:tc>
      </w:tr>
      <w:tr w:rsidR="00CA3C7D" w:rsidRPr="00FB38E1" w14:paraId="79492C24" w14:textId="77777777" w:rsidTr="005B7A0E">
        <w:tc>
          <w:tcPr>
            <w:tcW w:w="2941" w:type="pct"/>
            <w:tcBorders>
              <w:top w:val="nil"/>
              <w:bottom w:val="thickThinSmallGap" w:sz="24" w:space="0" w:color="auto"/>
            </w:tcBorders>
            <w:vAlign w:val="bottom"/>
          </w:tcPr>
          <w:p w14:paraId="05595F6B" w14:textId="77777777" w:rsidR="00CA3C7D" w:rsidRPr="00FB38E1" w:rsidRDefault="00CA3C7D" w:rsidP="00CA3C7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Tahmini maaş /kıdem tazminatı tavanı artış oranı</w:t>
            </w:r>
          </w:p>
        </w:tc>
        <w:tc>
          <w:tcPr>
            <w:tcW w:w="1250" w:type="pct"/>
            <w:tcBorders>
              <w:top w:val="nil"/>
              <w:bottom w:val="thickThinSmallGap" w:sz="24" w:space="0" w:color="auto"/>
            </w:tcBorders>
            <w:shd w:val="clear" w:color="auto" w:fill="auto"/>
            <w:vAlign w:val="center"/>
          </w:tcPr>
          <w:p w14:paraId="50AE3D06" w14:textId="391AB3AD" w:rsidR="00CA3C7D" w:rsidRPr="00FB38E1" w:rsidRDefault="00CA3C7D" w:rsidP="00CA3C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r w:rsidR="00D108A8" w:rsidRPr="00FB38E1">
              <w:rPr>
                <w:rFonts w:ascii="Microsoft Sans Serif" w:hAnsi="Microsoft Sans Serif" w:cs="Microsoft Sans Serif"/>
                <w:color w:val="404040"/>
                <w:sz w:val="16"/>
                <w:szCs w:val="16"/>
              </w:rPr>
              <w:t>24</w:t>
            </w:r>
            <w:r w:rsidRPr="00FB38E1">
              <w:rPr>
                <w:rFonts w:ascii="Microsoft Sans Serif" w:hAnsi="Microsoft Sans Serif" w:cs="Microsoft Sans Serif"/>
                <w:color w:val="404040"/>
                <w:sz w:val="16"/>
                <w:szCs w:val="16"/>
              </w:rPr>
              <w:t>,</w:t>
            </w:r>
            <w:r w:rsidR="00D108A8" w:rsidRPr="00FB38E1">
              <w:rPr>
                <w:rFonts w:ascii="Microsoft Sans Serif" w:hAnsi="Microsoft Sans Serif" w:cs="Microsoft Sans Serif"/>
                <w:color w:val="404040"/>
                <w:sz w:val="16"/>
                <w:szCs w:val="16"/>
              </w:rPr>
              <w:t>00</w:t>
            </w:r>
          </w:p>
        </w:tc>
        <w:tc>
          <w:tcPr>
            <w:tcW w:w="809" w:type="pct"/>
            <w:tcBorders>
              <w:top w:val="nil"/>
              <w:bottom w:val="thickThinSmallGap" w:sz="24" w:space="0" w:color="auto"/>
            </w:tcBorders>
            <w:vAlign w:val="center"/>
          </w:tcPr>
          <w:p w14:paraId="4767EF03" w14:textId="46101F8B" w:rsidR="00CA3C7D" w:rsidRPr="00FB38E1" w:rsidRDefault="00CA3C7D" w:rsidP="00CA3C7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%17,90</w:t>
            </w:r>
          </w:p>
        </w:tc>
      </w:tr>
    </w:tbl>
    <w:p w14:paraId="072F4A0E" w14:textId="488A9868" w:rsidR="00B466A4" w:rsidRPr="00FB38E1" w:rsidRDefault="00AD2A6F" w:rsidP="00F9766F">
      <w:pPr>
        <w:spacing w:before="120" w:after="0" w:line="220" w:lineRule="exact"/>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noProof/>
          <w:color w:val="404040" w:themeColor="text1" w:themeTint="BF"/>
          <w:sz w:val="20"/>
          <w:szCs w:val="20"/>
        </w:rPr>
        <w:t xml:space="preserve">31 Aralık 2024 </w:t>
      </w:r>
      <w:r w:rsidR="00B466A4" w:rsidRPr="00FB38E1">
        <w:rPr>
          <w:rFonts w:ascii="Microsoft Sans Serif" w:hAnsi="Microsoft Sans Serif" w:cs="Microsoft Sans Serif"/>
          <w:noProof/>
          <w:color w:val="404040" w:themeColor="text1" w:themeTint="BF"/>
          <w:sz w:val="20"/>
          <w:szCs w:val="20"/>
        </w:rPr>
        <w:t>tarihi itibarıyla</w:t>
      </w:r>
      <w:r w:rsidR="00132A6E" w:rsidRPr="00FB38E1">
        <w:rPr>
          <w:rFonts w:ascii="Microsoft Sans Serif" w:hAnsi="Microsoft Sans Serif" w:cs="Microsoft Sans Serif"/>
          <w:noProof/>
          <w:color w:val="404040" w:themeColor="text1" w:themeTint="BF"/>
          <w:sz w:val="20"/>
          <w:szCs w:val="20"/>
        </w:rPr>
        <w:t xml:space="preserve"> </w:t>
      </w:r>
      <w:r w:rsidR="004B61E1" w:rsidRPr="00FB38E1">
        <w:rPr>
          <w:rFonts w:ascii="Microsoft Sans Serif" w:hAnsi="Microsoft Sans Serif" w:cs="Microsoft Sans Serif"/>
          <w:noProof/>
          <w:color w:val="404040" w:themeColor="text1" w:themeTint="BF"/>
          <w:sz w:val="20"/>
          <w:szCs w:val="20"/>
        </w:rPr>
        <w:t>1.338.401</w:t>
      </w:r>
      <w:r w:rsidR="00132A6E" w:rsidRPr="00FB38E1">
        <w:rPr>
          <w:rFonts w:ascii="Microsoft Sans Serif" w:hAnsi="Microsoft Sans Serif" w:cs="Microsoft Sans Serif"/>
          <w:noProof/>
          <w:color w:val="404040" w:themeColor="text1" w:themeTint="BF"/>
          <w:sz w:val="20"/>
          <w:szCs w:val="20"/>
        </w:rPr>
        <w:t xml:space="preserve"> </w:t>
      </w:r>
      <w:r w:rsidR="00B466A4" w:rsidRPr="00FB38E1">
        <w:rPr>
          <w:rFonts w:ascii="Microsoft Sans Serif" w:hAnsi="Microsoft Sans Serif" w:cs="Microsoft Sans Serif"/>
          <w:noProof/>
          <w:color w:val="404040" w:themeColor="text1" w:themeTint="BF"/>
          <w:sz w:val="20"/>
          <w:szCs w:val="20"/>
        </w:rPr>
        <w:t xml:space="preserve">TL </w:t>
      </w:r>
      <w:r w:rsidR="000B3C56" w:rsidRPr="00FB38E1">
        <w:rPr>
          <w:rFonts w:ascii="Microsoft Sans Serif" w:hAnsi="Microsoft Sans Serif" w:cs="Microsoft Sans Serif"/>
          <w:noProof/>
          <w:color w:val="404040" w:themeColor="text1" w:themeTint="BF"/>
          <w:sz w:val="20"/>
          <w:szCs w:val="20"/>
        </w:rPr>
        <w:t>(</w:t>
      </w:r>
      <w:r w:rsidR="00ED442B" w:rsidRPr="00FB38E1">
        <w:rPr>
          <w:rFonts w:ascii="Microsoft Sans Serif" w:hAnsi="Microsoft Sans Serif" w:cs="Microsoft Sans Serif"/>
          <w:noProof/>
          <w:color w:val="404040" w:themeColor="text1" w:themeTint="BF"/>
          <w:sz w:val="20"/>
          <w:szCs w:val="20"/>
        </w:rPr>
        <w:t>31 Aralık 2023</w:t>
      </w:r>
      <w:r w:rsidR="00FB0F32" w:rsidRPr="00FB38E1">
        <w:rPr>
          <w:rFonts w:ascii="Microsoft Sans Serif" w:hAnsi="Microsoft Sans Serif" w:cs="Microsoft Sans Serif"/>
          <w:noProof/>
          <w:color w:val="404040" w:themeColor="text1" w:themeTint="BF"/>
          <w:sz w:val="20"/>
          <w:szCs w:val="20"/>
        </w:rPr>
        <w:t xml:space="preserve">: </w:t>
      </w:r>
      <w:r w:rsidR="00902C88" w:rsidRPr="00FB38E1">
        <w:rPr>
          <w:rFonts w:ascii="Microsoft Sans Serif" w:hAnsi="Microsoft Sans Serif" w:cs="Microsoft Sans Serif"/>
          <w:noProof/>
          <w:color w:val="404040" w:themeColor="text1" w:themeTint="BF"/>
          <w:sz w:val="20"/>
          <w:szCs w:val="20"/>
        </w:rPr>
        <w:t xml:space="preserve">680.354 </w:t>
      </w:r>
      <w:r w:rsidR="00FB0F32" w:rsidRPr="00FB38E1">
        <w:rPr>
          <w:rFonts w:ascii="Microsoft Sans Serif" w:hAnsi="Microsoft Sans Serif" w:cs="Microsoft Sans Serif"/>
          <w:noProof/>
          <w:color w:val="404040" w:themeColor="text1" w:themeTint="BF"/>
          <w:sz w:val="20"/>
          <w:szCs w:val="20"/>
        </w:rPr>
        <w:t xml:space="preserve">TL) </w:t>
      </w:r>
      <w:r w:rsidR="00B466A4" w:rsidRPr="00FB38E1">
        <w:rPr>
          <w:rFonts w:ascii="Microsoft Sans Serif" w:hAnsi="Microsoft Sans Serif" w:cs="Microsoft Sans Serif"/>
          <w:noProof/>
          <w:color w:val="404040" w:themeColor="text1" w:themeTint="BF"/>
          <w:sz w:val="20"/>
          <w:szCs w:val="20"/>
        </w:rPr>
        <w:t xml:space="preserve">tutarında kıdem tazminatı karşılığı ve </w:t>
      </w:r>
      <w:r w:rsidR="004B61E1" w:rsidRPr="00FB38E1">
        <w:rPr>
          <w:rFonts w:ascii="Microsoft Sans Serif" w:hAnsi="Microsoft Sans Serif" w:cs="Microsoft Sans Serif"/>
          <w:noProof/>
          <w:color w:val="404040" w:themeColor="text1" w:themeTint="BF"/>
          <w:sz w:val="20"/>
          <w:szCs w:val="20"/>
        </w:rPr>
        <w:t>1.507.594</w:t>
      </w:r>
      <w:r w:rsidR="00FB0F32" w:rsidRPr="00FB38E1">
        <w:rPr>
          <w:rFonts w:ascii="Microsoft Sans Serif" w:hAnsi="Microsoft Sans Serif" w:cs="Microsoft Sans Serif"/>
          <w:noProof/>
          <w:color w:val="404040" w:themeColor="text1" w:themeTint="BF"/>
          <w:sz w:val="20"/>
          <w:szCs w:val="20"/>
        </w:rPr>
        <w:t xml:space="preserve"> TL </w:t>
      </w:r>
      <w:r w:rsidR="00B466A4" w:rsidRPr="00FB38E1">
        <w:rPr>
          <w:rFonts w:ascii="Microsoft Sans Serif" w:hAnsi="Microsoft Sans Serif" w:cs="Microsoft Sans Serif"/>
          <w:noProof/>
          <w:color w:val="404040" w:themeColor="text1" w:themeTint="BF"/>
          <w:sz w:val="20"/>
          <w:szCs w:val="20"/>
        </w:rPr>
        <w:t>tutarında izin yükümlülüğü</w:t>
      </w:r>
      <w:r w:rsidR="0097206E" w:rsidRPr="00FB38E1">
        <w:rPr>
          <w:rFonts w:ascii="Microsoft Sans Serif" w:hAnsi="Microsoft Sans Serif" w:cs="Microsoft Sans Serif"/>
          <w:noProof/>
          <w:color w:val="404040" w:themeColor="text1" w:themeTint="BF"/>
          <w:sz w:val="20"/>
          <w:szCs w:val="20"/>
        </w:rPr>
        <w:t xml:space="preserve"> ve diğer hakları</w:t>
      </w:r>
      <w:r w:rsidR="00B466A4" w:rsidRPr="00FB38E1">
        <w:rPr>
          <w:rFonts w:ascii="Microsoft Sans Serif" w:hAnsi="Microsoft Sans Serif" w:cs="Microsoft Sans Serif"/>
          <w:noProof/>
          <w:color w:val="404040" w:themeColor="text1" w:themeTint="BF"/>
          <w:sz w:val="20"/>
          <w:szCs w:val="20"/>
        </w:rPr>
        <w:t xml:space="preserve"> </w:t>
      </w:r>
      <w:r w:rsidR="003875DF" w:rsidRPr="00FB38E1">
        <w:rPr>
          <w:rFonts w:ascii="Microsoft Sans Serif" w:hAnsi="Microsoft Sans Serif" w:cs="Microsoft Sans Serif"/>
          <w:noProof/>
          <w:color w:val="404040" w:themeColor="text1" w:themeTint="BF"/>
          <w:sz w:val="20"/>
          <w:szCs w:val="20"/>
        </w:rPr>
        <w:t>(31 Aralık 2023: 899.776 TL)</w:t>
      </w:r>
      <w:r w:rsidR="00902C88" w:rsidRPr="00FB38E1">
        <w:rPr>
          <w:rFonts w:ascii="Microsoft Sans Serif" w:hAnsi="Microsoft Sans Serif" w:cs="Microsoft Sans Serif"/>
          <w:noProof/>
          <w:color w:val="404040" w:themeColor="text1" w:themeTint="BF"/>
          <w:sz w:val="20"/>
          <w:szCs w:val="20"/>
        </w:rPr>
        <w:t xml:space="preserve"> </w:t>
      </w:r>
      <w:r w:rsidR="00B466A4" w:rsidRPr="00FB38E1">
        <w:rPr>
          <w:rFonts w:ascii="Microsoft Sans Serif" w:hAnsi="Microsoft Sans Serif" w:cs="Microsoft Sans Serif"/>
          <w:noProof/>
          <w:color w:val="404040" w:themeColor="text1" w:themeTint="BF"/>
          <w:sz w:val="20"/>
          <w:szCs w:val="20"/>
        </w:rPr>
        <w:t>finansal tablolara yansıtılmıştır.</w:t>
      </w:r>
    </w:p>
    <w:p w14:paraId="3C38C0FF" w14:textId="5B8163C4" w:rsidR="00504499" w:rsidRPr="00FB38E1" w:rsidRDefault="00B466A4" w:rsidP="00034B0C">
      <w:pPr>
        <w:pStyle w:val="BASLIK2"/>
        <w:widowControl/>
        <w:spacing w:before="120" w:line="220" w:lineRule="exact"/>
        <w:ind w:firstLine="0"/>
        <w:rPr>
          <w:rFonts w:ascii="Microsoft Sans Serif" w:hAnsi="Microsoft Sans Serif" w:cs="Microsoft Sans Serif"/>
          <w:b w:val="0"/>
          <w:noProof/>
          <w:color w:val="404040" w:themeColor="text1" w:themeTint="BF"/>
          <w:sz w:val="20"/>
          <w:szCs w:val="20"/>
        </w:rPr>
      </w:pPr>
      <w:bookmarkStart w:id="68" w:name="OLE_LINK13"/>
      <w:r w:rsidRPr="00FB38E1">
        <w:rPr>
          <w:rFonts w:ascii="Microsoft Sans Serif" w:hAnsi="Microsoft Sans Serif" w:cs="Microsoft Sans Serif"/>
          <w:b w:val="0"/>
          <w:noProof/>
          <w:color w:val="404040" w:themeColor="text1" w:themeTint="BF"/>
          <w:sz w:val="20"/>
          <w:szCs w:val="20"/>
        </w:rPr>
        <w:t>Kıdem tazminatı karşılığının yıl içerisindeki hareketleri: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8027C1" w:rsidRPr="00FB38E1" w14:paraId="1165B730" w14:textId="40761CD8" w:rsidTr="008027C1">
        <w:tc>
          <w:tcPr>
            <w:tcW w:w="2702" w:type="pct"/>
            <w:tcBorders>
              <w:top w:val="thinThickSmallGap" w:sz="24" w:space="0" w:color="auto"/>
              <w:bottom w:val="single" w:sz="4" w:space="0" w:color="auto"/>
            </w:tcBorders>
            <w:vAlign w:val="bottom"/>
          </w:tcPr>
          <w:bookmarkEnd w:id="68"/>
          <w:p w14:paraId="6850BC2B" w14:textId="77777777" w:rsidR="008027C1" w:rsidRPr="00FB38E1" w:rsidRDefault="008027C1" w:rsidP="0066720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7C4FAD09" w14:textId="77777777" w:rsidR="008027C1" w:rsidRPr="00FB38E1" w:rsidRDefault="008027C1"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0E3D5314" w14:textId="35306263" w:rsidR="008027C1" w:rsidRPr="00FB38E1" w:rsidRDefault="008027C1"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4B61E1" w:rsidRPr="00FB38E1" w14:paraId="37908DFE" w14:textId="61A8DA1D" w:rsidTr="00D9744D">
        <w:tc>
          <w:tcPr>
            <w:tcW w:w="2702" w:type="pct"/>
            <w:tcBorders>
              <w:top w:val="single" w:sz="4" w:space="0" w:color="auto"/>
            </w:tcBorders>
            <w:vAlign w:val="center"/>
          </w:tcPr>
          <w:p w14:paraId="06315B0C" w14:textId="77777777" w:rsidR="004B61E1" w:rsidRPr="00FB38E1" w:rsidRDefault="004B61E1" w:rsidP="004B61E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Dönem Başındaki Değer </w:t>
            </w:r>
          </w:p>
        </w:tc>
        <w:tc>
          <w:tcPr>
            <w:tcW w:w="1149" w:type="pct"/>
            <w:tcBorders>
              <w:top w:val="single" w:sz="4" w:space="0" w:color="auto"/>
            </w:tcBorders>
            <w:vAlign w:val="center"/>
          </w:tcPr>
          <w:p w14:paraId="2E7E8E16" w14:textId="224BDEA0" w:rsidR="004B61E1" w:rsidRPr="00FB38E1" w:rsidRDefault="004B61E1" w:rsidP="004B61E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680.354</w:t>
            </w:r>
          </w:p>
        </w:tc>
        <w:tc>
          <w:tcPr>
            <w:tcW w:w="1149" w:type="pct"/>
            <w:tcBorders>
              <w:top w:val="single" w:sz="4" w:space="0" w:color="auto"/>
            </w:tcBorders>
            <w:vAlign w:val="center"/>
          </w:tcPr>
          <w:p w14:paraId="25C47F0D" w14:textId="45352824" w:rsidR="004B61E1" w:rsidRPr="00FB38E1" w:rsidRDefault="004B61E1" w:rsidP="004B61E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916.607</w:t>
            </w:r>
          </w:p>
        </w:tc>
      </w:tr>
      <w:tr w:rsidR="004B61E1" w:rsidRPr="00FB38E1" w14:paraId="789B5999" w14:textId="7E4ADA81" w:rsidTr="00ED6B62">
        <w:tc>
          <w:tcPr>
            <w:tcW w:w="2702" w:type="pct"/>
            <w:vAlign w:val="center"/>
          </w:tcPr>
          <w:p w14:paraId="3FA413C1" w14:textId="77777777" w:rsidR="004B61E1" w:rsidRPr="00FB38E1" w:rsidRDefault="004B61E1" w:rsidP="004B61E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içindeki değişim</w:t>
            </w:r>
          </w:p>
        </w:tc>
        <w:tc>
          <w:tcPr>
            <w:tcW w:w="1149" w:type="pct"/>
            <w:vAlign w:val="center"/>
          </w:tcPr>
          <w:p w14:paraId="14969BB9" w14:textId="7F452274" w:rsidR="004B61E1" w:rsidRPr="00FB38E1" w:rsidRDefault="004B61E1" w:rsidP="004B61E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306.661</w:t>
            </w:r>
          </w:p>
        </w:tc>
        <w:tc>
          <w:tcPr>
            <w:tcW w:w="1149" w:type="pct"/>
            <w:vAlign w:val="center"/>
          </w:tcPr>
          <w:p w14:paraId="18AD7D54" w14:textId="117A2BDE" w:rsidR="004B61E1" w:rsidRPr="00FB38E1" w:rsidRDefault="004B61E1" w:rsidP="004B61E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357.421</w:t>
            </w:r>
          </w:p>
        </w:tc>
      </w:tr>
      <w:tr w:rsidR="004B61E1" w:rsidRPr="00FB38E1" w14:paraId="42C52283" w14:textId="52ADB9BC" w:rsidTr="00ED6B62">
        <w:tc>
          <w:tcPr>
            <w:tcW w:w="2702" w:type="pct"/>
            <w:vAlign w:val="center"/>
          </w:tcPr>
          <w:p w14:paraId="7AC92DCD" w14:textId="03E015EA" w:rsidR="004B61E1" w:rsidRPr="00FB38E1" w:rsidRDefault="004B61E1" w:rsidP="004B61E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Aktüeryal kayıp/(kazanç)</w:t>
            </w:r>
          </w:p>
        </w:tc>
        <w:tc>
          <w:tcPr>
            <w:tcW w:w="1149" w:type="pct"/>
            <w:vAlign w:val="center"/>
          </w:tcPr>
          <w:p w14:paraId="12EF0EFB" w14:textId="4CE34FC9" w:rsidR="004B61E1" w:rsidRPr="00FB38E1" w:rsidRDefault="004B61E1" w:rsidP="004B61E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626.045</w:t>
            </w:r>
          </w:p>
        </w:tc>
        <w:tc>
          <w:tcPr>
            <w:tcW w:w="1149" w:type="pct"/>
            <w:vAlign w:val="center"/>
          </w:tcPr>
          <w:p w14:paraId="6DBB404E" w14:textId="4EE0458B" w:rsidR="004B61E1" w:rsidRPr="00FB38E1" w:rsidRDefault="004B61E1" w:rsidP="004B61E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(61.829)</w:t>
            </w:r>
          </w:p>
        </w:tc>
      </w:tr>
      <w:tr w:rsidR="004B61E1" w:rsidRPr="00FB38E1" w14:paraId="4E7D2FE4" w14:textId="439ED677" w:rsidTr="00ED6B62">
        <w:tc>
          <w:tcPr>
            <w:tcW w:w="2702" w:type="pct"/>
            <w:vAlign w:val="center"/>
          </w:tcPr>
          <w:p w14:paraId="1FC9DEB9" w14:textId="77777777" w:rsidR="004B61E1" w:rsidRPr="00FB38E1" w:rsidRDefault="004B61E1" w:rsidP="004B61E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içinde ödenen</w:t>
            </w:r>
          </w:p>
        </w:tc>
        <w:tc>
          <w:tcPr>
            <w:tcW w:w="1149" w:type="pct"/>
            <w:vAlign w:val="center"/>
          </w:tcPr>
          <w:p w14:paraId="1E721E99" w14:textId="7AC20FF6" w:rsidR="004B61E1" w:rsidRPr="00FB38E1" w:rsidRDefault="004B61E1" w:rsidP="004B61E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(274.659)</w:t>
            </w:r>
          </w:p>
        </w:tc>
        <w:tc>
          <w:tcPr>
            <w:tcW w:w="1149" w:type="pct"/>
            <w:vAlign w:val="center"/>
          </w:tcPr>
          <w:p w14:paraId="3F965CE3" w14:textId="748F9CA0" w:rsidR="004B61E1" w:rsidRPr="00FB38E1" w:rsidRDefault="004B61E1" w:rsidP="004B61E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(531.845)</w:t>
            </w:r>
          </w:p>
        </w:tc>
      </w:tr>
      <w:tr w:rsidR="004B61E1" w:rsidRPr="00FB38E1" w14:paraId="6EF363E4" w14:textId="06763926" w:rsidTr="00ED6B62">
        <w:tc>
          <w:tcPr>
            <w:tcW w:w="2702" w:type="pct"/>
            <w:tcBorders>
              <w:top w:val="single" w:sz="4" w:space="0" w:color="auto"/>
            </w:tcBorders>
            <w:vAlign w:val="center"/>
          </w:tcPr>
          <w:p w14:paraId="33A32142" w14:textId="77777777" w:rsidR="004B61E1" w:rsidRPr="00FB38E1" w:rsidRDefault="004B61E1" w:rsidP="004B61E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 sonu bakiyesi</w:t>
            </w:r>
          </w:p>
        </w:tc>
        <w:tc>
          <w:tcPr>
            <w:tcW w:w="1149" w:type="pct"/>
            <w:tcBorders>
              <w:top w:val="single" w:sz="4" w:space="0" w:color="auto"/>
            </w:tcBorders>
            <w:vAlign w:val="center"/>
          </w:tcPr>
          <w:p w14:paraId="143FBC3E" w14:textId="3C229B57" w:rsidR="004B61E1" w:rsidRPr="00FB38E1" w:rsidRDefault="004B61E1" w:rsidP="004B61E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1.338.401</w:t>
            </w:r>
          </w:p>
        </w:tc>
        <w:tc>
          <w:tcPr>
            <w:tcW w:w="1149" w:type="pct"/>
            <w:tcBorders>
              <w:top w:val="single" w:sz="4" w:space="0" w:color="auto"/>
            </w:tcBorders>
            <w:vAlign w:val="center"/>
          </w:tcPr>
          <w:p w14:paraId="007B21A1" w14:textId="5FAC4310" w:rsidR="004B61E1" w:rsidRPr="00FB38E1" w:rsidRDefault="004B61E1" w:rsidP="004B61E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680.354</w:t>
            </w:r>
          </w:p>
        </w:tc>
      </w:tr>
    </w:tbl>
    <w:p w14:paraId="54353B96" w14:textId="1695A5B9" w:rsidR="00B466A4" w:rsidRPr="00FB38E1" w:rsidRDefault="00B466A4" w:rsidP="00076C9E">
      <w:pPr>
        <w:pStyle w:val="BASLIK2"/>
        <w:widowControl/>
        <w:numPr>
          <w:ilvl w:val="2"/>
          <w:numId w:val="33"/>
        </w:numPr>
        <w:spacing w:line="240" w:lineRule="exact"/>
        <w:ind w:left="0" w:hanging="425"/>
        <w:rPr>
          <w:rFonts w:ascii="Microsoft Sans Serif" w:hAnsi="Microsoft Sans Serif" w:cs="Microsoft Sans Serif"/>
          <w:iCs/>
          <w:sz w:val="20"/>
          <w:szCs w:val="20"/>
        </w:rPr>
      </w:pPr>
      <w:bookmarkStart w:id="69" w:name="OLE_LINK14"/>
      <w:r w:rsidRPr="00FB38E1">
        <w:rPr>
          <w:rFonts w:ascii="Microsoft Sans Serif" w:hAnsi="Microsoft Sans Serif" w:cs="Microsoft Sans Serif"/>
          <w:iCs/>
          <w:sz w:val="20"/>
          <w:szCs w:val="20"/>
        </w:rPr>
        <w:t>Diğer karşılıklara ilişkin bilgiler</w:t>
      </w:r>
    </w:p>
    <w:bookmarkEnd w:id="69"/>
    <w:p w14:paraId="03429FEC" w14:textId="2B32ACE0" w:rsidR="00F008B2" w:rsidRPr="00FB38E1" w:rsidRDefault="00B466A4" w:rsidP="00AD718D">
      <w:pPr>
        <w:pStyle w:val="BASLIK2"/>
        <w:widowControl/>
        <w:spacing w:line="240" w:lineRule="exact"/>
        <w:ind w:firstLine="0"/>
        <w:rPr>
          <w:rFonts w:ascii="Microsoft Sans Serif" w:hAnsi="Microsoft Sans Serif" w:cs="Microsoft Sans Serif"/>
          <w:b w:val="0"/>
          <w:bCs w:val="0"/>
          <w:sz w:val="20"/>
          <w:szCs w:val="20"/>
        </w:rPr>
      </w:pPr>
      <w:r w:rsidRPr="00FB38E1">
        <w:rPr>
          <w:rFonts w:ascii="Microsoft Sans Serif" w:hAnsi="Microsoft Sans Serif" w:cs="Microsoft Sans Serif"/>
          <w:b w:val="0"/>
          <w:bCs w:val="0"/>
          <w:sz w:val="20"/>
          <w:szCs w:val="20"/>
        </w:rPr>
        <w:t>Diğer karşılıkların, karşılıklar toplamının %10’unu aşması halinde aşıma sebep olan kalemler ve tutarlarına ilişkin bilgiler</w:t>
      </w:r>
    </w:p>
    <w:p w14:paraId="4C0DC73B" w14:textId="76DC9E22" w:rsidR="007152ED" w:rsidRPr="00FB38E1" w:rsidRDefault="007152ED" w:rsidP="00F665DD">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FB38E1">
        <w:rPr>
          <w:rFonts w:ascii="Microsoft Sans Serif" w:hAnsi="Microsoft Sans Serif" w:cs="Microsoft Sans Serif"/>
          <w:bCs w:val="0"/>
          <w:color w:val="000000" w:themeColor="text1"/>
          <w:sz w:val="20"/>
          <w:szCs w:val="20"/>
          <w:lang w:eastAsia="tr-TR"/>
        </w:rPr>
        <w:t xml:space="preserve">Cari Dönem: </w:t>
      </w:r>
    </w:p>
    <w:p w14:paraId="24C7254B" w14:textId="0BF7512F" w:rsidR="00F665DD" w:rsidRPr="00FB38E1" w:rsidRDefault="00F665DD" w:rsidP="00463D09">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 xml:space="preserve">Diğer karşılıkların </w:t>
      </w:r>
      <w:r w:rsidR="00632C2B" w:rsidRPr="00FB38E1">
        <w:rPr>
          <w:rFonts w:ascii="Microsoft Sans Serif" w:hAnsi="Microsoft Sans Serif" w:cs="Microsoft Sans Serif"/>
          <w:b w:val="0"/>
          <w:bCs w:val="0"/>
          <w:color w:val="404040" w:themeColor="text1" w:themeTint="BF"/>
          <w:sz w:val="20"/>
          <w:szCs w:val="20"/>
          <w:lang w:eastAsia="tr-TR"/>
        </w:rPr>
        <w:t>1.654.843</w:t>
      </w:r>
      <w:r w:rsidR="002038A2" w:rsidRPr="00FB38E1">
        <w:rPr>
          <w:rFonts w:ascii="Microsoft Sans Serif" w:hAnsi="Microsoft Sans Serif" w:cs="Microsoft Sans Serif"/>
          <w:b w:val="0"/>
          <w:bCs w:val="0"/>
          <w:color w:val="404040" w:themeColor="text1" w:themeTint="BF"/>
          <w:sz w:val="20"/>
          <w:szCs w:val="20"/>
          <w:lang w:eastAsia="tr-TR"/>
        </w:rPr>
        <w:t xml:space="preserve"> </w:t>
      </w:r>
      <w:r w:rsidRPr="00FB38E1">
        <w:rPr>
          <w:rFonts w:ascii="Microsoft Sans Serif" w:hAnsi="Microsoft Sans Serif" w:cs="Microsoft Sans Serif"/>
          <w:b w:val="0"/>
          <w:bCs w:val="0"/>
          <w:color w:val="404040" w:themeColor="text1" w:themeTint="BF"/>
          <w:sz w:val="20"/>
          <w:szCs w:val="20"/>
          <w:lang w:eastAsia="tr-TR"/>
        </w:rPr>
        <w:t xml:space="preserve">TL’si </w:t>
      </w:r>
      <w:r w:rsidR="007152ED" w:rsidRPr="00FB38E1">
        <w:rPr>
          <w:rFonts w:ascii="Microsoft Sans Serif" w:hAnsi="Microsoft Sans Serif" w:cs="Microsoft Sans Serif"/>
          <w:b w:val="0"/>
          <w:bCs w:val="0"/>
          <w:color w:val="404040" w:themeColor="text1" w:themeTint="BF"/>
          <w:sz w:val="20"/>
          <w:szCs w:val="20"/>
          <w:lang w:eastAsia="tr-TR"/>
        </w:rPr>
        <w:t>gayrinakdi krediler birinci ve ikinci aşama beklenen zarar karşılıklarını</w:t>
      </w:r>
      <w:r w:rsidRPr="00FB38E1">
        <w:rPr>
          <w:rFonts w:ascii="Microsoft Sans Serif" w:hAnsi="Microsoft Sans Serif" w:cs="Microsoft Sans Serif"/>
          <w:b w:val="0"/>
          <w:bCs w:val="0"/>
          <w:color w:val="404040" w:themeColor="text1" w:themeTint="BF"/>
          <w:sz w:val="20"/>
          <w:szCs w:val="20"/>
          <w:lang w:eastAsia="tr-TR"/>
        </w:rPr>
        <w:t xml:space="preserve">, </w:t>
      </w:r>
      <w:r w:rsidR="00632C2B" w:rsidRPr="00FB38E1">
        <w:rPr>
          <w:rFonts w:ascii="Microsoft Sans Serif" w:hAnsi="Microsoft Sans Serif" w:cs="Microsoft Sans Serif"/>
          <w:b w:val="0"/>
          <w:bCs w:val="0"/>
          <w:color w:val="404040" w:themeColor="text1" w:themeTint="BF"/>
          <w:sz w:val="20"/>
          <w:szCs w:val="20"/>
          <w:lang w:eastAsia="tr-TR"/>
        </w:rPr>
        <w:t>3.425.435</w:t>
      </w:r>
      <w:r w:rsidRPr="00FB38E1">
        <w:rPr>
          <w:rFonts w:ascii="Microsoft Sans Serif" w:hAnsi="Microsoft Sans Serif" w:cs="Microsoft Sans Serif"/>
          <w:b w:val="0"/>
          <w:bCs w:val="0"/>
          <w:color w:val="404040" w:themeColor="text1" w:themeTint="BF"/>
          <w:sz w:val="20"/>
          <w:szCs w:val="20"/>
          <w:lang w:eastAsia="tr-TR"/>
        </w:rPr>
        <w:t xml:space="preserve"> TL’si tazmin edilmemiş ve nakde </w:t>
      </w:r>
      <w:r w:rsidR="007152ED" w:rsidRPr="00FB38E1">
        <w:rPr>
          <w:rFonts w:ascii="Microsoft Sans Serif" w:hAnsi="Microsoft Sans Serif" w:cs="Microsoft Sans Serif"/>
          <w:b w:val="0"/>
          <w:bCs w:val="0"/>
          <w:color w:val="404040" w:themeColor="text1" w:themeTint="BF"/>
          <w:sz w:val="20"/>
          <w:szCs w:val="20"/>
          <w:lang w:eastAsia="tr-TR"/>
        </w:rPr>
        <w:t>dönüşmemiş gayrinakdi krediler üçüncü aşama beklenen zarar k</w:t>
      </w:r>
      <w:r w:rsidRPr="00FB38E1">
        <w:rPr>
          <w:rFonts w:ascii="Microsoft Sans Serif" w:hAnsi="Microsoft Sans Serif" w:cs="Microsoft Sans Serif"/>
          <w:b w:val="0"/>
          <w:bCs w:val="0"/>
          <w:color w:val="404040" w:themeColor="text1" w:themeTint="BF"/>
          <w:sz w:val="20"/>
          <w:szCs w:val="20"/>
          <w:lang w:eastAsia="tr-TR"/>
        </w:rPr>
        <w:t>arşılıklarını</w:t>
      </w:r>
      <w:r w:rsidR="00A27654" w:rsidRPr="00FB38E1">
        <w:rPr>
          <w:rFonts w:ascii="Microsoft Sans Serif" w:hAnsi="Microsoft Sans Serif" w:cs="Microsoft Sans Serif"/>
          <w:b w:val="0"/>
          <w:bCs w:val="0"/>
          <w:color w:val="404040" w:themeColor="text1" w:themeTint="BF"/>
          <w:sz w:val="20"/>
          <w:szCs w:val="20"/>
          <w:lang w:eastAsia="tr-TR"/>
        </w:rPr>
        <w:t>,</w:t>
      </w:r>
      <w:r w:rsidR="00C757B5" w:rsidRPr="00FB38E1">
        <w:rPr>
          <w:rFonts w:ascii="Microsoft Sans Serif" w:hAnsi="Microsoft Sans Serif" w:cs="Microsoft Sans Serif"/>
          <w:b w:val="0"/>
          <w:bCs w:val="0"/>
          <w:color w:val="404040" w:themeColor="text1" w:themeTint="BF"/>
          <w:sz w:val="20"/>
          <w:szCs w:val="20"/>
          <w:lang w:eastAsia="tr-TR"/>
        </w:rPr>
        <w:t xml:space="preserve"> </w:t>
      </w:r>
      <w:r w:rsidR="00632C2B" w:rsidRPr="00FB38E1">
        <w:rPr>
          <w:rFonts w:ascii="Microsoft Sans Serif" w:hAnsi="Microsoft Sans Serif" w:cs="Microsoft Sans Serif"/>
          <w:b w:val="0"/>
          <w:bCs w:val="0"/>
          <w:color w:val="404040" w:themeColor="text1" w:themeTint="BF"/>
          <w:sz w:val="20"/>
          <w:szCs w:val="20"/>
          <w:lang w:eastAsia="tr-TR"/>
        </w:rPr>
        <w:t>1.599.115</w:t>
      </w:r>
      <w:r w:rsidRPr="00FB38E1">
        <w:rPr>
          <w:rFonts w:ascii="Microsoft Sans Serif" w:hAnsi="Microsoft Sans Serif" w:cs="Microsoft Sans Serif"/>
          <w:b w:val="0"/>
          <w:bCs w:val="0"/>
          <w:color w:val="404040" w:themeColor="text1" w:themeTint="BF"/>
          <w:sz w:val="20"/>
          <w:szCs w:val="20"/>
          <w:lang w:eastAsia="tr-TR"/>
        </w:rPr>
        <w:t xml:space="preserve"> TL’si dava karşılıkları</w:t>
      </w:r>
      <w:r w:rsidR="003A6664" w:rsidRPr="00FB38E1">
        <w:rPr>
          <w:rFonts w:ascii="Microsoft Sans Serif" w:hAnsi="Microsoft Sans Serif" w:cs="Microsoft Sans Serif"/>
          <w:b w:val="0"/>
          <w:bCs w:val="0"/>
          <w:color w:val="404040" w:themeColor="text1" w:themeTint="BF"/>
          <w:sz w:val="20"/>
          <w:szCs w:val="20"/>
          <w:lang w:eastAsia="tr-TR"/>
        </w:rPr>
        <w:t>nı</w:t>
      </w:r>
      <w:r w:rsidRPr="00FB38E1">
        <w:rPr>
          <w:rFonts w:ascii="Microsoft Sans Serif" w:hAnsi="Microsoft Sans Serif" w:cs="Microsoft Sans Serif"/>
          <w:b w:val="0"/>
          <w:bCs w:val="0"/>
          <w:color w:val="404040" w:themeColor="text1" w:themeTint="BF"/>
          <w:sz w:val="20"/>
          <w:szCs w:val="20"/>
          <w:lang w:eastAsia="tr-TR"/>
        </w:rPr>
        <w:t xml:space="preserve">, </w:t>
      </w:r>
      <w:r w:rsidR="00930ABB" w:rsidRPr="00FB38E1">
        <w:rPr>
          <w:rFonts w:ascii="Microsoft Sans Serif" w:hAnsi="Microsoft Sans Serif" w:cs="Microsoft Sans Serif"/>
          <w:b w:val="0"/>
          <w:bCs w:val="0"/>
          <w:color w:val="404040" w:themeColor="text1" w:themeTint="BF"/>
          <w:sz w:val="20"/>
          <w:szCs w:val="20"/>
          <w:lang w:eastAsia="tr-TR"/>
        </w:rPr>
        <w:t>8</w:t>
      </w:r>
      <w:r w:rsidR="00043985" w:rsidRPr="00FB38E1">
        <w:rPr>
          <w:rFonts w:ascii="Microsoft Sans Serif" w:hAnsi="Microsoft Sans Serif" w:cs="Microsoft Sans Serif"/>
          <w:b w:val="0"/>
          <w:bCs w:val="0"/>
          <w:color w:val="404040" w:themeColor="text1" w:themeTint="BF"/>
          <w:sz w:val="20"/>
          <w:szCs w:val="20"/>
          <w:lang w:eastAsia="tr-TR"/>
        </w:rPr>
        <w:t>.</w:t>
      </w:r>
      <w:r w:rsidR="00E4101E" w:rsidRPr="00FB38E1">
        <w:rPr>
          <w:rFonts w:ascii="Microsoft Sans Serif" w:hAnsi="Microsoft Sans Serif" w:cs="Microsoft Sans Serif"/>
          <w:b w:val="0"/>
          <w:bCs w:val="0"/>
          <w:color w:val="404040" w:themeColor="text1" w:themeTint="BF"/>
          <w:sz w:val="20"/>
          <w:szCs w:val="20"/>
          <w:lang w:eastAsia="tr-TR"/>
        </w:rPr>
        <w:t>7</w:t>
      </w:r>
      <w:r w:rsidR="00043985" w:rsidRPr="00FB38E1">
        <w:rPr>
          <w:rFonts w:ascii="Microsoft Sans Serif" w:hAnsi="Microsoft Sans Serif" w:cs="Microsoft Sans Serif"/>
          <w:b w:val="0"/>
          <w:bCs w:val="0"/>
          <w:color w:val="404040" w:themeColor="text1" w:themeTint="BF"/>
          <w:sz w:val="20"/>
          <w:szCs w:val="20"/>
          <w:lang w:eastAsia="tr-TR"/>
        </w:rPr>
        <w:t>00.000</w:t>
      </w:r>
      <w:r w:rsidR="0025786F" w:rsidRPr="00FB38E1">
        <w:rPr>
          <w:rFonts w:ascii="Microsoft Sans Serif" w:hAnsi="Microsoft Sans Serif" w:cs="Microsoft Sans Serif"/>
          <w:b w:val="0"/>
          <w:bCs w:val="0"/>
          <w:color w:val="404040" w:themeColor="text1" w:themeTint="BF"/>
          <w:sz w:val="20"/>
          <w:szCs w:val="20"/>
          <w:lang w:eastAsia="tr-TR"/>
        </w:rPr>
        <w:t xml:space="preserve"> TL’si serbest karşılıkları, </w:t>
      </w:r>
      <w:r w:rsidR="00632C2B" w:rsidRPr="00FB38E1">
        <w:rPr>
          <w:rFonts w:ascii="Microsoft Sans Serif" w:hAnsi="Microsoft Sans Serif" w:cs="Microsoft Sans Serif"/>
          <w:b w:val="0"/>
          <w:bCs w:val="0"/>
          <w:color w:val="404040" w:themeColor="text1" w:themeTint="BF"/>
          <w:sz w:val="20"/>
          <w:szCs w:val="20"/>
          <w:lang w:eastAsia="tr-TR"/>
        </w:rPr>
        <w:t>3.738.016</w:t>
      </w:r>
      <w:r w:rsidRPr="00FB38E1">
        <w:rPr>
          <w:rFonts w:ascii="Microsoft Sans Serif" w:hAnsi="Microsoft Sans Serif" w:cs="Microsoft Sans Serif"/>
          <w:b w:val="0"/>
          <w:bCs w:val="0"/>
          <w:color w:val="404040" w:themeColor="text1" w:themeTint="BF"/>
          <w:sz w:val="20"/>
          <w:szCs w:val="20"/>
          <w:lang w:eastAsia="tr-TR"/>
        </w:rPr>
        <w:t xml:space="preserve"> TL’si diğer karşılıkları içermektedir. </w:t>
      </w:r>
    </w:p>
    <w:p w14:paraId="4F772A94" w14:textId="77777777" w:rsidR="00D9744D" w:rsidRPr="00FB38E1" w:rsidRDefault="00D9744D" w:rsidP="00D9744D">
      <w:pPr>
        <w:pStyle w:val="BASLIK2"/>
        <w:spacing w:before="120" w:after="0" w:line="220" w:lineRule="exact"/>
        <w:ind w:firstLine="0"/>
        <w:rPr>
          <w:rFonts w:ascii="Microsoft Sans Serif" w:hAnsi="Microsoft Sans Serif" w:cs="Microsoft Sans Serif"/>
          <w:bCs w:val="0"/>
          <w:color w:val="000000" w:themeColor="text1"/>
          <w:sz w:val="20"/>
          <w:szCs w:val="20"/>
          <w:lang w:eastAsia="tr-TR"/>
        </w:rPr>
      </w:pPr>
      <w:r w:rsidRPr="00FB38E1">
        <w:rPr>
          <w:rFonts w:ascii="Microsoft Sans Serif" w:hAnsi="Microsoft Sans Serif" w:cs="Microsoft Sans Serif"/>
          <w:bCs w:val="0"/>
          <w:color w:val="000000" w:themeColor="text1"/>
          <w:sz w:val="20"/>
          <w:szCs w:val="20"/>
          <w:lang w:eastAsia="tr-TR"/>
        </w:rPr>
        <w:t xml:space="preserve">Önceki Dönem: </w:t>
      </w:r>
    </w:p>
    <w:p w14:paraId="18B90794" w14:textId="77777777" w:rsidR="00902C88" w:rsidRPr="00FB38E1" w:rsidRDefault="00D9744D" w:rsidP="00D9744D">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Diğer karşılıkların 1.426.515 TL’si gayrinakdi krediler birinci ve ikinci aşama beklenen zarar karşılıklarını, 2.937.086 TL’si tazmin edilmemiş ve nakde dönüşmemiş gayrinakdi krediler üçüncü aşama beklenen zarar karşılıklarını, 559.696 TL’si Banka aleyhine açılan dava karşılıklarını, 6.700.000 TL’si serbest karşılıkları, 2.616.709 TL’si diğer karşılıkları içermektedir</w:t>
      </w:r>
      <w:r w:rsidR="00902C88" w:rsidRPr="00FB38E1">
        <w:rPr>
          <w:rFonts w:ascii="Microsoft Sans Serif" w:hAnsi="Microsoft Sans Serif" w:cs="Microsoft Sans Serif"/>
          <w:b w:val="0"/>
          <w:bCs w:val="0"/>
          <w:color w:val="404040" w:themeColor="text1" w:themeTint="BF"/>
          <w:sz w:val="20"/>
          <w:szCs w:val="20"/>
          <w:lang w:eastAsia="tr-TR"/>
        </w:rPr>
        <w:t>.</w:t>
      </w:r>
    </w:p>
    <w:p w14:paraId="71D8328E" w14:textId="5695912A" w:rsidR="004E1B47" w:rsidRPr="00FB38E1" w:rsidRDefault="00783F3E" w:rsidP="00783F3E">
      <w:pPr>
        <w:pStyle w:val="BASLIK2"/>
        <w:widowControl/>
        <w:numPr>
          <w:ilvl w:val="1"/>
          <w:numId w:val="33"/>
        </w:numPr>
        <w:spacing w:line="240" w:lineRule="auto"/>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noProof/>
          <w:snapToGrid w:val="0"/>
          <w:sz w:val="20"/>
          <w:szCs w:val="20"/>
        </w:rPr>
        <w:t>Vergi borcuna ilişkin açıklamalar</w:t>
      </w:r>
    </w:p>
    <w:p w14:paraId="0E1857F1" w14:textId="77777777" w:rsidR="004E1B47" w:rsidRPr="00FB38E1" w:rsidRDefault="004E1B47" w:rsidP="00783F3E">
      <w:pPr>
        <w:pStyle w:val="BASLIK2"/>
        <w:widowControl/>
        <w:numPr>
          <w:ilvl w:val="2"/>
          <w:numId w:val="33"/>
        </w:numPr>
        <w:spacing w:line="240" w:lineRule="auto"/>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Cari vergi borcuna ilişkin bilgiler</w:t>
      </w:r>
    </w:p>
    <w:p w14:paraId="56F270D2" w14:textId="77777777" w:rsidR="004E1B47" w:rsidRPr="00FB38E1" w:rsidRDefault="004E1B47" w:rsidP="004E1B47">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b w:val="0"/>
          <w:bCs w:val="0"/>
          <w:sz w:val="20"/>
          <w:szCs w:val="20"/>
        </w:rPr>
        <w:t>Vergi karşılığına ilişkin bilgiler</w:t>
      </w:r>
    </w:p>
    <w:p w14:paraId="2DDF11F0" w14:textId="2B9F4F34" w:rsidR="004E1B47" w:rsidRPr="00FB38E1" w:rsidRDefault="00AD2A6F" w:rsidP="004E1B47">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 xml:space="preserve">31 Aralık 2024 </w:t>
      </w:r>
      <w:r w:rsidR="004E1B47" w:rsidRPr="00FB38E1">
        <w:rPr>
          <w:rFonts w:ascii="Microsoft Sans Serif" w:hAnsi="Microsoft Sans Serif" w:cs="Microsoft Sans Serif"/>
          <w:b w:val="0"/>
          <w:color w:val="404040" w:themeColor="text1" w:themeTint="BF"/>
          <w:sz w:val="20"/>
          <w:szCs w:val="20"/>
        </w:rPr>
        <w:t xml:space="preserve">tarihi itibarıyla kurumlar vergisi karşılığı </w:t>
      </w:r>
      <w:r w:rsidR="00632C2B" w:rsidRPr="00FB38E1">
        <w:rPr>
          <w:rFonts w:ascii="Microsoft Sans Serif" w:hAnsi="Microsoft Sans Serif" w:cs="Microsoft Sans Serif"/>
          <w:b w:val="0"/>
          <w:color w:val="404040" w:themeColor="text1" w:themeTint="BF"/>
          <w:sz w:val="20"/>
          <w:szCs w:val="20"/>
        </w:rPr>
        <w:t>773.854</w:t>
      </w:r>
      <w:r w:rsidR="00165EA7" w:rsidRPr="00FB38E1">
        <w:rPr>
          <w:rFonts w:ascii="Microsoft Sans Serif" w:hAnsi="Microsoft Sans Serif" w:cs="Microsoft Sans Serif"/>
          <w:b w:val="0"/>
          <w:color w:val="404040" w:themeColor="text1" w:themeTint="BF"/>
          <w:sz w:val="20"/>
          <w:szCs w:val="20"/>
        </w:rPr>
        <w:t xml:space="preserve"> TL</w:t>
      </w:r>
      <w:r w:rsidR="004E1B47" w:rsidRPr="00FB38E1">
        <w:rPr>
          <w:rFonts w:ascii="Microsoft Sans Serif" w:hAnsi="Microsoft Sans Serif" w:cs="Microsoft Sans Serif"/>
          <w:b w:val="0"/>
          <w:color w:val="404040" w:themeColor="text1" w:themeTint="BF"/>
          <w:sz w:val="20"/>
          <w:szCs w:val="20"/>
        </w:rPr>
        <w:t xml:space="preserve"> (</w:t>
      </w:r>
      <w:r w:rsidR="00ED442B" w:rsidRPr="00FB38E1">
        <w:rPr>
          <w:rFonts w:ascii="Microsoft Sans Serif" w:hAnsi="Microsoft Sans Serif" w:cs="Microsoft Sans Serif"/>
          <w:b w:val="0"/>
          <w:color w:val="404040" w:themeColor="text1" w:themeTint="BF"/>
          <w:sz w:val="20"/>
          <w:szCs w:val="20"/>
        </w:rPr>
        <w:t>31 Aralık 2023</w:t>
      </w:r>
      <w:r w:rsidR="00D9744D" w:rsidRPr="00FB38E1">
        <w:rPr>
          <w:rFonts w:ascii="Microsoft Sans Serif" w:hAnsi="Microsoft Sans Serif" w:cs="Microsoft Sans Serif"/>
          <w:b w:val="0"/>
          <w:color w:val="404040" w:themeColor="text1" w:themeTint="BF"/>
          <w:sz w:val="20"/>
          <w:szCs w:val="20"/>
        </w:rPr>
        <w:t xml:space="preserve"> : Bulunmamaktadır</w:t>
      </w:r>
      <w:r w:rsidR="004E1B47" w:rsidRPr="00FB38E1">
        <w:rPr>
          <w:rFonts w:ascii="Microsoft Sans Serif" w:hAnsi="Microsoft Sans Serif" w:cs="Microsoft Sans Serif"/>
          <w:b w:val="0"/>
          <w:color w:val="404040" w:themeColor="text1" w:themeTint="BF"/>
          <w:sz w:val="20"/>
          <w:szCs w:val="20"/>
        </w:rPr>
        <w:t>)</w:t>
      </w:r>
      <w:r w:rsidR="00165EA7" w:rsidRPr="00FB38E1">
        <w:rPr>
          <w:rFonts w:ascii="Microsoft Sans Serif" w:hAnsi="Microsoft Sans Serif" w:cs="Microsoft Sans Serif"/>
          <w:b w:val="0"/>
          <w:color w:val="404040" w:themeColor="text1" w:themeTint="BF"/>
          <w:sz w:val="20"/>
          <w:szCs w:val="20"/>
        </w:rPr>
        <w:t xml:space="preserve"> peşin ödenen vergi ile netlenmiştir</w:t>
      </w:r>
      <w:r w:rsidR="00D9744D" w:rsidRPr="00FB38E1">
        <w:rPr>
          <w:rFonts w:ascii="Microsoft Sans Serif" w:hAnsi="Microsoft Sans Serif" w:cs="Microsoft Sans Serif"/>
          <w:b w:val="0"/>
          <w:color w:val="404040" w:themeColor="text1" w:themeTint="BF"/>
          <w:sz w:val="20"/>
          <w:szCs w:val="20"/>
        </w:rPr>
        <w:t>.</w:t>
      </w:r>
    </w:p>
    <w:p w14:paraId="61C0025F" w14:textId="547CA92C" w:rsidR="004E1B47" w:rsidRPr="00FB38E1" w:rsidRDefault="00783F3E"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b w:val="0"/>
          <w:color w:val="404040" w:themeColor="text1" w:themeTint="BF"/>
          <w:sz w:val="20"/>
          <w:szCs w:val="20"/>
        </w:rPr>
        <w:t xml:space="preserve">Banka’nın </w:t>
      </w:r>
      <w:r w:rsidR="00AD2A6F" w:rsidRPr="00FB38E1">
        <w:rPr>
          <w:rFonts w:ascii="Microsoft Sans Serif" w:hAnsi="Microsoft Sans Serif" w:cs="Microsoft Sans Serif"/>
          <w:b w:val="0"/>
          <w:color w:val="404040" w:themeColor="text1" w:themeTint="BF"/>
          <w:sz w:val="20"/>
          <w:szCs w:val="20"/>
        </w:rPr>
        <w:t xml:space="preserve">31 Aralık 2024 </w:t>
      </w:r>
      <w:r w:rsidR="004E1B47" w:rsidRPr="00FB38E1">
        <w:rPr>
          <w:rFonts w:ascii="Microsoft Sans Serif" w:hAnsi="Microsoft Sans Serif" w:cs="Microsoft Sans Serif"/>
          <w:b w:val="0"/>
          <w:bCs w:val="0"/>
          <w:color w:val="404040" w:themeColor="text1" w:themeTint="BF"/>
          <w:sz w:val="20"/>
          <w:szCs w:val="20"/>
          <w:lang w:eastAsia="tr-TR"/>
        </w:rPr>
        <w:t>tarihi itibarıyla toplam vergi</w:t>
      </w:r>
      <w:r w:rsidR="004E1B47" w:rsidRPr="00FB38E1">
        <w:rPr>
          <w:rFonts w:ascii="Microsoft Sans Serif" w:hAnsi="Microsoft Sans Serif" w:cs="Microsoft Sans Serif"/>
          <w:b w:val="0"/>
          <w:color w:val="404040" w:themeColor="text1" w:themeTint="BF"/>
          <w:sz w:val="20"/>
          <w:szCs w:val="20"/>
        </w:rPr>
        <w:t xml:space="preserve"> ve primlere ilişkin borcu </w:t>
      </w:r>
      <w:r w:rsidR="00632C2B" w:rsidRPr="00FB38E1">
        <w:rPr>
          <w:rFonts w:ascii="Microsoft Sans Serif" w:hAnsi="Microsoft Sans Serif" w:cs="Microsoft Sans Serif"/>
          <w:b w:val="0"/>
          <w:color w:val="404040" w:themeColor="text1" w:themeTint="BF"/>
          <w:sz w:val="20"/>
          <w:szCs w:val="20"/>
        </w:rPr>
        <w:t>5.359.450</w:t>
      </w:r>
      <w:r w:rsidR="004E1B47" w:rsidRPr="00FB38E1">
        <w:rPr>
          <w:rFonts w:ascii="Microsoft Sans Serif" w:hAnsi="Microsoft Sans Serif" w:cs="Microsoft Sans Serif"/>
          <w:b w:val="0"/>
          <w:color w:val="404040" w:themeColor="text1" w:themeTint="BF"/>
          <w:sz w:val="20"/>
          <w:szCs w:val="20"/>
        </w:rPr>
        <w:t xml:space="preserve"> TL (</w:t>
      </w:r>
      <w:r w:rsidR="00ED442B" w:rsidRPr="00FB38E1">
        <w:rPr>
          <w:rFonts w:ascii="Microsoft Sans Serif" w:hAnsi="Microsoft Sans Serif" w:cs="Microsoft Sans Serif"/>
          <w:b w:val="0"/>
          <w:color w:val="404040" w:themeColor="text1" w:themeTint="BF"/>
          <w:sz w:val="20"/>
          <w:szCs w:val="20"/>
        </w:rPr>
        <w:t>31 Aralık 2023</w:t>
      </w:r>
      <w:r w:rsidR="00D9744D" w:rsidRPr="00FB38E1">
        <w:rPr>
          <w:rFonts w:ascii="Microsoft Sans Serif" w:hAnsi="Microsoft Sans Serif" w:cs="Microsoft Sans Serif"/>
          <w:b w:val="0"/>
          <w:color w:val="404040" w:themeColor="text1" w:themeTint="BF"/>
          <w:sz w:val="20"/>
          <w:szCs w:val="20"/>
        </w:rPr>
        <w:t xml:space="preserve">: 1.816.729 </w:t>
      </w:r>
      <w:r w:rsidR="004E1B47" w:rsidRPr="00FB38E1">
        <w:rPr>
          <w:rFonts w:ascii="Microsoft Sans Serif" w:hAnsi="Microsoft Sans Serif" w:cs="Microsoft Sans Serif"/>
          <w:b w:val="0"/>
          <w:color w:val="404040" w:themeColor="text1" w:themeTint="BF"/>
          <w:sz w:val="20"/>
          <w:szCs w:val="20"/>
        </w:rPr>
        <w:t>TL)’dir.</w:t>
      </w:r>
    </w:p>
    <w:p w14:paraId="1E27DCB7" w14:textId="77777777" w:rsidR="004E1B47" w:rsidRPr="00FB38E1" w:rsidRDefault="004E1B47" w:rsidP="004E1B47">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b w:val="0"/>
          <w:bCs w:val="0"/>
          <w:sz w:val="20"/>
          <w:szCs w:val="20"/>
          <w:lang w:val="pt-BR"/>
        </w:rPr>
        <w:t>Ödenecek vergilere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4E1B47" w:rsidRPr="00FB38E1" w14:paraId="319A2DCD" w14:textId="77777777" w:rsidTr="00D9744D">
        <w:trPr>
          <w:trHeight w:val="22"/>
        </w:trPr>
        <w:tc>
          <w:tcPr>
            <w:tcW w:w="2702" w:type="pct"/>
            <w:tcBorders>
              <w:top w:val="thinThickSmallGap" w:sz="24" w:space="0" w:color="auto"/>
              <w:bottom w:val="single" w:sz="4" w:space="0" w:color="auto"/>
            </w:tcBorders>
            <w:vAlign w:val="bottom"/>
          </w:tcPr>
          <w:p w14:paraId="7A4B2906" w14:textId="77777777" w:rsidR="004E1B47" w:rsidRPr="00FB38E1" w:rsidRDefault="004E1B47" w:rsidP="004E1B47">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3071D580" w14:textId="77777777" w:rsidR="004E1B47" w:rsidRPr="00FB38E1" w:rsidRDefault="004E1B47"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1A184EF8" w14:textId="77777777" w:rsidR="004E1B47" w:rsidRPr="00FB38E1" w:rsidRDefault="004E1B47"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D108A8" w:rsidRPr="00FB38E1" w14:paraId="16D7767C" w14:textId="77777777" w:rsidTr="004E1B47">
        <w:tc>
          <w:tcPr>
            <w:tcW w:w="2702" w:type="pct"/>
            <w:tcBorders>
              <w:top w:val="single" w:sz="4" w:space="0" w:color="auto"/>
            </w:tcBorders>
            <w:vAlign w:val="bottom"/>
          </w:tcPr>
          <w:p w14:paraId="02DBE3AC"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Ödenecek Kurumlar Vergisi</w:t>
            </w:r>
          </w:p>
        </w:tc>
        <w:tc>
          <w:tcPr>
            <w:tcW w:w="1416" w:type="pct"/>
            <w:tcBorders>
              <w:top w:val="single" w:sz="4" w:space="0" w:color="auto"/>
            </w:tcBorders>
            <w:vAlign w:val="center"/>
          </w:tcPr>
          <w:p w14:paraId="48B9FAED" w14:textId="0C811CAF"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773.854</w:t>
            </w:r>
          </w:p>
        </w:tc>
        <w:tc>
          <w:tcPr>
            <w:tcW w:w="882" w:type="pct"/>
            <w:tcBorders>
              <w:top w:val="single" w:sz="4" w:space="0" w:color="auto"/>
            </w:tcBorders>
            <w:vAlign w:val="center"/>
          </w:tcPr>
          <w:p w14:paraId="21DC2DD8" w14:textId="70A464C4"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763B8B17" w14:textId="77777777" w:rsidTr="004E1B47">
        <w:tc>
          <w:tcPr>
            <w:tcW w:w="2702" w:type="pct"/>
            <w:vAlign w:val="bottom"/>
          </w:tcPr>
          <w:p w14:paraId="62E943AB"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Menkul Sermaye İradı Vergisi</w:t>
            </w:r>
          </w:p>
        </w:tc>
        <w:tc>
          <w:tcPr>
            <w:tcW w:w="1416" w:type="pct"/>
            <w:vAlign w:val="center"/>
          </w:tcPr>
          <w:p w14:paraId="29D5E20C" w14:textId="2882BC6A"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1.898.956</w:t>
            </w:r>
          </w:p>
        </w:tc>
        <w:tc>
          <w:tcPr>
            <w:tcW w:w="882" w:type="pct"/>
            <w:vAlign w:val="center"/>
          </w:tcPr>
          <w:p w14:paraId="0D4DA18E" w14:textId="2A6B1D9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345.128</w:t>
            </w:r>
          </w:p>
        </w:tc>
      </w:tr>
      <w:tr w:rsidR="00D108A8" w:rsidRPr="00FB38E1" w14:paraId="31C5737D" w14:textId="77777777" w:rsidTr="004E1B47">
        <w:tc>
          <w:tcPr>
            <w:tcW w:w="2702" w:type="pct"/>
            <w:vAlign w:val="bottom"/>
          </w:tcPr>
          <w:p w14:paraId="6553EEA2"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Gayrimenkul Sermaye İradı Vergisi</w:t>
            </w:r>
          </w:p>
        </w:tc>
        <w:tc>
          <w:tcPr>
            <w:tcW w:w="1416" w:type="pct"/>
            <w:vAlign w:val="center"/>
          </w:tcPr>
          <w:p w14:paraId="5FF6B1AA" w14:textId="4C7197B5"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13.018</w:t>
            </w:r>
          </w:p>
        </w:tc>
        <w:tc>
          <w:tcPr>
            <w:tcW w:w="882" w:type="pct"/>
            <w:vAlign w:val="center"/>
          </w:tcPr>
          <w:p w14:paraId="160AA76B" w14:textId="537B3C96"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7.440</w:t>
            </w:r>
          </w:p>
        </w:tc>
      </w:tr>
      <w:tr w:rsidR="00D108A8" w:rsidRPr="00FB38E1" w14:paraId="507DA701" w14:textId="77777777" w:rsidTr="004E1B47">
        <w:tc>
          <w:tcPr>
            <w:tcW w:w="2702" w:type="pct"/>
            <w:vAlign w:val="bottom"/>
          </w:tcPr>
          <w:p w14:paraId="7EEC3E0D"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BSMV</w:t>
            </w:r>
          </w:p>
        </w:tc>
        <w:tc>
          <w:tcPr>
            <w:tcW w:w="1416" w:type="pct"/>
            <w:vAlign w:val="center"/>
          </w:tcPr>
          <w:p w14:paraId="4815690A" w14:textId="35A7CF1F"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1.994.374</w:t>
            </w:r>
          </w:p>
        </w:tc>
        <w:tc>
          <w:tcPr>
            <w:tcW w:w="882" w:type="pct"/>
            <w:vAlign w:val="center"/>
          </w:tcPr>
          <w:p w14:paraId="786B8942" w14:textId="002A71E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1.098.431</w:t>
            </w:r>
          </w:p>
        </w:tc>
      </w:tr>
      <w:tr w:rsidR="00D108A8" w:rsidRPr="00FB38E1" w14:paraId="3922E9C6" w14:textId="77777777" w:rsidTr="004E1B47">
        <w:tc>
          <w:tcPr>
            <w:tcW w:w="2702" w:type="pct"/>
            <w:vAlign w:val="bottom"/>
          </w:tcPr>
          <w:p w14:paraId="7F7CBF48"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Kambiyo Muameleleri Vergisi</w:t>
            </w:r>
          </w:p>
        </w:tc>
        <w:tc>
          <w:tcPr>
            <w:tcW w:w="1416" w:type="pct"/>
            <w:vAlign w:val="center"/>
          </w:tcPr>
          <w:p w14:paraId="6FC318E7" w14:textId="7FF6F44F"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33.636</w:t>
            </w:r>
          </w:p>
        </w:tc>
        <w:tc>
          <w:tcPr>
            <w:tcW w:w="882" w:type="pct"/>
            <w:vAlign w:val="center"/>
          </w:tcPr>
          <w:p w14:paraId="2A9F378D" w14:textId="5CCF1FFD"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21.902</w:t>
            </w:r>
          </w:p>
        </w:tc>
      </w:tr>
      <w:tr w:rsidR="00D108A8" w:rsidRPr="00FB38E1" w14:paraId="61D5A93E" w14:textId="77777777" w:rsidTr="004E1B47">
        <w:tc>
          <w:tcPr>
            <w:tcW w:w="2702" w:type="pct"/>
            <w:vAlign w:val="bottom"/>
          </w:tcPr>
          <w:p w14:paraId="0B6F2AB3"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Ödenecek Katma Değer Vergisi</w:t>
            </w:r>
          </w:p>
        </w:tc>
        <w:tc>
          <w:tcPr>
            <w:tcW w:w="1416" w:type="pct"/>
            <w:vAlign w:val="center"/>
          </w:tcPr>
          <w:p w14:paraId="42C5B95E" w14:textId="7C0B214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76.692</w:t>
            </w:r>
          </w:p>
        </w:tc>
        <w:tc>
          <w:tcPr>
            <w:tcW w:w="882" w:type="pct"/>
            <w:vAlign w:val="center"/>
          </w:tcPr>
          <w:p w14:paraId="366528A9" w14:textId="71536B4C"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60.136</w:t>
            </w:r>
          </w:p>
        </w:tc>
      </w:tr>
      <w:tr w:rsidR="00D108A8" w:rsidRPr="00FB38E1" w14:paraId="3CB1CDA5" w14:textId="77777777" w:rsidTr="004E1B47">
        <w:tc>
          <w:tcPr>
            <w:tcW w:w="2702" w:type="pct"/>
            <w:vAlign w:val="bottom"/>
          </w:tcPr>
          <w:p w14:paraId="5CCAA529"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1416" w:type="pct"/>
            <w:vAlign w:val="center"/>
          </w:tcPr>
          <w:p w14:paraId="652EF67A" w14:textId="1068354A"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291.982</w:t>
            </w:r>
          </w:p>
        </w:tc>
        <w:tc>
          <w:tcPr>
            <w:tcW w:w="882" w:type="pct"/>
            <w:vAlign w:val="center"/>
          </w:tcPr>
          <w:p w14:paraId="55B28554" w14:textId="7321A66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139.051</w:t>
            </w:r>
          </w:p>
        </w:tc>
      </w:tr>
      <w:tr w:rsidR="00D108A8" w:rsidRPr="00FB38E1" w14:paraId="5228BF81" w14:textId="77777777" w:rsidTr="004E1B47">
        <w:tc>
          <w:tcPr>
            <w:tcW w:w="2702" w:type="pct"/>
            <w:tcBorders>
              <w:top w:val="single" w:sz="4" w:space="0" w:color="auto"/>
            </w:tcBorders>
            <w:vAlign w:val="bottom"/>
          </w:tcPr>
          <w:p w14:paraId="0C2AFC86" w14:textId="77777777" w:rsidR="00D108A8" w:rsidRPr="00FB38E1" w:rsidRDefault="00D108A8" w:rsidP="00D108A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1416" w:type="pct"/>
            <w:tcBorders>
              <w:top w:val="single" w:sz="4" w:space="0" w:color="auto"/>
            </w:tcBorders>
            <w:vAlign w:val="center"/>
          </w:tcPr>
          <w:p w14:paraId="68266264" w14:textId="1048ACC0"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5.082.512</w:t>
            </w:r>
          </w:p>
        </w:tc>
        <w:tc>
          <w:tcPr>
            <w:tcW w:w="882" w:type="pct"/>
            <w:tcBorders>
              <w:top w:val="single" w:sz="4" w:space="0" w:color="auto"/>
            </w:tcBorders>
            <w:vAlign w:val="center"/>
          </w:tcPr>
          <w:p w14:paraId="23997BA2" w14:textId="22FD69E6"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1.672.088</w:t>
            </w:r>
          </w:p>
        </w:tc>
      </w:tr>
    </w:tbl>
    <w:p w14:paraId="147480EE" w14:textId="7F46D326" w:rsidR="00034B0C" w:rsidRPr="00FB38E1" w:rsidRDefault="00034B0C" w:rsidP="004E1B47">
      <w:pPr>
        <w:pStyle w:val="BASLIK2"/>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noProof/>
          <w:snapToGrid w:val="0"/>
          <w:sz w:val="20"/>
          <w:szCs w:val="20"/>
          <w:lang w:val="de-DE"/>
        </w:rPr>
        <w:br w:type="page"/>
      </w:r>
    </w:p>
    <w:p w14:paraId="3DDB4BFA" w14:textId="11D36B66" w:rsidR="00B466A4" w:rsidRPr="00FB38E1" w:rsidRDefault="00B466A4" w:rsidP="00076C9E">
      <w:pPr>
        <w:pStyle w:val="BASLIK2"/>
        <w:widowControl/>
        <w:numPr>
          <w:ilvl w:val="0"/>
          <w:numId w:val="29"/>
        </w:numPr>
        <w:spacing w:line="240" w:lineRule="exact"/>
        <w:ind w:left="0" w:hanging="284"/>
        <w:rPr>
          <w:rFonts w:ascii="Microsoft Sans Serif" w:hAnsi="Microsoft Sans Serif" w:cs="Microsoft Sans Serif"/>
          <w:b w:val="0"/>
          <w:noProof/>
          <w:snapToGrid w:val="0"/>
          <w:sz w:val="20"/>
          <w:szCs w:val="20"/>
          <w:lang w:val="de-DE"/>
        </w:rPr>
      </w:pPr>
      <w:bookmarkStart w:id="70" w:name="OLE_LINK17"/>
      <w:r w:rsidRPr="00FB38E1">
        <w:rPr>
          <w:rFonts w:ascii="Microsoft Sans Serif" w:hAnsi="Microsoft Sans Serif" w:cs="Microsoft Sans Serif"/>
          <w:b w:val="0"/>
          <w:bCs w:val="0"/>
          <w:sz w:val="20"/>
          <w:szCs w:val="20"/>
          <w:lang w:val="pt-BR"/>
        </w:rPr>
        <w:t>Primlere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8027C1" w:rsidRPr="00FB38E1" w14:paraId="5D0E042B" w14:textId="60565A86" w:rsidTr="008027C1">
        <w:tc>
          <w:tcPr>
            <w:tcW w:w="2702" w:type="pct"/>
            <w:tcBorders>
              <w:top w:val="thinThickSmallGap" w:sz="24" w:space="0" w:color="auto"/>
              <w:bottom w:val="single" w:sz="4" w:space="0" w:color="auto"/>
            </w:tcBorders>
            <w:vAlign w:val="bottom"/>
          </w:tcPr>
          <w:bookmarkEnd w:id="70"/>
          <w:p w14:paraId="20FE9C53" w14:textId="77777777" w:rsidR="008027C1" w:rsidRPr="00FB38E1" w:rsidRDefault="008027C1" w:rsidP="0066720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62BFE235" w14:textId="77777777" w:rsidR="008027C1" w:rsidRPr="00FB38E1" w:rsidRDefault="008027C1"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6BDBB7F8" w14:textId="57B145F4" w:rsidR="008027C1" w:rsidRPr="00FB38E1" w:rsidRDefault="008027C1"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D108A8" w:rsidRPr="00FB38E1" w14:paraId="134C957B" w14:textId="672D9782" w:rsidTr="008027C1">
        <w:tc>
          <w:tcPr>
            <w:tcW w:w="2702" w:type="pct"/>
            <w:tcBorders>
              <w:top w:val="single" w:sz="4" w:space="0" w:color="auto"/>
            </w:tcBorders>
            <w:vAlign w:val="bottom"/>
          </w:tcPr>
          <w:p w14:paraId="7DC2C41A"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Sosyal Sigorta Primleri-Personel</w:t>
            </w:r>
          </w:p>
        </w:tc>
        <w:tc>
          <w:tcPr>
            <w:tcW w:w="1416" w:type="pct"/>
            <w:tcBorders>
              <w:top w:val="single" w:sz="4" w:space="0" w:color="auto"/>
            </w:tcBorders>
            <w:vAlign w:val="center"/>
          </w:tcPr>
          <w:p w14:paraId="33EA1B86" w14:textId="4C621614"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108.474</w:t>
            </w:r>
          </w:p>
        </w:tc>
        <w:tc>
          <w:tcPr>
            <w:tcW w:w="882" w:type="pct"/>
            <w:tcBorders>
              <w:top w:val="single" w:sz="4" w:space="0" w:color="auto"/>
            </w:tcBorders>
            <w:vAlign w:val="center"/>
          </w:tcPr>
          <w:p w14:paraId="5B1A3E27" w14:textId="096653CD"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60.108</w:t>
            </w:r>
          </w:p>
        </w:tc>
      </w:tr>
      <w:tr w:rsidR="00D108A8" w:rsidRPr="00FB38E1" w14:paraId="12CB2D65" w14:textId="18CF3589" w:rsidTr="008027C1">
        <w:tc>
          <w:tcPr>
            <w:tcW w:w="2702" w:type="pct"/>
            <w:vAlign w:val="bottom"/>
          </w:tcPr>
          <w:p w14:paraId="7C0F40E8"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Sosyal Sigorta Primleri-İşveren</w:t>
            </w:r>
          </w:p>
        </w:tc>
        <w:tc>
          <w:tcPr>
            <w:tcW w:w="1416" w:type="pct"/>
            <w:vAlign w:val="center"/>
          </w:tcPr>
          <w:p w14:paraId="703A1172" w14:textId="19D95AFF"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147.925</w:t>
            </w:r>
          </w:p>
        </w:tc>
        <w:tc>
          <w:tcPr>
            <w:tcW w:w="882" w:type="pct"/>
            <w:vAlign w:val="center"/>
          </w:tcPr>
          <w:p w14:paraId="60459AAA" w14:textId="4851651A"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77.725</w:t>
            </w:r>
          </w:p>
        </w:tc>
      </w:tr>
      <w:tr w:rsidR="00D108A8" w:rsidRPr="00FB38E1" w14:paraId="20813ABA" w14:textId="694B5A0D" w:rsidTr="008027C1">
        <w:tc>
          <w:tcPr>
            <w:tcW w:w="2702" w:type="pct"/>
            <w:vAlign w:val="bottom"/>
          </w:tcPr>
          <w:p w14:paraId="1799450D"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 Sosyal Yardım Sandığı Primleri-Personel</w:t>
            </w:r>
          </w:p>
        </w:tc>
        <w:tc>
          <w:tcPr>
            <w:tcW w:w="1416" w:type="pct"/>
            <w:vAlign w:val="center"/>
          </w:tcPr>
          <w:p w14:paraId="6DFAB087" w14:textId="7A9A15E2"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w:t>
            </w:r>
          </w:p>
        </w:tc>
        <w:tc>
          <w:tcPr>
            <w:tcW w:w="882" w:type="pct"/>
            <w:vAlign w:val="center"/>
          </w:tcPr>
          <w:p w14:paraId="0ACA8CF4" w14:textId="254B85DA"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2C1165DA" w14:textId="178E1328" w:rsidTr="008027C1">
        <w:tc>
          <w:tcPr>
            <w:tcW w:w="2702" w:type="pct"/>
            <w:vAlign w:val="bottom"/>
          </w:tcPr>
          <w:p w14:paraId="18B6A56C"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 Sosyal Yardım Sandığı Primleri-İşveren</w:t>
            </w:r>
          </w:p>
        </w:tc>
        <w:tc>
          <w:tcPr>
            <w:tcW w:w="1416" w:type="pct"/>
            <w:vAlign w:val="center"/>
          </w:tcPr>
          <w:p w14:paraId="31F4EE63" w14:textId="1D557EB1"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w:t>
            </w:r>
          </w:p>
        </w:tc>
        <w:tc>
          <w:tcPr>
            <w:tcW w:w="882" w:type="pct"/>
            <w:vAlign w:val="center"/>
          </w:tcPr>
          <w:p w14:paraId="4081A6F2" w14:textId="7CE995F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2728CC02" w14:textId="48EE5B58" w:rsidTr="008027C1">
        <w:tc>
          <w:tcPr>
            <w:tcW w:w="2702" w:type="pct"/>
            <w:vAlign w:val="bottom"/>
          </w:tcPr>
          <w:p w14:paraId="327D1657"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Emekli Sandığı Aidatı ve Karşılıkları-Personel</w:t>
            </w:r>
          </w:p>
        </w:tc>
        <w:tc>
          <w:tcPr>
            <w:tcW w:w="1416" w:type="pct"/>
            <w:vAlign w:val="center"/>
          </w:tcPr>
          <w:p w14:paraId="03CEDFA6" w14:textId="758D09DD"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w:t>
            </w:r>
          </w:p>
        </w:tc>
        <w:tc>
          <w:tcPr>
            <w:tcW w:w="882" w:type="pct"/>
            <w:vAlign w:val="center"/>
          </w:tcPr>
          <w:p w14:paraId="7B33191B" w14:textId="79D86B49"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107BA8D3" w14:textId="72570E5A" w:rsidTr="008027C1">
        <w:tc>
          <w:tcPr>
            <w:tcW w:w="2702" w:type="pct"/>
            <w:vAlign w:val="bottom"/>
          </w:tcPr>
          <w:p w14:paraId="63272DF5"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Emekli Sandığı Aidatı ve Karşılıkları-İşveren</w:t>
            </w:r>
          </w:p>
        </w:tc>
        <w:tc>
          <w:tcPr>
            <w:tcW w:w="1416" w:type="pct"/>
            <w:vAlign w:val="center"/>
          </w:tcPr>
          <w:p w14:paraId="711B09E9" w14:textId="74AD100D"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w:t>
            </w:r>
          </w:p>
        </w:tc>
        <w:tc>
          <w:tcPr>
            <w:tcW w:w="882" w:type="pct"/>
            <w:vAlign w:val="center"/>
          </w:tcPr>
          <w:p w14:paraId="10CE821E" w14:textId="46042DC9"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06A12F0F" w14:textId="5D627045" w:rsidTr="008027C1">
        <w:tc>
          <w:tcPr>
            <w:tcW w:w="2702" w:type="pct"/>
            <w:vAlign w:val="bottom"/>
          </w:tcPr>
          <w:p w14:paraId="73086357"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İşsizlik Sigortası-Personel</w:t>
            </w:r>
          </w:p>
        </w:tc>
        <w:tc>
          <w:tcPr>
            <w:tcW w:w="1416" w:type="pct"/>
            <w:vAlign w:val="center"/>
          </w:tcPr>
          <w:p w14:paraId="23D805C1" w14:textId="773FF55B"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6.839</w:t>
            </w:r>
          </w:p>
        </w:tc>
        <w:tc>
          <w:tcPr>
            <w:tcW w:w="882" w:type="pct"/>
            <w:vAlign w:val="center"/>
          </w:tcPr>
          <w:p w14:paraId="2479E9D3" w14:textId="7D452924"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3.794</w:t>
            </w:r>
          </w:p>
        </w:tc>
      </w:tr>
      <w:tr w:rsidR="00D108A8" w:rsidRPr="00FB38E1" w14:paraId="0FE3D961" w14:textId="740C068F" w:rsidTr="008027C1">
        <w:tc>
          <w:tcPr>
            <w:tcW w:w="2702" w:type="pct"/>
            <w:vAlign w:val="bottom"/>
          </w:tcPr>
          <w:p w14:paraId="70970EEA"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İşsizlik Sigortası–İşveren</w:t>
            </w:r>
          </w:p>
        </w:tc>
        <w:tc>
          <w:tcPr>
            <w:tcW w:w="1416" w:type="pct"/>
            <w:vAlign w:val="center"/>
          </w:tcPr>
          <w:p w14:paraId="6E24173F" w14:textId="0A5983BF"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13.700</w:t>
            </w:r>
          </w:p>
        </w:tc>
        <w:tc>
          <w:tcPr>
            <w:tcW w:w="882" w:type="pct"/>
            <w:vAlign w:val="center"/>
          </w:tcPr>
          <w:p w14:paraId="0C64A406" w14:textId="2C484A10"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7.588</w:t>
            </w:r>
          </w:p>
        </w:tc>
      </w:tr>
      <w:tr w:rsidR="00D108A8" w:rsidRPr="00FB38E1" w14:paraId="66BA8901" w14:textId="0BF52844" w:rsidTr="008027C1">
        <w:tc>
          <w:tcPr>
            <w:tcW w:w="2702" w:type="pct"/>
            <w:vAlign w:val="bottom"/>
          </w:tcPr>
          <w:p w14:paraId="33172832"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1416" w:type="pct"/>
            <w:vAlign w:val="center"/>
          </w:tcPr>
          <w:p w14:paraId="1A6DC45B" w14:textId="0D2D0790"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w:t>
            </w:r>
          </w:p>
        </w:tc>
        <w:tc>
          <w:tcPr>
            <w:tcW w:w="882" w:type="pct"/>
            <w:vAlign w:val="center"/>
          </w:tcPr>
          <w:p w14:paraId="57166103" w14:textId="0837E5D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303A0787" w14:textId="1094A5A8" w:rsidTr="008027C1">
        <w:tc>
          <w:tcPr>
            <w:tcW w:w="2702" w:type="pct"/>
            <w:tcBorders>
              <w:top w:val="single" w:sz="4" w:space="0" w:color="auto"/>
            </w:tcBorders>
            <w:vAlign w:val="bottom"/>
          </w:tcPr>
          <w:p w14:paraId="1D26C8CD" w14:textId="77777777" w:rsidR="00D108A8" w:rsidRPr="00FB38E1" w:rsidRDefault="00D108A8" w:rsidP="00D108A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1416" w:type="pct"/>
            <w:tcBorders>
              <w:top w:val="single" w:sz="4" w:space="0" w:color="auto"/>
            </w:tcBorders>
            <w:vAlign w:val="center"/>
          </w:tcPr>
          <w:p w14:paraId="73F234FD" w14:textId="113B73DA"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276.938</w:t>
            </w:r>
          </w:p>
        </w:tc>
        <w:tc>
          <w:tcPr>
            <w:tcW w:w="882" w:type="pct"/>
            <w:tcBorders>
              <w:top w:val="single" w:sz="4" w:space="0" w:color="auto"/>
            </w:tcBorders>
            <w:vAlign w:val="center"/>
          </w:tcPr>
          <w:p w14:paraId="31A3D149" w14:textId="39DCBFB2"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149.215</w:t>
            </w:r>
          </w:p>
        </w:tc>
      </w:tr>
    </w:tbl>
    <w:p w14:paraId="3D3F80A3" w14:textId="6A26F9E5" w:rsidR="00B466A4" w:rsidRPr="00FB38E1" w:rsidRDefault="00392813"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Ertelenmiş vergi borcuna ilişkin bilgiler</w:t>
      </w:r>
    </w:p>
    <w:p w14:paraId="4836C8B4" w14:textId="1D69F617" w:rsidR="00392813" w:rsidRPr="00FB38E1" w:rsidRDefault="00C939FC"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 xml:space="preserve">Banka’nın ertelenmiş vergi aktifinden netleştirildikten sonra kalan ertelenmiş vergi pasifi bulunmamaktadır. Ertelenmiş vergi detayı bilançonun aktif hesaplarına ilişkin açıklama ve dipnotlar bölümünün </w:t>
      </w:r>
      <w:r w:rsidR="00D81429" w:rsidRPr="00FB38E1">
        <w:rPr>
          <w:rFonts w:ascii="Microsoft Sans Serif" w:hAnsi="Microsoft Sans Serif" w:cs="Microsoft Sans Serif"/>
          <w:b w:val="0"/>
          <w:color w:val="404040" w:themeColor="text1" w:themeTint="BF"/>
          <w:sz w:val="20"/>
          <w:szCs w:val="20"/>
        </w:rPr>
        <w:t>“</w:t>
      </w:r>
      <w:r w:rsidR="00A02052" w:rsidRPr="00FB38E1">
        <w:rPr>
          <w:rFonts w:ascii="Microsoft Sans Serif" w:hAnsi="Microsoft Sans Serif" w:cs="Microsoft Sans Serif"/>
          <w:b w:val="0"/>
          <w:color w:val="404040" w:themeColor="text1" w:themeTint="BF"/>
          <w:sz w:val="20"/>
          <w:szCs w:val="20"/>
        </w:rPr>
        <w:t>n</w:t>
      </w:r>
      <w:r w:rsidR="00D81429" w:rsidRPr="00FB38E1">
        <w:rPr>
          <w:rFonts w:ascii="Microsoft Sans Serif" w:hAnsi="Microsoft Sans Serif" w:cs="Microsoft Sans Serif"/>
          <w:b w:val="0"/>
          <w:color w:val="404040" w:themeColor="text1" w:themeTint="BF"/>
          <w:sz w:val="20"/>
          <w:szCs w:val="20"/>
        </w:rPr>
        <w:t>”</w:t>
      </w:r>
      <w:r w:rsidRPr="00FB38E1">
        <w:rPr>
          <w:rFonts w:ascii="Microsoft Sans Serif" w:hAnsi="Microsoft Sans Serif" w:cs="Microsoft Sans Serif"/>
          <w:b w:val="0"/>
          <w:color w:val="404040" w:themeColor="text1" w:themeTint="BF"/>
          <w:sz w:val="20"/>
          <w:szCs w:val="20"/>
        </w:rPr>
        <w:t xml:space="preserve"> no’lu dipnotunda verilmiştir</w:t>
      </w:r>
      <w:r w:rsidR="00392813" w:rsidRPr="00FB38E1">
        <w:rPr>
          <w:rFonts w:ascii="Microsoft Sans Serif" w:hAnsi="Microsoft Sans Serif" w:cs="Microsoft Sans Serif"/>
          <w:b w:val="0"/>
          <w:color w:val="404040" w:themeColor="text1" w:themeTint="BF"/>
          <w:sz w:val="20"/>
          <w:szCs w:val="20"/>
        </w:rPr>
        <w:t>.</w:t>
      </w:r>
    </w:p>
    <w:p w14:paraId="057F9F8C" w14:textId="0BA382FF" w:rsidR="0038285E" w:rsidRPr="00FB38E1" w:rsidRDefault="0038285E" w:rsidP="00076C9E">
      <w:pPr>
        <w:pStyle w:val="BASLIK2"/>
        <w:widowControl/>
        <w:numPr>
          <w:ilvl w:val="1"/>
          <w:numId w:val="33"/>
        </w:numPr>
        <w:spacing w:line="240" w:lineRule="exac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noProof/>
          <w:snapToGrid w:val="0"/>
          <w:sz w:val="20"/>
          <w:szCs w:val="20"/>
        </w:rPr>
        <w:t xml:space="preserve">Satış amaçlı </w:t>
      </w:r>
      <w:r w:rsidR="009A4BDF" w:rsidRPr="00FB38E1">
        <w:rPr>
          <w:rFonts w:ascii="Microsoft Sans Serif" w:hAnsi="Microsoft Sans Serif" w:cs="Microsoft Sans Serif"/>
          <w:noProof/>
          <w:snapToGrid w:val="0"/>
          <w:sz w:val="20"/>
          <w:szCs w:val="20"/>
        </w:rPr>
        <w:t xml:space="preserve">elde tutulan </w:t>
      </w:r>
      <w:r w:rsidRPr="00FB38E1">
        <w:rPr>
          <w:rFonts w:ascii="Microsoft Sans Serif" w:hAnsi="Microsoft Sans Serif" w:cs="Microsoft Sans Serif"/>
          <w:noProof/>
          <w:snapToGrid w:val="0"/>
          <w:sz w:val="20"/>
          <w:szCs w:val="20"/>
        </w:rPr>
        <w:t>ve durdurulan faaliyetlere ilişkin duran varlık borçları hakkında bilgiler</w:t>
      </w:r>
    </w:p>
    <w:p w14:paraId="4FE2C5DA" w14:textId="7BF7817E" w:rsidR="00EB10F1" w:rsidRPr="00FB38E1" w:rsidRDefault="00F56479" w:rsidP="00EB10F1">
      <w:pPr>
        <w:pStyle w:val="BDDKbalk1"/>
        <w:spacing w:before="120" w:line="220" w:lineRule="exact"/>
        <w:ind w:left="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 xml:space="preserve">Banka’nın bağlı ortaklıklarından Eurodeniz International Banking Unit Ltd.’in tasfiye </w:t>
      </w:r>
      <w:r w:rsidRPr="00FB38E1">
        <w:rPr>
          <w:rFonts w:ascii="Microsoft Sans Serif" w:hAnsi="Microsoft Sans Serif" w:cs="Microsoft Sans Serif"/>
          <w:b w:val="0"/>
          <w:iCs/>
          <w:sz w:val="20"/>
          <w:szCs w:val="20"/>
        </w:rPr>
        <w:t xml:space="preserve">süreci 26 Haziran 2024 tarihi itibarıyla sonuçlanmıştır. </w:t>
      </w:r>
      <w:r w:rsidRPr="00FB38E1">
        <w:rPr>
          <w:rFonts w:ascii="Microsoft Sans Serif" w:hAnsi="Microsoft Sans Serif" w:cs="Microsoft Sans Serif"/>
          <w:b w:val="0"/>
          <w:noProof/>
          <w:color w:val="404040" w:themeColor="text1" w:themeTint="BF"/>
          <w:sz w:val="20"/>
          <w:szCs w:val="20"/>
        </w:rPr>
        <w:t>Üçüncü bölüm XI no’lu dipnotta açıklanmıştır</w:t>
      </w:r>
      <w:r w:rsidR="00EB10F1" w:rsidRPr="00FB38E1">
        <w:rPr>
          <w:rFonts w:ascii="Microsoft Sans Serif" w:hAnsi="Microsoft Sans Serif" w:cs="Microsoft Sans Serif"/>
          <w:b w:val="0"/>
          <w:noProof/>
          <w:color w:val="404040" w:themeColor="text1" w:themeTint="BF"/>
          <w:sz w:val="20"/>
          <w:szCs w:val="20"/>
        </w:rPr>
        <w:t>.</w:t>
      </w:r>
    </w:p>
    <w:p w14:paraId="230BBC7A" w14:textId="77777777" w:rsidR="00554317" w:rsidRPr="00FB38E1" w:rsidRDefault="00554317" w:rsidP="00554317">
      <w:pPr>
        <w:pStyle w:val="BASLIK2"/>
        <w:widowControl/>
        <w:numPr>
          <w:ilvl w:val="1"/>
          <w:numId w:val="33"/>
        </w:numPr>
        <w:spacing w:line="240" w:lineRule="exac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noProof/>
          <w:snapToGrid w:val="0"/>
          <w:sz w:val="20"/>
          <w:szCs w:val="20"/>
          <w:lang w:val="de-DE"/>
        </w:rPr>
        <w:t>Sermaye benzeri kredilere ilişkin bilgiler</w:t>
      </w:r>
    </w:p>
    <w:tbl>
      <w:tblPr>
        <w:tblStyle w:val="TableGrid"/>
        <w:tblW w:w="958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90"/>
        <w:gridCol w:w="1012"/>
        <w:gridCol w:w="1012"/>
        <w:gridCol w:w="1012"/>
        <w:gridCol w:w="1155"/>
      </w:tblGrid>
      <w:tr w:rsidR="00554317" w:rsidRPr="00FB38E1" w14:paraId="55D0B749" w14:textId="77777777" w:rsidTr="00836EF2">
        <w:trPr>
          <w:trHeight w:val="24"/>
        </w:trPr>
        <w:tc>
          <w:tcPr>
            <w:tcW w:w="2813" w:type="pct"/>
            <w:vAlign w:val="bottom"/>
          </w:tcPr>
          <w:p w14:paraId="144A555C" w14:textId="77777777" w:rsidR="00554317" w:rsidRPr="00FB38E1" w:rsidRDefault="00554317" w:rsidP="00836EF2">
            <w:pPr>
              <w:rPr>
                <w:rFonts w:ascii="Microsoft Sans Serif" w:hAnsi="Microsoft Sans Serif" w:cs="Microsoft Sans Serif"/>
                <w:color w:val="000000"/>
                <w:sz w:val="16"/>
                <w:szCs w:val="16"/>
              </w:rPr>
            </w:pPr>
          </w:p>
        </w:tc>
        <w:tc>
          <w:tcPr>
            <w:tcW w:w="1056" w:type="pct"/>
            <w:gridSpan w:val="2"/>
            <w:tcBorders>
              <w:top w:val="thinThickSmallGap" w:sz="24" w:space="0" w:color="auto"/>
              <w:bottom w:val="single" w:sz="4" w:space="0" w:color="auto"/>
            </w:tcBorders>
            <w:vAlign w:val="bottom"/>
          </w:tcPr>
          <w:p w14:paraId="02B97761" w14:textId="77777777" w:rsidR="00554317" w:rsidRPr="00FB38E1" w:rsidRDefault="00554317"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31" w:type="pct"/>
            <w:gridSpan w:val="2"/>
            <w:tcBorders>
              <w:bottom w:val="nil"/>
            </w:tcBorders>
            <w:vAlign w:val="bottom"/>
          </w:tcPr>
          <w:p w14:paraId="20256642" w14:textId="77777777" w:rsidR="00554317" w:rsidRPr="00FB38E1" w:rsidRDefault="00554317"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554317" w:rsidRPr="00FB38E1" w14:paraId="2718BB81" w14:textId="77777777" w:rsidTr="00836EF2">
        <w:trPr>
          <w:trHeight w:val="47"/>
        </w:trPr>
        <w:tc>
          <w:tcPr>
            <w:tcW w:w="2813" w:type="pct"/>
            <w:tcBorders>
              <w:bottom w:val="single" w:sz="4" w:space="0" w:color="auto"/>
            </w:tcBorders>
            <w:vAlign w:val="bottom"/>
          </w:tcPr>
          <w:p w14:paraId="43145D09" w14:textId="77777777" w:rsidR="00554317" w:rsidRPr="00FB38E1" w:rsidRDefault="00554317" w:rsidP="00836EF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528" w:type="pct"/>
            <w:tcBorders>
              <w:top w:val="single" w:sz="4" w:space="0" w:color="auto"/>
              <w:bottom w:val="single" w:sz="4" w:space="0" w:color="auto"/>
            </w:tcBorders>
            <w:vAlign w:val="bottom"/>
          </w:tcPr>
          <w:p w14:paraId="7F420339" w14:textId="77777777" w:rsidR="00554317" w:rsidRPr="00FB38E1" w:rsidRDefault="0055431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28" w:type="pct"/>
            <w:tcBorders>
              <w:top w:val="single" w:sz="4" w:space="0" w:color="auto"/>
              <w:bottom w:val="single" w:sz="4" w:space="0" w:color="auto"/>
            </w:tcBorders>
          </w:tcPr>
          <w:p w14:paraId="2282A38F" w14:textId="77777777" w:rsidR="00554317" w:rsidRPr="00FB38E1" w:rsidRDefault="0055431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28" w:type="pct"/>
            <w:tcBorders>
              <w:top w:val="single" w:sz="4" w:space="0" w:color="auto"/>
              <w:bottom w:val="single" w:sz="4" w:space="0" w:color="auto"/>
            </w:tcBorders>
            <w:vAlign w:val="bottom"/>
          </w:tcPr>
          <w:p w14:paraId="08C9768D" w14:textId="77777777" w:rsidR="00554317" w:rsidRPr="00FB38E1" w:rsidRDefault="0055431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603" w:type="pct"/>
            <w:tcBorders>
              <w:top w:val="single" w:sz="4" w:space="0" w:color="auto"/>
              <w:bottom w:val="single" w:sz="4" w:space="0" w:color="auto"/>
            </w:tcBorders>
            <w:vAlign w:val="bottom"/>
          </w:tcPr>
          <w:p w14:paraId="33D5AB48" w14:textId="77777777" w:rsidR="00554317" w:rsidRPr="00FB38E1" w:rsidRDefault="0055431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D108A8" w:rsidRPr="00FB38E1" w14:paraId="0D5983E9" w14:textId="77777777" w:rsidTr="00836EF2">
        <w:trPr>
          <w:trHeight w:val="47"/>
        </w:trPr>
        <w:tc>
          <w:tcPr>
            <w:tcW w:w="2813" w:type="pct"/>
            <w:vAlign w:val="bottom"/>
          </w:tcPr>
          <w:p w14:paraId="7ADE0F3D" w14:textId="77777777" w:rsidR="00D108A8" w:rsidRPr="00FB38E1" w:rsidRDefault="00D108A8" w:rsidP="00D108A8">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İlave Ana Sermeye Hesaplamasına Dahil Edilecek Borçlanma Araçları</w:t>
            </w:r>
          </w:p>
        </w:tc>
        <w:tc>
          <w:tcPr>
            <w:tcW w:w="528" w:type="pct"/>
            <w:vAlign w:val="center"/>
          </w:tcPr>
          <w:p w14:paraId="33FB8D06" w14:textId="79972037" w:rsidR="00D108A8" w:rsidRPr="00FB38E1" w:rsidRDefault="00D108A8" w:rsidP="00D108A8">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w:t>
            </w:r>
          </w:p>
        </w:tc>
        <w:tc>
          <w:tcPr>
            <w:tcW w:w="528" w:type="pct"/>
            <w:vAlign w:val="center"/>
          </w:tcPr>
          <w:p w14:paraId="545DEE61" w14:textId="05022EE9" w:rsidR="00D108A8" w:rsidRPr="00FB38E1" w:rsidRDefault="00D108A8" w:rsidP="00D108A8">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w:t>
            </w:r>
          </w:p>
        </w:tc>
        <w:tc>
          <w:tcPr>
            <w:tcW w:w="528" w:type="pct"/>
            <w:tcBorders>
              <w:top w:val="nil"/>
              <w:left w:val="nil"/>
              <w:bottom w:val="nil"/>
              <w:right w:val="nil"/>
            </w:tcBorders>
            <w:shd w:val="clear" w:color="auto" w:fill="auto"/>
            <w:vAlign w:val="center"/>
          </w:tcPr>
          <w:p w14:paraId="328ED8DB" w14:textId="32630231"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w:t>
            </w:r>
          </w:p>
        </w:tc>
        <w:tc>
          <w:tcPr>
            <w:tcW w:w="603" w:type="pct"/>
            <w:tcBorders>
              <w:top w:val="nil"/>
              <w:left w:val="nil"/>
              <w:bottom w:val="nil"/>
              <w:right w:val="nil"/>
            </w:tcBorders>
            <w:shd w:val="clear" w:color="auto" w:fill="auto"/>
            <w:vAlign w:val="center"/>
          </w:tcPr>
          <w:p w14:paraId="2D220654" w14:textId="181A1731"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w:t>
            </w:r>
          </w:p>
        </w:tc>
      </w:tr>
      <w:tr w:rsidR="00D108A8" w:rsidRPr="00FB38E1" w14:paraId="5BE778AF" w14:textId="77777777" w:rsidTr="00836EF2">
        <w:trPr>
          <w:trHeight w:val="47"/>
        </w:trPr>
        <w:tc>
          <w:tcPr>
            <w:tcW w:w="2813" w:type="pct"/>
            <w:tcMar>
              <w:left w:w="170" w:type="dxa"/>
            </w:tcMar>
            <w:vAlign w:val="bottom"/>
          </w:tcPr>
          <w:p w14:paraId="3E262862"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Sermaye Benzeri Krediler</w:t>
            </w:r>
          </w:p>
        </w:tc>
        <w:tc>
          <w:tcPr>
            <w:tcW w:w="528" w:type="pct"/>
            <w:vAlign w:val="center"/>
          </w:tcPr>
          <w:p w14:paraId="58E80DEB" w14:textId="6758F3A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8" w:type="pct"/>
            <w:vAlign w:val="center"/>
          </w:tcPr>
          <w:p w14:paraId="596AD3CD" w14:textId="1A8A417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8" w:type="pct"/>
            <w:tcBorders>
              <w:top w:val="nil"/>
              <w:left w:val="nil"/>
              <w:bottom w:val="nil"/>
              <w:right w:val="nil"/>
            </w:tcBorders>
            <w:shd w:val="clear" w:color="auto" w:fill="auto"/>
            <w:vAlign w:val="center"/>
          </w:tcPr>
          <w:p w14:paraId="724C3ABC" w14:textId="44449A48"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3" w:type="pct"/>
            <w:tcBorders>
              <w:top w:val="nil"/>
              <w:left w:val="nil"/>
              <w:bottom w:val="nil"/>
              <w:right w:val="nil"/>
            </w:tcBorders>
            <w:shd w:val="clear" w:color="auto" w:fill="auto"/>
            <w:vAlign w:val="center"/>
          </w:tcPr>
          <w:p w14:paraId="71762146" w14:textId="1C9DF163"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4F866108" w14:textId="77777777" w:rsidTr="00836EF2">
        <w:trPr>
          <w:trHeight w:val="57"/>
        </w:trPr>
        <w:tc>
          <w:tcPr>
            <w:tcW w:w="2813" w:type="pct"/>
            <w:tcBorders>
              <w:bottom w:val="nil"/>
            </w:tcBorders>
            <w:tcMar>
              <w:left w:w="170" w:type="dxa"/>
            </w:tcMar>
            <w:vAlign w:val="bottom"/>
          </w:tcPr>
          <w:p w14:paraId="5A0DADF6"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Sermaye Benzeri Borçlanma Araçları</w:t>
            </w:r>
          </w:p>
        </w:tc>
        <w:tc>
          <w:tcPr>
            <w:tcW w:w="528" w:type="pct"/>
            <w:tcBorders>
              <w:bottom w:val="nil"/>
            </w:tcBorders>
            <w:vAlign w:val="center"/>
          </w:tcPr>
          <w:p w14:paraId="59D78EC8" w14:textId="7CECAE9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8" w:type="pct"/>
            <w:tcBorders>
              <w:bottom w:val="nil"/>
            </w:tcBorders>
            <w:vAlign w:val="center"/>
          </w:tcPr>
          <w:p w14:paraId="3D8D7562" w14:textId="47A0A0C9"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8" w:type="pct"/>
            <w:tcBorders>
              <w:top w:val="nil"/>
              <w:left w:val="nil"/>
              <w:bottom w:val="nil"/>
              <w:right w:val="nil"/>
            </w:tcBorders>
            <w:shd w:val="clear" w:color="auto" w:fill="auto"/>
            <w:vAlign w:val="center"/>
          </w:tcPr>
          <w:p w14:paraId="76DD0B90" w14:textId="6D0D571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3" w:type="pct"/>
            <w:tcBorders>
              <w:top w:val="nil"/>
              <w:left w:val="nil"/>
              <w:bottom w:val="nil"/>
              <w:right w:val="nil"/>
            </w:tcBorders>
            <w:shd w:val="clear" w:color="auto" w:fill="auto"/>
            <w:vAlign w:val="center"/>
          </w:tcPr>
          <w:p w14:paraId="191180C9" w14:textId="40BC4FB7"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6BF934D0" w14:textId="77777777" w:rsidTr="00836EF2">
        <w:trPr>
          <w:trHeight w:val="57"/>
        </w:trPr>
        <w:tc>
          <w:tcPr>
            <w:tcW w:w="2813" w:type="pct"/>
            <w:tcBorders>
              <w:bottom w:val="nil"/>
            </w:tcBorders>
            <w:vAlign w:val="bottom"/>
          </w:tcPr>
          <w:p w14:paraId="71454AB7" w14:textId="77777777" w:rsidR="00D108A8" w:rsidRPr="00FB38E1" w:rsidRDefault="00D108A8" w:rsidP="00D108A8">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Katkı Sermeye Hesaplamasına Dahil Edilecek Borçlanma Araçları</w:t>
            </w:r>
          </w:p>
        </w:tc>
        <w:tc>
          <w:tcPr>
            <w:tcW w:w="528" w:type="pct"/>
            <w:tcBorders>
              <w:bottom w:val="nil"/>
            </w:tcBorders>
            <w:vAlign w:val="center"/>
          </w:tcPr>
          <w:p w14:paraId="0A505462" w14:textId="0EF414CB" w:rsidR="00D108A8" w:rsidRPr="00FB38E1" w:rsidRDefault="00D108A8" w:rsidP="00D108A8">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w:t>
            </w:r>
          </w:p>
        </w:tc>
        <w:tc>
          <w:tcPr>
            <w:tcW w:w="528" w:type="pct"/>
            <w:tcBorders>
              <w:bottom w:val="nil"/>
            </w:tcBorders>
            <w:vAlign w:val="center"/>
          </w:tcPr>
          <w:p w14:paraId="46C1D77E" w14:textId="5F836327" w:rsidR="00D108A8" w:rsidRPr="00FB38E1" w:rsidRDefault="00D108A8" w:rsidP="00D108A8">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12.137.102</w:t>
            </w:r>
          </w:p>
        </w:tc>
        <w:tc>
          <w:tcPr>
            <w:tcW w:w="528" w:type="pct"/>
            <w:tcBorders>
              <w:top w:val="nil"/>
              <w:left w:val="nil"/>
              <w:bottom w:val="nil"/>
              <w:right w:val="nil"/>
            </w:tcBorders>
            <w:shd w:val="clear" w:color="auto" w:fill="auto"/>
            <w:vAlign w:val="center"/>
          </w:tcPr>
          <w:p w14:paraId="1574D6D7" w14:textId="3FF7DD31"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w:t>
            </w:r>
          </w:p>
        </w:tc>
        <w:tc>
          <w:tcPr>
            <w:tcW w:w="603" w:type="pct"/>
            <w:tcBorders>
              <w:top w:val="nil"/>
              <w:left w:val="nil"/>
              <w:bottom w:val="nil"/>
              <w:right w:val="nil"/>
            </w:tcBorders>
            <w:shd w:val="clear" w:color="auto" w:fill="auto"/>
            <w:vAlign w:val="center"/>
          </w:tcPr>
          <w:p w14:paraId="3E62B652" w14:textId="0B6CD86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rPr>
              <w:t>23.066.679</w:t>
            </w:r>
          </w:p>
        </w:tc>
      </w:tr>
      <w:tr w:rsidR="00D108A8" w:rsidRPr="00FB38E1" w14:paraId="70E6BDEC" w14:textId="77777777" w:rsidTr="00836EF2">
        <w:trPr>
          <w:trHeight w:val="57"/>
        </w:trPr>
        <w:tc>
          <w:tcPr>
            <w:tcW w:w="2813" w:type="pct"/>
            <w:tcBorders>
              <w:bottom w:val="nil"/>
            </w:tcBorders>
            <w:tcMar>
              <w:left w:w="170" w:type="dxa"/>
            </w:tcMar>
            <w:vAlign w:val="bottom"/>
          </w:tcPr>
          <w:p w14:paraId="526C0546"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Sermaye Benzeri Krediler</w:t>
            </w:r>
          </w:p>
        </w:tc>
        <w:tc>
          <w:tcPr>
            <w:tcW w:w="528" w:type="pct"/>
            <w:tcBorders>
              <w:bottom w:val="nil"/>
            </w:tcBorders>
            <w:vAlign w:val="center"/>
          </w:tcPr>
          <w:p w14:paraId="1513360F" w14:textId="37F5B89E"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8" w:type="pct"/>
            <w:tcBorders>
              <w:bottom w:val="nil"/>
            </w:tcBorders>
            <w:vAlign w:val="center"/>
          </w:tcPr>
          <w:p w14:paraId="1D0D98F2" w14:textId="3D0E6342"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12.137.102</w:t>
            </w:r>
          </w:p>
        </w:tc>
        <w:tc>
          <w:tcPr>
            <w:tcW w:w="528" w:type="pct"/>
            <w:tcBorders>
              <w:top w:val="nil"/>
              <w:left w:val="nil"/>
              <w:bottom w:val="nil"/>
              <w:right w:val="nil"/>
            </w:tcBorders>
            <w:shd w:val="clear" w:color="auto" w:fill="auto"/>
            <w:vAlign w:val="center"/>
          </w:tcPr>
          <w:p w14:paraId="2DB137EF" w14:textId="341DEEF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3" w:type="pct"/>
            <w:tcBorders>
              <w:top w:val="nil"/>
              <w:left w:val="nil"/>
              <w:bottom w:val="nil"/>
              <w:right w:val="nil"/>
            </w:tcBorders>
            <w:shd w:val="clear" w:color="auto" w:fill="auto"/>
            <w:vAlign w:val="center"/>
          </w:tcPr>
          <w:p w14:paraId="02BB9243" w14:textId="0D2694AE"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23.066.679</w:t>
            </w:r>
          </w:p>
        </w:tc>
      </w:tr>
      <w:tr w:rsidR="00D108A8" w:rsidRPr="00FB38E1" w14:paraId="131B64EC" w14:textId="77777777" w:rsidTr="00836EF2">
        <w:trPr>
          <w:trHeight w:val="57"/>
        </w:trPr>
        <w:tc>
          <w:tcPr>
            <w:tcW w:w="2813" w:type="pct"/>
            <w:tcBorders>
              <w:top w:val="nil"/>
              <w:bottom w:val="single" w:sz="6" w:space="0" w:color="auto"/>
            </w:tcBorders>
            <w:tcMar>
              <w:left w:w="170" w:type="dxa"/>
            </w:tcMar>
            <w:vAlign w:val="bottom"/>
          </w:tcPr>
          <w:p w14:paraId="5F10FFAB" w14:textId="77777777" w:rsidR="00D108A8" w:rsidRPr="00FB38E1" w:rsidRDefault="00D108A8" w:rsidP="00D108A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Sermaye Benzeri Borçlanma Araçları</w:t>
            </w:r>
          </w:p>
        </w:tc>
        <w:tc>
          <w:tcPr>
            <w:tcW w:w="528" w:type="pct"/>
            <w:tcBorders>
              <w:top w:val="nil"/>
              <w:bottom w:val="single" w:sz="6" w:space="0" w:color="auto"/>
            </w:tcBorders>
            <w:vAlign w:val="center"/>
          </w:tcPr>
          <w:p w14:paraId="2A2D3A7C" w14:textId="4A21D816"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8" w:type="pct"/>
            <w:tcBorders>
              <w:top w:val="nil"/>
              <w:bottom w:val="single" w:sz="6" w:space="0" w:color="auto"/>
            </w:tcBorders>
            <w:vAlign w:val="center"/>
          </w:tcPr>
          <w:p w14:paraId="24296816" w14:textId="2F44FE09"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8" w:type="pct"/>
            <w:tcBorders>
              <w:top w:val="nil"/>
              <w:left w:val="nil"/>
              <w:bottom w:val="single" w:sz="6" w:space="0" w:color="auto"/>
              <w:right w:val="nil"/>
            </w:tcBorders>
            <w:shd w:val="clear" w:color="auto" w:fill="auto"/>
            <w:vAlign w:val="center"/>
          </w:tcPr>
          <w:p w14:paraId="638AE0F1" w14:textId="72B9A46B"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03" w:type="pct"/>
            <w:tcBorders>
              <w:top w:val="nil"/>
              <w:left w:val="nil"/>
              <w:bottom w:val="single" w:sz="6" w:space="0" w:color="auto"/>
              <w:right w:val="nil"/>
            </w:tcBorders>
            <w:shd w:val="clear" w:color="auto" w:fill="auto"/>
            <w:vAlign w:val="center"/>
          </w:tcPr>
          <w:p w14:paraId="61E46C4B" w14:textId="4182B6C1" w:rsidR="00D108A8" w:rsidRPr="00FB38E1" w:rsidRDefault="00D108A8" w:rsidP="00D108A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D108A8" w:rsidRPr="00FB38E1" w14:paraId="39457DF0" w14:textId="77777777" w:rsidTr="00836EF2">
        <w:trPr>
          <w:trHeight w:val="42"/>
        </w:trPr>
        <w:tc>
          <w:tcPr>
            <w:tcW w:w="2813" w:type="pct"/>
            <w:tcBorders>
              <w:top w:val="single" w:sz="6" w:space="0" w:color="auto"/>
              <w:bottom w:val="thickThinSmallGap" w:sz="24" w:space="0" w:color="auto"/>
            </w:tcBorders>
            <w:vAlign w:val="bottom"/>
          </w:tcPr>
          <w:p w14:paraId="1CFB65E3" w14:textId="77777777" w:rsidR="00D108A8" w:rsidRPr="00FB38E1" w:rsidRDefault="00D108A8" w:rsidP="00D108A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28" w:type="pct"/>
            <w:tcBorders>
              <w:top w:val="single" w:sz="6" w:space="0" w:color="auto"/>
              <w:bottom w:val="thickThinSmallGap" w:sz="24" w:space="0" w:color="000000"/>
            </w:tcBorders>
            <w:vAlign w:val="center"/>
          </w:tcPr>
          <w:p w14:paraId="7380791F" w14:textId="15A02556"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528" w:type="pct"/>
            <w:tcBorders>
              <w:top w:val="single" w:sz="6" w:space="0" w:color="auto"/>
              <w:bottom w:val="thickThinSmallGap" w:sz="24" w:space="0" w:color="000000"/>
            </w:tcBorders>
            <w:vAlign w:val="center"/>
          </w:tcPr>
          <w:p w14:paraId="22B39B4A" w14:textId="691EFC03"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12.137.102</w:t>
            </w:r>
          </w:p>
        </w:tc>
        <w:tc>
          <w:tcPr>
            <w:tcW w:w="528" w:type="pct"/>
            <w:tcBorders>
              <w:top w:val="single" w:sz="6" w:space="0" w:color="auto"/>
              <w:left w:val="nil"/>
              <w:bottom w:val="thickThinSmallGap" w:sz="24" w:space="0" w:color="000000"/>
              <w:right w:val="nil"/>
            </w:tcBorders>
            <w:shd w:val="clear" w:color="auto" w:fill="auto"/>
            <w:vAlign w:val="center"/>
          </w:tcPr>
          <w:p w14:paraId="5F5937A1" w14:textId="652809FE"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603" w:type="pct"/>
            <w:tcBorders>
              <w:top w:val="single" w:sz="6" w:space="0" w:color="auto"/>
              <w:left w:val="nil"/>
              <w:bottom w:val="thickThinSmallGap" w:sz="24" w:space="0" w:color="000000"/>
              <w:right w:val="nil"/>
            </w:tcBorders>
            <w:shd w:val="clear" w:color="auto" w:fill="auto"/>
            <w:vAlign w:val="center"/>
          </w:tcPr>
          <w:p w14:paraId="7CB7FBD8" w14:textId="423CE536" w:rsidR="00D108A8" w:rsidRPr="00FB38E1" w:rsidRDefault="00D108A8" w:rsidP="00D108A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23.066.679</w:t>
            </w:r>
          </w:p>
        </w:tc>
      </w:tr>
    </w:tbl>
    <w:p w14:paraId="612FC006" w14:textId="7E6CBFAD" w:rsidR="00554317" w:rsidRPr="00FB38E1" w:rsidRDefault="00554317" w:rsidP="00554317">
      <w:pPr>
        <w:pStyle w:val="BASLIK2"/>
        <w:widowControl/>
        <w:spacing w:before="120" w:after="0" w:line="220" w:lineRule="exact"/>
        <w:ind w:firstLine="0"/>
        <w:rPr>
          <w:rFonts w:ascii="Microsoft Sans Serif" w:hAnsi="Microsoft Sans Serif" w:cs="Microsoft Sans Serif"/>
          <w:b w:val="0"/>
          <w:noProof/>
          <w:snapToGrid w:val="0"/>
          <w:color w:val="404040" w:themeColor="text1" w:themeTint="BF"/>
          <w:sz w:val="14"/>
          <w:szCs w:val="14"/>
          <w:lang w:val="de-DE"/>
        </w:rPr>
      </w:pPr>
      <w:r w:rsidRPr="00FB38E1">
        <w:rPr>
          <w:rFonts w:ascii="Microsoft Sans Serif" w:hAnsi="Microsoft Sans Serif" w:cs="Microsoft Sans Serif"/>
          <w:b w:val="0"/>
          <w:noProof/>
          <w:snapToGrid w:val="0"/>
          <w:color w:val="404040" w:themeColor="text1" w:themeTint="BF"/>
          <w:sz w:val="14"/>
          <w:szCs w:val="14"/>
          <w:lang w:val="de-DE"/>
        </w:rPr>
        <w:t>Sermaye benzeri kredilere ilişkin bilgiler Dördüncü bölüm I-b no’lu dipnotta verilmiştir.</w:t>
      </w:r>
    </w:p>
    <w:p w14:paraId="5D29DDBE" w14:textId="77777777" w:rsidR="004E1B47" w:rsidRPr="00FB38E1" w:rsidRDefault="004E1B47" w:rsidP="004E1B47">
      <w:pPr>
        <w:pStyle w:val="BASLIK2"/>
        <w:widowControl/>
        <w:numPr>
          <w:ilvl w:val="1"/>
          <w:numId w:val="33"/>
        </w:numPr>
        <w:spacing w:line="240" w:lineRule="exac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noProof/>
          <w:snapToGrid w:val="0"/>
          <w:sz w:val="20"/>
          <w:szCs w:val="20"/>
        </w:rPr>
        <w:t>Özkaynaklara ilişkin bilgiler</w:t>
      </w:r>
    </w:p>
    <w:p w14:paraId="2A2CB5F0" w14:textId="77777777" w:rsidR="004E1B47" w:rsidRPr="00FB38E1" w:rsidRDefault="004E1B47" w:rsidP="004E1B47">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Ödenmiş sermayenin gösterimi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4E1B47" w:rsidRPr="00FB38E1" w14:paraId="263A3D89" w14:textId="77777777" w:rsidTr="00ED1D5C">
        <w:trPr>
          <w:trHeight w:val="139"/>
        </w:trPr>
        <w:tc>
          <w:tcPr>
            <w:tcW w:w="2702" w:type="pct"/>
            <w:tcBorders>
              <w:top w:val="thinThickSmallGap" w:sz="24" w:space="0" w:color="auto"/>
              <w:bottom w:val="single" w:sz="4" w:space="0" w:color="auto"/>
            </w:tcBorders>
            <w:vAlign w:val="bottom"/>
          </w:tcPr>
          <w:p w14:paraId="104C91F4" w14:textId="77777777" w:rsidR="004E1B47" w:rsidRPr="00FB38E1" w:rsidRDefault="004E1B47" w:rsidP="004E1B47">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64880858" w14:textId="77777777" w:rsidR="004E1B47" w:rsidRPr="00FB38E1" w:rsidRDefault="004E1B47"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51B4F57A" w14:textId="77777777" w:rsidR="004E1B47" w:rsidRPr="00FB38E1" w:rsidRDefault="004E1B47"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D51C3B" w:rsidRPr="00FB38E1" w14:paraId="28B8A40F" w14:textId="77777777" w:rsidTr="004E1B47">
        <w:tc>
          <w:tcPr>
            <w:tcW w:w="2702" w:type="pct"/>
            <w:tcBorders>
              <w:top w:val="single" w:sz="4" w:space="0" w:color="auto"/>
              <w:bottom w:val="nil"/>
            </w:tcBorders>
            <w:vAlign w:val="bottom"/>
          </w:tcPr>
          <w:p w14:paraId="2357800C" w14:textId="77777777" w:rsidR="00D51C3B" w:rsidRPr="00FB38E1" w:rsidRDefault="00D51C3B" w:rsidP="00D51C3B">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Hisse Senedi Karşılığı</w:t>
            </w:r>
          </w:p>
        </w:tc>
        <w:tc>
          <w:tcPr>
            <w:tcW w:w="1149" w:type="pct"/>
            <w:tcBorders>
              <w:top w:val="single" w:sz="4" w:space="0" w:color="auto"/>
              <w:bottom w:val="nil"/>
            </w:tcBorders>
            <w:vAlign w:val="center"/>
          </w:tcPr>
          <w:p w14:paraId="6ED80693" w14:textId="0D46F6D5" w:rsidR="00D51C3B" w:rsidRPr="00FB38E1" w:rsidRDefault="00D51C3B" w:rsidP="00D51C3B">
            <w:pPr>
              <w:jc w:val="right"/>
              <w:rPr>
                <w:rFonts w:ascii="Microsoft Sans Serif" w:hAnsi="Microsoft Sans Serif" w:cs="Microsoft Sans Serif"/>
                <w:bCs/>
                <w:color w:val="404040" w:themeColor="text1" w:themeTint="BF"/>
                <w:sz w:val="16"/>
                <w:szCs w:val="16"/>
              </w:rPr>
            </w:pPr>
            <w:r w:rsidRPr="00FB38E1">
              <w:rPr>
                <w:rFonts w:ascii="Microsoft Sans Serif" w:hAnsi="Microsoft Sans Serif" w:cs="Microsoft Sans Serif"/>
                <w:color w:val="404040"/>
                <w:sz w:val="16"/>
                <w:szCs w:val="16"/>
              </w:rPr>
              <w:t>19.638.600</w:t>
            </w:r>
          </w:p>
        </w:tc>
        <w:tc>
          <w:tcPr>
            <w:tcW w:w="1149" w:type="pct"/>
            <w:tcBorders>
              <w:top w:val="single" w:sz="4" w:space="0" w:color="auto"/>
              <w:bottom w:val="nil"/>
            </w:tcBorders>
            <w:vAlign w:val="center"/>
          </w:tcPr>
          <w:p w14:paraId="70813AC6" w14:textId="75B3849E" w:rsidR="00D51C3B" w:rsidRPr="00FB38E1" w:rsidRDefault="00D51C3B" w:rsidP="00D51C3B">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Cs/>
                <w:color w:val="404040" w:themeColor="text1" w:themeTint="BF"/>
                <w:sz w:val="16"/>
                <w:szCs w:val="16"/>
              </w:rPr>
              <w:t>5.696.100</w:t>
            </w:r>
          </w:p>
        </w:tc>
      </w:tr>
      <w:tr w:rsidR="00D51C3B" w:rsidRPr="00FB38E1" w14:paraId="398EC240" w14:textId="77777777" w:rsidTr="004E1B47">
        <w:tc>
          <w:tcPr>
            <w:tcW w:w="2702" w:type="pct"/>
            <w:tcBorders>
              <w:top w:val="nil"/>
              <w:bottom w:val="thickThinSmallGap" w:sz="24" w:space="0" w:color="auto"/>
            </w:tcBorders>
            <w:vAlign w:val="bottom"/>
          </w:tcPr>
          <w:p w14:paraId="4E7A9D1A" w14:textId="77777777" w:rsidR="00D51C3B" w:rsidRPr="00FB38E1" w:rsidRDefault="00D51C3B" w:rsidP="00D51C3B">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İmtiyazlı Hisse Senedi Karşılığı</w:t>
            </w:r>
          </w:p>
        </w:tc>
        <w:tc>
          <w:tcPr>
            <w:tcW w:w="1149" w:type="pct"/>
            <w:tcBorders>
              <w:top w:val="nil"/>
              <w:bottom w:val="thickThinSmallGap" w:sz="24" w:space="0" w:color="auto"/>
            </w:tcBorders>
            <w:vAlign w:val="center"/>
          </w:tcPr>
          <w:p w14:paraId="50E9DD7D" w14:textId="77178D9A" w:rsidR="00D51C3B" w:rsidRPr="00FB38E1" w:rsidRDefault="00D51C3B" w:rsidP="00D51C3B">
            <w:pPr>
              <w:jc w:val="right"/>
              <w:rPr>
                <w:rFonts w:ascii="Microsoft Sans Serif" w:hAnsi="Microsoft Sans Serif" w:cs="Microsoft Sans Serif"/>
                <w:bCs/>
                <w:color w:val="404040" w:themeColor="text1" w:themeTint="BF"/>
                <w:sz w:val="16"/>
                <w:szCs w:val="16"/>
              </w:rPr>
            </w:pPr>
            <w:r w:rsidRPr="00FB38E1">
              <w:rPr>
                <w:rFonts w:ascii="Microsoft Sans Serif" w:hAnsi="Microsoft Sans Serif" w:cs="Microsoft Sans Serif"/>
                <w:color w:val="404040"/>
                <w:sz w:val="16"/>
                <w:szCs w:val="16"/>
              </w:rPr>
              <w:t>--</w:t>
            </w:r>
          </w:p>
        </w:tc>
        <w:tc>
          <w:tcPr>
            <w:tcW w:w="1149" w:type="pct"/>
            <w:tcBorders>
              <w:top w:val="nil"/>
              <w:bottom w:val="thickThinSmallGap" w:sz="24" w:space="0" w:color="auto"/>
            </w:tcBorders>
            <w:vAlign w:val="center"/>
          </w:tcPr>
          <w:p w14:paraId="36E2E598" w14:textId="55AB5837" w:rsidR="00D51C3B" w:rsidRPr="00FB38E1" w:rsidRDefault="00D51C3B" w:rsidP="00D51C3B">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bCs/>
                <w:color w:val="404040" w:themeColor="text1" w:themeTint="BF"/>
                <w:sz w:val="16"/>
                <w:szCs w:val="16"/>
              </w:rPr>
              <w:t>--</w:t>
            </w:r>
          </w:p>
        </w:tc>
      </w:tr>
    </w:tbl>
    <w:p w14:paraId="34BED669" w14:textId="77777777" w:rsidR="004E1B47" w:rsidRPr="00FB38E1" w:rsidRDefault="004E1B47" w:rsidP="004E1B47">
      <w:pPr>
        <w:pStyle w:val="BASLIK2"/>
        <w:widowControl/>
        <w:spacing w:before="60" w:after="0" w:line="220" w:lineRule="exact"/>
        <w:ind w:firstLine="0"/>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b w:val="0"/>
          <w:color w:val="404040" w:themeColor="text1" w:themeTint="BF"/>
          <w:sz w:val="16"/>
          <w:szCs w:val="16"/>
        </w:rPr>
        <w:t>Banka’nın ödenmiş sermayesi nominal olarak gösterilmiştir.</w:t>
      </w:r>
    </w:p>
    <w:p w14:paraId="183446B9" w14:textId="77777777" w:rsidR="004E1B47" w:rsidRPr="00FB38E1"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Ödenmiş sermaye tutarı, bankada kayıtlı sermaye sisteminin uygulanıp uygulanmadığı hususunun açıklanması ve bu sistem uygulanıyor ise kayıtlı sermaye tavanı</w:t>
      </w:r>
    </w:p>
    <w:p w14:paraId="2889F31C" w14:textId="77777777" w:rsidR="004E1B47" w:rsidRPr="00FB38E1" w:rsidRDefault="004E1B47"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b w:val="0"/>
          <w:color w:val="404040" w:themeColor="text1" w:themeTint="BF"/>
          <w:sz w:val="20"/>
          <w:szCs w:val="20"/>
        </w:rPr>
        <w:t>Kayıtlı sermaye sistemi uygulanmamaktadır.</w:t>
      </w:r>
    </w:p>
    <w:p w14:paraId="4F405316" w14:textId="77777777" w:rsidR="004E1B47" w:rsidRPr="00FB38E1"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Cari dönem içinde yapılan sermaye artırımları ve kaynakları ile artırılan sermaye payına ilişkin diğer bilgiler</w:t>
      </w:r>
    </w:p>
    <w:p w14:paraId="21A3FCD4" w14:textId="0A535293" w:rsidR="00BC404B" w:rsidRPr="00FB38E1" w:rsidRDefault="00412F86" w:rsidP="004E1B47">
      <w:pPr>
        <w:pStyle w:val="BASLIK2"/>
        <w:widowControl/>
        <w:spacing w:before="120" w:line="220" w:lineRule="exact"/>
        <w:ind w:firstLine="0"/>
        <w:rPr>
          <w:rFonts w:ascii="Microsoft Sans Serif" w:hAnsi="Microsoft Sans Serif" w:cs="Microsoft Sans Serif"/>
          <w:b w:val="0"/>
          <w:color w:val="404040" w:themeColor="text1" w:themeTint="BF"/>
          <w:sz w:val="20"/>
          <w:szCs w:val="20"/>
          <w:lang w:eastAsia="tr-TR"/>
        </w:rPr>
      </w:pPr>
      <w:bookmarkStart w:id="71" w:name="_Hlk171900405"/>
      <w:r w:rsidRPr="00FB38E1">
        <w:rPr>
          <w:rFonts w:ascii="Microsoft Sans Serif" w:hAnsi="Microsoft Sans Serif" w:cs="Microsoft Sans Serif"/>
          <w:b w:val="0"/>
          <w:bCs w:val="0"/>
          <w:color w:val="404040" w:themeColor="text1" w:themeTint="BF"/>
          <w:sz w:val="20"/>
          <w:szCs w:val="20"/>
          <w:lang w:eastAsia="tr-TR"/>
        </w:rPr>
        <w:t>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r w:rsidR="00BC404B" w:rsidRPr="00FB38E1">
        <w:rPr>
          <w:rFonts w:ascii="Microsoft Sans Serif" w:hAnsi="Microsoft Sans Serif" w:cs="Microsoft Sans Serif"/>
          <w:b w:val="0"/>
          <w:color w:val="404040" w:themeColor="text1" w:themeTint="BF"/>
          <w:sz w:val="20"/>
          <w:szCs w:val="20"/>
          <w:lang w:eastAsia="tr-TR"/>
        </w:rPr>
        <w:t>.</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841"/>
        <w:gridCol w:w="1701"/>
        <w:gridCol w:w="1561"/>
        <w:gridCol w:w="1984"/>
        <w:gridCol w:w="2608"/>
      </w:tblGrid>
      <w:tr w:rsidR="000329C1" w:rsidRPr="00FB38E1" w14:paraId="7E731BAA" w14:textId="77777777" w:rsidTr="00BC404B">
        <w:tc>
          <w:tcPr>
            <w:tcW w:w="949" w:type="pct"/>
            <w:tcBorders>
              <w:top w:val="thinThickSmallGap" w:sz="24" w:space="0" w:color="auto"/>
              <w:bottom w:val="single" w:sz="4" w:space="0" w:color="auto"/>
            </w:tcBorders>
            <w:vAlign w:val="bottom"/>
          </w:tcPr>
          <w:p w14:paraId="07AD2271" w14:textId="77777777" w:rsidR="000329C1" w:rsidRPr="00FB38E1" w:rsidRDefault="000329C1" w:rsidP="00BC404B">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Artırım Tarihi </w:t>
            </w:r>
          </w:p>
        </w:tc>
        <w:tc>
          <w:tcPr>
            <w:tcW w:w="877" w:type="pct"/>
            <w:tcBorders>
              <w:top w:val="thinThickSmallGap" w:sz="24" w:space="0" w:color="auto"/>
              <w:bottom w:val="single" w:sz="4" w:space="0" w:color="auto"/>
            </w:tcBorders>
            <w:vAlign w:val="bottom"/>
          </w:tcPr>
          <w:p w14:paraId="180F05D2" w14:textId="77777777" w:rsidR="000329C1" w:rsidRPr="00FB38E1" w:rsidRDefault="000329C1" w:rsidP="00BC404B">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Artırım Tutarı</w:t>
            </w:r>
          </w:p>
        </w:tc>
        <w:tc>
          <w:tcPr>
            <w:tcW w:w="805" w:type="pct"/>
            <w:tcBorders>
              <w:top w:val="thinThickSmallGap" w:sz="24" w:space="0" w:color="auto"/>
              <w:bottom w:val="single" w:sz="4" w:space="0" w:color="auto"/>
            </w:tcBorders>
            <w:vAlign w:val="bottom"/>
          </w:tcPr>
          <w:p w14:paraId="135F08AE" w14:textId="77777777" w:rsidR="000329C1" w:rsidRPr="00FB38E1" w:rsidRDefault="000329C1" w:rsidP="00BC404B">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Nakit</w:t>
            </w:r>
          </w:p>
        </w:tc>
        <w:tc>
          <w:tcPr>
            <w:tcW w:w="1023" w:type="pct"/>
            <w:tcBorders>
              <w:top w:val="thinThickSmallGap" w:sz="24" w:space="0" w:color="auto"/>
              <w:bottom w:val="single" w:sz="4" w:space="0" w:color="auto"/>
            </w:tcBorders>
            <w:vAlign w:val="bottom"/>
          </w:tcPr>
          <w:p w14:paraId="3FDCC850" w14:textId="77777777" w:rsidR="000329C1" w:rsidRPr="00FB38E1" w:rsidRDefault="000329C1" w:rsidP="00BC404B">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Artırıma Konu Edilen Kar Yedekleri</w:t>
            </w:r>
          </w:p>
        </w:tc>
        <w:tc>
          <w:tcPr>
            <w:tcW w:w="1345" w:type="pct"/>
            <w:tcBorders>
              <w:top w:val="thinThickSmallGap" w:sz="24" w:space="0" w:color="auto"/>
              <w:bottom w:val="single" w:sz="4" w:space="0" w:color="auto"/>
            </w:tcBorders>
            <w:vAlign w:val="bottom"/>
          </w:tcPr>
          <w:p w14:paraId="13FD7B62" w14:textId="77777777" w:rsidR="000329C1" w:rsidRPr="00FB38E1" w:rsidRDefault="000329C1" w:rsidP="00BC404B">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Artırıma Konu Edilen Sermaye Yedekleri</w:t>
            </w:r>
          </w:p>
        </w:tc>
      </w:tr>
      <w:tr w:rsidR="000329C1" w:rsidRPr="00FB38E1" w14:paraId="6FC5CEB5" w14:textId="77777777" w:rsidTr="00BC404B">
        <w:tc>
          <w:tcPr>
            <w:tcW w:w="949" w:type="pct"/>
            <w:tcBorders>
              <w:top w:val="nil"/>
              <w:bottom w:val="thickThinSmallGap" w:sz="24" w:space="0" w:color="auto"/>
            </w:tcBorders>
            <w:vAlign w:val="bottom"/>
          </w:tcPr>
          <w:p w14:paraId="20F94A63" w14:textId="5E2B8EF5" w:rsidR="000329C1" w:rsidRPr="00FB38E1" w:rsidRDefault="00BC404B" w:rsidP="00BC404B">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w:t>
            </w:r>
            <w:r w:rsidR="000329C1" w:rsidRPr="00FB38E1">
              <w:rPr>
                <w:rFonts w:ascii="Microsoft Sans Serif" w:hAnsi="Microsoft Sans Serif" w:cs="Microsoft Sans Serif"/>
                <w:color w:val="404040"/>
                <w:sz w:val="16"/>
                <w:szCs w:val="16"/>
              </w:rPr>
              <w:t xml:space="preserve">3 </w:t>
            </w:r>
            <w:r w:rsidRPr="00FB38E1">
              <w:rPr>
                <w:rFonts w:ascii="Microsoft Sans Serif" w:hAnsi="Microsoft Sans Serif" w:cs="Microsoft Sans Serif"/>
                <w:color w:val="404040"/>
                <w:sz w:val="16"/>
                <w:szCs w:val="16"/>
              </w:rPr>
              <w:t>Mayıs</w:t>
            </w:r>
            <w:r w:rsidR="000329C1" w:rsidRPr="00FB38E1">
              <w:rPr>
                <w:rFonts w:ascii="Microsoft Sans Serif" w:hAnsi="Microsoft Sans Serif" w:cs="Microsoft Sans Serif"/>
                <w:color w:val="404040"/>
                <w:sz w:val="16"/>
                <w:szCs w:val="16"/>
              </w:rPr>
              <w:t xml:space="preserve"> 202</w:t>
            </w:r>
            <w:r w:rsidRPr="00FB38E1">
              <w:rPr>
                <w:rFonts w:ascii="Microsoft Sans Serif" w:hAnsi="Microsoft Sans Serif" w:cs="Microsoft Sans Serif"/>
                <w:color w:val="404040"/>
                <w:sz w:val="16"/>
                <w:szCs w:val="16"/>
              </w:rPr>
              <w:t>4</w:t>
            </w:r>
          </w:p>
        </w:tc>
        <w:tc>
          <w:tcPr>
            <w:tcW w:w="877" w:type="pct"/>
            <w:tcBorders>
              <w:top w:val="nil"/>
              <w:bottom w:val="thickThinSmallGap" w:sz="24" w:space="0" w:color="auto"/>
            </w:tcBorders>
            <w:vAlign w:val="bottom"/>
          </w:tcPr>
          <w:p w14:paraId="16A774BC" w14:textId="7D4BE36F" w:rsidR="000329C1" w:rsidRPr="00FB38E1" w:rsidRDefault="00BC404B" w:rsidP="00BC404B">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13.942.500</w:t>
            </w:r>
          </w:p>
        </w:tc>
        <w:tc>
          <w:tcPr>
            <w:tcW w:w="805" w:type="pct"/>
            <w:tcBorders>
              <w:top w:val="nil"/>
              <w:bottom w:val="thickThinSmallGap" w:sz="24" w:space="0" w:color="auto"/>
            </w:tcBorders>
            <w:vAlign w:val="bottom"/>
          </w:tcPr>
          <w:p w14:paraId="31360FB0" w14:textId="3279E3BA" w:rsidR="000329C1" w:rsidRPr="00FB38E1" w:rsidRDefault="00BC404B" w:rsidP="00BC404B">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13.942.500</w:t>
            </w:r>
          </w:p>
        </w:tc>
        <w:tc>
          <w:tcPr>
            <w:tcW w:w="1023" w:type="pct"/>
            <w:tcBorders>
              <w:top w:val="nil"/>
              <w:bottom w:val="thickThinSmallGap" w:sz="24" w:space="0" w:color="auto"/>
            </w:tcBorders>
            <w:vAlign w:val="bottom"/>
          </w:tcPr>
          <w:p w14:paraId="0204A00B" w14:textId="77777777" w:rsidR="000329C1" w:rsidRPr="00FB38E1" w:rsidRDefault="000329C1" w:rsidP="00BC404B">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345" w:type="pct"/>
            <w:tcBorders>
              <w:top w:val="nil"/>
              <w:bottom w:val="thickThinSmallGap" w:sz="24" w:space="0" w:color="auto"/>
            </w:tcBorders>
            <w:vAlign w:val="bottom"/>
          </w:tcPr>
          <w:p w14:paraId="067C75F4" w14:textId="77777777" w:rsidR="000329C1" w:rsidRPr="00FB38E1" w:rsidRDefault="000329C1" w:rsidP="00BC404B">
            <w:pPr>
              <w:jc w:val="cente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bookmarkEnd w:id="71"/>
    <w:p w14:paraId="79225B1E" w14:textId="77777777" w:rsidR="004E1B47" w:rsidRPr="00FB38E1"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Cari dönem içinde yeniden değerleme fonlarından sermayeye ilave edilen kısma ilişkin bilgiler</w:t>
      </w:r>
    </w:p>
    <w:p w14:paraId="360E8303" w14:textId="77777777" w:rsidR="004E1B47" w:rsidRPr="00FB38E1" w:rsidRDefault="004E1B47" w:rsidP="004E1B47">
      <w:pPr>
        <w:pStyle w:val="BASLIK2"/>
        <w:widowControl/>
        <w:spacing w:before="120" w:line="220" w:lineRule="exact"/>
        <w:ind w:firstLine="0"/>
        <w:rPr>
          <w:rFonts w:ascii="Microsoft Sans Serif" w:hAnsi="Microsoft Sans Serif" w:cs="Microsoft Sans Serif"/>
          <w:b w:val="0"/>
          <w:iCs/>
          <w:color w:val="404040" w:themeColor="text1" w:themeTint="BF"/>
          <w:sz w:val="20"/>
          <w:szCs w:val="20"/>
        </w:rPr>
      </w:pPr>
      <w:r w:rsidRPr="00FB38E1">
        <w:rPr>
          <w:rFonts w:ascii="Microsoft Sans Serif" w:hAnsi="Microsoft Sans Serif" w:cs="Microsoft Sans Serif"/>
          <w:b w:val="0"/>
          <w:iCs/>
          <w:color w:val="404040" w:themeColor="text1" w:themeTint="BF"/>
          <w:sz w:val="20"/>
          <w:szCs w:val="20"/>
        </w:rPr>
        <w:t xml:space="preserve">Bulunmamaktadır. </w:t>
      </w:r>
    </w:p>
    <w:p w14:paraId="65C4E055" w14:textId="77777777" w:rsidR="004E1B47" w:rsidRPr="00FB38E1" w:rsidRDefault="004E1B47" w:rsidP="004E1B47">
      <w:pPr>
        <w:pStyle w:val="BASLIK2"/>
        <w:widowControl/>
        <w:numPr>
          <w:ilvl w:val="2"/>
          <w:numId w:val="33"/>
        </w:numPr>
        <w:spacing w:before="120"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Son mali yılın ve onu takip eden ara dönemin sonuna kadar olan sermaye taahhütleri, bu taahhütlerin genel amacı ve bu taahhütler için gerekli tahmini kaynaklar</w:t>
      </w:r>
    </w:p>
    <w:p w14:paraId="24B855CE" w14:textId="2B9D5B2D" w:rsidR="004E1B47" w:rsidRPr="00FB38E1" w:rsidRDefault="004E1B47" w:rsidP="004E1B47">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Sermaye’nin tamamı ödenmiş olup se</w:t>
      </w:r>
      <w:r w:rsidR="00B77B7E" w:rsidRPr="00FB38E1">
        <w:rPr>
          <w:rFonts w:ascii="Microsoft Sans Serif" w:hAnsi="Microsoft Sans Serif" w:cs="Microsoft Sans Serif"/>
          <w:b w:val="0"/>
          <w:color w:val="404040" w:themeColor="text1" w:themeTint="BF"/>
          <w:sz w:val="20"/>
          <w:szCs w:val="20"/>
        </w:rPr>
        <w:t>rmaye taahhüdü bulunmamaktadır.</w:t>
      </w:r>
    </w:p>
    <w:p w14:paraId="4512D0D0" w14:textId="77777777" w:rsidR="004E1B47" w:rsidRPr="00FB38E1" w:rsidRDefault="004E1B47" w:rsidP="004E1B47">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bookmarkStart w:id="72" w:name="OLE_LINK19"/>
      <w:r w:rsidRPr="00FB38E1">
        <w:rPr>
          <w:rFonts w:ascii="Microsoft Sans Serif" w:hAnsi="Microsoft Sans Serif" w:cs="Microsoft Sans Serif"/>
          <w:iCs/>
          <w:sz w:val="20"/>
          <w:szCs w:val="20"/>
        </w:rPr>
        <w:t>Banka’nın gelirleri, karlılığı ve likiditesine ilişkin geçmiş dönem göstergeleri ile bu göstergelerdeki belirsizlikler dikkate alınarak yapılacak öngörülerin, özkaynak üzerindeki tahmini etkileri</w:t>
      </w:r>
    </w:p>
    <w:p w14:paraId="7DE182F7" w14:textId="77777777" w:rsidR="004E1B47" w:rsidRPr="00FB38E1" w:rsidRDefault="004E1B47" w:rsidP="004E1B47">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b w:val="0"/>
          <w:bCs w:val="0"/>
          <w:color w:val="404040" w:themeColor="text1" w:themeTint="BF"/>
          <w:sz w:val="20"/>
          <w:szCs w:val="20"/>
          <w:lang w:eastAsia="tr-TR"/>
        </w:rPr>
        <w:t>Banka bilançosu, faiz, kur ve kredi risklerinden minimum düzeyde etkilenecek bir ihtiyatlılıkla yönetilmekte olup, bu durum Banka’nın gelirlerinin düzenli olarak artan bir eğilim içinde gelişmesine katkıda bulunmaktadır</w:t>
      </w:r>
      <w:r w:rsidRPr="00FB38E1">
        <w:rPr>
          <w:rFonts w:ascii="Microsoft Sans Serif" w:hAnsi="Microsoft Sans Serif" w:cs="Microsoft Sans Serif"/>
          <w:b w:val="0"/>
          <w:color w:val="404040" w:themeColor="text1" w:themeTint="BF"/>
          <w:sz w:val="20"/>
          <w:szCs w:val="20"/>
        </w:rPr>
        <w:t>.</w:t>
      </w:r>
    </w:p>
    <w:p w14:paraId="4F6A41E7" w14:textId="77777777" w:rsidR="004E1B47" w:rsidRPr="00FB38E1" w:rsidRDefault="004E1B47" w:rsidP="004E1B47">
      <w:pPr>
        <w:pStyle w:val="BASLIK2"/>
        <w:widowControl/>
        <w:numPr>
          <w:ilvl w:val="2"/>
          <w:numId w:val="33"/>
        </w:numPr>
        <w:spacing w:line="240" w:lineRule="exact"/>
        <w:ind w:left="0" w:hanging="426"/>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Sermayeyi temsil eden hisse senetlerine tanınan imtiyazlara ilişkin özet bilgiler</w:t>
      </w:r>
    </w:p>
    <w:p w14:paraId="7802CA6B" w14:textId="2B28D2A1" w:rsidR="004E1B47" w:rsidRPr="00FB38E1" w:rsidRDefault="004E1B47" w:rsidP="00FF0ADD">
      <w:pPr>
        <w:pStyle w:val="BASLIK2"/>
        <w:widowControl/>
        <w:spacing w:before="120" w:line="24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Banka’nın imtiyazlı hisse senedi bulunmamaktadır</w:t>
      </w:r>
      <w:r w:rsidR="00B77B7E" w:rsidRPr="00FB38E1">
        <w:rPr>
          <w:rFonts w:ascii="Microsoft Sans Serif" w:hAnsi="Microsoft Sans Serif" w:cs="Microsoft Sans Serif"/>
          <w:b w:val="0"/>
          <w:color w:val="404040" w:themeColor="text1" w:themeTint="BF"/>
          <w:sz w:val="20"/>
          <w:szCs w:val="20"/>
        </w:rPr>
        <w:t>.</w:t>
      </w:r>
    </w:p>
    <w:p w14:paraId="54BD9CCC" w14:textId="22BD477E" w:rsidR="00C82176" w:rsidRPr="00FB38E1" w:rsidRDefault="00C8217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bookmarkStart w:id="73" w:name="OLE_LINK20"/>
      <w:bookmarkEnd w:id="72"/>
      <w:r w:rsidRPr="00FB38E1">
        <w:rPr>
          <w:rFonts w:ascii="Microsoft Sans Serif" w:hAnsi="Microsoft Sans Serif" w:cs="Microsoft Sans Serif"/>
          <w:snapToGrid w:val="0"/>
          <w:sz w:val="20"/>
          <w:szCs w:val="20"/>
        </w:rPr>
        <w:t>Menkul değerler değer artış fonuna ilişkin bilgiler</w:t>
      </w:r>
    </w:p>
    <w:bookmarkEnd w:id="73"/>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9"/>
        <w:gridCol w:w="1022"/>
        <w:gridCol w:w="1128"/>
        <w:gridCol w:w="1128"/>
        <w:gridCol w:w="1122"/>
      </w:tblGrid>
      <w:tr w:rsidR="00386E75" w:rsidRPr="00FB38E1" w14:paraId="510E067B" w14:textId="17764EF6" w:rsidTr="003A5FBC">
        <w:tc>
          <w:tcPr>
            <w:tcW w:w="2718" w:type="pct"/>
            <w:vAlign w:val="bottom"/>
          </w:tcPr>
          <w:p w14:paraId="09351627" w14:textId="77777777" w:rsidR="00386E75" w:rsidRPr="00FB38E1" w:rsidRDefault="00386E75" w:rsidP="00667205">
            <w:pPr>
              <w:rPr>
                <w:rFonts w:ascii="Microsoft Sans Serif" w:hAnsi="Microsoft Sans Serif" w:cs="Microsoft Sans Serif"/>
                <w:color w:val="000000"/>
                <w:sz w:val="16"/>
                <w:szCs w:val="16"/>
              </w:rPr>
            </w:pPr>
          </w:p>
        </w:tc>
        <w:tc>
          <w:tcPr>
            <w:tcW w:w="1115" w:type="pct"/>
            <w:gridSpan w:val="2"/>
            <w:tcBorders>
              <w:bottom w:val="nil"/>
            </w:tcBorders>
            <w:vAlign w:val="bottom"/>
          </w:tcPr>
          <w:p w14:paraId="549F9A0D" w14:textId="77777777" w:rsidR="00386E75" w:rsidRPr="00FB38E1" w:rsidRDefault="00386E75" w:rsidP="0066720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67" w:type="pct"/>
            <w:gridSpan w:val="2"/>
            <w:tcBorders>
              <w:bottom w:val="nil"/>
            </w:tcBorders>
          </w:tcPr>
          <w:p w14:paraId="30BFDED4" w14:textId="7C12EE5A" w:rsidR="00386E75" w:rsidRPr="00FB38E1" w:rsidRDefault="00386E75" w:rsidP="0066720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386E75" w:rsidRPr="00FB38E1" w14:paraId="6F5922EA" w14:textId="4BD42BFA" w:rsidTr="003A5FBC">
        <w:tc>
          <w:tcPr>
            <w:tcW w:w="2718" w:type="pct"/>
            <w:tcBorders>
              <w:bottom w:val="single" w:sz="4" w:space="0" w:color="auto"/>
            </w:tcBorders>
            <w:vAlign w:val="center"/>
          </w:tcPr>
          <w:p w14:paraId="221B703B" w14:textId="77777777" w:rsidR="00386E75" w:rsidRPr="00FB38E1" w:rsidRDefault="00386E75" w:rsidP="00386E7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530" w:type="pct"/>
            <w:tcBorders>
              <w:top w:val="single" w:sz="4" w:space="0" w:color="auto"/>
              <w:bottom w:val="single" w:sz="4" w:space="0" w:color="auto"/>
            </w:tcBorders>
            <w:vAlign w:val="bottom"/>
          </w:tcPr>
          <w:p w14:paraId="11AD4F38" w14:textId="77777777" w:rsidR="00386E75" w:rsidRPr="00FB38E1" w:rsidRDefault="00386E75" w:rsidP="00386E7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5" w:type="pct"/>
            <w:tcBorders>
              <w:top w:val="single" w:sz="4" w:space="0" w:color="auto"/>
              <w:bottom w:val="single" w:sz="4" w:space="0" w:color="auto"/>
            </w:tcBorders>
            <w:vAlign w:val="bottom"/>
          </w:tcPr>
          <w:p w14:paraId="40C4CB45" w14:textId="77777777" w:rsidR="00386E75" w:rsidRPr="00FB38E1" w:rsidRDefault="00386E75" w:rsidP="00386E7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85" w:type="pct"/>
            <w:tcBorders>
              <w:top w:val="single" w:sz="4" w:space="0" w:color="auto"/>
              <w:bottom w:val="single" w:sz="4" w:space="0" w:color="auto"/>
            </w:tcBorders>
            <w:vAlign w:val="center"/>
          </w:tcPr>
          <w:p w14:paraId="27336C22" w14:textId="1A5FB098" w:rsidR="00386E75" w:rsidRPr="00FB38E1" w:rsidRDefault="00386E75" w:rsidP="00386E7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2" w:type="pct"/>
            <w:tcBorders>
              <w:top w:val="single" w:sz="4" w:space="0" w:color="auto"/>
              <w:bottom w:val="single" w:sz="4" w:space="0" w:color="auto"/>
            </w:tcBorders>
            <w:vAlign w:val="center"/>
          </w:tcPr>
          <w:p w14:paraId="25A8022B" w14:textId="6406702A" w:rsidR="00386E75" w:rsidRPr="00FB38E1" w:rsidRDefault="00386E75" w:rsidP="00386E7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3A5FBC" w:rsidRPr="00FB38E1" w14:paraId="2BBC3540" w14:textId="3967F820" w:rsidTr="003A5FBC">
        <w:tc>
          <w:tcPr>
            <w:tcW w:w="2718" w:type="pct"/>
            <w:vAlign w:val="bottom"/>
          </w:tcPr>
          <w:p w14:paraId="499D6E82" w14:textId="35389279" w:rsidR="003A5FBC" w:rsidRPr="00FB38E1" w:rsidRDefault="003A5FBC" w:rsidP="003A5FB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İştirakler, Bağlı Ortaklıklar ve Birlikte Kontrol Edilen Ortaklıklardan </w:t>
            </w:r>
          </w:p>
        </w:tc>
        <w:tc>
          <w:tcPr>
            <w:tcW w:w="530" w:type="pct"/>
            <w:vAlign w:val="center"/>
          </w:tcPr>
          <w:p w14:paraId="37A542AD" w14:textId="62C649F2" w:rsidR="003A5FBC" w:rsidRPr="00FB38E1" w:rsidRDefault="003A5FBC" w:rsidP="003A5FB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11.965.170</w:t>
            </w:r>
          </w:p>
        </w:tc>
        <w:tc>
          <w:tcPr>
            <w:tcW w:w="585" w:type="pct"/>
            <w:vAlign w:val="center"/>
          </w:tcPr>
          <w:p w14:paraId="59FBAB55" w14:textId="33DA1EA0" w:rsidR="003A5FBC" w:rsidRPr="00FB38E1" w:rsidRDefault="003A5FBC" w:rsidP="003A5FB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5" w:type="pct"/>
            <w:vAlign w:val="center"/>
          </w:tcPr>
          <w:p w14:paraId="6B7603EC" w14:textId="2E987F3A" w:rsidR="003A5FBC" w:rsidRPr="00FB38E1" w:rsidRDefault="003A5FBC" w:rsidP="003A5FBC">
            <w:pPr>
              <w:jc w:val="right"/>
              <w:rPr>
                <w:rFonts w:ascii="Microsoft Sans Serif" w:hAnsi="Microsoft Sans Serif" w:cs="Microsoft Sans Serif"/>
                <w:color w:val="333333"/>
                <w:sz w:val="16"/>
                <w:szCs w:val="16"/>
              </w:rPr>
            </w:pPr>
            <w:r w:rsidRPr="00FB38E1">
              <w:rPr>
                <w:rFonts w:ascii="Microsoft Sans Serif" w:hAnsi="Microsoft Sans Serif" w:cs="Microsoft Sans Serif"/>
                <w:color w:val="404040"/>
                <w:sz w:val="16"/>
                <w:szCs w:val="16"/>
              </w:rPr>
              <w:t>7.893.361</w:t>
            </w:r>
          </w:p>
        </w:tc>
        <w:tc>
          <w:tcPr>
            <w:tcW w:w="582" w:type="pct"/>
            <w:vAlign w:val="center"/>
          </w:tcPr>
          <w:p w14:paraId="64A6A88F" w14:textId="0C492B82" w:rsidR="003A5FBC" w:rsidRPr="00FB38E1" w:rsidRDefault="003A5FBC" w:rsidP="003A5FBC">
            <w:pPr>
              <w:jc w:val="right"/>
              <w:rPr>
                <w:rFonts w:ascii="Microsoft Sans Serif" w:hAnsi="Microsoft Sans Serif" w:cs="Microsoft Sans Serif"/>
                <w:color w:val="333333"/>
                <w:sz w:val="16"/>
                <w:szCs w:val="16"/>
              </w:rPr>
            </w:pPr>
            <w:r w:rsidRPr="00FB38E1">
              <w:rPr>
                <w:rFonts w:ascii="Microsoft Sans Serif" w:hAnsi="Microsoft Sans Serif" w:cs="Microsoft Sans Serif"/>
                <w:color w:val="404040"/>
                <w:sz w:val="16"/>
                <w:szCs w:val="16"/>
              </w:rPr>
              <w:t>--</w:t>
            </w:r>
          </w:p>
        </w:tc>
      </w:tr>
      <w:tr w:rsidR="003A5FBC" w:rsidRPr="00FB38E1" w14:paraId="2B9D9753" w14:textId="689D53FB" w:rsidTr="003A5FBC">
        <w:tc>
          <w:tcPr>
            <w:tcW w:w="2718" w:type="pct"/>
            <w:vAlign w:val="bottom"/>
          </w:tcPr>
          <w:p w14:paraId="6E53AA38" w14:textId="2EF98D4D" w:rsidR="003A5FBC" w:rsidRPr="00FB38E1" w:rsidRDefault="003A5FBC" w:rsidP="003A5FBC">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Değerleme Farkı ve Kur Farkı </w:t>
            </w:r>
          </w:p>
        </w:tc>
        <w:tc>
          <w:tcPr>
            <w:tcW w:w="530" w:type="pct"/>
            <w:vAlign w:val="center"/>
          </w:tcPr>
          <w:p w14:paraId="1AB61B9C" w14:textId="0C77AAFF" w:rsidR="003A5FBC" w:rsidRPr="00FB38E1" w:rsidRDefault="003A5FBC" w:rsidP="003A5FB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(3.103.270)</w:t>
            </w:r>
          </w:p>
        </w:tc>
        <w:tc>
          <w:tcPr>
            <w:tcW w:w="585" w:type="pct"/>
            <w:vAlign w:val="center"/>
          </w:tcPr>
          <w:p w14:paraId="574DED7D" w14:textId="0418E255" w:rsidR="003A5FBC" w:rsidRPr="00FB38E1" w:rsidRDefault="003A5FBC" w:rsidP="003A5FBC">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(373.552)</w:t>
            </w:r>
          </w:p>
        </w:tc>
        <w:tc>
          <w:tcPr>
            <w:tcW w:w="585" w:type="pct"/>
            <w:vAlign w:val="center"/>
          </w:tcPr>
          <w:p w14:paraId="6602B1D9" w14:textId="7BDB6430" w:rsidR="003A5FBC" w:rsidRPr="00FB38E1" w:rsidRDefault="003A5FBC" w:rsidP="003A5FBC">
            <w:pPr>
              <w:jc w:val="right"/>
              <w:rPr>
                <w:rFonts w:ascii="Microsoft Sans Serif" w:hAnsi="Microsoft Sans Serif" w:cs="Microsoft Sans Serif"/>
                <w:color w:val="333333"/>
                <w:sz w:val="16"/>
                <w:szCs w:val="16"/>
              </w:rPr>
            </w:pPr>
            <w:r w:rsidRPr="00FB38E1">
              <w:rPr>
                <w:rFonts w:ascii="Microsoft Sans Serif" w:hAnsi="Microsoft Sans Serif" w:cs="Microsoft Sans Serif"/>
                <w:color w:val="404040"/>
                <w:sz w:val="16"/>
                <w:szCs w:val="16"/>
              </w:rPr>
              <w:t>(1.720.452)</w:t>
            </w:r>
          </w:p>
        </w:tc>
        <w:tc>
          <w:tcPr>
            <w:tcW w:w="582" w:type="pct"/>
            <w:vAlign w:val="center"/>
          </w:tcPr>
          <w:p w14:paraId="76ABC2CF" w14:textId="45666FDC" w:rsidR="003A5FBC" w:rsidRPr="00FB38E1" w:rsidRDefault="003A5FBC" w:rsidP="003A5FBC">
            <w:pPr>
              <w:jc w:val="right"/>
              <w:rPr>
                <w:rFonts w:ascii="Microsoft Sans Serif" w:hAnsi="Microsoft Sans Serif" w:cs="Microsoft Sans Serif"/>
                <w:color w:val="333333"/>
                <w:sz w:val="16"/>
                <w:szCs w:val="16"/>
              </w:rPr>
            </w:pPr>
            <w:r w:rsidRPr="00FB38E1">
              <w:rPr>
                <w:rFonts w:ascii="Microsoft Sans Serif" w:hAnsi="Microsoft Sans Serif" w:cs="Microsoft Sans Serif"/>
                <w:color w:val="404040"/>
                <w:sz w:val="16"/>
                <w:szCs w:val="16"/>
              </w:rPr>
              <w:t>380.260</w:t>
            </w:r>
          </w:p>
        </w:tc>
      </w:tr>
      <w:tr w:rsidR="003A5FBC" w:rsidRPr="00FB38E1" w14:paraId="65E971BA" w14:textId="365D7E5A" w:rsidTr="003A5FBC">
        <w:tc>
          <w:tcPr>
            <w:tcW w:w="2718" w:type="pct"/>
            <w:tcBorders>
              <w:top w:val="single" w:sz="4" w:space="0" w:color="auto"/>
              <w:bottom w:val="thickThinSmallGap" w:sz="24" w:space="0" w:color="auto"/>
            </w:tcBorders>
            <w:vAlign w:val="bottom"/>
          </w:tcPr>
          <w:p w14:paraId="57C323A4" w14:textId="77777777" w:rsidR="003A5FBC" w:rsidRPr="00FB38E1" w:rsidRDefault="003A5FBC" w:rsidP="003A5FBC">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30" w:type="pct"/>
            <w:tcBorders>
              <w:top w:val="single" w:sz="4" w:space="0" w:color="auto"/>
              <w:bottom w:val="thickThinSmallGap" w:sz="24" w:space="0" w:color="auto"/>
            </w:tcBorders>
            <w:vAlign w:val="center"/>
          </w:tcPr>
          <w:p w14:paraId="743B3845" w14:textId="79CBDE02" w:rsidR="003A5FBC" w:rsidRPr="00FB38E1" w:rsidRDefault="003A5FBC" w:rsidP="003A5FB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8.861.900</w:t>
            </w:r>
          </w:p>
        </w:tc>
        <w:tc>
          <w:tcPr>
            <w:tcW w:w="585" w:type="pct"/>
            <w:tcBorders>
              <w:top w:val="single" w:sz="4" w:space="0" w:color="auto"/>
              <w:bottom w:val="thickThinSmallGap" w:sz="24" w:space="0" w:color="auto"/>
            </w:tcBorders>
            <w:vAlign w:val="center"/>
          </w:tcPr>
          <w:p w14:paraId="1EEAAC46" w14:textId="2C531CA8" w:rsidR="003A5FBC" w:rsidRPr="00FB38E1" w:rsidRDefault="003A5FBC" w:rsidP="003A5FB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(373.552)</w:t>
            </w:r>
          </w:p>
        </w:tc>
        <w:tc>
          <w:tcPr>
            <w:tcW w:w="585" w:type="pct"/>
            <w:tcBorders>
              <w:top w:val="single" w:sz="4" w:space="0" w:color="auto"/>
              <w:bottom w:val="thickThinSmallGap" w:sz="24" w:space="0" w:color="auto"/>
            </w:tcBorders>
            <w:vAlign w:val="center"/>
          </w:tcPr>
          <w:p w14:paraId="5BD28679" w14:textId="350D0BD5" w:rsidR="003A5FBC" w:rsidRPr="00FB38E1" w:rsidRDefault="003A5FBC" w:rsidP="003A5FB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6.172.909</w:t>
            </w:r>
          </w:p>
        </w:tc>
        <w:tc>
          <w:tcPr>
            <w:tcW w:w="582" w:type="pct"/>
            <w:tcBorders>
              <w:top w:val="single" w:sz="4" w:space="0" w:color="auto"/>
              <w:bottom w:val="thickThinSmallGap" w:sz="24" w:space="0" w:color="auto"/>
            </w:tcBorders>
            <w:vAlign w:val="center"/>
          </w:tcPr>
          <w:p w14:paraId="3BC525FA" w14:textId="1D410687" w:rsidR="003A5FBC" w:rsidRPr="00FB38E1" w:rsidRDefault="003A5FBC" w:rsidP="003A5FBC">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380.260</w:t>
            </w:r>
          </w:p>
        </w:tc>
      </w:tr>
    </w:tbl>
    <w:p w14:paraId="47BCD279" w14:textId="49FF8588" w:rsidR="00392813" w:rsidRPr="00FB38E1" w:rsidRDefault="00C82176" w:rsidP="00076C9E">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snapToGrid w:val="0"/>
          <w:sz w:val="20"/>
          <w:szCs w:val="20"/>
        </w:rPr>
        <w:t>Riskten korunma fonlarına ilişkin bilgiler</w:t>
      </w:r>
    </w:p>
    <w:p w14:paraId="31E346FF" w14:textId="283F43C8" w:rsidR="00C82176" w:rsidRPr="00FB38E1" w:rsidRDefault="00C82176" w:rsidP="00F9766F">
      <w:pPr>
        <w:pStyle w:val="BASLIK2"/>
        <w:widowControl/>
        <w:spacing w:before="120" w:after="0" w:line="220" w:lineRule="exact"/>
        <w:ind w:firstLine="0"/>
        <w:rPr>
          <w:rFonts w:ascii="Microsoft Sans Serif" w:hAnsi="Microsoft Sans Serif" w:cs="Microsoft Sans Serif"/>
          <w:b w:val="0"/>
          <w:sz w:val="16"/>
          <w:szCs w:val="16"/>
        </w:rPr>
      </w:pPr>
      <w:r w:rsidRPr="00FB38E1">
        <w:rPr>
          <w:rFonts w:ascii="Microsoft Sans Serif" w:hAnsi="Microsoft Sans Serif" w:cs="Microsoft Sans Serif"/>
          <w:b w:val="0"/>
          <w:color w:val="404040" w:themeColor="text1" w:themeTint="BF"/>
          <w:sz w:val="20"/>
          <w:szCs w:val="20"/>
          <w:lang w:val="pt-BR"/>
        </w:rPr>
        <w:t xml:space="preserve">Riskten korunma fonlarıyla ilgili açıklamalar </w:t>
      </w:r>
      <w:r w:rsidR="00E15673" w:rsidRPr="00FB38E1">
        <w:rPr>
          <w:rFonts w:ascii="Microsoft Sans Serif" w:hAnsi="Microsoft Sans Serif" w:cs="Microsoft Sans Serif"/>
          <w:b w:val="0"/>
          <w:color w:val="404040" w:themeColor="text1" w:themeTint="BF"/>
          <w:sz w:val="20"/>
          <w:szCs w:val="20"/>
          <w:lang w:val="pt-BR"/>
        </w:rPr>
        <w:t>Dördüncü bölüm</w:t>
      </w:r>
      <w:r w:rsidR="00792D51" w:rsidRPr="00FB38E1">
        <w:rPr>
          <w:rFonts w:ascii="Microsoft Sans Serif" w:hAnsi="Microsoft Sans Serif" w:cs="Microsoft Sans Serif"/>
          <w:b w:val="0"/>
          <w:color w:val="404040" w:themeColor="text1" w:themeTint="BF"/>
          <w:sz w:val="20"/>
          <w:szCs w:val="20"/>
          <w:lang w:val="pt-BR"/>
        </w:rPr>
        <w:t xml:space="preserve"> </w:t>
      </w:r>
      <w:r w:rsidR="00710E79" w:rsidRPr="00FB38E1">
        <w:rPr>
          <w:rFonts w:ascii="Microsoft Sans Serif" w:hAnsi="Microsoft Sans Serif" w:cs="Microsoft Sans Serif"/>
          <w:b w:val="0"/>
          <w:color w:val="404040" w:themeColor="text1" w:themeTint="BF"/>
          <w:sz w:val="20"/>
          <w:szCs w:val="20"/>
          <w:lang w:val="pt-BR"/>
        </w:rPr>
        <w:t>VII</w:t>
      </w:r>
      <w:r w:rsidR="00070ED7" w:rsidRPr="00FB38E1">
        <w:rPr>
          <w:rFonts w:ascii="Microsoft Sans Serif" w:hAnsi="Microsoft Sans Serif" w:cs="Microsoft Sans Serif"/>
          <w:b w:val="0"/>
          <w:color w:val="404040" w:themeColor="text1" w:themeTint="BF"/>
          <w:sz w:val="20"/>
          <w:szCs w:val="20"/>
          <w:lang w:val="pt-BR"/>
        </w:rPr>
        <w:t xml:space="preserve">I </w:t>
      </w:r>
      <w:r w:rsidRPr="00FB38E1">
        <w:rPr>
          <w:rFonts w:ascii="Microsoft Sans Serif" w:hAnsi="Microsoft Sans Serif" w:cs="Microsoft Sans Serif"/>
          <w:b w:val="0"/>
          <w:color w:val="404040" w:themeColor="text1" w:themeTint="BF"/>
          <w:sz w:val="20"/>
          <w:szCs w:val="20"/>
          <w:lang w:val="pt-BR"/>
        </w:rPr>
        <w:t>no’lu dipnotta yapılmıştır</w:t>
      </w:r>
      <w:r w:rsidRPr="00FB38E1">
        <w:rPr>
          <w:rFonts w:ascii="Microsoft Sans Serif" w:hAnsi="Microsoft Sans Serif" w:cs="Microsoft Sans Serif"/>
          <w:b w:val="0"/>
          <w:sz w:val="16"/>
          <w:szCs w:val="16"/>
        </w:rPr>
        <w:t>.</w:t>
      </w:r>
    </w:p>
    <w:p w14:paraId="772772B5" w14:textId="1CBC3F00" w:rsidR="00C82176" w:rsidRPr="00FB38E1" w:rsidRDefault="00C82176" w:rsidP="00076C9E">
      <w:pPr>
        <w:pStyle w:val="BASLIK2"/>
        <w:widowControl/>
        <w:numPr>
          <w:ilvl w:val="2"/>
          <w:numId w:val="33"/>
        </w:numPr>
        <w:spacing w:before="180"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snapToGrid w:val="0"/>
          <w:sz w:val="20"/>
          <w:szCs w:val="20"/>
        </w:rPr>
        <w:t xml:space="preserve">Azınlık </w:t>
      </w:r>
      <w:r w:rsidR="00751BF6" w:rsidRPr="00FB38E1">
        <w:rPr>
          <w:rFonts w:ascii="Microsoft Sans Serif" w:hAnsi="Microsoft Sans Serif" w:cs="Microsoft Sans Serif"/>
          <w:snapToGrid w:val="0"/>
          <w:sz w:val="20"/>
          <w:szCs w:val="20"/>
        </w:rPr>
        <w:t>payla</w:t>
      </w:r>
      <w:r w:rsidRPr="00FB38E1">
        <w:rPr>
          <w:rFonts w:ascii="Microsoft Sans Serif" w:hAnsi="Microsoft Sans Serif" w:cs="Microsoft Sans Serif"/>
          <w:snapToGrid w:val="0"/>
          <w:sz w:val="20"/>
          <w:szCs w:val="20"/>
        </w:rPr>
        <w:t>rına ilişkin açıklamalar</w:t>
      </w:r>
    </w:p>
    <w:p w14:paraId="3F68944C" w14:textId="49263FDC" w:rsidR="000E087A" w:rsidRPr="00FB38E1" w:rsidRDefault="000938BD" w:rsidP="00F9766F">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iCs/>
          <w:color w:val="404040" w:themeColor="text1" w:themeTint="BF"/>
          <w:sz w:val="20"/>
          <w:szCs w:val="20"/>
        </w:rPr>
        <w:t>Bulunmamaktadır</w:t>
      </w:r>
      <w:r w:rsidR="000E087A" w:rsidRPr="00FB38E1">
        <w:rPr>
          <w:rFonts w:ascii="Microsoft Sans Serif" w:hAnsi="Microsoft Sans Serif" w:cs="Microsoft Sans Serif"/>
          <w:b w:val="0"/>
          <w:bCs w:val="0"/>
          <w:color w:val="404040" w:themeColor="text1" w:themeTint="BF"/>
          <w:sz w:val="20"/>
          <w:szCs w:val="20"/>
          <w:lang w:eastAsia="tr-TR"/>
        </w:rPr>
        <w:t>.</w:t>
      </w:r>
    </w:p>
    <w:p w14:paraId="7585B404" w14:textId="57A01085" w:rsidR="00DF43CF" w:rsidRPr="00FB38E1" w:rsidRDefault="00DF43CF" w:rsidP="00076C9E">
      <w:pPr>
        <w:pStyle w:val="BASLIK2"/>
        <w:widowControl/>
        <w:numPr>
          <w:ilvl w:val="2"/>
          <w:numId w:val="33"/>
        </w:numPr>
        <w:spacing w:before="180"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snapToGrid w:val="0"/>
          <w:sz w:val="20"/>
          <w:szCs w:val="20"/>
        </w:rPr>
        <w:t>Maddi duran varlıklar yeniden değerleme farklarına ilişkin açıklamalar</w:t>
      </w:r>
    </w:p>
    <w:p w14:paraId="5825185C" w14:textId="666AC28C" w:rsidR="00DF5CD6" w:rsidRPr="00FB38E1" w:rsidRDefault="00BF6768" w:rsidP="00D353BE">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r w:rsidRPr="00FB38E1">
        <w:rPr>
          <w:rFonts w:ascii="Microsoft Sans Serif" w:hAnsi="Microsoft Sans Serif" w:cs="Microsoft Sans Serif"/>
          <w:b w:val="0"/>
          <w:bCs w:val="0"/>
          <w:i w:val="0"/>
          <w:iCs w:val="0"/>
          <w:color w:val="404040" w:themeColor="text1" w:themeTint="BF"/>
          <w:sz w:val="20"/>
          <w:szCs w:val="20"/>
          <w:lang w:eastAsia="tr-TR"/>
        </w:rPr>
        <w:t>3</w:t>
      </w:r>
      <w:r w:rsidR="00284808" w:rsidRPr="00FB38E1">
        <w:rPr>
          <w:rFonts w:ascii="Microsoft Sans Serif" w:hAnsi="Microsoft Sans Serif" w:cs="Microsoft Sans Serif"/>
          <w:b w:val="0"/>
          <w:bCs w:val="0"/>
          <w:i w:val="0"/>
          <w:iCs w:val="0"/>
          <w:color w:val="404040" w:themeColor="text1" w:themeTint="BF"/>
          <w:sz w:val="20"/>
          <w:szCs w:val="20"/>
          <w:lang w:eastAsia="tr-TR"/>
        </w:rPr>
        <w:t>1</w:t>
      </w:r>
      <w:r w:rsidR="001B6748" w:rsidRPr="00FB38E1">
        <w:rPr>
          <w:rFonts w:ascii="Microsoft Sans Serif" w:hAnsi="Microsoft Sans Serif" w:cs="Microsoft Sans Serif"/>
          <w:b w:val="0"/>
          <w:bCs w:val="0"/>
          <w:i w:val="0"/>
          <w:iCs w:val="0"/>
          <w:color w:val="404040" w:themeColor="text1" w:themeTint="BF"/>
          <w:sz w:val="20"/>
          <w:szCs w:val="20"/>
          <w:lang w:eastAsia="tr-TR"/>
        </w:rPr>
        <w:t xml:space="preserve"> </w:t>
      </w:r>
      <w:r w:rsidR="00284808" w:rsidRPr="00FB38E1">
        <w:rPr>
          <w:rFonts w:ascii="Microsoft Sans Serif" w:hAnsi="Microsoft Sans Serif" w:cs="Microsoft Sans Serif"/>
          <w:b w:val="0"/>
          <w:bCs w:val="0"/>
          <w:i w:val="0"/>
          <w:iCs w:val="0"/>
          <w:color w:val="404040" w:themeColor="text1" w:themeTint="BF"/>
          <w:sz w:val="20"/>
          <w:szCs w:val="20"/>
          <w:lang w:eastAsia="tr-TR"/>
        </w:rPr>
        <w:t>Aralık</w:t>
      </w:r>
      <w:r w:rsidR="001B6748" w:rsidRPr="00FB38E1">
        <w:rPr>
          <w:rFonts w:ascii="Microsoft Sans Serif" w:hAnsi="Microsoft Sans Serif" w:cs="Microsoft Sans Serif"/>
          <w:b w:val="0"/>
          <w:bCs w:val="0"/>
          <w:i w:val="0"/>
          <w:iCs w:val="0"/>
          <w:color w:val="404040" w:themeColor="text1" w:themeTint="BF"/>
          <w:sz w:val="20"/>
          <w:szCs w:val="20"/>
          <w:lang w:eastAsia="tr-TR"/>
        </w:rPr>
        <w:t xml:space="preserve"> 201</w:t>
      </w:r>
      <w:r w:rsidR="000271B1" w:rsidRPr="00FB38E1">
        <w:rPr>
          <w:rFonts w:ascii="Microsoft Sans Serif" w:hAnsi="Microsoft Sans Serif" w:cs="Microsoft Sans Serif"/>
          <w:b w:val="0"/>
          <w:bCs w:val="0"/>
          <w:i w:val="0"/>
          <w:iCs w:val="0"/>
          <w:color w:val="404040" w:themeColor="text1" w:themeTint="BF"/>
          <w:sz w:val="20"/>
          <w:szCs w:val="20"/>
          <w:lang w:eastAsia="tr-TR"/>
        </w:rPr>
        <w:t>6</w:t>
      </w:r>
      <w:r w:rsidR="001B6748" w:rsidRPr="00FB38E1">
        <w:rPr>
          <w:rFonts w:ascii="Microsoft Sans Serif" w:hAnsi="Microsoft Sans Serif" w:cs="Microsoft Sans Serif"/>
          <w:b w:val="0"/>
          <w:bCs w:val="0"/>
          <w:i w:val="0"/>
          <w:iCs w:val="0"/>
          <w:color w:val="404040" w:themeColor="text1" w:themeTint="BF"/>
          <w:sz w:val="20"/>
          <w:szCs w:val="20"/>
          <w:lang w:eastAsia="tr-TR"/>
        </w:rPr>
        <w:t xml:space="preserve"> itibarıyla maddi duran varlıklar altında izlenen kullanımdaki gayrimenkullerin değerlemesinde TMS 16 “Maddi Duran Varlıklar” çerçevesinde maliyet modelinden yeniden değerleme modeline geçilmiştir. Yapılan değerleme sonucunda vergi sonrası net </w:t>
      </w:r>
      <w:r w:rsidR="00632C2B" w:rsidRPr="00FB38E1">
        <w:rPr>
          <w:rFonts w:ascii="Microsoft Sans Serif" w:hAnsi="Microsoft Sans Serif" w:cs="Microsoft Sans Serif"/>
          <w:b w:val="0"/>
          <w:bCs w:val="0"/>
          <w:i w:val="0"/>
          <w:iCs w:val="0"/>
          <w:color w:val="404040" w:themeColor="text1" w:themeTint="BF"/>
          <w:sz w:val="20"/>
          <w:szCs w:val="20"/>
          <w:lang w:eastAsia="tr-TR"/>
        </w:rPr>
        <w:t>1.227.992</w:t>
      </w:r>
      <w:r w:rsidR="001B6748" w:rsidRPr="00FB38E1">
        <w:rPr>
          <w:rFonts w:ascii="Microsoft Sans Serif" w:hAnsi="Microsoft Sans Serif" w:cs="Microsoft Sans Serif"/>
          <w:b w:val="0"/>
          <w:bCs w:val="0"/>
          <w:i w:val="0"/>
          <w:iCs w:val="0"/>
          <w:color w:val="404040" w:themeColor="text1" w:themeTint="BF"/>
          <w:sz w:val="20"/>
          <w:szCs w:val="20"/>
          <w:lang w:eastAsia="tr-TR"/>
        </w:rPr>
        <w:t xml:space="preserve"> TL tutarındaki yeniden değerleme farkı özkaynaklar altında</w:t>
      </w:r>
      <w:r w:rsidR="00A421FC" w:rsidRPr="00FB38E1">
        <w:rPr>
          <w:rFonts w:ascii="Microsoft Sans Serif" w:hAnsi="Microsoft Sans Serif" w:cs="Microsoft Sans Serif"/>
          <w:b w:val="0"/>
          <w:bCs w:val="0"/>
          <w:i w:val="0"/>
          <w:iCs w:val="0"/>
          <w:color w:val="404040" w:themeColor="text1" w:themeTint="BF"/>
          <w:sz w:val="20"/>
          <w:szCs w:val="20"/>
          <w:lang w:eastAsia="tr-TR"/>
        </w:rPr>
        <w:t>ki</w:t>
      </w:r>
      <w:r w:rsidR="001B6748" w:rsidRPr="00FB38E1">
        <w:rPr>
          <w:rFonts w:ascii="Microsoft Sans Serif" w:hAnsi="Microsoft Sans Serif" w:cs="Microsoft Sans Serif"/>
          <w:b w:val="0"/>
          <w:bCs w:val="0"/>
          <w:i w:val="0"/>
          <w:iCs w:val="0"/>
          <w:color w:val="404040" w:themeColor="text1" w:themeTint="BF"/>
          <w:sz w:val="20"/>
          <w:szCs w:val="20"/>
          <w:lang w:eastAsia="tr-TR"/>
        </w:rPr>
        <w:t xml:space="preserve"> </w:t>
      </w:r>
      <w:r w:rsidR="00A421FC" w:rsidRPr="00FB38E1">
        <w:rPr>
          <w:rFonts w:ascii="Microsoft Sans Serif" w:hAnsi="Microsoft Sans Serif" w:cs="Microsoft Sans Serif"/>
          <w:b w:val="0"/>
          <w:bCs w:val="0"/>
          <w:i w:val="0"/>
          <w:iCs w:val="0"/>
          <w:color w:val="404040" w:themeColor="text1" w:themeTint="BF"/>
          <w:sz w:val="20"/>
          <w:szCs w:val="20"/>
          <w:lang w:eastAsia="tr-TR"/>
        </w:rPr>
        <w:t>“K</w:t>
      </w:r>
      <w:r w:rsidR="00E6441A" w:rsidRPr="00FB38E1">
        <w:rPr>
          <w:rFonts w:ascii="Microsoft Sans Serif" w:hAnsi="Microsoft Sans Serif" w:cs="Microsoft Sans Serif"/>
          <w:b w:val="0"/>
          <w:bCs w:val="0"/>
          <w:i w:val="0"/>
          <w:iCs w:val="0"/>
          <w:color w:val="404040" w:themeColor="text1" w:themeTint="BF"/>
          <w:sz w:val="20"/>
          <w:szCs w:val="20"/>
          <w:lang w:eastAsia="tr-TR"/>
        </w:rPr>
        <w:t>a</w:t>
      </w:r>
      <w:r w:rsidR="00A421FC" w:rsidRPr="00FB38E1">
        <w:rPr>
          <w:rFonts w:ascii="Microsoft Sans Serif" w:hAnsi="Microsoft Sans Serif" w:cs="Microsoft Sans Serif"/>
          <w:b w:val="0"/>
          <w:bCs w:val="0"/>
          <w:i w:val="0"/>
          <w:iCs w:val="0"/>
          <w:color w:val="404040" w:themeColor="text1" w:themeTint="BF"/>
          <w:sz w:val="20"/>
          <w:szCs w:val="20"/>
          <w:lang w:eastAsia="tr-TR"/>
        </w:rPr>
        <w:t xml:space="preserve">r veya Zararda Yeniden Sınıflandırılmayacak Birikmiş Diğer Kapsamlı Gelirler veya Giderler” hesabında </w:t>
      </w:r>
      <w:r w:rsidR="001B6748" w:rsidRPr="00FB38E1">
        <w:rPr>
          <w:rFonts w:ascii="Microsoft Sans Serif" w:hAnsi="Microsoft Sans Serif" w:cs="Microsoft Sans Serif"/>
          <w:b w:val="0"/>
          <w:bCs w:val="0"/>
          <w:i w:val="0"/>
          <w:iCs w:val="0"/>
          <w:color w:val="404040" w:themeColor="text1" w:themeTint="BF"/>
          <w:sz w:val="20"/>
          <w:szCs w:val="20"/>
          <w:lang w:eastAsia="tr-TR"/>
        </w:rPr>
        <w:t>muhasebeleştirilmiştir</w:t>
      </w:r>
      <w:r w:rsidR="00C2303C" w:rsidRPr="00FB38E1">
        <w:rPr>
          <w:rFonts w:ascii="Microsoft Sans Serif" w:hAnsi="Microsoft Sans Serif" w:cs="Microsoft Sans Serif"/>
          <w:b w:val="0"/>
          <w:bCs w:val="0"/>
          <w:i w:val="0"/>
          <w:iCs w:val="0"/>
          <w:color w:val="404040" w:themeColor="text1" w:themeTint="BF"/>
          <w:sz w:val="20"/>
          <w:szCs w:val="20"/>
          <w:lang w:eastAsia="tr-TR"/>
        </w:rPr>
        <w:t xml:space="preserve"> (</w:t>
      </w:r>
      <w:r w:rsidR="00ED442B" w:rsidRPr="00FB38E1">
        <w:rPr>
          <w:rFonts w:ascii="Microsoft Sans Serif" w:hAnsi="Microsoft Sans Serif" w:cs="Microsoft Sans Serif"/>
          <w:b w:val="0"/>
          <w:bCs w:val="0"/>
          <w:i w:val="0"/>
          <w:iCs w:val="0"/>
          <w:color w:val="404040" w:themeColor="text1" w:themeTint="BF"/>
          <w:sz w:val="20"/>
          <w:szCs w:val="20"/>
          <w:lang w:eastAsia="tr-TR"/>
        </w:rPr>
        <w:t>31 Aralık 2023</w:t>
      </w:r>
      <w:r w:rsidR="00A641ED" w:rsidRPr="00FB38E1">
        <w:rPr>
          <w:rFonts w:ascii="Microsoft Sans Serif" w:hAnsi="Microsoft Sans Serif" w:cs="Microsoft Sans Serif"/>
          <w:b w:val="0"/>
          <w:bCs w:val="0"/>
          <w:i w:val="0"/>
          <w:iCs w:val="0"/>
          <w:color w:val="404040" w:themeColor="text1" w:themeTint="BF"/>
          <w:sz w:val="20"/>
          <w:szCs w:val="20"/>
          <w:lang w:eastAsia="tr-TR"/>
        </w:rPr>
        <w:t xml:space="preserve">: </w:t>
      </w:r>
      <w:r w:rsidR="00AC1B05" w:rsidRPr="00FB38E1">
        <w:rPr>
          <w:rFonts w:ascii="Microsoft Sans Serif" w:hAnsi="Microsoft Sans Serif" w:cs="Microsoft Sans Serif"/>
          <w:b w:val="0"/>
          <w:bCs w:val="0"/>
          <w:i w:val="0"/>
          <w:iCs w:val="0"/>
          <w:color w:val="404040" w:themeColor="text1" w:themeTint="BF"/>
          <w:sz w:val="20"/>
          <w:szCs w:val="20"/>
          <w:lang w:eastAsia="tr-TR"/>
        </w:rPr>
        <w:t>708.408</w:t>
      </w:r>
      <w:r w:rsidR="00AF09EE" w:rsidRPr="00FB38E1">
        <w:rPr>
          <w:rFonts w:ascii="Microsoft Sans Serif" w:hAnsi="Microsoft Sans Serif" w:cs="Microsoft Sans Serif"/>
          <w:b w:val="0"/>
          <w:bCs w:val="0"/>
          <w:i w:val="0"/>
          <w:iCs w:val="0"/>
          <w:color w:val="404040" w:themeColor="text1" w:themeTint="BF"/>
          <w:sz w:val="20"/>
          <w:szCs w:val="20"/>
          <w:lang w:eastAsia="tr-TR"/>
        </w:rPr>
        <w:t xml:space="preserve"> TL</w:t>
      </w:r>
      <w:r w:rsidR="00A641ED" w:rsidRPr="00FB38E1">
        <w:rPr>
          <w:rFonts w:ascii="Microsoft Sans Serif" w:hAnsi="Microsoft Sans Serif" w:cs="Microsoft Sans Serif"/>
          <w:b w:val="0"/>
          <w:bCs w:val="0"/>
          <w:i w:val="0"/>
          <w:iCs w:val="0"/>
          <w:color w:val="404040" w:themeColor="text1" w:themeTint="BF"/>
          <w:sz w:val="20"/>
          <w:szCs w:val="20"/>
          <w:lang w:eastAsia="tr-TR"/>
        </w:rPr>
        <w:t>)</w:t>
      </w:r>
      <w:r w:rsidR="001B6748" w:rsidRPr="00FB38E1">
        <w:rPr>
          <w:rFonts w:ascii="Microsoft Sans Serif" w:hAnsi="Microsoft Sans Serif" w:cs="Microsoft Sans Serif"/>
          <w:b w:val="0"/>
          <w:bCs w:val="0"/>
          <w:i w:val="0"/>
          <w:iCs w:val="0"/>
          <w:color w:val="404040" w:themeColor="text1" w:themeTint="BF"/>
          <w:sz w:val="20"/>
          <w:szCs w:val="20"/>
          <w:lang w:eastAsia="tr-TR"/>
        </w:rPr>
        <w:t>.</w:t>
      </w:r>
    </w:p>
    <w:p w14:paraId="3712971D" w14:textId="3783FA39" w:rsidR="00E76FB1" w:rsidRPr="00FB38E1" w:rsidRDefault="001B6748" w:rsidP="00E76FB1">
      <w:pPr>
        <w:pStyle w:val="BASLIK2"/>
        <w:widowControl/>
        <w:numPr>
          <w:ilvl w:val="2"/>
          <w:numId w:val="33"/>
        </w:numPr>
        <w:spacing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snapToGrid w:val="0"/>
          <w:sz w:val="20"/>
          <w:szCs w:val="20"/>
        </w:rPr>
        <w:t>Kar dağıtımına ilişkin açıklamalar</w:t>
      </w:r>
    </w:p>
    <w:p w14:paraId="704FE2B7" w14:textId="4D894D38" w:rsidR="0004668E" w:rsidRPr="00FB38E1" w:rsidRDefault="00FC12D5" w:rsidP="0004668E">
      <w:pPr>
        <w:pStyle w:val="Head3"/>
        <w:keepNext w:val="0"/>
        <w:keepLines w:val="0"/>
        <w:tabs>
          <w:tab w:val="left" w:pos="0"/>
        </w:tabs>
        <w:spacing w:before="120" w:after="0" w:line="220" w:lineRule="exact"/>
        <w:ind w:right="0" w:firstLine="0"/>
        <w:rPr>
          <w:rFonts w:ascii="Microsoft Sans Serif" w:hAnsi="Microsoft Sans Serif" w:cs="Microsoft Sans Serif"/>
          <w:b w:val="0"/>
          <w:bCs w:val="0"/>
          <w:i w:val="0"/>
          <w:iCs w:val="0"/>
          <w:color w:val="404040" w:themeColor="text1" w:themeTint="BF"/>
          <w:sz w:val="20"/>
          <w:szCs w:val="20"/>
          <w:lang w:eastAsia="tr-TR"/>
        </w:rPr>
      </w:pPr>
      <w:bookmarkStart w:id="74" w:name="_Hlk188131272"/>
      <w:r w:rsidRPr="00FB38E1">
        <w:rPr>
          <w:rFonts w:ascii="Microsoft Sans Serif" w:hAnsi="Microsoft Sans Serif" w:cs="Microsoft Sans Serif"/>
          <w:b w:val="0"/>
          <w:bCs w:val="0"/>
          <w:i w:val="0"/>
          <w:iCs w:val="0"/>
          <w:color w:val="404040" w:themeColor="text1" w:themeTint="BF"/>
          <w:sz w:val="20"/>
          <w:szCs w:val="20"/>
          <w:lang w:eastAsia="tr-TR"/>
        </w:rPr>
        <w:t>28 Mart 202</w:t>
      </w:r>
      <w:r w:rsidR="00CB2397" w:rsidRPr="00FB38E1">
        <w:rPr>
          <w:rFonts w:ascii="Microsoft Sans Serif" w:hAnsi="Microsoft Sans Serif" w:cs="Microsoft Sans Serif"/>
          <w:b w:val="0"/>
          <w:bCs w:val="0"/>
          <w:i w:val="0"/>
          <w:iCs w:val="0"/>
          <w:color w:val="404040" w:themeColor="text1" w:themeTint="BF"/>
          <w:sz w:val="20"/>
          <w:szCs w:val="20"/>
          <w:lang w:eastAsia="tr-TR"/>
        </w:rPr>
        <w:t>4</w:t>
      </w:r>
      <w:r w:rsidRPr="00FB38E1">
        <w:rPr>
          <w:rFonts w:ascii="Microsoft Sans Serif" w:hAnsi="Microsoft Sans Serif" w:cs="Microsoft Sans Serif"/>
          <w:b w:val="0"/>
          <w:bCs w:val="0"/>
          <w:i w:val="0"/>
          <w:iCs w:val="0"/>
          <w:color w:val="404040" w:themeColor="text1" w:themeTint="BF"/>
          <w:sz w:val="20"/>
          <w:szCs w:val="20"/>
          <w:lang w:eastAsia="tr-TR"/>
        </w:rPr>
        <w:t xml:space="preserve"> tarihinde yapılan Olağan Genel Kurul toplantısında, Genel kanuni yedek akçe toplamının 6102 sayılı Türk Ticaret Kanunu’nun 519 1’inci maddesi uyarınca ödenmiş sermayenin %20</w:t>
      </w:r>
      <w:r w:rsidR="00E42984" w:rsidRPr="00FB38E1">
        <w:rPr>
          <w:rFonts w:ascii="Microsoft Sans Serif" w:hAnsi="Microsoft Sans Serif" w:cs="Microsoft Sans Serif"/>
          <w:b w:val="0"/>
          <w:bCs w:val="0"/>
          <w:i w:val="0"/>
          <w:iCs w:val="0"/>
          <w:color w:val="404040" w:themeColor="text1" w:themeTint="BF"/>
          <w:sz w:val="20"/>
          <w:szCs w:val="20"/>
          <w:lang w:eastAsia="tr-TR"/>
        </w:rPr>
        <w:t>’</w:t>
      </w:r>
      <w:r w:rsidRPr="00FB38E1">
        <w:rPr>
          <w:rFonts w:ascii="Microsoft Sans Serif" w:hAnsi="Microsoft Sans Serif" w:cs="Microsoft Sans Serif"/>
          <w:b w:val="0"/>
          <w:bCs w:val="0"/>
          <w:i w:val="0"/>
          <w:iCs w:val="0"/>
          <w:color w:val="404040" w:themeColor="text1" w:themeTint="BF"/>
          <w:sz w:val="20"/>
          <w:szCs w:val="20"/>
          <w:lang w:eastAsia="tr-TR"/>
        </w:rPr>
        <w:t>sine ulaşmış olması nedeniyle 2023 yılı karından genel kanuni yedek akçe ayrılmamasına, 2023 yılı Ekspres Gayrimenkul Turizm Yatırım İşletme ve Ticaret A.Ş. iştirak satış kârının Kurumlar Vergisi 5 1-e maddesinde belirtilen istisnadan faydalanmak üzere istisna edilen 18.979</w:t>
      </w:r>
      <w:r w:rsidR="001330F6" w:rsidRPr="00FB38E1">
        <w:rPr>
          <w:rFonts w:ascii="Microsoft Sans Serif" w:hAnsi="Microsoft Sans Serif" w:cs="Microsoft Sans Serif"/>
          <w:b w:val="0"/>
          <w:bCs w:val="0"/>
          <w:i w:val="0"/>
          <w:iCs w:val="0"/>
          <w:color w:val="404040" w:themeColor="text1" w:themeTint="BF"/>
          <w:sz w:val="20"/>
          <w:szCs w:val="20"/>
          <w:lang w:eastAsia="tr-TR"/>
        </w:rPr>
        <w:t xml:space="preserve"> </w:t>
      </w:r>
      <w:r w:rsidRPr="00FB38E1">
        <w:rPr>
          <w:rFonts w:ascii="Microsoft Sans Serif" w:hAnsi="Microsoft Sans Serif" w:cs="Microsoft Sans Serif"/>
          <w:b w:val="0"/>
          <w:bCs w:val="0"/>
          <w:i w:val="0"/>
          <w:iCs w:val="0"/>
          <w:color w:val="404040" w:themeColor="text1" w:themeTint="BF"/>
          <w:sz w:val="20"/>
          <w:szCs w:val="20"/>
          <w:lang w:eastAsia="tr-TR"/>
        </w:rPr>
        <w:t>TL‘nin Tasarrufu Zorunlu Fonlar hesabında bırakılmasına</w:t>
      </w:r>
      <w:r w:rsidR="001330F6" w:rsidRPr="00FB38E1">
        <w:rPr>
          <w:rFonts w:ascii="Microsoft Sans Serif" w:hAnsi="Microsoft Sans Serif" w:cs="Microsoft Sans Serif"/>
          <w:b w:val="0"/>
          <w:bCs w:val="0"/>
          <w:i w:val="0"/>
          <w:iCs w:val="0"/>
          <w:color w:val="404040" w:themeColor="text1" w:themeTint="BF"/>
          <w:sz w:val="20"/>
          <w:szCs w:val="20"/>
          <w:lang w:eastAsia="tr-TR"/>
        </w:rPr>
        <w:t>, Kalan 27.858.806 TL’nin de Olağanüstü Yedek Akçe olarak ayrılmasına karar verilmiştir.</w:t>
      </w:r>
    </w:p>
    <w:bookmarkEnd w:id="74"/>
    <w:p w14:paraId="7862B340" w14:textId="3EAD2B17" w:rsidR="00632C2B" w:rsidRPr="00FB38E1" w:rsidRDefault="00632C2B" w:rsidP="00632C2B">
      <w:pPr>
        <w:pStyle w:val="ListParagraph"/>
        <w:autoSpaceDE w:val="0"/>
        <w:autoSpaceDN w:val="0"/>
        <w:adjustRightInd w:val="0"/>
        <w:spacing w:before="240" w:after="120" w:line="240" w:lineRule="exact"/>
        <w:ind w:left="0"/>
        <w:contextualSpacing w:val="0"/>
        <w:rPr>
          <w:rFonts w:ascii="Microsoft Sans Serif" w:hAnsi="Microsoft Sans Serif" w:cs="Microsoft Sans Serif"/>
          <w:b/>
        </w:rPr>
      </w:pPr>
      <w:r w:rsidRPr="00FB38E1">
        <w:rPr>
          <w:rFonts w:ascii="Microsoft Sans Serif" w:hAnsi="Microsoft Sans Serif" w:cs="Microsoft Sans Serif"/>
          <w:b/>
        </w:rPr>
        <w:br w:type="page"/>
      </w:r>
    </w:p>
    <w:p w14:paraId="7C6A613F" w14:textId="28B6658E" w:rsidR="00DF43CF" w:rsidRPr="00FB38E1" w:rsidRDefault="000E087A" w:rsidP="00076C9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N</w:t>
      </w:r>
      <w:r w:rsidR="00DF43CF" w:rsidRPr="00FB38E1">
        <w:rPr>
          <w:rFonts w:ascii="Microsoft Sans Serif" w:hAnsi="Microsoft Sans Serif" w:cs="Microsoft Sans Serif"/>
          <w:b/>
        </w:rPr>
        <w:t>azım hesaplara ilişkin açıklama ve dipnotlar</w:t>
      </w:r>
    </w:p>
    <w:p w14:paraId="1821A3E7" w14:textId="77777777" w:rsidR="00DF43CF" w:rsidRPr="00FB38E1" w:rsidRDefault="00667205" w:rsidP="00076C9E">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sz w:val="20"/>
          <w:szCs w:val="20"/>
        </w:rPr>
        <w:t>Nazım hesaplarda yer alan yükümlülüklere ilişkin açıklama</w:t>
      </w:r>
    </w:p>
    <w:p w14:paraId="5D998BB0" w14:textId="77777777" w:rsidR="00667205" w:rsidRPr="00FB38E1" w:rsidRDefault="00667205" w:rsidP="00076C9E">
      <w:pPr>
        <w:pStyle w:val="BASLIK2"/>
        <w:widowControl/>
        <w:numPr>
          <w:ilvl w:val="2"/>
          <w:numId w:val="34"/>
        </w:numPr>
        <w:spacing w:before="120"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Gayri kabili rücu nitelikteki kredi taahhütlerinin türü ve miktarı</w:t>
      </w:r>
    </w:p>
    <w:p w14:paraId="6690D6AC" w14:textId="50D1CD31" w:rsidR="00667205" w:rsidRPr="00FB38E1" w:rsidRDefault="000E087A" w:rsidP="00F9766F">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bCs w:val="0"/>
          <w:color w:val="404040" w:themeColor="text1" w:themeTint="BF"/>
          <w:sz w:val="20"/>
          <w:szCs w:val="20"/>
          <w:lang w:eastAsia="tr-TR"/>
        </w:rPr>
        <w:t xml:space="preserve">Banka’nın bilanço dışı kredi taahhütlerinin büyük bir bölümü gayri kabili rücu niteliğinde olup, </w:t>
      </w:r>
      <w:r w:rsidR="00AD2A6F" w:rsidRPr="00FB38E1">
        <w:rPr>
          <w:rFonts w:ascii="Microsoft Sans Serif" w:hAnsi="Microsoft Sans Serif" w:cs="Microsoft Sans Serif"/>
          <w:b w:val="0"/>
          <w:bCs w:val="0"/>
          <w:color w:val="404040" w:themeColor="text1" w:themeTint="BF"/>
          <w:sz w:val="20"/>
          <w:szCs w:val="20"/>
          <w:lang w:eastAsia="tr-TR"/>
        </w:rPr>
        <w:t xml:space="preserve">31 Aralık 2024 </w:t>
      </w:r>
      <w:r w:rsidRPr="00FB38E1">
        <w:rPr>
          <w:rFonts w:ascii="Microsoft Sans Serif" w:hAnsi="Microsoft Sans Serif" w:cs="Microsoft Sans Serif"/>
          <w:b w:val="0"/>
          <w:bCs w:val="0"/>
          <w:color w:val="404040" w:themeColor="text1" w:themeTint="BF"/>
          <w:sz w:val="20"/>
          <w:szCs w:val="20"/>
          <w:lang w:eastAsia="tr-TR"/>
        </w:rPr>
        <w:t xml:space="preserve">tarihi itibarıyla </w:t>
      </w:r>
      <w:r w:rsidR="00905B75" w:rsidRPr="00FB38E1">
        <w:rPr>
          <w:rFonts w:ascii="Microsoft Sans Serif" w:hAnsi="Microsoft Sans Serif" w:cs="Microsoft Sans Serif"/>
          <w:b w:val="0"/>
          <w:bCs w:val="0"/>
          <w:color w:val="404040" w:themeColor="text1" w:themeTint="BF"/>
          <w:sz w:val="20"/>
          <w:szCs w:val="20"/>
          <w:lang w:eastAsia="tr-TR"/>
        </w:rPr>
        <w:t>kullandırma garantili kredi tahsis taahhütleri</w:t>
      </w:r>
      <w:r w:rsidRPr="00FB38E1">
        <w:rPr>
          <w:rFonts w:ascii="Microsoft Sans Serif" w:hAnsi="Microsoft Sans Serif" w:cs="Microsoft Sans Serif"/>
          <w:b w:val="0"/>
          <w:bCs w:val="0"/>
          <w:color w:val="404040" w:themeColor="text1" w:themeTint="BF"/>
          <w:sz w:val="20"/>
          <w:szCs w:val="20"/>
          <w:lang w:eastAsia="tr-TR"/>
        </w:rPr>
        <w:t xml:space="preserve"> </w:t>
      </w:r>
      <w:r w:rsidR="00AA06C9" w:rsidRPr="00FB38E1">
        <w:rPr>
          <w:rFonts w:ascii="Microsoft Sans Serif" w:hAnsi="Microsoft Sans Serif" w:cs="Microsoft Sans Serif"/>
          <w:b w:val="0"/>
          <w:bCs w:val="0"/>
          <w:color w:val="404040" w:themeColor="text1" w:themeTint="BF"/>
          <w:sz w:val="20"/>
          <w:szCs w:val="20"/>
          <w:lang w:eastAsia="tr-TR"/>
        </w:rPr>
        <w:t>71.214.681</w:t>
      </w:r>
      <w:r w:rsidRPr="00FB38E1">
        <w:rPr>
          <w:rFonts w:ascii="Microsoft Sans Serif" w:hAnsi="Microsoft Sans Serif" w:cs="Microsoft Sans Serif"/>
          <w:b w:val="0"/>
          <w:bCs w:val="0"/>
          <w:color w:val="404040" w:themeColor="text1" w:themeTint="BF"/>
          <w:sz w:val="20"/>
          <w:szCs w:val="20"/>
          <w:lang w:eastAsia="tr-TR"/>
        </w:rPr>
        <w:t xml:space="preserve"> TL</w:t>
      </w:r>
      <w:r w:rsidR="00C2303C" w:rsidRPr="00FB38E1">
        <w:rPr>
          <w:rFonts w:ascii="Microsoft Sans Serif" w:hAnsi="Microsoft Sans Serif" w:cs="Microsoft Sans Serif"/>
          <w:b w:val="0"/>
          <w:bCs w:val="0"/>
          <w:color w:val="404040" w:themeColor="text1" w:themeTint="BF"/>
          <w:sz w:val="20"/>
          <w:szCs w:val="20"/>
          <w:lang w:eastAsia="tr-TR"/>
        </w:rPr>
        <w:t xml:space="preserve"> (</w:t>
      </w:r>
      <w:r w:rsidR="00ED442B" w:rsidRPr="00FB38E1">
        <w:rPr>
          <w:rFonts w:ascii="Microsoft Sans Serif" w:hAnsi="Microsoft Sans Serif" w:cs="Microsoft Sans Serif"/>
          <w:b w:val="0"/>
          <w:bCs w:val="0"/>
          <w:color w:val="404040" w:themeColor="text1" w:themeTint="BF"/>
          <w:sz w:val="20"/>
          <w:szCs w:val="20"/>
          <w:lang w:eastAsia="tr-TR"/>
        </w:rPr>
        <w:t>31 Aralık 2023</w:t>
      </w:r>
      <w:r w:rsidR="00EB5E84" w:rsidRPr="00FB38E1">
        <w:rPr>
          <w:rFonts w:ascii="Microsoft Sans Serif" w:hAnsi="Microsoft Sans Serif" w:cs="Microsoft Sans Serif"/>
          <w:b w:val="0"/>
          <w:bCs w:val="0"/>
          <w:color w:val="404040" w:themeColor="text1" w:themeTint="BF"/>
          <w:sz w:val="20"/>
          <w:szCs w:val="20"/>
          <w:lang w:eastAsia="tr-TR"/>
        </w:rPr>
        <w:t xml:space="preserve">: </w:t>
      </w:r>
      <w:r w:rsidR="00783F3E" w:rsidRPr="00FB38E1">
        <w:rPr>
          <w:rFonts w:ascii="Microsoft Sans Serif" w:hAnsi="Microsoft Sans Serif" w:cs="Microsoft Sans Serif"/>
          <w:b w:val="0"/>
          <w:bCs w:val="0"/>
          <w:color w:val="404040" w:themeColor="text1" w:themeTint="BF"/>
          <w:sz w:val="20"/>
          <w:szCs w:val="20"/>
          <w:lang w:eastAsia="tr-TR"/>
        </w:rPr>
        <w:t xml:space="preserve">48.403.121 </w:t>
      </w:r>
      <w:r w:rsidR="00A641ED" w:rsidRPr="00FB38E1">
        <w:rPr>
          <w:rFonts w:ascii="Microsoft Sans Serif" w:hAnsi="Microsoft Sans Serif" w:cs="Microsoft Sans Serif"/>
          <w:b w:val="0"/>
          <w:bCs w:val="0"/>
          <w:color w:val="404040" w:themeColor="text1" w:themeTint="BF"/>
          <w:sz w:val="20"/>
          <w:szCs w:val="20"/>
          <w:lang w:eastAsia="tr-TR"/>
        </w:rPr>
        <w:t>TL)</w:t>
      </w:r>
      <w:r w:rsidRPr="00FB38E1">
        <w:rPr>
          <w:rFonts w:ascii="Microsoft Sans Serif" w:hAnsi="Microsoft Sans Serif" w:cs="Microsoft Sans Serif"/>
          <w:b w:val="0"/>
          <w:bCs w:val="0"/>
          <w:color w:val="404040" w:themeColor="text1" w:themeTint="BF"/>
          <w:sz w:val="20"/>
          <w:szCs w:val="20"/>
          <w:lang w:eastAsia="tr-TR"/>
        </w:rPr>
        <w:t xml:space="preserve">, kredi kartlarına verilen harcama limit taahhüdü </w:t>
      </w:r>
      <w:r w:rsidR="00AA06C9" w:rsidRPr="00FB38E1">
        <w:rPr>
          <w:rFonts w:ascii="Microsoft Sans Serif" w:hAnsi="Microsoft Sans Serif" w:cs="Microsoft Sans Serif"/>
          <w:b w:val="0"/>
          <w:bCs w:val="0"/>
          <w:color w:val="404040" w:themeColor="text1" w:themeTint="BF"/>
          <w:sz w:val="20"/>
          <w:szCs w:val="20"/>
          <w:lang w:eastAsia="tr-TR"/>
        </w:rPr>
        <w:t>383.878.523</w:t>
      </w:r>
      <w:r w:rsidR="000E15F8" w:rsidRPr="00FB38E1">
        <w:rPr>
          <w:rFonts w:ascii="Microsoft Sans Serif" w:hAnsi="Microsoft Sans Serif" w:cs="Microsoft Sans Serif"/>
          <w:b w:val="0"/>
          <w:bCs w:val="0"/>
          <w:color w:val="404040" w:themeColor="text1" w:themeTint="BF"/>
          <w:sz w:val="20"/>
          <w:szCs w:val="20"/>
          <w:lang w:eastAsia="tr-TR"/>
        </w:rPr>
        <w:t xml:space="preserve"> TL</w:t>
      </w:r>
      <w:r w:rsidRPr="00FB38E1">
        <w:rPr>
          <w:rFonts w:ascii="Microsoft Sans Serif" w:hAnsi="Microsoft Sans Serif" w:cs="Microsoft Sans Serif"/>
          <w:b w:val="0"/>
          <w:bCs w:val="0"/>
          <w:color w:val="404040" w:themeColor="text1" w:themeTint="BF"/>
          <w:sz w:val="20"/>
          <w:szCs w:val="20"/>
          <w:lang w:eastAsia="tr-TR"/>
        </w:rPr>
        <w:t xml:space="preserve"> </w:t>
      </w:r>
      <w:r w:rsidR="00C2303C" w:rsidRPr="00FB38E1">
        <w:rPr>
          <w:rFonts w:ascii="Microsoft Sans Serif" w:hAnsi="Microsoft Sans Serif" w:cs="Microsoft Sans Serif"/>
          <w:b w:val="0"/>
          <w:bCs w:val="0"/>
          <w:color w:val="404040" w:themeColor="text1" w:themeTint="BF"/>
          <w:sz w:val="20"/>
          <w:szCs w:val="20"/>
          <w:lang w:eastAsia="tr-TR"/>
        </w:rPr>
        <w:t>(</w:t>
      </w:r>
      <w:r w:rsidR="00ED442B" w:rsidRPr="00FB38E1">
        <w:rPr>
          <w:rFonts w:ascii="Microsoft Sans Serif" w:hAnsi="Microsoft Sans Serif" w:cs="Microsoft Sans Serif"/>
          <w:b w:val="0"/>
          <w:bCs w:val="0"/>
          <w:color w:val="404040" w:themeColor="text1" w:themeTint="BF"/>
          <w:sz w:val="20"/>
          <w:szCs w:val="20"/>
          <w:lang w:eastAsia="tr-TR"/>
        </w:rPr>
        <w:t>31 Aralık 2023</w:t>
      </w:r>
      <w:r w:rsidR="00EB5E84" w:rsidRPr="00FB38E1">
        <w:rPr>
          <w:rFonts w:ascii="Microsoft Sans Serif" w:hAnsi="Microsoft Sans Serif" w:cs="Microsoft Sans Serif"/>
          <w:b w:val="0"/>
          <w:bCs w:val="0"/>
          <w:color w:val="404040" w:themeColor="text1" w:themeTint="BF"/>
          <w:sz w:val="20"/>
          <w:szCs w:val="20"/>
          <w:lang w:eastAsia="tr-TR"/>
        </w:rPr>
        <w:t xml:space="preserve">: </w:t>
      </w:r>
      <w:r w:rsidR="00783F3E" w:rsidRPr="00FB38E1">
        <w:rPr>
          <w:rFonts w:ascii="Microsoft Sans Serif" w:hAnsi="Microsoft Sans Serif" w:cs="Microsoft Sans Serif"/>
          <w:b w:val="0"/>
          <w:bCs w:val="0"/>
          <w:color w:val="404040" w:themeColor="text1" w:themeTint="BF"/>
          <w:sz w:val="20"/>
          <w:szCs w:val="20"/>
          <w:lang w:eastAsia="tr-TR"/>
        </w:rPr>
        <w:t xml:space="preserve">293.746.486 </w:t>
      </w:r>
      <w:r w:rsidR="00A641ED" w:rsidRPr="00FB38E1">
        <w:rPr>
          <w:rFonts w:ascii="Microsoft Sans Serif" w:hAnsi="Microsoft Sans Serif" w:cs="Microsoft Sans Serif"/>
          <w:b w:val="0"/>
          <w:bCs w:val="0"/>
          <w:color w:val="404040" w:themeColor="text1" w:themeTint="BF"/>
          <w:sz w:val="20"/>
          <w:szCs w:val="20"/>
          <w:lang w:eastAsia="tr-TR"/>
        </w:rPr>
        <w:t xml:space="preserve">TL) </w:t>
      </w:r>
      <w:r w:rsidRPr="00FB38E1">
        <w:rPr>
          <w:rFonts w:ascii="Microsoft Sans Serif" w:hAnsi="Microsoft Sans Serif" w:cs="Microsoft Sans Serif"/>
          <w:b w:val="0"/>
          <w:bCs w:val="0"/>
          <w:color w:val="404040" w:themeColor="text1" w:themeTint="BF"/>
          <w:sz w:val="20"/>
          <w:szCs w:val="20"/>
          <w:lang w:eastAsia="tr-TR"/>
        </w:rPr>
        <w:t xml:space="preserve">ve çek yaprakları için ödeme taahhüdü </w:t>
      </w:r>
      <w:r w:rsidR="00AA06C9" w:rsidRPr="00FB38E1">
        <w:rPr>
          <w:rFonts w:ascii="Microsoft Sans Serif" w:hAnsi="Microsoft Sans Serif" w:cs="Microsoft Sans Serif"/>
          <w:b w:val="0"/>
          <w:bCs w:val="0"/>
          <w:color w:val="404040" w:themeColor="text1" w:themeTint="BF"/>
          <w:sz w:val="20"/>
          <w:szCs w:val="20"/>
          <w:lang w:eastAsia="tr-TR"/>
        </w:rPr>
        <w:t>18.889.839</w:t>
      </w:r>
      <w:r w:rsidR="00236FA0" w:rsidRPr="00FB38E1">
        <w:rPr>
          <w:rFonts w:ascii="Microsoft Sans Serif" w:hAnsi="Microsoft Sans Serif" w:cs="Microsoft Sans Serif"/>
          <w:b w:val="0"/>
          <w:bCs w:val="0"/>
          <w:color w:val="404040" w:themeColor="text1" w:themeTint="BF"/>
          <w:sz w:val="20"/>
          <w:szCs w:val="20"/>
          <w:lang w:eastAsia="tr-TR"/>
        </w:rPr>
        <w:t xml:space="preserve"> </w:t>
      </w:r>
      <w:r w:rsidR="00234238" w:rsidRPr="00FB38E1">
        <w:rPr>
          <w:rFonts w:ascii="Microsoft Sans Serif" w:hAnsi="Microsoft Sans Serif" w:cs="Microsoft Sans Serif"/>
          <w:b w:val="0"/>
          <w:bCs w:val="0"/>
          <w:color w:val="404040" w:themeColor="text1" w:themeTint="BF"/>
          <w:sz w:val="20"/>
          <w:szCs w:val="20"/>
          <w:lang w:eastAsia="tr-TR"/>
        </w:rPr>
        <w:t>TL</w:t>
      </w:r>
      <w:r w:rsidR="00C2303C" w:rsidRPr="00FB38E1">
        <w:rPr>
          <w:rFonts w:ascii="Microsoft Sans Serif" w:hAnsi="Microsoft Sans Serif" w:cs="Microsoft Sans Serif"/>
          <w:b w:val="0"/>
          <w:bCs w:val="0"/>
          <w:color w:val="404040" w:themeColor="text1" w:themeTint="BF"/>
          <w:sz w:val="20"/>
          <w:szCs w:val="20"/>
          <w:lang w:eastAsia="tr-TR"/>
        </w:rPr>
        <w:t xml:space="preserve"> </w:t>
      </w:r>
      <w:r w:rsidR="00C2303C" w:rsidRPr="00FB38E1">
        <w:rPr>
          <w:rFonts w:ascii="Microsoft Sans Serif" w:hAnsi="Microsoft Sans Serif" w:cs="Microsoft Sans Serif"/>
          <w:b w:val="0"/>
          <w:bCs w:val="0"/>
          <w:color w:val="404040" w:themeColor="text1" w:themeTint="BF"/>
          <w:sz w:val="20"/>
          <w:szCs w:val="20"/>
          <w:lang w:eastAsia="tr-TR"/>
        </w:rPr>
        <w:tab/>
        <w:t>(</w:t>
      </w:r>
      <w:r w:rsidR="00ED442B" w:rsidRPr="00FB38E1">
        <w:rPr>
          <w:rFonts w:ascii="Microsoft Sans Serif" w:hAnsi="Microsoft Sans Serif" w:cs="Microsoft Sans Serif"/>
          <w:b w:val="0"/>
          <w:bCs w:val="0"/>
          <w:color w:val="404040" w:themeColor="text1" w:themeTint="BF"/>
          <w:sz w:val="20"/>
          <w:szCs w:val="20"/>
          <w:lang w:eastAsia="tr-TR"/>
        </w:rPr>
        <w:t>31 Aralık 2023</w:t>
      </w:r>
      <w:r w:rsidR="00EB5E84" w:rsidRPr="00FB38E1">
        <w:rPr>
          <w:rFonts w:ascii="Microsoft Sans Serif" w:hAnsi="Microsoft Sans Serif" w:cs="Microsoft Sans Serif"/>
          <w:b w:val="0"/>
          <w:bCs w:val="0"/>
          <w:color w:val="404040" w:themeColor="text1" w:themeTint="BF"/>
          <w:sz w:val="20"/>
          <w:szCs w:val="20"/>
          <w:lang w:eastAsia="tr-TR"/>
        </w:rPr>
        <w:t xml:space="preserve">: </w:t>
      </w:r>
      <w:r w:rsidR="00783F3E" w:rsidRPr="00FB38E1">
        <w:rPr>
          <w:rFonts w:ascii="Microsoft Sans Serif" w:hAnsi="Microsoft Sans Serif" w:cs="Microsoft Sans Serif"/>
          <w:b w:val="0"/>
          <w:bCs w:val="0"/>
          <w:color w:val="404040" w:themeColor="text1" w:themeTint="BF"/>
          <w:sz w:val="20"/>
          <w:szCs w:val="20"/>
          <w:lang w:eastAsia="tr-TR"/>
        </w:rPr>
        <w:t>12.311.768</w:t>
      </w:r>
      <w:r w:rsidR="00A641ED" w:rsidRPr="00FB38E1">
        <w:rPr>
          <w:rFonts w:ascii="Microsoft Sans Serif" w:hAnsi="Microsoft Sans Serif" w:cs="Microsoft Sans Serif"/>
          <w:b w:val="0"/>
          <w:bCs w:val="0"/>
          <w:color w:val="404040" w:themeColor="text1" w:themeTint="BF"/>
          <w:sz w:val="20"/>
          <w:szCs w:val="20"/>
          <w:lang w:eastAsia="tr-TR"/>
        </w:rPr>
        <w:t xml:space="preserve"> TL)</w:t>
      </w:r>
      <w:r w:rsidR="00234238" w:rsidRPr="00FB38E1">
        <w:rPr>
          <w:rFonts w:ascii="Microsoft Sans Serif" w:hAnsi="Microsoft Sans Serif" w:cs="Microsoft Sans Serif"/>
          <w:b w:val="0"/>
          <w:bCs w:val="0"/>
          <w:color w:val="404040" w:themeColor="text1" w:themeTint="BF"/>
          <w:sz w:val="20"/>
          <w:szCs w:val="20"/>
          <w:lang w:eastAsia="tr-TR"/>
        </w:rPr>
        <w:t xml:space="preserve"> </w:t>
      </w:r>
      <w:r w:rsidRPr="00FB38E1">
        <w:rPr>
          <w:rFonts w:ascii="Microsoft Sans Serif" w:hAnsi="Microsoft Sans Serif" w:cs="Microsoft Sans Serif"/>
          <w:b w:val="0"/>
          <w:bCs w:val="0"/>
          <w:color w:val="404040" w:themeColor="text1" w:themeTint="BF"/>
          <w:sz w:val="20"/>
          <w:szCs w:val="20"/>
          <w:lang w:eastAsia="tr-TR"/>
        </w:rPr>
        <w:t>tutarındadır. Bu kalemlere ait detay nazım hesaplarda takip edilmektedir</w:t>
      </w:r>
      <w:r w:rsidR="00667205" w:rsidRPr="00FB38E1">
        <w:rPr>
          <w:rFonts w:ascii="Microsoft Sans Serif" w:hAnsi="Microsoft Sans Serif" w:cs="Microsoft Sans Serif"/>
          <w:b w:val="0"/>
          <w:color w:val="404040" w:themeColor="text1" w:themeTint="BF"/>
          <w:sz w:val="20"/>
          <w:szCs w:val="20"/>
        </w:rPr>
        <w:t>.</w:t>
      </w:r>
    </w:p>
    <w:p w14:paraId="5D88685D" w14:textId="77777777" w:rsidR="00667205" w:rsidRPr="00FB38E1" w:rsidRDefault="00667205" w:rsidP="00076C9E">
      <w:pPr>
        <w:pStyle w:val="BASLIK2"/>
        <w:widowControl/>
        <w:numPr>
          <w:ilvl w:val="2"/>
          <w:numId w:val="34"/>
        </w:numPr>
        <w:spacing w:before="120"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Nazım hesap kalemlerinden kaynaklanan muhtemel zararların ve taahhütlerin yapısı ve tutarı</w:t>
      </w:r>
    </w:p>
    <w:p w14:paraId="5518967E" w14:textId="6C4D5293" w:rsidR="00667205" w:rsidRPr="00FB38E1" w:rsidRDefault="00667205" w:rsidP="00076C9E">
      <w:pPr>
        <w:pStyle w:val="BASLIK2"/>
        <w:widowControl/>
        <w:numPr>
          <w:ilvl w:val="0"/>
          <w:numId w:val="42"/>
        </w:numPr>
        <w:spacing w:before="120" w:line="240" w:lineRule="exact"/>
        <w:ind w:left="0" w:hanging="295"/>
        <w:rPr>
          <w:rFonts w:ascii="Microsoft Sans Serif" w:hAnsi="Microsoft Sans Serif" w:cs="Microsoft Sans Serif"/>
          <w:b w:val="0"/>
          <w:bCs w:val="0"/>
          <w:sz w:val="20"/>
          <w:szCs w:val="20"/>
        </w:rPr>
      </w:pPr>
      <w:r w:rsidRPr="00FB38E1">
        <w:rPr>
          <w:rFonts w:ascii="Microsoft Sans Serif" w:hAnsi="Microsoft Sans Serif" w:cs="Microsoft Sans Serif"/>
          <w:b w:val="0"/>
          <w:bCs w:val="0"/>
          <w:sz w:val="20"/>
          <w:szCs w:val="20"/>
        </w:rPr>
        <w:t>Garantiler, banka aval ve kabulleri ve mali garanti yerine geçen teminatlar ve diğer akreditifler dahil gayrinakdi krediler</w:t>
      </w:r>
    </w:p>
    <w:p w14:paraId="2B525064" w14:textId="05C7FB45" w:rsidR="00667205" w:rsidRPr="00FB38E1" w:rsidRDefault="00E423C0" w:rsidP="00F9766F">
      <w:pPr>
        <w:pStyle w:val="BDDKmetin"/>
        <w:spacing w:line="220" w:lineRule="exact"/>
        <w:rPr>
          <w:rFonts w:ascii="Microsoft Sans Serif" w:hAnsi="Microsoft Sans Serif" w:cs="Microsoft Sans Serif"/>
          <w:color w:val="404040" w:themeColor="text1" w:themeTint="BF"/>
          <w:sz w:val="20"/>
          <w:szCs w:val="20"/>
          <w:lang w:val="tr-TR"/>
        </w:rPr>
      </w:pPr>
      <w:r w:rsidRPr="00FB38E1">
        <w:rPr>
          <w:rFonts w:ascii="Microsoft Sans Serif" w:hAnsi="Microsoft Sans Serif" w:cs="Microsoft Sans Serif"/>
          <w:color w:val="404040" w:themeColor="text1" w:themeTint="BF"/>
          <w:sz w:val="20"/>
          <w:szCs w:val="20"/>
        </w:rPr>
        <w:t xml:space="preserve">Banka’nın </w:t>
      </w:r>
      <w:r w:rsidR="00AD2A6F" w:rsidRPr="00FB38E1">
        <w:rPr>
          <w:rFonts w:ascii="Microsoft Sans Serif" w:hAnsi="Microsoft Sans Serif" w:cs="Microsoft Sans Serif"/>
          <w:color w:val="404040" w:themeColor="text1" w:themeTint="BF"/>
          <w:sz w:val="20"/>
          <w:szCs w:val="20"/>
        </w:rPr>
        <w:t xml:space="preserve">31 Aralık 2024 </w:t>
      </w:r>
      <w:r w:rsidR="000E087A" w:rsidRPr="00FB38E1">
        <w:rPr>
          <w:rFonts w:ascii="Microsoft Sans Serif" w:hAnsi="Microsoft Sans Serif" w:cs="Microsoft Sans Serif"/>
          <w:color w:val="404040" w:themeColor="text1" w:themeTint="BF"/>
          <w:sz w:val="20"/>
          <w:szCs w:val="20"/>
        </w:rPr>
        <w:t xml:space="preserve">tarihi itibarıyla </w:t>
      </w:r>
      <w:r w:rsidR="00AA06C9" w:rsidRPr="00FB38E1">
        <w:rPr>
          <w:rFonts w:ascii="Microsoft Sans Serif" w:hAnsi="Microsoft Sans Serif" w:cs="Microsoft Sans Serif"/>
          <w:color w:val="404040" w:themeColor="text1" w:themeTint="BF"/>
          <w:sz w:val="20"/>
          <w:szCs w:val="20"/>
          <w:lang w:val="tr-TR"/>
        </w:rPr>
        <w:t>156.095.297</w:t>
      </w:r>
      <w:r w:rsidR="000E087A" w:rsidRPr="00FB38E1">
        <w:rPr>
          <w:rFonts w:ascii="Microsoft Sans Serif" w:hAnsi="Microsoft Sans Serif" w:cs="Microsoft Sans Serif"/>
          <w:color w:val="404040" w:themeColor="text1" w:themeTint="BF"/>
          <w:sz w:val="20"/>
          <w:szCs w:val="20"/>
        </w:rPr>
        <w:t xml:space="preserve"> TL tutarında teminat mektupları</w:t>
      </w:r>
      <w:r w:rsidR="00221811" w:rsidRPr="00FB38E1">
        <w:rPr>
          <w:rFonts w:ascii="Microsoft Sans Serif" w:hAnsi="Microsoft Sans Serif" w:cs="Microsoft Sans Serif"/>
          <w:color w:val="404040" w:themeColor="text1" w:themeTint="BF"/>
          <w:sz w:val="20"/>
          <w:szCs w:val="20"/>
        </w:rPr>
        <w:t xml:space="preserve"> </w:t>
      </w:r>
      <w:r w:rsidR="00AA06C9" w:rsidRPr="00FB38E1">
        <w:rPr>
          <w:rFonts w:ascii="Microsoft Sans Serif" w:hAnsi="Microsoft Sans Serif" w:cs="Microsoft Sans Serif"/>
          <w:color w:val="404040" w:themeColor="text1" w:themeTint="BF"/>
          <w:sz w:val="20"/>
          <w:szCs w:val="20"/>
          <w:lang w:val="tr-TR"/>
        </w:rPr>
        <w:t>780.190</w:t>
      </w:r>
      <w:r w:rsidR="00D0396E" w:rsidRPr="00FB38E1">
        <w:rPr>
          <w:rFonts w:ascii="Microsoft Sans Serif" w:hAnsi="Microsoft Sans Serif" w:cs="Microsoft Sans Serif"/>
          <w:color w:val="404040" w:themeColor="text1" w:themeTint="BF"/>
          <w:sz w:val="20"/>
          <w:szCs w:val="20"/>
        </w:rPr>
        <w:t xml:space="preserve"> </w:t>
      </w:r>
      <w:r w:rsidR="000E087A" w:rsidRPr="00FB38E1">
        <w:rPr>
          <w:rFonts w:ascii="Microsoft Sans Serif" w:hAnsi="Microsoft Sans Serif" w:cs="Microsoft Sans Serif"/>
          <w:color w:val="404040" w:themeColor="text1" w:themeTint="BF"/>
          <w:sz w:val="20"/>
          <w:szCs w:val="20"/>
        </w:rPr>
        <w:t xml:space="preserve">TL tutarında aval ve kabulleri, </w:t>
      </w:r>
      <w:r w:rsidR="00AA06C9" w:rsidRPr="00FB38E1">
        <w:rPr>
          <w:rFonts w:ascii="Microsoft Sans Serif" w:hAnsi="Microsoft Sans Serif" w:cs="Microsoft Sans Serif"/>
          <w:color w:val="404040" w:themeColor="text1" w:themeTint="BF"/>
          <w:sz w:val="20"/>
          <w:szCs w:val="20"/>
          <w:lang w:val="tr-TR"/>
        </w:rPr>
        <w:t>29.634.371</w:t>
      </w:r>
      <w:r w:rsidR="00F135EB" w:rsidRPr="00FB38E1">
        <w:rPr>
          <w:rFonts w:ascii="Microsoft Sans Serif" w:hAnsi="Microsoft Sans Serif" w:cs="Microsoft Sans Serif"/>
          <w:color w:val="404040" w:themeColor="text1" w:themeTint="BF"/>
          <w:sz w:val="20"/>
          <w:szCs w:val="20"/>
        </w:rPr>
        <w:t xml:space="preserve"> TL </w:t>
      </w:r>
      <w:r w:rsidR="000E087A" w:rsidRPr="00FB38E1">
        <w:rPr>
          <w:rFonts w:ascii="Microsoft Sans Serif" w:hAnsi="Microsoft Sans Serif" w:cs="Microsoft Sans Serif"/>
          <w:color w:val="404040" w:themeColor="text1" w:themeTint="BF"/>
          <w:sz w:val="20"/>
          <w:szCs w:val="20"/>
        </w:rPr>
        <w:t xml:space="preserve">tutarında akreditiflerden kaynaklanan garanti ve kefaletleri ve </w:t>
      </w:r>
      <w:r w:rsidR="00AA06C9" w:rsidRPr="00FB38E1">
        <w:rPr>
          <w:rFonts w:ascii="Microsoft Sans Serif" w:hAnsi="Microsoft Sans Serif" w:cs="Microsoft Sans Serif"/>
          <w:color w:val="404040" w:themeColor="text1" w:themeTint="BF"/>
          <w:sz w:val="20"/>
          <w:szCs w:val="20"/>
          <w:lang w:val="tr-TR"/>
        </w:rPr>
        <w:t>17.583.223</w:t>
      </w:r>
      <w:r w:rsidR="009331B2" w:rsidRPr="00FB38E1">
        <w:rPr>
          <w:rFonts w:ascii="Microsoft Sans Serif" w:hAnsi="Microsoft Sans Serif" w:cs="Microsoft Sans Serif"/>
          <w:color w:val="404040" w:themeColor="text1" w:themeTint="BF"/>
          <w:sz w:val="20"/>
          <w:szCs w:val="20"/>
          <w:lang w:val="tr-TR"/>
        </w:rPr>
        <w:t xml:space="preserve"> </w:t>
      </w:r>
      <w:r w:rsidR="000E087A" w:rsidRPr="00FB38E1">
        <w:rPr>
          <w:rFonts w:ascii="Microsoft Sans Serif" w:hAnsi="Microsoft Sans Serif" w:cs="Microsoft Sans Serif"/>
          <w:color w:val="404040" w:themeColor="text1" w:themeTint="BF"/>
          <w:sz w:val="20"/>
          <w:szCs w:val="20"/>
        </w:rPr>
        <w:t>TL tutarında diğer garanti ve kefaletleri bulunmaktadır</w:t>
      </w:r>
      <w:r w:rsidR="00667205" w:rsidRPr="00FB38E1">
        <w:rPr>
          <w:rFonts w:ascii="Microsoft Sans Serif" w:hAnsi="Microsoft Sans Serif" w:cs="Microsoft Sans Serif"/>
          <w:color w:val="404040" w:themeColor="text1" w:themeTint="BF"/>
          <w:sz w:val="20"/>
          <w:szCs w:val="20"/>
          <w:lang w:val="tr-TR"/>
        </w:rPr>
        <w:t>.</w:t>
      </w:r>
    </w:p>
    <w:p w14:paraId="615E7524" w14:textId="0D6A96EB" w:rsidR="007C5448" w:rsidRPr="00FB38E1" w:rsidRDefault="006133D7" w:rsidP="00F9766F">
      <w:pPr>
        <w:pStyle w:val="BDDKmetin"/>
        <w:spacing w:line="220" w:lineRule="exact"/>
        <w:rPr>
          <w:rStyle w:val="SubtleEmphasis"/>
        </w:rPr>
      </w:pPr>
      <w:r w:rsidRPr="00FB38E1">
        <w:rPr>
          <w:rFonts w:ascii="Microsoft Sans Serif" w:hAnsi="Microsoft Sans Serif" w:cs="Microsoft Sans Serif"/>
          <w:color w:val="404040" w:themeColor="text1" w:themeTint="BF"/>
          <w:sz w:val="20"/>
          <w:szCs w:val="20"/>
        </w:rPr>
        <w:t xml:space="preserve">Banka’nın </w:t>
      </w:r>
      <w:r w:rsidR="00ED442B" w:rsidRPr="00FB38E1">
        <w:rPr>
          <w:rFonts w:ascii="Microsoft Sans Serif" w:hAnsi="Microsoft Sans Serif" w:cs="Microsoft Sans Serif"/>
          <w:color w:val="404040" w:themeColor="text1" w:themeTint="BF"/>
          <w:sz w:val="20"/>
          <w:szCs w:val="20"/>
        </w:rPr>
        <w:t>31 Aralık 2023</w:t>
      </w:r>
      <w:r w:rsidRPr="00FB38E1">
        <w:rPr>
          <w:rFonts w:ascii="Microsoft Sans Serif" w:hAnsi="Microsoft Sans Serif" w:cs="Microsoft Sans Serif"/>
          <w:color w:val="404040" w:themeColor="text1" w:themeTint="BF"/>
          <w:sz w:val="20"/>
          <w:szCs w:val="20"/>
        </w:rPr>
        <w:t xml:space="preserve"> tarihi itibarıyla </w:t>
      </w:r>
      <w:r w:rsidR="00B77B7E" w:rsidRPr="00FB38E1">
        <w:rPr>
          <w:rFonts w:ascii="Microsoft Sans Serif" w:hAnsi="Microsoft Sans Serif" w:cs="Microsoft Sans Serif"/>
          <w:color w:val="404040" w:themeColor="text1" w:themeTint="BF"/>
          <w:sz w:val="20"/>
          <w:szCs w:val="20"/>
          <w:lang w:val="tr-TR"/>
        </w:rPr>
        <w:t>118.731.228</w:t>
      </w:r>
      <w:r w:rsidR="00B77B7E" w:rsidRPr="00FB38E1">
        <w:rPr>
          <w:rFonts w:ascii="Microsoft Sans Serif" w:hAnsi="Microsoft Sans Serif" w:cs="Microsoft Sans Serif"/>
          <w:color w:val="404040" w:themeColor="text1" w:themeTint="BF"/>
          <w:sz w:val="20"/>
          <w:szCs w:val="20"/>
        </w:rPr>
        <w:t xml:space="preserve"> </w:t>
      </w:r>
      <w:r w:rsidRPr="00FB38E1">
        <w:rPr>
          <w:rFonts w:ascii="Microsoft Sans Serif" w:hAnsi="Microsoft Sans Serif" w:cs="Microsoft Sans Serif"/>
          <w:color w:val="404040" w:themeColor="text1" w:themeTint="BF"/>
          <w:sz w:val="20"/>
          <w:szCs w:val="20"/>
        </w:rPr>
        <w:t xml:space="preserve">TL tutarında teminat mektupları </w:t>
      </w:r>
      <w:r w:rsidR="00B77B7E" w:rsidRPr="00FB38E1">
        <w:rPr>
          <w:rFonts w:ascii="Microsoft Sans Serif" w:hAnsi="Microsoft Sans Serif" w:cs="Microsoft Sans Serif"/>
          <w:color w:val="404040" w:themeColor="text1" w:themeTint="BF"/>
          <w:sz w:val="20"/>
          <w:szCs w:val="20"/>
          <w:lang w:val="tr-TR"/>
        </w:rPr>
        <w:t>717.588</w:t>
      </w:r>
      <w:r w:rsidR="00B77B7E" w:rsidRPr="00FB38E1">
        <w:rPr>
          <w:rFonts w:ascii="Microsoft Sans Serif" w:hAnsi="Microsoft Sans Serif" w:cs="Microsoft Sans Serif"/>
          <w:color w:val="404040" w:themeColor="text1" w:themeTint="BF"/>
          <w:sz w:val="20"/>
          <w:szCs w:val="20"/>
        </w:rPr>
        <w:t xml:space="preserve"> </w:t>
      </w:r>
      <w:r w:rsidRPr="00FB38E1">
        <w:rPr>
          <w:rFonts w:ascii="Microsoft Sans Serif" w:hAnsi="Microsoft Sans Serif" w:cs="Microsoft Sans Serif"/>
          <w:color w:val="404040" w:themeColor="text1" w:themeTint="BF"/>
          <w:sz w:val="20"/>
          <w:szCs w:val="20"/>
        </w:rPr>
        <w:t xml:space="preserve">TL tutarında aval ve kabulleri, </w:t>
      </w:r>
      <w:r w:rsidR="00B77B7E" w:rsidRPr="00FB38E1">
        <w:rPr>
          <w:rFonts w:ascii="Microsoft Sans Serif" w:hAnsi="Microsoft Sans Serif" w:cs="Microsoft Sans Serif"/>
          <w:color w:val="404040" w:themeColor="text1" w:themeTint="BF"/>
          <w:sz w:val="20"/>
          <w:szCs w:val="20"/>
          <w:lang w:val="tr-TR"/>
        </w:rPr>
        <w:t>23.665.636</w:t>
      </w:r>
      <w:r w:rsidR="00B77B7E" w:rsidRPr="00FB38E1">
        <w:rPr>
          <w:rFonts w:ascii="Microsoft Sans Serif" w:hAnsi="Microsoft Sans Serif" w:cs="Microsoft Sans Serif"/>
          <w:color w:val="404040" w:themeColor="text1" w:themeTint="BF"/>
          <w:sz w:val="20"/>
          <w:szCs w:val="20"/>
        </w:rPr>
        <w:t xml:space="preserve"> </w:t>
      </w:r>
      <w:r w:rsidRPr="00FB38E1">
        <w:rPr>
          <w:rFonts w:ascii="Microsoft Sans Serif" w:hAnsi="Microsoft Sans Serif" w:cs="Microsoft Sans Serif"/>
          <w:color w:val="404040" w:themeColor="text1" w:themeTint="BF"/>
          <w:sz w:val="20"/>
          <w:szCs w:val="20"/>
        </w:rPr>
        <w:t xml:space="preserve">TL tutarında akreditiflerden kaynaklanan garanti ve kefaletleri ve </w:t>
      </w:r>
      <w:r w:rsidR="00B77B7E" w:rsidRPr="00FB38E1">
        <w:rPr>
          <w:rFonts w:ascii="Microsoft Sans Serif" w:hAnsi="Microsoft Sans Serif" w:cs="Microsoft Sans Serif"/>
          <w:color w:val="404040" w:themeColor="text1" w:themeTint="BF"/>
          <w:sz w:val="20"/>
          <w:szCs w:val="20"/>
          <w:lang w:val="tr-TR"/>
        </w:rPr>
        <w:t>10.046.561</w:t>
      </w:r>
      <w:r w:rsidR="00E81088" w:rsidRPr="00FB38E1">
        <w:rPr>
          <w:rFonts w:ascii="Microsoft Sans Serif" w:hAnsi="Microsoft Sans Serif" w:cs="Microsoft Sans Serif"/>
          <w:color w:val="404040" w:themeColor="text1" w:themeTint="BF"/>
          <w:sz w:val="20"/>
          <w:szCs w:val="20"/>
          <w:lang w:val="tr-TR"/>
        </w:rPr>
        <w:t xml:space="preserve"> </w:t>
      </w:r>
      <w:r w:rsidRPr="00FB38E1">
        <w:rPr>
          <w:rFonts w:ascii="Microsoft Sans Serif" w:hAnsi="Microsoft Sans Serif" w:cs="Microsoft Sans Serif"/>
          <w:color w:val="404040" w:themeColor="text1" w:themeTint="BF"/>
          <w:sz w:val="20"/>
          <w:szCs w:val="20"/>
        </w:rPr>
        <w:t>TL tutarında diğer garanti ve kefaletleri bulunmaktadır</w:t>
      </w:r>
      <w:r w:rsidRPr="00FB38E1">
        <w:rPr>
          <w:rFonts w:ascii="Microsoft Sans Serif" w:hAnsi="Microsoft Sans Serif" w:cs="Microsoft Sans Serif"/>
          <w:color w:val="404040" w:themeColor="text1" w:themeTint="BF"/>
          <w:sz w:val="20"/>
          <w:szCs w:val="20"/>
          <w:lang w:val="tr-TR"/>
        </w:rPr>
        <w:t>.</w:t>
      </w:r>
    </w:p>
    <w:p w14:paraId="0EAD70E9" w14:textId="77777777" w:rsidR="00667205" w:rsidRPr="00FB38E1" w:rsidRDefault="00667205" w:rsidP="00076C9E">
      <w:pPr>
        <w:pStyle w:val="BASLIK2"/>
        <w:widowControl/>
        <w:numPr>
          <w:ilvl w:val="0"/>
          <w:numId w:val="42"/>
        </w:numPr>
        <w:spacing w:line="240" w:lineRule="exact"/>
        <w:ind w:left="0" w:hanging="295"/>
        <w:rPr>
          <w:rFonts w:ascii="Microsoft Sans Serif" w:hAnsi="Microsoft Sans Serif" w:cs="Microsoft Sans Serif"/>
          <w:b w:val="0"/>
          <w:sz w:val="20"/>
          <w:szCs w:val="20"/>
        </w:rPr>
      </w:pPr>
      <w:bookmarkStart w:id="75" w:name="OLE_LINK21"/>
      <w:r w:rsidRPr="00FB38E1">
        <w:rPr>
          <w:rFonts w:ascii="Microsoft Sans Serif" w:hAnsi="Microsoft Sans Serif" w:cs="Microsoft Sans Serif"/>
          <w:b w:val="0"/>
          <w:bCs w:val="0"/>
          <w:sz w:val="20"/>
          <w:szCs w:val="20"/>
        </w:rPr>
        <w:t>Kesin teminatlar, geçici teminatlar, kefaletler ve benzeri işlemler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E426F1" w:rsidRPr="00FB38E1" w14:paraId="68DF6788" w14:textId="6795C2CF" w:rsidTr="00E426F1">
        <w:tc>
          <w:tcPr>
            <w:tcW w:w="2702" w:type="pct"/>
            <w:tcBorders>
              <w:top w:val="thinThickSmallGap" w:sz="24" w:space="0" w:color="auto"/>
              <w:bottom w:val="single" w:sz="4" w:space="0" w:color="auto"/>
            </w:tcBorders>
            <w:vAlign w:val="bottom"/>
          </w:tcPr>
          <w:bookmarkEnd w:id="75"/>
          <w:p w14:paraId="2ED1414F" w14:textId="77777777" w:rsidR="00E426F1" w:rsidRPr="00FB38E1" w:rsidRDefault="00E426F1" w:rsidP="0066720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2CC3430D" w14:textId="77777777" w:rsidR="00E426F1" w:rsidRPr="00FB38E1" w:rsidRDefault="00E426F1"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775F5B0F" w14:textId="31406213" w:rsidR="00E426F1" w:rsidRPr="00FB38E1" w:rsidRDefault="00E426F1"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AD359A" w:rsidRPr="00FB38E1" w14:paraId="2B3EA51A" w14:textId="203542D1" w:rsidTr="00ED6B62">
        <w:tc>
          <w:tcPr>
            <w:tcW w:w="2702" w:type="pct"/>
            <w:tcBorders>
              <w:top w:val="single" w:sz="4" w:space="0" w:color="auto"/>
              <w:bottom w:val="nil"/>
            </w:tcBorders>
            <w:vAlign w:val="bottom"/>
          </w:tcPr>
          <w:p w14:paraId="5D93B2E8"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Geçici teminat mektupları</w:t>
            </w:r>
          </w:p>
        </w:tc>
        <w:tc>
          <w:tcPr>
            <w:tcW w:w="1149" w:type="pct"/>
            <w:tcBorders>
              <w:top w:val="single" w:sz="4" w:space="0" w:color="auto"/>
              <w:bottom w:val="nil"/>
            </w:tcBorders>
            <w:vAlign w:val="center"/>
          </w:tcPr>
          <w:p w14:paraId="06435AB5" w14:textId="7F0BB791"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4.022.382</w:t>
            </w:r>
          </w:p>
        </w:tc>
        <w:tc>
          <w:tcPr>
            <w:tcW w:w="1149" w:type="pct"/>
            <w:tcBorders>
              <w:top w:val="single" w:sz="4" w:space="0" w:color="auto"/>
              <w:bottom w:val="nil"/>
            </w:tcBorders>
            <w:vAlign w:val="center"/>
          </w:tcPr>
          <w:p w14:paraId="365102D9" w14:textId="2161A38C"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2.760.789</w:t>
            </w:r>
          </w:p>
        </w:tc>
      </w:tr>
      <w:tr w:rsidR="00AD359A" w:rsidRPr="00FB38E1" w14:paraId="5B336994" w14:textId="5CE71E24" w:rsidTr="00ED6B62">
        <w:tc>
          <w:tcPr>
            <w:tcW w:w="2702" w:type="pct"/>
            <w:tcBorders>
              <w:top w:val="nil"/>
              <w:bottom w:val="nil"/>
            </w:tcBorders>
            <w:vAlign w:val="bottom"/>
          </w:tcPr>
          <w:p w14:paraId="1D508E7E"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Kesin teminat mektupları</w:t>
            </w:r>
          </w:p>
        </w:tc>
        <w:tc>
          <w:tcPr>
            <w:tcW w:w="1149" w:type="pct"/>
            <w:tcBorders>
              <w:top w:val="nil"/>
              <w:bottom w:val="nil"/>
            </w:tcBorders>
            <w:vAlign w:val="center"/>
          </w:tcPr>
          <w:p w14:paraId="36774C85" w14:textId="7193D966"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97.459.196</w:t>
            </w:r>
          </w:p>
        </w:tc>
        <w:tc>
          <w:tcPr>
            <w:tcW w:w="1149" w:type="pct"/>
            <w:tcBorders>
              <w:top w:val="nil"/>
              <w:bottom w:val="nil"/>
            </w:tcBorders>
            <w:vAlign w:val="center"/>
          </w:tcPr>
          <w:p w14:paraId="297C26B8" w14:textId="6134E2DD"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70.577.738</w:t>
            </w:r>
          </w:p>
        </w:tc>
      </w:tr>
      <w:tr w:rsidR="00AD359A" w:rsidRPr="00FB38E1" w14:paraId="40D78613" w14:textId="1AE619F1" w:rsidTr="00ED6B62">
        <w:tc>
          <w:tcPr>
            <w:tcW w:w="2702" w:type="pct"/>
            <w:tcBorders>
              <w:top w:val="nil"/>
              <w:bottom w:val="nil"/>
            </w:tcBorders>
            <w:vAlign w:val="bottom"/>
          </w:tcPr>
          <w:p w14:paraId="5E662DE0"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Avans teminat mektupları</w:t>
            </w:r>
          </w:p>
        </w:tc>
        <w:tc>
          <w:tcPr>
            <w:tcW w:w="1149" w:type="pct"/>
            <w:tcBorders>
              <w:top w:val="nil"/>
              <w:bottom w:val="nil"/>
            </w:tcBorders>
            <w:vAlign w:val="center"/>
          </w:tcPr>
          <w:p w14:paraId="10FAE5C9" w14:textId="5DD0705B"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17.961.202</w:t>
            </w:r>
          </w:p>
        </w:tc>
        <w:tc>
          <w:tcPr>
            <w:tcW w:w="1149" w:type="pct"/>
            <w:tcBorders>
              <w:top w:val="nil"/>
              <w:bottom w:val="nil"/>
            </w:tcBorders>
            <w:vAlign w:val="center"/>
          </w:tcPr>
          <w:p w14:paraId="087DF5C4" w14:textId="4DFECD3B"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15.360.220</w:t>
            </w:r>
          </w:p>
        </w:tc>
      </w:tr>
      <w:tr w:rsidR="00AD359A" w:rsidRPr="00FB38E1" w14:paraId="3CA026D0" w14:textId="634A110E" w:rsidTr="00ED6B62">
        <w:tc>
          <w:tcPr>
            <w:tcW w:w="2702" w:type="pct"/>
            <w:tcBorders>
              <w:top w:val="nil"/>
              <w:bottom w:val="nil"/>
            </w:tcBorders>
            <w:vAlign w:val="bottom"/>
          </w:tcPr>
          <w:p w14:paraId="273F6384"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Gümrüklere verilen teminat mektupları</w:t>
            </w:r>
          </w:p>
        </w:tc>
        <w:tc>
          <w:tcPr>
            <w:tcW w:w="1149" w:type="pct"/>
            <w:tcBorders>
              <w:top w:val="nil"/>
              <w:bottom w:val="nil"/>
            </w:tcBorders>
            <w:vAlign w:val="center"/>
          </w:tcPr>
          <w:p w14:paraId="45D985E9" w14:textId="7D8B655A"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609.077</w:t>
            </w:r>
          </w:p>
        </w:tc>
        <w:tc>
          <w:tcPr>
            <w:tcW w:w="1149" w:type="pct"/>
            <w:tcBorders>
              <w:top w:val="nil"/>
              <w:bottom w:val="nil"/>
            </w:tcBorders>
            <w:vAlign w:val="center"/>
          </w:tcPr>
          <w:p w14:paraId="2B7D3069" w14:textId="763F4144"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537.601</w:t>
            </w:r>
          </w:p>
        </w:tc>
      </w:tr>
      <w:tr w:rsidR="00AD359A" w:rsidRPr="00FB38E1" w14:paraId="4741BD25" w14:textId="7CB6FC50" w:rsidTr="00ED6B62">
        <w:tc>
          <w:tcPr>
            <w:tcW w:w="2702" w:type="pct"/>
            <w:tcBorders>
              <w:top w:val="nil"/>
              <w:bottom w:val="single" w:sz="4" w:space="0" w:color="auto"/>
            </w:tcBorders>
            <w:vAlign w:val="bottom"/>
          </w:tcPr>
          <w:p w14:paraId="66FDDC77"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teminat mektupları</w:t>
            </w:r>
          </w:p>
        </w:tc>
        <w:tc>
          <w:tcPr>
            <w:tcW w:w="1149" w:type="pct"/>
            <w:tcBorders>
              <w:top w:val="nil"/>
              <w:bottom w:val="single" w:sz="4" w:space="0" w:color="auto"/>
            </w:tcBorders>
            <w:vAlign w:val="center"/>
          </w:tcPr>
          <w:p w14:paraId="33FFB871" w14:textId="1EE32B08"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36.043.440</w:t>
            </w:r>
          </w:p>
        </w:tc>
        <w:tc>
          <w:tcPr>
            <w:tcW w:w="1149" w:type="pct"/>
            <w:tcBorders>
              <w:top w:val="nil"/>
              <w:bottom w:val="single" w:sz="4" w:space="0" w:color="auto"/>
            </w:tcBorders>
            <w:vAlign w:val="center"/>
          </w:tcPr>
          <w:p w14:paraId="12FA96E8" w14:textId="6A07959F"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29.494.880</w:t>
            </w:r>
          </w:p>
        </w:tc>
      </w:tr>
      <w:tr w:rsidR="00AD359A" w:rsidRPr="00FB38E1" w14:paraId="513459C1" w14:textId="327BEFEA" w:rsidTr="00ED6B62">
        <w:tc>
          <w:tcPr>
            <w:tcW w:w="2702" w:type="pct"/>
            <w:tcBorders>
              <w:top w:val="single" w:sz="4" w:space="0" w:color="auto"/>
              <w:bottom w:val="thickThinSmallGap" w:sz="24" w:space="0" w:color="auto"/>
            </w:tcBorders>
            <w:vAlign w:val="bottom"/>
          </w:tcPr>
          <w:p w14:paraId="40022283" w14:textId="77777777" w:rsidR="00AD359A" w:rsidRPr="00FB38E1" w:rsidRDefault="00AD359A" w:rsidP="00AD359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vAlign w:val="center"/>
          </w:tcPr>
          <w:p w14:paraId="2CF2CEE9" w14:textId="158A0482" w:rsidR="00AD359A" w:rsidRPr="00FB38E1" w:rsidRDefault="00AD359A" w:rsidP="00AD359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156.095.297</w:t>
            </w:r>
          </w:p>
        </w:tc>
        <w:tc>
          <w:tcPr>
            <w:tcW w:w="1149" w:type="pct"/>
            <w:tcBorders>
              <w:top w:val="single" w:sz="4" w:space="0" w:color="auto"/>
              <w:bottom w:val="thickThinSmallGap" w:sz="24" w:space="0" w:color="auto"/>
            </w:tcBorders>
            <w:vAlign w:val="center"/>
          </w:tcPr>
          <w:p w14:paraId="57AFAF3C" w14:textId="6DBAB45F" w:rsidR="00AD359A" w:rsidRPr="00FB38E1" w:rsidRDefault="00AD359A" w:rsidP="00AD359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118.731.228</w:t>
            </w:r>
          </w:p>
        </w:tc>
      </w:tr>
    </w:tbl>
    <w:p w14:paraId="60641542" w14:textId="742FF8E1" w:rsidR="00667205" w:rsidRPr="00FB38E1" w:rsidRDefault="00667205" w:rsidP="00076C9E">
      <w:pPr>
        <w:pStyle w:val="BASLIK2"/>
        <w:widowControl/>
        <w:numPr>
          <w:ilvl w:val="2"/>
          <w:numId w:val="34"/>
        </w:numPr>
        <w:spacing w:line="240" w:lineRule="exact"/>
        <w:ind w:left="0" w:hanging="425"/>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iCs/>
          <w:sz w:val="20"/>
          <w:szCs w:val="20"/>
        </w:rPr>
        <w:t>Gayrinakdi kredilere ilişkin bilgiler</w:t>
      </w:r>
    </w:p>
    <w:p w14:paraId="7A905E23" w14:textId="77777777" w:rsidR="00667205" w:rsidRPr="00FB38E1" w:rsidRDefault="00667205" w:rsidP="00076C9E">
      <w:pPr>
        <w:pStyle w:val="BASLIK2"/>
        <w:widowControl/>
        <w:numPr>
          <w:ilvl w:val="0"/>
          <w:numId w:val="43"/>
        </w:numPr>
        <w:spacing w:before="120" w:line="240" w:lineRule="exact"/>
        <w:ind w:left="0" w:hanging="284"/>
        <w:rPr>
          <w:rFonts w:ascii="Microsoft Sans Serif" w:hAnsi="Microsoft Sans Serif" w:cs="Microsoft Sans Serif"/>
          <w:b w:val="0"/>
          <w:bCs w:val="0"/>
          <w:sz w:val="20"/>
          <w:szCs w:val="20"/>
        </w:rPr>
      </w:pPr>
      <w:bookmarkStart w:id="76" w:name="OLE_LINK22"/>
      <w:r w:rsidRPr="00FB38E1">
        <w:rPr>
          <w:rFonts w:ascii="Microsoft Sans Serif" w:hAnsi="Microsoft Sans Serif" w:cs="Microsoft Sans Serif"/>
          <w:b w:val="0"/>
          <w:bCs w:val="0"/>
          <w:sz w:val="20"/>
          <w:szCs w:val="20"/>
        </w:rPr>
        <w:t>Gayrinakdi krediler toplam tutarı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E426F1" w:rsidRPr="00FB38E1" w14:paraId="5396A5E5" w14:textId="64FF5AFD" w:rsidTr="00E426F1">
        <w:tc>
          <w:tcPr>
            <w:tcW w:w="2702" w:type="pct"/>
            <w:tcBorders>
              <w:top w:val="thinThickSmallGap" w:sz="24" w:space="0" w:color="auto"/>
              <w:bottom w:val="single" w:sz="4" w:space="0" w:color="auto"/>
            </w:tcBorders>
            <w:vAlign w:val="bottom"/>
          </w:tcPr>
          <w:bookmarkEnd w:id="76"/>
          <w:p w14:paraId="0F786AC4" w14:textId="77777777" w:rsidR="00E426F1" w:rsidRPr="00FB38E1" w:rsidRDefault="00E426F1" w:rsidP="0066720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19A49308" w14:textId="77777777" w:rsidR="00E426F1" w:rsidRPr="00FB38E1" w:rsidRDefault="00E426F1"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33529991" w14:textId="12D78705" w:rsidR="00E426F1" w:rsidRPr="00FB38E1" w:rsidRDefault="00E426F1" w:rsidP="0066720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AD359A" w:rsidRPr="00FB38E1" w14:paraId="385069D7" w14:textId="02DA1A9C" w:rsidTr="00B77B7E">
        <w:trPr>
          <w:trHeight w:val="69"/>
        </w:trPr>
        <w:tc>
          <w:tcPr>
            <w:tcW w:w="2702" w:type="pct"/>
            <w:tcBorders>
              <w:top w:val="single" w:sz="4" w:space="0" w:color="auto"/>
              <w:bottom w:val="nil"/>
            </w:tcBorders>
            <w:vAlign w:val="bottom"/>
          </w:tcPr>
          <w:p w14:paraId="55672E89"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Nakit Kredi Teminine Yönelik Olarak Açılan Gayrinakdi Krediler</w:t>
            </w:r>
          </w:p>
        </w:tc>
        <w:tc>
          <w:tcPr>
            <w:tcW w:w="1149" w:type="pct"/>
            <w:tcBorders>
              <w:top w:val="single" w:sz="4" w:space="0" w:color="auto"/>
              <w:bottom w:val="nil"/>
            </w:tcBorders>
            <w:vAlign w:val="center"/>
          </w:tcPr>
          <w:p w14:paraId="727130A2" w14:textId="2C8CD7AC"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53.626.397</w:t>
            </w:r>
          </w:p>
        </w:tc>
        <w:tc>
          <w:tcPr>
            <w:tcW w:w="1149" w:type="pct"/>
            <w:tcBorders>
              <w:top w:val="single" w:sz="4" w:space="0" w:color="auto"/>
              <w:bottom w:val="nil"/>
            </w:tcBorders>
            <w:vAlign w:val="center"/>
          </w:tcPr>
          <w:p w14:paraId="043B785D" w14:textId="61485941"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39.541.102</w:t>
            </w:r>
          </w:p>
        </w:tc>
      </w:tr>
      <w:tr w:rsidR="00AD359A" w:rsidRPr="00FB38E1" w14:paraId="687DDA03" w14:textId="78854946" w:rsidTr="00ED6B62">
        <w:tc>
          <w:tcPr>
            <w:tcW w:w="2702" w:type="pct"/>
            <w:tcBorders>
              <w:top w:val="nil"/>
              <w:bottom w:val="nil"/>
            </w:tcBorders>
            <w:vAlign w:val="bottom"/>
          </w:tcPr>
          <w:p w14:paraId="7FF93571" w14:textId="77777777" w:rsidR="00AD359A" w:rsidRPr="00FB38E1" w:rsidRDefault="00AD359A" w:rsidP="00AD359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Bir Yıl veya Daha Az Süreli Asıl Vadeli</w:t>
            </w:r>
          </w:p>
        </w:tc>
        <w:tc>
          <w:tcPr>
            <w:tcW w:w="1149" w:type="pct"/>
            <w:tcBorders>
              <w:top w:val="nil"/>
              <w:bottom w:val="nil"/>
            </w:tcBorders>
            <w:vAlign w:val="center"/>
          </w:tcPr>
          <w:p w14:paraId="1684362D" w14:textId="211267DF"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53.626.397</w:t>
            </w:r>
          </w:p>
        </w:tc>
        <w:tc>
          <w:tcPr>
            <w:tcW w:w="1149" w:type="pct"/>
            <w:tcBorders>
              <w:top w:val="nil"/>
              <w:bottom w:val="nil"/>
            </w:tcBorders>
            <w:vAlign w:val="center"/>
          </w:tcPr>
          <w:p w14:paraId="2C58E9D3" w14:textId="015C5781"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39.541.102</w:t>
            </w:r>
          </w:p>
        </w:tc>
      </w:tr>
      <w:tr w:rsidR="00AD359A" w:rsidRPr="00FB38E1" w14:paraId="2FE9609C" w14:textId="6A0F0177" w:rsidTr="00ED6B62">
        <w:tc>
          <w:tcPr>
            <w:tcW w:w="2702" w:type="pct"/>
            <w:tcBorders>
              <w:top w:val="nil"/>
              <w:bottom w:val="nil"/>
            </w:tcBorders>
            <w:vAlign w:val="bottom"/>
          </w:tcPr>
          <w:p w14:paraId="3F2188AB" w14:textId="77777777" w:rsidR="00AD359A" w:rsidRPr="00FB38E1" w:rsidRDefault="00AD359A" w:rsidP="00AD359A">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Bir Yıldan Daha Uzun Süreli Asıl Vadeli </w:t>
            </w:r>
          </w:p>
        </w:tc>
        <w:tc>
          <w:tcPr>
            <w:tcW w:w="1149" w:type="pct"/>
            <w:tcBorders>
              <w:top w:val="nil"/>
              <w:bottom w:val="nil"/>
            </w:tcBorders>
            <w:vAlign w:val="center"/>
          </w:tcPr>
          <w:p w14:paraId="0484F153" w14:textId="51E99A01"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bottom w:val="nil"/>
            </w:tcBorders>
            <w:vAlign w:val="center"/>
          </w:tcPr>
          <w:p w14:paraId="5CB82CD0" w14:textId="5C775FFC"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AD359A" w:rsidRPr="00FB38E1" w14:paraId="17697957" w14:textId="209C07B3" w:rsidTr="00ED6B62">
        <w:tc>
          <w:tcPr>
            <w:tcW w:w="2702" w:type="pct"/>
            <w:tcBorders>
              <w:top w:val="nil"/>
              <w:bottom w:val="single" w:sz="4" w:space="0" w:color="auto"/>
            </w:tcBorders>
            <w:vAlign w:val="bottom"/>
          </w:tcPr>
          <w:p w14:paraId="272C0F20"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Gayrinakdi Krediler</w:t>
            </w:r>
          </w:p>
        </w:tc>
        <w:tc>
          <w:tcPr>
            <w:tcW w:w="1149" w:type="pct"/>
            <w:tcBorders>
              <w:top w:val="nil"/>
              <w:bottom w:val="single" w:sz="4" w:space="0" w:color="auto"/>
            </w:tcBorders>
            <w:vAlign w:val="center"/>
          </w:tcPr>
          <w:p w14:paraId="604CF8EB" w14:textId="13972835"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150.466.684</w:t>
            </w:r>
          </w:p>
        </w:tc>
        <w:tc>
          <w:tcPr>
            <w:tcW w:w="1149" w:type="pct"/>
            <w:tcBorders>
              <w:top w:val="nil"/>
              <w:bottom w:val="single" w:sz="4" w:space="0" w:color="auto"/>
            </w:tcBorders>
            <w:vAlign w:val="center"/>
          </w:tcPr>
          <w:p w14:paraId="1CE0133B" w14:textId="1F88FB06"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113.619.911</w:t>
            </w:r>
          </w:p>
        </w:tc>
      </w:tr>
      <w:tr w:rsidR="00AD359A" w:rsidRPr="00FB38E1" w14:paraId="57EE1AD7" w14:textId="5B4E708F" w:rsidTr="00ED6B62">
        <w:tc>
          <w:tcPr>
            <w:tcW w:w="2702" w:type="pct"/>
            <w:tcBorders>
              <w:top w:val="single" w:sz="4" w:space="0" w:color="auto"/>
              <w:bottom w:val="thickThinSmallGap" w:sz="24" w:space="0" w:color="auto"/>
            </w:tcBorders>
            <w:vAlign w:val="bottom"/>
          </w:tcPr>
          <w:p w14:paraId="4460C88F" w14:textId="77777777" w:rsidR="00AD359A" w:rsidRPr="00FB38E1" w:rsidRDefault="00AD359A" w:rsidP="00AD359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vAlign w:val="center"/>
          </w:tcPr>
          <w:p w14:paraId="4FFAFA81" w14:textId="5BD3BB5D" w:rsidR="00AD359A" w:rsidRPr="00FB38E1" w:rsidRDefault="00AD359A" w:rsidP="00AD359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204.093.081</w:t>
            </w:r>
          </w:p>
        </w:tc>
        <w:tc>
          <w:tcPr>
            <w:tcW w:w="1149" w:type="pct"/>
            <w:tcBorders>
              <w:top w:val="single" w:sz="4" w:space="0" w:color="auto"/>
              <w:bottom w:val="thickThinSmallGap" w:sz="24" w:space="0" w:color="auto"/>
            </w:tcBorders>
            <w:vAlign w:val="center"/>
          </w:tcPr>
          <w:p w14:paraId="6B410BA4" w14:textId="1C3E4B7E" w:rsidR="00AD359A" w:rsidRPr="00FB38E1" w:rsidRDefault="00AD359A" w:rsidP="00AD359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153.161.013</w:t>
            </w:r>
          </w:p>
        </w:tc>
      </w:tr>
    </w:tbl>
    <w:p w14:paraId="1CCD5606" w14:textId="4A87D4AC" w:rsidR="00A6628A" w:rsidRPr="00FB38E1" w:rsidRDefault="00A6628A" w:rsidP="00AA06C9">
      <w:pPr>
        <w:pStyle w:val="BASLIK2"/>
        <w:widowControl/>
        <w:numPr>
          <w:ilvl w:val="0"/>
          <w:numId w:val="43"/>
        </w:numPr>
        <w:spacing w:before="120" w:line="240" w:lineRule="exact"/>
        <w:ind w:left="0" w:hanging="284"/>
        <w:rPr>
          <w:rFonts w:ascii="Microsoft Sans Serif" w:hAnsi="Microsoft Sans Serif" w:cs="Microsoft Sans Serif"/>
          <w:b w:val="0"/>
          <w:bCs w:val="0"/>
          <w:sz w:val="20"/>
          <w:szCs w:val="20"/>
        </w:rPr>
      </w:pPr>
      <w:r w:rsidRPr="00FB38E1">
        <w:rPr>
          <w:rFonts w:ascii="Microsoft Sans Serif" w:hAnsi="Microsoft Sans Serif" w:cs="Microsoft Sans Serif"/>
          <w:b w:val="0"/>
          <w:noProof/>
          <w:snapToGrid w:val="0"/>
          <w:sz w:val="20"/>
          <w:szCs w:val="20"/>
          <w:lang w:val="de-DE"/>
        </w:rPr>
        <w:t>Gayrinakdi krediler hesabı içinde sektör bazında risk yoğunlaşması hakkında bilgi</w:t>
      </w:r>
    </w:p>
    <w:tbl>
      <w:tblPr>
        <w:tblStyle w:val="TableGrid"/>
        <w:tblW w:w="967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048"/>
        <w:gridCol w:w="1418"/>
        <w:gridCol w:w="898"/>
        <w:gridCol w:w="1413"/>
        <w:gridCol w:w="898"/>
      </w:tblGrid>
      <w:tr w:rsidR="00A6628A" w:rsidRPr="00FB38E1" w14:paraId="0A558278" w14:textId="77777777" w:rsidTr="00AA06C9">
        <w:trPr>
          <w:trHeight w:val="105"/>
        </w:trPr>
        <w:tc>
          <w:tcPr>
            <w:tcW w:w="2609" w:type="pct"/>
            <w:vAlign w:val="bottom"/>
          </w:tcPr>
          <w:p w14:paraId="0C69EFDC" w14:textId="77777777" w:rsidR="00A6628A" w:rsidRPr="00FB38E1" w:rsidRDefault="00A6628A" w:rsidP="00836EF2">
            <w:pPr>
              <w:rPr>
                <w:rFonts w:ascii="Microsoft Sans Serif" w:hAnsi="Microsoft Sans Serif" w:cs="Microsoft Sans Serif"/>
                <w:color w:val="000000"/>
                <w:sz w:val="16"/>
                <w:szCs w:val="16"/>
              </w:rPr>
            </w:pPr>
          </w:p>
        </w:tc>
        <w:tc>
          <w:tcPr>
            <w:tcW w:w="2391" w:type="pct"/>
            <w:gridSpan w:val="4"/>
          </w:tcPr>
          <w:p w14:paraId="57238FEE" w14:textId="77777777" w:rsidR="00A6628A" w:rsidRPr="00FB38E1" w:rsidRDefault="00A6628A"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r>
      <w:tr w:rsidR="00A6628A" w:rsidRPr="00FB38E1" w14:paraId="192F15C8" w14:textId="77777777" w:rsidTr="00836EF2">
        <w:trPr>
          <w:trHeight w:val="47"/>
        </w:trPr>
        <w:tc>
          <w:tcPr>
            <w:tcW w:w="2609" w:type="pct"/>
            <w:tcBorders>
              <w:bottom w:val="single" w:sz="4" w:space="0" w:color="auto"/>
            </w:tcBorders>
            <w:vAlign w:val="bottom"/>
          </w:tcPr>
          <w:p w14:paraId="0D7AE361" w14:textId="77777777" w:rsidR="00A6628A" w:rsidRPr="00FB38E1" w:rsidRDefault="00A6628A" w:rsidP="00836EF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733" w:type="pct"/>
            <w:tcBorders>
              <w:top w:val="single" w:sz="4" w:space="0" w:color="auto"/>
              <w:bottom w:val="single" w:sz="4" w:space="0" w:color="auto"/>
            </w:tcBorders>
            <w:vAlign w:val="bottom"/>
          </w:tcPr>
          <w:p w14:paraId="3E71B30A"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464" w:type="pct"/>
            <w:tcBorders>
              <w:top w:val="single" w:sz="4" w:space="0" w:color="auto"/>
              <w:bottom w:val="single" w:sz="4" w:space="0" w:color="auto"/>
            </w:tcBorders>
          </w:tcPr>
          <w:p w14:paraId="2AEE6651"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730" w:type="pct"/>
            <w:tcBorders>
              <w:top w:val="single" w:sz="4" w:space="0" w:color="auto"/>
              <w:bottom w:val="single" w:sz="4" w:space="0" w:color="auto"/>
            </w:tcBorders>
            <w:vAlign w:val="bottom"/>
          </w:tcPr>
          <w:p w14:paraId="16D8098B"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464" w:type="pct"/>
            <w:tcBorders>
              <w:top w:val="single" w:sz="4" w:space="0" w:color="auto"/>
              <w:bottom w:val="single" w:sz="4" w:space="0" w:color="auto"/>
            </w:tcBorders>
          </w:tcPr>
          <w:p w14:paraId="78F2E459"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B44925" w:rsidRPr="00FB38E1" w14:paraId="1C831ABB" w14:textId="77777777" w:rsidTr="00836EF2">
        <w:trPr>
          <w:trHeight w:val="47"/>
        </w:trPr>
        <w:tc>
          <w:tcPr>
            <w:tcW w:w="2609" w:type="pct"/>
            <w:tcBorders>
              <w:top w:val="single" w:sz="4" w:space="0" w:color="auto"/>
              <w:bottom w:val="nil"/>
            </w:tcBorders>
            <w:vAlign w:val="bottom"/>
          </w:tcPr>
          <w:p w14:paraId="3E635F6A" w14:textId="77777777" w:rsidR="00B44925" w:rsidRPr="00FB38E1" w:rsidRDefault="00B44925" w:rsidP="00B4492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Tarım</w:t>
            </w:r>
          </w:p>
        </w:tc>
        <w:tc>
          <w:tcPr>
            <w:tcW w:w="733" w:type="pct"/>
            <w:tcBorders>
              <w:top w:val="nil"/>
              <w:left w:val="nil"/>
              <w:bottom w:val="nil"/>
              <w:right w:val="nil"/>
            </w:tcBorders>
            <w:shd w:val="clear" w:color="auto" w:fill="auto"/>
            <w:vAlign w:val="center"/>
          </w:tcPr>
          <w:p w14:paraId="05504379" w14:textId="48CF28F4"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4.218.260</w:t>
            </w:r>
          </w:p>
        </w:tc>
        <w:tc>
          <w:tcPr>
            <w:tcW w:w="464" w:type="pct"/>
            <w:tcBorders>
              <w:top w:val="nil"/>
              <w:left w:val="nil"/>
              <w:bottom w:val="nil"/>
              <w:right w:val="nil"/>
            </w:tcBorders>
            <w:vAlign w:val="center"/>
          </w:tcPr>
          <w:p w14:paraId="733923E3" w14:textId="46281CE8"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4,10</w:t>
            </w:r>
          </w:p>
        </w:tc>
        <w:tc>
          <w:tcPr>
            <w:tcW w:w="730" w:type="pct"/>
            <w:tcBorders>
              <w:top w:val="nil"/>
              <w:left w:val="nil"/>
              <w:bottom w:val="nil"/>
              <w:right w:val="nil"/>
            </w:tcBorders>
            <w:shd w:val="clear" w:color="auto" w:fill="auto"/>
            <w:vAlign w:val="center"/>
          </w:tcPr>
          <w:p w14:paraId="7222BEBD" w14:textId="21EDA518"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1.277.648</w:t>
            </w:r>
          </w:p>
        </w:tc>
        <w:tc>
          <w:tcPr>
            <w:tcW w:w="464" w:type="pct"/>
            <w:tcBorders>
              <w:top w:val="single" w:sz="4" w:space="0" w:color="auto"/>
              <w:bottom w:val="nil"/>
            </w:tcBorders>
            <w:vAlign w:val="center"/>
          </w:tcPr>
          <w:p w14:paraId="39FC3B7E" w14:textId="0D2DF326"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1,26</w:t>
            </w:r>
          </w:p>
        </w:tc>
      </w:tr>
      <w:tr w:rsidR="00B44925" w:rsidRPr="00FB38E1" w14:paraId="5CEFF109" w14:textId="77777777" w:rsidTr="00836EF2">
        <w:trPr>
          <w:trHeight w:val="57"/>
        </w:trPr>
        <w:tc>
          <w:tcPr>
            <w:tcW w:w="2609" w:type="pct"/>
            <w:tcBorders>
              <w:top w:val="nil"/>
            </w:tcBorders>
            <w:tcMar>
              <w:left w:w="170" w:type="dxa"/>
            </w:tcMar>
            <w:vAlign w:val="bottom"/>
          </w:tcPr>
          <w:p w14:paraId="6CA5361F"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Çiftçilik ve Hayvancılık</w:t>
            </w:r>
          </w:p>
        </w:tc>
        <w:tc>
          <w:tcPr>
            <w:tcW w:w="733" w:type="pct"/>
            <w:tcBorders>
              <w:top w:val="nil"/>
              <w:left w:val="nil"/>
              <w:bottom w:val="nil"/>
              <w:right w:val="nil"/>
            </w:tcBorders>
            <w:shd w:val="clear" w:color="auto" w:fill="auto"/>
            <w:vAlign w:val="center"/>
          </w:tcPr>
          <w:p w14:paraId="191A3A53" w14:textId="3FC04680"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4.188.065</w:t>
            </w:r>
          </w:p>
        </w:tc>
        <w:tc>
          <w:tcPr>
            <w:tcW w:w="464" w:type="pct"/>
            <w:tcBorders>
              <w:top w:val="nil"/>
              <w:left w:val="nil"/>
              <w:bottom w:val="nil"/>
              <w:right w:val="nil"/>
            </w:tcBorders>
            <w:vAlign w:val="center"/>
          </w:tcPr>
          <w:p w14:paraId="1E3C4DC2" w14:textId="703BD42D"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4,07</w:t>
            </w:r>
          </w:p>
        </w:tc>
        <w:tc>
          <w:tcPr>
            <w:tcW w:w="730" w:type="pct"/>
            <w:tcBorders>
              <w:top w:val="nil"/>
              <w:left w:val="nil"/>
              <w:bottom w:val="nil"/>
              <w:right w:val="nil"/>
            </w:tcBorders>
            <w:shd w:val="clear" w:color="auto" w:fill="auto"/>
            <w:vAlign w:val="center"/>
          </w:tcPr>
          <w:p w14:paraId="0A7FC985" w14:textId="52285933"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1.208.009</w:t>
            </w:r>
          </w:p>
        </w:tc>
        <w:tc>
          <w:tcPr>
            <w:tcW w:w="464" w:type="pct"/>
            <w:tcBorders>
              <w:top w:val="nil"/>
            </w:tcBorders>
            <w:vAlign w:val="center"/>
          </w:tcPr>
          <w:p w14:paraId="6362B613" w14:textId="2E1C74E6"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1,19</w:t>
            </w:r>
          </w:p>
        </w:tc>
      </w:tr>
      <w:tr w:rsidR="00B44925" w:rsidRPr="00FB38E1" w14:paraId="19C4B76A" w14:textId="77777777" w:rsidTr="00836EF2">
        <w:trPr>
          <w:trHeight w:val="57"/>
        </w:trPr>
        <w:tc>
          <w:tcPr>
            <w:tcW w:w="2609" w:type="pct"/>
            <w:tcBorders>
              <w:top w:val="nil"/>
            </w:tcBorders>
            <w:tcMar>
              <w:left w:w="170" w:type="dxa"/>
            </w:tcMar>
            <w:vAlign w:val="bottom"/>
          </w:tcPr>
          <w:p w14:paraId="7BFEC2F4"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Ormancılık</w:t>
            </w:r>
          </w:p>
        </w:tc>
        <w:tc>
          <w:tcPr>
            <w:tcW w:w="733" w:type="pct"/>
            <w:tcBorders>
              <w:top w:val="nil"/>
              <w:left w:val="nil"/>
              <w:bottom w:val="nil"/>
              <w:right w:val="nil"/>
            </w:tcBorders>
            <w:shd w:val="clear" w:color="auto" w:fill="auto"/>
            <w:vAlign w:val="center"/>
          </w:tcPr>
          <w:p w14:paraId="7789FEED" w14:textId="4386F2C7"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8.472</w:t>
            </w:r>
          </w:p>
        </w:tc>
        <w:tc>
          <w:tcPr>
            <w:tcW w:w="464" w:type="pct"/>
            <w:tcBorders>
              <w:top w:val="nil"/>
              <w:left w:val="nil"/>
              <w:bottom w:val="nil"/>
              <w:right w:val="nil"/>
            </w:tcBorders>
            <w:vAlign w:val="center"/>
          </w:tcPr>
          <w:p w14:paraId="0405C6B5" w14:textId="01CCB2A2"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0,01</w:t>
            </w:r>
          </w:p>
        </w:tc>
        <w:tc>
          <w:tcPr>
            <w:tcW w:w="730" w:type="pct"/>
            <w:tcBorders>
              <w:top w:val="nil"/>
              <w:left w:val="nil"/>
              <w:bottom w:val="nil"/>
              <w:right w:val="nil"/>
            </w:tcBorders>
            <w:shd w:val="clear" w:color="auto" w:fill="auto"/>
            <w:vAlign w:val="center"/>
          </w:tcPr>
          <w:p w14:paraId="6CA4C3ED" w14:textId="4A9B09A4"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64" w:type="pct"/>
            <w:tcBorders>
              <w:top w:val="nil"/>
            </w:tcBorders>
            <w:vAlign w:val="center"/>
          </w:tcPr>
          <w:p w14:paraId="07FD4174" w14:textId="44E0F473"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44925" w:rsidRPr="00FB38E1" w14:paraId="7A71C36E" w14:textId="77777777" w:rsidTr="00836EF2">
        <w:trPr>
          <w:trHeight w:val="57"/>
        </w:trPr>
        <w:tc>
          <w:tcPr>
            <w:tcW w:w="2609" w:type="pct"/>
            <w:tcBorders>
              <w:top w:val="nil"/>
            </w:tcBorders>
            <w:tcMar>
              <w:left w:w="170" w:type="dxa"/>
            </w:tcMar>
            <w:vAlign w:val="bottom"/>
          </w:tcPr>
          <w:p w14:paraId="2ABD20CC"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Balıkçılık</w:t>
            </w:r>
          </w:p>
        </w:tc>
        <w:tc>
          <w:tcPr>
            <w:tcW w:w="733" w:type="pct"/>
            <w:tcBorders>
              <w:top w:val="nil"/>
              <w:left w:val="nil"/>
              <w:bottom w:val="nil"/>
              <w:right w:val="nil"/>
            </w:tcBorders>
            <w:shd w:val="clear" w:color="auto" w:fill="auto"/>
            <w:vAlign w:val="center"/>
          </w:tcPr>
          <w:p w14:paraId="349FE9EF" w14:textId="221BC6C0"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21.723</w:t>
            </w:r>
          </w:p>
        </w:tc>
        <w:tc>
          <w:tcPr>
            <w:tcW w:w="464" w:type="pct"/>
            <w:tcBorders>
              <w:top w:val="nil"/>
              <w:left w:val="nil"/>
              <w:bottom w:val="nil"/>
              <w:right w:val="nil"/>
            </w:tcBorders>
            <w:vAlign w:val="center"/>
          </w:tcPr>
          <w:p w14:paraId="75DE35A9" w14:textId="29689093"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0,02</w:t>
            </w:r>
          </w:p>
        </w:tc>
        <w:tc>
          <w:tcPr>
            <w:tcW w:w="730" w:type="pct"/>
            <w:tcBorders>
              <w:top w:val="nil"/>
              <w:left w:val="nil"/>
              <w:bottom w:val="nil"/>
              <w:right w:val="nil"/>
            </w:tcBorders>
            <w:shd w:val="clear" w:color="auto" w:fill="auto"/>
            <w:vAlign w:val="center"/>
          </w:tcPr>
          <w:p w14:paraId="68BD8B4E" w14:textId="44D6BFA4"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69.639</w:t>
            </w:r>
          </w:p>
        </w:tc>
        <w:tc>
          <w:tcPr>
            <w:tcW w:w="464" w:type="pct"/>
            <w:tcBorders>
              <w:top w:val="nil"/>
            </w:tcBorders>
            <w:vAlign w:val="center"/>
          </w:tcPr>
          <w:p w14:paraId="4A96135D" w14:textId="1FBBBC73"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0,07</w:t>
            </w:r>
          </w:p>
        </w:tc>
      </w:tr>
      <w:tr w:rsidR="00B44925" w:rsidRPr="00FB38E1" w14:paraId="691B4019" w14:textId="77777777" w:rsidTr="00836EF2">
        <w:trPr>
          <w:trHeight w:val="57"/>
        </w:trPr>
        <w:tc>
          <w:tcPr>
            <w:tcW w:w="2609" w:type="pct"/>
            <w:tcBorders>
              <w:top w:val="nil"/>
            </w:tcBorders>
            <w:vAlign w:val="bottom"/>
          </w:tcPr>
          <w:p w14:paraId="79633B55" w14:textId="77777777" w:rsidR="00B44925" w:rsidRPr="00FB38E1" w:rsidRDefault="00B44925" w:rsidP="00B4492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Sanayi</w:t>
            </w:r>
          </w:p>
        </w:tc>
        <w:tc>
          <w:tcPr>
            <w:tcW w:w="733" w:type="pct"/>
            <w:tcBorders>
              <w:top w:val="nil"/>
              <w:left w:val="nil"/>
              <w:bottom w:val="nil"/>
              <w:right w:val="nil"/>
            </w:tcBorders>
            <w:shd w:val="clear" w:color="auto" w:fill="auto"/>
            <w:vAlign w:val="center"/>
          </w:tcPr>
          <w:p w14:paraId="6EE82D21" w14:textId="3040EBAA"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30.406.975</w:t>
            </w:r>
          </w:p>
        </w:tc>
        <w:tc>
          <w:tcPr>
            <w:tcW w:w="464" w:type="pct"/>
            <w:tcBorders>
              <w:top w:val="nil"/>
              <w:left w:val="nil"/>
              <w:bottom w:val="nil"/>
              <w:right w:val="nil"/>
            </w:tcBorders>
            <w:vAlign w:val="center"/>
          </w:tcPr>
          <w:p w14:paraId="5C183190" w14:textId="4B165774"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29,53</w:t>
            </w:r>
          </w:p>
        </w:tc>
        <w:tc>
          <w:tcPr>
            <w:tcW w:w="730" w:type="pct"/>
            <w:tcBorders>
              <w:top w:val="nil"/>
              <w:left w:val="nil"/>
              <w:bottom w:val="nil"/>
              <w:right w:val="nil"/>
            </w:tcBorders>
            <w:shd w:val="clear" w:color="auto" w:fill="auto"/>
            <w:vAlign w:val="center"/>
          </w:tcPr>
          <w:p w14:paraId="273254C7" w14:textId="4F5E99B7"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49.076.226</w:t>
            </w:r>
          </w:p>
        </w:tc>
        <w:tc>
          <w:tcPr>
            <w:tcW w:w="464" w:type="pct"/>
            <w:tcBorders>
              <w:top w:val="nil"/>
            </w:tcBorders>
            <w:vAlign w:val="center"/>
          </w:tcPr>
          <w:p w14:paraId="50EB2C9C" w14:textId="42DDE483"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48,52</w:t>
            </w:r>
          </w:p>
        </w:tc>
      </w:tr>
      <w:tr w:rsidR="00B44925" w:rsidRPr="00FB38E1" w14:paraId="4C34DECF" w14:textId="77777777" w:rsidTr="00836EF2">
        <w:trPr>
          <w:trHeight w:val="57"/>
        </w:trPr>
        <w:tc>
          <w:tcPr>
            <w:tcW w:w="2609" w:type="pct"/>
            <w:tcBorders>
              <w:top w:val="nil"/>
            </w:tcBorders>
            <w:tcMar>
              <w:left w:w="170" w:type="dxa"/>
            </w:tcMar>
            <w:vAlign w:val="bottom"/>
          </w:tcPr>
          <w:p w14:paraId="557700B5"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Madencilik ve Taşocakçılığı</w:t>
            </w:r>
          </w:p>
        </w:tc>
        <w:tc>
          <w:tcPr>
            <w:tcW w:w="733" w:type="pct"/>
            <w:tcBorders>
              <w:top w:val="nil"/>
              <w:left w:val="nil"/>
              <w:bottom w:val="nil"/>
              <w:right w:val="nil"/>
            </w:tcBorders>
            <w:shd w:val="clear" w:color="auto" w:fill="auto"/>
            <w:vAlign w:val="center"/>
          </w:tcPr>
          <w:p w14:paraId="516302BC" w14:textId="35FCFD88"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1.930.033</w:t>
            </w:r>
          </w:p>
        </w:tc>
        <w:tc>
          <w:tcPr>
            <w:tcW w:w="464" w:type="pct"/>
            <w:tcBorders>
              <w:top w:val="nil"/>
              <w:left w:val="nil"/>
              <w:bottom w:val="nil"/>
              <w:right w:val="nil"/>
            </w:tcBorders>
            <w:vAlign w:val="center"/>
          </w:tcPr>
          <w:p w14:paraId="5E6CBE1C" w14:textId="4EF23D9D"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1,87</w:t>
            </w:r>
          </w:p>
        </w:tc>
        <w:tc>
          <w:tcPr>
            <w:tcW w:w="730" w:type="pct"/>
            <w:tcBorders>
              <w:top w:val="nil"/>
              <w:left w:val="nil"/>
              <w:bottom w:val="nil"/>
              <w:right w:val="nil"/>
            </w:tcBorders>
            <w:shd w:val="clear" w:color="auto" w:fill="auto"/>
            <w:vAlign w:val="center"/>
          </w:tcPr>
          <w:p w14:paraId="0CC633E2" w14:textId="36588B99"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3.442.574</w:t>
            </w:r>
          </w:p>
        </w:tc>
        <w:tc>
          <w:tcPr>
            <w:tcW w:w="464" w:type="pct"/>
            <w:tcBorders>
              <w:top w:val="nil"/>
            </w:tcBorders>
            <w:vAlign w:val="center"/>
          </w:tcPr>
          <w:p w14:paraId="2AC1144F" w14:textId="0215D996"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3,40</w:t>
            </w:r>
          </w:p>
        </w:tc>
      </w:tr>
      <w:tr w:rsidR="00B44925" w:rsidRPr="00FB38E1" w14:paraId="166F1096" w14:textId="77777777" w:rsidTr="00836EF2">
        <w:trPr>
          <w:trHeight w:val="57"/>
        </w:trPr>
        <w:tc>
          <w:tcPr>
            <w:tcW w:w="2609" w:type="pct"/>
            <w:tcBorders>
              <w:top w:val="nil"/>
            </w:tcBorders>
            <w:tcMar>
              <w:left w:w="170" w:type="dxa"/>
            </w:tcMar>
            <w:vAlign w:val="bottom"/>
          </w:tcPr>
          <w:p w14:paraId="23548950"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İmalat Sanayi</w:t>
            </w:r>
          </w:p>
        </w:tc>
        <w:tc>
          <w:tcPr>
            <w:tcW w:w="733" w:type="pct"/>
            <w:tcBorders>
              <w:top w:val="nil"/>
              <w:left w:val="nil"/>
              <w:bottom w:val="nil"/>
              <w:right w:val="nil"/>
            </w:tcBorders>
            <w:shd w:val="clear" w:color="auto" w:fill="auto"/>
            <w:vAlign w:val="center"/>
          </w:tcPr>
          <w:p w14:paraId="7D247AEE" w14:textId="5D8798CC"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27.018.039</w:t>
            </w:r>
          </w:p>
        </w:tc>
        <w:tc>
          <w:tcPr>
            <w:tcW w:w="464" w:type="pct"/>
            <w:tcBorders>
              <w:top w:val="nil"/>
              <w:left w:val="nil"/>
              <w:bottom w:val="nil"/>
              <w:right w:val="nil"/>
            </w:tcBorders>
            <w:vAlign w:val="center"/>
          </w:tcPr>
          <w:p w14:paraId="7B8CF77D" w14:textId="618CB029"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26,24</w:t>
            </w:r>
          </w:p>
        </w:tc>
        <w:tc>
          <w:tcPr>
            <w:tcW w:w="730" w:type="pct"/>
            <w:tcBorders>
              <w:top w:val="nil"/>
              <w:left w:val="nil"/>
              <w:bottom w:val="nil"/>
              <w:right w:val="nil"/>
            </w:tcBorders>
            <w:shd w:val="clear" w:color="auto" w:fill="auto"/>
            <w:vAlign w:val="center"/>
          </w:tcPr>
          <w:p w14:paraId="69FF8080" w14:textId="08B08DE5"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38.948.419</w:t>
            </w:r>
          </w:p>
        </w:tc>
        <w:tc>
          <w:tcPr>
            <w:tcW w:w="464" w:type="pct"/>
            <w:tcBorders>
              <w:top w:val="nil"/>
            </w:tcBorders>
            <w:vAlign w:val="center"/>
          </w:tcPr>
          <w:p w14:paraId="09F1A5B7" w14:textId="53345EAC"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38,51</w:t>
            </w:r>
          </w:p>
        </w:tc>
      </w:tr>
      <w:tr w:rsidR="00B44925" w:rsidRPr="00FB38E1" w14:paraId="3E59BF24" w14:textId="77777777" w:rsidTr="00836EF2">
        <w:trPr>
          <w:trHeight w:val="57"/>
        </w:trPr>
        <w:tc>
          <w:tcPr>
            <w:tcW w:w="2609" w:type="pct"/>
            <w:tcBorders>
              <w:top w:val="nil"/>
            </w:tcBorders>
            <w:tcMar>
              <w:left w:w="170" w:type="dxa"/>
            </w:tcMar>
            <w:vAlign w:val="bottom"/>
          </w:tcPr>
          <w:p w14:paraId="3DDBF953"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Elektrik, Gaz, Su</w:t>
            </w:r>
          </w:p>
        </w:tc>
        <w:tc>
          <w:tcPr>
            <w:tcW w:w="733" w:type="pct"/>
            <w:tcBorders>
              <w:top w:val="nil"/>
              <w:left w:val="nil"/>
              <w:bottom w:val="nil"/>
              <w:right w:val="nil"/>
            </w:tcBorders>
            <w:shd w:val="clear" w:color="auto" w:fill="auto"/>
            <w:vAlign w:val="center"/>
          </w:tcPr>
          <w:p w14:paraId="3AF8ACC9" w14:textId="549BA1DB"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1.458.903</w:t>
            </w:r>
          </w:p>
        </w:tc>
        <w:tc>
          <w:tcPr>
            <w:tcW w:w="464" w:type="pct"/>
            <w:tcBorders>
              <w:top w:val="nil"/>
              <w:left w:val="nil"/>
              <w:bottom w:val="nil"/>
              <w:right w:val="nil"/>
            </w:tcBorders>
            <w:vAlign w:val="center"/>
          </w:tcPr>
          <w:p w14:paraId="7109675E" w14:textId="375CC91F"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1,42</w:t>
            </w:r>
          </w:p>
        </w:tc>
        <w:tc>
          <w:tcPr>
            <w:tcW w:w="730" w:type="pct"/>
            <w:tcBorders>
              <w:top w:val="nil"/>
              <w:left w:val="nil"/>
              <w:bottom w:val="nil"/>
              <w:right w:val="nil"/>
            </w:tcBorders>
            <w:shd w:val="clear" w:color="auto" w:fill="auto"/>
            <w:vAlign w:val="center"/>
          </w:tcPr>
          <w:p w14:paraId="10CF84E0" w14:textId="76E6BDBD"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6.685.233</w:t>
            </w:r>
          </w:p>
        </w:tc>
        <w:tc>
          <w:tcPr>
            <w:tcW w:w="464" w:type="pct"/>
            <w:tcBorders>
              <w:top w:val="nil"/>
            </w:tcBorders>
            <w:vAlign w:val="center"/>
          </w:tcPr>
          <w:p w14:paraId="04294571" w14:textId="4FF6C2BA"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6,61</w:t>
            </w:r>
          </w:p>
        </w:tc>
      </w:tr>
      <w:tr w:rsidR="00B44925" w:rsidRPr="00FB38E1" w14:paraId="032C5831" w14:textId="77777777" w:rsidTr="00836EF2">
        <w:trPr>
          <w:trHeight w:val="57"/>
        </w:trPr>
        <w:tc>
          <w:tcPr>
            <w:tcW w:w="2609" w:type="pct"/>
            <w:tcBorders>
              <w:top w:val="nil"/>
            </w:tcBorders>
            <w:vAlign w:val="bottom"/>
          </w:tcPr>
          <w:p w14:paraId="14069FAC" w14:textId="77777777" w:rsidR="00B44925" w:rsidRPr="00FB38E1" w:rsidRDefault="00B44925" w:rsidP="00B4492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İnşaat</w:t>
            </w:r>
          </w:p>
        </w:tc>
        <w:tc>
          <w:tcPr>
            <w:tcW w:w="733" w:type="pct"/>
            <w:tcBorders>
              <w:top w:val="nil"/>
              <w:left w:val="nil"/>
              <w:bottom w:val="nil"/>
              <w:right w:val="nil"/>
            </w:tcBorders>
            <w:shd w:val="clear" w:color="auto" w:fill="auto"/>
            <w:vAlign w:val="center"/>
          </w:tcPr>
          <w:p w14:paraId="5D2849EC" w14:textId="374AC0D8"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17.315.735</w:t>
            </w:r>
          </w:p>
        </w:tc>
        <w:tc>
          <w:tcPr>
            <w:tcW w:w="464" w:type="pct"/>
            <w:tcBorders>
              <w:top w:val="nil"/>
              <w:left w:val="nil"/>
              <w:bottom w:val="nil"/>
              <w:right w:val="nil"/>
            </w:tcBorders>
            <w:vAlign w:val="center"/>
          </w:tcPr>
          <w:p w14:paraId="6DA8C4AA" w14:textId="0A2721CC"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16,82</w:t>
            </w:r>
          </w:p>
        </w:tc>
        <w:tc>
          <w:tcPr>
            <w:tcW w:w="730" w:type="pct"/>
            <w:tcBorders>
              <w:top w:val="nil"/>
              <w:left w:val="nil"/>
              <w:bottom w:val="nil"/>
              <w:right w:val="nil"/>
            </w:tcBorders>
            <w:shd w:val="clear" w:color="auto" w:fill="auto"/>
            <w:vAlign w:val="center"/>
          </w:tcPr>
          <w:p w14:paraId="7E8D971A" w14:textId="62295AE9"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25.537.529</w:t>
            </w:r>
          </w:p>
        </w:tc>
        <w:tc>
          <w:tcPr>
            <w:tcW w:w="464" w:type="pct"/>
            <w:tcBorders>
              <w:top w:val="nil"/>
            </w:tcBorders>
            <w:vAlign w:val="center"/>
          </w:tcPr>
          <w:p w14:paraId="18EACFA3" w14:textId="562CFA2B"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25,25</w:t>
            </w:r>
          </w:p>
        </w:tc>
      </w:tr>
      <w:tr w:rsidR="00B44925" w:rsidRPr="00FB38E1" w14:paraId="537D3C0C" w14:textId="77777777" w:rsidTr="00836EF2">
        <w:trPr>
          <w:trHeight w:val="57"/>
        </w:trPr>
        <w:tc>
          <w:tcPr>
            <w:tcW w:w="2609" w:type="pct"/>
            <w:tcBorders>
              <w:top w:val="nil"/>
            </w:tcBorders>
            <w:vAlign w:val="bottom"/>
          </w:tcPr>
          <w:p w14:paraId="573FF736" w14:textId="77777777" w:rsidR="00B44925" w:rsidRPr="00FB38E1" w:rsidRDefault="00B44925" w:rsidP="00B4492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Hizmetler</w:t>
            </w:r>
          </w:p>
        </w:tc>
        <w:tc>
          <w:tcPr>
            <w:tcW w:w="733" w:type="pct"/>
            <w:tcBorders>
              <w:top w:val="nil"/>
              <w:left w:val="nil"/>
              <w:bottom w:val="nil"/>
              <w:right w:val="nil"/>
            </w:tcBorders>
            <w:shd w:val="clear" w:color="auto" w:fill="auto"/>
            <w:vAlign w:val="center"/>
          </w:tcPr>
          <w:p w14:paraId="4BFBC14A" w14:textId="35DC7EBC"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35.665.578</w:t>
            </w:r>
          </w:p>
        </w:tc>
        <w:tc>
          <w:tcPr>
            <w:tcW w:w="464" w:type="pct"/>
            <w:tcBorders>
              <w:top w:val="nil"/>
              <w:left w:val="nil"/>
              <w:bottom w:val="nil"/>
              <w:right w:val="nil"/>
            </w:tcBorders>
            <w:vAlign w:val="center"/>
          </w:tcPr>
          <w:p w14:paraId="1433093B" w14:textId="21BDB206"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34,64</w:t>
            </w:r>
          </w:p>
        </w:tc>
        <w:tc>
          <w:tcPr>
            <w:tcW w:w="730" w:type="pct"/>
            <w:tcBorders>
              <w:top w:val="nil"/>
              <w:left w:val="nil"/>
              <w:bottom w:val="nil"/>
              <w:right w:val="nil"/>
            </w:tcBorders>
            <w:shd w:val="clear" w:color="auto" w:fill="auto"/>
            <w:vAlign w:val="center"/>
          </w:tcPr>
          <w:p w14:paraId="04F5CBA4" w14:textId="4D946547"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16.813.831</w:t>
            </w:r>
          </w:p>
        </w:tc>
        <w:tc>
          <w:tcPr>
            <w:tcW w:w="464" w:type="pct"/>
            <w:tcBorders>
              <w:top w:val="nil"/>
            </w:tcBorders>
            <w:vAlign w:val="center"/>
          </w:tcPr>
          <w:p w14:paraId="649216B0" w14:textId="444C97A2"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16,62</w:t>
            </w:r>
          </w:p>
        </w:tc>
      </w:tr>
      <w:tr w:rsidR="00B44925" w:rsidRPr="00FB38E1" w14:paraId="0660F37D" w14:textId="77777777" w:rsidTr="00836EF2">
        <w:trPr>
          <w:trHeight w:val="57"/>
        </w:trPr>
        <w:tc>
          <w:tcPr>
            <w:tcW w:w="2609" w:type="pct"/>
            <w:tcBorders>
              <w:top w:val="nil"/>
            </w:tcBorders>
            <w:tcMar>
              <w:left w:w="170" w:type="dxa"/>
            </w:tcMar>
            <w:vAlign w:val="bottom"/>
          </w:tcPr>
          <w:p w14:paraId="06757799"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Toptan ve Perakende Ticaret</w:t>
            </w:r>
          </w:p>
        </w:tc>
        <w:tc>
          <w:tcPr>
            <w:tcW w:w="733" w:type="pct"/>
            <w:tcBorders>
              <w:top w:val="nil"/>
              <w:left w:val="nil"/>
              <w:bottom w:val="nil"/>
              <w:right w:val="nil"/>
            </w:tcBorders>
            <w:shd w:val="clear" w:color="auto" w:fill="auto"/>
            <w:vAlign w:val="center"/>
          </w:tcPr>
          <w:p w14:paraId="6379D6E3" w14:textId="4EDC28A7"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24.173.822</w:t>
            </w:r>
          </w:p>
        </w:tc>
        <w:tc>
          <w:tcPr>
            <w:tcW w:w="464" w:type="pct"/>
            <w:tcBorders>
              <w:top w:val="nil"/>
              <w:left w:val="nil"/>
              <w:bottom w:val="nil"/>
              <w:right w:val="nil"/>
            </w:tcBorders>
            <w:vAlign w:val="center"/>
          </w:tcPr>
          <w:p w14:paraId="5435A60B" w14:textId="65BC5B6B"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23,48</w:t>
            </w:r>
          </w:p>
        </w:tc>
        <w:tc>
          <w:tcPr>
            <w:tcW w:w="730" w:type="pct"/>
            <w:tcBorders>
              <w:top w:val="nil"/>
              <w:left w:val="nil"/>
              <w:bottom w:val="nil"/>
              <w:right w:val="nil"/>
            </w:tcBorders>
            <w:shd w:val="clear" w:color="auto" w:fill="auto"/>
            <w:vAlign w:val="center"/>
          </w:tcPr>
          <w:p w14:paraId="292FDD32" w14:textId="18076DF5"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11.389.741</w:t>
            </w:r>
          </w:p>
        </w:tc>
        <w:tc>
          <w:tcPr>
            <w:tcW w:w="464" w:type="pct"/>
            <w:tcBorders>
              <w:top w:val="nil"/>
            </w:tcBorders>
            <w:vAlign w:val="center"/>
          </w:tcPr>
          <w:p w14:paraId="2C45A1E7" w14:textId="00A5FA22"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11,26</w:t>
            </w:r>
          </w:p>
        </w:tc>
      </w:tr>
      <w:tr w:rsidR="00B44925" w:rsidRPr="00FB38E1" w14:paraId="284998C8" w14:textId="77777777" w:rsidTr="00836EF2">
        <w:trPr>
          <w:trHeight w:val="57"/>
        </w:trPr>
        <w:tc>
          <w:tcPr>
            <w:tcW w:w="2609" w:type="pct"/>
            <w:tcBorders>
              <w:top w:val="nil"/>
            </w:tcBorders>
            <w:tcMar>
              <w:left w:w="170" w:type="dxa"/>
            </w:tcMar>
            <w:vAlign w:val="bottom"/>
          </w:tcPr>
          <w:p w14:paraId="5069AA59"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Otel ve Lokanta Hizmetleri</w:t>
            </w:r>
          </w:p>
        </w:tc>
        <w:tc>
          <w:tcPr>
            <w:tcW w:w="733" w:type="pct"/>
            <w:tcBorders>
              <w:top w:val="nil"/>
              <w:left w:val="nil"/>
              <w:bottom w:val="nil"/>
              <w:right w:val="nil"/>
            </w:tcBorders>
            <w:shd w:val="clear" w:color="auto" w:fill="auto"/>
            <w:vAlign w:val="center"/>
          </w:tcPr>
          <w:p w14:paraId="00B8EB0F" w14:textId="24FF32D5"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2.947.162</w:t>
            </w:r>
          </w:p>
        </w:tc>
        <w:tc>
          <w:tcPr>
            <w:tcW w:w="464" w:type="pct"/>
            <w:tcBorders>
              <w:top w:val="nil"/>
              <w:left w:val="nil"/>
              <w:bottom w:val="nil"/>
              <w:right w:val="nil"/>
            </w:tcBorders>
            <w:vAlign w:val="center"/>
          </w:tcPr>
          <w:p w14:paraId="511E3FF1" w14:textId="5D333ED0"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2,86</w:t>
            </w:r>
          </w:p>
        </w:tc>
        <w:tc>
          <w:tcPr>
            <w:tcW w:w="730" w:type="pct"/>
            <w:tcBorders>
              <w:top w:val="nil"/>
              <w:left w:val="nil"/>
              <w:bottom w:val="nil"/>
              <w:right w:val="nil"/>
            </w:tcBorders>
            <w:shd w:val="clear" w:color="auto" w:fill="auto"/>
            <w:vAlign w:val="center"/>
          </w:tcPr>
          <w:p w14:paraId="1087E1D0" w14:textId="4AC21316"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1.892.448</w:t>
            </w:r>
          </w:p>
        </w:tc>
        <w:tc>
          <w:tcPr>
            <w:tcW w:w="464" w:type="pct"/>
            <w:tcBorders>
              <w:top w:val="nil"/>
            </w:tcBorders>
            <w:vAlign w:val="center"/>
          </w:tcPr>
          <w:p w14:paraId="47EE9EA9" w14:textId="7AAB732C"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1,87</w:t>
            </w:r>
          </w:p>
        </w:tc>
      </w:tr>
      <w:tr w:rsidR="00B44925" w:rsidRPr="00FB38E1" w14:paraId="44CEB489" w14:textId="77777777" w:rsidTr="00836EF2">
        <w:trPr>
          <w:trHeight w:val="57"/>
        </w:trPr>
        <w:tc>
          <w:tcPr>
            <w:tcW w:w="2609" w:type="pct"/>
            <w:tcBorders>
              <w:top w:val="nil"/>
            </w:tcBorders>
            <w:tcMar>
              <w:left w:w="170" w:type="dxa"/>
            </w:tcMar>
            <w:vAlign w:val="bottom"/>
          </w:tcPr>
          <w:p w14:paraId="2A76ECE6"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Ulaştırma ve Haberleşme</w:t>
            </w:r>
          </w:p>
        </w:tc>
        <w:tc>
          <w:tcPr>
            <w:tcW w:w="733" w:type="pct"/>
            <w:tcBorders>
              <w:top w:val="nil"/>
              <w:left w:val="nil"/>
              <w:bottom w:val="nil"/>
              <w:right w:val="nil"/>
            </w:tcBorders>
            <w:shd w:val="clear" w:color="auto" w:fill="auto"/>
            <w:vAlign w:val="center"/>
          </w:tcPr>
          <w:p w14:paraId="2F6B0EE5" w14:textId="097A9AE1"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3.794.135</w:t>
            </w:r>
          </w:p>
        </w:tc>
        <w:tc>
          <w:tcPr>
            <w:tcW w:w="464" w:type="pct"/>
            <w:tcBorders>
              <w:top w:val="nil"/>
              <w:left w:val="nil"/>
              <w:bottom w:val="nil"/>
              <w:right w:val="nil"/>
            </w:tcBorders>
            <w:vAlign w:val="center"/>
          </w:tcPr>
          <w:p w14:paraId="39272AC7" w14:textId="3BD6E0FC"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3,68</w:t>
            </w:r>
          </w:p>
        </w:tc>
        <w:tc>
          <w:tcPr>
            <w:tcW w:w="730" w:type="pct"/>
            <w:tcBorders>
              <w:top w:val="nil"/>
              <w:left w:val="nil"/>
              <w:bottom w:val="nil"/>
              <w:right w:val="nil"/>
            </w:tcBorders>
            <w:shd w:val="clear" w:color="auto" w:fill="auto"/>
            <w:vAlign w:val="center"/>
          </w:tcPr>
          <w:p w14:paraId="2EA0E7FD" w14:textId="40C85AC8"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2.246.358</w:t>
            </w:r>
          </w:p>
        </w:tc>
        <w:tc>
          <w:tcPr>
            <w:tcW w:w="464" w:type="pct"/>
            <w:tcBorders>
              <w:top w:val="nil"/>
            </w:tcBorders>
            <w:vAlign w:val="center"/>
          </w:tcPr>
          <w:p w14:paraId="6DF0AAA0" w14:textId="41A678CD"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2,22</w:t>
            </w:r>
          </w:p>
        </w:tc>
      </w:tr>
      <w:tr w:rsidR="00B44925" w:rsidRPr="00FB38E1" w14:paraId="6CA3DF4A" w14:textId="77777777" w:rsidTr="00836EF2">
        <w:trPr>
          <w:trHeight w:val="57"/>
        </w:trPr>
        <w:tc>
          <w:tcPr>
            <w:tcW w:w="2609" w:type="pct"/>
            <w:tcBorders>
              <w:top w:val="nil"/>
            </w:tcBorders>
            <w:tcMar>
              <w:left w:w="170" w:type="dxa"/>
            </w:tcMar>
            <w:vAlign w:val="bottom"/>
          </w:tcPr>
          <w:p w14:paraId="48F0C1B6"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Mali Kuruluşlar</w:t>
            </w:r>
          </w:p>
        </w:tc>
        <w:tc>
          <w:tcPr>
            <w:tcW w:w="733" w:type="pct"/>
            <w:tcBorders>
              <w:top w:val="nil"/>
              <w:left w:val="nil"/>
              <w:bottom w:val="nil"/>
              <w:right w:val="nil"/>
            </w:tcBorders>
            <w:shd w:val="clear" w:color="auto" w:fill="auto"/>
            <w:vAlign w:val="center"/>
          </w:tcPr>
          <w:p w14:paraId="57444A11" w14:textId="6C9468D8"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3.285.237</w:t>
            </w:r>
          </w:p>
        </w:tc>
        <w:tc>
          <w:tcPr>
            <w:tcW w:w="464" w:type="pct"/>
            <w:tcBorders>
              <w:top w:val="nil"/>
              <w:left w:val="nil"/>
              <w:bottom w:val="nil"/>
              <w:right w:val="nil"/>
            </w:tcBorders>
            <w:vAlign w:val="center"/>
          </w:tcPr>
          <w:p w14:paraId="71DA5E0A" w14:textId="1CA4ABAF"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3,19</w:t>
            </w:r>
          </w:p>
        </w:tc>
        <w:tc>
          <w:tcPr>
            <w:tcW w:w="730" w:type="pct"/>
            <w:tcBorders>
              <w:top w:val="nil"/>
              <w:left w:val="nil"/>
              <w:bottom w:val="nil"/>
              <w:right w:val="nil"/>
            </w:tcBorders>
            <w:shd w:val="clear" w:color="auto" w:fill="auto"/>
            <w:vAlign w:val="center"/>
          </w:tcPr>
          <w:p w14:paraId="6156AD1A" w14:textId="6631A624"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1.205.628</w:t>
            </w:r>
          </w:p>
        </w:tc>
        <w:tc>
          <w:tcPr>
            <w:tcW w:w="464" w:type="pct"/>
            <w:tcBorders>
              <w:top w:val="nil"/>
            </w:tcBorders>
            <w:vAlign w:val="center"/>
          </w:tcPr>
          <w:p w14:paraId="553BA7DE" w14:textId="659C18E2"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1,19</w:t>
            </w:r>
          </w:p>
        </w:tc>
      </w:tr>
      <w:tr w:rsidR="00B44925" w:rsidRPr="00FB38E1" w14:paraId="14AF89C6" w14:textId="77777777" w:rsidTr="00836EF2">
        <w:trPr>
          <w:trHeight w:val="57"/>
        </w:trPr>
        <w:tc>
          <w:tcPr>
            <w:tcW w:w="2609" w:type="pct"/>
            <w:tcBorders>
              <w:top w:val="nil"/>
            </w:tcBorders>
            <w:tcMar>
              <w:left w:w="170" w:type="dxa"/>
            </w:tcMar>
            <w:vAlign w:val="bottom"/>
          </w:tcPr>
          <w:p w14:paraId="65BA0C72"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Gayrimenkul ve Kira Hizmetleri</w:t>
            </w:r>
          </w:p>
        </w:tc>
        <w:tc>
          <w:tcPr>
            <w:tcW w:w="733" w:type="pct"/>
            <w:tcBorders>
              <w:top w:val="nil"/>
              <w:left w:val="nil"/>
              <w:bottom w:val="nil"/>
              <w:right w:val="nil"/>
            </w:tcBorders>
            <w:shd w:val="clear" w:color="auto" w:fill="auto"/>
            <w:vAlign w:val="center"/>
          </w:tcPr>
          <w:p w14:paraId="2D7C6747" w14:textId="5CB90740"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46.760</w:t>
            </w:r>
          </w:p>
        </w:tc>
        <w:tc>
          <w:tcPr>
            <w:tcW w:w="464" w:type="pct"/>
            <w:tcBorders>
              <w:top w:val="nil"/>
              <w:left w:val="nil"/>
              <w:bottom w:val="nil"/>
              <w:right w:val="nil"/>
            </w:tcBorders>
            <w:vAlign w:val="center"/>
          </w:tcPr>
          <w:p w14:paraId="1892DDEC" w14:textId="67748FC4"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0,05</w:t>
            </w:r>
          </w:p>
        </w:tc>
        <w:tc>
          <w:tcPr>
            <w:tcW w:w="730" w:type="pct"/>
            <w:tcBorders>
              <w:top w:val="nil"/>
              <w:left w:val="nil"/>
              <w:bottom w:val="nil"/>
              <w:right w:val="nil"/>
            </w:tcBorders>
            <w:shd w:val="clear" w:color="auto" w:fill="auto"/>
            <w:vAlign w:val="center"/>
          </w:tcPr>
          <w:p w14:paraId="55585304" w14:textId="3B64C075"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38.768</w:t>
            </w:r>
          </w:p>
        </w:tc>
        <w:tc>
          <w:tcPr>
            <w:tcW w:w="464" w:type="pct"/>
            <w:tcBorders>
              <w:top w:val="nil"/>
            </w:tcBorders>
            <w:vAlign w:val="center"/>
          </w:tcPr>
          <w:p w14:paraId="3875A7B5" w14:textId="38657FDA"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0,04</w:t>
            </w:r>
          </w:p>
        </w:tc>
      </w:tr>
      <w:tr w:rsidR="00B44925" w:rsidRPr="00FB38E1" w14:paraId="6AA8E3CB" w14:textId="77777777" w:rsidTr="00836EF2">
        <w:trPr>
          <w:trHeight w:val="57"/>
        </w:trPr>
        <w:tc>
          <w:tcPr>
            <w:tcW w:w="2609" w:type="pct"/>
            <w:tcBorders>
              <w:top w:val="nil"/>
            </w:tcBorders>
            <w:tcMar>
              <w:left w:w="170" w:type="dxa"/>
            </w:tcMar>
            <w:vAlign w:val="bottom"/>
          </w:tcPr>
          <w:p w14:paraId="2D451B31"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Serbest Meslek Hizmetleri</w:t>
            </w:r>
          </w:p>
        </w:tc>
        <w:tc>
          <w:tcPr>
            <w:tcW w:w="733" w:type="pct"/>
            <w:tcBorders>
              <w:top w:val="nil"/>
              <w:left w:val="nil"/>
              <w:bottom w:val="nil"/>
              <w:right w:val="nil"/>
            </w:tcBorders>
            <w:shd w:val="clear" w:color="auto" w:fill="auto"/>
            <w:vAlign w:val="center"/>
          </w:tcPr>
          <w:p w14:paraId="4F30EB5C" w14:textId="342AEE8C"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64" w:type="pct"/>
            <w:tcBorders>
              <w:top w:val="nil"/>
              <w:left w:val="nil"/>
              <w:bottom w:val="nil"/>
              <w:right w:val="nil"/>
            </w:tcBorders>
            <w:vAlign w:val="center"/>
          </w:tcPr>
          <w:p w14:paraId="22C209FB" w14:textId="318332AC"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0" w:type="pct"/>
            <w:tcBorders>
              <w:top w:val="nil"/>
              <w:left w:val="nil"/>
              <w:bottom w:val="nil"/>
              <w:right w:val="nil"/>
            </w:tcBorders>
            <w:shd w:val="clear" w:color="auto" w:fill="auto"/>
            <w:vAlign w:val="center"/>
          </w:tcPr>
          <w:p w14:paraId="0905A8B2" w14:textId="3B04C3E6"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64" w:type="pct"/>
            <w:tcBorders>
              <w:top w:val="nil"/>
            </w:tcBorders>
            <w:vAlign w:val="center"/>
          </w:tcPr>
          <w:p w14:paraId="39256538" w14:textId="56E454EF"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44925" w:rsidRPr="00FB38E1" w14:paraId="7F0DCC8F" w14:textId="77777777" w:rsidTr="00836EF2">
        <w:trPr>
          <w:trHeight w:val="57"/>
        </w:trPr>
        <w:tc>
          <w:tcPr>
            <w:tcW w:w="2609" w:type="pct"/>
            <w:tcBorders>
              <w:top w:val="nil"/>
            </w:tcBorders>
            <w:tcMar>
              <w:left w:w="170" w:type="dxa"/>
            </w:tcMar>
            <w:vAlign w:val="bottom"/>
          </w:tcPr>
          <w:p w14:paraId="6C37C367"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Eğitim Hizmetleri</w:t>
            </w:r>
          </w:p>
        </w:tc>
        <w:tc>
          <w:tcPr>
            <w:tcW w:w="733" w:type="pct"/>
            <w:tcBorders>
              <w:top w:val="nil"/>
              <w:left w:val="nil"/>
              <w:bottom w:val="nil"/>
              <w:right w:val="nil"/>
            </w:tcBorders>
            <w:shd w:val="clear" w:color="auto" w:fill="auto"/>
            <w:vAlign w:val="center"/>
          </w:tcPr>
          <w:p w14:paraId="32502C66" w14:textId="2EA4670C"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350.140</w:t>
            </w:r>
          </w:p>
        </w:tc>
        <w:tc>
          <w:tcPr>
            <w:tcW w:w="464" w:type="pct"/>
            <w:tcBorders>
              <w:top w:val="nil"/>
              <w:left w:val="nil"/>
              <w:bottom w:val="nil"/>
              <w:right w:val="nil"/>
            </w:tcBorders>
            <w:vAlign w:val="center"/>
          </w:tcPr>
          <w:p w14:paraId="48C400C6" w14:textId="7497DE48"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0,34</w:t>
            </w:r>
          </w:p>
        </w:tc>
        <w:tc>
          <w:tcPr>
            <w:tcW w:w="730" w:type="pct"/>
            <w:tcBorders>
              <w:top w:val="nil"/>
              <w:left w:val="nil"/>
              <w:bottom w:val="nil"/>
              <w:right w:val="nil"/>
            </w:tcBorders>
            <w:shd w:val="clear" w:color="auto" w:fill="auto"/>
            <w:vAlign w:val="center"/>
          </w:tcPr>
          <w:p w14:paraId="225E7CDB" w14:textId="46545160"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13.026</w:t>
            </w:r>
          </w:p>
        </w:tc>
        <w:tc>
          <w:tcPr>
            <w:tcW w:w="464" w:type="pct"/>
            <w:tcBorders>
              <w:top w:val="nil"/>
            </w:tcBorders>
            <w:vAlign w:val="center"/>
          </w:tcPr>
          <w:p w14:paraId="1DE897A1" w14:textId="67D5B904"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0,01</w:t>
            </w:r>
          </w:p>
        </w:tc>
      </w:tr>
      <w:tr w:rsidR="00B44925" w:rsidRPr="00FB38E1" w14:paraId="5C4A22BF" w14:textId="77777777" w:rsidTr="00836EF2">
        <w:trPr>
          <w:trHeight w:val="57"/>
        </w:trPr>
        <w:tc>
          <w:tcPr>
            <w:tcW w:w="2609" w:type="pct"/>
            <w:tcBorders>
              <w:top w:val="nil"/>
            </w:tcBorders>
            <w:tcMar>
              <w:left w:w="170" w:type="dxa"/>
            </w:tcMar>
            <w:vAlign w:val="bottom"/>
          </w:tcPr>
          <w:p w14:paraId="4F6D7851" w14:textId="77777777" w:rsidR="00B44925" w:rsidRPr="00FB38E1" w:rsidRDefault="00B44925" w:rsidP="00B4492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Sağlık ve Sosyal Hizmetler</w:t>
            </w:r>
          </w:p>
        </w:tc>
        <w:tc>
          <w:tcPr>
            <w:tcW w:w="733" w:type="pct"/>
            <w:tcBorders>
              <w:top w:val="nil"/>
              <w:left w:val="nil"/>
              <w:bottom w:val="nil"/>
              <w:right w:val="nil"/>
            </w:tcBorders>
            <w:shd w:val="clear" w:color="auto" w:fill="auto"/>
            <w:vAlign w:val="center"/>
          </w:tcPr>
          <w:p w14:paraId="35ADAAB2" w14:textId="4A441F4F"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1.068.322</w:t>
            </w:r>
          </w:p>
        </w:tc>
        <w:tc>
          <w:tcPr>
            <w:tcW w:w="464" w:type="pct"/>
            <w:tcBorders>
              <w:top w:val="nil"/>
              <w:left w:val="nil"/>
              <w:bottom w:val="nil"/>
              <w:right w:val="nil"/>
            </w:tcBorders>
            <w:vAlign w:val="center"/>
          </w:tcPr>
          <w:p w14:paraId="627A3E63" w14:textId="576DD441"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1,04</w:t>
            </w:r>
          </w:p>
        </w:tc>
        <w:tc>
          <w:tcPr>
            <w:tcW w:w="730" w:type="pct"/>
            <w:tcBorders>
              <w:top w:val="nil"/>
              <w:left w:val="nil"/>
              <w:bottom w:val="nil"/>
              <w:right w:val="nil"/>
            </w:tcBorders>
            <w:shd w:val="clear" w:color="auto" w:fill="auto"/>
            <w:vAlign w:val="center"/>
          </w:tcPr>
          <w:p w14:paraId="06B83FFF" w14:textId="34683835"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27.862</w:t>
            </w:r>
          </w:p>
        </w:tc>
        <w:tc>
          <w:tcPr>
            <w:tcW w:w="464" w:type="pct"/>
            <w:tcBorders>
              <w:top w:val="nil"/>
            </w:tcBorders>
            <w:vAlign w:val="center"/>
          </w:tcPr>
          <w:p w14:paraId="657BDFEB" w14:textId="67F4957E" w:rsidR="00B44925" w:rsidRPr="00FB38E1" w:rsidRDefault="00B44925" w:rsidP="00B449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0,03</w:t>
            </w:r>
          </w:p>
        </w:tc>
      </w:tr>
      <w:tr w:rsidR="00B44925" w:rsidRPr="00FB38E1" w14:paraId="2D427F7C" w14:textId="77777777" w:rsidTr="00836EF2">
        <w:trPr>
          <w:trHeight w:val="57"/>
        </w:trPr>
        <w:tc>
          <w:tcPr>
            <w:tcW w:w="2609" w:type="pct"/>
            <w:tcBorders>
              <w:top w:val="nil"/>
              <w:bottom w:val="single" w:sz="6" w:space="0" w:color="auto"/>
            </w:tcBorders>
            <w:vAlign w:val="bottom"/>
          </w:tcPr>
          <w:p w14:paraId="2323D434" w14:textId="77777777" w:rsidR="00B44925" w:rsidRPr="00FB38E1" w:rsidRDefault="00B44925" w:rsidP="00B4492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Diğer</w:t>
            </w:r>
          </w:p>
        </w:tc>
        <w:tc>
          <w:tcPr>
            <w:tcW w:w="733" w:type="pct"/>
            <w:tcBorders>
              <w:top w:val="nil"/>
              <w:left w:val="nil"/>
              <w:bottom w:val="single" w:sz="6" w:space="0" w:color="auto"/>
              <w:right w:val="nil"/>
            </w:tcBorders>
            <w:shd w:val="clear" w:color="auto" w:fill="auto"/>
            <w:vAlign w:val="center"/>
          </w:tcPr>
          <w:p w14:paraId="30908810" w14:textId="08127DBA"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15.358.626</w:t>
            </w:r>
          </w:p>
        </w:tc>
        <w:tc>
          <w:tcPr>
            <w:tcW w:w="464" w:type="pct"/>
            <w:tcBorders>
              <w:top w:val="nil"/>
              <w:left w:val="nil"/>
              <w:bottom w:val="single" w:sz="6" w:space="0" w:color="auto"/>
              <w:right w:val="nil"/>
            </w:tcBorders>
            <w:vAlign w:val="center"/>
          </w:tcPr>
          <w:p w14:paraId="33C097FE" w14:textId="3F7F1D9E"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14,91</w:t>
            </w:r>
          </w:p>
        </w:tc>
        <w:tc>
          <w:tcPr>
            <w:tcW w:w="730" w:type="pct"/>
            <w:tcBorders>
              <w:top w:val="nil"/>
              <w:left w:val="nil"/>
              <w:bottom w:val="single" w:sz="6" w:space="0" w:color="auto"/>
              <w:right w:val="nil"/>
            </w:tcBorders>
            <w:shd w:val="clear" w:color="auto" w:fill="auto"/>
            <w:vAlign w:val="center"/>
          </w:tcPr>
          <w:p w14:paraId="7E93BE5E" w14:textId="37BE9B4D"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8.422.673</w:t>
            </w:r>
          </w:p>
        </w:tc>
        <w:tc>
          <w:tcPr>
            <w:tcW w:w="464" w:type="pct"/>
            <w:tcBorders>
              <w:top w:val="nil"/>
              <w:bottom w:val="single" w:sz="6" w:space="0" w:color="auto"/>
            </w:tcBorders>
            <w:vAlign w:val="center"/>
          </w:tcPr>
          <w:p w14:paraId="04FB06DA" w14:textId="32C83322"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8,35</w:t>
            </w:r>
          </w:p>
        </w:tc>
      </w:tr>
      <w:tr w:rsidR="00B44925" w:rsidRPr="00FB38E1" w14:paraId="35BD6625" w14:textId="77777777" w:rsidTr="00836EF2">
        <w:trPr>
          <w:trHeight w:val="42"/>
        </w:trPr>
        <w:tc>
          <w:tcPr>
            <w:tcW w:w="2609" w:type="pct"/>
            <w:tcBorders>
              <w:top w:val="single" w:sz="6" w:space="0" w:color="auto"/>
              <w:bottom w:val="thickThinSmallGap" w:sz="24" w:space="0" w:color="000000"/>
            </w:tcBorders>
            <w:vAlign w:val="bottom"/>
          </w:tcPr>
          <w:p w14:paraId="6B218AEA" w14:textId="77777777" w:rsidR="00B44925" w:rsidRPr="00FB38E1" w:rsidRDefault="00B44925" w:rsidP="00B4492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33" w:type="pct"/>
            <w:tcBorders>
              <w:top w:val="single" w:sz="6" w:space="0" w:color="auto"/>
              <w:left w:val="nil"/>
              <w:bottom w:val="thickThinSmallGap" w:sz="24" w:space="0" w:color="000000"/>
              <w:right w:val="nil"/>
            </w:tcBorders>
            <w:shd w:val="clear" w:color="auto" w:fill="auto"/>
            <w:vAlign w:val="center"/>
          </w:tcPr>
          <w:p w14:paraId="00DB2F2B" w14:textId="539E6702"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102.965.174</w:t>
            </w:r>
          </w:p>
        </w:tc>
        <w:tc>
          <w:tcPr>
            <w:tcW w:w="464" w:type="pct"/>
            <w:tcBorders>
              <w:top w:val="single" w:sz="6" w:space="0" w:color="auto"/>
              <w:left w:val="nil"/>
              <w:bottom w:val="thickThinSmallGap" w:sz="24" w:space="0" w:color="000000"/>
              <w:right w:val="nil"/>
            </w:tcBorders>
            <w:vAlign w:val="center"/>
          </w:tcPr>
          <w:p w14:paraId="73AD3758" w14:textId="556A342C"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100,00</w:t>
            </w:r>
          </w:p>
        </w:tc>
        <w:tc>
          <w:tcPr>
            <w:tcW w:w="730" w:type="pct"/>
            <w:tcBorders>
              <w:top w:val="single" w:sz="6" w:space="0" w:color="auto"/>
              <w:left w:val="nil"/>
              <w:bottom w:val="thickThinSmallGap" w:sz="24" w:space="0" w:color="000000"/>
              <w:right w:val="nil"/>
            </w:tcBorders>
            <w:shd w:val="clear" w:color="auto" w:fill="auto"/>
            <w:vAlign w:val="center"/>
          </w:tcPr>
          <w:p w14:paraId="57312A0C" w14:textId="1CC8A349"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101.127.907</w:t>
            </w:r>
          </w:p>
        </w:tc>
        <w:tc>
          <w:tcPr>
            <w:tcW w:w="464" w:type="pct"/>
            <w:tcBorders>
              <w:top w:val="single" w:sz="6" w:space="0" w:color="auto"/>
              <w:bottom w:val="thickThinSmallGap" w:sz="24" w:space="0" w:color="auto"/>
            </w:tcBorders>
            <w:vAlign w:val="center"/>
          </w:tcPr>
          <w:p w14:paraId="1426F623" w14:textId="502448E8" w:rsidR="00B44925" w:rsidRPr="00FB38E1" w:rsidRDefault="00B44925" w:rsidP="00B4492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100,00</w:t>
            </w:r>
          </w:p>
        </w:tc>
      </w:tr>
      <w:tr w:rsidR="00A6628A" w:rsidRPr="00FB38E1" w14:paraId="77DCFCD0" w14:textId="77777777" w:rsidTr="00836EF2">
        <w:trPr>
          <w:trHeight w:val="24"/>
        </w:trPr>
        <w:tc>
          <w:tcPr>
            <w:tcW w:w="2609" w:type="pct"/>
            <w:vAlign w:val="bottom"/>
          </w:tcPr>
          <w:p w14:paraId="4BD2E24F" w14:textId="77777777" w:rsidR="00A6628A" w:rsidRPr="00FB38E1" w:rsidRDefault="00A6628A" w:rsidP="00836EF2">
            <w:pPr>
              <w:rPr>
                <w:rFonts w:ascii="Microsoft Sans Serif" w:hAnsi="Microsoft Sans Serif" w:cs="Microsoft Sans Serif"/>
                <w:color w:val="000000"/>
                <w:sz w:val="16"/>
                <w:szCs w:val="16"/>
              </w:rPr>
            </w:pPr>
          </w:p>
        </w:tc>
        <w:tc>
          <w:tcPr>
            <w:tcW w:w="2391" w:type="pct"/>
            <w:gridSpan w:val="4"/>
          </w:tcPr>
          <w:p w14:paraId="7440DFF7" w14:textId="77777777" w:rsidR="00A6628A" w:rsidRPr="00FB38E1" w:rsidRDefault="00A6628A"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A6628A" w:rsidRPr="00FB38E1" w14:paraId="2631B84F" w14:textId="77777777" w:rsidTr="00836EF2">
        <w:trPr>
          <w:trHeight w:val="47"/>
        </w:trPr>
        <w:tc>
          <w:tcPr>
            <w:tcW w:w="2609" w:type="pct"/>
            <w:tcBorders>
              <w:bottom w:val="single" w:sz="4" w:space="0" w:color="auto"/>
            </w:tcBorders>
            <w:vAlign w:val="bottom"/>
          </w:tcPr>
          <w:p w14:paraId="73DBC1F4" w14:textId="77777777" w:rsidR="00A6628A" w:rsidRPr="00FB38E1" w:rsidRDefault="00A6628A" w:rsidP="00836EF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733" w:type="pct"/>
            <w:tcBorders>
              <w:top w:val="single" w:sz="4" w:space="0" w:color="auto"/>
              <w:bottom w:val="single" w:sz="4" w:space="0" w:color="auto"/>
            </w:tcBorders>
            <w:vAlign w:val="bottom"/>
          </w:tcPr>
          <w:p w14:paraId="50AC9A5C"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464" w:type="pct"/>
            <w:tcBorders>
              <w:top w:val="single" w:sz="4" w:space="0" w:color="auto"/>
              <w:bottom w:val="single" w:sz="4" w:space="0" w:color="auto"/>
            </w:tcBorders>
          </w:tcPr>
          <w:p w14:paraId="08AAAAD8"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c>
          <w:tcPr>
            <w:tcW w:w="730" w:type="pct"/>
            <w:tcBorders>
              <w:top w:val="single" w:sz="4" w:space="0" w:color="auto"/>
              <w:bottom w:val="single" w:sz="4" w:space="0" w:color="auto"/>
            </w:tcBorders>
            <w:vAlign w:val="bottom"/>
          </w:tcPr>
          <w:p w14:paraId="1668D7C5"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464" w:type="pct"/>
            <w:tcBorders>
              <w:top w:val="single" w:sz="4" w:space="0" w:color="auto"/>
              <w:bottom w:val="single" w:sz="4" w:space="0" w:color="auto"/>
            </w:tcBorders>
          </w:tcPr>
          <w:p w14:paraId="4F2A55FD"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F14C85" w:rsidRPr="00FB38E1" w14:paraId="5070074F" w14:textId="77777777" w:rsidTr="00836EF2">
        <w:trPr>
          <w:trHeight w:val="47"/>
        </w:trPr>
        <w:tc>
          <w:tcPr>
            <w:tcW w:w="2609" w:type="pct"/>
            <w:tcBorders>
              <w:top w:val="single" w:sz="4" w:space="0" w:color="auto"/>
              <w:bottom w:val="nil"/>
            </w:tcBorders>
            <w:vAlign w:val="bottom"/>
          </w:tcPr>
          <w:p w14:paraId="5C7869AB" w14:textId="77777777" w:rsidR="00F14C85" w:rsidRPr="00FB38E1" w:rsidRDefault="00F14C85" w:rsidP="00F14C8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Tarım</w:t>
            </w:r>
          </w:p>
        </w:tc>
        <w:tc>
          <w:tcPr>
            <w:tcW w:w="733" w:type="pct"/>
            <w:tcBorders>
              <w:top w:val="nil"/>
              <w:left w:val="nil"/>
              <w:bottom w:val="nil"/>
              <w:right w:val="nil"/>
            </w:tcBorders>
            <w:shd w:val="clear" w:color="auto" w:fill="auto"/>
            <w:vAlign w:val="center"/>
          </w:tcPr>
          <w:p w14:paraId="127A9D17" w14:textId="3B6158F2"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2.209.806</w:t>
            </w:r>
          </w:p>
        </w:tc>
        <w:tc>
          <w:tcPr>
            <w:tcW w:w="464" w:type="pct"/>
            <w:tcBorders>
              <w:top w:val="nil"/>
              <w:left w:val="nil"/>
              <w:bottom w:val="nil"/>
              <w:right w:val="nil"/>
            </w:tcBorders>
            <w:vAlign w:val="center"/>
          </w:tcPr>
          <w:p w14:paraId="04E93847" w14:textId="682907A6"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3,11</w:t>
            </w:r>
          </w:p>
        </w:tc>
        <w:tc>
          <w:tcPr>
            <w:tcW w:w="730" w:type="pct"/>
            <w:tcBorders>
              <w:top w:val="nil"/>
              <w:left w:val="nil"/>
              <w:bottom w:val="nil"/>
              <w:right w:val="nil"/>
            </w:tcBorders>
            <w:shd w:val="clear" w:color="auto" w:fill="auto"/>
            <w:vAlign w:val="center"/>
          </w:tcPr>
          <w:p w14:paraId="0220A2C3" w14:textId="6222704B"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995.818</w:t>
            </w:r>
          </w:p>
        </w:tc>
        <w:tc>
          <w:tcPr>
            <w:tcW w:w="464" w:type="pct"/>
            <w:tcBorders>
              <w:top w:val="single" w:sz="4" w:space="0" w:color="auto"/>
              <w:bottom w:val="nil"/>
            </w:tcBorders>
            <w:vAlign w:val="center"/>
          </w:tcPr>
          <w:p w14:paraId="3910B156" w14:textId="13A33E40"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1,21</w:t>
            </w:r>
          </w:p>
        </w:tc>
      </w:tr>
      <w:tr w:rsidR="00F14C85" w:rsidRPr="00FB38E1" w14:paraId="13D29ACE" w14:textId="77777777" w:rsidTr="00836EF2">
        <w:trPr>
          <w:trHeight w:val="57"/>
        </w:trPr>
        <w:tc>
          <w:tcPr>
            <w:tcW w:w="2609" w:type="pct"/>
            <w:tcBorders>
              <w:top w:val="nil"/>
            </w:tcBorders>
            <w:tcMar>
              <w:left w:w="170" w:type="dxa"/>
            </w:tcMar>
            <w:vAlign w:val="bottom"/>
          </w:tcPr>
          <w:p w14:paraId="74D55516"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Çiftçilik ve Hayvancılık</w:t>
            </w:r>
          </w:p>
        </w:tc>
        <w:tc>
          <w:tcPr>
            <w:tcW w:w="733" w:type="pct"/>
            <w:tcBorders>
              <w:top w:val="nil"/>
              <w:left w:val="nil"/>
              <w:bottom w:val="nil"/>
              <w:right w:val="nil"/>
            </w:tcBorders>
            <w:shd w:val="clear" w:color="auto" w:fill="auto"/>
            <w:vAlign w:val="center"/>
          </w:tcPr>
          <w:p w14:paraId="372E22B5" w14:textId="71C51189"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2.174.706</w:t>
            </w:r>
          </w:p>
        </w:tc>
        <w:tc>
          <w:tcPr>
            <w:tcW w:w="464" w:type="pct"/>
            <w:tcBorders>
              <w:top w:val="nil"/>
              <w:left w:val="nil"/>
              <w:bottom w:val="nil"/>
              <w:right w:val="nil"/>
            </w:tcBorders>
            <w:vAlign w:val="center"/>
          </w:tcPr>
          <w:p w14:paraId="7FF63B03" w14:textId="6DF425C2"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3,06</w:t>
            </w:r>
          </w:p>
        </w:tc>
        <w:tc>
          <w:tcPr>
            <w:tcW w:w="730" w:type="pct"/>
            <w:tcBorders>
              <w:top w:val="nil"/>
              <w:left w:val="nil"/>
              <w:bottom w:val="nil"/>
              <w:right w:val="nil"/>
            </w:tcBorders>
            <w:shd w:val="clear" w:color="auto" w:fill="auto"/>
            <w:vAlign w:val="center"/>
          </w:tcPr>
          <w:p w14:paraId="2442EA50" w14:textId="638E4507"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988.715</w:t>
            </w:r>
          </w:p>
        </w:tc>
        <w:tc>
          <w:tcPr>
            <w:tcW w:w="464" w:type="pct"/>
            <w:tcBorders>
              <w:top w:val="nil"/>
            </w:tcBorders>
            <w:vAlign w:val="center"/>
          </w:tcPr>
          <w:p w14:paraId="3623BB3B" w14:textId="30444181"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w:t>
            </w:r>
          </w:p>
        </w:tc>
      </w:tr>
      <w:tr w:rsidR="00F14C85" w:rsidRPr="00FB38E1" w14:paraId="3110C3CF" w14:textId="77777777" w:rsidTr="00836EF2">
        <w:trPr>
          <w:trHeight w:val="57"/>
        </w:trPr>
        <w:tc>
          <w:tcPr>
            <w:tcW w:w="2609" w:type="pct"/>
            <w:tcBorders>
              <w:top w:val="nil"/>
            </w:tcBorders>
            <w:tcMar>
              <w:left w:w="170" w:type="dxa"/>
            </w:tcMar>
            <w:vAlign w:val="bottom"/>
          </w:tcPr>
          <w:p w14:paraId="1189988C"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Ormancılık</w:t>
            </w:r>
          </w:p>
        </w:tc>
        <w:tc>
          <w:tcPr>
            <w:tcW w:w="733" w:type="pct"/>
            <w:tcBorders>
              <w:top w:val="nil"/>
              <w:left w:val="nil"/>
              <w:bottom w:val="nil"/>
              <w:right w:val="nil"/>
            </w:tcBorders>
            <w:shd w:val="clear" w:color="auto" w:fill="auto"/>
            <w:vAlign w:val="center"/>
          </w:tcPr>
          <w:p w14:paraId="66ADDFD0" w14:textId="03D37A7E"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21.454</w:t>
            </w:r>
          </w:p>
        </w:tc>
        <w:tc>
          <w:tcPr>
            <w:tcW w:w="464" w:type="pct"/>
            <w:tcBorders>
              <w:top w:val="nil"/>
              <w:left w:val="nil"/>
              <w:bottom w:val="nil"/>
              <w:right w:val="nil"/>
            </w:tcBorders>
            <w:vAlign w:val="center"/>
          </w:tcPr>
          <w:p w14:paraId="37702E2B" w14:textId="4BAB0C5D"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0,03</w:t>
            </w:r>
          </w:p>
        </w:tc>
        <w:tc>
          <w:tcPr>
            <w:tcW w:w="730" w:type="pct"/>
            <w:tcBorders>
              <w:top w:val="nil"/>
              <w:left w:val="nil"/>
              <w:bottom w:val="nil"/>
              <w:right w:val="nil"/>
            </w:tcBorders>
            <w:shd w:val="clear" w:color="auto" w:fill="auto"/>
            <w:vAlign w:val="center"/>
          </w:tcPr>
          <w:p w14:paraId="65A7E7E8" w14:textId="148A8988"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64" w:type="pct"/>
            <w:tcBorders>
              <w:top w:val="nil"/>
            </w:tcBorders>
            <w:vAlign w:val="center"/>
          </w:tcPr>
          <w:p w14:paraId="7578A9A3" w14:textId="7DFE85CE"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14C85" w:rsidRPr="00FB38E1" w14:paraId="7CCFC70D" w14:textId="77777777" w:rsidTr="00836EF2">
        <w:trPr>
          <w:trHeight w:val="57"/>
        </w:trPr>
        <w:tc>
          <w:tcPr>
            <w:tcW w:w="2609" w:type="pct"/>
            <w:tcBorders>
              <w:top w:val="nil"/>
            </w:tcBorders>
            <w:tcMar>
              <w:left w:w="170" w:type="dxa"/>
            </w:tcMar>
            <w:vAlign w:val="bottom"/>
          </w:tcPr>
          <w:p w14:paraId="6B349DC2"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Balıkçılık</w:t>
            </w:r>
          </w:p>
        </w:tc>
        <w:tc>
          <w:tcPr>
            <w:tcW w:w="733" w:type="pct"/>
            <w:tcBorders>
              <w:top w:val="nil"/>
              <w:left w:val="nil"/>
              <w:bottom w:val="nil"/>
              <w:right w:val="nil"/>
            </w:tcBorders>
            <w:shd w:val="clear" w:color="auto" w:fill="auto"/>
            <w:vAlign w:val="center"/>
          </w:tcPr>
          <w:p w14:paraId="5C951934" w14:textId="0C3F8B78"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13.646</w:t>
            </w:r>
          </w:p>
        </w:tc>
        <w:tc>
          <w:tcPr>
            <w:tcW w:w="464" w:type="pct"/>
            <w:tcBorders>
              <w:top w:val="nil"/>
              <w:left w:val="nil"/>
              <w:bottom w:val="nil"/>
              <w:right w:val="nil"/>
            </w:tcBorders>
            <w:vAlign w:val="center"/>
          </w:tcPr>
          <w:p w14:paraId="5EF4D84C" w14:textId="42D9F5DF"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0,02</w:t>
            </w:r>
          </w:p>
        </w:tc>
        <w:tc>
          <w:tcPr>
            <w:tcW w:w="730" w:type="pct"/>
            <w:tcBorders>
              <w:top w:val="nil"/>
              <w:left w:val="nil"/>
              <w:bottom w:val="nil"/>
              <w:right w:val="nil"/>
            </w:tcBorders>
            <w:shd w:val="clear" w:color="auto" w:fill="auto"/>
            <w:vAlign w:val="center"/>
          </w:tcPr>
          <w:p w14:paraId="721AD7D6" w14:textId="09F71ACE"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7.103</w:t>
            </w:r>
          </w:p>
        </w:tc>
        <w:tc>
          <w:tcPr>
            <w:tcW w:w="464" w:type="pct"/>
            <w:tcBorders>
              <w:top w:val="nil"/>
            </w:tcBorders>
            <w:vAlign w:val="center"/>
          </w:tcPr>
          <w:p w14:paraId="0AD73318" w14:textId="17419496"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0,01</w:t>
            </w:r>
          </w:p>
        </w:tc>
      </w:tr>
      <w:tr w:rsidR="00F14C85" w:rsidRPr="00FB38E1" w14:paraId="65928EFA" w14:textId="77777777" w:rsidTr="00836EF2">
        <w:trPr>
          <w:trHeight w:val="57"/>
        </w:trPr>
        <w:tc>
          <w:tcPr>
            <w:tcW w:w="2609" w:type="pct"/>
            <w:tcBorders>
              <w:top w:val="nil"/>
            </w:tcBorders>
            <w:vAlign w:val="bottom"/>
          </w:tcPr>
          <w:p w14:paraId="4A144BC9" w14:textId="77777777" w:rsidR="00F14C85" w:rsidRPr="00FB38E1" w:rsidRDefault="00F14C85" w:rsidP="00F14C8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Sanayi</w:t>
            </w:r>
          </w:p>
        </w:tc>
        <w:tc>
          <w:tcPr>
            <w:tcW w:w="733" w:type="pct"/>
            <w:tcBorders>
              <w:top w:val="nil"/>
              <w:left w:val="nil"/>
              <w:bottom w:val="nil"/>
              <w:right w:val="nil"/>
            </w:tcBorders>
            <w:shd w:val="clear" w:color="auto" w:fill="auto"/>
            <w:vAlign w:val="center"/>
          </w:tcPr>
          <w:p w14:paraId="07AC46D9" w14:textId="4754952E"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22.580.460</w:t>
            </w:r>
          </w:p>
        </w:tc>
        <w:tc>
          <w:tcPr>
            <w:tcW w:w="464" w:type="pct"/>
            <w:tcBorders>
              <w:top w:val="nil"/>
              <w:left w:val="nil"/>
              <w:bottom w:val="nil"/>
              <w:right w:val="nil"/>
            </w:tcBorders>
            <w:vAlign w:val="center"/>
          </w:tcPr>
          <w:p w14:paraId="7726AABA" w14:textId="7FA6A1FA"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31,75</w:t>
            </w:r>
          </w:p>
        </w:tc>
        <w:tc>
          <w:tcPr>
            <w:tcW w:w="730" w:type="pct"/>
            <w:tcBorders>
              <w:top w:val="nil"/>
              <w:left w:val="nil"/>
              <w:bottom w:val="nil"/>
              <w:right w:val="nil"/>
            </w:tcBorders>
            <w:shd w:val="clear" w:color="auto" w:fill="auto"/>
            <w:vAlign w:val="center"/>
          </w:tcPr>
          <w:p w14:paraId="21708EBE" w14:textId="548E00A7"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34.760.023</w:t>
            </w:r>
          </w:p>
        </w:tc>
        <w:tc>
          <w:tcPr>
            <w:tcW w:w="464" w:type="pct"/>
            <w:tcBorders>
              <w:top w:val="nil"/>
            </w:tcBorders>
            <w:vAlign w:val="center"/>
          </w:tcPr>
          <w:p w14:paraId="7620DB86" w14:textId="54862005"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42,36</w:t>
            </w:r>
          </w:p>
        </w:tc>
      </w:tr>
      <w:tr w:rsidR="00F14C85" w:rsidRPr="00FB38E1" w14:paraId="55193E4C" w14:textId="77777777" w:rsidTr="00836EF2">
        <w:trPr>
          <w:trHeight w:val="57"/>
        </w:trPr>
        <w:tc>
          <w:tcPr>
            <w:tcW w:w="2609" w:type="pct"/>
            <w:tcBorders>
              <w:top w:val="nil"/>
            </w:tcBorders>
            <w:tcMar>
              <w:left w:w="170" w:type="dxa"/>
            </w:tcMar>
            <w:vAlign w:val="bottom"/>
          </w:tcPr>
          <w:p w14:paraId="4283EADB"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Madencilik ve Taşocakçılığı</w:t>
            </w:r>
          </w:p>
        </w:tc>
        <w:tc>
          <w:tcPr>
            <w:tcW w:w="733" w:type="pct"/>
            <w:tcBorders>
              <w:top w:val="nil"/>
              <w:left w:val="nil"/>
              <w:bottom w:val="nil"/>
              <w:right w:val="nil"/>
            </w:tcBorders>
            <w:shd w:val="clear" w:color="auto" w:fill="auto"/>
            <w:vAlign w:val="center"/>
          </w:tcPr>
          <w:p w14:paraId="59D5ABD3" w14:textId="3AD4E480"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1.582.013</w:t>
            </w:r>
          </w:p>
        </w:tc>
        <w:tc>
          <w:tcPr>
            <w:tcW w:w="464" w:type="pct"/>
            <w:tcBorders>
              <w:top w:val="nil"/>
              <w:left w:val="nil"/>
              <w:bottom w:val="nil"/>
              <w:right w:val="nil"/>
            </w:tcBorders>
            <w:vAlign w:val="center"/>
          </w:tcPr>
          <w:p w14:paraId="752D9670" w14:textId="2F22F5E4"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2,22</w:t>
            </w:r>
          </w:p>
        </w:tc>
        <w:tc>
          <w:tcPr>
            <w:tcW w:w="730" w:type="pct"/>
            <w:tcBorders>
              <w:top w:val="nil"/>
              <w:left w:val="nil"/>
              <w:bottom w:val="nil"/>
              <w:right w:val="nil"/>
            </w:tcBorders>
            <w:shd w:val="clear" w:color="auto" w:fill="auto"/>
            <w:vAlign w:val="center"/>
          </w:tcPr>
          <w:p w14:paraId="70F15041" w14:textId="12E11A64"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532.779</w:t>
            </w:r>
          </w:p>
        </w:tc>
        <w:tc>
          <w:tcPr>
            <w:tcW w:w="464" w:type="pct"/>
            <w:tcBorders>
              <w:top w:val="nil"/>
            </w:tcBorders>
            <w:vAlign w:val="center"/>
          </w:tcPr>
          <w:p w14:paraId="74A0BA55" w14:textId="792F2CFD"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0,65</w:t>
            </w:r>
          </w:p>
        </w:tc>
      </w:tr>
      <w:tr w:rsidR="00F14C85" w:rsidRPr="00FB38E1" w14:paraId="73B3F19A" w14:textId="77777777" w:rsidTr="00836EF2">
        <w:trPr>
          <w:trHeight w:val="57"/>
        </w:trPr>
        <w:tc>
          <w:tcPr>
            <w:tcW w:w="2609" w:type="pct"/>
            <w:tcBorders>
              <w:top w:val="nil"/>
            </w:tcBorders>
            <w:tcMar>
              <w:left w:w="170" w:type="dxa"/>
            </w:tcMar>
            <w:vAlign w:val="bottom"/>
          </w:tcPr>
          <w:p w14:paraId="4477C758"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İmalat Sanayi</w:t>
            </w:r>
          </w:p>
        </w:tc>
        <w:tc>
          <w:tcPr>
            <w:tcW w:w="733" w:type="pct"/>
            <w:tcBorders>
              <w:top w:val="nil"/>
              <w:left w:val="nil"/>
              <w:bottom w:val="nil"/>
              <w:right w:val="nil"/>
            </w:tcBorders>
            <w:shd w:val="clear" w:color="auto" w:fill="auto"/>
            <w:vAlign w:val="center"/>
          </w:tcPr>
          <w:p w14:paraId="42275DB9" w14:textId="56481582"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19.628.457</w:t>
            </w:r>
          </w:p>
        </w:tc>
        <w:tc>
          <w:tcPr>
            <w:tcW w:w="464" w:type="pct"/>
            <w:tcBorders>
              <w:top w:val="nil"/>
              <w:left w:val="nil"/>
              <w:bottom w:val="nil"/>
              <w:right w:val="nil"/>
            </w:tcBorders>
            <w:vAlign w:val="center"/>
          </w:tcPr>
          <w:p w14:paraId="7B436B7A" w14:textId="6617FE3B"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27,60</w:t>
            </w:r>
          </w:p>
        </w:tc>
        <w:tc>
          <w:tcPr>
            <w:tcW w:w="730" w:type="pct"/>
            <w:tcBorders>
              <w:top w:val="nil"/>
              <w:left w:val="nil"/>
              <w:bottom w:val="nil"/>
              <w:right w:val="nil"/>
            </w:tcBorders>
            <w:shd w:val="clear" w:color="auto" w:fill="auto"/>
            <w:vAlign w:val="center"/>
          </w:tcPr>
          <w:p w14:paraId="647F2F63" w14:textId="0DD7105E"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26.806.732</w:t>
            </w:r>
          </w:p>
        </w:tc>
        <w:tc>
          <w:tcPr>
            <w:tcW w:w="464" w:type="pct"/>
            <w:tcBorders>
              <w:top w:val="nil"/>
            </w:tcBorders>
            <w:vAlign w:val="center"/>
          </w:tcPr>
          <w:p w14:paraId="7E49E3C5" w14:textId="05E51852"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32,67</w:t>
            </w:r>
          </w:p>
        </w:tc>
      </w:tr>
      <w:tr w:rsidR="00F14C85" w:rsidRPr="00FB38E1" w14:paraId="78794DA6" w14:textId="77777777" w:rsidTr="00836EF2">
        <w:trPr>
          <w:trHeight w:val="57"/>
        </w:trPr>
        <w:tc>
          <w:tcPr>
            <w:tcW w:w="2609" w:type="pct"/>
            <w:tcBorders>
              <w:top w:val="nil"/>
            </w:tcBorders>
            <w:tcMar>
              <w:left w:w="170" w:type="dxa"/>
            </w:tcMar>
            <w:vAlign w:val="bottom"/>
          </w:tcPr>
          <w:p w14:paraId="594896A8"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Elektrik, Gaz, Su</w:t>
            </w:r>
          </w:p>
        </w:tc>
        <w:tc>
          <w:tcPr>
            <w:tcW w:w="733" w:type="pct"/>
            <w:tcBorders>
              <w:top w:val="nil"/>
              <w:left w:val="nil"/>
              <w:bottom w:val="nil"/>
              <w:right w:val="nil"/>
            </w:tcBorders>
            <w:shd w:val="clear" w:color="auto" w:fill="auto"/>
            <w:vAlign w:val="center"/>
          </w:tcPr>
          <w:p w14:paraId="50C892A8" w14:textId="566A4B31"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1.369.990</w:t>
            </w:r>
          </w:p>
        </w:tc>
        <w:tc>
          <w:tcPr>
            <w:tcW w:w="464" w:type="pct"/>
            <w:tcBorders>
              <w:top w:val="nil"/>
              <w:left w:val="nil"/>
              <w:bottom w:val="nil"/>
              <w:right w:val="nil"/>
            </w:tcBorders>
            <w:vAlign w:val="center"/>
          </w:tcPr>
          <w:p w14:paraId="39AF18E3" w14:textId="38027BD9"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1,93</w:t>
            </w:r>
          </w:p>
        </w:tc>
        <w:tc>
          <w:tcPr>
            <w:tcW w:w="730" w:type="pct"/>
            <w:tcBorders>
              <w:top w:val="nil"/>
              <w:left w:val="nil"/>
              <w:bottom w:val="nil"/>
              <w:right w:val="nil"/>
            </w:tcBorders>
            <w:shd w:val="clear" w:color="auto" w:fill="auto"/>
            <w:vAlign w:val="center"/>
          </w:tcPr>
          <w:p w14:paraId="0D5A9ED9" w14:textId="47469476"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7.420.512</w:t>
            </w:r>
          </w:p>
        </w:tc>
        <w:tc>
          <w:tcPr>
            <w:tcW w:w="464" w:type="pct"/>
            <w:tcBorders>
              <w:top w:val="nil"/>
            </w:tcBorders>
            <w:vAlign w:val="center"/>
          </w:tcPr>
          <w:p w14:paraId="688CB143" w14:textId="7CEC589A"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9,04</w:t>
            </w:r>
          </w:p>
        </w:tc>
      </w:tr>
      <w:tr w:rsidR="00F14C85" w:rsidRPr="00FB38E1" w14:paraId="5C95FF1D" w14:textId="77777777" w:rsidTr="00836EF2">
        <w:trPr>
          <w:trHeight w:val="57"/>
        </w:trPr>
        <w:tc>
          <w:tcPr>
            <w:tcW w:w="2609" w:type="pct"/>
            <w:tcBorders>
              <w:top w:val="nil"/>
            </w:tcBorders>
            <w:vAlign w:val="bottom"/>
          </w:tcPr>
          <w:p w14:paraId="60A4D23D" w14:textId="77777777" w:rsidR="00F14C85" w:rsidRPr="00FB38E1" w:rsidRDefault="00F14C85" w:rsidP="00F14C8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İnşaat</w:t>
            </w:r>
          </w:p>
        </w:tc>
        <w:tc>
          <w:tcPr>
            <w:tcW w:w="733" w:type="pct"/>
            <w:tcBorders>
              <w:top w:val="nil"/>
              <w:left w:val="nil"/>
              <w:bottom w:val="nil"/>
              <w:right w:val="nil"/>
            </w:tcBorders>
            <w:shd w:val="clear" w:color="auto" w:fill="auto"/>
            <w:vAlign w:val="center"/>
          </w:tcPr>
          <w:p w14:paraId="2E224E98" w14:textId="0AEE73BB"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12.185.847</w:t>
            </w:r>
          </w:p>
        </w:tc>
        <w:tc>
          <w:tcPr>
            <w:tcW w:w="464" w:type="pct"/>
            <w:tcBorders>
              <w:top w:val="nil"/>
              <w:left w:val="nil"/>
              <w:bottom w:val="nil"/>
              <w:right w:val="nil"/>
            </w:tcBorders>
            <w:vAlign w:val="center"/>
          </w:tcPr>
          <w:p w14:paraId="752DEE4A" w14:textId="7112B299"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17,14</w:t>
            </w:r>
          </w:p>
        </w:tc>
        <w:tc>
          <w:tcPr>
            <w:tcW w:w="730" w:type="pct"/>
            <w:tcBorders>
              <w:top w:val="nil"/>
              <w:left w:val="nil"/>
              <w:bottom w:val="nil"/>
              <w:right w:val="nil"/>
            </w:tcBorders>
            <w:shd w:val="clear" w:color="auto" w:fill="auto"/>
            <w:vAlign w:val="center"/>
          </w:tcPr>
          <w:p w14:paraId="7E1B7B40" w14:textId="2F4A0E18"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20.571.078</w:t>
            </w:r>
          </w:p>
        </w:tc>
        <w:tc>
          <w:tcPr>
            <w:tcW w:w="464" w:type="pct"/>
            <w:tcBorders>
              <w:top w:val="nil"/>
            </w:tcBorders>
            <w:vAlign w:val="center"/>
          </w:tcPr>
          <w:p w14:paraId="7F543584" w14:textId="211DE0A4"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25,07</w:t>
            </w:r>
          </w:p>
        </w:tc>
      </w:tr>
      <w:tr w:rsidR="00F14C85" w:rsidRPr="00FB38E1" w14:paraId="3A760984" w14:textId="77777777" w:rsidTr="00836EF2">
        <w:trPr>
          <w:trHeight w:val="57"/>
        </w:trPr>
        <w:tc>
          <w:tcPr>
            <w:tcW w:w="2609" w:type="pct"/>
            <w:tcBorders>
              <w:top w:val="nil"/>
            </w:tcBorders>
            <w:vAlign w:val="bottom"/>
          </w:tcPr>
          <w:p w14:paraId="0168E69D" w14:textId="77777777" w:rsidR="00F14C85" w:rsidRPr="00FB38E1" w:rsidRDefault="00F14C85" w:rsidP="00F14C8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Hizmetler</w:t>
            </w:r>
          </w:p>
        </w:tc>
        <w:tc>
          <w:tcPr>
            <w:tcW w:w="733" w:type="pct"/>
            <w:tcBorders>
              <w:top w:val="nil"/>
              <w:left w:val="nil"/>
              <w:bottom w:val="nil"/>
              <w:right w:val="nil"/>
            </w:tcBorders>
            <w:shd w:val="clear" w:color="auto" w:fill="auto"/>
            <w:vAlign w:val="center"/>
          </w:tcPr>
          <w:p w14:paraId="3063B7CE" w14:textId="300C8958"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23.013.042</w:t>
            </w:r>
          </w:p>
        </w:tc>
        <w:tc>
          <w:tcPr>
            <w:tcW w:w="464" w:type="pct"/>
            <w:tcBorders>
              <w:top w:val="nil"/>
              <w:left w:val="nil"/>
              <w:bottom w:val="nil"/>
              <w:right w:val="nil"/>
            </w:tcBorders>
            <w:vAlign w:val="center"/>
          </w:tcPr>
          <w:p w14:paraId="7C8F1819" w14:textId="01168258"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32,38</w:t>
            </w:r>
          </w:p>
        </w:tc>
        <w:tc>
          <w:tcPr>
            <w:tcW w:w="730" w:type="pct"/>
            <w:tcBorders>
              <w:top w:val="nil"/>
              <w:left w:val="nil"/>
              <w:bottom w:val="nil"/>
              <w:right w:val="nil"/>
            </w:tcBorders>
            <w:shd w:val="clear" w:color="auto" w:fill="auto"/>
            <w:vAlign w:val="center"/>
          </w:tcPr>
          <w:p w14:paraId="189C809E" w14:textId="40D4FBFC"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19.792.282</w:t>
            </w:r>
          </w:p>
        </w:tc>
        <w:tc>
          <w:tcPr>
            <w:tcW w:w="464" w:type="pct"/>
            <w:tcBorders>
              <w:top w:val="nil"/>
            </w:tcBorders>
            <w:vAlign w:val="center"/>
          </w:tcPr>
          <w:p w14:paraId="46FEDD21" w14:textId="6A4ED862"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24,13</w:t>
            </w:r>
          </w:p>
        </w:tc>
      </w:tr>
      <w:tr w:rsidR="00F14C85" w:rsidRPr="00FB38E1" w14:paraId="7B2DF99F" w14:textId="77777777" w:rsidTr="00836EF2">
        <w:trPr>
          <w:trHeight w:val="57"/>
        </w:trPr>
        <w:tc>
          <w:tcPr>
            <w:tcW w:w="2609" w:type="pct"/>
            <w:tcBorders>
              <w:top w:val="nil"/>
            </w:tcBorders>
            <w:tcMar>
              <w:left w:w="170" w:type="dxa"/>
            </w:tcMar>
            <w:vAlign w:val="bottom"/>
          </w:tcPr>
          <w:p w14:paraId="5D57CE37"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Toptan ve Perakende Ticaret</w:t>
            </w:r>
          </w:p>
        </w:tc>
        <w:tc>
          <w:tcPr>
            <w:tcW w:w="733" w:type="pct"/>
            <w:tcBorders>
              <w:top w:val="nil"/>
              <w:left w:val="nil"/>
              <w:bottom w:val="nil"/>
              <w:right w:val="nil"/>
            </w:tcBorders>
            <w:shd w:val="clear" w:color="auto" w:fill="auto"/>
            <w:vAlign w:val="center"/>
          </w:tcPr>
          <w:p w14:paraId="0C8EF5D7" w14:textId="6385D32C"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15.505.355</w:t>
            </w:r>
          </w:p>
        </w:tc>
        <w:tc>
          <w:tcPr>
            <w:tcW w:w="464" w:type="pct"/>
            <w:tcBorders>
              <w:top w:val="nil"/>
              <w:left w:val="nil"/>
              <w:bottom w:val="nil"/>
              <w:right w:val="nil"/>
            </w:tcBorders>
            <w:vAlign w:val="center"/>
          </w:tcPr>
          <w:p w14:paraId="6379F51F" w14:textId="35967D64"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21,81</w:t>
            </w:r>
          </w:p>
        </w:tc>
        <w:tc>
          <w:tcPr>
            <w:tcW w:w="730" w:type="pct"/>
            <w:tcBorders>
              <w:top w:val="nil"/>
              <w:left w:val="nil"/>
              <w:bottom w:val="nil"/>
              <w:right w:val="nil"/>
            </w:tcBorders>
            <w:shd w:val="clear" w:color="auto" w:fill="auto"/>
            <w:vAlign w:val="center"/>
          </w:tcPr>
          <w:p w14:paraId="58BD930E" w14:textId="0282930B"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12.790.486</w:t>
            </w:r>
          </w:p>
        </w:tc>
        <w:tc>
          <w:tcPr>
            <w:tcW w:w="464" w:type="pct"/>
            <w:tcBorders>
              <w:top w:val="nil"/>
            </w:tcBorders>
            <w:vAlign w:val="center"/>
          </w:tcPr>
          <w:p w14:paraId="7BBF7665" w14:textId="1D7DA94A"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15,59</w:t>
            </w:r>
          </w:p>
        </w:tc>
      </w:tr>
      <w:tr w:rsidR="00F14C85" w:rsidRPr="00FB38E1" w14:paraId="7B94BCCE" w14:textId="77777777" w:rsidTr="00836EF2">
        <w:trPr>
          <w:trHeight w:val="57"/>
        </w:trPr>
        <w:tc>
          <w:tcPr>
            <w:tcW w:w="2609" w:type="pct"/>
            <w:tcBorders>
              <w:top w:val="nil"/>
            </w:tcBorders>
            <w:tcMar>
              <w:left w:w="170" w:type="dxa"/>
            </w:tcMar>
            <w:vAlign w:val="bottom"/>
          </w:tcPr>
          <w:p w14:paraId="2DCE4F8F"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Otel ve Lokanta Hizmetleri</w:t>
            </w:r>
          </w:p>
        </w:tc>
        <w:tc>
          <w:tcPr>
            <w:tcW w:w="733" w:type="pct"/>
            <w:tcBorders>
              <w:top w:val="nil"/>
              <w:left w:val="nil"/>
              <w:bottom w:val="nil"/>
              <w:right w:val="nil"/>
            </w:tcBorders>
            <w:shd w:val="clear" w:color="auto" w:fill="auto"/>
            <w:vAlign w:val="center"/>
          </w:tcPr>
          <w:p w14:paraId="5ECEF218" w14:textId="7F210E7A"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1.796.179</w:t>
            </w:r>
          </w:p>
        </w:tc>
        <w:tc>
          <w:tcPr>
            <w:tcW w:w="464" w:type="pct"/>
            <w:tcBorders>
              <w:top w:val="nil"/>
              <w:left w:val="nil"/>
              <w:bottom w:val="nil"/>
              <w:right w:val="nil"/>
            </w:tcBorders>
            <w:vAlign w:val="center"/>
          </w:tcPr>
          <w:p w14:paraId="442A780E" w14:textId="4643F7BC"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2,53</w:t>
            </w:r>
          </w:p>
        </w:tc>
        <w:tc>
          <w:tcPr>
            <w:tcW w:w="730" w:type="pct"/>
            <w:tcBorders>
              <w:top w:val="nil"/>
              <w:left w:val="nil"/>
              <w:bottom w:val="nil"/>
              <w:right w:val="nil"/>
            </w:tcBorders>
            <w:shd w:val="clear" w:color="auto" w:fill="auto"/>
            <w:vAlign w:val="center"/>
          </w:tcPr>
          <w:p w14:paraId="2C4C9C29" w14:textId="317B4E8D"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1.270.134</w:t>
            </w:r>
          </w:p>
        </w:tc>
        <w:tc>
          <w:tcPr>
            <w:tcW w:w="464" w:type="pct"/>
            <w:tcBorders>
              <w:top w:val="nil"/>
            </w:tcBorders>
            <w:vAlign w:val="center"/>
          </w:tcPr>
          <w:p w14:paraId="120F9A07" w14:textId="15CD8776"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1,55</w:t>
            </w:r>
          </w:p>
        </w:tc>
      </w:tr>
      <w:tr w:rsidR="00F14C85" w:rsidRPr="00FB38E1" w14:paraId="4F833FB7" w14:textId="77777777" w:rsidTr="00836EF2">
        <w:trPr>
          <w:trHeight w:val="57"/>
        </w:trPr>
        <w:tc>
          <w:tcPr>
            <w:tcW w:w="2609" w:type="pct"/>
            <w:tcBorders>
              <w:top w:val="nil"/>
            </w:tcBorders>
            <w:tcMar>
              <w:left w:w="170" w:type="dxa"/>
            </w:tcMar>
            <w:vAlign w:val="bottom"/>
          </w:tcPr>
          <w:p w14:paraId="141C28DE"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Ulaştırma ve Haberleşme</w:t>
            </w:r>
          </w:p>
        </w:tc>
        <w:tc>
          <w:tcPr>
            <w:tcW w:w="733" w:type="pct"/>
            <w:tcBorders>
              <w:top w:val="nil"/>
              <w:left w:val="nil"/>
              <w:bottom w:val="nil"/>
              <w:right w:val="nil"/>
            </w:tcBorders>
            <w:shd w:val="clear" w:color="auto" w:fill="auto"/>
            <w:vAlign w:val="center"/>
          </w:tcPr>
          <w:p w14:paraId="17589435" w14:textId="0E5D1C41"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2.124.728</w:t>
            </w:r>
          </w:p>
        </w:tc>
        <w:tc>
          <w:tcPr>
            <w:tcW w:w="464" w:type="pct"/>
            <w:tcBorders>
              <w:top w:val="nil"/>
              <w:left w:val="nil"/>
              <w:bottom w:val="nil"/>
              <w:right w:val="nil"/>
            </w:tcBorders>
            <w:vAlign w:val="center"/>
          </w:tcPr>
          <w:p w14:paraId="3C3A7AA3" w14:textId="2E4BBDF8"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2,99</w:t>
            </w:r>
          </w:p>
        </w:tc>
        <w:tc>
          <w:tcPr>
            <w:tcW w:w="730" w:type="pct"/>
            <w:tcBorders>
              <w:top w:val="nil"/>
              <w:left w:val="nil"/>
              <w:bottom w:val="nil"/>
              <w:right w:val="nil"/>
            </w:tcBorders>
            <w:shd w:val="clear" w:color="auto" w:fill="auto"/>
            <w:vAlign w:val="center"/>
          </w:tcPr>
          <w:p w14:paraId="2A7FA0B3" w14:textId="30273A7D"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4.418.901</w:t>
            </w:r>
          </w:p>
        </w:tc>
        <w:tc>
          <w:tcPr>
            <w:tcW w:w="464" w:type="pct"/>
            <w:tcBorders>
              <w:top w:val="nil"/>
            </w:tcBorders>
            <w:vAlign w:val="center"/>
          </w:tcPr>
          <w:p w14:paraId="7D44B290" w14:textId="2E550A8E"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5,39</w:t>
            </w:r>
          </w:p>
        </w:tc>
      </w:tr>
      <w:tr w:rsidR="00F14C85" w:rsidRPr="00FB38E1" w14:paraId="3D4E48EC" w14:textId="77777777" w:rsidTr="00836EF2">
        <w:trPr>
          <w:trHeight w:val="57"/>
        </w:trPr>
        <w:tc>
          <w:tcPr>
            <w:tcW w:w="2609" w:type="pct"/>
            <w:tcBorders>
              <w:top w:val="nil"/>
            </w:tcBorders>
            <w:tcMar>
              <w:left w:w="170" w:type="dxa"/>
            </w:tcMar>
            <w:vAlign w:val="bottom"/>
          </w:tcPr>
          <w:p w14:paraId="79301DA1"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Mali Kuruluşlar</w:t>
            </w:r>
          </w:p>
        </w:tc>
        <w:tc>
          <w:tcPr>
            <w:tcW w:w="733" w:type="pct"/>
            <w:tcBorders>
              <w:top w:val="nil"/>
              <w:left w:val="nil"/>
              <w:bottom w:val="nil"/>
              <w:right w:val="nil"/>
            </w:tcBorders>
            <w:shd w:val="clear" w:color="auto" w:fill="auto"/>
            <w:vAlign w:val="center"/>
          </w:tcPr>
          <w:p w14:paraId="45ED94A3" w14:textId="25598C3D"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2.806.095</w:t>
            </w:r>
          </w:p>
        </w:tc>
        <w:tc>
          <w:tcPr>
            <w:tcW w:w="464" w:type="pct"/>
            <w:tcBorders>
              <w:top w:val="nil"/>
              <w:left w:val="nil"/>
              <w:bottom w:val="nil"/>
              <w:right w:val="nil"/>
            </w:tcBorders>
            <w:vAlign w:val="center"/>
          </w:tcPr>
          <w:p w14:paraId="466C0177" w14:textId="170D5ED5"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3,95</w:t>
            </w:r>
          </w:p>
        </w:tc>
        <w:tc>
          <w:tcPr>
            <w:tcW w:w="730" w:type="pct"/>
            <w:tcBorders>
              <w:top w:val="nil"/>
              <w:left w:val="nil"/>
              <w:bottom w:val="nil"/>
              <w:right w:val="nil"/>
            </w:tcBorders>
            <w:shd w:val="clear" w:color="auto" w:fill="auto"/>
            <w:vAlign w:val="center"/>
          </w:tcPr>
          <w:p w14:paraId="3880FA50" w14:textId="36E0B305"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1.261.108</w:t>
            </w:r>
          </w:p>
        </w:tc>
        <w:tc>
          <w:tcPr>
            <w:tcW w:w="464" w:type="pct"/>
            <w:tcBorders>
              <w:top w:val="nil"/>
            </w:tcBorders>
            <w:vAlign w:val="center"/>
          </w:tcPr>
          <w:p w14:paraId="470F9EDC" w14:textId="7AE1A464"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1,54</w:t>
            </w:r>
          </w:p>
        </w:tc>
      </w:tr>
      <w:tr w:rsidR="00F14C85" w:rsidRPr="00FB38E1" w14:paraId="323C6E11" w14:textId="77777777" w:rsidTr="00836EF2">
        <w:trPr>
          <w:trHeight w:val="57"/>
        </w:trPr>
        <w:tc>
          <w:tcPr>
            <w:tcW w:w="2609" w:type="pct"/>
            <w:tcBorders>
              <w:top w:val="nil"/>
            </w:tcBorders>
            <w:tcMar>
              <w:left w:w="170" w:type="dxa"/>
            </w:tcMar>
            <w:vAlign w:val="bottom"/>
          </w:tcPr>
          <w:p w14:paraId="7F5047E4"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Gayrimenkul ve Kira Hizmetleri</w:t>
            </w:r>
          </w:p>
        </w:tc>
        <w:tc>
          <w:tcPr>
            <w:tcW w:w="733" w:type="pct"/>
            <w:tcBorders>
              <w:top w:val="nil"/>
              <w:left w:val="nil"/>
              <w:bottom w:val="nil"/>
              <w:right w:val="nil"/>
            </w:tcBorders>
            <w:shd w:val="clear" w:color="auto" w:fill="auto"/>
            <w:vAlign w:val="center"/>
          </w:tcPr>
          <w:p w14:paraId="45E304F1" w14:textId="074DD60A"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64.724</w:t>
            </w:r>
          </w:p>
        </w:tc>
        <w:tc>
          <w:tcPr>
            <w:tcW w:w="464" w:type="pct"/>
            <w:tcBorders>
              <w:top w:val="nil"/>
              <w:left w:val="nil"/>
              <w:bottom w:val="nil"/>
              <w:right w:val="nil"/>
            </w:tcBorders>
            <w:vAlign w:val="center"/>
          </w:tcPr>
          <w:p w14:paraId="314168FE" w14:textId="670EFA8B"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0,09</w:t>
            </w:r>
          </w:p>
        </w:tc>
        <w:tc>
          <w:tcPr>
            <w:tcW w:w="730" w:type="pct"/>
            <w:tcBorders>
              <w:top w:val="nil"/>
              <w:left w:val="nil"/>
              <w:bottom w:val="nil"/>
              <w:right w:val="nil"/>
            </w:tcBorders>
            <w:shd w:val="clear" w:color="auto" w:fill="auto"/>
            <w:vAlign w:val="center"/>
          </w:tcPr>
          <w:p w14:paraId="3565B124" w14:textId="75C051F0"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8.846</w:t>
            </w:r>
          </w:p>
        </w:tc>
        <w:tc>
          <w:tcPr>
            <w:tcW w:w="464" w:type="pct"/>
            <w:tcBorders>
              <w:top w:val="nil"/>
            </w:tcBorders>
            <w:vAlign w:val="center"/>
          </w:tcPr>
          <w:p w14:paraId="194975E4" w14:textId="1C9621F2"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0,01</w:t>
            </w:r>
          </w:p>
        </w:tc>
      </w:tr>
      <w:tr w:rsidR="00F14C85" w:rsidRPr="00FB38E1" w14:paraId="03A5954B" w14:textId="77777777" w:rsidTr="00836EF2">
        <w:trPr>
          <w:trHeight w:val="57"/>
        </w:trPr>
        <w:tc>
          <w:tcPr>
            <w:tcW w:w="2609" w:type="pct"/>
            <w:tcBorders>
              <w:top w:val="nil"/>
            </w:tcBorders>
            <w:tcMar>
              <w:left w:w="170" w:type="dxa"/>
            </w:tcMar>
            <w:vAlign w:val="bottom"/>
          </w:tcPr>
          <w:p w14:paraId="53574B88"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Serbest Meslek Hizmetleri</w:t>
            </w:r>
          </w:p>
        </w:tc>
        <w:tc>
          <w:tcPr>
            <w:tcW w:w="733" w:type="pct"/>
            <w:tcBorders>
              <w:top w:val="nil"/>
              <w:left w:val="nil"/>
              <w:bottom w:val="nil"/>
              <w:right w:val="nil"/>
            </w:tcBorders>
            <w:shd w:val="clear" w:color="auto" w:fill="auto"/>
            <w:vAlign w:val="center"/>
          </w:tcPr>
          <w:p w14:paraId="56F97393" w14:textId="2ACECF58"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64" w:type="pct"/>
            <w:tcBorders>
              <w:top w:val="nil"/>
              <w:left w:val="nil"/>
              <w:bottom w:val="nil"/>
              <w:right w:val="nil"/>
            </w:tcBorders>
            <w:vAlign w:val="center"/>
          </w:tcPr>
          <w:p w14:paraId="3AD3C012" w14:textId="089017E6"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0" w:type="pct"/>
            <w:tcBorders>
              <w:top w:val="nil"/>
              <w:left w:val="nil"/>
              <w:bottom w:val="nil"/>
              <w:right w:val="nil"/>
            </w:tcBorders>
            <w:shd w:val="clear" w:color="auto" w:fill="auto"/>
            <w:vAlign w:val="center"/>
          </w:tcPr>
          <w:p w14:paraId="687C3B11" w14:textId="3EDDB082"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64" w:type="pct"/>
            <w:tcBorders>
              <w:top w:val="nil"/>
            </w:tcBorders>
            <w:vAlign w:val="center"/>
          </w:tcPr>
          <w:p w14:paraId="00F2F4CA" w14:textId="1AF81D01"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F14C85" w:rsidRPr="00FB38E1" w14:paraId="63EAC2DC" w14:textId="77777777" w:rsidTr="00836EF2">
        <w:trPr>
          <w:trHeight w:val="57"/>
        </w:trPr>
        <w:tc>
          <w:tcPr>
            <w:tcW w:w="2609" w:type="pct"/>
            <w:tcBorders>
              <w:top w:val="nil"/>
            </w:tcBorders>
            <w:tcMar>
              <w:left w:w="170" w:type="dxa"/>
            </w:tcMar>
            <w:vAlign w:val="bottom"/>
          </w:tcPr>
          <w:p w14:paraId="025D22A9"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Eğitim Hizmetleri</w:t>
            </w:r>
          </w:p>
        </w:tc>
        <w:tc>
          <w:tcPr>
            <w:tcW w:w="733" w:type="pct"/>
            <w:tcBorders>
              <w:top w:val="nil"/>
              <w:left w:val="nil"/>
              <w:bottom w:val="nil"/>
              <w:right w:val="nil"/>
            </w:tcBorders>
            <w:shd w:val="clear" w:color="auto" w:fill="auto"/>
            <w:vAlign w:val="center"/>
          </w:tcPr>
          <w:p w14:paraId="4A076626" w14:textId="553718EA"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217.540</w:t>
            </w:r>
          </w:p>
        </w:tc>
        <w:tc>
          <w:tcPr>
            <w:tcW w:w="464" w:type="pct"/>
            <w:tcBorders>
              <w:top w:val="nil"/>
              <w:left w:val="nil"/>
              <w:bottom w:val="nil"/>
              <w:right w:val="nil"/>
            </w:tcBorders>
            <w:vAlign w:val="center"/>
          </w:tcPr>
          <w:p w14:paraId="18E69594" w14:textId="151772D6"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0,31</w:t>
            </w:r>
          </w:p>
        </w:tc>
        <w:tc>
          <w:tcPr>
            <w:tcW w:w="730" w:type="pct"/>
            <w:tcBorders>
              <w:top w:val="nil"/>
              <w:left w:val="nil"/>
              <w:bottom w:val="nil"/>
              <w:right w:val="nil"/>
            </w:tcBorders>
            <w:shd w:val="clear" w:color="auto" w:fill="auto"/>
            <w:vAlign w:val="center"/>
          </w:tcPr>
          <w:p w14:paraId="610518A5" w14:textId="0BB64E31"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9.704</w:t>
            </w:r>
          </w:p>
        </w:tc>
        <w:tc>
          <w:tcPr>
            <w:tcW w:w="464" w:type="pct"/>
            <w:tcBorders>
              <w:top w:val="nil"/>
            </w:tcBorders>
            <w:vAlign w:val="center"/>
          </w:tcPr>
          <w:p w14:paraId="1B8F4F88" w14:textId="685E5F95"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0,01</w:t>
            </w:r>
          </w:p>
        </w:tc>
      </w:tr>
      <w:tr w:rsidR="00F14C85" w:rsidRPr="00FB38E1" w14:paraId="6A23E2F7" w14:textId="77777777" w:rsidTr="00836EF2">
        <w:trPr>
          <w:trHeight w:val="57"/>
        </w:trPr>
        <w:tc>
          <w:tcPr>
            <w:tcW w:w="2609" w:type="pct"/>
            <w:tcBorders>
              <w:top w:val="nil"/>
            </w:tcBorders>
            <w:tcMar>
              <w:left w:w="170" w:type="dxa"/>
            </w:tcMar>
            <w:vAlign w:val="bottom"/>
          </w:tcPr>
          <w:p w14:paraId="40426370" w14:textId="77777777" w:rsidR="00F14C85" w:rsidRPr="00FB38E1" w:rsidRDefault="00F14C85" w:rsidP="00F14C8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Sağlık ve Sosyal Hizmetler</w:t>
            </w:r>
          </w:p>
        </w:tc>
        <w:tc>
          <w:tcPr>
            <w:tcW w:w="733" w:type="pct"/>
            <w:tcBorders>
              <w:top w:val="nil"/>
              <w:left w:val="nil"/>
              <w:bottom w:val="nil"/>
              <w:right w:val="nil"/>
            </w:tcBorders>
            <w:shd w:val="clear" w:color="auto" w:fill="auto"/>
            <w:vAlign w:val="center"/>
          </w:tcPr>
          <w:p w14:paraId="4DEDA0A5" w14:textId="30A35798"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498.421</w:t>
            </w:r>
          </w:p>
        </w:tc>
        <w:tc>
          <w:tcPr>
            <w:tcW w:w="464" w:type="pct"/>
            <w:tcBorders>
              <w:top w:val="nil"/>
              <w:left w:val="nil"/>
              <w:bottom w:val="nil"/>
              <w:right w:val="nil"/>
            </w:tcBorders>
            <w:vAlign w:val="center"/>
          </w:tcPr>
          <w:p w14:paraId="3038B56E" w14:textId="6CF45013"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0,70</w:t>
            </w:r>
          </w:p>
        </w:tc>
        <w:tc>
          <w:tcPr>
            <w:tcW w:w="730" w:type="pct"/>
            <w:tcBorders>
              <w:top w:val="nil"/>
              <w:left w:val="nil"/>
              <w:bottom w:val="nil"/>
              <w:right w:val="nil"/>
            </w:tcBorders>
            <w:shd w:val="clear" w:color="auto" w:fill="auto"/>
            <w:vAlign w:val="center"/>
          </w:tcPr>
          <w:p w14:paraId="0A950E7D" w14:textId="60F7B014"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33.103</w:t>
            </w:r>
          </w:p>
        </w:tc>
        <w:tc>
          <w:tcPr>
            <w:tcW w:w="464" w:type="pct"/>
            <w:tcBorders>
              <w:top w:val="nil"/>
            </w:tcBorders>
            <w:vAlign w:val="center"/>
          </w:tcPr>
          <w:p w14:paraId="13597681" w14:textId="195AE385" w:rsidR="00F14C85" w:rsidRPr="00FB38E1" w:rsidRDefault="00F14C85" w:rsidP="00F14C8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0,04</w:t>
            </w:r>
          </w:p>
        </w:tc>
      </w:tr>
      <w:tr w:rsidR="00F14C85" w:rsidRPr="00FB38E1" w14:paraId="11086FCB" w14:textId="77777777" w:rsidTr="00836EF2">
        <w:trPr>
          <w:trHeight w:val="57"/>
        </w:trPr>
        <w:tc>
          <w:tcPr>
            <w:tcW w:w="2609" w:type="pct"/>
            <w:tcBorders>
              <w:top w:val="nil"/>
              <w:bottom w:val="single" w:sz="6" w:space="0" w:color="auto"/>
            </w:tcBorders>
            <w:vAlign w:val="bottom"/>
          </w:tcPr>
          <w:p w14:paraId="7DC70F18" w14:textId="77777777" w:rsidR="00F14C85" w:rsidRPr="00FB38E1" w:rsidRDefault="00F14C85" w:rsidP="00F14C85">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Diğer</w:t>
            </w:r>
          </w:p>
        </w:tc>
        <w:tc>
          <w:tcPr>
            <w:tcW w:w="733" w:type="pct"/>
            <w:tcBorders>
              <w:top w:val="nil"/>
              <w:left w:val="nil"/>
              <w:bottom w:val="single" w:sz="6" w:space="0" w:color="auto"/>
              <w:right w:val="nil"/>
            </w:tcBorders>
            <w:shd w:val="clear" w:color="auto" w:fill="auto"/>
            <w:vAlign w:val="center"/>
          </w:tcPr>
          <w:p w14:paraId="589B051A" w14:textId="2BFEBF82"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11.118.865</w:t>
            </w:r>
          </w:p>
        </w:tc>
        <w:tc>
          <w:tcPr>
            <w:tcW w:w="464" w:type="pct"/>
            <w:tcBorders>
              <w:top w:val="nil"/>
              <w:left w:val="nil"/>
              <w:bottom w:val="single" w:sz="6" w:space="0" w:color="auto"/>
              <w:right w:val="nil"/>
            </w:tcBorders>
            <w:vAlign w:val="center"/>
          </w:tcPr>
          <w:p w14:paraId="4E1F9A2D" w14:textId="5DCFDFBF"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15,62</w:t>
            </w:r>
          </w:p>
        </w:tc>
        <w:tc>
          <w:tcPr>
            <w:tcW w:w="730" w:type="pct"/>
            <w:tcBorders>
              <w:top w:val="nil"/>
              <w:left w:val="nil"/>
              <w:bottom w:val="single" w:sz="6" w:space="0" w:color="auto"/>
              <w:right w:val="nil"/>
            </w:tcBorders>
            <w:shd w:val="clear" w:color="auto" w:fill="auto"/>
            <w:vAlign w:val="center"/>
          </w:tcPr>
          <w:p w14:paraId="2D6A811F" w14:textId="26849A3D"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5.933.792</w:t>
            </w:r>
          </w:p>
        </w:tc>
        <w:tc>
          <w:tcPr>
            <w:tcW w:w="464" w:type="pct"/>
            <w:tcBorders>
              <w:top w:val="nil"/>
              <w:bottom w:val="single" w:sz="6" w:space="0" w:color="auto"/>
            </w:tcBorders>
            <w:vAlign w:val="center"/>
          </w:tcPr>
          <w:p w14:paraId="69E854C1" w14:textId="3BF52B0F"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7,23</w:t>
            </w:r>
          </w:p>
        </w:tc>
      </w:tr>
      <w:tr w:rsidR="00F14C85" w:rsidRPr="00FB38E1" w14:paraId="396B8F13" w14:textId="77777777" w:rsidTr="00836EF2">
        <w:trPr>
          <w:trHeight w:val="42"/>
        </w:trPr>
        <w:tc>
          <w:tcPr>
            <w:tcW w:w="2609" w:type="pct"/>
            <w:tcBorders>
              <w:top w:val="single" w:sz="6" w:space="0" w:color="auto"/>
              <w:bottom w:val="thickThinSmallGap" w:sz="24" w:space="0" w:color="000000"/>
            </w:tcBorders>
            <w:vAlign w:val="bottom"/>
          </w:tcPr>
          <w:p w14:paraId="0BB58602" w14:textId="77777777" w:rsidR="00F14C85" w:rsidRPr="00FB38E1" w:rsidRDefault="00F14C85" w:rsidP="00F14C8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33" w:type="pct"/>
            <w:tcBorders>
              <w:top w:val="single" w:sz="6" w:space="0" w:color="auto"/>
              <w:left w:val="nil"/>
              <w:bottom w:val="thickThinSmallGap" w:sz="24" w:space="0" w:color="000000"/>
              <w:right w:val="nil"/>
            </w:tcBorders>
            <w:shd w:val="clear" w:color="auto" w:fill="auto"/>
            <w:vAlign w:val="center"/>
          </w:tcPr>
          <w:p w14:paraId="4DE2A43C" w14:textId="52DEAAB7"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71.108.020</w:t>
            </w:r>
          </w:p>
        </w:tc>
        <w:tc>
          <w:tcPr>
            <w:tcW w:w="464" w:type="pct"/>
            <w:tcBorders>
              <w:top w:val="single" w:sz="6" w:space="0" w:color="auto"/>
              <w:left w:val="nil"/>
              <w:bottom w:val="thickThinSmallGap" w:sz="24" w:space="0" w:color="000000"/>
              <w:right w:val="nil"/>
            </w:tcBorders>
            <w:vAlign w:val="center"/>
          </w:tcPr>
          <w:p w14:paraId="0AC383C4" w14:textId="3D7F82F2"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100,00</w:t>
            </w:r>
          </w:p>
        </w:tc>
        <w:tc>
          <w:tcPr>
            <w:tcW w:w="730" w:type="pct"/>
            <w:tcBorders>
              <w:top w:val="single" w:sz="6" w:space="0" w:color="auto"/>
              <w:left w:val="nil"/>
              <w:bottom w:val="thickThinSmallGap" w:sz="24" w:space="0" w:color="000000"/>
              <w:right w:val="nil"/>
            </w:tcBorders>
            <w:shd w:val="clear" w:color="auto" w:fill="auto"/>
            <w:vAlign w:val="center"/>
          </w:tcPr>
          <w:p w14:paraId="09A2B43F" w14:textId="2DDCB604"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82.052.993</w:t>
            </w:r>
          </w:p>
        </w:tc>
        <w:tc>
          <w:tcPr>
            <w:tcW w:w="464" w:type="pct"/>
            <w:tcBorders>
              <w:top w:val="single" w:sz="6" w:space="0" w:color="auto"/>
              <w:bottom w:val="thickThinSmallGap" w:sz="24" w:space="0" w:color="auto"/>
            </w:tcBorders>
            <w:vAlign w:val="center"/>
          </w:tcPr>
          <w:p w14:paraId="41E997A6" w14:textId="287CEC8C" w:rsidR="00F14C85" w:rsidRPr="00FB38E1" w:rsidRDefault="00F14C85" w:rsidP="00F14C8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100,00</w:t>
            </w:r>
          </w:p>
        </w:tc>
      </w:tr>
    </w:tbl>
    <w:p w14:paraId="6E5CA896" w14:textId="77777777" w:rsidR="00A6628A" w:rsidRPr="00FB38E1" w:rsidRDefault="00A6628A" w:rsidP="00A6628A">
      <w:pPr>
        <w:pStyle w:val="BASLIK2"/>
        <w:widowControl/>
        <w:numPr>
          <w:ilvl w:val="0"/>
          <w:numId w:val="43"/>
        </w:numPr>
        <w:spacing w:line="240" w:lineRule="exact"/>
        <w:ind w:left="0" w:hanging="284"/>
        <w:rPr>
          <w:rFonts w:ascii="Microsoft Sans Serif" w:hAnsi="Microsoft Sans Serif" w:cs="Microsoft Sans Serif"/>
          <w:b w:val="0"/>
          <w:bCs w:val="0"/>
          <w:sz w:val="20"/>
          <w:szCs w:val="20"/>
        </w:rPr>
      </w:pPr>
      <w:r w:rsidRPr="00FB38E1">
        <w:rPr>
          <w:rFonts w:ascii="Microsoft Sans Serif" w:hAnsi="Microsoft Sans Serif" w:cs="Microsoft Sans Serif"/>
          <w:b w:val="0"/>
          <w:noProof/>
          <w:snapToGrid w:val="0"/>
          <w:sz w:val="20"/>
          <w:szCs w:val="20"/>
          <w:lang w:val="de-DE"/>
        </w:rPr>
        <w:t>I. ve II. g</w:t>
      </w:r>
      <w:r w:rsidRPr="00FB38E1">
        <w:rPr>
          <w:rFonts w:ascii="Microsoft Sans Serif" w:hAnsi="Microsoft Sans Serif" w:cs="Microsoft Sans Serif"/>
          <w:b w:val="0"/>
          <w:noProof/>
          <w:snapToGrid w:val="0"/>
          <w:sz w:val="20"/>
          <w:szCs w:val="20"/>
          <w:lang w:val="de-DE"/>
        </w:rPr>
        <w:tab/>
        <w:t>rupta sınıflandırılan gayrinakdi kredilere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108"/>
        <w:gridCol w:w="1421"/>
        <w:gridCol w:w="1417"/>
        <w:gridCol w:w="1419"/>
        <w:gridCol w:w="1274"/>
      </w:tblGrid>
      <w:tr w:rsidR="00A6628A" w:rsidRPr="00FB38E1" w14:paraId="6349E8B5" w14:textId="77777777" w:rsidTr="00836EF2">
        <w:tc>
          <w:tcPr>
            <w:tcW w:w="2131" w:type="pct"/>
            <w:tcBorders>
              <w:top w:val="thinThickSmallGap" w:sz="24" w:space="0" w:color="auto"/>
              <w:bottom w:val="single" w:sz="4" w:space="0" w:color="auto"/>
            </w:tcBorders>
            <w:vAlign w:val="bottom"/>
          </w:tcPr>
          <w:p w14:paraId="73BC76C7" w14:textId="77777777" w:rsidR="00A6628A" w:rsidRPr="00FB38E1" w:rsidRDefault="00A6628A" w:rsidP="00836EF2">
            <w:pPr>
              <w:rPr>
                <w:rFonts w:ascii="Microsoft Sans Serif" w:hAnsi="Microsoft Sans Serif" w:cs="Microsoft Sans Serif"/>
                <w:b/>
                <w:bCs/>
                <w:color w:val="000000"/>
                <w:sz w:val="16"/>
                <w:szCs w:val="16"/>
              </w:rPr>
            </w:pPr>
          </w:p>
        </w:tc>
        <w:tc>
          <w:tcPr>
            <w:tcW w:w="1472" w:type="pct"/>
            <w:gridSpan w:val="2"/>
            <w:tcBorders>
              <w:top w:val="thinThickSmallGap" w:sz="24" w:space="0" w:color="auto"/>
              <w:bottom w:val="single" w:sz="4" w:space="0" w:color="auto"/>
            </w:tcBorders>
            <w:vAlign w:val="bottom"/>
          </w:tcPr>
          <w:p w14:paraId="2025ACE7" w14:textId="77777777" w:rsidR="00A6628A" w:rsidRPr="00FB38E1" w:rsidRDefault="00A6628A"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 Grup</w:t>
            </w:r>
          </w:p>
        </w:tc>
        <w:tc>
          <w:tcPr>
            <w:tcW w:w="1397" w:type="pct"/>
            <w:gridSpan w:val="2"/>
            <w:tcBorders>
              <w:top w:val="thinThickSmallGap" w:sz="24" w:space="0" w:color="auto"/>
              <w:bottom w:val="single" w:sz="4" w:space="0" w:color="auto"/>
            </w:tcBorders>
            <w:vAlign w:val="bottom"/>
          </w:tcPr>
          <w:p w14:paraId="6066D017" w14:textId="77777777" w:rsidR="00A6628A" w:rsidRPr="00FB38E1" w:rsidRDefault="00A6628A"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II. Grup</w:t>
            </w:r>
          </w:p>
        </w:tc>
      </w:tr>
      <w:tr w:rsidR="00A6628A" w:rsidRPr="00FB38E1" w14:paraId="697B42A9" w14:textId="77777777" w:rsidTr="00836EF2">
        <w:tc>
          <w:tcPr>
            <w:tcW w:w="2131" w:type="pct"/>
            <w:tcBorders>
              <w:bottom w:val="single" w:sz="4" w:space="0" w:color="auto"/>
            </w:tcBorders>
            <w:vAlign w:val="bottom"/>
          </w:tcPr>
          <w:p w14:paraId="2571463E" w14:textId="77777777" w:rsidR="00A6628A" w:rsidRPr="00FB38E1" w:rsidRDefault="00A6628A" w:rsidP="00836EF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737" w:type="pct"/>
            <w:tcBorders>
              <w:top w:val="single" w:sz="4" w:space="0" w:color="auto"/>
              <w:bottom w:val="single" w:sz="4" w:space="0" w:color="auto"/>
            </w:tcBorders>
            <w:vAlign w:val="bottom"/>
          </w:tcPr>
          <w:p w14:paraId="05A06DE0"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735" w:type="pct"/>
            <w:tcBorders>
              <w:top w:val="single" w:sz="4" w:space="0" w:color="auto"/>
              <w:bottom w:val="single" w:sz="4" w:space="0" w:color="auto"/>
            </w:tcBorders>
            <w:vAlign w:val="bottom"/>
          </w:tcPr>
          <w:p w14:paraId="76A3EA70"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736" w:type="pct"/>
            <w:tcBorders>
              <w:top w:val="single" w:sz="4" w:space="0" w:color="auto"/>
              <w:bottom w:val="single" w:sz="4" w:space="0" w:color="auto"/>
            </w:tcBorders>
            <w:vAlign w:val="bottom"/>
          </w:tcPr>
          <w:p w14:paraId="0965B025"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661" w:type="pct"/>
            <w:tcBorders>
              <w:top w:val="single" w:sz="4" w:space="0" w:color="auto"/>
              <w:bottom w:val="single" w:sz="4" w:space="0" w:color="auto"/>
            </w:tcBorders>
            <w:vAlign w:val="bottom"/>
          </w:tcPr>
          <w:p w14:paraId="1D232CD2" w14:textId="77777777" w:rsidR="00A6628A" w:rsidRPr="00FB38E1" w:rsidRDefault="00A6628A"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E31BD5" w:rsidRPr="00FB38E1" w14:paraId="7C16A1D5" w14:textId="77777777" w:rsidTr="00836EF2">
        <w:tc>
          <w:tcPr>
            <w:tcW w:w="2131" w:type="pct"/>
            <w:tcBorders>
              <w:top w:val="single" w:sz="4" w:space="0" w:color="auto"/>
              <w:bottom w:val="nil"/>
            </w:tcBorders>
            <w:tcMar>
              <w:left w:w="57" w:type="dxa"/>
            </w:tcMar>
            <w:vAlign w:val="bottom"/>
          </w:tcPr>
          <w:p w14:paraId="38B94D73" w14:textId="77777777" w:rsidR="00E31BD5" w:rsidRPr="00FB38E1" w:rsidRDefault="00E31BD5" w:rsidP="00E31BD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Teminat Mektupları</w:t>
            </w:r>
          </w:p>
        </w:tc>
        <w:tc>
          <w:tcPr>
            <w:tcW w:w="737" w:type="pct"/>
            <w:tcBorders>
              <w:top w:val="nil"/>
              <w:left w:val="nil"/>
              <w:bottom w:val="nil"/>
              <w:right w:val="nil"/>
            </w:tcBorders>
            <w:shd w:val="clear" w:color="auto" w:fill="auto"/>
            <w:vAlign w:val="center"/>
          </w:tcPr>
          <w:p w14:paraId="37DCF883" w14:textId="3C50F4F5"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86.834.304</w:t>
            </w:r>
          </w:p>
        </w:tc>
        <w:tc>
          <w:tcPr>
            <w:tcW w:w="735" w:type="pct"/>
            <w:tcBorders>
              <w:top w:val="nil"/>
              <w:left w:val="nil"/>
              <w:bottom w:val="nil"/>
              <w:right w:val="nil"/>
            </w:tcBorders>
            <w:shd w:val="clear" w:color="auto" w:fill="auto"/>
            <w:vAlign w:val="center"/>
          </w:tcPr>
          <w:p w14:paraId="33369B39" w14:textId="03CC0DF0"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67.381.376</w:t>
            </w:r>
          </w:p>
        </w:tc>
        <w:tc>
          <w:tcPr>
            <w:tcW w:w="736" w:type="pct"/>
            <w:tcBorders>
              <w:top w:val="single" w:sz="4" w:space="0" w:color="auto"/>
              <w:bottom w:val="nil"/>
            </w:tcBorders>
            <w:vAlign w:val="center"/>
          </w:tcPr>
          <w:p w14:paraId="50EDA72F" w14:textId="07E80D8E"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1.198.879</w:t>
            </w:r>
          </w:p>
        </w:tc>
        <w:tc>
          <w:tcPr>
            <w:tcW w:w="661" w:type="pct"/>
            <w:tcBorders>
              <w:top w:val="single" w:sz="4" w:space="0" w:color="auto"/>
              <w:bottom w:val="nil"/>
            </w:tcBorders>
            <w:vAlign w:val="center"/>
          </w:tcPr>
          <w:p w14:paraId="483388DF" w14:textId="3CC20C7C"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680.738</w:t>
            </w:r>
          </w:p>
        </w:tc>
      </w:tr>
      <w:tr w:rsidR="00E31BD5" w:rsidRPr="00FB38E1" w14:paraId="15738A34" w14:textId="77777777" w:rsidTr="00836EF2">
        <w:tc>
          <w:tcPr>
            <w:tcW w:w="2131" w:type="pct"/>
            <w:tcBorders>
              <w:top w:val="nil"/>
            </w:tcBorders>
            <w:tcMar>
              <w:left w:w="57" w:type="dxa"/>
            </w:tcMar>
            <w:vAlign w:val="bottom"/>
          </w:tcPr>
          <w:p w14:paraId="0B4B6BE2" w14:textId="77777777" w:rsidR="00E31BD5" w:rsidRPr="00FB38E1" w:rsidRDefault="00E31BD5" w:rsidP="00E31BD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Aval ve Kabul Kredileri</w:t>
            </w:r>
          </w:p>
        </w:tc>
        <w:tc>
          <w:tcPr>
            <w:tcW w:w="737" w:type="pct"/>
            <w:tcBorders>
              <w:top w:val="nil"/>
              <w:left w:val="nil"/>
              <w:bottom w:val="nil"/>
              <w:right w:val="nil"/>
            </w:tcBorders>
            <w:shd w:val="clear" w:color="auto" w:fill="auto"/>
            <w:vAlign w:val="center"/>
          </w:tcPr>
          <w:p w14:paraId="6776682F" w14:textId="0873572E"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3.635</w:t>
            </w:r>
          </w:p>
        </w:tc>
        <w:tc>
          <w:tcPr>
            <w:tcW w:w="735" w:type="pct"/>
            <w:tcBorders>
              <w:top w:val="nil"/>
              <w:left w:val="nil"/>
              <w:bottom w:val="nil"/>
              <w:right w:val="nil"/>
            </w:tcBorders>
            <w:shd w:val="clear" w:color="auto" w:fill="auto"/>
            <w:vAlign w:val="center"/>
          </w:tcPr>
          <w:p w14:paraId="4487BDEC" w14:textId="0B3F191D"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776.555</w:t>
            </w:r>
          </w:p>
        </w:tc>
        <w:tc>
          <w:tcPr>
            <w:tcW w:w="736" w:type="pct"/>
            <w:tcBorders>
              <w:top w:val="nil"/>
            </w:tcBorders>
            <w:vAlign w:val="center"/>
          </w:tcPr>
          <w:p w14:paraId="268DE153" w14:textId="0B9B6405"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Borders>
              <w:top w:val="nil"/>
            </w:tcBorders>
            <w:vAlign w:val="center"/>
          </w:tcPr>
          <w:p w14:paraId="2C09F7C8" w14:textId="6180474B"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31BD5" w:rsidRPr="00FB38E1" w14:paraId="367D02DA" w14:textId="77777777" w:rsidTr="00836EF2">
        <w:tc>
          <w:tcPr>
            <w:tcW w:w="2131" w:type="pct"/>
            <w:tcBorders>
              <w:top w:val="nil"/>
            </w:tcBorders>
            <w:tcMar>
              <w:left w:w="57" w:type="dxa"/>
            </w:tcMar>
            <w:vAlign w:val="bottom"/>
          </w:tcPr>
          <w:p w14:paraId="0C899881" w14:textId="77777777" w:rsidR="00E31BD5" w:rsidRPr="00FB38E1" w:rsidRDefault="00E31BD5" w:rsidP="00E31BD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Akreditifler</w:t>
            </w:r>
          </w:p>
        </w:tc>
        <w:tc>
          <w:tcPr>
            <w:tcW w:w="737" w:type="pct"/>
            <w:tcBorders>
              <w:top w:val="nil"/>
              <w:left w:val="nil"/>
              <w:bottom w:val="nil"/>
              <w:right w:val="nil"/>
            </w:tcBorders>
            <w:shd w:val="clear" w:color="auto" w:fill="auto"/>
            <w:vAlign w:val="center"/>
          </w:tcPr>
          <w:p w14:paraId="15AC3567" w14:textId="4459D543"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26.444</w:t>
            </w:r>
          </w:p>
        </w:tc>
        <w:tc>
          <w:tcPr>
            <w:tcW w:w="735" w:type="pct"/>
            <w:tcBorders>
              <w:top w:val="nil"/>
              <w:left w:val="nil"/>
              <w:bottom w:val="nil"/>
              <w:right w:val="nil"/>
            </w:tcBorders>
            <w:shd w:val="clear" w:color="auto" w:fill="auto"/>
            <w:vAlign w:val="center"/>
          </w:tcPr>
          <w:p w14:paraId="0A896E2A" w14:textId="42672BF7"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29.607.927</w:t>
            </w:r>
          </w:p>
        </w:tc>
        <w:tc>
          <w:tcPr>
            <w:tcW w:w="736" w:type="pct"/>
            <w:tcBorders>
              <w:top w:val="nil"/>
            </w:tcBorders>
            <w:vAlign w:val="center"/>
          </w:tcPr>
          <w:p w14:paraId="5553E825" w14:textId="4709F07C"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Borders>
              <w:top w:val="nil"/>
            </w:tcBorders>
            <w:vAlign w:val="center"/>
          </w:tcPr>
          <w:p w14:paraId="0EFDB7B3" w14:textId="4DE830C1"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31BD5" w:rsidRPr="00FB38E1" w14:paraId="4E07D0D3" w14:textId="77777777" w:rsidTr="00836EF2">
        <w:tc>
          <w:tcPr>
            <w:tcW w:w="2131" w:type="pct"/>
            <w:tcBorders>
              <w:top w:val="nil"/>
            </w:tcBorders>
            <w:tcMar>
              <w:left w:w="57" w:type="dxa"/>
            </w:tcMar>
            <w:vAlign w:val="bottom"/>
          </w:tcPr>
          <w:p w14:paraId="74E34134" w14:textId="77777777" w:rsidR="00E31BD5" w:rsidRPr="00FB38E1" w:rsidRDefault="00E31BD5" w:rsidP="00E31BD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Cirolar</w:t>
            </w:r>
          </w:p>
        </w:tc>
        <w:tc>
          <w:tcPr>
            <w:tcW w:w="737" w:type="pct"/>
            <w:tcBorders>
              <w:top w:val="nil"/>
              <w:left w:val="nil"/>
              <w:bottom w:val="nil"/>
              <w:right w:val="nil"/>
            </w:tcBorders>
            <w:shd w:val="clear" w:color="auto" w:fill="auto"/>
            <w:vAlign w:val="center"/>
          </w:tcPr>
          <w:p w14:paraId="4D496A31" w14:textId="166D3FE1"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5" w:type="pct"/>
            <w:tcBorders>
              <w:top w:val="nil"/>
              <w:left w:val="nil"/>
              <w:bottom w:val="nil"/>
              <w:right w:val="nil"/>
            </w:tcBorders>
            <w:shd w:val="clear" w:color="auto" w:fill="auto"/>
            <w:vAlign w:val="center"/>
          </w:tcPr>
          <w:p w14:paraId="147BAED9" w14:textId="264DC0ED"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Borders>
              <w:top w:val="nil"/>
            </w:tcBorders>
            <w:vAlign w:val="center"/>
          </w:tcPr>
          <w:p w14:paraId="67EF7486" w14:textId="60657400"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Borders>
              <w:top w:val="nil"/>
            </w:tcBorders>
            <w:vAlign w:val="center"/>
          </w:tcPr>
          <w:p w14:paraId="685633A3" w14:textId="7B599BC1"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31BD5" w:rsidRPr="00FB38E1" w14:paraId="21474D54" w14:textId="77777777" w:rsidTr="00836EF2">
        <w:tc>
          <w:tcPr>
            <w:tcW w:w="2131" w:type="pct"/>
            <w:tcBorders>
              <w:top w:val="nil"/>
            </w:tcBorders>
            <w:tcMar>
              <w:left w:w="57" w:type="dxa"/>
            </w:tcMar>
            <w:vAlign w:val="bottom"/>
          </w:tcPr>
          <w:p w14:paraId="1CE31BFA" w14:textId="77777777" w:rsidR="00E31BD5" w:rsidRPr="00FB38E1" w:rsidRDefault="00E31BD5" w:rsidP="00E31BD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Menkul Kıymet İhracında Satın Alma Garantilerimizden</w:t>
            </w:r>
          </w:p>
        </w:tc>
        <w:tc>
          <w:tcPr>
            <w:tcW w:w="737" w:type="pct"/>
            <w:tcBorders>
              <w:top w:val="nil"/>
              <w:left w:val="nil"/>
              <w:bottom w:val="nil"/>
              <w:right w:val="nil"/>
            </w:tcBorders>
            <w:shd w:val="clear" w:color="auto" w:fill="auto"/>
            <w:vAlign w:val="center"/>
          </w:tcPr>
          <w:p w14:paraId="4FB4F9D2" w14:textId="5761ECF7"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5" w:type="pct"/>
            <w:tcBorders>
              <w:top w:val="nil"/>
              <w:left w:val="nil"/>
              <w:bottom w:val="nil"/>
              <w:right w:val="nil"/>
            </w:tcBorders>
            <w:shd w:val="clear" w:color="auto" w:fill="auto"/>
            <w:vAlign w:val="center"/>
          </w:tcPr>
          <w:p w14:paraId="6CE0C960" w14:textId="60E6C848"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Borders>
              <w:top w:val="nil"/>
            </w:tcBorders>
            <w:vAlign w:val="center"/>
          </w:tcPr>
          <w:p w14:paraId="069A4AC9" w14:textId="28EC6CBA"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Borders>
              <w:top w:val="nil"/>
            </w:tcBorders>
            <w:vAlign w:val="center"/>
          </w:tcPr>
          <w:p w14:paraId="6833AB80" w14:textId="41DADB6F"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31BD5" w:rsidRPr="00FB38E1" w14:paraId="304E87F1" w14:textId="77777777" w:rsidTr="00836EF2">
        <w:tc>
          <w:tcPr>
            <w:tcW w:w="2131" w:type="pct"/>
            <w:tcBorders>
              <w:top w:val="nil"/>
            </w:tcBorders>
            <w:tcMar>
              <w:left w:w="57" w:type="dxa"/>
            </w:tcMar>
            <w:vAlign w:val="bottom"/>
          </w:tcPr>
          <w:p w14:paraId="476E64B5" w14:textId="77777777" w:rsidR="00E31BD5" w:rsidRPr="00FB38E1" w:rsidRDefault="00E31BD5" w:rsidP="00E31BD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Faktoring Garantilerinden</w:t>
            </w:r>
          </w:p>
        </w:tc>
        <w:tc>
          <w:tcPr>
            <w:tcW w:w="737" w:type="pct"/>
            <w:tcBorders>
              <w:top w:val="nil"/>
              <w:left w:val="nil"/>
              <w:bottom w:val="nil"/>
              <w:right w:val="nil"/>
            </w:tcBorders>
            <w:shd w:val="clear" w:color="auto" w:fill="auto"/>
            <w:vAlign w:val="center"/>
          </w:tcPr>
          <w:p w14:paraId="711A61BF" w14:textId="02FDF8B3"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5" w:type="pct"/>
            <w:tcBorders>
              <w:top w:val="nil"/>
              <w:left w:val="nil"/>
              <w:bottom w:val="nil"/>
              <w:right w:val="nil"/>
            </w:tcBorders>
            <w:shd w:val="clear" w:color="auto" w:fill="auto"/>
            <w:vAlign w:val="center"/>
          </w:tcPr>
          <w:p w14:paraId="1C24CF1B" w14:textId="399D187E"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736" w:type="pct"/>
            <w:tcBorders>
              <w:top w:val="nil"/>
            </w:tcBorders>
            <w:vAlign w:val="center"/>
          </w:tcPr>
          <w:p w14:paraId="4B29F5E1" w14:textId="4A2123D8"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661" w:type="pct"/>
            <w:tcBorders>
              <w:top w:val="nil"/>
            </w:tcBorders>
            <w:vAlign w:val="center"/>
          </w:tcPr>
          <w:p w14:paraId="23CAA5FC" w14:textId="7B241F2D"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31BD5" w:rsidRPr="00FB38E1" w14:paraId="3BA5D2A1" w14:textId="77777777" w:rsidTr="00836EF2">
        <w:tc>
          <w:tcPr>
            <w:tcW w:w="2131" w:type="pct"/>
            <w:tcBorders>
              <w:top w:val="nil"/>
              <w:bottom w:val="single" w:sz="6" w:space="0" w:color="auto"/>
            </w:tcBorders>
            <w:tcMar>
              <w:left w:w="57" w:type="dxa"/>
            </w:tcMar>
            <w:vAlign w:val="bottom"/>
          </w:tcPr>
          <w:p w14:paraId="4FC208C2" w14:textId="77777777" w:rsidR="00E31BD5" w:rsidRPr="00FB38E1" w:rsidRDefault="00E31BD5" w:rsidP="00E31BD5">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Garanti ve Kefaletler</w:t>
            </w:r>
          </w:p>
        </w:tc>
        <w:tc>
          <w:tcPr>
            <w:tcW w:w="737" w:type="pct"/>
            <w:tcBorders>
              <w:top w:val="nil"/>
              <w:left w:val="nil"/>
              <w:bottom w:val="single" w:sz="6" w:space="0" w:color="auto"/>
              <w:right w:val="nil"/>
            </w:tcBorders>
            <w:shd w:val="clear" w:color="auto" w:fill="auto"/>
            <w:vAlign w:val="center"/>
          </w:tcPr>
          <w:p w14:paraId="61D6DD01" w14:textId="5848EC6C"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14.899.948</w:t>
            </w:r>
          </w:p>
        </w:tc>
        <w:tc>
          <w:tcPr>
            <w:tcW w:w="735" w:type="pct"/>
            <w:tcBorders>
              <w:top w:val="nil"/>
              <w:left w:val="nil"/>
              <w:bottom w:val="single" w:sz="6" w:space="0" w:color="auto"/>
              <w:right w:val="nil"/>
            </w:tcBorders>
            <w:shd w:val="clear" w:color="auto" w:fill="auto"/>
            <w:vAlign w:val="center"/>
          </w:tcPr>
          <w:p w14:paraId="0AE96A19" w14:textId="7E4CE8A2"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2.681.311</w:t>
            </w:r>
          </w:p>
        </w:tc>
        <w:tc>
          <w:tcPr>
            <w:tcW w:w="736" w:type="pct"/>
            <w:tcBorders>
              <w:top w:val="nil"/>
              <w:bottom w:val="single" w:sz="6" w:space="0" w:color="auto"/>
            </w:tcBorders>
            <w:vAlign w:val="center"/>
          </w:tcPr>
          <w:p w14:paraId="379808CA" w14:textId="08DF5409"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1.964</w:t>
            </w:r>
          </w:p>
        </w:tc>
        <w:tc>
          <w:tcPr>
            <w:tcW w:w="661" w:type="pct"/>
            <w:tcBorders>
              <w:top w:val="nil"/>
              <w:bottom w:val="single" w:sz="6" w:space="0" w:color="auto"/>
            </w:tcBorders>
            <w:vAlign w:val="center"/>
          </w:tcPr>
          <w:p w14:paraId="5E9600B4" w14:textId="08B3A936" w:rsidR="00E31BD5" w:rsidRPr="00FB38E1" w:rsidRDefault="00E31BD5" w:rsidP="00E31BD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31BD5" w:rsidRPr="00FB38E1" w14:paraId="23A597C6" w14:textId="77777777" w:rsidTr="00836EF2">
        <w:tc>
          <w:tcPr>
            <w:tcW w:w="2131" w:type="pct"/>
            <w:tcBorders>
              <w:top w:val="single" w:sz="6" w:space="0" w:color="auto"/>
              <w:bottom w:val="thickThinSmallGap" w:sz="24" w:space="0" w:color="000000"/>
            </w:tcBorders>
            <w:vAlign w:val="bottom"/>
          </w:tcPr>
          <w:p w14:paraId="638E5123" w14:textId="77777777" w:rsidR="00E31BD5" w:rsidRPr="00FB38E1" w:rsidRDefault="00E31BD5" w:rsidP="00E31BD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37" w:type="pct"/>
            <w:tcBorders>
              <w:top w:val="single" w:sz="6" w:space="0" w:color="auto"/>
              <w:left w:val="nil"/>
              <w:bottom w:val="thickThinSmallGap" w:sz="24" w:space="0" w:color="000000"/>
              <w:right w:val="nil"/>
            </w:tcBorders>
            <w:shd w:val="clear" w:color="auto" w:fill="auto"/>
            <w:vAlign w:val="center"/>
          </w:tcPr>
          <w:p w14:paraId="65CBA612" w14:textId="16306A6E" w:rsidR="00E31BD5" w:rsidRPr="00FB38E1" w:rsidRDefault="00E31BD5" w:rsidP="00E31BD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101.764.331</w:t>
            </w:r>
          </w:p>
        </w:tc>
        <w:tc>
          <w:tcPr>
            <w:tcW w:w="735" w:type="pct"/>
            <w:tcBorders>
              <w:top w:val="single" w:sz="6" w:space="0" w:color="auto"/>
              <w:left w:val="nil"/>
              <w:bottom w:val="thickThinSmallGap" w:sz="24" w:space="0" w:color="000000"/>
              <w:right w:val="nil"/>
            </w:tcBorders>
            <w:shd w:val="clear" w:color="auto" w:fill="auto"/>
            <w:vAlign w:val="center"/>
          </w:tcPr>
          <w:p w14:paraId="50AEF221" w14:textId="0BC2D2AC" w:rsidR="00E31BD5" w:rsidRPr="00FB38E1" w:rsidRDefault="00E31BD5" w:rsidP="00E31BD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100.447.169</w:t>
            </w:r>
          </w:p>
        </w:tc>
        <w:tc>
          <w:tcPr>
            <w:tcW w:w="736" w:type="pct"/>
            <w:tcBorders>
              <w:top w:val="single" w:sz="6" w:space="0" w:color="auto"/>
              <w:bottom w:val="thickThinSmallGap" w:sz="24" w:space="0" w:color="auto"/>
            </w:tcBorders>
            <w:vAlign w:val="center"/>
          </w:tcPr>
          <w:p w14:paraId="628BC3E9" w14:textId="6BFD533A" w:rsidR="00E31BD5" w:rsidRPr="00FB38E1" w:rsidRDefault="00E31BD5" w:rsidP="00E31BD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1.200.843</w:t>
            </w:r>
          </w:p>
        </w:tc>
        <w:tc>
          <w:tcPr>
            <w:tcW w:w="661" w:type="pct"/>
            <w:tcBorders>
              <w:top w:val="single" w:sz="6" w:space="0" w:color="auto"/>
              <w:bottom w:val="thickThinSmallGap" w:sz="24" w:space="0" w:color="auto"/>
            </w:tcBorders>
            <w:vAlign w:val="center"/>
          </w:tcPr>
          <w:p w14:paraId="26E7BF60" w14:textId="671B4ACC" w:rsidR="00E31BD5" w:rsidRPr="00FB38E1" w:rsidRDefault="00E31BD5" w:rsidP="00E31BD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680.738</w:t>
            </w:r>
          </w:p>
        </w:tc>
      </w:tr>
    </w:tbl>
    <w:p w14:paraId="2D2A3626" w14:textId="77777777" w:rsidR="00A6628A" w:rsidRPr="00FB38E1" w:rsidRDefault="00A6628A" w:rsidP="00AA06C9">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noProof/>
          <w:snapToGrid w:val="0"/>
          <w:sz w:val="20"/>
          <w:szCs w:val="20"/>
          <w:lang w:val="de-DE"/>
        </w:rPr>
        <w:t>Türev işlemlere ilişkin açıklamalar</w:t>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7"/>
        <w:gridCol w:w="894"/>
        <w:gridCol w:w="894"/>
        <w:gridCol w:w="816"/>
        <w:gridCol w:w="894"/>
        <w:gridCol w:w="816"/>
        <w:gridCol w:w="894"/>
      </w:tblGrid>
      <w:tr w:rsidR="00A6628A" w:rsidRPr="00FB38E1" w14:paraId="1C94871E" w14:textId="77777777" w:rsidTr="00F66897">
        <w:tc>
          <w:tcPr>
            <w:tcW w:w="2314" w:type="pct"/>
            <w:tcBorders>
              <w:top w:val="thinThickSmallGap" w:sz="24" w:space="0" w:color="auto"/>
              <w:bottom w:val="single" w:sz="4" w:space="0" w:color="auto"/>
            </w:tcBorders>
            <w:shd w:val="clear" w:color="auto" w:fill="auto"/>
            <w:vAlign w:val="bottom"/>
          </w:tcPr>
          <w:p w14:paraId="476C1CAE" w14:textId="77777777" w:rsidR="00A6628A" w:rsidRPr="00FB38E1" w:rsidRDefault="00A6628A" w:rsidP="00836EF2">
            <w:pPr>
              <w:jc w:val="lef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Cari Dönem</w:t>
            </w:r>
          </w:p>
        </w:tc>
        <w:tc>
          <w:tcPr>
            <w:tcW w:w="461" w:type="pct"/>
            <w:tcBorders>
              <w:top w:val="thinThickSmallGap" w:sz="24" w:space="0" w:color="auto"/>
              <w:bottom w:val="single" w:sz="4" w:space="0" w:color="auto"/>
            </w:tcBorders>
            <w:shd w:val="clear" w:color="auto" w:fill="auto"/>
          </w:tcPr>
          <w:p w14:paraId="199526FD"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xml:space="preserve">1 Aya kadar </w:t>
            </w:r>
          </w:p>
        </w:tc>
        <w:tc>
          <w:tcPr>
            <w:tcW w:w="461" w:type="pct"/>
            <w:tcBorders>
              <w:top w:val="thinThickSmallGap" w:sz="24" w:space="0" w:color="auto"/>
              <w:bottom w:val="single" w:sz="4" w:space="0" w:color="auto"/>
            </w:tcBorders>
            <w:shd w:val="clear" w:color="auto" w:fill="auto"/>
            <w:vAlign w:val="bottom"/>
          </w:tcPr>
          <w:p w14:paraId="0A058158"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 ay</w:t>
            </w:r>
          </w:p>
        </w:tc>
        <w:tc>
          <w:tcPr>
            <w:tcW w:w="421" w:type="pct"/>
            <w:tcBorders>
              <w:top w:val="thinThickSmallGap" w:sz="24" w:space="0" w:color="auto"/>
              <w:bottom w:val="single" w:sz="4" w:space="0" w:color="auto"/>
            </w:tcBorders>
            <w:shd w:val="clear" w:color="auto" w:fill="auto"/>
            <w:vAlign w:val="bottom"/>
          </w:tcPr>
          <w:p w14:paraId="103FC0BF"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3-12 ay</w:t>
            </w:r>
          </w:p>
        </w:tc>
        <w:tc>
          <w:tcPr>
            <w:tcW w:w="461" w:type="pct"/>
            <w:tcBorders>
              <w:top w:val="thinThickSmallGap" w:sz="24" w:space="0" w:color="auto"/>
              <w:bottom w:val="single" w:sz="4" w:space="0" w:color="auto"/>
            </w:tcBorders>
            <w:shd w:val="clear" w:color="auto" w:fill="auto"/>
            <w:vAlign w:val="bottom"/>
          </w:tcPr>
          <w:p w14:paraId="78D22691"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 yıl</w:t>
            </w:r>
          </w:p>
        </w:tc>
        <w:tc>
          <w:tcPr>
            <w:tcW w:w="421" w:type="pct"/>
            <w:tcBorders>
              <w:top w:val="thinThickSmallGap" w:sz="24" w:space="0" w:color="auto"/>
              <w:bottom w:val="single" w:sz="4" w:space="0" w:color="auto"/>
            </w:tcBorders>
            <w:shd w:val="clear" w:color="auto" w:fill="auto"/>
            <w:vAlign w:val="bottom"/>
          </w:tcPr>
          <w:p w14:paraId="311E77F2"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 yıl ve üzeri</w:t>
            </w:r>
          </w:p>
        </w:tc>
        <w:tc>
          <w:tcPr>
            <w:tcW w:w="461" w:type="pct"/>
            <w:tcBorders>
              <w:top w:val="thinThickSmallGap" w:sz="24" w:space="0" w:color="auto"/>
              <w:bottom w:val="single" w:sz="4" w:space="0" w:color="auto"/>
            </w:tcBorders>
            <w:shd w:val="clear" w:color="auto" w:fill="auto"/>
            <w:vAlign w:val="bottom"/>
          </w:tcPr>
          <w:p w14:paraId="78EC4EB6"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w:t>
            </w:r>
          </w:p>
        </w:tc>
      </w:tr>
      <w:tr w:rsidR="00A6628A" w:rsidRPr="00FB38E1" w14:paraId="233BFAF4" w14:textId="77777777" w:rsidTr="00F66897">
        <w:tc>
          <w:tcPr>
            <w:tcW w:w="2314" w:type="pct"/>
            <w:tcBorders>
              <w:top w:val="single" w:sz="4" w:space="0" w:color="auto"/>
              <w:bottom w:val="nil"/>
            </w:tcBorders>
            <w:shd w:val="clear" w:color="auto" w:fill="auto"/>
            <w:vAlign w:val="bottom"/>
          </w:tcPr>
          <w:p w14:paraId="09104C10" w14:textId="77777777" w:rsidR="00A6628A" w:rsidRPr="00FB38E1" w:rsidRDefault="00A6628A" w:rsidP="00836EF2">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Riskten Korunma Amaçlı Türev İşlem Türleri</w:t>
            </w:r>
          </w:p>
        </w:tc>
        <w:tc>
          <w:tcPr>
            <w:tcW w:w="461" w:type="pct"/>
            <w:tcBorders>
              <w:top w:val="nil"/>
              <w:bottom w:val="nil"/>
            </w:tcBorders>
            <w:shd w:val="clear" w:color="auto" w:fill="auto"/>
            <w:vAlign w:val="center"/>
          </w:tcPr>
          <w:p w14:paraId="5142C433" w14:textId="77777777" w:rsidR="00A6628A" w:rsidRPr="00FB38E1" w:rsidRDefault="00A6628A" w:rsidP="00836EF2"/>
        </w:tc>
        <w:tc>
          <w:tcPr>
            <w:tcW w:w="461" w:type="pct"/>
            <w:tcBorders>
              <w:top w:val="nil"/>
              <w:left w:val="nil"/>
              <w:bottom w:val="nil"/>
              <w:right w:val="nil"/>
            </w:tcBorders>
            <w:shd w:val="clear" w:color="auto" w:fill="auto"/>
            <w:vAlign w:val="center"/>
          </w:tcPr>
          <w:p w14:paraId="096DAFD3" w14:textId="77777777" w:rsidR="00A6628A" w:rsidRPr="00FB38E1" w:rsidRDefault="00A6628A" w:rsidP="00836EF2">
            <w:pPr>
              <w:jc w:val="right"/>
              <w:rPr>
                <w:sz w:val="20"/>
                <w:szCs w:val="20"/>
              </w:rPr>
            </w:pPr>
          </w:p>
        </w:tc>
        <w:tc>
          <w:tcPr>
            <w:tcW w:w="421" w:type="pct"/>
            <w:tcBorders>
              <w:top w:val="nil"/>
              <w:left w:val="nil"/>
              <w:bottom w:val="nil"/>
              <w:right w:val="nil"/>
            </w:tcBorders>
            <w:shd w:val="clear" w:color="auto" w:fill="auto"/>
            <w:vAlign w:val="center"/>
          </w:tcPr>
          <w:p w14:paraId="4FFED637" w14:textId="77777777" w:rsidR="00A6628A" w:rsidRPr="00FB38E1" w:rsidRDefault="00A6628A" w:rsidP="00836EF2">
            <w:pPr>
              <w:jc w:val="right"/>
              <w:rPr>
                <w:sz w:val="20"/>
                <w:szCs w:val="20"/>
              </w:rPr>
            </w:pPr>
          </w:p>
        </w:tc>
        <w:tc>
          <w:tcPr>
            <w:tcW w:w="461" w:type="pct"/>
            <w:tcBorders>
              <w:top w:val="nil"/>
              <w:left w:val="nil"/>
              <w:bottom w:val="nil"/>
              <w:right w:val="nil"/>
            </w:tcBorders>
            <w:shd w:val="clear" w:color="auto" w:fill="auto"/>
            <w:vAlign w:val="center"/>
          </w:tcPr>
          <w:p w14:paraId="7E6CEE64" w14:textId="77777777" w:rsidR="00A6628A" w:rsidRPr="00FB38E1" w:rsidRDefault="00A6628A" w:rsidP="00836EF2">
            <w:pPr>
              <w:jc w:val="right"/>
              <w:rPr>
                <w:sz w:val="20"/>
                <w:szCs w:val="20"/>
              </w:rPr>
            </w:pPr>
          </w:p>
        </w:tc>
        <w:tc>
          <w:tcPr>
            <w:tcW w:w="421" w:type="pct"/>
            <w:tcBorders>
              <w:top w:val="single" w:sz="4" w:space="0" w:color="auto"/>
              <w:bottom w:val="nil"/>
            </w:tcBorders>
            <w:shd w:val="clear" w:color="auto" w:fill="auto"/>
            <w:vAlign w:val="center"/>
          </w:tcPr>
          <w:p w14:paraId="3402808B" w14:textId="77777777" w:rsidR="00A6628A" w:rsidRPr="00FB38E1" w:rsidRDefault="00A6628A" w:rsidP="00836EF2">
            <w:pPr>
              <w:jc w:val="right"/>
              <w:rPr>
                <w:sz w:val="20"/>
                <w:szCs w:val="20"/>
              </w:rPr>
            </w:pPr>
          </w:p>
        </w:tc>
        <w:tc>
          <w:tcPr>
            <w:tcW w:w="461" w:type="pct"/>
            <w:tcBorders>
              <w:top w:val="single" w:sz="4" w:space="0" w:color="auto"/>
              <w:bottom w:val="nil"/>
            </w:tcBorders>
            <w:shd w:val="clear" w:color="auto" w:fill="auto"/>
            <w:vAlign w:val="center"/>
          </w:tcPr>
          <w:p w14:paraId="5F0A250B" w14:textId="77777777" w:rsidR="00A6628A" w:rsidRPr="00FB38E1" w:rsidRDefault="00A6628A" w:rsidP="00836EF2">
            <w:pPr>
              <w:jc w:val="right"/>
              <w:rPr>
                <w:sz w:val="20"/>
                <w:szCs w:val="20"/>
              </w:rPr>
            </w:pPr>
          </w:p>
        </w:tc>
      </w:tr>
      <w:tr w:rsidR="00A6628A" w:rsidRPr="00FB38E1" w14:paraId="2754F9B8" w14:textId="77777777" w:rsidTr="00F66897">
        <w:tc>
          <w:tcPr>
            <w:tcW w:w="2314" w:type="pct"/>
            <w:tcBorders>
              <w:top w:val="nil"/>
            </w:tcBorders>
            <w:shd w:val="clear" w:color="auto" w:fill="auto"/>
            <w:tcMar>
              <w:left w:w="57" w:type="dxa"/>
            </w:tcMar>
            <w:vAlign w:val="bottom"/>
          </w:tcPr>
          <w:p w14:paraId="4F1721F4" w14:textId="77777777" w:rsidR="00A6628A" w:rsidRPr="00FB38E1" w:rsidRDefault="00A6628A" w:rsidP="00836EF2">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A. Toplam Riskten Korunma Amaçlı Türev İşlemler</w:t>
            </w:r>
          </w:p>
        </w:tc>
        <w:tc>
          <w:tcPr>
            <w:tcW w:w="461" w:type="pct"/>
            <w:tcBorders>
              <w:top w:val="nil"/>
            </w:tcBorders>
            <w:shd w:val="clear" w:color="auto" w:fill="auto"/>
            <w:vAlign w:val="center"/>
          </w:tcPr>
          <w:p w14:paraId="457E7A23"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20206B28"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21" w:type="pct"/>
            <w:tcBorders>
              <w:top w:val="nil"/>
              <w:left w:val="nil"/>
              <w:bottom w:val="nil"/>
              <w:right w:val="nil"/>
            </w:tcBorders>
            <w:shd w:val="clear" w:color="auto" w:fill="auto"/>
            <w:vAlign w:val="center"/>
          </w:tcPr>
          <w:p w14:paraId="16BB9A3A"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36185B7E"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21" w:type="pct"/>
            <w:tcBorders>
              <w:top w:val="nil"/>
            </w:tcBorders>
            <w:shd w:val="clear" w:color="auto" w:fill="auto"/>
            <w:vAlign w:val="center"/>
          </w:tcPr>
          <w:p w14:paraId="5F7AC1FE"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tcBorders>
            <w:shd w:val="clear" w:color="auto" w:fill="auto"/>
            <w:vAlign w:val="center"/>
          </w:tcPr>
          <w:p w14:paraId="03712995"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A6628A" w:rsidRPr="00FB38E1" w14:paraId="76A90702" w14:textId="77777777" w:rsidTr="00F66897">
        <w:tc>
          <w:tcPr>
            <w:tcW w:w="2314" w:type="pct"/>
            <w:tcBorders>
              <w:top w:val="nil"/>
            </w:tcBorders>
            <w:shd w:val="clear" w:color="auto" w:fill="auto"/>
            <w:tcMar>
              <w:left w:w="170" w:type="dxa"/>
            </w:tcMar>
            <w:vAlign w:val="bottom"/>
          </w:tcPr>
          <w:p w14:paraId="01FCD15A" w14:textId="77777777" w:rsidR="00A6628A" w:rsidRPr="00FB38E1" w:rsidRDefault="00A6628A" w:rsidP="00836EF2">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Gerçeğe Uygun Değer Riskinden Korunma Amaçlı İşlemler</w:t>
            </w:r>
          </w:p>
        </w:tc>
        <w:tc>
          <w:tcPr>
            <w:tcW w:w="461" w:type="pct"/>
            <w:tcBorders>
              <w:top w:val="nil"/>
            </w:tcBorders>
            <w:shd w:val="clear" w:color="auto" w:fill="auto"/>
            <w:vAlign w:val="center"/>
          </w:tcPr>
          <w:p w14:paraId="5AF82470"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7C9AC61C"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58AF26D1"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2710980"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55864AB7"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1BED38CE" w14:textId="77777777" w:rsidR="00A6628A" w:rsidRPr="00FB38E1" w:rsidRDefault="00A6628A" w:rsidP="00836EF2">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A6628A" w:rsidRPr="00FB38E1" w14:paraId="2B267DAA" w14:textId="77777777" w:rsidTr="00F66897">
        <w:tc>
          <w:tcPr>
            <w:tcW w:w="2314" w:type="pct"/>
            <w:tcBorders>
              <w:top w:val="nil"/>
            </w:tcBorders>
            <w:shd w:val="clear" w:color="auto" w:fill="auto"/>
            <w:tcMar>
              <w:left w:w="170" w:type="dxa"/>
            </w:tcMar>
            <w:vAlign w:val="bottom"/>
          </w:tcPr>
          <w:p w14:paraId="4D7EBF34" w14:textId="77777777" w:rsidR="00A6628A" w:rsidRPr="00FB38E1" w:rsidRDefault="00A6628A" w:rsidP="00836EF2">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Nakit Akış Riskinden Korunma Amaçlı İşlemler</w:t>
            </w:r>
          </w:p>
        </w:tc>
        <w:tc>
          <w:tcPr>
            <w:tcW w:w="461" w:type="pct"/>
            <w:tcBorders>
              <w:top w:val="nil"/>
            </w:tcBorders>
            <w:shd w:val="clear" w:color="auto" w:fill="auto"/>
            <w:vAlign w:val="center"/>
          </w:tcPr>
          <w:p w14:paraId="127A01E3"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DA72CB1"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416A6A3A"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2A7A0A83"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26F21C75"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313A7851" w14:textId="77777777" w:rsidR="00A6628A" w:rsidRPr="00FB38E1" w:rsidRDefault="00A6628A" w:rsidP="00836EF2">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A6628A" w:rsidRPr="00FB38E1" w14:paraId="5CFA6817" w14:textId="77777777" w:rsidTr="00F66897">
        <w:tc>
          <w:tcPr>
            <w:tcW w:w="2314" w:type="pct"/>
            <w:tcBorders>
              <w:top w:val="nil"/>
            </w:tcBorders>
            <w:shd w:val="clear" w:color="auto" w:fill="auto"/>
            <w:tcMar>
              <w:left w:w="170" w:type="dxa"/>
            </w:tcMar>
            <w:vAlign w:val="bottom"/>
          </w:tcPr>
          <w:p w14:paraId="7EAFAC1C" w14:textId="77777777" w:rsidR="00A6628A" w:rsidRPr="00FB38E1" w:rsidRDefault="00A6628A" w:rsidP="00836EF2">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Yurt dışındaki Net Yatırım Riskinden Korunma Amaçlı İşlemler</w:t>
            </w:r>
          </w:p>
        </w:tc>
        <w:tc>
          <w:tcPr>
            <w:tcW w:w="461" w:type="pct"/>
            <w:tcBorders>
              <w:top w:val="nil"/>
            </w:tcBorders>
            <w:shd w:val="clear" w:color="auto" w:fill="auto"/>
            <w:vAlign w:val="center"/>
          </w:tcPr>
          <w:p w14:paraId="346AA7B5"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7AB09634"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637F45B8"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24A2955D"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0C48CB62" w14:textId="77777777" w:rsidR="00A6628A" w:rsidRPr="00FB38E1" w:rsidRDefault="00A6628A" w:rsidP="00836EF2">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5FAF23B9" w14:textId="77777777" w:rsidR="00A6628A" w:rsidRPr="00FB38E1" w:rsidRDefault="00A6628A" w:rsidP="00836EF2">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A6628A" w:rsidRPr="00FB38E1" w14:paraId="719D6AF9" w14:textId="77777777" w:rsidTr="00F66897">
        <w:tc>
          <w:tcPr>
            <w:tcW w:w="2314" w:type="pct"/>
            <w:tcBorders>
              <w:top w:val="nil"/>
            </w:tcBorders>
            <w:shd w:val="clear" w:color="auto" w:fill="auto"/>
            <w:tcMar>
              <w:left w:w="57" w:type="dxa"/>
            </w:tcMar>
            <w:vAlign w:val="bottom"/>
          </w:tcPr>
          <w:p w14:paraId="0D782C2D" w14:textId="77777777" w:rsidR="00A6628A" w:rsidRPr="00FB38E1" w:rsidRDefault="00A6628A" w:rsidP="00836EF2">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Alım Satım Amaçlı Türev İşlemler</w:t>
            </w:r>
          </w:p>
        </w:tc>
        <w:tc>
          <w:tcPr>
            <w:tcW w:w="461" w:type="pct"/>
            <w:tcBorders>
              <w:top w:val="nil"/>
            </w:tcBorders>
            <w:shd w:val="clear" w:color="auto" w:fill="auto"/>
            <w:vAlign w:val="center"/>
          </w:tcPr>
          <w:p w14:paraId="56436A73" w14:textId="77777777" w:rsidR="00A6628A" w:rsidRPr="00FB38E1" w:rsidRDefault="00A6628A" w:rsidP="00836EF2">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1" w:type="pct"/>
            <w:tcBorders>
              <w:top w:val="nil"/>
              <w:left w:val="nil"/>
              <w:bottom w:val="nil"/>
              <w:right w:val="nil"/>
            </w:tcBorders>
            <w:shd w:val="clear" w:color="auto" w:fill="auto"/>
            <w:vAlign w:val="center"/>
          </w:tcPr>
          <w:p w14:paraId="7357AF24" w14:textId="77777777" w:rsidR="00A6628A" w:rsidRPr="00FB38E1" w:rsidRDefault="00A6628A" w:rsidP="00836EF2">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21" w:type="pct"/>
            <w:tcBorders>
              <w:top w:val="nil"/>
              <w:left w:val="nil"/>
              <w:bottom w:val="nil"/>
              <w:right w:val="nil"/>
            </w:tcBorders>
            <w:shd w:val="clear" w:color="auto" w:fill="auto"/>
            <w:vAlign w:val="center"/>
          </w:tcPr>
          <w:p w14:paraId="05E6F177" w14:textId="77777777" w:rsidR="00A6628A" w:rsidRPr="00FB38E1" w:rsidRDefault="00A6628A" w:rsidP="00836EF2">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1" w:type="pct"/>
            <w:tcBorders>
              <w:top w:val="nil"/>
              <w:left w:val="nil"/>
              <w:bottom w:val="nil"/>
              <w:right w:val="nil"/>
            </w:tcBorders>
            <w:shd w:val="clear" w:color="auto" w:fill="auto"/>
            <w:vAlign w:val="center"/>
          </w:tcPr>
          <w:p w14:paraId="07CA1F9A" w14:textId="77777777" w:rsidR="00A6628A" w:rsidRPr="00FB38E1" w:rsidRDefault="00A6628A" w:rsidP="00836EF2">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21" w:type="pct"/>
            <w:tcBorders>
              <w:top w:val="nil"/>
            </w:tcBorders>
            <w:shd w:val="clear" w:color="auto" w:fill="auto"/>
            <w:vAlign w:val="center"/>
          </w:tcPr>
          <w:p w14:paraId="702B015A" w14:textId="77777777" w:rsidR="00A6628A" w:rsidRPr="00FB38E1" w:rsidRDefault="00A6628A" w:rsidP="00836EF2">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1" w:type="pct"/>
            <w:tcBorders>
              <w:top w:val="nil"/>
            </w:tcBorders>
            <w:shd w:val="clear" w:color="auto" w:fill="auto"/>
            <w:vAlign w:val="center"/>
          </w:tcPr>
          <w:p w14:paraId="3CDFD28E" w14:textId="2180855A" w:rsidR="00A6628A" w:rsidRPr="00FB38E1" w:rsidRDefault="00F14C85" w:rsidP="00836EF2">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66897" w:rsidRPr="00FB38E1" w14:paraId="18356BB6" w14:textId="77777777" w:rsidTr="00F66897">
        <w:tc>
          <w:tcPr>
            <w:tcW w:w="2314" w:type="pct"/>
            <w:tcBorders>
              <w:top w:val="nil"/>
            </w:tcBorders>
            <w:shd w:val="clear" w:color="auto" w:fill="auto"/>
            <w:tcMar>
              <w:left w:w="57" w:type="dxa"/>
            </w:tcMar>
            <w:vAlign w:val="bottom"/>
          </w:tcPr>
          <w:p w14:paraId="3F1DC70C" w14:textId="77777777" w:rsidR="00F66897" w:rsidRPr="00FB38E1" w:rsidRDefault="00F66897" w:rsidP="00F66897">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Döviz ile İlgili Türev İşlemler (I)</w:t>
            </w:r>
          </w:p>
        </w:tc>
        <w:tc>
          <w:tcPr>
            <w:tcW w:w="461" w:type="pct"/>
            <w:tcBorders>
              <w:top w:val="nil"/>
            </w:tcBorders>
            <w:shd w:val="clear" w:color="auto" w:fill="auto"/>
            <w:vAlign w:val="center"/>
          </w:tcPr>
          <w:p w14:paraId="7469E31C" w14:textId="1A94B326"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320.508.850</w:t>
            </w:r>
          </w:p>
        </w:tc>
        <w:tc>
          <w:tcPr>
            <w:tcW w:w="461" w:type="pct"/>
            <w:tcBorders>
              <w:top w:val="nil"/>
              <w:left w:val="nil"/>
              <w:bottom w:val="nil"/>
              <w:right w:val="nil"/>
            </w:tcBorders>
            <w:shd w:val="clear" w:color="auto" w:fill="auto"/>
            <w:vAlign w:val="center"/>
          </w:tcPr>
          <w:p w14:paraId="1D3A9B84" w14:textId="2C98FBD9"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173.406.354</w:t>
            </w:r>
          </w:p>
        </w:tc>
        <w:tc>
          <w:tcPr>
            <w:tcW w:w="421" w:type="pct"/>
            <w:tcBorders>
              <w:top w:val="nil"/>
              <w:left w:val="nil"/>
              <w:bottom w:val="nil"/>
              <w:right w:val="nil"/>
            </w:tcBorders>
            <w:shd w:val="clear" w:color="auto" w:fill="auto"/>
            <w:vAlign w:val="center"/>
          </w:tcPr>
          <w:p w14:paraId="6C6CD19F" w14:textId="701BBC4F"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57.822.619</w:t>
            </w:r>
          </w:p>
        </w:tc>
        <w:tc>
          <w:tcPr>
            <w:tcW w:w="461" w:type="pct"/>
            <w:tcBorders>
              <w:top w:val="nil"/>
              <w:left w:val="nil"/>
              <w:bottom w:val="nil"/>
              <w:right w:val="nil"/>
            </w:tcBorders>
            <w:shd w:val="clear" w:color="auto" w:fill="auto"/>
            <w:vAlign w:val="center"/>
          </w:tcPr>
          <w:p w14:paraId="25B2A338" w14:textId="4E9ACF38"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3.383.172</w:t>
            </w:r>
          </w:p>
        </w:tc>
        <w:tc>
          <w:tcPr>
            <w:tcW w:w="421" w:type="pct"/>
            <w:tcBorders>
              <w:top w:val="nil"/>
            </w:tcBorders>
            <w:shd w:val="clear" w:color="auto" w:fill="auto"/>
            <w:vAlign w:val="center"/>
          </w:tcPr>
          <w:p w14:paraId="512C68E5" w14:textId="6DFFD52B"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tcBorders>
            <w:shd w:val="clear" w:color="auto" w:fill="auto"/>
            <w:vAlign w:val="center"/>
          </w:tcPr>
          <w:p w14:paraId="2FC0F2F5" w14:textId="52F36241"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555.120.995</w:t>
            </w:r>
          </w:p>
        </w:tc>
      </w:tr>
      <w:tr w:rsidR="00F66897" w:rsidRPr="00FB38E1" w14:paraId="6B1DF31B" w14:textId="77777777" w:rsidTr="00F66897">
        <w:tc>
          <w:tcPr>
            <w:tcW w:w="2314" w:type="pct"/>
            <w:tcBorders>
              <w:top w:val="nil"/>
            </w:tcBorders>
            <w:shd w:val="clear" w:color="auto" w:fill="auto"/>
            <w:tcMar>
              <w:left w:w="170" w:type="dxa"/>
            </w:tcMar>
            <w:vAlign w:val="bottom"/>
          </w:tcPr>
          <w:p w14:paraId="5471DC43"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Vadeli Döviz Alım İşlemleri</w:t>
            </w:r>
          </w:p>
        </w:tc>
        <w:tc>
          <w:tcPr>
            <w:tcW w:w="461" w:type="pct"/>
            <w:tcBorders>
              <w:top w:val="nil"/>
            </w:tcBorders>
            <w:shd w:val="clear" w:color="auto" w:fill="auto"/>
            <w:vAlign w:val="center"/>
          </w:tcPr>
          <w:p w14:paraId="2F1BEA8E" w14:textId="09DB5FE2"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31.137.631</w:t>
            </w:r>
          </w:p>
        </w:tc>
        <w:tc>
          <w:tcPr>
            <w:tcW w:w="461" w:type="pct"/>
            <w:tcBorders>
              <w:top w:val="nil"/>
              <w:left w:val="nil"/>
              <w:bottom w:val="nil"/>
              <w:right w:val="nil"/>
            </w:tcBorders>
            <w:shd w:val="clear" w:color="auto" w:fill="auto"/>
            <w:vAlign w:val="center"/>
          </w:tcPr>
          <w:p w14:paraId="5D0218DC" w14:textId="08DFFCEE"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20.176.735</w:t>
            </w:r>
          </w:p>
        </w:tc>
        <w:tc>
          <w:tcPr>
            <w:tcW w:w="421" w:type="pct"/>
            <w:tcBorders>
              <w:top w:val="nil"/>
              <w:left w:val="nil"/>
              <w:bottom w:val="nil"/>
              <w:right w:val="nil"/>
            </w:tcBorders>
            <w:shd w:val="clear" w:color="auto" w:fill="auto"/>
            <w:vAlign w:val="center"/>
          </w:tcPr>
          <w:p w14:paraId="34809081" w14:textId="6BB0811F"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4.605.315</w:t>
            </w:r>
          </w:p>
        </w:tc>
        <w:tc>
          <w:tcPr>
            <w:tcW w:w="461" w:type="pct"/>
            <w:tcBorders>
              <w:top w:val="nil"/>
              <w:left w:val="nil"/>
              <w:bottom w:val="nil"/>
              <w:right w:val="nil"/>
            </w:tcBorders>
            <w:shd w:val="clear" w:color="auto" w:fill="auto"/>
            <w:vAlign w:val="center"/>
          </w:tcPr>
          <w:p w14:paraId="433483DF" w14:textId="29599241"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862.105</w:t>
            </w:r>
          </w:p>
        </w:tc>
        <w:tc>
          <w:tcPr>
            <w:tcW w:w="421" w:type="pct"/>
            <w:tcBorders>
              <w:top w:val="nil"/>
            </w:tcBorders>
            <w:shd w:val="clear" w:color="auto" w:fill="auto"/>
            <w:vAlign w:val="center"/>
          </w:tcPr>
          <w:p w14:paraId="50B3E823" w14:textId="3D686AC5"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20DD76A9" w14:textId="75971D4C"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56.781.786</w:t>
            </w:r>
          </w:p>
        </w:tc>
      </w:tr>
      <w:tr w:rsidR="00F66897" w:rsidRPr="00FB38E1" w14:paraId="58015850" w14:textId="77777777" w:rsidTr="00F66897">
        <w:tc>
          <w:tcPr>
            <w:tcW w:w="2314" w:type="pct"/>
            <w:tcBorders>
              <w:top w:val="nil"/>
            </w:tcBorders>
            <w:shd w:val="clear" w:color="auto" w:fill="auto"/>
            <w:tcMar>
              <w:left w:w="170" w:type="dxa"/>
            </w:tcMar>
            <w:vAlign w:val="bottom"/>
          </w:tcPr>
          <w:p w14:paraId="7704381C"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Vadeli Döviz Satım İşlemleri</w:t>
            </w:r>
          </w:p>
        </w:tc>
        <w:tc>
          <w:tcPr>
            <w:tcW w:w="461" w:type="pct"/>
            <w:tcBorders>
              <w:top w:val="nil"/>
            </w:tcBorders>
            <w:shd w:val="clear" w:color="auto" w:fill="auto"/>
            <w:vAlign w:val="center"/>
          </w:tcPr>
          <w:p w14:paraId="77E97A30" w14:textId="3BDADDC6"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30.130.351</w:t>
            </w:r>
          </w:p>
        </w:tc>
        <w:tc>
          <w:tcPr>
            <w:tcW w:w="461" w:type="pct"/>
            <w:tcBorders>
              <w:top w:val="nil"/>
              <w:left w:val="nil"/>
              <w:bottom w:val="nil"/>
              <w:right w:val="nil"/>
            </w:tcBorders>
            <w:shd w:val="clear" w:color="auto" w:fill="auto"/>
            <w:vAlign w:val="center"/>
          </w:tcPr>
          <w:p w14:paraId="5301728E" w14:textId="0AA66BD9"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21.701.366</w:t>
            </w:r>
          </w:p>
        </w:tc>
        <w:tc>
          <w:tcPr>
            <w:tcW w:w="421" w:type="pct"/>
            <w:tcBorders>
              <w:top w:val="nil"/>
              <w:left w:val="nil"/>
              <w:bottom w:val="nil"/>
              <w:right w:val="nil"/>
            </w:tcBorders>
            <w:shd w:val="clear" w:color="auto" w:fill="auto"/>
            <w:vAlign w:val="center"/>
          </w:tcPr>
          <w:p w14:paraId="799499CF" w14:textId="18AAE41C"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5.060.296</w:t>
            </w:r>
          </w:p>
        </w:tc>
        <w:tc>
          <w:tcPr>
            <w:tcW w:w="461" w:type="pct"/>
            <w:tcBorders>
              <w:top w:val="nil"/>
              <w:left w:val="nil"/>
              <w:bottom w:val="nil"/>
              <w:right w:val="nil"/>
            </w:tcBorders>
            <w:shd w:val="clear" w:color="auto" w:fill="auto"/>
            <w:vAlign w:val="center"/>
          </w:tcPr>
          <w:p w14:paraId="54DD8D70" w14:textId="1809D87F"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926.954</w:t>
            </w:r>
          </w:p>
        </w:tc>
        <w:tc>
          <w:tcPr>
            <w:tcW w:w="421" w:type="pct"/>
            <w:tcBorders>
              <w:top w:val="nil"/>
            </w:tcBorders>
            <w:shd w:val="clear" w:color="auto" w:fill="auto"/>
            <w:vAlign w:val="center"/>
          </w:tcPr>
          <w:p w14:paraId="5287E99D" w14:textId="443F8F9B"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431A0367" w14:textId="7AC0A1AF"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57.818.967</w:t>
            </w:r>
          </w:p>
        </w:tc>
      </w:tr>
      <w:tr w:rsidR="00F66897" w:rsidRPr="00FB38E1" w14:paraId="4E9AD75D" w14:textId="77777777" w:rsidTr="00F66897">
        <w:tc>
          <w:tcPr>
            <w:tcW w:w="2314" w:type="pct"/>
            <w:tcBorders>
              <w:top w:val="nil"/>
            </w:tcBorders>
            <w:shd w:val="clear" w:color="auto" w:fill="auto"/>
            <w:tcMar>
              <w:left w:w="170" w:type="dxa"/>
            </w:tcMar>
            <w:vAlign w:val="bottom"/>
          </w:tcPr>
          <w:p w14:paraId="46A5E35B"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Swap Para Alım İşlemleri</w:t>
            </w:r>
          </w:p>
        </w:tc>
        <w:tc>
          <w:tcPr>
            <w:tcW w:w="461" w:type="pct"/>
            <w:tcBorders>
              <w:top w:val="nil"/>
            </w:tcBorders>
            <w:shd w:val="clear" w:color="auto" w:fill="auto"/>
            <w:vAlign w:val="center"/>
          </w:tcPr>
          <w:p w14:paraId="65100248" w14:textId="7FC83157"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106.388.166</w:t>
            </w:r>
          </w:p>
        </w:tc>
        <w:tc>
          <w:tcPr>
            <w:tcW w:w="461" w:type="pct"/>
            <w:tcBorders>
              <w:top w:val="nil"/>
              <w:left w:val="nil"/>
              <w:bottom w:val="nil"/>
              <w:right w:val="nil"/>
            </w:tcBorders>
            <w:shd w:val="clear" w:color="auto" w:fill="auto"/>
            <w:vAlign w:val="center"/>
          </w:tcPr>
          <w:p w14:paraId="32347766" w14:textId="13522E2B"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53.476.497</w:t>
            </w:r>
          </w:p>
        </w:tc>
        <w:tc>
          <w:tcPr>
            <w:tcW w:w="421" w:type="pct"/>
            <w:tcBorders>
              <w:top w:val="nil"/>
              <w:left w:val="nil"/>
              <w:bottom w:val="nil"/>
              <w:right w:val="nil"/>
            </w:tcBorders>
            <w:shd w:val="clear" w:color="auto" w:fill="auto"/>
            <w:vAlign w:val="center"/>
          </w:tcPr>
          <w:p w14:paraId="21D54578" w14:textId="1452F1F8"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2.056.316</w:t>
            </w:r>
          </w:p>
        </w:tc>
        <w:tc>
          <w:tcPr>
            <w:tcW w:w="461" w:type="pct"/>
            <w:tcBorders>
              <w:top w:val="nil"/>
              <w:left w:val="nil"/>
              <w:bottom w:val="nil"/>
              <w:right w:val="nil"/>
            </w:tcBorders>
            <w:shd w:val="clear" w:color="auto" w:fill="auto"/>
            <w:vAlign w:val="center"/>
          </w:tcPr>
          <w:p w14:paraId="0DD6D607" w14:textId="7F98021C"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05DD7E53" w14:textId="64158B22"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1D43D6F9" w14:textId="716C6611"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161.920.979</w:t>
            </w:r>
          </w:p>
        </w:tc>
      </w:tr>
      <w:tr w:rsidR="00F66897" w:rsidRPr="00FB38E1" w14:paraId="44511A58" w14:textId="77777777" w:rsidTr="00F66897">
        <w:tc>
          <w:tcPr>
            <w:tcW w:w="2314" w:type="pct"/>
            <w:tcBorders>
              <w:top w:val="nil"/>
            </w:tcBorders>
            <w:shd w:val="clear" w:color="auto" w:fill="auto"/>
            <w:tcMar>
              <w:left w:w="170" w:type="dxa"/>
            </w:tcMar>
            <w:vAlign w:val="bottom"/>
          </w:tcPr>
          <w:p w14:paraId="2544DA83"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Swap Para Satım İşlemleri</w:t>
            </w:r>
          </w:p>
        </w:tc>
        <w:tc>
          <w:tcPr>
            <w:tcW w:w="461" w:type="pct"/>
            <w:tcBorders>
              <w:top w:val="nil"/>
            </w:tcBorders>
            <w:shd w:val="clear" w:color="auto" w:fill="auto"/>
            <w:vAlign w:val="center"/>
          </w:tcPr>
          <w:p w14:paraId="5D7F9141" w14:textId="03316AC9"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117.666.246</w:t>
            </w:r>
          </w:p>
        </w:tc>
        <w:tc>
          <w:tcPr>
            <w:tcW w:w="461" w:type="pct"/>
            <w:tcBorders>
              <w:top w:val="nil"/>
              <w:left w:val="nil"/>
              <w:bottom w:val="nil"/>
              <w:right w:val="nil"/>
            </w:tcBorders>
            <w:shd w:val="clear" w:color="auto" w:fill="auto"/>
            <w:vAlign w:val="center"/>
          </w:tcPr>
          <w:p w14:paraId="01F45743" w14:textId="2B46AD17"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58.193.041</w:t>
            </w:r>
          </w:p>
        </w:tc>
        <w:tc>
          <w:tcPr>
            <w:tcW w:w="421" w:type="pct"/>
            <w:tcBorders>
              <w:top w:val="nil"/>
              <w:left w:val="nil"/>
              <w:bottom w:val="nil"/>
              <w:right w:val="nil"/>
            </w:tcBorders>
            <w:shd w:val="clear" w:color="auto" w:fill="auto"/>
            <w:vAlign w:val="center"/>
          </w:tcPr>
          <w:p w14:paraId="15C4675B" w14:textId="78A09C2C"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2.066.551</w:t>
            </w:r>
          </w:p>
        </w:tc>
        <w:tc>
          <w:tcPr>
            <w:tcW w:w="461" w:type="pct"/>
            <w:tcBorders>
              <w:top w:val="nil"/>
              <w:left w:val="nil"/>
              <w:bottom w:val="nil"/>
              <w:right w:val="nil"/>
            </w:tcBorders>
            <w:shd w:val="clear" w:color="auto" w:fill="auto"/>
            <w:vAlign w:val="center"/>
          </w:tcPr>
          <w:p w14:paraId="2ABDC283" w14:textId="124C17D4"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4CDBEBC3" w14:textId="4A965A80"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2BF07F51" w14:textId="7D508C3B"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177.925.838</w:t>
            </w:r>
          </w:p>
        </w:tc>
      </w:tr>
      <w:tr w:rsidR="00F66897" w:rsidRPr="00FB38E1" w14:paraId="580F0AF9" w14:textId="77777777" w:rsidTr="00F66897">
        <w:tc>
          <w:tcPr>
            <w:tcW w:w="2314" w:type="pct"/>
            <w:tcBorders>
              <w:top w:val="nil"/>
            </w:tcBorders>
            <w:shd w:val="clear" w:color="auto" w:fill="auto"/>
            <w:tcMar>
              <w:left w:w="170" w:type="dxa"/>
            </w:tcMar>
            <w:vAlign w:val="bottom"/>
          </w:tcPr>
          <w:p w14:paraId="766C8C97"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Alım Opsiyonları</w:t>
            </w:r>
          </w:p>
        </w:tc>
        <w:tc>
          <w:tcPr>
            <w:tcW w:w="461" w:type="pct"/>
            <w:tcBorders>
              <w:top w:val="nil"/>
            </w:tcBorders>
            <w:shd w:val="clear" w:color="auto" w:fill="auto"/>
            <w:vAlign w:val="center"/>
          </w:tcPr>
          <w:p w14:paraId="3D5A68E7" w14:textId="547CE0D0"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17.311.646</w:t>
            </w:r>
          </w:p>
        </w:tc>
        <w:tc>
          <w:tcPr>
            <w:tcW w:w="461" w:type="pct"/>
            <w:tcBorders>
              <w:top w:val="nil"/>
              <w:left w:val="nil"/>
              <w:bottom w:val="nil"/>
              <w:right w:val="nil"/>
            </w:tcBorders>
            <w:shd w:val="clear" w:color="auto" w:fill="auto"/>
            <w:vAlign w:val="center"/>
          </w:tcPr>
          <w:p w14:paraId="50773D0F" w14:textId="751E0A21"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10.299.298</w:t>
            </w:r>
          </w:p>
        </w:tc>
        <w:tc>
          <w:tcPr>
            <w:tcW w:w="421" w:type="pct"/>
            <w:tcBorders>
              <w:top w:val="nil"/>
              <w:left w:val="nil"/>
              <w:bottom w:val="nil"/>
              <w:right w:val="nil"/>
            </w:tcBorders>
            <w:shd w:val="clear" w:color="auto" w:fill="auto"/>
            <w:vAlign w:val="center"/>
          </w:tcPr>
          <w:p w14:paraId="096E4BCF" w14:textId="7B9DE266"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22.523.544</w:t>
            </w:r>
          </w:p>
        </w:tc>
        <w:tc>
          <w:tcPr>
            <w:tcW w:w="461" w:type="pct"/>
            <w:tcBorders>
              <w:top w:val="nil"/>
              <w:left w:val="nil"/>
              <w:bottom w:val="nil"/>
              <w:right w:val="nil"/>
            </w:tcBorders>
            <w:shd w:val="clear" w:color="auto" w:fill="auto"/>
            <w:vAlign w:val="center"/>
          </w:tcPr>
          <w:p w14:paraId="675EF221" w14:textId="64E102B0"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830.149</w:t>
            </w:r>
          </w:p>
        </w:tc>
        <w:tc>
          <w:tcPr>
            <w:tcW w:w="421" w:type="pct"/>
            <w:tcBorders>
              <w:top w:val="nil"/>
            </w:tcBorders>
            <w:shd w:val="clear" w:color="auto" w:fill="auto"/>
            <w:vAlign w:val="center"/>
          </w:tcPr>
          <w:p w14:paraId="407BC317" w14:textId="739155C0"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66F820CB" w14:textId="574DC11B"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50.964.637</w:t>
            </w:r>
          </w:p>
        </w:tc>
      </w:tr>
      <w:tr w:rsidR="00F66897" w:rsidRPr="00FB38E1" w14:paraId="47A00EC4" w14:textId="77777777" w:rsidTr="00F66897">
        <w:tc>
          <w:tcPr>
            <w:tcW w:w="2314" w:type="pct"/>
            <w:tcBorders>
              <w:top w:val="nil"/>
            </w:tcBorders>
            <w:shd w:val="clear" w:color="auto" w:fill="auto"/>
            <w:tcMar>
              <w:left w:w="170" w:type="dxa"/>
            </w:tcMar>
            <w:vAlign w:val="bottom"/>
          </w:tcPr>
          <w:p w14:paraId="5424DCA1"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Satım Opsiyonları</w:t>
            </w:r>
          </w:p>
        </w:tc>
        <w:tc>
          <w:tcPr>
            <w:tcW w:w="461" w:type="pct"/>
            <w:tcBorders>
              <w:top w:val="nil"/>
            </w:tcBorders>
            <w:shd w:val="clear" w:color="auto" w:fill="auto"/>
            <w:vAlign w:val="center"/>
          </w:tcPr>
          <w:p w14:paraId="2530F517" w14:textId="5537296E"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17.874.810</w:t>
            </w:r>
          </w:p>
        </w:tc>
        <w:tc>
          <w:tcPr>
            <w:tcW w:w="461" w:type="pct"/>
            <w:tcBorders>
              <w:top w:val="nil"/>
              <w:left w:val="nil"/>
              <w:bottom w:val="nil"/>
              <w:right w:val="nil"/>
            </w:tcBorders>
            <w:shd w:val="clear" w:color="auto" w:fill="auto"/>
            <w:vAlign w:val="center"/>
          </w:tcPr>
          <w:p w14:paraId="62373CB5" w14:textId="054848DF"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9.559.417</w:t>
            </w:r>
          </w:p>
        </w:tc>
        <w:tc>
          <w:tcPr>
            <w:tcW w:w="421" w:type="pct"/>
            <w:tcBorders>
              <w:top w:val="nil"/>
              <w:left w:val="nil"/>
              <w:bottom w:val="nil"/>
              <w:right w:val="nil"/>
            </w:tcBorders>
            <w:shd w:val="clear" w:color="auto" w:fill="auto"/>
            <w:vAlign w:val="center"/>
          </w:tcPr>
          <w:p w14:paraId="7C20E549" w14:textId="3AB6033B"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21.510.597</w:t>
            </w:r>
          </w:p>
        </w:tc>
        <w:tc>
          <w:tcPr>
            <w:tcW w:w="461" w:type="pct"/>
            <w:tcBorders>
              <w:top w:val="nil"/>
              <w:left w:val="nil"/>
              <w:bottom w:val="nil"/>
              <w:right w:val="nil"/>
            </w:tcBorders>
            <w:shd w:val="clear" w:color="auto" w:fill="auto"/>
            <w:vAlign w:val="center"/>
          </w:tcPr>
          <w:p w14:paraId="15091330" w14:textId="605DF71A"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763.964</w:t>
            </w:r>
          </w:p>
        </w:tc>
        <w:tc>
          <w:tcPr>
            <w:tcW w:w="421" w:type="pct"/>
            <w:tcBorders>
              <w:top w:val="nil"/>
            </w:tcBorders>
            <w:shd w:val="clear" w:color="auto" w:fill="auto"/>
            <w:vAlign w:val="center"/>
          </w:tcPr>
          <w:p w14:paraId="1831E10C" w14:textId="29A59B44"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4C933D36" w14:textId="56036637"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49.708.788</w:t>
            </w:r>
          </w:p>
        </w:tc>
      </w:tr>
      <w:tr w:rsidR="00F66897" w:rsidRPr="00FB38E1" w14:paraId="71ABEB53" w14:textId="77777777" w:rsidTr="00F66897">
        <w:tc>
          <w:tcPr>
            <w:tcW w:w="2314" w:type="pct"/>
            <w:tcBorders>
              <w:top w:val="nil"/>
            </w:tcBorders>
            <w:shd w:val="clear" w:color="auto" w:fill="auto"/>
            <w:tcMar>
              <w:left w:w="170" w:type="dxa"/>
            </w:tcMar>
            <w:vAlign w:val="bottom"/>
          </w:tcPr>
          <w:p w14:paraId="62636059"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Futures Para Alım İşlemleri</w:t>
            </w:r>
          </w:p>
        </w:tc>
        <w:tc>
          <w:tcPr>
            <w:tcW w:w="461" w:type="pct"/>
            <w:tcBorders>
              <w:top w:val="nil"/>
            </w:tcBorders>
            <w:shd w:val="clear" w:color="auto" w:fill="auto"/>
            <w:vAlign w:val="center"/>
          </w:tcPr>
          <w:p w14:paraId="19742CCC" w14:textId="09CFDC34"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8E74842" w14:textId="4B86F6CF"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7BCBBDA7" w14:textId="78CFCD3D"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23799EA" w14:textId="74CAE16C"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3A1895BA" w14:textId="228408BF"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5C34D3BD" w14:textId="29CC00FB"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66897" w:rsidRPr="00FB38E1" w14:paraId="6720E86E" w14:textId="77777777" w:rsidTr="00F66897">
        <w:tc>
          <w:tcPr>
            <w:tcW w:w="2314" w:type="pct"/>
            <w:tcBorders>
              <w:top w:val="nil"/>
            </w:tcBorders>
            <w:shd w:val="clear" w:color="auto" w:fill="auto"/>
            <w:tcMar>
              <w:left w:w="170" w:type="dxa"/>
            </w:tcMar>
            <w:vAlign w:val="bottom"/>
          </w:tcPr>
          <w:p w14:paraId="6B6FBE0B"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Futures Para Satım İşlemleri</w:t>
            </w:r>
          </w:p>
        </w:tc>
        <w:tc>
          <w:tcPr>
            <w:tcW w:w="461" w:type="pct"/>
            <w:tcBorders>
              <w:top w:val="nil"/>
            </w:tcBorders>
            <w:shd w:val="clear" w:color="auto" w:fill="auto"/>
            <w:vAlign w:val="center"/>
          </w:tcPr>
          <w:p w14:paraId="38DAA59B" w14:textId="64E5ED9F"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70FFDA8" w14:textId="35EF64BF"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7B82E168" w14:textId="50CC73ED"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70E48A4" w14:textId="586DF7D1"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2A05B124" w14:textId="6E21AC31"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37698BB1" w14:textId="1F3A98B2"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66897" w:rsidRPr="00FB38E1" w14:paraId="0AE70BE8" w14:textId="77777777" w:rsidTr="00F66897">
        <w:tc>
          <w:tcPr>
            <w:tcW w:w="2314" w:type="pct"/>
            <w:tcBorders>
              <w:top w:val="nil"/>
            </w:tcBorders>
            <w:shd w:val="clear" w:color="auto" w:fill="auto"/>
            <w:tcMar>
              <w:left w:w="57" w:type="dxa"/>
            </w:tcMar>
            <w:vAlign w:val="bottom"/>
          </w:tcPr>
          <w:p w14:paraId="7481A9B6" w14:textId="77777777" w:rsidR="00F66897" w:rsidRPr="00FB38E1" w:rsidRDefault="00F66897" w:rsidP="00F66897">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Faiz ile İlgili Türev İşlemler (II)</w:t>
            </w:r>
          </w:p>
        </w:tc>
        <w:tc>
          <w:tcPr>
            <w:tcW w:w="461" w:type="pct"/>
            <w:tcBorders>
              <w:top w:val="nil"/>
            </w:tcBorders>
            <w:shd w:val="clear" w:color="auto" w:fill="auto"/>
            <w:vAlign w:val="center"/>
          </w:tcPr>
          <w:p w14:paraId="2D589E95" w14:textId="425D03FE"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3BC89086" w14:textId="0EF2028E"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21" w:type="pct"/>
            <w:tcBorders>
              <w:top w:val="nil"/>
              <w:left w:val="nil"/>
              <w:bottom w:val="nil"/>
              <w:right w:val="nil"/>
            </w:tcBorders>
            <w:shd w:val="clear" w:color="auto" w:fill="auto"/>
            <w:vAlign w:val="center"/>
          </w:tcPr>
          <w:p w14:paraId="185D28B8" w14:textId="237F3923"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12.648.106</w:t>
            </w:r>
          </w:p>
        </w:tc>
        <w:tc>
          <w:tcPr>
            <w:tcW w:w="461" w:type="pct"/>
            <w:tcBorders>
              <w:top w:val="nil"/>
              <w:left w:val="nil"/>
              <w:bottom w:val="nil"/>
              <w:right w:val="nil"/>
            </w:tcBorders>
            <w:shd w:val="clear" w:color="auto" w:fill="auto"/>
            <w:vAlign w:val="center"/>
          </w:tcPr>
          <w:p w14:paraId="48EFCB9F" w14:textId="6D0CB4EB"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122.359.912</w:t>
            </w:r>
          </w:p>
        </w:tc>
        <w:tc>
          <w:tcPr>
            <w:tcW w:w="421" w:type="pct"/>
            <w:tcBorders>
              <w:top w:val="nil"/>
            </w:tcBorders>
            <w:shd w:val="clear" w:color="auto" w:fill="auto"/>
            <w:vAlign w:val="center"/>
          </w:tcPr>
          <w:p w14:paraId="3263761E" w14:textId="2B87F5AB"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44.783.542</w:t>
            </w:r>
          </w:p>
        </w:tc>
        <w:tc>
          <w:tcPr>
            <w:tcW w:w="461" w:type="pct"/>
            <w:tcBorders>
              <w:top w:val="nil"/>
            </w:tcBorders>
            <w:shd w:val="clear" w:color="auto" w:fill="auto"/>
            <w:vAlign w:val="center"/>
          </w:tcPr>
          <w:p w14:paraId="2CB73132" w14:textId="665B4B1F"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179.791.560</w:t>
            </w:r>
          </w:p>
        </w:tc>
      </w:tr>
      <w:tr w:rsidR="00F66897" w:rsidRPr="00FB38E1" w14:paraId="6B6A2BDA" w14:textId="77777777" w:rsidTr="00F66897">
        <w:tc>
          <w:tcPr>
            <w:tcW w:w="2314" w:type="pct"/>
            <w:tcBorders>
              <w:top w:val="nil"/>
            </w:tcBorders>
            <w:shd w:val="clear" w:color="auto" w:fill="auto"/>
            <w:tcMar>
              <w:left w:w="170" w:type="dxa"/>
            </w:tcMar>
            <w:vAlign w:val="bottom"/>
          </w:tcPr>
          <w:p w14:paraId="5CC0745C"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Swap Faiz Alım İşlemleri</w:t>
            </w:r>
          </w:p>
        </w:tc>
        <w:tc>
          <w:tcPr>
            <w:tcW w:w="461" w:type="pct"/>
            <w:tcBorders>
              <w:top w:val="nil"/>
            </w:tcBorders>
            <w:shd w:val="clear" w:color="auto" w:fill="auto"/>
            <w:vAlign w:val="center"/>
          </w:tcPr>
          <w:p w14:paraId="5E3CC649" w14:textId="78DBC2F6"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C8FC8B1" w14:textId="42356069"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131316E7" w14:textId="34963948"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6.324.053</w:t>
            </w:r>
          </w:p>
        </w:tc>
        <w:tc>
          <w:tcPr>
            <w:tcW w:w="461" w:type="pct"/>
            <w:tcBorders>
              <w:top w:val="nil"/>
              <w:left w:val="nil"/>
              <w:bottom w:val="nil"/>
              <w:right w:val="nil"/>
            </w:tcBorders>
            <w:shd w:val="clear" w:color="auto" w:fill="auto"/>
            <w:vAlign w:val="center"/>
          </w:tcPr>
          <w:p w14:paraId="5E626545" w14:textId="13C8FA8E"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58.400.910</w:t>
            </w:r>
          </w:p>
        </w:tc>
        <w:tc>
          <w:tcPr>
            <w:tcW w:w="421" w:type="pct"/>
            <w:tcBorders>
              <w:top w:val="nil"/>
            </w:tcBorders>
            <w:shd w:val="clear" w:color="auto" w:fill="auto"/>
            <w:vAlign w:val="center"/>
          </w:tcPr>
          <w:p w14:paraId="7FD40199" w14:textId="0A021FD4"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22.391.771</w:t>
            </w:r>
          </w:p>
        </w:tc>
        <w:tc>
          <w:tcPr>
            <w:tcW w:w="461" w:type="pct"/>
            <w:tcBorders>
              <w:top w:val="nil"/>
            </w:tcBorders>
            <w:shd w:val="clear" w:color="auto" w:fill="auto"/>
            <w:vAlign w:val="center"/>
          </w:tcPr>
          <w:p w14:paraId="034E3C41" w14:textId="38053C03"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87.116.734</w:t>
            </w:r>
          </w:p>
        </w:tc>
      </w:tr>
      <w:tr w:rsidR="00F66897" w:rsidRPr="00FB38E1" w14:paraId="56E6521C" w14:textId="77777777" w:rsidTr="00F66897">
        <w:tc>
          <w:tcPr>
            <w:tcW w:w="2314" w:type="pct"/>
            <w:tcBorders>
              <w:top w:val="nil"/>
            </w:tcBorders>
            <w:shd w:val="clear" w:color="auto" w:fill="auto"/>
            <w:tcMar>
              <w:left w:w="170" w:type="dxa"/>
            </w:tcMar>
            <w:vAlign w:val="bottom"/>
          </w:tcPr>
          <w:p w14:paraId="63214AC6"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Swap Faiz Satım İşlemleri</w:t>
            </w:r>
          </w:p>
        </w:tc>
        <w:tc>
          <w:tcPr>
            <w:tcW w:w="461" w:type="pct"/>
            <w:tcBorders>
              <w:top w:val="nil"/>
            </w:tcBorders>
            <w:shd w:val="clear" w:color="auto" w:fill="auto"/>
            <w:vAlign w:val="center"/>
          </w:tcPr>
          <w:p w14:paraId="0F3E7329" w14:textId="1F890FAE"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9D4AE94" w14:textId="60D77E00"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1F3A56EF" w14:textId="74EFC82C"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6.324.053</w:t>
            </w:r>
          </w:p>
        </w:tc>
        <w:tc>
          <w:tcPr>
            <w:tcW w:w="461" w:type="pct"/>
            <w:tcBorders>
              <w:top w:val="nil"/>
              <w:left w:val="nil"/>
              <w:bottom w:val="nil"/>
              <w:right w:val="nil"/>
            </w:tcBorders>
            <w:shd w:val="clear" w:color="auto" w:fill="auto"/>
            <w:vAlign w:val="center"/>
          </w:tcPr>
          <w:p w14:paraId="1C25C945" w14:textId="1AB57D11"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58.400.910</w:t>
            </w:r>
          </w:p>
        </w:tc>
        <w:tc>
          <w:tcPr>
            <w:tcW w:w="421" w:type="pct"/>
            <w:tcBorders>
              <w:top w:val="nil"/>
            </w:tcBorders>
            <w:shd w:val="clear" w:color="auto" w:fill="auto"/>
            <w:vAlign w:val="center"/>
          </w:tcPr>
          <w:p w14:paraId="70A7299D" w14:textId="74A63555"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22.391.771</w:t>
            </w:r>
          </w:p>
        </w:tc>
        <w:tc>
          <w:tcPr>
            <w:tcW w:w="461" w:type="pct"/>
            <w:tcBorders>
              <w:top w:val="nil"/>
            </w:tcBorders>
            <w:shd w:val="clear" w:color="auto" w:fill="auto"/>
            <w:vAlign w:val="center"/>
          </w:tcPr>
          <w:p w14:paraId="57F46C29" w14:textId="1051B918"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87.116.734</w:t>
            </w:r>
          </w:p>
        </w:tc>
      </w:tr>
      <w:tr w:rsidR="00F66897" w:rsidRPr="00FB38E1" w14:paraId="36F86595" w14:textId="77777777" w:rsidTr="00F66897">
        <w:tc>
          <w:tcPr>
            <w:tcW w:w="2314" w:type="pct"/>
            <w:tcBorders>
              <w:top w:val="nil"/>
            </w:tcBorders>
            <w:shd w:val="clear" w:color="auto" w:fill="auto"/>
            <w:tcMar>
              <w:left w:w="170" w:type="dxa"/>
            </w:tcMar>
            <w:vAlign w:val="bottom"/>
          </w:tcPr>
          <w:p w14:paraId="5CE8E79E"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Faiz Alım Opsiyonları</w:t>
            </w:r>
          </w:p>
        </w:tc>
        <w:tc>
          <w:tcPr>
            <w:tcW w:w="461" w:type="pct"/>
            <w:tcBorders>
              <w:top w:val="nil"/>
            </w:tcBorders>
            <w:shd w:val="clear" w:color="auto" w:fill="auto"/>
            <w:vAlign w:val="center"/>
          </w:tcPr>
          <w:p w14:paraId="6E0A845E" w14:textId="2EA03791"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2485008A" w14:textId="03D8461B"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1D726150" w14:textId="57E1713B"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480BEFDC" w14:textId="59860D8F"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2.779.046</w:t>
            </w:r>
          </w:p>
        </w:tc>
        <w:tc>
          <w:tcPr>
            <w:tcW w:w="421" w:type="pct"/>
            <w:tcBorders>
              <w:top w:val="nil"/>
            </w:tcBorders>
            <w:shd w:val="clear" w:color="auto" w:fill="auto"/>
            <w:vAlign w:val="center"/>
          </w:tcPr>
          <w:p w14:paraId="0CFDB4CD" w14:textId="02B87D55"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7C0DC2D5" w14:textId="33BA6BE6"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2.779.046</w:t>
            </w:r>
          </w:p>
        </w:tc>
      </w:tr>
      <w:tr w:rsidR="00F66897" w:rsidRPr="00FB38E1" w14:paraId="4DA191DE" w14:textId="77777777" w:rsidTr="00F66897">
        <w:tc>
          <w:tcPr>
            <w:tcW w:w="2314" w:type="pct"/>
            <w:tcBorders>
              <w:top w:val="nil"/>
            </w:tcBorders>
            <w:shd w:val="clear" w:color="auto" w:fill="auto"/>
            <w:tcMar>
              <w:left w:w="170" w:type="dxa"/>
            </w:tcMar>
            <w:vAlign w:val="bottom"/>
          </w:tcPr>
          <w:p w14:paraId="725DD6DF"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Faiz Satım Opsiyonları</w:t>
            </w:r>
          </w:p>
        </w:tc>
        <w:tc>
          <w:tcPr>
            <w:tcW w:w="461" w:type="pct"/>
            <w:tcBorders>
              <w:top w:val="nil"/>
            </w:tcBorders>
            <w:shd w:val="clear" w:color="auto" w:fill="auto"/>
            <w:vAlign w:val="center"/>
          </w:tcPr>
          <w:p w14:paraId="15092FBC" w14:textId="507EDC80"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C79098E" w14:textId="35F68AA9"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6A704049" w14:textId="77E06774"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F5F1718" w14:textId="0197999D"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2.779.046</w:t>
            </w:r>
          </w:p>
        </w:tc>
        <w:tc>
          <w:tcPr>
            <w:tcW w:w="421" w:type="pct"/>
            <w:tcBorders>
              <w:top w:val="nil"/>
            </w:tcBorders>
            <w:shd w:val="clear" w:color="auto" w:fill="auto"/>
            <w:vAlign w:val="center"/>
          </w:tcPr>
          <w:p w14:paraId="2E05E71C" w14:textId="56F1EA12"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337FEC86" w14:textId="4911B260"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2.779.046</w:t>
            </w:r>
          </w:p>
        </w:tc>
      </w:tr>
      <w:tr w:rsidR="00F66897" w:rsidRPr="00FB38E1" w14:paraId="3C70E696" w14:textId="77777777" w:rsidTr="00F66897">
        <w:tc>
          <w:tcPr>
            <w:tcW w:w="2314" w:type="pct"/>
            <w:tcBorders>
              <w:top w:val="nil"/>
            </w:tcBorders>
            <w:shd w:val="clear" w:color="auto" w:fill="auto"/>
            <w:tcMar>
              <w:left w:w="170" w:type="dxa"/>
            </w:tcMar>
            <w:vAlign w:val="bottom"/>
          </w:tcPr>
          <w:p w14:paraId="4A65CC89" w14:textId="77777777" w:rsidR="00F66897" w:rsidRPr="00FB38E1" w:rsidRDefault="00F66897" w:rsidP="00F66897">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Mankul Değerler Alım Opsiyonları</w:t>
            </w:r>
          </w:p>
        </w:tc>
        <w:tc>
          <w:tcPr>
            <w:tcW w:w="461" w:type="pct"/>
            <w:tcBorders>
              <w:top w:val="nil"/>
            </w:tcBorders>
            <w:shd w:val="clear" w:color="auto" w:fill="auto"/>
            <w:vAlign w:val="center"/>
          </w:tcPr>
          <w:p w14:paraId="3E648A46" w14:textId="26D3D879"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3219657D" w14:textId="1816BAD2"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21" w:type="pct"/>
            <w:tcBorders>
              <w:top w:val="nil"/>
              <w:left w:val="nil"/>
              <w:bottom w:val="nil"/>
              <w:right w:val="nil"/>
            </w:tcBorders>
            <w:shd w:val="clear" w:color="auto" w:fill="auto"/>
            <w:vAlign w:val="center"/>
          </w:tcPr>
          <w:p w14:paraId="13573FE2" w14:textId="01880572"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153A81EB" w14:textId="3B449078"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21" w:type="pct"/>
            <w:tcBorders>
              <w:top w:val="nil"/>
            </w:tcBorders>
            <w:shd w:val="clear" w:color="auto" w:fill="auto"/>
            <w:vAlign w:val="center"/>
          </w:tcPr>
          <w:p w14:paraId="0096CC6C" w14:textId="1CC9AAE4"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tcBorders>
            <w:shd w:val="clear" w:color="auto" w:fill="auto"/>
            <w:vAlign w:val="center"/>
          </w:tcPr>
          <w:p w14:paraId="342CF99E" w14:textId="4594E35C"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F66897" w:rsidRPr="00FB38E1" w14:paraId="5F4BA365" w14:textId="77777777" w:rsidTr="00F66897">
        <w:tc>
          <w:tcPr>
            <w:tcW w:w="2314" w:type="pct"/>
            <w:tcBorders>
              <w:top w:val="nil"/>
            </w:tcBorders>
            <w:shd w:val="clear" w:color="auto" w:fill="auto"/>
            <w:tcMar>
              <w:left w:w="170" w:type="dxa"/>
            </w:tcMar>
            <w:vAlign w:val="bottom"/>
          </w:tcPr>
          <w:p w14:paraId="524AD2B5" w14:textId="77777777" w:rsidR="00F66897" w:rsidRPr="00FB38E1" w:rsidRDefault="00F66897" w:rsidP="00F66897">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Menkul Değerler Satım Opsiyonları</w:t>
            </w:r>
          </w:p>
        </w:tc>
        <w:tc>
          <w:tcPr>
            <w:tcW w:w="461" w:type="pct"/>
            <w:tcBorders>
              <w:top w:val="nil"/>
            </w:tcBorders>
            <w:shd w:val="clear" w:color="auto" w:fill="auto"/>
            <w:vAlign w:val="center"/>
          </w:tcPr>
          <w:p w14:paraId="1B82538E" w14:textId="4FC16D0D"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71CC3457" w14:textId="5FD4A5FC"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21" w:type="pct"/>
            <w:tcBorders>
              <w:top w:val="nil"/>
              <w:left w:val="nil"/>
              <w:bottom w:val="nil"/>
              <w:right w:val="nil"/>
            </w:tcBorders>
            <w:shd w:val="clear" w:color="auto" w:fill="auto"/>
            <w:vAlign w:val="center"/>
          </w:tcPr>
          <w:p w14:paraId="4200F1EE" w14:textId="59285FE4"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394E08E9" w14:textId="27466A2C"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21" w:type="pct"/>
            <w:tcBorders>
              <w:top w:val="nil"/>
            </w:tcBorders>
            <w:shd w:val="clear" w:color="auto" w:fill="auto"/>
            <w:vAlign w:val="center"/>
          </w:tcPr>
          <w:p w14:paraId="01B89722" w14:textId="39D056E1" w:rsidR="00F66897" w:rsidRPr="00FB38E1" w:rsidRDefault="00F66897" w:rsidP="00F66897">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tcBorders>
            <w:shd w:val="clear" w:color="auto" w:fill="auto"/>
            <w:vAlign w:val="center"/>
          </w:tcPr>
          <w:p w14:paraId="218AA794" w14:textId="43CA653F"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F66897" w:rsidRPr="00FB38E1" w14:paraId="12C4493F" w14:textId="77777777" w:rsidTr="00F66897">
        <w:tc>
          <w:tcPr>
            <w:tcW w:w="2314" w:type="pct"/>
            <w:tcBorders>
              <w:top w:val="nil"/>
            </w:tcBorders>
            <w:shd w:val="clear" w:color="auto" w:fill="auto"/>
            <w:tcMar>
              <w:left w:w="170" w:type="dxa"/>
            </w:tcMar>
            <w:vAlign w:val="bottom"/>
          </w:tcPr>
          <w:p w14:paraId="73C8473C"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Futures Faiz Alım İşlemleri</w:t>
            </w:r>
          </w:p>
        </w:tc>
        <w:tc>
          <w:tcPr>
            <w:tcW w:w="461" w:type="pct"/>
            <w:tcBorders>
              <w:top w:val="nil"/>
            </w:tcBorders>
            <w:shd w:val="clear" w:color="auto" w:fill="auto"/>
            <w:vAlign w:val="center"/>
          </w:tcPr>
          <w:p w14:paraId="6561B810" w14:textId="42E5DE2C"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70DF33F9" w14:textId="32F0797A"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3DD9C275" w14:textId="6483C6B3"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605C4AA" w14:textId="5050086F"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06569683" w14:textId="717C761A"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42D8D085" w14:textId="76017862"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66897" w:rsidRPr="00FB38E1" w14:paraId="739953CF" w14:textId="77777777" w:rsidTr="00F66897">
        <w:tc>
          <w:tcPr>
            <w:tcW w:w="2314" w:type="pct"/>
            <w:tcBorders>
              <w:top w:val="nil"/>
            </w:tcBorders>
            <w:shd w:val="clear" w:color="auto" w:fill="auto"/>
            <w:tcMar>
              <w:left w:w="170" w:type="dxa"/>
            </w:tcMar>
            <w:vAlign w:val="bottom"/>
          </w:tcPr>
          <w:p w14:paraId="0F3AC1F1" w14:textId="77777777" w:rsidR="00F66897" w:rsidRPr="00FB38E1" w:rsidRDefault="00F66897" w:rsidP="00F66897">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Futures Faiz Satım İşlemleri</w:t>
            </w:r>
          </w:p>
        </w:tc>
        <w:tc>
          <w:tcPr>
            <w:tcW w:w="461" w:type="pct"/>
            <w:tcBorders>
              <w:top w:val="nil"/>
            </w:tcBorders>
            <w:shd w:val="clear" w:color="auto" w:fill="auto"/>
            <w:vAlign w:val="center"/>
          </w:tcPr>
          <w:p w14:paraId="5C2EFC09" w14:textId="51FF7D85"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187DC09" w14:textId="18EF2D4C"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2410F4ED" w14:textId="45B2FA52"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990EFA8" w14:textId="1287FC88"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0846C56B" w14:textId="56158319" w:rsidR="00F66897" w:rsidRPr="00FB38E1" w:rsidRDefault="00F66897" w:rsidP="00F66897">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1E1054FE" w14:textId="1F08A3E3" w:rsidR="00F66897" w:rsidRPr="00FB38E1" w:rsidRDefault="00F66897" w:rsidP="00F66897">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66897" w:rsidRPr="00FB38E1" w14:paraId="753C40C7" w14:textId="77777777" w:rsidTr="00F66897">
        <w:tc>
          <w:tcPr>
            <w:tcW w:w="2314" w:type="pct"/>
            <w:tcBorders>
              <w:top w:val="nil"/>
            </w:tcBorders>
            <w:shd w:val="clear" w:color="auto" w:fill="auto"/>
            <w:tcMar>
              <w:left w:w="57" w:type="dxa"/>
            </w:tcMar>
            <w:vAlign w:val="bottom"/>
          </w:tcPr>
          <w:p w14:paraId="5C312D99" w14:textId="77777777" w:rsidR="00F66897" w:rsidRPr="00FB38E1" w:rsidRDefault="00F66897" w:rsidP="00F66897">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Diğer Alım-Satım Amaçlı Türev İşlemler (III)</w:t>
            </w:r>
          </w:p>
        </w:tc>
        <w:tc>
          <w:tcPr>
            <w:tcW w:w="461" w:type="pct"/>
            <w:tcBorders>
              <w:top w:val="nil"/>
            </w:tcBorders>
            <w:shd w:val="clear" w:color="auto" w:fill="auto"/>
            <w:vAlign w:val="center"/>
          </w:tcPr>
          <w:p w14:paraId="65AF3B18" w14:textId="1BB219AD"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20.934.066</w:t>
            </w:r>
          </w:p>
        </w:tc>
        <w:tc>
          <w:tcPr>
            <w:tcW w:w="461" w:type="pct"/>
            <w:tcBorders>
              <w:top w:val="nil"/>
              <w:left w:val="nil"/>
              <w:bottom w:val="nil"/>
              <w:right w:val="nil"/>
            </w:tcBorders>
            <w:shd w:val="clear" w:color="auto" w:fill="auto"/>
            <w:vAlign w:val="center"/>
          </w:tcPr>
          <w:p w14:paraId="0E7AF2DF" w14:textId="30BF2994"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7.865.956</w:t>
            </w:r>
          </w:p>
        </w:tc>
        <w:tc>
          <w:tcPr>
            <w:tcW w:w="421" w:type="pct"/>
            <w:tcBorders>
              <w:top w:val="nil"/>
              <w:left w:val="nil"/>
              <w:bottom w:val="nil"/>
              <w:right w:val="nil"/>
            </w:tcBorders>
            <w:shd w:val="clear" w:color="auto" w:fill="auto"/>
            <w:vAlign w:val="center"/>
          </w:tcPr>
          <w:p w14:paraId="1DC3FEC0" w14:textId="409C7DE9"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1.337.937</w:t>
            </w:r>
          </w:p>
        </w:tc>
        <w:tc>
          <w:tcPr>
            <w:tcW w:w="461" w:type="pct"/>
            <w:tcBorders>
              <w:top w:val="nil"/>
              <w:left w:val="nil"/>
              <w:bottom w:val="nil"/>
              <w:right w:val="nil"/>
            </w:tcBorders>
            <w:shd w:val="clear" w:color="auto" w:fill="auto"/>
            <w:vAlign w:val="center"/>
          </w:tcPr>
          <w:p w14:paraId="0310C5E6" w14:textId="1FF55B2F"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21" w:type="pct"/>
            <w:tcBorders>
              <w:top w:val="nil"/>
            </w:tcBorders>
            <w:shd w:val="clear" w:color="auto" w:fill="auto"/>
            <w:vAlign w:val="center"/>
          </w:tcPr>
          <w:p w14:paraId="3584BA3C" w14:textId="03B0E53B"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tcBorders>
            <w:shd w:val="clear" w:color="auto" w:fill="auto"/>
            <w:vAlign w:val="center"/>
          </w:tcPr>
          <w:p w14:paraId="3FE953AF" w14:textId="7B8DCB1C"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30.137.959</w:t>
            </w:r>
          </w:p>
        </w:tc>
      </w:tr>
      <w:tr w:rsidR="00F66897" w:rsidRPr="00FB38E1" w14:paraId="30FBFE0F" w14:textId="77777777" w:rsidTr="00F66897">
        <w:tc>
          <w:tcPr>
            <w:tcW w:w="2314" w:type="pct"/>
            <w:tcBorders>
              <w:top w:val="nil"/>
            </w:tcBorders>
            <w:shd w:val="clear" w:color="auto" w:fill="auto"/>
            <w:tcMar>
              <w:left w:w="57" w:type="dxa"/>
            </w:tcMar>
            <w:vAlign w:val="bottom"/>
          </w:tcPr>
          <w:p w14:paraId="238E1B30" w14:textId="77777777" w:rsidR="00F66897" w:rsidRPr="00FB38E1" w:rsidRDefault="00F66897" w:rsidP="00F66897">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B. Toplam Alım Satım Amaçlı Türev İşlemler (I + II + III)</w:t>
            </w:r>
          </w:p>
        </w:tc>
        <w:tc>
          <w:tcPr>
            <w:tcW w:w="461" w:type="pct"/>
            <w:tcBorders>
              <w:top w:val="nil"/>
            </w:tcBorders>
            <w:shd w:val="clear" w:color="auto" w:fill="auto"/>
            <w:vAlign w:val="center"/>
          </w:tcPr>
          <w:p w14:paraId="1DB5D4E2" w14:textId="6BF9AA27"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341.442.916</w:t>
            </w:r>
          </w:p>
        </w:tc>
        <w:tc>
          <w:tcPr>
            <w:tcW w:w="461" w:type="pct"/>
            <w:tcBorders>
              <w:top w:val="nil"/>
              <w:left w:val="nil"/>
              <w:bottom w:val="nil"/>
              <w:right w:val="nil"/>
            </w:tcBorders>
            <w:shd w:val="clear" w:color="auto" w:fill="auto"/>
            <w:vAlign w:val="center"/>
          </w:tcPr>
          <w:p w14:paraId="63B4B0C6" w14:textId="46984935"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181.272.310</w:t>
            </w:r>
          </w:p>
        </w:tc>
        <w:tc>
          <w:tcPr>
            <w:tcW w:w="421" w:type="pct"/>
            <w:tcBorders>
              <w:top w:val="nil"/>
              <w:left w:val="nil"/>
              <w:bottom w:val="nil"/>
              <w:right w:val="nil"/>
            </w:tcBorders>
            <w:shd w:val="clear" w:color="auto" w:fill="auto"/>
            <w:vAlign w:val="center"/>
          </w:tcPr>
          <w:p w14:paraId="25EE917E" w14:textId="6F68C8CE"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71.808.662</w:t>
            </w:r>
          </w:p>
        </w:tc>
        <w:tc>
          <w:tcPr>
            <w:tcW w:w="461" w:type="pct"/>
            <w:tcBorders>
              <w:top w:val="nil"/>
              <w:left w:val="nil"/>
              <w:bottom w:val="nil"/>
              <w:right w:val="nil"/>
            </w:tcBorders>
            <w:shd w:val="clear" w:color="auto" w:fill="auto"/>
            <w:vAlign w:val="center"/>
          </w:tcPr>
          <w:p w14:paraId="4C506863" w14:textId="4ADDFBAE"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125.743.084</w:t>
            </w:r>
          </w:p>
        </w:tc>
        <w:tc>
          <w:tcPr>
            <w:tcW w:w="421" w:type="pct"/>
            <w:tcBorders>
              <w:top w:val="nil"/>
            </w:tcBorders>
            <w:shd w:val="clear" w:color="auto" w:fill="auto"/>
            <w:vAlign w:val="center"/>
          </w:tcPr>
          <w:p w14:paraId="43C18118" w14:textId="350B11E2"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44.783.542</w:t>
            </w:r>
          </w:p>
        </w:tc>
        <w:tc>
          <w:tcPr>
            <w:tcW w:w="461" w:type="pct"/>
            <w:tcBorders>
              <w:top w:val="nil"/>
            </w:tcBorders>
            <w:shd w:val="clear" w:color="auto" w:fill="auto"/>
            <w:vAlign w:val="center"/>
          </w:tcPr>
          <w:p w14:paraId="71825B78" w14:textId="45C83EB4"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765.050.514</w:t>
            </w:r>
          </w:p>
        </w:tc>
      </w:tr>
      <w:tr w:rsidR="00A6628A" w:rsidRPr="00FB38E1" w14:paraId="7B673A75" w14:textId="77777777" w:rsidTr="00F66897">
        <w:trPr>
          <w:trHeight w:val="55"/>
        </w:trPr>
        <w:tc>
          <w:tcPr>
            <w:tcW w:w="2314" w:type="pct"/>
            <w:tcBorders>
              <w:bottom w:val="single" w:sz="6" w:space="0" w:color="auto"/>
            </w:tcBorders>
            <w:shd w:val="clear" w:color="auto" w:fill="auto"/>
            <w:tcMar>
              <w:left w:w="57" w:type="dxa"/>
            </w:tcMar>
            <w:vAlign w:val="bottom"/>
          </w:tcPr>
          <w:p w14:paraId="4E4E5BD7" w14:textId="77777777" w:rsidR="00A6628A" w:rsidRPr="00FB38E1" w:rsidRDefault="00A6628A" w:rsidP="00836EF2">
            <w:pPr>
              <w:rPr>
                <w:rFonts w:ascii="Microsoft Sans Serif" w:hAnsi="Microsoft Sans Serif" w:cs="Microsoft Sans Serif"/>
                <w:b/>
                <w:bCs/>
                <w:color w:val="000000"/>
                <w:sz w:val="14"/>
                <w:szCs w:val="14"/>
              </w:rPr>
            </w:pPr>
          </w:p>
        </w:tc>
        <w:tc>
          <w:tcPr>
            <w:tcW w:w="461" w:type="pct"/>
            <w:tcBorders>
              <w:bottom w:val="single" w:sz="6" w:space="0" w:color="auto"/>
            </w:tcBorders>
            <w:shd w:val="clear" w:color="auto" w:fill="auto"/>
            <w:vAlign w:val="center"/>
          </w:tcPr>
          <w:p w14:paraId="2F263181"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61" w:type="pct"/>
            <w:tcBorders>
              <w:top w:val="nil"/>
              <w:left w:val="nil"/>
              <w:bottom w:val="single" w:sz="6" w:space="0" w:color="auto"/>
              <w:right w:val="nil"/>
            </w:tcBorders>
            <w:shd w:val="clear" w:color="auto" w:fill="auto"/>
            <w:vAlign w:val="center"/>
          </w:tcPr>
          <w:p w14:paraId="6745F901"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21" w:type="pct"/>
            <w:tcBorders>
              <w:top w:val="nil"/>
              <w:left w:val="nil"/>
              <w:bottom w:val="single" w:sz="6" w:space="0" w:color="auto"/>
              <w:right w:val="nil"/>
            </w:tcBorders>
            <w:shd w:val="clear" w:color="auto" w:fill="auto"/>
            <w:vAlign w:val="center"/>
          </w:tcPr>
          <w:p w14:paraId="026E7EB9"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61" w:type="pct"/>
            <w:tcBorders>
              <w:top w:val="nil"/>
              <w:left w:val="nil"/>
              <w:bottom w:val="single" w:sz="6" w:space="0" w:color="auto"/>
              <w:right w:val="nil"/>
            </w:tcBorders>
            <w:shd w:val="clear" w:color="auto" w:fill="auto"/>
            <w:vAlign w:val="center"/>
          </w:tcPr>
          <w:p w14:paraId="64002D23"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21" w:type="pct"/>
            <w:tcBorders>
              <w:bottom w:val="single" w:sz="6" w:space="0" w:color="auto"/>
            </w:tcBorders>
            <w:shd w:val="clear" w:color="auto" w:fill="auto"/>
            <w:vAlign w:val="center"/>
          </w:tcPr>
          <w:p w14:paraId="75D07ED1"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61" w:type="pct"/>
            <w:tcBorders>
              <w:bottom w:val="single" w:sz="6" w:space="0" w:color="auto"/>
            </w:tcBorders>
            <w:shd w:val="clear" w:color="auto" w:fill="auto"/>
            <w:vAlign w:val="center"/>
          </w:tcPr>
          <w:p w14:paraId="5A9E065E"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r>
      <w:tr w:rsidR="00F66897" w:rsidRPr="00FB38E1" w14:paraId="3B3893F8" w14:textId="77777777" w:rsidTr="00F66897">
        <w:tc>
          <w:tcPr>
            <w:tcW w:w="2314" w:type="pct"/>
            <w:tcBorders>
              <w:top w:val="single" w:sz="6" w:space="0" w:color="auto"/>
              <w:bottom w:val="thickThinSmallGap" w:sz="24" w:space="0" w:color="auto"/>
            </w:tcBorders>
            <w:shd w:val="clear" w:color="auto" w:fill="auto"/>
            <w:vAlign w:val="bottom"/>
          </w:tcPr>
          <w:p w14:paraId="423A9370" w14:textId="77777777" w:rsidR="00F66897" w:rsidRPr="00FB38E1" w:rsidRDefault="00F66897" w:rsidP="00F66897">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Türev İşlemler Toplamı (A+B)</w:t>
            </w:r>
          </w:p>
        </w:tc>
        <w:tc>
          <w:tcPr>
            <w:tcW w:w="461" w:type="pct"/>
            <w:tcBorders>
              <w:top w:val="single" w:sz="6" w:space="0" w:color="auto"/>
              <w:bottom w:val="thickThinSmallGap" w:sz="24" w:space="0" w:color="auto"/>
            </w:tcBorders>
            <w:shd w:val="clear" w:color="auto" w:fill="auto"/>
            <w:vAlign w:val="center"/>
          </w:tcPr>
          <w:p w14:paraId="5C37101E" w14:textId="4D8E11A7"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341.442.916</w:t>
            </w:r>
          </w:p>
        </w:tc>
        <w:tc>
          <w:tcPr>
            <w:tcW w:w="461" w:type="pct"/>
            <w:tcBorders>
              <w:top w:val="single" w:sz="6" w:space="0" w:color="auto"/>
              <w:left w:val="nil"/>
              <w:bottom w:val="thickThinSmallGap" w:sz="24" w:space="0" w:color="auto"/>
              <w:right w:val="nil"/>
            </w:tcBorders>
            <w:shd w:val="clear" w:color="auto" w:fill="auto"/>
            <w:vAlign w:val="center"/>
          </w:tcPr>
          <w:p w14:paraId="47724656" w14:textId="47C85F6A"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181.272.310</w:t>
            </w:r>
          </w:p>
        </w:tc>
        <w:tc>
          <w:tcPr>
            <w:tcW w:w="421" w:type="pct"/>
            <w:tcBorders>
              <w:top w:val="single" w:sz="6" w:space="0" w:color="auto"/>
              <w:left w:val="nil"/>
              <w:bottom w:val="thickThinSmallGap" w:sz="24" w:space="0" w:color="auto"/>
              <w:right w:val="nil"/>
            </w:tcBorders>
            <w:shd w:val="clear" w:color="auto" w:fill="auto"/>
            <w:vAlign w:val="center"/>
          </w:tcPr>
          <w:p w14:paraId="06011941" w14:textId="57706790"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71.808.662</w:t>
            </w:r>
          </w:p>
        </w:tc>
        <w:tc>
          <w:tcPr>
            <w:tcW w:w="461" w:type="pct"/>
            <w:tcBorders>
              <w:top w:val="single" w:sz="6" w:space="0" w:color="auto"/>
              <w:left w:val="nil"/>
              <w:bottom w:val="thickThinSmallGap" w:sz="24" w:space="0" w:color="auto"/>
              <w:right w:val="nil"/>
            </w:tcBorders>
            <w:shd w:val="clear" w:color="auto" w:fill="auto"/>
            <w:vAlign w:val="center"/>
          </w:tcPr>
          <w:p w14:paraId="73327514" w14:textId="75CD2206"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125.743.084</w:t>
            </w:r>
          </w:p>
        </w:tc>
        <w:tc>
          <w:tcPr>
            <w:tcW w:w="421" w:type="pct"/>
            <w:tcBorders>
              <w:top w:val="single" w:sz="6" w:space="0" w:color="auto"/>
              <w:bottom w:val="thickThinSmallGap" w:sz="24" w:space="0" w:color="auto"/>
            </w:tcBorders>
            <w:shd w:val="clear" w:color="auto" w:fill="auto"/>
            <w:vAlign w:val="center"/>
          </w:tcPr>
          <w:p w14:paraId="71C26F62" w14:textId="76D28E0A"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44.783.542</w:t>
            </w:r>
          </w:p>
        </w:tc>
        <w:tc>
          <w:tcPr>
            <w:tcW w:w="461" w:type="pct"/>
            <w:tcBorders>
              <w:top w:val="single" w:sz="6" w:space="0" w:color="auto"/>
              <w:bottom w:val="thickThinSmallGap" w:sz="24" w:space="0" w:color="auto"/>
            </w:tcBorders>
            <w:shd w:val="clear" w:color="auto" w:fill="auto"/>
            <w:vAlign w:val="center"/>
          </w:tcPr>
          <w:p w14:paraId="4B37EAD4" w14:textId="6675A749" w:rsidR="00F66897" w:rsidRPr="00FB38E1" w:rsidRDefault="00F66897" w:rsidP="00F66897">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765.050.514</w:t>
            </w:r>
          </w:p>
        </w:tc>
      </w:tr>
    </w:tbl>
    <w:p w14:paraId="0491597A" w14:textId="615E854A" w:rsidR="00AA06C9" w:rsidRPr="00FB38E1" w:rsidRDefault="00AA06C9" w:rsidP="00A6628A">
      <w:pPr>
        <w:pStyle w:val="BASLIK2"/>
        <w:widowControl/>
        <w:spacing w:before="0" w:after="60" w:line="240" w:lineRule="exact"/>
        <w:ind w:firstLine="0"/>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b w:val="0"/>
          <w:noProof/>
          <w:snapToGrid w:val="0"/>
          <w:sz w:val="20"/>
          <w:szCs w:val="20"/>
          <w:lang w:val="de-DE"/>
        </w:rPr>
        <w:br w:type="page"/>
      </w:r>
    </w:p>
    <w:tbl>
      <w:tblPr>
        <w:tblStyle w:val="TableGrid"/>
        <w:tblW w:w="9695"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87"/>
        <w:gridCol w:w="894"/>
        <w:gridCol w:w="894"/>
        <w:gridCol w:w="816"/>
        <w:gridCol w:w="894"/>
        <w:gridCol w:w="816"/>
        <w:gridCol w:w="894"/>
      </w:tblGrid>
      <w:tr w:rsidR="00A6628A" w:rsidRPr="00FB38E1" w14:paraId="714285D6" w14:textId="77777777" w:rsidTr="00AA06C9">
        <w:tc>
          <w:tcPr>
            <w:tcW w:w="2314" w:type="pct"/>
            <w:tcBorders>
              <w:top w:val="thinThickSmallGap" w:sz="24" w:space="0" w:color="auto"/>
              <w:bottom w:val="single" w:sz="4" w:space="0" w:color="auto"/>
            </w:tcBorders>
            <w:shd w:val="clear" w:color="auto" w:fill="auto"/>
            <w:vAlign w:val="bottom"/>
          </w:tcPr>
          <w:p w14:paraId="572262A1" w14:textId="77777777" w:rsidR="00A6628A" w:rsidRPr="00FB38E1" w:rsidRDefault="00A6628A" w:rsidP="00836EF2">
            <w:pPr>
              <w:jc w:val="left"/>
              <w:rPr>
                <w:rFonts w:ascii="Microsoft Sans Serif" w:hAnsi="Microsoft Sans Serif" w:cs="Microsoft Sans Serif"/>
                <w:b/>
                <w:color w:val="000000"/>
                <w:sz w:val="14"/>
                <w:szCs w:val="14"/>
              </w:rPr>
            </w:pPr>
            <w:r w:rsidRPr="00FB38E1">
              <w:rPr>
                <w:rFonts w:ascii="Microsoft Sans Serif" w:hAnsi="Microsoft Sans Serif" w:cs="Microsoft Sans Serif"/>
                <w:b/>
                <w:color w:val="000000"/>
                <w:sz w:val="14"/>
                <w:szCs w:val="14"/>
              </w:rPr>
              <w:t>Önceki Dönem</w:t>
            </w:r>
          </w:p>
        </w:tc>
        <w:tc>
          <w:tcPr>
            <w:tcW w:w="461" w:type="pct"/>
            <w:tcBorders>
              <w:top w:val="thinThickSmallGap" w:sz="24" w:space="0" w:color="auto"/>
              <w:bottom w:val="single" w:sz="4" w:space="0" w:color="auto"/>
            </w:tcBorders>
            <w:shd w:val="clear" w:color="auto" w:fill="auto"/>
          </w:tcPr>
          <w:p w14:paraId="5D2E9500"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xml:space="preserve">1 Aya kadar </w:t>
            </w:r>
          </w:p>
        </w:tc>
        <w:tc>
          <w:tcPr>
            <w:tcW w:w="461" w:type="pct"/>
            <w:tcBorders>
              <w:top w:val="thinThickSmallGap" w:sz="24" w:space="0" w:color="auto"/>
              <w:bottom w:val="single" w:sz="4" w:space="0" w:color="auto"/>
            </w:tcBorders>
            <w:shd w:val="clear" w:color="auto" w:fill="auto"/>
            <w:vAlign w:val="bottom"/>
          </w:tcPr>
          <w:p w14:paraId="5F170B06"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 ay</w:t>
            </w:r>
          </w:p>
        </w:tc>
        <w:tc>
          <w:tcPr>
            <w:tcW w:w="421" w:type="pct"/>
            <w:tcBorders>
              <w:top w:val="thinThickSmallGap" w:sz="24" w:space="0" w:color="auto"/>
              <w:bottom w:val="single" w:sz="4" w:space="0" w:color="auto"/>
            </w:tcBorders>
            <w:shd w:val="clear" w:color="auto" w:fill="auto"/>
            <w:vAlign w:val="bottom"/>
          </w:tcPr>
          <w:p w14:paraId="120EBFD9"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3-12 ay</w:t>
            </w:r>
          </w:p>
        </w:tc>
        <w:tc>
          <w:tcPr>
            <w:tcW w:w="461" w:type="pct"/>
            <w:tcBorders>
              <w:top w:val="thinThickSmallGap" w:sz="24" w:space="0" w:color="auto"/>
              <w:bottom w:val="single" w:sz="4" w:space="0" w:color="auto"/>
            </w:tcBorders>
            <w:shd w:val="clear" w:color="auto" w:fill="auto"/>
            <w:vAlign w:val="bottom"/>
          </w:tcPr>
          <w:p w14:paraId="5AE29310"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 yıl</w:t>
            </w:r>
          </w:p>
        </w:tc>
        <w:tc>
          <w:tcPr>
            <w:tcW w:w="421" w:type="pct"/>
            <w:tcBorders>
              <w:top w:val="thinThickSmallGap" w:sz="24" w:space="0" w:color="auto"/>
              <w:bottom w:val="single" w:sz="4" w:space="0" w:color="auto"/>
            </w:tcBorders>
            <w:shd w:val="clear" w:color="auto" w:fill="auto"/>
            <w:vAlign w:val="bottom"/>
          </w:tcPr>
          <w:p w14:paraId="4130C599"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5 yıl ve üzeri</w:t>
            </w:r>
          </w:p>
        </w:tc>
        <w:tc>
          <w:tcPr>
            <w:tcW w:w="461" w:type="pct"/>
            <w:tcBorders>
              <w:top w:val="thinThickSmallGap" w:sz="24" w:space="0" w:color="auto"/>
              <w:bottom w:val="single" w:sz="4" w:space="0" w:color="auto"/>
            </w:tcBorders>
            <w:shd w:val="clear" w:color="auto" w:fill="auto"/>
            <w:vAlign w:val="bottom"/>
          </w:tcPr>
          <w:p w14:paraId="071950EF" w14:textId="77777777" w:rsidR="00A6628A" w:rsidRPr="00FB38E1" w:rsidRDefault="00A6628A" w:rsidP="00836EF2">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Toplam</w:t>
            </w:r>
          </w:p>
        </w:tc>
      </w:tr>
      <w:tr w:rsidR="00A6628A" w:rsidRPr="00FB38E1" w14:paraId="5827D24D" w14:textId="77777777" w:rsidTr="00AA06C9">
        <w:tc>
          <w:tcPr>
            <w:tcW w:w="2314" w:type="pct"/>
            <w:tcBorders>
              <w:top w:val="single" w:sz="4" w:space="0" w:color="auto"/>
              <w:bottom w:val="nil"/>
            </w:tcBorders>
            <w:shd w:val="clear" w:color="auto" w:fill="auto"/>
            <w:vAlign w:val="bottom"/>
          </w:tcPr>
          <w:p w14:paraId="2015589B" w14:textId="77777777" w:rsidR="00A6628A" w:rsidRPr="00FB38E1" w:rsidRDefault="00A6628A" w:rsidP="00836EF2">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Riskten Korunma Amaçlı Türev İşlem Türleri</w:t>
            </w:r>
          </w:p>
        </w:tc>
        <w:tc>
          <w:tcPr>
            <w:tcW w:w="461" w:type="pct"/>
            <w:tcBorders>
              <w:top w:val="nil"/>
              <w:bottom w:val="nil"/>
            </w:tcBorders>
            <w:shd w:val="clear" w:color="auto" w:fill="auto"/>
            <w:vAlign w:val="center"/>
          </w:tcPr>
          <w:p w14:paraId="6DF50181" w14:textId="77777777" w:rsidR="00A6628A" w:rsidRPr="00FB38E1" w:rsidRDefault="00A6628A" w:rsidP="00836EF2"/>
        </w:tc>
        <w:tc>
          <w:tcPr>
            <w:tcW w:w="461" w:type="pct"/>
            <w:tcBorders>
              <w:top w:val="nil"/>
              <w:left w:val="nil"/>
              <w:bottom w:val="nil"/>
              <w:right w:val="nil"/>
            </w:tcBorders>
            <w:shd w:val="clear" w:color="auto" w:fill="auto"/>
            <w:vAlign w:val="center"/>
          </w:tcPr>
          <w:p w14:paraId="6B47B1D7" w14:textId="77777777" w:rsidR="00A6628A" w:rsidRPr="00FB38E1" w:rsidRDefault="00A6628A" w:rsidP="00836EF2">
            <w:pPr>
              <w:jc w:val="right"/>
              <w:rPr>
                <w:sz w:val="20"/>
                <w:szCs w:val="20"/>
              </w:rPr>
            </w:pPr>
          </w:p>
        </w:tc>
        <w:tc>
          <w:tcPr>
            <w:tcW w:w="421" w:type="pct"/>
            <w:tcBorders>
              <w:top w:val="nil"/>
              <w:left w:val="nil"/>
              <w:bottom w:val="nil"/>
              <w:right w:val="nil"/>
            </w:tcBorders>
            <w:shd w:val="clear" w:color="auto" w:fill="auto"/>
            <w:vAlign w:val="center"/>
          </w:tcPr>
          <w:p w14:paraId="387E683D" w14:textId="77777777" w:rsidR="00A6628A" w:rsidRPr="00FB38E1" w:rsidRDefault="00A6628A" w:rsidP="00836EF2">
            <w:pPr>
              <w:jc w:val="right"/>
              <w:rPr>
                <w:sz w:val="20"/>
                <w:szCs w:val="20"/>
              </w:rPr>
            </w:pPr>
          </w:p>
        </w:tc>
        <w:tc>
          <w:tcPr>
            <w:tcW w:w="461" w:type="pct"/>
            <w:tcBorders>
              <w:top w:val="nil"/>
              <w:left w:val="nil"/>
              <w:bottom w:val="nil"/>
              <w:right w:val="nil"/>
            </w:tcBorders>
            <w:shd w:val="clear" w:color="auto" w:fill="auto"/>
            <w:vAlign w:val="center"/>
          </w:tcPr>
          <w:p w14:paraId="6471AB9F" w14:textId="77777777" w:rsidR="00A6628A" w:rsidRPr="00FB38E1" w:rsidRDefault="00A6628A" w:rsidP="00836EF2">
            <w:pPr>
              <w:jc w:val="right"/>
              <w:rPr>
                <w:sz w:val="20"/>
                <w:szCs w:val="20"/>
              </w:rPr>
            </w:pPr>
          </w:p>
        </w:tc>
        <w:tc>
          <w:tcPr>
            <w:tcW w:w="421" w:type="pct"/>
            <w:tcBorders>
              <w:top w:val="single" w:sz="4" w:space="0" w:color="auto"/>
              <w:bottom w:val="nil"/>
            </w:tcBorders>
            <w:shd w:val="clear" w:color="auto" w:fill="auto"/>
            <w:vAlign w:val="center"/>
          </w:tcPr>
          <w:p w14:paraId="77D1ED31" w14:textId="77777777" w:rsidR="00A6628A" w:rsidRPr="00FB38E1" w:rsidRDefault="00A6628A" w:rsidP="00836EF2">
            <w:pPr>
              <w:jc w:val="right"/>
              <w:rPr>
                <w:sz w:val="20"/>
                <w:szCs w:val="20"/>
              </w:rPr>
            </w:pPr>
          </w:p>
        </w:tc>
        <w:tc>
          <w:tcPr>
            <w:tcW w:w="461" w:type="pct"/>
            <w:tcBorders>
              <w:top w:val="single" w:sz="4" w:space="0" w:color="auto"/>
              <w:bottom w:val="nil"/>
            </w:tcBorders>
            <w:shd w:val="clear" w:color="auto" w:fill="auto"/>
            <w:vAlign w:val="center"/>
          </w:tcPr>
          <w:p w14:paraId="4B85695C" w14:textId="77777777" w:rsidR="00A6628A" w:rsidRPr="00FB38E1" w:rsidRDefault="00A6628A" w:rsidP="00836EF2">
            <w:pPr>
              <w:jc w:val="right"/>
              <w:rPr>
                <w:sz w:val="20"/>
                <w:szCs w:val="20"/>
              </w:rPr>
            </w:pPr>
          </w:p>
        </w:tc>
      </w:tr>
      <w:tr w:rsidR="00F14C85" w:rsidRPr="00FB38E1" w14:paraId="6CF3879E" w14:textId="77777777" w:rsidTr="00AA06C9">
        <w:tc>
          <w:tcPr>
            <w:tcW w:w="2314" w:type="pct"/>
            <w:tcBorders>
              <w:top w:val="nil"/>
            </w:tcBorders>
            <w:shd w:val="clear" w:color="auto" w:fill="auto"/>
            <w:tcMar>
              <w:left w:w="57" w:type="dxa"/>
            </w:tcMar>
            <w:vAlign w:val="bottom"/>
          </w:tcPr>
          <w:p w14:paraId="0ABBB2B0" w14:textId="77777777" w:rsidR="00F14C85" w:rsidRPr="00FB38E1" w:rsidRDefault="00F14C85" w:rsidP="00F14C85">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A. Toplam Riskten Korunma Amaçlı Türev İşlemler</w:t>
            </w:r>
          </w:p>
        </w:tc>
        <w:tc>
          <w:tcPr>
            <w:tcW w:w="461" w:type="pct"/>
            <w:tcBorders>
              <w:top w:val="nil"/>
            </w:tcBorders>
            <w:shd w:val="clear" w:color="auto" w:fill="auto"/>
            <w:vAlign w:val="center"/>
          </w:tcPr>
          <w:p w14:paraId="5DC2ADD4" w14:textId="0F753640"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10937815" w14:textId="38E924CF"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21" w:type="pct"/>
            <w:tcBorders>
              <w:top w:val="nil"/>
              <w:left w:val="nil"/>
              <w:bottom w:val="nil"/>
              <w:right w:val="nil"/>
            </w:tcBorders>
            <w:shd w:val="clear" w:color="auto" w:fill="auto"/>
            <w:vAlign w:val="center"/>
          </w:tcPr>
          <w:p w14:paraId="04727DD9" w14:textId="27D09746"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3752947F" w14:textId="4FBB4C6B"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21" w:type="pct"/>
            <w:tcBorders>
              <w:top w:val="nil"/>
            </w:tcBorders>
            <w:shd w:val="clear" w:color="auto" w:fill="auto"/>
            <w:vAlign w:val="center"/>
          </w:tcPr>
          <w:p w14:paraId="76179B7C" w14:textId="52C76483"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tcBorders>
            <w:shd w:val="clear" w:color="auto" w:fill="auto"/>
            <w:vAlign w:val="center"/>
          </w:tcPr>
          <w:p w14:paraId="02B4CB9A" w14:textId="1ADA9A9D"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F14C85" w:rsidRPr="00FB38E1" w14:paraId="56EEFAAF" w14:textId="77777777" w:rsidTr="00AA06C9">
        <w:tc>
          <w:tcPr>
            <w:tcW w:w="2314" w:type="pct"/>
            <w:tcBorders>
              <w:top w:val="nil"/>
            </w:tcBorders>
            <w:shd w:val="clear" w:color="auto" w:fill="auto"/>
            <w:tcMar>
              <w:left w:w="170" w:type="dxa"/>
            </w:tcMar>
            <w:vAlign w:val="bottom"/>
          </w:tcPr>
          <w:p w14:paraId="55A6ACD7"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Gerçeğe Uygun Değer Riskinden Korunma Amaçlı İşlemler</w:t>
            </w:r>
          </w:p>
        </w:tc>
        <w:tc>
          <w:tcPr>
            <w:tcW w:w="461" w:type="pct"/>
            <w:tcBorders>
              <w:top w:val="nil"/>
            </w:tcBorders>
            <w:shd w:val="clear" w:color="auto" w:fill="auto"/>
            <w:vAlign w:val="center"/>
          </w:tcPr>
          <w:p w14:paraId="764188FF" w14:textId="3990545D"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4B31971F" w14:textId="58009C55"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487F5D19" w14:textId="3277BAD3"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92363F1" w14:textId="5A9EC128"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3DBE08EA" w14:textId="18DAFB87"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3E68D638" w14:textId="5174DD46"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14C85" w:rsidRPr="00FB38E1" w14:paraId="35341207" w14:textId="77777777" w:rsidTr="00AA06C9">
        <w:tc>
          <w:tcPr>
            <w:tcW w:w="2314" w:type="pct"/>
            <w:tcBorders>
              <w:top w:val="nil"/>
            </w:tcBorders>
            <w:shd w:val="clear" w:color="auto" w:fill="auto"/>
            <w:tcMar>
              <w:left w:w="170" w:type="dxa"/>
            </w:tcMar>
            <w:vAlign w:val="bottom"/>
          </w:tcPr>
          <w:p w14:paraId="2913EB56"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Nakit Akış Riskinden Korunma Amaçlı İşlemler</w:t>
            </w:r>
          </w:p>
        </w:tc>
        <w:tc>
          <w:tcPr>
            <w:tcW w:w="461" w:type="pct"/>
            <w:tcBorders>
              <w:top w:val="nil"/>
            </w:tcBorders>
            <w:shd w:val="clear" w:color="auto" w:fill="auto"/>
            <w:vAlign w:val="center"/>
          </w:tcPr>
          <w:p w14:paraId="7C37FAF6" w14:textId="0C4E9BB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0AA39C77" w14:textId="64BF4B82"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41B646B0" w14:textId="0FF0F454"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08C2B664" w14:textId="298EAF4F"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30DBD5BF" w14:textId="228B83D0"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7CA3DBCC" w14:textId="5B7B56BB"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14C85" w:rsidRPr="00FB38E1" w14:paraId="05C7C5FB" w14:textId="77777777" w:rsidTr="00AA06C9">
        <w:tc>
          <w:tcPr>
            <w:tcW w:w="2314" w:type="pct"/>
            <w:tcBorders>
              <w:top w:val="nil"/>
            </w:tcBorders>
            <w:shd w:val="clear" w:color="auto" w:fill="auto"/>
            <w:tcMar>
              <w:left w:w="170" w:type="dxa"/>
            </w:tcMar>
            <w:vAlign w:val="bottom"/>
          </w:tcPr>
          <w:p w14:paraId="29A46632"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Yurt dışındaki Net Yatırım Riskinden Korunma Amaçlı İşlemler</w:t>
            </w:r>
          </w:p>
        </w:tc>
        <w:tc>
          <w:tcPr>
            <w:tcW w:w="461" w:type="pct"/>
            <w:tcBorders>
              <w:top w:val="nil"/>
            </w:tcBorders>
            <w:shd w:val="clear" w:color="auto" w:fill="auto"/>
            <w:vAlign w:val="center"/>
          </w:tcPr>
          <w:p w14:paraId="22F142DD" w14:textId="19C4E053"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C9EE2B1" w14:textId="64863C7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166B61F1" w14:textId="6E45499D"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0991286" w14:textId="1399A9F7"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7B686C74" w14:textId="4A9924D7"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70158CCF" w14:textId="26A8A074"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14C85" w:rsidRPr="00FB38E1" w14:paraId="0CE9B8B2" w14:textId="77777777" w:rsidTr="00AA06C9">
        <w:tc>
          <w:tcPr>
            <w:tcW w:w="2314" w:type="pct"/>
            <w:tcBorders>
              <w:top w:val="nil"/>
            </w:tcBorders>
            <w:shd w:val="clear" w:color="auto" w:fill="auto"/>
            <w:tcMar>
              <w:left w:w="57" w:type="dxa"/>
            </w:tcMar>
            <w:vAlign w:val="bottom"/>
          </w:tcPr>
          <w:p w14:paraId="5C02ED7F" w14:textId="77777777" w:rsidR="00F14C85" w:rsidRPr="00FB38E1" w:rsidRDefault="00F14C85" w:rsidP="00F14C85">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Alım Satım Amaçlı Türev İşlemler</w:t>
            </w:r>
          </w:p>
        </w:tc>
        <w:tc>
          <w:tcPr>
            <w:tcW w:w="461" w:type="pct"/>
            <w:tcBorders>
              <w:top w:val="nil"/>
            </w:tcBorders>
            <w:shd w:val="clear" w:color="auto" w:fill="auto"/>
            <w:vAlign w:val="center"/>
          </w:tcPr>
          <w:p w14:paraId="775E0DA1" w14:textId="27732084"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1" w:type="pct"/>
            <w:tcBorders>
              <w:top w:val="nil"/>
              <w:left w:val="nil"/>
              <w:bottom w:val="nil"/>
              <w:right w:val="nil"/>
            </w:tcBorders>
            <w:shd w:val="clear" w:color="auto" w:fill="auto"/>
            <w:vAlign w:val="center"/>
          </w:tcPr>
          <w:p w14:paraId="6E3DDA4A" w14:textId="24A8292A"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21" w:type="pct"/>
            <w:tcBorders>
              <w:top w:val="nil"/>
              <w:left w:val="nil"/>
              <w:bottom w:val="nil"/>
              <w:right w:val="nil"/>
            </w:tcBorders>
            <w:shd w:val="clear" w:color="auto" w:fill="auto"/>
            <w:vAlign w:val="center"/>
          </w:tcPr>
          <w:p w14:paraId="55EC2C03" w14:textId="49696573"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1" w:type="pct"/>
            <w:tcBorders>
              <w:top w:val="nil"/>
              <w:left w:val="nil"/>
              <w:bottom w:val="nil"/>
              <w:right w:val="nil"/>
            </w:tcBorders>
            <w:shd w:val="clear" w:color="auto" w:fill="auto"/>
            <w:vAlign w:val="center"/>
          </w:tcPr>
          <w:p w14:paraId="606154EA" w14:textId="3B11269B"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21" w:type="pct"/>
            <w:tcBorders>
              <w:top w:val="nil"/>
            </w:tcBorders>
            <w:shd w:val="clear" w:color="auto" w:fill="auto"/>
            <w:vAlign w:val="center"/>
          </w:tcPr>
          <w:p w14:paraId="11038F72" w14:textId="337736D3"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c>
          <w:tcPr>
            <w:tcW w:w="461" w:type="pct"/>
            <w:tcBorders>
              <w:top w:val="nil"/>
            </w:tcBorders>
            <w:shd w:val="clear" w:color="auto" w:fill="auto"/>
            <w:vAlign w:val="center"/>
          </w:tcPr>
          <w:p w14:paraId="50A2B43F" w14:textId="0274D0FE"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14C85" w:rsidRPr="00FB38E1" w14:paraId="36288053" w14:textId="77777777" w:rsidTr="00AA06C9">
        <w:tc>
          <w:tcPr>
            <w:tcW w:w="2314" w:type="pct"/>
            <w:tcBorders>
              <w:top w:val="nil"/>
            </w:tcBorders>
            <w:shd w:val="clear" w:color="auto" w:fill="auto"/>
            <w:tcMar>
              <w:left w:w="57" w:type="dxa"/>
            </w:tcMar>
            <w:vAlign w:val="bottom"/>
          </w:tcPr>
          <w:p w14:paraId="7D5F360A" w14:textId="77777777" w:rsidR="00F14C85" w:rsidRPr="00FB38E1" w:rsidRDefault="00F14C85" w:rsidP="00F14C85">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Döviz ile İlgili Türev İşlemler (I)</w:t>
            </w:r>
          </w:p>
        </w:tc>
        <w:tc>
          <w:tcPr>
            <w:tcW w:w="461" w:type="pct"/>
            <w:tcBorders>
              <w:top w:val="nil"/>
            </w:tcBorders>
            <w:shd w:val="clear" w:color="auto" w:fill="auto"/>
            <w:vAlign w:val="center"/>
          </w:tcPr>
          <w:p w14:paraId="48A9125F" w14:textId="49CDEE9A"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241.834.331</w:t>
            </w:r>
          </w:p>
        </w:tc>
        <w:tc>
          <w:tcPr>
            <w:tcW w:w="461" w:type="pct"/>
            <w:tcBorders>
              <w:top w:val="nil"/>
              <w:left w:val="nil"/>
              <w:bottom w:val="nil"/>
              <w:right w:val="nil"/>
            </w:tcBorders>
            <w:shd w:val="clear" w:color="auto" w:fill="auto"/>
            <w:vAlign w:val="center"/>
          </w:tcPr>
          <w:p w14:paraId="1932A05A" w14:textId="57A40085"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135.383.191</w:t>
            </w:r>
          </w:p>
        </w:tc>
        <w:tc>
          <w:tcPr>
            <w:tcW w:w="421" w:type="pct"/>
            <w:tcBorders>
              <w:top w:val="nil"/>
              <w:left w:val="nil"/>
              <w:bottom w:val="nil"/>
              <w:right w:val="nil"/>
            </w:tcBorders>
            <w:shd w:val="clear" w:color="auto" w:fill="auto"/>
            <w:vAlign w:val="center"/>
          </w:tcPr>
          <w:p w14:paraId="463E6E5E" w14:textId="3AFBCF56"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72.203.500</w:t>
            </w:r>
          </w:p>
        </w:tc>
        <w:tc>
          <w:tcPr>
            <w:tcW w:w="461" w:type="pct"/>
            <w:tcBorders>
              <w:top w:val="nil"/>
              <w:left w:val="nil"/>
              <w:bottom w:val="nil"/>
              <w:right w:val="nil"/>
            </w:tcBorders>
            <w:shd w:val="clear" w:color="auto" w:fill="auto"/>
            <w:vAlign w:val="center"/>
          </w:tcPr>
          <w:p w14:paraId="641CE589" w14:textId="6E3F6474"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442.984</w:t>
            </w:r>
          </w:p>
        </w:tc>
        <w:tc>
          <w:tcPr>
            <w:tcW w:w="421" w:type="pct"/>
            <w:tcBorders>
              <w:top w:val="nil"/>
            </w:tcBorders>
            <w:shd w:val="clear" w:color="auto" w:fill="auto"/>
            <w:vAlign w:val="center"/>
          </w:tcPr>
          <w:p w14:paraId="439EAD5C" w14:textId="6E21388B"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tcBorders>
            <w:shd w:val="clear" w:color="auto" w:fill="auto"/>
            <w:vAlign w:val="center"/>
          </w:tcPr>
          <w:p w14:paraId="396D6E2D" w14:textId="4128CE6E"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449.864.006</w:t>
            </w:r>
          </w:p>
        </w:tc>
      </w:tr>
      <w:tr w:rsidR="00F14C85" w:rsidRPr="00FB38E1" w14:paraId="5912A003" w14:textId="77777777" w:rsidTr="00AA06C9">
        <w:tc>
          <w:tcPr>
            <w:tcW w:w="2314" w:type="pct"/>
            <w:tcBorders>
              <w:top w:val="nil"/>
            </w:tcBorders>
            <w:shd w:val="clear" w:color="auto" w:fill="auto"/>
            <w:tcMar>
              <w:left w:w="170" w:type="dxa"/>
            </w:tcMar>
            <w:vAlign w:val="bottom"/>
          </w:tcPr>
          <w:p w14:paraId="4ACFD109"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Vadeli Döviz Alım İşlemleri</w:t>
            </w:r>
          </w:p>
        </w:tc>
        <w:tc>
          <w:tcPr>
            <w:tcW w:w="461" w:type="pct"/>
            <w:tcBorders>
              <w:top w:val="nil"/>
            </w:tcBorders>
            <w:shd w:val="clear" w:color="auto" w:fill="auto"/>
            <w:vAlign w:val="center"/>
          </w:tcPr>
          <w:p w14:paraId="21931ACA" w14:textId="4871E196"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10.947.743</w:t>
            </w:r>
          </w:p>
        </w:tc>
        <w:tc>
          <w:tcPr>
            <w:tcW w:w="461" w:type="pct"/>
            <w:tcBorders>
              <w:top w:val="nil"/>
              <w:left w:val="nil"/>
              <w:bottom w:val="nil"/>
              <w:right w:val="nil"/>
            </w:tcBorders>
            <w:shd w:val="clear" w:color="auto" w:fill="auto"/>
            <w:vAlign w:val="center"/>
          </w:tcPr>
          <w:p w14:paraId="23778D07" w14:textId="0A9A0849"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11.494.472</w:t>
            </w:r>
          </w:p>
        </w:tc>
        <w:tc>
          <w:tcPr>
            <w:tcW w:w="421" w:type="pct"/>
            <w:tcBorders>
              <w:top w:val="nil"/>
              <w:left w:val="nil"/>
              <w:bottom w:val="nil"/>
              <w:right w:val="nil"/>
            </w:tcBorders>
            <w:shd w:val="clear" w:color="auto" w:fill="auto"/>
            <w:vAlign w:val="center"/>
          </w:tcPr>
          <w:p w14:paraId="3C6A109F" w14:textId="77B9A878"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18.280.828</w:t>
            </w:r>
          </w:p>
        </w:tc>
        <w:tc>
          <w:tcPr>
            <w:tcW w:w="461" w:type="pct"/>
            <w:tcBorders>
              <w:top w:val="nil"/>
              <w:left w:val="nil"/>
              <w:bottom w:val="nil"/>
              <w:right w:val="nil"/>
            </w:tcBorders>
            <w:shd w:val="clear" w:color="auto" w:fill="auto"/>
            <w:vAlign w:val="center"/>
          </w:tcPr>
          <w:p w14:paraId="4C0C7DC0" w14:textId="78395DC1"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102.120</w:t>
            </w:r>
          </w:p>
        </w:tc>
        <w:tc>
          <w:tcPr>
            <w:tcW w:w="421" w:type="pct"/>
            <w:tcBorders>
              <w:top w:val="nil"/>
            </w:tcBorders>
            <w:shd w:val="clear" w:color="auto" w:fill="auto"/>
            <w:vAlign w:val="center"/>
          </w:tcPr>
          <w:p w14:paraId="16410E5D" w14:textId="50F27A12"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58D0B091" w14:textId="579B19CC"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40.825.163</w:t>
            </w:r>
          </w:p>
        </w:tc>
      </w:tr>
      <w:tr w:rsidR="00F14C85" w:rsidRPr="00FB38E1" w14:paraId="70BE9664" w14:textId="77777777" w:rsidTr="00AA06C9">
        <w:tc>
          <w:tcPr>
            <w:tcW w:w="2314" w:type="pct"/>
            <w:tcBorders>
              <w:top w:val="nil"/>
            </w:tcBorders>
            <w:shd w:val="clear" w:color="auto" w:fill="auto"/>
            <w:tcMar>
              <w:left w:w="170" w:type="dxa"/>
            </w:tcMar>
            <w:vAlign w:val="bottom"/>
          </w:tcPr>
          <w:p w14:paraId="3A917E2A"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Vadeli Döviz Satım İşlemleri</w:t>
            </w:r>
          </w:p>
        </w:tc>
        <w:tc>
          <w:tcPr>
            <w:tcW w:w="461" w:type="pct"/>
            <w:tcBorders>
              <w:top w:val="nil"/>
            </w:tcBorders>
            <w:shd w:val="clear" w:color="auto" w:fill="auto"/>
            <w:vAlign w:val="center"/>
          </w:tcPr>
          <w:p w14:paraId="7AA1DA62" w14:textId="5D8AA21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9.687.336</w:t>
            </w:r>
          </w:p>
        </w:tc>
        <w:tc>
          <w:tcPr>
            <w:tcW w:w="461" w:type="pct"/>
            <w:tcBorders>
              <w:top w:val="nil"/>
              <w:left w:val="nil"/>
              <w:bottom w:val="nil"/>
              <w:right w:val="nil"/>
            </w:tcBorders>
            <w:shd w:val="clear" w:color="auto" w:fill="auto"/>
            <w:vAlign w:val="center"/>
          </w:tcPr>
          <w:p w14:paraId="2E43EC98" w14:textId="23A1B9EF"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11.064.476</w:t>
            </w:r>
          </w:p>
        </w:tc>
        <w:tc>
          <w:tcPr>
            <w:tcW w:w="421" w:type="pct"/>
            <w:tcBorders>
              <w:top w:val="nil"/>
              <w:left w:val="nil"/>
              <w:bottom w:val="nil"/>
              <w:right w:val="nil"/>
            </w:tcBorders>
            <w:shd w:val="clear" w:color="auto" w:fill="auto"/>
            <w:vAlign w:val="center"/>
          </w:tcPr>
          <w:p w14:paraId="7ED85AF5" w14:textId="17F63898"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16.238.076</w:t>
            </w:r>
          </w:p>
        </w:tc>
        <w:tc>
          <w:tcPr>
            <w:tcW w:w="461" w:type="pct"/>
            <w:tcBorders>
              <w:top w:val="nil"/>
              <w:left w:val="nil"/>
              <w:bottom w:val="nil"/>
              <w:right w:val="nil"/>
            </w:tcBorders>
            <w:shd w:val="clear" w:color="auto" w:fill="auto"/>
            <w:vAlign w:val="center"/>
          </w:tcPr>
          <w:p w14:paraId="4D265DBE" w14:textId="1ADC47D2"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70.652</w:t>
            </w:r>
          </w:p>
        </w:tc>
        <w:tc>
          <w:tcPr>
            <w:tcW w:w="421" w:type="pct"/>
            <w:tcBorders>
              <w:top w:val="nil"/>
            </w:tcBorders>
            <w:shd w:val="clear" w:color="auto" w:fill="auto"/>
            <w:vAlign w:val="center"/>
          </w:tcPr>
          <w:p w14:paraId="53E71BDD" w14:textId="3C2CA9E3"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6424BEF5" w14:textId="406FC76B"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37.060.540</w:t>
            </w:r>
          </w:p>
        </w:tc>
      </w:tr>
      <w:tr w:rsidR="00F14C85" w:rsidRPr="00FB38E1" w14:paraId="2C187F7C" w14:textId="77777777" w:rsidTr="00AA06C9">
        <w:tc>
          <w:tcPr>
            <w:tcW w:w="2314" w:type="pct"/>
            <w:tcBorders>
              <w:top w:val="nil"/>
            </w:tcBorders>
            <w:shd w:val="clear" w:color="auto" w:fill="auto"/>
            <w:tcMar>
              <w:left w:w="170" w:type="dxa"/>
            </w:tcMar>
            <w:vAlign w:val="bottom"/>
          </w:tcPr>
          <w:p w14:paraId="5A9C6EEA"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Swap Para Alım İşlemleri</w:t>
            </w:r>
          </w:p>
        </w:tc>
        <w:tc>
          <w:tcPr>
            <w:tcW w:w="461" w:type="pct"/>
            <w:tcBorders>
              <w:top w:val="nil"/>
            </w:tcBorders>
            <w:shd w:val="clear" w:color="auto" w:fill="auto"/>
            <w:vAlign w:val="center"/>
          </w:tcPr>
          <w:p w14:paraId="3E57F920" w14:textId="570E17B3"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98.946.137</w:t>
            </w:r>
          </w:p>
        </w:tc>
        <w:tc>
          <w:tcPr>
            <w:tcW w:w="461" w:type="pct"/>
            <w:tcBorders>
              <w:top w:val="nil"/>
              <w:left w:val="nil"/>
              <w:bottom w:val="nil"/>
              <w:right w:val="nil"/>
            </w:tcBorders>
            <w:shd w:val="clear" w:color="auto" w:fill="auto"/>
            <w:vAlign w:val="center"/>
          </w:tcPr>
          <w:p w14:paraId="4FFD0C9A" w14:textId="4705177E"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46.411.298</w:t>
            </w:r>
          </w:p>
        </w:tc>
        <w:tc>
          <w:tcPr>
            <w:tcW w:w="421" w:type="pct"/>
            <w:tcBorders>
              <w:top w:val="nil"/>
              <w:left w:val="nil"/>
              <w:bottom w:val="nil"/>
              <w:right w:val="nil"/>
            </w:tcBorders>
            <w:shd w:val="clear" w:color="auto" w:fill="auto"/>
            <w:vAlign w:val="center"/>
          </w:tcPr>
          <w:p w14:paraId="39D950D4" w14:textId="5864A258"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10.902.864</w:t>
            </w:r>
          </w:p>
        </w:tc>
        <w:tc>
          <w:tcPr>
            <w:tcW w:w="461" w:type="pct"/>
            <w:tcBorders>
              <w:top w:val="nil"/>
              <w:left w:val="nil"/>
              <w:bottom w:val="nil"/>
              <w:right w:val="nil"/>
            </w:tcBorders>
            <w:shd w:val="clear" w:color="auto" w:fill="auto"/>
            <w:vAlign w:val="center"/>
          </w:tcPr>
          <w:p w14:paraId="60FEA988" w14:textId="655A226A"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24BAC26A" w14:textId="3A75AAC6"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2BC12796" w14:textId="6308B034"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156.260.299</w:t>
            </w:r>
          </w:p>
        </w:tc>
      </w:tr>
      <w:tr w:rsidR="00F14C85" w:rsidRPr="00FB38E1" w14:paraId="15295C7B" w14:textId="77777777" w:rsidTr="00AA06C9">
        <w:tc>
          <w:tcPr>
            <w:tcW w:w="2314" w:type="pct"/>
            <w:tcBorders>
              <w:top w:val="nil"/>
            </w:tcBorders>
            <w:shd w:val="clear" w:color="auto" w:fill="auto"/>
            <w:tcMar>
              <w:left w:w="170" w:type="dxa"/>
            </w:tcMar>
            <w:vAlign w:val="bottom"/>
          </w:tcPr>
          <w:p w14:paraId="42DF714B"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Swap Para Satım İşlemleri</w:t>
            </w:r>
          </w:p>
        </w:tc>
        <w:tc>
          <w:tcPr>
            <w:tcW w:w="461" w:type="pct"/>
            <w:tcBorders>
              <w:top w:val="nil"/>
            </w:tcBorders>
            <w:shd w:val="clear" w:color="auto" w:fill="auto"/>
            <w:vAlign w:val="center"/>
          </w:tcPr>
          <w:p w14:paraId="110A1B66" w14:textId="0126B48E"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113.306.424</w:t>
            </w:r>
          </w:p>
        </w:tc>
        <w:tc>
          <w:tcPr>
            <w:tcW w:w="461" w:type="pct"/>
            <w:tcBorders>
              <w:top w:val="nil"/>
              <w:left w:val="nil"/>
              <w:bottom w:val="nil"/>
              <w:right w:val="nil"/>
            </w:tcBorders>
            <w:shd w:val="clear" w:color="auto" w:fill="auto"/>
            <w:vAlign w:val="center"/>
          </w:tcPr>
          <w:p w14:paraId="4BC9C0AA" w14:textId="4555D87D"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48.343.404</w:t>
            </w:r>
          </w:p>
        </w:tc>
        <w:tc>
          <w:tcPr>
            <w:tcW w:w="421" w:type="pct"/>
            <w:tcBorders>
              <w:top w:val="nil"/>
              <w:left w:val="nil"/>
              <w:bottom w:val="nil"/>
              <w:right w:val="nil"/>
            </w:tcBorders>
            <w:shd w:val="clear" w:color="auto" w:fill="auto"/>
            <w:vAlign w:val="center"/>
          </w:tcPr>
          <w:p w14:paraId="15F124D5" w14:textId="1FBFB416"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10.373.472</w:t>
            </w:r>
          </w:p>
        </w:tc>
        <w:tc>
          <w:tcPr>
            <w:tcW w:w="461" w:type="pct"/>
            <w:tcBorders>
              <w:top w:val="nil"/>
              <w:left w:val="nil"/>
              <w:bottom w:val="nil"/>
              <w:right w:val="nil"/>
            </w:tcBorders>
            <w:shd w:val="clear" w:color="auto" w:fill="auto"/>
            <w:vAlign w:val="center"/>
          </w:tcPr>
          <w:p w14:paraId="5F1EC882" w14:textId="1408038D"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3AFF07DB" w14:textId="5C54303E"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64DD3439" w14:textId="33604A6E"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172.023.300</w:t>
            </w:r>
          </w:p>
        </w:tc>
      </w:tr>
      <w:tr w:rsidR="00F14C85" w:rsidRPr="00FB38E1" w14:paraId="57D08DAD" w14:textId="77777777" w:rsidTr="00AA06C9">
        <w:tc>
          <w:tcPr>
            <w:tcW w:w="2314" w:type="pct"/>
            <w:tcBorders>
              <w:top w:val="nil"/>
            </w:tcBorders>
            <w:shd w:val="clear" w:color="auto" w:fill="auto"/>
            <w:tcMar>
              <w:left w:w="170" w:type="dxa"/>
            </w:tcMar>
            <w:vAlign w:val="bottom"/>
          </w:tcPr>
          <w:p w14:paraId="6ECD9221"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Alım Opsiyonları</w:t>
            </w:r>
          </w:p>
        </w:tc>
        <w:tc>
          <w:tcPr>
            <w:tcW w:w="461" w:type="pct"/>
            <w:tcBorders>
              <w:top w:val="nil"/>
            </w:tcBorders>
            <w:shd w:val="clear" w:color="auto" w:fill="auto"/>
            <w:vAlign w:val="center"/>
          </w:tcPr>
          <w:p w14:paraId="5F6BE5B6" w14:textId="700443CB"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4.292.177</w:t>
            </w:r>
          </w:p>
        </w:tc>
        <w:tc>
          <w:tcPr>
            <w:tcW w:w="461" w:type="pct"/>
            <w:tcBorders>
              <w:top w:val="nil"/>
              <w:left w:val="nil"/>
              <w:bottom w:val="nil"/>
              <w:right w:val="nil"/>
            </w:tcBorders>
            <w:shd w:val="clear" w:color="auto" w:fill="auto"/>
            <w:vAlign w:val="center"/>
          </w:tcPr>
          <w:p w14:paraId="49585C58" w14:textId="7E7B3A8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8.741.890</w:t>
            </w:r>
          </w:p>
        </w:tc>
        <w:tc>
          <w:tcPr>
            <w:tcW w:w="421" w:type="pct"/>
            <w:tcBorders>
              <w:top w:val="nil"/>
              <w:left w:val="nil"/>
              <w:bottom w:val="nil"/>
              <w:right w:val="nil"/>
            </w:tcBorders>
            <w:shd w:val="clear" w:color="auto" w:fill="auto"/>
            <w:vAlign w:val="center"/>
          </w:tcPr>
          <w:p w14:paraId="5DDB8504" w14:textId="0CBB18EA"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7.953.989</w:t>
            </w:r>
          </w:p>
        </w:tc>
        <w:tc>
          <w:tcPr>
            <w:tcW w:w="461" w:type="pct"/>
            <w:tcBorders>
              <w:top w:val="nil"/>
              <w:left w:val="nil"/>
              <w:bottom w:val="nil"/>
              <w:right w:val="nil"/>
            </w:tcBorders>
            <w:shd w:val="clear" w:color="auto" w:fill="auto"/>
            <w:vAlign w:val="center"/>
          </w:tcPr>
          <w:p w14:paraId="498ADD9E" w14:textId="1860A78B"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160.808</w:t>
            </w:r>
          </w:p>
        </w:tc>
        <w:tc>
          <w:tcPr>
            <w:tcW w:w="421" w:type="pct"/>
            <w:tcBorders>
              <w:top w:val="nil"/>
            </w:tcBorders>
            <w:shd w:val="clear" w:color="auto" w:fill="auto"/>
            <w:vAlign w:val="center"/>
          </w:tcPr>
          <w:p w14:paraId="6F64D734" w14:textId="0A3924E2"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0AA0D9CF" w14:textId="75D71E04"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21.148.864</w:t>
            </w:r>
          </w:p>
        </w:tc>
      </w:tr>
      <w:tr w:rsidR="00F14C85" w:rsidRPr="00FB38E1" w14:paraId="0A9262E5" w14:textId="77777777" w:rsidTr="00AA06C9">
        <w:tc>
          <w:tcPr>
            <w:tcW w:w="2314" w:type="pct"/>
            <w:tcBorders>
              <w:top w:val="nil"/>
            </w:tcBorders>
            <w:shd w:val="clear" w:color="auto" w:fill="auto"/>
            <w:tcMar>
              <w:left w:w="170" w:type="dxa"/>
            </w:tcMar>
            <w:vAlign w:val="bottom"/>
          </w:tcPr>
          <w:p w14:paraId="76D7F784"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Para Satım Opsiyonları</w:t>
            </w:r>
          </w:p>
        </w:tc>
        <w:tc>
          <w:tcPr>
            <w:tcW w:w="461" w:type="pct"/>
            <w:tcBorders>
              <w:top w:val="nil"/>
            </w:tcBorders>
            <w:shd w:val="clear" w:color="auto" w:fill="auto"/>
            <w:vAlign w:val="center"/>
          </w:tcPr>
          <w:p w14:paraId="563F82B4" w14:textId="28A33234"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4.654.514</w:t>
            </w:r>
          </w:p>
        </w:tc>
        <w:tc>
          <w:tcPr>
            <w:tcW w:w="461" w:type="pct"/>
            <w:tcBorders>
              <w:top w:val="nil"/>
              <w:left w:val="nil"/>
              <w:bottom w:val="nil"/>
              <w:right w:val="nil"/>
            </w:tcBorders>
            <w:shd w:val="clear" w:color="auto" w:fill="auto"/>
            <w:vAlign w:val="center"/>
          </w:tcPr>
          <w:p w14:paraId="5D86280D" w14:textId="2FDC7DD8"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9.327.651</w:t>
            </w:r>
          </w:p>
        </w:tc>
        <w:tc>
          <w:tcPr>
            <w:tcW w:w="421" w:type="pct"/>
            <w:tcBorders>
              <w:top w:val="nil"/>
              <w:left w:val="nil"/>
              <w:bottom w:val="nil"/>
              <w:right w:val="nil"/>
            </w:tcBorders>
            <w:shd w:val="clear" w:color="auto" w:fill="auto"/>
            <w:vAlign w:val="center"/>
          </w:tcPr>
          <w:p w14:paraId="7EBB73CE" w14:textId="5090819F"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8.163.555</w:t>
            </w:r>
          </w:p>
        </w:tc>
        <w:tc>
          <w:tcPr>
            <w:tcW w:w="461" w:type="pct"/>
            <w:tcBorders>
              <w:top w:val="nil"/>
              <w:left w:val="nil"/>
              <w:bottom w:val="nil"/>
              <w:right w:val="nil"/>
            </w:tcBorders>
            <w:shd w:val="clear" w:color="auto" w:fill="auto"/>
            <w:vAlign w:val="center"/>
          </w:tcPr>
          <w:p w14:paraId="7856940D" w14:textId="181C3007"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109.404</w:t>
            </w:r>
          </w:p>
        </w:tc>
        <w:tc>
          <w:tcPr>
            <w:tcW w:w="421" w:type="pct"/>
            <w:tcBorders>
              <w:top w:val="nil"/>
            </w:tcBorders>
            <w:shd w:val="clear" w:color="auto" w:fill="auto"/>
            <w:vAlign w:val="center"/>
          </w:tcPr>
          <w:p w14:paraId="2C7ABE6B" w14:textId="06F2E36F"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7BE7E6E9" w14:textId="706F60A7"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22.255.124</w:t>
            </w:r>
          </w:p>
        </w:tc>
      </w:tr>
      <w:tr w:rsidR="00F14C85" w:rsidRPr="00FB38E1" w14:paraId="30B74780" w14:textId="77777777" w:rsidTr="00AA06C9">
        <w:tc>
          <w:tcPr>
            <w:tcW w:w="2314" w:type="pct"/>
            <w:tcBorders>
              <w:top w:val="nil"/>
            </w:tcBorders>
            <w:shd w:val="clear" w:color="auto" w:fill="auto"/>
            <w:tcMar>
              <w:left w:w="170" w:type="dxa"/>
            </w:tcMar>
            <w:vAlign w:val="bottom"/>
          </w:tcPr>
          <w:p w14:paraId="2CE8B48C"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Futures Para Alım İşlemleri</w:t>
            </w:r>
          </w:p>
        </w:tc>
        <w:tc>
          <w:tcPr>
            <w:tcW w:w="461" w:type="pct"/>
            <w:tcBorders>
              <w:top w:val="nil"/>
            </w:tcBorders>
            <w:shd w:val="clear" w:color="auto" w:fill="auto"/>
            <w:vAlign w:val="center"/>
          </w:tcPr>
          <w:p w14:paraId="76633207" w14:textId="3E432A0A"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56832835" w14:textId="5C2466D7"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00AA683A" w14:textId="7D5A142F"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169.696</w:t>
            </w:r>
          </w:p>
        </w:tc>
        <w:tc>
          <w:tcPr>
            <w:tcW w:w="461" w:type="pct"/>
            <w:tcBorders>
              <w:top w:val="nil"/>
              <w:left w:val="nil"/>
              <w:bottom w:val="nil"/>
              <w:right w:val="nil"/>
            </w:tcBorders>
            <w:shd w:val="clear" w:color="auto" w:fill="auto"/>
            <w:vAlign w:val="center"/>
          </w:tcPr>
          <w:p w14:paraId="246D2CEC" w14:textId="456D924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0B6127E4" w14:textId="60088CC0"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2943FFC1" w14:textId="55D64903"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169.696</w:t>
            </w:r>
          </w:p>
        </w:tc>
      </w:tr>
      <w:tr w:rsidR="00F14C85" w:rsidRPr="00FB38E1" w14:paraId="4C50B3BE" w14:textId="77777777" w:rsidTr="00AA06C9">
        <w:tc>
          <w:tcPr>
            <w:tcW w:w="2314" w:type="pct"/>
            <w:tcBorders>
              <w:top w:val="nil"/>
            </w:tcBorders>
            <w:shd w:val="clear" w:color="auto" w:fill="auto"/>
            <w:tcMar>
              <w:left w:w="170" w:type="dxa"/>
            </w:tcMar>
            <w:vAlign w:val="bottom"/>
          </w:tcPr>
          <w:p w14:paraId="023EB410"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Futures Para Satım İşlemleri</w:t>
            </w:r>
          </w:p>
        </w:tc>
        <w:tc>
          <w:tcPr>
            <w:tcW w:w="461" w:type="pct"/>
            <w:tcBorders>
              <w:top w:val="nil"/>
            </w:tcBorders>
            <w:shd w:val="clear" w:color="auto" w:fill="auto"/>
            <w:vAlign w:val="center"/>
          </w:tcPr>
          <w:p w14:paraId="3A8E6846" w14:textId="78B38628"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044305D6" w14:textId="08DF79EA"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1A439E9D" w14:textId="505C1930"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121.020</w:t>
            </w:r>
          </w:p>
        </w:tc>
        <w:tc>
          <w:tcPr>
            <w:tcW w:w="461" w:type="pct"/>
            <w:tcBorders>
              <w:top w:val="nil"/>
              <w:left w:val="nil"/>
              <w:bottom w:val="nil"/>
              <w:right w:val="nil"/>
            </w:tcBorders>
            <w:shd w:val="clear" w:color="auto" w:fill="auto"/>
            <w:vAlign w:val="center"/>
          </w:tcPr>
          <w:p w14:paraId="2F28A588" w14:textId="2A896F8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45632A99" w14:textId="29C4CFB3"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08660168" w14:textId="656D99D6"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121.020</w:t>
            </w:r>
          </w:p>
        </w:tc>
      </w:tr>
      <w:tr w:rsidR="00F14C85" w:rsidRPr="00FB38E1" w14:paraId="654E978A" w14:textId="77777777" w:rsidTr="00AA06C9">
        <w:tc>
          <w:tcPr>
            <w:tcW w:w="2314" w:type="pct"/>
            <w:tcBorders>
              <w:top w:val="nil"/>
            </w:tcBorders>
            <w:shd w:val="clear" w:color="auto" w:fill="auto"/>
            <w:tcMar>
              <w:left w:w="57" w:type="dxa"/>
            </w:tcMar>
            <w:vAlign w:val="bottom"/>
          </w:tcPr>
          <w:p w14:paraId="4F0C6C5F" w14:textId="77777777" w:rsidR="00F14C85" w:rsidRPr="00FB38E1" w:rsidRDefault="00F14C85" w:rsidP="00F14C85">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Faiz ile İlgili Türev İşlemler (II)</w:t>
            </w:r>
          </w:p>
        </w:tc>
        <w:tc>
          <w:tcPr>
            <w:tcW w:w="461" w:type="pct"/>
            <w:tcBorders>
              <w:top w:val="nil"/>
            </w:tcBorders>
            <w:shd w:val="clear" w:color="auto" w:fill="auto"/>
            <w:vAlign w:val="center"/>
          </w:tcPr>
          <w:p w14:paraId="2AA64504" w14:textId="5BC589DD"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left w:val="nil"/>
              <w:bottom w:val="nil"/>
              <w:right w:val="nil"/>
            </w:tcBorders>
            <w:shd w:val="clear" w:color="auto" w:fill="auto"/>
            <w:vAlign w:val="center"/>
          </w:tcPr>
          <w:p w14:paraId="47B26F63" w14:textId="6D55D24E"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21" w:type="pct"/>
            <w:tcBorders>
              <w:top w:val="nil"/>
              <w:left w:val="nil"/>
              <w:bottom w:val="nil"/>
              <w:right w:val="nil"/>
            </w:tcBorders>
            <w:shd w:val="clear" w:color="auto" w:fill="auto"/>
            <w:vAlign w:val="center"/>
          </w:tcPr>
          <w:p w14:paraId="23680700" w14:textId="7E85DECF"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2.350.002</w:t>
            </w:r>
          </w:p>
        </w:tc>
        <w:tc>
          <w:tcPr>
            <w:tcW w:w="461" w:type="pct"/>
            <w:tcBorders>
              <w:top w:val="nil"/>
              <w:left w:val="nil"/>
              <w:bottom w:val="nil"/>
              <w:right w:val="nil"/>
            </w:tcBorders>
            <w:shd w:val="clear" w:color="auto" w:fill="auto"/>
            <w:vAlign w:val="center"/>
          </w:tcPr>
          <w:p w14:paraId="68E16343" w14:textId="5058060F"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100.008.171</w:t>
            </w:r>
          </w:p>
        </w:tc>
        <w:tc>
          <w:tcPr>
            <w:tcW w:w="421" w:type="pct"/>
            <w:tcBorders>
              <w:top w:val="nil"/>
            </w:tcBorders>
            <w:shd w:val="clear" w:color="auto" w:fill="auto"/>
            <w:vAlign w:val="center"/>
          </w:tcPr>
          <w:p w14:paraId="29AA007F" w14:textId="39E8A724"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60.378.599</w:t>
            </w:r>
          </w:p>
        </w:tc>
        <w:tc>
          <w:tcPr>
            <w:tcW w:w="461" w:type="pct"/>
            <w:tcBorders>
              <w:top w:val="nil"/>
            </w:tcBorders>
            <w:shd w:val="clear" w:color="auto" w:fill="auto"/>
            <w:vAlign w:val="center"/>
          </w:tcPr>
          <w:p w14:paraId="79E1C4FA" w14:textId="781D8382"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162.736.772</w:t>
            </w:r>
          </w:p>
        </w:tc>
      </w:tr>
      <w:tr w:rsidR="00F14C85" w:rsidRPr="00FB38E1" w14:paraId="409DACB0" w14:textId="77777777" w:rsidTr="00AA06C9">
        <w:tc>
          <w:tcPr>
            <w:tcW w:w="2314" w:type="pct"/>
            <w:tcBorders>
              <w:top w:val="nil"/>
            </w:tcBorders>
            <w:shd w:val="clear" w:color="auto" w:fill="auto"/>
            <w:tcMar>
              <w:left w:w="170" w:type="dxa"/>
            </w:tcMar>
            <w:vAlign w:val="bottom"/>
          </w:tcPr>
          <w:p w14:paraId="1318788E"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Swap Faiz Alım İşlemleri</w:t>
            </w:r>
          </w:p>
        </w:tc>
        <w:tc>
          <w:tcPr>
            <w:tcW w:w="461" w:type="pct"/>
            <w:tcBorders>
              <w:top w:val="nil"/>
            </w:tcBorders>
            <w:shd w:val="clear" w:color="auto" w:fill="auto"/>
            <w:vAlign w:val="center"/>
          </w:tcPr>
          <w:p w14:paraId="2CD596E2" w14:textId="1D06639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190A37E4" w14:textId="308E1EF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380EECDC" w14:textId="6E0998D1"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1.175.001</w:t>
            </w:r>
          </w:p>
        </w:tc>
        <w:tc>
          <w:tcPr>
            <w:tcW w:w="461" w:type="pct"/>
            <w:tcBorders>
              <w:top w:val="nil"/>
              <w:left w:val="nil"/>
              <w:bottom w:val="nil"/>
              <w:right w:val="nil"/>
            </w:tcBorders>
            <w:shd w:val="clear" w:color="auto" w:fill="auto"/>
            <w:vAlign w:val="center"/>
          </w:tcPr>
          <w:p w14:paraId="2FA19541" w14:textId="6C3B3DCE"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48.974.134</w:t>
            </w:r>
          </w:p>
        </w:tc>
        <w:tc>
          <w:tcPr>
            <w:tcW w:w="421" w:type="pct"/>
            <w:tcBorders>
              <w:top w:val="nil"/>
            </w:tcBorders>
            <w:shd w:val="clear" w:color="auto" w:fill="auto"/>
            <w:vAlign w:val="center"/>
          </w:tcPr>
          <w:p w14:paraId="64E7B694" w14:textId="35DDEDC5"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28.791.975</w:t>
            </w:r>
          </w:p>
        </w:tc>
        <w:tc>
          <w:tcPr>
            <w:tcW w:w="461" w:type="pct"/>
            <w:tcBorders>
              <w:top w:val="nil"/>
            </w:tcBorders>
            <w:shd w:val="clear" w:color="auto" w:fill="auto"/>
            <w:vAlign w:val="center"/>
          </w:tcPr>
          <w:p w14:paraId="28542F0C" w14:textId="363848F8"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78.941.110</w:t>
            </w:r>
          </w:p>
        </w:tc>
      </w:tr>
      <w:tr w:rsidR="00F14C85" w:rsidRPr="00FB38E1" w14:paraId="616CE313" w14:textId="77777777" w:rsidTr="00AA06C9">
        <w:tc>
          <w:tcPr>
            <w:tcW w:w="2314" w:type="pct"/>
            <w:tcBorders>
              <w:top w:val="nil"/>
            </w:tcBorders>
            <w:shd w:val="clear" w:color="auto" w:fill="auto"/>
            <w:tcMar>
              <w:left w:w="170" w:type="dxa"/>
            </w:tcMar>
            <w:vAlign w:val="bottom"/>
          </w:tcPr>
          <w:p w14:paraId="7BF6A0CB"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Swap Faiz Satım İşlemleri</w:t>
            </w:r>
          </w:p>
        </w:tc>
        <w:tc>
          <w:tcPr>
            <w:tcW w:w="461" w:type="pct"/>
            <w:tcBorders>
              <w:top w:val="nil"/>
            </w:tcBorders>
            <w:shd w:val="clear" w:color="auto" w:fill="auto"/>
            <w:vAlign w:val="center"/>
          </w:tcPr>
          <w:p w14:paraId="3F83892D" w14:textId="3D1B448B"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4325FE3" w14:textId="4E58E851"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0B954775" w14:textId="6ABD519E"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1.175.001</w:t>
            </w:r>
          </w:p>
        </w:tc>
        <w:tc>
          <w:tcPr>
            <w:tcW w:w="461" w:type="pct"/>
            <w:tcBorders>
              <w:top w:val="nil"/>
              <w:left w:val="nil"/>
              <w:bottom w:val="nil"/>
              <w:right w:val="nil"/>
            </w:tcBorders>
            <w:shd w:val="clear" w:color="auto" w:fill="auto"/>
            <w:vAlign w:val="center"/>
          </w:tcPr>
          <w:p w14:paraId="78E30B9F" w14:textId="6B4E7AD9"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48.974.131</w:t>
            </w:r>
          </w:p>
        </w:tc>
        <w:tc>
          <w:tcPr>
            <w:tcW w:w="421" w:type="pct"/>
            <w:tcBorders>
              <w:top w:val="nil"/>
            </w:tcBorders>
            <w:shd w:val="clear" w:color="auto" w:fill="auto"/>
            <w:vAlign w:val="center"/>
          </w:tcPr>
          <w:p w14:paraId="3941D4D7" w14:textId="71281B7B"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28.791.974</w:t>
            </w:r>
          </w:p>
        </w:tc>
        <w:tc>
          <w:tcPr>
            <w:tcW w:w="461" w:type="pct"/>
            <w:tcBorders>
              <w:top w:val="nil"/>
            </w:tcBorders>
            <w:shd w:val="clear" w:color="auto" w:fill="auto"/>
            <w:vAlign w:val="center"/>
          </w:tcPr>
          <w:p w14:paraId="2D8EFC2C" w14:textId="395CDF02"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78.941.106</w:t>
            </w:r>
          </w:p>
        </w:tc>
      </w:tr>
      <w:tr w:rsidR="00F14C85" w:rsidRPr="00FB38E1" w14:paraId="7013268C" w14:textId="77777777" w:rsidTr="00AA06C9">
        <w:tc>
          <w:tcPr>
            <w:tcW w:w="2314" w:type="pct"/>
            <w:tcBorders>
              <w:top w:val="nil"/>
            </w:tcBorders>
            <w:shd w:val="clear" w:color="auto" w:fill="auto"/>
            <w:tcMar>
              <w:left w:w="170" w:type="dxa"/>
            </w:tcMar>
            <w:vAlign w:val="bottom"/>
          </w:tcPr>
          <w:p w14:paraId="2950277F"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Faiz Alım Opsiyonları</w:t>
            </w:r>
          </w:p>
        </w:tc>
        <w:tc>
          <w:tcPr>
            <w:tcW w:w="461" w:type="pct"/>
            <w:tcBorders>
              <w:top w:val="nil"/>
            </w:tcBorders>
            <w:shd w:val="clear" w:color="auto" w:fill="auto"/>
            <w:vAlign w:val="center"/>
          </w:tcPr>
          <w:p w14:paraId="0307F394" w14:textId="5D6C193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3183055" w14:textId="026F3711"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3203163B" w14:textId="424CFAF4"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3B78AEC0" w14:textId="39B1994A"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1.029.953</w:t>
            </w:r>
          </w:p>
        </w:tc>
        <w:tc>
          <w:tcPr>
            <w:tcW w:w="421" w:type="pct"/>
            <w:tcBorders>
              <w:top w:val="nil"/>
            </w:tcBorders>
            <w:shd w:val="clear" w:color="auto" w:fill="auto"/>
            <w:vAlign w:val="center"/>
          </w:tcPr>
          <w:p w14:paraId="1FD4C302" w14:textId="10542DBB"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1.397.325</w:t>
            </w:r>
          </w:p>
        </w:tc>
        <w:tc>
          <w:tcPr>
            <w:tcW w:w="461" w:type="pct"/>
            <w:tcBorders>
              <w:top w:val="nil"/>
            </w:tcBorders>
            <w:shd w:val="clear" w:color="auto" w:fill="auto"/>
            <w:vAlign w:val="center"/>
          </w:tcPr>
          <w:p w14:paraId="4049F39A" w14:textId="0D9A243C"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2.427.278</w:t>
            </w:r>
          </w:p>
        </w:tc>
      </w:tr>
      <w:tr w:rsidR="00F14C85" w:rsidRPr="00FB38E1" w14:paraId="0649AC6C" w14:textId="77777777" w:rsidTr="00AA06C9">
        <w:tc>
          <w:tcPr>
            <w:tcW w:w="2314" w:type="pct"/>
            <w:tcBorders>
              <w:top w:val="nil"/>
            </w:tcBorders>
            <w:shd w:val="clear" w:color="auto" w:fill="auto"/>
            <w:tcMar>
              <w:left w:w="170" w:type="dxa"/>
            </w:tcMar>
            <w:vAlign w:val="bottom"/>
          </w:tcPr>
          <w:p w14:paraId="29BAAD44"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Faiz Satım Opsiyonları</w:t>
            </w:r>
          </w:p>
        </w:tc>
        <w:tc>
          <w:tcPr>
            <w:tcW w:w="461" w:type="pct"/>
            <w:tcBorders>
              <w:top w:val="nil"/>
            </w:tcBorders>
            <w:shd w:val="clear" w:color="auto" w:fill="auto"/>
            <w:vAlign w:val="center"/>
          </w:tcPr>
          <w:p w14:paraId="7995CC76" w14:textId="02938C30"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02D1C501" w14:textId="50060532"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447F6DD6" w14:textId="787B9691"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7A5869B" w14:textId="5CFB7AD5"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1.029.953</w:t>
            </w:r>
          </w:p>
        </w:tc>
        <w:tc>
          <w:tcPr>
            <w:tcW w:w="421" w:type="pct"/>
            <w:tcBorders>
              <w:top w:val="nil"/>
            </w:tcBorders>
            <w:shd w:val="clear" w:color="auto" w:fill="auto"/>
            <w:vAlign w:val="center"/>
          </w:tcPr>
          <w:p w14:paraId="5429CD50" w14:textId="51662224"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1.397.325</w:t>
            </w:r>
          </w:p>
        </w:tc>
        <w:tc>
          <w:tcPr>
            <w:tcW w:w="461" w:type="pct"/>
            <w:tcBorders>
              <w:top w:val="nil"/>
            </w:tcBorders>
            <w:shd w:val="clear" w:color="auto" w:fill="auto"/>
            <w:vAlign w:val="center"/>
          </w:tcPr>
          <w:p w14:paraId="62B64A35" w14:textId="57F57703"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2.427.278</w:t>
            </w:r>
          </w:p>
        </w:tc>
      </w:tr>
      <w:tr w:rsidR="00F14C85" w:rsidRPr="00FB38E1" w14:paraId="4680CC56" w14:textId="77777777" w:rsidTr="00AA06C9">
        <w:tc>
          <w:tcPr>
            <w:tcW w:w="2314" w:type="pct"/>
            <w:tcBorders>
              <w:top w:val="nil"/>
            </w:tcBorders>
            <w:shd w:val="clear" w:color="auto" w:fill="auto"/>
            <w:tcMar>
              <w:left w:w="170" w:type="dxa"/>
            </w:tcMar>
            <w:vAlign w:val="bottom"/>
          </w:tcPr>
          <w:p w14:paraId="5368648E" w14:textId="77777777" w:rsidR="00F14C85" w:rsidRPr="00FB38E1" w:rsidRDefault="00F14C85" w:rsidP="00F14C85">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Mankul Değerler Alım Opsiyonları</w:t>
            </w:r>
          </w:p>
        </w:tc>
        <w:tc>
          <w:tcPr>
            <w:tcW w:w="461" w:type="pct"/>
            <w:tcBorders>
              <w:top w:val="nil"/>
            </w:tcBorders>
            <w:shd w:val="clear" w:color="auto" w:fill="auto"/>
            <w:vAlign w:val="center"/>
          </w:tcPr>
          <w:p w14:paraId="66E673B3" w14:textId="7A52A216"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31F18B3F" w14:textId="449DEB1A"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21" w:type="pct"/>
            <w:tcBorders>
              <w:top w:val="nil"/>
              <w:left w:val="nil"/>
              <w:bottom w:val="nil"/>
              <w:right w:val="nil"/>
            </w:tcBorders>
            <w:shd w:val="clear" w:color="auto" w:fill="auto"/>
            <w:vAlign w:val="center"/>
          </w:tcPr>
          <w:p w14:paraId="1A77B4F9" w14:textId="38BE7FC9"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7D667A10" w14:textId="4CFA1813"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21" w:type="pct"/>
            <w:tcBorders>
              <w:top w:val="nil"/>
            </w:tcBorders>
            <w:shd w:val="clear" w:color="auto" w:fill="auto"/>
            <w:vAlign w:val="center"/>
          </w:tcPr>
          <w:p w14:paraId="5F65AE33" w14:textId="4399A773"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tcBorders>
            <w:shd w:val="clear" w:color="auto" w:fill="auto"/>
            <w:vAlign w:val="center"/>
          </w:tcPr>
          <w:p w14:paraId="5AD8B411" w14:textId="0969FBB6"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F14C85" w:rsidRPr="00FB38E1" w14:paraId="12549623" w14:textId="77777777" w:rsidTr="00AA06C9">
        <w:tc>
          <w:tcPr>
            <w:tcW w:w="2314" w:type="pct"/>
            <w:tcBorders>
              <w:top w:val="nil"/>
            </w:tcBorders>
            <w:shd w:val="clear" w:color="auto" w:fill="auto"/>
            <w:tcMar>
              <w:left w:w="170" w:type="dxa"/>
            </w:tcMar>
            <w:vAlign w:val="bottom"/>
          </w:tcPr>
          <w:p w14:paraId="562BE91D" w14:textId="77777777" w:rsidR="00F14C85" w:rsidRPr="00FB38E1" w:rsidRDefault="00F14C85" w:rsidP="00F14C85">
            <w:pPr>
              <w:rPr>
                <w:rFonts w:ascii="Microsoft Sans Serif" w:hAnsi="Microsoft Sans Serif" w:cs="Microsoft Sans Serif"/>
                <w:color w:val="404040" w:themeColor="text1" w:themeTint="BF"/>
                <w:sz w:val="14"/>
                <w:szCs w:val="14"/>
              </w:rPr>
            </w:pPr>
            <w:r w:rsidRPr="00FB38E1">
              <w:rPr>
                <w:rFonts w:ascii="Microsoft Sans Serif" w:hAnsi="Microsoft Sans Serif" w:cs="Microsoft Sans Serif"/>
                <w:color w:val="404040" w:themeColor="text1" w:themeTint="BF"/>
                <w:sz w:val="14"/>
                <w:szCs w:val="14"/>
              </w:rPr>
              <w:t>Menkul Değerler Satım Opsiyonları</w:t>
            </w:r>
          </w:p>
        </w:tc>
        <w:tc>
          <w:tcPr>
            <w:tcW w:w="461" w:type="pct"/>
            <w:tcBorders>
              <w:top w:val="nil"/>
            </w:tcBorders>
            <w:shd w:val="clear" w:color="auto" w:fill="auto"/>
            <w:vAlign w:val="center"/>
          </w:tcPr>
          <w:p w14:paraId="6D9AF09F" w14:textId="504393F5"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6C0E03F6" w14:textId="6E8E1AD8"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21" w:type="pct"/>
            <w:tcBorders>
              <w:top w:val="nil"/>
              <w:left w:val="nil"/>
              <w:bottom w:val="nil"/>
              <w:right w:val="nil"/>
            </w:tcBorders>
            <w:shd w:val="clear" w:color="auto" w:fill="auto"/>
            <w:vAlign w:val="center"/>
          </w:tcPr>
          <w:p w14:paraId="70BAEC79" w14:textId="50354C71"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left w:val="nil"/>
              <w:bottom w:val="nil"/>
              <w:right w:val="nil"/>
            </w:tcBorders>
            <w:shd w:val="clear" w:color="auto" w:fill="auto"/>
            <w:vAlign w:val="center"/>
          </w:tcPr>
          <w:p w14:paraId="4E0EE4C1" w14:textId="69126013"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21" w:type="pct"/>
            <w:tcBorders>
              <w:top w:val="nil"/>
            </w:tcBorders>
            <w:shd w:val="clear" w:color="auto" w:fill="auto"/>
            <w:vAlign w:val="center"/>
          </w:tcPr>
          <w:p w14:paraId="2C6A9143" w14:textId="76931DCD" w:rsidR="00F14C85" w:rsidRPr="00FB38E1" w:rsidRDefault="00F14C85" w:rsidP="00F14C85">
            <w:pPr>
              <w:jc w:val="right"/>
              <w:rPr>
                <w:rFonts w:ascii="Microsoft Sans Serif" w:hAnsi="Microsoft Sans Serif" w:cs="Microsoft Sans Serif"/>
                <w:b/>
                <w:bCs/>
                <w:color w:val="404040"/>
                <w:sz w:val="14"/>
                <w:szCs w:val="14"/>
              </w:rPr>
            </w:pPr>
            <w:r w:rsidRPr="00FB38E1">
              <w:rPr>
                <w:rFonts w:ascii="Microsoft Sans Serif" w:hAnsi="Microsoft Sans Serif" w:cs="Microsoft Sans Serif"/>
                <w:b/>
                <w:bCs/>
                <w:color w:val="404040"/>
                <w:sz w:val="14"/>
                <w:szCs w:val="14"/>
              </w:rPr>
              <w:t>--</w:t>
            </w:r>
          </w:p>
        </w:tc>
        <w:tc>
          <w:tcPr>
            <w:tcW w:w="461" w:type="pct"/>
            <w:tcBorders>
              <w:top w:val="nil"/>
            </w:tcBorders>
            <w:shd w:val="clear" w:color="auto" w:fill="auto"/>
            <w:vAlign w:val="center"/>
          </w:tcPr>
          <w:p w14:paraId="0F538651" w14:textId="501E08BD"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r>
      <w:tr w:rsidR="00F14C85" w:rsidRPr="00FB38E1" w14:paraId="561D9712" w14:textId="77777777" w:rsidTr="00AA06C9">
        <w:tc>
          <w:tcPr>
            <w:tcW w:w="2314" w:type="pct"/>
            <w:tcBorders>
              <w:top w:val="nil"/>
            </w:tcBorders>
            <w:shd w:val="clear" w:color="auto" w:fill="auto"/>
            <w:tcMar>
              <w:left w:w="170" w:type="dxa"/>
            </w:tcMar>
            <w:vAlign w:val="bottom"/>
          </w:tcPr>
          <w:p w14:paraId="521085D8"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Futures Faiz Alım İşlemleri</w:t>
            </w:r>
          </w:p>
        </w:tc>
        <w:tc>
          <w:tcPr>
            <w:tcW w:w="461" w:type="pct"/>
            <w:tcBorders>
              <w:top w:val="nil"/>
            </w:tcBorders>
            <w:shd w:val="clear" w:color="auto" w:fill="auto"/>
            <w:vAlign w:val="center"/>
          </w:tcPr>
          <w:p w14:paraId="5EEB9419" w14:textId="23274C82"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0E9D5AC0" w14:textId="0F88F736"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45AF3F28" w14:textId="20B0C363"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6F16BF57" w14:textId="32E3F8D6"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56B75654" w14:textId="6D2D822C"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5277B9BE" w14:textId="29AB0ADC"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14C85" w:rsidRPr="00FB38E1" w14:paraId="51BEE75F" w14:textId="77777777" w:rsidTr="00AA06C9">
        <w:tc>
          <w:tcPr>
            <w:tcW w:w="2314" w:type="pct"/>
            <w:tcBorders>
              <w:top w:val="nil"/>
            </w:tcBorders>
            <w:shd w:val="clear" w:color="auto" w:fill="auto"/>
            <w:tcMar>
              <w:left w:w="170" w:type="dxa"/>
            </w:tcMar>
            <w:vAlign w:val="bottom"/>
          </w:tcPr>
          <w:p w14:paraId="483980B4" w14:textId="77777777" w:rsidR="00F14C85" w:rsidRPr="00FB38E1" w:rsidRDefault="00F14C85" w:rsidP="00F14C85">
            <w:pPr>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Futures Faiz Satım İşlemleri</w:t>
            </w:r>
          </w:p>
        </w:tc>
        <w:tc>
          <w:tcPr>
            <w:tcW w:w="461" w:type="pct"/>
            <w:tcBorders>
              <w:top w:val="nil"/>
            </w:tcBorders>
            <w:shd w:val="clear" w:color="auto" w:fill="auto"/>
            <w:vAlign w:val="center"/>
          </w:tcPr>
          <w:p w14:paraId="610B5A32" w14:textId="371DE414"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0B902415" w14:textId="3DC65721"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left w:val="nil"/>
              <w:bottom w:val="nil"/>
              <w:right w:val="nil"/>
            </w:tcBorders>
            <w:shd w:val="clear" w:color="auto" w:fill="auto"/>
            <w:vAlign w:val="center"/>
          </w:tcPr>
          <w:p w14:paraId="33C4ED08" w14:textId="6A00241D"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left w:val="nil"/>
              <w:bottom w:val="nil"/>
              <w:right w:val="nil"/>
            </w:tcBorders>
            <w:shd w:val="clear" w:color="auto" w:fill="auto"/>
            <w:vAlign w:val="center"/>
          </w:tcPr>
          <w:p w14:paraId="24C6169D" w14:textId="2F009C57"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21" w:type="pct"/>
            <w:tcBorders>
              <w:top w:val="nil"/>
            </w:tcBorders>
            <w:shd w:val="clear" w:color="auto" w:fill="auto"/>
            <w:vAlign w:val="center"/>
          </w:tcPr>
          <w:p w14:paraId="5E5E3C2E" w14:textId="08E6A536" w:rsidR="00F14C85" w:rsidRPr="00FB38E1" w:rsidRDefault="00F14C85" w:rsidP="00F14C85">
            <w:pPr>
              <w:jc w:val="right"/>
              <w:rPr>
                <w:rFonts w:ascii="Microsoft Sans Serif" w:hAnsi="Microsoft Sans Serif" w:cs="Microsoft Sans Serif"/>
                <w:color w:val="404040"/>
                <w:sz w:val="14"/>
                <w:szCs w:val="14"/>
              </w:rPr>
            </w:pPr>
            <w:r w:rsidRPr="00FB38E1">
              <w:rPr>
                <w:rFonts w:ascii="Microsoft Sans Serif" w:hAnsi="Microsoft Sans Serif" w:cs="Microsoft Sans Serif"/>
                <w:color w:val="404040"/>
                <w:sz w:val="14"/>
                <w:szCs w:val="14"/>
              </w:rPr>
              <w:t>--</w:t>
            </w:r>
          </w:p>
        </w:tc>
        <w:tc>
          <w:tcPr>
            <w:tcW w:w="461" w:type="pct"/>
            <w:tcBorders>
              <w:top w:val="nil"/>
            </w:tcBorders>
            <w:shd w:val="clear" w:color="auto" w:fill="auto"/>
            <w:vAlign w:val="center"/>
          </w:tcPr>
          <w:p w14:paraId="6037A4EC" w14:textId="68F62763" w:rsidR="00F14C85" w:rsidRPr="00FB38E1" w:rsidRDefault="00F14C85" w:rsidP="00F14C85">
            <w:pPr>
              <w:jc w:val="right"/>
              <w:rPr>
                <w:rFonts w:ascii="Microsoft Sans Serif" w:hAnsi="Microsoft Sans Serif" w:cs="Microsoft Sans Serif"/>
                <w:color w:val="000000"/>
                <w:sz w:val="14"/>
                <w:szCs w:val="14"/>
              </w:rPr>
            </w:pPr>
            <w:r w:rsidRPr="00FB38E1">
              <w:rPr>
                <w:rFonts w:ascii="Microsoft Sans Serif" w:hAnsi="Microsoft Sans Serif" w:cs="Microsoft Sans Serif"/>
                <w:color w:val="000000"/>
                <w:sz w:val="14"/>
                <w:szCs w:val="14"/>
              </w:rPr>
              <w:t>--</w:t>
            </w:r>
          </w:p>
        </w:tc>
      </w:tr>
      <w:tr w:rsidR="00F14C85" w:rsidRPr="00FB38E1" w14:paraId="3E760271" w14:textId="77777777" w:rsidTr="00AA06C9">
        <w:tc>
          <w:tcPr>
            <w:tcW w:w="2314" w:type="pct"/>
            <w:tcBorders>
              <w:top w:val="nil"/>
            </w:tcBorders>
            <w:shd w:val="clear" w:color="auto" w:fill="auto"/>
            <w:tcMar>
              <w:left w:w="57" w:type="dxa"/>
            </w:tcMar>
            <w:vAlign w:val="bottom"/>
          </w:tcPr>
          <w:p w14:paraId="23BF0819" w14:textId="77777777" w:rsidR="00F14C85" w:rsidRPr="00FB38E1" w:rsidRDefault="00F14C85" w:rsidP="00F14C85">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Diğer Alım-Satım Amaçlı Türev İşlemler (III)</w:t>
            </w:r>
          </w:p>
        </w:tc>
        <w:tc>
          <w:tcPr>
            <w:tcW w:w="461" w:type="pct"/>
            <w:tcBorders>
              <w:top w:val="nil"/>
            </w:tcBorders>
            <w:shd w:val="clear" w:color="auto" w:fill="auto"/>
            <w:vAlign w:val="center"/>
          </w:tcPr>
          <w:p w14:paraId="72A65FBA" w14:textId="504BFF97"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15.779.355</w:t>
            </w:r>
          </w:p>
        </w:tc>
        <w:tc>
          <w:tcPr>
            <w:tcW w:w="461" w:type="pct"/>
            <w:tcBorders>
              <w:top w:val="nil"/>
              <w:left w:val="nil"/>
              <w:bottom w:val="nil"/>
              <w:right w:val="nil"/>
            </w:tcBorders>
            <w:shd w:val="clear" w:color="auto" w:fill="auto"/>
            <w:vAlign w:val="center"/>
          </w:tcPr>
          <w:p w14:paraId="73B348B2" w14:textId="22FE085F"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2.169.337</w:t>
            </w:r>
          </w:p>
        </w:tc>
        <w:tc>
          <w:tcPr>
            <w:tcW w:w="421" w:type="pct"/>
            <w:tcBorders>
              <w:top w:val="nil"/>
              <w:left w:val="nil"/>
              <w:bottom w:val="nil"/>
              <w:right w:val="nil"/>
            </w:tcBorders>
            <w:shd w:val="clear" w:color="auto" w:fill="auto"/>
            <w:vAlign w:val="center"/>
          </w:tcPr>
          <w:p w14:paraId="3FF8C4AF" w14:textId="75B15E74"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4.430.656</w:t>
            </w:r>
          </w:p>
        </w:tc>
        <w:tc>
          <w:tcPr>
            <w:tcW w:w="461" w:type="pct"/>
            <w:tcBorders>
              <w:top w:val="nil"/>
              <w:left w:val="nil"/>
              <w:bottom w:val="nil"/>
              <w:right w:val="nil"/>
            </w:tcBorders>
            <w:shd w:val="clear" w:color="auto" w:fill="auto"/>
            <w:vAlign w:val="center"/>
          </w:tcPr>
          <w:p w14:paraId="459E3654" w14:textId="70B5139D"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821.698</w:t>
            </w:r>
          </w:p>
        </w:tc>
        <w:tc>
          <w:tcPr>
            <w:tcW w:w="421" w:type="pct"/>
            <w:tcBorders>
              <w:top w:val="nil"/>
            </w:tcBorders>
            <w:shd w:val="clear" w:color="auto" w:fill="auto"/>
            <w:vAlign w:val="center"/>
          </w:tcPr>
          <w:p w14:paraId="61971CAA" w14:textId="3D728DAA"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w:t>
            </w:r>
          </w:p>
        </w:tc>
        <w:tc>
          <w:tcPr>
            <w:tcW w:w="461" w:type="pct"/>
            <w:tcBorders>
              <w:top w:val="nil"/>
            </w:tcBorders>
            <w:shd w:val="clear" w:color="auto" w:fill="auto"/>
            <w:vAlign w:val="center"/>
          </w:tcPr>
          <w:p w14:paraId="7D339207" w14:textId="2AFBABCF"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23.201.046</w:t>
            </w:r>
          </w:p>
        </w:tc>
      </w:tr>
      <w:tr w:rsidR="00F14C85" w:rsidRPr="00FB38E1" w14:paraId="188FF769" w14:textId="77777777" w:rsidTr="00AA06C9">
        <w:tc>
          <w:tcPr>
            <w:tcW w:w="2314" w:type="pct"/>
            <w:tcBorders>
              <w:top w:val="nil"/>
            </w:tcBorders>
            <w:shd w:val="clear" w:color="auto" w:fill="auto"/>
            <w:tcMar>
              <w:left w:w="57" w:type="dxa"/>
            </w:tcMar>
            <w:vAlign w:val="bottom"/>
          </w:tcPr>
          <w:p w14:paraId="5048721B" w14:textId="77777777" w:rsidR="00F14C85" w:rsidRPr="00FB38E1" w:rsidRDefault="00F14C85" w:rsidP="00F14C85">
            <w:pPr>
              <w:rPr>
                <w:rFonts w:ascii="Microsoft Sans Serif" w:hAnsi="Microsoft Sans Serif" w:cs="Microsoft Sans Serif"/>
                <w:b/>
                <w:color w:val="404040"/>
                <w:sz w:val="14"/>
                <w:szCs w:val="14"/>
              </w:rPr>
            </w:pPr>
            <w:r w:rsidRPr="00FB38E1">
              <w:rPr>
                <w:rFonts w:ascii="Microsoft Sans Serif" w:hAnsi="Microsoft Sans Serif" w:cs="Microsoft Sans Serif"/>
                <w:b/>
                <w:color w:val="404040"/>
                <w:sz w:val="14"/>
                <w:szCs w:val="14"/>
              </w:rPr>
              <w:t>B. Toplam Alım Satım Amaçlı Türev İşlemler (I + II + III)</w:t>
            </w:r>
          </w:p>
        </w:tc>
        <w:tc>
          <w:tcPr>
            <w:tcW w:w="461" w:type="pct"/>
            <w:tcBorders>
              <w:top w:val="nil"/>
            </w:tcBorders>
            <w:shd w:val="clear" w:color="auto" w:fill="auto"/>
            <w:vAlign w:val="center"/>
          </w:tcPr>
          <w:p w14:paraId="064E5379" w14:textId="1D752861"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257.613.686</w:t>
            </w:r>
          </w:p>
        </w:tc>
        <w:tc>
          <w:tcPr>
            <w:tcW w:w="461" w:type="pct"/>
            <w:tcBorders>
              <w:top w:val="nil"/>
              <w:left w:val="nil"/>
              <w:bottom w:val="nil"/>
              <w:right w:val="nil"/>
            </w:tcBorders>
            <w:shd w:val="clear" w:color="auto" w:fill="auto"/>
            <w:vAlign w:val="center"/>
          </w:tcPr>
          <w:p w14:paraId="05E4FE63" w14:textId="7770A707"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137.552.528</w:t>
            </w:r>
          </w:p>
        </w:tc>
        <w:tc>
          <w:tcPr>
            <w:tcW w:w="421" w:type="pct"/>
            <w:tcBorders>
              <w:top w:val="nil"/>
              <w:left w:val="nil"/>
              <w:bottom w:val="nil"/>
              <w:right w:val="nil"/>
            </w:tcBorders>
            <w:shd w:val="clear" w:color="auto" w:fill="auto"/>
            <w:vAlign w:val="center"/>
          </w:tcPr>
          <w:p w14:paraId="3CFFBCA2" w14:textId="0F59FCB1"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78.984.158</w:t>
            </w:r>
          </w:p>
        </w:tc>
        <w:tc>
          <w:tcPr>
            <w:tcW w:w="461" w:type="pct"/>
            <w:tcBorders>
              <w:top w:val="nil"/>
              <w:left w:val="nil"/>
              <w:bottom w:val="nil"/>
              <w:right w:val="nil"/>
            </w:tcBorders>
            <w:shd w:val="clear" w:color="auto" w:fill="auto"/>
            <w:vAlign w:val="center"/>
          </w:tcPr>
          <w:p w14:paraId="39F4742F" w14:textId="4B1D5A44"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101.272.853</w:t>
            </w:r>
          </w:p>
        </w:tc>
        <w:tc>
          <w:tcPr>
            <w:tcW w:w="421" w:type="pct"/>
            <w:tcBorders>
              <w:top w:val="nil"/>
            </w:tcBorders>
            <w:shd w:val="clear" w:color="auto" w:fill="auto"/>
            <w:vAlign w:val="center"/>
          </w:tcPr>
          <w:p w14:paraId="721A070A" w14:textId="2BBBB82D"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60.378.599</w:t>
            </w:r>
          </w:p>
        </w:tc>
        <w:tc>
          <w:tcPr>
            <w:tcW w:w="461" w:type="pct"/>
            <w:tcBorders>
              <w:top w:val="nil"/>
            </w:tcBorders>
            <w:shd w:val="clear" w:color="auto" w:fill="auto"/>
            <w:vAlign w:val="center"/>
          </w:tcPr>
          <w:p w14:paraId="6B8CEDE9" w14:textId="0B857B13"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635.801.824</w:t>
            </w:r>
          </w:p>
        </w:tc>
      </w:tr>
      <w:tr w:rsidR="00F14C85" w:rsidRPr="00FB38E1" w14:paraId="06B892DD" w14:textId="77777777" w:rsidTr="00AA06C9">
        <w:trPr>
          <w:trHeight w:val="55"/>
        </w:trPr>
        <w:tc>
          <w:tcPr>
            <w:tcW w:w="2314" w:type="pct"/>
            <w:tcBorders>
              <w:bottom w:val="single" w:sz="6" w:space="0" w:color="auto"/>
            </w:tcBorders>
            <w:shd w:val="clear" w:color="auto" w:fill="auto"/>
            <w:tcMar>
              <w:left w:w="57" w:type="dxa"/>
            </w:tcMar>
            <w:vAlign w:val="bottom"/>
          </w:tcPr>
          <w:p w14:paraId="6613430B" w14:textId="77777777" w:rsidR="00F14C85" w:rsidRPr="00FB38E1" w:rsidRDefault="00F14C85" w:rsidP="00F14C85">
            <w:pPr>
              <w:rPr>
                <w:rFonts w:ascii="Microsoft Sans Serif" w:hAnsi="Microsoft Sans Serif" w:cs="Microsoft Sans Serif"/>
                <w:b/>
                <w:bCs/>
                <w:color w:val="000000"/>
                <w:sz w:val="14"/>
                <w:szCs w:val="14"/>
              </w:rPr>
            </w:pPr>
          </w:p>
        </w:tc>
        <w:tc>
          <w:tcPr>
            <w:tcW w:w="461" w:type="pct"/>
            <w:tcBorders>
              <w:bottom w:val="single" w:sz="6" w:space="0" w:color="auto"/>
            </w:tcBorders>
            <w:shd w:val="clear" w:color="auto" w:fill="auto"/>
            <w:vAlign w:val="center"/>
          </w:tcPr>
          <w:p w14:paraId="0BFFFD47" w14:textId="1C311DE3"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61" w:type="pct"/>
            <w:tcBorders>
              <w:top w:val="nil"/>
              <w:left w:val="nil"/>
              <w:bottom w:val="single" w:sz="6" w:space="0" w:color="auto"/>
              <w:right w:val="nil"/>
            </w:tcBorders>
            <w:shd w:val="clear" w:color="auto" w:fill="auto"/>
            <w:vAlign w:val="center"/>
          </w:tcPr>
          <w:p w14:paraId="76A43F11" w14:textId="72494F59"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21" w:type="pct"/>
            <w:tcBorders>
              <w:top w:val="nil"/>
              <w:left w:val="nil"/>
              <w:bottom w:val="single" w:sz="6" w:space="0" w:color="auto"/>
              <w:right w:val="nil"/>
            </w:tcBorders>
            <w:shd w:val="clear" w:color="auto" w:fill="auto"/>
            <w:vAlign w:val="center"/>
          </w:tcPr>
          <w:p w14:paraId="16146ACF" w14:textId="28E5781B"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61" w:type="pct"/>
            <w:tcBorders>
              <w:top w:val="nil"/>
              <w:left w:val="nil"/>
              <w:bottom w:val="single" w:sz="6" w:space="0" w:color="auto"/>
              <w:right w:val="nil"/>
            </w:tcBorders>
            <w:shd w:val="clear" w:color="auto" w:fill="auto"/>
            <w:vAlign w:val="center"/>
          </w:tcPr>
          <w:p w14:paraId="285255F3" w14:textId="7E74D8B6"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21" w:type="pct"/>
            <w:tcBorders>
              <w:bottom w:val="single" w:sz="6" w:space="0" w:color="auto"/>
            </w:tcBorders>
            <w:shd w:val="clear" w:color="auto" w:fill="auto"/>
            <w:vAlign w:val="center"/>
          </w:tcPr>
          <w:p w14:paraId="79B82171" w14:textId="258CB182"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c>
          <w:tcPr>
            <w:tcW w:w="461" w:type="pct"/>
            <w:tcBorders>
              <w:bottom w:val="single" w:sz="6" w:space="0" w:color="auto"/>
            </w:tcBorders>
            <w:shd w:val="clear" w:color="auto" w:fill="auto"/>
            <w:vAlign w:val="center"/>
          </w:tcPr>
          <w:p w14:paraId="27E7E7E9" w14:textId="29A4ADF7"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 </w:t>
            </w:r>
          </w:p>
        </w:tc>
      </w:tr>
      <w:tr w:rsidR="00F14C85" w:rsidRPr="00FB38E1" w14:paraId="70251D8B" w14:textId="77777777" w:rsidTr="00AA06C9">
        <w:tc>
          <w:tcPr>
            <w:tcW w:w="2314" w:type="pct"/>
            <w:tcBorders>
              <w:top w:val="single" w:sz="6" w:space="0" w:color="auto"/>
              <w:bottom w:val="thickThinSmallGap" w:sz="24" w:space="0" w:color="auto"/>
            </w:tcBorders>
            <w:shd w:val="clear" w:color="auto" w:fill="auto"/>
            <w:vAlign w:val="bottom"/>
          </w:tcPr>
          <w:p w14:paraId="71E6EB1E" w14:textId="77777777" w:rsidR="00F14C85" w:rsidRPr="00FB38E1" w:rsidRDefault="00F14C85" w:rsidP="00F14C85">
            <w:pPr>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Türev İşlemler Toplamı (A+B)</w:t>
            </w:r>
          </w:p>
        </w:tc>
        <w:tc>
          <w:tcPr>
            <w:tcW w:w="461" w:type="pct"/>
            <w:tcBorders>
              <w:top w:val="single" w:sz="6" w:space="0" w:color="auto"/>
              <w:bottom w:val="thickThinSmallGap" w:sz="24" w:space="0" w:color="auto"/>
            </w:tcBorders>
            <w:shd w:val="clear" w:color="auto" w:fill="auto"/>
            <w:vAlign w:val="center"/>
          </w:tcPr>
          <w:p w14:paraId="42D6DF00" w14:textId="38611B43"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257.613.686</w:t>
            </w:r>
          </w:p>
        </w:tc>
        <w:tc>
          <w:tcPr>
            <w:tcW w:w="461" w:type="pct"/>
            <w:tcBorders>
              <w:top w:val="single" w:sz="6" w:space="0" w:color="auto"/>
              <w:left w:val="nil"/>
              <w:bottom w:val="thickThinSmallGap" w:sz="24" w:space="0" w:color="auto"/>
              <w:right w:val="nil"/>
            </w:tcBorders>
            <w:shd w:val="clear" w:color="auto" w:fill="auto"/>
            <w:vAlign w:val="center"/>
          </w:tcPr>
          <w:p w14:paraId="4835DBA4" w14:textId="6E8FC9BD"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137.552.528</w:t>
            </w:r>
          </w:p>
        </w:tc>
        <w:tc>
          <w:tcPr>
            <w:tcW w:w="421" w:type="pct"/>
            <w:tcBorders>
              <w:top w:val="single" w:sz="6" w:space="0" w:color="auto"/>
              <w:left w:val="nil"/>
              <w:bottom w:val="thickThinSmallGap" w:sz="24" w:space="0" w:color="auto"/>
              <w:right w:val="nil"/>
            </w:tcBorders>
            <w:shd w:val="clear" w:color="auto" w:fill="auto"/>
            <w:vAlign w:val="center"/>
          </w:tcPr>
          <w:p w14:paraId="5537F7D8" w14:textId="07B24457"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78.984.158</w:t>
            </w:r>
          </w:p>
        </w:tc>
        <w:tc>
          <w:tcPr>
            <w:tcW w:w="461" w:type="pct"/>
            <w:tcBorders>
              <w:top w:val="single" w:sz="6" w:space="0" w:color="auto"/>
              <w:left w:val="nil"/>
              <w:bottom w:val="thickThinSmallGap" w:sz="24" w:space="0" w:color="auto"/>
              <w:right w:val="nil"/>
            </w:tcBorders>
            <w:shd w:val="clear" w:color="auto" w:fill="auto"/>
            <w:vAlign w:val="center"/>
          </w:tcPr>
          <w:p w14:paraId="5F2C0E6E" w14:textId="289A64B1"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101.272.853</w:t>
            </w:r>
          </w:p>
        </w:tc>
        <w:tc>
          <w:tcPr>
            <w:tcW w:w="421" w:type="pct"/>
            <w:tcBorders>
              <w:top w:val="single" w:sz="6" w:space="0" w:color="auto"/>
              <w:bottom w:val="thickThinSmallGap" w:sz="24" w:space="0" w:color="auto"/>
            </w:tcBorders>
            <w:shd w:val="clear" w:color="auto" w:fill="auto"/>
            <w:vAlign w:val="center"/>
          </w:tcPr>
          <w:p w14:paraId="3832808E" w14:textId="45B5E867"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60.378.599</w:t>
            </w:r>
          </w:p>
        </w:tc>
        <w:tc>
          <w:tcPr>
            <w:tcW w:w="461" w:type="pct"/>
            <w:tcBorders>
              <w:top w:val="single" w:sz="6" w:space="0" w:color="auto"/>
              <w:bottom w:val="thickThinSmallGap" w:sz="24" w:space="0" w:color="auto"/>
            </w:tcBorders>
            <w:shd w:val="clear" w:color="auto" w:fill="auto"/>
            <w:vAlign w:val="center"/>
          </w:tcPr>
          <w:p w14:paraId="047AA553" w14:textId="46C748BA" w:rsidR="00F14C85" w:rsidRPr="00FB38E1" w:rsidRDefault="00F14C85" w:rsidP="00F14C85">
            <w:pPr>
              <w:jc w:val="right"/>
              <w:rPr>
                <w:rFonts w:ascii="Microsoft Sans Serif" w:hAnsi="Microsoft Sans Serif" w:cs="Microsoft Sans Serif"/>
                <w:b/>
                <w:bCs/>
                <w:color w:val="000000"/>
                <w:sz w:val="14"/>
                <w:szCs w:val="14"/>
              </w:rPr>
            </w:pPr>
            <w:r w:rsidRPr="00FB38E1">
              <w:rPr>
                <w:rFonts w:ascii="Microsoft Sans Serif" w:hAnsi="Microsoft Sans Serif" w:cs="Microsoft Sans Serif"/>
                <w:b/>
                <w:bCs/>
                <w:color w:val="000000"/>
                <w:sz w:val="14"/>
                <w:szCs w:val="14"/>
              </w:rPr>
              <w:t>635.801.824</w:t>
            </w:r>
          </w:p>
        </w:tc>
      </w:tr>
    </w:tbl>
    <w:p w14:paraId="5AEB46C5" w14:textId="77777777" w:rsidR="00A6628A" w:rsidRPr="00FB38E1" w:rsidRDefault="00A6628A" w:rsidP="00003F34">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noProof/>
          <w:snapToGrid w:val="0"/>
          <w:sz w:val="20"/>
          <w:szCs w:val="20"/>
          <w:lang w:val="de-DE"/>
        </w:rPr>
        <w:t>Kredi türevlerine ve bundan dolayı maruz kalınan risklere ilişkin açıklamalar</w:t>
      </w:r>
    </w:p>
    <w:p w14:paraId="3D9F214D" w14:textId="67225E9F" w:rsidR="00A6628A" w:rsidRPr="00FB38E1" w:rsidRDefault="00A6628A" w:rsidP="00003F34">
      <w:pPr>
        <w:pStyle w:val="BASLIK2"/>
        <w:widowControl/>
        <w:spacing w:before="0" w:after="0" w:line="240" w:lineRule="atLeast"/>
        <w:ind w:firstLine="0"/>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b w:val="0"/>
          <w:iCs/>
          <w:color w:val="404040" w:themeColor="text1" w:themeTint="BF"/>
          <w:sz w:val="20"/>
          <w:szCs w:val="20"/>
        </w:rPr>
        <w:t>Bulunmamaktadır</w:t>
      </w:r>
      <w:r w:rsidRPr="00FB38E1">
        <w:rPr>
          <w:rFonts w:ascii="Microsoft Sans Serif" w:hAnsi="Microsoft Sans Serif" w:cs="Microsoft Sans Serif"/>
          <w:b w:val="0"/>
          <w:noProof/>
          <w:snapToGrid w:val="0"/>
          <w:color w:val="404040" w:themeColor="text1" w:themeTint="BF"/>
          <w:sz w:val="20"/>
          <w:szCs w:val="20"/>
          <w:lang w:val="de-DE"/>
        </w:rPr>
        <w:t>.</w:t>
      </w:r>
      <w:r w:rsidRPr="00FB38E1">
        <w:rPr>
          <w:rFonts w:ascii="Microsoft Sans Serif" w:hAnsi="Microsoft Sans Serif" w:cs="Microsoft Sans Serif"/>
          <w:b w:val="0"/>
          <w:noProof/>
          <w:snapToGrid w:val="0"/>
          <w:sz w:val="20"/>
          <w:szCs w:val="20"/>
          <w:lang w:val="de-DE"/>
        </w:rPr>
        <w:t xml:space="preserve"> </w:t>
      </w:r>
    </w:p>
    <w:p w14:paraId="500AFBA6" w14:textId="7C7F6052" w:rsidR="00ED3E8D" w:rsidRPr="00FB38E1" w:rsidRDefault="00ED3E8D" w:rsidP="007C20C8">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sz w:val="20"/>
          <w:szCs w:val="20"/>
        </w:rPr>
        <w:t>Koşullu borçlar ve varlıklara ilişkin açıklamalar</w:t>
      </w:r>
    </w:p>
    <w:p w14:paraId="1C0A2CE0" w14:textId="13EA5528" w:rsidR="00B77B7E" w:rsidRPr="00FB38E1" w:rsidRDefault="00EF7ED7"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sz w:val="20"/>
          <w:szCs w:val="20"/>
        </w:rPr>
        <w:t>Banka</w:t>
      </w:r>
      <w:r w:rsidR="00BC615B" w:rsidRPr="00FB38E1">
        <w:rPr>
          <w:rFonts w:ascii="Microsoft Sans Serif" w:hAnsi="Microsoft Sans Serif" w:cs="Microsoft Sans Serif"/>
          <w:color w:val="404040"/>
          <w:sz w:val="20"/>
          <w:szCs w:val="20"/>
        </w:rPr>
        <w:t>’nın</w:t>
      </w:r>
      <w:r w:rsidRPr="00FB38E1">
        <w:rPr>
          <w:rFonts w:ascii="Microsoft Sans Serif" w:hAnsi="Microsoft Sans Serif" w:cs="Microsoft Sans Serif"/>
          <w:color w:val="404040"/>
          <w:sz w:val="20"/>
          <w:szCs w:val="20"/>
        </w:rPr>
        <w:t xml:space="preserve"> </w:t>
      </w:r>
      <w:r w:rsidR="00BC615B" w:rsidRPr="00FB38E1">
        <w:rPr>
          <w:rFonts w:ascii="Microsoft Sans Serif" w:hAnsi="Microsoft Sans Serif" w:cs="Microsoft Sans Serif"/>
          <w:color w:val="404040"/>
          <w:sz w:val="20"/>
          <w:szCs w:val="20"/>
        </w:rPr>
        <w:t>taraf olduğu</w:t>
      </w:r>
      <w:r w:rsidRPr="00FB38E1">
        <w:rPr>
          <w:rFonts w:ascii="Microsoft Sans Serif" w:hAnsi="Microsoft Sans Serif" w:cs="Microsoft Sans Serif"/>
          <w:color w:val="404040"/>
          <w:sz w:val="20"/>
          <w:szCs w:val="20"/>
        </w:rPr>
        <w:t xml:space="preserve"> davalarla ilgili olarak ihtiyatlılık </w:t>
      </w:r>
      <w:r w:rsidRPr="00FB38E1">
        <w:rPr>
          <w:rFonts w:ascii="Microsoft Sans Serif" w:hAnsi="Microsoft Sans Serif" w:cs="Microsoft Sans Serif"/>
          <w:color w:val="404040" w:themeColor="text1" w:themeTint="BF"/>
          <w:sz w:val="20"/>
          <w:szCs w:val="20"/>
        </w:rPr>
        <w:t xml:space="preserve">ilkesi gereği </w:t>
      </w:r>
      <w:r w:rsidR="00AA06C9" w:rsidRPr="00FB38E1">
        <w:rPr>
          <w:rFonts w:ascii="Microsoft Sans Serif" w:hAnsi="Microsoft Sans Serif" w:cs="Microsoft Sans Serif"/>
          <w:color w:val="404040" w:themeColor="text1" w:themeTint="BF"/>
          <w:sz w:val="20"/>
          <w:szCs w:val="20"/>
          <w:lang w:eastAsia="tr-TR"/>
        </w:rPr>
        <w:t>1.599.115</w:t>
      </w:r>
      <w:r w:rsidR="003445EC" w:rsidRPr="00FB38E1">
        <w:rPr>
          <w:rFonts w:ascii="Microsoft Sans Serif" w:hAnsi="Microsoft Sans Serif" w:cs="Microsoft Sans Serif"/>
          <w:color w:val="404040" w:themeColor="text1" w:themeTint="BF"/>
          <w:sz w:val="20"/>
          <w:szCs w:val="20"/>
          <w:lang w:eastAsia="tr-TR"/>
        </w:rPr>
        <w:t xml:space="preserve"> </w:t>
      </w:r>
      <w:r w:rsidR="00193592" w:rsidRPr="00FB38E1">
        <w:rPr>
          <w:rFonts w:ascii="Microsoft Sans Serif" w:hAnsi="Microsoft Sans Serif" w:cs="Microsoft Sans Serif"/>
          <w:color w:val="404040" w:themeColor="text1" w:themeTint="BF"/>
          <w:sz w:val="20"/>
          <w:szCs w:val="20"/>
        </w:rPr>
        <w:t>TL (</w:t>
      </w:r>
      <w:r w:rsidR="00ED442B" w:rsidRPr="00FB38E1">
        <w:rPr>
          <w:rFonts w:ascii="Microsoft Sans Serif" w:hAnsi="Microsoft Sans Serif" w:cs="Microsoft Sans Serif"/>
          <w:color w:val="404040" w:themeColor="text1" w:themeTint="BF"/>
          <w:sz w:val="20"/>
          <w:szCs w:val="20"/>
        </w:rPr>
        <w:t>31 Aralık 2023</w:t>
      </w:r>
      <w:r w:rsidRPr="00FB38E1">
        <w:rPr>
          <w:rFonts w:ascii="Microsoft Sans Serif" w:hAnsi="Microsoft Sans Serif" w:cs="Microsoft Sans Serif"/>
          <w:color w:val="404040" w:themeColor="text1" w:themeTint="BF"/>
          <w:sz w:val="20"/>
          <w:szCs w:val="20"/>
        </w:rPr>
        <w:t xml:space="preserve">: </w:t>
      </w:r>
      <w:r w:rsidR="00B77B7E" w:rsidRPr="00FB38E1">
        <w:rPr>
          <w:rFonts w:ascii="Microsoft Sans Serif" w:hAnsi="Microsoft Sans Serif" w:cs="Microsoft Sans Serif"/>
          <w:color w:val="404040" w:themeColor="text1" w:themeTint="BF"/>
          <w:sz w:val="20"/>
          <w:szCs w:val="20"/>
        </w:rPr>
        <w:t>559.696</w:t>
      </w:r>
      <w:r w:rsidRPr="00FB38E1">
        <w:rPr>
          <w:rFonts w:ascii="Microsoft Sans Serif" w:hAnsi="Microsoft Sans Serif" w:cs="Microsoft Sans Serif"/>
          <w:color w:val="404040" w:themeColor="text1" w:themeTint="BF"/>
          <w:sz w:val="20"/>
          <w:szCs w:val="20"/>
        </w:rPr>
        <w:t xml:space="preserve"> TL) tutarında karşılık ayırmış olup; bu karşılıklar bilançoda “Diğer karşılıklar” kalemi içerisinde sınıflandırılmıştır. Karşılık ayrılanlar hariç, devam etmekte olan diğer davaların aleyhte sonuçlanma olasılığı yüksek görünmemekte ve yine bu davalara ilişkin nakit çıkışı öngörülmemektedir.</w:t>
      </w:r>
    </w:p>
    <w:p w14:paraId="5B549D65" w14:textId="77777777" w:rsidR="00A6628A" w:rsidRPr="00FB38E1" w:rsidRDefault="00A6628A" w:rsidP="007C20C8">
      <w:pPr>
        <w:pStyle w:val="BASLIK2"/>
        <w:widowControl/>
        <w:numPr>
          <w:ilvl w:val="1"/>
          <w:numId w:val="34"/>
        </w:numPr>
        <w:spacing w:line="240" w:lineRule="exact"/>
        <w:ind w:left="0" w:hanging="567"/>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noProof/>
          <w:snapToGrid w:val="0"/>
          <w:sz w:val="20"/>
          <w:szCs w:val="20"/>
          <w:lang w:val="de-DE"/>
        </w:rPr>
        <w:t>Başkaları nam ve hesabına verilen hizmetlere ilişkin açıklamalar</w:t>
      </w:r>
    </w:p>
    <w:p w14:paraId="0959F690" w14:textId="178F67A7" w:rsidR="00A6628A" w:rsidRPr="00FB38E1" w:rsidRDefault="00A6628A"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lang w:val="pt-BR" w:eastAsia="tr-TR"/>
        </w:rPr>
      </w:pPr>
      <w:r w:rsidRPr="00FB38E1">
        <w:rPr>
          <w:rFonts w:ascii="Microsoft Sans Serif" w:hAnsi="Microsoft Sans Serif" w:cs="Microsoft Sans Serif"/>
          <w:color w:val="404040" w:themeColor="text1" w:themeTint="BF"/>
          <w:sz w:val="20"/>
          <w:szCs w:val="20"/>
          <w:lang w:val="pt-BR" w:eastAsia="tr-TR"/>
        </w:rPr>
        <w:t>Banka başkalarının nam ve hesabına alım, satım, saklama, yönetim ve danışmanlık hizmetleri vermektedir.</w:t>
      </w:r>
    </w:p>
    <w:p w14:paraId="3D7FECE4" w14:textId="6FAFAD09" w:rsidR="00003F34" w:rsidRPr="00FB38E1" w:rsidRDefault="00003F34"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lang w:val="pt-BR" w:eastAsia="tr-TR"/>
        </w:rPr>
      </w:pPr>
    </w:p>
    <w:p w14:paraId="418E13AD" w14:textId="45D94735" w:rsidR="00AA06C9" w:rsidRPr="00FB38E1" w:rsidRDefault="00AA06C9" w:rsidP="00003F34">
      <w:pPr>
        <w:pStyle w:val="ListParagraph"/>
        <w:autoSpaceDE w:val="0"/>
        <w:autoSpaceDN w:val="0"/>
        <w:adjustRightInd w:val="0"/>
        <w:spacing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br w:type="page"/>
      </w:r>
    </w:p>
    <w:p w14:paraId="42DDF2B3" w14:textId="7FFD71B4" w:rsidR="00B77B7E" w:rsidRPr="00FB38E1" w:rsidRDefault="00B77B7E" w:rsidP="00B77B7E">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rPr>
      </w:pPr>
      <w:r w:rsidRPr="00FB38E1">
        <w:rPr>
          <w:rFonts w:ascii="Microsoft Sans Serif" w:hAnsi="Microsoft Sans Serif" w:cs="Microsoft Sans Serif"/>
          <w:b/>
        </w:rPr>
        <w:t>Gelir tablosuna ilişkin açıklama ve dipnotlar</w:t>
      </w:r>
    </w:p>
    <w:p w14:paraId="57B49AB0" w14:textId="77777777" w:rsidR="00B77B7E" w:rsidRPr="00FB38E1" w:rsidRDefault="00B77B7E" w:rsidP="00783F3E">
      <w:pPr>
        <w:pStyle w:val="BASLIK2"/>
        <w:widowControl/>
        <w:numPr>
          <w:ilvl w:val="0"/>
          <w:numId w:val="36"/>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sz w:val="20"/>
          <w:szCs w:val="20"/>
          <w:lang w:val="es-ES"/>
        </w:rPr>
        <w:t>Faiz gelirleri</w:t>
      </w:r>
    </w:p>
    <w:p w14:paraId="469F2DB9" w14:textId="77777777" w:rsidR="00B77B7E" w:rsidRPr="00FB38E1" w:rsidRDefault="00B77B7E" w:rsidP="00783F3E">
      <w:pPr>
        <w:pStyle w:val="BASLIK2"/>
        <w:widowControl/>
        <w:numPr>
          <w:ilvl w:val="2"/>
          <w:numId w:val="34"/>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iCs/>
          <w:sz w:val="20"/>
          <w:szCs w:val="20"/>
          <w:lang w:val="es-ES"/>
        </w:rPr>
        <w:t>Kredilerden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32"/>
        <w:gridCol w:w="1396"/>
        <w:gridCol w:w="977"/>
        <w:gridCol w:w="1118"/>
        <w:gridCol w:w="916"/>
      </w:tblGrid>
      <w:tr w:rsidR="00B77B7E" w:rsidRPr="00FB38E1" w14:paraId="0399FCC3" w14:textId="77777777" w:rsidTr="005419A8">
        <w:tc>
          <w:tcPr>
            <w:tcW w:w="2714" w:type="pct"/>
            <w:vAlign w:val="bottom"/>
          </w:tcPr>
          <w:p w14:paraId="63A9FF9A" w14:textId="77777777" w:rsidR="00B77B7E" w:rsidRPr="00FB38E1" w:rsidRDefault="00B77B7E" w:rsidP="00783F3E">
            <w:pPr>
              <w:rPr>
                <w:rFonts w:ascii="Microsoft Sans Serif" w:hAnsi="Microsoft Sans Serif" w:cs="Microsoft Sans Serif"/>
                <w:color w:val="000000"/>
                <w:sz w:val="16"/>
                <w:szCs w:val="16"/>
              </w:rPr>
            </w:pPr>
          </w:p>
        </w:tc>
        <w:tc>
          <w:tcPr>
            <w:tcW w:w="1231" w:type="pct"/>
            <w:gridSpan w:val="2"/>
            <w:tcBorders>
              <w:bottom w:val="nil"/>
            </w:tcBorders>
            <w:vAlign w:val="bottom"/>
          </w:tcPr>
          <w:p w14:paraId="0BBF9848" w14:textId="77777777" w:rsidR="00B77B7E" w:rsidRPr="00FB38E1" w:rsidRDefault="00B77B7E" w:rsidP="00783F3E">
            <w:pPr>
              <w:pStyle w:val="ListParagraph"/>
              <w:ind w:left="5"/>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055" w:type="pct"/>
            <w:gridSpan w:val="2"/>
            <w:tcBorders>
              <w:bottom w:val="nil"/>
            </w:tcBorders>
          </w:tcPr>
          <w:p w14:paraId="5041B3C2" w14:textId="77777777" w:rsidR="00B77B7E" w:rsidRPr="00FB38E1" w:rsidRDefault="00B77B7E" w:rsidP="00783F3E">
            <w:pPr>
              <w:pStyle w:val="ListParagraph"/>
              <w:ind w:left="5"/>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B77B7E" w:rsidRPr="00FB38E1" w14:paraId="24D92E9F" w14:textId="77777777" w:rsidTr="005419A8">
        <w:tc>
          <w:tcPr>
            <w:tcW w:w="2714" w:type="pct"/>
            <w:tcBorders>
              <w:bottom w:val="single" w:sz="4" w:space="0" w:color="auto"/>
            </w:tcBorders>
            <w:vAlign w:val="center"/>
          </w:tcPr>
          <w:p w14:paraId="45826BCD" w14:textId="77777777" w:rsidR="00B77B7E" w:rsidRPr="00FB38E1" w:rsidRDefault="00B77B7E" w:rsidP="00783F3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724" w:type="pct"/>
            <w:tcBorders>
              <w:top w:val="single" w:sz="4" w:space="0" w:color="auto"/>
              <w:bottom w:val="single" w:sz="4" w:space="0" w:color="auto"/>
            </w:tcBorders>
            <w:vAlign w:val="center"/>
          </w:tcPr>
          <w:p w14:paraId="376E82B2"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07" w:type="pct"/>
            <w:tcBorders>
              <w:top w:val="single" w:sz="4" w:space="0" w:color="auto"/>
              <w:bottom w:val="single" w:sz="4" w:space="0" w:color="auto"/>
            </w:tcBorders>
            <w:vAlign w:val="center"/>
          </w:tcPr>
          <w:p w14:paraId="2598BDBC"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80" w:type="pct"/>
            <w:tcBorders>
              <w:top w:val="single" w:sz="4" w:space="0" w:color="auto"/>
              <w:bottom w:val="single" w:sz="4" w:space="0" w:color="auto"/>
            </w:tcBorders>
            <w:vAlign w:val="center"/>
          </w:tcPr>
          <w:p w14:paraId="6FB38B51"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475" w:type="pct"/>
            <w:tcBorders>
              <w:top w:val="single" w:sz="4" w:space="0" w:color="auto"/>
              <w:bottom w:val="single" w:sz="4" w:space="0" w:color="auto"/>
            </w:tcBorders>
            <w:vAlign w:val="center"/>
          </w:tcPr>
          <w:p w14:paraId="55F4A134"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AD359A" w:rsidRPr="00FB38E1" w14:paraId="6C8A3DF1" w14:textId="77777777" w:rsidTr="005419A8">
        <w:tc>
          <w:tcPr>
            <w:tcW w:w="2714" w:type="pct"/>
            <w:vAlign w:val="bottom"/>
          </w:tcPr>
          <w:p w14:paraId="3ADE3E5D"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Kısa Vadeli Kredilerden</w:t>
            </w:r>
          </w:p>
        </w:tc>
        <w:tc>
          <w:tcPr>
            <w:tcW w:w="724" w:type="pct"/>
            <w:vAlign w:val="center"/>
          </w:tcPr>
          <w:p w14:paraId="7B0B3CE4" w14:textId="6557B26A"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90.989.866</w:t>
            </w:r>
          </w:p>
        </w:tc>
        <w:tc>
          <w:tcPr>
            <w:tcW w:w="507" w:type="pct"/>
            <w:vAlign w:val="center"/>
          </w:tcPr>
          <w:p w14:paraId="792BDF20" w14:textId="4802A7CD"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7.476.998</w:t>
            </w:r>
          </w:p>
        </w:tc>
        <w:tc>
          <w:tcPr>
            <w:tcW w:w="580" w:type="pct"/>
            <w:vAlign w:val="center"/>
          </w:tcPr>
          <w:p w14:paraId="231BC8D6" w14:textId="2A2C9D49"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32.513.178</w:t>
            </w:r>
          </w:p>
        </w:tc>
        <w:tc>
          <w:tcPr>
            <w:tcW w:w="475" w:type="pct"/>
            <w:vAlign w:val="center"/>
          </w:tcPr>
          <w:p w14:paraId="7BF4771B" w14:textId="25615F02"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4.364.483</w:t>
            </w:r>
          </w:p>
        </w:tc>
      </w:tr>
      <w:tr w:rsidR="00AD359A" w:rsidRPr="00FB38E1" w14:paraId="5236D1E7" w14:textId="77777777" w:rsidTr="005419A8">
        <w:tc>
          <w:tcPr>
            <w:tcW w:w="2714" w:type="pct"/>
            <w:vAlign w:val="bottom"/>
          </w:tcPr>
          <w:p w14:paraId="0E773F90"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Orta ve Uzun Vadeli Kredilerden</w:t>
            </w:r>
          </w:p>
        </w:tc>
        <w:tc>
          <w:tcPr>
            <w:tcW w:w="724" w:type="pct"/>
            <w:vAlign w:val="center"/>
          </w:tcPr>
          <w:p w14:paraId="0FCE3847" w14:textId="6E9AE603"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57.499.896</w:t>
            </w:r>
          </w:p>
        </w:tc>
        <w:tc>
          <w:tcPr>
            <w:tcW w:w="507" w:type="pct"/>
            <w:vAlign w:val="center"/>
          </w:tcPr>
          <w:p w14:paraId="7551C1C6" w14:textId="74639015"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10.563.361</w:t>
            </w:r>
          </w:p>
        </w:tc>
        <w:tc>
          <w:tcPr>
            <w:tcW w:w="580" w:type="pct"/>
            <w:vAlign w:val="center"/>
          </w:tcPr>
          <w:p w14:paraId="5C83BBCB" w14:textId="7DBFACE4"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23.075.561</w:t>
            </w:r>
          </w:p>
        </w:tc>
        <w:tc>
          <w:tcPr>
            <w:tcW w:w="475" w:type="pct"/>
            <w:vAlign w:val="center"/>
          </w:tcPr>
          <w:p w14:paraId="44C8461E" w14:textId="0C4C183F"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7.589.518</w:t>
            </w:r>
          </w:p>
        </w:tc>
      </w:tr>
      <w:tr w:rsidR="00AD359A" w:rsidRPr="00FB38E1" w14:paraId="2231419C" w14:textId="77777777" w:rsidTr="005419A8">
        <w:tc>
          <w:tcPr>
            <w:tcW w:w="2714" w:type="pct"/>
            <w:vAlign w:val="bottom"/>
          </w:tcPr>
          <w:p w14:paraId="1C1F5F11" w14:textId="77777777" w:rsidR="00AD359A" w:rsidRPr="00FB38E1" w:rsidRDefault="00AD359A" w:rsidP="00AD359A">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Takipteki Alacaklardan Alınan Faizler</w:t>
            </w:r>
          </w:p>
        </w:tc>
        <w:tc>
          <w:tcPr>
            <w:tcW w:w="724" w:type="pct"/>
            <w:vAlign w:val="center"/>
          </w:tcPr>
          <w:p w14:paraId="7A8EC1F9" w14:textId="343ACF08"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1.764.859</w:t>
            </w:r>
          </w:p>
        </w:tc>
        <w:tc>
          <w:tcPr>
            <w:tcW w:w="507" w:type="pct"/>
            <w:vAlign w:val="center"/>
          </w:tcPr>
          <w:p w14:paraId="51B47381" w14:textId="60F4AC1D"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9.147</w:t>
            </w:r>
          </w:p>
        </w:tc>
        <w:tc>
          <w:tcPr>
            <w:tcW w:w="580" w:type="pct"/>
            <w:vAlign w:val="center"/>
          </w:tcPr>
          <w:p w14:paraId="12BFF40F" w14:textId="7A05C12B"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1.050.666</w:t>
            </w:r>
          </w:p>
        </w:tc>
        <w:tc>
          <w:tcPr>
            <w:tcW w:w="475" w:type="pct"/>
            <w:vAlign w:val="center"/>
          </w:tcPr>
          <w:p w14:paraId="69028EE8" w14:textId="5FC4F4AE" w:rsidR="00AD359A" w:rsidRPr="00FB38E1" w:rsidRDefault="00AD359A" w:rsidP="00AD359A">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203.898</w:t>
            </w:r>
          </w:p>
        </w:tc>
      </w:tr>
      <w:tr w:rsidR="002A5899" w:rsidRPr="00FB38E1" w14:paraId="4FAC6B39" w14:textId="77777777" w:rsidTr="005419A8">
        <w:tc>
          <w:tcPr>
            <w:tcW w:w="2714" w:type="pct"/>
            <w:vAlign w:val="bottom"/>
          </w:tcPr>
          <w:p w14:paraId="56AEC3A7" w14:textId="77777777" w:rsidR="002A5899" w:rsidRPr="00FB38E1" w:rsidRDefault="002A5899" w:rsidP="002A5899">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Kaynak Kul.Destekleme Fonundan Alınan Primler</w:t>
            </w:r>
          </w:p>
        </w:tc>
        <w:tc>
          <w:tcPr>
            <w:tcW w:w="724" w:type="pct"/>
            <w:vAlign w:val="center"/>
          </w:tcPr>
          <w:p w14:paraId="0994D089" w14:textId="142E6AF9"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07" w:type="pct"/>
            <w:vAlign w:val="center"/>
          </w:tcPr>
          <w:p w14:paraId="2D10DCB4" w14:textId="1C920736"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0" w:type="pct"/>
            <w:vAlign w:val="center"/>
          </w:tcPr>
          <w:p w14:paraId="7AEFC36C" w14:textId="64A71736"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5B2904DD" w14:textId="1E661FBB"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AD359A" w:rsidRPr="00FB38E1" w14:paraId="732A9584" w14:textId="77777777" w:rsidTr="005419A8">
        <w:tc>
          <w:tcPr>
            <w:tcW w:w="2714" w:type="pct"/>
            <w:tcBorders>
              <w:top w:val="single" w:sz="4" w:space="0" w:color="auto"/>
              <w:bottom w:val="thickThinSmallGap" w:sz="24" w:space="0" w:color="auto"/>
            </w:tcBorders>
            <w:vAlign w:val="bottom"/>
          </w:tcPr>
          <w:p w14:paraId="249A5ADA" w14:textId="77777777" w:rsidR="00AD359A" w:rsidRPr="00FB38E1" w:rsidRDefault="00AD359A" w:rsidP="00AD359A">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24" w:type="pct"/>
            <w:tcBorders>
              <w:top w:val="single" w:sz="4" w:space="0" w:color="auto"/>
              <w:bottom w:val="thickThinSmallGap" w:sz="24" w:space="0" w:color="auto"/>
            </w:tcBorders>
            <w:vAlign w:val="center"/>
          </w:tcPr>
          <w:p w14:paraId="509C1B4F" w14:textId="5581116A" w:rsidR="00AD359A" w:rsidRPr="00FB38E1" w:rsidRDefault="00AD359A" w:rsidP="00AD359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150.254.621</w:t>
            </w:r>
          </w:p>
        </w:tc>
        <w:tc>
          <w:tcPr>
            <w:tcW w:w="507" w:type="pct"/>
            <w:tcBorders>
              <w:top w:val="single" w:sz="4" w:space="0" w:color="auto"/>
              <w:bottom w:val="thickThinSmallGap" w:sz="24" w:space="0" w:color="auto"/>
            </w:tcBorders>
            <w:vAlign w:val="center"/>
          </w:tcPr>
          <w:p w14:paraId="0FD095CC" w14:textId="07D6690D" w:rsidR="00AD359A" w:rsidRPr="00FB38E1" w:rsidRDefault="00AD359A" w:rsidP="00AD359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18.049.506</w:t>
            </w:r>
          </w:p>
        </w:tc>
        <w:tc>
          <w:tcPr>
            <w:tcW w:w="580" w:type="pct"/>
            <w:tcBorders>
              <w:top w:val="single" w:sz="4" w:space="0" w:color="auto"/>
              <w:bottom w:val="thickThinSmallGap" w:sz="24" w:space="0" w:color="auto"/>
            </w:tcBorders>
            <w:vAlign w:val="center"/>
          </w:tcPr>
          <w:p w14:paraId="500F5C65" w14:textId="6CD5E71E" w:rsidR="00AD359A" w:rsidRPr="00FB38E1" w:rsidRDefault="00AD359A" w:rsidP="00AD359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56.639.405</w:t>
            </w:r>
          </w:p>
        </w:tc>
        <w:tc>
          <w:tcPr>
            <w:tcW w:w="475" w:type="pct"/>
            <w:tcBorders>
              <w:top w:val="single" w:sz="4" w:space="0" w:color="auto"/>
              <w:bottom w:val="thickThinSmallGap" w:sz="24" w:space="0" w:color="auto"/>
            </w:tcBorders>
            <w:vAlign w:val="center"/>
          </w:tcPr>
          <w:p w14:paraId="78586BC0" w14:textId="41110136" w:rsidR="00AD359A" w:rsidRPr="00FB38E1" w:rsidRDefault="00AD359A" w:rsidP="00AD359A">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12.157.899</w:t>
            </w:r>
          </w:p>
        </w:tc>
      </w:tr>
    </w:tbl>
    <w:p w14:paraId="43B6D107" w14:textId="77777777" w:rsidR="00B77B7E" w:rsidRPr="00FB38E1" w:rsidRDefault="00B77B7E" w:rsidP="00783F3E">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b w:val="0"/>
          <w:color w:val="404040" w:themeColor="text1" w:themeTint="BF"/>
          <w:sz w:val="16"/>
          <w:szCs w:val="16"/>
        </w:rPr>
        <w:t>Kredilerden alınan faiz gelirleri, nakdi kredilere ilişkin ücret ve komisyon gelirlerini de içermektedir.</w:t>
      </w:r>
    </w:p>
    <w:p w14:paraId="577DDEEB" w14:textId="77777777" w:rsidR="00B77B7E" w:rsidRPr="00FB38E1" w:rsidRDefault="00B77B7E" w:rsidP="00783F3E">
      <w:pPr>
        <w:pStyle w:val="BASLIK2"/>
        <w:widowControl/>
        <w:numPr>
          <w:ilvl w:val="2"/>
          <w:numId w:val="34"/>
        </w:numPr>
        <w:spacing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iCs/>
          <w:sz w:val="20"/>
          <w:szCs w:val="20"/>
        </w:rPr>
        <w:t>Bankalardan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9"/>
        <w:gridCol w:w="1415"/>
        <w:gridCol w:w="991"/>
        <w:gridCol w:w="1134"/>
        <w:gridCol w:w="850"/>
      </w:tblGrid>
      <w:tr w:rsidR="00B77B7E" w:rsidRPr="00FB38E1" w14:paraId="781BDE87" w14:textId="77777777" w:rsidTr="00902C88">
        <w:tc>
          <w:tcPr>
            <w:tcW w:w="2723" w:type="pct"/>
            <w:vAlign w:val="bottom"/>
          </w:tcPr>
          <w:p w14:paraId="12DDD45C" w14:textId="77777777" w:rsidR="00B77B7E" w:rsidRPr="00FB38E1" w:rsidRDefault="00B77B7E" w:rsidP="00783F3E">
            <w:pPr>
              <w:rPr>
                <w:rFonts w:ascii="Microsoft Sans Serif" w:hAnsi="Microsoft Sans Serif" w:cs="Microsoft Sans Serif"/>
                <w:color w:val="000000"/>
                <w:sz w:val="16"/>
                <w:szCs w:val="16"/>
              </w:rPr>
            </w:pPr>
          </w:p>
        </w:tc>
        <w:tc>
          <w:tcPr>
            <w:tcW w:w="1248" w:type="pct"/>
            <w:gridSpan w:val="2"/>
            <w:tcBorders>
              <w:bottom w:val="nil"/>
            </w:tcBorders>
            <w:vAlign w:val="bottom"/>
          </w:tcPr>
          <w:p w14:paraId="632891FB" w14:textId="77777777" w:rsidR="00B77B7E" w:rsidRPr="00FB38E1" w:rsidRDefault="00B77B7E" w:rsidP="00783F3E">
            <w:pPr>
              <w:pStyle w:val="ListParagraph"/>
              <w:ind w:left="5"/>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029" w:type="pct"/>
            <w:gridSpan w:val="2"/>
            <w:tcBorders>
              <w:bottom w:val="nil"/>
            </w:tcBorders>
          </w:tcPr>
          <w:p w14:paraId="26752BBE" w14:textId="77777777" w:rsidR="00B77B7E" w:rsidRPr="00FB38E1" w:rsidRDefault="00B77B7E" w:rsidP="00783F3E">
            <w:pPr>
              <w:pStyle w:val="ListParagraph"/>
              <w:ind w:left="5"/>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B77B7E" w:rsidRPr="00FB38E1" w14:paraId="53F88EFA" w14:textId="77777777" w:rsidTr="00902C88">
        <w:tc>
          <w:tcPr>
            <w:tcW w:w="2723" w:type="pct"/>
            <w:tcBorders>
              <w:bottom w:val="single" w:sz="4" w:space="0" w:color="auto"/>
            </w:tcBorders>
            <w:vAlign w:val="center"/>
          </w:tcPr>
          <w:p w14:paraId="6034DE52" w14:textId="77777777" w:rsidR="00B77B7E" w:rsidRPr="00FB38E1" w:rsidRDefault="00B77B7E" w:rsidP="00783F3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734" w:type="pct"/>
            <w:tcBorders>
              <w:top w:val="single" w:sz="4" w:space="0" w:color="auto"/>
              <w:bottom w:val="single" w:sz="4" w:space="0" w:color="auto"/>
            </w:tcBorders>
            <w:vAlign w:val="center"/>
          </w:tcPr>
          <w:p w14:paraId="6741E49A"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14" w:type="pct"/>
            <w:tcBorders>
              <w:top w:val="single" w:sz="4" w:space="0" w:color="auto"/>
              <w:bottom w:val="single" w:sz="4" w:space="0" w:color="auto"/>
            </w:tcBorders>
            <w:vAlign w:val="center"/>
          </w:tcPr>
          <w:p w14:paraId="65EBC89A"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217BA1ED"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441" w:type="pct"/>
            <w:tcBorders>
              <w:top w:val="single" w:sz="4" w:space="0" w:color="auto"/>
              <w:bottom w:val="single" w:sz="4" w:space="0" w:color="auto"/>
            </w:tcBorders>
            <w:vAlign w:val="center"/>
          </w:tcPr>
          <w:p w14:paraId="1EFFBCBE"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BB0931" w:rsidRPr="00FB38E1" w14:paraId="7FE5445A" w14:textId="77777777" w:rsidTr="00902C88">
        <w:tc>
          <w:tcPr>
            <w:tcW w:w="2723" w:type="pct"/>
            <w:vAlign w:val="bottom"/>
          </w:tcPr>
          <w:p w14:paraId="0191F161"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TC Merkez Bankasından</w:t>
            </w:r>
          </w:p>
        </w:tc>
        <w:tc>
          <w:tcPr>
            <w:tcW w:w="734" w:type="pct"/>
            <w:vAlign w:val="center"/>
          </w:tcPr>
          <w:p w14:paraId="56E5C092" w14:textId="48191DD8"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w:t>
            </w:r>
          </w:p>
        </w:tc>
        <w:tc>
          <w:tcPr>
            <w:tcW w:w="514" w:type="pct"/>
            <w:vAlign w:val="center"/>
          </w:tcPr>
          <w:p w14:paraId="471992EE" w14:textId="7A21E36E"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w:t>
            </w:r>
          </w:p>
        </w:tc>
        <w:tc>
          <w:tcPr>
            <w:tcW w:w="588" w:type="pct"/>
            <w:vAlign w:val="center"/>
          </w:tcPr>
          <w:p w14:paraId="3B269D5C" w14:textId="75D9CBE2"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w:t>
            </w:r>
          </w:p>
        </w:tc>
        <w:tc>
          <w:tcPr>
            <w:tcW w:w="441" w:type="pct"/>
            <w:vAlign w:val="center"/>
          </w:tcPr>
          <w:p w14:paraId="536FB7A6" w14:textId="34635428"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w:t>
            </w:r>
          </w:p>
        </w:tc>
      </w:tr>
      <w:tr w:rsidR="00BB0931" w:rsidRPr="00FB38E1" w14:paraId="1CB17F96" w14:textId="77777777" w:rsidTr="00902C88">
        <w:tc>
          <w:tcPr>
            <w:tcW w:w="2723" w:type="pct"/>
            <w:vAlign w:val="bottom"/>
          </w:tcPr>
          <w:p w14:paraId="197C23DD"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içi Bankalardan</w:t>
            </w:r>
          </w:p>
        </w:tc>
        <w:tc>
          <w:tcPr>
            <w:tcW w:w="734" w:type="pct"/>
            <w:vAlign w:val="center"/>
          </w:tcPr>
          <w:p w14:paraId="4A788FCE" w14:textId="078AF7E5"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17.204.512</w:t>
            </w:r>
          </w:p>
        </w:tc>
        <w:tc>
          <w:tcPr>
            <w:tcW w:w="514" w:type="pct"/>
            <w:vAlign w:val="center"/>
          </w:tcPr>
          <w:p w14:paraId="0E31A65C" w14:textId="44ED81E9"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379.625</w:t>
            </w:r>
          </w:p>
        </w:tc>
        <w:tc>
          <w:tcPr>
            <w:tcW w:w="588" w:type="pct"/>
            <w:vAlign w:val="center"/>
          </w:tcPr>
          <w:p w14:paraId="21C7C6B4" w14:textId="5C97C1A0"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2.925.994</w:t>
            </w:r>
          </w:p>
        </w:tc>
        <w:tc>
          <w:tcPr>
            <w:tcW w:w="441" w:type="pct"/>
            <w:vAlign w:val="center"/>
          </w:tcPr>
          <w:p w14:paraId="081EB279" w14:textId="2EDAB39D"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368.929</w:t>
            </w:r>
          </w:p>
        </w:tc>
      </w:tr>
      <w:tr w:rsidR="00BB0931" w:rsidRPr="00FB38E1" w14:paraId="4F872A65" w14:textId="77777777" w:rsidTr="00902C88">
        <w:tc>
          <w:tcPr>
            <w:tcW w:w="2723" w:type="pct"/>
            <w:vAlign w:val="bottom"/>
          </w:tcPr>
          <w:p w14:paraId="607856BC"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 Bankalardan</w:t>
            </w:r>
          </w:p>
        </w:tc>
        <w:tc>
          <w:tcPr>
            <w:tcW w:w="734" w:type="pct"/>
            <w:vAlign w:val="center"/>
          </w:tcPr>
          <w:p w14:paraId="03A461D0" w14:textId="4A094F8B"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302.674</w:t>
            </w:r>
          </w:p>
        </w:tc>
        <w:tc>
          <w:tcPr>
            <w:tcW w:w="514" w:type="pct"/>
            <w:vAlign w:val="center"/>
          </w:tcPr>
          <w:p w14:paraId="5449112C" w14:textId="7C7A4A34"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2.184.821</w:t>
            </w:r>
          </w:p>
        </w:tc>
        <w:tc>
          <w:tcPr>
            <w:tcW w:w="588" w:type="pct"/>
            <w:vAlign w:val="center"/>
          </w:tcPr>
          <w:p w14:paraId="1224B00F" w14:textId="2863867E"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11.082</w:t>
            </w:r>
          </w:p>
        </w:tc>
        <w:tc>
          <w:tcPr>
            <w:tcW w:w="441" w:type="pct"/>
            <w:vAlign w:val="center"/>
          </w:tcPr>
          <w:p w14:paraId="2482F895" w14:textId="516C0CA7"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703.831</w:t>
            </w:r>
          </w:p>
        </w:tc>
      </w:tr>
      <w:tr w:rsidR="00BB0931" w:rsidRPr="00FB38E1" w14:paraId="64E624C6" w14:textId="77777777" w:rsidTr="00902C88">
        <w:tc>
          <w:tcPr>
            <w:tcW w:w="2723" w:type="pct"/>
            <w:vAlign w:val="bottom"/>
          </w:tcPr>
          <w:p w14:paraId="0F723C5C"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 Merkez ve Şubelerden</w:t>
            </w:r>
          </w:p>
        </w:tc>
        <w:tc>
          <w:tcPr>
            <w:tcW w:w="734" w:type="pct"/>
            <w:vAlign w:val="center"/>
          </w:tcPr>
          <w:p w14:paraId="2C825CD4" w14:textId="65B76179"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w:t>
            </w:r>
          </w:p>
        </w:tc>
        <w:tc>
          <w:tcPr>
            <w:tcW w:w="514" w:type="pct"/>
            <w:vAlign w:val="center"/>
          </w:tcPr>
          <w:p w14:paraId="20300ED4" w14:textId="2D74B9B7"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w:t>
            </w:r>
          </w:p>
        </w:tc>
        <w:tc>
          <w:tcPr>
            <w:tcW w:w="588" w:type="pct"/>
            <w:vAlign w:val="center"/>
          </w:tcPr>
          <w:p w14:paraId="6EB59E60" w14:textId="3DBA3A10"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w:t>
            </w:r>
          </w:p>
        </w:tc>
        <w:tc>
          <w:tcPr>
            <w:tcW w:w="441" w:type="pct"/>
            <w:vAlign w:val="center"/>
          </w:tcPr>
          <w:p w14:paraId="4889AE07" w14:textId="6CD12850"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w:t>
            </w:r>
          </w:p>
        </w:tc>
      </w:tr>
      <w:tr w:rsidR="00BB0931" w:rsidRPr="00FB38E1" w14:paraId="30A5E652" w14:textId="77777777" w:rsidTr="00902C88">
        <w:tc>
          <w:tcPr>
            <w:tcW w:w="2723" w:type="pct"/>
            <w:tcBorders>
              <w:top w:val="single" w:sz="4" w:space="0" w:color="auto"/>
              <w:bottom w:val="thickThinSmallGap" w:sz="24" w:space="0" w:color="auto"/>
            </w:tcBorders>
            <w:vAlign w:val="bottom"/>
          </w:tcPr>
          <w:p w14:paraId="6C1D9EC9"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734" w:type="pct"/>
            <w:tcBorders>
              <w:top w:val="single" w:sz="4" w:space="0" w:color="auto"/>
              <w:bottom w:val="thickThinSmallGap" w:sz="24" w:space="0" w:color="auto"/>
            </w:tcBorders>
            <w:vAlign w:val="center"/>
          </w:tcPr>
          <w:p w14:paraId="47618393" w14:textId="5285B226" w:rsidR="00BB0931" w:rsidRPr="00FB38E1" w:rsidRDefault="00BB0931" w:rsidP="00BB0931">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17.507.186</w:t>
            </w:r>
          </w:p>
        </w:tc>
        <w:tc>
          <w:tcPr>
            <w:tcW w:w="514" w:type="pct"/>
            <w:tcBorders>
              <w:top w:val="single" w:sz="4" w:space="0" w:color="auto"/>
              <w:bottom w:val="thickThinSmallGap" w:sz="24" w:space="0" w:color="auto"/>
            </w:tcBorders>
            <w:vAlign w:val="center"/>
          </w:tcPr>
          <w:p w14:paraId="0301704E" w14:textId="6DEBA518" w:rsidR="00BB0931" w:rsidRPr="00FB38E1" w:rsidRDefault="00BB0931" w:rsidP="00BB0931">
            <w:pPr>
              <w:jc w:val="right"/>
              <w:rPr>
                <w:rFonts w:ascii="Microsoft Sans Serif" w:hAnsi="Microsoft Sans Serif" w:cs="Microsoft Sans Serif"/>
                <w:b/>
                <w:bCs/>
                <w:sz w:val="16"/>
                <w:szCs w:val="16"/>
              </w:rPr>
            </w:pPr>
            <w:r w:rsidRPr="00FB38E1">
              <w:rPr>
                <w:rFonts w:ascii="Microsoft Sans Serif" w:hAnsi="Microsoft Sans Serif" w:cs="Microsoft Sans Serif"/>
                <w:b/>
                <w:bCs/>
                <w:sz w:val="16"/>
                <w:szCs w:val="16"/>
              </w:rPr>
              <w:t>2.564.446</w:t>
            </w:r>
          </w:p>
        </w:tc>
        <w:tc>
          <w:tcPr>
            <w:tcW w:w="588" w:type="pct"/>
            <w:tcBorders>
              <w:top w:val="single" w:sz="4" w:space="0" w:color="auto"/>
              <w:bottom w:val="thickThinSmallGap" w:sz="24" w:space="0" w:color="auto"/>
            </w:tcBorders>
            <w:vAlign w:val="center"/>
          </w:tcPr>
          <w:p w14:paraId="693E01E7" w14:textId="585D1759" w:rsidR="00BB0931" w:rsidRPr="00FB38E1" w:rsidRDefault="00BB0931" w:rsidP="00BB0931">
            <w:pPr>
              <w:jc w:val="right"/>
              <w:rPr>
                <w:rFonts w:ascii="Microsoft Sans Serif" w:hAnsi="Microsoft Sans Serif" w:cs="Microsoft Sans Serif"/>
                <w:b/>
                <w:bCs/>
                <w:color w:val="000000" w:themeColor="text1"/>
                <w:sz w:val="16"/>
                <w:szCs w:val="16"/>
              </w:rPr>
            </w:pPr>
            <w:r w:rsidRPr="00FB38E1">
              <w:rPr>
                <w:rFonts w:ascii="Microsoft Sans Serif" w:hAnsi="Microsoft Sans Serif" w:cs="Microsoft Sans Serif"/>
                <w:b/>
                <w:bCs/>
                <w:sz w:val="16"/>
                <w:szCs w:val="16"/>
              </w:rPr>
              <w:t>2.937.076</w:t>
            </w:r>
          </w:p>
        </w:tc>
        <w:tc>
          <w:tcPr>
            <w:tcW w:w="441" w:type="pct"/>
            <w:tcBorders>
              <w:top w:val="single" w:sz="4" w:space="0" w:color="auto"/>
              <w:bottom w:val="thickThinSmallGap" w:sz="24" w:space="0" w:color="auto"/>
            </w:tcBorders>
            <w:vAlign w:val="center"/>
          </w:tcPr>
          <w:p w14:paraId="0ADBE326" w14:textId="1B67018C" w:rsidR="00BB0931" w:rsidRPr="00FB38E1" w:rsidRDefault="00BB0931" w:rsidP="00BB0931">
            <w:pPr>
              <w:jc w:val="right"/>
              <w:rPr>
                <w:rFonts w:ascii="Microsoft Sans Serif" w:hAnsi="Microsoft Sans Serif" w:cs="Microsoft Sans Serif"/>
                <w:b/>
                <w:bCs/>
                <w:color w:val="000000" w:themeColor="text1"/>
                <w:sz w:val="16"/>
                <w:szCs w:val="16"/>
              </w:rPr>
            </w:pPr>
            <w:r w:rsidRPr="00FB38E1">
              <w:rPr>
                <w:rFonts w:ascii="Microsoft Sans Serif" w:hAnsi="Microsoft Sans Serif" w:cs="Microsoft Sans Serif"/>
                <w:b/>
                <w:bCs/>
                <w:sz w:val="16"/>
                <w:szCs w:val="16"/>
              </w:rPr>
              <w:t>1.072.760</w:t>
            </w:r>
          </w:p>
        </w:tc>
      </w:tr>
    </w:tbl>
    <w:p w14:paraId="764316C0" w14:textId="77777777" w:rsidR="00B77B7E" w:rsidRPr="00FB38E1" w:rsidRDefault="00B77B7E" w:rsidP="00783F3E">
      <w:pPr>
        <w:pStyle w:val="BASLIK2"/>
        <w:widowControl/>
        <w:numPr>
          <w:ilvl w:val="2"/>
          <w:numId w:val="34"/>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iCs/>
          <w:sz w:val="20"/>
          <w:szCs w:val="20"/>
        </w:rPr>
        <w:t>Menkul değerlerden alınan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67"/>
        <w:gridCol w:w="995"/>
        <w:gridCol w:w="993"/>
        <w:gridCol w:w="1134"/>
        <w:gridCol w:w="850"/>
      </w:tblGrid>
      <w:tr w:rsidR="00B77B7E" w:rsidRPr="00FB38E1" w14:paraId="49D173E8" w14:textId="77777777" w:rsidTr="00902C88">
        <w:tc>
          <w:tcPr>
            <w:tcW w:w="2940" w:type="pct"/>
            <w:vAlign w:val="bottom"/>
          </w:tcPr>
          <w:p w14:paraId="06CCC42E" w14:textId="77777777" w:rsidR="00B77B7E" w:rsidRPr="00FB38E1" w:rsidRDefault="00B77B7E" w:rsidP="00783F3E">
            <w:pPr>
              <w:rPr>
                <w:rFonts w:ascii="Microsoft Sans Serif" w:hAnsi="Microsoft Sans Serif" w:cs="Microsoft Sans Serif"/>
                <w:color w:val="000000"/>
                <w:sz w:val="16"/>
                <w:szCs w:val="16"/>
              </w:rPr>
            </w:pPr>
          </w:p>
        </w:tc>
        <w:tc>
          <w:tcPr>
            <w:tcW w:w="1031" w:type="pct"/>
            <w:gridSpan w:val="2"/>
            <w:tcBorders>
              <w:bottom w:val="nil"/>
            </w:tcBorders>
            <w:vAlign w:val="bottom"/>
          </w:tcPr>
          <w:p w14:paraId="788ED912" w14:textId="77777777" w:rsidR="00B77B7E" w:rsidRPr="00FB38E1" w:rsidRDefault="00B77B7E" w:rsidP="00783F3E">
            <w:pPr>
              <w:pStyle w:val="ListParagraph"/>
              <w:ind w:left="5"/>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029" w:type="pct"/>
            <w:gridSpan w:val="2"/>
            <w:tcBorders>
              <w:bottom w:val="nil"/>
            </w:tcBorders>
          </w:tcPr>
          <w:p w14:paraId="1B2A88DE" w14:textId="77777777" w:rsidR="00B77B7E" w:rsidRPr="00FB38E1" w:rsidRDefault="00B77B7E" w:rsidP="00783F3E">
            <w:pPr>
              <w:pStyle w:val="ListParagraph"/>
              <w:ind w:left="5"/>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B77B7E" w:rsidRPr="00FB38E1" w14:paraId="5D687404" w14:textId="77777777" w:rsidTr="00902C88">
        <w:tc>
          <w:tcPr>
            <w:tcW w:w="2940" w:type="pct"/>
            <w:tcBorders>
              <w:bottom w:val="single" w:sz="4" w:space="0" w:color="auto"/>
            </w:tcBorders>
            <w:vAlign w:val="center"/>
          </w:tcPr>
          <w:p w14:paraId="03585B29" w14:textId="77777777" w:rsidR="00B77B7E" w:rsidRPr="00FB38E1" w:rsidRDefault="00B77B7E" w:rsidP="00783F3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516" w:type="pct"/>
            <w:tcBorders>
              <w:top w:val="single" w:sz="4" w:space="0" w:color="auto"/>
              <w:bottom w:val="single" w:sz="4" w:space="0" w:color="auto"/>
            </w:tcBorders>
            <w:vAlign w:val="center"/>
          </w:tcPr>
          <w:p w14:paraId="6FADD922"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15" w:type="pct"/>
            <w:tcBorders>
              <w:top w:val="single" w:sz="4" w:space="0" w:color="auto"/>
              <w:bottom w:val="single" w:sz="4" w:space="0" w:color="auto"/>
            </w:tcBorders>
            <w:vAlign w:val="center"/>
          </w:tcPr>
          <w:p w14:paraId="7B6FD1C1"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0BCEC23E"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441" w:type="pct"/>
            <w:tcBorders>
              <w:top w:val="single" w:sz="4" w:space="0" w:color="auto"/>
              <w:bottom w:val="single" w:sz="4" w:space="0" w:color="auto"/>
            </w:tcBorders>
            <w:vAlign w:val="center"/>
          </w:tcPr>
          <w:p w14:paraId="15FE7202"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BB0931" w:rsidRPr="00FB38E1" w14:paraId="28386573" w14:textId="77777777" w:rsidTr="00902C88">
        <w:tc>
          <w:tcPr>
            <w:tcW w:w="2940" w:type="pct"/>
            <w:vAlign w:val="bottom"/>
          </w:tcPr>
          <w:p w14:paraId="0B37ADA0"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Gerçeğe Uygun Değer Farkı Kar veya Zarara Yansıtılan Finansal Varlıklardan</w:t>
            </w:r>
          </w:p>
        </w:tc>
        <w:tc>
          <w:tcPr>
            <w:tcW w:w="516" w:type="pct"/>
            <w:shd w:val="clear" w:color="auto" w:fill="auto"/>
            <w:vAlign w:val="center"/>
          </w:tcPr>
          <w:p w14:paraId="720C8360" w14:textId="5D05E425"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408.927</w:t>
            </w:r>
          </w:p>
        </w:tc>
        <w:tc>
          <w:tcPr>
            <w:tcW w:w="515" w:type="pct"/>
            <w:shd w:val="clear" w:color="auto" w:fill="auto"/>
            <w:vAlign w:val="center"/>
          </w:tcPr>
          <w:p w14:paraId="6518F92D" w14:textId="2F589B8C"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102.973</w:t>
            </w:r>
          </w:p>
        </w:tc>
        <w:tc>
          <w:tcPr>
            <w:tcW w:w="588" w:type="pct"/>
            <w:vAlign w:val="center"/>
          </w:tcPr>
          <w:p w14:paraId="0A1C2491" w14:textId="471E8633"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50.862</w:t>
            </w:r>
          </w:p>
        </w:tc>
        <w:tc>
          <w:tcPr>
            <w:tcW w:w="441" w:type="pct"/>
            <w:vAlign w:val="center"/>
          </w:tcPr>
          <w:p w14:paraId="74B393C2" w14:textId="577ED44D"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380.767</w:t>
            </w:r>
          </w:p>
        </w:tc>
      </w:tr>
      <w:tr w:rsidR="00BB0931" w:rsidRPr="00FB38E1" w14:paraId="42644D55" w14:textId="77777777" w:rsidTr="00902C88">
        <w:tc>
          <w:tcPr>
            <w:tcW w:w="2940" w:type="pct"/>
            <w:vAlign w:val="bottom"/>
          </w:tcPr>
          <w:p w14:paraId="1698BCE1"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Gerçeğe Uygun Değer Farkı Diğer Kapsamlı Gelire Yansıtılan Finansal Varlıklar</w:t>
            </w:r>
          </w:p>
        </w:tc>
        <w:tc>
          <w:tcPr>
            <w:tcW w:w="516" w:type="pct"/>
            <w:shd w:val="clear" w:color="auto" w:fill="auto"/>
            <w:vAlign w:val="center"/>
          </w:tcPr>
          <w:p w14:paraId="7C92BDE1" w14:textId="661B8A1D"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14.442.926</w:t>
            </w:r>
          </w:p>
        </w:tc>
        <w:tc>
          <w:tcPr>
            <w:tcW w:w="515" w:type="pct"/>
            <w:shd w:val="clear" w:color="auto" w:fill="auto"/>
            <w:vAlign w:val="center"/>
          </w:tcPr>
          <w:p w14:paraId="248B5F25" w14:textId="7EE820C6"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4.773.496</w:t>
            </w:r>
          </w:p>
        </w:tc>
        <w:tc>
          <w:tcPr>
            <w:tcW w:w="588" w:type="pct"/>
            <w:vAlign w:val="center"/>
          </w:tcPr>
          <w:p w14:paraId="11CDD268" w14:textId="1367E183"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9.317.301</w:t>
            </w:r>
          </w:p>
        </w:tc>
        <w:tc>
          <w:tcPr>
            <w:tcW w:w="441" w:type="pct"/>
            <w:vAlign w:val="center"/>
          </w:tcPr>
          <w:p w14:paraId="200D8998" w14:textId="11690D36"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2.742.545</w:t>
            </w:r>
          </w:p>
        </w:tc>
      </w:tr>
      <w:tr w:rsidR="00BB0931" w:rsidRPr="00FB38E1" w14:paraId="0B987CBE" w14:textId="77777777" w:rsidTr="00902C88">
        <w:tc>
          <w:tcPr>
            <w:tcW w:w="2940" w:type="pct"/>
            <w:vAlign w:val="bottom"/>
          </w:tcPr>
          <w:p w14:paraId="1CF789CD"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İtfa Edilmiş Maliyeti Üzerinden Değerlenen Finansal Varlıklar</w:t>
            </w:r>
          </w:p>
        </w:tc>
        <w:tc>
          <w:tcPr>
            <w:tcW w:w="516" w:type="pct"/>
            <w:shd w:val="clear" w:color="auto" w:fill="auto"/>
            <w:vAlign w:val="center"/>
          </w:tcPr>
          <w:p w14:paraId="5F6E41BB" w14:textId="69426A96"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15.942.787</w:t>
            </w:r>
          </w:p>
        </w:tc>
        <w:tc>
          <w:tcPr>
            <w:tcW w:w="515" w:type="pct"/>
            <w:shd w:val="clear" w:color="auto" w:fill="auto"/>
            <w:vAlign w:val="center"/>
          </w:tcPr>
          <w:p w14:paraId="23DC8EFB" w14:textId="7D65F7A7"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334.846</w:t>
            </w:r>
          </w:p>
        </w:tc>
        <w:tc>
          <w:tcPr>
            <w:tcW w:w="588" w:type="pct"/>
            <w:vAlign w:val="center"/>
          </w:tcPr>
          <w:p w14:paraId="5F660A2C" w14:textId="740567B3"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11.056.997</w:t>
            </w:r>
          </w:p>
        </w:tc>
        <w:tc>
          <w:tcPr>
            <w:tcW w:w="441" w:type="pct"/>
            <w:vAlign w:val="center"/>
          </w:tcPr>
          <w:p w14:paraId="68A135C4" w14:textId="4E90018B" w:rsidR="00BB0931" w:rsidRPr="00FB38E1" w:rsidRDefault="00BB0931" w:rsidP="00BB0931">
            <w:pPr>
              <w:jc w:val="right"/>
              <w:rPr>
                <w:rFonts w:ascii="Microsoft Sans Serif" w:hAnsi="Microsoft Sans Serif" w:cs="Microsoft Sans Serif"/>
                <w:color w:val="000000" w:themeColor="text1"/>
                <w:sz w:val="16"/>
                <w:szCs w:val="16"/>
              </w:rPr>
            </w:pPr>
            <w:r w:rsidRPr="00FB38E1">
              <w:rPr>
                <w:rFonts w:ascii="Microsoft Sans Serif" w:hAnsi="Microsoft Sans Serif" w:cs="Microsoft Sans Serif"/>
                <w:color w:val="404040"/>
                <w:sz w:val="16"/>
                <w:szCs w:val="16"/>
              </w:rPr>
              <w:t>--</w:t>
            </w:r>
          </w:p>
        </w:tc>
      </w:tr>
      <w:tr w:rsidR="00BB0931" w:rsidRPr="00FB38E1" w14:paraId="2ECE3916" w14:textId="77777777" w:rsidTr="00902C88">
        <w:tc>
          <w:tcPr>
            <w:tcW w:w="2940" w:type="pct"/>
            <w:tcBorders>
              <w:top w:val="single" w:sz="4" w:space="0" w:color="auto"/>
              <w:bottom w:val="thickThinSmallGap" w:sz="24" w:space="0" w:color="auto"/>
            </w:tcBorders>
            <w:vAlign w:val="bottom"/>
          </w:tcPr>
          <w:p w14:paraId="73F64502"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16" w:type="pct"/>
            <w:tcBorders>
              <w:top w:val="single" w:sz="4" w:space="0" w:color="auto"/>
              <w:bottom w:val="thickThinSmallGap" w:sz="24" w:space="0" w:color="auto"/>
            </w:tcBorders>
            <w:shd w:val="clear" w:color="auto" w:fill="auto"/>
            <w:vAlign w:val="center"/>
          </w:tcPr>
          <w:p w14:paraId="49C26293" w14:textId="2D4F8637"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30.794.640</w:t>
            </w:r>
          </w:p>
        </w:tc>
        <w:tc>
          <w:tcPr>
            <w:tcW w:w="515" w:type="pct"/>
            <w:tcBorders>
              <w:top w:val="single" w:sz="4" w:space="0" w:color="auto"/>
              <w:bottom w:val="thickThinSmallGap" w:sz="24" w:space="0" w:color="auto"/>
            </w:tcBorders>
            <w:shd w:val="clear" w:color="auto" w:fill="auto"/>
            <w:vAlign w:val="center"/>
          </w:tcPr>
          <w:p w14:paraId="414C7D31" w14:textId="1C06A2EF"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5.211.315</w:t>
            </w:r>
          </w:p>
        </w:tc>
        <w:tc>
          <w:tcPr>
            <w:tcW w:w="588" w:type="pct"/>
            <w:tcBorders>
              <w:top w:val="single" w:sz="4" w:space="0" w:color="auto"/>
              <w:bottom w:val="thickThinSmallGap" w:sz="24" w:space="0" w:color="auto"/>
            </w:tcBorders>
            <w:vAlign w:val="center"/>
          </w:tcPr>
          <w:p w14:paraId="2E6B87D6" w14:textId="376777DA"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20.425.160</w:t>
            </w:r>
          </w:p>
        </w:tc>
        <w:tc>
          <w:tcPr>
            <w:tcW w:w="441" w:type="pct"/>
            <w:tcBorders>
              <w:top w:val="single" w:sz="4" w:space="0" w:color="auto"/>
              <w:bottom w:val="thickThinSmallGap" w:sz="24" w:space="0" w:color="auto"/>
            </w:tcBorders>
            <w:vAlign w:val="center"/>
          </w:tcPr>
          <w:p w14:paraId="6E46D7B5" w14:textId="6692A047"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3.123.312</w:t>
            </w:r>
          </w:p>
        </w:tc>
      </w:tr>
    </w:tbl>
    <w:p w14:paraId="3870BE0F" w14:textId="641EC71B" w:rsidR="00B77B7E" w:rsidRPr="00FB38E1" w:rsidRDefault="00B77B7E" w:rsidP="00783F3E">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III. Bölüm VII no’lu dipnotta da belirtildiği üzere, Banka’nın gerçeğe uygun değer farkı diğer kapsamlı gelire yansıtılan finansal varlıklar ve itfa edilmiş maliyeti üzerinden değerlenen finansal varlıklar portföylerinde 6 aylık reel kupon oranları vade boyunca sabit kalan, 5-10 yıl vadeli ve TÜFE’ye endeksli devlet tahvilleri bulunmaktadır. Hazine Müsteşarlığı’nın TÜFE’ye Endeksli Tahviller Yatırımcı Kılavuzu’nda belirtildiği üzere, bu kıymetlerin fiili kupon ödeme tutarlarının hesaplamasında kullanılan referans endeksler iki ay öncesinin TÜFE’sine göre oluşturulmaktadır.</w:t>
      </w:r>
    </w:p>
    <w:p w14:paraId="583820B6" w14:textId="77777777" w:rsidR="00B77B7E" w:rsidRPr="00FB38E1" w:rsidRDefault="00B77B7E" w:rsidP="00783F3E">
      <w:pPr>
        <w:pStyle w:val="BASLIK2"/>
        <w:widowControl/>
        <w:numPr>
          <w:ilvl w:val="2"/>
          <w:numId w:val="34"/>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iCs/>
          <w:sz w:val="20"/>
          <w:szCs w:val="20"/>
        </w:rPr>
        <w:t>İştirak ve bağlı ortaklıklardan alınan faiz gelirlerine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B77B7E" w:rsidRPr="00FB38E1" w14:paraId="36EC9C20" w14:textId="77777777" w:rsidTr="00B26C8B">
        <w:trPr>
          <w:trHeight w:val="71"/>
        </w:trPr>
        <w:tc>
          <w:tcPr>
            <w:tcW w:w="2702" w:type="pct"/>
            <w:tcBorders>
              <w:top w:val="thinThickSmallGap" w:sz="24" w:space="0" w:color="auto"/>
              <w:bottom w:val="single" w:sz="4" w:space="0" w:color="auto"/>
            </w:tcBorders>
            <w:shd w:val="clear" w:color="auto" w:fill="auto"/>
            <w:vAlign w:val="bottom"/>
          </w:tcPr>
          <w:p w14:paraId="7C4BC918" w14:textId="77777777" w:rsidR="00B77B7E" w:rsidRPr="00FB38E1" w:rsidRDefault="00B77B7E" w:rsidP="00783F3E">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shd w:val="clear" w:color="auto" w:fill="auto"/>
            <w:vAlign w:val="bottom"/>
          </w:tcPr>
          <w:p w14:paraId="026E9BE7"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shd w:val="clear" w:color="auto" w:fill="auto"/>
          </w:tcPr>
          <w:p w14:paraId="685F9BE5" w14:textId="77777777" w:rsidR="00B77B7E" w:rsidRPr="00FB38E1" w:rsidRDefault="00B77B7E" w:rsidP="00783F3E">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783F3E" w:rsidRPr="00FB38E1" w14:paraId="5DE01E5F" w14:textId="77777777" w:rsidTr="00902C88">
        <w:trPr>
          <w:trHeight w:val="66"/>
        </w:trPr>
        <w:tc>
          <w:tcPr>
            <w:tcW w:w="2702" w:type="pct"/>
            <w:tcBorders>
              <w:top w:val="single" w:sz="4" w:space="0" w:color="auto"/>
              <w:bottom w:val="thickThinSmallGap" w:sz="24" w:space="0" w:color="auto"/>
            </w:tcBorders>
            <w:shd w:val="clear" w:color="auto" w:fill="auto"/>
            <w:vAlign w:val="bottom"/>
          </w:tcPr>
          <w:p w14:paraId="2E2E52BD" w14:textId="77777777" w:rsidR="00783F3E" w:rsidRPr="00FB38E1" w:rsidRDefault="00783F3E" w:rsidP="00783F3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İştirak ve Bağlı Ortaklıklardan Alınan Faizler</w:t>
            </w:r>
          </w:p>
        </w:tc>
        <w:tc>
          <w:tcPr>
            <w:tcW w:w="1489" w:type="pct"/>
            <w:tcBorders>
              <w:top w:val="single" w:sz="4" w:space="0" w:color="auto"/>
              <w:bottom w:val="thickThinSmallGap" w:sz="24" w:space="0" w:color="auto"/>
            </w:tcBorders>
            <w:shd w:val="clear" w:color="auto" w:fill="auto"/>
            <w:vAlign w:val="center"/>
          </w:tcPr>
          <w:p w14:paraId="4228F1B4" w14:textId="6961D580" w:rsidR="00783F3E" w:rsidRPr="00FB38E1" w:rsidRDefault="00F66897" w:rsidP="002B121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1.072.623</w:t>
            </w:r>
          </w:p>
        </w:tc>
        <w:tc>
          <w:tcPr>
            <w:tcW w:w="809" w:type="pct"/>
            <w:tcBorders>
              <w:top w:val="single" w:sz="4" w:space="0" w:color="auto"/>
              <w:bottom w:val="thickThinSmallGap" w:sz="24" w:space="0" w:color="auto"/>
            </w:tcBorders>
            <w:shd w:val="clear" w:color="auto" w:fill="auto"/>
            <w:vAlign w:val="center"/>
          </w:tcPr>
          <w:p w14:paraId="37CD6673" w14:textId="7575E8F5" w:rsidR="00783F3E" w:rsidRPr="00FB38E1" w:rsidRDefault="002A5899" w:rsidP="00783F3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1.435.208</w:t>
            </w:r>
          </w:p>
        </w:tc>
      </w:tr>
    </w:tbl>
    <w:p w14:paraId="3B7AB188" w14:textId="4B747C4E" w:rsidR="004E1B47" w:rsidRPr="00FB38E1" w:rsidRDefault="004E1B47" w:rsidP="00F72F6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sz w:val="20"/>
          <w:szCs w:val="20"/>
          <w:lang w:val="es-ES"/>
        </w:rPr>
        <w:t>Faiz giderleri</w:t>
      </w:r>
    </w:p>
    <w:p w14:paraId="6CF978A8" w14:textId="77777777" w:rsidR="004E1B47" w:rsidRPr="00FB38E1" w:rsidRDefault="004E1B47" w:rsidP="004E1B47">
      <w:pPr>
        <w:pStyle w:val="BASLIK2"/>
        <w:widowControl/>
        <w:numPr>
          <w:ilvl w:val="0"/>
          <w:numId w:val="37"/>
        </w:numPr>
        <w:spacing w:before="12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iCs/>
          <w:sz w:val="20"/>
          <w:szCs w:val="20"/>
          <w:lang w:val="nb-NO"/>
        </w:rPr>
        <w:t>Kullanılan kredilere verilen faizlere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48"/>
        <w:gridCol w:w="993"/>
        <w:gridCol w:w="1134"/>
        <w:gridCol w:w="1134"/>
        <w:gridCol w:w="1130"/>
      </w:tblGrid>
      <w:tr w:rsidR="004E1B47" w:rsidRPr="00FB38E1" w14:paraId="071BBA2A" w14:textId="77777777" w:rsidTr="004E1B47">
        <w:tc>
          <w:tcPr>
            <w:tcW w:w="2722" w:type="pct"/>
            <w:vAlign w:val="bottom"/>
          </w:tcPr>
          <w:p w14:paraId="3996C576" w14:textId="77777777" w:rsidR="004E1B47" w:rsidRPr="00FB38E1" w:rsidRDefault="004E1B47" w:rsidP="004E1B47">
            <w:pPr>
              <w:rPr>
                <w:rFonts w:ascii="Microsoft Sans Serif" w:hAnsi="Microsoft Sans Serif" w:cs="Microsoft Sans Serif"/>
                <w:color w:val="000000"/>
                <w:sz w:val="16"/>
                <w:szCs w:val="16"/>
              </w:rPr>
            </w:pPr>
          </w:p>
        </w:tc>
        <w:tc>
          <w:tcPr>
            <w:tcW w:w="1103" w:type="pct"/>
            <w:gridSpan w:val="2"/>
            <w:tcBorders>
              <w:bottom w:val="nil"/>
            </w:tcBorders>
            <w:vAlign w:val="bottom"/>
          </w:tcPr>
          <w:p w14:paraId="6822003A" w14:textId="77777777" w:rsidR="004E1B47" w:rsidRPr="00FB38E1" w:rsidRDefault="004E1B47" w:rsidP="004E1B47">
            <w:pPr>
              <w:pStyle w:val="ListParagraph"/>
              <w:ind w:left="5"/>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74" w:type="pct"/>
            <w:gridSpan w:val="2"/>
            <w:tcBorders>
              <w:bottom w:val="nil"/>
            </w:tcBorders>
          </w:tcPr>
          <w:p w14:paraId="7B6FB265" w14:textId="77777777" w:rsidR="004E1B47" w:rsidRPr="00FB38E1" w:rsidRDefault="004E1B47" w:rsidP="004E1B47">
            <w:pPr>
              <w:pStyle w:val="ListParagraph"/>
              <w:ind w:left="5"/>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4E1B47" w:rsidRPr="00FB38E1" w14:paraId="791FB6E6" w14:textId="77777777" w:rsidTr="008F5599">
        <w:trPr>
          <w:trHeight w:val="49"/>
        </w:trPr>
        <w:tc>
          <w:tcPr>
            <w:tcW w:w="2722" w:type="pct"/>
            <w:tcBorders>
              <w:bottom w:val="single" w:sz="4" w:space="0" w:color="auto"/>
            </w:tcBorders>
            <w:vAlign w:val="center"/>
          </w:tcPr>
          <w:p w14:paraId="4DC19F45" w14:textId="77777777" w:rsidR="004E1B47" w:rsidRPr="00FB38E1" w:rsidRDefault="004E1B47" w:rsidP="004E1B47">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515" w:type="pct"/>
            <w:tcBorders>
              <w:top w:val="single" w:sz="4" w:space="0" w:color="auto"/>
              <w:bottom w:val="single" w:sz="4" w:space="0" w:color="auto"/>
            </w:tcBorders>
            <w:vAlign w:val="bottom"/>
          </w:tcPr>
          <w:p w14:paraId="1807F4E2" w14:textId="77777777" w:rsidR="004E1B47" w:rsidRPr="00FB38E1" w:rsidRDefault="004E1B47"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8" w:type="pct"/>
            <w:tcBorders>
              <w:top w:val="single" w:sz="4" w:space="0" w:color="auto"/>
              <w:bottom w:val="single" w:sz="4" w:space="0" w:color="auto"/>
            </w:tcBorders>
            <w:vAlign w:val="bottom"/>
          </w:tcPr>
          <w:p w14:paraId="044A3B47" w14:textId="77777777" w:rsidR="004E1B47" w:rsidRPr="00FB38E1" w:rsidRDefault="004E1B47"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88" w:type="pct"/>
            <w:tcBorders>
              <w:top w:val="single" w:sz="4" w:space="0" w:color="auto"/>
              <w:bottom w:val="single" w:sz="4" w:space="0" w:color="auto"/>
            </w:tcBorders>
            <w:vAlign w:val="center"/>
          </w:tcPr>
          <w:p w14:paraId="2ED0B69C" w14:textId="77777777" w:rsidR="004E1B47" w:rsidRPr="00FB38E1" w:rsidRDefault="004E1B47"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86" w:type="pct"/>
            <w:tcBorders>
              <w:top w:val="single" w:sz="4" w:space="0" w:color="auto"/>
              <w:bottom w:val="single" w:sz="4" w:space="0" w:color="auto"/>
            </w:tcBorders>
            <w:vAlign w:val="center"/>
          </w:tcPr>
          <w:p w14:paraId="17FA51C5" w14:textId="77777777" w:rsidR="004E1B47" w:rsidRPr="00FB38E1" w:rsidRDefault="004E1B47" w:rsidP="004E1B4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BB0931" w:rsidRPr="00FB38E1" w14:paraId="7267E970" w14:textId="77777777" w:rsidTr="004E1B47">
        <w:tc>
          <w:tcPr>
            <w:tcW w:w="2722" w:type="pct"/>
            <w:vAlign w:val="bottom"/>
          </w:tcPr>
          <w:p w14:paraId="50B88892"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Bankalara</w:t>
            </w:r>
          </w:p>
        </w:tc>
        <w:tc>
          <w:tcPr>
            <w:tcW w:w="515" w:type="pct"/>
            <w:vAlign w:val="center"/>
          </w:tcPr>
          <w:p w14:paraId="525C1BFC" w14:textId="42CA39B0" w:rsidR="00BB0931" w:rsidRPr="00FB38E1" w:rsidRDefault="00BB0931" w:rsidP="00BB0931">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b/>
                <w:bCs/>
                <w:color w:val="000000"/>
                <w:sz w:val="16"/>
                <w:szCs w:val="16"/>
              </w:rPr>
              <w:t>364.799</w:t>
            </w:r>
          </w:p>
        </w:tc>
        <w:tc>
          <w:tcPr>
            <w:tcW w:w="588" w:type="pct"/>
            <w:vAlign w:val="center"/>
          </w:tcPr>
          <w:p w14:paraId="32AA6F4F" w14:textId="63802B4F" w:rsidR="00BB0931" w:rsidRPr="00FB38E1" w:rsidRDefault="00BB0931" w:rsidP="00BB0931">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b/>
                <w:bCs/>
                <w:color w:val="000000"/>
                <w:sz w:val="16"/>
                <w:szCs w:val="16"/>
              </w:rPr>
              <w:t>16.286.218</w:t>
            </w:r>
          </w:p>
        </w:tc>
        <w:tc>
          <w:tcPr>
            <w:tcW w:w="588" w:type="pct"/>
            <w:vAlign w:val="center"/>
          </w:tcPr>
          <w:p w14:paraId="4F7CFE98" w14:textId="1CA773BC"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143.603</w:t>
            </w:r>
          </w:p>
        </w:tc>
        <w:tc>
          <w:tcPr>
            <w:tcW w:w="586" w:type="pct"/>
            <w:vAlign w:val="center"/>
          </w:tcPr>
          <w:p w14:paraId="093FDF58" w14:textId="7988C88D"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9.515.786</w:t>
            </w:r>
          </w:p>
        </w:tc>
      </w:tr>
      <w:tr w:rsidR="00BB0931" w:rsidRPr="00FB38E1" w14:paraId="1CEEDE4C" w14:textId="77777777" w:rsidTr="004E1B47">
        <w:tc>
          <w:tcPr>
            <w:tcW w:w="2722" w:type="pct"/>
            <w:vAlign w:val="bottom"/>
          </w:tcPr>
          <w:p w14:paraId="17736FEA"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TC Merkez Bankasına</w:t>
            </w:r>
          </w:p>
        </w:tc>
        <w:tc>
          <w:tcPr>
            <w:tcW w:w="515" w:type="pct"/>
            <w:vAlign w:val="center"/>
          </w:tcPr>
          <w:p w14:paraId="42993228" w14:textId="18B393F3"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0A2613AF" w14:textId="76B33816"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414.834</w:t>
            </w:r>
          </w:p>
        </w:tc>
        <w:tc>
          <w:tcPr>
            <w:tcW w:w="588" w:type="pct"/>
            <w:vAlign w:val="center"/>
          </w:tcPr>
          <w:p w14:paraId="71CDCA4E" w14:textId="26C1146B"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vAlign w:val="center"/>
          </w:tcPr>
          <w:p w14:paraId="7ED71934" w14:textId="222795F5"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558.766</w:t>
            </w:r>
          </w:p>
        </w:tc>
      </w:tr>
      <w:tr w:rsidR="00BB0931" w:rsidRPr="00FB38E1" w14:paraId="6026A9CA" w14:textId="77777777" w:rsidTr="004E1B47">
        <w:tc>
          <w:tcPr>
            <w:tcW w:w="2722" w:type="pct"/>
            <w:vAlign w:val="bottom"/>
          </w:tcPr>
          <w:p w14:paraId="12D2CD93"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içi Bankalara</w:t>
            </w:r>
          </w:p>
        </w:tc>
        <w:tc>
          <w:tcPr>
            <w:tcW w:w="515" w:type="pct"/>
            <w:vAlign w:val="center"/>
          </w:tcPr>
          <w:p w14:paraId="3C252A37" w14:textId="2798D56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364.534</w:t>
            </w:r>
          </w:p>
        </w:tc>
        <w:tc>
          <w:tcPr>
            <w:tcW w:w="588" w:type="pct"/>
            <w:vAlign w:val="center"/>
          </w:tcPr>
          <w:p w14:paraId="78D14117" w14:textId="21BE012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177.115</w:t>
            </w:r>
          </w:p>
        </w:tc>
        <w:tc>
          <w:tcPr>
            <w:tcW w:w="588" w:type="pct"/>
            <w:vAlign w:val="center"/>
          </w:tcPr>
          <w:p w14:paraId="0EBB09A4" w14:textId="094803D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143.602</w:t>
            </w:r>
          </w:p>
        </w:tc>
        <w:tc>
          <w:tcPr>
            <w:tcW w:w="586" w:type="pct"/>
            <w:vAlign w:val="center"/>
          </w:tcPr>
          <w:p w14:paraId="386D9CD7" w14:textId="2E77C83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99.158</w:t>
            </w:r>
          </w:p>
        </w:tc>
      </w:tr>
      <w:tr w:rsidR="00BB0931" w:rsidRPr="00FB38E1" w14:paraId="3DE773CB" w14:textId="77777777" w:rsidTr="004E1B47">
        <w:tc>
          <w:tcPr>
            <w:tcW w:w="2722" w:type="pct"/>
            <w:vAlign w:val="bottom"/>
          </w:tcPr>
          <w:p w14:paraId="464C8160"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 Bankalara</w:t>
            </w:r>
          </w:p>
        </w:tc>
        <w:tc>
          <w:tcPr>
            <w:tcW w:w="515" w:type="pct"/>
            <w:vAlign w:val="center"/>
          </w:tcPr>
          <w:p w14:paraId="000C154C" w14:textId="4CEDDEF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265</w:t>
            </w:r>
          </w:p>
        </w:tc>
        <w:tc>
          <w:tcPr>
            <w:tcW w:w="588" w:type="pct"/>
            <w:vAlign w:val="center"/>
          </w:tcPr>
          <w:p w14:paraId="6A99BAC8" w14:textId="5CB07B0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15.694.269</w:t>
            </w:r>
          </w:p>
        </w:tc>
        <w:tc>
          <w:tcPr>
            <w:tcW w:w="588" w:type="pct"/>
            <w:vAlign w:val="center"/>
          </w:tcPr>
          <w:p w14:paraId="269F7103" w14:textId="13EB14F3"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w:t>
            </w:r>
          </w:p>
        </w:tc>
        <w:tc>
          <w:tcPr>
            <w:tcW w:w="586" w:type="pct"/>
            <w:vAlign w:val="center"/>
          </w:tcPr>
          <w:p w14:paraId="4DBF45D9" w14:textId="6701741D"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8.857.862</w:t>
            </w:r>
          </w:p>
        </w:tc>
      </w:tr>
      <w:tr w:rsidR="00BB0931" w:rsidRPr="00FB38E1" w14:paraId="47F9F88A" w14:textId="77777777" w:rsidTr="004E1B47">
        <w:tc>
          <w:tcPr>
            <w:tcW w:w="2722" w:type="pct"/>
            <w:vAlign w:val="bottom"/>
          </w:tcPr>
          <w:p w14:paraId="7352040A"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Yurt dışı Merkez ve Şubelere</w:t>
            </w:r>
          </w:p>
        </w:tc>
        <w:tc>
          <w:tcPr>
            <w:tcW w:w="515" w:type="pct"/>
            <w:vAlign w:val="center"/>
          </w:tcPr>
          <w:p w14:paraId="2C71F6E9" w14:textId="52BB555B"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2B1A051D" w14:textId="0EBCC15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8" w:type="pct"/>
            <w:vAlign w:val="center"/>
          </w:tcPr>
          <w:p w14:paraId="2042F36B" w14:textId="018D990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86" w:type="pct"/>
            <w:vAlign w:val="center"/>
          </w:tcPr>
          <w:p w14:paraId="43810718" w14:textId="3B8155B5"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4A1DB0DD" w14:textId="77777777" w:rsidTr="004E1B47">
        <w:tc>
          <w:tcPr>
            <w:tcW w:w="2722" w:type="pct"/>
            <w:vAlign w:val="bottom"/>
          </w:tcPr>
          <w:p w14:paraId="5BC09149"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Diğer Kuruluşlara</w:t>
            </w:r>
          </w:p>
        </w:tc>
        <w:tc>
          <w:tcPr>
            <w:tcW w:w="515" w:type="pct"/>
            <w:vAlign w:val="center"/>
          </w:tcPr>
          <w:p w14:paraId="05927E7B" w14:textId="511CF93D" w:rsidR="00BB0931" w:rsidRPr="00FB38E1" w:rsidRDefault="00BB0931" w:rsidP="00BB0931">
            <w:pPr>
              <w:jc w:val="right"/>
              <w:rPr>
                <w:rFonts w:ascii="Microsoft Sans Serif" w:hAnsi="Microsoft Sans Serif" w:cs="Microsoft Sans Serif"/>
                <w:bCs/>
                <w:color w:val="404040"/>
                <w:sz w:val="16"/>
                <w:szCs w:val="16"/>
              </w:rPr>
            </w:pPr>
            <w:r w:rsidRPr="00FB38E1">
              <w:rPr>
                <w:rFonts w:ascii="Microsoft Sans Serif" w:hAnsi="Microsoft Sans Serif" w:cs="Microsoft Sans Serif"/>
                <w:b/>
                <w:bCs/>
                <w:color w:val="404040"/>
                <w:sz w:val="16"/>
                <w:szCs w:val="16"/>
              </w:rPr>
              <w:t>--</w:t>
            </w:r>
          </w:p>
        </w:tc>
        <w:tc>
          <w:tcPr>
            <w:tcW w:w="588" w:type="pct"/>
            <w:vAlign w:val="center"/>
          </w:tcPr>
          <w:p w14:paraId="600AE9CE" w14:textId="11D98716" w:rsidR="00BB0931" w:rsidRPr="00FB38E1" w:rsidRDefault="00BB0931" w:rsidP="00BB0931">
            <w:pPr>
              <w:jc w:val="right"/>
              <w:rPr>
                <w:rFonts w:ascii="Microsoft Sans Serif" w:hAnsi="Microsoft Sans Serif" w:cs="Microsoft Sans Serif"/>
                <w:bCs/>
                <w:color w:val="404040"/>
                <w:sz w:val="16"/>
                <w:szCs w:val="16"/>
              </w:rPr>
            </w:pPr>
            <w:r w:rsidRPr="00FB38E1">
              <w:rPr>
                <w:rFonts w:ascii="Microsoft Sans Serif" w:hAnsi="Microsoft Sans Serif" w:cs="Microsoft Sans Serif"/>
                <w:b/>
                <w:bCs/>
                <w:color w:val="404040"/>
                <w:sz w:val="16"/>
                <w:szCs w:val="16"/>
              </w:rPr>
              <w:t>--</w:t>
            </w:r>
          </w:p>
        </w:tc>
        <w:tc>
          <w:tcPr>
            <w:tcW w:w="588" w:type="pct"/>
            <w:vAlign w:val="center"/>
          </w:tcPr>
          <w:p w14:paraId="1DB87BB9" w14:textId="0765F55C" w:rsidR="00BB0931" w:rsidRPr="00FB38E1" w:rsidRDefault="00BB0931" w:rsidP="00BB0931">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w:t>
            </w:r>
          </w:p>
        </w:tc>
        <w:tc>
          <w:tcPr>
            <w:tcW w:w="586" w:type="pct"/>
            <w:vAlign w:val="center"/>
          </w:tcPr>
          <w:p w14:paraId="496F33A9" w14:textId="44131BFC" w:rsidR="00BB0931" w:rsidRPr="00FB38E1" w:rsidRDefault="00BB0931" w:rsidP="00BB0931">
            <w:pPr>
              <w:jc w:val="right"/>
              <w:rPr>
                <w:rFonts w:ascii="Microsoft Sans Serif" w:hAnsi="Microsoft Sans Serif" w:cs="Microsoft Sans Serif"/>
                <w:b/>
                <w:bCs/>
                <w:color w:val="404040"/>
                <w:sz w:val="16"/>
                <w:szCs w:val="16"/>
              </w:rPr>
            </w:pPr>
            <w:r w:rsidRPr="00FB38E1">
              <w:rPr>
                <w:rFonts w:ascii="Microsoft Sans Serif" w:hAnsi="Microsoft Sans Serif" w:cs="Microsoft Sans Serif"/>
                <w:b/>
                <w:bCs/>
                <w:color w:val="404040"/>
                <w:sz w:val="16"/>
                <w:szCs w:val="16"/>
              </w:rPr>
              <w:t>--</w:t>
            </w:r>
          </w:p>
        </w:tc>
      </w:tr>
      <w:tr w:rsidR="00BB0931" w:rsidRPr="00FB38E1" w14:paraId="5BB09B27" w14:textId="77777777" w:rsidTr="004E1B47">
        <w:tc>
          <w:tcPr>
            <w:tcW w:w="2722" w:type="pct"/>
            <w:tcBorders>
              <w:top w:val="single" w:sz="4" w:space="0" w:color="auto"/>
              <w:bottom w:val="thickThinSmallGap" w:sz="24" w:space="0" w:color="auto"/>
            </w:tcBorders>
            <w:vAlign w:val="bottom"/>
          </w:tcPr>
          <w:p w14:paraId="7016D949"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515" w:type="pct"/>
            <w:tcBorders>
              <w:top w:val="single" w:sz="4" w:space="0" w:color="auto"/>
              <w:bottom w:val="thickThinSmallGap" w:sz="24" w:space="0" w:color="auto"/>
            </w:tcBorders>
            <w:vAlign w:val="center"/>
          </w:tcPr>
          <w:p w14:paraId="379ABEE7" w14:textId="76278C21" w:rsidR="00BB0931" w:rsidRPr="00FB38E1" w:rsidRDefault="00BB0931" w:rsidP="00BB0931">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b/>
                <w:bCs/>
                <w:color w:val="000000"/>
                <w:sz w:val="16"/>
                <w:szCs w:val="16"/>
              </w:rPr>
              <w:t>364.799</w:t>
            </w:r>
          </w:p>
        </w:tc>
        <w:tc>
          <w:tcPr>
            <w:tcW w:w="588" w:type="pct"/>
            <w:tcBorders>
              <w:top w:val="single" w:sz="4" w:space="0" w:color="auto"/>
              <w:bottom w:val="thickThinSmallGap" w:sz="24" w:space="0" w:color="auto"/>
            </w:tcBorders>
            <w:vAlign w:val="center"/>
          </w:tcPr>
          <w:p w14:paraId="469A87A6" w14:textId="0C670B29" w:rsidR="00BB0931" w:rsidRPr="00FB38E1" w:rsidRDefault="00BB0931" w:rsidP="00BB0931">
            <w:pPr>
              <w:jc w:val="right"/>
              <w:rPr>
                <w:rFonts w:ascii="Microsoft Sans Serif" w:hAnsi="Microsoft Sans Serif" w:cs="Microsoft Sans Serif"/>
                <w:bCs/>
                <w:color w:val="000000"/>
                <w:sz w:val="16"/>
                <w:szCs w:val="16"/>
              </w:rPr>
            </w:pPr>
            <w:r w:rsidRPr="00FB38E1">
              <w:rPr>
                <w:rFonts w:ascii="Microsoft Sans Serif" w:hAnsi="Microsoft Sans Serif" w:cs="Microsoft Sans Serif"/>
                <w:b/>
                <w:bCs/>
                <w:color w:val="000000"/>
                <w:sz w:val="16"/>
                <w:szCs w:val="16"/>
              </w:rPr>
              <w:t>16.286.218</w:t>
            </w:r>
          </w:p>
        </w:tc>
        <w:tc>
          <w:tcPr>
            <w:tcW w:w="588" w:type="pct"/>
            <w:tcBorders>
              <w:top w:val="single" w:sz="4" w:space="0" w:color="auto"/>
              <w:bottom w:val="thickThinSmallGap" w:sz="24" w:space="0" w:color="auto"/>
            </w:tcBorders>
            <w:vAlign w:val="center"/>
          </w:tcPr>
          <w:p w14:paraId="3152BC14" w14:textId="2FF303B6"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143.603</w:t>
            </w:r>
          </w:p>
        </w:tc>
        <w:tc>
          <w:tcPr>
            <w:tcW w:w="586" w:type="pct"/>
            <w:tcBorders>
              <w:top w:val="single" w:sz="4" w:space="0" w:color="auto"/>
              <w:bottom w:val="thickThinSmallGap" w:sz="24" w:space="0" w:color="auto"/>
            </w:tcBorders>
            <w:vAlign w:val="center"/>
          </w:tcPr>
          <w:p w14:paraId="4E061DC3" w14:textId="3740FF40"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9.515.786</w:t>
            </w:r>
          </w:p>
        </w:tc>
      </w:tr>
    </w:tbl>
    <w:p w14:paraId="213D14CA" w14:textId="77777777" w:rsidR="004E1B47" w:rsidRPr="00FB38E1" w:rsidRDefault="004E1B47" w:rsidP="004E1B47">
      <w:pPr>
        <w:pStyle w:val="BASLIK2"/>
        <w:widowControl/>
        <w:spacing w:before="60" w:line="240" w:lineRule="auto"/>
        <w:ind w:firstLine="0"/>
        <w:rPr>
          <w:rFonts w:ascii="Microsoft Sans Serif" w:hAnsi="Microsoft Sans Serif" w:cs="Microsoft Sans Serif"/>
          <w:iCs/>
          <w:sz w:val="20"/>
          <w:szCs w:val="20"/>
          <w:lang w:val="nb-NO"/>
        </w:rPr>
      </w:pPr>
      <w:r w:rsidRPr="00FB38E1">
        <w:rPr>
          <w:rFonts w:ascii="Microsoft Sans Serif" w:hAnsi="Microsoft Sans Serif" w:cs="Microsoft Sans Serif"/>
          <w:b w:val="0"/>
          <w:color w:val="404040" w:themeColor="text1" w:themeTint="BF"/>
          <w:sz w:val="16"/>
          <w:szCs w:val="16"/>
        </w:rPr>
        <w:t>Kullanılan kredilere verilen faizler, ücret ve komisyon giderlerini de içermektedir.</w:t>
      </w:r>
    </w:p>
    <w:p w14:paraId="4818E9A4" w14:textId="5FC50641" w:rsidR="0085708E" w:rsidRPr="00FB38E1" w:rsidRDefault="0085708E" w:rsidP="00076C9E">
      <w:pPr>
        <w:pStyle w:val="BASLIK2"/>
        <w:widowControl/>
        <w:numPr>
          <w:ilvl w:val="0"/>
          <w:numId w:val="37"/>
        </w:numPr>
        <w:spacing w:before="0" w:line="240" w:lineRule="exact"/>
        <w:ind w:left="0" w:hanging="425"/>
        <w:rPr>
          <w:rFonts w:ascii="Microsoft Sans Serif" w:hAnsi="Microsoft Sans Serif" w:cs="Microsoft Sans Serif"/>
          <w:iCs/>
          <w:sz w:val="20"/>
          <w:szCs w:val="20"/>
          <w:lang w:val="nb-NO"/>
        </w:rPr>
      </w:pPr>
      <w:r w:rsidRPr="00FB38E1">
        <w:rPr>
          <w:rFonts w:ascii="Microsoft Sans Serif" w:hAnsi="Microsoft Sans Serif" w:cs="Microsoft Sans Serif"/>
          <w:iCs/>
          <w:sz w:val="20"/>
          <w:szCs w:val="20"/>
          <w:lang w:val="nb-NO"/>
        </w:rPr>
        <w:t>İştirakler ve bağlı ortaklıklara verilen faiz giderlerine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730"/>
        <w:gridCol w:w="1700"/>
      </w:tblGrid>
      <w:tr w:rsidR="005E7A98" w:rsidRPr="00FB38E1" w14:paraId="5565083E" w14:textId="60AC4A47" w:rsidTr="00FE522E">
        <w:tc>
          <w:tcPr>
            <w:tcW w:w="2702" w:type="pct"/>
            <w:tcBorders>
              <w:top w:val="thinThickSmallGap" w:sz="24" w:space="0" w:color="auto"/>
              <w:bottom w:val="single" w:sz="4" w:space="0" w:color="auto"/>
            </w:tcBorders>
            <w:vAlign w:val="bottom"/>
          </w:tcPr>
          <w:p w14:paraId="7EC809CC" w14:textId="77777777" w:rsidR="005E7A98" w:rsidRPr="00FB38E1" w:rsidRDefault="005E7A98" w:rsidP="00E55B46">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416" w:type="pct"/>
            <w:tcBorders>
              <w:top w:val="thinThickSmallGap" w:sz="24" w:space="0" w:color="auto"/>
              <w:bottom w:val="single" w:sz="4" w:space="0" w:color="auto"/>
            </w:tcBorders>
            <w:vAlign w:val="bottom"/>
          </w:tcPr>
          <w:p w14:paraId="5B2CD36A" w14:textId="77777777" w:rsidR="005E7A98" w:rsidRPr="00FB38E1" w:rsidRDefault="005E7A98" w:rsidP="00E55B4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82" w:type="pct"/>
            <w:tcBorders>
              <w:top w:val="thinThickSmallGap" w:sz="24" w:space="0" w:color="auto"/>
              <w:bottom w:val="single" w:sz="4" w:space="0" w:color="auto"/>
            </w:tcBorders>
          </w:tcPr>
          <w:p w14:paraId="4CAA7B94" w14:textId="5DA59A64" w:rsidR="005E7A98" w:rsidRPr="00FB38E1" w:rsidRDefault="005E7A98" w:rsidP="00E55B4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AD46EB" w:rsidRPr="00FB38E1" w14:paraId="66E449EE" w14:textId="4353CB49" w:rsidTr="00FE522E">
        <w:tc>
          <w:tcPr>
            <w:tcW w:w="2702" w:type="pct"/>
            <w:tcBorders>
              <w:top w:val="single" w:sz="4" w:space="0" w:color="auto"/>
              <w:bottom w:val="thickThinSmallGap" w:sz="24" w:space="0" w:color="auto"/>
            </w:tcBorders>
            <w:vAlign w:val="bottom"/>
          </w:tcPr>
          <w:p w14:paraId="1FFA0F83" w14:textId="77777777" w:rsidR="00AD46EB" w:rsidRPr="00FB38E1" w:rsidRDefault="00AD46EB" w:rsidP="00AD46EB">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İştirak ve Bağlı Ortaklıklara Verilen Faizler</w:t>
            </w:r>
          </w:p>
        </w:tc>
        <w:tc>
          <w:tcPr>
            <w:tcW w:w="1416" w:type="pct"/>
            <w:tcBorders>
              <w:top w:val="single" w:sz="4" w:space="0" w:color="auto"/>
              <w:bottom w:val="thickThinSmallGap" w:sz="24" w:space="0" w:color="auto"/>
            </w:tcBorders>
            <w:vAlign w:val="center"/>
          </w:tcPr>
          <w:p w14:paraId="5731D806" w14:textId="073130AC" w:rsidR="00AD46EB" w:rsidRPr="00FB38E1" w:rsidRDefault="00555E78" w:rsidP="002B121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893.179</w:t>
            </w:r>
          </w:p>
        </w:tc>
        <w:tc>
          <w:tcPr>
            <w:tcW w:w="882" w:type="pct"/>
            <w:tcBorders>
              <w:top w:val="single" w:sz="4" w:space="0" w:color="auto"/>
              <w:bottom w:val="thickThinSmallGap" w:sz="24" w:space="0" w:color="auto"/>
            </w:tcBorders>
            <w:vAlign w:val="center"/>
          </w:tcPr>
          <w:p w14:paraId="00AA864A" w14:textId="401E6FB4" w:rsidR="00AD46EB" w:rsidRPr="00FB38E1" w:rsidRDefault="002A5899" w:rsidP="00AD46EB">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308.573</w:t>
            </w:r>
          </w:p>
        </w:tc>
      </w:tr>
    </w:tbl>
    <w:p w14:paraId="5EF5271F" w14:textId="46CE50FA" w:rsidR="0085708E" w:rsidRPr="00FB38E1" w:rsidRDefault="0085708E" w:rsidP="00076C9E">
      <w:pPr>
        <w:pStyle w:val="BASLIK2"/>
        <w:widowControl/>
        <w:numPr>
          <w:ilvl w:val="0"/>
          <w:numId w:val="37"/>
        </w:numPr>
        <w:spacing w:line="240" w:lineRule="exact"/>
        <w:ind w:left="0" w:hanging="425"/>
        <w:rPr>
          <w:rFonts w:ascii="Microsoft Sans Serif" w:hAnsi="Microsoft Sans Serif" w:cs="Microsoft Sans Serif"/>
          <w:iCs/>
          <w:sz w:val="20"/>
          <w:szCs w:val="20"/>
          <w:lang w:val="nb-NO"/>
        </w:rPr>
      </w:pPr>
      <w:r w:rsidRPr="00FB38E1">
        <w:rPr>
          <w:rFonts w:ascii="Microsoft Sans Serif" w:hAnsi="Microsoft Sans Serif" w:cs="Microsoft Sans Serif"/>
          <w:iCs/>
          <w:sz w:val="20"/>
          <w:szCs w:val="20"/>
          <w:lang w:val="nb-NO"/>
        </w:rPr>
        <w:t>İhraç edilen menkul kıymetlere verilen faizlere ilişkin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363"/>
        <w:gridCol w:w="1240"/>
        <w:gridCol w:w="1012"/>
        <w:gridCol w:w="1012"/>
        <w:gridCol w:w="1012"/>
      </w:tblGrid>
      <w:tr w:rsidR="00815FE2" w:rsidRPr="00FB38E1" w14:paraId="5C9125E0" w14:textId="77777777" w:rsidTr="00772867">
        <w:trPr>
          <w:trHeight w:val="109"/>
        </w:trPr>
        <w:tc>
          <w:tcPr>
            <w:tcW w:w="2782" w:type="pct"/>
            <w:tcBorders>
              <w:top w:val="thinThickSmallGap" w:sz="24" w:space="0" w:color="auto"/>
              <w:bottom w:val="nil"/>
            </w:tcBorders>
            <w:shd w:val="clear" w:color="auto" w:fill="auto"/>
            <w:vAlign w:val="bottom"/>
          </w:tcPr>
          <w:p w14:paraId="1EB81B88" w14:textId="77777777" w:rsidR="00815FE2" w:rsidRPr="00FB38E1" w:rsidRDefault="00815FE2" w:rsidP="00772867">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168" w:type="pct"/>
            <w:gridSpan w:val="2"/>
            <w:tcBorders>
              <w:top w:val="thinThickSmallGap" w:sz="24" w:space="0" w:color="auto"/>
              <w:bottom w:val="single" w:sz="4" w:space="0" w:color="auto"/>
            </w:tcBorders>
            <w:shd w:val="clear" w:color="auto" w:fill="auto"/>
            <w:vAlign w:val="bottom"/>
          </w:tcPr>
          <w:p w14:paraId="1804F6B1" w14:textId="77777777" w:rsidR="00815FE2" w:rsidRPr="00FB38E1" w:rsidRDefault="00815FE2" w:rsidP="0077286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050" w:type="pct"/>
            <w:gridSpan w:val="2"/>
            <w:tcBorders>
              <w:top w:val="thinThickSmallGap" w:sz="24" w:space="0" w:color="auto"/>
              <w:bottom w:val="single" w:sz="4" w:space="0" w:color="auto"/>
            </w:tcBorders>
            <w:shd w:val="clear" w:color="auto" w:fill="auto"/>
          </w:tcPr>
          <w:p w14:paraId="1178A651" w14:textId="77777777" w:rsidR="00815FE2" w:rsidRPr="00FB38E1" w:rsidRDefault="00815FE2" w:rsidP="0077286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815FE2" w:rsidRPr="00FB38E1" w14:paraId="240C14D0" w14:textId="77777777" w:rsidTr="00772867">
        <w:trPr>
          <w:trHeight w:val="60"/>
        </w:trPr>
        <w:tc>
          <w:tcPr>
            <w:tcW w:w="2782" w:type="pct"/>
            <w:tcBorders>
              <w:top w:val="nil"/>
              <w:bottom w:val="single" w:sz="4" w:space="0" w:color="auto"/>
            </w:tcBorders>
            <w:shd w:val="clear" w:color="auto" w:fill="auto"/>
            <w:vAlign w:val="bottom"/>
          </w:tcPr>
          <w:p w14:paraId="4766E1E9" w14:textId="77777777" w:rsidR="00815FE2" w:rsidRPr="00FB38E1" w:rsidRDefault="00815FE2" w:rsidP="00772867">
            <w:pPr>
              <w:jc w:val="center"/>
              <w:rPr>
                <w:rFonts w:ascii="Microsoft Sans Serif" w:hAnsi="Microsoft Sans Serif" w:cs="Microsoft Sans Serif"/>
                <w:b/>
                <w:bCs/>
                <w:color w:val="000000"/>
                <w:sz w:val="16"/>
                <w:szCs w:val="16"/>
              </w:rPr>
            </w:pPr>
          </w:p>
        </w:tc>
        <w:tc>
          <w:tcPr>
            <w:tcW w:w="643" w:type="pct"/>
            <w:tcBorders>
              <w:top w:val="single" w:sz="4" w:space="0" w:color="auto"/>
              <w:bottom w:val="single" w:sz="4" w:space="0" w:color="auto"/>
            </w:tcBorders>
            <w:shd w:val="clear" w:color="auto" w:fill="auto"/>
            <w:vAlign w:val="bottom"/>
          </w:tcPr>
          <w:p w14:paraId="50F571D3" w14:textId="77777777" w:rsidR="00815FE2" w:rsidRPr="00FB38E1" w:rsidRDefault="00815FE2" w:rsidP="0077286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vAlign w:val="bottom"/>
          </w:tcPr>
          <w:p w14:paraId="731C7EBF" w14:textId="77777777" w:rsidR="00815FE2" w:rsidRPr="00FB38E1" w:rsidRDefault="00815FE2" w:rsidP="0077286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c>
          <w:tcPr>
            <w:tcW w:w="525" w:type="pct"/>
            <w:tcBorders>
              <w:top w:val="single" w:sz="4" w:space="0" w:color="auto"/>
              <w:bottom w:val="single" w:sz="4" w:space="0" w:color="auto"/>
            </w:tcBorders>
            <w:shd w:val="clear" w:color="auto" w:fill="auto"/>
          </w:tcPr>
          <w:p w14:paraId="27375016" w14:textId="77777777" w:rsidR="00815FE2" w:rsidRPr="00FB38E1" w:rsidRDefault="00815FE2" w:rsidP="0077286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TP</w:t>
            </w:r>
          </w:p>
        </w:tc>
        <w:tc>
          <w:tcPr>
            <w:tcW w:w="525" w:type="pct"/>
            <w:tcBorders>
              <w:top w:val="single" w:sz="4" w:space="0" w:color="auto"/>
              <w:bottom w:val="single" w:sz="4" w:space="0" w:color="auto"/>
            </w:tcBorders>
            <w:shd w:val="clear" w:color="auto" w:fill="auto"/>
          </w:tcPr>
          <w:p w14:paraId="100828A6" w14:textId="77777777" w:rsidR="00815FE2" w:rsidRPr="00FB38E1" w:rsidRDefault="00815FE2" w:rsidP="0077286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YP</w:t>
            </w:r>
          </w:p>
        </w:tc>
      </w:tr>
      <w:tr w:rsidR="00BB0931" w:rsidRPr="00FB38E1" w14:paraId="1FF2706A" w14:textId="77777777" w:rsidTr="00772867">
        <w:tblPrEx>
          <w:tblCellMar>
            <w:left w:w="70" w:type="dxa"/>
            <w:right w:w="70" w:type="dxa"/>
          </w:tblCellMar>
        </w:tblPrEx>
        <w:tc>
          <w:tcPr>
            <w:tcW w:w="2782" w:type="pct"/>
            <w:tcBorders>
              <w:top w:val="single" w:sz="4" w:space="0" w:color="auto"/>
              <w:bottom w:val="thickThinSmallGap" w:sz="24" w:space="0" w:color="auto"/>
            </w:tcBorders>
            <w:shd w:val="clear" w:color="auto" w:fill="auto"/>
            <w:vAlign w:val="bottom"/>
          </w:tcPr>
          <w:p w14:paraId="7E87455A"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İhraç Edilen Menkul Kıymetlere Verilen Faizler </w:t>
            </w:r>
          </w:p>
        </w:tc>
        <w:tc>
          <w:tcPr>
            <w:tcW w:w="643" w:type="pct"/>
            <w:tcBorders>
              <w:top w:val="single" w:sz="4" w:space="0" w:color="auto"/>
              <w:bottom w:val="thickThinSmallGap" w:sz="24" w:space="0" w:color="auto"/>
            </w:tcBorders>
            <w:shd w:val="clear" w:color="auto" w:fill="auto"/>
            <w:vAlign w:val="center"/>
          </w:tcPr>
          <w:p w14:paraId="267C8D13" w14:textId="0BBDCBE9"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89.744</w:t>
            </w:r>
          </w:p>
        </w:tc>
        <w:tc>
          <w:tcPr>
            <w:tcW w:w="525" w:type="pct"/>
            <w:tcBorders>
              <w:top w:val="single" w:sz="4" w:space="0" w:color="auto"/>
              <w:bottom w:val="thickThinSmallGap" w:sz="24" w:space="0" w:color="auto"/>
            </w:tcBorders>
            <w:shd w:val="clear" w:color="auto" w:fill="auto"/>
            <w:vAlign w:val="center"/>
          </w:tcPr>
          <w:p w14:paraId="133CE3A7" w14:textId="214B1CB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3.092.104</w:t>
            </w:r>
          </w:p>
        </w:tc>
        <w:tc>
          <w:tcPr>
            <w:tcW w:w="525" w:type="pct"/>
            <w:tcBorders>
              <w:top w:val="single" w:sz="4" w:space="0" w:color="auto"/>
              <w:bottom w:val="thickThinSmallGap" w:sz="24" w:space="0" w:color="auto"/>
            </w:tcBorders>
            <w:shd w:val="clear" w:color="auto" w:fill="auto"/>
            <w:vAlign w:val="center"/>
          </w:tcPr>
          <w:p w14:paraId="21F637AA" w14:textId="34EC23D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12.334</w:t>
            </w:r>
          </w:p>
        </w:tc>
        <w:tc>
          <w:tcPr>
            <w:tcW w:w="525" w:type="pct"/>
            <w:tcBorders>
              <w:top w:val="single" w:sz="4" w:space="0" w:color="auto"/>
              <w:bottom w:val="thickThinSmallGap" w:sz="24" w:space="0" w:color="auto"/>
            </w:tcBorders>
            <w:shd w:val="clear" w:color="auto" w:fill="auto"/>
            <w:vAlign w:val="center"/>
          </w:tcPr>
          <w:p w14:paraId="7DC23EDC" w14:textId="082412E6"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726.347</w:t>
            </w:r>
          </w:p>
        </w:tc>
      </w:tr>
    </w:tbl>
    <w:p w14:paraId="49253CCA" w14:textId="116D3DC3" w:rsidR="0085708E" w:rsidRPr="00FB38E1" w:rsidRDefault="0085708E" w:rsidP="00076C9E">
      <w:pPr>
        <w:pStyle w:val="BASLIK2"/>
        <w:widowControl/>
        <w:numPr>
          <w:ilvl w:val="0"/>
          <w:numId w:val="37"/>
        </w:numPr>
        <w:spacing w:line="240" w:lineRule="exact"/>
        <w:ind w:left="0" w:hanging="425"/>
        <w:rPr>
          <w:rFonts w:ascii="Microsoft Sans Serif" w:hAnsi="Microsoft Sans Serif" w:cs="Microsoft Sans Serif"/>
          <w:iCs/>
          <w:sz w:val="20"/>
          <w:szCs w:val="20"/>
          <w:lang w:val="nb-NO"/>
        </w:rPr>
      </w:pPr>
      <w:r w:rsidRPr="00FB38E1">
        <w:rPr>
          <w:rFonts w:ascii="Microsoft Sans Serif" w:hAnsi="Microsoft Sans Serif" w:cs="Microsoft Sans Serif"/>
          <w:iCs/>
          <w:sz w:val="20"/>
          <w:szCs w:val="20"/>
          <w:lang w:val="nb-NO"/>
        </w:rPr>
        <w:t>Mevduata ödenen faizin vade yapısına göre gösterimi</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097"/>
        <w:gridCol w:w="817"/>
        <w:gridCol w:w="958"/>
        <w:gridCol w:w="1101"/>
        <w:gridCol w:w="916"/>
        <w:gridCol w:w="916"/>
        <w:gridCol w:w="916"/>
        <w:gridCol w:w="825"/>
        <w:gridCol w:w="1093"/>
      </w:tblGrid>
      <w:tr w:rsidR="00663AA5" w:rsidRPr="00FB38E1" w14:paraId="5F85443B" w14:textId="77777777" w:rsidTr="005E082B">
        <w:tc>
          <w:tcPr>
            <w:tcW w:w="1088" w:type="pct"/>
            <w:tcBorders>
              <w:bottom w:val="nil"/>
            </w:tcBorders>
            <w:vAlign w:val="bottom"/>
          </w:tcPr>
          <w:p w14:paraId="3499FF87" w14:textId="77777777" w:rsidR="00663AA5" w:rsidRPr="00FB38E1" w:rsidRDefault="00663AA5">
            <w:pPr>
              <w:rPr>
                <w:rFonts w:ascii="Microsoft Sans Serif" w:hAnsi="Microsoft Sans Serif" w:cs="Microsoft Sans Serif"/>
                <w:b/>
                <w:bCs/>
                <w:color w:val="000000"/>
                <w:sz w:val="16"/>
                <w:szCs w:val="16"/>
              </w:rPr>
            </w:pPr>
          </w:p>
        </w:tc>
        <w:tc>
          <w:tcPr>
            <w:tcW w:w="424" w:type="pct"/>
            <w:tcBorders>
              <w:top w:val="thinThickSmallGap" w:sz="24" w:space="0" w:color="auto"/>
              <w:bottom w:val="nil"/>
            </w:tcBorders>
            <w:vAlign w:val="bottom"/>
          </w:tcPr>
          <w:p w14:paraId="12ECB856" w14:textId="77777777" w:rsidR="00663AA5" w:rsidRPr="00FB38E1" w:rsidRDefault="00663AA5">
            <w:pPr>
              <w:jc w:val="right"/>
              <w:rPr>
                <w:rFonts w:ascii="Microsoft Sans Serif" w:hAnsi="Microsoft Sans Serif" w:cs="Microsoft Sans Serif"/>
                <w:b/>
                <w:bCs/>
                <w:color w:val="000000"/>
                <w:sz w:val="16"/>
                <w:szCs w:val="16"/>
              </w:rPr>
            </w:pPr>
          </w:p>
        </w:tc>
        <w:tc>
          <w:tcPr>
            <w:tcW w:w="2921" w:type="pct"/>
            <w:gridSpan w:val="6"/>
            <w:tcBorders>
              <w:top w:val="thinThickSmallGap" w:sz="24" w:space="0" w:color="auto"/>
              <w:bottom w:val="single" w:sz="4" w:space="0" w:color="auto"/>
            </w:tcBorders>
            <w:vAlign w:val="bottom"/>
          </w:tcPr>
          <w:p w14:paraId="1E686A00" w14:textId="77777777" w:rsidR="00663AA5" w:rsidRPr="00FB38E1" w:rsidRDefault="00663AA5" w:rsidP="00663AA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Vadeli Mevduat</w:t>
            </w:r>
          </w:p>
        </w:tc>
        <w:tc>
          <w:tcPr>
            <w:tcW w:w="567" w:type="pct"/>
            <w:tcBorders>
              <w:bottom w:val="nil"/>
            </w:tcBorders>
            <w:vAlign w:val="bottom"/>
          </w:tcPr>
          <w:p w14:paraId="26B742AA" w14:textId="77777777" w:rsidR="00663AA5" w:rsidRPr="00FB38E1" w:rsidRDefault="00663AA5">
            <w:pPr>
              <w:jc w:val="right"/>
              <w:rPr>
                <w:rFonts w:ascii="Microsoft Sans Serif" w:hAnsi="Microsoft Sans Serif" w:cs="Microsoft Sans Serif"/>
                <w:b/>
                <w:bCs/>
                <w:color w:val="000000"/>
                <w:sz w:val="16"/>
                <w:szCs w:val="16"/>
              </w:rPr>
            </w:pPr>
          </w:p>
        </w:tc>
      </w:tr>
      <w:tr w:rsidR="00663AA5" w:rsidRPr="00FB38E1" w14:paraId="1E7F475E" w14:textId="77777777" w:rsidTr="005E082B">
        <w:tc>
          <w:tcPr>
            <w:tcW w:w="1088" w:type="pct"/>
            <w:tcBorders>
              <w:top w:val="nil"/>
              <w:bottom w:val="single" w:sz="4" w:space="0" w:color="auto"/>
            </w:tcBorders>
            <w:vAlign w:val="bottom"/>
          </w:tcPr>
          <w:p w14:paraId="1697686C" w14:textId="77777777" w:rsidR="00663AA5" w:rsidRPr="00FB38E1" w:rsidRDefault="00663AA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Hesap Adı</w:t>
            </w:r>
          </w:p>
        </w:tc>
        <w:tc>
          <w:tcPr>
            <w:tcW w:w="424" w:type="pct"/>
            <w:tcBorders>
              <w:top w:val="nil"/>
              <w:bottom w:val="single" w:sz="4" w:space="0" w:color="auto"/>
            </w:tcBorders>
            <w:vAlign w:val="bottom"/>
          </w:tcPr>
          <w:p w14:paraId="498DBAAB"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Vadesiz Mevduat</w:t>
            </w:r>
          </w:p>
        </w:tc>
        <w:tc>
          <w:tcPr>
            <w:tcW w:w="497" w:type="pct"/>
            <w:tcBorders>
              <w:top w:val="single" w:sz="4" w:space="0" w:color="auto"/>
              <w:bottom w:val="single" w:sz="4" w:space="0" w:color="auto"/>
            </w:tcBorders>
            <w:vAlign w:val="bottom"/>
          </w:tcPr>
          <w:p w14:paraId="5D3F1E3E"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1 Aya </w:t>
            </w:r>
          </w:p>
          <w:p w14:paraId="59780E7B"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Kadar</w:t>
            </w:r>
          </w:p>
        </w:tc>
        <w:tc>
          <w:tcPr>
            <w:tcW w:w="571" w:type="pct"/>
            <w:tcBorders>
              <w:top w:val="single" w:sz="4" w:space="0" w:color="auto"/>
              <w:bottom w:val="single" w:sz="4" w:space="0" w:color="auto"/>
            </w:tcBorders>
            <w:vAlign w:val="bottom"/>
          </w:tcPr>
          <w:p w14:paraId="6DD07C57"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3 Aya </w:t>
            </w:r>
          </w:p>
          <w:p w14:paraId="723F18E1"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Kadar</w:t>
            </w:r>
          </w:p>
        </w:tc>
        <w:tc>
          <w:tcPr>
            <w:tcW w:w="475" w:type="pct"/>
            <w:tcBorders>
              <w:top w:val="single" w:sz="4" w:space="0" w:color="auto"/>
              <w:bottom w:val="single" w:sz="4" w:space="0" w:color="auto"/>
            </w:tcBorders>
            <w:vAlign w:val="bottom"/>
          </w:tcPr>
          <w:p w14:paraId="79AA5291"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 Aya Kadar</w:t>
            </w:r>
          </w:p>
        </w:tc>
        <w:tc>
          <w:tcPr>
            <w:tcW w:w="475" w:type="pct"/>
            <w:tcBorders>
              <w:top w:val="single" w:sz="4" w:space="0" w:color="auto"/>
              <w:bottom w:val="single" w:sz="4" w:space="0" w:color="auto"/>
            </w:tcBorders>
            <w:vAlign w:val="bottom"/>
          </w:tcPr>
          <w:p w14:paraId="162E74FF"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 Yıla Kadar</w:t>
            </w:r>
          </w:p>
        </w:tc>
        <w:tc>
          <w:tcPr>
            <w:tcW w:w="475" w:type="pct"/>
            <w:tcBorders>
              <w:top w:val="single" w:sz="4" w:space="0" w:color="auto"/>
              <w:bottom w:val="single" w:sz="4" w:space="0" w:color="auto"/>
            </w:tcBorders>
            <w:vAlign w:val="bottom"/>
          </w:tcPr>
          <w:p w14:paraId="0F4B18E8"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 yıldan Uzun</w:t>
            </w:r>
          </w:p>
        </w:tc>
        <w:tc>
          <w:tcPr>
            <w:tcW w:w="428" w:type="pct"/>
            <w:tcBorders>
              <w:top w:val="single" w:sz="4" w:space="0" w:color="auto"/>
              <w:bottom w:val="single" w:sz="4" w:space="0" w:color="auto"/>
            </w:tcBorders>
            <w:vAlign w:val="bottom"/>
          </w:tcPr>
          <w:p w14:paraId="4F072D95"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Birikimli Mevduat</w:t>
            </w:r>
          </w:p>
        </w:tc>
        <w:tc>
          <w:tcPr>
            <w:tcW w:w="567" w:type="pct"/>
            <w:tcBorders>
              <w:top w:val="nil"/>
              <w:bottom w:val="single" w:sz="4" w:space="0" w:color="auto"/>
            </w:tcBorders>
            <w:vAlign w:val="bottom"/>
          </w:tcPr>
          <w:p w14:paraId="616C9AE6" w14:textId="77777777" w:rsidR="00663AA5" w:rsidRPr="00FB38E1" w:rsidRDefault="00663AA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r>
      <w:tr w:rsidR="0052430C" w:rsidRPr="00FB38E1" w14:paraId="0700DBFF" w14:textId="77777777" w:rsidTr="005E082B">
        <w:tc>
          <w:tcPr>
            <w:tcW w:w="1088" w:type="pct"/>
            <w:tcBorders>
              <w:top w:val="single" w:sz="4" w:space="0" w:color="auto"/>
            </w:tcBorders>
            <w:vAlign w:val="bottom"/>
          </w:tcPr>
          <w:p w14:paraId="13E1A483" w14:textId="77777777" w:rsidR="0052430C" w:rsidRPr="00FB38E1" w:rsidRDefault="0052430C" w:rsidP="0052430C">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Türk Parası</w:t>
            </w:r>
          </w:p>
        </w:tc>
        <w:tc>
          <w:tcPr>
            <w:tcW w:w="424" w:type="pct"/>
            <w:tcBorders>
              <w:top w:val="single" w:sz="4" w:space="0" w:color="auto"/>
            </w:tcBorders>
            <w:vAlign w:val="center"/>
          </w:tcPr>
          <w:p w14:paraId="5270F461" w14:textId="77777777" w:rsidR="0052430C" w:rsidRPr="00FB38E1" w:rsidRDefault="0052430C" w:rsidP="0052430C">
            <w:pPr>
              <w:rPr>
                <w:sz w:val="16"/>
                <w:szCs w:val="16"/>
              </w:rPr>
            </w:pPr>
          </w:p>
        </w:tc>
        <w:tc>
          <w:tcPr>
            <w:tcW w:w="497" w:type="pct"/>
            <w:tcBorders>
              <w:top w:val="single" w:sz="4" w:space="0" w:color="auto"/>
            </w:tcBorders>
            <w:vAlign w:val="center"/>
          </w:tcPr>
          <w:p w14:paraId="525C0F52" w14:textId="77777777" w:rsidR="0052430C" w:rsidRPr="00FB38E1" w:rsidRDefault="0052430C" w:rsidP="0052430C">
            <w:pPr>
              <w:jc w:val="right"/>
              <w:rPr>
                <w:sz w:val="16"/>
                <w:szCs w:val="16"/>
              </w:rPr>
            </w:pPr>
          </w:p>
        </w:tc>
        <w:tc>
          <w:tcPr>
            <w:tcW w:w="571" w:type="pct"/>
            <w:tcBorders>
              <w:top w:val="single" w:sz="4" w:space="0" w:color="auto"/>
            </w:tcBorders>
            <w:vAlign w:val="center"/>
          </w:tcPr>
          <w:p w14:paraId="30C48DB6" w14:textId="77777777" w:rsidR="0052430C" w:rsidRPr="00FB38E1" w:rsidRDefault="0052430C" w:rsidP="0052430C">
            <w:pPr>
              <w:jc w:val="right"/>
              <w:rPr>
                <w:sz w:val="16"/>
                <w:szCs w:val="16"/>
              </w:rPr>
            </w:pPr>
          </w:p>
        </w:tc>
        <w:tc>
          <w:tcPr>
            <w:tcW w:w="475" w:type="pct"/>
            <w:tcBorders>
              <w:top w:val="single" w:sz="4" w:space="0" w:color="auto"/>
            </w:tcBorders>
            <w:vAlign w:val="center"/>
          </w:tcPr>
          <w:p w14:paraId="7F7D5F8C" w14:textId="77777777" w:rsidR="0052430C" w:rsidRPr="00FB38E1" w:rsidRDefault="0052430C" w:rsidP="0052430C">
            <w:pPr>
              <w:jc w:val="right"/>
              <w:rPr>
                <w:sz w:val="16"/>
                <w:szCs w:val="16"/>
              </w:rPr>
            </w:pPr>
          </w:p>
        </w:tc>
        <w:tc>
          <w:tcPr>
            <w:tcW w:w="475" w:type="pct"/>
            <w:tcBorders>
              <w:top w:val="single" w:sz="4" w:space="0" w:color="auto"/>
            </w:tcBorders>
            <w:vAlign w:val="center"/>
          </w:tcPr>
          <w:p w14:paraId="07C7754D" w14:textId="77777777" w:rsidR="0052430C" w:rsidRPr="00FB38E1" w:rsidRDefault="0052430C" w:rsidP="0052430C">
            <w:pPr>
              <w:jc w:val="right"/>
              <w:rPr>
                <w:sz w:val="16"/>
                <w:szCs w:val="16"/>
              </w:rPr>
            </w:pPr>
          </w:p>
        </w:tc>
        <w:tc>
          <w:tcPr>
            <w:tcW w:w="475" w:type="pct"/>
            <w:tcBorders>
              <w:top w:val="single" w:sz="4" w:space="0" w:color="auto"/>
            </w:tcBorders>
            <w:vAlign w:val="center"/>
          </w:tcPr>
          <w:p w14:paraId="09EBACC5" w14:textId="77777777" w:rsidR="0052430C" w:rsidRPr="00FB38E1" w:rsidRDefault="0052430C" w:rsidP="0052430C">
            <w:pPr>
              <w:jc w:val="right"/>
              <w:rPr>
                <w:sz w:val="16"/>
                <w:szCs w:val="16"/>
              </w:rPr>
            </w:pPr>
          </w:p>
        </w:tc>
        <w:tc>
          <w:tcPr>
            <w:tcW w:w="428" w:type="pct"/>
            <w:tcBorders>
              <w:top w:val="single" w:sz="4" w:space="0" w:color="auto"/>
            </w:tcBorders>
            <w:vAlign w:val="center"/>
          </w:tcPr>
          <w:p w14:paraId="314FB1F9" w14:textId="77777777" w:rsidR="0052430C" w:rsidRPr="00FB38E1" w:rsidRDefault="0052430C" w:rsidP="0052430C">
            <w:pPr>
              <w:jc w:val="right"/>
              <w:rPr>
                <w:sz w:val="16"/>
                <w:szCs w:val="16"/>
              </w:rPr>
            </w:pPr>
          </w:p>
        </w:tc>
        <w:tc>
          <w:tcPr>
            <w:tcW w:w="567" w:type="pct"/>
            <w:tcBorders>
              <w:top w:val="single" w:sz="4" w:space="0" w:color="auto"/>
            </w:tcBorders>
            <w:vAlign w:val="center"/>
          </w:tcPr>
          <w:p w14:paraId="596B5DF8" w14:textId="77777777" w:rsidR="0052430C" w:rsidRPr="00FB38E1" w:rsidRDefault="0052430C" w:rsidP="0052430C">
            <w:pPr>
              <w:jc w:val="right"/>
              <w:rPr>
                <w:sz w:val="16"/>
                <w:szCs w:val="16"/>
              </w:rPr>
            </w:pPr>
          </w:p>
        </w:tc>
      </w:tr>
      <w:tr w:rsidR="00BB0931" w:rsidRPr="00FB38E1" w14:paraId="4CB71819" w14:textId="77777777" w:rsidTr="005E082B">
        <w:tc>
          <w:tcPr>
            <w:tcW w:w="1088" w:type="pct"/>
            <w:vAlign w:val="bottom"/>
          </w:tcPr>
          <w:p w14:paraId="47048480"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Bankalararası Mevduat</w:t>
            </w:r>
          </w:p>
        </w:tc>
        <w:tc>
          <w:tcPr>
            <w:tcW w:w="424" w:type="pct"/>
            <w:vAlign w:val="center"/>
          </w:tcPr>
          <w:p w14:paraId="135C0B8D" w14:textId="3C9100B4"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w:t>
            </w:r>
          </w:p>
        </w:tc>
        <w:tc>
          <w:tcPr>
            <w:tcW w:w="497" w:type="pct"/>
            <w:vAlign w:val="center"/>
          </w:tcPr>
          <w:p w14:paraId="4D33ED06" w14:textId="20C71183"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672.666</w:t>
            </w:r>
          </w:p>
        </w:tc>
        <w:tc>
          <w:tcPr>
            <w:tcW w:w="571" w:type="pct"/>
            <w:vAlign w:val="center"/>
          </w:tcPr>
          <w:p w14:paraId="5C18DFFC" w14:textId="50540F54"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4155BA76" w14:textId="0DFC355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10DF1AA2" w14:textId="1DAFF775"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5A0D838E" w14:textId="77C67B1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28" w:type="pct"/>
            <w:vAlign w:val="center"/>
          </w:tcPr>
          <w:p w14:paraId="537CBC18" w14:textId="0F4FDBA6"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7" w:type="pct"/>
            <w:vAlign w:val="center"/>
          </w:tcPr>
          <w:p w14:paraId="7348D8EE" w14:textId="2A0E20C2"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672.703</w:t>
            </w:r>
          </w:p>
        </w:tc>
      </w:tr>
      <w:tr w:rsidR="00BB0931" w:rsidRPr="00FB38E1" w14:paraId="7BA84B03" w14:textId="77777777" w:rsidTr="005E082B">
        <w:tc>
          <w:tcPr>
            <w:tcW w:w="1088" w:type="pct"/>
            <w:vAlign w:val="bottom"/>
          </w:tcPr>
          <w:p w14:paraId="272457D1"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Tasarruf Mevduatı</w:t>
            </w:r>
          </w:p>
        </w:tc>
        <w:tc>
          <w:tcPr>
            <w:tcW w:w="424" w:type="pct"/>
            <w:vAlign w:val="center"/>
          </w:tcPr>
          <w:p w14:paraId="3849B382" w14:textId="7796123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83</w:t>
            </w:r>
          </w:p>
        </w:tc>
        <w:tc>
          <w:tcPr>
            <w:tcW w:w="497" w:type="pct"/>
            <w:vAlign w:val="center"/>
          </w:tcPr>
          <w:p w14:paraId="7E78601C" w14:textId="1BC2F0A2"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5.130.989</w:t>
            </w:r>
          </w:p>
        </w:tc>
        <w:tc>
          <w:tcPr>
            <w:tcW w:w="571" w:type="pct"/>
            <w:vAlign w:val="center"/>
          </w:tcPr>
          <w:p w14:paraId="6B0C02DD" w14:textId="527ECE7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52.047.738</w:t>
            </w:r>
          </w:p>
        </w:tc>
        <w:tc>
          <w:tcPr>
            <w:tcW w:w="475" w:type="pct"/>
            <w:vAlign w:val="center"/>
          </w:tcPr>
          <w:p w14:paraId="46D6B951" w14:textId="274E78C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30.641.475</w:t>
            </w:r>
          </w:p>
        </w:tc>
        <w:tc>
          <w:tcPr>
            <w:tcW w:w="475" w:type="pct"/>
            <w:vAlign w:val="center"/>
          </w:tcPr>
          <w:p w14:paraId="36903AF5" w14:textId="0AFE073B"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28.717.099</w:t>
            </w:r>
          </w:p>
        </w:tc>
        <w:tc>
          <w:tcPr>
            <w:tcW w:w="475" w:type="pct"/>
            <w:vAlign w:val="center"/>
          </w:tcPr>
          <w:p w14:paraId="56329D5F" w14:textId="6244CBEF"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14.611.642</w:t>
            </w:r>
          </w:p>
        </w:tc>
        <w:tc>
          <w:tcPr>
            <w:tcW w:w="428" w:type="pct"/>
            <w:vAlign w:val="center"/>
          </w:tcPr>
          <w:p w14:paraId="6ECC3394" w14:textId="1D767EF9"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2.162</w:t>
            </w:r>
          </w:p>
        </w:tc>
        <w:tc>
          <w:tcPr>
            <w:tcW w:w="567" w:type="pct"/>
            <w:vAlign w:val="center"/>
          </w:tcPr>
          <w:p w14:paraId="2AE3AE73" w14:textId="12DFE7C3"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131.151.188</w:t>
            </w:r>
          </w:p>
        </w:tc>
      </w:tr>
      <w:tr w:rsidR="00BB0931" w:rsidRPr="00FB38E1" w14:paraId="3D42BB9B" w14:textId="77777777" w:rsidTr="005E082B">
        <w:tc>
          <w:tcPr>
            <w:tcW w:w="1088" w:type="pct"/>
            <w:vAlign w:val="bottom"/>
          </w:tcPr>
          <w:p w14:paraId="0252BF1C"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Resmi Mevduat</w:t>
            </w:r>
          </w:p>
        </w:tc>
        <w:tc>
          <w:tcPr>
            <w:tcW w:w="424" w:type="pct"/>
            <w:vAlign w:val="center"/>
          </w:tcPr>
          <w:p w14:paraId="3B7A42F4" w14:textId="0D1E9202"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97" w:type="pct"/>
            <w:vAlign w:val="center"/>
          </w:tcPr>
          <w:p w14:paraId="5C6763CE" w14:textId="296B5ED8"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59.361</w:t>
            </w:r>
          </w:p>
        </w:tc>
        <w:tc>
          <w:tcPr>
            <w:tcW w:w="571" w:type="pct"/>
            <w:vAlign w:val="center"/>
          </w:tcPr>
          <w:p w14:paraId="056CCC87" w14:textId="18220112"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110.900</w:t>
            </w:r>
          </w:p>
        </w:tc>
        <w:tc>
          <w:tcPr>
            <w:tcW w:w="475" w:type="pct"/>
            <w:vAlign w:val="center"/>
          </w:tcPr>
          <w:p w14:paraId="39EEFFBB" w14:textId="05C8FBA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7.185</w:t>
            </w:r>
          </w:p>
        </w:tc>
        <w:tc>
          <w:tcPr>
            <w:tcW w:w="475" w:type="pct"/>
            <w:vAlign w:val="center"/>
          </w:tcPr>
          <w:p w14:paraId="20D5749D" w14:textId="24EE604B"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651</w:t>
            </w:r>
          </w:p>
        </w:tc>
        <w:tc>
          <w:tcPr>
            <w:tcW w:w="475" w:type="pct"/>
            <w:vAlign w:val="center"/>
          </w:tcPr>
          <w:p w14:paraId="37E7700C" w14:textId="518AD4D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1.050</w:t>
            </w:r>
          </w:p>
        </w:tc>
        <w:tc>
          <w:tcPr>
            <w:tcW w:w="428" w:type="pct"/>
            <w:vAlign w:val="center"/>
          </w:tcPr>
          <w:p w14:paraId="44C23B00" w14:textId="48400F32"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7" w:type="pct"/>
            <w:vAlign w:val="center"/>
          </w:tcPr>
          <w:p w14:paraId="6A5E4324" w14:textId="395B8108"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179.147</w:t>
            </w:r>
          </w:p>
        </w:tc>
      </w:tr>
      <w:tr w:rsidR="00BB0931" w:rsidRPr="00FB38E1" w14:paraId="37ACC6D1" w14:textId="77777777" w:rsidTr="005E082B">
        <w:tc>
          <w:tcPr>
            <w:tcW w:w="1088" w:type="pct"/>
            <w:vAlign w:val="bottom"/>
          </w:tcPr>
          <w:p w14:paraId="442408FE"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Ticari Mevduat</w:t>
            </w:r>
          </w:p>
        </w:tc>
        <w:tc>
          <w:tcPr>
            <w:tcW w:w="424" w:type="pct"/>
            <w:vAlign w:val="center"/>
          </w:tcPr>
          <w:p w14:paraId="3579D064" w14:textId="48A37F7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w:t>
            </w:r>
          </w:p>
        </w:tc>
        <w:tc>
          <w:tcPr>
            <w:tcW w:w="497" w:type="pct"/>
            <w:vAlign w:val="center"/>
          </w:tcPr>
          <w:p w14:paraId="1D3C572F" w14:textId="1834DD67"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8.078.378</w:t>
            </w:r>
          </w:p>
        </w:tc>
        <w:tc>
          <w:tcPr>
            <w:tcW w:w="571" w:type="pct"/>
            <w:vAlign w:val="center"/>
          </w:tcPr>
          <w:p w14:paraId="2EE96B29" w14:textId="332899D7"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11.872.385</w:t>
            </w:r>
          </w:p>
        </w:tc>
        <w:tc>
          <w:tcPr>
            <w:tcW w:w="475" w:type="pct"/>
            <w:vAlign w:val="center"/>
          </w:tcPr>
          <w:p w14:paraId="4BC0C981" w14:textId="3E4FDC1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9.750.299</w:t>
            </w:r>
          </w:p>
        </w:tc>
        <w:tc>
          <w:tcPr>
            <w:tcW w:w="475" w:type="pct"/>
            <w:vAlign w:val="center"/>
          </w:tcPr>
          <w:p w14:paraId="3DFF29E3" w14:textId="263DDFB3"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16.175.991</w:t>
            </w:r>
          </w:p>
        </w:tc>
        <w:tc>
          <w:tcPr>
            <w:tcW w:w="475" w:type="pct"/>
            <w:vAlign w:val="center"/>
          </w:tcPr>
          <w:p w14:paraId="00F6C302" w14:textId="13EDE998"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7.511.272</w:t>
            </w:r>
          </w:p>
        </w:tc>
        <w:tc>
          <w:tcPr>
            <w:tcW w:w="428" w:type="pct"/>
            <w:vAlign w:val="center"/>
          </w:tcPr>
          <w:p w14:paraId="15A3D987" w14:textId="081A73F6"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7" w:type="pct"/>
            <w:vAlign w:val="center"/>
          </w:tcPr>
          <w:p w14:paraId="49DCD38E" w14:textId="2E8699A1"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53.388.333</w:t>
            </w:r>
          </w:p>
        </w:tc>
      </w:tr>
      <w:tr w:rsidR="00BB0931" w:rsidRPr="00FB38E1" w14:paraId="4ECAC3AC" w14:textId="77777777" w:rsidTr="005E082B">
        <w:tc>
          <w:tcPr>
            <w:tcW w:w="1088" w:type="pct"/>
            <w:vAlign w:val="bottom"/>
          </w:tcPr>
          <w:p w14:paraId="7A540202"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 Mevduat</w:t>
            </w:r>
          </w:p>
        </w:tc>
        <w:tc>
          <w:tcPr>
            <w:tcW w:w="424" w:type="pct"/>
            <w:vAlign w:val="center"/>
          </w:tcPr>
          <w:p w14:paraId="03DE0EE0" w14:textId="654D149F"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97" w:type="pct"/>
            <w:vAlign w:val="center"/>
          </w:tcPr>
          <w:p w14:paraId="78ED5C7F" w14:textId="7DF1CD1B"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830.409</w:t>
            </w:r>
          </w:p>
        </w:tc>
        <w:tc>
          <w:tcPr>
            <w:tcW w:w="571" w:type="pct"/>
            <w:vAlign w:val="center"/>
          </w:tcPr>
          <w:p w14:paraId="45026C06" w14:textId="4F14BA0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749.360</w:t>
            </w:r>
          </w:p>
        </w:tc>
        <w:tc>
          <w:tcPr>
            <w:tcW w:w="475" w:type="pct"/>
            <w:vAlign w:val="center"/>
          </w:tcPr>
          <w:p w14:paraId="08F6EDA3" w14:textId="480FDDC6"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471.880</w:t>
            </w:r>
          </w:p>
        </w:tc>
        <w:tc>
          <w:tcPr>
            <w:tcW w:w="475" w:type="pct"/>
            <w:vAlign w:val="center"/>
          </w:tcPr>
          <w:p w14:paraId="04073653" w14:textId="78F4F658"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226.687</w:t>
            </w:r>
          </w:p>
        </w:tc>
        <w:tc>
          <w:tcPr>
            <w:tcW w:w="475" w:type="pct"/>
            <w:vAlign w:val="center"/>
          </w:tcPr>
          <w:p w14:paraId="23BBB2CB" w14:textId="2FB31755"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763</w:t>
            </w:r>
          </w:p>
        </w:tc>
        <w:tc>
          <w:tcPr>
            <w:tcW w:w="428" w:type="pct"/>
            <w:vAlign w:val="center"/>
          </w:tcPr>
          <w:p w14:paraId="72C6E8C4" w14:textId="11FA0C6B"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7" w:type="pct"/>
            <w:vAlign w:val="center"/>
          </w:tcPr>
          <w:p w14:paraId="53DC8AEF" w14:textId="583A239B"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2.279.099</w:t>
            </w:r>
          </w:p>
        </w:tc>
      </w:tr>
      <w:tr w:rsidR="00BB0931" w:rsidRPr="00FB38E1" w14:paraId="215B24CF" w14:textId="77777777" w:rsidTr="005E082B">
        <w:tc>
          <w:tcPr>
            <w:tcW w:w="1088" w:type="pct"/>
            <w:tcBorders>
              <w:bottom w:val="nil"/>
            </w:tcBorders>
            <w:vAlign w:val="bottom"/>
          </w:tcPr>
          <w:p w14:paraId="53C176F3"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 Gün İhbarlı Mevduat</w:t>
            </w:r>
          </w:p>
        </w:tc>
        <w:tc>
          <w:tcPr>
            <w:tcW w:w="424" w:type="pct"/>
            <w:tcBorders>
              <w:bottom w:val="nil"/>
            </w:tcBorders>
            <w:vAlign w:val="center"/>
          </w:tcPr>
          <w:p w14:paraId="3FFD1D79" w14:textId="32E27FCF"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97" w:type="pct"/>
            <w:tcBorders>
              <w:bottom w:val="nil"/>
            </w:tcBorders>
            <w:vAlign w:val="center"/>
          </w:tcPr>
          <w:p w14:paraId="6C607296" w14:textId="69DF093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71" w:type="pct"/>
            <w:tcBorders>
              <w:bottom w:val="nil"/>
            </w:tcBorders>
            <w:vAlign w:val="center"/>
          </w:tcPr>
          <w:p w14:paraId="4B18D735" w14:textId="324E190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tcBorders>
              <w:bottom w:val="nil"/>
            </w:tcBorders>
            <w:vAlign w:val="center"/>
          </w:tcPr>
          <w:p w14:paraId="1304E9B1" w14:textId="60435EC4"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tcBorders>
              <w:bottom w:val="nil"/>
            </w:tcBorders>
            <w:vAlign w:val="center"/>
          </w:tcPr>
          <w:p w14:paraId="3E85F22F" w14:textId="30F7FCBD"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tcBorders>
              <w:bottom w:val="nil"/>
            </w:tcBorders>
            <w:vAlign w:val="center"/>
          </w:tcPr>
          <w:p w14:paraId="33A8C878" w14:textId="1FAEAB93"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28" w:type="pct"/>
            <w:tcBorders>
              <w:bottom w:val="nil"/>
            </w:tcBorders>
            <w:vAlign w:val="center"/>
          </w:tcPr>
          <w:p w14:paraId="6D1F83CD" w14:textId="0860D7B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7" w:type="pct"/>
            <w:tcBorders>
              <w:bottom w:val="nil"/>
            </w:tcBorders>
            <w:vAlign w:val="center"/>
          </w:tcPr>
          <w:p w14:paraId="6D103200" w14:textId="43348F8A"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BB0931" w:rsidRPr="00FB38E1" w14:paraId="73029190" w14:textId="77777777" w:rsidTr="005E082B">
        <w:tc>
          <w:tcPr>
            <w:tcW w:w="1088" w:type="pct"/>
            <w:tcBorders>
              <w:top w:val="nil"/>
              <w:bottom w:val="single" w:sz="4" w:space="0" w:color="auto"/>
            </w:tcBorders>
            <w:vAlign w:val="bottom"/>
          </w:tcPr>
          <w:p w14:paraId="409FE7F3"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424" w:type="pct"/>
            <w:tcBorders>
              <w:top w:val="nil"/>
              <w:bottom w:val="single" w:sz="4" w:space="0" w:color="auto"/>
            </w:tcBorders>
            <w:vAlign w:val="center"/>
          </w:tcPr>
          <w:p w14:paraId="51922B72" w14:textId="32727D71"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128</w:t>
            </w:r>
          </w:p>
        </w:tc>
        <w:tc>
          <w:tcPr>
            <w:tcW w:w="497" w:type="pct"/>
            <w:tcBorders>
              <w:top w:val="nil"/>
              <w:bottom w:val="single" w:sz="4" w:space="0" w:color="auto"/>
            </w:tcBorders>
            <w:vAlign w:val="center"/>
          </w:tcPr>
          <w:p w14:paraId="6F9989E8" w14:textId="37F02353"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14.771.803</w:t>
            </w:r>
          </w:p>
        </w:tc>
        <w:tc>
          <w:tcPr>
            <w:tcW w:w="571" w:type="pct"/>
            <w:tcBorders>
              <w:top w:val="nil"/>
              <w:bottom w:val="single" w:sz="4" w:space="0" w:color="auto"/>
            </w:tcBorders>
            <w:vAlign w:val="center"/>
          </w:tcPr>
          <w:p w14:paraId="704C6CC9" w14:textId="6A5F3498"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64.780.383</w:t>
            </w:r>
          </w:p>
        </w:tc>
        <w:tc>
          <w:tcPr>
            <w:tcW w:w="475" w:type="pct"/>
            <w:tcBorders>
              <w:top w:val="nil"/>
              <w:bottom w:val="single" w:sz="4" w:space="0" w:color="auto"/>
            </w:tcBorders>
            <w:vAlign w:val="center"/>
          </w:tcPr>
          <w:p w14:paraId="3EF63D40" w14:textId="37C9C9C8"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40.870.839</w:t>
            </w:r>
          </w:p>
        </w:tc>
        <w:tc>
          <w:tcPr>
            <w:tcW w:w="475" w:type="pct"/>
            <w:tcBorders>
              <w:top w:val="nil"/>
              <w:bottom w:val="single" w:sz="4" w:space="0" w:color="auto"/>
            </w:tcBorders>
            <w:vAlign w:val="center"/>
          </w:tcPr>
          <w:p w14:paraId="07989F30" w14:textId="42B17458"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45.120.428</w:t>
            </w:r>
          </w:p>
        </w:tc>
        <w:tc>
          <w:tcPr>
            <w:tcW w:w="475" w:type="pct"/>
            <w:tcBorders>
              <w:top w:val="nil"/>
              <w:bottom w:val="single" w:sz="4" w:space="0" w:color="auto"/>
            </w:tcBorders>
            <w:vAlign w:val="center"/>
          </w:tcPr>
          <w:p w14:paraId="051FAD3D" w14:textId="34A60EE5"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22.124.727</w:t>
            </w:r>
          </w:p>
        </w:tc>
        <w:tc>
          <w:tcPr>
            <w:tcW w:w="428" w:type="pct"/>
            <w:tcBorders>
              <w:top w:val="nil"/>
              <w:bottom w:val="single" w:sz="4" w:space="0" w:color="auto"/>
            </w:tcBorders>
            <w:vAlign w:val="center"/>
          </w:tcPr>
          <w:p w14:paraId="2B45A480" w14:textId="58363086"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2.162</w:t>
            </w:r>
          </w:p>
        </w:tc>
        <w:tc>
          <w:tcPr>
            <w:tcW w:w="567" w:type="pct"/>
            <w:tcBorders>
              <w:top w:val="nil"/>
              <w:bottom w:val="single" w:sz="4" w:space="0" w:color="auto"/>
            </w:tcBorders>
            <w:vAlign w:val="center"/>
          </w:tcPr>
          <w:p w14:paraId="29C483D7" w14:textId="1FA72A60"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187.670.470</w:t>
            </w:r>
          </w:p>
        </w:tc>
      </w:tr>
      <w:tr w:rsidR="002B1219" w:rsidRPr="00FB38E1" w14:paraId="3D19FDF4" w14:textId="77777777" w:rsidTr="005E082B">
        <w:tc>
          <w:tcPr>
            <w:tcW w:w="1088" w:type="pct"/>
            <w:tcBorders>
              <w:top w:val="single" w:sz="4" w:space="0" w:color="auto"/>
            </w:tcBorders>
            <w:vAlign w:val="bottom"/>
          </w:tcPr>
          <w:p w14:paraId="449745F0" w14:textId="77777777" w:rsidR="002B1219" w:rsidRPr="00FB38E1" w:rsidRDefault="002B1219" w:rsidP="002B1219">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Yabancı Para</w:t>
            </w:r>
          </w:p>
        </w:tc>
        <w:tc>
          <w:tcPr>
            <w:tcW w:w="424" w:type="pct"/>
            <w:tcBorders>
              <w:top w:val="single" w:sz="4" w:space="0" w:color="auto"/>
            </w:tcBorders>
            <w:vAlign w:val="center"/>
          </w:tcPr>
          <w:p w14:paraId="7A62CF24" w14:textId="77777777" w:rsidR="002B1219" w:rsidRPr="00FB38E1" w:rsidRDefault="002B1219" w:rsidP="002B1219">
            <w:pPr>
              <w:jc w:val="right"/>
              <w:rPr>
                <w:rFonts w:ascii="Microsoft Sans Serif" w:hAnsi="Microsoft Sans Serif" w:cs="Microsoft Sans Serif"/>
                <w:b/>
                <w:bCs/>
                <w:color w:val="000000"/>
                <w:sz w:val="16"/>
                <w:szCs w:val="16"/>
              </w:rPr>
            </w:pPr>
          </w:p>
        </w:tc>
        <w:tc>
          <w:tcPr>
            <w:tcW w:w="497" w:type="pct"/>
            <w:tcBorders>
              <w:top w:val="single" w:sz="4" w:space="0" w:color="auto"/>
            </w:tcBorders>
            <w:vAlign w:val="center"/>
          </w:tcPr>
          <w:p w14:paraId="3BB198CE" w14:textId="77777777" w:rsidR="002B1219" w:rsidRPr="00FB38E1" w:rsidRDefault="002B1219" w:rsidP="002B1219">
            <w:pPr>
              <w:jc w:val="right"/>
              <w:rPr>
                <w:sz w:val="16"/>
                <w:szCs w:val="16"/>
              </w:rPr>
            </w:pPr>
          </w:p>
        </w:tc>
        <w:tc>
          <w:tcPr>
            <w:tcW w:w="571" w:type="pct"/>
            <w:tcBorders>
              <w:top w:val="single" w:sz="4" w:space="0" w:color="auto"/>
            </w:tcBorders>
            <w:vAlign w:val="center"/>
          </w:tcPr>
          <w:p w14:paraId="273FF313" w14:textId="77777777" w:rsidR="002B1219" w:rsidRPr="00FB38E1" w:rsidRDefault="002B1219" w:rsidP="002B1219">
            <w:pPr>
              <w:jc w:val="right"/>
              <w:rPr>
                <w:sz w:val="16"/>
                <w:szCs w:val="16"/>
              </w:rPr>
            </w:pPr>
          </w:p>
        </w:tc>
        <w:tc>
          <w:tcPr>
            <w:tcW w:w="475" w:type="pct"/>
            <w:tcBorders>
              <w:top w:val="single" w:sz="4" w:space="0" w:color="auto"/>
            </w:tcBorders>
            <w:vAlign w:val="center"/>
          </w:tcPr>
          <w:p w14:paraId="5B5CEA61" w14:textId="77777777" w:rsidR="002B1219" w:rsidRPr="00FB38E1" w:rsidRDefault="002B1219" w:rsidP="002B1219">
            <w:pPr>
              <w:jc w:val="right"/>
              <w:rPr>
                <w:sz w:val="16"/>
                <w:szCs w:val="16"/>
              </w:rPr>
            </w:pPr>
          </w:p>
        </w:tc>
        <w:tc>
          <w:tcPr>
            <w:tcW w:w="475" w:type="pct"/>
            <w:tcBorders>
              <w:top w:val="single" w:sz="4" w:space="0" w:color="auto"/>
            </w:tcBorders>
            <w:vAlign w:val="center"/>
          </w:tcPr>
          <w:p w14:paraId="16987A36" w14:textId="77777777" w:rsidR="002B1219" w:rsidRPr="00FB38E1" w:rsidRDefault="002B1219" w:rsidP="002B1219">
            <w:pPr>
              <w:jc w:val="right"/>
              <w:rPr>
                <w:sz w:val="16"/>
                <w:szCs w:val="16"/>
              </w:rPr>
            </w:pPr>
          </w:p>
        </w:tc>
        <w:tc>
          <w:tcPr>
            <w:tcW w:w="475" w:type="pct"/>
            <w:tcBorders>
              <w:top w:val="single" w:sz="4" w:space="0" w:color="auto"/>
            </w:tcBorders>
            <w:vAlign w:val="center"/>
          </w:tcPr>
          <w:p w14:paraId="72951D77" w14:textId="77777777" w:rsidR="002B1219" w:rsidRPr="00FB38E1" w:rsidRDefault="002B1219" w:rsidP="002B1219">
            <w:pPr>
              <w:jc w:val="right"/>
              <w:rPr>
                <w:sz w:val="16"/>
                <w:szCs w:val="16"/>
              </w:rPr>
            </w:pPr>
          </w:p>
        </w:tc>
        <w:tc>
          <w:tcPr>
            <w:tcW w:w="428" w:type="pct"/>
            <w:tcBorders>
              <w:top w:val="single" w:sz="4" w:space="0" w:color="auto"/>
            </w:tcBorders>
            <w:vAlign w:val="center"/>
          </w:tcPr>
          <w:p w14:paraId="5D9852BE" w14:textId="77777777" w:rsidR="002B1219" w:rsidRPr="00FB38E1" w:rsidRDefault="002B1219" w:rsidP="002B1219">
            <w:pPr>
              <w:jc w:val="right"/>
              <w:rPr>
                <w:sz w:val="16"/>
                <w:szCs w:val="16"/>
              </w:rPr>
            </w:pPr>
          </w:p>
        </w:tc>
        <w:tc>
          <w:tcPr>
            <w:tcW w:w="567" w:type="pct"/>
            <w:tcBorders>
              <w:top w:val="single" w:sz="4" w:space="0" w:color="auto"/>
            </w:tcBorders>
            <w:vAlign w:val="center"/>
          </w:tcPr>
          <w:p w14:paraId="37AB2E3F" w14:textId="77777777" w:rsidR="002B1219" w:rsidRPr="00FB38E1" w:rsidRDefault="002B1219" w:rsidP="002B1219">
            <w:pPr>
              <w:jc w:val="right"/>
              <w:rPr>
                <w:sz w:val="16"/>
                <w:szCs w:val="16"/>
              </w:rPr>
            </w:pPr>
          </w:p>
        </w:tc>
      </w:tr>
      <w:tr w:rsidR="00BB0931" w:rsidRPr="00FB38E1" w14:paraId="550247E6" w14:textId="77777777" w:rsidTr="005E082B">
        <w:tc>
          <w:tcPr>
            <w:tcW w:w="1088" w:type="pct"/>
            <w:vAlign w:val="bottom"/>
          </w:tcPr>
          <w:p w14:paraId="29305607"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Dth</w:t>
            </w:r>
          </w:p>
        </w:tc>
        <w:tc>
          <w:tcPr>
            <w:tcW w:w="424" w:type="pct"/>
            <w:vAlign w:val="center"/>
          </w:tcPr>
          <w:p w14:paraId="3E6122F5" w14:textId="29F29809"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2.721</w:t>
            </w:r>
          </w:p>
        </w:tc>
        <w:tc>
          <w:tcPr>
            <w:tcW w:w="497" w:type="pct"/>
            <w:vAlign w:val="center"/>
          </w:tcPr>
          <w:p w14:paraId="2F86F7BB" w14:textId="77751CC7"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111.254</w:t>
            </w:r>
          </w:p>
        </w:tc>
        <w:tc>
          <w:tcPr>
            <w:tcW w:w="571" w:type="pct"/>
            <w:vAlign w:val="center"/>
          </w:tcPr>
          <w:p w14:paraId="67DA9BE5" w14:textId="7A1FD86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380.320</w:t>
            </w:r>
          </w:p>
        </w:tc>
        <w:tc>
          <w:tcPr>
            <w:tcW w:w="475" w:type="pct"/>
            <w:vAlign w:val="center"/>
          </w:tcPr>
          <w:p w14:paraId="489B8DA9" w14:textId="179401B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91.534</w:t>
            </w:r>
          </w:p>
        </w:tc>
        <w:tc>
          <w:tcPr>
            <w:tcW w:w="475" w:type="pct"/>
            <w:vAlign w:val="center"/>
          </w:tcPr>
          <w:p w14:paraId="129674B3" w14:textId="12E3D486"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462.474</w:t>
            </w:r>
          </w:p>
        </w:tc>
        <w:tc>
          <w:tcPr>
            <w:tcW w:w="475" w:type="pct"/>
            <w:vAlign w:val="center"/>
          </w:tcPr>
          <w:p w14:paraId="3107A483" w14:textId="0AD12C86"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94.865</w:t>
            </w:r>
          </w:p>
        </w:tc>
        <w:tc>
          <w:tcPr>
            <w:tcW w:w="428" w:type="pct"/>
            <w:vAlign w:val="center"/>
          </w:tcPr>
          <w:p w14:paraId="0D3EF2E2" w14:textId="117D3A1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127.570</w:t>
            </w:r>
          </w:p>
        </w:tc>
        <w:tc>
          <w:tcPr>
            <w:tcW w:w="567" w:type="pct"/>
            <w:vAlign w:val="center"/>
          </w:tcPr>
          <w:p w14:paraId="42F891E8" w14:textId="538DC2D9"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1.270.738</w:t>
            </w:r>
          </w:p>
        </w:tc>
      </w:tr>
      <w:tr w:rsidR="00BB0931" w:rsidRPr="00FB38E1" w14:paraId="15AA944A" w14:textId="77777777" w:rsidTr="005E082B">
        <w:tc>
          <w:tcPr>
            <w:tcW w:w="1088" w:type="pct"/>
            <w:vAlign w:val="bottom"/>
          </w:tcPr>
          <w:p w14:paraId="538D1B7E"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Bankalararası Mevduat</w:t>
            </w:r>
          </w:p>
        </w:tc>
        <w:tc>
          <w:tcPr>
            <w:tcW w:w="424" w:type="pct"/>
            <w:vAlign w:val="center"/>
          </w:tcPr>
          <w:p w14:paraId="6764A1EA" w14:textId="36BB548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225.347</w:t>
            </w:r>
          </w:p>
        </w:tc>
        <w:tc>
          <w:tcPr>
            <w:tcW w:w="497" w:type="pct"/>
            <w:vAlign w:val="center"/>
          </w:tcPr>
          <w:p w14:paraId="1AA4727D" w14:textId="47C342D7"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1.280.597</w:t>
            </w:r>
          </w:p>
        </w:tc>
        <w:tc>
          <w:tcPr>
            <w:tcW w:w="571" w:type="pct"/>
            <w:vAlign w:val="center"/>
          </w:tcPr>
          <w:p w14:paraId="31C8EF24" w14:textId="13C5C9D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048B07BB" w14:textId="3911D17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64B447A1" w14:textId="04C4EA5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732CDC41" w14:textId="544096A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28" w:type="pct"/>
            <w:vAlign w:val="center"/>
          </w:tcPr>
          <w:p w14:paraId="1B0A919E" w14:textId="6859E64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7" w:type="pct"/>
            <w:vAlign w:val="center"/>
          </w:tcPr>
          <w:p w14:paraId="7F81125E" w14:textId="1FA19EDE"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1.505.944</w:t>
            </w:r>
          </w:p>
        </w:tc>
      </w:tr>
      <w:tr w:rsidR="00BB0931" w:rsidRPr="00FB38E1" w14:paraId="6851F414" w14:textId="77777777" w:rsidTr="005E082B">
        <w:tc>
          <w:tcPr>
            <w:tcW w:w="1088" w:type="pct"/>
            <w:vAlign w:val="bottom"/>
          </w:tcPr>
          <w:p w14:paraId="4C07A357"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 Gün İhbarlı  Mevduat</w:t>
            </w:r>
          </w:p>
        </w:tc>
        <w:tc>
          <w:tcPr>
            <w:tcW w:w="424" w:type="pct"/>
            <w:vAlign w:val="center"/>
          </w:tcPr>
          <w:p w14:paraId="5C120CE2" w14:textId="74C8616B"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97" w:type="pct"/>
            <w:vAlign w:val="center"/>
          </w:tcPr>
          <w:p w14:paraId="3B85107F" w14:textId="41A7124F"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71" w:type="pct"/>
            <w:vAlign w:val="center"/>
          </w:tcPr>
          <w:p w14:paraId="7AD69C2B" w14:textId="71CA199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16321B21" w14:textId="1BB4C637"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1B477E0F" w14:textId="014F3E24"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75" w:type="pct"/>
            <w:vAlign w:val="center"/>
          </w:tcPr>
          <w:p w14:paraId="20BBBA5A" w14:textId="6B733D0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428" w:type="pct"/>
            <w:vAlign w:val="center"/>
          </w:tcPr>
          <w:p w14:paraId="5CE8CB50" w14:textId="12C4EFB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67" w:type="pct"/>
            <w:vAlign w:val="center"/>
          </w:tcPr>
          <w:p w14:paraId="69CC93E0" w14:textId="6FB0D78A"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w:t>
            </w:r>
          </w:p>
        </w:tc>
      </w:tr>
      <w:tr w:rsidR="00BB0931" w:rsidRPr="00FB38E1" w14:paraId="7814F972" w14:textId="77777777" w:rsidTr="005E082B">
        <w:tc>
          <w:tcPr>
            <w:tcW w:w="1088" w:type="pct"/>
            <w:vAlign w:val="bottom"/>
          </w:tcPr>
          <w:p w14:paraId="2B0D9F33" w14:textId="77777777" w:rsidR="00BB0931" w:rsidRPr="00FB38E1" w:rsidRDefault="00BB0931" w:rsidP="00BB0931">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Kıymetli Maden Depo</w:t>
            </w:r>
          </w:p>
        </w:tc>
        <w:tc>
          <w:tcPr>
            <w:tcW w:w="424" w:type="pct"/>
            <w:vAlign w:val="center"/>
          </w:tcPr>
          <w:p w14:paraId="44A12BA3" w14:textId="1D25B7C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w:t>
            </w:r>
          </w:p>
        </w:tc>
        <w:tc>
          <w:tcPr>
            <w:tcW w:w="497" w:type="pct"/>
            <w:vAlign w:val="center"/>
          </w:tcPr>
          <w:p w14:paraId="7613EA52" w14:textId="22F1DB5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511</w:t>
            </w:r>
          </w:p>
        </w:tc>
        <w:tc>
          <w:tcPr>
            <w:tcW w:w="571" w:type="pct"/>
            <w:vAlign w:val="center"/>
          </w:tcPr>
          <w:p w14:paraId="75115162" w14:textId="5B55B2C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2.524</w:t>
            </w:r>
          </w:p>
        </w:tc>
        <w:tc>
          <w:tcPr>
            <w:tcW w:w="475" w:type="pct"/>
            <w:vAlign w:val="center"/>
          </w:tcPr>
          <w:p w14:paraId="346C17B6" w14:textId="38998E43"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1.640</w:t>
            </w:r>
          </w:p>
        </w:tc>
        <w:tc>
          <w:tcPr>
            <w:tcW w:w="475" w:type="pct"/>
            <w:vAlign w:val="center"/>
          </w:tcPr>
          <w:p w14:paraId="31D66561" w14:textId="19D6B18D"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2.243</w:t>
            </w:r>
          </w:p>
        </w:tc>
        <w:tc>
          <w:tcPr>
            <w:tcW w:w="475" w:type="pct"/>
            <w:vAlign w:val="center"/>
          </w:tcPr>
          <w:p w14:paraId="08FBFFED" w14:textId="6DD8FB1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504</w:t>
            </w:r>
          </w:p>
        </w:tc>
        <w:tc>
          <w:tcPr>
            <w:tcW w:w="428" w:type="pct"/>
            <w:vAlign w:val="center"/>
          </w:tcPr>
          <w:p w14:paraId="4695D7BA" w14:textId="34022B28"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w:t>
            </w:r>
          </w:p>
        </w:tc>
        <w:tc>
          <w:tcPr>
            <w:tcW w:w="567" w:type="pct"/>
            <w:vAlign w:val="center"/>
          </w:tcPr>
          <w:p w14:paraId="7D81CFFC" w14:textId="56A310A1"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7.459</w:t>
            </w:r>
          </w:p>
        </w:tc>
      </w:tr>
      <w:tr w:rsidR="00BB0931" w:rsidRPr="00FB38E1" w14:paraId="7B0F7689" w14:textId="77777777" w:rsidTr="005E082B">
        <w:tc>
          <w:tcPr>
            <w:tcW w:w="1088" w:type="pct"/>
            <w:tcBorders>
              <w:bottom w:val="single" w:sz="4" w:space="0" w:color="auto"/>
            </w:tcBorders>
            <w:vAlign w:val="bottom"/>
          </w:tcPr>
          <w:p w14:paraId="57B270D7"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424" w:type="pct"/>
            <w:tcBorders>
              <w:bottom w:val="single" w:sz="4" w:space="0" w:color="auto"/>
            </w:tcBorders>
            <w:vAlign w:val="center"/>
          </w:tcPr>
          <w:p w14:paraId="739FCDA1" w14:textId="4C6216DC"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228.072</w:t>
            </w:r>
          </w:p>
        </w:tc>
        <w:tc>
          <w:tcPr>
            <w:tcW w:w="497" w:type="pct"/>
            <w:tcBorders>
              <w:bottom w:val="single" w:sz="4" w:space="0" w:color="auto"/>
            </w:tcBorders>
            <w:vAlign w:val="center"/>
          </w:tcPr>
          <w:p w14:paraId="54A09E69" w14:textId="2B4C57F1"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1.392.362</w:t>
            </w:r>
          </w:p>
        </w:tc>
        <w:tc>
          <w:tcPr>
            <w:tcW w:w="571" w:type="pct"/>
            <w:tcBorders>
              <w:bottom w:val="single" w:sz="4" w:space="0" w:color="auto"/>
            </w:tcBorders>
            <w:vAlign w:val="center"/>
          </w:tcPr>
          <w:p w14:paraId="30EA04FA" w14:textId="01457FD6"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382.844</w:t>
            </w:r>
          </w:p>
        </w:tc>
        <w:tc>
          <w:tcPr>
            <w:tcW w:w="475" w:type="pct"/>
            <w:tcBorders>
              <w:bottom w:val="single" w:sz="4" w:space="0" w:color="auto"/>
            </w:tcBorders>
            <w:vAlign w:val="center"/>
          </w:tcPr>
          <w:p w14:paraId="1CCDB4B4" w14:textId="2F57B91B"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93.174</w:t>
            </w:r>
          </w:p>
        </w:tc>
        <w:tc>
          <w:tcPr>
            <w:tcW w:w="475" w:type="pct"/>
            <w:tcBorders>
              <w:bottom w:val="single" w:sz="4" w:space="0" w:color="auto"/>
            </w:tcBorders>
            <w:vAlign w:val="center"/>
          </w:tcPr>
          <w:p w14:paraId="1A9A149E" w14:textId="642A389C"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464.717</w:t>
            </w:r>
          </w:p>
        </w:tc>
        <w:tc>
          <w:tcPr>
            <w:tcW w:w="475" w:type="pct"/>
            <w:tcBorders>
              <w:bottom w:val="single" w:sz="4" w:space="0" w:color="auto"/>
            </w:tcBorders>
            <w:vAlign w:val="center"/>
          </w:tcPr>
          <w:p w14:paraId="24159FDB" w14:textId="7476EE50"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95.369</w:t>
            </w:r>
          </w:p>
        </w:tc>
        <w:tc>
          <w:tcPr>
            <w:tcW w:w="428" w:type="pct"/>
            <w:tcBorders>
              <w:bottom w:val="single" w:sz="4" w:space="0" w:color="auto"/>
            </w:tcBorders>
            <w:vAlign w:val="center"/>
          </w:tcPr>
          <w:p w14:paraId="6CA25FB6" w14:textId="79C729C2"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127.603</w:t>
            </w:r>
          </w:p>
        </w:tc>
        <w:tc>
          <w:tcPr>
            <w:tcW w:w="567" w:type="pct"/>
            <w:tcBorders>
              <w:bottom w:val="single" w:sz="4" w:space="0" w:color="auto"/>
            </w:tcBorders>
            <w:vAlign w:val="center"/>
          </w:tcPr>
          <w:p w14:paraId="2C3EAA13" w14:textId="600BA62B"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2.784.141</w:t>
            </w:r>
          </w:p>
        </w:tc>
      </w:tr>
      <w:tr w:rsidR="00BB0931" w:rsidRPr="00FB38E1" w14:paraId="0224AA83" w14:textId="77777777" w:rsidTr="005E082B">
        <w:tc>
          <w:tcPr>
            <w:tcW w:w="1088" w:type="pct"/>
            <w:tcBorders>
              <w:top w:val="single" w:sz="4" w:space="0" w:color="auto"/>
              <w:bottom w:val="thickThinSmallGap" w:sz="24" w:space="0" w:color="auto"/>
            </w:tcBorders>
            <w:vAlign w:val="bottom"/>
          </w:tcPr>
          <w:p w14:paraId="1B436B98"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Genel Toplam</w:t>
            </w:r>
          </w:p>
        </w:tc>
        <w:tc>
          <w:tcPr>
            <w:tcW w:w="424" w:type="pct"/>
            <w:tcBorders>
              <w:top w:val="single" w:sz="4" w:space="0" w:color="auto"/>
              <w:bottom w:val="thickThinSmallGap" w:sz="24" w:space="0" w:color="auto"/>
            </w:tcBorders>
            <w:vAlign w:val="center"/>
          </w:tcPr>
          <w:p w14:paraId="04836995" w14:textId="2D6019BC"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228.200</w:t>
            </w:r>
          </w:p>
        </w:tc>
        <w:tc>
          <w:tcPr>
            <w:tcW w:w="497" w:type="pct"/>
            <w:tcBorders>
              <w:top w:val="single" w:sz="4" w:space="0" w:color="auto"/>
              <w:bottom w:val="thickThinSmallGap" w:sz="24" w:space="0" w:color="auto"/>
            </w:tcBorders>
            <w:vAlign w:val="center"/>
          </w:tcPr>
          <w:p w14:paraId="407637EB" w14:textId="3DBCE022"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16.164.165</w:t>
            </w:r>
          </w:p>
        </w:tc>
        <w:tc>
          <w:tcPr>
            <w:tcW w:w="571" w:type="pct"/>
            <w:tcBorders>
              <w:top w:val="single" w:sz="4" w:space="0" w:color="auto"/>
              <w:bottom w:val="thickThinSmallGap" w:sz="24" w:space="0" w:color="auto"/>
            </w:tcBorders>
            <w:vAlign w:val="center"/>
          </w:tcPr>
          <w:p w14:paraId="124C1475" w14:textId="18DC0D82"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65.163.227</w:t>
            </w:r>
          </w:p>
        </w:tc>
        <w:tc>
          <w:tcPr>
            <w:tcW w:w="475" w:type="pct"/>
            <w:tcBorders>
              <w:top w:val="single" w:sz="4" w:space="0" w:color="auto"/>
              <w:bottom w:val="thickThinSmallGap" w:sz="24" w:space="0" w:color="auto"/>
            </w:tcBorders>
            <w:vAlign w:val="center"/>
          </w:tcPr>
          <w:p w14:paraId="0BB97711" w14:textId="5373F01C"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40.964.013</w:t>
            </w:r>
          </w:p>
        </w:tc>
        <w:tc>
          <w:tcPr>
            <w:tcW w:w="475" w:type="pct"/>
            <w:tcBorders>
              <w:top w:val="single" w:sz="4" w:space="0" w:color="auto"/>
              <w:bottom w:val="thickThinSmallGap" w:sz="24" w:space="0" w:color="auto"/>
            </w:tcBorders>
            <w:vAlign w:val="center"/>
          </w:tcPr>
          <w:p w14:paraId="6519813E" w14:textId="7D486F74"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45.585.145</w:t>
            </w:r>
          </w:p>
        </w:tc>
        <w:tc>
          <w:tcPr>
            <w:tcW w:w="475" w:type="pct"/>
            <w:tcBorders>
              <w:top w:val="single" w:sz="4" w:space="0" w:color="auto"/>
              <w:bottom w:val="thickThinSmallGap" w:sz="24" w:space="0" w:color="auto"/>
            </w:tcBorders>
            <w:vAlign w:val="center"/>
          </w:tcPr>
          <w:p w14:paraId="1E801EF6" w14:textId="21722D83"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22.220.096</w:t>
            </w:r>
          </w:p>
        </w:tc>
        <w:tc>
          <w:tcPr>
            <w:tcW w:w="428" w:type="pct"/>
            <w:tcBorders>
              <w:top w:val="single" w:sz="4" w:space="0" w:color="auto"/>
              <w:bottom w:val="thickThinSmallGap" w:sz="24" w:space="0" w:color="auto"/>
            </w:tcBorders>
            <w:vAlign w:val="center"/>
          </w:tcPr>
          <w:p w14:paraId="34308B60" w14:textId="66BA2C46"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129.765</w:t>
            </w:r>
          </w:p>
        </w:tc>
        <w:tc>
          <w:tcPr>
            <w:tcW w:w="567" w:type="pct"/>
            <w:tcBorders>
              <w:top w:val="single" w:sz="4" w:space="0" w:color="auto"/>
              <w:bottom w:val="thickThinSmallGap" w:sz="24" w:space="0" w:color="auto"/>
            </w:tcBorders>
            <w:vAlign w:val="center"/>
          </w:tcPr>
          <w:p w14:paraId="455FAAB5" w14:textId="4F43901D"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190.454.611</w:t>
            </w:r>
          </w:p>
        </w:tc>
      </w:tr>
    </w:tbl>
    <w:p w14:paraId="17665F9C" w14:textId="77777777" w:rsidR="005E082B" w:rsidRPr="00FB38E1" w:rsidRDefault="005E082B" w:rsidP="005E082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noProof/>
          <w:snapToGrid w:val="0"/>
          <w:sz w:val="20"/>
          <w:szCs w:val="20"/>
          <w:lang w:val="de-DE"/>
        </w:rPr>
        <w:t>Temettü gelirlerine ilişkin açıklamalar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14"/>
        <w:gridCol w:w="1810"/>
        <w:gridCol w:w="2215"/>
      </w:tblGrid>
      <w:tr w:rsidR="005E082B" w:rsidRPr="00FB38E1" w14:paraId="1CD3167F" w14:textId="77777777" w:rsidTr="00836EF2">
        <w:trPr>
          <w:trHeight w:val="24"/>
        </w:trPr>
        <w:tc>
          <w:tcPr>
            <w:tcW w:w="2912" w:type="pct"/>
            <w:tcBorders>
              <w:top w:val="thinThickSmallGap" w:sz="24" w:space="0" w:color="auto"/>
              <w:bottom w:val="single" w:sz="4" w:space="0" w:color="auto"/>
            </w:tcBorders>
            <w:vAlign w:val="bottom"/>
          </w:tcPr>
          <w:p w14:paraId="4D6EAB87" w14:textId="77777777" w:rsidR="005E082B" w:rsidRPr="00FB38E1" w:rsidRDefault="005E082B"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939" w:type="pct"/>
            <w:tcBorders>
              <w:top w:val="thinThickSmallGap" w:sz="24" w:space="0" w:color="auto"/>
              <w:bottom w:val="single" w:sz="4" w:space="0" w:color="auto"/>
            </w:tcBorders>
          </w:tcPr>
          <w:p w14:paraId="29B73B4D" w14:textId="77777777" w:rsidR="005E082B" w:rsidRPr="00FB38E1" w:rsidRDefault="005E082B"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vAlign w:val="bottom"/>
          </w:tcPr>
          <w:p w14:paraId="756AC9F8" w14:textId="77777777" w:rsidR="005E082B" w:rsidRPr="00FB38E1" w:rsidRDefault="005E082B"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BB0931" w:rsidRPr="00FB38E1" w14:paraId="3E4F089C" w14:textId="77777777" w:rsidTr="00836EF2">
        <w:trPr>
          <w:trHeight w:val="57"/>
        </w:trPr>
        <w:tc>
          <w:tcPr>
            <w:tcW w:w="2912" w:type="pct"/>
            <w:tcBorders>
              <w:top w:val="nil"/>
              <w:bottom w:val="nil"/>
            </w:tcBorders>
            <w:vAlign w:val="bottom"/>
          </w:tcPr>
          <w:p w14:paraId="6912D316"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Gerçeğe Uygun Değer Farkı Kar veya Zarara Yansıtılan FV</w:t>
            </w:r>
          </w:p>
        </w:tc>
        <w:tc>
          <w:tcPr>
            <w:tcW w:w="939" w:type="pct"/>
            <w:tcBorders>
              <w:top w:val="nil"/>
              <w:bottom w:val="nil"/>
            </w:tcBorders>
            <w:vAlign w:val="center"/>
          </w:tcPr>
          <w:p w14:paraId="1238E1BD" w14:textId="220DF94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left w:val="nil"/>
              <w:bottom w:val="nil"/>
              <w:right w:val="nil"/>
            </w:tcBorders>
            <w:shd w:val="clear" w:color="auto" w:fill="auto"/>
            <w:vAlign w:val="center"/>
          </w:tcPr>
          <w:p w14:paraId="2B38D4F8" w14:textId="6A07F01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641843E1" w14:textId="77777777" w:rsidTr="00836EF2">
        <w:trPr>
          <w:trHeight w:val="57"/>
        </w:trPr>
        <w:tc>
          <w:tcPr>
            <w:tcW w:w="2912" w:type="pct"/>
            <w:tcBorders>
              <w:top w:val="nil"/>
              <w:bottom w:val="nil"/>
            </w:tcBorders>
            <w:vAlign w:val="bottom"/>
          </w:tcPr>
          <w:p w14:paraId="790A0C54"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Gerçeğe Uygun Değer Farkı Diğer Kapsamlı Gelire Yansıtılan FV</w:t>
            </w:r>
          </w:p>
        </w:tc>
        <w:tc>
          <w:tcPr>
            <w:tcW w:w="939" w:type="pct"/>
            <w:tcBorders>
              <w:top w:val="nil"/>
              <w:bottom w:val="nil"/>
            </w:tcBorders>
            <w:vAlign w:val="center"/>
          </w:tcPr>
          <w:p w14:paraId="1187F38C" w14:textId="1A59C71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10.520</w:t>
            </w:r>
          </w:p>
        </w:tc>
        <w:tc>
          <w:tcPr>
            <w:tcW w:w="1149" w:type="pct"/>
            <w:tcBorders>
              <w:top w:val="nil"/>
              <w:left w:val="nil"/>
              <w:bottom w:val="nil"/>
              <w:right w:val="nil"/>
            </w:tcBorders>
            <w:shd w:val="clear" w:color="auto" w:fill="auto"/>
            <w:vAlign w:val="center"/>
          </w:tcPr>
          <w:p w14:paraId="2796ED3F" w14:textId="28B65F9F"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7.339</w:t>
            </w:r>
          </w:p>
        </w:tc>
      </w:tr>
      <w:tr w:rsidR="00BB0931" w:rsidRPr="00FB38E1" w14:paraId="6B9803B9" w14:textId="77777777" w:rsidTr="00836EF2">
        <w:trPr>
          <w:trHeight w:val="57"/>
        </w:trPr>
        <w:tc>
          <w:tcPr>
            <w:tcW w:w="2912" w:type="pct"/>
            <w:tcBorders>
              <w:top w:val="nil"/>
              <w:bottom w:val="single" w:sz="6" w:space="0" w:color="auto"/>
            </w:tcBorders>
            <w:vAlign w:val="bottom"/>
          </w:tcPr>
          <w:p w14:paraId="11F0FF35"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Diğer(*)</w:t>
            </w:r>
          </w:p>
        </w:tc>
        <w:tc>
          <w:tcPr>
            <w:tcW w:w="939" w:type="pct"/>
            <w:tcBorders>
              <w:top w:val="nil"/>
              <w:bottom w:val="single" w:sz="6" w:space="0" w:color="auto"/>
            </w:tcBorders>
            <w:vAlign w:val="center"/>
          </w:tcPr>
          <w:p w14:paraId="657B6061" w14:textId="2C22751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54</w:t>
            </w:r>
          </w:p>
        </w:tc>
        <w:tc>
          <w:tcPr>
            <w:tcW w:w="1149" w:type="pct"/>
            <w:tcBorders>
              <w:top w:val="nil"/>
              <w:left w:val="nil"/>
              <w:bottom w:val="single" w:sz="6" w:space="0" w:color="auto"/>
              <w:right w:val="nil"/>
            </w:tcBorders>
            <w:shd w:val="clear" w:color="auto" w:fill="auto"/>
            <w:vAlign w:val="center"/>
          </w:tcPr>
          <w:p w14:paraId="492D580F" w14:textId="60AFCCB5"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w:t>
            </w:r>
          </w:p>
        </w:tc>
      </w:tr>
      <w:tr w:rsidR="00BB0931" w:rsidRPr="00FB38E1" w14:paraId="233D5637" w14:textId="77777777" w:rsidTr="00836EF2">
        <w:trPr>
          <w:trHeight w:val="42"/>
        </w:trPr>
        <w:tc>
          <w:tcPr>
            <w:tcW w:w="2912" w:type="pct"/>
            <w:tcBorders>
              <w:top w:val="single" w:sz="6" w:space="0" w:color="auto"/>
              <w:bottom w:val="thickThinSmallGap" w:sz="24" w:space="0" w:color="auto"/>
            </w:tcBorders>
            <w:vAlign w:val="bottom"/>
          </w:tcPr>
          <w:p w14:paraId="41D3CCF6"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939" w:type="pct"/>
            <w:tcBorders>
              <w:top w:val="single" w:sz="6" w:space="0" w:color="auto"/>
              <w:bottom w:val="thickThinSmallGap" w:sz="24" w:space="0" w:color="000000"/>
            </w:tcBorders>
            <w:vAlign w:val="center"/>
          </w:tcPr>
          <w:p w14:paraId="756AE3D6" w14:textId="278E3685"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10.574</w:t>
            </w:r>
          </w:p>
        </w:tc>
        <w:tc>
          <w:tcPr>
            <w:tcW w:w="1149" w:type="pct"/>
            <w:tcBorders>
              <w:top w:val="single" w:sz="6" w:space="0" w:color="auto"/>
              <w:left w:val="nil"/>
              <w:bottom w:val="thickThinSmallGap" w:sz="24" w:space="0" w:color="000000"/>
              <w:right w:val="nil"/>
            </w:tcBorders>
            <w:shd w:val="clear" w:color="auto" w:fill="auto"/>
            <w:vAlign w:val="center"/>
          </w:tcPr>
          <w:p w14:paraId="20B38D38" w14:textId="5392083B"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7.371</w:t>
            </w:r>
          </w:p>
        </w:tc>
      </w:tr>
    </w:tbl>
    <w:p w14:paraId="5566FE2A" w14:textId="62F4A398" w:rsidR="00D427D0" w:rsidRPr="00FB38E1" w:rsidRDefault="005E082B" w:rsidP="005E082B">
      <w:pPr>
        <w:pStyle w:val="BASLIK2"/>
        <w:widowControl/>
        <w:spacing w:before="0" w:line="240" w:lineRule="exact"/>
        <w:ind w:firstLine="0"/>
        <w:rPr>
          <w:rFonts w:ascii="Microsoft Sans Serif" w:hAnsi="Microsoft Sans Serif" w:cs="Microsoft Sans Serif"/>
          <w:b w:val="0"/>
          <w:noProof/>
          <w:snapToGrid w:val="0"/>
          <w:color w:val="404040" w:themeColor="text1" w:themeTint="BF"/>
          <w:sz w:val="16"/>
          <w:szCs w:val="16"/>
          <w:lang w:val="de-DE"/>
        </w:rPr>
      </w:pPr>
      <w:r w:rsidRPr="00FB38E1">
        <w:rPr>
          <w:rFonts w:ascii="Microsoft Sans Serif" w:hAnsi="Microsoft Sans Serif" w:cs="Microsoft Sans Serif"/>
          <w:b w:val="0"/>
          <w:noProof/>
          <w:snapToGrid w:val="0"/>
          <w:color w:val="404040" w:themeColor="text1" w:themeTint="BF"/>
          <w:sz w:val="16"/>
          <w:szCs w:val="16"/>
          <w:lang w:val="de-DE"/>
        </w:rPr>
        <w:t>(*) Konsolide edilmeyen bağlı ortaklık ve iştiraklerden alınan temettü gelirini göstermektedir.</w:t>
      </w:r>
    </w:p>
    <w:p w14:paraId="0B645F00" w14:textId="4B3505CA" w:rsidR="00663AA5" w:rsidRPr="00FB38E1" w:rsidRDefault="00ED3E8D"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sz w:val="20"/>
          <w:szCs w:val="20"/>
          <w:lang w:val="es-ES"/>
        </w:rPr>
        <w:t>Ticari kar/zarara ilişkin açıklamalar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5E7A98" w:rsidRPr="00FB38E1" w14:paraId="0A223452" w14:textId="21080935" w:rsidTr="00E848B9">
        <w:tc>
          <w:tcPr>
            <w:tcW w:w="2702" w:type="pct"/>
            <w:tcBorders>
              <w:top w:val="thinThickSmallGap" w:sz="24" w:space="0" w:color="auto"/>
              <w:bottom w:val="single" w:sz="4" w:space="0" w:color="auto"/>
            </w:tcBorders>
            <w:vAlign w:val="bottom"/>
          </w:tcPr>
          <w:p w14:paraId="249D3F78" w14:textId="77777777" w:rsidR="005E7A98" w:rsidRPr="00FB38E1" w:rsidRDefault="005E7A98" w:rsidP="00E55B46">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3F98A879" w14:textId="77777777" w:rsidR="005E7A98" w:rsidRPr="00FB38E1" w:rsidRDefault="005E7A98" w:rsidP="00E55B4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4C560980" w14:textId="6CBC221A" w:rsidR="005E7A98" w:rsidRPr="00FB38E1" w:rsidRDefault="005E7A98" w:rsidP="00E55B46">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BB0931" w:rsidRPr="00FB38E1" w14:paraId="54FE5A2F" w14:textId="1BB745C6" w:rsidTr="00E82333">
        <w:tc>
          <w:tcPr>
            <w:tcW w:w="2702" w:type="pct"/>
            <w:tcBorders>
              <w:top w:val="single" w:sz="4" w:space="0" w:color="auto"/>
              <w:bottom w:val="nil"/>
            </w:tcBorders>
            <w:vAlign w:val="bottom"/>
          </w:tcPr>
          <w:p w14:paraId="5D3DD294"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Kar </w:t>
            </w:r>
          </w:p>
        </w:tc>
        <w:tc>
          <w:tcPr>
            <w:tcW w:w="1489" w:type="pct"/>
            <w:tcBorders>
              <w:top w:val="single" w:sz="4" w:space="0" w:color="auto"/>
              <w:bottom w:val="nil"/>
            </w:tcBorders>
            <w:vAlign w:val="center"/>
          </w:tcPr>
          <w:p w14:paraId="27C458BA" w14:textId="320F21EB"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1.885.485.759</w:t>
            </w:r>
          </w:p>
        </w:tc>
        <w:tc>
          <w:tcPr>
            <w:tcW w:w="809" w:type="pct"/>
            <w:tcBorders>
              <w:top w:val="single" w:sz="4" w:space="0" w:color="auto"/>
              <w:bottom w:val="nil"/>
            </w:tcBorders>
            <w:vAlign w:val="center"/>
          </w:tcPr>
          <w:p w14:paraId="60FC8156" w14:textId="387F5369"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1.851.222.895</w:t>
            </w:r>
          </w:p>
        </w:tc>
      </w:tr>
      <w:tr w:rsidR="00BB0931" w:rsidRPr="00FB38E1" w14:paraId="26873F0F" w14:textId="51FABA3A" w:rsidTr="00E82333">
        <w:tc>
          <w:tcPr>
            <w:tcW w:w="2702" w:type="pct"/>
            <w:tcBorders>
              <w:top w:val="nil"/>
              <w:bottom w:val="nil"/>
            </w:tcBorders>
            <w:vAlign w:val="bottom"/>
          </w:tcPr>
          <w:p w14:paraId="3CD6AEE4"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Sermaye Piyasası İşlemleri Karı </w:t>
            </w:r>
          </w:p>
        </w:tc>
        <w:tc>
          <w:tcPr>
            <w:tcW w:w="1489" w:type="pct"/>
            <w:tcBorders>
              <w:top w:val="nil"/>
              <w:bottom w:val="nil"/>
            </w:tcBorders>
            <w:vAlign w:val="center"/>
          </w:tcPr>
          <w:p w14:paraId="1300374C" w14:textId="11B5D15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5.418.135</w:t>
            </w:r>
          </w:p>
        </w:tc>
        <w:tc>
          <w:tcPr>
            <w:tcW w:w="809" w:type="pct"/>
            <w:tcBorders>
              <w:top w:val="nil"/>
              <w:bottom w:val="nil"/>
            </w:tcBorders>
            <w:vAlign w:val="center"/>
          </w:tcPr>
          <w:p w14:paraId="1AC711D3" w14:textId="7B062BD2"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3.786.926</w:t>
            </w:r>
          </w:p>
        </w:tc>
      </w:tr>
      <w:tr w:rsidR="00BB0931" w:rsidRPr="00FB38E1" w14:paraId="52B4EBFE" w14:textId="62037B74" w:rsidTr="00E82333">
        <w:tc>
          <w:tcPr>
            <w:tcW w:w="2702" w:type="pct"/>
            <w:tcBorders>
              <w:top w:val="nil"/>
              <w:bottom w:val="nil"/>
            </w:tcBorders>
            <w:vAlign w:val="bottom"/>
          </w:tcPr>
          <w:p w14:paraId="2D8ADFD1" w14:textId="65E5662A"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Türev Finansal İşlemlerden Kar</w:t>
            </w:r>
          </w:p>
        </w:tc>
        <w:tc>
          <w:tcPr>
            <w:tcW w:w="1489" w:type="pct"/>
            <w:tcBorders>
              <w:top w:val="nil"/>
              <w:bottom w:val="nil"/>
            </w:tcBorders>
            <w:vAlign w:val="center"/>
          </w:tcPr>
          <w:p w14:paraId="43B925B3" w14:textId="79D58098"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36.705.295</w:t>
            </w:r>
          </w:p>
        </w:tc>
        <w:tc>
          <w:tcPr>
            <w:tcW w:w="809" w:type="pct"/>
            <w:tcBorders>
              <w:top w:val="nil"/>
              <w:bottom w:val="nil"/>
            </w:tcBorders>
            <w:vAlign w:val="center"/>
          </w:tcPr>
          <w:p w14:paraId="3AA40CFF" w14:textId="4D831BF8"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36.157.200</w:t>
            </w:r>
          </w:p>
        </w:tc>
      </w:tr>
      <w:tr w:rsidR="00BB0931" w:rsidRPr="00FB38E1" w14:paraId="0DED1DB4" w14:textId="42937624" w:rsidTr="00E82333">
        <w:tc>
          <w:tcPr>
            <w:tcW w:w="2702" w:type="pct"/>
            <w:tcBorders>
              <w:top w:val="nil"/>
              <w:bottom w:val="nil"/>
            </w:tcBorders>
            <w:vAlign w:val="bottom"/>
          </w:tcPr>
          <w:p w14:paraId="01CE5CE6"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Kambiyo İşlemlerinden Kar </w:t>
            </w:r>
          </w:p>
        </w:tc>
        <w:tc>
          <w:tcPr>
            <w:tcW w:w="1489" w:type="pct"/>
            <w:tcBorders>
              <w:top w:val="nil"/>
              <w:bottom w:val="nil"/>
            </w:tcBorders>
            <w:vAlign w:val="center"/>
          </w:tcPr>
          <w:p w14:paraId="64CE8D10" w14:textId="514652AF"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1.843.362.329</w:t>
            </w:r>
          </w:p>
        </w:tc>
        <w:tc>
          <w:tcPr>
            <w:tcW w:w="809" w:type="pct"/>
            <w:tcBorders>
              <w:top w:val="nil"/>
              <w:bottom w:val="nil"/>
            </w:tcBorders>
            <w:vAlign w:val="center"/>
          </w:tcPr>
          <w:p w14:paraId="2E28254F" w14:textId="36A3F5DD"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1.811.278.769</w:t>
            </w:r>
          </w:p>
        </w:tc>
      </w:tr>
      <w:tr w:rsidR="00BB0931" w:rsidRPr="00FB38E1" w14:paraId="36F8B9C4" w14:textId="552C268F" w:rsidTr="00E82333">
        <w:tc>
          <w:tcPr>
            <w:tcW w:w="2702" w:type="pct"/>
            <w:tcBorders>
              <w:top w:val="nil"/>
              <w:bottom w:val="nil"/>
            </w:tcBorders>
            <w:vAlign w:val="bottom"/>
          </w:tcPr>
          <w:p w14:paraId="5C993C16"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Zarar (-) </w:t>
            </w:r>
          </w:p>
        </w:tc>
        <w:tc>
          <w:tcPr>
            <w:tcW w:w="1489" w:type="pct"/>
            <w:tcBorders>
              <w:top w:val="nil"/>
              <w:bottom w:val="nil"/>
            </w:tcBorders>
            <w:vAlign w:val="center"/>
          </w:tcPr>
          <w:p w14:paraId="7DA2EC95" w14:textId="0B390D6E"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1.882.037.596</w:t>
            </w:r>
          </w:p>
        </w:tc>
        <w:tc>
          <w:tcPr>
            <w:tcW w:w="809" w:type="pct"/>
            <w:tcBorders>
              <w:top w:val="nil"/>
              <w:bottom w:val="nil"/>
            </w:tcBorders>
            <w:vAlign w:val="center"/>
          </w:tcPr>
          <w:p w14:paraId="19D01424" w14:textId="0C47E5C1"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1.848.586.447</w:t>
            </w:r>
          </w:p>
        </w:tc>
      </w:tr>
      <w:tr w:rsidR="00BB0931" w:rsidRPr="00FB38E1" w14:paraId="10883B2F" w14:textId="5EA17AE6" w:rsidTr="00E82333">
        <w:tc>
          <w:tcPr>
            <w:tcW w:w="2702" w:type="pct"/>
            <w:tcBorders>
              <w:top w:val="nil"/>
              <w:bottom w:val="nil"/>
            </w:tcBorders>
            <w:vAlign w:val="bottom"/>
          </w:tcPr>
          <w:p w14:paraId="7EFB6EA3"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Sermaye Piyasası İşlemleri Zararı</w:t>
            </w:r>
          </w:p>
        </w:tc>
        <w:tc>
          <w:tcPr>
            <w:tcW w:w="1489" w:type="pct"/>
            <w:tcBorders>
              <w:top w:val="nil"/>
              <w:bottom w:val="nil"/>
            </w:tcBorders>
            <w:vAlign w:val="center"/>
          </w:tcPr>
          <w:p w14:paraId="0ED06CA3" w14:textId="6ACB25B8"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524.523</w:t>
            </w:r>
          </w:p>
        </w:tc>
        <w:tc>
          <w:tcPr>
            <w:tcW w:w="809" w:type="pct"/>
            <w:tcBorders>
              <w:top w:val="nil"/>
              <w:bottom w:val="nil"/>
            </w:tcBorders>
            <w:vAlign w:val="center"/>
          </w:tcPr>
          <w:p w14:paraId="73F4B0E1" w14:textId="3DA47CE5"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1.718.737</w:t>
            </w:r>
          </w:p>
        </w:tc>
      </w:tr>
      <w:tr w:rsidR="00BB0931" w:rsidRPr="00FB38E1" w14:paraId="13E826FD" w14:textId="0D329417" w:rsidTr="00E82333">
        <w:tc>
          <w:tcPr>
            <w:tcW w:w="2702" w:type="pct"/>
            <w:tcBorders>
              <w:top w:val="nil"/>
              <w:bottom w:val="nil"/>
            </w:tcBorders>
            <w:vAlign w:val="bottom"/>
          </w:tcPr>
          <w:p w14:paraId="5553218F"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Türev Finansal İşlemlerden Zarar</w:t>
            </w:r>
          </w:p>
        </w:tc>
        <w:tc>
          <w:tcPr>
            <w:tcW w:w="1489" w:type="pct"/>
            <w:tcBorders>
              <w:top w:val="nil"/>
              <w:bottom w:val="nil"/>
            </w:tcBorders>
            <w:vAlign w:val="center"/>
          </w:tcPr>
          <w:p w14:paraId="713B6095" w14:textId="5C5D032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30.029.175</w:t>
            </w:r>
          </w:p>
        </w:tc>
        <w:tc>
          <w:tcPr>
            <w:tcW w:w="809" w:type="pct"/>
            <w:tcBorders>
              <w:top w:val="nil"/>
              <w:bottom w:val="nil"/>
            </w:tcBorders>
            <w:vAlign w:val="center"/>
          </w:tcPr>
          <w:p w14:paraId="6867DCA4" w14:textId="53B4718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25.821.728</w:t>
            </w:r>
          </w:p>
        </w:tc>
      </w:tr>
      <w:tr w:rsidR="00BB0931" w:rsidRPr="00FB38E1" w14:paraId="7D2630A4" w14:textId="738878CF" w:rsidTr="00E82333">
        <w:tc>
          <w:tcPr>
            <w:tcW w:w="2702" w:type="pct"/>
            <w:tcBorders>
              <w:top w:val="nil"/>
              <w:bottom w:val="single" w:sz="4" w:space="0" w:color="auto"/>
            </w:tcBorders>
            <w:vAlign w:val="bottom"/>
          </w:tcPr>
          <w:p w14:paraId="4C2C7EA4" w14:textId="77777777" w:rsidR="00BB0931" w:rsidRPr="00FB38E1" w:rsidRDefault="00BB0931" w:rsidP="00BB093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Kambiyo İşlemlerinden Zarar </w:t>
            </w:r>
          </w:p>
        </w:tc>
        <w:tc>
          <w:tcPr>
            <w:tcW w:w="1489" w:type="pct"/>
            <w:tcBorders>
              <w:top w:val="nil"/>
              <w:bottom w:val="single" w:sz="4" w:space="0" w:color="auto"/>
            </w:tcBorders>
            <w:vAlign w:val="center"/>
          </w:tcPr>
          <w:p w14:paraId="62034566" w14:textId="49DBAF99"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1.851.483.898</w:t>
            </w:r>
          </w:p>
        </w:tc>
        <w:tc>
          <w:tcPr>
            <w:tcW w:w="809" w:type="pct"/>
            <w:tcBorders>
              <w:top w:val="nil"/>
              <w:bottom w:val="single" w:sz="4" w:space="0" w:color="auto"/>
            </w:tcBorders>
            <w:vAlign w:val="center"/>
          </w:tcPr>
          <w:p w14:paraId="558F995B" w14:textId="460D0292"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1.821.045.982</w:t>
            </w:r>
          </w:p>
        </w:tc>
      </w:tr>
      <w:tr w:rsidR="00BB0931" w:rsidRPr="00FB38E1" w14:paraId="35F522C4" w14:textId="00FB1127" w:rsidTr="00E82333">
        <w:tblPrEx>
          <w:tblCellMar>
            <w:left w:w="70" w:type="dxa"/>
            <w:right w:w="70" w:type="dxa"/>
          </w:tblCellMar>
        </w:tblPrEx>
        <w:tc>
          <w:tcPr>
            <w:tcW w:w="2702" w:type="pct"/>
            <w:tcBorders>
              <w:top w:val="single" w:sz="4" w:space="0" w:color="auto"/>
              <w:bottom w:val="thickThinSmallGap" w:sz="24" w:space="0" w:color="auto"/>
            </w:tcBorders>
            <w:vAlign w:val="bottom"/>
          </w:tcPr>
          <w:p w14:paraId="3D25055B"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Net Ticari Kar/Zarar</w:t>
            </w:r>
          </w:p>
        </w:tc>
        <w:tc>
          <w:tcPr>
            <w:tcW w:w="1489" w:type="pct"/>
            <w:tcBorders>
              <w:top w:val="single" w:sz="4" w:space="0" w:color="auto"/>
              <w:bottom w:val="thickThinSmallGap" w:sz="24" w:space="0" w:color="auto"/>
            </w:tcBorders>
            <w:vAlign w:val="center"/>
          </w:tcPr>
          <w:p w14:paraId="504B3E9D" w14:textId="16969BB2"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3.448.163</w:t>
            </w:r>
          </w:p>
        </w:tc>
        <w:tc>
          <w:tcPr>
            <w:tcW w:w="809" w:type="pct"/>
            <w:tcBorders>
              <w:top w:val="single" w:sz="4" w:space="0" w:color="auto"/>
              <w:bottom w:val="thickThinSmallGap" w:sz="24" w:space="0" w:color="auto"/>
            </w:tcBorders>
            <w:vAlign w:val="center"/>
          </w:tcPr>
          <w:p w14:paraId="3ACDB785" w14:textId="395A736B"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2.636.448</w:t>
            </w:r>
          </w:p>
        </w:tc>
      </w:tr>
    </w:tbl>
    <w:p w14:paraId="1504F336" w14:textId="6CEE6648" w:rsidR="00F75E8B" w:rsidRPr="00FB38E1" w:rsidRDefault="00D26C3A" w:rsidP="00761FD0">
      <w:pPr>
        <w:pStyle w:val="BASLIK2"/>
        <w:widowControl/>
        <w:spacing w:before="60" w:line="240" w:lineRule="auto"/>
        <w:ind w:firstLine="0"/>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b w:val="0"/>
          <w:color w:val="404040" w:themeColor="text1" w:themeTint="BF"/>
          <w:sz w:val="16"/>
          <w:szCs w:val="16"/>
        </w:rPr>
        <w:t xml:space="preserve">Türev finansal işlemlere ilişkin kur değişimlerinden kaynaklanan </w:t>
      </w:r>
      <w:r w:rsidR="00E20138" w:rsidRPr="00FB38E1">
        <w:rPr>
          <w:rFonts w:ascii="Microsoft Sans Serif" w:hAnsi="Microsoft Sans Serif" w:cs="Microsoft Sans Serif"/>
          <w:b w:val="0"/>
          <w:color w:val="404040" w:themeColor="text1" w:themeTint="BF"/>
          <w:sz w:val="16"/>
          <w:szCs w:val="16"/>
        </w:rPr>
        <w:t xml:space="preserve">net </w:t>
      </w:r>
      <w:r w:rsidRPr="00FB38E1">
        <w:rPr>
          <w:rFonts w:ascii="Microsoft Sans Serif" w:hAnsi="Microsoft Sans Serif" w:cs="Microsoft Sans Serif"/>
          <w:b w:val="0"/>
          <w:color w:val="404040" w:themeColor="text1" w:themeTint="BF"/>
          <w:sz w:val="16"/>
          <w:szCs w:val="16"/>
        </w:rPr>
        <w:t>kar</w:t>
      </w:r>
      <w:r w:rsidR="008E4C4B" w:rsidRPr="00FB38E1">
        <w:rPr>
          <w:rFonts w:ascii="Microsoft Sans Serif" w:hAnsi="Microsoft Sans Serif" w:cs="Microsoft Sans Serif"/>
          <w:b w:val="0"/>
          <w:color w:val="404040" w:themeColor="text1" w:themeTint="BF"/>
          <w:sz w:val="16"/>
          <w:szCs w:val="16"/>
        </w:rPr>
        <w:t>/(zarar)</w:t>
      </w:r>
      <w:r w:rsidRPr="00FB38E1">
        <w:rPr>
          <w:rFonts w:ascii="Microsoft Sans Serif" w:hAnsi="Microsoft Sans Serif" w:cs="Microsoft Sans Serif"/>
          <w:b w:val="0"/>
          <w:color w:val="404040" w:themeColor="text1" w:themeTint="BF"/>
          <w:sz w:val="16"/>
          <w:szCs w:val="16"/>
        </w:rPr>
        <w:t xml:space="preserve"> tutarı</w:t>
      </w:r>
      <w:r w:rsidR="00D86290" w:rsidRPr="00FB38E1">
        <w:rPr>
          <w:rFonts w:ascii="Microsoft Sans Serif" w:hAnsi="Microsoft Sans Serif" w:cs="Microsoft Sans Serif"/>
          <w:b w:val="0"/>
          <w:color w:val="404040" w:themeColor="text1" w:themeTint="BF"/>
          <w:sz w:val="16"/>
          <w:szCs w:val="16"/>
        </w:rPr>
        <w:t xml:space="preserve"> 6.519.862</w:t>
      </w:r>
      <w:r w:rsidR="00680D1F" w:rsidRPr="00FB38E1">
        <w:rPr>
          <w:rFonts w:ascii="Microsoft Sans Serif" w:hAnsi="Microsoft Sans Serif" w:cs="Microsoft Sans Serif"/>
          <w:b w:val="0"/>
          <w:color w:val="404040" w:themeColor="text1" w:themeTint="BF"/>
          <w:sz w:val="16"/>
          <w:szCs w:val="16"/>
        </w:rPr>
        <w:t xml:space="preserve"> </w:t>
      </w:r>
      <w:r w:rsidRPr="00FB38E1">
        <w:rPr>
          <w:rFonts w:ascii="Microsoft Sans Serif" w:hAnsi="Microsoft Sans Serif" w:cs="Microsoft Sans Serif"/>
          <w:b w:val="0"/>
          <w:color w:val="404040" w:themeColor="text1" w:themeTint="BF"/>
          <w:sz w:val="16"/>
          <w:szCs w:val="16"/>
        </w:rPr>
        <w:t>TL</w:t>
      </w:r>
      <w:r w:rsidR="000046B5" w:rsidRPr="00FB38E1">
        <w:rPr>
          <w:rFonts w:ascii="Microsoft Sans Serif" w:hAnsi="Microsoft Sans Serif" w:cs="Microsoft Sans Serif"/>
          <w:b w:val="0"/>
          <w:color w:val="404040" w:themeColor="text1" w:themeTint="BF"/>
          <w:sz w:val="16"/>
          <w:szCs w:val="16"/>
        </w:rPr>
        <w:t xml:space="preserve"> (1 Ocak – </w:t>
      </w:r>
      <w:r w:rsidR="009E5C75" w:rsidRPr="00FB38E1">
        <w:rPr>
          <w:rFonts w:ascii="Microsoft Sans Serif" w:hAnsi="Microsoft Sans Serif" w:cs="Microsoft Sans Serif"/>
          <w:b w:val="0"/>
          <w:color w:val="404040" w:themeColor="text1" w:themeTint="BF"/>
          <w:sz w:val="16"/>
          <w:szCs w:val="16"/>
        </w:rPr>
        <w:t>3</w:t>
      </w:r>
      <w:r w:rsidR="00B700A0" w:rsidRPr="00FB38E1">
        <w:rPr>
          <w:rFonts w:ascii="Microsoft Sans Serif" w:hAnsi="Microsoft Sans Serif" w:cs="Microsoft Sans Serif"/>
          <w:b w:val="0"/>
          <w:color w:val="404040" w:themeColor="text1" w:themeTint="BF"/>
          <w:sz w:val="16"/>
          <w:szCs w:val="16"/>
        </w:rPr>
        <w:t>1 Aralık</w:t>
      </w:r>
      <w:r w:rsidR="009E5C75" w:rsidRPr="00FB38E1">
        <w:rPr>
          <w:rFonts w:ascii="Microsoft Sans Serif" w:hAnsi="Microsoft Sans Serif" w:cs="Microsoft Sans Serif"/>
          <w:b w:val="0"/>
          <w:color w:val="404040" w:themeColor="text1" w:themeTint="BF"/>
          <w:sz w:val="16"/>
          <w:szCs w:val="16"/>
        </w:rPr>
        <w:t xml:space="preserve"> 2023</w:t>
      </w:r>
      <w:r w:rsidR="005E7A98" w:rsidRPr="00FB38E1">
        <w:rPr>
          <w:rFonts w:ascii="Microsoft Sans Serif" w:hAnsi="Microsoft Sans Serif" w:cs="Microsoft Sans Serif"/>
          <w:b w:val="0"/>
          <w:color w:val="404040" w:themeColor="text1" w:themeTint="BF"/>
          <w:sz w:val="16"/>
          <w:szCs w:val="16"/>
        </w:rPr>
        <w:t xml:space="preserve">: </w:t>
      </w:r>
      <w:r w:rsidR="00B700A0" w:rsidRPr="00FB38E1">
        <w:rPr>
          <w:rFonts w:ascii="Microsoft Sans Serif" w:hAnsi="Microsoft Sans Serif" w:cs="Microsoft Sans Serif"/>
          <w:b w:val="0"/>
          <w:color w:val="404040" w:themeColor="text1" w:themeTint="BF"/>
          <w:sz w:val="16"/>
          <w:szCs w:val="16"/>
        </w:rPr>
        <w:t xml:space="preserve">16.022.371 </w:t>
      </w:r>
      <w:r w:rsidR="00CC45A4" w:rsidRPr="00FB38E1">
        <w:rPr>
          <w:rFonts w:ascii="Microsoft Sans Serif" w:hAnsi="Microsoft Sans Serif" w:cs="Microsoft Sans Serif"/>
          <w:b w:val="0"/>
          <w:color w:val="404040" w:themeColor="text1" w:themeTint="BF"/>
          <w:sz w:val="16"/>
          <w:szCs w:val="16"/>
        </w:rPr>
        <w:t>TL’dir.)</w:t>
      </w:r>
      <w:r w:rsidR="00761FD0" w:rsidRPr="00FB38E1">
        <w:rPr>
          <w:rFonts w:ascii="Microsoft Sans Serif" w:hAnsi="Microsoft Sans Serif" w:cs="Microsoft Sans Serif"/>
          <w:b w:val="0"/>
          <w:color w:val="404040" w:themeColor="text1" w:themeTint="BF"/>
          <w:sz w:val="16"/>
          <w:szCs w:val="16"/>
        </w:rPr>
        <w:t xml:space="preserve"> </w:t>
      </w:r>
    </w:p>
    <w:p w14:paraId="52142560" w14:textId="7AC5B546" w:rsidR="00F75E8B" w:rsidRPr="00FB38E1" w:rsidRDefault="00F75E8B" w:rsidP="00F75E8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sz w:val="20"/>
          <w:szCs w:val="20"/>
          <w:lang w:val="es-ES"/>
        </w:rPr>
        <w:t>Diğer faaliyet gelirlerine ilişkin bilgiler</w:t>
      </w:r>
    </w:p>
    <w:p w14:paraId="29FA7031" w14:textId="04A9E912" w:rsidR="00F75E8B" w:rsidRPr="00FB38E1" w:rsidRDefault="008B794A" w:rsidP="00ED3E8D">
      <w:pPr>
        <w:autoSpaceDE w:val="0"/>
        <w:autoSpaceDN w:val="0"/>
        <w:adjustRightInd w:val="0"/>
        <w:spacing w:after="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Diğer faaliyet gelirleri, çeşitli bankacılık hizmetleri karşılığında müşterilerden elde edilen ücret gelirleri ve duran varlık satışı gelirlerinden oluşmaktadır.</w:t>
      </w:r>
    </w:p>
    <w:p w14:paraId="055F0733" w14:textId="0C8B0E98" w:rsidR="00F72F6B" w:rsidRPr="00FB38E1" w:rsidRDefault="00F72F6B" w:rsidP="00ED3E8D">
      <w:pPr>
        <w:autoSpaceDE w:val="0"/>
        <w:autoSpaceDN w:val="0"/>
        <w:adjustRightInd w:val="0"/>
        <w:spacing w:after="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br w:type="page"/>
      </w:r>
    </w:p>
    <w:p w14:paraId="178D682F" w14:textId="498E90B6" w:rsidR="00D26C3A" w:rsidRPr="00FB38E1" w:rsidRDefault="00991349" w:rsidP="00F72F6B">
      <w:pPr>
        <w:pStyle w:val="ListParagraph"/>
        <w:numPr>
          <w:ilvl w:val="0"/>
          <w:numId w:val="36"/>
        </w:numPr>
        <w:autoSpaceDE w:val="0"/>
        <w:autoSpaceDN w:val="0"/>
        <w:adjustRightInd w:val="0"/>
        <w:spacing w:before="120" w:after="120"/>
        <w:ind w:left="0" w:hanging="567"/>
        <w:rPr>
          <w:rFonts w:ascii="Microsoft Sans Serif" w:hAnsi="Microsoft Sans Serif" w:cs="Microsoft Sans Serif"/>
          <w:b/>
          <w:color w:val="404040" w:themeColor="text1" w:themeTint="BF"/>
          <w:sz w:val="20"/>
          <w:szCs w:val="20"/>
        </w:rPr>
      </w:pPr>
      <w:r w:rsidRPr="00FB38E1">
        <w:rPr>
          <w:rFonts w:ascii="Microsoft Sans Serif" w:hAnsi="Microsoft Sans Serif" w:cs="Microsoft Sans Serif"/>
          <w:b/>
          <w:noProof/>
          <w:snapToGrid w:val="0"/>
          <w:sz w:val="20"/>
          <w:szCs w:val="20"/>
          <w:lang w:val="de-DE"/>
        </w:rPr>
        <w:t>Beklenen kredi zararı karşılıkları</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896B2C" w:rsidRPr="00FB38E1" w14:paraId="063BD6E6" w14:textId="0229E6DC" w:rsidTr="00094A53">
        <w:trPr>
          <w:trHeight w:val="115"/>
        </w:trPr>
        <w:tc>
          <w:tcPr>
            <w:tcW w:w="2702" w:type="pct"/>
            <w:tcBorders>
              <w:top w:val="thinThickSmallGap" w:sz="24" w:space="0" w:color="auto"/>
              <w:bottom w:val="single" w:sz="4" w:space="0" w:color="auto"/>
            </w:tcBorders>
            <w:vAlign w:val="bottom"/>
          </w:tcPr>
          <w:p w14:paraId="633D58BE" w14:textId="77777777" w:rsidR="00896B2C" w:rsidRPr="00FB38E1" w:rsidRDefault="00896B2C" w:rsidP="005E677D">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4382695C" w14:textId="77777777" w:rsidR="00896B2C" w:rsidRPr="00FB38E1" w:rsidRDefault="00896B2C" w:rsidP="005E67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1C8A385A" w14:textId="43371B82" w:rsidR="00896B2C" w:rsidRPr="00FB38E1" w:rsidRDefault="00896B2C" w:rsidP="005E677D">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BB0931" w:rsidRPr="00FB38E1" w14:paraId="4F2E66B1" w14:textId="7DA09189" w:rsidTr="00D25B37">
        <w:trPr>
          <w:trHeight w:val="70"/>
        </w:trPr>
        <w:tc>
          <w:tcPr>
            <w:tcW w:w="2702" w:type="pct"/>
            <w:tcBorders>
              <w:top w:val="single" w:sz="4" w:space="0" w:color="auto"/>
              <w:bottom w:val="nil"/>
            </w:tcBorders>
            <w:vAlign w:val="bottom"/>
          </w:tcPr>
          <w:p w14:paraId="40AFDC71" w14:textId="33528B93"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xml:space="preserve">Beklenen Kredi Zararı Karşılıkları </w:t>
            </w:r>
            <w:r w:rsidRPr="00FB38E1">
              <w:rPr>
                <w:rFonts w:ascii="Microsoft Sans Serif" w:hAnsi="Microsoft Sans Serif" w:cs="Microsoft Sans Serif"/>
                <w:color w:val="404040" w:themeColor="text1" w:themeTint="BF"/>
                <w:sz w:val="16"/>
                <w:szCs w:val="16"/>
                <w:vertAlign w:val="superscript"/>
              </w:rPr>
              <w:t>(*)</w:t>
            </w:r>
          </w:p>
        </w:tc>
        <w:tc>
          <w:tcPr>
            <w:tcW w:w="1489" w:type="pct"/>
            <w:tcBorders>
              <w:top w:val="single" w:sz="4" w:space="0" w:color="auto"/>
              <w:bottom w:val="nil"/>
            </w:tcBorders>
            <w:vAlign w:val="center"/>
          </w:tcPr>
          <w:p w14:paraId="35A8BF4E" w14:textId="5567385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3.759.203</w:t>
            </w:r>
          </w:p>
        </w:tc>
        <w:tc>
          <w:tcPr>
            <w:tcW w:w="809" w:type="pct"/>
            <w:tcBorders>
              <w:top w:val="single" w:sz="4" w:space="0" w:color="auto"/>
              <w:bottom w:val="nil"/>
            </w:tcBorders>
            <w:vAlign w:val="center"/>
          </w:tcPr>
          <w:p w14:paraId="13FC387F" w14:textId="66626312"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1.802.649</w:t>
            </w:r>
          </w:p>
        </w:tc>
      </w:tr>
      <w:tr w:rsidR="00BB0931" w:rsidRPr="00FB38E1" w14:paraId="7AFE47FA" w14:textId="4E102033" w:rsidTr="00E82333">
        <w:tc>
          <w:tcPr>
            <w:tcW w:w="2702" w:type="pct"/>
            <w:tcBorders>
              <w:top w:val="nil"/>
              <w:bottom w:val="nil"/>
            </w:tcBorders>
            <w:vAlign w:val="bottom"/>
          </w:tcPr>
          <w:p w14:paraId="4226703D" w14:textId="03AA80E4"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themeColor="text1" w:themeTint="BF"/>
                <w:sz w:val="16"/>
                <w:szCs w:val="16"/>
              </w:rPr>
              <w:t>12 Aylık Beklenen Zarar Karşılığı (Birinci Aşama)</w:t>
            </w:r>
          </w:p>
        </w:tc>
        <w:tc>
          <w:tcPr>
            <w:tcW w:w="1489" w:type="pct"/>
            <w:tcBorders>
              <w:top w:val="nil"/>
              <w:bottom w:val="nil"/>
            </w:tcBorders>
            <w:vAlign w:val="center"/>
          </w:tcPr>
          <w:p w14:paraId="57ACA921" w14:textId="330AA427"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(496.349)</w:t>
            </w:r>
          </w:p>
        </w:tc>
        <w:tc>
          <w:tcPr>
            <w:tcW w:w="809" w:type="pct"/>
            <w:tcBorders>
              <w:top w:val="nil"/>
              <w:bottom w:val="nil"/>
            </w:tcBorders>
            <w:vAlign w:val="center"/>
          </w:tcPr>
          <w:p w14:paraId="5BB029FB" w14:textId="25132D0E"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1.888.136</w:t>
            </w:r>
          </w:p>
        </w:tc>
      </w:tr>
      <w:tr w:rsidR="00BB0931" w:rsidRPr="00FB38E1" w14:paraId="1D11A619" w14:textId="104759C7" w:rsidTr="00E82333">
        <w:tc>
          <w:tcPr>
            <w:tcW w:w="2702" w:type="pct"/>
            <w:tcBorders>
              <w:top w:val="nil"/>
              <w:bottom w:val="nil"/>
            </w:tcBorders>
            <w:vAlign w:val="bottom"/>
          </w:tcPr>
          <w:p w14:paraId="081C446D" w14:textId="77777777"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themeColor="text1" w:themeTint="BF"/>
                <w:sz w:val="16"/>
                <w:szCs w:val="16"/>
              </w:rPr>
              <w:t>Kredi Riskinde Önemli Artış (İkinci Aşama)</w:t>
            </w:r>
          </w:p>
        </w:tc>
        <w:tc>
          <w:tcPr>
            <w:tcW w:w="1489" w:type="pct"/>
            <w:tcBorders>
              <w:top w:val="nil"/>
              <w:bottom w:val="nil"/>
            </w:tcBorders>
            <w:vAlign w:val="center"/>
          </w:tcPr>
          <w:p w14:paraId="3F79ADCA" w14:textId="4FE34398"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(2.163.665)</w:t>
            </w:r>
          </w:p>
        </w:tc>
        <w:tc>
          <w:tcPr>
            <w:tcW w:w="809" w:type="pct"/>
            <w:tcBorders>
              <w:top w:val="nil"/>
              <w:bottom w:val="nil"/>
            </w:tcBorders>
            <w:vAlign w:val="center"/>
          </w:tcPr>
          <w:p w14:paraId="1C4BE7BC" w14:textId="7B36DE48"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(920.044)</w:t>
            </w:r>
          </w:p>
        </w:tc>
      </w:tr>
      <w:tr w:rsidR="00BB0931" w:rsidRPr="00FB38E1" w14:paraId="12ABCF98" w14:textId="2705D2DE" w:rsidTr="00E82333">
        <w:tc>
          <w:tcPr>
            <w:tcW w:w="2702" w:type="pct"/>
            <w:tcBorders>
              <w:top w:val="nil"/>
              <w:bottom w:val="nil"/>
            </w:tcBorders>
            <w:vAlign w:val="bottom"/>
          </w:tcPr>
          <w:p w14:paraId="491DDB9B" w14:textId="77777777"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themeColor="text1" w:themeTint="BF"/>
                <w:sz w:val="16"/>
                <w:szCs w:val="16"/>
              </w:rPr>
              <w:t>Temerrüt (Üçüncü Aşama)</w:t>
            </w:r>
          </w:p>
        </w:tc>
        <w:tc>
          <w:tcPr>
            <w:tcW w:w="1489" w:type="pct"/>
            <w:tcBorders>
              <w:top w:val="nil"/>
              <w:bottom w:val="nil"/>
            </w:tcBorders>
            <w:vAlign w:val="center"/>
          </w:tcPr>
          <w:p w14:paraId="197EB0F0" w14:textId="29966366"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6.419.217</w:t>
            </w:r>
          </w:p>
        </w:tc>
        <w:tc>
          <w:tcPr>
            <w:tcW w:w="809" w:type="pct"/>
            <w:tcBorders>
              <w:top w:val="nil"/>
              <w:bottom w:val="nil"/>
            </w:tcBorders>
            <w:vAlign w:val="center"/>
          </w:tcPr>
          <w:p w14:paraId="257751A3" w14:textId="59AD2E16"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834.557</w:t>
            </w:r>
          </w:p>
        </w:tc>
      </w:tr>
      <w:tr w:rsidR="00BB0931" w:rsidRPr="00FB38E1" w14:paraId="0F67F361" w14:textId="6D839C86" w:rsidTr="00E82333">
        <w:tc>
          <w:tcPr>
            <w:tcW w:w="2702" w:type="pct"/>
            <w:tcBorders>
              <w:top w:val="nil"/>
              <w:bottom w:val="nil"/>
            </w:tcBorders>
            <w:vAlign w:val="bottom"/>
          </w:tcPr>
          <w:p w14:paraId="6447C0A6"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Menkul Değerler Değer Düşüş Karşılıkları</w:t>
            </w:r>
          </w:p>
        </w:tc>
        <w:tc>
          <w:tcPr>
            <w:tcW w:w="1489" w:type="pct"/>
            <w:tcBorders>
              <w:top w:val="nil"/>
              <w:bottom w:val="nil"/>
            </w:tcBorders>
            <w:vAlign w:val="center"/>
          </w:tcPr>
          <w:p w14:paraId="2FB6969E" w14:textId="1CE50F2D"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i/>
                <w:iCs/>
                <w:color w:val="404040"/>
                <w:sz w:val="16"/>
                <w:szCs w:val="16"/>
              </w:rPr>
              <w:t>--</w:t>
            </w:r>
          </w:p>
        </w:tc>
        <w:tc>
          <w:tcPr>
            <w:tcW w:w="809" w:type="pct"/>
            <w:tcBorders>
              <w:top w:val="nil"/>
              <w:bottom w:val="nil"/>
            </w:tcBorders>
            <w:vAlign w:val="center"/>
          </w:tcPr>
          <w:p w14:paraId="6D18B75D" w14:textId="6C77378B"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i/>
                <w:iCs/>
                <w:color w:val="404040"/>
                <w:sz w:val="16"/>
                <w:szCs w:val="16"/>
              </w:rPr>
              <w:t>--</w:t>
            </w:r>
          </w:p>
        </w:tc>
      </w:tr>
      <w:tr w:rsidR="00BB0931" w:rsidRPr="00FB38E1" w14:paraId="3BE9408E" w14:textId="683F6032" w:rsidTr="00E82333">
        <w:tc>
          <w:tcPr>
            <w:tcW w:w="2702" w:type="pct"/>
            <w:tcBorders>
              <w:top w:val="nil"/>
              <w:bottom w:val="nil"/>
            </w:tcBorders>
            <w:vAlign w:val="bottom"/>
          </w:tcPr>
          <w:p w14:paraId="21F09360" w14:textId="77777777"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themeColor="text1" w:themeTint="BF"/>
                <w:sz w:val="16"/>
                <w:szCs w:val="16"/>
              </w:rPr>
              <w:t>Gerçeğe Uygun Değer Farkı  Kar veya Zarara Yansıtılan FV</w:t>
            </w:r>
          </w:p>
        </w:tc>
        <w:tc>
          <w:tcPr>
            <w:tcW w:w="1489" w:type="pct"/>
            <w:tcBorders>
              <w:top w:val="nil"/>
              <w:bottom w:val="nil"/>
            </w:tcBorders>
            <w:vAlign w:val="center"/>
          </w:tcPr>
          <w:p w14:paraId="25529A20" w14:textId="51613F27"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c>
          <w:tcPr>
            <w:tcW w:w="809" w:type="pct"/>
            <w:tcBorders>
              <w:top w:val="nil"/>
              <w:bottom w:val="nil"/>
            </w:tcBorders>
            <w:vAlign w:val="center"/>
          </w:tcPr>
          <w:p w14:paraId="625A5047" w14:textId="2D78CD51"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r>
      <w:tr w:rsidR="00BB0931" w:rsidRPr="00FB38E1" w14:paraId="50E8F18D" w14:textId="3DC6A622" w:rsidTr="00E82333">
        <w:tc>
          <w:tcPr>
            <w:tcW w:w="2702" w:type="pct"/>
            <w:tcBorders>
              <w:top w:val="nil"/>
              <w:bottom w:val="nil"/>
            </w:tcBorders>
            <w:vAlign w:val="bottom"/>
          </w:tcPr>
          <w:p w14:paraId="7E5E4C4B" w14:textId="77777777"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themeColor="text1" w:themeTint="BF"/>
                <w:sz w:val="16"/>
                <w:szCs w:val="16"/>
              </w:rPr>
              <w:t>Gerçeğe Uygun Değer Farkı  Diğer Kapsamlı Gelire Yansıtılan FV</w:t>
            </w:r>
          </w:p>
        </w:tc>
        <w:tc>
          <w:tcPr>
            <w:tcW w:w="1489" w:type="pct"/>
            <w:tcBorders>
              <w:top w:val="nil"/>
              <w:bottom w:val="nil"/>
            </w:tcBorders>
            <w:vAlign w:val="center"/>
          </w:tcPr>
          <w:p w14:paraId="02A1C8BE" w14:textId="675B13D4"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c>
          <w:tcPr>
            <w:tcW w:w="809" w:type="pct"/>
            <w:tcBorders>
              <w:top w:val="nil"/>
              <w:bottom w:val="nil"/>
            </w:tcBorders>
            <w:vAlign w:val="center"/>
          </w:tcPr>
          <w:p w14:paraId="08E0473D" w14:textId="7CDCD80A"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r>
      <w:tr w:rsidR="00BB0931" w:rsidRPr="00FB38E1" w14:paraId="487E8048" w14:textId="1F199D51" w:rsidTr="00E82333">
        <w:tc>
          <w:tcPr>
            <w:tcW w:w="2702" w:type="pct"/>
            <w:tcBorders>
              <w:top w:val="nil"/>
              <w:bottom w:val="nil"/>
            </w:tcBorders>
            <w:vAlign w:val="bottom"/>
          </w:tcPr>
          <w:p w14:paraId="13878CA3"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İştirakler, Bağlı Ortaklıklar ve VKET Men. Değ. Değer Düşüş Karşılıkları</w:t>
            </w:r>
          </w:p>
        </w:tc>
        <w:tc>
          <w:tcPr>
            <w:tcW w:w="1489" w:type="pct"/>
            <w:tcBorders>
              <w:top w:val="nil"/>
              <w:bottom w:val="nil"/>
            </w:tcBorders>
            <w:vAlign w:val="center"/>
          </w:tcPr>
          <w:p w14:paraId="522AF798" w14:textId="2FE6349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tcBorders>
              <w:top w:val="nil"/>
              <w:bottom w:val="nil"/>
            </w:tcBorders>
            <w:vAlign w:val="center"/>
          </w:tcPr>
          <w:p w14:paraId="34B50212" w14:textId="512055F9"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41C77B07" w14:textId="1F1D379F" w:rsidTr="00E82333">
        <w:tc>
          <w:tcPr>
            <w:tcW w:w="2702" w:type="pct"/>
            <w:tcBorders>
              <w:top w:val="nil"/>
              <w:bottom w:val="nil"/>
            </w:tcBorders>
            <w:vAlign w:val="bottom"/>
          </w:tcPr>
          <w:p w14:paraId="380C2545" w14:textId="77777777"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themeColor="text1" w:themeTint="BF"/>
                <w:sz w:val="16"/>
                <w:szCs w:val="16"/>
              </w:rPr>
              <w:t>İştirakler</w:t>
            </w:r>
          </w:p>
        </w:tc>
        <w:tc>
          <w:tcPr>
            <w:tcW w:w="1489" w:type="pct"/>
            <w:tcBorders>
              <w:top w:val="nil"/>
              <w:bottom w:val="nil"/>
            </w:tcBorders>
            <w:vAlign w:val="center"/>
          </w:tcPr>
          <w:p w14:paraId="44FE9D1C" w14:textId="295214A4"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c>
          <w:tcPr>
            <w:tcW w:w="809" w:type="pct"/>
            <w:tcBorders>
              <w:top w:val="nil"/>
              <w:bottom w:val="nil"/>
            </w:tcBorders>
            <w:vAlign w:val="center"/>
          </w:tcPr>
          <w:p w14:paraId="3EEB8263" w14:textId="698361DC"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r>
      <w:tr w:rsidR="00BB0931" w:rsidRPr="00FB38E1" w14:paraId="07E19E39" w14:textId="6BF5EF92" w:rsidTr="00E82333">
        <w:tc>
          <w:tcPr>
            <w:tcW w:w="2702" w:type="pct"/>
            <w:tcBorders>
              <w:top w:val="nil"/>
              <w:bottom w:val="nil"/>
            </w:tcBorders>
            <w:vAlign w:val="bottom"/>
          </w:tcPr>
          <w:p w14:paraId="1CC7983B" w14:textId="77777777"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themeColor="text1" w:themeTint="BF"/>
                <w:sz w:val="16"/>
                <w:szCs w:val="16"/>
              </w:rPr>
              <w:t>Bağlı Ortaklıklar</w:t>
            </w:r>
          </w:p>
        </w:tc>
        <w:tc>
          <w:tcPr>
            <w:tcW w:w="1489" w:type="pct"/>
            <w:tcBorders>
              <w:top w:val="nil"/>
              <w:bottom w:val="nil"/>
            </w:tcBorders>
            <w:vAlign w:val="center"/>
          </w:tcPr>
          <w:p w14:paraId="3027DD5C" w14:textId="790B4AB7"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c>
          <w:tcPr>
            <w:tcW w:w="809" w:type="pct"/>
            <w:tcBorders>
              <w:top w:val="nil"/>
              <w:bottom w:val="nil"/>
            </w:tcBorders>
            <w:vAlign w:val="center"/>
          </w:tcPr>
          <w:p w14:paraId="54F4AB8C" w14:textId="7F22EECA"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r>
      <w:tr w:rsidR="00BB0931" w:rsidRPr="00FB38E1" w14:paraId="54BC5786" w14:textId="49660F46" w:rsidTr="00E82333">
        <w:tc>
          <w:tcPr>
            <w:tcW w:w="2702" w:type="pct"/>
            <w:tcBorders>
              <w:top w:val="nil"/>
              <w:bottom w:val="nil"/>
            </w:tcBorders>
            <w:vAlign w:val="bottom"/>
          </w:tcPr>
          <w:p w14:paraId="757FA9B9" w14:textId="77777777"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themeColor="text1" w:themeTint="BF"/>
                <w:sz w:val="16"/>
                <w:szCs w:val="16"/>
              </w:rPr>
              <w:t>Birlikte Kontrol Edilen Ortaklıklar</w:t>
            </w:r>
          </w:p>
        </w:tc>
        <w:tc>
          <w:tcPr>
            <w:tcW w:w="1489" w:type="pct"/>
            <w:tcBorders>
              <w:top w:val="nil"/>
              <w:bottom w:val="nil"/>
            </w:tcBorders>
            <w:vAlign w:val="center"/>
          </w:tcPr>
          <w:p w14:paraId="3D9F272D" w14:textId="0F8E139E"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c>
          <w:tcPr>
            <w:tcW w:w="809" w:type="pct"/>
            <w:tcBorders>
              <w:top w:val="nil"/>
              <w:bottom w:val="nil"/>
            </w:tcBorders>
            <w:vAlign w:val="center"/>
          </w:tcPr>
          <w:p w14:paraId="6B64BC1B" w14:textId="15CEA923"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r>
      <w:tr w:rsidR="00555E78" w:rsidRPr="00FB38E1" w14:paraId="321B2292" w14:textId="1291432F" w:rsidTr="00E82333">
        <w:tc>
          <w:tcPr>
            <w:tcW w:w="2702" w:type="pct"/>
            <w:tcBorders>
              <w:top w:val="nil"/>
              <w:bottom w:val="single" w:sz="4" w:space="0" w:color="auto"/>
            </w:tcBorders>
            <w:vAlign w:val="bottom"/>
          </w:tcPr>
          <w:p w14:paraId="58768360" w14:textId="7A1CDA7E" w:rsidR="00555E78" w:rsidRPr="00FB38E1" w:rsidRDefault="00555E78" w:rsidP="00555E78">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 xml:space="preserve">Diğer </w:t>
            </w:r>
            <w:r w:rsidRPr="00FB38E1">
              <w:rPr>
                <w:rFonts w:ascii="Microsoft Sans Serif" w:hAnsi="Microsoft Sans Serif" w:cs="Microsoft Sans Serif"/>
                <w:color w:val="404040" w:themeColor="text1" w:themeTint="BF"/>
                <w:sz w:val="16"/>
                <w:szCs w:val="16"/>
                <w:vertAlign w:val="superscript"/>
              </w:rPr>
              <w:t>(**)</w:t>
            </w:r>
          </w:p>
        </w:tc>
        <w:tc>
          <w:tcPr>
            <w:tcW w:w="1489" w:type="pct"/>
            <w:tcBorders>
              <w:top w:val="nil"/>
              <w:bottom w:val="single" w:sz="4" w:space="0" w:color="auto"/>
            </w:tcBorders>
            <w:vAlign w:val="center"/>
          </w:tcPr>
          <w:p w14:paraId="559ACF98" w14:textId="7405F6FA" w:rsidR="00555E78" w:rsidRPr="00FB38E1" w:rsidRDefault="00555E78" w:rsidP="00555E7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3.637.727</w:t>
            </w:r>
          </w:p>
        </w:tc>
        <w:tc>
          <w:tcPr>
            <w:tcW w:w="809" w:type="pct"/>
            <w:tcBorders>
              <w:top w:val="nil"/>
              <w:bottom w:val="single" w:sz="4" w:space="0" w:color="auto"/>
            </w:tcBorders>
            <w:vAlign w:val="center"/>
          </w:tcPr>
          <w:p w14:paraId="69CB20C9" w14:textId="64503BAD" w:rsidR="00555E78" w:rsidRPr="00FB38E1" w:rsidRDefault="00555E78" w:rsidP="00555E7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4.202.510</w:t>
            </w:r>
          </w:p>
        </w:tc>
      </w:tr>
      <w:tr w:rsidR="00555E78" w:rsidRPr="00FB38E1" w14:paraId="34941C9F" w14:textId="30B5C07F" w:rsidTr="00E82333">
        <w:tc>
          <w:tcPr>
            <w:tcW w:w="2702" w:type="pct"/>
            <w:tcBorders>
              <w:top w:val="single" w:sz="4" w:space="0" w:color="auto"/>
              <w:bottom w:val="thickThinSmallGap" w:sz="24" w:space="0" w:color="auto"/>
            </w:tcBorders>
            <w:vAlign w:val="bottom"/>
          </w:tcPr>
          <w:p w14:paraId="560A1B05" w14:textId="77777777" w:rsidR="00555E78" w:rsidRPr="00FB38E1" w:rsidRDefault="00555E78" w:rsidP="00555E7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1489" w:type="pct"/>
            <w:tcBorders>
              <w:top w:val="single" w:sz="4" w:space="0" w:color="auto"/>
              <w:bottom w:val="thickThinSmallGap" w:sz="24" w:space="0" w:color="auto"/>
            </w:tcBorders>
            <w:vAlign w:val="center"/>
          </w:tcPr>
          <w:p w14:paraId="5CBB82CE" w14:textId="0F6C084F" w:rsidR="00555E78" w:rsidRPr="00FB38E1" w:rsidRDefault="00555E78" w:rsidP="00555E7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7.396.930</w:t>
            </w:r>
          </w:p>
        </w:tc>
        <w:tc>
          <w:tcPr>
            <w:tcW w:w="809" w:type="pct"/>
            <w:tcBorders>
              <w:top w:val="single" w:sz="4" w:space="0" w:color="auto"/>
              <w:bottom w:val="thickThinSmallGap" w:sz="24" w:space="0" w:color="auto"/>
            </w:tcBorders>
            <w:vAlign w:val="center"/>
          </w:tcPr>
          <w:p w14:paraId="47A69D2E" w14:textId="411C8558" w:rsidR="00555E78" w:rsidRPr="00FB38E1" w:rsidRDefault="00555E78" w:rsidP="00555E7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6.005.159</w:t>
            </w:r>
          </w:p>
        </w:tc>
      </w:tr>
    </w:tbl>
    <w:p w14:paraId="05F7E63C" w14:textId="03391D3D" w:rsidR="00295276" w:rsidRPr="00FB38E1" w:rsidRDefault="008D360C" w:rsidP="009D6EFB">
      <w:pPr>
        <w:pStyle w:val="BASLIK2"/>
        <w:widowControl/>
        <w:spacing w:before="60" w:after="0" w:line="240" w:lineRule="auto"/>
        <w:ind w:firstLine="0"/>
        <w:rPr>
          <w:rFonts w:ascii="Microsoft Sans Serif" w:hAnsi="Microsoft Sans Serif" w:cs="Microsoft Sans Serif"/>
          <w:b w:val="0"/>
          <w:color w:val="404040" w:themeColor="text1" w:themeTint="BF"/>
          <w:sz w:val="14"/>
          <w:szCs w:val="14"/>
          <w:lang w:val="es-ES"/>
        </w:rPr>
      </w:pPr>
      <w:r w:rsidRPr="00FB38E1">
        <w:rPr>
          <w:rFonts w:ascii="Microsoft Sans Serif" w:hAnsi="Microsoft Sans Serif" w:cs="Microsoft Sans Serif"/>
          <w:b w:val="0"/>
          <w:color w:val="404040" w:themeColor="text1" w:themeTint="BF"/>
          <w:sz w:val="14"/>
          <w:szCs w:val="14"/>
          <w:lang w:val="es-ES"/>
        </w:rPr>
        <w:t>(*) Banka, kredilere ait beklenen kredi zarar karşılıkları ile Kredi karşılıklarından yapılan iptal ve tahsilatları netleştirerek finansal tablolarına yansıtmaktadır.</w:t>
      </w:r>
    </w:p>
    <w:p w14:paraId="41234C55" w14:textId="4B770E27" w:rsidR="009D6EFB" w:rsidRPr="00FB38E1" w:rsidRDefault="009D6EFB" w:rsidP="009D6EFB">
      <w:pPr>
        <w:pStyle w:val="BASLIK2"/>
        <w:widowControl/>
        <w:spacing w:before="0" w:after="0" w:line="240" w:lineRule="auto"/>
        <w:ind w:firstLine="0"/>
        <w:rPr>
          <w:rFonts w:ascii="Microsoft Sans Serif" w:hAnsi="Microsoft Sans Serif" w:cs="Microsoft Sans Serif"/>
          <w:b w:val="0"/>
          <w:color w:val="404040" w:themeColor="text1" w:themeTint="BF"/>
          <w:sz w:val="14"/>
          <w:szCs w:val="14"/>
          <w:lang w:val="es-ES"/>
        </w:rPr>
      </w:pPr>
      <w:r w:rsidRPr="00FB38E1">
        <w:rPr>
          <w:rFonts w:ascii="Microsoft Sans Serif" w:hAnsi="Microsoft Sans Serif" w:cs="Microsoft Sans Serif"/>
          <w:b w:val="0"/>
          <w:color w:val="404040" w:themeColor="text1" w:themeTint="BF"/>
          <w:sz w:val="14"/>
          <w:szCs w:val="14"/>
          <w:lang w:val="es-ES"/>
        </w:rPr>
        <w:t>(**) TFRS</w:t>
      </w:r>
      <w:r w:rsidR="00934254" w:rsidRPr="00FB38E1">
        <w:rPr>
          <w:rFonts w:ascii="Microsoft Sans Serif" w:hAnsi="Microsoft Sans Serif" w:cs="Microsoft Sans Serif"/>
          <w:b w:val="0"/>
          <w:color w:val="404040" w:themeColor="text1" w:themeTint="BF"/>
          <w:sz w:val="14"/>
          <w:szCs w:val="14"/>
          <w:lang w:val="es-ES"/>
        </w:rPr>
        <w:t xml:space="preserve"> </w:t>
      </w:r>
      <w:r w:rsidRPr="00FB38E1">
        <w:rPr>
          <w:rFonts w:ascii="Microsoft Sans Serif" w:hAnsi="Microsoft Sans Serif" w:cs="Microsoft Sans Serif"/>
          <w:b w:val="0"/>
          <w:color w:val="404040" w:themeColor="text1" w:themeTint="BF"/>
          <w:sz w:val="14"/>
          <w:szCs w:val="14"/>
          <w:lang w:val="es-ES"/>
        </w:rPr>
        <w:t>9’a göre ayrılan karşılıkların dışındaki karşılıkları içermektedir.</w:t>
      </w:r>
    </w:p>
    <w:p w14:paraId="3AEC9C18" w14:textId="79011EBF" w:rsidR="00D26C3A" w:rsidRPr="00FB38E1" w:rsidRDefault="00E55B46" w:rsidP="000E7273">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sz w:val="20"/>
          <w:szCs w:val="20"/>
          <w:lang w:val="es-ES"/>
        </w:rPr>
        <w:t>Diğer faaliyet giderlerine ilişkin bilgiler</w:t>
      </w:r>
      <w:r w:rsidR="000A1399" w:rsidRPr="00FB38E1">
        <w:rPr>
          <w:rFonts w:ascii="Microsoft Sans Serif" w:hAnsi="Microsoft Sans Serif" w:cs="Microsoft Sans Serif"/>
          <w:sz w:val="20"/>
          <w:szCs w:val="20"/>
          <w:lang w:val="es-ES"/>
        </w:rPr>
        <w:t xml:space="preserve"> </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896B2C" w:rsidRPr="00FB38E1" w14:paraId="5C116FC4" w14:textId="4EC725EC" w:rsidTr="00896B2C">
        <w:tc>
          <w:tcPr>
            <w:tcW w:w="2702" w:type="pct"/>
            <w:tcBorders>
              <w:top w:val="thinThickSmallGap" w:sz="24" w:space="0" w:color="auto"/>
              <w:bottom w:val="single" w:sz="4" w:space="0" w:color="auto"/>
            </w:tcBorders>
            <w:vAlign w:val="bottom"/>
          </w:tcPr>
          <w:p w14:paraId="7EE10EEB" w14:textId="77777777" w:rsidR="00896B2C" w:rsidRPr="00FB38E1" w:rsidRDefault="00896B2C" w:rsidP="00A141C7">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149" w:type="pct"/>
            <w:tcBorders>
              <w:top w:val="thinThickSmallGap" w:sz="24" w:space="0" w:color="auto"/>
              <w:bottom w:val="single" w:sz="4" w:space="0" w:color="auto"/>
            </w:tcBorders>
            <w:vAlign w:val="bottom"/>
          </w:tcPr>
          <w:p w14:paraId="1B064F00" w14:textId="77777777" w:rsidR="00896B2C" w:rsidRPr="00FB38E1" w:rsidRDefault="00896B2C" w:rsidP="00A141C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tcPr>
          <w:p w14:paraId="4906A02E" w14:textId="44CACB8A" w:rsidR="00896B2C" w:rsidRPr="00FB38E1" w:rsidRDefault="00896B2C" w:rsidP="00A141C7">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BB0931" w:rsidRPr="00FB38E1" w14:paraId="02186521" w14:textId="1E3BEF90" w:rsidTr="00B700A0">
        <w:trPr>
          <w:trHeight w:val="71"/>
        </w:trPr>
        <w:tc>
          <w:tcPr>
            <w:tcW w:w="2702" w:type="pct"/>
            <w:tcBorders>
              <w:top w:val="single" w:sz="4" w:space="0" w:color="auto"/>
              <w:bottom w:val="nil"/>
            </w:tcBorders>
            <w:vAlign w:val="center"/>
          </w:tcPr>
          <w:p w14:paraId="23F997F5" w14:textId="5D414D48"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Personel Giderleri (*)</w:t>
            </w:r>
          </w:p>
        </w:tc>
        <w:tc>
          <w:tcPr>
            <w:tcW w:w="1149" w:type="pct"/>
            <w:tcBorders>
              <w:top w:val="single" w:sz="4" w:space="0" w:color="auto"/>
              <w:bottom w:val="nil"/>
            </w:tcBorders>
            <w:shd w:val="clear" w:color="auto" w:fill="auto"/>
            <w:vAlign w:val="center"/>
          </w:tcPr>
          <w:p w14:paraId="39475F1B" w14:textId="0DF3FEB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17.153.001</w:t>
            </w:r>
          </w:p>
        </w:tc>
        <w:tc>
          <w:tcPr>
            <w:tcW w:w="1149" w:type="pct"/>
            <w:tcBorders>
              <w:top w:val="single" w:sz="4" w:space="0" w:color="auto"/>
              <w:bottom w:val="nil"/>
            </w:tcBorders>
            <w:vAlign w:val="center"/>
          </w:tcPr>
          <w:p w14:paraId="7C621B89" w14:textId="24F1AD9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9.174.719</w:t>
            </w:r>
          </w:p>
        </w:tc>
      </w:tr>
      <w:tr w:rsidR="00BB0931" w:rsidRPr="00FB38E1" w14:paraId="60385463" w14:textId="5AC747C3" w:rsidTr="00B700A0">
        <w:tc>
          <w:tcPr>
            <w:tcW w:w="2702" w:type="pct"/>
            <w:tcBorders>
              <w:top w:val="nil"/>
              <w:bottom w:val="nil"/>
            </w:tcBorders>
            <w:vAlign w:val="center"/>
          </w:tcPr>
          <w:p w14:paraId="7CEC600D" w14:textId="2D3EB32D"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Kıdem Tazminatı Karşılığı (*)</w:t>
            </w:r>
          </w:p>
        </w:tc>
        <w:tc>
          <w:tcPr>
            <w:tcW w:w="1149" w:type="pct"/>
            <w:tcBorders>
              <w:top w:val="nil"/>
              <w:bottom w:val="nil"/>
            </w:tcBorders>
            <w:shd w:val="clear" w:color="auto" w:fill="auto"/>
            <w:vAlign w:val="center"/>
          </w:tcPr>
          <w:p w14:paraId="132DD45B" w14:textId="63914B9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32.002</w:t>
            </w:r>
          </w:p>
        </w:tc>
        <w:tc>
          <w:tcPr>
            <w:tcW w:w="1149" w:type="pct"/>
            <w:tcBorders>
              <w:top w:val="nil"/>
              <w:bottom w:val="nil"/>
            </w:tcBorders>
            <w:vAlign w:val="center"/>
          </w:tcPr>
          <w:p w14:paraId="2A18DA62" w14:textId="5893437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(174.424)</w:t>
            </w:r>
          </w:p>
        </w:tc>
      </w:tr>
      <w:tr w:rsidR="00BB0931" w:rsidRPr="00FB38E1" w14:paraId="3A7B57BA" w14:textId="167EB393" w:rsidTr="00B700A0">
        <w:tc>
          <w:tcPr>
            <w:tcW w:w="2702" w:type="pct"/>
            <w:tcBorders>
              <w:top w:val="nil"/>
              <w:bottom w:val="nil"/>
            </w:tcBorders>
            <w:vAlign w:val="center"/>
          </w:tcPr>
          <w:p w14:paraId="6C0A560B"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Banka Sosyal Yardım Sandığı Varlık Açıkları Karşılığı</w:t>
            </w:r>
          </w:p>
        </w:tc>
        <w:tc>
          <w:tcPr>
            <w:tcW w:w="1149" w:type="pct"/>
            <w:tcBorders>
              <w:top w:val="nil"/>
              <w:bottom w:val="nil"/>
            </w:tcBorders>
            <w:shd w:val="clear" w:color="auto" w:fill="auto"/>
            <w:vAlign w:val="center"/>
          </w:tcPr>
          <w:p w14:paraId="6393DC67" w14:textId="59E6830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bottom w:val="nil"/>
            </w:tcBorders>
            <w:vAlign w:val="center"/>
          </w:tcPr>
          <w:p w14:paraId="15BBDD4E" w14:textId="2550B6C4"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26B6F32A" w14:textId="6325B713" w:rsidTr="00B700A0">
        <w:tc>
          <w:tcPr>
            <w:tcW w:w="2702" w:type="pct"/>
            <w:tcBorders>
              <w:top w:val="nil"/>
              <w:bottom w:val="nil"/>
            </w:tcBorders>
            <w:vAlign w:val="center"/>
          </w:tcPr>
          <w:p w14:paraId="28E13B29"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 xml:space="preserve">Maddi Duran Varlık Değer Düşüş Giderleri </w:t>
            </w:r>
          </w:p>
        </w:tc>
        <w:tc>
          <w:tcPr>
            <w:tcW w:w="1149" w:type="pct"/>
            <w:tcBorders>
              <w:top w:val="nil"/>
              <w:bottom w:val="nil"/>
            </w:tcBorders>
            <w:shd w:val="clear" w:color="auto" w:fill="auto"/>
            <w:vAlign w:val="center"/>
          </w:tcPr>
          <w:p w14:paraId="63A75D66" w14:textId="5B96193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bottom w:val="nil"/>
            </w:tcBorders>
            <w:vAlign w:val="center"/>
          </w:tcPr>
          <w:p w14:paraId="38ED4784" w14:textId="65B5AAE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69B422BD" w14:textId="01DD7736" w:rsidTr="00B700A0">
        <w:tc>
          <w:tcPr>
            <w:tcW w:w="2702" w:type="pct"/>
            <w:tcBorders>
              <w:top w:val="nil"/>
              <w:bottom w:val="nil"/>
            </w:tcBorders>
            <w:vAlign w:val="center"/>
          </w:tcPr>
          <w:p w14:paraId="539B5551" w14:textId="7B9C64F6"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Maddi Duran Varlık Amortisman Giderleri</w:t>
            </w:r>
          </w:p>
        </w:tc>
        <w:tc>
          <w:tcPr>
            <w:tcW w:w="1149" w:type="pct"/>
            <w:tcBorders>
              <w:top w:val="nil"/>
              <w:bottom w:val="nil"/>
            </w:tcBorders>
            <w:shd w:val="clear" w:color="auto" w:fill="auto"/>
            <w:vAlign w:val="center"/>
          </w:tcPr>
          <w:p w14:paraId="0924F413" w14:textId="7E2EFB9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1.147.149</w:t>
            </w:r>
          </w:p>
        </w:tc>
        <w:tc>
          <w:tcPr>
            <w:tcW w:w="1149" w:type="pct"/>
            <w:tcBorders>
              <w:top w:val="nil"/>
              <w:bottom w:val="nil"/>
            </w:tcBorders>
            <w:vAlign w:val="center"/>
          </w:tcPr>
          <w:p w14:paraId="28330772" w14:textId="78143E9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741.106</w:t>
            </w:r>
          </w:p>
        </w:tc>
      </w:tr>
      <w:tr w:rsidR="00BB0931" w:rsidRPr="00FB38E1" w14:paraId="402FF097" w14:textId="48B15611" w:rsidTr="00B700A0">
        <w:tc>
          <w:tcPr>
            <w:tcW w:w="2702" w:type="pct"/>
            <w:tcBorders>
              <w:top w:val="nil"/>
              <w:bottom w:val="nil"/>
            </w:tcBorders>
            <w:vAlign w:val="center"/>
          </w:tcPr>
          <w:p w14:paraId="3EA5A273"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Maddi Olmayan Duran Varlık Değer Düşüş Giderleri</w:t>
            </w:r>
          </w:p>
        </w:tc>
        <w:tc>
          <w:tcPr>
            <w:tcW w:w="1149" w:type="pct"/>
            <w:tcBorders>
              <w:top w:val="nil"/>
              <w:bottom w:val="nil"/>
            </w:tcBorders>
            <w:shd w:val="clear" w:color="auto" w:fill="auto"/>
            <w:vAlign w:val="center"/>
          </w:tcPr>
          <w:p w14:paraId="7355DDEE" w14:textId="6B92CCE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bottom w:val="nil"/>
            </w:tcBorders>
            <w:vAlign w:val="center"/>
          </w:tcPr>
          <w:p w14:paraId="563F96C0" w14:textId="56CEEDE3"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2FEBC964" w14:textId="60873604" w:rsidTr="00B700A0">
        <w:tc>
          <w:tcPr>
            <w:tcW w:w="2702" w:type="pct"/>
            <w:tcBorders>
              <w:top w:val="nil"/>
              <w:bottom w:val="nil"/>
            </w:tcBorders>
            <w:vAlign w:val="center"/>
          </w:tcPr>
          <w:p w14:paraId="0A2DB7E3"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Şerefiye Değer Düşüş Gideri</w:t>
            </w:r>
          </w:p>
        </w:tc>
        <w:tc>
          <w:tcPr>
            <w:tcW w:w="1149" w:type="pct"/>
            <w:tcBorders>
              <w:top w:val="nil"/>
              <w:bottom w:val="nil"/>
            </w:tcBorders>
            <w:shd w:val="clear" w:color="auto" w:fill="auto"/>
            <w:vAlign w:val="center"/>
          </w:tcPr>
          <w:p w14:paraId="16F42994" w14:textId="6B72868D"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bottom w:val="nil"/>
            </w:tcBorders>
            <w:vAlign w:val="center"/>
          </w:tcPr>
          <w:p w14:paraId="3E30115E" w14:textId="3030E0C2"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5047B354" w14:textId="55171BCA" w:rsidTr="00B700A0">
        <w:tc>
          <w:tcPr>
            <w:tcW w:w="2702" w:type="pct"/>
            <w:tcBorders>
              <w:top w:val="nil"/>
              <w:bottom w:val="nil"/>
            </w:tcBorders>
            <w:vAlign w:val="center"/>
          </w:tcPr>
          <w:p w14:paraId="0399C4C5"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Maddi Olmayan Duran Varlık Amortisman Gideri</w:t>
            </w:r>
          </w:p>
        </w:tc>
        <w:tc>
          <w:tcPr>
            <w:tcW w:w="1149" w:type="pct"/>
            <w:tcBorders>
              <w:top w:val="nil"/>
              <w:bottom w:val="nil"/>
            </w:tcBorders>
            <w:shd w:val="clear" w:color="auto" w:fill="auto"/>
            <w:vAlign w:val="center"/>
          </w:tcPr>
          <w:p w14:paraId="3D1E58F6" w14:textId="60EE697D"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1.673.593</w:t>
            </w:r>
          </w:p>
        </w:tc>
        <w:tc>
          <w:tcPr>
            <w:tcW w:w="1149" w:type="pct"/>
            <w:tcBorders>
              <w:top w:val="nil"/>
              <w:bottom w:val="nil"/>
            </w:tcBorders>
            <w:vAlign w:val="center"/>
          </w:tcPr>
          <w:p w14:paraId="7291E9A6" w14:textId="3EB3EA3E"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875.875</w:t>
            </w:r>
          </w:p>
        </w:tc>
      </w:tr>
      <w:tr w:rsidR="00BB0931" w:rsidRPr="00FB38E1" w14:paraId="02894ACB" w14:textId="62BD7A44" w:rsidTr="00B700A0">
        <w:tc>
          <w:tcPr>
            <w:tcW w:w="2702" w:type="pct"/>
            <w:tcBorders>
              <w:top w:val="nil"/>
              <w:bottom w:val="nil"/>
            </w:tcBorders>
            <w:vAlign w:val="center"/>
          </w:tcPr>
          <w:p w14:paraId="69B76ED0"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Özkaynak Yöntemi Uygulanan Ortaklık Payları Değer Düşüş Giderleri</w:t>
            </w:r>
          </w:p>
        </w:tc>
        <w:tc>
          <w:tcPr>
            <w:tcW w:w="1149" w:type="pct"/>
            <w:tcBorders>
              <w:top w:val="nil"/>
              <w:bottom w:val="nil"/>
            </w:tcBorders>
            <w:shd w:val="clear" w:color="auto" w:fill="auto"/>
            <w:vAlign w:val="center"/>
          </w:tcPr>
          <w:p w14:paraId="3D22FE79" w14:textId="4E0DDDC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bottom w:val="nil"/>
            </w:tcBorders>
            <w:vAlign w:val="center"/>
          </w:tcPr>
          <w:p w14:paraId="1A087160" w14:textId="62349BED"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752C93EB" w14:textId="50F22E37" w:rsidTr="00B700A0">
        <w:tc>
          <w:tcPr>
            <w:tcW w:w="2702" w:type="pct"/>
            <w:tcBorders>
              <w:top w:val="nil"/>
              <w:bottom w:val="nil"/>
            </w:tcBorders>
            <w:vAlign w:val="center"/>
          </w:tcPr>
          <w:p w14:paraId="6806F143"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Elden Çıkarılacak Menkul Kıymetler Değer Düşüş Gideri</w:t>
            </w:r>
          </w:p>
        </w:tc>
        <w:tc>
          <w:tcPr>
            <w:tcW w:w="1149" w:type="pct"/>
            <w:tcBorders>
              <w:top w:val="nil"/>
              <w:bottom w:val="nil"/>
            </w:tcBorders>
            <w:shd w:val="clear" w:color="auto" w:fill="auto"/>
            <w:vAlign w:val="center"/>
          </w:tcPr>
          <w:p w14:paraId="6D6274ED" w14:textId="4970785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bottom w:val="nil"/>
            </w:tcBorders>
            <w:vAlign w:val="center"/>
          </w:tcPr>
          <w:p w14:paraId="75E3D29D" w14:textId="44B6F209"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55.529</w:t>
            </w:r>
          </w:p>
        </w:tc>
      </w:tr>
      <w:tr w:rsidR="00BB0931" w:rsidRPr="00FB38E1" w14:paraId="4433BFB7" w14:textId="4013BAAF" w:rsidTr="00B700A0">
        <w:tc>
          <w:tcPr>
            <w:tcW w:w="2702" w:type="pct"/>
            <w:tcBorders>
              <w:top w:val="nil"/>
              <w:bottom w:val="nil"/>
            </w:tcBorders>
            <w:vAlign w:val="center"/>
          </w:tcPr>
          <w:p w14:paraId="4A3386E5"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Elden Çıkarılacak Menkul Kıymetler Amortisman Gideri</w:t>
            </w:r>
          </w:p>
        </w:tc>
        <w:tc>
          <w:tcPr>
            <w:tcW w:w="1149" w:type="pct"/>
            <w:tcBorders>
              <w:top w:val="nil"/>
              <w:bottom w:val="nil"/>
            </w:tcBorders>
            <w:shd w:val="clear" w:color="auto" w:fill="auto"/>
            <w:vAlign w:val="center"/>
          </w:tcPr>
          <w:p w14:paraId="35CAE804" w14:textId="1659EF93"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bottom w:val="nil"/>
            </w:tcBorders>
            <w:vAlign w:val="center"/>
          </w:tcPr>
          <w:p w14:paraId="4FEDA9E9" w14:textId="1BC93BFA"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3AE9F807" w14:textId="6B9C1D6B" w:rsidTr="00B700A0">
        <w:tc>
          <w:tcPr>
            <w:tcW w:w="2702" w:type="pct"/>
            <w:tcBorders>
              <w:top w:val="nil"/>
              <w:bottom w:val="nil"/>
            </w:tcBorders>
            <w:vAlign w:val="center"/>
          </w:tcPr>
          <w:p w14:paraId="104E964A"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Satış Amaçlı Elde Tutulan Duran Varlıklar Değer Düşüş Giderleri</w:t>
            </w:r>
          </w:p>
        </w:tc>
        <w:tc>
          <w:tcPr>
            <w:tcW w:w="1149" w:type="pct"/>
            <w:tcBorders>
              <w:top w:val="nil"/>
              <w:bottom w:val="nil"/>
            </w:tcBorders>
            <w:shd w:val="clear" w:color="auto" w:fill="auto"/>
            <w:vAlign w:val="center"/>
          </w:tcPr>
          <w:p w14:paraId="31E86150" w14:textId="62077BF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1149" w:type="pct"/>
            <w:tcBorders>
              <w:top w:val="nil"/>
              <w:bottom w:val="nil"/>
            </w:tcBorders>
            <w:vAlign w:val="center"/>
          </w:tcPr>
          <w:p w14:paraId="5F21808A" w14:textId="584F056C"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BB0931" w:rsidRPr="00FB38E1" w14:paraId="4CCC8BAF" w14:textId="234D12EA" w:rsidTr="00B700A0">
        <w:tc>
          <w:tcPr>
            <w:tcW w:w="2702" w:type="pct"/>
            <w:tcBorders>
              <w:top w:val="nil"/>
              <w:bottom w:val="nil"/>
            </w:tcBorders>
            <w:vAlign w:val="center"/>
          </w:tcPr>
          <w:p w14:paraId="3CDD06B3"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Diğer İşletme Giderleri</w:t>
            </w:r>
          </w:p>
        </w:tc>
        <w:tc>
          <w:tcPr>
            <w:tcW w:w="1149" w:type="pct"/>
            <w:tcBorders>
              <w:top w:val="nil"/>
              <w:bottom w:val="nil"/>
            </w:tcBorders>
            <w:shd w:val="clear" w:color="auto" w:fill="auto"/>
            <w:vAlign w:val="center"/>
          </w:tcPr>
          <w:p w14:paraId="0656D8EC" w14:textId="30EBD531"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bCs/>
                <w:color w:val="404040"/>
                <w:sz w:val="16"/>
                <w:szCs w:val="16"/>
              </w:rPr>
              <w:t>11.641.862</w:t>
            </w:r>
          </w:p>
        </w:tc>
        <w:tc>
          <w:tcPr>
            <w:tcW w:w="1149" w:type="pct"/>
            <w:tcBorders>
              <w:top w:val="nil"/>
              <w:bottom w:val="nil"/>
            </w:tcBorders>
            <w:vAlign w:val="center"/>
          </w:tcPr>
          <w:p w14:paraId="5EDB5A3F" w14:textId="2DD2E3E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bCs/>
                <w:color w:val="404040"/>
                <w:sz w:val="16"/>
                <w:szCs w:val="16"/>
              </w:rPr>
              <w:t>6.590.940</w:t>
            </w:r>
          </w:p>
        </w:tc>
      </w:tr>
      <w:tr w:rsidR="00BB0931" w:rsidRPr="00FB38E1" w14:paraId="2DB67059" w14:textId="2022086B" w:rsidTr="00B700A0">
        <w:tc>
          <w:tcPr>
            <w:tcW w:w="2702" w:type="pct"/>
            <w:tcBorders>
              <w:top w:val="nil"/>
              <w:bottom w:val="nil"/>
            </w:tcBorders>
            <w:vAlign w:val="center"/>
          </w:tcPr>
          <w:p w14:paraId="5E178A05" w14:textId="03DA48E3"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sz w:val="16"/>
                <w:szCs w:val="16"/>
              </w:rPr>
              <w:t>Faaliyet Kiralama Giderleri (**)</w:t>
            </w:r>
          </w:p>
        </w:tc>
        <w:tc>
          <w:tcPr>
            <w:tcW w:w="1149" w:type="pct"/>
            <w:tcBorders>
              <w:top w:val="nil"/>
              <w:bottom w:val="nil"/>
            </w:tcBorders>
            <w:shd w:val="clear" w:color="auto" w:fill="auto"/>
            <w:vAlign w:val="center"/>
          </w:tcPr>
          <w:p w14:paraId="4816CCAA" w14:textId="615A6D2E"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i/>
                <w:iCs/>
                <w:color w:val="404040"/>
                <w:sz w:val="16"/>
                <w:szCs w:val="16"/>
              </w:rPr>
              <w:t>650.614</w:t>
            </w:r>
          </w:p>
        </w:tc>
        <w:tc>
          <w:tcPr>
            <w:tcW w:w="1149" w:type="pct"/>
            <w:tcBorders>
              <w:top w:val="nil"/>
              <w:bottom w:val="nil"/>
            </w:tcBorders>
            <w:vAlign w:val="center"/>
          </w:tcPr>
          <w:p w14:paraId="54A9A911" w14:textId="64F42CB3"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i/>
                <w:iCs/>
                <w:color w:val="404040"/>
                <w:sz w:val="16"/>
                <w:szCs w:val="16"/>
              </w:rPr>
              <w:t>320.922</w:t>
            </w:r>
          </w:p>
        </w:tc>
      </w:tr>
      <w:tr w:rsidR="00BB0931" w:rsidRPr="00FB38E1" w14:paraId="0A03139F" w14:textId="0BC7D3DC" w:rsidTr="00B700A0">
        <w:tc>
          <w:tcPr>
            <w:tcW w:w="2702" w:type="pct"/>
            <w:tcBorders>
              <w:top w:val="nil"/>
              <w:bottom w:val="nil"/>
            </w:tcBorders>
            <w:vAlign w:val="center"/>
          </w:tcPr>
          <w:p w14:paraId="4B00D0F6" w14:textId="77777777"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sz w:val="16"/>
                <w:szCs w:val="16"/>
              </w:rPr>
              <w:t>Bakım ve Onarım Giderleri</w:t>
            </w:r>
          </w:p>
        </w:tc>
        <w:tc>
          <w:tcPr>
            <w:tcW w:w="1149" w:type="pct"/>
            <w:tcBorders>
              <w:top w:val="nil"/>
              <w:bottom w:val="nil"/>
            </w:tcBorders>
            <w:shd w:val="clear" w:color="auto" w:fill="auto"/>
            <w:vAlign w:val="center"/>
          </w:tcPr>
          <w:p w14:paraId="795D43E8" w14:textId="38765556"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i/>
                <w:iCs/>
                <w:color w:val="404040"/>
                <w:sz w:val="16"/>
                <w:szCs w:val="16"/>
              </w:rPr>
              <w:t>2.606.734</w:t>
            </w:r>
          </w:p>
        </w:tc>
        <w:tc>
          <w:tcPr>
            <w:tcW w:w="1149" w:type="pct"/>
            <w:tcBorders>
              <w:top w:val="nil"/>
              <w:bottom w:val="nil"/>
            </w:tcBorders>
            <w:vAlign w:val="center"/>
          </w:tcPr>
          <w:p w14:paraId="0C175ADE" w14:textId="38E4B7BA"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i/>
                <w:iCs/>
                <w:color w:val="404040"/>
                <w:sz w:val="16"/>
                <w:szCs w:val="16"/>
              </w:rPr>
              <w:t>1.358.450</w:t>
            </w:r>
          </w:p>
        </w:tc>
      </w:tr>
      <w:tr w:rsidR="00BB0931" w:rsidRPr="00FB38E1" w14:paraId="6F299383" w14:textId="7705B61C" w:rsidTr="00B700A0">
        <w:tc>
          <w:tcPr>
            <w:tcW w:w="2702" w:type="pct"/>
            <w:tcBorders>
              <w:top w:val="nil"/>
              <w:bottom w:val="nil"/>
            </w:tcBorders>
            <w:vAlign w:val="center"/>
          </w:tcPr>
          <w:p w14:paraId="33146373" w14:textId="77777777"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sz w:val="16"/>
                <w:szCs w:val="16"/>
              </w:rPr>
              <w:t>Reklam ve İlan Giderleri</w:t>
            </w:r>
          </w:p>
        </w:tc>
        <w:tc>
          <w:tcPr>
            <w:tcW w:w="1149" w:type="pct"/>
            <w:tcBorders>
              <w:top w:val="nil"/>
              <w:bottom w:val="nil"/>
            </w:tcBorders>
            <w:shd w:val="clear" w:color="auto" w:fill="auto"/>
            <w:vAlign w:val="center"/>
          </w:tcPr>
          <w:p w14:paraId="3037FE75" w14:textId="61F35F5E"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i/>
                <w:iCs/>
                <w:color w:val="404040"/>
                <w:sz w:val="16"/>
                <w:szCs w:val="16"/>
              </w:rPr>
              <w:t>548.044</w:t>
            </w:r>
          </w:p>
        </w:tc>
        <w:tc>
          <w:tcPr>
            <w:tcW w:w="1149" w:type="pct"/>
            <w:tcBorders>
              <w:top w:val="nil"/>
              <w:bottom w:val="nil"/>
            </w:tcBorders>
            <w:vAlign w:val="center"/>
          </w:tcPr>
          <w:p w14:paraId="31284A9B" w14:textId="113AF248"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i/>
                <w:iCs/>
                <w:color w:val="404040"/>
                <w:sz w:val="16"/>
                <w:szCs w:val="16"/>
              </w:rPr>
              <w:t>412.926</w:t>
            </w:r>
          </w:p>
        </w:tc>
      </w:tr>
      <w:tr w:rsidR="00BB0931" w:rsidRPr="00FB38E1" w14:paraId="592B2CF3" w14:textId="71C2EEA7" w:rsidTr="00B700A0">
        <w:tc>
          <w:tcPr>
            <w:tcW w:w="2702" w:type="pct"/>
            <w:tcBorders>
              <w:top w:val="nil"/>
              <w:bottom w:val="nil"/>
            </w:tcBorders>
            <w:vAlign w:val="center"/>
          </w:tcPr>
          <w:p w14:paraId="290CED98" w14:textId="2542B41A" w:rsidR="00BB0931" w:rsidRPr="00FB38E1" w:rsidRDefault="00BB0931" w:rsidP="00BB0931">
            <w:pPr>
              <w:ind w:firstLineChars="100" w:firstLine="160"/>
              <w:rPr>
                <w:rFonts w:ascii="Microsoft Sans Serif" w:hAnsi="Microsoft Sans Serif" w:cs="Microsoft Sans Serif"/>
                <w:i/>
                <w:iCs/>
                <w:color w:val="404040" w:themeColor="text1" w:themeTint="BF"/>
                <w:sz w:val="16"/>
                <w:szCs w:val="16"/>
              </w:rPr>
            </w:pPr>
            <w:r w:rsidRPr="00FB38E1">
              <w:rPr>
                <w:rFonts w:ascii="Microsoft Sans Serif" w:hAnsi="Microsoft Sans Serif" w:cs="Microsoft Sans Serif"/>
                <w:i/>
                <w:iCs/>
                <w:color w:val="404040"/>
                <w:sz w:val="16"/>
                <w:szCs w:val="16"/>
              </w:rPr>
              <w:t>Diğer Giderler (***)</w:t>
            </w:r>
          </w:p>
        </w:tc>
        <w:tc>
          <w:tcPr>
            <w:tcW w:w="1149" w:type="pct"/>
            <w:tcBorders>
              <w:top w:val="nil"/>
              <w:bottom w:val="nil"/>
            </w:tcBorders>
            <w:shd w:val="clear" w:color="auto" w:fill="auto"/>
            <w:vAlign w:val="center"/>
          </w:tcPr>
          <w:p w14:paraId="7003B45C" w14:textId="7F8B8C04"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i/>
                <w:iCs/>
                <w:color w:val="404040"/>
                <w:sz w:val="16"/>
                <w:szCs w:val="16"/>
              </w:rPr>
              <w:t>7.836.470</w:t>
            </w:r>
          </w:p>
        </w:tc>
        <w:tc>
          <w:tcPr>
            <w:tcW w:w="1149" w:type="pct"/>
            <w:tcBorders>
              <w:top w:val="nil"/>
              <w:bottom w:val="nil"/>
            </w:tcBorders>
            <w:vAlign w:val="center"/>
          </w:tcPr>
          <w:p w14:paraId="5E4A6E68" w14:textId="08E5A6C3" w:rsidR="00BB0931" w:rsidRPr="00FB38E1" w:rsidRDefault="00BB0931" w:rsidP="00BB0931">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i/>
                <w:iCs/>
                <w:color w:val="404040"/>
                <w:sz w:val="16"/>
                <w:szCs w:val="16"/>
              </w:rPr>
              <w:t>4.498.642</w:t>
            </w:r>
          </w:p>
        </w:tc>
      </w:tr>
      <w:tr w:rsidR="00BB0931" w:rsidRPr="00FB38E1" w14:paraId="296821AF" w14:textId="687A81CB" w:rsidTr="00B700A0">
        <w:tc>
          <w:tcPr>
            <w:tcW w:w="2702" w:type="pct"/>
            <w:tcBorders>
              <w:top w:val="nil"/>
              <w:bottom w:val="nil"/>
            </w:tcBorders>
            <w:vAlign w:val="center"/>
          </w:tcPr>
          <w:p w14:paraId="6868461C" w14:textId="77777777"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Aktiflerin Satışından Doğan Zararlar</w:t>
            </w:r>
          </w:p>
        </w:tc>
        <w:tc>
          <w:tcPr>
            <w:tcW w:w="1149" w:type="pct"/>
            <w:tcBorders>
              <w:top w:val="nil"/>
              <w:bottom w:val="nil"/>
            </w:tcBorders>
            <w:shd w:val="clear" w:color="auto" w:fill="auto"/>
            <w:vAlign w:val="center"/>
          </w:tcPr>
          <w:p w14:paraId="0356863A" w14:textId="10553B67"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4.259</w:t>
            </w:r>
          </w:p>
        </w:tc>
        <w:tc>
          <w:tcPr>
            <w:tcW w:w="1149" w:type="pct"/>
            <w:tcBorders>
              <w:top w:val="nil"/>
              <w:bottom w:val="nil"/>
            </w:tcBorders>
            <w:vAlign w:val="center"/>
          </w:tcPr>
          <w:p w14:paraId="3ED225CF" w14:textId="1258FCB3"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3.389</w:t>
            </w:r>
          </w:p>
        </w:tc>
      </w:tr>
      <w:tr w:rsidR="00BB0931" w:rsidRPr="00FB38E1" w14:paraId="674E414B" w14:textId="1F01409B" w:rsidTr="00B700A0">
        <w:tc>
          <w:tcPr>
            <w:tcW w:w="2702" w:type="pct"/>
            <w:tcBorders>
              <w:top w:val="nil"/>
              <w:bottom w:val="single" w:sz="4" w:space="0" w:color="auto"/>
            </w:tcBorders>
            <w:vAlign w:val="center"/>
          </w:tcPr>
          <w:p w14:paraId="1AE0FC69" w14:textId="4F6A4265" w:rsidR="00BB0931" w:rsidRPr="00FB38E1" w:rsidRDefault="00BB0931" w:rsidP="00BB0931">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sz w:val="16"/>
                <w:szCs w:val="16"/>
              </w:rPr>
              <w:t>Diğer (****)</w:t>
            </w:r>
          </w:p>
        </w:tc>
        <w:tc>
          <w:tcPr>
            <w:tcW w:w="1149" w:type="pct"/>
            <w:tcBorders>
              <w:top w:val="nil"/>
              <w:bottom w:val="single" w:sz="4" w:space="0" w:color="auto"/>
            </w:tcBorders>
            <w:shd w:val="clear" w:color="auto" w:fill="auto"/>
            <w:vAlign w:val="center"/>
          </w:tcPr>
          <w:p w14:paraId="444006B6" w14:textId="6F282384"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6.506.03</w:t>
            </w:r>
            <w:r w:rsidR="00555E78" w:rsidRPr="00FB38E1">
              <w:rPr>
                <w:rFonts w:ascii="Microsoft Sans Serif" w:hAnsi="Microsoft Sans Serif" w:cs="Microsoft Sans Serif"/>
                <w:color w:val="404040"/>
                <w:sz w:val="16"/>
                <w:szCs w:val="16"/>
              </w:rPr>
              <w:t>7</w:t>
            </w:r>
          </w:p>
        </w:tc>
        <w:tc>
          <w:tcPr>
            <w:tcW w:w="1149" w:type="pct"/>
            <w:tcBorders>
              <w:top w:val="nil"/>
              <w:bottom w:val="single" w:sz="4" w:space="0" w:color="auto"/>
            </w:tcBorders>
            <w:vAlign w:val="center"/>
          </w:tcPr>
          <w:p w14:paraId="0E183BF3" w14:textId="73E23530" w:rsidR="00BB0931" w:rsidRPr="00FB38E1" w:rsidRDefault="00BB0931" w:rsidP="00BB0931">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3.206.251</w:t>
            </w:r>
          </w:p>
        </w:tc>
      </w:tr>
      <w:tr w:rsidR="00BB0931" w:rsidRPr="00FB38E1" w14:paraId="172A371F" w14:textId="52C0913F" w:rsidTr="00B700A0">
        <w:tc>
          <w:tcPr>
            <w:tcW w:w="2702" w:type="pct"/>
            <w:tcBorders>
              <w:top w:val="single" w:sz="4" w:space="0" w:color="auto"/>
              <w:bottom w:val="thickThinSmallGap" w:sz="24" w:space="0" w:color="auto"/>
            </w:tcBorders>
            <w:vAlign w:val="center"/>
          </w:tcPr>
          <w:p w14:paraId="402BB788" w14:textId="77777777" w:rsidR="00BB0931" w:rsidRPr="00FB38E1" w:rsidRDefault="00BB0931" w:rsidP="00BB093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1149" w:type="pct"/>
            <w:tcBorders>
              <w:top w:val="single" w:sz="4" w:space="0" w:color="auto"/>
              <w:bottom w:val="thickThinSmallGap" w:sz="24" w:space="0" w:color="auto"/>
            </w:tcBorders>
            <w:shd w:val="clear" w:color="auto" w:fill="auto"/>
            <w:vAlign w:val="center"/>
          </w:tcPr>
          <w:p w14:paraId="682CBBB7" w14:textId="54FB21D6"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38.157.90</w:t>
            </w:r>
            <w:r w:rsidR="00555E78" w:rsidRPr="00FB38E1">
              <w:rPr>
                <w:rFonts w:ascii="Microsoft Sans Serif" w:hAnsi="Microsoft Sans Serif" w:cs="Microsoft Sans Serif"/>
                <w:b/>
                <w:bCs/>
                <w:color w:val="000000"/>
                <w:sz w:val="16"/>
                <w:szCs w:val="16"/>
              </w:rPr>
              <w:t>3</w:t>
            </w:r>
          </w:p>
        </w:tc>
        <w:tc>
          <w:tcPr>
            <w:tcW w:w="1149" w:type="pct"/>
            <w:tcBorders>
              <w:top w:val="single" w:sz="4" w:space="0" w:color="auto"/>
              <w:bottom w:val="thickThinSmallGap" w:sz="24" w:space="0" w:color="auto"/>
            </w:tcBorders>
            <w:vAlign w:val="center"/>
          </w:tcPr>
          <w:p w14:paraId="40911207" w14:textId="78AED8A2" w:rsidR="00BB0931" w:rsidRPr="00FB38E1" w:rsidRDefault="00BB0931" w:rsidP="00BB093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20.473.385</w:t>
            </w:r>
          </w:p>
        </w:tc>
      </w:tr>
    </w:tbl>
    <w:p w14:paraId="284178A2" w14:textId="7EED1274" w:rsidR="00C117EA" w:rsidRPr="00FB38E1" w:rsidRDefault="00C117EA" w:rsidP="0059371A">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 xml:space="preserve">(*) </w:t>
      </w:r>
      <w:r w:rsidR="000A7CAB" w:rsidRPr="00FB38E1">
        <w:rPr>
          <w:rFonts w:ascii="Microsoft Sans Serif" w:hAnsi="Microsoft Sans Serif" w:cs="Microsoft Sans Serif"/>
          <w:b w:val="0"/>
          <w:color w:val="404040" w:themeColor="text1" w:themeTint="BF"/>
          <w:sz w:val="14"/>
          <w:szCs w:val="14"/>
        </w:rPr>
        <w:t xml:space="preserve">  </w:t>
      </w:r>
      <w:r w:rsidRPr="00FB38E1">
        <w:rPr>
          <w:rFonts w:ascii="Microsoft Sans Serif" w:hAnsi="Microsoft Sans Serif" w:cs="Microsoft Sans Serif"/>
          <w:b w:val="0"/>
          <w:color w:val="404040" w:themeColor="text1" w:themeTint="BF"/>
          <w:sz w:val="14"/>
          <w:szCs w:val="14"/>
        </w:rPr>
        <w:t>Personel giderleri ve kıdem tazminatı karşılığı gelir tablosunda “Personel giderleri” satırı</w:t>
      </w:r>
      <w:r w:rsidR="00116F24" w:rsidRPr="00FB38E1">
        <w:rPr>
          <w:rFonts w:ascii="Microsoft Sans Serif" w:hAnsi="Microsoft Sans Serif" w:cs="Microsoft Sans Serif"/>
          <w:b w:val="0"/>
          <w:color w:val="404040" w:themeColor="text1" w:themeTint="BF"/>
          <w:sz w:val="14"/>
          <w:szCs w:val="14"/>
        </w:rPr>
        <w:tab/>
      </w:r>
      <w:r w:rsidRPr="00FB38E1">
        <w:rPr>
          <w:rFonts w:ascii="Microsoft Sans Serif" w:hAnsi="Microsoft Sans Serif" w:cs="Microsoft Sans Serif"/>
          <w:b w:val="0"/>
          <w:color w:val="404040" w:themeColor="text1" w:themeTint="BF"/>
          <w:sz w:val="14"/>
          <w:szCs w:val="14"/>
        </w:rPr>
        <w:t>nda gösterilmektedir.</w:t>
      </w:r>
    </w:p>
    <w:p w14:paraId="6EAF3268" w14:textId="737A52CB" w:rsidR="00A501B6" w:rsidRPr="00FB38E1" w:rsidRDefault="00A501B6" w:rsidP="0059371A">
      <w:pPr>
        <w:pStyle w:val="BASLIK2"/>
        <w:widowControl/>
        <w:spacing w:before="60" w:after="60" w:line="240" w:lineRule="auto"/>
        <w:ind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 xml:space="preserve">(**) </w:t>
      </w:r>
      <w:r w:rsidR="000A7CAB" w:rsidRPr="00FB38E1">
        <w:rPr>
          <w:rFonts w:ascii="Microsoft Sans Serif" w:hAnsi="Microsoft Sans Serif" w:cs="Microsoft Sans Serif"/>
          <w:b w:val="0"/>
          <w:color w:val="404040" w:themeColor="text1" w:themeTint="BF"/>
          <w:sz w:val="14"/>
          <w:szCs w:val="14"/>
        </w:rPr>
        <w:t xml:space="preserve"> </w:t>
      </w:r>
      <w:r w:rsidR="003C79F0" w:rsidRPr="00FB38E1">
        <w:rPr>
          <w:rFonts w:ascii="Microsoft Sans Serif" w:hAnsi="Microsoft Sans Serif" w:cs="Microsoft Sans Serif"/>
          <w:b w:val="0"/>
          <w:color w:val="404040" w:themeColor="text1" w:themeTint="BF"/>
          <w:sz w:val="14"/>
          <w:szCs w:val="14"/>
        </w:rPr>
        <w:t>TFRS 16 Standardı dışında değerlendirilen kiralama giderlerini içermektedir.</w:t>
      </w:r>
    </w:p>
    <w:p w14:paraId="3BE7B2B1" w14:textId="4BCB425F" w:rsidR="00CB0147" w:rsidRPr="00FB38E1" w:rsidRDefault="00A141C7" w:rsidP="000A7CAB">
      <w:pPr>
        <w:pStyle w:val="BASLIK2"/>
        <w:widowControl/>
        <w:spacing w:before="0" w:after="0" w:line="240" w:lineRule="auto"/>
        <w:ind w:right="-1" w:firstLine="0"/>
        <w:rPr>
          <w:rFonts w:ascii="Microsoft Sans Serif" w:hAnsi="Microsoft Sans Serif" w:cs="Microsoft Sans Serif"/>
          <w:b w:val="0"/>
          <w:color w:val="404040" w:themeColor="text1" w:themeTint="BF"/>
          <w:sz w:val="14"/>
          <w:szCs w:val="14"/>
        </w:rPr>
      </w:pPr>
      <w:r w:rsidRPr="00FB38E1">
        <w:rPr>
          <w:rFonts w:ascii="Microsoft Sans Serif" w:hAnsi="Microsoft Sans Serif" w:cs="Microsoft Sans Serif"/>
          <w:b w:val="0"/>
          <w:color w:val="404040" w:themeColor="text1" w:themeTint="BF"/>
          <w:sz w:val="14"/>
          <w:szCs w:val="14"/>
        </w:rPr>
        <w:t>(*</w:t>
      </w:r>
      <w:r w:rsidR="00A501B6" w:rsidRPr="00FB38E1">
        <w:rPr>
          <w:rFonts w:ascii="Microsoft Sans Serif" w:hAnsi="Microsoft Sans Serif" w:cs="Microsoft Sans Serif"/>
          <w:b w:val="0"/>
          <w:color w:val="404040" w:themeColor="text1" w:themeTint="BF"/>
          <w:sz w:val="14"/>
          <w:szCs w:val="14"/>
        </w:rPr>
        <w:t>*</w:t>
      </w:r>
      <w:r w:rsidR="004F2039" w:rsidRPr="00FB38E1">
        <w:rPr>
          <w:rFonts w:ascii="Microsoft Sans Serif" w:hAnsi="Microsoft Sans Serif" w:cs="Microsoft Sans Serif"/>
          <w:b w:val="0"/>
          <w:color w:val="404040" w:themeColor="text1" w:themeTint="BF"/>
          <w:sz w:val="14"/>
          <w:szCs w:val="14"/>
        </w:rPr>
        <w:t>*</w:t>
      </w:r>
      <w:r w:rsidRPr="00FB38E1">
        <w:rPr>
          <w:rFonts w:ascii="Microsoft Sans Serif" w:hAnsi="Microsoft Sans Serif" w:cs="Microsoft Sans Serif"/>
          <w:b w:val="0"/>
          <w:color w:val="404040" w:themeColor="text1" w:themeTint="BF"/>
          <w:sz w:val="14"/>
          <w:szCs w:val="14"/>
        </w:rPr>
        <w:t>)</w:t>
      </w:r>
      <w:r w:rsidRPr="00FB38E1">
        <w:rPr>
          <w:rFonts w:ascii="Microsoft Sans Serif" w:hAnsi="Microsoft Sans Serif" w:cs="Microsoft Sans Serif"/>
          <w:b w:val="0"/>
          <w:color w:val="404040" w:themeColor="text1" w:themeTint="BF"/>
          <w:sz w:val="14"/>
          <w:szCs w:val="14"/>
        </w:rPr>
        <w:tab/>
      </w:r>
      <w:r w:rsidR="000A7CAB" w:rsidRPr="00FB38E1">
        <w:rPr>
          <w:rFonts w:ascii="Microsoft Sans Serif" w:hAnsi="Microsoft Sans Serif" w:cs="Microsoft Sans Serif"/>
          <w:b w:val="0"/>
          <w:color w:val="404040" w:themeColor="text1" w:themeTint="BF"/>
          <w:sz w:val="14"/>
          <w:szCs w:val="14"/>
        </w:rPr>
        <w:t xml:space="preserve"> </w:t>
      </w:r>
      <w:r w:rsidRPr="00FB38E1">
        <w:rPr>
          <w:rFonts w:ascii="Microsoft Sans Serif" w:hAnsi="Microsoft Sans Serif" w:cs="Microsoft Sans Serif"/>
          <w:b w:val="0"/>
          <w:color w:val="404040" w:themeColor="text1" w:themeTint="BF"/>
          <w:sz w:val="14"/>
          <w:szCs w:val="14"/>
        </w:rPr>
        <w:t xml:space="preserve">Diğer işletme giderleri içinde yer alan diğer giderler </w:t>
      </w:r>
      <w:r w:rsidR="002B0BD0" w:rsidRPr="00FB38E1">
        <w:rPr>
          <w:rFonts w:ascii="Microsoft Sans Serif" w:hAnsi="Microsoft Sans Serif" w:cs="Microsoft Sans Serif"/>
          <w:b w:val="0"/>
          <w:color w:val="404040" w:themeColor="text1" w:themeTint="BF"/>
          <w:sz w:val="14"/>
          <w:szCs w:val="14"/>
        </w:rPr>
        <w:t>649.474</w:t>
      </w:r>
      <w:r w:rsidRPr="00FB38E1">
        <w:rPr>
          <w:rFonts w:ascii="Microsoft Sans Serif" w:hAnsi="Microsoft Sans Serif" w:cs="Microsoft Sans Serif"/>
          <w:b w:val="0"/>
          <w:color w:val="404040" w:themeColor="text1" w:themeTint="BF"/>
          <w:sz w:val="14"/>
          <w:szCs w:val="14"/>
        </w:rPr>
        <w:t xml:space="preserve"> TL </w:t>
      </w:r>
      <w:r w:rsidR="00F73011" w:rsidRPr="00FB38E1">
        <w:rPr>
          <w:rFonts w:ascii="Microsoft Sans Serif" w:hAnsi="Microsoft Sans Serif" w:cs="Microsoft Sans Serif"/>
          <w:b w:val="0"/>
          <w:color w:val="404040" w:themeColor="text1" w:themeTint="BF"/>
          <w:sz w:val="14"/>
          <w:szCs w:val="14"/>
        </w:rPr>
        <w:t xml:space="preserve">(1 Ocak – </w:t>
      </w:r>
      <w:r w:rsidR="00B700A0" w:rsidRPr="00FB38E1">
        <w:rPr>
          <w:rFonts w:ascii="Microsoft Sans Serif" w:hAnsi="Microsoft Sans Serif" w:cs="Microsoft Sans Serif"/>
          <w:b w:val="0"/>
          <w:color w:val="404040" w:themeColor="text1" w:themeTint="BF"/>
          <w:sz w:val="14"/>
          <w:szCs w:val="14"/>
        </w:rPr>
        <w:t>31 Aralık 2023</w:t>
      </w:r>
      <w:r w:rsidR="00AE7682" w:rsidRPr="00FB38E1">
        <w:rPr>
          <w:rFonts w:ascii="Microsoft Sans Serif" w:hAnsi="Microsoft Sans Serif" w:cs="Microsoft Sans Serif"/>
          <w:b w:val="0"/>
          <w:color w:val="404040" w:themeColor="text1" w:themeTint="BF"/>
          <w:sz w:val="14"/>
          <w:szCs w:val="14"/>
        </w:rPr>
        <w:t xml:space="preserve">: </w:t>
      </w:r>
      <w:r w:rsidR="00B700A0" w:rsidRPr="00FB38E1">
        <w:rPr>
          <w:rFonts w:ascii="Microsoft Sans Serif" w:hAnsi="Microsoft Sans Serif" w:cs="Microsoft Sans Serif"/>
          <w:b w:val="0"/>
          <w:color w:val="404040" w:themeColor="text1" w:themeTint="BF"/>
          <w:sz w:val="14"/>
          <w:szCs w:val="14"/>
        </w:rPr>
        <w:t xml:space="preserve">329.976 </w:t>
      </w:r>
      <w:r w:rsidR="00896B2C" w:rsidRPr="00FB38E1">
        <w:rPr>
          <w:rFonts w:ascii="Microsoft Sans Serif" w:hAnsi="Microsoft Sans Serif" w:cs="Microsoft Sans Serif"/>
          <w:b w:val="0"/>
          <w:color w:val="404040" w:themeColor="text1" w:themeTint="BF"/>
          <w:sz w:val="14"/>
          <w:szCs w:val="14"/>
        </w:rPr>
        <w:t xml:space="preserve">TL) </w:t>
      </w:r>
      <w:r w:rsidRPr="00FB38E1">
        <w:rPr>
          <w:rFonts w:ascii="Microsoft Sans Serif" w:hAnsi="Microsoft Sans Serif" w:cs="Microsoft Sans Serif"/>
          <w:b w:val="0"/>
          <w:color w:val="404040" w:themeColor="text1" w:themeTint="BF"/>
          <w:sz w:val="14"/>
          <w:szCs w:val="14"/>
        </w:rPr>
        <w:t>tutarında haberleşme</w:t>
      </w:r>
      <w:r w:rsidR="00DD26E5" w:rsidRPr="00FB38E1">
        <w:rPr>
          <w:rFonts w:ascii="Microsoft Sans Serif" w:hAnsi="Microsoft Sans Serif" w:cs="Microsoft Sans Serif"/>
          <w:b w:val="0"/>
          <w:color w:val="404040" w:themeColor="text1" w:themeTint="BF"/>
          <w:sz w:val="14"/>
          <w:szCs w:val="14"/>
        </w:rPr>
        <w:t>,</w:t>
      </w:r>
      <w:r w:rsidRPr="00FB38E1">
        <w:rPr>
          <w:rFonts w:ascii="Microsoft Sans Serif" w:hAnsi="Microsoft Sans Serif" w:cs="Microsoft Sans Serif"/>
          <w:b w:val="0"/>
          <w:color w:val="404040" w:themeColor="text1" w:themeTint="BF"/>
          <w:sz w:val="14"/>
          <w:szCs w:val="14"/>
        </w:rPr>
        <w:t xml:space="preserve"> </w:t>
      </w:r>
      <w:r w:rsidR="002B0BD0" w:rsidRPr="00FB38E1">
        <w:rPr>
          <w:rFonts w:ascii="Microsoft Sans Serif" w:hAnsi="Microsoft Sans Serif" w:cs="Microsoft Sans Serif"/>
          <w:b w:val="0"/>
          <w:color w:val="404040" w:themeColor="text1" w:themeTint="BF"/>
          <w:sz w:val="14"/>
          <w:szCs w:val="14"/>
        </w:rPr>
        <w:t>109.109</w:t>
      </w:r>
      <w:r w:rsidRPr="00FB38E1">
        <w:rPr>
          <w:rFonts w:ascii="Microsoft Sans Serif" w:hAnsi="Microsoft Sans Serif" w:cs="Microsoft Sans Serif"/>
          <w:b w:val="0"/>
          <w:color w:val="404040" w:themeColor="text1" w:themeTint="BF"/>
          <w:sz w:val="14"/>
          <w:szCs w:val="14"/>
        </w:rPr>
        <w:t xml:space="preserve"> TL </w:t>
      </w:r>
      <w:r w:rsidR="00D35363" w:rsidRPr="00FB38E1">
        <w:rPr>
          <w:rFonts w:ascii="Microsoft Sans Serif" w:hAnsi="Microsoft Sans Serif" w:cs="Microsoft Sans Serif"/>
          <w:b w:val="0"/>
          <w:color w:val="404040" w:themeColor="text1" w:themeTint="BF"/>
          <w:sz w:val="14"/>
          <w:szCs w:val="14"/>
        </w:rPr>
        <w:t>(</w:t>
      </w:r>
      <w:r w:rsidR="004A2440" w:rsidRPr="00FB38E1">
        <w:rPr>
          <w:rFonts w:ascii="Microsoft Sans Serif" w:hAnsi="Microsoft Sans Serif" w:cs="Microsoft Sans Serif"/>
          <w:b w:val="0"/>
          <w:color w:val="404040" w:themeColor="text1" w:themeTint="BF"/>
          <w:sz w:val="14"/>
          <w:szCs w:val="14"/>
        </w:rPr>
        <w:t xml:space="preserve">1 Ocak – </w:t>
      </w:r>
      <w:r w:rsidR="00B700A0" w:rsidRPr="00FB38E1">
        <w:rPr>
          <w:rFonts w:ascii="Microsoft Sans Serif" w:hAnsi="Microsoft Sans Serif" w:cs="Microsoft Sans Serif"/>
          <w:b w:val="0"/>
          <w:color w:val="404040" w:themeColor="text1" w:themeTint="BF"/>
          <w:sz w:val="14"/>
          <w:szCs w:val="14"/>
        </w:rPr>
        <w:t>31 Aralık 2023</w:t>
      </w:r>
      <w:r w:rsidR="00896B2C" w:rsidRPr="00FB38E1">
        <w:rPr>
          <w:rFonts w:ascii="Microsoft Sans Serif" w:hAnsi="Microsoft Sans Serif" w:cs="Microsoft Sans Serif"/>
          <w:b w:val="0"/>
          <w:color w:val="404040" w:themeColor="text1" w:themeTint="BF"/>
          <w:sz w:val="14"/>
          <w:szCs w:val="14"/>
        </w:rPr>
        <w:t xml:space="preserve">: </w:t>
      </w:r>
      <w:r w:rsidR="00B700A0" w:rsidRPr="00FB38E1">
        <w:rPr>
          <w:rFonts w:ascii="Microsoft Sans Serif" w:hAnsi="Microsoft Sans Serif" w:cs="Microsoft Sans Serif"/>
          <w:b w:val="0"/>
          <w:color w:val="404040" w:themeColor="text1" w:themeTint="BF"/>
          <w:sz w:val="14"/>
          <w:szCs w:val="14"/>
        </w:rPr>
        <w:t xml:space="preserve">70.306 </w:t>
      </w:r>
      <w:r w:rsidR="00896B2C" w:rsidRPr="00FB38E1">
        <w:rPr>
          <w:rFonts w:ascii="Microsoft Sans Serif" w:hAnsi="Microsoft Sans Serif" w:cs="Microsoft Sans Serif"/>
          <w:b w:val="0"/>
          <w:color w:val="404040" w:themeColor="text1" w:themeTint="BF"/>
          <w:sz w:val="14"/>
          <w:szCs w:val="14"/>
        </w:rPr>
        <w:t xml:space="preserve">TL) </w:t>
      </w:r>
      <w:r w:rsidR="004E789D" w:rsidRPr="00FB38E1">
        <w:rPr>
          <w:rFonts w:ascii="Microsoft Sans Serif" w:hAnsi="Microsoft Sans Serif" w:cs="Microsoft Sans Serif"/>
          <w:b w:val="0"/>
          <w:color w:val="404040" w:themeColor="text1" w:themeTint="BF"/>
          <w:sz w:val="14"/>
          <w:szCs w:val="14"/>
        </w:rPr>
        <w:t xml:space="preserve">tutarında </w:t>
      </w:r>
      <w:r w:rsidRPr="00FB38E1">
        <w:rPr>
          <w:rFonts w:ascii="Microsoft Sans Serif" w:hAnsi="Microsoft Sans Serif" w:cs="Microsoft Sans Serif"/>
          <w:b w:val="0"/>
          <w:color w:val="404040" w:themeColor="text1" w:themeTint="BF"/>
          <w:sz w:val="14"/>
          <w:szCs w:val="14"/>
        </w:rPr>
        <w:t>bilgi işlem ba</w:t>
      </w:r>
      <w:r w:rsidR="008837EB" w:rsidRPr="00FB38E1">
        <w:rPr>
          <w:rFonts w:ascii="Microsoft Sans Serif" w:hAnsi="Microsoft Sans Serif" w:cs="Microsoft Sans Serif"/>
          <w:b w:val="0"/>
          <w:color w:val="404040" w:themeColor="text1" w:themeTint="BF"/>
          <w:sz w:val="14"/>
          <w:szCs w:val="14"/>
        </w:rPr>
        <w:t xml:space="preserve">kım onarım ve program kiraları, </w:t>
      </w:r>
      <w:r w:rsidR="002B0BD0" w:rsidRPr="00FB38E1">
        <w:rPr>
          <w:rFonts w:ascii="Microsoft Sans Serif" w:hAnsi="Microsoft Sans Serif" w:cs="Microsoft Sans Serif"/>
          <w:b w:val="0"/>
          <w:color w:val="404040" w:themeColor="text1" w:themeTint="BF"/>
          <w:sz w:val="14"/>
          <w:szCs w:val="14"/>
        </w:rPr>
        <w:t>291.922</w:t>
      </w:r>
      <w:r w:rsidR="00A74235" w:rsidRPr="00FB38E1">
        <w:rPr>
          <w:rFonts w:ascii="Microsoft Sans Serif" w:hAnsi="Microsoft Sans Serif" w:cs="Microsoft Sans Serif"/>
          <w:b w:val="0"/>
          <w:color w:val="404040" w:themeColor="text1" w:themeTint="BF"/>
          <w:sz w:val="14"/>
          <w:szCs w:val="14"/>
        </w:rPr>
        <w:t xml:space="preserve"> </w:t>
      </w:r>
      <w:r w:rsidRPr="00FB38E1">
        <w:rPr>
          <w:rFonts w:ascii="Microsoft Sans Serif" w:hAnsi="Microsoft Sans Serif" w:cs="Microsoft Sans Serif"/>
          <w:b w:val="0"/>
          <w:color w:val="404040" w:themeColor="text1" w:themeTint="BF"/>
          <w:sz w:val="14"/>
          <w:szCs w:val="14"/>
        </w:rPr>
        <w:t xml:space="preserve">TL </w:t>
      </w:r>
      <w:r w:rsidR="00D35363" w:rsidRPr="00FB38E1">
        <w:rPr>
          <w:rFonts w:ascii="Microsoft Sans Serif" w:hAnsi="Microsoft Sans Serif" w:cs="Microsoft Sans Serif"/>
          <w:b w:val="0"/>
          <w:color w:val="404040" w:themeColor="text1" w:themeTint="BF"/>
          <w:sz w:val="14"/>
          <w:szCs w:val="14"/>
        </w:rPr>
        <w:t>(1 Ocak –</w:t>
      </w:r>
      <w:r w:rsidR="00D50492" w:rsidRPr="00FB38E1">
        <w:rPr>
          <w:rFonts w:ascii="Microsoft Sans Serif" w:hAnsi="Microsoft Sans Serif" w:cs="Microsoft Sans Serif"/>
          <w:b w:val="0"/>
          <w:color w:val="404040" w:themeColor="text1" w:themeTint="BF"/>
          <w:sz w:val="14"/>
          <w:szCs w:val="14"/>
        </w:rPr>
        <w:t xml:space="preserve"> </w:t>
      </w:r>
      <w:r w:rsidR="00B700A0" w:rsidRPr="00FB38E1">
        <w:rPr>
          <w:rFonts w:ascii="Microsoft Sans Serif" w:hAnsi="Microsoft Sans Serif" w:cs="Microsoft Sans Serif"/>
          <w:b w:val="0"/>
          <w:color w:val="404040" w:themeColor="text1" w:themeTint="BF"/>
          <w:sz w:val="14"/>
          <w:szCs w:val="14"/>
        </w:rPr>
        <w:t>31 Aralık 2023</w:t>
      </w:r>
      <w:r w:rsidR="00896B2C" w:rsidRPr="00FB38E1">
        <w:rPr>
          <w:rFonts w:ascii="Microsoft Sans Serif" w:hAnsi="Microsoft Sans Serif" w:cs="Microsoft Sans Serif"/>
          <w:b w:val="0"/>
          <w:color w:val="404040" w:themeColor="text1" w:themeTint="BF"/>
          <w:sz w:val="14"/>
          <w:szCs w:val="14"/>
        </w:rPr>
        <w:t xml:space="preserve">: </w:t>
      </w:r>
      <w:r w:rsidR="00B700A0" w:rsidRPr="00FB38E1">
        <w:rPr>
          <w:rFonts w:ascii="Microsoft Sans Serif" w:hAnsi="Microsoft Sans Serif" w:cs="Microsoft Sans Serif"/>
          <w:b w:val="0"/>
          <w:color w:val="404040" w:themeColor="text1" w:themeTint="BF"/>
          <w:sz w:val="14"/>
          <w:szCs w:val="14"/>
        </w:rPr>
        <w:t xml:space="preserve">197.549 </w:t>
      </w:r>
      <w:r w:rsidR="00896B2C" w:rsidRPr="00FB38E1">
        <w:rPr>
          <w:rFonts w:ascii="Microsoft Sans Serif" w:hAnsi="Microsoft Sans Serif" w:cs="Microsoft Sans Serif"/>
          <w:b w:val="0"/>
          <w:color w:val="404040" w:themeColor="text1" w:themeTint="BF"/>
          <w:sz w:val="14"/>
          <w:szCs w:val="14"/>
        </w:rPr>
        <w:t xml:space="preserve">TL) </w:t>
      </w:r>
      <w:r w:rsidRPr="00FB38E1">
        <w:rPr>
          <w:rFonts w:ascii="Microsoft Sans Serif" w:hAnsi="Microsoft Sans Serif" w:cs="Microsoft Sans Serif"/>
          <w:b w:val="0"/>
          <w:color w:val="404040" w:themeColor="text1" w:themeTint="BF"/>
          <w:sz w:val="14"/>
          <w:szCs w:val="14"/>
        </w:rPr>
        <w:t>tutarında kırtasiye</w:t>
      </w:r>
      <w:r w:rsidR="008E6286" w:rsidRPr="00FB38E1">
        <w:rPr>
          <w:rFonts w:ascii="Microsoft Sans Serif" w:hAnsi="Microsoft Sans Serif" w:cs="Microsoft Sans Serif"/>
          <w:b w:val="0"/>
          <w:color w:val="404040" w:themeColor="text1" w:themeTint="BF"/>
          <w:sz w:val="14"/>
          <w:szCs w:val="14"/>
        </w:rPr>
        <w:t>,</w:t>
      </w:r>
      <w:r w:rsidR="00A74235" w:rsidRPr="00FB38E1">
        <w:rPr>
          <w:rFonts w:ascii="Microsoft Sans Serif" w:hAnsi="Microsoft Sans Serif" w:cs="Microsoft Sans Serif"/>
          <w:b w:val="0"/>
          <w:color w:val="404040" w:themeColor="text1" w:themeTint="BF"/>
          <w:sz w:val="14"/>
          <w:szCs w:val="14"/>
        </w:rPr>
        <w:t xml:space="preserve"> </w:t>
      </w:r>
      <w:r w:rsidR="002B0BD0" w:rsidRPr="00FB38E1">
        <w:rPr>
          <w:rFonts w:ascii="Microsoft Sans Serif" w:hAnsi="Microsoft Sans Serif" w:cs="Microsoft Sans Serif"/>
          <w:b w:val="0"/>
          <w:color w:val="404040" w:themeColor="text1" w:themeTint="BF"/>
          <w:sz w:val="14"/>
          <w:szCs w:val="14"/>
        </w:rPr>
        <w:t>291.895</w:t>
      </w:r>
      <w:r w:rsidR="00840983" w:rsidRPr="00FB38E1">
        <w:rPr>
          <w:rFonts w:ascii="Microsoft Sans Serif" w:hAnsi="Microsoft Sans Serif" w:cs="Microsoft Sans Serif"/>
          <w:b w:val="0"/>
          <w:color w:val="404040" w:themeColor="text1" w:themeTint="BF"/>
          <w:sz w:val="14"/>
          <w:szCs w:val="14"/>
        </w:rPr>
        <w:t xml:space="preserve"> </w:t>
      </w:r>
      <w:r w:rsidRPr="00FB38E1">
        <w:rPr>
          <w:rFonts w:ascii="Microsoft Sans Serif" w:hAnsi="Microsoft Sans Serif" w:cs="Microsoft Sans Serif"/>
          <w:b w:val="0"/>
          <w:color w:val="404040" w:themeColor="text1" w:themeTint="BF"/>
          <w:sz w:val="14"/>
          <w:szCs w:val="14"/>
        </w:rPr>
        <w:t xml:space="preserve">TL </w:t>
      </w:r>
      <w:r w:rsidR="00D35363" w:rsidRPr="00FB38E1">
        <w:rPr>
          <w:rFonts w:ascii="Microsoft Sans Serif" w:hAnsi="Microsoft Sans Serif" w:cs="Microsoft Sans Serif"/>
          <w:b w:val="0"/>
          <w:color w:val="404040" w:themeColor="text1" w:themeTint="BF"/>
          <w:sz w:val="14"/>
          <w:szCs w:val="14"/>
        </w:rPr>
        <w:t>(</w:t>
      </w:r>
      <w:r w:rsidR="004A2440" w:rsidRPr="00FB38E1">
        <w:rPr>
          <w:rFonts w:ascii="Microsoft Sans Serif" w:hAnsi="Microsoft Sans Serif" w:cs="Microsoft Sans Serif"/>
          <w:b w:val="0"/>
          <w:color w:val="404040" w:themeColor="text1" w:themeTint="BF"/>
          <w:sz w:val="14"/>
          <w:szCs w:val="14"/>
        </w:rPr>
        <w:t xml:space="preserve">1 Ocak – </w:t>
      </w:r>
      <w:r w:rsidR="00B700A0" w:rsidRPr="00FB38E1">
        <w:rPr>
          <w:rFonts w:ascii="Microsoft Sans Serif" w:hAnsi="Microsoft Sans Serif" w:cs="Microsoft Sans Serif"/>
          <w:b w:val="0"/>
          <w:color w:val="404040" w:themeColor="text1" w:themeTint="BF"/>
          <w:sz w:val="14"/>
          <w:szCs w:val="14"/>
        </w:rPr>
        <w:t>31 Aralık 2023</w:t>
      </w:r>
      <w:r w:rsidR="00896B2C" w:rsidRPr="00FB38E1">
        <w:rPr>
          <w:rFonts w:ascii="Microsoft Sans Serif" w:hAnsi="Microsoft Sans Serif" w:cs="Microsoft Sans Serif"/>
          <w:b w:val="0"/>
          <w:color w:val="404040" w:themeColor="text1" w:themeTint="BF"/>
          <w:sz w:val="14"/>
          <w:szCs w:val="14"/>
        </w:rPr>
        <w:t xml:space="preserve">: </w:t>
      </w:r>
      <w:r w:rsidR="00B700A0" w:rsidRPr="00FB38E1">
        <w:rPr>
          <w:rFonts w:ascii="Microsoft Sans Serif" w:hAnsi="Microsoft Sans Serif" w:cs="Microsoft Sans Serif"/>
          <w:b w:val="0"/>
          <w:color w:val="404040" w:themeColor="text1" w:themeTint="BF"/>
          <w:sz w:val="14"/>
          <w:szCs w:val="14"/>
        </w:rPr>
        <w:t xml:space="preserve">230.791 </w:t>
      </w:r>
      <w:r w:rsidR="00761FD0" w:rsidRPr="00FB38E1">
        <w:rPr>
          <w:rFonts w:ascii="Microsoft Sans Serif" w:hAnsi="Microsoft Sans Serif" w:cs="Microsoft Sans Serif"/>
          <w:b w:val="0"/>
          <w:color w:val="404040" w:themeColor="text1" w:themeTint="BF"/>
          <w:sz w:val="14"/>
          <w:szCs w:val="14"/>
        </w:rPr>
        <w:t>T</w:t>
      </w:r>
      <w:r w:rsidR="00896B2C" w:rsidRPr="00FB38E1">
        <w:rPr>
          <w:rFonts w:ascii="Microsoft Sans Serif" w:hAnsi="Microsoft Sans Serif" w:cs="Microsoft Sans Serif"/>
          <w:b w:val="0"/>
          <w:color w:val="404040" w:themeColor="text1" w:themeTint="BF"/>
          <w:sz w:val="14"/>
          <w:szCs w:val="14"/>
        </w:rPr>
        <w:t xml:space="preserve">L) </w:t>
      </w:r>
      <w:r w:rsidRPr="00FB38E1">
        <w:rPr>
          <w:rFonts w:ascii="Microsoft Sans Serif" w:hAnsi="Microsoft Sans Serif" w:cs="Microsoft Sans Serif"/>
          <w:b w:val="0"/>
          <w:color w:val="404040" w:themeColor="text1" w:themeTint="BF"/>
          <w:sz w:val="14"/>
          <w:szCs w:val="14"/>
        </w:rPr>
        <w:t xml:space="preserve">tutarında ısıtma ve aydınlatma, </w:t>
      </w:r>
      <w:r w:rsidR="002B0BD0" w:rsidRPr="00FB38E1">
        <w:rPr>
          <w:rFonts w:ascii="Microsoft Sans Serif" w:hAnsi="Microsoft Sans Serif" w:cs="Microsoft Sans Serif"/>
          <w:b w:val="0"/>
          <w:color w:val="404040" w:themeColor="text1" w:themeTint="BF"/>
          <w:sz w:val="14"/>
          <w:szCs w:val="14"/>
        </w:rPr>
        <w:t>4.848.159</w:t>
      </w:r>
      <w:r w:rsidRPr="00FB38E1">
        <w:rPr>
          <w:rFonts w:ascii="Microsoft Sans Serif" w:hAnsi="Microsoft Sans Serif" w:cs="Microsoft Sans Serif"/>
          <w:b w:val="0"/>
          <w:color w:val="404040" w:themeColor="text1" w:themeTint="BF"/>
          <w:sz w:val="14"/>
          <w:szCs w:val="14"/>
        </w:rPr>
        <w:t xml:space="preserve"> TL </w:t>
      </w:r>
      <w:r w:rsidR="00896B2C" w:rsidRPr="00FB38E1">
        <w:rPr>
          <w:rFonts w:ascii="Microsoft Sans Serif" w:hAnsi="Microsoft Sans Serif" w:cs="Microsoft Sans Serif"/>
          <w:b w:val="0"/>
          <w:color w:val="404040" w:themeColor="text1" w:themeTint="BF"/>
          <w:sz w:val="14"/>
          <w:szCs w:val="14"/>
        </w:rPr>
        <w:t>(</w:t>
      </w:r>
      <w:r w:rsidR="004A2440" w:rsidRPr="00FB38E1">
        <w:rPr>
          <w:rFonts w:ascii="Microsoft Sans Serif" w:hAnsi="Microsoft Sans Serif" w:cs="Microsoft Sans Serif"/>
          <w:b w:val="0"/>
          <w:color w:val="404040" w:themeColor="text1" w:themeTint="BF"/>
          <w:sz w:val="14"/>
          <w:szCs w:val="14"/>
        </w:rPr>
        <w:t xml:space="preserve">1 Ocak – </w:t>
      </w:r>
      <w:r w:rsidR="00B700A0" w:rsidRPr="00FB38E1">
        <w:rPr>
          <w:rFonts w:ascii="Microsoft Sans Serif" w:hAnsi="Microsoft Sans Serif" w:cs="Microsoft Sans Serif"/>
          <w:b w:val="0"/>
          <w:color w:val="404040" w:themeColor="text1" w:themeTint="BF"/>
          <w:sz w:val="14"/>
          <w:szCs w:val="14"/>
        </w:rPr>
        <w:t>31 Aralık 2023</w:t>
      </w:r>
      <w:r w:rsidR="00896B2C" w:rsidRPr="00FB38E1">
        <w:rPr>
          <w:rFonts w:ascii="Microsoft Sans Serif" w:hAnsi="Microsoft Sans Serif" w:cs="Microsoft Sans Serif"/>
          <w:b w:val="0"/>
          <w:color w:val="404040" w:themeColor="text1" w:themeTint="BF"/>
          <w:sz w:val="14"/>
          <w:szCs w:val="14"/>
        </w:rPr>
        <w:t xml:space="preserve">: </w:t>
      </w:r>
      <w:r w:rsidR="00B700A0" w:rsidRPr="00FB38E1">
        <w:rPr>
          <w:rFonts w:ascii="Microsoft Sans Serif" w:hAnsi="Microsoft Sans Serif" w:cs="Microsoft Sans Serif"/>
          <w:b w:val="0"/>
          <w:color w:val="404040" w:themeColor="text1" w:themeTint="BF"/>
          <w:sz w:val="14"/>
          <w:szCs w:val="14"/>
        </w:rPr>
        <w:t xml:space="preserve">2.222.949 </w:t>
      </w:r>
      <w:r w:rsidR="00896B2C" w:rsidRPr="00FB38E1">
        <w:rPr>
          <w:rFonts w:ascii="Microsoft Sans Serif" w:hAnsi="Microsoft Sans Serif" w:cs="Microsoft Sans Serif"/>
          <w:b w:val="0"/>
          <w:color w:val="404040" w:themeColor="text1" w:themeTint="BF"/>
          <w:sz w:val="14"/>
          <w:szCs w:val="14"/>
        </w:rPr>
        <w:t xml:space="preserve">TL) </w:t>
      </w:r>
      <w:r w:rsidRPr="00FB38E1">
        <w:rPr>
          <w:rFonts w:ascii="Microsoft Sans Serif" w:hAnsi="Microsoft Sans Serif" w:cs="Microsoft Sans Serif"/>
          <w:b w:val="0"/>
          <w:color w:val="404040" w:themeColor="text1" w:themeTint="BF"/>
          <w:sz w:val="14"/>
          <w:szCs w:val="14"/>
        </w:rPr>
        <w:t xml:space="preserve">tutarında </w:t>
      </w:r>
      <w:r w:rsidR="00F42C51" w:rsidRPr="00FB38E1">
        <w:rPr>
          <w:rFonts w:ascii="Microsoft Sans Serif" w:hAnsi="Microsoft Sans Serif" w:cs="Microsoft Sans Serif"/>
          <w:b w:val="0"/>
          <w:color w:val="404040" w:themeColor="text1" w:themeTint="BF"/>
          <w:sz w:val="14"/>
          <w:szCs w:val="14"/>
        </w:rPr>
        <w:t>kredi kartı ve bankacılık hizmeti promosyon bedeli</w:t>
      </w:r>
      <w:r w:rsidR="00D01E0C" w:rsidRPr="00FB38E1">
        <w:rPr>
          <w:rFonts w:ascii="Microsoft Sans Serif" w:hAnsi="Microsoft Sans Serif" w:cs="Microsoft Sans Serif"/>
          <w:b w:val="0"/>
          <w:color w:val="404040" w:themeColor="text1" w:themeTint="BF"/>
          <w:sz w:val="14"/>
          <w:szCs w:val="14"/>
        </w:rPr>
        <w:t>,</w:t>
      </w:r>
      <w:r w:rsidR="00A74235" w:rsidRPr="00FB38E1">
        <w:rPr>
          <w:rFonts w:ascii="Microsoft Sans Serif" w:hAnsi="Microsoft Sans Serif" w:cs="Microsoft Sans Serif"/>
          <w:b w:val="0"/>
          <w:color w:val="404040" w:themeColor="text1" w:themeTint="BF"/>
          <w:sz w:val="14"/>
          <w:szCs w:val="14"/>
        </w:rPr>
        <w:t xml:space="preserve"> </w:t>
      </w:r>
      <w:r w:rsidR="002B0BD0" w:rsidRPr="00FB38E1">
        <w:rPr>
          <w:rFonts w:ascii="Microsoft Sans Serif" w:hAnsi="Microsoft Sans Serif" w:cs="Microsoft Sans Serif"/>
          <w:b w:val="0"/>
          <w:color w:val="404040" w:themeColor="text1" w:themeTint="BF"/>
          <w:sz w:val="14"/>
          <w:szCs w:val="14"/>
        </w:rPr>
        <w:t>249.895</w:t>
      </w:r>
      <w:r w:rsidR="00BF43B0" w:rsidRPr="00FB38E1">
        <w:rPr>
          <w:rFonts w:ascii="Microsoft Sans Serif" w:hAnsi="Microsoft Sans Serif" w:cs="Microsoft Sans Serif"/>
          <w:b w:val="0"/>
          <w:color w:val="404040" w:themeColor="text1" w:themeTint="BF"/>
          <w:sz w:val="14"/>
          <w:szCs w:val="14"/>
        </w:rPr>
        <w:t xml:space="preserve"> </w:t>
      </w:r>
      <w:r w:rsidRPr="00FB38E1">
        <w:rPr>
          <w:rFonts w:ascii="Microsoft Sans Serif" w:hAnsi="Microsoft Sans Serif" w:cs="Microsoft Sans Serif"/>
          <w:b w:val="0"/>
          <w:color w:val="404040" w:themeColor="text1" w:themeTint="BF"/>
          <w:sz w:val="14"/>
          <w:szCs w:val="14"/>
        </w:rPr>
        <w:t xml:space="preserve">TL </w:t>
      </w:r>
      <w:r w:rsidR="00502CBB" w:rsidRPr="00FB38E1">
        <w:rPr>
          <w:rFonts w:ascii="Microsoft Sans Serif" w:hAnsi="Microsoft Sans Serif" w:cs="Microsoft Sans Serif"/>
          <w:b w:val="0"/>
          <w:color w:val="404040" w:themeColor="text1" w:themeTint="BF"/>
          <w:sz w:val="14"/>
          <w:szCs w:val="14"/>
        </w:rPr>
        <w:t>(</w:t>
      </w:r>
      <w:r w:rsidR="004A2440" w:rsidRPr="00FB38E1">
        <w:rPr>
          <w:rFonts w:ascii="Microsoft Sans Serif" w:hAnsi="Microsoft Sans Serif" w:cs="Microsoft Sans Serif"/>
          <w:b w:val="0"/>
          <w:color w:val="404040" w:themeColor="text1" w:themeTint="BF"/>
          <w:sz w:val="14"/>
          <w:szCs w:val="14"/>
        </w:rPr>
        <w:t xml:space="preserve">1 Ocak – </w:t>
      </w:r>
      <w:r w:rsidR="00B700A0" w:rsidRPr="00FB38E1">
        <w:rPr>
          <w:rFonts w:ascii="Microsoft Sans Serif" w:hAnsi="Microsoft Sans Serif" w:cs="Microsoft Sans Serif"/>
          <w:b w:val="0"/>
          <w:color w:val="404040" w:themeColor="text1" w:themeTint="BF"/>
          <w:sz w:val="14"/>
          <w:szCs w:val="14"/>
        </w:rPr>
        <w:t>31 Aralık 2023</w:t>
      </w:r>
      <w:r w:rsidR="00896B2C" w:rsidRPr="00FB38E1">
        <w:rPr>
          <w:rFonts w:ascii="Microsoft Sans Serif" w:hAnsi="Microsoft Sans Serif" w:cs="Microsoft Sans Serif"/>
          <w:b w:val="0"/>
          <w:color w:val="404040" w:themeColor="text1" w:themeTint="BF"/>
          <w:sz w:val="14"/>
          <w:szCs w:val="14"/>
        </w:rPr>
        <w:t>:</w:t>
      </w:r>
      <w:r w:rsidR="00FE522E" w:rsidRPr="00FB38E1">
        <w:rPr>
          <w:rFonts w:ascii="Microsoft Sans Serif" w:hAnsi="Microsoft Sans Serif" w:cs="Microsoft Sans Serif"/>
          <w:b w:val="0"/>
          <w:color w:val="404040" w:themeColor="text1" w:themeTint="BF"/>
          <w:sz w:val="14"/>
          <w:szCs w:val="14"/>
        </w:rPr>
        <w:t xml:space="preserve"> </w:t>
      </w:r>
      <w:r w:rsidR="00B700A0" w:rsidRPr="00FB38E1">
        <w:rPr>
          <w:rFonts w:ascii="Microsoft Sans Serif" w:hAnsi="Microsoft Sans Serif" w:cs="Microsoft Sans Serif"/>
          <w:b w:val="0"/>
          <w:color w:val="404040" w:themeColor="text1" w:themeTint="BF"/>
          <w:sz w:val="14"/>
          <w:szCs w:val="14"/>
        </w:rPr>
        <w:t xml:space="preserve">152.109 </w:t>
      </w:r>
      <w:r w:rsidR="00896B2C" w:rsidRPr="00FB38E1">
        <w:rPr>
          <w:rFonts w:ascii="Microsoft Sans Serif" w:hAnsi="Microsoft Sans Serif" w:cs="Microsoft Sans Serif"/>
          <w:b w:val="0"/>
          <w:color w:val="404040" w:themeColor="text1" w:themeTint="BF"/>
          <w:sz w:val="14"/>
          <w:szCs w:val="14"/>
        </w:rPr>
        <w:t xml:space="preserve">TL) </w:t>
      </w:r>
      <w:r w:rsidRPr="00FB38E1">
        <w:rPr>
          <w:rFonts w:ascii="Microsoft Sans Serif" w:hAnsi="Microsoft Sans Serif" w:cs="Microsoft Sans Serif"/>
          <w:b w:val="0"/>
          <w:color w:val="404040" w:themeColor="text1" w:themeTint="BF"/>
          <w:sz w:val="14"/>
          <w:szCs w:val="14"/>
        </w:rPr>
        <w:t xml:space="preserve">tutarında taşıt aracı gideri ve </w:t>
      </w:r>
      <w:r w:rsidR="002B0BD0" w:rsidRPr="00FB38E1">
        <w:rPr>
          <w:rFonts w:ascii="Microsoft Sans Serif" w:hAnsi="Microsoft Sans Serif" w:cs="Microsoft Sans Serif"/>
          <w:b w:val="0"/>
          <w:color w:val="404040" w:themeColor="text1" w:themeTint="BF"/>
          <w:sz w:val="14"/>
          <w:szCs w:val="14"/>
        </w:rPr>
        <w:t>1.396.016</w:t>
      </w:r>
      <w:r w:rsidR="001B01D0" w:rsidRPr="00FB38E1">
        <w:rPr>
          <w:rFonts w:ascii="Microsoft Sans Serif" w:hAnsi="Microsoft Sans Serif" w:cs="Microsoft Sans Serif"/>
          <w:b w:val="0"/>
          <w:color w:val="404040" w:themeColor="text1" w:themeTint="BF"/>
          <w:sz w:val="14"/>
          <w:szCs w:val="14"/>
        </w:rPr>
        <w:t xml:space="preserve"> </w:t>
      </w:r>
      <w:r w:rsidR="002A13F9" w:rsidRPr="00FB38E1">
        <w:rPr>
          <w:rFonts w:ascii="Microsoft Sans Serif" w:hAnsi="Microsoft Sans Serif" w:cs="Microsoft Sans Serif"/>
          <w:b w:val="0"/>
          <w:color w:val="404040" w:themeColor="text1" w:themeTint="BF"/>
          <w:sz w:val="14"/>
          <w:szCs w:val="14"/>
        </w:rPr>
        <w:tab/>
      </w:r>
      <w:r w:rsidRPr="00FB38E1">
        <w:rPr>
          <w:rFonts w:ascii="Microsoft Sans Serif" w:hAnsi="Microsoft Sans Serif" w:cs="Microsoft Sans Serif"/>
          <w:b w:val="0"/>
          <w:color w:val="404040" w:themeColor="text1" w:themeTint="BF"/>
          <w:sz w:val="14"/>
          <w:szCs w:val="14"/>
        </w:rPr>
        <w:t>TL</w:t>
      </w:r>
      <w:r w:rsidR="009663E1" w:rsidRPr="00FB38E1">
        <w:rPr>
          <w:rFonts w:ascii="Microsoft Sans Serif" w:hAnsi="Microsoft Sans Serif" w:cs="Microsoft Sans Serif"/>
          <w:b w:val="0"/>
          <w:color w:val="404040" w:themeColor="text1" w:themeTint="BF"/>
          <w:sz w:val="14"/>
          <w:szCs w:val="14"/>
        </w:rPr>
        <w:t xml:space="preserve"> </w:t>
      </w:r>
      <w:r w:rsidR="004A2440" w:rsidRPr="00FB38E1">
        <w:rPr>
          <w:rFonts w:ascii="Microsoft Sans Serif" w:hAnsi="Microsoft Sans Serif" w:cs="Microsoft Sans Serif"/>
          <w:b w:val="0"/>
          <w:color w:val="404040" w:themeColor="text1" w:themeTint="BF"/>
          <w:sz w:val="14"/>
          <w:szCs w:val="14"/>
        </w:rPr>
        <w:t xml:space="preserve">(1 Ocak – </w:t>
      </w:r>
      <w:r w:rsidR="00B700A0" w:rsidRPr="00FB38E1">
        <w:rPr>
          <w:rFonts w:ascii="Microsoft Sans Serif" w:hAnsi="Microsoft Sans Serif" w:cs="Microsoft Sans Serif"/>
          <w:b w:val="0"/>
          <w:color w:val="404040" w:themeColor="text1" w:themeTint="BF"/>
          <w:sz w:val="14"/>
          <w:szCs w:val="14"/>
        </w:rPr>
        <w:t>31 Aralık 2023</w:t>
      </w:r>
      <w:r w:rsidR="00AE7682" w:rsidRPr="00FB38E1">
        <w:rPr>
          <w:rFonts w:ascii="Microsoft Sans Serif" w:hAnsi="Microsoft Sans Serif" w:cs="Microsoft Sans Serif"/>
          <w:b w:val="0"/>
          <w:color w:val="404040" w:themeColor="text1" w:themeTint="BF"/>
          <w:sz w:val="14"/>
          <w:szCs w:val="14"/>
        </w:rPr>
        <w:t xml:space="preserve">: </w:t>
      </w:r>
      <w:r w:rsidR="00B700A0" w:rsidRPr="00FB38E1">
        <w:rPr>
          <w:rFonts w:ascii="Microsoft Sans Serif" w:hAnsi="Microsoft Sans Serif" w:cs="Microsoft Sans Serif"/>
          <w:b w:val="0"/>
          <w:color w:val="404040" w:themeColor="text1" w:themeTint="BF"/>
          <w:sz w:val="14"/>
          <w:szCs w:val="14"/>
        </w:rPr>
        <w:t xml:space="preserve">1.294.962 </w:t>
      </w:r>
      <w:r w:rsidR="00896B2C" w:rsidRPr="00FB38E1">
        <w:rPr>
          <w:rFonts w:ascii="Microsoft Sans Serif" w:hAnsi="Microsoft Sans Serif" w:cs="Microsoft Sans Serif"/>
          <w:b w:val="0"/>
          <w:color w:val="404040" w:themeColor="text1" w:themeTint="BF"/>
          <w:sz w:val="14"/>
          <w:szCs w:val="14"/>
        </w:rPr>
        <w:t>TL)</w:t>
      </w:r>
      <w:r w:rsidRPr="00FB38E1">
        <w:rPr>
          <w:rFonts w:ascii="Microsoft Sans Serif" w:hAnsi="Microsoft Sans Serif" w:cs="Microsoft Sans Serif"/>
          <w:b w:val="0"/>
          <w:color w:val="404040" w:themeColor="text1" w:themeTint="BF"/>
          <w:sz w:val="14"/>
          <w:szCs w:val="14"/>
        </w:rPr>
        <w:t xml:space="preserve"> tutarında diğer giderleri içermektedir.</w:t>
      </w:r>
    </w:p>
    <w:p w14:paraId="662BD4D4" w14:textId="232C3D1C" w:rsidR="00761FD0" w:rsidRPr="00FB38E1" w:rsidRDefault="00A33E87" w:rsidP="009F6F8E">
      <w:pPr>
        <w:pStyle w:val="BASLIK2"/>
        <w:widowControl/>
        <w:spacing w:before="60" w:after="0" w:line="240" w:lineRule="auto"/>
        <w:ind w:firstLine="0"/>
        <w:rPr>
          <w:rFonts w:ascii="Microsoft Sans Serif" w:hAnsi="Microsoft Sans Serif" w:cs="Microsoft Sans Serif"/>
          <w:b w:val="0"/>
          <w:noProof/>
          <w:snapToGrid w:val="0"/>
          <w:sz w:val="14"/>
          <w:szCs w:val="14"/>
          <w:lang w:val="de-DE"/>
        </w:rPr>
      </w:pPr>
      <w:r w:rsidRPr="00FB38E1">
        <w:rPr>
          <w:rFonts w:ascii="Microsoft Sans Serif" w:hAnsi="Microsoft Sans Serif" w:cs="Microsoft Sans Serif"/>
          <w:b w:val="0"/>
          <w:bCs w:val="0"/>
          <w:color w:val="404040" w:themeColor="text1" w:themeTint="BF"/>
          <w:sz w:val="14"/>
          <w:szCs w:val="14"/>
        </w:rPr>
        <w:t xml:space="preserve">(****) Diğer giderler </w:t>
      </w:r>
      <w:r w:rsidR="002B0BD0" w:rsidRPr="00FB38E1">
        <w:rPr>
          <w:rFonts w:ascii="Microsoft Sans Serif" w:hAnsi="Microsoft Sans Serif" w:cs="Microsoft Sans Serif"/>
          <w:b w:val="0"/>
          <w:bCs w:val="0"/>
          <w:color w:val="404040" w:themeColor="text1" w:themeTint="BF"/>
          <w:sz w:val="14"/>
          <w:szCs w:val="14"/>
        </w:rPr>
        <w:t>3.319.279</w:t>
      </w:r>
      <w:r w:rsidR="00E04EA0" w:rsidRPr="00FB38E1">
        <w:rPr>
          <w:rFonts w:ascii="Microsoft Sans Serif" w:hAnsi="Microsoft Sans Serif" w:cs="Microsoft Sans Serif"/>
          <w:b w:val="0"/>
          <w:bCs w:val="0"/>
          <w:color w:val="404040" w:themeColor="text1" w:themeTint="BF"/>
          <w:sz w:val="14"/>
          <w:szCs w:val="14"/>
        </w:rPr>
        <w:t xml:space="preserve"> TL</w:t>
      </w:r>
      <w:r w:rsidR="00A16024" w:rsidRPr="00FB38E1">
        <w:rPr>
          <w:rFonts w:ascii="Microsoft Sans Serif" w:hAnsi="Microsoft Sans Serif" w:cs="Microsoft Sans Serif"/>
          <w:b w:val="0"/>
          <w:bCs w:val="0"/>
          <w:color w:val="404040" w:themeColor="text1" w:themeTint="BF"/>
          <w:sz w:val="14"/>
          <w:szCs w:val="14"/>
        </w:rPr>
        <w:t xml:space="preserve"> (1 Ocak – </w:t>
      </w:r>
      <w:r w:rsidR="00B700A0" w:rsidRPr="00FB38E1">
        <w:rPr>
          <w:rFonts w:ascii="Microsoft Sans Serif" w:hAnsi="Microsoft Sans Serif" w:cs="Microsoft Sans Serif"/>
          <w:b w:val="0"/>
          <w:color w:val="404040" w:themeColor="text1" w:themeTint="BF"/>
          <w:sz w:val="14"/>
          <w:szCs w:val="14"/>
        </w:rPr>
        <w:t>31 Aralık 2023</w:t>
      </w:r>
      <w:r w:rsidR="00A16024" w:rsidRPr="00FB38E1">
        <w:rPr>
          <w:rFonts w:ascii="Microsoft Sans Serif" w:hAnsi="Microsoft Sans Serif" w:cs="Microsoft Sans Serif"/>
          <w:b w:val="0"/>
          <w:bCs w:val="0"/>
          <w:color w:val="404040" w:themeColor="text1" w:themeTint="BF"/>
          <w:sz w:val="14"/>
          <w:szCs w:val="14"/>
        </w:rPr>
        <w:t>:</w:t>
      </w:r>
      <w:r w:rsidR="00AE7682" w:rsidRPr="00FB38E1">
        <w:rPr>
          <w:rFonts w:ascii="Microsoft Sans Serif" w:hAnsi="Microsoft Sans Serif" w:cs="Microsoft Sans Serif"/>
          <w:b w:val="0"/>
          <w:bCs w:val="0"/>
          <w:color w:val="404040" w:themeColor="text1" w:themeTint="BF"/>
          <w:sz w:val="14"/>
          <w:szCs w:val="14"/>
        </w:rPr>
        <w:t xml:space="preserve"> </w:t>
      </w:r>
      <w:r w:rsidR="00B700A0" w:rsidRPr="00FB38E1">
        <w:rPr>
          <w:rFonts w:ascii="Microsoft Sans Serif" w:hAnsi="Microsoft Sans Serif" w:cs="Microsoft Sans Serif"/>
          <w:b w:val="0"/>
          <w:bCs w:val="0"/>
          <w:color w:val="404040" w:themeColor="text1" w:themeTint="BF"/>
          <w:sz w:val="14"/>
          <w:szCs w:val="14"/>
        </w:rPr>
        <w:t xml:space="preserve">1.141.978 </w:t>
      </w:r>
      <w:r w:rsidR="00A16024" w:rsidRPr="00FB38E1">
        <w:rPr>
          <w:rFonts w:ascii="Microsoft Sans Serif" w:hAnsi="Microsoft Sans Serif" w:cs="Microsoft Sans Serif"/>
          <w:b w:val="0"/>
          <w:bCs w:val="0"/>
          <w:color w:val="404040" w:themeColor="text1" w:themeTint="BF"/>
          <w:sz w:val="14"/>
          <w:szCs w:val="14"/>
        </w:rPr>
        <w:t xml:space="preserve">TL) tutarında BSMV, </w:t>
      </w:r>
      <w:r w:rsidR="002B0BD0" w:rsidRPr="00FB38E1">
        <w:rPr>
          <w:rFonts w:ascii="Microsoft Sans Serif" w:hAnsi="Microsoft Sans Serif" w:cs="Microsoft Sans Serif"/>
          <w:b w:val="0"/>
          <w:bCs w:val="0"/>
          <w:color w:val="404040" w:themeColor="text1" w:themeTint="BF"/>
          <w:sz w:val="14"/>
          <w:szCs w:val="14"/>
        </w:rPr>
        <w:t>1.438.584</w:t>
      </w:r>
      <w:r w:rsidR="00E04EA0" w:rsidRPr="00FB38E1">
        <w:rPr>
          <w:rFonts w:ascii="Microsoft Sans Serif" w:hAnsi="Microsoft Sans Serif" w:cs="Microsoft Sans Serif"/>
          <w:b w:val="0"/>
          <w:bCs w:val="0"/>
          <w:color w:val="404040" w:themeColor="text1" w:themeTint="BF"/>
          <w:sz w:val="14"/>
          <w:szCs w:val="14"/>
        </w:rPr>
        <w:t xml:space="preserve"> TL</w:t>
      </w:r>
      <w:r w:rsidR="00A16024" w:rsidRPr="00FB38E1">
        <w:rPr>
          <w:rFonts w:ascii="Microsoft Sans Serif" w:hAnsi="Microsoft Sans Serif" w:cs="Microsoft Sans Serif"/>
          <w:b w:val="0"/>
          <w:bCs w:val="0"/>
          <w:color w:val="404040" w:themeColor="text1" w:themeTint="BF"/>
          <w:sz w:val="14"/>
          <w:szCs w:val="14"/>
        </w:rPr>
        <w:t xml:space="preserve"> (1 Ocak – </w:t>
      </w:r>
      <w:r w:rsidR="00B700A0" w:rsidRPr="00FB38E1">
        <w:rPr>
          <w:rFonts w:ascii="Microsoft Sans Serif" w:hAnsi="Microsoft Sans Serif" w:cs="Microsoft Sans Serif"/>
          <w:b w:val="0"/>
          <w:color w:val="404040" w:themeColor="text1" w:themeTint="BF"/>
          <w:sz w:val="14"/>
          <w:szCs w:val="14"/>
        </w:rPr>
        <w:t>31 Aralık 2023</w:t>
      </w:r>
      <w:r w:rsidR="00A16024" w:rsidRPr="00FB38E1">
        <w:rPr>
          <w:rFonts w:ascii="Microsoft Sans Serif" w:hAnsi="Microsoft Sans Serif" w:cs="Microsoft Sans Serif"/>
          <w:b w:val="0"/>
          <w:bCs w:val="0"/>
          <w:color w:val="404040" w:themeColor="text1" w:themeTint="BF"/>
          <w:sz w:val="14"/>
          <w:szCs w:val="14"/>
        </w:rPr>
        <w:t>:</w:t>
      </w:r>
      <w:r w:rsidR="00313F3C" w:rsidRPr="00FB38E1">
        <w:rPr>
          <w:rFonts w:ascii="Microsoft Sans Serif" w:hAnsi="Microsoft Sans Serif" w:cs="Microsoft Sans Serif"/>
          <w:b w:val="0"/>
          <w:bCs w:val="0"/>
          <w:color w:val="404040" w:themeColor="text1" w:themeTint="BF"/>
          <w:sz w:val="14"/>
          <w:szCs w:val="14"/>
        </w:rPr>
        <w:t xml:space="preserve"> </w:t>
      </w:r>
      <w:r w:rsidR="00B700A0" w:rsidRPr="00FB38E1">
        <w:rPr>
          <w:rFonts w:ascii="Microsoft Sans Serif" w:hAnsi="Microsoft Sans Serif" w:cs="Microsoft Sans Serif"/>
          <w:b w:val="0"/>
          <w:bCs w:val="0"/>
          <w:color w:val="404040" w:themeColor="text1" w:themeTint="BF"/>
          <w:sz w:val="14"/>
          <w:szCs w:val="14"/>
        </w:rPr>
        <w:t xml:space="preserve">943.836 </w:t>
      </w:r>
      <w:r w:rsidR="00A16024" w:rsidRPr="00FB38E1">
        <w:rPr>
          <w:rFonts w:ascii="Microsoft Sans Serif" w:hAnsi="Microsoft Sans Serif" w:cs="Microsoft Sans Serif"/>
          <w:b w:val="0"/>
          <w:bCs w:val="0"/>
          <w:color w:val="404040" w:themeColor="text1" w:themeTint="BF"/>
          <w:sz w:val="14"/>
          <w:szCs w:val="14"/>
        </w:rPr>
        <w:t>TL)</w:t>
      </w:r>
      <w:r w:rsidRPr="00FB38E1">
        <w:rPr>
          <w:rFonts w:ascii="Microsoft Sans Serif" w:hAnsi="Microsoft Sans Serif" w:cs="Microsoft Sans Serif"/>
          <w:b w:val="0"/>
          <w:bCs w:val="0"/>
          <w:color w:val="404040" w:themeColor="text1" w:themeTint="BF"/>
          <w:sz w:val="14"/>
          <w:szCs w:val="14"/>
        </w:rPr>
        <w:t xml:space="preserve"> tutarında TMSF giderleri,</w:t>
      </w:r>
      <w:r w:rsidR="00E015E1" w:rsidRPr="00FB38E1">
        <w:rPr>
          <w:rFonts w:ascii="Microsoft Sans Serif" w:hAnsi="Microsoft Sans Serif" w:cs="Microsoft Sans Serif"/>
          <w:b w:val="0"/>
          <w:bCs w:val="0"/>
          <w:color w:val="404040" w:themeColor="text1" w:themeTint="BF"/>
          <w:sz w:val="14"/>
          <w:szCs w:val="14"/>
        </w:rPr>
        <w:t xml:space="preserve"> </w:t>
      </w:r>
      <w:r w:rsidR="00C05025" w:rsidRPr="00FB38E1">
        <w:rPr>
          <w:rFonts w:ascii="Microsoft Sans Serif" w:hAnsi="Microsoft Sans Serif" w:cs="Microsoft Sans Serif"/>
          <w:b w:val="0"/>
          <w:bCs w:val="0"/>
          <w:color w:val="404040" w:themeColor="text1" w:themeTint="BF"/>
          <w:sz w:val="14"/>
          <w:szCs w:val="14"/>
        </w:rPr>
        <w:t>774.671</w:t>
      </w:r>
      <w:r w:rsidR="005419A8" w:rsidRPr="00FB38E1">
        <w:rPr>
          <w:rFonts w:ascii="Microsoft Sans Serif" w:hAnsi="Microsoft Sans Serif" w:cs="Microsoft Sans Serif"/>
          <w:b w:val="0"/>
          <w:bCs w:val="0"/>
          <w:color w:val="404040" w:themeColor="text1" w:themeTint="BF"/>
          <w:sz w:val="14"/>
          <w:szCs w:val="14"/>
        </w:rPr>
        <w:t xml:space="preserve"> TL</w:t>
      </w:r>
      <w:r w:rsidR="00A16024" w:rsidRPr="00FB38E1">
        <w:rPr>
          <w:rFonts w:ascii="Microsoft Sans Serif" w:hAnsi="Microsoft Sans Serif" w:cs="Microsoft Sans Serif"/>
          <w:b w:val="0"/>
          <w:bCs w:val="0"/>
          <w:color w:val="404040" w:themeColor="text1" w:themeTint="BF"/>
          <w:sz w:val="14"/>
          <w:szCs w:val="14"/>
        </w:rPr>
        <w:t xml:space="preserve"> (1 Ocak – </w:t>
      </w:r>
      <w:r w:rsidR="00B700A0" w:rsidRPr="00FB38E1">
        <w:rPr>
          <w:rFonts w:ascii="Microsoft Sans Serif" w:hAnsi="Microsoft Sans Serif" w:cs="Microsoft Sans Serif"/>
          <w:b w:val="0"/>
          <w:color w:val="404040" w:themeColor="text1" w:themeTint="BF"/>
          <w:sz w:val="14"/>
          <w:szCs w:val="14"/>
        </w:rPr>
        <w:t>31 Aralık 2023</w:t>
      </w:r>
      <w:r w:rsidR="00A16024" w:rsidRPr="00FB38E1">
        <w:rPr>
          <w:rFonts w:ascii="Microsoft Sans Serif" w:hAnsi="Microsoft Sans Serif" w:cs="Microsoft Sans Serif"/>
          <w:b w:val="0"/>
          <w:bCs w:val="0"/>
          <w:color w:val="404040" w:themeColor="text1" w:themeTint="BF"/>
          <w:sz w:val="14"/>
          <w:szCs w:val="14"/>
        </w:rPr>
        <w:t xml:space="preserve">: </w:t>
      </w:r>
      <w:r w:rsidR="00B700A0" w:rsidRPr="00FB38E1">
        <w:rPr>
          <w:rFonts w:ascii="Microsoft Sans Serif" w:hAnsi="Microsoft Sans Serif" w:cs="Microsoft Sans Serif"/>
          <w:b w:val="0"/>
          <w:bCs w:val="0"/>
          <w:color w:val="404040" w:themeColor="text1" w:themeTint="BF"/>
          <w:sz w:val="14"/>
          <w:szCs w:val="14"/>
        </w:rPr>
        <w:t xml:space="preserve">340.601 </w:t>
      </w:r>
      <w:r w:rsidR="00A16024" w:rsidRPr="00FB38E1">
        <w:rPr>
          <w:rFonts w:ascii="Microsoft Sans Serif" w:hAnsi="Microsoft Sans Serif" w:cs="Microsoft Sans Serif"/>
          <w:b w:val="0"/>
          <w:bCs w:val="0"/>
          <w:color w:val="404040" w:themeColor="text1" w:themeTint="BF"/>
          <w:sz w:val="14"/>
          <w:szCs w:val="14"/>
        </w:rPr>
        <w:t>TL)  tutarında finansal faaliyet harçları</w:t>
      </w:r>
      <w:r w:rsidR="00FB7855" w:rsidRPr="00FB38E1">
        <w:rPr>
          <w:rFonts w:ascii="Microsoft Sans Serif" w:hAnsi="Microsoft Sans Serif" w:cs="Microsoft Sans Serif"/>
          <w:b w:val="0"/>
          <w:bCs w:val="0"/>
          <w:color w:val="404040" w:themeColor="text1" w:themeTint="BF"/>
          <w:sz w:val="14"/>
          <w:szCs w:val="14"/>
        </w:rPr>
        <w:t>,</w:t>
      </w:r>
      <w:r w:rsidR="00E04EA0" w:rsidRPr="00FB38E1">
        <w:rPr>
          <w:rFonts w:ascii="Microsoft Sans Serif" w:hAnsi="Microsoft Sans Serif" w:cs="Microsoft Sans Serif"/>
          <w:b w:val="0"/>
          <w:bCs w:val="0"/>
          <w:color w:val="404040" w:themeColor="text1" w:themeTint="BF"/>
          <w:sz w:val="14"/>
          <w:szCs w:val="14"/>
        </w:rPr>
        <w:t xml:space="preserve"> </w:t>
      </w:r>
      <w:r w:rsidR="002B0BD0" w:rsidRPr="00FB38E1">
        <w:rPr>
          <w:rFonts w:ascii="Microsoft Sans Serif" w:hAnsi="Microsoft Sans Serif" w:cs="Microsoft Sans Serif"/>
          <w:b w:val="0"/>
          <w:bCs w:val="0"/>
          <w:color w:val="404040" w:themeColor="text1" w:themeTint="BF"/>
          <w:sz w:val="14"/>
          <w:szCs w:val="14"/>
        </w:rPr>
        <w:t>21.866</w:t>
      </w:r>
      <w:r w:rsidR="00A06E59" w:rsidRPr="00FB38E1">
        <w:rPr>
          <w:rFonts w:ascii="Microsoft Sans Serif" w:hAnsi="Microsoft Sans Serif" w:cs="Microsoft Sans Serif"/>
          <w:b w:val="0"/>
          <w:bCs w:val="0"/>
          <w:color w:val="404040" w:themeColor="text1" w:themeTint="BF"/>
          <w:sz w:val="14"/>
          <w:szCs w:val="14"/>
        </w:rPr>
        <w:t xml:space="preserve"> TL </w:t>
      </w:r>
      <w:r w:rsidR="005419A8" w:rsidRPr="00FB38E1">
        <w:rPr>
          <w:rFonts w:ascii="Microsoft Sans Serif" w:hAnsi="Microsoft Sans Serif" w:cs="Microsoft Sans Serif"/>
          <w:b w:val="0"/>
          <w:bCs w:val="0"/>
          <w:color w:val="404040" w:themeColor="text1" w:themeTint="BF"/>
          <w:sz w:val="14"/>
          <w:szCs w:val="14"/>
        </w:rPr>
        <w:t xml:space="preserve">(1 Ocak – </w:t>
      </w:r>
      <w:r w:rsidR="00B700A0" w:rsidRPr="00FB38E1">
        <w:rPr>
          <w:rFonts w:ascii="Microsoft Sans Serif" w:hAnsi="Microsoft Sans Serif" w:cs="Microsoft Sans Serif"/>
          <w:b w:val="0"/>
          <w:color w:val="404040" w:themeColor="text1" w:themeTint="BF"/>
          <w:sz w:val="14"/>
          <w:szCs w:val="14"/>
        </w:rPr>
        <w:t>31 Aralık 2023</w:t>
      </w:r>
      <w:r w:rsidR="002A24FC" w:rsidRPr="00FB38E1">
        <w:rPr>
          <w:rFonts w:ascii="Microsoft Sans Serif" w:hAnsi="Microsoft Sans Serif" w:cs="Microsoft Sans Serif"/>
          <w:b w:val="0"/>
          <w:bCs w:val="0"/>
          <w:color w:val="404040" w:themeColor="text1" w:themeTint="BF"/>
          <w:sz w:val="14"/>
          <w:szCs w:val="14"/>
        </w:rPr>
        <w:t xml:space="preserve">: </w:t>
      </w:r>
      <w:r w:rsidR="00B700A0" w:rsidRPr="00FB38E1">
        <w:rPr>
          <w:rFonts w:ascii="Microsoft Sans Serif" w:hAnsi="Microsoft Sans Serif" w:cs="Microsoft Sans Serif"/>
          <w:b w:val="0"/>
          <w:bCs w:val="0"/>
          <w:color w:val="404040" w:themeColor="text1" w:themeTint="BF"/>
          <w:sz w:val="14"/>
          <w:szCs w:val="14"/>
        </w:rPr>
        <w:t xml:space="preserve">318.743 </w:t>
      </w:r>
      <w:r w:rsidR="005419A8" w:rsidRPr="00FB38E1">
        <w:rPr>
          <w:rFonts w:ascii="Microsoft Sans Serif" w:hAnsi="Microsoft Sans Serif" w:cs="Microsoft Sans Serif"/>
          <w:b w:val="0"/>
          <w:bCs w:val="0"/>
          <w:color w:val="404040" w:themeColor="text1" w:themeTint="BF"/>
          <w:sz w:val="14"/>
          <w:szCs w:val="14"/>
        </w:rPr>
        <w:t xml:space="preserve">TL)  </w:t>
      </w:r>
      <w:r w:rsidR="00A06E59" w:rsidRPr="00FB38E1">
        <w:rPr>
          <w:rFonts w:ascii="Microsoft Sans Serif" w:hAnsi="Microsoft Sans Serif" w:cs="Microsoft Sans Serif"/>
          <w:b w:val="0"/>
          <w:bCs w:val="0"/>
          <w:color w:val="404040" w:themeColor="text1" w:themeTint="BF"/>
          <w:sz w:val="14"/>
          <w:szCs w:val="14"/>
        </w:rPr>
        <w:t xml:space="preserve">tutarında deprem destek yardım paketleri </w:t>
      </w:r>
      <w:r w:rsidR="00E04EA0" w:rsidRPr="00FB38E1">
        <w:rPr>
          <w:rFonts w:ascii="Microsoft Sans Serif" w:hAnsi="Microsoft Sans Serif" w:cs="Microsoft Sans Serif"/>
          <w:b w:val="0"/>
          <w:bCs w:val="0"/>
          <w:color w:val="404040" w:themeColor="text1" w:themeTint="BF"/>
          <w:sz w:val="14"/>
          <w:szCs w:val="14"/>
        </w:rPr>
        <w:t xml:space="preserve">ve </w:t>
      </w:r>
      <w:r w:rsidR="003B439A" w:rsidRPr="00FB38E1">
        <w:rPr>
          <w:rFonts w:ascii="Microsoft Sans Serif" w:hAnsi="Microsoft Sans Serif" w:cs="Microsoft Sans Serif"/>
          <w:b w:val="0"/>
          <w:bCs w:val="0"/>
          <w:color w:val="404040" w:themeColor="text1" w:themeTint="BF"/>
          <w:sz w:val="14"/>
          <w:szCs w:val="14"/>
        </w:rPr>
        <w:t>951.637</w:t>
      </w:r>
      <w:r w:rsidR="00E04EA0" w:rsidRPr="00FB38E1">
        <w:rPr>
          <w:rFonts w:ascii="Microsoft Sans Serif" w:hAnsi="Microsoft Sans Serif" w:cs="Microsoft Sans Serif"/>
          <w:b w:val="0"/>
          <w:bCs w:val="0"/>
          <w:color w:val="404040" w:themeColor="text1" w:themeTint="BF"/>
          <w:sz w:val="14"/>
          <w:szCs w:val="14"/>
        </w:rPr>
        <w:t xml:space="preserve"> TL (1 Ocak – </w:t>
      </w:r>
      <w:r w:rsidR="00B700A0" w:rsidRPr="00FB38E1">
        <w:rPr>
          <w:rFonts w:ascii="Microsoft Sans Serif" w:hAnsi="Microsoft Sans Serif" w:cs="Microsoft Sans Serif"/>
          <w:b w:val="0"/>
          <w:color w:val="404040" w:themeColor="text1" w:themeTint="BF"/>
          <w:sz w:val="14"/>
          <w:szCs w:val="14"/>
        </w:rPr>
        <w:t>31 Aralık 2023</w:t>
      </w:r>
      <w:r w:rsidR="00E04EA0" w:rsidRPr="00FB38E1">
        <w:rPr>
          <w:rFonts w:ascii="Microsoft Sans Serif" w:hAnsi="Microsoft Sans Serif" w:cs="Microsoft Sans Serif"/>
          <w:b w:val="0"/>
          <w:bCs w:val="0"/>
          <w:color w:val="404040" w:themeColor="text1" w:themeTint="BF"/>
          <w:sz w:val="14"/>
          <w:szCs w:val="14"/>
        </w:rPr>
        <w:t xml:space="preserve">: </w:t>
      </w:r>
      <w:r w:rsidR="00B700A0" w:rsidRPr="00FB38E1">
        <w:rPr>
          <w:rFonts w:ascii="Microsoft Sans Serif" w:hAnsi="Microsoft Sans Serif" w:cs="Microsoft Sans Serif"/>
          <w:b w:val="0"/>
          <w:bCs w:val="0"/>
          <w:color w:val="404040" w:themeColor="text1" w:themeTint="BF"/>
          <w:sz w:val="14"/>
          <w:szCs w:val="14"/>
        </w:rPr>
        <w:t xml:space="preserve">461.093 </w:t>
      </w:r>
      <w:r w:rsidR="00E04EA0" w:rsidRPr="00FB38E1">
        <w:rPr>
          <w:rFonts w:ascii="Microsoft Sans Serif" w:hAnsi="Microsoft Sans Serif" w:cs="Microsoft Sans Serif"/>
          <w:b w:val="0"/>
          <w:bCs w:val="0"/>
          <w:color w:val="404040" w:themeColor="text1" w:themeTint="BF"/>
          <w:sz w:val="14"/>
          <w:szCs w:val="14"/>
        </w:rPr>
        <w:t>TL)  tutarında diğer giderleri</w:t>
      </w:r>
      <w:r w:rsidR="00A16024" w:rsidRPr="00FB38E1">
        <w:rPr>
          <w:rFonts w:ascii="Microsoft Sans Serif" w:hAnsi="Microsoft Sans Serif" w:cs="Microsoft Sans Serif"/>
          <w:b w:val="0"/>
          <w:bCs w:val="0"/>
          <w:color w:val="404040" w:themeColor="text1" w:themeTint="BF"/>
          <w:sz w:val="14"/>
          <w:szCs w:val="14"/>
        </w:rPr>
        <w:t xml:space="preserve"> içermektedir.</w:t>
      </w:r>
      <w:r w:rsidR="00AD274E" w:rsidRPr="00FB38E1">
        <w:rPr>
          <w:rFonts w:ascii="Microsoft Sans Serif" w:hAnsi="Microsoft Sans Serif" w:cs="Microsoft Sans Serif"/>
          <w:b w:val="0"/>
          <w:noProof/>
          <w:snapToGrid w:val="0"/>
          <w:sz w:val="14"/>
          <w:szCs w:val="14"/>
          <w:lang w:val="de-DE"/>
        </w:rPr>
        <w:t xml:space="preserve"> </w:t>
      </w:r>
    </w:p>
    <w:p w14:paraId="76B01F7C" w14:textId="77777777" w:rsidR="005E082B" w:rsidRPr="00FB38E1" w:rsidRDefault="005E082B" w:rsidP="005E082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sz w:val="20"/>
          <w:szCs w:val="20"/>
          <w:lang w:val="es-ES"/>
        </w:rPr>
        <w:t>Bağımsız denetçi / Bağımsız Denetim kuruluşlarından alınan hizmetlere ilişkin ücretler</w:t>
      </w:r>
    </w:p>
    <w:p w14:paraId="5DB4CF8E" w14:textId="77777777" w:rsidR="005E082B" w:rsidRPr="00FB38E1" w:rsidRDefault="005E082B" w:rsidP="005E082B">
      <w:pPr>
        <w:pStyle w:val="BASLIK2"/>
        <w:widowControl/>
        <w:spacing w:before="120" w:line="220" w:lineRule="exact"/>
        <w:ind w:firstLine="0"/>
        <w:rPr>
          <w:rFonts w:ascii="Microsoft Sans Serif" w:hAnsi="Microsoft Sans Serif" w:cs="Microsoft Sans Serif"/>
          <w:b w:val="0"/>
          <w:iCs/>
          <w:color w:val="404040" w:themeColor="text1" w:themeTint="BF"/>
          <w:sz w:val="20"/>
          <w:szCs w:val="20"/>
        </w:rPr>
      </w:pPr>
      <w:r w:rsidRPr="00FB38E1">
        <w:rPr>
          <w:rFonts w:ascii="Microsoft Sans Serif" w:hAnsi="Microsoft Sans Serif" w:cs="Microsoft Sans Serif"/>
          <w:b w:val="0"/>
          <w:iCs/>
          <w:color w:val="404040" w:themeColor="text1" w:themeTint="BF"/>
          <w:sz w:val="20"/>
          <w:szCs w:val="20"/>
        </w:rPr>
        <w:t>KGK’nın 26 Mart 2021 tarihli kararı gereği bağımsız denetçi veya bağımsız denetim kuruluşlarından alınan hizmetlere ilişkin raporlama dönemine ait ücret bilgisi aşağıdaki tabloda verilmiştir.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870"/>
        <w:gridCol w:w="1560"/>
      </w:tblGrid>
      <w:tr w:rsidR="005E082B" w:rsidRPr="00FB38E1" w14:paraId="0E6B1417" w14:textId="77777777" w:rsidTr="00836EF2">
        <w:trPr>
          <w:trHeight w:val="115"/>
        </w:trPr>
        <w:tc>
          <w:tcPr>
            <w:tcW w:w="2702" w:type="pct"/>
            <w:tcBorders>
              <w:top w:val="thinThickSmallGap" w:sz="24" w:space="0" w:color="auto"/>
              <w:bottom w:val="single" w:sz="4" w:space="0" w:color="auto"/>
            </w:tcBorders>
            <w:vAlign w:val="bottom"/>
          </w:tcPr>
          <w:p w14:paraId="7C8B6FFF" w14:textId="77777777" w:rsidR="005E082B" w:rsidRPr="00FB38E1" w:rsidRDefault="005E082B" w:rsidP="00836EF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w:t>
            </w:r>
          </w:p>
        </w:tc>
        <w:tc>
          <w:tcPr>
            <w:tcW w:w="1489" w:type="pct"/>
            <w:tcBorders>
              <w:top w:val="thinThickSmallGap" w:sz="24" w:space="0" w:color="auto"/>
              <w:bottom w:val="single" w:sz="4" w:space="0" w:color="auto"/>
            </w:tcBorders>
            <w:vAlign w:val="bottom"/>
          </w:tcPr>
          <w:p w14:paraId="0C547BAE" w14:textId="77777777" w:rsidR="005E082B" w:rsidRPr="00FB38E1" w:rsidRDefault="005E082B"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809" w:type="pct"/>
            <w:tcBorders>
              <w:top w:val="thinThickSmallGap" w:sz="24" w:space="0" w:color="auto"/>
              <w:bottom w:val="single" w:sz="4" w:space="0" w:color="auto"/>
            </w:tcBorders>
          </w:tcPr>
          <w:p w14:paraId="2019875F" w14:textId="77777777" w:rsidR="005E082B" w:rsidRPr="00FB38E1" w:rsidRDefault="005E082B"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8B6762" w:rsidRPr="00FB38E1" w14:paraId="3340D6DD" w14:textId="77777777" w:rsidTr="00836EF2">
        <w:tc>
          <w:tcPr>
            <w:tcW w:w="2702" w:type="pct"/>
            <w:tcBorders>
              <w:top w:val="single" w:sz="4" w:space="0" w:color="auto"/>
              <w:bottom w:val="nil"/>
            </w:tcBorders>
            <w:vAlign w:val="bottom"/>
          </w:tcPr>
          <w:p w14:paraId="3CEE8242" w14:textId="77777777" w:rsidR="008B6762" w:rsidRPr="00FB38E1" w:rsidRDefault="008B6762" w:rsidP="008B676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Bağımsız denetim ücreti (*)</w:t>
            </w:r>
          </w:p>
        </w:tc>
        <w:tc>
          <w:tcPr>
            <w:tcW w:w="1489" w:type="pct"/>
            <w:tcBorders>
              <w:top w:val="single" w:sz="4" w:space="0" w:color="auto"/>
              <w:bottom w:val="nil"/>
            </w:tcBorders>
            <w:vAlign w:val="center"/>
          </w:tcPr>
          <w:p w14:paraId="2507F7E4" w14:textId="11CC17C8"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31.827</w:t>
            </w:r>
          </w:p>
        </w:tc>
        <w:tc>
          <w:tcPr>
            <w:tcW w:w="809" w:type="pct"/>
            <w:tcBorders>
              <w:top w:val="single" w:sz="4" w:space="0" w:color="auto"/>
              <w:bottom w:val="nil"/>
            </w:tcBorders>
            <w:vAlign w:val="center"/>
          </w:tcPr>
          <w:p w14:paraId="3DBDBE78" w14:textId="461BE7C5"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24.016</w:t>
            </w:r>
          </w:p>
        </w:tc>
      </w:tr>
      <w:tr w:rsidR="008B6762" w:rsidRPr="00FB38E1" w14:paraId="099DCBD0" w14:textId="77777777" w:rsidTr="00836EF2">
        <w:tc>
          <w:tcPr>
            <w:tcW w:w="2702" w:type="pct"/>
            <w:tcBorders>
              <w:top w:val="nil"/>
              <w:bottom w:val="nil"/>
            </w:tcBorders>
            <w:vAlign w:val="bottom"/>
          </w:tcPr>
          <w:p w14:paraId="597FAAE2" w14:textId="77777777" w:rsidR="008B6762" w:rsidRPr="00FB38E1" w:rsidRDefault="008B6762" w:rsidP="008B676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Vergi danışmanlık ücreti</w:t>
            </w:r>
          </w:p>
        </w:tc>
        <w:tc>
          <w:tcPr>
            <w:tcW w:w="1489" w:type="pct"/>
            <w:tcBorders>
              <w:top w:val="nil"/>
              <w:bottom w:val="nil"/>
            </w:tcBorders>
            <w:vAlign w:val="center"/>
          </w:tcPr>
          <w:p w14:paraId="11CB8EB3" w14:textId="38380E67" w:rsidR="008B6762" w:rsidRPr="00FB38E1" w:rsidRDefault="008B6762" w:rsidP="008B6762">
            <w:pPr>
              <w:jc w:val="right"/>
              <w:rPr>
                <w:rFonts w:ascii="Microsoft Sans Serif" w:hAnsi="Microsoft Sans Serif" w:cs="Microsoft Sans Serif"/>
                <w:color w:val="404040"/>
                <w:sz w:val="16"/>
                <w:szCs w:val="16"/>
              </w:rPr>
            </w:pPr>
          </w:p>
        </w:tc>
        <w:tc>
          <w:tcPr>
            <w:tcW w:w="809" w:type="pct"/>
            <w:tcBorders>
              <w:top w:val="nil"/>
              <w:bottom w:val="nil"/>
            </w:tcBorders>
            <w:vAlign w:val="center"/>
          </w:tcPr>
          <w:p w14:paraId="492E2066" w14:textId="4050BD80" w:rsidR="008B6762" w:rsidRPr="00FB38E1" w:rsidRDefault="008B6762" w:rsidP="008B6762">
            <w:pPr>
              <w:jc w:val="right"/>
              <w:rPr>
                <w:rFonts w:ascii="Microsoft Sans Serif" w:hAnsi="Microsoft Sans Serif" w:cs="Microsoft Sans Serif"/>
                <w:i/>
                <w:iCs/>
                <w:color w:val="404040"/>
                <w:sz w:val="16"/>
                <w:szCs w:val="16"/>
              </w:rPr>
            </w:pPr>
            <w:r w:rsidRPr="00FB38E1">
              <w:rPr>
                <w:rFonts w:ascii="Microsoft Sans Serif" w:hAnsi="Microsoft Sans Serif" w:cs="Microsoft Sans Serif"/>
                <w:color w:val="404040"/>
                <w:sz w:val="16"/>
                <w:szCs w:val="16"/>
              </w:rPr>
              <w:t>--</w:t>
            </w:r>
          </w:p>
        </w:tc>
      </w:tr>
      <w:tr w:rsidR="008B6762" w:rsidRPr="00FB38E1" w14:paraId="4F6EAB91" w14:textId="77777777" w:rsidTr="00836EF2">
        <w:tc>
          <w:tcPr>
            <w:tcW w:w="2702" w:type="pct"/>
            <w:tcBorders>
              <w:top w:val="nil"/>
              <w:bottom w:val="nil"/>
            </w:tcBorders>
            <w:vAlign w:val="bottom"/>
          </w:tcPr>
          <w:p w14:paraId="05A0AD7A" w14:textId="77777777" w:rsidR="008B6762" w:rsidRPr="00FB38E1" w:rsidRDefault="008B6762" w:rsidP="008B676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Diğer güvence hizmetleri ücreti</w:t>
            </w:r>
          </w:p>
        </w:tc>
        <w:tc>
          <w:tcPr>
            <w:tcW w:w="1489" w:type="pct"/>
            <w:tcBorders>
              <w:top w:val="nil"/>
              <w:bottom w:val="nil"/>
            </w:tcBorders>
            <w:vAlign w:val="center"/>
          </w:tcPr>
          <w:p w14:paraId="002BDCAB" w14:textId="1EB530A1"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809" w:type="pct"/>
            <w:tcBorders>
              <w:top w:val="nil"/>
              <w:bottom w:val="nil"/>
            </w:tcBorders>
            <w:vAlign w:val="center"/>
          </w:tcPr>
          <w:p w14:paraId="2DBD3A34" w14:textId="52C66034"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765</w:t>
            </w:r>
          </w:p>
        </w:tc>
      </w:tr>
      <w:tr w:rsidR="008B6762" w:rsidRPr="00FB38E1" w14:paraId="5FBB8751" w14:textId="77777777" w:rsidTr="00836EF2">
        <w:tc>
          <w:tcPr>
            <w:tcW w:w="2702" w:type="pct"/>
            <w:tcBorders>
              <w:top w:val="nil"/>
              <w:bottom w:val="single" w:sz="4" w:space="0" w:color="auto"/>
            </w:tcBorders>
            <w:vAlign w:val="bottom"/>
          </w:tcPr>
          <w:p w14:paraId="63B8B742" w14:textId="77777777" w:rsidR="008B6762" w:rsidRPr="00FB38E1" w:rsidRDefault="008B6762" w:rsidP="008B6762">
            <w:pP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Denetim dışı diğer hizmetler ücreti</w:t>
            </w:r>
          </w:p>
        </w:tc>
        <w:tc>
          <w:tcPr>
            <w:tcW w:w="1489" w:type="pct"/>
            <w:tcBorders>
              <w:top w:val="nil"/>
              <w:bottom w:val="single" w:sz="4" w:space="0" w:color="auto"/>
            </w:tcBorders>
            <w:vAlign w:val="center"/>
          </w:tcPr>
          <w:p w14:paraId="405B5A29" w14:textId="21859629"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2.460</w:t>
            </w:r>
          </w:p>
        </w:tc>
        <w:tc>
          <w:tcPr>
            <w:tcW w:w="809" w:type="pct"/>
            <w:tcBorders>
              <w:top w:val="nil"/>
              <w:bottom w:val="single" w:sz="4" w:space="0" w:color="auto"/>
            </w:tcBorders>
            <w:vAlign w:val="center"/>
          </w:tcPr>
          <w:p w14:paraId="0B9EA20D" w14:textId="13D894A9" w:rsidR="008B6762" w:rsidRPr="00FB38E1" w:rsidRDefault="008B6762" w:rsidP="008B676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2.208</w:t>
            </w:r>
          </w:p>
        </w:tc>
      </w:tr>
      <w:tr w:rsidR="008B6762" w:rsidRPr="00FB38E1" w14:paraId="168C6978" w14:textId="77777777" w:rsidTr="00836EF2">
        <w:tc>
          <w:tcPr>
            <w:tcW w:w="2702" w:type="pct"/>
            <w:tcBorders>
              <w:top w:val="single" w:sz="4" w:space="0" w:color="auto"/>
              <w:bottom w:val="thickThinSmallGap" w:sz="24" w:space="0" w:color="auto"/>
            </w:tcBorders>
            <w:vAlign w:val="bottom"/>
          </w:tcPr>
          <w:p w14:paraId="384309EA" w14:textId="77777777" w:rsidR="008B6762" w:rsidRPr="00FB38E1" w:rsidRDefault="008B6762" w:rsidP="008B676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w:t>
            </w:r>
          </w:p>
        </w:tc>
        <w:tc>
          <w:tcPr>
            <w:tcW w:w="1489" w:type="pct"/>
            <w:tcBorders>
              <w:top w:val="single" w:sz="4" w:space="0" w:color="auto"/>
              <w:bottom w:val="thickThinSmallGap" w:sz="24" w:space="0" w:color="auto"/>
            </w:tcBorders>
            <w:vAlign w:val="center"/>
          </w:tcPr>
          <w:p w14:paraId="7EE02787" w14:textId="1B956A4D" w:rsidR="008B6762" w:rsidRPr="00FB38E1" w:rsidRDefault="008B6762" w:rsidP="008B676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34.287</w:t>
            </w:r>
          </w:p>
        </w:tc>
        <w:tc>
          <w:tcPr>
            <w:tcW w:w="809" w:type="pct"/>
            <w:tcBorders>
              <w:top w:val="single" w:sz="4" w:space="0" w:color="auto"/>
              <w:bottom w:val="thickThinSmallGap" w:sz="24" w:space="0" w:color="auto"/>
            </w:tcBorders>
            <w:vAlign w:val="center"/>
          </w:tcPr>
          <w:p w14:paraId="785957DB" w14:textId="061DFD10" w:rsidR="008B6762" w:rsidRPr="00FB38E1" w:rsidRDefault="008B6762" w:rsidP="008B676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26.989</w:t>
            </w:r>
          </w:p>
        </w:tc>
      </w:tr>
    </w:tbl>
    <w:p w14:paraId="23B6CC47" w14:textId="77777777" w:rsidR="005E082B" w:rsidRPr="00FB38E1" w:rsidRDefault="005E082B" w:rsidP="005E082B">
      <w:pPr>
        <w:pStyle w:val="BASLIK2"/>
        <w:widowControl/>
        <w:spacing w:before="60" w:line="240" w:lineRule="exact"/>
        <w:ind w:firstLine="0"/>
        <w:rPr>
          <w:rFonts w:ascii="Microsoft Sans Serif" w:hAnsi="Microsoft Sans Serif" w:cs="Microsoft Sans Serif"/>
          <w:b w:val="0"/>
          <w:sz w:val="16"/>
          <w:szCs w:val="16"/>
          <w:lang w:val="es-ES"/>
        </w:rPr>
      </w:pPr>
      <w:r w:rsidRPr="00FB38E1">
        <w:rPr>
          <w:rFonts w:ascii="Microsoft Sans Serif" w:hAnsi="Microsoft Sans Serif" w:cs="Microsoft Sans Serif"/>
          <w:b w:val="0"/>
          <w:sz w:val="16"/>
          <w:szCs w:val="16"/>
          <w:lang w:val="es-ES"/>
        </w:rPr>
        <w:t>Denetim ücretlerine ilişkin tutarlar konsolide verileri içermektedir.</w:t>
      </w:r>
    </w:p>
    <w:p w14:paraId="66D166A7" w14:textId="655D9F8A" w:rsidR="005E082B" w:rsidRPr="00FB38E1" w:rsidRDefault="005E082B" w:rsidP="00D427D0">
      <w:pPr>
        <w:pStyle w:val="BASLIK2"/>
        <w:widowControl/>
        <w:spacing w:before="60" w:line="240" w:lineRule="auto"/>
        <w:ind w:firstLine="0"/>
        <w:rPr>
          <w:rFonts w:ascii="Microsoft Sans Serif" w:hAnsi="Microsoft Sans Serif" w:cs="Microsoft Sans Serif"/>
          <w:b w:val="0"/>
          <w:sz w:val="16"/>
          <w:szCs w:val="16"/>
          <w:lang w:val="es-ES"/>
        </w:rPr>
      </w:pPr>
      <w:bookmarkStart w:id="77" w:name="_Hlk127209548"/>
      <w:r w:rsidRPr="00FB38E1">
        <w:rPr>
          <w:rFonts w:ascii="Microsoft Sans Serif" w:hAnsi="Microsoft Sans Serif" w:cs="Microsoft Sans Serif"/>
          <w:b w:val="0"/>
          <w:sz w:val="16"/>
          <w:szCs w:val="16"/>
          <w:lang w:val="es-ES"/>
        </w:rPr>
        <w:t>(*) 2024 bağımsız denetim ücreti içinde JSC Denizbank Moskova’ya ait 1.</w:t>
      </w:r>
      <w:r w:rsidR="007F0BAF" w:rsidRPr="00FB38E1">
        <w:rPr>
          <w:rFonts w:ascii="Microsoft Sans Serif" w:hAnsi="Microsoft Sans Serif" w:cs="Microsoft Sans Serif"/>
          <w:b w:val="0"/>
          <w:sz w:val="16"/>
          <w:szCs w:val="16"/>
          <w:lang w:val="es-ES"/>
        </w:rPr>
        <w:t>635</w:t>
      </w:r>
      <w:r w:rsidRPr="00FB38E1">
        <w:rPr>
          <w:rFonts w:ascii="Microsoft Sans Serif" w:hAnsi="Microsoft Sans Serif" w:cs="Microsoft Sans Serif"/>
          <w:b w:val="0"/>
          <w:sz w:val="16"/>
          <w:szCs w:val="16"/>
          <w:lang w:val="es-ES"/>
        </w:rPr>
        <w:t xml:space="preserve"> TL tutarında (2023: 1.513 TL) farklı bir denetim şirketine ödenen tutar da yer almaktadır</w:t>
      </w:r>
      <w:bookmarkEnd w:id="77"/>
      <w:r w:rsidR="002D25A9" w:rsidRPr="00FB38E1">
        <w:rPr>
          <w:rFonts w:ascii="Microsoft Sans Serif" w:hAnsi="Microsoft Sans Serif" w:cs="Microsoft Sans Serif"/>
          <w:b w:val="0"/>
          <w:sz w:val="16"/>
          <w:szCs w:val="16"/>
          <w:lang w:val="es-ES"/>
        </w:rPr>
        <w:t>.</w:t>
      </w:r>
    </w:p>
    <w:p w14:paraId="37735962" w14:textId="23FF639F" w:rsidR="00F72F6B" w:rsidRPr="00FB38E1" w:rsidRDefault="00F72F6B" w:rsidP="00D427D0">
      <w:pPr>
        <w:pStyle w:val="BASLIK2"/>
        <w:widowControl/>
        <w:spacing w:before="60" w:line="240" w:lineRule="auto"/>
        <w:ind w:firstLine="0"/>
        <w:rPr>
          <w:rFonts w:ascii="Microsoft Sans Serif" w:hAnsi="Microsoft Sans Serif" w:cs="Microsoft Sans Serif"/>
          <w:b w:val="0"/>
          <w:sz w:val="16"/>
          <w:szCs w:val="16"/>
          <w:lang w:val="es-ES"/>
        </w:rPr>
      </w:pPr>
      <w:r w:rsidRPr="00FB38E1">
        <w:rPr>
          <w:rFonts w:ascii="Microsoft Sans Serif" w:hAnsi="Microsoft Sans Serif" w:cs="Microsoft Sans Serif"/>
          <w:b w:val="0"/>
          <w:sz w:val="16"/>
          <w:szCs w:val="16"/>
          <w:lang w:val="es-ES"/>
        </w:rPr>
        <w:br w:type="page"/>
      </w:r>
    </w:p>
    <w:p w14:paraId="4984355C" w14:textId="2F22D851" w:rsidR="00A141C7" w:rsidRPr="00FB38E1" w:rsidRDefault="00A141C7"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sz w:val="20"/>
          <w:szCs w:val="20"/>
          <w:lang w:val="es-ES"/>
        </w:rPr>
        <w:t>Sürdürülen faaliyetler vergi</w:t>
      </w:r>
      <w:r w:rsidR="002A24FC" w:rsidRPr="00FB38E1">
        <w:rPr>
          <w:rFonts w:ascii="Microsoft Sans Serif" w:hAnsi="Microsoft Sans Serif" w:cs="Microsoft Sans Serif"/>
          <w:sz w:val="20"/>
          <w:szCs w:val="20"/>
          <w:lang w:val="es-ES"/>
        </w:rPr>
        <w:t xml:space="preserve"> öncesi kar/zararına ilişkin açı</w:t>
      </w:r>
      <w:r w:rsidRPr="00FB38E1">
        <w:rPr>
          <w:rFonts w:ascii="Microsoft Sans Serif" w:hAnsi="Microsoft Sans Serif" w:cs="Microsoft Sans Serif"/>
          <w:sz w:val="20"/>
          <w:szCs w:val="20"/>
          <w:lang w:val="es-ES"/>
        </w:rPr>
        <w:t>klama</w:t>
      </w:r>
    </w:p>
    <w:p w14:paraId="0AA8EED3" w14:textId="18646800" w:rsidR="00E55B46" w:rsidRPr="00FB38E1" w:rsidRDefault="008260B6" w:rsidP="009A29D9">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iCs/>
          <w:color w:val="404040" w:themeColor="text1" w:themeTint="BF"/>
          <w:sz w:val="20"/>
          <w:szCs w:val="20"/>
        </w:rPr>
        <w:t xml:space="preserve">1 Ocak </w:t>
      </w:r>
      <w:r w:rsidR="003514CC" w:rsidRPr="00FB38E1">
        <w:rPr>
          <w:rFonts w:ascii="Microsoft Sans Serif" w:hAnsi="Microsoft Sans Serif" w:cs="Microsoft Sans Serif"/>
          <w:b w:val="0"/>
          <w:iCs/>
          <w:color w:val="404040" w:themeColor="text1" w:themeTint="BF"/>
          <w:sz w:val="20"/>
          <w:szCs w:val="20"/>
        </w:rPr>
        <w:t>–</w:t>
      </w:r>
      <w:r w:rsidRPr="00FB38E1">
        <w:rPr>
          <w:rFonts w:ascii="Microsoft Sans Serif" w:hAnsi="Microsoft Sans Serif" w:cs="Microsoft Sans Serif"/>
          <w:b w:val="0"/>
          <w:iCs/>
          <w:color w:val="404040" w:themeColor="text1" w:themeTint="BF"/>
          <w:sz w:val="20"/>
          <w:szCs w:val="20"/>
        </w:rPr>
        <w:t xml:space="preserve"> </w:t>
      </w:r>
      <w:r w:rsidR="00AD2A6F" w:rsidRPr="00FB38E1">
        <w:rPr>
          <w:rFonts w:ascii="Microsoft Sans Serif" w:hAnsi="Microsoft Sans Serif" w:cs="Microsoft Sans Serif"/>
          <w:b w:val="0"/>
          <w:iCs/>
          <w:color w:val="404040" w:themeColor="text1" w:themeTint="BF"/>
          <w:sz w:val="20"/>
          <w:szCs w:val="20"/>
        </w:rPr>
        <w:t xml:space="preserve">31 Aralık 2024 </w:t>
      </w:r>
      <w:r w:rsidRPr="00FB38E1">
        <w:rPr>
          <w:rFonts w:ascii="Microsoft Sans Serif" w:hAnsi="Microsoft Sans Serif" w:cs="Microsoft Sans Serif"/>
          <w:b w:val="0"/>
          <w:iCs/>
          <w:color w:val="404040" w:themeColor="text1" w:themeTint="BF"/>
          <w:sz w:val="20"/>
          <w:szCs w:val="20"/>
        </w:rPr>
        <w:t xml:space="preserve">dönemine ait sürdürülen faaliyet vergi öncesi karı </w:t>
      </w:r>
      <w:r w:rsidR="00F72F6B" w:rsidRPr="00FB38E1">
        <w:rPr>
          <w:rFonts w:ascii="Microsoft Sans Serif" w:hAnsi="Microsoft Sans Serif" w:cs="Microsoft Sans Serif"/>
          <w:b w:val="0"/>
          <w:iCs/>
          <w:color w:val="404040" w:themeColor="text1" w:themeTint="BF"/>
          <w:sz w:val="20"/>
          <w:szCs w:val="20"/>
        </w:rPr>
        <w:t>51.883.057</w:t>
      </w:r>
      <w:r w:rsidRPr="00FB38E1">
        <w:rPr>
          <w:rFonts w:ascii="Microsoft Sans Serif" w:hAnsi="Microsoft Sans Serif" w:cs="Microsoft Sans Serif"/>
          <w:b w:val="0"/>
          <w:iCs/>
          <w:color w:val="404040" w:themeColor="text1" w:themeTint="BF"/>
          <w:sz w:val="20"/>
          <w:szCs w:val="20"/>
        </w:rPr>
        <w:t xml:space="preserve"> TL</w:t>
      </w:r>
      <w:r w:rsidR="00395AFE" w:rsidRPr="00FB38E1">
        <w:rPr>
          <w:rFonts w:ascii="Microsoft Sans Serif" w:hAnsi="Microsoft Sans Serif" w:cs="Microsoft Sans Serif"/>
          <w:b w:val="0"/>
          <w:iCs/>
          <w:color w:val="404040" w:themeColor="text1" w:themeTint="BF"/>
          <w:sz w:val="20"/>
          <w:szCs w:val="20"/>
        </w:rPr>
        <w:t xml:space="preserve"> </w:t>
      </w:r>
      <w:r w:rsidRPr="00FB38E1">
        <w:rPr>
          <w:rFonts w:ascii="Microsoft Sans Serif" w:hAnsi="Microsoft Sans Serif" w:cs="Microsoft Sans Serif"/>
          <w:b w:val="0"/>
          <w:iCs/>
          <w:color w:val="404040" w:themeColor="text1" w:themeTint="BF"/>
          <w:sz w:val="20"/>
          <w:szCs w:val="20"/>
        </w:rPr>
        <w:t>tutarındadır</w:t>
      </w:r>
      <w:r w:rsidR="00C22E57" w:rsidRPr="00FB38E1">
        <w:rPr>
          <w:rFonts w:ascii="Microsoft Sans Serif" w:hAnsi="Microsoft Sans Serif" w:cs="Microsoft Sans Serif"/>
          <w:b w:val="0"/>
          <w:iCs/>
          <w:color w:val="404040" w:themeColor="text1" w:themeTint="BF"/>
          <w:sz w:val="20"/>
          <w:szCs w:val="20"/>
        </w:rPr>
        <w:t xml:space="preserve"> </w:t>
      </w:r>
      <w:r w:rsidR="00785756" w:rsidRPr="00FB38E1">
        <w:rPr>
          <w:rFonts w:ascii="Microsoft Sans Serif" w:hAnsi="Microsoft Sans Serif" w:cs="Microsoft Sans Serif"/>
          <w:b w:val="0"/>
          <w:iCs/>
          <w:color w:val="404040" w:themeColor="text1" w:themeTint="BF"/>
          <w:sz w:val="20"/>
          <w:szCs w:val="20"/>
        </w:rPr>
        <w:t xml:space="preserve">(1 Ocak – </w:t>
      </w:r>
      <w:r w:rsidR="00B700A0" w:rsidRPr="00FB38E1">
        <w:rPr>
          <w:rFonts w:ascii="Microsoft Sans Serif" w:hAnsi="Microsoft Sans Serif" w:cs="Microsoft Sans Serif"/>
          <w:b w:val="0"/>
          <w:iCs/>
          <w:color w:val="404040" w:themeColor="text1" w:themeTint="BF"/>
          <w:sz w:val="20"/>
          <w:szCs w:val="20"/>
        </w:rPr>
        <w:t>31 Aralık 2023</w:t>
      </w:r>
      <w:r w:rsidR="007C5448" w:rsidRPr="00FB38E1">
        <w:rPr>
          <w:rFonts w:ascii="Microsoft Sans Serif" w:hAnsi="Microsoft Sans Serif" w:cs="Microsoft Sans Serif"/>
          <w:b w:val="0"/>
          <w:iCs/>
          <w:color w:val="404040" w:themeColor="text1" w:themeTint="BF"/>
          <w:sz w:val="20"/>
          <w:szCs w:val="20"/>
        </w:rPr>
        <w:t xml:space="preserve">: </w:t>
      </w:r>
      <w:r w:rsidR="005E082B" w:rsidRPr="00FB38E1">
        <w:rPr>
          <w:rFonts w:ascii="Microsoft Sans Serif" w:hAnsi="Microsoft Sans Serif" w:cs="Microsoft Sans Serif"/>
          <w:b w:val="0"/>
          <w:iCs/>
          <w:color w:val="404040" w:themeColor="text1" w:themeTint="BF"/>
          <w:sz w:val="20"/>
          <w:szCs w:val="20"/>
        </w:rPr>
        <w:t xml:space="preserve">34.792.696 </w:t>
      </w:r>
      <w:r w:rsidR="0088500B" w:rsidRPr="00FB38E1">
        <w:rPr>
          <w:rFonts w:ascii="Microsoft Sans Serif" w:hAnsi="Microsoft Sans Serif" w:cs="Microsoft Sans Serif"/>
          <w:b w:val="0"/>
          <w:iCs/>
          <w:color w:val="404040" w:themeColor="text1" w:themeTint="BF"/>
          <w:sz w:val="20"/>
          <w:szCs w:val="20"/>
        </w:rPr>
        <w:t>TL</w:t>
      </w:r>
      <w:r w:rsidR="007C5448" w:rsidRPr="00FB38E1">
        <w:rPr>
          <w:rFonts w:ascii="Microsoft Sans Serif" w:hAnsi="Microsoft Sans Serif" w:cs="Microsoft Sans Serif"/>
          <w:b w:val="0"/>
          <w:iCs/>
          <w:color w:val="404040" w:themeColor="text1" w:themeTint="BF"/>
          <w:sz w:val="20"/>
          <w:szCs w:val="20"/>
        </w:rPr>
        <w:t>)</w:t>
      </w:r>
      <w:r w:rsidR="00E55B46" w:rsidRPr="00FB38E1">
        <w:rPr>
          <w:rFonts w:ascii="Microsoft Sans Serif" w:hAnsi="Microsoft Sans Serif" w:cs="Microsoft Sans Serif"/>
          <w:b w:val="0"/>
          <w:color w:val="404040" w:themeColor="text1" w:themeTint="BF"/>
          <w:sz w:val="20"/>
          <w:szCs w:val="20"/>
        </w:rPr>
        <w:t>.</w:t>
      </w:r>
    </w:p>
    <w:p w14:paraId="3ECE6A45" w14:textId="39163FAE" w:rsidR="00991349" w:rsidRPr="00FB38E1" w:rsidRDefault="00754826" w:rsidP="009A29D9">
      <w:pPr>
        <w:pStyle w:val="BASLIK2"/>
        <w:widowControl/>
        <w:spacing w:before="120" w:after="0" w:line="220" w:lineRule="exact"/>
        <w:ind w:firstLine="0"/>
        <w:rPr>
          <w:rFonts w:ascii="Microsoft Sans Serif" w:hAnsi="Microsoft Sans Serif" w:cs="Microsoft Sans Serif"/>
          <w:b w:val="0"/>
          <w:noProof/>
          <w:snapToGrid w:val="0"/>
          <w:sz w:val="20"/>
          <w:szCs w:val="20"/>
          <w:lang w:val="de-DE"/>
        </w:rPr>
      </w:pPr>
      <w:r w:rsidRPr="00FB38E1">
        <w:rPr>
          <w:rFonts w:ascii="Microsoft Sans Serif" w:hAnsi="Microsoft Sans Serif" w:cs="Microsoft Sans Serif"/>
          <w:b w:val="0"/>
          <w:color w:val="404040" w:themeColor="text1" w:themeTint="BF"/>
          <w:sz w:val="20"/>
          <w:szCs w:val="20"/>
        </w:rPr>
        <w:t xml:space="preserve">1 Ocak – </w:t>
      </w:r>
      <w:r w:rsidR="00AD2A6F" w:rsidRPr="00FB38E1">
        <w:rPr>
          <w:rFonts w:ascii="Microsoft Sans Serif" w:hAnsi="Microsoft Sans Serif" w:cs="Microsoft Sans Serif"/>
          <w:b w:val="0"/>
          <w:color w:val="404040" w:themeColor="text1" w:themeTint="BF"/>
          <w:sz w:val="20"/>
          <w:szCs w:val="20"/>
        </w:rPr>
        <w:t xml:space="preserve">31 Aralık 2024 </w:t>
      </w:r>
      <w:r w:rsidRPr="00FB38E1">
        <w:rPr>
          <w:rFonts w:ascii="Microsoft Sans Serif" w:hAnsi="Microsoft Sans Serif" w:cs="Microsoft Sans Serif"/>
          <w:b w:val="0"/>
          <w:color w:val="404040" w:themeColor="text1" w:themeTint="BF"/>
          <w:sz w:val="20"/>
          <w:szCs w:val="20"/>
        </w:rPr>
        <w:t>dönemine ait durdurulan faaliyetler ve</w:t>
      </w:r>
      <w:r w:rsidR="00395AFE" w:rsidRPr="00FB38E1">
        <w:rPr>
          <w:rFonts w:ascii="Microsoft Sans Serif" w:hAnsi="Microsoft Sans Serif" w:cs="Microsoft Sans Serif"/>
          <w:b w:val="0"/>
          <w:color w:val="404040" w:themeColor="text1" w:themeTint="BF"/>
          <w:sz w:val="20"/>
          <w:szCs w:val="20"/>
        </w:rPr>
        <w:t xml:space="preserve">rgi öncesi </w:t>
      </w:r>
      <w:r w:rsidR="004449D4" w:rsidRPr="00FB38E1">
        <w:rPr>
          <w:rFonts w:ascii="Microsoft Sans Serif" w:hAnsi="Microsoft Sans Serif" w:cs="Microsoft Sans Serif"/>
          <w:b w:val="0"/>
          <w:color w:val="404040" w:themeColor="text1" w:themeTint="BF"/>
          <w:sz w:val="20"/>
          <w:szCs w:val="20"/>
        </w:rPr>
        <w:t>karı</w:t>
      </w:r>
      <w:r w:rsidR="00395AFE" w:rsidRPr="00FB38E1">
        <w:rPr>
          <w:rFonts w:ascii="Microsoft Sans Serif" w:hAnsi="Microsoft Sans Serif" w:cs="Microsoft Sans Serif"/>
          <w:b w:val="0"/>
          <w:color w:val="404040" w:themeColor="text1" w:themeTint="BF"/>
          <w:sz w:val="20"/>
          <w:szCs w:val="20"/>
        </w:rPr>
        <w:t xml:space="preserve"> </w:t>
      </w:r>
      <w:r w:rsidR="00445C52" w:rsidRPr="00FB38E1">
        <w:rPr>
          <w:rFonts w:ascii="Microsoft Sans Serif" w:hAnsi="Microsoft Sans Serif" w:cs="Microsoft Sans Serif"/>
          <w:b w:val="0"/>
          <w:color w:val="404040" w:themeColor="text1" w:themeTint="BF"/>
          <w:sz w:val="20"/>
          <w:szCs w:val="20"/>
        </w:rPr>
        <w:t>bulunmamaktadır</w:t>
      </w:r>
      <w:r w:rsidR="004677E8" w:rsidRPr="00FB38E1">
        <w:rPr>
          <w:rFonts w:ascii="Microsoft Sans Serif" w:hAnsi="Microsoft Sans Serif" w:cs="Microsoft Sans Serif"/>
          <w:b w:val="0"/>
          <w:color w:val="404040" w:themeColor="text1" w:themeTint="BF"/>
          <w:sz w:val="20"/>
          <w:szCs w:val="20"/>
        </w:rPr>
        <w:t xml:space="preserve"> </w:t>
      </w:r>
      <w:r w:rsidR="00FF0057" w:rsidRPr="00FB38E1">
        <w:rPr>
          <w:rFonts w:ascii="Microsoft Sans Serif" w:hAnsi="Microsoft Sans Serif" w:cs="Microsoft Sans Serif"/>
          <w:b w:val="0"/>
          <w:iCs/>
          <w:color w:val="404040" w:themeColor="text1" w:themeTint="BF"/>
          <w:sz w:val="20"/>
          <w:szCs w:val="20"/>
        </w:rPr>
        <w:t xml:space="preserve">(1 Ocak – </w:t>
      </w:r>
      <w:r w:rsidR="00B700A0" w:rsidRPr="00FB38E1">
        <w:rPr>
          <w:rFonts w:ascii="Microsoft Sans Serif" w:hAnsi="Microsoft Sans Serif" w:cs="Microsoft Sans Serif"/>
          <w:b w:val="0"/>
          <w:iCs/>
          <w:color w:val="404040" w:themeColor="text1" w:themeTint="BF"/>
          <w:sz w:val="20"/>
          <w:szCs w:val="20"/>
        </w:rPr>
        <w:t>31 Aralık 2023</w:t>
      </w:r>
      <w:r w:rsidR="004677E8" w:rsidRPr="00FB38E1">
        <w:rPr>
          <w:rFonts w:ascii="Microsoft Sans Serif" w:hAnsi="Microsoft Sans Serif" w:cs="Microsoft Sans Serif"/>
          <w:b w:val="0"/>
          <w:iCs/>
          <w:color w:val="404040" w:themeColor="text1" w:themeTint="BF"/>
          <w:sz w:val="20"/>
          <w:szCs w:val="20"/>
        </w:rPr>
        <w:t>:</w:t>
      </w:r>
      <w:r w:rsidR="00313F3C" w:rsidRPr="00FB38E1">
        <w:rPr>
          <w:rFonts w:ascii="Microsoft Sans Serif" w:hAnsi="Microsoft Sans Serif" w:cs="Microsoft Sans Serif"/>
          <w:b w:val="0"/>
          <w:iCs/>
          <w:color w:val="404040" w:themeColor="text1" w:themeTint="BF"/>
          <w:sz w:val="20"/>
          <w:szCs w:val="20"/>
        </w:rPr>
        <w:t xml:space="preserve"> </w:t>
      </w:r>
      <w:r w:rsidR="005E082B" w:rsidRPr="00FB38E1">
        <w:rPr>
          <w:rFonts w:ascii="Microsoft Sans Serif" w:hAnsi="Microsoft Sans Serif" w:cs="Microsoft Sans Serif"/>
          <w:b w:val="0"/>
          <w:color w:val="404040" w:themeColor="text1" w:themeTint="BF"/>
          <w:sz w:val="20"/>
          <w:szCs w:val="20"/>
        </w:rPr>
        <w:t xml:space="preserve">208.074 </w:t>
      </w:r>
      <w:r w:rsidR="00BB6B43" w:rsidRPr="00FB38E1">
        <w:rPr>
          <w:rFonts w:ascii="Microsoft Sans Serif" w:hAnsi="Microsoft Sans Serif" w:cs="Microsoft Sans Serif"/>
          <w:b w:val="0"/>
          <w:iCs/>
          <w:color w:val="404040" w:themeColor="text1" w:themeTint="BF"/>
          <w:sz w:val="20"/>
          <w:szCs w:val="20"/>
        </w:rPr>
        <w:t>TL</w:t>
      </w:r>
      <w:r w:rsidR="00165D12" w:rsidRPr="00FB38E1">
        <w:rPr>
          <w:rFonts w:ascii="Microsoft Sans Serif" w:hAnsi="Microsoft Sans Serif" w:cs="Microsoft Sans Serif"/>
          <w:b w:val="0"/>
          <w:iCs/>
          <w:color w:val="404040" w:themeColor="text1" w:themeTint="BF"/>
          <w:sz w:val="20"/>
          <w:szCs w:val="20"/>
        </w:rPr>
        <w:t xml:space="preserve"> zarar</w:t>
      </w:r>
      <w:r w:rsidR="004677E8" w:rsidRPr="00FB38E1">
        <w:rPr>
          <w:rFonts w:ascii="Microsoft Sans Serif" w:hAnsi="Microsoft Sans Serif" w:cs="Microsoft Sans Serif"/>
          <w:b w:val="0"/>
          <w:iCs/>
          <w:color w:val="404040" w:themeColor="text1" w:themeTint="BF"/>
          <w:sz w:val="20"/>
          <w:szCs w:val="20"/>
        </w:rPr>
        <w:t>)</w:t>
      </w:r>
      <w:r w:rsidR="004677E8" w:rsidRPr="00FB38E1">
        <w:rPr>
          <w:rFonts w:ascii="Microsoft Sans Serif" w:hAnsi="Microsoft Sans Serif" w:cs="Microsoft Sans Serif"/>
          <w:b w:val="0"/>
          <w:color w:val="404040" w:themeColor="text1" w:themeTint="BF"/>
          <w:sz w:val="20"/>
          <w:szCs w:val="20"/>
        </w:rPr>
        <w:t>.</w:t>
      </w:r>
      <w:r w:rsidR="004749B3" w:rsidRPr="00FB38E1">
        <w:rPr>
          <w:rFonts w:ascii="Microsoft Sans Serif" w:hAnsi="Microsoft Sans Serif" w:cs="Microsoft Sans Serif"/>
          <w:b w:val="0"/>
          <w:noProof/>
          <w:snapToGrid w:val="0"/>
          <w:sz w:val="20"/>
          <w:szCs w:val="20"/>
          <w:lang w:val="de-DE"/>
        </w:rPr>
        <w:t xml:space="preserve"> </w:t>
      </w:r>
    </w:p>
    <w:p w14:paraId="0DDEDAA4" w14:textId="389EE0ED" w:rsidR="00E55B46" w:rsidRPr="00FB38E1" w:rsidRDefault="00E55B46" w:rsidP="00076C9E">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sz w:val="20"/>
          <w:szCs w:val="20"/>
          <w:lang w:val="es-ES"/>
        </w:rPr>
        <w:t>Sürdürülen faaliyetler ile durdurulan faaliyetler vergi karşılığına ilişkin açıklama</w:t>
      </w:r>
    </w:p>
    <w:p w14:paraId="39766BB8" w14:textId="77777777" w:rsidR="00E55B46" w:rsidRPr="00FB38E1" w:rsidRDefault="00E55B46" w:rsidP="00076C9E">
      <w:pPr>
        <w:pStyle w:val="BASLIK2"/>
        <w:widowControl/>
        <w:numPr>
          <w:ilvl w:val="0"/>
          <w:numId w:val="38"/>
        </w:numPr>
        <w:spacing w:before="180" w:line="240" w:lineRule="exact"/>
        <w:ind w:left="0" w:hanging="425"/>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iCs/>
          <w:sz w:val="20"/>
          <w:szCs w:val="20"/>
          <w:lang w:val="it-IT"/>
        </w:rPr>
        <w:t>Hesaplanan cari vergi geliri ya da gideri ile ertelenmiş vergi geliri ya da gideri</w:t>
      </w:r>
    </w:p>
    <w:p w14:paraId="0F0F36C8" w14:textId="1CA7E89D" w:rsidR="00E55B46" w:rsidRPr="00FB38E1" w:rsidRDefault="00642BAC" w:rsidP="009A29D9">
      <w:pPr>
        <w:pStyle w:val="YAZI"/>
        <w:spacing w:before="120" w:after="0" w:line="220" w:lineRule="exact"/>
        <w:rPr>
          <w:rFonts w:ascii="Microsoft Sans Serif" w:hAnsi="Microsoft Sans Serif" w:cs="Microsoft Sans Serif"/>
          <w:color w:val="404040" w:themeColor="text1" w:themeTint="BF"/>
          <w:sz w:val="20"/>
          <w:szCs w:val="20"/>
          <w:lang w:val="it-IT"/>
        </w:rPr>
      </w:pPr>
      <w:r w:rsidRPr="00FB38E1">
        <w:rPr>
          <w:rFonts w:ascii="Microsoft Sans Serif" w:hAnsi="Microsoft Sans Serif" w:cs="Microsoft Sans Serif"/>
          <w:color w:val="404040" w:themeColor="text1" w:themeTint="BF"/>
          <w:sz w:val="20"/>
          <w:szCs w:val="20"/>
          <w:lang w:val="it-IT"/>
        </w:rPr>
        <w:t>1 Ocak</w:t>
      </w:r>
      <w:r w:rsidR="00B66E68" w:rsidRPr="00FB38E1">
        <w:rPr>
          <w:rFonts w:ascii="Microsoft Sans Serif" w:hAnsi="Microsoft Sans Serif" w:cs="Microsoft Sans Serif"/>
          <w:color w:val="404040" w:themeColor="text1" w:themeTint="BF"/>
          <w:sz w:val="20"/>
          <w:szCs w:val="20"/>
          <w:lang w:val="it-IT"/>
        </w:rPr>
        <w:t xml:space="preserve"> </w:t>
      </w:r>
      <w:r w:rsidR="003514CC" w:rsidRPr="00FB38E1">
        <w:rPr>
          <w:rFonts w:ascii="Microsoft Sans Serif" w:hAnsi="Microsoft Sans Serif" w:cs="Microsoft Sans Serif"/>
          <w:color w:val="404040" w:themeColor="text1" w:themeTint="BF"/>
          <w:sz w:val="20"/>
          <w:szCs w:val="20"/>
          <w:lang w:val="it-IT"/>
        </w:rPr>
        <w:t>–</w:t>
      </w:r>
      <w:r w:rsidR="00B66E68" w:rsidRPr="00FB38E1">
        <w:rPr>
          <w:rFonts w:ascii="Microsoft Sans Serif" w:hAnsi="Microsoft Sans Serif" w:cs="Microsoft Sans Serif"/>
          <w:color w:val="404040" w:themeColor="text1" w:themeTint="BF"/>
          <w:sz w:val="20"/>
          <w:szCs w:val="20"/>
          <w:lang w:val="it-IT"/>
        </w:rPr>
        <w:t xml:space="preserve"> </w:t>
      </w:r>
      <w:r w:rsidR="00AD2A6F" w:rsidRPr="00FB38E1">
        <w:rPr>
          <w:rFonts w:ascii="Microsoft Sans Serif" w:hAnsi="Microsoft Sans Serif" w:cs="Microsoft Sans Serif"/>
          <w:color w:val="404040" w:themeColor="text1" w:themeTint="BF"/>
          <w:sz w:val="20"/>
          <w:szCs w:val="20"/>
          <w:lang w:val="it-IT"/>
        </w:rPr>
        <w:t xml:space="preserve">31 Aralık 2024 </w:t>
      </w:r>
      <w:r w:rsidR="008260B6" w:rsidRPr="00FB38E1">
        <w:rPr>
          <w:rFonts w:ascii="Microsoft Sans Serif" w:hAnsi="Microsoft Sans Serif" w:cs="Microsoft Sans Serif"/>
          <w:color w:val="404040" w:themeColor="text1" w:themeTint="BF"/>
          <w:sz w:val="20"/>
          <w:szCs w:val="20"/>
          <w:lang w:val="it-IT"/>
        </w:rPr>
        <w:t xml:space="preserve">dönemine ait sürdürülen faaliyetler cari vergi gideri </w:t>
      </w:r>
      <w:r w:rsidR="00F72F6B" w:rsidRPr="00FB38E1">
        <w:rPr>
          <w:rFonts w:ascii="Microsoft Sans Serif" w:hAnsi="Microsoft Sans Serif" w:cs="Microsoft Sans Serif"/>
          <w:color w:val="404040" w:themeColor="text1" w:themeTint="BF"/>
          <w:sz w:val="20"/>
          <w:szCs w:val="20"/>
          <w:lang w:val="it-IT"/>
        </w:rPr>
        <w:t>6.724.275</w:t>
      </w:r>
      <w:r w:rsidR="00D54A6D" w:rsidRPr="00FB38E1">
        <w:rPr>
          <w:rFonts w:ascii="Microsoft Sans Serif" w:hAnsi="Microsoft Sans Serif" w:cs="Microsoft Sans Serif"/>
          <w:color w:val="404040" w:themeColor="text1" w:themeTint="BF"/>
          <w:sz w:val="20"/>
          <w:szCs w:val="20"/>
          <w:lang w:val="it-IT"/>
        </w:rPr>
        <w:t xml:space="preserve"> TL tutarındadır</w:t>
      </w:r>
      <w:r w:rsidR="008260B6" w:rsidRPr="00FB38E1">
        <w:rPr>
          <w:rFonts w:ascii="Microsoft Sans Serif" w:hAnsi="Microsoft Sans Serif" w:cs="Microsoft Sans Serif"/>
          <w:color w:val="404040" w:themeColor="text1" w:themeTint="BF"/>
          <w:sz w:val="20"/>
          <w:szCs w:val="20"/>
          <w:lang w:val="it-IT"/>
        </w:rPr>
        <w:t xml:space="preserve"> </w:t>
      </w:r>
      <w:r w:rsidR="00B66E68" w:rsidRPr="00FB38E1">
        <w:rPr>
          <w:rFonts w:ascii="Microsoft Sans Serif" w:hAnsi="Microsoft Sans Serif" w:cs="Microsoft Sans Serif"/>
          <w:color w:val="404040" w:themeColor="text1" w:themeTint="BF"/>
          <w:sz w:val="20"/>
          <w:szCs w:val="20"/>
          <w:lang w:val="it-IT"/>
        </w:rPr>
        <w:br/>
      </w:r>
      <w:r w:rsidR="007C5448" w:rsidRPr="00FB38E1">
        <w:rPr>
          <w:rFonts w:ascii="Microsoft Sans Serif" w:hAnsi="Microsoft Sans Serif" w:cs="Microsoft Sans Serif"/>
          <w:color w:val="404040" w:themeColor="text1" w:themeTint="BF"/>
          <w:sz w:val="20"/>
          <w:szCs w:val="20"/>
          <w:lang w:val="it-IT"/>
        </w:rPr>
        <w:t xml:space="preserve">(1 Ocak – </w:t>
      </w:r>
      <w:r w:rsidR="00B700A0" w:rsidRPr="00FB38E1">
        <w:rPr>
          <w:rFonts w:ascii="Microsoft Sans Serif" w:hAnsi="Microsoft Sans Serif" w:cs="Microsoft Sans Serif"/>
          <w:color w:val="404040" w:themeColor="text1" w:themeTint="BF"/>
          <w:sz w:val="20"/>
          <w:szCs w:val="20"/>
          <w:lang w:val="it-IT"/>
        </w:rPr>
        <w:t>31 Aralık 2023</w:t>
      </w:r>
      <w:r w:rsidR="007C5448" w:rsidRPr="00FB38E1">
        <w:rPr>
          <w:rFonts w:ascii="Microsoft Sans Serif" w:hAnsi="Microsoft Sans Serif" w:cs="Microsoft Sans Serif"/>
          <w:color w:val="404040" w:themeColor="text1" w:themeTint="BF"/>
          <w:sz w:val="20"/>
          <w:szCs w:val="20"/>
          <w:lang w:val="it-IT"/>
        </w:rPr>
        <w:t xml:space="preserve">: </w:t>
      </w:r>
      <w:r w:rsidR="005E082B" w:rsidRPr="00FB38E1">
        <w:rPr>
          <w:rFonts w:ascii="Microsoft Sans Serif" w:hAnsi="Microsoft Sans Serif" w:cs="Microsoft Sans Serif"/>
          <w:color w:val="404040" w:themeColor="text1" w:themeTint="BF"/>
          <w:sz w:val="20"/>
          <w:szCs w:val="20"/>
          <w:lang w:val="it-IT"/>
        </w:rPr>
        <w:t xml:space="preserve">326.714 </w:t>
      </w:r>
      <w:r w:rsidR="002167A5" w:rsidRPr="00FB38E1">
        <w:rPr>
          <w:rFonts w:ascii="Microsoft Sans Serif" w:hAnsi="Microsoft Sans Serif" w:cs="Microsoft Sans Serif"/>
          <w:color w:val="404040" w:themeColor="text1" w:themeTint="BF"/>
          <w:sz w:val="20"/>
          <w:szCs w:val="20"/>
          <w:lang w:val="it-IT"/>
        </w:rPr>
        <w:t>TL</w:t>
      </w:r>
      <w:r w:rsidR="00785DE6" w:rsidRPr="00FB38E1">
        <w:rPr>
          <w:rFonts w:ascii="Microsoft Sans Serif" w:hAnsi="Microsoft Sans Serif" w:cs="Microsoft Sans Serif"/>
          <w:color w:val="404040" w:themeColor="text1" w:themeTint="BF"/>
          <w:sz w:val="20"/>
          <w:szCs w:val="20"/>
          <w:lang w:val="it-IT"/>
        </w:rPr>
        <w:t>).</w:t>
      </w:r>
      <w:r w:rsidR="007C5448" w:rsidRPr="00FB38E1">
        <w:rPr>
          <w:rFonts w:ascii="Microsoft Sans Serif" w:hAnsi="Microsoft Sans Serif" w:cs="Microsoft Sans Serif"/>
          <w:color w:val="404040" w:themeColor="text1" w:themeTint="BF"/>
          <w:sz w:val="20"/>
          <w:szCs w:val="20"/>
          <w:lang w:val="it-IT"/>
        </w:rPr>
        <w:t xml:space="preserve"> </w:t>
      </w:r>
      <w:r w:rsidR="00785DE6" w:rsidRPr="00FB38E1">
        <w:rPr>
          <w:rFonts w:ascii="Microsoft Sans Serif" w:hAnsi="Microsoft Sans Serif" w:cs="Microsoft Sans Serif"/>
          <w:color w:val="404040" w:themeColor="text1" w:themeTint="BF"/>
          <w:sz w:val="20"/>
          <w:szCs w:val="20"/>
          <w:lang w:val="it-IT"/>
        </w:rPr>
        <w:t>E</w:t>
      </w:r>
      <w:r w:rsidR="00023A61" w:rsidRPr="00FB38E1">
        <w:rPr>
          <w:rFonts w:ascii="Microsoft Sans Serif" w:hAnsi="Microsoft Sans Serif" w:cs="Microsoft Sans Serif"/>
          <w:color w:val="404040" w:themeColor="text1" w:themeTint="BF"/>
          <w:sz w:val="20"/>
          <w:szCs w:val="20"/>
          <w:lang w:val="it-IT"/>
        </w:rPr>
        <w:t xml:space="preserve">rtelenmiş vergi gideri </w:t>
      </w:r>
      <w:r w:rsidR="00F72F6B" w:rsidRPr="00FB38E1">
        <w:rPr>
          <w:rFonts w:ascii="Microsoft Sans Serif" w:hAnsi="Microsoft Sans Serif" w:cs="Microsoft Sans Serif"/>
          <w:color w:val="404040" w:themeColor="text1" w:themeTint="BF"/>
          <w:sz w:val="20"/>
          <w:szCs w:val="20"/>
          <w:lang w:val="it-IT"/>
        </w:rPr>
        <w:t>16.237.636</w:t>
      </w:r>
      <w:r w:rsidR="00023A61" w:rsidRPr="00FB38E1">
        <w:rPr>
          <w:rFonts w:ascii="Microsoft Sans Serif" w:hAnsi="Microsoft Sans Serif" w:cs="Microsoft Sans Serif"/>
          <w:color w:val="404040" w:themeColor="text1" w:themeTint="BF"/>
          <w:sz w:val="20"/>
          <w:szCs w:val="20"/>
          <w:lang w:val="it-IT"/>
        </w:rPr>
        <w:t xml:space="preserve"> TL</w:t>
      </w:r>
      <w:r w:rsidR="00C7228C" w:rsidRPr="00FB38E1">
        <w:rPr>
          <w:rFonts w:ascii="Microsoft Sans Serif" w:hAnsi="Microsoft Sans Serif" w:cs="Microsoft Sans Serif"/>
          <w:color w:val="404040" w:themeColor="text1" w:themeTint="BF"/>
          <w:sz w:val="20"/>
          <w:szCs w:val="20"/>
          <w:lang w:val="it-IT"/>
        </w:rPr>
        <w:t xml:space="preserve"> (1 Ocak – </w:t>
      </w:r>
      <w:r w:rsidR="00B700A0" w:rsidRPr="00FB38E1">
        <w:rPr>
          <w:rFonts w:ascii="Microsoft Sans Serif" w:hAnsi="Microsoft Sans Serif" w:cs="Microsoft Sans Serif"/>
          <w:color w:val="404040" w:themeColor="text1" w:themeTint="BF"/>
          <w:sz w:val="20"/>
          <w:szCs w:val="20"/>
          <w:lang w:val="it-IT"/>
        </w:rPr>
        <w:t>31 Aralık 2023</w:t>
      </w:r>
      <w:r w:rsidR="003D1E22" w:rsidRPr="00FB38E1">
        <w:rPr>
          <w:rFonts w:ascii="Microsoft Sans Serif" w:hAnsi="Microsoft Sans Serif" w:cs="Microsoft Sans Serif"/>
          <w:color w:val="404040" w:themeColor="text1" w:themeTint="BF"/>
          <w:sz w:val="20"/>
          <w:szCs w:val="20"/>
          <w:lang w:val="it-IT"/>
        </w:rPr>
        <w:t xml:space="preserve">: </w:t>
      </w:r>
      <w:r w:rsidR="005E082B" w:rsidRPr="00FB38E1">
        <w:rPr>
          <w:rFonts w:ascii="Microsoft Sans Serif" w:hAnsi="Microsoft Sans Serif" w:cs="Microsoft Sans Serif"/>
          <w:color w:val="404040" w:themeColor="text1" w:themeTint="BF"/>
          <w:sz w:val="20"/>
          <w:szCs w:val="20"/>
          <w:lang w:val="it-IT"/>
        </w:rPr>
        <w:t xml:space="preserve">25.050.261 </w:t>
      </w:r>
      <w:r w:rsidR="003D1E22" w:rsidRPr="00FB38E1">
        <w:rPr>
          <w:rFonts w:ascii="Microsoft Sans Serif" w:hAnsi="Microsoft Sans Serif" w:cs="Microsoft Sans Serif"/>
          <w:color w:val="404040" w:themeColor="text1" w:themeTint="BF"/>
          <w:sz w:val="20"/>
          <w:szCs w:val="20"/>
          <w:lang w:val="it-IT"/>
        </w:rPr>
        <w:t>TL)</w:t>
      </w:r>
      <w:r w:rsidR="00023A61" w:rsidRPr="00FB38E1">
        <w:rPr>
          <w:rFonts w:ascii="Microsoft Sans Serif" w:hAnsi="Microsoft Sans Serif" w:cs="Microsoft Sans Serif"/>
          <w:color w:val="404040" w:themeColor="text1" w:themeTint="BF"/>
          <w:sz w:val="20"/>
          <w:szCs w:val="20"/>
          <w:lang w:val="it-IT"/>
        </w:rPr>
        <w:t xml:space="preserve"> ve </w:t>
      </w:r>
      <w:r w:rsidR="003101D0" w:rsidRPr="00FB38E1">
        <w:rPr>
          <w:rFonts w:ascii="Microsoft Sans Serif" w:hAnsi="Microsoft Sans Serif" w:cs="Microsoft Sans Serif"/>
          <w:color w:val="404040" w:themeColor="text1" w:themeTint="BF"/>
          <w:sz w:val="20"/>
          <w:szCs w:val="20"/>
          <w:lang w:val="it-IT"/>
        </w:rPr>
        <w:t>ertelenmiş vergi g</w:t>
      </w:r>
      <w:r w:rsidR="00023A61" w:rsidRPr="00FB38E1">
        <w:rPr>
          <w:rFonts w:ascii="Microsoft Sans Serif" w:hAnsi="Microsoft Sans Serif" w:cs="Microsoft Sans Serif"/>
          <w:color w:val="404040" w:themeColor="text1" w:themeTint="BF"/>
          <w:sz w:val="20"/>
          <w:szCs w:val="20"/>
          <w:lang w:val="it-IT"/>
        </w:rPr>
        <w:t>eli</w:t>
      </w:r>
      <w:r w:rsidR="00F22D2B" w:rsidRPr="00FB38E1">
        <w:rPr>
          <w:rFonts w:ascii="Microsoft Sans Serif" w:hAnsi="Microsoft Sans Serif" w:cs="Microsoft Sans Serif"/>
          <w:color w:val="404040" w:themeColor="text1" w:themeTint="BF"/>
          <w:sz w:val="20"/>
          <w:szCs w:val="20"/>
          <w:lang w:val="it-IT"/>
        </w:rPr>
        <w:t>ri</w:t>
      </w:r>
      <w:r w:rsidR="003101D0" w:rsidRPr="00FB38E1">
        <w:rPr>
          <w:rFonts w:ascii="Microsoft Sans Serif" w:hAnsi="Microsoft Sans Serif" w:cs="Microsoft Sans Serif"/>
          <w:color w:val="404040" w:themeColor="text1" w:themeTint="BF"/>
          <w:sz w:val="20"/>
          <w:szCs w:val="20"/>
          <w:lang w:val="it-IT"/>
        </w:rPr>
        <w:t xml:space="preserve"> ise </w:t>
      </w:r>
      <w:r w:rsidR="00F72F6B" w:rsidRPr="00FB38E1">
        <w:rPr>
          <w:rFonts w:ascii="Microsoft Sans Serif" w:hAnsi="Microsoft Sans Serif" w:cs="Microsoft Sans Serif"/>
          <w:color w:val="404040" w:themeColor="text1" w:themeTint="BF"/>
          <w:sz w:val="20"/>
          <w:szCs w:val="20"/>
          <w:lang w:val="it-IT"/>
        </w:rPr>
        <w:t>16.048.351</w:t>
      </w:r>
      <w:r w:rsidR="003101D0" w:rsidRPr="00FB38E1">
        <w:rPr>
          <w:rFonts w:ascii="Microsoft Sans Serif" w:hAnsi="Microsoft Sans Serif" w:cs="Microsoft Sans Serif"/>
          <w:color w:val="404040" w:themeColor="text1" w:themeTint="BF"/>
          <w:sz w:val="20"/>
          <w:szCs w:val="20"/>
          <w:lang w:val="it-IT"/>
        </w:rPr>
        <w:t xml:space="preserve"> TL</w:t>
      </w:r>
      <w:r w:rsidR="00785756" w:rsidRPr="00FB38E1">
        <w:rPr>
          <w:rFonts w:ascii="Microsoft Sans Serif" w:hAnsi="Microsoft Sans Serif" w:cs="Microsoft Sans Serif"/>
          <w:color w:val="404040" w:themeColor="text1" w:themeTint="BF"/>
          <w:sz w:val="20"/>
          <w:szCs w:val="20"/>
          <w:lang w:val="it-IT"/>
        </w:rPr>
        <w:t xml:space="preserve"> (1 Ocak – </w:t>
      </w:r>
      <w:r w:rsidR="00B700A0" w:rsidRPr="00FB38E1">
        <w:rPr>
          <w:rFonts w:ascii="Microsoft Sans Serif" w:hAnsi="Microsoft Sans Serif" w:cs="Microsoft Sans Serif"/>
          <w:color w:val="404040" w:themeColor="text1" w:themeTint="BF"/>
          <w:sz w:val="20"/>
          <w:szCs w:val="20"/>
          <w:lang w:val="it-IT"/>
        </w:rPr>
        <w:t>31 Aralık 2023</w:t>
      </w:r>
      <w:r w:rsidR="00A90AB0" w:rsidRPr="00FB38E1">
        <w:rPr>
          <w:rFonts w:ascii="Microsoft Sans Serif" w:hAnsi="Microsoft Sans Serif" w:cs="Microsoft Sans Serif"/>
          <w:color w:val="404040" w:themeColor="text1" w:themeTint="BF"/>
          <w:sz w:val="20"/>
          <w:szCs w:val="20"/>
          <w:lang w:val="it-IT"/>
        </w:rPr>
        <w:t xml:space="preserve">: </w:t>
      </w:r>
      <w:r w:rsidR="005E082B" w:rsidRPr="00FB38E1">
        <w:rPr>
          <w:rFonts w:ascii="Microsoft Sans Serif" w:hAnsi="Microsoft Sans Serif" w:cs="Microsoft Sans Serif"/>
          <w:color w:val="404040" w:themeColor="text1" w:themeTint="BF"/>
          <w:sz w:val="20"/>
          <w:szCs w:val="20"/>
          <w:lang w:val="it-IT"/>
        </w:rPr>
        <w:t xml:space="preserve">18.610.734 </w:t>
      </w:r>
      <w:r w:rsidR="003D1E22" w:rsidRPr="00FB38E1">
        <w:rPr>
          <w:rFonts w:ascii="Microsoft Sans Serif" w:hAnsi="Microsoft Sans Serif" w:cs="Microsoft Sans Serif"/>
          <w:color w:val="404040" w:themeColor="text1" w:themeTint="BF"/>
          <w:sz w:val="20"/>
          <w:szCs w:val="20"/>
          <w:lang w:val="it-IT"/>
        </w:rPr>
        <w:t>TL</w:t>
      </w:r>
      <w:r w:rsidR="00A90AB0" w:rsidRPr="00FB38E1">
        <w:rPr>
          <w:rFonts w:ascii="Microsoft Sans Serif" w:hAnsi="Microsoft Sans Serif" w:cs="Microsoft Sans Serif"/>
          <w:color w:val="404040" w:themeColor="text1" w:themeTint="BF"/>
          <w:sz w:val="20"/>
          <w:szCs w:val="20"/>
          <w:lang w:val="it-IT"/>
        </w:rPr>
        <w:t>)</w:t>
      </w:r>
      <w:r w:rsidR="008260B6" w:rsidRPr="00FB38E1">
        <w:rPr>
          <w:rFonts w:ascii="Microsoft Sans Serif" w:hAnsi="Microsoft Sans Serif" w:cs="Microsoft Sans Serif"/>
          <w:color w:val="404040" w:themeColor="text1" w:themeTint="BF"/>
          <w:sz w:val="20"/>
          <w:szCs w:val="20"/>
          <w:lang w:val="it-IT"/>
        </w:rPr>
        <w:t xml:space="preserve"> tutarındadır</w:t>
      </w:r>
      <w:r w:rsidR="00E55B46" w:rsidRPr="00FB38E1">
        <w:rPr>
          <w:rFonts w:ascii="Microsoft Sans Serif" w:hAnsi="Microsoft Sans Serif" w:cs="Microsoft Sans Serif"/>
          <w:color w:val="404040" w:themeColor="text1" w:themeTint="BF"/>
          <w:sz w:val="20"/>
          <w:szCs w:val="20"/>
          <w:lang w:val="it-IT"/>
        </w:rPr>
        <w:t>.</w:t>
      </w:r>
    </w:p>
    <w:p w14:paraId="087F5989" w14:textId="17A9A59D" w:rsidR="00E41F80" w:rsidRPr="00FB38E1" w:rsidRDefault="00E55B46" w:rsidP="004449D4">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lang w:val="it-IT"/>
        </w:rPr>
      </w:pPr>
      <w:r w:rsidRPr="00FB38E1">
        <w:rPr>
          <w:rFonts w:ascii="Microsoft Sans Serif" w:hAnsi="Microsoft Sans Serif" w:cs="Microsoft Sans Serif"/>
          <w:b w:val="0"/>
          <w:color w:val="404040" w:themeColor="text1" w:themeTint="BF"/>
          <w:sz w:val="20"/>
          <w:szCs w:val="20"/>
          <w:lang w:val="it-IT"/>
        </w:rPr>
        <w:t>Durdurulan faaliy</w:t>
      </w:r>
      <w:r w:rsidR="00ED3644" w:rsidRPr="00FB38E1">
        <w:rPr>
          <w:rFonts w:ascii="Microsoft Sans Serif" w:hAnsi="Microsoft Sans Serif" w:cs="Microsoft Sans Serif"/>
          <w:b w:val="0"/>
          <w:color w:val="404040" w:themeColor="text1" w:themeTint="BF"/>
          <w:sz w:val="20"/>
          <w:szCs w:val="20"/>
          <w:lang w:val="it-IT"/>
        </w:rPr>
        <w:t xml:space="preserve">etler </w:t>
      </w:r>
      <w:r w:rsidR="002A5899" w:rsidRPr="00FB38E1">
        <w:rPr>
          <w:rFonts w:ascii="Microsoft Sans Serif" w:hAnsi="Microsoft Sans Serif" w:cs="Microsoft Sans Serif"/>
          <w:b w:val="0"/>
          <w:color w:val="404040" w:themeColor="text1" w:themeTint="BF"/>
          <w:sz w:val="20"/>
          <w:szCs w:val="20"/>
          <w:lang w:val="it-IT"/>
        </w:rPr>
        <w:t xml:space="preserve">cari </w:t>
      </w:r>
      <w:r w:rsidR="00ED3644" w:rsidRPr="00FB38E1">
        <w:rPr>
          <w:rFonts w:ascii="Microsoft Sans Serif" w:hAnsi="Microsoft Sans Serif" w:cs="Microsoft Sans Serif"/>
          <w:b w:val="0"/>
          <w:color w:val="404040" w:themeColor="text1" w:themeTint="BF"/>
          <w:sz w:val="20"/>
          <w:szCs w:val="20"/>
          <w:lang w:val="it-IT"/>
        </w:rPr>
        <w:t xml:space="preserve">vergi gideri </w:t>
      </w:r>
      <w:r w:rsidR="0073163D" w:rsidRPr="00FB38E1">
        <w:rPr>
          <w:rFonts w:ascii="Microsoft Sans Serif" w:hAnsi="Microsoft Sans Serif" w:cs="Microsoft Sans Serif"/>
          <w:b w:val="0"/>
          <w:iCs/>
          <w:color w:val="404040" w:themeColor="text1" w:themeTint="BF"/>
          <w:sz w:val="20"/>
          <w:szCs w:val="20"/>
        </w:rPr>
        <w:t>bulunmamaktadır</w:t>
      </w:r>
      <w:r w:rsidR="005F008C" w:rsidRPr="00FB38E1">
        <w:rPr>
          <w:rFonts w:ascii="Microsoft Sans Serif" w:hAnsi="Microsoft Sans Serif" w:cs="Microsoft Sans Serif"/>
          <w:b w:val="0"/>
          <w:color w:val="404040" w:themeColor="text1" w:themeTint="BF"/>
          <w:sz w:val="20"/>
          <w:szCs w:val="20"/>
          <w:lang w:val="it-IT"/>
        </w:rPr>
        <w:t xml:space="preserve"> (1 Ocak – </w:t>
      </w:r>
      <w:r w:rsidR="00B700A0" w:rsidRPr="00FB38E1">
        <w:rPr>
          <w:rFonts w:ascii="Microsoft Sans Serif" w:hAnsi="Microsoft Sans Serif" w:cs="Microsoft Sans Serif"/>
          <w:b w:val="0"/>
          <w:color w:val="404040" w:themeColor="text1" w:themeTint="BF"/>
          <w:sz w:val="20"/>
          <w:szCs w:val="20"/>
          <w:lang w:val="it-IT"/>
        </w:rPr>
        <w:t>31 Aralık 2023</w:t>
      </w:r>
      <w:r w:rsidR="00111025" w:rsidRPr="00FB38E1">
        <w:rPr>
          <w:rFonts w:ascii="Microsoft Sans Serif" w:hAnsi="Microsoft Sans Serif" w:cs="Microsoft Sans Serif"/>
          <w:b w:val="0"/>
          <w:color w:val="404040" w:themeColor="text1" w:themeTint="BF"/>
          <w:sz w:val="20"/>
          <w:szCs w:val="20"/>
          <w:lang w:val="it-IT"/>
        </w:rPr>
        <w:t>:</w:t>
      </w:r>
      <w:r w:rsidR="00313F3C" w:rsidRPr="00FB38E1">
        <w:rPr>
          <w:rFonts w:ascii="Microsoft Sans Serif" w:hAnsi="Microsoft Sans Serif" w:cs="Microsoft Sans Serif"/>
          <w:b w:val="0"/>
          <w:color w:val="404040" w:themeColor="text1" w:themeTint="BF"/>
          <w:sz w:val="20"/>
          <w:szCs w:val="20"/>
          <w:lang w:val="it-IT"/>
        </w:rPr>
        <w:t xml:space="preserve"> </w:t>
      </w:r>
      <w:r w:rsidR="002A5899" w:rsidRPr="00FB38E1">
        <w:rPr>
          <w:rFonts w:ascii="Microsoft Sans Serif" w:hAnsi="Microsoft Sans Serif" w:cs="Microsoft Sans Serif"/>
          <w:b w:val="0"/>
          <w:color w:val="404040" w:themeColor="text1" w:themeTint="BF"/>
          <w:sz w:val="20"/>
          <w:szCs w:val="20"/>
          <w:lang w:val="it-IT"/>
        </w:rPr>
        <w:t>Bulunmamaktadır</w:t>
      </w:r>
      <w:r w:rsidR="005F008C" w:rsidRPr="00FB38E1">
        <w:rPr>
          <w:rFonts w:ascii="Microsoft Sans Serif" w:hAnsi="Microsoft Sans Serif" w:cs="Microsoft Sans Serif"/>
          <w:b w:val="0"/>
          <w:color w:val="404040" w:themeColor="text1" w:themeTint="BF"/>
          <w:sz w:val="20"/>
          <w:szCs w:val="20"/>
          <w:lang w:val="it-IT"/>
        </w:rPr>
        <w:t>).</w:t>
      </w:r>
      <w:r w:rsidR="002A5899" w:rsidRPr="00FB38E1">
        <w:rPr>
          <w:rFonts w:ascii="Microsoft Sans Serif" w:hAnsi="Microsoft Sans Serif" w:cs="Microsoft Sans Serif"/>
          <w:b w:val="0"/>
          <w:color w:val="404040" w:themeColor="text1" w:themeTint="BF"/>
          <w:sz w:val="20"/>
          <w:szCs w:val="20"/>
          <w:lang w:val="it-IT"/>
        </w:rPr>
        <w:t xml:space="preserve"> Ertelenmiş vergi geliri </w:t>
      </w:r>
      <w:r w:rsidR="002A5899" w:rsidRPr="00FB38E1">
        <w:rPr>
          <w:rFonts w:ascii="Microsoft Sans Serif" w:hAnsi="Microsoft Sans Serif" w:cs="Microsoft Sans Serif"/>
          <w:b w:val="0"/>
          <w:iCs/>
          <w:color w:val="404040" w:themeColor="text1" w:themeTint="BF"/>
          <w:sz w:val="20"/>
          <w:szCs w:val="20"/>
        </w:rPr>
        <w:t>bulunmamaktadır</w:t>
      </w:r>
      <w:r w:rsidR="002A5899" w:rsidRPr="00FB38E1">
        <w:rPr>
          <w:rFonts w:ascii="Microsoft Sans Serif" w:hAnsi="Microsoft Sans Serif" w:cs="Microsoft Sans Serif"/>
          <w:b w:val="0"/>
          <w:color w:val="404040" w:themeColor="text1" w:themeTint="BF"/>
          <w:sz w:val="20"/>
          <w:szCs w:val="20"/>
          <w:lang w:val="it-IT"/>
        </w:rPr>
        <w:t xml:space="preserve"> (1 Ocak – 31 Aralık 2023: 59.404 TL).</w:t>
      </w:r>
    </w:p>
    <w:p w14:paraId="2DCA982A" w14:textId="77777777" w:rsidR="005E082B" w:rsidRPr="00FB38E1" w:rsidRDefault="005E082B" w:rsidP="005E082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sz w:val="20"/>
          <w:szCs w:val="20"/>
        </w:rPr>
        <w:t>Sürdürülen faaliyetler ile durdurulan faaliyetler dönem net kar/zararına ilişkin açıklama</w:t>
      </w:r>
    </w:p>
    <w:p w14:paraId="658703CC" w14:textId="1EAC4D93" w:rsidR="006C2462" w:rsidRPr="00FB38E1" w:rsidRDefault="005E082B" w:rsidP="006C2462">
      <w:pPr>
        <w:pStyle w:val="BASLIK2"/>
        <w:widowControl/>
        <w:spacing w:before="0" w:line="240" w:lineRule="exact"/>
        <w:ind w:firstLine="0"/>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b w:val="0"/>
          <w:color w:val="404040" w:themeColor="text1" w:themeTint="BF"/>
          <w:sz w:val="20"/>
          <w:szCs w:val="20"/>
        </w:rPr>
        <w:t xml:space="preserve">Banka’nın </w:t>
      </w:r>
      <w:r w:rsidR="00F72F6B" w:rsidRPr="00FB38E1">
        <w:rPr>
          <w:rFonts w:ascii="Microsoft Sans Serif" w:hAnsi="Microsoft Sans Serif" w:cs="Microsoft Sans Serif"/>
          <w:b w:val="0"/>
          <w:color w:val="404040" w:themeColor="text1" w:themeTint="BF"/>
          <w:sz w:val="20"/>
          <w:szCs w:val="20"/>
        </w:rPr>
        <w:t xml:space="preserve">sürdürülen faaliyetler </w:t>
      </w:r>
      <w:r w:rsidRPr="00FB38E1">
        <w:rPr>
          <w:rFonts w:ascii="Microsoft Sans Serif" w:hAnsi="Microsoft Sans Serif" w:cs="Microsoft Sans Serif"/>
          <w:b w:val="0"/>
          <w:color w:val="404040" w:themeColor="text1" w:themeTint="BF"/>
          <w:sz w:val="20"/>
          <w:szCs w:val="20"/>
        </w:rPr>
        <w:t xml:space="preserve">dönem net kar tutarı </w:t>
      </w:r>
      <w:r w:rsidR="00F72F6B" w:rsidRPr="00FB38E1">
        <w:rPr>
          <w:rFonts w:ascii="Microsoft Sans Serif" w:hAnsi="Microsoft Sans Serif" w:cs="Microsoft Sans Serif"/>
          <w:b w:val="0"/>
          <w:color w:val="404040" w:themeColor="text1" w:themeTint="BF"/>
          <w:sz w:val="20"/>
          <w:szCs w:val="20"/>
        </w:rPr>
        <w:t>44.969.497</w:t>
      </w:r>
      <w:r w:rsidRPr="00FB38E1">
        <w:rPr>
          <w:rFonts w:ascii="Microsoft Sans Serif" w:hAnsi="Microsoft Sans Serif" w:cs="Microsoft Sans Serif"/>
          <w:b w:val="0"/>
          <w:color w:val="404040" w:themeColor="text1" w:themeTint="BF"/>
          <w:sz w:val="20"/>
          <w:szCs w:val="20"/>
        </w:rPr>
        <w:t xml:space="preserve"> TL (</w:t>
      </w:r>
      <w:r w:rsidR="006C2462" w:rsidRPr="00FB38E1">
        <w:rPr>
          <w:rFonts w:ascii="Microsoft Sans Serif" w:hAnsi="Microsoft Sans Serif" w:cs="Microsoft Sans Serif"/>
          <w:b w:val="0"/>
          <w:color w:val="404040" w:themeColor="text1" w:themeTint="BF"/>
          <w:sz w:val="20"/>
          <w:szCs w:val="20"/>
        </w:rPr>
        <w:t xml:space="preserve">1 Ocak - </w:t>
      </w:r>
      <w:r w:rsidRPr="00FB38E1">
        <w:rPr>
          <w:rFonts w:ascii="Microsoft Sans Serif" w:hAnsi="Microsoft Sans Serif" w:cs="Microsoft Sans Serif"/>
          <w:b w:val="0"/>
          <w:color w:val="404040" w:themeColor="text1" w:themeTint="BF"/>
          <w:sz w:val="20"/>
          <w:szCs w:val="20"/>
        </w:rPr>
        <w:t>31 Aralık 2023: 2</w:t>
      </w:r>
      <w:r w:rsidR="00F72F6B" w:rsidRPr="00FB38E1">
        <w:rPr>
          <w:rFonts w:ascii="Microsoft Sans Serif" w:hAnsi="Microsoft Sans Serif" w:cs="Microsoft Sans Serif"/>
          <w:b w:val="0"/>
          <w:color w:val="404040" w:themeColor="text1" w:themeTint="BF"/>
          <w:sz w:val="20"/>
          <w:szCs w:val="20"/>
        </w:rPr>
        <w:t>8</w:t>
      </w:r>
      <w:r w:rsidRPr="00FB38E1">
        <w:rPr>
          <w:rFonts w:ascii="Microsoft Sans Serif" w:hAnsi="Microsoft Sans Serif" w:cs="Microsoft Sans Serif"/>
          <w:b w:val="0"/>
          <w:color w:val="404040" w:themeColor="text1" w:themeTint="BF"/>
          <w:sz w:val="20"/>
          <w:szCs w:val="20"/>
        </w:rPr>
        <w:t>.</w:t>
      </w:r>
      <w:r w:rsidR="00F72F6B" w:rsidRPr="00FB38E1">
        <w:rPr>
          <w:rFonts w:ascii="Microsoft Sans Serif" w:hAnsi="Microsoft Sans Serif" w:cs="Microsoft Sans Serif"/>
          <w:b w:val="0"/>
          <w:color w:val="404040" w:themeColor="text1" w:themeTint="BF"/>
          <w:sz w:val="20"/>
          <w:szCs w:val="20"/>
        </w:rPr>
        <w:t>026.455</w:t>
      </w:r>
      <w:r w:rsidRPr="00FB38E1">
        <w:rPr>
          <w:rFonts w:ascii="Microsoft Sans Serif" w:hAnsi="Microsoft Sans Serif" w:cs="Microsoft Sans Serif"/>
          <w:b w:val="0"/>
          <w:color w:val="404040" w:themeColor="text1" w:themeTint="BF"/>
          <w:sz w:val="20"/>
          <w:szCs w:val="20"/>
        </w:rPr>
        <w:t xml:space="preserve"> TL)’dir. </w:t>
      </w:r>
      <w:r w:rsidRPr="00FB38E1">
        <w:rPr>
          <w:rFonts w:ascii="Microsoft Sans Serif" w:hAnsi="Microsoft Sans Serif" w:cs="Microsoft Sans Serif"/>
          <w:b w:val="0"/>
          <w:noProof/>
          <w:snapToGrid w:val="0"/>
          <w:color w:val="595959" w:themeColor="text1" w:themeTint="A6"/>
          <w:sz w:val="20"/>
          <w:szCs w:val="20"/>
          <w:lang w:val="de-DE"/>
        </w:rPr>
        <w:t>Banka’nın durdurulan faaliyeti bulunmamaktadır</w:t>
      </w:r>
      <w:r w:rsidR="00F72F6B" w:rsidRPr="00FB38E1">
        <w:rPr>
          <w:rFonts w:ascii="Microsoft Sans Serif" w:hAnsi="Microsoft Sans Serif" w:cs="Microsoft Sans Serif"/>
          <w:b w:val="0"/>
          <w:noProof/>
          <w:snapToGrid w:val="0"/>
          <w:color w:val="595959" w:themeColor="text1" w:themeTint="A6"/>
          <w:sz w:val="20"/>
          <w:szCs w:val="20"/>
          <w:lang w:val="de-DE"/>
        </w:rPr>
        <w:t xml:space="preserve"> (1 Ocak – 31 Aralık 2023: (148.670) TL)</w:t>
      </w:r>
      <w:r w:rsidRPr="00FB38E1">
        <w:rPr>
          <w:rFonts w:ascii="Microsoft Sans Serif" w:hAnsi="Microsoft Sans Serif" w:cs="Microsoft Sans Serif"/>
          <w:b w:val="0"/>
          <w:noProof/>
          <w:snapToGrid w:val="0"/>
          <w:color w:val="595959" w:themeColor="text1" w:themeTint="A6"/>
          <w:sz w:val="20"/>
          <w:szCs w:val="20"/>
          <w:lang w:val="de-DE"/>
        </w:rPr>
        <w:t>.</w:t>
      </w:r>
      <w:r w:rsidR="006C2462" w:rsidRPr="00FB38E1">
        <w:rPr>
          <w:rFonts w:ascii="Microsoft Sans Serif" w:hAnsi="Microsoft Sans Serif" w:cs="Microsoft Sans Serif"/>
          <w:b w:val="0"/>
          <w:noProof/>
          <w:snapToGrid w:val="0"/>
          <w:color w:val="595959" w:themeColor="text1" w:themeTint="A6"/>
          <w:sz w:val="20"/>
          <w:szCs w:val="20"/>
          <w:lang w:val="de-DE"/>
        </w:rPr>
        <w:t xml:space="preserve"> Banka’nın net dönem karı 44.969.497 TL‘dir (1 Ocak – 31 Aralık 2023: 27.877.785 TL).</w:t>
      </w:r>
    </w:p>
    <w:p w14:paraId="5370E9EA" w14:textId="01EE5A06" w:rsidR="005E082B" w:rsidRPr="00FB38E1" w:rsidRDefault="005E082B" w:rsidP="005E082B">
      <w:pPr>
        <w:pStyle w:val="BASLIK2"/>
        <w:widowControl/>
        <w:numPr>
          <w:ilvl w:val="0"/>
          <w:numId w:val="36"/>
        </w:numPr>
        <w:spacing w:line="240" w:lineRule="exact"/>
        <w:ind w:left="0" w:hanging="567"/>
        <w:rPr>
          <w:rFonts w:ascii="Microsoft Sans Serif" w:hAnsi="Microsoft Sans Serif" w:cs="Microsoft Sans Serif"/>
          <w:sz w:val="20"/>
          <w:szCs w:val="20"/>
          <w:lang w:val="es-ES"/>
        </w:rPr>
      </w:pPr>
      <w:r w:rsidRPr="00FB38E1">
        <w:rPr>
          <w:rFonts w:ascii="Microsoft Sans Serif" w:hAnsi="Microsoft Sans Serif" w:cs="Microsoft Sans Serif"/>
          <w:sz w:val="20"/>
          <w:szCs w:val="20"/>
          <w:lang w:val="es-ES"/>
        </w:rPr>
        <w:t>Net dönem kar ve zararına ilişkin açıklamalar</w:t>
      </w:r>
    </w:p>
    <w:p w14:paraId="17421F9B" w14:textId="099FE6DB" w:rsidR="00E60B04" w:rsidRPr="00FB38E1" w:rsidRDefault="00E60B04" w:rsidP="00076C9E">
      <w:pPr>
        <w:pStyle w:val="BASLIK2"/>
        <w:widowControl/>
        <w:numPr>
          <w:ilvl w:val="0"/>
          <w:numId w:val="39"/>
        </w:numPr>
        <w:spacing w:line="240" w:lineRule="exact"/>
        <w:ind w:left="0" w:hanging="426"/>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iCs/>
          <w:sz w:val="20"/>
          <w:szCs w:val="20"/>
        </w:rPr>
        <w:t>Olağan bankacılık işlemlerinden kaynaklanan gelir ve gider kalemlerinin niteliği, boyutu ve tekrarlanma oranının açıklanması bankanın dönem içindeki performansının anlaşılması için gerekli ise, bu kalemlerin niteliği ve tutarı</w:t>
      </w:r>
    </w:p>
    <w:p w14:paraId="5EC32A1D" w14:textId="77777777" w:rsidR="00E60B04" w:rsidRPr="00FB38E1" w:rsidRDefault="006623AB" w:rsidP="009A29D9">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Banka’nın cari ve önceki dönemine ilişkin olarak olağan bankacılık işlemlerinden kaynaklanan gelirleri, kredi ve menkul kıymet faiz gelirleri ile diğer bankacılık hizmet gelirleridir. Temel gider kaynakları ise kredi ve menkul kıymetlerin fonlama kaynağı olan mevduat ve benzeri borçlanma kalemlerinin faiz giderleridir</w:t>
      </w:r>
      <w:r w:rsidR="00E60B04" w:rsidRPr="00FB38E1">
        <w:rPr>
          <w:rFonts w:ascii="Microsoft Sans Serif" w:hAnsi="Microsoft Sans Serif" w:cs="Microsoft Sans Serif"/>
          <w:b w:val="0"/>
          <w:color w:val="404040" w:themeColor="text1" w:themeTint="BF"/>
          <w:sz w:val="20"/>
          <w:szCs w:val="20"/>
        </w:rPr>
        <w:t>.</w:t>
      </w:r>
    </w:p>
    <w:p w14:paraId="00338C35" w14:textId="2E749253" w:rsidR="00E60B04" w:rsidRPr="00FB38E1" w:rsidRDefault="00D12D2A" w:rsidP="00076C9E">
      <w:pPr>
        <w:pStyle w:val="BASLIK2"/>
        <w:widowControl/>
        <w:numPr>
          <w:ilvl w:val="0"/>
          <w:numId w:val="39"/>
        </w:numPr>
        <w:spacing w:line="220" w:lineRule="exact"/>
        <w:ind w:left="0" w:hanging="426"/>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b w:val="0"/>
          <w:bCs w:val="0"/>
          <w:noProof/>
          <w:color w:val="404040" w:themeColor="text1" w:themeTint="BF"/>
          <w:sz w:val="20"/>
          <w:szCs w:val="20"/>
          <w:lang w:eastAsia="tr-TR"/>
        </w:rPr>
        <w:t>Cari dönemde önemli etkide bulunan veya takip eden dönemlerde önemli etkide bulanacağı beklenen muhasebe tahminlerinde yapılan herhangi bir değişiklik bulunmamaktadır</w:t>
      </w:r>
      <w:r w:rsidR="00E60B04" w:rsidRPr="00FB38E1">
        <w:rPr>
          <w:rFonts w:ascii="Microsoft Sans Serif" w:hAnsi="Microsoft Sans Serif" w:cs="Microsoft Sans Serif"/>
          <w:b w:val="0"/>
          <w:bCs w:val="0"/>
          <w:noProof/>
          <w:color w:val="404040" w:themeColor="text1" w:themeTint="BF"/>
          <w:sz w:val="20"/>
          <w:szCs w:val="20"/>
          <w:lang w:eastAsia="tr-TR"/>
        </w:rPr>
        <w:t>.</w:t>
      </w:r>
    </w:p>
    <w:p w14:paraId="6EB133E3" w14:textId="5D0FC628" w:rsidR="000A78C3" w:rsidRPr="00FB38E1" w:rsidRDefault="00410C8E" w:rsidP="00076C9E">
      <w:pPr>
        <w:pStyle w:val="BASLIK2"/>
        <w:widowControl/>
        <w:numPr>
          <w:ilvl w:val="0"/>
          <w:numId w:val="39"/>
        </w:numPr>
        <w:spacing w:line="220" w:lineRule="exact"/>
        <w:ind w:left="0" w:hanging="426"/>
        <w:rPr>
          <w:rFonts w:ascii="Microsoft Sans Serif" w:hAnsi="Microsoft Sans Serif" w:cs="Microsoft Sans Serif"/>
          <w:b w:val="0"/>
          <w:bCs w:val="0"/>
          <w:noProof/>
          <w:color w:val="404040" w:themeColor="text1" w:themeTint="BF"/>
          <w:sz w:val="20"/>
          <w:szCs w:val="20"/>
          <w:lang w:eastAsia="tr-TR"/>
        </w:rPr>
      </w:pPr>
      <w:r w:rsidRPr="00FB38E1">
        <w:rPr>
          <w:rFonts w:ascii="Microsoft Sans Serif" w:hAnsi="Microsoft Sans Serif" w:cs="Microsoft Sans Serif"/>
          <w:b w:val="0"/>
          <w:bCs w:val="0"/>
          <w:noProof/>
          <w:color w:val="404040" w:themeColor="text1" w:themeTint="BF"/>
          <w:sz w:val="20"/>
          <w:szCs w:val="20"/>
          <w:lang w:eastAsia="tr-TR"/>
        </w:rPr>
        <w:t xml:space="preserve">Banka </w:t>
      </w:r>
      <w:r w:rsidR="00AD2A6F" w:rsidRPr="00FB38E1">
        <w:rPr>
          <w:rFonts w:ascii="Microsoft Sans Serif" w:hAnsi="Microsoft Sans Serif" w:cs="Microsoft Sans Serif"/>
          <w:b w:val="0"/>
          <w:bCs w:val="0"/>
          <w:noProof/>
          <w:color w:val="404040" w:themeColor="text1" w:themeTint="BF"/>
          <w:sz w:val="20"/>
          <w:szCs w:val="20"/>
          <w:lang w:eastAsia="tr-TR"/>
        </w:rPr>
        <w:t xml:space="preserve">31 Aralık 2024 </w:t>
      </w:r>
      <w:r w:rsidR="00A04C23" w:rsidRPr="00FB38E1">
        <w:rPr>
          <w:rFonts w:ascii="Microsoft Sans Serif" w:hAnsi="Microsoft Sans Serif" w:cs="Microsoft Sans Serif"/>
          <w:b w:val="0"/>
          <w:bCs w:val="0"/>
          <w:noProof/>
          <w:color w:val="404040" w:themeColor="text1" w:themeTint="BF"/>
          <w:sz w:val="20"/>
          <w:szCs w:val="20"/>
          <w:lang w:eastAsia="tr-TR"/>
        </w:rPr>
        <w:t>tarihli konsolide olmayan finansal tablolarını hazırlarken TMS 27 “Bireysel Finansal Tablolar” Tebliği’ne göre, hisselerine doğrudan ya da dolaylı paylarla sahip olduğu bağlı ortaklıklarını özkaynak yöntemine göre muhasebeleştirmiştir</w:t>
      </w:r>
      <w:r w:rsidR="00966949" w:rsidRPr="00FB38E1">
        <w:rPr>
          <w:rFonts w:ascii="Microsoft Sans Serif" w:hAnsi="Microsoft Sans Serif" w:cs="Microsoft Sans Serif"/>
          <w:b w:val="0"/>
          <w:bCs w:val="0"/>
          <w:noProof/>
          <w:color w:val="404040" w:themeColor="text1" w:themeTint="BF"/>
          <w:sz w:val="20"/>
          <w:szCs w:val="20"/>
          <w:lang w:eastAsia="tr-TR"/>
        </w:rPr>
        <w:t>.</w:t>
      </w:r>
      <w:r w:rsidR="004677E8" w:rsidRPr="00FB38E1">
        <w:rPr>
          <w:rFonts w:ascii="Microsoft Sans Serif" w:hAnsi="Microsoft Sans Serif" w:cs="Microsoft Sans Serif"/>
          <w:b w:val="0"/>
          <w:bCs w:val="0"/>
          <w:noProof/>
          <w:color w:val="404040" w:themeColor="text1" w:themeTint="BF"/>
          <w:sz w:val="20"/>
          <w:szCs w:val="20"/>
          <w:lang w:eastAsia="tr-TR"/>
        </w:rPr>
        <w:t xml:space="preserve"> </w:t>
      </w:r>
    </w:p>
    <w:p w14:paraId="792E4A95" w14:textId="137298E4" w:rsidR="00454537" w:rsidRPr="00FB38E1" w:rsidRDefault="00A04C23" w:rsidP="00076C9E">
      <w:pPr>
        <w:pStyle w:val="BASLIK2"/>
        <w:widowControl/>
        <w:numPr>
          <w:ilvl w:val="0"/>
          <w:numId w:val="39"/>
        </w:numPr>
        <w:spacing w:line="220" w:lineRule="atLeast"/>
        <w:ind w:left="0" w:hanging="426"/>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b w:val="0"/>
          <w:bCs w:val="0"/>
          <w:noProof/>
          <w:color w:val="404040" w:themeColor="text1" w:themeTint="BF"/>
          <w:sz w:val="20"/>
          <w:szCs w:val="20"/>
          <w:lang w:eastAsia="tr-TR"/>
        </w:rPr>
        <w:t>Banka bağlı ortaklıkları</w:t>
      </w:r>
      <w:r w:rsidR="00DE2283" w:rsidRPr="00FB38E1">
        <w:rPr>
          <w:rFonts w:ascii="Microsoft Sans Serif" w:hAnsi="Microsoft Sans Serif" w:cs="Microsoft Sans Serif"/>
          <w:b w:val="0"/>
          <w:bCs w:val="0"/>
          <w:noProof/>
          <w:color w:val="404040" w:themeColor="text1" w:themeTint="BF"/>
          <w:sz w:val="20"/>
          <w:szCs w:val="20"/>
          <w:lang w:eastAsia="tr-TR"/>
        </w:rPr>
        <w:t>ndan</w:t>
      </w:r>
      <w:r w:rsidRPr="00FB38E1">
        <w:rPr>
          <w:rFonts w:ascii="Microsoft Sans Serif" w:hAnsi="Microsoft Sans Serif" w:cs="Microsoft Sans Serif"/>
          <w:b w:val="0"/>
          <w:bCs w:val="0"/>
          <w:noProof/>
          <w:color w:val="404040" w:themeColor="text1" w:themeTint="BF"/>
          <w:sz w:val="20"/>
          <w:szCs w:val="20"/>
          <w:lang w:eastAsia="tr-TR"/>
        </w:rPr>
        <w:t xml:space="preserve"> olan Denizbank AG’</w:t>
      </w:r>
      <w:r w:rsidR="00DE2283" w:rsidRPr="00FB38E1">
        <w:rPr>
          <w:rFonts w:ascii="Microsoft Sans Serif" w:hAnsi="Microsoft Sans Serif" w:cs="Microsoft Sans Serif"/>
          <w:b w:val="0"/>
          <w:bCs w:val="0"/>
          <w:noProof/>
          <w:color w:val="404040" w:themeColor="text1" w:themeTint="BF"/>
          <w:sz w:val="20"/>
          <w:szCs w:val="20"/>
          <w:lang w:eastAsia="tr-TR"/>
        </w:rPr>
        <w:t>y</w:t>
      </w:r>
      <w:r w:rsidRPr="00FB38E1">
        <w:rPr>
          <w:rFonts w:ascii="Microsoft Sans Serif" w:hAnsi="Microsoft Sans Serif" w:cs="Microsoft Sans Serif"/>
          <w:b w:val="0"/>
          <w:bCs w:val="0"/>
          <w:noProof/>
          <w:color w:val="404040" w:themeColor="text1" w:themeTint="BF"/>
          <w:sz w:val="20"/>
          <w:szCs w:val="20"/>
          <w:lang w:eastAsia="tr-TR"/>
        </w:rPr>
        <w:t xml:space="preserve">e ait toplam </w:t>
      </w:r>
      <w:r w:rsidR="00445C52" w:rsidRPr="00FB38E1">
        <w:rPr>
          <w:rFonts w:ascii="Microsoft Sans Serif" w:hAnsi="Microsoft Sans Serif" w:cs="Microsoft Sans Serif"/>
          <w:b w:val="0"/>
          <w:bCs w:val="0"/>
          <w:noProof/>
          <w:color w:val="404040" w:themeColor="text1" w:themeTint="BF"/>
          <w:sz w:val="20"/>
          <w:szCs w:val="20"/>
          <w:lang w:eastAsia="tr-TR"/>
        </w:rPr>
        <w:t>1.180</w:t>
      </w:r>
      <w:r w:rsidR="004677E8" w:rsidRPr="00FB38E1" w:rsidDel="004677E8">
        <w:rPr>
          <w:rFonts w:ascii="Microsoft Sans Serif" w:hAnsi="Microsoft Sans Serif" w:cs="Microsoft Sans Serif"/>
          <w:b w:val="0"/>
          <w:bCs w:val="0"/>
          <w:noProof/>
          <w:color w:val="404040" w:themeColor="text1" w:themeTint="BF"/>
          <w:sz w:val="20"/>
          <w:szCs w:val="20"/>
          <w:lang w:eastAsia="tr-TR"/>
        </w:rPr>
        <w:t xml:space="preserve"> </w:t>
      </w:r>
      <w:r w:rsidRPr="00FB38E1">
        <w:rPr>
          <w:rFonts w:ascii="Microsoft Sans Serif" w:hAnsi="Microsoft Sans Serif" w:cs="Microsoft Sans Serif"/>
          <w:b w:val="0"/>
          <w:bCs w:val="0"/>
          <w:noProof/>
          <w:color w:val="404040" w:themeColor="text1" w:themeTint="BF"/>
          <w:sz w:val="20"/>
          <w:szCs w:val="20"/>
          <w:lang w:eastAsia="tr-TR"/>
        </w:rPr>
        <w:t>milyon Avro tutarındaki net yatırımının özkaynak yöntemi uygulanmasından kaynaklanan kur farkı riskinden korunmak amacıyla, 1 Temmuz 2015’ten itibaren net yatırım riskinden korunma muhasebesi uygulamaktadır. Yabancı para mevduatlarının aynı tutarlardaki kısmı riskten korunma aracı olarak belirlenmiş ve yabancı para mevduatın döviz kurundan kaynaklanan değer değişiminin etkin olan  kısmı özkaynaklar altındaki riskten korunma fonları hesabında muhasebeleştirilmiştir.</w:t>
      </w:r>
      <w:r w:rsidR="00AD274E" w:rsidRPr="00FB38E1">
        <w:rPr>
          <w:rFonts w:ascii="Microsoft Sans Serif" w:hAnsi="Microsoft Sans Serif" w:cs="Microsoft Sans Serif"/>
          <w:b w:val="0"/>
          <w:noProof/>
          <w:snapToGrid w:val="0"/>
          <w:sz w:val="20"/>
          <w:szCs w:val="20"/>
          <w:lang w:val="de-DE"/>
        </w:rPr>
        <w:t xml:space="preserve"> </w:t>
      </w:r>
    </w:p>
    <w:p w14:paraId="40C203BC" w14:textId="43ECE576" w:rsidR="00D427D0" w:rsidRPr="00FB38E1" w:rsidRDefault="00D427D0" w:rsidP="00D427D0">
      <w:pPr>
        <w:pStyle w:val="BASLIK2"/>
        <w:widowControl/>
        <w:numPr>
          <w:ilvl w:val="0"/>
          <w:numId w:val="36"/>
        </w:numPr>
        <w:tabs>
          <w:tab w:val="left" w:pos="142"/>
        </w:tabs>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sz w:val="20"/>
          <w:szCs w:val="20"/>
          <w:lang w:val="es-ES"/>
        </w:rPr>
        <w:t>Gelir tablosunda yer alan diğer kalemlerin, gelir tablosu toplamının %10’unu aşması halinde bu kalemlerin en az %20’sini oluşturan alt hesaplara ilişkin bilgi</w:t>
      </w:r>
    </w:p>
    <w:p w14:paraId="13B04B0C" w14:textId="650C85B0" w:rsidR="002A0D49" w:rsidRPr="00FB38E1" w:rsidRDefault="00D909DB">
      <w:pPr>
        <w:rPr>
          <w:rFonts w:ascii="Microsoft Sans Serif" w:eastAsia="Times New Roman" w:hAnsi="Microsoft Sans Serif" w:cs="Microsoft Sans Serif"/>
          <w:noProof/>
          <w:color w:val="404040" w:themeColor="text1" w:themeTint="BF"/>
          <w:sz w:val="20"/>
          <w:szCs w:val="20"/>
          <w:lang w:eastAsia="tr-TR"/>
        </w:rPr>
      </w:pPr>
      <w:r w:rsidRPr="00FB38E1">
        <w:rPr>
          <w:rFonts w:ascii="Microsoft Sans Serif" w:eastAsia="Times New Roman" w:hAnsi="Microsoft Sans Serif" w:cs="Microsoft Sans Serif"/>
          <w:noProof/>
          <w:color w:val="404040" w:themeColor="text1" w:themeTint="BF"/>
          <w:sz w:val="20"/>
          <w:szCs w:val="20"/>
          <w:lang w:eastAsia="tr-TR"/>
        </w:rPr>
        <w:t>Banka, kredi kartlarından alınan ücret ve komisyonlarını, havale komisyonlarını. hesap işletim ücretlerini ve sigorta aracılık komisyonlarını “Alınan Ücret ve Komisyonlar” hesabının altında “Diğer” satırında muhasebeleştirmiştir. Kredi kartlarına verilen ücret ve komisyonları ise “Verilen Ücret ve Komisyonlar” hesabının altında “Diğer” satırında muhasebeleştirilmiştir.</w:t>
      </w:r>
    </w:p>
    <w:p w14:paraId="2C718C34" w14:textId="2E94C257" w:rsidR="00F72F6B" w:rsidRPr="00FB38E1" w:rsidRDefault="00F72F6B">
      <w:pPr>
        <w:rPr>
          <w:rFonts w:ascii="Microsoft Sans Serif" w:eastAsia="Times New Roman" w:hAnsi="Microsoft Sans Serif" w:cs="Microsoft Sans Serif"/>
          <w:noProof/>
          <w:color w:val="404040" w:themeColor="text1" w:themeTint="BF"/>
          <w:sz w:val="20"/>
          <w:szCs w:val="20"/>
          <w:lang w:eastAsia="tr-TR"/>
        </w:rPr>
      </w:pPr>
      <w:r w:rsidRPr="00FB38E1">
        <w:rPr>
          <w:rFonts w:ascii="Microsoft Sans Serif" w:eastAsia="Times New Roman" w:hAnsi="Microsoft Sans Serif" w:cs="Microsoft Sans Serif"/>
          <w:noProof/>
          <w:color w:val="404040" w:themeColor="text1" w:themeTint="BF"/>
          <w:sz w:val="20"/>
          <w:szCs w:val="20"/>
          <w:lang w:eastAsia="tr-TR"/>
        </w:rPr>
        <w:br w:type="page"/>
      </w:r>
    </w:p>
    <w:p w14:paraId="66AD9F6B" w14:textId="77777777" w:rsidR="00D427D0" w:rsidRPr="00FB38E1" w:rsidRDefault="00D427D0" w:rsidP="00D427D0">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FB38E1">
        <w:rPr>
          <w:rFonts w:ascii="Microsoft Sans Serif" w:hAnsi="Microsoft Sans Serif" w:cs="Microsoft Sans Serif"/>
          <w:b/>
          <w:noProof/>
          <w:snapToGrid w:val="0"/>
          <w:lang w:val="de-DE"/>
        </w:rPr>
        <w:t>Özkaynak değişim tablosuna ilişkin açıklamalar</w:t>
      </w:r>
    </w:p>
    <w:p w14:paraId="2DC9B200" w14:textId="77777777" w:rsidR="00D427D0" w:rsidRPr="00FB38E1" w:rsidRDefault="00D427D0" w:rsidP="00364B59">
      <w:pPr>
        <w:pStyle w:val="BASLIK2"/>
        <w:widowControl/>
        <w:numPr>
          <w:ilvl w:val="1"/>
          <w:numId w:val="65"/>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bCs w:val="0"/>
          <w:noProof/>
          <w:sz w:val="20"/>
          <w:szCs w:val="20"/>
        </w:rPr>
        <w:t>Sermaye artırımına ilişkin açıklamalar</w:t>
      </w:r>
    </w:p>
    <w:p w14:paraId="2DBE7395" w14:textId="22D2C16E" w:rsidR="00D427D0" w:rsidRPr="00FB38E1" w:rsidRDefault="007B679D" w:rsidP="00D427D0">
      <w:pPr>
        <w:pStyle w:val="BASLIK2"/>
        <w:widowControl/>
        <w:spacing w:before="120" w:after="0" w:line="240" w:lineRule="auto"/>
        <w:ind w:firstLine="0"/>
        <w:rPr>
          <w:rFonts w:ascii="Microsoft Sans Serif" w:hAnsi="Microsoft Sans Serif" w:cs="Microsoft Sans Serif"/>
          <w:b w:val="0"/>
          <w:noProof/>
          <w:snapToGrid w:val="0"/>
          <w:color w:val="595959" w:themeColor="text1" w:themeTint="A6"/>
          <w:sz w:val="16"/>
          <w:szCs w:val="16"/>
          <w:lang w:val="de-DE"/>
        </w:rPr>
      </w:pPr>
      <w:r w:rsidRPr="00FB38E1">
        <w:rPr>
          <w:rFonts w:ascii="Microsoft Sans Serif" w:hAnsi="Microsoft Sans Serif" w:cs="Microsoft Sans Serif"/>
          <w:b w:val="0"/>
          <w:bCs w:val="0"/>
          <w:color w:val="404040" w:themeColor="text1" w:themeTint="BF"/>
          <w:sz w:val="20"/>
          <w:szCs w:val="20"/>
          <w:lang w:eastAsia="tr-TR"/>
        </w:rPr>
        <w:t>Banka’nın 1 Nisan 2024 tarihli ve 18 Nisan 2024 tarihli Yönetim Kurulu’nun Banka sermayesinin 5.696.100.000 tam TL’den 19.638.600.000 tam TL’ye çıkartılmasına, nakit olarak artırılacak 13.942.500.000 tam TL sermayenin BDDK’nın uygunluğu çerçevesinde Banka’nın ana hissedarı ENBD’den sağlanmış bulunan sermaye benzeri kredilerin (“TIER II”) erken geri ödenmesi sonucu ENBD nam ve hesabına “sermaye avansı” olarak aktarılan bedelden karşılanmasına ve bu kapsamda Banka’nın Esas Sözleşmesinin  “Bankanın Sermayesi” başlıklı 6. maddesinin buna uygun olarak tadil edilmesi hususunda almış olduğu karar, 16 Mayıs 2024 tarihinde Olağanüstü Genel Kurul Toplantısı’nda onaylanmış ve 23 Mayıs 2024 tarihinde sermaye artışı tescil edilmiştir</w:t>
      </w:r>
      <w:r w:rsidRPr="00FB38E1">
        <w:rPr>
          <w:rFonts w:ascii="Microsoft Sans Serif" w:hAnsi="Microsoft Sans Serif" w:cs="Microsoft Sans Serif"/>
          <w:b w:val="0"/>
          <w:color w:val="404040" w:themeColor="text1" w:themeTint="BF"/>
          <w:sz w:val="20"/>
          <w:szCs w:val="20"/>
          <w:lang w:eastAsia="tr-TR"/>
        </w:rPr>
        <w:t>.</w:t>
      </w:r>
    </w:p>
    <w:p w14:paraId="7E64DCD6" w14:textId="77777777" w:rsidR="00D427D0" w:rsidRPr="00FB38E1" w:rsidRDefault="00D427D0" w:rsidP="00364B59">
      <w:pPr>
        <w:pStyle w:val="BASLIK2"/>
        <w:widowControl/>
        <w:numPr>
          <w:ilvl w:val="1"/>
          <w:numId w:val="65"/>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sz w:val="20"/>
          <w:szCs w:val="20"/>
        </w:rPr>
        <w:t>Hisse senedi ihracına ilişkin açıklamalar</w:t>
      </w:r>
    </w:p>
    <w:p w14:paraId="7E790968" w14:textId="77777777" w:rsidR="00D427D0" w:rsidRPr="00FB38E1" w:rsidRDefault="00D427D0" w:rsidP="00D427D0">
      <w:pPr>
        <w:pStyle w:val="BASLIK2"/>
        <w:widowControl/>
        <w:spacing w:before="120" w:after="0" w:line="240" w:lineRule="exact"/>
        <w:ind w:firstLine="0"/>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b w:val="0"/>
          <w:iCs/>
          <w:color w:val="404040" w:themeColor="text1" w:themeTint="BF"/>
          <w:sz w:val="20"/>
          <w:szCs w:val="20"/>
        </w:rPr>
        <w:t>Bulunmamaktadır</w:t>
      </w:r>
      <w:r w:rsidRPr="00FB38E1">
        <w:rPr>
          <w:rFonts w:ascii="Microsoft Sans Serif" w:hAnsi="Microsoft Sans Serif" w:cs="Microsoft Sans Serif"/>
          <w:b w:val="0"/>
          <w:color w:val="404040" w:themeColor="text1" w:themeTint="BF"/>
          <w:sz w:val="20"/>
          <w:szCs w:val="20"/>
        </w:rPr>
        <w:t>.</w:t>
      </w:r>
    </w:p>
    <w:p w14:paraId="046ACACE" w14:textId="77777777" w:rsidR="00D427D0" w:rsidRPr="00FB38E1" w:rsidRDefault="00D427D0" w:rsidP="00364B59">
      <w:pPr>
        <w:pStyle w:val="BASLIK2"/>
        <w:widowControl/>
        <w:numPr>
          <w:ilvl w:val="1"/>
          <w:numId w:val="65"/>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sz w:val="20"/>
          <w:szCs w:val="20"/>
        </w:rPr>
        <w:t>TMS 8 Uyarınca yapılan düzeltmeler</w:t>
      </w:r>
    </w:p>
    <w:p w14:paraId="0FF2E33B" w14:textId="77777777" w:rsidR="00D427D0" w:rsidRPr="00FB38E1" w:rsidRDefault="00D427D0" w:rsidP="00D427D0">
      <w:pPr>
        <w:autoSpaceDE w:val="0"/>
        <w:autoSpaceDN w:val="0"/>
        <w:adjustRightInd w:val="0"/>
        <w:spacing w:before="120" w:after="0" w:line="220" w:lineRule="exact"/>
        <w:rPr>
          <w:rFonts w:ascii="Microsoft Sans Serif" w:eastAsia="Times New Roman" w:hAnsi="Microsoft Sans Serif" w:cs="Microsoft Sans Serif"/>
          <w:color w:val="404040" w:themeColor="text1" w:themeTint="BF"/>
          <w:sz w:val="20"/>
          <w:szCs w:val="20"/>
          <w:lang w:eastAsia="tr-TR"/>
        </w:rPr>
      </w:pPr>
      <w:r w:rsidRPr="00FB38E1">
        <w:rPr>
          <w:rFonts w:ascii="Microsoft Sans Serif" w:hAnsi="Microsoft Sans Serif" w:cs="Microsoft Sans Serif"/>
          <w:color w:val="404040" w:themeColor="text1" w:themeTint="BF"/>
          <w:sz w:val="20"/>
          <w:szCs w:val="20"/>
          <w:lang w:val="pt-BR"/>
        </w:rPr>
        <w:t>Bulunmamaktadır</w:t>
      </w:r>
      <w:r w:rsidRPr="00FB38E1">
        <w:rPr>
          <w:rFonts w:ascii="Microsoft Sans Serif" w:eastAsia="Times New Roman" w:hAnsi="Microsoft Sans Serif" w:cs="Microsoft Sans Serif"/>
          <w:color w:val="404040" w:themeColor="text1" w:themeTint="BF"/>
          <w:sz w:val="20"/>
          <w:szCs w:val="20"/>
          <w:lang w:eastAsia="tr-TR"/>
        </w:rPr>
        <w:t>.</w:t>
      </w:r>
    </w:p>
    <w:p w14:paraId="74041038" w14:textId="77777777" w:rsidR="00D427D0" w:rsidRPr="00FB38E1" w:rsidRDefault="00D427D0" w:rsidP="00364B59">
      <w:pPr>
        <w:pStyle w:val="BASLIK2"/>
        <w:widowControl/>
        <w:numPr>
          <w:ilvl w:val="1"/>
          <w:numId w:val="65"/>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sz w:val="20"/>
          <w:szCs w:val="20"/>
        </w:rPr>
        <w:t>Kar dağıtımına ilişkin açıklamalar</w:t>
      </w:r>
    </w:p>
    <w:p w14:paraId="5AEF209D" w14:textId="77777777" w:rsidR="00D427D0" w:rsidRPr="00FB38E1" w:rsidRDefault="00D427D0" w:rsidP="00D427D0">
      <w:pPr>
        <w:pStyle w:val="BASLIK2"/>
        <w:widowControl/>
        <w:spacing w:before="120" w:after="0" w:line="220" w:lineRule="exact"/>
        <w:ind w:firstLine="0"/>
        <w:rPr>
          <w:rFonts w:ascii="Microsoft Sans Serif" w:hAnsi="Microsoft Sans Serif" w:cs="Microsoft Sans Serif"/>
          <w:b w:val="0"/>
          <w:bCs w:val="0"/>
          <w:sz w:val="20"/>
          <w:szCs w:val="20"/>
        </w:rPr>
      </w:pPr>
      <w:r w:rsidRPr="00FB38E1">
        <w:rPr>
          <w:rFonts w:ascii="Microsoft Sans Serif" w:hAnsi="Microsoft Sans Serif" w:cs="Microsoft Sans Serif"/>
          <w:b w:val="0"/>
          <w:color w:val="404040" w:themeColor="text1" w:themeTint="BF"/>
          <w:sz w:val="20"/>
          <w:szCs w:val="20"/>
        </w:rPr>
        <w:t>Kar dağıtımı hakkında Banka’nın yetkili organı Genel Kurul olup, finansalların düzenlendiği tarih itibarıyla yıllık olağan Genel Kurul toplantısı henüz yapılmamıştır.</w:t>
      </w:r>
    </w:p>
    <w:p w14:paraId="22C31302" w14:textId="77777777" w:rsidR="00D427D0" w:rsidRPr="00FB38E1" w:rsidRDefault="00D427D0" w:rsidP="00364B59">
      <w:pPr>
        <w:pStyle w:val="BASLIK2"/>
        <w:widowControl/>
        <w:numPr>
          <w:ilvl w:val="1"/>
          <w:numId w:val="65"/>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sz w:val="20"/>
          <w:szCs w:val="20"/>
        </w:rPr>
        <w:t>Diğer kapsamlı gelir ve giderler</w:t>
      </w:r>
    </w:p>
    <w:p w14:paraId="30BD03C0" w14:textId="7C74CB46" w:rsidR="00D427D0" w:rsidRPr="00FB38E1" w:rsidRDefault="00D427D0" w:rsidP="00D427D0">
      <w:pPr>
        <w:pStyle w:val="BASLIK2"/>
        <w:widowControl/>
        <w:spacing w:before="120" w:after="0" w:line="220" w:lineRule="exact"/>
        <w:ind w:firstLine="0"/>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b w:val="0"/>
          <w:color w:val="404040" w:themeColor="text1" w:themeTint="BF"/>
          <w:sz w:val="20"/>
          <w:szCs w:val="20"/>
        </w:rPr>
        <w:t>Gerçeğe uygun değer farkı diğer kapsamlı gelire yansıtılan finansal varlıkların</w:t>
      </w:r>
      <w:r w:rsidRPr="00FB38E1">
        <w:rPr>
          <w:rFonts w:ascii="Microsoft Sans Serif" w:hAnsi="Microsoft Sans Serif" w:cs="Microsoft Sans Serif"/>
          <w:sz w:val="20"/>
          <w:szCs w:val="20"/>
        </w:rPr>
        <w:t xml:space="preserve"> </w:t>
      </w:r>
      <w:r w:rsidRPr="00FB38E1">
        <w:rPr>
          <w:rFonts w:ascii="Microsoft Sans Serif" w:hAnsi="Microsoft Sans Serif" w:cs="Microsoft Sans Serif"/>
          <w:b w:val="0"/>
          <w:color w:val="404040" w:themeColor="text1" w:themeTint="BF"/>
          <w:sz w:val="20"/>
          <w:szCs w:val="20"/>
        </w:rPr>
        <w:t>gerçeğe uygun değerlerindeki değişikliklerden kaynaklanan “Gerçekleşmemiş kar/zararlar” ilgili finansal varlığa karşılık gelen değerin tahsili, varlığın satılması, elden çıkarılması veya zafiye uğraması durumlarından birinin gerçekleşmesine kadar dönemin gelir tablosuna yansıtılmamakta ve özkaynaklar altında “Menkul değerler değerleme farkları” hesabında izlenmektedir. Cari döneme ait vergi sonrası net tutar (</w:t>
      </w:r>
      <w:r w:rsidR="006C2462" w:rsidRPr="00FB38E1">
        <w:rPr>
          <w:rFonts w:ascii="Microsoft Sans Serif" w:hAnsi="Microsoft Sans Serif" w:cs="Microsoft Sans Serif"/>
          <w:b w:val="0"/>
          <w:color w:val="404040" w:themeColor="text1" w:themeTint="BF"/>
          <w:sz w:val="20"/>
          <w:szCs w:val="20"/>
        </w:rPr>
        <w:t>2.136.630</w:t>
      </w:r>
      <w:r w:rsidRPr="00FB38E1">
        <w:rPr>
          <w:rFonts w:ascii="Microsoft Sans Serif" w:hAnsi="Microsoft Sans Serif" w:cs="Microsoft Sans Serif"/>
          <w:b w:val="0"/>
          <w:color w:val="404040" w:themeColor="text1" w:themeTint="BF"/>
          <w:sz w:val="20"/>
          <w:szCs w:val="20"/>
        </w:rPr>
        <w:t>) TL’dir.</w:t>
      </w:r>
    </w:p>
    <w:p w14:paraId="5E45B64A" w14:textId="3B2E0A99" w:rsidR="00D427D0" w:rsidRPr="00FB38E1" w:rsidRDefault="006C2462" w:rsidP="00D427D0">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519.584</w:t>
      </w:r>
      <w:r w:rsidR="00D427D0" w:rsidRPr="00FB38E1">
        <w:rPr>
          <w:rFonts w:ascii="Microsoft Sans Serif" w:hAnsi="Microsoft Sans Serif" w:cs="Microsoft Sans Serif"/>
          <w:b w:val="0"/>
          <w:bCs w:val="0"/>
          <w:color w:val="404040" w:themeColor="text1" w:themeTint="BF"/>
          <w:sz w:val="20"/>
          <w:szCs w:val="20"/>
          <w:lang w:eastAsia="tr-TR"/>
        </w:rPr>
        <w:t xml:space="preserve"> TL tutarındaki maddi duran varlıkların yeniden değerleme artışı özkaynaklarda muhasebeleştirilmiştir.</w:t>
      </w:r>
    </w:p>
    <w:p w14:paraId="336F110C" w14:textId="192F3604" w:rsidR="00D427D0" w:rsidRPr="00FB38E1" w:rsidRDefault="00D427D0" w:rsidP="00D427D0">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 xml:space="preserve">TFRS 9 uyarınca Intertech’in </w:t>
      </w:r>
      <w:r w:rsidR="006C2462" w:rsidRPr="00FB38E1">
        <w:rPr>
          <w:rFonts w:ascii="Microsoft Sans Serif" w:hAnsi="Microsoft Sans Serif" w:cs="Microsoft Sans Serif"/>
          <w:b w:val="0"/>
          <w:bCs w:val="0"/>
          <w:color w:val="404040" w:themeColor="text1" w:themeTint="BF"/>
          <w:sz w:val="20"/>
          <w:szCs w:val="20"/>
          <w:lang w:eastAsia="tr-TR"/>
        </w:rPr>
        <w:t>4.093.528</w:t>
      </w:r>
      <w:r w:rsidRPr="00FB38E1">
        <w:rPr>
          <w:rFonts w:ascii="Microsoft Sans Serif" w:hAnsi="Microsoft Sans Serif" w:cs="Microsoft Sans Serif"/>
          <w:b w:val="0"/>
          <w:bCs w:val="0"/>
          <w:color w:val="404040" w:themeColor="text1" w:themeTint="BF"/>
          <w:sz w:val="20"/>
          <w:szCs w:val="20"/>
          <w:lang w:eastAsia="tr-TR"/>
        </w:rPr>
        <w:t xml:space="preserve"> TL tutarındaki gerçeğe uygun değer değişimi özkaynaklarda muhasebeleştirilmiştir.</w:t>
      </w:r>
    </w:p>
    <w:p w14:paraId="46EDBCDF" w14:textId="172614FA" w:rsidR="00D427D0" w:rsidRPr="00FB38E1" w:rsidRDefault="00D427D0" w:rsidP="00D427D0">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 xml:space="preserve">Aktueryal kazanç/(kayıp)’lara ait vergi sonrası net </w:t>
      </w:r>
      <w:r w:rsidR="006C2462" w:rsidRPr="00FB38E1">
        <w:rPr>
          <w:rFonts w:ascii="Microsoft Sans Serif" w:hAnsi="Microsoft Sans Serif" w:cs="Microsoft Sans Serif"/>
          <w:b w:val="0"/>
          <w:bCs w:val="0"/>
          <w:color w:val="404040" w:themeColor="text1" w:themeTint="BF"/>
          <w:sz w:val="20"/>
          <w:szCs w:val="20"/>
          <w:lang w:eastAsia="tr-TR"/>
        </w:rPr>
        <w:t>(459.096)</w:t>
      </w:r>
      <w:r w:rsidRPr="00FB38E1">
        <w:rPr>
          <w:rFonts w:ascii="Microsoft Sans Serif" w:hAnsi="Microsoft Sans Serif" w:cs="Microsoft Sans Serif"/>
          <w:b w:val="0"/>
          <w:bCs w:val="0"/>
          <w:color w:val="404040" w:themeColor="text1" w:themeTint="BF"/>
          <w:sz w:val="20"/>
          <w:szCs w:val="20"/>
          <w:lang w:eastAsia="tr-TR"/>
        </w:rPr>
        <w:t xml:space="preserve"> TL tutar özkaynaklarda muhasebeleştirilmiştir.</w:t>
      </w:r>
    </w:p>
    <w:p w14:paraId="297383BD" w14:textId="5BD8BC27" w:rsidR="00D427D0" w:rsidRPr="00FB38E1" w:rsidRDefault="00D427D0" w:rsidP="00D427D0">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 xml:space="preserve">Yurt dışındaki net yatırım riskinden korunma fonlarının vergi sonrası net </w:t>
      </w:r>
      <w:r w:rsidR="007C20C8" w:rsidRPr="00FB38E1">
        <w:rPr>
          <w:rFonts w:ascii="Microsoft Sans Serif" w:hAnsi="Microsoft Sans Serif" w:cs="Microsoft Sans Serif"/>
          <w:b w:val="0"/>
          <w:bCs w:val="0"/>
          <w:color w:val="404040" w:themeColor="text1" w:themeTint="BF"/>
          <w:sz w:val="20"/>
          <w:szCs w:val="20"/>
          <w:lang w:eastAsia="tr-TR"/>
        </w:rPr>
        <w:tab/>
      </w:r>
      <w:r w:rsidR="006C2462" w:rsidRPr="00FB38E1">
        <w:rPr>
          <w:rFonts w:ascii="Microsoft Sans Serif" w:hAnsi="Microsoft Sans Serif" w:cs="Microsoft Sans Serif"/>
          <w:b w:val="0"/>
          <w:bCs w:val="0"/>
          <w:color w:val="404040" w:themeColor="text1" w:themeTint="BF"/>
          <w:sz w:val="20"/>
          <w:szCs w:val="20"/>
          <w:lang w:eastAsia="tr-TR"/>
        </w:rPr>
        <w:t>773.791</w:t>
      </w:r>
      <w:r w:rsidRPr="00FB38E1">
        <w:rPr>
          <w:rFonts w:ascii="Microsoft Sans Serif" w:hAnsi="Microsoft Sans Serif" w:cs="Microsoft Sans Serif"/>
          <w:b w:val="0"/>
          <w:bCs w:val="0"/>
          <w:color w:val="404040" w:themeColor="text1" w:themeTint="BF"/>
          <w:sz w:val="20"/>
          <w:szCs w:val="20"/>
          <w:lang w:eastAsia="tr-TR"/>
        </w:rPr>
        <w:t xml:space="preserve"> TL tutarı özkaynaklar altında muhasebeleştirilmiştir. </w:t>
      </w:r>
    </w:p>
    <w:p w14:paraId="4F91C380" w14:textId="36D51199" w:rsidR="00D427D0" w:rsidRPr="00FB38E1" w:rsidRDefault="00D427D0" w:rsidP="00D427D0">
      <w:pPr>
        <w:pStyle w:val="Head1"/>
        <w:keepNext w:val="0"/>
        <w:keepLines w:val="0"/>
        <w:tabs>
          <w:tab w:val="clear" w:pos="-218"/>
        </w:tabs>
        <w:spacing w:before="120" w:after="0" w:line="220" w:lineRule="exact"/>
        <w:ind w:left="0" w:right="0" w:firstLine="0"/>
        <w:outlineLvl w:val="9"/>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b w:val="0"/>
          <w:bCs w:val="0"/>
          <w:color w:val="404040" w:themeColor="text1" w:themeTint="BF"/>
          <w:sz w:val="20"/>
          <w:szCs w:val="20"/>
          <w:lang w:eastAsia="tr-TR"/>
        </w:rPr>
        <w:t xml:space="preserve">Yabancı para çevrim farklarına ait </w:t>
      </w:r>
      <w:r w:rsidR="007C20C8" w:rsidRPr="00FB38E1">
        <w:rPr>
          <w:rFonts w:ascii="Microsoft Sans Serif" w:hAnsi="Microsoft Sans Serif" w:cs="Microsoft Sans Serif"/>
          <w:b w:val="0"/>
          <w:bCs w:val="0"/>
          <w:color w:val="404040" w:themeColor="text1" w:themeTint="BF"/>
          <w:sz w:val="20"/>
          <w:szCs w:val="20"/>
          <w:lang w:eastAsia="tr-TR"/>
        </w:rPr>
        <w:t xml:space="preserve">(826.838) </w:t>
      </w:r>
      <w:r w:rsidRPr="00FB38E1">
        <w:rPr>
          <w:rFonts w:ascii="Microsoft Sans Serif" w:hAnsi="Microsoft Sans Serif" w:cs="Microsoft Sans Serif"/>
          <w:b w:val="0"/>
          <w:bCs w:val="0"/>
          <w:color w:val="404040" w:themeColor="text1" w:themeTint="BF"/>
          <w:sz w:val="20"/>
          <w:szCs w:val="20"/>
          <w:lang w:eastAsia="tr-TR"/>
        </w:rPr>
        <w:t>TL tutar özkaynaklar altında muhasebeleştirilmiştir.</w:t>
      </w:r>
    </w:p>
    <w:p w14:paraId="2605D72C" w14:textId="77777777" w:rsidR="00D427D0" w:rsidRPr="00FB38E1" w:rsidRDefault="00D427D0" w:rsidP="00364B59">
      <w:pPr>
        <w:pStyle w:val="BASLIK2"/>
        <w:widowControl/>
        <w:numPr>
          <w:ilvl w:val="1"/>
          <w:numId w:val="65"/>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sz w:val="20"/>
          <w:szCs w:val="20"/>
        </w:rPr>
        <w:t>Yedeklere aktarılan tutarlara ilişkin açıklamalar</w:t>
      </w:r>
    </w:p>
    <w:p w14:paraId="491C8C60" w14:textId="15C5936E" w:rsidR="00D427D0" w:rsidRPr="00FB38E1" w:rsidRDefault="00D427D0" w:rsidP="00D427D0">
      <w:pPr>
        <w:pStyle w:val="BASLIK2"/>
        <w:widowControl/>
        <w:spacing w:before="120" w:line="240" w:lineRule="exact"/>
        <w:ind w:firstLine="0"/>
        <w:rPr>
          <w:rFonts w:ascii="Microsoft Sans Serif" w:hAnsi="Microsoft Sans Serif" w:cs="Microsoft Sans Serif"/>
          <w:b w:val="0"/>
          <w:color w:val="404040" w:themeColor="text1" w:themeTint="BF"/>
          <w:sz w:val="20"/>
          <w:szCs w:val="20"/>
        </w:rPr>
      </w:pPr>
      <w:bookmarkStart w:id="78" w:name="_Hlk188143545"/>
      <w:r w:rsidRPr="00FB38E1">
        <w:rPr>
          <w:rFonts w:ascii="Microsoft Sans Serif" w:hAnsi="Microsoft Sans Serif" w:cs="Microsoft Sans Serif"/>
          <w:b w:val="0"/>
          <w:color w:val="404040" w:themeColor="text1" w:themeTint="BF"/>
          <w:sz w:val="20"/>
          <w:szCs w:val="20"/>
        </w:rPr>
        <w:t xml:space="preserve">Banka, 2024 yılında geçmiş yıl karlarından </w:t>
      </w:r>
      <w:bookmarkStart w:id="79" w:name="_Hlk126350568"/>
      <w:r w:rsidR="007C20C8" w:rsidRPr="00FB38E1">
        <w:rPr>
          <w:rFonts w:ascii="Microsoft Sans Serif" w:hAnsi="Microsoft Sans Serif" w:cs="Microsoft Sans Serif"/>
          <w:b w:val="0"/>
          <w:color w:val="404040" w:themeColor="text1" w:themeTint="BF"/>
          <w:sz w:val="20"/>
          <w:szCs w:val="20"/>
        </w:rPr>
        <w:t>27.858.806</w:t>
      </w:r>
      <w:r w:rsidRPr="00FB38E1">
        <w:rPr>
          <w:rFonts w:ascii="Microsoft Sans Serif" w:hAnsi="Microsoft Sans Serif" w:cs="Microsoft Sans Serif"/>
          <w:b w:val="0"/>
          <w:color w:val="404040" w:themeColor="text1" w:themeTint="BF"/>
          <w:sz w:val="20"/>
          <w:szCs w:val="20"/>
        </w:rPr>
        <w:t xml:space="preserve"> </w:t>
      </w:r>
      <w:bookmarkEnd w:id="79"/>
      <w:r w:rsidRPr="00FB38E1">
        <w:rPr>
          <w:rFonts w:ascii="Microsoft Sans Serif" w:hAnsi="Microsoft Sans Serif" w:cs="Microsoft Sans Serif"/>
          <w:b w:val="0"/>
          <w:color w:val="404040" w:themeColor="text1" w:themeTint="BF"/>
          <w:sz w:val="20"/>
          <w:szCs w:val="20"/>
        </w:rPr>
        <w:t xml:space="preserve">TL’yi (31 Aralık 2023: 16.822.539 TL) olağanüstü yedek akçelere aktarmıştır. </w:t>
      </w:r>
      <w:r w:rsidR="007C20C8" w:rsidRPr="00FB38E1">
        <w:rPr>
          <w:rFonts w:ascii="Microsoft Sans Serif" w:hAnsi="Microsoft Sans Serif" w:cs="Microsoft Sans Serif"/>
          <w:b w:val="0"/>
          <w:color w:val="404040" w:themeColor="text1" w:themeTint="BF"/>
          <w:sz w:val="20"/>
          <w:szCs w:val="20"/>
        </w:rPr>
        <w:t xml:space="preserve">Tasarrufu Zorunlu Fonlar’a </w:t>
      </w:r>
      <w:r w:rsidRPr="00FB38E1">
        <w:rPr>
          <w:rFonts w:ascii="Microsoft Sans Serif" w:hAnsi="Microsoft Sans Serif" w:cs="Microsoft Sans Serif"/>
          <w:b w:val="0"/>
          <w:color w:val="404040" w:themeColor="text1" w:themeTint="BF"/>
          <w:sz w:val="20"/>
          <w:szCs w:val="20"/>
        </w:rPr>
        <w:t xml:space="preserve">ayrılan tutar </w:t>
      </w:r>
      <w:r w:rsidR="007C20C8" w:rsidRPr="00FB38E1">
        <w:rPr>
          <w:rFonts w:ascii="Microsoft Sans Serif" w:hAnsi="Microsoft Sans Serif" w:cs="Microsoft Sans Serif"/>
          <w:b w:val="0"/>
          <w:color w:val="404040" w:themeColor="text1" w:themeTint="BF"/>
          <w:sz w:val="20"/>
          <w:szCs w:val="20"/>
        </w:rPr>
        <w:t>18.979</w:t>
      </w:r>
      <w:r w:rsidRPr="00FB38E1">
        <w:rPr>
          <w:rFonts w:ascii="Microsoft Sans Serif" w:hAnsi="Microsoft Sans Serif" w:cs="Microsoft Sans Serif"/>
          <w:b w:val="0"/>
          <w:color w:val="404040" w:themeColor="text1" w:themeTint="BF"/>
          <w:sz w:val="20"/>
          <w:szCs w:val="20"/>
        </w:rPr>
        <w:t xml:space="preserve"> TL’dir</w:t>
      </w:r>
      <w:r w:rsidR="007C20C8" w:rsidRPr="00FB38E1">
        <w:rPr>
          <w:rFonts w:ascii="Microsoft Sans Serif" w:hAnsi="Microsoft Sans Serif" w:cs="Microsoft Sans Serif"/>
          <w:b w:val="0"/>
          <w:color w:val="404040" w:themeColor="text1" w:themeTint="BF"/>
          <w:sz w:val="20"/>
          <w:szCs w:val="20"/>
        </w:rPr>
        <w:t>. Genel kanuni yedek akçe toplamının 6102 sayılı Türk Ticaret Kanunu’nun 519 1’inci maddesi uyarınca ödenmiş sermayenin %20’sine ulaşmış olması nedeniyle genel kanuni yedek akçe ayrılmamıştır</w:t>
      </w:r>
      <w:r w:rsidRPr="00FB38E1">
        <w:rPr>
          <w:rFonts w:ascii="Microsoft Sans Serif" w:hAnsi="Microsoft Sans Serif" w:cs="Microsoft Sans Serif"/>
          <w:b w:val="0"/>
          <w:color w:val="404040" w:themeColor="text1" w:themeTint="BF"/>
          <w:sz w:val="20"/>
          <w:szCs w:val="20"/>
        </w:rPr>
        <w:t xml:space="preserve"> (31 Aralık 202</w:t>
      </w:r>
      <w:r w:rsidR="00E5154E" w:rsidRPr="00FB38E1">
        <w:rPr>
          <w:rFonts w:ascii="Microsoft Sans Serif" w:hAnsi="Microsoft Sans Serif" w:cs="Microsoft Sans Serif"/>
          <w:b w:val="0"/>
          <w:color w:val="404040" w:themeColor="text1" w:themeTint="BF"/>
          <w:sz w:val="20"/>
          <w:szCs w:val="20"/>
        </w:rPr>
        <w:t>3</w:t>
      </w:r>
      <w:r w:rsidRPr="00FB38E1">
        <w:rPr>
          <w:rFonts w:ascii="Microsoft Sans Serif" w:hAnsi="Microsoft Sans Serif" w:cs="Microsoft Sans Serif"/>
          <w:b w:val="0"/>
          <w:color w:val="404040" w:themeColor="text1" w:themeTint="BF"/>
          <w:sz w:val="20"/>
          <w:szCs w:val="20"/>
        </w:rPr>
        <w:t>: 350.475</w:t>
      </w:r>
      <w:r w:rsidR="002A5899" w:rsidRPr="00FB38E1">
        <w:rPr>
          <w:rFonts w:ascii="Microsoft Sans Serif" w:hAnsi="Microsoft Sans Serif" w:cs="Microsoft Sans Serif"/>
          <w:b w:val="0"/>
          <w:color w:val="404040" w:themeColor="text1" w:themeTint="BF"/>
          <w:sz w:val="20"/>
          <w:szCs w:val="20"/>
        </w:rPr>
        <w:t xml:space="preserve"> TL</w:t>
      </w:r>
      <w:r w:rsidRPr="00FB38E1">
        <w:rPr>
          <w:rFonts w:ascii="Microsoft Sans Serif" w:hAnsi="Microsoft Sans Serif" w:cs="Microsoft Sans Serif"/>
          <w:b w:val="0"/>
          <w:color w:val="404040" w:themeColor="text1" w:themeTint="BF"/>
          <w:sz w:val="20"/>
          <w:szCs w:val="20"/>
        </w:rPr>
        <w:t>)</w:t>
      </w:r>
      <w:bookmarkEnd w:id="78"/>
      <w:r w:rsidRPr="00FB38E1">
        <w:rPr>
          <w:rFonts w:ascii="Microsoft Sans Serif" w:hAnsi="Microsoft Sans Serif" w:cs="Microsoft Sans Serif"/>
          <w:b w:val="0"/>
          <w:color w:val="404040" w:themeColor="text1" w:themeTint="BF"/>
          <w:sz w:val="20"/>
          <w:szCs w:val="20"/>
        </w:rPr>
        <w:t>.</w:t>
      </w:r>
    </w:p>
    <w:p w14:paraId="67420D19" w14:textId="77777777" w:rsidR="00D427D0" w:rsidRPr="00FB38E1" w:rsidRDefault="00D427D0" w:rsidP="00D427D0">
      <w:pPr>
        <w:rPr>
          <w:rFonts w:ascii="Microsoft Sans Serif" w:eastAsia="Times New Roman" w:hAnsi="Microsoft Sans Serif" w:cs="Microsoft Sans Serif"/>
          <w:color w:val="404040" w:themeColor="text1" w:themeTint="BF"/>
          <w:sz w:val="20"/>
          <w:szCs w:val="20"/>
          <w:lang w:eastAsia="tr-TR"/>
        </w:rPr>
      </w:pPr>
      <w:r w:rsidRPr="00FB38E1">
        <w:rPr>
          <w:rFonts w:ascii="Microsoft Sans Serif" w:hAnsi="Microsoft Sans Serif" w:cs="Microsoft Sans Serif"/>
          <w:b/>
          <w:bCs/>
          <w:color w:val="404040" w:themeColor="text1" w:themeTint="BF"/>
          <w:sz w:val="20"/>
          <w:szCs w:val="20"/>
          <w:lang w:eastAsia="tr-TR"/>
        </w:rPr>
        <w:br w:type="page"/>
      </w:r>
    </w:p>
    <w:p w14:paraId="6BFD6A32" w14:textId="77777777" w:rsidR="00D427D0" w:rsidRPr="00FB38E1" w:rsidRDefault="00D427D0" w:rsidP="00D427D0">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FB38E1">
        <w:rPr>
          <w:rFonts w:ascii="Microsoft Sans Serif" w:hAnsi="Microsoft Sans Serif" w:cs="Microsoft Sans Serif"/>
          <w:b/>
          <w:noProof/>
          <w:snapToGrid w:val="0"/>
          <w:lang w:val="de-DE"/>
        </w:rPr>
        <w:t>Nakit akış tablosuna ilişkin açıklamalar</w:t>
      </w:r>
    </w:p>
    <w:p w14:paraId="73DFF280" w14:textId="77777777" w:rsidR="00D427D0" w:rsidRPr="00FB38E1" w:rsidRDefault="00D427D0" w:rsidP="00364B59">
      <w:pPr>
        <w:pStyle w:val="BASLIK2"/>
        <w:widowControl/>
        <w:numPr>
          <w:ilvl w:val="0"/>
          <w:numId w:val="66"/>
        </w:numPr>
        <w:spacing w:line="240" w:lineRule="exact"/>
        <w:ind w:left="0" w:hanging="567"/>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t>Nakit ve nakde eşdeğer varlıklara ilişkin bilgiler</w:t>
      </w:r>
    </w:p>
    <w:p w14:paraId="71671FE5" w14:textId="77777777" w:rsidR="00D427D0" w:rsidRPr="00FB38E1" w:rsidRDefault="00D427D0" w:rsidP="00D427D0">
      <w:pPr>
        <w:pStyle w:val="Head1"/>
        <w:keepNext w:val="0"/>
        <w:keepLines w:val="0"/>
        <w:tabs>
          <w:tab w:val="clear" w:pos="-218"/>
        </w:tabs>
        <w:spacing w:before="120" w:after="0" w:line="220" w:lineRule="exact"/>
        <w:ind w:left="0" w:right="0" w:firstLine="0"/>
        <w:outlineLvl w:val="9"/>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Nakit ve nakde eşdeğer varlıkları oluşturan unsurlar bu unsurların belirlenmesinde kullanılan muhasebe politikası:</w:t>
      </w:r>
    </w:p>
    <w:p w14:paraId="1C3F76BA" w14:textId="77777777" w:rsidR="00D427D0" w:rsidRPr="00FB38E1" w:rsidRDefault="00D427D0" w:rsidP="00D427D0">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Kasa, efektif deposu, yoldaki paralar, ile Merkez Bankası dahil bankalardaki vadesiz mevduat “Nakit” olarak, orijinal vadesi üç aydan kısa olan para piyasasından alacaklar, bankalardaki vadeli depolar, hisse senetleri hariç menkul kıymetlere yapılan yatırımlar “Nakde eşdeğer varlık” olarak tanımlanmaktadır.</w:t>
      </w:r>
    </w:p>
    <w:p w14:paraId="49BA6BA7" w14:textId="77777777" w:rsidR="00D427D0" w:rsidRPr="00FB38E1" w:rsidRDefault="00D427D0" w:rsidP="00364B59">
      <w:pPr>
        <w:pStyle w:val="BASLIK2"/>
        <w:widowControl/>
        <w:numPr>
          <w:ilvl w:val="2"/>
          <w:numId w:val="65"/>
        </w:numPr>
        <w:spacing w:line="240" w:lineRule="exact"/>
        <w:ind w:left="0" w:hanging="425"/>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t>Dönem başındaki nakit ve nakde eşdeğer varlıklar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D427D0" w:rsidRPr="00FB38E1" w14:paraId="3F49DAED" w14:textId="77777777" w:rsidTr="00836EF2">
        <w:trPr>
          <w:trHeight w:val="24"/>
        </w:trPr>
        <w:tc>
          <w:tcPr>
            <w:tcW w:w="2702" w:type="pct"/>
            <w:tcBorders>
              <w:top w:val="thinThickSmallGap" w:sz="24" w:space="0" w:color="auto"/>
              <w:bottom w:val="nil"/>
            </w:tcBorders>
            <w:vAlign w:val="bottom"/>
          </w:tcPr>
          <w:p w14:paraId="0FC0B459" w14:textId="77777777" w:rsidR="00D427D0" w:rsidRPr="00FB38E1" w:rsidRDefault="00D427D0" w:rsidP="00836EF2">
            <w:pPr>
              <w:rPr>
                <w:rFonts w:ascii="Microsoft Sans Serif" w:hAnsi="Microsoft Sans Serif" w:cs="Microsoft Sans Serif"/>
                <w:b/>
                <w:bCs/>
                <w:color w:val="000000"/>
                <w:sz w:val="16"/>
                <w:szCs w:val="16"/>
              </w:rPr>
            </w:pPr>
          </w:p>
        </w:tc>
        <w:tc>
          <w:tcPr>
            <w:tcW w:w="1149" w:type="pct"/>
            <w:tcBorders>
              <w:top w:val="thinThickSmallGap" w:sz="24" w:space="0" w:color="auto"/>
              <w:bottom w:val="single" w:sz="4" w:space="0" w:color="auto"/>
            </w:tcBorders>
          </w:tcPr>
          <w:p w14:paraId="6ED3632A" w14:textId="77777777" w:rsidR="00D427D0" w:rsidRPr="00FB38E1" w:rsidRDefault="00D427D0"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vAlign w:val="bottom"/>
          </w:tcPr>
          <w:p w14:paraId="3E90423C" w14:textId="77777777" w:rsidR="00D427D0" w:rsidRPr="00FB38E1" w:rsidRDefault="00D427D0"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D427D0" w:rsidRPr="00FB38E1" w14:paraId="02B95B88" w14:textId="77777777" w:rsidTr="00836EF2">
        <w:trPr>
          <w:trHeight w:val="47"/>
        </w:trPr>
        <w:tc>
          <w:tcPr>
            <w:tcW w:w="2702" w:type="pct"/>
            <w:tcBorders>
              <w:top w:val="nil"/>
              <w:bottom w:val="single" w:sz="4" w:space="0" w:color="auto"/>
            </w:tcBorders>
            <w:vAlign w:val="bottom"/>
          </w:tcPr>
          <w:p w14:paraId="0F609BDB" w14:textId="77777777" w:rsidR="00D427D0" w:rsidRPr="00FB38E1" w:rsidRDefault="00D427D0" w:rsidP="00D427D0">
            <w:pPr>
              <w:rPr>
                <w:rFonts w:ascii="Microsoft Sans Serif" w:hAnsi="Microsoft Sans Serif" w:cs="Microsoft Sans Serif"/>
                <w:color w:val="404040"/>
                <w:sz w:val="16"/>
                <w:szCs w:val="16"/>
              </w:rPr>
            </w:pPr>
          </w:p>
        </w:tc>
        <w:tc>
          <w:tcPr>
            <w:tcW w:w="1149" w:type="pct"/>
            <w:tcBorders>
              <w:top w:val="single" w:sz="4" w:space="0" w:color="auto"/>
              <w:bottom w:val="single" w:sz="4" w:space="0" w:color="auto"/>
            </w:tcBorders>
          </w:tcPr>
          <w:p w14:paraId="0847C74D" w14:textId="6075CAEF" w:rsidR="00D427D0" w:rsidRPr="00FB38E1" w:rsidRDefault="00D427D0" w:rsidP="00D427D0">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01.01.2024</w:t>
            </w:r>
          </w:p>
        </w:tc>
        <w:tc>
          <w:tcPr>
            <w:tcW w:w="1149" w:type="pct"/>
            <w:tcBorders>
              <w:top w:val="single" w:sz="4" w:space="0" w:color="auto"/>
              <w:left w:val="nil"/>
              <w:bottom w:val="single" w:sz="4" w:space="0" w:color="auto"/>
              <w:right w:val="nil"/>
            </w:tcBorders>
            <w:shd w:val="clear" w:color="auto" w:fill="auto"/>
          </w:tcPr>
          <w:p w14:paraId="44B584ED" w14:textId="77D875D5" w:rsidR="00D427D0" w:rsidRPr="00FB38E1" w:rsidRDefault="00D427D0" w:rsidP="00D427D0">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01.01.2023</w:t>
            </w:r>
          </w:p>
        </w:tc>
      </w:tr>
      <w:tr w:rsidR="005372B3" w:rsidRPr="00FB38E1" w14:paraId="7375EB29" w14:textId="77777777" w:rsidTr="00836EF2">
        <w:trPr>
          <w:trHeight w:val="47"/>
        </w:trPr>
        <w:tc>
          <w:tcPr>
            <w:tcW w:w="2702" w:type="pct"/>
            <w:tcBorders>
              <w:top w:val="single" w:sz="4" w:space="0" w:color="auto"/>
              <w:bottom w:val="nil"/>
            </w:tcBorders>
            <w:vAlign w:val="bottom"/>
          </w:tcPr>
          <w:p w14:paraId="1BF9254F" w14:textId="77777777" w:rsidR="005372B3" w:rsidRPr="00FB38E1" w:rsidRDefault="005372B3" w:rsidP="005372B3">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Nakit</w:t>
            </w:r>
          </w:p>
        </w:tc>
        <w:tc>
          <w:tcPr>
            <w:tcW w:w="1149" w:type="pct"/>
            <w:tcBorders>
              <w:top w:val="single" w:sz="4" w:space="0" w:color="auto"/>
              <w:bottom w:val="nil"/>
            </w:tcBorders>
            <w:vAlign w:val="center"/>
          </w:tcPr>
          <w:p w14:paraId="40190452" w14:textId="75DDFC25" w:rsidR="005372B3" w:rsidRPr="00FB38E1" w:rsidRDefault="005372B3" w:rsidP="005372B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21.801.548</w:t>
            </w:r>
          </w:p>
        </w:tc>
        <w:tc>
          <w:tcPr>
            <w:tcW w:w="1149" w:type="pct"/>
            <w:tcBorders>
              <w:top w:val="single" w:sz="4" w:space="0" w:color="auto"/>
              <w:left w:val="nil"/>
              <w:bottom w:val="nil"/>
              <w:right w:val="nil"/>
            </w:tcBorders>
            <w:shd w:val="clear" w:color="auto" w:fill="auto"/>
            <w:vAlign w:val="center"/>
          </w:tcPr>
          <w:p w14:paraId="1AC7863F" w14:textId="56C28C6D" w:rsidR="005372B3" w:rsidRPr="00FB38E1" w:rsidRDefault="005372B3" w:rsidP="005372B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12.945.628</w:t>
            </w:r>
          </w:p>
        </w:tc>
      </w:tr>
      <w:tr w:rsidR="005372B3" w:rsidRPr="00FB38E1" w14:paraId="7D8558A6" w14:textId="77777777" w:rsidTr="00836EF2">
        <w:trPr>
          <w:trHeight w:val="57"/>
        </w:trPr>
        <w:tc>
          <w:tcPr>
            <w:tcW w:w="2702" w:type="pct"/>
            <w:tcBorders>
              <w:top w:val="nil"/>
              <w:bottom w:val="nil"/>
            </w:tcBorders>
            <w:tcMar>
              <w:left w:w="170" w:type="dxa"/>
            </w:tcMar>
            <w:vAlign w:val="bottom"/>
          </w:tcPr>
          <w:p w14:paraId="0DCB80A7" w14:textId="77777777" w:rsidR="005372B3" w:rsidRPr="00FB38E1" w:rsidRDefault="005372B3" w:rsidP="005372B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Kasa, efektif deposu ve diğer</w:t>
            </w:r>
          </w:p>
        </w:tc>
        <w:tc>
          <w:tcPr>
            <w:tcW w:w="1149" w:type="pct"/>
            <w:tcBorders>
              <w:top w:val="nil"/>
              <w:bottom w:val="nil"/>
            </w:tcBorders>
            <w:vAlign w:val="center"/>
          </w:tcPr>
          <w:p w14:paraId="53134AC7" w14:textId="6BBDB795"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8.093.635</w:t>
            </w:r>
          </w:p>
        </w:tc>
        <w:tc>
          <w:tcPr>
            <w:tcW w:w="1149" w:type="pct"/>
            <w:tcBorders>
              <w:top w:val="nil"/>
              <w:left w:val="nil"/>
              <w:bottom w:val="nil"/>
              <w:right w:val="nil"/>
            </w:tcBorders>
            <w:shd w:val="clear" w:color="auto" w:fill="auto"/>
            <w:vAlign w:val="center"/>
          </w:tcPr>
          <w:p w14:paraId="26289268" w14:textId="7E1B35DD"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5.206.196</w:t>
            </w:r>
          </w:p>
        </w:tc>
      </w:tr>
      <w:tr w:rsidR="005372B3" w:rsidRPr="00FB38E1" w14:paraId="31B91BCD" w14:textId="77777777" w:rsidTr="00836EF2">
        <w:trPr>
          <w:trHeight w:val="57"/>
        </w:trPr>
        <w:tc>
          <w:tcPr>
            <w:tcW w:w="2702" w:type="pct"/>
            <w:tcBorders>
              <w:top w:val="nil"/>
              <w:bottom w:val="nil"/>
            </w:tcBorders>
            <w:tcMar>
              <w:left w:w="170" w:type="dxa"/>
            </w:tcMar>
            <w:vAlign w:val="bottom"/>
          </w:tcPr>
          <w:p w14:paraId="7FA6D355" w14:textId="77777777" w:rsidR="005372B3" w:rsidRPr="00FB38E1" w:rsidRDefault="005372B3" w:rsidP="005372B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Bankalardaki vadesiz depo</w:t>
            </w:r>
          </w:p>
        </w:tc>
        <w:tc>
          <w:tcPr>
            <w:tcW w:w="1149" w:type="pct"/>
            <w:tcBorders>
              <w:top w:val="nil"/>
              <w:bottom w:val="nil"/>
            </w:tcBorders>
            <w:vAlign w:val="center"/>
          </w:tcPr>
          <w:p w14:paraId="3E066DF9" w14:textId="27EACF58"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13.707.913</w:t>
            </w:r>
          </w:p>
        </w:tc>
        <w:tc>
          <w:tcPr>
            <w:tcW w:w="1149" w:type="pct"/>
            <w:tcBorders>
              <w:top w:val="nil"/>
              <w:left w:val="nil"/>
              <w:bottom w:val="nil"/>
              <w:right w:val="nil"/>
            </w:tcBorders>
            <w:shd w:val="clear" w:color="auto" w:fill="auto"/>
            <w:vAlign w:val="center"/>
          </w:tcPr>
          <w:p w14:paraId="17B5BA4F" w14:textId="785375CC"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7.739.432</w:t>
            </w:r>
          </w:p>
        </w:tc>
      </w:tr>
      <w:tr w:rsidR="005372B3" w:rsidRPr="00FB38E1" w14:paraId="65C63597" w14:textId="77777777" w:rsidTr="00836EF2">
        <w:trPr>
          <w:trHeight w:val="57"/>
        </w:trPr>
        <w:tc>
          <w:tcPr>
            <w:tcW w:w="2702" w:type="pct"/>
            <w:tcBorders>
              <w:top w:val="nil"/>
              <w:bottom w:val="nil"/>
            </w:tcBorders>
            <w:vAlign w:val="bottom"/>
          </w:tcPr>
          <w:p w14:paraId="256C5CAB" w14:textId="77777777" w:rsidR="005372B3" w:rsidRPr="00FB38E1" w:rsidRDefault="005372B3" w:rsidP="005372B3">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Nakde eşdeğer varlıklar</w:t>
            </w:r>
          </w:p>
        </w:tc>
        <w:tc>
          <w:tcPr>
            <w:tcW w:w="1149" w:type="pct"/>
            <w:tcBorders>
              <w:top w:val="nil"/>
              <w:bottom w:val="nil"/>
            </w:tcBorders>
            <w:vAlign w:val="center"/>
          </w:tcPr>
          <w:p w14:paraId="492BD3C1" w14:textId="1D74F7E3" w:rsidR="005372B3" w:rsidRPr="00FB38E1" w:rsidRDefault="005372B3" w:rsidP="005372B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198.979.899</w:t>
            </w:r>
          </w:p>
        </w:tc>
        <w:tc>
          <w:tcPr>
            <w:tcW w:w="1149" w:type="pct"/>
            <w:tcBorders>
              <w:top w:val="nil"/>
              <w:left w:val="nil"/>
              <w:bottom w:val="nil"/>
              <w:right w:val="nil"/>
            </w:tcBorders>
            <w:shd w:val="clear" w:color="auto" w:fill="auto"/>
            <w:vAlign w:val="center"/>
          </w:tcPr>
          <w:p w14:paraId="31675F77" w14:textId="543E6D46" w:rsidR="005372B3" w:rsidRPr="00FB38E1" w:rsidRDefault="005372B3" w:rsidP="005372B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42.176.222</w:t>
            </w:r>
          </w:p>
        </w:tc>
      </w:tr>
      <w:tr w:rsidR="005372B3" w:rsidRPr="00FB38E1" w14:paraId="28100592" w14:textId="77777777" w:rsidTr="00836EF2">
        <w:trPr>
          <w:trHeight w:val="57"/>
        </w:trPr>
        <w:tc>
          <w:tcPr>
            <w:tcW w:w="2702" w:type="pct"/>
            <w:tcBorders>
              <w:top w:val="nil"/>
              <w:bottom w:val="nil"/>
            </w:tcBorders>
            <w:tcMar>
              <w:left w:w="170" w:type="dxa"/>
            </w:tcMar>
            <w:vAlign w:val="bottom"/>
          </w:tcPr>
          <w:p w14:paraId="0002C823" w14:textId="77777777" w:rsidR="005372B3" w:rsidRPr="00FB38E1" w:rsidRDefault="005372B3" w:rsidP="005372B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Bankalararası para piyasası</w:t>
            </w:r>
          </w:p>
        </w:tc>
        <w:tc>
          <w:tcPr>
            <w:tcW w:w="1149" w:type="pct"/>
            <w:tcBorders>
              <w:top w:val="nil"/>
              <w:bottom w:val="nil"/>
            </w:tcBorders>
            <w:vAlign w:val="center"/>
          </w:tcPr>
          <w:p w14:paraId="05C497DF" w14:textId="3BF491B8"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51.687.370</w:t>
            </w:r>
          </w:p>
        </w:tc>
        <w:tc>
          <w:tcPr>
            <w:tcW w:w="1149" w:type="pct"/>
            <w:tcBorders>
              <w:top w:val="nil"/>
              <w:left w:val="nil"/>
              <w:bottom w:val="nil"/>
              <w:right w:val="nil"/>
            </w:tcBorders>
            <w:shd w:val="clear" w:color="auto" w:fill="auto"/>
            <w:vAlign w:val="center"/>
          </w:tcPr>
          <w:p w14:paraId="6202FF7B" w14:textId="786E336F"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5372B3" w:rsidRPr="00FB38E1" w14:paraId="10956AB9" w14:textId="77777777" w:rsidTr="00836EF2">
        <w:trPr>
          <w:trHeight w:val="57"/>
        </w:trPr>
        <w:tc>
          <w:tcPr>
            <w:tcW w:w="2702" w:type="pct"/>
            <w:tcBorders>
              <w:top w:val="nil"/>
              <w:bottom w:val="nil"/>
            </w:tcBorders>
            <w:tcMar>
              <w:left w:w="170" w:type="dxa"/>
            </w:tcMar>
            <w:vAlign w:val="bottom"/>
          </w:tcPr>
          <w:p w14:paraId="09B28464" w14:textId="77777777" w:rsidR="005372B3" w:rsidRPr="00FB38E1" w:rsidRDefault="005372B3" w:rsidP="005372B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Bankalardaki vadeli depo</w:t>
            </w:r>
          </w:p>
        </w:tc>
        <w:tc>
          <w:tcPr>
            <w:tcW w:w="1149" w:type="pct"/>
            <w:tcBorders>
              <w:top w:val="nil"/>
              <w:bottom w:val="nil"/>
            </w:tcBorders>
            <w:vAlign w:val="center"/>
          </w:tcPr>
          <w:p w14:paraId="208D9558" w14:textId="6FA75054"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147.175.312</w:t>
            </w:r>
          </w:p>
        </w:tc>
        <w:tc>
          <w:tcPr>
            <w:tcW w:w="1149" w:type="pct"/>
            <w:tcBorders>
              <w:top w:val="nil"/>
              <w:left w:val="nil"/>
              <w:bottom w:val="nil"/>
              <w:right w:val="nil"/>
            </w:tcBorders>
            <w:shd w:val="clear" w:color="auto" w:fill="auto"/>
            <w:vAlign w:val="center"/>
          </w:tcPr>
          <w:p w14:paraId="72A72077" w14:textId="4FBC8D35"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41.419.949</w:t>
            </w:r>
          </w:p>
        </w:tc>
      </w:tr>
      <w:tr w:rsidR="005372B3" w:rsidRPr="00FB38E1" w14:paraId="6620898D" w14:textId="77777777" w:rsidTr="00836EF2">
        <w:trPr>
          <w:trHeight w:val="57"/>
        </w:trPr>
        <w:tc>
          <w:tcPr>
            <w:tcW w:w="2702" w:type="pct"/>
            <w:tcBorders>
              <w:top w:val="nil"/>
              <w:bottom w:val="single" w:sz="6" w:space="0" w:color="auto"/>
            </w:tcBorders>
            <w:tcMar>
              <w:left w:w="170" w:type="dxa"/>
            </w:tcMar>
            <w:vAlign w:val="bottom"/>
          </w:tcPr>
          <w:p w14:paraId="4F2BE77D" w14:textId="77777777" w:rsidR="005372B3" w:rsidRPr="00FB38E1" w:rsidRDefault="005372B3" w:rsidP="005372B3">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Menkul kıymetler</w:t>
            </w:r>
          </w:p>
        </w:tc>
        <w:tc>
          <w:tcPr>
            <w:tcW w:w="1149" w:type="pct"/>
            <w:tcBorders>
              <w:top w:val="nil"/>
              <w:bottom w:val="single" w:sz="6" w:space="0" w:color="auto"/>
            </w:tcBorders>
            <w:vAlign w:val="center"/>
          </w:tcPr>
          <w:p w14:paraId="625C8DA9" w14:textId="1EEF408F"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117.217</w:t>
            </w:r>
          </w:p>
        </w:tc>
        <w:tc>
          <w:tcPr>
            <w:tcW w:w="1149" w:type="pct"/>
            <w:tcBorders>
              <w:top w:val="nil"/>
              <w:left w:val="nil"/>
              <w:bottom w:val="single" w:sz="6" w:space="0" w:color="auto"/>
              <w:right w:val="nil"/>
            </w:tcBorders>
            <w:shd w:val="clear" w:color="auto" w:fill="auto"/>
            <w:vAlign w:val="center"/>
          </w:tcPr>
          <w:p w14:paraId="13B371C7" w14:textId="09908225" w:rsidR="005372B3" w:rsidRPr="00FB38E1" w:rsidRDefault="005372B3" w:rsidP="005372B3">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756.273</w:t>
            </w:r>
          </w:p>
        </w:tc>
      </w:tr>
      <w:tr w:rsidR="005372B3" w:rsidRPr="00FB38E1" w14:paraId="1FD1EA38" w14:textId="77777777" w:rsidTr="00836EF2">
        <w:trPr>
          <w:trHeight w:val="42"/>
        </w:trPr>
        <w:tc>
          <w:tcPr>
            <w:tcW w:w="2702" w:type="pct"/>
            <w:tcBorders>
              <w:top w:val="single" w:sz="6" w:space="0" w:color="auto"/>
              <w:bottom w:val="thickThinSmallGap" w:sz="24" w:space="0" w:color="auto"/>
            </w:tcBorders>
            <w:vAlign w:val="bottom"/>
          </w:tcPr>
          <w:p w14:paraId="0949D126" w14:textId="77777777" w:rsidR="005372B3" w:rsidRPr="00FB38E1" w:rsidRDefault="005372B3" w:rsidP="005372B3">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 Nakit ve Nakde Eşdeğer Varlıklar</w:t>
            </w:r>
          </w:p>
        </w:tc>
        <w:tc>
          <w:tcPr>
            <w:tcW w:w="1149" w:type="pct"/>
            <w:tcBorders>
              <w:top w:val="single" w:sz="6" w:space="0" w:color="auto"/>
              <w:bottom w:val="thickThinSmallGap" w:sz="24" w:space="0" w:color="000000"/>
            </w:tcBorders>
            <w:vAlign w:val="center"/>
          </w:tcPr>
          <w:p w14:paraId="6FE959FF" w14:textId="6AD8F8F9" w:rsidR="005372B3" w:rsidRPr="00FB38E1" w:rsidRDefault="005372B3" w:rsidP="005372B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220.781.447</w:t>
            </w:r>
          </w:p>
        </w:tc>
        <w:tc>
          <w:tcPr>
            <w:tcW w:w="1149" w:type="pct"/>
            <w:tcBorders>
              <w:top w:val="single" w:sz="6" w:space="0" w:color="auto"/>
              <w:left w:val="nil"/>
              <w:bottom w:val="thickThinSmallGap" w:sz="24" w:space="0" w:color="000000"/>
              <w:right w:val="nil"/>
            </w:tcBorders>
            <w:shd w:val="clear" w:color="auto" w:fill="auto"/>
            <w:vAlign w:val="center"/>
          </w:tcPr>
          <w:p w14:paraId="662E7881" w14:textId="570CFA30" w:rsidR="005372B3" w:rsidRPr="00FB38E1" w:rsidRDefault="005372B3" w:rsidP="005372B3">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55.121.850</w:t>
            </w:r>
          </w:p>
        </w:tc>
      </w:tr>
    </w:tbl>
    <w:p w14:paraId="53133BC3" w14:textId="77777777" w:rsidR="00D427D0" w:rsidRPr="00FB38E1" w:rsidRDefault="00D427D0" w:rsidP="00364B59">
      <w:pPr>
        <w:pStyle w:val="BASLIK2"/>
        <w:widowControl/>
        <w:numPr>
          <w:ilvl w:val="2"/>
          <w:numId w:val="65"/>
        </w:numPr>
        <w:spacing w:line="240" w:lineRule="exact"/>
        <w:ind w:left="0" w:hanging="425"/>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t>Dönem sonundaki nakit ve nakde eşdeğer varlıklar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209"/>
        <w:gridCol w:w="2215"/>
        <w:gridCol w:w="2215"/>
      </w:tblGrid>
      <w:tr w:rsidR="00D427D0" w:rsidRPr="00FB38E1" w14:paraId="302CFB4D" w14:textId="77777777" w:rsidTr="00836EF2">
        <w:trPr>
          <w:trHeight w:val="24"/>
        </w:trPr>
        <w:tc>
          <w:tcPr>
            <w:tcW w:w="2702" w:type="pct"/>
            <w:tcBorders>
              <w:top w:val="thinThickSmallGap" w:sz="24" w:space="0" w:color="auto"/>
              <w:bottom w:val="nil"/>
            </w:tcBorders>
            <w:vAlign w:val="bottom"/>
          </w:tcPr>
          <w:p w14:paraId="23E88461" w14:textId="77777777" w:rsidR="00D427D0" w:rsidRPr="00FB38E1" w:rsidRDefault="00D427D0" w:rsidP="00836EF2">
            <w:pPr>
              <w:rPr>
                <w:rFonts w:ascii="Microsoft Sans Serif" w:hAnsi="Microsoft Sans Serif" w:cs="Microsoft Sans Serif"/>
                <w:b/>
                <w:bCs/>
                <w:color w:val="000000"/>
                <w:sz w:val="16"/>
                <w:szCs w:val="16"/>
              </w:rPr>
            </w:pPr>
          </w:p>
        </w:tc>
        <w:tc>
          <w:tcPr>
            <w:tcW w:w="1149" w:type="pct"/>
            <w:tcBorders>
              <w:top w:val="thinThickSmallGap" w:sz="24" w:space="0" w:color="auto"/>
              <w:bottom w:val="single" w:sz="4" w:space="0" w:color="auto"/>
            </w:tcBorders>
          </w:tcPr>
          <w:p w14:paraId="2A2B3D3B" w14:textId="77777777" w:rsidR="00D427D0" w:rsidRPr="00FB38E1" w:rsidRDefault="00D427D0"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Cari Dönem</w:t>
            </w:r>
          </w:p>
        </w:tc>
        <w:tc>
          <w:tcPr>
            <w:tcW w:w="1149" w:type="pct"/>
            <w:tcBorders>
              <w:top w:val="thinThickSmallGap" w:sz="24" w:space="0" w:color="auto"/>
              <w:bottom w:val="single" w:sz="4" w:space="0" w:color="auto"/>
            </w:tcBorders>
            <w:vAlign w:val="bottom"/>
          </w:tcPr>
          <w:p w14:paraId="57D8B88E" w14:textId="77777777" w:rsidR="00D427D0" w:rsidRPr="00FB38E1" w:rsidRDefault="00D427D0"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D427D0" w:rsidRPr="00FB38E1" w14:paraId="4F3BD3E9" w14:textId="77777777" w:rsidTr="00836EF2">
        <w:trPr>
          <w:trHeight w:val="47"/>
        </w:trPr>
        <w:tc>
          <w:tcPr>
            <w:tcW w:w="2702" w:type="pct"/>
            <w:tcBorders>
              <w:top w:val="nil"/>
              <w:bottom w:val="single" w:sz="4" w:space="0" w:color="auto"/>
            </w:tcBorders>
            <w:vAlign w:val="bottom"/>
          </w:tcPr>
          <w:p w14:paraId="48B17909" w14:textId="77777777" w:rsidR="00D427D0" w:rsidRPr="00FB38E1" w:rsidRDefault="00D427D0" w:rsidP="00D427D0">
            <w:pPr>
              <w:rPr>
                <w:rFonts w:ascii="Microsoft Sans Serif" w:hAnsi="Microsoft Sans Serif" w:cs="Microsoft Sans Serif"/>
                <w:color w:val="404040"/>
                <w:sz w:val="16"/>
                <w:szCs w:val="16"/>
              </w:rPr>
            </w:pPr>
          </w:p>
        </w:tc>
        <w:tc>
          <w:tcPr>
            <w:tcW w:w="1149" w:type="pct"/>
            <w:tcBorders>
              <w:top w:val="single" w:sz="4" w:space="0" w:color="auto"/>
              <w:bottom w:val="single" w:sz="4" w:space="0" w:color="auto"/>
            </w:tcBorders>
          </w:tcPr>
          <w:p w14:paraId="5B7D33B9" w14:textId="4AB2617C" w:rsidR="00D427D0" w:rsidRPr="00FB38E1" w:rsidRDefault="00D427D0" w:rsidP="00D427D0">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31.12.202</w:t>
            </w:r>
            <w:r w:rsidR="001949A2" w:rsidRPr="00FB38E1">
              <w:rPr>
                <w:rFonts w:ascii="Microsoft Sans Serif" w:hAnsi="Microsoft Sans Serif" w:cs="Microsoft Sans Serif"/>
                <w:sz w:val="16"/>
                <w:szCs w:val="16"/>
              </w:rPr>
              <w:t>4</w:t>
            </w:r>
          </w:p>
        </w:tc>
        <w:tc>
          <w:tcPr>
            <w:tcW w:w="1149" w:type="pct"/>
            <w:tcBorders>
              <w:top w:val="single" w:sz="4" w:space="0" w:color="auto"/>
              <w:left w:val="nil"/>
              <w:bottom w:val="single" w:sz="4" w:space="0" w:color="auto"/>
              <w:right w:val="nil"/>
            </w:tcBorders>
            <w:shd w:val="clear" w:color="auto" w:fill="auto"/>
          </w:tcPr>
          <w:p w14:paraId="6D3617CC" w14:textId="02D8D590" w:rsidR="00D427D0" w:rsidRPr="00FB38E1" w:rsidRDefault="00D427D0" w:rsidP="00D427D0">
            <w:pPr>
              <w:jc w:val="right"/>
              <w:rPr>
                <w:rFonts w:ascii="Microsoft Sans Serif" w:hAnsi="Microsoft Sans Serif" w:cs="Microsoft Sans Serif"/>
                <w:sz w:val="16"/>
                <w:szCs w:val="16"/>
              </w:rPr>
            </w:pPr>
            <w:r w:rsidRPr="00FB38E1">
              <w:rPr>
                <w:rFonts w:ascii="Microsoft Sans Serif" w:hAnsi="Microsoft Sans Serif" w:cs="Microsoft Sans Serif"/>
                <w:sz w:val="16"/>
                <w:szCs w:val="16"/>
              </w:rPr>
              <w:t>31.12.2023</w:t>
            </w:r>
          </w:p>
        </w:tc>
      </w:tr>
      <w:tr w:rsidR="007C20C8" w:rsidRPr="00FB38E1" w14:paraId="77BF0AEB" w14:textId="77777777" w:rsidTr="00836EF2">
        <w:trPr>
          <w:trHeight w:val="47"/>
        </w:trPr>
        <w:tc>
          <w:tcPr>
            <w:tcW w:w="2702" w:type="pct"/>
            <w:tcBorders>
              <w:top w:val="single" w:sz="4" w:space="0" w:color="auto"/>
              <w:bottom w:val="nil"/>
            </w:tcBorders>
            <w:vAlign w:val="bottom"/>
          </w:tcPr>
          <w:p w14:paraId="453D7393" w14:textId="77777777" w:rsidR="007C20C8" w:rsidRPr="00FB38E1" w:rsidRDefault="007C20C8" w:rsidP="007C20C8">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Nakit</w:t>
            </w:r>
          </w:p>
        </w:tc>
        <w:tc>
          <w:tcPr>
            <w:tcW w:w="1149" w:type="pct"/>
            <w:tcBorders>
              <w:top w:val="single" w:sz="4" w:space="0" w:color="auto"/>
              <w:bottom w:val="nil"/>
            </w:tcBorders>
            <w:vAlign w:val="center"/>
          </w:tcPr>
          <w:p w14:paraId="6187B7C0" w14:textId="5C1121E4" w:rsidR="007C20C8" w:rsidRPr="00FB38E1" w:rsidRDefault="007C20C8" w:rsidP="007C20C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28.936.787</w:t>
            </w:r>
          </w:p>
        </w:tc>
        <w:tc>
          <w:tcPr>
            <w:tcW w:w="1149" w:type="pct"/>
            <w:tcBorders>
              <w:top w:val="single" w:sz="4" w:space="0" w:color="auto"/>
              <w:left w:val="nil"/>
              <w:bottom w:val="nil"/>
              <w:right w:val="nil"/>
            </w:tcBorders>
            <w:shd w:val="clear" w:color="auto" w:fill="auto"/>
            <w:vAlign w:val="center"/>
          </w:tcPr>
          <w:p w14:paraId="2EA1296D" w14:textId="4A63F6A7" w:rsidR="007C20C8" w:rsidRPr="00FB38E1" w:rsidRDefault="007C20C8" w:rsidP="007C20C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21.801.548</w:t>
            </w:r>
          </w:p>
        </w:tc>
      </w:tr>
      <w:tr w:rsidR="007C20C8" w:rsidRPr="00FB38E1" w14:paraId="2F0B8009" w14:textId="77777777" w:rsidTr="00836EF2">
        <w:trPr>
          <w:trHeight w:val="57"/>
        </w:trPr>
        <w:tc>
          <w:tcPr>
            <w:tcW w:w="2702" w:type="pct"/>
            <w:tcBorders>
              <w:top w:val="nil"/>
              <w:bottom w:val="nil"/>
            </w:tcBorders>
            <w:tcMar>
              <w:left w:w="170" w:type="dxa"/>
            </w:tcMar>
            <w:vAlign w:val="bottom"/>
          </w:tcPr>
          <w:p w14:paraId="7712CEC8" w14:textId="77777777" w:rsidR="007C20C8" w:rsidRPr="00FB38E1" w:rsidRDefault="007C20C8" w:rsidP="007C20C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Kasa, efektif deposu ve diğer</w:t>
            </w:r>
          </w:p>
        </w:tc>
        <w:tc>
          <w:tcPr>
            <w:tcW w:w="1149" w:type="pct"/>
            <w:tcBorders>
              <w:top w:val="nil"/>
              <w:bottom w:val="nil"/>
            </w:tcBorders>
            <w:vAlign w:val="center"/>
          </w:tcPr>
          <w:p w14:paraId="2793C0C6" w14:textId="072F25EE"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9.335.755</w:t>
            </w:r>
          </w:p>
        </w:tc>
        <w:tc>
          <w:tcPr>
            <w:tcW w:w="1149" w:type="pct"/>
            <w:tcBorders>
              <w:top w:val="nil"/>
              <w:left w:val="nil"/>
              <w:bottom w:val="nil"/>
              <w:right w:val="nil"/>
            </w:tcBorders>
            <w:shd w:val="clear" w:color="auto" w:fill="auto"/>
            <w:vAlign w:val="center"/>
          </w:tcPr>
          <w:p w14:paraId="6A5737FB" w14:textId="53F82D05"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8.093.635</w:t>
            </w:r>
          </w:p>
        </w:tc>
      </w:tr>
      <w:tr w:rsidR="007C20C8" w:rsidRPr="00FB38E1" w14:paraId="4ECA21AC" w14:textId="77777777" w:rsidTr="00836EF2">
        <w:trPr>
          <w:trHeight w:val="57"/>
        </w:trPr>
        <w:tc>
          <w:tcPr>
            <w:tcW w:w="2702" w:type="pct"/>
            <w:tcBorders>
              <w:top w:val="nil"/>
              <w:bottom w:val="nil"/>
            </w:tcBorders>
            <w:tcMar>
              <w:left w:w="170" w:type="dxa"/>
            </w:tcMar>
            <w:vAlign w:val="bottom"/>
          </w:tcPr>
          <w:p w14:paraId="673BA9AA" w14:textId="77777777" w:rsidR="007C20C8" w:rsidRPr="00FB38E1" w:rsidRDefault="007C20C8" w:rsidP="007C20C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Bankalardaki vadesiz depo</w:t>
            </w:r>
          </w:p>
        </w:tc>
        <w:tc>
          <w:tcPr>
            <w:tcW w:w="1149" w:type="pct"/>
            <w:tcBorders>
              <w:top w:val="nil"/>
              <w:bottom w:val="nil"/>
            </w:tcBorders>
            <w:vAlign w:val="center"/>
          </w:tcPr>
          <w:p w14:paraId="76E8DB23" w14:textId="3724DC04"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19.601.032</w:t>
            </w:r>
          </w:p>
        </w:tc>
        <w:tc>
          <w:tcPr>
            <w:tcW w:w="1149" w:type="pct"/>
            <w:tcBorders>
              <w:top w:val="nil"/>
              <w:left w:val="nil"/>
              <w:bottom w:val="nil"/>
              <w:right w:val="nil"/>
            </w:tcBorders>
            <w:shd w:val="clear" w:color="auto" w:fill="auto"/>
            <w:vAlign w:val="center"/>
          </w:tcPr>
          <w:p w14:paraId="5E2BBBA2" w14:textId="31D4BB2E"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13.707.913</w:t>
            </w:r>
          </w:p>
        </w:tc>
      </w:tr>
      <w:tr w:rsidR="007C20C8" w:rsidRPr="00FB38E1" w14:paraId="5D053DC2" w14:textId="77777777" w:rsidTr="00836EF2">
        <w:trPr>
          <w:trHeight w:val="57"/>
        </w:trPr>
        <w:tc>
          <w:tcPr>
            <w:tcW w:w="2702" w:type="pct"/>
            <w:tcBorders>
              <w:top w:val="nil"/>
              <w:bottom w:val="nil"/>
            </w:tcBorders>
            <w:vAlign w:val="bottom"/>
          </w:tcPr>
          <w:p w14:paraId="3B7AABEF" w14:textId="77777777" w:rsidR="007C20C8" w:rsidRPr="00FB38E1" w:rsidRDefault="007C20C8" w:rsidP="007C20C8">
            <w:pPr>
              <w:rPr>
                <w:rFonts w:ascii="Microsoft Sans Serif" w:hAnsi="Microsoft Sans Serif" w:cs="Microsoft Sans Serif"/>
                <w:b/>
                <w:color w:val="404040"/>
                <w:sz w:val="16"/>
                <w:szCs w:val="16"/>
              </w:rPr>
            </w:pPr>
            <w:r w:rsidRPr="00FB38E1">
              <w:rPr>
                <w:rFonts w:ascii="Microsoft Sans Serif" w:hAnsi="Microsoft Sans Serif" w:cs="Microsoft Sans Serif"/>
                <w:b/>
                <w:color w:val="404040"/>
                <w:sz w:val="16"/>
                <w:szCs w:val="16"/>
              </w:rPr>
              <w:t>Nakde eşdeğer varlıklar</w:t>
            </w:r>
          </w:p>
        </w:tc>
        <w:tc>
          <w:tcPr>
            <w:tcW w:w="1149" w:type="pct"/>
            <w:tcBorders>
              <w:top w:val="nil"/>
              <w:bottom w:val="nil"/>
            </w:tcBorders>
            <w:vAlign w:val="center"/>
          </w:tcPr>
          <w:p w14:paraId="6C22D19A" w14:textId="1241AAC0" w:rsidR="007C20C8" w:rsidRPr="00FB38E1" w:rsidRDefault="007C20C8" w:rsidP="007C20C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198.264.405</w:t>
            </w:r>
          </w:p>
        </w:tc>
        <w:tc>
          <w:tcPr>
            <w:tcW w:w="1149" w:type="pct"/>
            <w:tcBorders>
              <w:top w:val="nil"/>
              <w:left w:val="nil"/>
              <w:bottom w:val="nil"/>
              <w:right w:val="nil"/>
            </w:tcBorders>
            <w:shd w:val="clear" w:color="auto" w:fill="auto"/>
            <w:vAlign w:val="center"/>
          </w:tcPr>
          <w:p w14:paraId="0ED002B9" w14:textId="13A04000" w:rsidR="007C20C8" w:rsidRPr="00FB38E1" w:rsidRDefault="007C20C8" w:rsidP="007C20C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198.979.899</w:t>
            </w:r>
          </w:p>
        </w:tc>
      </w:tr>
      <w:tr w:rsidR="007C20C8" w:rsidRPr="00FB38E1" w14:paraId="32FC6A38" w14:textId="77777777" w:rsidTr="00836EF2">
        <w:trPr>
          <w:trHeight w:val="57"/>
        </w:trPr>
        <w:tc>
          <w:tcPr>
            <w:tcW w:w="2702" w:type="pct"/>
            <w:tcBorders>
              <w:top w:val="nil"/>
              <w:bottom w:val="nil"/>
            </w:tcBorders>
            <w:tcMar>
              <w:left w:w="170" w:type="dxa"/>
            </w:tcMar>
            <w:vAlign w:val="bottom"/>
          </w:tcPr>
          <w:p w14:paraId="2D1F316A" w14:textId="77777777" w:rsidR="007C20C8" w:rsidRPr="00FB38E1" w:rsidRDefault="007C20C8" w:rsidP="007C20C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Bankalararası para piyasası</w:t>
            </w:r>
          </w:p>
        </w:tc>
        <w:tc>
          <w:tcPr>
            <w:tcW w:w="1149" w:type="pct"/>
            <w:tcBorders>
              <w:top w:val="nil"/>
              <w:bottom w:val="nil"/>
            </w:tcBorders>
            <w:vAlign w:val="center"/>
          </w:tcPr>
          <w:p w14:paraId="20B7859A" w14:textId="4AB38922"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76.460.400</w:t>
            </w:r>
          </w:p>
        </w:tc>
        <w:tc>
          <w:tcPr>
            <w:tcW w:w="1149" w:type="pct"/>
            <w:tcBorders>
              <w:top w:val="nil"/>
              <w:left w:val="nil"/>
              <w:bottom w:val="nil"/>
              <w:right w:val="nil"/>
            </w:tcBorders>
            <w:shd w:val="clear" w:color="auto" w:fill="auto"/>
            <w:vAlign w:val="center"/>
          </w:tcPr>
          <w:p w14:paraId="3B8D3379" w14:textId="49FB9A02"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51.687.370</w:t>
            </w:r>
          </w:p>
        </w:tc>
      </w:tr>
      <w:tr w:rsidR="007C20C8" w:rsidRPr="00FB38E1" w14:paraId="3A873A37" w14:textId="77777777" w:rsidTr="00836EF2">
        <w:trPr>
          <w:trHeight w:val="57"/>
        </w:trPr>
        <w:tc>
          <w:tcPr>
            <w:tcW w:w="2702" w:type="pct"/>
            <w:tcBorders>
              <w:top w:val="nil"/>
              <w:bottom w:val="nil"/>
            </w:tcBorders>
            <w:tcMar>
              <w:left w:w="170" w:type="dxa"/>
            </w:tcMar>
            <w:vAlign w:val="bottom"/>
          </w:tcPr>
          <w:p w14:paraId="1883C834" w14:textId="77777777" w:rsidR="007C20C8" w:rsidRPr="00FB38E1" w:rsidRDefault="007C20C8" w:rsidP="007C20C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Bankalardaki vadeli depo</w:t>
            </w:r>
          </w:p>
        </w:tc>
        <w:tc>
          <w:tcPr>
            <w:tcW w:w="1149" w:type="pct"/>
            <w:tcBorders>
              <w:top w:val="nil"/>
              <w:bottom w:val="nil"/>
            </w:tcBorders>
            <w:vAlign w:val="center"/>
          </w:tcPr>
          <w:p w14:paraId="12A42EE9" w14:textId="061C1368"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119.493.189</w:t>
            </w:r>
          </w:p>
        </w:tc>
        <w:tc>
          <w:tcPr>
            <w:tcW w:w="1149" w:type="pct"/>
            <w:tcBorders>
              <w:top w:val="nil"/>
              <w:left w:val="nil"/>
              <w:bottom w:val="nil"/>
              <w:right w:val="nil"/>
            </w:tcBorders>
            <w:shd w:val="clear" w:color="auto" w:fill="auto"/>
            <w:vAlign w:val="center"/>
          </w:tcPr>
          <w:p w14:paraId="3FA86714" w14:textId="20DF37EF"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147.175.312</w:t>
            </w:r>
          </w:p>
        </w:tc>
      </w:tr>
      <w:tr w:rsidR="007C20C8" w:rsidRPr="00FB38E1" w14:paraId="031D98E8" w14:textId="77777777" w:rsidTr="00836EF2">
        <w:trPr>
          <w:trHeight w:val="57"/>
        </w:trPr>
        <w:tc>
          <w:tcPr>
            <w:tcW w:w="2702" w:type="pct"/>
            <w:tcBorders>
              <w:top w:val="nil"/>
              <w:bottom w:val="single" w:sz="6" w:space="0" w:color="auto"/>
            </w:tcBorders>
            <w:tcMar>
              <w:left w:w="170" w:type="dxa"/>
            </w:tcMar>
            <w:vAlign w:val="bottom"/>
          </w:tcPr>
          <w:p w14:paraId="70D1228C" w14:textId="77777777" w:rsidR="007C20C8" w:rsidRPr="00FB38E1" w:rsidRDefault="007C20C8" w:rsidP="007C20C8">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Menkul kıymetler</w:t>
            </w:r>
          </w:p>
        </w:tc>
        <w:tc>
          <w:tcPr>
            <w:tcW w:w="1149" w:type="pct"/>
            <w:tcBorders>
              <w:top w:val="nil"/>
              <w:bottom w:val="single" w:sz="6" w:space="0" w:color="auto"/>
            </w:tcBorders>
            <w:vAlign w:val="center"/>
          </w:tcPr>
          <w:p w14:paraId="22275B82" w14:textId="592B7252"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2.310.816</w:t>
            </w:r>
          </w:p>
        </w:tc>
        <w:tc>
          <w:tcPr>
            <w:tcW w:w="1149" w:type="pct"/>
            <w:tcBorders>
              <w:top w:val="nil"/>
              <w:left w:val="nil"/>
              <w:bottom w:val="single" w:sz="6" w:space="0" w:color="auto"/>
              <w:right w:val="nil"/>
            </w:tcBorders>
            <w:shd w:val="clear" w:color="auto" w:fill="auto"/>
            <w:vAlign w:val="center"/>
          </w:tcPr>
          <w:p w14:paraId="5AEE4D70" w14:textId="571011E6" w:rsidR="007C20C8" w:rsidRPr="00FB38E1" w:rsidRDefault="007C20C8" w:rsidP="007C20C8">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117.217</w:t>
            </w:r>
          </w:p>
        </w:tc>
      </w:tr>
      <w:tr w:rsidR="007C20C8" w:rsidRPr="00FB38E1" w14:paraId="0CE89F4C" w14:textId="77777777" w:rsidTr="00836EF2">
        <w:trPr>
          <w:trHeight w:val="42"/>
        </w:trPr>
        <w:tc>
          <w:tcPr>
            <w:tcW w:w="2702" w:type="pct"/>
            <w:tcBorders>
              <w:top w:val="single" w:sz="6" w:space="0" w:color="auto"/>
              <w:bottom w:val="thickThinSmallGap" w:sz="24" w:space="0" w:color="auto"/>
            </w:tcBorders>
            <w:vAlign w:val="bottom"/>
          </w:tcPr>
          <w:p w14:paraId="217FC03E" w14:textId="77777777" w:rsidR="007C20C8" w:rsidRPr="00FB38E1" w:rsidRDefault="007C20C8" w:rsidP="007C20C8">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Toplam Nakit ve Nakde Eşdeğer Varlıklar</w:t>
            </w:r>
          </w:p>
        </w:tc>
        <w:tc>
          <w:tcPr>
            <w:tcW w:w="1149" w:type="pct"/>
            <w:tcBorders>
              <w:top w:val="single" w:sz="6" w:space="0" w:color="auto"/>
              <w:bottom w:val="thickThinSmallGap" w:sz="24" w:space="0" w:color="000000"/>
            </w:tcBorders>
            <w:vAlign w:val="center"/>
          </w:tcPr>
          <w:p w14:paraId="3CFEDAB3" w14:textId="55B60904" w:rsidR="007C20C8" w:rsidRPr="00FB38E1" w:rsidRDefault="007C20C8" w:rsidP="007C20C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227.201.192</w:t>
            </w:r>
          </w:p>
        </w:tc>
        <w:tc>
          <w:tcPr>
            <w:tcW w:w="1149" w:type="pct"/>
            <w:tcBorders>
              <w:top w:val="single" w:sz="6" w:space="0" w:color="auto"/>
              <w:left w:val="nil"/>
              <w:bottom w:val="thickThinSmallGap" w:sz="24" w:space="0" w:color="000000"/>
              <w:right w:val="nil"/>
            </w:tcBorders>
            <w:shd w:val="clear" w:color="auto" w:fill="auto"/>
            <w:vAlign w:val="center"/>
          </w:tcPr>
          <w:p w14:paraId="1818DD25" w14:textId="67744642" w:rsidR="007C20C8" w:rsidRPr="00FB38E1" w:rsidRDefault="007C20C8" w:rsidP="007C20C8">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220.781.447</w:t>
            </w:r>
          </w:p>
        </w:tc>
      </w:tr>
    </w:tbl>
    <w:p w14:paraId="5333EBB1" w14:textId="77777777" w:rsidR="00D427D0" w:rsidRPr="00FB38E1" w:rsidRDefault="00D427D0" w:rsidP="00364B59">
      <w:pPr>
        <w:pStyle w:val="BASLIK2"/>
        <w:widowControl/>
        <w:numPr>
          <w:ilvl w:val="0"/>
          <w:numId w:val="66"/>
        </w:numPr>
        <w:spacing w:line="240" w:lineRule="exact"/>
        <w:ind w:left="0" w:hanging="567"/>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sz w:val="20"/>
          <w:szCs w:val="20"/>
        </w:rPr>
        <w:t>Banka’nın elinde bulunan ancak, yasal sınırlamalar veya diğer nedenlerle serbest kullanımında olmayan nakit ve nakde eşdeğer varlıklar</w:t>
      </w:r>
    </w:p>
    <w:p w14:paraId="09E5D147" w14:textId="560B7A2A" w:rsidR="00D427D0" w:rsidRPr="00FB38E1" w:rsidRDefault="00D427D0" w:rsidP="00D427D0">
      <w:pPr>
        <w:pStyle w:val="BASLIK2"/>
        <w:widowControl/>
        <w:spacing w:before="120" w:after="0" w:line="220" w:lineRule="exact"/>
        <w:ind w:firstLine="0"/>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b w:val="0"/>
          <w:bCs w:val="0"/>
          <w:color w:val="404040" w:themeColor="text1" w:themeTint="BF"/>
          <w:sz w:val="20"/>
          <w:szCs w:val="20"/>
          <w:lang w:eastAsia="tr-TR"/>
        </w:rPr>
        <w:t xml:space="preserve">Banka, T.C. Merkez Bankası’nda ortalama olarak tutulan zorunlu karşılık bakiyeleri de dahil olmak üzere toplam </w:t>
      </w:r>
      <w:r w:rsidR="009375AA" w:rsidRPr="00FB38E1">
        <w:rPr>
          <w:rFonts w:ascii="Microsoft Sans Serif" w:hAnsi="Microsoft Sans Serif" w:cs="Microsoft Sans Serif"/>
          <w:b w:val="0"/>
          <w:bCs w:val="0"/>
          <w:color w:val="404040" w:themeColor="text1" w:themeTint="BF"/>
          <w:sz w:val="20"/>
          <w:szCs w:val="20"/>
          <w:lang w:eastAsia="tr-TR"/>
        </w:rPr>
        <w:t>204.731.661</w:t>
      </w:r>
      <w:r w:rsidRPr="00FB38E1">
        <w:rPr>
          <w:rFonts w:ascii="Microsoft Sans Serif" w:hAnsi="Microsoft Sans Serif" w:cs="Microsoft Sans Serif"/>
          <w:b w:val="0"/>
          <w:bCs w:val="0"/>
          <w:color w:val="404040" w:themeColor="text1" w:themeTint="BF"/>
          <w:sz w:val="20"/>
          <w:szCs w:val="20"/>
          <w:lang w:eastAsia="tr-TR"/>
        </w:rPr>
        <w:t xml:space="preserve"> TL bulundurmaktadır (31 Aralık 2023: 194.881.784 TL). Ayrıca, yurt dışı bankalar hesabında serbest olmayan bakiye </w:t>
      </w:r>
      <w:r w:rsidR="009375AA" w:rsidRPr="00FB38E1">
        <w:rPr>
          <w:rFonts w:ascii="Microsoft Sans Serif" w:hAnsi="Microsoft Sans Serif" w:cs="Microsoft Sans Serif"/>
          <w:b w:val="0"/>
          <w:bCs w:val="0"/>
          <w:color w:val="404040" w:themeColor="text1" w:themeTint="BF"/>
          <w:sz w:val="20"/>
          <w:szCs w:val="20"/>
          <w:lang w:eastAsia="tr-TR"/>
        </w:rPr>
        <w:t>5.564.147</w:t>
      </w:r>
      <w:r w:rsidRPr="00FB38E1">
        <w:rPr>
          <w:rFonts w:ascii="Microsoft Sans Serif" w:hAnsi="Microsoft Sans Serif" w:cs="Microsoft Sans Serif"/>
          <w:b w:val="0"/>
          <w:bCs w:val="0"/>
          <w:color w:val="404040" w:themeColor="text1" w:themeTint="BF"/>
          <w:sz w:val="20"/>
          <w:szCs w:val="20"/>
          <w:lang w:eastAsia="tr-TR"/>
        </w:rPr>
        <w:t xml:space="preserve"> TL’dir (Serbest olmayan tutar 31 Aralık 2023: 2.109.724 TL).</w:t>
      </w:r>
    </w:p>
    <w:p w14:paraId="509A3A74" w14:textId="77777777" w:rsidR="00D427D0" w:rsidRPr="00FB38E1" w:rsidRDefault="00D427D0" w:rsidP="00364B59">
      <w:pPr>
        <w:pStyle w:val="BASLIK2"/>
        <w:widowControl/>
        <w:numPr>
          <w:ilvl w:val="0"/>
          <w:numId w:val="66"/>
        </w:numPr>
        <w:spacing w:line="240" w:lineRule="exact"/>
        <w:ind w:left="0" w:hanging="567"/>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sz w:val="20"/>
          <w:szCs w:val="20"/>
        </w:rPr>
        <w:t>Nakit akış tablosu’nda yer alan diğer kalemleri ve döviz kurundaki değişimin nakit ve nakde eşdeğer varlıklar üzerindeki etkisi</w:t>
      </w:r>
    </w:p>
    <w:p w14:paraId="47C14DAE" w14:textId="0D025F22" w:rsidR="00D427D0" w:rsidRPr="00FB38E1" w:rsidRDefault="00D427D0" w:rsidP="00D427D0">
      <w:pPr>
        <w:pStyle w:val="Head1"/>
        <w:keepNext w:val="0"/>
        <w:keepLines w:val="0"/>
        <w:tabs>
          <w:tab w:val="clear" w:pos="-218"/>
        </w:tabs>
        <w:spacing w:before="120" w:after="0" w:line="220" w:lineRule="exact"/>
        <w:ind w:left="0" w:right="0" w:firstLine="0"/>
        <w:outlineLvl w:val="9"/>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“Bankacılık faaliyet konusu aktif ve pasiflerdeki değişim öncesi faaliyet karı” içinde yer alan (</w:t>
      </w:r>
      <w:r w:rsidR="001949A2" w:rsidRPr="00FB38E1">
        <w:rPr>
          <w:rFonts w:ascii="Microsoft Sans Serif" w:hAnsi="Microsoft Sans Serif" w:cs="Microsoft Sans Serif"/>
          <w:b w:val="0"/>
          <w:bCs w:val="0"/>
          <w:color w:val="404040" w:themeColor="text1" w:themeTint="BF"/>
          <w:sz w:val="20"/>
          <w:szCs w:val="20"/>
          <w:lang w:eastAsia="tr-TR"/>
        </w:rPr>
        <w:t>36.011.001</w:t>
      </w:r>
      <w:r w:rsidRPr="00FB38E1">
        <w:rPr>
          <w:rFonts w:ascii="Microsoft Sans Serif" w:hAnsi="Microsoft Sans Serif" w:cs="Microsoft Sans Serif"/>
          <w:b w:val="0"/>
          <w:bCs w:val="0"/>
          <w:color w:val="404040" w:themeColor="text1" w:themeTint="BF"/>
          <w:sz w:val="20"/>
          <w:szCs w:val="20"/>
          <w:lang w:eastAsia="tr-TR"/>
        </w:rPr>
        <w:t>) TL (31 Aralık 202</w:t>
      </w:r>
      <w:r w:rsidR="00103BF4" w:rsidRPr="00FB38E1">
        <w:rPr>
          <w:rFonts w:ascii="Microsoft Sans Serif" w:hAnsi="Microsoft Sans Serif" w:cs="Microsoft Sans Serif"/>
          <w:b w:val="0"/>
          <w:bCs w:val="0"/>
          <w:color w:val="404040" w:themeColor="text1" w:themeTint="BF"/>
          <w:sz w:val="20"/>
          <w:szCs w:val="20"/>
          <w:lang w:eastAsia="tr-TR"/>
        </w:rPr>
        <w:t>3</w:t>
      </w:r>
      <w:r w:rsidRPr="00FB38E1">
        <w:rPr>
          <w:rFonts w:ascii="Microsoft Sans Serif" w:hAnsi="Microsoft Sans Serif" w:cs="Microsoft Sans Serif"/>
          <w:b w:val="0"/>
          <w:bCs w:val="0"/>
          <w:color w:val="404040" w:themeColor="text1" w:themeTint="BF"/>
          <w:sz w:val="20"/>
          <w:szCs w:val="20"/>
          <w:lang w:eastAsia="tr-TR"/>
        </w:rPr>
        <w:t>: (</w:t>
      </w:r>
      <w:r w:rsidR="00103BF4" w:rsidRPr="00FB38E1">
        <w:rPr>
          <w:rFonts w:ascii="Microsoft Sans Serif" w:hAnsi="Microsoft Sans Serif" w:cs="Microsoft Sans Serif"/>
          <w:b w:val="0"/>
          <w:bCs w:val="0"/>
          <w:color w:val="404040" w:themeColor="text1" w:themeTint="BF"/>
          <w:sz w:val="20"/>
          <w:szCs w:val="20"/>
          <w:lang w:eastAsia="tr-TR"/>
        </w:rPr>
        <w:t>13.254.024</w:t>
      </w:r>
      <w:r w:rsidRPr="00FB38E1">
        <w:rPr>
          <w:rFonts w:ascii="Microsoft Sans Serif" w:hAnsi="Microsoft Sans Serif" w:cs="Microsoft Sans Serif"/>
          <w:b w:val="0"/>
          <w:bCs w:val="0"/>
          <w:color w:val="404040" w:themeColor="text1" w:themeTint="BF"/>
          <w:sz w:val="20"/>
          <w:szCs w:val="20"/>
          <w:lang w:eastAsia="tr-TR"/>
        </w:rPr>
        <w:t xml:space="preserve">) TL) tutarındaki “diğer” kalemi diğer faaliyet giderlerinden, verilen ücret ve komisyonlardan, sermaye piyasası işlem zararından oluşmaktadır. Nakit akış tablosunda görülen bu değişimlerin etkisiyle dönem başında </w:t>
      </w:r>
      <w:r w:rsidR="009375AA" w:rsidRPr="00FB38E1">
        <w:rPr>
          <w:rFonts w:ascii="Microsoft Sans Serif" w:hAnsi="Microsoft Sans Serif" w:cs="Microsoft Sans Serif"/>
          <w:b w:val="0"/>
          <w:bCs w:val="0"/>
          <w:color w:val="404040" w:themeColor="text1" w:themeTint="BF"/>
          <w:sz w:val="20"/>
          <w:szCs w:val="20"/>
          <w:lang w:eastAsia="tr-TR"/>
        </w:rPr>
        <w:t>220.781.447</w:t>
      </w:r>
      <w:r w:rsidRPr="00FB38E1">
        <w:rPr>
          <w:rFonts w:ascii="Microsoft Sans Serif" w:hAnsi="Microsoft Sans Serif" w:cs="Microsoft Sans Serif"/>
          <w:b w:val="0"/>
          <w:bCs w:val="0"/>
          <w:color w:val="404040" w:themeColor="text1" w:themeTint="BF"/>
          <w:sz w:val="20"/>
          <w:szCs w:val="20"/>
          <w:lang w:eastAsia="tr-TR"/>
        </w:rPr>
        <w:t xml:space="preserve"> TL (31 Aralık 202</w:t>
      </w:r>
      <w:r w:rsidR="00103BF4" w:rsidRPr="00FB38E1">
        <w:rPr>
          <w:rFonts w:ascii="Microsoft Sans Serif" w:hAnsi="Microsoft Sans Serif" w:cs="Microsoft Sans Serif"/>
          <w:b w:val="0"/>
          <w:bCs w:val="0"/>
          <w:color w:val="404040" w:themeColor="text1" w:themeTint="BF"/>
          <w:sz w:val="20"/>
          <w:szCs w:val="20"/>
          <w:lang w:eastAsia="tr-TR"/>
        </w:rPr>
        <w:t>3</w:t>
      </w:r>
      <w:r w:rsidRPr="00FB38E1">
        <w:rPr>
          <w:rFonts w:ascii="Microsoft Sans Serif" w:hAnsi="Microsoft Sans Serif" w:cs="Microsoft Sans Serif"/>
          <w:b w:val="0"/>
          <w:bCs w:val="0"/>
          <w:color w:val="404040" w:themeColor="text1" w:themeTint="BF"/>
          <w:sz w:val="20"/>
          <w:szCs w:val="20"/>
          <w:lang w:eastAsia="tr-TR"/>
        </w:rPr>
        <w:t xml:space="preserve">: </w:t>
      </w:r>
      <w:r w:rsidR="00103BF4" w:rsidRPr="00FB38E1">
        <w:rPr>
          <w:rFonts w:ascii="Microsoft Sans Serif" w:hAnsi="Microsoft Sans Serif" w:cs="Microsoft Sans Serif"/>
          <w:b w:val="0"/>
          <w:bCs w:val="0"/>
          <w:color w:val="404040" w:themeColor="text1" w:themeTint="BF"/>
          <w:sz w:val="20"/>
          <w:szCs w:val="20"/>
          <w:lang w:eastAsia="tr-TR"/>
        </w:rPr>
        <w:t xml:space="preserve">55.121.850 </w:t>
      </w:r>
      <w:r w:rsidRPr="00FB38E1">
        <w:rPr>
          <w:rFonts w:ascii="Microsoft Sans Serif" w:hAnsi="Microsoft Sans Serif" w:cs="Microsoft Sans Serif"/>
          <w:b w:val="0"/>
          <w:bCs w:val="0"/>
          <w:color w:val="404040" w:themeColor="text1" w:themeTint="BF"/>
          <w:sz w:val="20"/>
          <w:szCs w:val="20"/>
          <w:lang w:eastAsia="tr-TR"/>
        </w:rPr>
        <w:t xml:space="preserve">TL) olan nakit ve nakde eşdeğer varlıklar dönem sonunda </w:t>
      </w:r>
      <w:r w:rsidR="009375AA" w:rsidRPr="00FB38E1">
        <w:rPr>
          <w:rFonts w:ascii="Microsoft Sans Serif" w:hAnsi="Microsoft Sans Serif" w:cs="Microsoft Sans Serif"/>
          <w:b w:val="0"/>
          <w:bCs w:val="0"/>
          <w:color w:val="404040" w:themeColor="text1" w:themeTint="BF"/>
          <w:sz w:val="20"/>
          <w:szCs w:val="20"/>
          <w:lang w:eastAsia="tr-TR"/>
        </w:rPr>
        <w:t>227.201.192</w:t>
      </w:r>
      <w:r w:rsidRPr="00FB38E1">
        <w:rPr>
          <w:rFonts w:ascii="Microsoft Sans Serif" w:hAnsi="Microsoft Sans Serif" w:cs="Microsoft Sans Serif"/>
          <w:b w:val="0"/>
          <w:bCs w:val="0"/>
          <w:color w:val="404040" w:themeColor="text1" w:themeTint="BF"/>
          <w:sz w:val="20"/>
          <w:szCs w:val="20"/>
          <w:lang w:eastAsia="tr-TR"/>
        </w:rPr>
        <w:t xml:space="preserve"> TL (31 Aralık 202</w:t>
      </w:r>
      <w:r w:rsidR="00103BF4" w:rsidRPr="00FB38E1">
        <w:rPr>
          <w:rFonts w:ascii="Microsoft Sans Serif" w:hAnsi="Microsoft Sans Serif" w:cs="Microsoft Sans Serif"/>
          <w:b w:val="0"/>
          <w:bCs w:val="0"/>
          <w:color w:val="404040" w:themeColor="text1" w:themeTint="BF"/>
          <w:sz w:val="20"/>
          <w:szCs w:val="20"/>
          <w:lang w:eastAsia="tr-TR"/>
        </w:rPr>
        <w:t>3</w:t>
      </w:r>
      <w:r w:rsidRPr="00FB38E1">
        <w:rPr>
          <w:rFonts w:ascii="Microsoft Sans Serif" w:hAnsi="Microsoft Sans Serif" w:cs="Microsoft Sans Serif"/>
          <w:b w:val="0"/>
          <w:bCs w:val="0"/>
          <w:color w:val="404040" w:themeColor="text1" w:themeTint="BF"/>
          <w:sz w:val="20"/>
          <w:szCs w:val="20"/>
          <w:lang w:eastAsia="tr-TR"/>
        </w:rPr>
        <w:t>:</w:t>
      </w:r>
      <w:r w:rsidRPr="00FB38E1">
        <w:t xml:space="preserve"> </w:t>
      </w:r>
      <w:r w:rsidR="00103BF4" w:rsidRPr="00FB38E1">
        <w:rPr>
          <w:rFonts w:ascii="Microsoft Sans Serif" w:hAnsi="Microsoft Sans Serif" w:cs="Microsoft Sans Serif"/>
          <w:b w:val="0"/>
          <w:bCs w:val="0"/>
          <w:color w:val="404040" w:themeColor="text1" w:themeTint="BF"/>
          <w:sz w:val="20"/>
          <w:szCs w:val="20"/>
          <w:lang w:eastAsia="tr-TR"/>
        </w:rPr>
        <w:t xml:space="preserve">220.781.447 </w:t>
      </w:r>
      <w:r w:rsidRPr="00FB38E1">
        <w:rPr>
          <w:rFonts w:ascii="Microsoft Sans Serif" w:hAnsi="Microsoft Sans Serif" w:cs="Microsoft Sans Serif"/>
          <w:b w:val="0"/>
          <w:bCs w:val="0"/>
          <w:color w:val="404040" w:themeColor="text1" w:themeTint="BF"/>
          <w:sz w:val="20"/>
          <w:szCs w:val="20"/>
          <w:lang w:eastAsia="tr-TR"/>
        </w:rPr>
        <w:t>TL) olarak gerçekleşmiştir.</w:t>
      </w:r>
    </w:p>
    <w:p w14:paraId="5DCDE85F" w14:textId="7CBC7E13" w:rsidR="00D427D0" w:rsidRPr="00FB38E1" w:rsidRDefault="00D427D0" w:rsidP="00D427D0">
      <w:pPr>
        <w:pStyle w:val="Head1"/>
        <w:keepNext w:val="0"/>
        <w:keepLines w:val="0"/>
        <w:tabs>
          <w:tab w:val="clear" w:pos="-218"/>
        </w:tabs>
        <w:spacing w:before="120" w:after="0" w:line="220" w:lineRule="exact"/>
        <w:ind w:left="0" w:right="0" w:firstLine="0"/>
        <w:outlineLvl w:val="9"/>
        <w:rPr>
          <w:rFonts w:ascii="Microsoft Sans Serif" w:hAnsi="Microsoft Sans Serif" w:cs="Microsoft Sans Serif"/>
          <w:b w:val="0"/>
          <w:bCs w:val="0"/>
          <w:color w:val="404040" w:themeColor="text1" w:themeTint="BF"/>
          <w:sz w:val="20"/>
          <w:szCs w:val="20"/>
          <w:lang w:eastAsia="tr-TR"/>
        </w:rPr>
      </w:pPr>
      <w:r w:rsidRPr="00FB38E1">
        <w:rPr>
          <w:rFonts w:ascii="Microsoft Sans Serif" w:hAnsi="Microsoft Sans Serif" w:cs="Microsoft Sans Serif"/>
          <w:b w:val="0"/>
          <w:bCs w:val="0"/>
          <w:color w:val="404040" w:themeColor="text1" w:themeTint="BF"/>
          <w:sz w:val="20"/>
          <w:szCs w:val="20"/>
          <w:lang w:eastAsia="tr-TR"/>
        </w:rPr>
        <w:t xml:space="preserve">“Bankacılık faaliyetleri konusu aktif ve pasiflerdeki değişim” içinde yer alan </w:t>
      </w:r>
      <w:r w:rsidR="009375AA" w:rsidRPr="00FB38E1">
        <w:rPr>
          <w:rFonts w:ascii="Microsoft Sans Serif" w:hAnsi="Microsoft Sans Serif" w:cs="Microsoft Sans Serif"/>
          <w:b w:val="0"/>
          <w:bCs w:val="0"/>
          <w:color w:val="404040" w:themeColor="text1" w:themeTint="BF"/>
          <w:sz w:val="20"/>
          <w:szCs w:val="20"/>
          <w:lang w:eastAsia="tr-TR"/>
        </w:rPr>
        <w:t>13.282.809</w:t>
      </w:r>
      <w:r w:rsidRPr="00FB38E1">
        <w:rPr>
          <w:rFonts w:ascii="Microsoft Sans Serif" w:hAnsi="Microsoft Sans Serif" w:cs="Microsoft Sans Serif"/>
          <w:b w:val="0"/>
          <w:bCs w:val="0"/>
          <w:color w:val="404040" w:themeColor="text1" w:themeTint="BF"/>
          <w:sz w:val="20"/>
          <w:szCs w:val="20"/>
          <w:lang w:eastAsia="tr-TR"/>
        </w:rPr>
        <w:t xml:space="preserve"> TL (31 Aralık 202</w:t>
      </w:r>
      <w:r w:rsidR="00103BF4" w:rsidRPr="00FB38E1">
        <w:rPr>
          <w:rFonts w:ascii="Microsoft Sans Serif" w:hAnsi="Microsoft Sans Serif" w:cs="Microsoft Sans Serif"/>
          <w:b w:val="0"/>
          <w:bCs w:val="0"/>
          <w:color w:val="404040" w:themeColor="text1" w:themeTint="BF"/>
          <w:sz w:val="20"/>
          <w:szCs w:val="20"/>
          <w:lang w:eastAsia="tr-TR"/>
        </w:rPr>
        <w:t>3</w:t>
      </w:r>
      <w:r w:rsidRPr="00FB38E1">
        <w:rPr>
          <w:rFonts w:ascii="Microsoft Sans Serif" w:hAnsi="Microsoft Sans Serif" w:cs="Microsoft Sans Serif"/>
          <w:b w:val="0"/>
          <w:bCs w:val="0"/>
          <w:color w:val="404040" w:themeColor="text1" w:themeTint="BF"/>
          <w:sz w:val="20"/>
          <w:szCs w:val="20"/>
          <w:lang w:eastAsia="tr-TR"/>
        </w:rPr>
        <w:t xml:space="preserve">: </w:t>
      </w:r>
      <w:r w:rsidR="00103BF4" w:rsidRPr="00FB38E1">
        <w:rPr>
          <w:rFonts w:ascii="Microsoft Sans Serif" w:hAnsi="Microsoft Sans Serif" w:cs="Microsoft Sans Serif"/>
          <w:b w:val="0"/>
          <w:bCs w:val="0"/>
          <w:color w:val="404040" w:themeColor="text1" w:themeTint="BF"/>
          <w:sz w:val="20"/>
          <w:szCs w:val="20"/>
          <w:lang w:eastAsia="tr-TR"/>
        </w:rPr>
        <w:t xml:space="preserve">66.899.633 </w:t>
      </w:r>
      <w:r w:rsidRPr="00FB38E1">
        <w:rPr>
          <w:rFonts w:ascii="Microsoft Sans Serif" w:hAnsi="Microsoft Sans Serif" w:cs="Microsoft Sans Serif"/>
          <w:b w:val="0"/>
          <w:bCs w:val="0"/>
          <w:color w:val="404040" w:themeColor="text1" w:themeTint="BF"/>
          <w:sz w:val="20"/>
          <w:szCs w:val="20"/>
          <w:lang w:eastAsia="tr-TR"/>
        </w:rPr>
        <w:t>TL); “diğer borçlarda net artış (azalış)” para piyasalarına borçlar, muhtelif borçlar, ödenecek vergi, resim harç ve primler ve diğer yabancı kaynaklardaki değişimlerden oluşmaktadır.</w:t>
      </w:r>
    </w:p>
    <w:p w14:paraId="3F586E63" w14:textId="21363235" w:rsidR="00D427D0" w:rsidRPr="00FB38E1" w:rsidRDefault="00D427D0" w:rsidP="00D427D0">
      <w:pPr>
        <w:pStyle w:val="ListParagraph"/>
        <w:autoSpaceDE w:val="0"/>
        <w:autoSpaceDN w:val="0"/>
        <w:adjustRightInd w:val="0"/>
        <w:spacing w:before="120" w:after="120" w:line="240" w:lineRule="exact"/>
        <w:ind w:left="0"/>
        <w:contextualSpacing w:val="0"/>
        <w:rPr>
          <w:rFonts w:ascii="Microsoft Sans Serif" w:hAnsi="Microsoft Sans Serif" w:cs="Microsoft Sans Serif"/>
          <w:color w:val="404040" w:themeColor="text1" w:themeTint="BF"/>
          <w:sz w:val="20"/>
          <w:szCs w:val="20"/>
          <w:lang w:eastAsia="tr-TR"/>
        </w:rPr>
      </w:pPr>
      <w:r w:rsidRPr="00FB38E1">
        <w:rPr>
          <w:rFonts w:ascii="Microsoft Sans Serif" w:hAnsi="Microsoft Sans Serif" w:cs="Microsoft Sans Serif"/>
          <w:color w:val="404040" w:themeColor="text1" w:themeTint="BF"/>
          <w:sz w:val="20"/>
          <w:szCs w:val="20"/>
          <w:lang w:eastAsia="tr-TR"/>
        </w:rPr>
        <w:t>Döviz kurundaki değişimin nakit ve nakde eşdeğer varlıklar üzerindeki etkisi, yabancı para cinsinden nakit ve nakde eşdeğer varlıkların ortalamasının dönem başı ve dönem sonu kurlarıyla TL’ye çevrilmeleri sonucunda oluşan kur farkından oluşmakta olup 31 Aralık 202</w:t>
      </w:r>
      <w:r w:rsidR="00103BF4" w:rsidRPr="00FB38E1">
        <w:rPr>
          <w:rFonts w:ascii="Microsoft Sans Serif" w:hAnsi="Microsoft Sans Serif" w:cs="Microsoft Sans Serif"/>
          <w:color w:val="404040" w:themeColor="text1" w:themeTint="BF"/>
          <w:sz w:val="20"/>
          <w:szCs w:val="20"/>
          <w:lang w:eastAsia="tr-TR"/>
        </w:rPr>
        <w:t>4</w:t>
      </w:r>
      <w:r w:rsidRPr="00FB38E1">
        <w:rPr>
          <w:rFonts w:ascii="Microsoft Sans Serif" w:hAnsi="Microsoft Sans Serif" w:cs="Microsoft Sans Serif"/>
          <w:color w:val="404040" w:themeColor="text1" w:themeTint="BF"/>
          <w:sz w:val="20"/>
          <w:szCs w:val="20"/>
          <w:lang w:eastAsia="tr-TR"/>
        </w:rPr>
        <w:t xml:space="preserve"> itibarıyla </w:t>
      </w:r>
      <w:r w:rsidR="009375AA" w:rsidRPr="00FB38E1">
        <w:rPr>
          <w:rFonts w:ascii="Microsoft Sans Serif" w:hAnsi="Microsoft Sans Serif" w:cs="Microsoft Sans Serif"/>
          <w:color w:val="404040" w:themeColor="text1" w:themeTint="BF"/>
          <w:sz w:val="20"/>
          <w:szCs w:val="20"/>
          <w:lang w:eastAsia="tr-TR"/>
        </w:rPr>
        <w:t>12.917.691</w:t>
      </w:r>
      <w:r w:rsidRPr="00FB38E1">
        <w:rPr>
          <w:rFonts w:ascii="Microsoft Sans Serif" w:hAnsi="Microsoft Sans Serif" w:cs="Microsoft Sans Serif"/>
          <w:color w:val="404040" w:themeColor="text1" w:themeTint="BF"/>
          <w:sz w:val="20"/>
          <w:szCs w:val="20"/>
          <w:lang w:eastAsia="tr-TR"/>
        </w:rPr>
        <w:t xml:space="preserve"> TL’dir (31 Aralık 202</w:t>
      </w:r>
      <w:r w:rsidR="00103BF4" w:rsidRPr="00FB38E1">
        <w:rPr>
          <w:rFonts w:ascii="Microsoft Sans Serif" w:hAnsi="Microsoft Sans Serif" w:cs="Microsoft Sans Serif"/>
          <w:color w:val="404040" w:themeColor="text1" w:themeTint="BF"/>
          <w:sz w:val="20"/>
          <w:szCs w:val="20"/>
          <w:lang w:eastAsia="tr-TR"/>
        </w:rPr>
        <w:t>3</w:t>
      </w:r>
      <w:r w:rsidRPr="00FB38E1">
        <w:rPr>
          <w:rFonts w:ascii="Microsoft Sans Serif" w:hAnsi="Microsoft Sans Serif" w:cs="Microsoft Sans Serif"/>
          <w:color w:val="404040" w:themeColor="text1" w:themeTint="BF"/>
          <w:sz w:val="20"/>
          <w:szCs w:val="20"/>
          <w:lang w:eastAsia="tr-TR"/>
        </w:rPr>
        <w:t xml:space="preserve">: </w:t>
      </w:r>
      <w:r w:rsidR="00103BF4" w:rsidRPr="00FB38E1">
        <w:rPr>
          <w:rFonts w:ascii="Microsoft Sans Serif" w:hAnsi="Microsoft Sans Serif" w:cs="Microsoft Sans Serif"/>
          <w:color w:val="404040" w:themeColor="text1" w:themeTint="BF"/>
          <w:sz w:val="20"/>
          <w:szCs w:val="20"/>
          <w:lang w:eastAsia="tr-TR"/>
        </w:rPr>
        <w:t xml:space="preserve">9.559.208 </w:t>
      </w:r>
      <w:r w:rsidRPr="00FB38E1">
        <w:rPr>
          <w:rFonts w:ascii="Microsoft Sans Serif" w:hAnsi="Microsoft Sans Serif" w:cs="Microsoft Sans Serif"/>
          <w:color w:val="404040" w:themeColor="text1" w:themeTint="BF"/>
          <w:sz w:val="20"/>
          <w:szCs w:val="20"/>
          <w:lang w:eastAsia="tr-TR"/>
        </w:rPr>
        <w:t>TL).</w:t>
      </w:r>
    </w:p>
    <w:p w14:paraId="4E3BC97D" w14:textId="36F1B5F9" w:rsidR="00D427D0" w:rsidRPr="00FB38E1" w:rsidRDefault="00D427D0" w:rsidP="00D427D0">
      <w:pPr>
        <w:pStyle w:val="ListParagraph"/>
        <w:autoSpaceDE w:val="0"/>
        <w:autoSpaceDN w:val="0"/>
        <w:adjustRightInd w:val="0"/>
        <w:spacing w:before="120" w:after="120" w:line="240" w:lineRule="exact"/>
        <w:ind w:left="0"/>
        <w:contextualSpacing w:val="0"/>
        <w:rPr>
          <w:rFonts w:ascii="Microsoft Sans Serif" w:hAnsi="Microsoft Sans Serif" w:cs="Microsoft Sans Serif"/>
          <w:b/>
          <w:noProof/>
          <w:snapToGrid w:val="0"/>
          <w:color w:val="595959" w:themeColor="text1" w:themeTint="A6"/>
          <w:sz w:val="20"/>
          <w:szCs w:val="20"/>
          <w:lang w:val="de-DE"/>
        </w:rPr>
      </w:pPr>
      <w:r w:rsidRPr="00FB38E1">
        <w:rPr>
          <w:rFonts w:ascii="Microsoft Sans Serif" w:hAnsi="Microsoft Sans Serif" w:cs="Microsoft Sans Serif"/>
          <w:b/>
          <w:noProof/>
          <w:snapToGrid w:val="0"/>
          <w:color w:val="595959" w:themeColor="text1" w:themeTint="A6"/>
          <w:sz w:val="20"/>
          <w:szCs w:val="20"/>
          <w:lang w:val="de-DE"/>
        </w:rPr>
        <w:br w:type="page"/>
      </w:r>
    </w:p>
    <w:p w14:paraId="51186C3E" w14:textId="66DD2E08" w:rsidR="00CF1F64" w:rsidRPr="00FB38E1" w:rsidRDefault="00486B65" w:rsidP="00076C9E">
      <w:pPr>
        <w:pStyle w:val="ListParagraph"/>
        <w:numPr>
          <w:ilvl w:val="0"/>
          <w:numId w:val="35"/>
        </w:numPr>
        <w:autoSpaceDE w:val="0"/>
        <w:autoSpaceDN w:val="0"/>
        <w:adjustRightInd w:val="0"/>
        <w:spacing w:before="12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FB38E1">
        <w:rPr>
          <w:rFonts w:ascii="Microsoft Sans Serif" w:hAnsi="Microsoft Sans Serif" w:cs="Microsoft Sans Serif"/>
          <w:b/>
        </w:rPr>
        <w:t>Banka’nın</w:t>
      </w:r>
      <w:r w:rsidR="00CF1F64" w:rsidRPr="00FB38E1">
        <w:rPr>
          <w:rFonts w:ascii="Microsoft Sans Serif" w:hAnsi="Microsoft Sans Serif" w:cs="Microsoft Sans Serif"/>
          <w:b/>
        </w:rPr>
        <w:t xml:space="preserve"> dahil olduğu risk grubuna ilişkin açıklamalar</w:t>
      </w:r>
    </w:p>
    <w:p w14:paraId="5178FED5" w14:textId="77777777" w:rsidR="001E0122" w:rsidRPr="00FB38E1" w:rsidRDefault="001E0122" w:rsidP="00076C9E">
      <w:pPr>
        <w:pStyle w:val="BASLIK2"/>
        <w:widowControl/>
        <w:numPr>
          <w:ilvl w:val="0"/>
          <w:numId w:val="40"/>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bookmarkStart w:id="80" w:name="OLE_LINK25"/>
      <w:r w:rsidRPr="00FB38E1">
        <w:rPr>
          <w:rFonts w:ascii="Microsoft Sans Serif" w:hAnsi="Microsoft Sans Serif" w:cs="Microsoft Sans Serif"/>
          <w:bCs w:val="0"/>
          <w:noProof/>
          <w:sz w:val="20"/>
          <w:szCs w:val="20"/>
        </w:rPr>
        <w:t>Banka’nın dahil olduğu risk grubuna ait kredi ve diğer alacaklara ilişkin bilgiler</w:t>
      </w:r>
    </w:p>
    <w:bookmarkEnd w:id="80"/>
    <w:p w14:paraId="29D5041A" w14:textId="77777777" w:rsidR="001E0122" w:rsidRPr="00FB38E1" w:rsidRDefault="001E0122" w:rsidP="001E0122">
      <w:pPr>
        <w:pStyle w:val="BASLIK2"/>
        <w:widowControl/>
        <w:spacing w:before="120" w:line="240" w:lineRule="auto"/>
        <w:ind w:firstLine="0"/>
        <w:rPr>
          <w:rFonts w:ascii="Microsoft Sans Serif" w:hAnsi="Microsoft Sans Serif" w:cs="Microsoft Sans Serif"/>
          <w:noProof/>
          <w:snapToGrid w:val="0"/>
          <w:color w:val="000000" w:themeColor="text1"/>
          <w:sz w:val="20"/>
          <w:szCs w:val="20"/>
          <w:lang w:val="de-DE"/>
        </w:rPr>
      </w:pPr>
      <w:r w:rsidRPr="00FB38E1">
        <w:rPr>
          <w:rFonts w:ascii="Microsoft Sans Serif" w:hAnsi="Microsoft Sans Serif" w:cs="Microsoft Sans Serif"/>
          <w:noProof/>
          <w:snapToGrid w:val="0"/>
          <w:color w:val="000000" w:themeColor="text1"/>
          <w:sz w:val="20"/>
          <w:szCs w:val="20"/>
          <w:lang w:val="de-DE"/>
        </w:rPr>
        <w:t>Cari Dönem</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FB38E1" w14:paraId="627E8E85" w14:textId="77777777" w:rsidTr="00E86D15">
        <w:tc>
          <w:tcPr>
            <w:tcW w:w="1863" w:type="pct"/>
            <w:tcBorders>
              <w:bottom w:val="nil"/>
            </w:tcBorders>
          </w:tcPr>
          <w:p w14:paraId="6C0B214D" w14:textId="77777777" w:rsidR="001E0122" w:rsidRPr="00FB38E1"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0209683C" w14:textId="29E02F7D" w:rsidR="001E0122" w:rsidRPr="00FB38E1" w:rsidRDefault="001E0122" w:rsidP="00E86D1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İştirak, Bağlı Ortaklıklar ve Birlik</w:t>
            </w:r>
            <w:r w:rsidR="00CB5156" w:rsidRPr="00FB38E1">
              <w:rPr>
                <w:rFonts w:ascii="Microsoft Sans Serif" w:hAnsi="Microsoft Sans Serif" w:cs="Microsoft Sans Serif"/>
                <w:b/>
                <w:bCs/>
                <w:color w:val="000000"/>
                <w:sz w:val="16"/>
                <w:szCs w:val="16"/>
              </w:rPr>
              <w:t>te Kontrol Edilen Ortaklıklar (İ</w:t>
            </w:r>
            <w:r w:rsidRPr="00FB38E1">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DF07095" w14:textId="77777777" w:rsidR="001E0122" w:rsidRPr="00FB38E1" w:rsidRDefault="001E0122" w:rsidP="00E86D1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vAlign w:val="bottom"/>
          </w:tcPr>
          <w:p w14:paraId="4C1BD31B" w14:textId="77777777" w:rsidR="001E0122" w:rsidRPr="00FB38E1" w:rsidRDefault="001E0122" w:rsidP="00E86D1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Risk Grubuna Dahil Olan Diğer Gerçek ve Tüzel Kişiler</w:t>
            </w:r>
          </w:p>
        </w:tc>
      </w:tr>
      <w:tr w:rsidR="001E0122" w:rsidRPr="00FB38E1" w14:paraId="0715B9D9" w14:textId="77777777" w:rsidTr="00E86D15">
        <w:tc>
          <w:tcPr>
            <w:tcW w:w="1863" w:type="pct"/>
            <w:tcBorders>
              <w:top w:val="nil"/>
              <w:bottom w:val="single" w:sz="4" w:space="0" w:color="auto"/>
            </w:tcBorders>
            <w:vAlign w:val="bottom"/>
          </w:tcPr>
          <w:p w14:paraId="2C2E6ABF" w14:textId="63525D91" w:rsidR="001E0122" w:rsidRPr="00FB38E1" w:rsidRDefault="006D13F6" w:rsidP="00E86D1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w:t>
            </w:r>
            <w:r w:rsidR="001E0122" w:rsidRPr="00FB38E1">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vAlign w:val="bottom"/>
          </w:tcPr>
          <w:p w14:paraId="0BC1E07B"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27CD7FEA"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11B0F473"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4C9E9B58"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G.Nakdi</w:t>
            </w:r>
          </w:p>
        </w:tc>
        <w:tc>
          <w:tcPr>
            <w:tcW w:w="523" w:type="pct"/>
            <w:tcBorders>
              <w:top w:val="nil"/>
              <w:bottom w:val="single" w:sz="4" w:space="0" w:color="auto"/>
            </w:tcBorders>
            <w:vAlign w:val="bottom"/>
          </w:tcPr>
          <w:p w14:paraId="7BBA6851"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w:t>
            </w:r>
          </w:p>
        </w:tc>
        <w:tc>
          <w:tcPr>
            <w:tcW w:w="523" w:type="pct"/>
            <w:tcBorders>
              <w:top w:val="nil"/>
              <w:bottom w:val="single" w:sz="4" w:space="0" w:color="auto"/>
            </w:tcBorders>
            <w:vAlign w:val="bottom"/>
          </w:tcPr>
          <w:p w14:paraId="3940D41A"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G.Nakdi</w:t>
            </w:r>
          </w:p>
        </w:tc>
      </w:tr>
      <w:tr w:rsidR="001E0122" w:rsidRPr="00FB38E1" w14:paraId="7D2812CE" w14:textId="77777777" w:rsidTr="00E86D15">
        <w:tc>
          <w:tcPr>
            <w:tcW w:w="1863" w:type="pct"/>
            <w:tcBorders>
              <w:top w:val="single" w:sz="4" w:space="0" w:color="auto"/>
            </w:tcBorders>
            <w:vAlign w:val="bottom"/>
          </w:tcPr>
          <w:p w14:paraId="6787697C" w14:textId="1340A4A4" w:rsidR="001E0122" w:rsidRPr="00FB38E1" w:rsidRDefault="001E0122" w:rsidP="0016049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Krediler </w:t>
            </w:r>
          </w:p>
        </w:tc>
        <w:tc>
          <w:tcPr>
            <w:tcW w:w="522" w:type="pct"/>
            <w:tcBorders>
              <w:top w:val="single" w:sz="4" w:space="0" w:color="auto"/>
            </w:tcBorders>
            <w:vAlign w:val="bottom"/>
          </w:tcPr>
          <w:p w14:paraId="50E6A7F7" w14:textId="77777777" w:rsidR="001E0122" w:rsidRPr="00FB38E1"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3BC69A7A" w14:textId="77777777" w:rsidR="001E0122" w:rsidRPr="00FB38E1"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4D211BCD" w14:textId="77777777" w:rsidR="001E0122" w:rsidRPr="00FB38E1"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A346D61" w14:textId="77777777" w:rsidR="001E0122" w:rsidRPr="00FB38E1"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1854D6EA" w14:textId="77777777" w:rsidR="001E0122" w:rsidRPr="00FB38E1" w:rsidRDefault="001E0122" w:rsidP="00E86D15">
            <w:pPr>
              <w:jc w:val="right"/>
              <w:rPr>
                <w:rFonts w:ascii="Microsoft Sans Serif" w:hAnsi="Microsoft Sans Serif" w:cs="Microsoft Sans Serif"/>
                <w:color w:val="000000"/>
                <w:sz w:val="16"/>
                <w:szCs w:val="16"/>
              </w:rPr>
            </w:pPr>
          </w:p>
        </w:tc>
        <w:tc>
          <w:tcPr>
            <w:tcW w:w="523" w:type="pct"/>
            <w:tcBorders>
              <w:top w:val="single" w:sz="4" w:space="0" w:color="auto"/>
            </w:tcBorders>
            <w:vAlign w:val="bottom"/>
          </w:tcPr>
          <w:p w14:paraId="09C59D16" w14:textId="77777777" w:rsidR="001E0122" w:rsidRPr="00FB38E1" w:rsidRDefault="001E0122" w:rsidP="00E86D15">
            <w:pPr>
              <w:jc w:val="right"/>
              <w:rPr>
                <w:rFonts w:ascii="Microsoft Sans Serif" w:hAnsi="Microsoft Sans Serif" w:cs="Microsoft Sans Serif"/>
                <w:color w:val="000000"/>
                <w:sz w:val="16"/>
                <w:szCs w:val="16"/>
              </w:rPr>
            </w:pPr>
          </w:p>
        </w:tc>
      </w:tr>
      <w:tr w:rsidR="005433BD" w:rsidRPr="00FB38E1" w14:paraId="0A758833" w14:textId="77777777" w:rsidTr="00E733DE">
        <w:trPr>
          <w:trHeight w:val="74"/>
        </w:trPr>
        <w:tc>
          <w:tcPr>
            <w:tcW w:w="1863" w:type="pct"/>
            <w:vAlign w:val="bottom"/>
          </w:tcPr>
          <w:p w14:paraId="0566636C" w14:textId="77777777" w:rsidR="005433BD" w:rsidRPr="00FB38E1" w:rsidRDefault="005433BD" w:rsidP="005433B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Dönem Başı Bakiyesi </w:t>
            </w:r>
          </w:p>
        </w:tc>
        <w:tc>
          <w:tcPr>
            <w:tcW w:w="522" w:type="pct"/>
            <w:vAlign w:val="center"/>
          </w:tcPr>
          <w:p w14:paraId="4400E001" w14:textId="366BBF11"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10,271,015</w:t>
            </w:r>
          </w:p>
        </w:tc>
        <w:tc>
          <w:tcPr>
            <w:tcW w:w="523" w:type="pct"/>
            <w:vAlign w:val="center"/>
          </w:tcPr>
          <w:p w14:paraId="709E61EC" w14:textId="7EE16195"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472,255</w:t>
            </w:r>
          </w:p>
        </w:tc>
        <w:tc>
          <w:tcPr>
            <w:tcW w:w="523" w:type="pct"/>
            <w:vAlign w:val="center"/>
          </w:tcPr>
          <w:p w14:paraId="071F9997" w14:textId="150AFD75"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28,119</w:t>
            </w:r>
          </w:p>
        </w:tc>
        <w:tc>
          <w:tcPr>
            <w:tcW w:w="523" w:type="pct"/>
            <w:vAlign w:val="center"/>
          </w:tcPr>
          <w:p w14:paraId="6253FD43" w14:textId="5995891E"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162,491</w:t>
            </w:r>
          </w:p>
        </w:tc>
        <w:tc>
          <w:tcPr>
            <w:tcW w:w="523" w:type="pct"/>
            <w:vAlign w:val="center"/>
          </w:tcPr>
          <w:p w14:paraId="4B27D126" w14:textId="7A9764DA"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12,075</w:t>
            </w:r>
          </w:p>
        </w:tc>
        <w:tc>
          <w:tcPr>
            <w:tcW w:w="523" w:type="pct"/>
            <w:vAlign w:val="center"/>
          </w:tcPr>
          <w:p w14:paraId="518F8887" w14:textId="602087E8"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80,772</w:t>
            </w:r>
          </w:p>
        </w:tc>
      </w:tr>
      <w:tr w:rsidR="005433BD" w:rsidRPr="00FB38E1" w14:paraId="514B6166" w14:textId="77777777" w:rsidTr="00E86D15">
        <w:tc>
          <w:tcPr>
            <w:tcW w:w="1863" w:type="pct"/>
            <w:vAlign w:val="bottom"/>
          </w:tcPr>
          <w:p w14:paraId="59F6C83E" w14:textId="77777777" w:rsidR="005433BD" w:rsidRPr="00FB38E1" w:rsidRDefault="005433BD" w:rsidP="005433B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Sonu Bakiyesi</w:t>
            </w:r>
          </w:p>
        </w:tc>
        <w:tc>
          <w:tcPr>
            <w:tcW w:w="522" w:type="pct"/>
            <w:vAlign w:val="center"/>
          </w:tcPr>
          <w:p w14:paraId="6B6CE9CF" w14:textId="448AEA7A"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24,506,930</w:t>
            </w:r>
          </w:p>
        </w:tc>
        <w:tc>
          <w:tcPr>
            <w:tcW w:w="523" w:type="pct"/>
            <w:vAlign w:val="center"/>
          </w:tcPr>
          <w:p w14:paraId="4C528AA2" w14:textId="074E0C95"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558,458</w:t>
            </w:r>
          </w:p>
        </w:tc>
        <w:tc>
          <w:tcPr>
            <w:tcW w:w="523" w:type="pct"/>
            <w:vAlign w:val="center"/>
          </w:tcPr>
          <w:p w14:paraId="159D3A00" w14:textId="7A6C9312"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172,734</w:t>
            </w:r>
          </w:p>
        </w:tc>
        <w:tc>
          <w:tcPr>
            <w:tcW w:w="523" w:type="pct"/>
            <w:vAlign w:val="center"/>
          </w:tcPr>
          <w:p w14:paraId="4BC6E0F9" w14:textId="37C4CE92"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154,456</w:t>
            </w:r>
          </w:p>
        </w:tc>
        <w:tc>
          <w:tcPr>
            <w:tcW w:w="523" w:type="pct"/>
            <w:vAlign w:val="center"/>
          </w:tcPr>
          <w:p w14:paraId="27B19B88" w14:textId="623B24FE"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2,219,922</w:t>
            </w:r>
          </w:p>
        </w:tc>
        <w:tc>
          <w:tcPr>
            <w:tcW w:w="523" w:type="pct"/>
            <w:vAlign w:val="center"/>
          </w:tcPr>
          <w:p w14:paraId="63A87989" w14:textId="326643AA"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56,238</w:t>
            </w:r>
          </w:p>
        </w:tc>
      </w:tr>
      <w:tr w:rsidR="005433BD" w:rsidRPr="00FB38E1" w14:paraId="53FD1F6C" w14:textId="77777777" w:rsidTr="00E86D15">
        <w:tc>
          <w:tcPr>
            <w:tcW w:w="1863" w:type="pct"/>
            <w:vAlign w:val="bottom"/>
          </w:tcPr>
          <w:p w14:paraId="53E45DB8" w14:textId="77777777" w:rsidR="005433BD" w:rsidRPr="00FB38E1" w:rsidRDefault="005433BD" w:rsidP="005433B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Alınan Faiz ve Komisyon Gelirleri</w:t>
            </w:r>
          </w:p>
        </w:tc>
        <w:tc>
          <w:tcPr>
            <w:tcW w:w="522" w:type="pct"/>
            <w:vAlign w:val="center"/>
          </w:tcPr>
          <w:p w14:paraId="7AEC499C" w14:textId="34A83DD6"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1,154,656</w:t>
            </w:r>
          </w:p>
        </w:tc>
        <w:tc>
          <w:tcPr>
            <w:tcW w:w="523" w:type="pct"/>
            <w:vAlign w:val="center"/>
          </w:tcPr>
          <w:p w14:paraId="55D0E9D8" w14:textId="33E7DBC7"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2,104</w:t>
            </w:r>
          </w:p>
        </w:tc>
        <w:tc>
          <w:tcPr>
            <w:tcW w:w="523" w:type="pct"/>
            <w:vAlign w:val="center"/>
          </w:tcPr>
          <w:p w14:paraId="4AA7ED31" w14:textId="215E7E54"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vAlign w:val="center"/>
          </w:tcPr>
          <w:p w14:paraId="274355F5" w14:textId="2EB11AF4"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vAlign w:val="center"/>
          </w:tcPr>
          <w:p w14:paraId="5D4553B8" w14:textId="1D95F452"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w:t>
            </w:r>
          </w:p>
        </w:tc>
        <w:tc>
          <w:tcPr>
            <w:tcW w:w="523" w:type="pct"/>
            <w:vAlign w:val="center"/>
          </w:tcPr>
          <w:p w14:paraId="47A9B121" w14:textId="25A4D359"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30AB434F" w14:textId="77777777" w:rsidR="001E0122" w:rsidRPr="00FB38E1" w:rsidRDefault="001E0122" w:rsidP="00D201BD">
      <w:pPr>
        <w:pStyle w:val="BASLIK2"/>
        <w:widowControl/>
        <w:spacing w:before="60" w:line="240" w:lineRule="auto"/>
        <w:ind w:firstLine="0"/>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b w:val="0"/>
          <w:noProof/>
          <w:color w:val="404040" w:themeColor="text1" w:themeTint="BF"/>
          <w:sz w:val="14"/>
          <w:szCs w:val="14"/>
        </w:rPr>
        <w:t>(*) 5411 sayılı Bankacılık Kanunu’nun 49’uncu maddesinde tanımlanmıştır</w:t>
      </w:r>
      <w:r w:rsidRPr="00FB38E1">
        <w:rPr>
          <w:rFonts w:ascii="Microsoft Sans Serif" w:hAnsi="Microsoft Sans Serif" w:cs="Microsoft Sans Serif"/>
          <w:b w:val="0"/>
          <w:noProof/>
          <w:color w:val="404040" w:themeColor="text1" w:themeTint="BF"/>
          <w:sz w:val="16"/>
          <w:szCs w:val="16"/>
        </w:rPr>
        <w:t>.</w:t>
      </w:r>
    </w:p>
    <w:p w14:paraId="4C9D6614" w14:textId="340BDD6A" w:rsidR="00823013" w:rsidRPr="00FB38E1" w:rsidRDefault="00823013" w:rsidP="00823013">
      <w:pPr>
        <w:pStyle w:val="BASLIK2"/>
        <w:widowControl/>
        <w:spacing w:line="240" w:lineRule="auto"/>
        <w:ind w:firstLine="0"/>
        <w:rPr>
          <w:rFonts w:ascii="Microsoft Sans Serif" w:hAnsi="Microsoft Sans Serif" w:cs="Microsoft Sans Serif"/>
          <w:noProof/>
          <w:snapToGrid w:val="0"/>
          <w:color w:val="595959" w:themeColor="text1" w:themeTint="A6"/>
          <w:sz w:val="20"/>
          <w:szCs w:val="20"/>
          <w:lang w:val="de-DE"/>
        </w:rPr>
      </w:pPr>
      <w:r w:rsidRPr="00FB38E1">
        <w:rPr>
          <w:rFonts w:ascii="Microsoft Sans Serif" w:hAnsi="Microsoft Sans Serif" w:cs="Microsoft Sans Serif"/>
          <w:noProof/>
          <w:snapToGrid w:val="0"/>
          <w:color w:val="000000" w:themeColor="text1"/>
          <w:sz w:val="20"/>
          <w:szCs w:val="20"/>
          <w:lang w:val="de-DE"/>
        </w:rPr>
        <w:t>Önceki Dönem</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823013" w:rsidRPr="00FB38E1" w14:paraId="7FFBF227" w14:textId="77777777" w:rsidTr="00006E51">
        <w:tc>
          <w:tcPr>
            <w:tcW w:w="1863" w:type="pct"/>
            <w:tcBorders>
              <w:bottom w:val="nil"/>
            </w:tcBorders>
            <w:shd w:val="clear" w:color="auto" w:fill="auto"/>
          </w:tcPr>
          <w:p w14:paraId="4D61FAE3" w14:textId="77777777" w:rsidR="00823013" w:rsidRPr="00FB38E1" w:rsidRDefault="00823013" w:rsidP="003A0242">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shd w:val="clear" w:color="auto" w:fill="auto"/>
            <w:vAlign w:val="bottom"/>
          </w:tcPr>
          <w:p w14:paraId="42E2A657" w14:textId="207BC8C5" w:rsidR="00823013" w:rsidRPr="00FB38E1" w:rsidRDefault="00823013" w:rsidP="003A024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İştirak, Bağlı Ortaklıklar ve Birlik</w:t>
            </w:r>
            <w:r w:rsidR="00CB5156" w:rsidRPr="00FB38E1">
              <w:rPr>
                <w:rFonts w:ascii="Microsoft Sans Serif" w:hAnsi="Microsoft Sans Serif" w:cs="Microsoft Sans Serif"/>
                <w:b/>
                <w:bCs/>
                <w:color w:val="000000"/>
                <w:sz w:val="16"/>
                <w:szCs w:val="16"/>
              </w:rPr>
              <w:t>te Kontrol Edilen Ortaklıklar (İ</w:t>
            </w:r>
            <w:r w:rsidRPr="00FB38E1">
              <w:rPr>
                <w:rFonts w:ascii="Microsoft Sans Serif" w:hAnsi="Microsoft Sans Serif" w:cs="Microsoft Sans Serif"/>
                <w:b/>
                <w:bCs/>
                <w:color w:val="000000"/>
                <w:sz w:val="16"/>
                <w:szCs w:val="16"/>
              </w:rPr>
              <w:t>ş Ortaklıkları)</w:t>
            </w:r>
          </w:p>
        </w:tc>
        <w:tc>
          <w:tcPr>
            <w:tcW w:w="1046" w:type="pct"/>
            <w:gridSpan w:val="2"/>
            <w:tcBorders>
              <w:bottom w:val="nil"/>
            </w:tcBorders>
            <w:shd w:val="clear" w:color="auto" w:fill="auto"/>
            <w:vAlign w:val="bottom"/>
          </w:tcPr>
          <w:p w14:paraId="0C142336" w14:textId="77777777" w:rsidR="00823013" w:rsidRPr="00FB38E1" w:rsidRDefault="00823013" w:rsidP="003A024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shd w:val="clear" w:color="auto" w:fill="auto"/>
            <w:vAlign w:val="bottom"/>
          </w:tcPr>
          <w:p w14:paraId="7B978CA8" w14:textId="77777777" w:rsidR="00823013" w:rsidRPr="00FB38E1" w:rsidRDefault="00823013" w:rsidP="003A0242">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Risk Grubuna Dahil Olan Diğer Gerçek ve Tüzel Kişiler</w:t>
            </w:r>
          </w:p>
        </w:tc>
      </w:tr>
      <w:tr w:rsidR="00823013" w:rsidRPr="00FB38E1" w14:paraId="4BF96969" w14:textId="77777777" w:rsidTr="00006E51">
        <w:tc>
          <w:tcPr>
            <w:tcW w:w="1863" w:type="pct"/>
            <w:tcBorders>
              <w:top w:val="nil"/>
              <w:bottom w:val="single" w:sz="4" w:space="0" w:color="auto"/>
            </w:tcBorders>
            <w:shd w:val="clear" w:color="auto" w:fill="auto"/>
            <w:vAlign w:val="bottom"/>
          </w:tcPr>
          <w:p w14:paraId="7F85BC5F" w14:textId="6EA9463D" w:rsidR="00823013" w:rsidRPr="00FB38E1" w:rsidRDefault="006D13F6" w:rsidP="003A024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w:t>
            </w:r>
            <w:r w:rsidR="00823013" w:rsidRPr="00FB38E1">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shd w:val="clear" w:color="auto" w:fill="auto"/>
            <w:vAlign w:val="bottom"/>
          </w:tcPr>
          <w:p w14:paraId="4898929B" w14:textId="77777777" w:rsidR="00823013" w:rsidRPr="00FB38E1" w:rsidRDefault="00823013" w:rsidP="003A024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203D1529" w14:textId="77777777" w:rsidR="00823013" w:rsidRPr="00FB38E1" w:rsidRDefault="00823013" w:rsidP="003A024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G.Nakdi</w:t>
            </w:r>
          </w:p>
        </w:tc>
        <w:tc>
          <w:tcPr>
            <w:tcW w:w="523" w:type="pct"/>
            <w:tcBorders>
              <w:top w:val="nil"/>
              <w:bottom w:val="single" w:sz="4" w:space="0" w:color="auto"/>
            </w:tcBorders>
            <w:shd w:val="clear" w:color="auto" w:fill="auto"/>
            <w:vAlign w:val="bottom"/>
          </w:tcPr>
          <w:p w14:paraId="626178FE" w14:textId="77777777" w:rsidR="00823013" w:rsidRPr="00FB38E1" w:rsidRDefault="00823013" w:rsidP="003A024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506BA3D4" w14:textId="77777777" w:rsidR="00823013" w:rsidRPr="00FB38E1" w:rsidRDefault="00823013" w:rsidP="003A024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G.Nakdi</w:t>
            </w:r>
          </w:p>
        </w:tc>
        <w:tc>
          <w:tcPr>
            <w:tcW w:w="523" w:type="pct"/>
            <w:tcBorders>
              <w:top w:val="nil"/>
              <w:bottom w:val="single" w:sz="4" w:space="0" w:color="auto"/>
            </w:tcBorders>
            <w:shd w:val="clear" w:color="auto" w:fill="auto"/>
            <w:vAlign w:val="bottom"/>
          </w:tcPr>
          <w:p w14:paraId="4C78EA03" w14:textId="77777777" w:rsidR="00823013" w:rsidRPr="00FB38E1" w:rsidRDefault="00823013" w:rsidP="003A024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Nakdi</w:t>
            </w:r>
          </w:p>
        </w:tc>
        <w:tc>
          <w:tcPr>
            <w:tcW w:w="523" w:type="pct"/>
            <w:tcBorders>
              <w:top w:val="nil"/>
              <w:bottom w:val="single" w:sz="4" w:space="0" w:color="auto"/>
            </w:tcBorders>
            <w:shd w:val="clear" w:color="auto" w:fill="auto"/>
            <w:vAlign w:val="bottom"/>
          </w:tcPr>
          <w:p w14:paraId="55B64171" w14:textId="77777777" w:rsidR="00823013" w:rsidRPr="00FB38E1" w:rsidRDefault="00823013" w:rsidP="003A024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G.Nakdi</w:t>
            </w:r>
          </w:p>
        </w:tc>
      </w:tr>
      <w:tr w:rsidR="00823013" w:rsidRPr="00FB38E1" w14:paraId="2BC709CB" w14:textId="77777777" w:rsidTr="00006E51">
        <w:tc>
          <w:tcPr>
            <w:tcW w:w="1863" w:type="pct"/>
            <w:tcBorders>
              <w:top w:val="single" w:sz="4" w:space="0" w:color="auto"/>
            </w:tcBorders>
            <w:shd w:val="clear" w:color="auto" w:fill="auto"/>
            <w:vAlign w:val="bottom"/>
          </w:tcPr>
          <w:p w14:paraId="3A4DC76C" w14:textId="77777777" w:rsidR="00823013" w:rsidRPr="00FB38E1" w:rsidRDefault="00823013" w:rsidP="003A0242">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Krediler </w:t>
            </w:r>
          </w:p>
        </w:tc>
        <w:tc>
          <w:tcPr>
            <w:tcW w:w="522" w:type="pct"/>
            <w:tcBorders>
              <w:top w:val="single" w:sz="4" w:space="0" w:color="auto"/>
            </w:tcBorders>
            <w:shd w:val="clear" w:color="auto" w:fill="auto"/>
            <w:vAlign w:val="bottom"/>
          </w:tcPr>
          <w:p w14:paraId="54E851C0" w14:textId="77777777" w:rsidR="00823013" w:rsidRPr="00FB38E1"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6F951295" w14:textId="77777777" w:rsidR="00823013" w:rsidRPr="00FB38E1"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44F6C42E" w14:textId="77777777" w:rsidR="00823013" w:rsidRPr="00FB38E1"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49D101D6" w14:textId="77777777" w:rsidR="00823013" w:rsidRPr="00FB38E1"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72404282" w14:textId="77777777" w:rsidR="00823013" w:rsidRPr="00FB38E1" w:rsidRDefault="00823013" w:rsidP="003A0242">
            <w:pPr>
              <w:jc w:val="right"/>
              <w:rPr>
                <w:rFonts w:ascii="Microsoft Sans Serif" w:hAnsi="Microsoft Sans Serif" w:cs="Microsoft Sans Serif"/>
                <w:color w:val="000000"/>
                <w:sz w:val="16"/>
                <w:szCs w:val="16"/>
              </w:rPr>
            </w:pPr>
          </w:p>
        </w:tc>
        <w:tc>
          <w:tcPr>
            <w:tcW w:w="523" w:type="pct"/>
            <w:tcBorders>
              <w:top w:val="single" w:sz="4" w:space="0" w:color="auto"/>
            </w:tcBorders>
            <w:shd w:val="clear" w:color="auto" w:fill="auto"/>
            <w:vAlign w:val="bottom"/>
          </w:tcPr>
          <w:p w14:paraId="26447847" w14:textId="77777777" w:rsidR="00823013" w:rsidRPr="00FB38E1" w:rsidRDefault="00823013" w:rsidP="003A0242">
            <w:pPr>
              <w:jc w:val="right"/>
              <w:rPr>
                <w:rFonts w:ascii="Microsoft Sans Serif" w:hAnsi="Microsoft Sans Serif" w:cs="Microsoft Sans Serif"/>
                <w:color w:val="000000"/>
                <w:sz w:val="16"/>
                <w:szCs w:val="16"/>
              </w:rPr>
            </w:pPr>
          </w:p>
        </w:tc>
      </w:tr>
      <w:tr w:rsidR="00111025" w:rsidRPr="00FB38E1" w14:paraId="17BDE9FE" w14:textId="77777777" w:rsidTr="003A0242">
        <w:tc>
          <w:tcPr>
            <w:tcW w:w="1863" w:type="pct"/>
            <w:vAlign w:val="bottom"/>
          </w:tcPr>
          <w:p w14:paraId="0DCF8DF6" w14:textId="77777777" w:rsidR="00111025" w:rsidRPr="00FB38E1" w:rsidRDefault="00111025" w:rsidP="00111025">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Dönem Başı Bakiyesi </w:t>
            </w:r>
          </w:p>
        </w:tc>
        <w:tc>
          <w:tcPr>
            <w:tcW w:w="522" w:type="pct"/>
            <w:vAlign w:val="center"/>
          </w:tcPr>
          <w:p w14:paraId="6E85C858" w14:textId="3F2AEA5B"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7.211.504</w:t>
            </w:r>
          </w:p>
        </w:tc>
        <w:tc>
          <w:tcPr>
            <w:tcW w:w="523" w:type="pct"/>
            <w:vAlign w:val="center"/>
          </w:tcPr>
          <w:p w14:paraId="1D63B7BB" w14:textId="40D7E1A6"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372.215</w:t>
            </w:r>
          </w:p>
        </w:tc>
        <w:tc>
          <w:tcPr>
            <w:tcW w:w="523" w:type="pct"/>
            <w:vAlign w:val="center"/>
          </w:tcPr>
          <w:p w14:paraId="158C39CF" w14:textId="39562B41"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51.873</w:t>
            </w:r>
          </w:p>
        </w:tc>
        <w:tc>
          <w:tcPr>
            <w:tcW w:w="523" w:type="pct"/>
            <w:vAlign w:val="center"/>
          </w:tcPr>
          <w:p w14:paraId="3F926881" w14:textId="037D1951"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93.168</w:t>
            </w:r>
          </w:p>
        </w:tc>
        <w:tc>
          <w:tcPr>
            <w:tcW w:w="523" w:type="pct"/>
            <w:vAlign w:val="center"/>
          </w:tcPr>
          <w:p w14:paraId="6EC00071" w14:textId="63E8C01A"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3.484</w:t>
            </w:r>
          </w:p>
        </w:tc>
        <w:tc>
          <w:tcPr>
            <w:tcW w:w="523" w:type="pct"/>
            <w:vAlign w:val="center"/>
          </w:tcPr>
          <w:p w14:paraId="56DDD840" w14:textId="798C258F"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1.225</w:t>
            </w:r>
          </w:p>
        </w:tc>
      </w:tr>
      <w:tr w:rsidR="00111025" w:rsidRPr="00FB38E1" w14:paraId="57E5CC71" w14:textId="77777777" w:rsidTr="003A0242">
        <w:tc>
          <w:tcPr>
            <w:tcW w:w="1863" w:type="pct"/>
            <w:vAlign w:val="bottom"/>
          </w:tcPr>
          <w:p w14:paraId="6BC66779" w14:textId="77777777" w:rsidR="00111025" w:rsidRPr="00FB38E1" w:rsidRDefault="00111025" w:rsidP="00111025">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Sonu Bakiyesi</w:t>
            </w:r>
          </w:p>
        </w:tc>
        <w:tc>
          <w:tcPr>
            <w:tcW w:w="522" w:type="pct"/>
            <w:vAlign w:val="center"/>
          </w:tcPr>
          <w:p w14:paraId="357C819F" w14:textId="1511A39B"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10.271.015</w:t>
            </w:r>
          </w:p>
        </w:tc>
        <w:tc>
          <w:tcPr>
            <w:tcW w:w="523" w:type="pct"/>
            <w:vAlign w:val="center"/>
          </w:tcPr>
          <w:p w14:paraId="04858390" w14:textId="7C1707D9"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472.255</w:t>
            </w:r>
          </w:p>
        </w:tc>
        <w:tc>
          <w:tcPr>
            <w:tcW w:w="523" w:type="pct"/>
            <w:vAlign w:val="center"/>
          </w:tcPr>
          <w:p w14:paraId="1114D3C7" w14:textId="63C5D8BE"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28.119</w:t>
            </w:r>
          </w:p>
        </w:tc>
        <w:tc>
          <w:tcPr>
            <w:tcW w:w="523" w:type="pct"/>
            <w:vAlign w:val="center"/>
          </w:tcPr>
          <w:p w14:paraId="670D3010" w14:textId="2B19E739"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162.491</w:t>
            </w:r>
          </w:p>
        </w:tc>
        <w:tc>
          <w:tcPr>
            <w:tcW w:w="523" w:type="pct"/>
            <w:vAlign w:val="center"/>
          </w:tcPr>
          <w:p w14:paraId="7FF9CD8B" w14:textId="6F0ADABE"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12.075</w:t>
            </w:r>
          </w:p>
        </w:tc>
        <w:tc>
          <w:tcPr>
            <w:tcW w:w="523" w:type="pct"/>
            <w:vAlign w:val="center"/>
          </w:tcPr>
          <w:p w14:paraId="2D4F57BE" w14:textId="79A7C0FC" w:rsidR="00111025" w:rsidRPr="00FB38E1" w:rsidRDefault="00111025" w:rsidP="00111025">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80.772</w:t>
            </w:r>
          </w:p>
        </w:tc>
      </w:tr>
      <w:tr w:rsidR="002A5899" w:rsidRPr="00FB38E1" w14:paraId="39547A95" w14:textId="77777777" w:rsidTr="003A0242">
        <w:tc>
          <w:tcPr>
            <w:tcW w:w="1863" w:type="pct"/>
            <w:vAlign w:val="bottom"/>
          </w:tcPr>
          <w:p w14:paraId="25E102A3" w14:textId="77777777" w:rsidR="002A5899" w:rsidRPr="00FB38E1" w:rsidRDefault="002A5899" w:rsidP="002A5899">
            <w:pPr>
              <w:rPr>
                <w:rFonts w:ascii="Microsoft Sans Serif" w:hAnsi="Microsoft Sans Serif" w:cs="Microsoft Sans Serif"/>
                <w:color w:val="404040"/>
                <w:sz w:val="16"/>
                <w:szCs w:val="16"/>
              </w:rPr>
            </w:pPr>
            <w:bookmarkStart w:id="81" w:name="OLE_LINK26"/>
            <w:r w:rsidRPr="00FB38E1">
              <w:rPr>
                <w:rFonts w:ascii="Microsoft Sans Serif" w:hAnsi="Microsoft Sans Serif" w:cs="Microsoft Sans Serif"/>
                <w:color w:val="404040"/>
                <w:sz w:val="16"/>
                <w:szCs w:val="16"/>
              </w:rPr>
              <w:t>Alınan Faiz ve Komisyon Gelirleri</w:t>
            </w:r>
            <w:bookmarkEnd w:id="81"/>
          </w:p>
        </w:tc>
        <w:tc>
          <w:tcPr>
            <w:tcW w:w="522" w:type="pct"/>
            <w:vAlign w:val="center"/>
          </w:tcPr>
          <w:p w14:paraId="442EFD28" w14:textId="66FDBDB2"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1.480.175</w:t>
            </w:r>
          </w:p>
        </w:tc>
        <w:tc>
          <w:tcPr>
            <w:tcW w:w="523" w:type="pct"/>
            <w:vAlign w:val="center"/>
          </w:tcPr>
          <w:p w14:paraId="59B2CE7B" w14:textId="0D3EA13A"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249</w:t>
            </w:r>
          </w:p>
        </w:tc>
        <w:tc>
          <w:tcPr>
            <w:tcW w:w="523" w:type="pct"/>
            <w:vAlign w:val="center"/>
          </w:tcPr>
          <w:p w14:paraId="3BA8348D" w14:textId="5F97D73D"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vAlign w:val="center"/>
          </w:tcPr>
          <w:p w14:paraId="3EF4E655" w14:textId="48D8CDD7"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vAlign w:val="center"/>
          </w:tcPr>
          <w:p w14:paraId="54350DF0" w14:textId="61BEDF88"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112</w:t>
            </w:r>
          </w:p>
        </w:tc>
        <w:tc>
          <w:tcPr>
            <w:tcW w:w="523" w:type="pct"/>
            <w:vAlign w:val="center"/>
          </w:tcPr>
          <w:p w14:paraId="12649FD5" w14:textId="6F76480A" w:rsidR="002A5899" w:rsidRPr="00FB38E1" w:rsidRDefault="002A5899" w:rsidP="002A5899">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2AA200FE" w14:textId="42CE28E9" w:rsidR="00E76FB1" w:rsidRPr="00FB38E1" w:rsidRDefault="00823013" w:rsidP="00D201BD">
      <w:pPr>
        <w:pStyle w:val="BASLIK2"/>
        <w:widowControl/>
        <w:spacing w:before="60" w:line="240" w:lineRule="auto"/>
        <w:ind w:firstLine="0"/>
        <w:rPr>
          <w:rFonts w:ascii="Microsoft Sans Serif" w:hAnsi="Microsoft Sans Serif" w:cs="Microsoft Sans Serif"/>
          <w:b w:val="0"/>
          <w:noProof/>
          <w:color w:val="404040" w:themeColor="text1" w:themeTint="BF"/>
          <w:sz w:val="14"/>
          <w:szCs w:val="14"/>
        </w:rPr>
      </w:pPr>
      <w:r w:rsidRPr="00FB38E1">
        <w:rPr>
          <w:rFonts w:ascii="Microsoft Sans Serif" w:hAnsi="Microsoft Sans Serif" w:cs="Microsoft Sans Serif"/>
          <w:b w:val="0"/>
          <w:noProof/>
          <w:color w:val="404040" w:themeColor="text1" w:themeTint="BF"/>
          <w:sz w:val="14"/>
          <w:szCs w:val="14"/>
        </w:rPr>
        <w:t>(*) 5411 sayılı Bankacılık Kanunu’nun 49’uncu maddesinde tanımlanmıştır.</w:t>
      </w:r>
    </w:p>
    <w:p w14:paraId="663C33C2" w14:textId="6D95D4E8" w:rsidR="001E0122" w:rsidRPr="00FB38E1" w:rsidRDefault="001E0122"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bookmarkStart w:id="82" w:name="OLE_LINK27"/>
      <w:r w:rsidRPr="00FB38E1">
        <w:rPr>
          <w:rFonts w:ascii="Microsoft Sans Serif" w:hAnsi="Microsoft Sans Serif" w:cs="Microsoft Sans Serif"/>
          <w:bCs w:val="0"/>
          <w:noProof/>
          <w:sz w:val="20"/>
          <w:szCs w:val="20"/>
        </w:rPr>
        <w:t>Banka’nın dahil olduğu risk grubuna ait mevduat ve kredilere ilişkin bilgiler</w:t>
      </w:r>
    </w:p>
    <w:bookmarkEnd w:id="82"/>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FB38E1" w14:paraId="0B3A48B3" w14:textId="77777777" w:rsidTr="00E86D15">
        <w:tc>
          <w:tcPr>
            <w:tcW w:w="1863" w:type="pct"/>
            <w:tcBorders>
              <w:bottom w:val="nil"/>
            </w:tcBorders>
          </w:tcPr>
          <w:p w14:paraId="2E9A7664" w14:textId="77777777" w:rsidR="001E0122" w:rsidRPr="00FB38E1"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vAlign w:val="bottom"/>
          </w:tcPr>
          <w:p w14:paraId="76BC96CB" w14:textId="4EA105CD" w:rsidR="001E0122" w:rsidRPr="00FB38E1" w:rsidRDefault="001E0122" w:rsidP="00E86D1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İştirak, Bağlı Ortaklıklar ve Birlik</w:t>
            </w:r>
            <w:r w:rsidR="00CB5156" w:rsidRPr="00FB38E1">
              <w:rPr>
                <w:rFonts w:ascii="Microsoft Sans Serif" w:hAnsi="Microsoft Sans Serif" w:cs="Microsoft Sans Serif"/>
                <w:b/>
                <w:bCs/>
                <w:color w:val="000000"/>
                <w:sz w:val="16"/>
                <w:szCs w:val="16"/>
              </w:rPr>
              <w:t>te Kontrol Edilen Ortaklıklar (İ</w:t>
            </w:r>
            <w:r w:rsidRPr="00FB38E1">
              <w:rPr>
                <w:rFonts w:ascii="Microsoft Sans Serif" w:hAnsi="Microsoft Sans Serif" w:cs="Microsoft Sans Serif"/>
                <w:b/>
                <w:bCs/>
                <w:color w:val="000000"/>
                <w:sz w:val="16"/>
                <w:szCs w:val="16"/>
              </w:rPr>
              <w:t>ş Ortaklıkları)</w:t>
            </w:r>
          </w:p>
        </w:tc>
        <w:tc>
          <w:tcPr>
            <w:tcW w:w="1046" w:type="pct"/>
            <w:gridSpan w:val="2"/>
            <w:tcBorders>
              <w:bottom w:val="nil"/>
            </w:tcBorders>
            <w:vAlign w:val="bottom"/>
          </w:tcPr>
          <w:p w14:paraId="3BF1D9FD" w14:textId="3BB58454" w:rsidR="001E0122" w:rsidRPr="00FB38E1" w:rsidRDefault="001E0122" w:rsidP="00E86D1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Bankanın Doğrudan ve Dolaylı Ortaklıkları</w:t>
            </w:r>
            <w:r w:rsidR="006935C3" w:rsidRPr="00FB38E1">
              <w:rPr>
                <w:rFonts w:ascii="Microsoft Sans Serif" w:hAnsi="Microsoft Sans Serif" w:cs="Microsoft Sans Serif"/>
                <w:b/>
                <w:bCs/>
                <w:color w:val="000000"/>
                <w:sz w:val="16"/>
                <w:szCs w:val="16"/>
              </w:rPr>
              <w:t xml:space="preserve"> </w:t>
            </w:r>
            <w:r w:rsidRPr="00FB38E1">
              <w:rPr>
                <w:rFonts w:ascii="Microsoft Sans Serif" w:hAnsi="Microsoft Sans Serif" w:cs="Microsoft Sans Serif"/>
                <w:b/>
                <w:bCs/>
                <w:color w:val="000000"/>
                <w:sz w:val="16"/>
                <w:szCs w:val="16"/>
              </w:rPr>
              <w:t>(**)</w:t>
            </w:r>
          </w:p>
        </w:tc>
        <w:tc>
          <w:tcPr>
            <w:tcW w:w="1046" w:type="pct"/>
            <w:gridSpan w:val="2"/>
            <w:tcBorders>
              <w:bottom w:val="nil"/>
            </w:tcBorders>
            <w:vAlign w:val="bottom"/>
          </w:tcPr>
          <w:p w14:paraId="48449CA5" w14:textId="77777777" w:rsidR="001E0122" w:rsidRPr="00FB38E1" w:rsidRDefault="001E0122" w:rsidP="00E86D1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Risk Grubuna Dahil Olan Diğer Gerçek ve Tüzel Kişiler</w:t>
            </w:r>
          </w:p>
        </w:tc>
      </w:tr>
      <w:tr w:rsidR="001E0122" w:rsidRPr="00FB38E1" w14:paraId="4A1A32EB" w14:textId="77777777" w:rsidTr="00111025">
        <w:trPr>
          <w:trHeight w:val="209"/>
        </w:trPr>
        <w:tc>
          <w:tcPr>
            <w:tcW w:w="1863" w:type="pct"/>
            <w:tcBorders>
              <w:top w:val="nil"/>
              <w:bottom w:val="single" w:sz="4" w:space="0" w:color="auto"/>
            </w:tcBorders>
            <w:vAlign w:val="bottom"/>
          </w:tcPr>
          <w:p w14:paraId="5603BDF0" w14:textId="1671F6E5" w:rsidR="001E0122" w:rsidRPr="00FB38E1" w:rsidRDefault="006D13F6" w:rsidP="00E86D1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w:t>
            </w:r>
            <w:r w:rsidR="001E0122" w:rsidRPr="00FB38E1">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vAlign w:val="bottom"/>
          </w:tcPr>
          <w:p w14:paraId="689A81E4"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w:t>
            </w:r>
          </w:p>
          <w:p w14:paraId="0A7602A4"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6C4FF5E3"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5298FB07"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w:t>
            </w:r>
          </w:p>
          <w:p w14:paraId="51E3153B"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0FB26289"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vAlign w:val="bottom"/>
          </w:tcPr>
          <w:p w14:paraId="497ADD0A"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w:t>
            </w:r>
          </w:p>
          <w:p w14:paraId="097E961D"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w:t>
            </w:r>
          </w:p>
        </w:tc>
        <w:tc>
          <w:tcPr>
            <w:tcW w:w="523" w:type="pct"/>
            <w:tcBorders>
              <w:top w:val="nil"/>
              <w:bottom w:val="single" w:sz="4" w:space="0" w:color="auto"/>
            </w:tcBorders>
            <w:vAlign w:val="bottom"/>
          </w:tcPr>
          <w:p w14:paraId="585182F7"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5433BD" w:rsidRPr="00FB38E1" w14:paraId="2F3022B1" w14:textId="77777777" w:rsidTr="00A41F10">
        <w:tc>
          <w:tcPr>
            <w:tcW w:w="1863" w:type="pct"/>
            <w:tcBorders>
              <w:top w:val="single" w:sz="4" w:space="0" w:color="auto"/>
            </w:tcBorders>
            <w:tcMar>
              <w:left w:w="227" w:type="dxa"/>
            </w:tcMar>
            <w:vAlign w:val="bottom"/>
          </w:tcPr>
          <w:p w14:paraId="6A203E81" w14:textId="77777777" w:rsidR="005433BD" w:rsidRPr="00FB38E1" w:rsidRDefault="005433BD" w:rsidP="005433BD">
            <w:pPr>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6"/>
                <w:szCs w:val="16"/>
              </w:rPr>
              <w:t>Dönem Başı Bakiyesi</w:t>
            </w:r>
          </w:p>
        </w:tc>
        <w:tc>
          <w:tcPr>
            <w:tcW w:w="522" w:type="pct"/>
            <w:tcBorders>
              <w:top w:val="single" w:sz="4" w:space="0" w:color="auto"/>
            </w:tcBorders>
            <w:shd w:val="clear" w:color="auto" w:fill="auto"/>
            <w:vAlign w:val="center"/>
          </w:tcPr>
          <w:p w14:paraId="720AD299" w14:textId="20F8E8B3"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10,347,579</w:t>
            </w:r>
          </w:p>
        </w:tc>
        <w:tc>
          <w:tcPr>
            <w:tcW w:w="523" w:type="pct"/>
            <w:tcBorders>
              <w:top w:val="single" w:sz="4" w:space="0" w:color="auto"/>
            </w:tcBorders>
            <w:vAlign w:val="center"/>
          </w:tcPr>
          <w:p w14:paraId="243E1B77" w14:textId="158BD73C"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1,125,513</w:t>
            </w:r>
          </w:p>
        </w:tc>
        <w:tc>
          <w:tcPr>
            <w:tcW w:w="523" w:type="pct"/>
            <w:tcBorders>
              <w:top w:val="single" w:sz="4" w:space="0" w:color="auto"/>
            </w:tcBorders>
            <w:vAlign w:val="center"/>
          </w:tcPr>
          <w:p w14:paraId="7DB05CA6" w14:textId="3F20E46F"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81,932,331</w:t>
            </w:r>
          </w:p>
        </w:tc>
        <w:tc>
          <w:tcPr>
            <w:tcW w:w="523" w:type="pct"/>
            <w:tcBorders>
              <w:top w:val="single" w:sz="4" w:space="0" w:color="auto"/>
            </w:tcBorders>
            <w:vAlign w:val="center"/>
          </w:tcPr>
          <w:p w14:paraId="71DF43E3" w14:textId="49979598"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33,675,803</w:t>
            </w:r>
          </w:p>
        </w:tc>
        <w:tc>
          <w:tcPr>
            <w:tcW w:w="523" w:type="pct"/>
            <w:tcBorders>
              <w:top w:val="single" w:sz="4" w:space="0" w:color="auto"/>
            </w:tcBorders>
            <w:vAlign w:val="center"/>
          </w:tcPr>
          <w:p w14:paraId="1D3C57C6" w14:textId="1DFF7EB5"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84,916</w:t>
            </w:r>
          </w:p>
        </w:tc>
        <w:tc>
          <w:tcPr>
            <w:tcW w:w="523" w:type="pct"/>
            <w:tcBorders>
              <w:top w:val="single" w:sz="4" w:space="0" w:color="auto"/>
            </w:tcBorders>
            <w:vAlign w:val="center"/>
          </w:tcPr>
          <w:p w14:paraId="2F000798" w14:textId="1561D15D"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239,756</w:t>
            </w:r>
          </w:p>
        </w:tc>
      </w:tr>
      <w:tr w:rsidR="005433BD" w:rsidRPr="00FB38E1" w14:paraId="7D5DED20" w14:textId="77777777" w:rsidTr="00E86D15">
        <w:tc>
          <w:tcPr>
            <w:tcW w:w="1863" w:type="pct"/>
            <w:vAlign w:val="bottom"/>
          </w:tcPr>
          <w:p w14:paraId="64AFBD49" w14:textId="77777777" w:rsidR="005433BD" w:rsidRPr="00FB38E1" w:rsidRDefault="005433BD" w:rsidP="005433BD">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Dönem Sonu Bakiyesi </w:t>
            </w:r>
          </w:p>
        </w:tc>
        <w:tc>
          <w:tcPr>
            <w:tcW w:w="522" w:type="pct"/>
            <w:vAlign w:val="center"/>
          </w:tcPr>
          <w:p w14:paraId="44FD8351" w14:textId="5707B7E9"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20,010,139</w:t>
            </w:r>
          </w:p>
        </w:tc>
        <w:tc>
          <w:tcPr>
            <w:tcW w:w="523" w:type="pct"/>
            <w:vAlign w:val="center"/>
          </w:tcPr>
          <w:p w14:paraId="4CA3A68C" w14:textId="21FD9242"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10,347,579</w:t>
            </w:r>
          </w:p>
        </w:tc>
        <w:tc>
          <w:tcPr>
            <w:tcW w:w="523" w:type="pct"/>
            <w:vAlign w:val="center"/>
          </w:tcPr>
          <w:p w14:paraId="3D3926D2" w14:textId="2011ABA4"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53,417,625</w:t>
            </w:r>
          </w:p>
        </w:tc>
        <w:tc>
          <w:tcPr>
            <w:tcW w:w="523" w:type="pct"/>
            <w:vAlign w:val="center"/>
          </w:tcPr>
          <w:p w14:paraId="54931796" w14:textId="523B8AFA"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81,932,331</w:t>
            </w:r>
          </w:p>
        </w:tc>
        <w:tc>
          <w:tcPr>
            <w:tcW w:w="523" w:type="pct"/>
            <w:vAlign w:val="center"/>
          </w:tcPr>
          <w:p w14:paraId="29FCB268" w14:textId="6FB511A6"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1,275,677</w:t>
            </w:r>
          </w:p>
        </w:tc>
        <w:tc>
          <w:tcPr>
            <w:tcW w:w="523" w:type="pct"/>
            <w:vAlign w:val="center"/>
          </w:tcPr>
          <w:p w14:paraId="5E54FC3F" w14:textId="29A33CEC"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84,916</w:t>
            </w:r>
          </w:p>
        </w:tc>
      </w:tr>
      <w:tr w:rsidR="005433BD" w:rsidRPr="00FB38E1" w14:paraId="0F7AE51C" w14:textId="77777777" w:rsidTr="007376FF">
        <w:tc>
          <w:tcPr>
            <w:tcW w:w="1863" w:type="pct"/>
            <w:vAlign w:val="bottom"/>
          </w:tcPr>
          <w:p w14:paraId="175EE894" w14:textId="77777777" w:rsidR="005433BD" w:rsidRPr="00FB38E1" w:rsidRDefault="005433BD" w:rsidP="005433BD">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Verilen Faiz ve Komisyon Gideri</w:t>
            </w:r>
          </w:p>
        </w:tc>
        <w:tc>
          <w:tcPr>
            <w:tcW w:w="522" w:type="pct"/>
            <w:shd w:val="clear" w:color="auto" w:fill="auto"/>
            <w:vAlign w:val="center"/>
          </w:tcPr>
          <w:p w14:paraId="2F0D244C" w14:textId="1A44673A"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893,179</w:t>
            </w:r>
          </w:p>
        </w:tc>
        <w:tc>
          <w:tcPr>
            <w:tcW w:w="523" w:type="pct"/>
            <w:shd w:val="clear" w:color="auto" w:fill="auto"/>
            <w:vAlign w:val="center"/>
          </w:tcPr>
          <w:p w14:paraId="263649BC" w14:textId="18C0F10D"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353,980</w:t>
            </w:r>
          </w:p>
        </w:tc>
        <w:tc>
          <w:tcPr>
            <w:tcW w:w="523" w:type="pct"/>
            <w:shd w:val="clear" w:color="auto" w:fill="auto"/>
            <w:vAlign w:val="center"/>
          </w:tcPr>
          <w:p w14:paraId="0BB767C6" w14:textId="4C35C00B"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3,762,623</w:t>
            </w:r>
          </w:p>
        </w:tc>
        <w:tc>
          <w:tcPr>
            <w:tcW w:w="523" w:type="pct"/>
            <w:shd w:val="clear" w:color="auto" w:fill="auto"/>
            <w:vAlign w:val="center"/>
          </w:tcPr>
          <w:p w14:paraId="1614CC6E" w14:textId="5D442F22"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3,030,926</w:t>
            </w:r>
          </w:p>
        </w:tc>
        <w:tc>
          <w:tcPr>
            <w:tcW w:w="523" w:type="pct"/>
            <w:shd w:val="clear" w:color="auto" w:fill="auto"/>
            <w:vAlign w:val="center"/>
          </w:tcPr>
          <w:p w14:paraId="36F365F6" w14:textId="40810F47"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51,525</w:t>
            </w:r>
          </w:p>
        </w:tc>
        <w:tc>
          <w:tcPr>
            <w:tcW w:w="523" w:type="pct"/>
            <w:shd w:val="clear" w:color="auto" w:fill="auto"/>
            <w:vAlign w:val="center"/>
          </w:tcPr>
          <w:p w14:paraId="329B6B94" w14:textId="0E444149" w:rsidR="005433BD" w:rsidRPr="00FB38E1" w:rsidRDefault="005433BD" w:rsidP="005433BD">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14,933</w:t>
            </w:r>
          </w:p>
        </w:tc>
      </w:tr>
    </w:tbl>
    <w:p w14:paraId="78B41C90" w14:textId="77777777" w:rsidR="001E0122" w:rsidRPr="00FB38E1" w:rsidRDefault="001E0122" w:rsidP="00D201BD">
      <w:pPr>
        <w:pStyle w:val="BASLIK2"/>
        <w:widowControl/>
        <w:spacing w:before="60" w:after="0" w:line="240" w:lineRule="auto"/>
        <w:ind w:left="284" w:hanging="284"/>
        <w:rPr>
          <w:rFonts w:ascii="Microsoft Sans Serif" w:hAnsi="Microsoft Sans Serif" w:cs="Microsoft Sans Serif"/>
          <w:b w:val="0"/>
          <w:bCs w:val="0"/>
          <w:noProof/>
          <w:color w:val="404040" w:themeColor="text1" w:themeTint="BF"/>
          <w:sz w:val="14"/>
          <w:szCs w:val="14"/>
        </w:rPr>
      </w:pPr>
      <w:r w:rsidRPr="00FB38E1">
        <w:rPr>
          <w:rFonts w:ascii="Microsoft Sans Serif" w:hAnsi="Microsoft Sans Serif" w:cs="Microsoft Sans Serif"/>
          <w:b w:val="0"/>
          <w:bCs w:val="0"/>
          <w:noProof/>
          <w:color w:val="404040" w:themeColor="text1" w:themeTint="BF"/>
          <w:sz w:val="14"/>
          <w:szCs w:val="14"/>
        </w:rPr>
        <w:t>(*)</w:t>
      </w:r>
      <w:r w:rsidRPr="00FB38E1">
        <w:rPr>
          <w:rFonts w:ascii="Microsoft Sans Serif" w:hAnsi="Microsoft Sans Serif" w:cs="Microsoft Sans Serif"/>
          <w:b w:val="0"/>
          <w:bCs w:val="0"/>
          <w:noProof/>
          <w:color w:val="404040" w:themeColor="text1" w:themeTint="BF"/>
          <w:sz w:val="14"/>
          <w:szCs w:val="14"/>
        </w:rPr>
        <w:tab/>
        <w:t>5411 sayılı Bankacılık Kanunu’nun 49’uncu maddesinde tanımlanmıştır.</w:t>
      </w:r>
    </w:p>
    <w:p w14:paraId="167ACA66" w14:textId="1C4039C6" w:rsidR="00454537" w:rsidRPr="00FB38E1" w:rsidRDefault="001E0122" w:rsidP="00DA3E8D">
      <w:pPr>
        <w:pStyle w:val="BASLIK2"/>
        <w:widowControl/>
        <w:spacing w:before="0" w:line="240" w:lineRule="auto"/>
        <w:ind w:left="284" w:hanging="284"/>
        <w:rPr>
          <w:rFonts w:ascii="Microsoft Sans Serif" w:hAnsi="Microsoft Sans Serif" w:cs="Microsoft Sans Serif"/>
          <w:b w:val="0"/>
          <w:noProof/>
          <w:snapToGrid w:val="0"/>
          <w:sz w:val="14"/>
          <w:szCs w:val="14"/>
          <w:lang w:val="de-DE"/>
        </w:rPr>
      </w:pPr>
      <w:r w:rsidRPr="00FB38E1">
        <w:rPr>
          <w:rFonts w:ascii="Microsoft Sans Serif" w:hAnsi="Microsoft Sans Serif" w:cs="Microsoft Sans Serif"/>
          <w:b w:val="0"/>
          <w:bCs w:val="0"/>
          <w:color w:val="404040" w:themeColor="text1" w:themeTint="BF"/>
          <w:sz w:val="14"/>
          <w:szCs w:val="14"/>
        </w:rPr>
        <w:t>(**)</w:t>
      </w:r>
      <w:r w:rsidRPr="00FB38E1">
        <w:rPr>
          <w:rFonts w:ascii="Microsoft Sans Serif" w:hAnsi="Microsoft Sans Serif" w:cs="Microsoft Sans Serif"/>
          <w:b w:val="0"/>
          <w:bCs w:val="0"/>
          <w:color w:val="404040" w:themeColor="text1" w:themeTint="BF"/>
          <w:sz w:val="14"/>
          <w:szCs w:val="14"/>
        </w:rPr>
        <w:tab/>
      </w:r>
      <w:r w:rsidR="00002A59" w:rsidRPr="00FB38E1">
        <w:rPr>
          <w:rFonts w:ascii="Microsoft Sans Serif" w:hAnsi="Microsoft Sans Serif" w:cs="Microsoft Sans Serif"/>
          <w:b w:val="0"/>
          <w:bCs w:val="0"/>
          <w:color w:val="404040" w:themeColor="text1" w:themeTint="BF"/>
          <w:sz w:val="14"/>
          <w:szCs w:val="14"/>
        </w:rPr>
        <w:t>E</w:t>
      </w:r>
      <w:r w:rsidR="00F2479A" w:rsidRPr="00FB38E1">
        <w:rPr>
          <w:rFonts w:ascii="Microsoft Sans Serif" w:hAnsi="Microsoft Sans Serif" w:cs="Microsoft Sans Serif"/>
          <w:b w:val="0"/>
          <w:bCs w:val="0"/>
          <w:color w:val="404040" w:themeColor="text1" w:themeTint="BF"/>
          <w:sz w:val="14"/>
          <w:szCs w:val="14"/>
        </w:rPr>
        <w:t>NBD’</w:t>
      </w:r>
      <w:r w:rsidR="00002A59" w:rsidRPr="00FB38E1">
        <w:rPr>
          <w:rFonts w:ascii="Microsoft Sans Serif" w:hAnsi="Microsoft Sans Serif" w:cs="Microsoft Sans Serif"/>
          <w:b w:val="0"/>
          <w:bCs w:val="0"/>
          <w:color w:val="404040" w:themeColor="text1" w:themeTint="BF"/>
          <w:sz w:val="14"/>
          <w:szCs w:val="14"/>
        </w:rPr>
        <w:t>den</w:t>
      </w:r>
      <w:r w:rsidRPr="00FB38E1">
        <w:rPr>
          <w:rFonts w:ascii="Microsoft Sans Serif" w:hAnsi="Microsoft Sans Serif" w:cs="Microsoft Sans Serif"/>
          <w:b w:val="0"/>
          <w:bCs w:val="0"/>
          <w:noProof/>
          <w:color w:val="404040" w:themeColor="text1" w:themeTint="BF"/>
          <w:sz w:val="14"/>
          <w:szCs w:val="14"/>
        </w:rPr>
        <w:t xml:space="preserve"> temin edilen </w:t>
      </w:r>
      <w:r w:rsidR="00250E1A" w:rsidRPr="00FB38E1">
        <w:rPr>
          <w:rFonts w:ascii="Microsoft Sans Serif" w:hAnsi="Microsoft Sans Serif" w:cs="Microsoft Sans Serif"/>
          <w:b w:val="0"/>
          <w:bCs w:val="0"/>
          <w:noProof/>
          <w:color w:val="404040" w:themeColor="text1" w:themeTint="BF"/>
          <w:sz w:val="14"/>
          <w:szCs w:val="14"/>
        </w:rPr>
        <w:t>221</w:t>
      </w:r>
      <w:r w:rsidRPr="00FB38E1">
        <w:rPr>
          <w:rFonts w:ascii="Microsoft Sans Serif" w:hAnsi="Microsoft Sans Serif" w:cs="Microsoft Sans Serif"/>
          <w:b w:val="0"/>
          <w:bCs w:val="0"/>
          <w:noProof/>
          <w:color w:val="404040" w:themeColor="text1" w:themeTint="BF"/>
          <w:sz w:val="14"/>
          <w:szCs w:val="14"/>
        </w:rPr>
        <w:t xml:space="preserve"> milyon ABD Doları ve 115 milyon Avro tutarında sermaye benzeri kredileri de içermektedir.</w:t>
      </w:r>
      <w:r w:rsidR="00AD274E" w:rsidRPr="00FB38E1">
        <w:rPr>
          <w:rFonts w:ascii="Microsoft Sans Serif" w:hAnsi="Microsoft Sans Serif" w:cs="Microsoft Sans Serif"/>
          <w:b w:val="0"/>
          <w:noProof/>
          <w:snapToGrid w:val="0"/>
          <w:sz w:val="14"/>
          <w:szCs w:val="14"/>
          <w:lang w:val="de-DE"/>
        </w:rPr>
        <w:t xml:space="preserve"> </w:t>
      </w:r>
    </w:p>
    <w:p w14:paraId="3B8790A6" w14:textId="425E6EB0" w:rsidR="001E0122" w:rsidRPr="00FB38E1" w:rsidRDefault="001E0122" w:rsidP="00076C9E">
      <w:pPr>
        <w:pStyle w:val="BASLIK2"/>
        <w:widowControl/>
        <w:numPr>
          <w:ilvl w:val="0"/>
          <w:numId w:val="40"/>
        </w:numPr>
        <w:spacing w:line="240" w:lineRule="exact"/>
        <w:ind w:left="0" w:hanging="567"/>
        <w:rPr>
          <w:rFonts w:ascii="Microsoft Sans Serif" w:hAnsi="Microsoft Sans Serif" w:cs="Microsoft Sans Serif"/>
          <w:b w:val="0"/>
          <w:noProof/>
          <w:snapToGrid w:val="0"/>
          <w:color w:val="595959" w:themeColor="text1" w:themeTint="A6"/>
          <w:sz w:val="20"/>
          <w:szCs w:val="20"/>
          <w:lang w:val="de-DE"/>
        </w:rPr>
      </w:pPr>
      <w:r w:rsidRPr="00FB38E1">
        <w:rPr>
          <w:rFonts w:ascii="Microsoft Sans Serif" w:hAnsi="Microsoft Sans Serif" w:cs="Microsoft Sans Serif"/>
          <w:bCs w:val="0"/>
          <w:noProof/>
          <w:sz w:val="20"/>
          <w:szCs w:val="20"/>
        </w:rPr>
        <w:t>Banka’nın dahil olduğu risk grubu ile yaptığı vadeli işlemler ile opsiyon sözleşmeleri ve benzeri diğer sözleşmelere ilişkin bilgiler</w:t>
      </w:r>
    </w:p>
    <w:tbl>
      <w:tblPr>
        <w:tblStyle w:val="TableGrid"/>
        <w:tblW w:w="9639"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592"/>
        <w:gridCol w:w="1007"/>
        <w:gridCol w:w="1008"/>
        <w:gridCol w:w="1008"/>
        <w:gridCol w:w="1008"/>
        <w:gridCol w:w="1008"/>
        <w:gridCol w:w="1008"/>
      </w:tblGrid>
      <w:tr w:rsidR="001E0122" w:rsidRPr="00FB38E1" w14:paraId="2EEFE2DB" w14:textId="77777777" w:rsidTr="00815224">
        <w:tc>
          <w:tcPr>
            <w:tcW w:w="1863" w:type="pct"/>
            <w:tcBorders>
              <w:bottom w:val="nil"/>
            </w:tcBorders>
            <w:shd w:val="clear" w:color="auto" w:fill="auto"/>
          </w:tcPr>
          <w:p w14:paraId="5AC4FCBB" w14:textId="77777777" w:rsidR="001E0122" w:rsidRPr="00FB38E1" w:rsidRDefault="001E0122" w:rsidP="00E86D15">
            <w:pPr>
              <w:pStyle w:val="BASLIK2"/>
              <w:widowControl/>
              <w:spacing w:before="120" w:line="240" w:lineRule="auto"/>
              <w:ind w:firstLine="0"/>
              <w:rPr>
                <w:rFonts w:ascii="Microsoft Sans Serif" w:hAnsi="Microsoft Sans Serif" w:cs="Microsoft Sans Serif"/>
                <w:b w:val="0"/>
                <w:noProof/>
                <w:snapToGrid w:val="0"/>
                <w:color w:val="595959" w:themeColor="text1" w:themeTint="A6"/>
                <w:sz w:val="2"/>
                <w:szCs w:val="2"/>
                <w:lang w:val="de-DE"/>
              </w:rPr>
            </w:pPr>
          </w:p>
        </w:tc>
        <w:tc>
          <w:tcPr>
            <w:tcW w:w="1045" w:type="pct"/>
            <w:gridSpan w:val="2"/>
            <w:tcBorders>
              <w:bottom w:val="nil"/>
            </w:tcBorders>
            <w:shd w:val="clear" w:color="auto" w:fill="auto"/>
            <w:vAlign w:val="bottom"/>
          </w:tcPr>
          <w:p w14:paraId="52207643" w14:textId="4A9FEA86" w:rsidR="001E0122" w:rsidRPr="00FB38E1" w:rsidRDefault="001E0122" w:rsidP="00E86D1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İştirak, Bağlı Ortaklıklar ve Birlik</w:t>
            </w:r>
            <w:r w:rsidR="00CB5156" w:rsidRPr="00FB38E1">
              <w:rPr>
                <w:rFonts w:ascii="Microsoft Sans Serif" w:hAnsi="Microsoft Sans Serif" w:cs="Microsoft Sans Serif"/>
                <w:b/>
                <w:bCs/>
                <w:color w:val="000000"/>
                <w:sz w:val="16"/>
                <w:szCs w:val="16"/>
              </w:rPr>
              <w:t>te Kontrol Edilen Ortaklıklar (İ</w:t>
            </w:r>
            <w:r w:rsidRPr="00FB38E1">
              <w:rPr>
                <w:rFonts w:ascii="Microsoft Sans Serif" w:hAnsi="Microsoft Sans Serif" w:cs="Microsoft Sans Serif"/>
                <w:b/>
                <w:bCs/>
                <w:color w:val="000000"/>
                <w:sz w:val="16"/>
                <w:szCs w:val="16"/>
              </w:rPr>
              <w:t>ş Ortaklıkları)</w:t>
            </w:r>
          </w:p>
        </w:tc>
        <w:tc>
          <w:tcPr>
            <w:tcW w:w="1046" w:type="pct"/>
            <w:gridSpan w:val="2"/>
            <w:tcBorders>
              <w:bottom w:val="nil"/>
            </w:tcBorders>
            <w:shd w:val="clear" w:color="auto" w:fill="auto"/>
            <w:vAlign w:val="bottom"/>
          </w:tcPr>
          <w:p w14:paraId="4265CA7F" w14:textId="77777777" w:rsidR="001E0122" w:rsidRPr="00FB38E1" w:rsidRDefault="001E0122" w:rsidP="00E86D1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Bankanın Doğrudan ve Dolaylı Ortaklıkları</w:t>
            </w:r>
          </w:p>
        </w:tc>
        <w:tc>
          <w:tcPr>
            <w:tcW w:w="1046" w:type="pct"/>
            <w:gridSpan w:val="2"/>
            <w:tcBorders>
              <w:bottom w:val="nil"/>
            </w:tcBorders>
            <w:shd w:val="clear" w:color="auto" w:fill="auto"/>
            <w:vAlign w:val="bottom"/>
          </w:tcPr>
          <w:p w14:paraId="56164207" w14:textId="77777777" w:rsidR="001E0122" w:rsidRPr="00FB38E1" w:rsidRDefault="001E0122" w:rsidP="00E86D15">
            <w:pPr>
              <w:jc w:val="cente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Risk Grubuna Dahil Olan Diğer Gerçek ve Tüzel Kişiler</w:t>
            </w:r>
          </w:p>
        </w:tc>
      </w:tr>
      <w:tr w:rsidR="001E0122" w:rsidRPr="00FB38E1" w14:paraId="207B22FD" w14:textId="77777777" w:rsidTr="00815224">
        <w:tc>
          <w:tcPr>
            <w:tcW w:w="1863" w:type="pct"/>
            <w:tcBorders>
              <w:top w:val="nil"/>
              <w:bottom w:val="single" w:sz="4" w:space="0" w:color="auto"/>
            </w:tcBorders>
            <w:shd w:val="clear" w:color="auto" w:fill="auto"/>
            <w:vAlign w:val="bottom"/>
          </w:tcPr>
          <w:p w14:paraId="43DEBD01" w14:textId="5BE8A466" w:rsidR="001E0122" w:rsidRPr="00FB38E1" w:rsidRDefault="006D13F6" w:rsidP="00E86D1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Banka’nı</w:t>
            </w:r>
            <w:r w:rsidR="001E0122" w:rsidRPr="00FB38E1">
              <w:rPr>
                <w:rFonts w:ascii="Microsoft Sans Serif" w:hAnsi="Microsoft Sans Serif" w:cs="Microsoft Sans Serif"/>
                <w:b/>
                <w:bCs/>
                <w:color w:val="000000"/>
                <w:sz w:val="16"/>
                <w:szCs w:val="16"/>
              </w:rPr>
              <w:t xml:space="preserve">n Dahil Olduğu Risk Grubu (*) </w:t>
            </w:r>
          </w:p>
        </w:tc>
        <w:tc>
          <w:tcPr>
            <w:tcW w:w="522" w:type="pct"/>
            <w:tcBorders>
              <w:top w:val="nil"/>
              <w:bottom w:val="single" w:sz="4" w:space="0" w:color="auto"/>
            </w:tcBorders>
            <w:shd w:val="clear" w:color="auto" w:fill="auto"/>
            <w:vAlign w:val="bottom"/>
          </w:tcPr>
          <w:p w14:paraId="5305BA36"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w:t>
            </w:r>
          </w:p>
          <w:p w14:paraId="1DC58435"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3D6DAFE2"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shd w:val="clear" w:color="auto" w:fill="auto"/>
            <w:vAlign w:val="bottom"/>
          </w:tcPr>
          <w:p w14:paraId="340147A5"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w:t>
            </w:r>
          </w:p>
          <w:p w14:paraId="302656EA"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49E11DE8"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c>
          <w:tcPr>
            <w:tcW w:w="523" w:type="pct"/>
            <w:tcBorders>
              <w:top w:val="nil"/>
              <w:bottom w:val="single" w:sz="4" w:space="0" w:color="auto"/>
            </w:tcBorders>
            <w:shd w:val="clear" w:color="auto" w:fill="auto"/>
            <w:vAlign w:val="bottom"/>
          </w:tcPr>
          <w:p w14:paraId="5C453162"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 xml:space="preserve">Cari </w:t>
            </w:r>
          </w:p>
          <w:p w14:paraId="65847037"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Dönem</w:t>
            </w:r>
          </w:p>
        </w:tc>
        <w:tc>
          <w:tcPr>
            <w:tcW w:w="523" w:type="pct"/>
            <w:tcBorders>
              <w:top w:val="nil"/>
              <w:bottom w:val="single" w:sz="4" w:space="0" w:color="auto"/>
            </w:tcBorders>
            <w:shd w:val="clear" w:color="auto" w:fill="auto"/>
            <w:vAlign w:val="bottom"/>
          </w:tcPr>
          <w:p w14:paraId="24D1D23D" w14:textId="77777777" w:rsidR="001E0122" w:rsidRPr="00FB38E1" w:rsidRDefault="001E0122" w:rsidP="00E86D15">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Önceki Dönem</w:t>
            </w:r>
          </w:p>
        </w:tc>
      </w:tr>
      <w:tr w:rsidR="001E0122" w:rsidRPr="00FB38E1" w14:paraId="650F9C4C" w14:textId="77777777" w:rsidTr="00815224">
        <w:tc>
          <w:tcPr>
            <w:tcW w:w="1863" w:type="pct"/>
            <w:tcBorders>
              <w:top w:val="single" w:sz="4" w:space="0" w:color="auto"/>
            </w:tcBorders>
            <w:shd w:val="clear" w:color="auto" w:fill="auto"/>
            <w:vAlign w:val="bottom"/>
          </w:tcPr>
          <w:p w14:paraId="2EF9F98F" w14:textId="57F2B91A" w:rsidR="001E0122" w:rsidRPr="00FB38E1" w:rsidRDefault="00234B46" w:rsidP="00E86D15">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Gerçeğe Uygun Değer Farkı Kar veya Zarara Yansıtılan İşlemler</w:t>
            </w:r>
          </w:p>
        </w:tc>
        <w:tc>
          <w:tcPr>
            <w:tcW w:w="522" w:type="pct"/>
            <w:tcBorders>
              <w:top w:val="single" w:sz="4" w:space="0" w:color="auto"/>
            </w:tcBorders>
            <w:shd w:val="clear" w:color="auto" w:fill="auto"/>
            <w:vAlign w:val="bottom"/>
          </w:tcPr>
          <w:p w14:paraId="46E7BEE3" w14:textId="77777777" w:rsidR="001E0122" w:rsidRPr="00FB38E1"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4392DF6F" w14:textId="77777777" w:rsidR="001E0122" w:rsidRPr="00FB38E1"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74927E69" w14:textId="77777777" w:rsidR="001E0122" w:rsidRPr="00FB38E1"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33088139" w14:textId="77777777" w:rsidR="001E0122" w:rsidRPr="00FB38E1"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685243F1" w14:textId="77777777" w:rsidR="001E0122" w:rsidRPr="00FB38E1" w:rsidRDefault="001E0122" w:rsidP="00E86D15">
            <w:pPr>
              <w:rPr>
                <w:rFonts w:ascii="Microsoft Sans Serif" w:hAnsi="Microsoft Sans Serif" w:cs="Microsoft Sans Serif"/>
                <w:b/>
                <w:bCs/>
                <w:color w:val="000000"/>
                <w:sz w:val="16"/>
                <w:szCs w:val="16"/>
              </w:rPr>
            </w:pPr>
          </w:p>
        </w:tc>
        <w:tc>
          <w:tcPr>
            <w:tcW w:w="523" w:type="pct"/>
            <w:tcBorders>
              <w:top w:val="single" w:sz="4" w:space="0" w:color="auto"/>
            </w:tcBorders>
            <w:shd w:val="clear" w:color="auto" w:fill="auto"/>
            <w:vAlign w:val="bottom"/>
          </w:tcPr>
          <w:p w14:paraId="37056565" w14:textId="77777777" w:rsidR="001E0122" w:rsidRPr="00FB38E1" w:rsidRDefault="001E0122" w:rsidP="00E86D15">
            <w:pPr>
              <w:rPr>
                <w:rFonts w:ascii="Microsoft Sans Serif" w:hAnsi="Microsoft Sans Serif" w:cs="Microsoft Sans Serif"/>
                <w:b/>
                <w:bCs/>
                <w:color w:val="000000"/>
                <w:sz w:val="16"/>
                <w:szCs w:val="16"/>
              </w:rPr>
            </w:pPr>
          </w:p>
        </w:tc>
      </w:tr>
      <w:tr w:rsidR="00994312" w:rsidRPr="00FB38E1" w14:paraId="236F81A9" w14:textId="77777777" w:rsidTr="00815224">
        <w:tc>
          <w:tcPr>
            <w:tcW w:w="1863" w:type="pct"/>
            <w:shd w:val="clear" w:color="auto" w:fill="auto"/>
            <w:vAlign w:val="bottom"/>
          </w:tcPr>
          <w:p w14:paraId="22EBE9D3" w14:textId="77777777" w:rsidR="00994312" w:rsidRPr="00FB38E1" w:rsidRDefault="00994312" w:rsidP="00994312">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Dönem Başı Bakiyesi </w:t>
            </w:r>
          </w:p>
        </w:tc>
        <w:tc>
          <w:tcPr>
            <w:tcW w:w="522" w:type="pct"/>
            <w:shd w:val="clear" w:color="auto" w:fill="auto"/>
            <w:vAlign w:val="center"/>
          </w:tcPr>
          <w:p w14:paraId="4F7611CD" w14:textId="104B8A87"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9.159.620</w:t>
            </w:r>
          </w:p>
        </w:tc>
        <w:tc>
          <w:tcPr>
            <w:tcW w:w="523" w:type="pct"/>
            <w:shd w:val="clear" w:color="auto" w:fill="auto"/>
            <w:vAlign w:val="center"/>
          </w:tcPr>
          <w:p w14:paraId="7F95D09E" w14:textId="0A3475DA"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10.114.722</w:t>
            </w:r>
          </w:p>
        </w:tc>
        <w:tc>
          <w:tcPr>
            <w:tcW w:w="523" w:type="pct"/>
            <w:shd w:val="clear" w:color="auto" w:fill="auto"/>
            <w:vAlign w:val="center"/>
          </w:tcPr>
          <w:p w14:paraId="317133DC" w14:textId="54E0F629"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3.945.073</w:t>
            </w:r>
          </w:p>
        </w:tc>
        <w:tc>
          <w:tcPr>
            <w:tcW w:w="523" w:type="pct"/>
            <w:shd w:val="clear" w:color="auto" w:fill="auto"/>
            <w:vAlign w:val="center"/>
          </w:tcPr>
          <w:p w14:paraId="5EDF5F81" w14:textId="19C5FDCD"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161.515</w:t>
            </w:r>
          </w:p>
        </w:tc>
        <w:tc>
          <w:tcPr>
            <w:tcW w:w="523" w:type="pct"/>
            <w:shd w:val="clear" w:color="auto" w:fill="auto"/>
            <w:vAlign w:val="center"/>
          </w:tcPr>
          <w:p w14:paraId="3A5FB6DF" w14:textId="0E3586E0"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04F76F25" w14:textId="0D413282"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68.852</w:t>
            </w:r>
          </w:p>
        </w:tc>
      </w:tr>
      <w:tr w:rsidR="00994312" w:rsidRPr="00FB38E1" w14:paraId="57CC3556" w14:textId="77777777" w:rsidTr="00815224">
        <w:tc>
          <w:tcPr>
            <w:tcW w:w="1863" w:type="pct"/>
            <w:shd w:val="clear" w:color="auto" w:fill="auto"/>
            <w:vAlign w:val="bottom"/>
          </w:tcPr>
          <w:p w14:paraId="07CDF21C" w14:textId="77777777" w:rsidR="00994312" w:rsidRPr="00FB38E1" w:rsidRDefault="00994312" w:rsidP="00994312">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Sonu Bakiyesi</w:t>
            </w:r>
          </w:p>
        </w:tc>
        <w:tc>
          <w:tcPr>
            <w:tcW w:w="522" w:type="pct"/>
            <w:shd w:val="clear" w:color="auto" w:fill="auto"/>
            <w:vAlign w:val="center"/>
          </w:tcPr>
          <w:p w14:paraId="02CDDB1E" w14:textId="6F03D977"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12.239.721</w:t>
            </w:r>
          </w:p>
        </w:tc>
        <w:tc>
          <w:tcPr>
            <w:tcW w:w="523" w:type="pct"/>
            <w:shd w:val="clear" w:color="auto" w:fill="auto"/>
            <w:vAlign w:val="center"/>
          </w:tcPr>
          <w:p w14:paraId="2E5BB131" w14:textId="3ECD7F2A"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9.159.620</w:t>
            </w:r>
          </w:p>
        </w:tc>
        <w:tc>
          <w:tcPr>
            <w:tcW w:w="523" w:type="pct"/>
            <w:shd w:val="clear" w:color="auto" w:fill="auto"/>
            <w:vAlign w:val="center"/>
          </w:tcPr>
          <w:p w14:paraId="0EA96D7D" w14:textId="6C9A2A93"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140.072</w:t>
            </w:r>
          </w:p>
        </w:tc>
        <w:tc>
          <w:tcPr>
            <w:tcW w:w="523" w:type="pct"/>
            <w:shd w:val="clear" w:color="auto" w:fill="auto"/>
            <w:vAlign w:val="center"/>
          </w:tcPr>
          <w:p w14:paraId="14D9FFDF" w14:textId="1AC77567"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3.945.073</w:t>
            </w:r>
          </w:p>
        </w:tc>
        <w:tc>
          <w:tcPr>
            <w:tcW w:w="523" w:type="pct"/>
            <w:shd w:val="clear" w:color="auto" w:fill="auto"/>
            <w:vAlign w:val="center"/>
          </w:tcPr>
          <w:p w14:paraId="0A39CEFA" w14:textId="78F163EB"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66C612CD" w14:textId="13795211"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994312" w:rsidRPr="00FB38E1" w14:paraId="2E4FE337" w14:textId="77777777" w:rsidTr="00815224">
        <w:tc>
          <w:tcPr>
            <w:tcW w:w="1863" w:type="pct"/>
            <w:shd w:val="clear" w:color="auto" w:fill="auto"/>
            <w:vAlign w:val="bottom"/>
          </w:tcPr>
          <w:p w14:paraId="50270F8A" w14:textId="77777777" w:rsidR="00994312" w:rsidRPr="00FB38E1" w:rsidRDefault="00994312" w:rsidP="00994312">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Toplam Kar/(Zarar)</w:t>
            </w:r>
          </w:p>
        </w:tc>
        <w:tc>
          <w:tcPr>
            <w:tcW w:w="522" w:type="pct"/>
            <w:shd w:val="clear" w:color="auto" w:fill="auto"/>
            <w:vAlign w:val="center"/>
          </w:tcPr>
          <w:p w14:paraId="058BFF2C" w14:textId="73F44350"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1.384.062</w:t>
            </w:r>
          </w:p>
        </w:tc>
        <w:tc>
          <w:tcPr>
            <w:tcW w:w="523" w:type="pct"/>
            <w:shd w:val="clear" w:color="auto" w:fill="auto"/>
            <w:vAlign w:val="center"/>
          </w:tcPr>
          <w:p w14:paraId="66C8ECE2" w14:textId="117343AD"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10.803</w:t>
            </w:r>
          </w:p>
        </w:tc>
        <w:tc>
          <w:tcPr>
            <w:tcW w:w="523" w:type="pct"/>
            <w:shd w:val="clear" w:color="auto" w:fill="auto"/>
            <w:vAlign w:val="center"/>
          </w:tcPr>
          <w:p w14:paraId="45349941" w14:textId="046058D1"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(16.703)</w:t>
            </w:r>
          </w:p>
        </w:tc>
        <w:tc>
          <w:tcPr>
            <w:tcW w:w="523" w:type="pct"/>
            <w:shd w:val="clear" w:color="auto" w:fill="auto"/>
            <w:vAlign w:val="center"/>
          </w:tcPr>
          <w:p w14:paraId="0DE835D2" w14:textId="3826CF0F"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(38.519)</w:t>
            </w:r>
          </w:p>
        </w:tc>
        <w:tc>
          <w:tcPr>
            <w:tcW w:w="523" w:type="pct"/>
            <w:shd w:val="clear" w:color="auto" w:fill="auto"/>
            <w:vAlign w:val="center"/>
          </w:tcPr>
          <w:p w14:paraId="20657FA6" w14:textId="6D727FA4"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284</w:t>
            </w:r>
          </w:p>
        </w:tc>
        <w:tc>
          <w:tcPr>
            <w:tcW w:w="523" w:type="pct"/>
            <w:shd w:val="clear" w:color="auto" w:fill="auto"/>
            <w:vAlign w:val="center"/>
          </w:tcPr>
          <w:p w14:paraId="70DECC48" w14:textId="3F6A3F98" w:rsidR="00994312" w:rsidRPr="00FB38E1" w:rsidRDefault="00994312" w:rsidP="00994312">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8.256</w:t>
            </w:r>
          </w:p>
        </w:tc>
      </w:tr>
      <w:tr w:rsidR="00E733DE" w:rsidRPr="00FB38E1" w14:paraId="7E763DB2" w14:textId="77777777" w:rsidTr="00815224">
        <w:trPr>
          <w:trHeight w:val="113"/>
        </w:trPr>
        <w:tc>
          <w:tcPr>
            <w:tcW w:w="1863" w:type="pct"/>
            <w:shd w:val="clear" w:color="auto" w:fill="auto"/>
            <w:vAlign w:val="bottom"/>
          </w:tcPr>
          <w:p w14:paraId="49CC6E9A" w14:textId="77777777" w:rsidR="00E733DE" w:rsidRPr="00FB38E1" w:rsidRDefault="00E733DE" w:rsidP="00E733DE">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Riskten Korunma Amaçlı İşlemler:</w:t>
            </w:r>
          </w:p>
        </w:tc>
        <w:tc>
          <w:tcPr>
            <w:tcW w:w="522" w:type="pct"/>
            <w:shd w:val="clear" w:color="auto" w:fill="auto"/>
            <w:vAlign w:val="center"/>
          </w:tcPr>
          <w:p w14:paraId="42BBD792" w14:textId="77777777" w:rsidR="00E733DE" w:rsidRPr="00FB38E1" w:rsidRDefault="00E733DE" w:rsidP="00E733DE">
            <w:pPr>
              <w:jc w:val="right"/>
              <w:rPr>
                <w:rFonts w:ascii="Microsoft Sans Serif" w:hAnsi="Microsoft Sans Serif" w:cs="Microsoft Sans Serif"/>
                <w:color w:val="404040"/>
                <w:sz w:val="16"/>
                <w:szCs w:val="16"/>
              </w:rPr>
            </w:pPr>
          </w:p>
        </w:tc>
        <w:tc>
          <w:tcPr>
            <w:tcW w:w="523" w:type="pct"/>
            <w:shd w:val="clear" w:color="auto" w:fill="auto"/>
            <w:vAlign w:val="center"/>
          </w:tcPr>
          <w:p w14:paraId="3B49DCC6" w14:textId="3698A101" w:rsidR="00E733DE" w:rsidRPr="00FB38E1" w:rsidRDefault="00E733DE" w:rsidP="00E733DE">
            <w:pPr>
              <w:jc w:val="right"/>
              <w:rPr>
                <w:rFonts w:ascii="Microsoft Sans Serif" w:hAnsi="Microsoft Sans Serif" w:cs="Microsoft Sans Serif"/>
                <w:b/>
                <w:bCs/>
                <w:color w:val="404040"/>
                <w:sz w:val="16"/>
                <w:szCs w:val="16"/>
              </w:rPr>
            </w:pPr>
          </w:p>
        </w:tc>
        <w:tc>
          <w:tcPr>
            <w:tcW w:w="523" w:type="pct"/>
            <w:shd w:val="clear" w:color="auto" w:fill="auto"/>
            <w:vAlign w:val="center"/>
          </w:tcPr>
          <w:p w14:paraId="1BA75E84" w14:textId="77777777" w:rsidR="00E733DE" w:rsidRPr="00FB38E1" w:rsidRDefault="00E733DE" w:rsidP="00E733DE">
            <w:pPr>
              <w:jc w:val="right"/>
              <w:rPr>
                <w:rFonts w:ascii="Microsoft Sans Serif" w:hAnsi="Microsoft Sans Serif" w:cs="Microsoft Sans Serif"/>
                <w:color w:val="404040"/>
                <w:sz w:val="16"/>
                <w:szCs w:val="16"/>
              </w:rPr>
            </w:pPr>
          </w:p>
        </w:tc>
        <w:tc>
          <w:tcPr>
            <w:tcW w:w="523" w:type="pct"/>
            <w:shd w:val="clear" w:color="auto" w:fill="auto"/>
            <w:vAlign w:val="center"/>
          </w:tcPr>
          <w:p w14:paraId="7EE1A579" w14:textId="625B6243" w:rsidR="00E733DE" w:rsidRPr="00FB38E1" w:rsidRDefault="00E733DE" w:rsidP="00E733DE">
            <w:pPr>
              <w:jc w:val="right"/>
              <w:rPr>
                <w:rFonts w:ascii="Microsoft Sans Serif" w:hAnsi="Microsoft Sans Serif" w:cs="Microsoft Sans Serif"/>
                <w:b/>
                <w:bCs/>
                <w:color w:val="404040"/>
                <w:sz w:val="16"/>
                <w:szCs w:val="16"/>
              </w:rPr>
            </w:pPr>
          </w:p>
        </w:tc>
        <w:tc>
          <w:tcPr>
            <w:tcW w:w="523" w:type="pct"/>
            <w:shd w:val="clear" w:color="auto" w:fill="auto"/>
            <w:vAlign w:val="center"/>
          </w:tcPr>
          <w:p w14:paraId="319603A6" w14:textId="77777777" w:rsidR="00E733DE" w:rsidRPr="00FB38E1" w:rsidRDefault="00E733DE" w:rsidP="00E733DE">
            <w:pPr>
              <w:jc w:val="right"/>
              <w:rPr>
                <w:rFonts w:ascii="Microsoft Sans Serif" w:hAnsi="Microsoft Sans Serif" w:cs="Microsoft Sans Serif"/>
                <w:color w:val="404040"/>
                <w:sz w:val="16"/>
                <w:szCs w:val="16"/>
              </w:rPr>
            </w:pPr>
          </w:p>
        </w:tc>
        <w:tc>
          <w:tcPr>
            <w:tcW w:w="523" w:type="pct"/>
            <w:shd w:val="clear" w:color="auto" w:fill="auto"/>
            <w:vAlign w:val="center"/>
          </w:tcPr>
          <w:p w14:paraId="6316D856" w14:textId="227A1E8F" w:rsidR="00E733DE" w:rsidRPr="00FB38E1" w:rsidRDefault="00E733DE" w:rsidP="00E733DE">
            <w:pPr>
              <w:jc w:val="right"/>
              <w:rPr>
                <w:rFonts w:ascii="Microsoft Sans Serif" w:hAnsi="Microsoft Sans Serif" w:cs="Microsoft Sans Serif"/>
                <w:b/>
                <w:bCs/>
                <w:color w:val="404040"/>
                <w:sz w:val="16"/>
                <w:szCs w:val="16"/>
              </w:rPr>
            </w:pPr>
          </w:p>
        </w:tc>
      </w:tr>
      <w:tr w:rsidR="00E733DE" w:rsidRPr="00FB38E1" w14:paraId="7BD5AD50" w14:textId="77777777" w:rsidTr="00815224">
        <w:tc>
          <w:tcPr>
            <w:tcW w:w="1863" w:type="pct"/>
            <w:shd w:val="clear" w:color="auto" w:fill="auto"/>
            <w:vAlign w:val="bottom"/>
          </w:tcPr>
          <w:p w14:paraId="1929C96E" w14:textId="77777777" w:rsidR="00E733DE" w:rsidRPr="00FB38E1" w:rsidRDefault="00E733DE" w:rsidP="00E733DE">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Dönem Başı Bakiyesi </w:t>
            </w:r>
          </w:p>
        </w:tc>
        <w:tc>
          <w:tcPr>
            <w:tcW w:w="522" w:type="pct"/>
            <w:shd w:val="clear" w:color="auto" w:fill="auto"/>
            <w:vAlign w:val="center"/>
          </w:tcPr>
          <w:p w14:paraId="73214CDC" w14:textId="56FCFEDE"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5F8E9433" w14:textId="68BD49BF"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7BD8412A" w14:textId="14B0DC76"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3248E3E4" w14:textId="6BB945FE"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315B7094" w14:textId="67F2BCF6"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1BFAB3F0" w14:textId="74C0EDA3"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733DE" w:rsidRPr="00FB38E1" w14:paraId="7267BFEF" w14:textId="77777777" w:rsidTr="00815224">
        <w:tc>
          <w:tcPr>
            <w:tcW w:w="1863" w:type="pct"/>
            <w:shd w:val="clear" w:color="auto" w:fill="auto"/>
            <w:vAlign w:val="bottom"/>
          </w:tcPr>
          <w:p w14:paraId="4F66DFEE" w14:textId="77777777" w:rsidR="00E733DE" w:rsidRPr="00FB38E1" w:rsidRDefault="00E733DE" w:rsidP="00E733DE">
            <w:pPr>
              <w:ind w:firstLineChars="100" w:firstLine="160"/>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Dönem Sonu Bakiyesi</w:t>
            </w:r>
          </w:p>
        </w:tc>
        <w:tc>
          <w:tcPr>
            <w:tcW w:w="522" w:type="pct"/>
            <w:shd w:val="clear" w:color="auto" w:fill="auto"/>
            <w:vAlign w:val="center"/>
          </w:tcPr>
          <w:p w14:paraId="38A98FB1" w14:textId="721776E5"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5BFA5829" w14:textId="715AAD55"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2E14F516" w14:textId="45B3CB61"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750B1ED0" w14:textId="7195C13C"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46A9F8E3" w14:textId="726B0532"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01BE08E4" w14:textId="0E85CBA8"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r w:rsidR="00E733DE" w:rsidRPr="00FB38E1" w14:paraId="56CB4E07" w14:textId="77777777" w:rsidTr="00815224">
        <w:tc>
          <w:tcPr>
            <w:tcW w:w="1863" w:type="pct"/>
            <w:shd w:val="clear" w:color="auto" w:fill="auto"/>
            <w:vAlign w:val="bottom"/>
          </w:tcPr>
          <w:p w14:paraId="113B1B02" w14:textId="77777777" w:rsidR="00E733DE" w:rsidRPr="00FB38E1" w:rsidRDefault="00E733DE" w:rsidP="00E733DE">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Toplam Kar/(Zarar)</w:t>
            </w:r>
          </w:p>
        </w:tc>
        <w:tc>
          <w:tcPr>
            <w:tcW w:w="522" w:type="pct"/>
            <w:shd w:val="clear" w:color="auto" w:fill="auto"/>
            <w:vAlign w:val="center"/>
          </w:tcPr>
          <w:p w14:paraId="2387C46A" w14:textId="3B41A210"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2A86E230" w14:textId="09436ED7"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13A01073" w14:textId="44670F58"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7EA3CA6A" w14:textId="4F5087B6"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6C993F03" w14:textId="62BC2E39"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c>
          <w:tcPr>
            <w:tcW w:w="523" w:type="pct"/>
            <w:shd w:val="clear" w:color="auto" w:fill="auto"/>
            <w:vAlign w:val="center"/>
          </w:tcPr>
          <w:p w14:paraId="4E1355B1" w14:textId="668066FE" w:rsidR="00E733DE" w:rsidRPr="00FB38E1" w:rsidRDefault="00E733DE" w:rsidP="00E733DE">
            <w:pPr>
              <w:jc w:val="righ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w:t>
            </w:r>
          </w:p>
        </w:tc>
      </w:tr>
    </w:tbl>
    <w:p w14:paraId="507D3D81" w14:textId="77777777" w:rsidR="001E0122" w:rsidRPr="00FB38E1" w:rsidRDefault="001E0122" w:rsidP="001E0122">
      <w:pPr>
        <w:pStyle w:val="BASLIK2"/>
        <w:widowControl/>
        <w:spacing w:before="60" w:line="240" w:lineRule="auto"/>
        <w:ind w:left="284" w:hanging="284"/>
        <w:rPr>
          <w:rFonts w:ascii="Microsoft Sans Serif" w:hAnsi="Microsoft Sans Serif" w:cs="Microsoft Sans Serif"/>
          <w:b w:val="0"/>
          <w:bCs w:val="0"/>
          <w:noProof/>
          <w:color w:val="404040" w:themeColor="text1" w:themeTint="BF"/>
          <w:sz w:val="14"/>
          <w:szCs w:val="14"/>
        </w:rPr>
      </w:pPr>
      <w:r w:rsidRPr="00FB38E1">
        <w:rPr>
          <w:rFonts w:ascii="Microsoft Sans Serif" w:hAnsi="Microsoft Sans Serif" w:cs="Microsoft Sans Serif"/>
          <w:b w:val="0"/>
          <w:bCs w:val="0"/>
          <w:iCs/>
          <w:color w:val="404040" w:themeColor="text1" w:themeTint="BF"/>
          <w:sz w:val="14"/>
          <w:szCs w:val="14"/>
        </w:rPr>
        <w:t>(*)</w:t>
      </w:r>
      <w:r w:rsidRPr="00FB38E1">
        <w:rPr>
          <w:rFonts w:ascii="Microsoft Sans Serif" w:hAnsi="Microsoft Sans Serif" w:cs="Microsoft Sans Serif"/>
          <w:b w:val="0"/>
          <w:bCs w:val="0"/>
          <w:iCs/>
          <w:color w:val="404040" w:themeColor="text1" w:themeTint="BF"/>
          <w:sz w:val="14"/>
          <w:szCs w:val="14"/>
        </w:rPr>
        <w:tab/>
      </w:r>
      <w:r w:rsidRPr="00FB38E1">
        <w:rPr>
          <w:rFonts w:ascii="Microsoft Sans Serif" w:hAnsi="Microsoft Sans Serif" w:cs="Microsoft Sans Serif"/>
          <w:b w:val="0"/>
          <w:bCs w:val="0"/>
          <w:iCs/>
          <w:color w:val="404040" w:themeColor="text1" w:themeTint="BF"/>
          <w:sz w:val="14"/>
          <w:szCs w:val="14"/>
        </w:rPr>
        <w:tab/>
      </w:r>
      <w:r w:rsidRPr="00FB38E1">
        <w:rPr>
          <w:rFonts w:ascii="Microsoft Sans Serif" w:hAnsi="Microsoft Sans Serif" w:cs="Microsoft Sans Serif"/>
          <w:b w:val="0"/>
          <w:bCs w:val="0"/>
          <w:noProof/>
          <w:color w:val="404040" w:themeColor="text1" w:themeTint="BF"/>
          <w:sz w:val="14"/>
          <w:szCs w:val="14"/>
        </w:rPr>
        <w:t>5411 sayılı Bankacılık Kanunu’nun 49’uncu maddesinde tanımlanmıştır.</w:t>
      </w:r>
    </w:p>
    <w:p w14:paraId="6FAD6B55" w14:textId="2EFEC3A3" w:rsidR="001E0122" w:rsidRPr="00FB38E1" w:rsidRDefault="001E0122"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r w:rsidRPr="00FB38E1">
        <w:rPr>
          <w:rFonts w:ascii="Microsoft Sans Serif" w:hAnsi="Microsoft Sans Serif" w:cs="Microsoft Sans Serif"/>
          <w:bCs w:val="0"/>
          <w:noProof/>
          <w:sz w:val="20"/>
          <w:szCs w:val="20"/>
        </w:rPr>
        <w:t>Üst yönetime sağlanan faydalara ilişkin bilgiler</w:t>
      </w:r>
    </w:p>
    <w:p w14:paraId="6AFB842D" w14:textId="2AF458FD" w:rsidR="001E0122" w:rsidRPr="00FB38E1" w:rsidRDefault="00AD2A6F" w:rsidP="00E27C33">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noProof/>
          <w:color w:val="404040" w:themeColor="text1" w:themeTint="BF"/>
          <w:sz w:val="20"/>
          <w:szCs w:val="20"/>
        </w:rPr>
        <w:t xml:space="preserve">31 Aralık 2024 </w:t>
      </w:r>
      <w:r w:rsidR="001E0122" w:rsidRPr="00FB38E1">
        <w:rPr>
          <w:rFonts w:ascii="Microsoft Sans Serif" w:hAnsi="Microsoft Sans Serif" w:cs="Microsoft Sans Serif"/>
          <w:b w:val="0"/>
          <w:noProof/>
          <w:color w:val="404040" w:themeColor="text1" w:themeTint="BF"/>
          <w:sz w:val="20"/>
          <w:szCs w:val="20"/>
        </w:rPr>
        <w:t xml:space="preserve">tarihi itibarıyla Banka üst yönetimine </w:t>
      </w:r>
      <w:r w:rsidR="009375AA" w:rsidRPr="00FB38E1">
        <w:rPr>
          <w:rFonts w:ascii="Microsoft Sans Serif" w:hAnsi="Microsoft Sans Serif" w:cs="Microsoft Sans Serif"/>
          <w:b w:val="0"/>
          <w:noProof/>
          <w:color w:val="404040" w:themeColor="text1" w:themeTint="BF"/>
          <w:sz w:val="20"/>
          <w:szCs w:val="20"/>
        </w:rPr>
        <w:t>646.747</w:t>
      </w:r>
      <w:r w:rsidR="001E0122" w:rsidRPr="00FB38E1">
        <w:rPr>
          <w:rFonts w:ascii="Microsoft Sans Serif" w:hAnsi="Microsoft Sans Serif" w:cs="Microsoft Sans Serif"/>
          <w:b w:val="0"/>
          <w:noProof/>
          <w:color w:val="404040" w:themeColor="text1" w:themeTint="BF"/>
          <w:sz w:val="20"/>
          <w:szCs w:val="20"/>
        </w:rPr>
        <w:t xml:space="preserve"> TL </w:t>
      </w:r>
      <w:r w:rsidR="00ED31DC" w:rsidRPr="00FB38E1">
        <w:rPr>
          <w:rFonts w:ascii="Microsoft Sans Serif" w:hAnsi="Microsoft Sans Serif" w:cs="Microsoft Sans Serif"/>
          <w:b w:val="0"/>
          <w:noProof/>
          <w:color w:val="404040" w:themeColor="text1" w:themeTint="BF"/>
          <w:sz w:val="20"/>
          <w:szCs w:val="20"/>
        </w:rPr>
        <w:t>(</w:t>
      </w:r>
      <w:r w:rsidR="00B700A0" w:rsidRPr="00FB38E1">
        <w:rPr>
          <w:rFonts w:ascii="Microsoft Sans Serif" w:hAnsi="Microsoft Sans Serif" w:cs="Microsoft Sans Serif"/>
          <w:b w:val="0"/>
          <w:noProof/>
          <w:color w:val="404040" w:themeColor="text1" w:themeTint="BF"/>
          <w:sz w:val="20"/>
          <w:szCs w:val="20"/>
        </w:rPr>
        <w:t>31 Aralık 2023</w:t>
      </w:r>
      <w:r w:rsidR="00A90AB0" w:rsidRPr="00FB38E1">
        <w:rPr>
          <w:rFonts w:ascii="Microsoft Sans Serif" w:hAnsi="Microsoft Sans Serif" w:cs="Microsoft Sans Serif"/>
          <w:b w:val="0"/>
          <w:noProof/>
          <w:color w:val="404040" w:themeColor="text1" w:themeTint="BF"/>
          <w:sz w:val="20"/>
          <w:szCs w:val="20"/>
        </w:rPr>
        <w:t>:</w:t>
      </w:r>
      <w:r w:rsidR="002A24FC" w:rsidRPr="00FB38E1">
        <w:rPr>
          <w:rFonts w:ascii="Microsoft Sans Serif" w:hAnsi="Microsoft Sans Serif" w:cs="Microsoft Sans Serif"/>
          <w:b w:val="0"/>
          <w:noProof/>
          <w:color w:val="404040" w:themeColor="text1" w:themeTint="BF"/>
          <w:sz w:val="20"/>
          <w:szCs w:val="20"/>
        </w:rPr>
        <w:t xml:space="preserve"> </w:t>
      </w:r>
      <w:r w:rsidR="008230E7" w:rsidRPr="00FB38E1">
        <w:rPr>
          <w:rFonts w:ascii="Microsoft Sans Serif" w:hAnsi="Microsoft Sans Serif" w:cs="Microsoft Sans Serif"/>
          <w:b w:val="0"/>
          <w:noProof/>
          <w:color w:val="404040" w:themeColor="text1" w:themeTint="BF"/>
          <w:sz w:val="20"/>
          <w:szCs w:val="20"/>
        </w:rPr>
        <w:t xml:space="preserve">380.533 </w:t>
      </w:r>
      <w:r w:rsidR="00A90AB0" w:rsidRPr="00FB38E1">
        <w:rPr>
          <w:rFonts w:ascii="Microsoft Sans Serif" w:hAnsi="Microsoft Sans Serif" w:cs="Microsoft Sans Serif"/>
          <w:b w:val="0"/>
          <w:noProof/>
          <w:color w:val="404040" w:themeColor="text1" w:themeTint="BF"/>
          <w:sz w:val="20"/>
          <w:szCs w:val="20"/>
        </w:rPr>
        <w:t>TL)</w:t>
      </w:r>
      <w:r w:rsidR="003D6E7F" w:rsidRPr="00FB38E1">
        <w:rPr>
          <w:rFonts w:ascii="Microsoft Sans Serif" w:hAnsi="Microsoft Sans Serif" w:cs="Microsoft Sans Serif"/>
          <w:b w:val="0"/>
          <w:noProof/>
          <w:color w:val="404040" w:themeColor="text1" w:themeTint="BF"/>
          <w:sz w:val="20"/>
          <w:szCs w:val="20"/>
        </w:rPr>
        <w:t xml:space="preserve"> </w:t>
      </w:r>
      <w:r w:rsidR="001E0122" w:rsidRPr="00FB38E1">
        <w:rPr>
          <w:rFonts w:ascii="Microsoft Sans Serif" w:hAnsi="Microsoft Sans Serif" w:cs="Microsoft Sans Serif"/>
          <w:b w:val="0"/>
          <w:noProof/>
          <w:color w:val="404040" w:themeColor="text1" w:themeTint="BF"/>
          <w:sz w:val="20"/>
          <w:szCs w:val="20"/>
        </w:rPr>
        <w:t xml:space="preserve">tutarında ödeme </w:t>
      </w:r>
      <w:r w:rsidR="00BA48F2" w:rsidRPr="00FB38E1">
        <w:rPr>
          <w:rFonts w:ascii="Microsoft Sans Serif" w:hAnsi="Microsoft Sans Serif" w:cs="Microsoft Sans Serif"/>
          <w:b w:val="0"/>
          <w:noProof/>
          <w:color w:val="404040" w:themeColor="text1" w:themeTint="BF"/>
          <w:sz w:val="20"/>
          <w:szCs w:val="20"/>
        </w:rPr>
        <w:t>tahakkuk etmiştir.</w:t>
      </w:r>
    </w:p>
    <w:p w14:paraId="60ADACC7" w14:textId="01CA33D3" w:rsidR="008230E7" w:rsidRPr="00FB38E1" w:rsidRDefault="008230E7" w:rsidP="00E27C33">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p>
    <w:p w14:paraId="4532DDD9" w14:textId="77777777" w:rsidR="008230E7" w:rsidRPr="00FB38E1" w:rsidRDefault="008230E7" w:rsidP="00E27C33">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p>
    <w:p w14:paraId="0A8AA752" w14:textId="705D9C8B" w:rsidR="001E0122" w:rsidRPr="00FB38E1" w:rsidRDefault="007E09FD" w:rsidP="00076C9E">
      <w:pPr>
        <w:pStyle w:val="BASLIK2"/>
        <w:widowControl/>
        <w:numPr>
          <w:ilvl w:val="0"/>
          <w:numId w:val="40"/>
        </w:numPr>
        <w:spacing w:line="240" w:lineRule="exact"/>
        <w:ind w:left="0" w:hanging="567"/>
        <w:rPr>
          <w:rFonts w:ascii="Microsoft Sans Serif" w:hAnsi="Microsoft Sans Serif" w:cs="Microsoft Sans Serif"/>
          <w:bCs w:val="0"/>
          <w:noProof/>
          <w:sz w:val="20"/>
          <w:szCs w:val="20"/>
        </w:rPr>
      </w:pPr>
      <w:r w:rsidRPr="00FB38E1">
        <w:rPr>
          <w:rFonts w:ascii="Microsoft Sans Serif" w:hAnsi="Microsoft Sans Serif" w:cs="Microsoft Sans Serif"/>
          <w:bCs w:val="0"/>
          <w:noProof/>
          <w:sz w:val="20"/>
          <w:szCs w:val="20"/>
        </w:rPr>
        <w:t>B</w:t>
      </w:r>
      <w:r w:rsidR="001E0122" w:rsidRPr="00FB38E1">
        <w:rPr>
          <w:rFonts w:ascii="Microsoft Sans Serif" w:hAnsi="Microsoft Sans Serif" w:cs="Microsoft Sans Serif"/>
          <w:bCs w:val="0"/>
          <w:noProof/>
          <w:sz w:val="20"/>
          <w:szCs w:val="20"/>
        </w:rPr>
        <w:t>anka’nın dahil olduğu risk grubuyla olan işlemleri hakkında bilgiler</w:t>
      </w:r>
    </w:p>
    <w:p w14:paraId="04419F34" w14:textId="1657705A" w:rsidR="001E0122" w:rsidRPr="00FB38E1" w:rsidRDefault="00AD2A6F" w:rsidP="00E27C33">
      <w:pPr>
        <w:spacing w:before="120" w:after="0" w:line="220" w:lineRule="exact"/>
        <w:rPr>
          <w:rFonts w:ascii="Microsoft Sans Serif" w:hAnsi="Microsoft Sans Serif" w:cs="Microsoft Sans Serif"/>
          <w:noProof/>
          <w:color w:val="404040" w:themeColor="text1" w:themeTint="BF"/>
          <w:sz w:val="20"/>
          <w:szCs w:val="20"/>
        </w:rPr>
      </w:pPr>
      <w:r w:rsidRPr="00FB38E1">
        <w:rPr>
          <w:rFonts w:ascii="Microsoft Sans Serif" w:hAnsi="Microsoft Sans Serif" w:cs="Microsoft Sans Serif"/>
          <w:color w:val="404040" w:themeColor="text1" w:themeTint="BF"/>
          <w:sz w:val="20"/>
          <w:szCs w:val="20"/>
          <w:lang w:eastAsia="tr-TR"/>
        </w:rPr>
        <w:t xml:space="preserve">31 Aralık 2024 </w:t>
      </w:r>
      <w:r w:rsidR="001E0122" w:rsidRPr="00FB38E1">
        <w:rPr>
          <w:rFonts w:ascii="Microsoft Sans Serif" w:hAnsi="Microsoft Sans Serif" w:cs="Microsoft Sans Serif"/>
          <w:color w:val="404040" w:themeColor="text1" w:themeTint="BF"/>
          <w:sz w:val="20"/>
          <w:szCs w:val="20"/>
          <w:lang w:eastAsia="tr-TR"/>
        </w:rPr>
        <w:t>tarihi itibarıyla risk grubu şirketlerine kullandırılan nakdi krediler ve diğer alacakların toplam krediler ve bankalara oranı %</w:t>
      </w:r>
      <w:r w:rsidR="00BB6B43" w:rsidRPr="00FB38E1">
        <w:rPr>
          <w:rFonts w:ascii="Microsoft Sans Serif" w:hAnsi="Microsoft Sans Serif" w:cs="Microsoft Sans Serif"/>
          <w:color w:val="404040" w:themeColor="text1" w:themeTint="BF"/>
          <w:sz w:val="20"/>
          <w:szCs w:val="20"/>
          <w:lang w:eastAsia="tr-TR"/>
        </w:rPr>
        <w:t>3,</w:t>
      </w:r>
      <w:r w:rsidR="009D538B" w:rsidRPr="00FB38E1">
        <w:rPr>
          <w:rFonts w:ascii="Microsoft Sans Serif" w:hAnsi="Microsoft Sans Serif" w:cs="Microsoft Sans Serif"/>
          <w:color w:val="404040" w:themeColor="text1" w:themeTint="BF"/>
          <w:sz w:val="20"/>
          <w:szCs w:val="20"/>
          <w:lang w:eastAsia="tr-TR"/>
        </w:rPr>
        <w:t>7</w:t>
      </w:r>
      <w:r w:rsidR="001E0122" w:rsidRPr="00FB38E1">
        <w:rPr>
          <w:rFonts w:ascii="Microsoft Sans Serif" w:hAnsi="Microsoft Sans Serif" w:cs="Microsoft Sans Serif"/>
          <w:color w:val="404040" w:themeColor="text1" w:themeTint="BF"/>
          <w:sz w:val="20"/>
          <w:szCs w:val="20"/>
          <w:lang w:eastAsia="tr-TR"/>
        </w:rPr>
        <w:t>, risk grubu şirketlerinden temin edilen mevduat ve kullanılan kredilerin toplam mevduat ve kullanılan kredilere oranı %</w:t>
      </w:r>
      <w:r w:rsidR="009375AA" w:rsidRPr="00FB38E1">
        <w:rPr>
          <w:rFonts w:ascii="Microsoft Sans Serif" w:hAnsi="Microsoft Sans Serif" w:cs="Microsoft Sans Serif"/>
          <w:color w:val="404040" w:themeColor="text1" w:themeTint="BF"/>
          <w:sz w:val="20"/>
          <w:szCs w:val="20"/>
          <w:lang w:eastAsia="tr-TR"/>
        </w:rPr>
        <w:t>7</w:t>
      </w:r>
      <w:r w:rsidR="00BB6B43" w:rsidRPr="00FB38E1">
        <w:rPr>
          <w:rFonts w:ascii="Microsoft Sans Serif" w:hAnsi="Microsoft Sans Serif" w:cs="Microsoft Sans Serif"/>
          <w:color w:val="404040" w:themeColor="text1" w:themeTint="BF"/>
          <w:sz w:val="20"/>
          <w:szCs w:val="20"/>
          <w:lang w:eastAsia="tr-TR"/>
        </w:rPr>
        <w:t>,</w:t>
      </w:r>
      <w:r w:rsidR="009375AA" w:rsidRPr="00FB38E1">
        <w:rPr>
          <w:rFonts w:ascii="Microsoft Sans Serif" w:hAnsi="Microsoft Sans Serif" w:cs="Microsoft Sans Serif"/>
          <w:color w:val="404040" w:themeColor="text1" w:themeTint="BF"/>
          <w:sz w:val="20"/>
          <w:szCs w:val="20"/>
          <w:lang w:eastAsia="tr-TR"/>
        </w:rPr>
        <w:t>4</w:t>
      </w:r>
      <w:r w:rsidR="001E0122" w:rsidRPr="00FB38E1">
        <w:rPr>
          <w:rFonts w:ascii="Microsoft Sans Serif" w:hAnsi="Microsoft Sans Serif" w:cs="Microsoft Sans Serif"/>
          <w:color w:val="404040" w:themeColor="text1" w:themeTint="BF"/>
          <w:sz w:val="20"/>
          <w:szCs w:val="20"/>
          <w:lang w:eastAsia="tr-TR"/>
        </w:rPr>
        <w:t>, risk grubu şirketlerine kullandırılan gayrinakdi kredilerin toplam gayrinakdi kredilere oranı ise %</w:t>
      </w:r>
      <w:r w:rsidR="002310CD" w:rsidRPr="00FB38E1">
        <w:rPr>
          <w:rFonts w:ascii="Microsoft Sans Serif" w:hAnsi="Microsoft Sans Serif" w:cs="Microsoft Sans Serif"/>
          <w:color w:val="404040" w:themeColor="text1" w:themeTint="BF"/>
          <w:sz w:val="20"/>
          <w:szCs w:val="20"/>
          <w:lang w:eastAsia="tr-TR"/>
        </w:rPr>
        <w:t>0,</w:t>
      </w:r>
      <w:r w:rsidR="009D538B" w:rsidRPr="00FB38E1">
        <w:rPr>
          <w:rFonts w:ascii="Microsoft Sans Serif" w:hAnsi="Microsoft Sans Serif" w:cs="Microsoft Sans Serif"/>
          <w:color w:val="404040" w:themeColor="text1" w:themeTint="BF"/>
          <w:sz w:val="20"/>
          <w:szCs w:val="20"/>
          <w:lang w:eastAsia="tr-TR"/>
        </w:rPr>
        <w:t>4</w:t>
      </w:r>
      <w:r w:rsidR="001E0122" w:rsidRPr="00FB38E1">
        <w:rPr>
          <w:rFonts w:ascii="Microsoft Sans Serif" w:hAnsi="Microsoft Sans Serif" w:cs="Microsoft Sans Serif"/>
          <w:color w:val="404040" w:themeColor="text1" w:themeTint="BF"/>
          <w:sz w:val="20"/>
          <w:szCs w:val="20"/>
          <w:lang w:eastAsia="tr-TR"/>
        </w:rPr>
        <w:t>’</w:t>
      </w:r>
      <w:r w:rsidR="00CE2DFD" w:rsidRPr="00FB38E1">
        <w:rPr>
          <w:rFonts w:ascii="Microsoft Sans Serif" w:hAnsi="Microsoft Sans Serif" w:cs="Microsoft Sans Serif"/>
          <w:color w:val="404040" w:themeColor="text1" w:themeTint="BF"/>
          <w:sz w:val="20"/>
          <w:szCs w:val="20"/>
          <w:lang w:eastAsia="tr-TR"/>
        </w:rPr>
        <w:t>t</w:t>
      </w:r>
      <w:r w:rsidR="009375AA" w:rsidRPr="00FB38E1">
        <w:rPr>
          <w:rFonts w:ascii="Microsoft Sans Serif" w:hAnsi="Microsoft Sans Serif" w:cs="Microsoft Sans Serif"/>
          <w:color w:val="404040" w:themeColor="text1" w:themeTint="BF"/>
          <w:sz w:val="20"/>
          <w:szCs w:val="20"/>
          <w:lang w:eastAsia="tr-TR"/>
        </w:rPr>
        <w:t>ü</w:t>
      </w:r>
      <w:r w:rsidR="008F4D15" w:rsidRPr="00FB38E1">
        <w:rPr>
          <w:rFonts w:ascii="Microsoft Sans Serif" w:hAnsi="Microsoft Sans Serif" w:cs="Microsoft Sans Serif"/>
          <w:color w:val="404040" w:themeColor="text1" w:themeTint="BF"/>
          <w:sz w:val="20"/>
          <w:szCs w:val="20"/>
          <w:lang w:eastAsia="tr-TR"/>
        </w:rPr>
        <w:t>r</w:t>
      </w:r>
      <w:r w:rsidR="001E0122" w:rsidRPr="00FB38E1">
        <w:rPr>
          <w:rFonts w:ascii="Microsoft Sans Serif" w:hAnsi="Microsoft Sans Serif" w:cs="Microsoft Sans Serif"/>
          <w:noProof/>
          <w:color w:val="404040" w:themeColor="text1" w:themeTint="BF"/>
          <w:sz w:val="20"/>
          <w:szCs w:val="20"/>
        </w:rPr>
        <w:t>.</w:t>
      </w:r>
    </w:p>
    <w:p w14:paraId="00FC0243" w14:textId="0722B213" w:rsidR="00C24AC4" w:rsidRPr="00FB38E1" w:rsidRDefault="001E0122" w:rsidP="005B4EB5">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r w:rsidRPr="00FB38E1">
        <w:rPr>
          <w:rFonts w:ascii="Microsoft Sans Serif" w:hAnsi="Microsoft Sans Serif" w:cs="Microsoft Sans Serif"/>
          <w:color w:val="404040" w:themeColor="text1" w:themeTint="BF"/>
          <w:sz w:val="20"/>
          <w:szCs w:val="20"/>
          <w:lang w:eastAsia="tr-TR"/>
        </w:rPr>
        <w:t>Banka, Deniz Finansal Kiralama A.Ş. ile finansal ve faaliyet kiralama işlemleri ge</w:t>
      </w:r>
      <w:r w:rsidR="00C3220E" w:rsidRPr="00FB38E1">
        <w:rPr>
          <w:rFonts w:ascii="Microsoft Sans Serif" w:hAnsi="Microsoft Sans Serif" w:cs="Microsoft Sans Serif"/>
          <w:color w:val="404040" w:themeColor="text1" w:themeTint="BF"/>
          <w:sz w:val="20"/>
          <w:szCs w:val="20"/>
          <w:lang w:eastAsia="tr-TR"/>
        </w:rPr>
        <w:t xml:space="preserve">rçekleştirmektedir. Banka'nın </w:t>
      </w:r>
      <w:r w:rsidR="00AD2A6F" w:rsidRPr="00FB38E1">
        <w:rPr>
          <w:rFonts w:ascii="Microsoft Sans Serif" w:hAnsi="Microsoft Sans Serif" w:cs="Microsoft Sans Serif"/>
          <w:color w:val="404040" w:themeColor="text1" w:themeTint="BF"/>
          <w:sz w:val="20"/>
          <w:szCs w:val="20"/>
          <w:lang w:eastAsia="tr-TR"/>
        </w:rPr>
        <w:t xml:space="preserve">31 Aralık 2024 </w:t>
      </w:r>
      <w:r w:rsidRPr="00FB38E1">
        <w:rPr>
          <w:rFonts w:ascii="Microsoft Sans Serif" w:hAnsi="Microsoft Sans Serif" w:cs="Microsoft Sans Serif"/>
          <w:color w:val="404040" w:themeColor="text1" w:themeTint="BF"/>
          <w:sz w:val="20"/>
          <w:szCs w:val="20"/>
          <w:lang w:eastAsia="tr-TR"/>
        </w:rPr>
        <w:t>tarihi itibarıyla bu sözleşmelerden doğan net finansal kiralama bor</w:t>
      </w:r>
      <w:r w:rsidR="00FF4F20" w:rsidRPr="00FB38E1">
        <w:rPr>
          <w:rFonts w:ascii="Microsoft Sans Serif" w:hAnsi="Microsoft Sans Serif" w:cs="Microsoft Sans Serif"/>
          <w:color w:val="404040" w:themeColor="text1" w:themeTint="BF"/>
          <w:sz w:val="20"/>
          <w:szCs w:val="20"/>
          <w:lang w:eastAsia="tr-TR"/>
        </w:rPr>
        <w:t xml:space="preserve">cu </w:t>
      </w:r>
      <w:r w:rsidR="009375AA" w:rsidRPr="00FB38E1">
        <w:rPr>
          <w:rFonts w:ascii="Microsoft Sans Serif" w:hAnsi="Microsoft Sans Serif" w:cs="Microsoft Sans Serif"/>
          <w:color w:val="404040" w:themeColor="text1" w:themeTint="BF"/>
          <w:sz w:val="20"/>
          <w:szCs w:val="20"/>
          <w:lang w:eastAsia="tr-TR"/>
        </w:rPr>
        <w:t>56.007</w:t>
      </w:r>
      <w:r w:rsidR="000A5F9B" w:rsidRPr="00FB38E1">
        <w:rPr>
          <w:rFonts w:ascii="Microsoft Sans Serif" w:hAnsi="Microsoft Sans Serif" w:cs="Microsoft Sans Serif"/>
          <w:color w:val="404040" w:themeColor="text1" w:themeTint="BF"/>
          <w:sz w:val="20"/>
          <w:szCs w:val="20"/>
          <w:lang w:eastAsia="tr-TR"/>
        </w:rPr>
        <w:t xml:space="preserve"> TL tutarındadır</w:t>
      </w:r>
      <w:r w:rsidRPr="00FB38E1">
        <w:rPr>
          <w:rFonts w:ascii="Microsoft Sans Serif" w:hAnsi="Microsoft Sans Serif" w:cs="Microsoft Sans Serif"/>
          <w:color w:val="404040" w:themeColor="text1" w:themeTint="BF"/>
          <w:sz w:val="20"/>
          <w:szCs w:val="20"/>
          <w:lang w:eastAsia="tr-TR"/>
        </w:rPr>
        <w:br/>
      </w:r>
      <w:r w:rsidR="00ED31DC" w:rsidRPr="00FB38E1">
        <w:rPr>
          <w:rFonts w:ascii="Microsoft Sans Serif" w:hAnsi="Microsoft Sans Serif" w:cs="Microsoft Sans Serif"/>
          <w:color w:val="404040" w:themeColor="text1" w:themeTint="BF"/>
          <w:sz w:val="20"/>
          <w:szCs w:val="20"/>
          <w:lang w:eastAsia="tr-TR"/>
        </w:rPr>
        <w:t>(</w:t>
      </w:r>
      <w:r w:rsidR="00B700A0" w:rsidRPr="00FB38E1">
        <w:rPr>
          <w:rFonts w:ascii="Microsoft Sans Serif" w:hAnsi="Microsoft Sans Serif" w:cs="Microsoft Sans Serif"/>
          <w:color w:val="404040" w:themeColor="text1" w:themeTint="BF"/>
          <w:sz w:val="20"/>
          <w:szCs w:val="20"/>
          <w:lang w:eastAsia="tr-TR"/>
        </w:rPr>
        <w:t>31 Aralık 2023</w:t>
      </w:r>
      <w:r w:rsidR="007C5448" w:rsidRPr="00FB38E1">
        <w:rPr>
          <w:rFonts w:ascii="Microsoft Sans Serif" w:hAnsi="Microsoft Sans Serif" w:cs="Microsoft Sans Serif"/>
          <w:color w:val="404040" w:themeColor="text1" w:themeTint="BF"/>
          <w:sz w:val="20"/>
          <w:szCs w:val="20"/>
          <w:lang w:eastAsia="tr-TR"/>
        </w:rPr>
        <w:t>:</w:t>
      </w:r>
      <w:r w:rsidR="00B127A5" w:rsidRPr="00FB38E1">
        <w:rPr>
          <w:rFonts w:ascii="Microsoft Sans Serif" w:hAnsi="Microsoft Sans Serif" w:cs="Microsoft Sans Serif"/>
          <w:color w:val="404040" w:themeColor="text1" w:themeTint="BF"/>
          <w:sz w:val="20"/>
          <w:szCs w:val="20"/>
          <w:lang w:eastAsia="tr-TR"/>
        </w:rPr>
        <w:t xml:space="preserve"> </w:t>
      </w:r>
      <w:r w:rsidR="002C3CA5" w:rsidRPr="00FB38E1">
        <w:rPr>
          <w:rFonts w:ascii="Microsoft Sans Serif" w:hAnsi="Microsoft Sans Serif" w:cs="Microsoft Sans Serif"/>
          <w:color w:val="404040" w:themeColor="text1" w:themeTint="BF"/>
          <w:sz w:val="20"/>
          <w:szCs w:val="20"/>
          <w:lang w:eastAsia="tr-TR"/>
        </w:rPr>
        <w:t xml:space="preserve">147.884 </w:t>
      </w:r>
      <w:r w:rsidR="00BF07B5" w:rsidRPr="00FB38E1">
        <w:rPr>
          <w:rFonts w:ascii="Microsoft Sans Serif" w:hAnsi="Microsoft Sans Serif" w:cs="Microsoft Sans Serif"/>
          <w:color w:val="404040" w:themeColor="text1" w:themeTint="BF"/>
          <w:sz w:val="20"/>
          <w:szCs w:val="20"/>
          <w:lang w:eastAsia="tr-TR"/>
        </w:rPr>
        <w:t>TL</w:t>
      </w:r>
      <w:r w:rsidR="007C5448" w:rsidRPr="00FB38E1">
        <w:rPr>
          <w:rFonts w:ascii="Microsoft Sans Serif" w:hAnsi="Microsoft Sans Serif" w:cs="Microsoft Sans Serif"/>
          <w:color w:val="404040" w:themeColor="text1" w:themeTint="BF"/>
          <w:sz w:val="20"/>
          <w:szCs w:val="20"/>
          <w:lang w:eastAsia="tr-TR"/>
        </w:rPr>
        <w:t>)</w:t>
      </w:r>
      <w:r w:rsidRPr="00FB38E1">
        <w:rPr>
          <w:rFonts w:ascii="Microsoft Sans Serif" w:hAnsi="Microsoft Sans Serif" w:cs="Microsoft Sans Serif"/>
          <w:color w:val="404040" w:themeColor="text1" w:themeTint="BF"/>
          <w:sz w:val="20"/>
          <w:szCs w:val="20"/>
          <w:lang w:eastAsia="tr-TR"/>
        </w:rPr>
        <w:t>. Ayrıca Banka, şubeleri aracılığıyla Deniz Yatırım Menkul Kıymetler A.Ş. için</w:t>
      </w:r>
      <w:r w:rsidR="005B4EB5" w:rsidRPr="00FB38E1">
        <w:rPr>
          <w:rFonts w:ascii="Microsoft Sans Serif" w:hAnsi="Microsoft Sans Serif" w:cs="Microsoft Sans Serif"/>
          <w:color w:val="404040" w:themeColor="text1" w:themeTint="BF"/>
          <w:sz w:val="20"/>
          <w:szCs w:val="20"/>
          <w:lang w:eastAsia="tr-TR"/>
        </w:rPr>
        <w:t xml:space="preserve"> acentalık hizmeti vermektedir.</w:t>
      </w:r>
    </w:p>
    <w:p w14:paraId="0E44DA41" w14:textId="77777777" w:rsidR="008230E7" w:rsidRPr="00FB38E1" w:rsidRDefault="008230E7" w:rsidP="008230E7">
      <w:pPr>
        <w:pStyle w:val="ListParagraph"/>
        <w:numPr>
          <w:ilvl w:val="0"/>
          <w:numId w:val="35"/>
        </w:numPr>
        <w:autoSpaceDE w:val="0"/>
        <w:autoSpaceDN w:val="0"/>
        <w:adjustRightInd w:val="0"/>
        <w:spacing w:before="240" w:after="120" w:line="240" w:lineRule="exact"/>
        <w:ind w:left="0" w:hanging="851"/>
        <w:contextualSpacing w:val="0"/>
        <w:rPr>
          <w:rFonts w:ascii="Microsoft Sans Serif" w:hAnsi="Microsoft Sans Serif" w:cs="Microsoft Sans Serif"/>
          <w:b/>
          <w:noProof/>
          <w:snapToGrid w:val="0"/>
          <w:color w:val="595959" w:themeColor="text1" w:themeTint="A6"/>
          <w:sz w:val="20"/>
          <w:szCs w:val="20"/>
          <w:lang w:val="de-DE"/>
        </w:rPr>
      </w:pPr>
      <w:r w:rsidRPr="00FB38E1">
        <w:rPr>
          <w:rFonts w:ascii="Microsoft Sans Serif" w:hAnsi="Microsoft Sans Serif" w:cs="Microsoft Sans Serif"/>
          <w:b/>
          <w:lang w:val="pt-BR"/>
        </w:rPr>
        <w:t>Banka’nın yurt içi, yurtdışı, kıyı bankacılığı bölgelerindeki şube veya iştirakleri ile yurtdışı temsilciliklerine ilişkin açıklamalar</w:t>
      </w:r>
    </w:p>
    <w:p w14:paraId="0275A9D6" w14:textId="77777777" w:rsidR="008230E7" w:rsidRPr="00FB38E1" w:rsidRDefault="008230E7" w:rsidP="00364B59">
      <w:pPr>
        <w:pStyle w:val="BASLIK2"/>
        <w:widowControl/>
        <w:numPr>
          <w:ilvl w:val="0"/>
          <w:numId w:val="67"/>
        </w:numPr>
        <w:spacing w:line="240" w:lineRule="exact"/>
        <w:ind w:left="0" w:hanging="567"/>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noProof/>
          <w:snapToGrid w:val="0"/>
          <w:sz w:val="20"/>
          <w:szCs w:val="20"/>
          <w:lang w:val="de-DE"/>
        </w:rPr>
        <w:t>Banka’nın yurtiçi ve yurtdışı şube ve temsilciliklerine ilişkin açıklamalar</w:t>
      </w:r>
    </w:p>
    <w:tbl>
      <w:tblPr>
        <w:tblStyle w:val="TableGrid"/>
        <w:tblW w:w="9441"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2920"/>
        <w:gridCol w:w="909"/>
        <w:gridCol w:w="1416"/>
        <w:gridCol w:w="1420"/>
        <w:gridCol w:w="1416"/>
        <w:gridCol w:w="1360"/>
      </w:tblGrid>
      <w:tr w:rsidR="008230E7" w:rsidRPr="00FB38E1" w14:paraId="6BCFB8CD" w14:textId="77777777" w:rsidTr="002C3CA5">
        <w:tc>
          <w:tcPr>
            <w:tcW w:w="1546" w:type="pct"/>
            <w:tcBorders>
              <w:top w:val="thinThickSmallGap" w:sz="24" w:space="0" w:color="auto"/>
              <w:bottom w:val="single" w:sz="4" w:space="0" w:color="auto"/>
            </w:tcBorders>
            <w:vAlign w:val="bottom"/>
          </w:tcPr>
          <w:p w14:paraId="77012F63" w14:textId="77777777" w:rsidR="008230E7" w:rsidRPr="00FB38E1" w:rsidRDefault="008230E7" w:rsidP="00836EF2">
            <w:pPr>
              <w:rPr>
                <w:rFonts w:ascii="Microsoft Sans Serif" w:hAnsi="Microsoft Sans Serif" w:cs="Microsoft Sans Serif"/>
                <w:b/>
                <w:bCs/>
                <w:color w:val="000000"/>
                <w:sz w:val="16"/>
                <w:szCs w:val="16"/>
              </w:rPr>
            </w:pPr>
          </w:p>
        </w:tc>
        <w:tc>
          <w:tcPr>
            <w:tcW w:w="481" w:type="pct"/>
            <w:tcBorders>
              <w:top w:val="thinThickSmallGap" w:sz="24" w:space="0" w:color="auto"/>
              <w:bottom w:val="single" w:sz="4" w:space="0" w:color="auto"/>
            </w:tcBorders>
            <w:vAlign w:val="bottom"/>
          </w:tcPr>
          <w:p w14:paraId="0383CF19" w14:textId="77777777" w:rsidR="008230E7" w:rsidRPr="00FB38E1" w:rsidRDefault="008230E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Sayı</w:t>
            </w:r>
          </w:p>
        </w:tc>
        <w:tc>
          <w:tcPr>
            <w:tcW w:w="750" w:type="pct"/>
            <w:tcBorders>
              <w:top w:val="thinThickSmallGap" w:sz="24" w:space="0" w:color="auto"/>
              <w:bottom w:val="single" w:sz="4" w:space="0" w:color="auto"/>
            </w:tcBorders>
            <w:vAlign w:val="bottom"/>
          </w:tcPr>
          <w:p w14:paraId="72ACAC4C" w14:textId="77777777" w:rsidR="008230E7" w:rsidRPr="00FB38E1" w:rsidRDefault="008230E7" w:rsidP="00836EF2">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Çalışan Sayısı</w:t>
            </w:r>
          </w:p>
        </w:tc>
        <w:tc>
          <w:tcPr>
            <w:tcW w:w="752" w:type="pct"/>
            <w:tcBorders>
              <w:top w:val="thinThickSmallGap" w:sz="24" w:space="0" w:color="auto"/>
              <w:bottom w:val="nil"/>
            </w:tcBorders>
            <w:vAlign w:val="bottom"/>
          </w:tcPr>
          <w:p w14:paraId="655AE4FB" w14:textId="77777777" w:rsidR="008230E7" w:rsidRPr="00FB38E1" w:rsidRDefault="008230E7" w:rsidP="00836EF2">
            <w:pPr>
              <w:jc w:val="right"/>
              <w:rPr>
                <w:rFonts w:ascii="Microsoft Sans Serif" w:hAnsi="Microsoft Sans Serif" w:cs="Microsoft Sans Serif"/>
                <w:b/>
                <w:bCs/>
                <w:color w:val="000000"/>
                <w:sz w:val="16"/>
                <w:szCs w:val="16"/>
              </w:rPr>
            </w:pPr>
          </w:p>
        </w:tc>
        <w:tc>
          <w:tcPr>
            <w:tcW w:w="750" w:type="pct"/>
            <w:tcBorders>
              <w:top w:val="thinThickSmallGap" w:sz="24" w:space="0" w:color="auto"/>
              <w:bottom w:val="nil"/>
            </w:tcBorders>
            <w:vAlign w:val="bottom"/>
          </w:tcPr>
          <w:p w14:paraId="6B0F574F" w14:textId="77777777" w:rsidR="008230E7" w:rsidRPr="00FB38E1" w:rsidRDefault="008230E7" w:rsidP="00836EF2">
            <w:pPr>
              <w:jc w:val="right"/>
              <w:rPr>
                <w:rFonts w:ascii="Microsoft Sans Serif" w:hAnsi="Microsoft Sans Serif" w:cs="Microsoft Sans Serif"/>
                <w:b/>
                <w:bCs/>
                <w:color w:val="000000"/>
                <w:sz w:val="16"/>
                <w:szCs w:val="16"/>
              </w:rPr>
            </w:pPr>
          </w:p>
        </w:tc>
        <w:tc>
          <w:tcPr>
            <w:tcW w:w="720" w:type="pct"/>
            <w:tcBorders>
              <w:top w:val="thinThickSmallGap" w:sz="24" w:space="0" w:color="auto"/>
              <w:bottom w:val="nil"/>
            </w:tcBorders>
            <w:vAlign w:val="bottom"/>
          </w:tcPr>
          <w:p w14:paraId="469561A4" w14:textId="77777777" w:rsidR="008230E7" w:rsidRPr="00FB38E1" w:rsidRDefault="008230E7" w:rsidP="00836EF2">
            <w:pPr>
              <w:jc w:val="right"/>
              <w:rPr>
                <w:rFonts w:ascii="Microsoft Sans Serif" w:hAnsi="Microsoft Sans Serif" w:cs="Microsoft Sans Serif"/>
                <w:b/>
                <w:bCs/>
                <w:color w:val="000000"/>
                <w:sz w:val="16"/>
                <w:szCs w:val="16"/>
              </w:rPr>
            </w:pPr>
          </w:p>
        </w:tc>
      </w:tr>
      <w:tr w:rsidR="00766FF1" w:rsidRPr="00FB38E1" w14:paraId="7C9E643B" w14:textId="77777777" w:rsidTr="002C3CA5">
        <w:tc>
          <w:tcPr>
            <w:tcW w:w="1546" w:type="pct"/>
            <w:tcBorders>
              <w:top w:val="single" w:sz="4" w:space="0" w:color="auto"/>
              <w:bottom w:val="nil"/>
            </w:tcBorders>
            <w:vAlign w:val="bottom"/>
          </w:tcPr>
          <w:p w14:paraId="1AF183B7" w14:textId="77777777" w:rsidR="00766FF1" w:rsidRPr="00FB38E1" w:rsidRDefault="00766FF1" w:rsidP="00766FF1">
            <w:pPr>
              <w:rPr>
                <w:rFonts w:ascii="Microsoft Sans Serif" w:hAnsi="Microsoft Sans Serif" w:cs="Microsoft Sans Serif"/>
                <w:bCs/>
                <w:sz w:val="16"/>
                <w:szCs w:val="16"/>
              </w:rPr>
            </w:pPr>
            <w:r w:rsidRPr="00FB38E1">
              <w:rPr>
                <w:rFonts w:ascii="Microsoft Sans Serif" w:hAnsi="Microsoft Sans Serif" w:cs="Microsoft Sans Serif"/>
                <w:bCs/>
                <w:sz w:val="16"/>
                <w:szCs w:val="16"/>
              </w:rPr>
              <w:t>Yurt içi şube</w:t>
            </w:r>
          </w:p>
        </w:tc>
        <w:tc>
          <w:tcPr>
            <w:tcW w:w="481" w:type="pct"/>
            <w:tcBorders>
              <w:top w:val="single" w:sz="4" w:space="0" w:color="auto"/>
              <w:bottom w:val="nil"/>
            </w:tcBorders>
            <w:vAlign w:val="bottom"/>
          </w:tcPr>
          <w:p w14:paraId="3E56C50B" w14:textId="7227786B"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628</w:t>
            </w:r>
          </w:p>
        </w:tc>
        <w:tc>
          <w:tcPr>
            <w:tcW w:w="750" w:type="pct"/>
            <w:tcBorders>
              <w:top w:val="single" w:sz="4" w:space="0" w:color="auto"/>
              <w:bottom w:val="nil"/>
            </w:tcBorders>
            <w:vAlign w:val="bottom"/>
          </w:tcPr>
          <w:p w14:paraId="21D20E5D" w14:textId="1130C019"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12.309</w:t>
            </w:r>
          </w:p>
        </w:tc>
        <w:tc>
          <w:tcPr>
            <w:tcW w:w="752" w:type="pct"/>
            <w:tcBorders>
              <w:top w:val="nil"/>
              <w:bottom w:val="nil"/>
            </w:tcBorders>
            <w:vAlign w:val="bottom"/>
          </w:tcPr>
          <w:p w14:paraId="127DD7AF" w14:textId="77777777" w:rsidR="00766FF1" w:rsidRPr="00FB38E1" w:rsidRDefault="00766FF1" w:rsidP="00766FF1">
            <w:pPr>
              <w:jc w:val="right"/>
              <w:rPr>
                <w:rFonts w:ascii="Microsoft Sans Serif" w:hAnsi="Microsoft Sans Serif" w:cs="Microsoft Sans Serif"/>
                <w:color w:val="000000"/>
                <w:sz w:val="16"/>
                <w:szCs w:val="16"/>
              </w:rPr>
            </w:pPr>
          </w:p>
        </w:tc>
        <w:tc>
          <w:tcPr>
            <w:tcW w:w="750" w:type="pct"/>
            <w:tcBorders>
              <w:top w:val="nil"/>
            </w:tcBorders>
            <w:vAlign w:val="bottom"/>
          </w:tcPr>
          <w:p w14:paraId="00C81C82" w14:textId="77777777" w:rsidR="00766FF1" w:rsidRPr="00FB38E1" w:rsidRDefault="00766FF1" w:rsidP="00766FF1">
            <w:pPr>
              <w:jc w:val="right"/>
              <w:rPr>
                <w:rFonts w:ascii="Microsoft Sans Serif" w:hAnsi="Microsoft Sans Serif" w:cs="Microsoft Sans Serif"/>
                <w:color w:val="000000"/>
                <w:sz w:val="16"/>
                <w:szCs w:val="16"/>
              </w:rPr>
            </w:pPr>
          </w:p>
        </w:tc>
        <w:tc>
          <w:tcPr>
            <w:tcW w:w="720" w:type="pct"/>
            <w:tcBorders>
              <w:top w:val="nil"/>
            </w:tcBorders>
            <w:vAlign w:val="bottom"/>
          </w:tcPr>
          <w:p w14:paraId="17FA6917" w14:textId="77777777" w:rsidR="00766FF1" w:rsidRPr="00FB38E1" w:rsidRDefault="00766FF1" w:rsidP="00766FF1">
            <w:pPr>
              <w:jc w:val="right"/>
              <w:rPr>
                <w:rFonts w:ascii="Microsoft Sans Serif" w:hAnsi="Microsoft Sans Serif" w:cs="Microsoft Sans Serif"/>
                <w:color w:val="000000"/>
                <w:sz w:val="16"/>
                <w:szCs w:val="16"/>
              </w:rPr>
            </w:pPr>
          </w:p>
        </w:tc>
      </w:tr>
      <w:tr w:rsidR="00766FF1" w:rsidRPr="00FB38E1" w14:paraId="12D664A0" w14:textId="77777777" w:rsidTr="002C3CA5">
        <w:tc>
          <w:tcPr>
            <w:tcW w:w="1546" w:type="pct"/>
            <w:tcBorders>
              <w:top w:val="nil"/>
              <w:bottom w:val="single" w:sz="4" w:space="0" w:color="auto"/>
            </w:tcBorders>
            <w:vAlign w:val="bottom"/>
          </w:tcPr>
          <w:p w14:paraId="63781EB5" w14:textId="77777777" w:rsidR="00766FF1" w:rsidRPr="00FB38E1" w:rsidRDefault="00766FF1" w:rsidP="00766FF1">
            <w:pPr>
              <w:ind w:firstLineChars="100" w:firstLine="160"/>
              <w:rPr>
                <w:rFonts w:ascii="Microsoft Sans Serif" w:hAnsi="Microsoft Sans Serif" w:cs="Microsoft Sans Serif"/>
                <w:sz w:val="16"/>
                <w:szCs w:val="16"/>
              </w:rPr>
            </w:pPr>
          </w:p>
        </w:tc>
        <w:tc>
          <w:tcPr>
            <w:tcW w:w="481" w:type="pct"/>
            <w:tcBorders>
              <w:top w:val="nil"/>
              <w:left w:val="nil"/>
              <w:bottom w:val="single" w:sz="4" w:space="0" w:color="auto"/>
              <w:right w:val="nil"/>
            </w:tcBorders>
            <w:shd w:val="clear" w:color="auto" w:fill="auto"/>
            <w:vAlign w:val="center"/>
          </w:tcPr>
          <w:p w14:paraId="123F0450" w14:textId="77777777" w:rsidR="00766FF1" w:rsidRPr="00FB38E1" w:rsidRDefault="00766FF1" w:rsidP="00766FF1">
            <w:pPr>
              <w:jc w:val="right"/>
              <w:rPr>
                <w:rFonts w:ascii="Microsoft Sans Serif" w:hAnsi="Microsoft Sans Serif" w:cs="Microsoft Sans Serif"/>
                <w:color w:val="404040"/>
                <w:sz w:val="16"/>
                <w:szCs w:val="16"/>
              </w:rPr>
            </w:pPr>
          </w:p>
        </w:tc>
        <w:tc>
          <w:tcPr>
            <w:tcW w:w="750" w:type="pct"/>
            <w:tcBorders>
              <w:top w:val="nil"/>
              <w:left w:val="nil"/>
              <w:bottom w:val="single" w:sz="4" w:space="0" w:color="auto"/>
              <w:right w:val="nil"/>
            </w:tcBorders>
            <w:shd w:val="clear" w:color="auto" w:fill="auto"/>
            <w:vAlign w:val="center"/>
          </w:tcPr>
          <w:p w14:paraId="16951C86" w14:textId="77777777" w:rsidR="00766FF1" w:rsidRPr="00FB38E1" w:rsidRDefault="00766FF1" w:rsidP="00766FF1">
            <w:pPr>
              <w:jc w:val="right"/>
              <w:rPr>
                <w:rFonts w:ascii="Microsoft Sans Serif" w:hAnsi="Microsoft Sans Serif" w:cs="Microsoft Sans Serif"/>
                <w:color w:val="404040"/>
                <w:sz w:val="16"/>
                <w:szCs w:val="16"/>
              </w:rPr>
            </w:pPr>
          </w:p>
        </w:tc>
        <w:tc>
          <w:tcPr>
            <w:tcW w:w="752" w:type="pct"/>
            <w:tcBorders>
              <w:top w:val="nil"/>
              <w:left w:val="nil"/>
              <w:bottom w:val="single" w:sz="4" w:space="0" w:color="auto"/>
              <w:right w:val="nil"/>
            </w:tcBorders>
            <w:shd w:val="clear" w:color="auto" w:fill="auto"/>
            <w:vAlign w:val="bottom"/>
          </w:tcPr>
          <w:p w14:paraId="717401A4" w14:textId="1E256897"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b/>
                <w:bCs/>
                <w:color w:val="000000"/>
                <w:sz w:val="16"/>
                <w:szCs w:val="16"/>
              </w:rPr>
              <w:t>Bulunduğu Ülke</w:t>
            </w:r>
          </w:p>
        </w:tc>
        <w:tc>
          <w:tcPr>
            <w:tcW w:w="750" w:type="pct"/>
            <w:tcBorders>
              <w:top w:val="nil"/>
              <w:left w:val="nil"/>
              <w:bottom w:val="nil"/>
              <w:right w:val="nil"/>
            </w:tcBorders>
            <w:shd w:val="clear" w:color="auto" w:fill="auto"/>
            <w:vAlign w:val="bottom"/>
          </w:tcPr>
          <w:p w14:paraId="0A6FDCEE" w14:textId="77777777" w:rsidR="00766FF1" w:rsidRPr="00FB38E1" w:rsidRDefault="00766FF1" w:rsidP="00766FF1">
            <w:pPr>
              <w:jc w:val="right"/>
              <w:rPr>
                <w:rFonts w:ascii="Microsoft Sans Serif" w:hAnsi="Microsoft Sans Serif" w:cs="Microsoft Sans Serif"/>
                <w:b/>
                <w:color w:val="404040"/>
                <w:sz w:val="16"/>
                <w:szCs w:val="16"/>
              </w:rPr>
            </w:pPr>
          </w:p>
        </w:tc>
        <w:tc>
          <w:tcPr>
            <w:tcW w:w="720" w:type="pct"/>
            <w:tcBorders>
              <w:top w:val="nil"/>
              <w:left w:val="nil"/>
              <w:bottom w:val="nil"/>
              <w:right w:val="nil"/>
            </w:tcBorders>
            <w:shd w:val="clear" w:color="auto" w:fill="auto"/>
            <w:vAlign w:val="bottom"/>
          </w:tcPr>
          <w:p w14:paraId="007B3CC1" w14:textId="77777777" w:rsidR="00766FF1" w:rsidRPr="00FB38E1" w:rsidRDefault="00766FF1" w:rsidP="00766FF1">
            <w:pPr>
              <w:jc w:val="right"/>
              <w:rPr>
                <w:rFonts w:ascii="Microsoft Sans Serif" w:hAnsi="Microsoft Sans Serif" w:cs="Microsoft Sans Serif"/>
                <w:b/>
                <w:color w:val="404040"/>
                <w:sz w:val="16"/>
                <w:szCs w:val="16"/>
              </w:rPr>
            </w:pPr>
          </w:p>
        </w:tc>
      </w:tr>
      <w:tr w:rsidR="00766FF1" w:rsidRPr="00FB38E1" w14:paraId="2C897A79" w14:textId="77777777" w:rsidTr="002C3CA5">
        <w:trPr>
          <w:trHeight w:val="71"/>
        </w:trPr>
        <w:tc>
          <w:tcPr>
            <w:tcW w:w="1546" w:type="pct"/>
            <w:tcBorders>
              <w:top w:val="single" w:sz="4" w:space="0" w:color="auto"/>
              <w:bottom w:val="nil"/>
            </w:tcBorders>
            <w:vAlign w:val="bottom"/>
          </w:tcPr>
          <w:p w14:paraId="45DEFD8E" w14:textId="77777777" w:rsidR="00766FF1" w:rsidRPr="00FB38E1" w:rsidRDefault="00766FF1" w:rsidP="00766FF1">
            <w:pPr>
              <w:rPr>
                <w:rFonts w:ascii="Microsoft Sans Serif" w:hAnsi="Microsoft Sans Serif" w:cs="Microsoft Sans Serif"/>
                <w:sz w:val="16"/>
                <w:szCs w:val="16"/>
              </w:rPr>
            </w:pPr>
            <w:r w:rsidRPr="00FB38E1">
              <w:rPr>
                <w:rFonts w:ascii="Microsoft Sans Serif" w:hAnsi="Microsoft Sans Serif" w:cs="Microsoft Sans Serif"/>
                <w:sz w:val="16"/>
                <w:szCs w:val="16"/>
              </w:rPr>
              <w:t>Yurt dışı temsilcilikler</w:t>
            </w:r>
          </w:p>
        </w:tc>
        <w:tc>
          <w:tcPr>
            <w:tcW w:w="481" w:type="pct"/>
            <w:tcBorders>
              <w:top w:val="single" w:sz="4" w:space="0" w:color="auto"/>
              <w:left w:val="nil"/>
              <w:bottom w:val="nil"/>
              <w:right w:val="nil"/>
            </w:tcBorders>
            <w:shd w:val="clear" w:color="auto" w:fill="auto"/>
            <w:vAlign w:val="center"/>
          </w:tcPr>
          <w:p w14:paraId="16B2151B" w14:textId="174B7205"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p>
        </w:tc>
        <w:tc>
          <w:tcPr>
            <w:tcW w:w="750" w:type="pct"/>
            <w:tcBorders>
              <w:top w:val="single" w:sz="4" w:space="0" w:color="auto"/>
              <w:left w:val="nil"/>
              <w:bottom w:val="nil"/>
              <w:right w:val="nil"/>
            </w:tcBorders>
            <w:shd w:val="clear" w:color="auto" w:fill="auto"/>
            <w:vAlign w:val="center"/>
          </w:tcPr>
          <w:p w14:paraId="48E066CE" w14:textId="78DDDEA4"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p>
        </w:tc>
        <w:tc>
          <w:tcPr>
            <w:tcW w:w="752" w:type="pct"/>
            <w:tcBorders>
              <w:top w:val="single" w:sz="4" w:space="0" w:color="auto"/>
              <w:left w:val="nil"/>
              <w:bottom w:val="nil"/>
              <w:right w:val="nil"/>
            </w:tcBorders>
            <w:shd w:val="clear" w:color="auto" w:fill="auto"/>
            <w:vAlign w:val="center"/>
          </w:tcPr>
          <w:p w14:paraId="63D4B6F0" w14:textId="5E49DB98" w:rsidR="00766FF1" w:rsidRPr="00FB38E1" w:rsidRDefault="00766FF1" w:rsidP="00766FF1">
            <w:pPr>
              <w:jc w:val="center"/>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p>
        </w:tc>
        <w:tc>
          <w:tcPr>
            <w:tcW w:w="750" w:type="pct"/>
            <w:tcBorders>
              <w:top w:val="nil"/>
              <w:left w:val="nil"/>
              <w:bottom w:val="nil"/>
              <w:right w:val="nil"/>
            </w:tcBorders>
            <w:shd w:val="clear" w:color="auto" w:fill="auto"/>
            <w:vAlign w:val="center"/>
          </w:tcPr>
          <w:p w14:paraId="727B07AD" w14:textId="77777777" w:rsidR="00766FF1" w:rsidRPr="00FB38E1" w:rsidRDefault="00766FF1" w:rsidP="00766FF1">
            <w:pPr>
              <w:jc w:val="right"/>
              <w:rPr>
                <w:rFonts w:ascii="Microsoft Sans Serif" w:hAnsi="Microsoft Sans Serif" w:cs="Microsoft Sans Serif"/>
                <w:b/>
                <w:color w:val="404040"/>
                <w:sz w:val="16"/>
                <w:szCs w:val="16"/>
              </w:rPr>
            </w:pPr>
          </w:p>
        </w:tc>
        <w:tc>
          <w:tcPr>
            <w:tcW w:w="720" w:type="pct"/>
            <w:tcBorders>
              <w:top w:val="nil"/>
              <w:left w:val="nil"/>
              <w:bottom w:val="nil"/>
              <w:right w:val="nil"/>
            </w:tcBorders>
            <w:shd w:val="clear" w:color="auto" w:fill="auto"/>
            <w:vAlign w:val="center"/>
          </w:tcPr>
          <w:p w14:paraId="74E266AA" w14:textId="77777777" w:rsidR="00766FF1" w:rsidRPr="00FB38E1" w:rsidRDefault="00766FF1" w:rsidP="00766FF1">
            <w:pPr>
              <w:jc w:val="right"/>
              <w:rPr>
                <w:rFonts w:ascii="Microsoft Sans Serif" w:hAnsi="Microsoft Sans Serif" w:cs="Microsoft Sans Serif"/>
                <w:b/>
                <w:color w:val="404040"/>
                <w:sz w:val="16"/>
                <w:szCs w:val="16"/>
              </w:rPr>
            </w:pPr>
          </w:p>
        </w:tc>
      </w:tr>
      <w:tr w:rsidR="00766FF1" w:rsidRPr="00FB38E1" w14:paraId="073C6896" w14:textId="77777777" w:rsidTr="002C3CA5">
        <w:tc>
          <w:tcPr>
            <w:tcW w:w="1546" w:type="pct"/>
            <w:tcBorders>
              <w:top w:val="nil"/>
              <w:bottom w:val="single" w:sz="4" w:space="0" w:color="auto"/>
            </w:tcBorders>
            <w:vAlign w:val="bottom"/>
          </w:tcPr>
          <w:p w14:paraId="312C5165" w14:textId="77777777" w:rsidR="00766FF1" w:rsidRPr="00FB38E1" w:rsidRDefault="00766FF1" w:rsidP="00766FF1">
            <w:pPr>
              <w:ind w:firstLineChars="100" w:firstLine="160"/>
              <w:rPr>
                <w:rFonts w:ascii="Microsoft Sans Serif" w:hAnsi="Microsoft Sans Serif" w:cs="Microsoft Sans Serif"/>
                <w:sz w:val="16"/>
                <w:szCs w:val="16"/>
              </w:rPr>
            </w:pPr>
          </w:p>
        </w:tc>
        <w:tc>
          <w:tcPr>
            <w:tcW w:w="481" w:type="pct"/>
            <w:tcBorders>
              <w:top w:val="nil"/>
              <w:left w:val="nil"/>
              <w:bottom w:val="single" w:sz="4" w:space="0" w:color="auto"/>
              <w:right w:val="nil"/>
            </w:tcBorders>
            <w:shd w:val="clear" w:color="auto" w:fill="auto"/>
            <w:vAlign w:val="center"/>
          </w:tcPr>
          <w:p w14:paraId="0C3B5694" w14:textId="77777777" w:rsidR="00766FF1" w:rsidRPr="00FB38E1" w:rsidRDefault="00766FF1" w:rsidP="00766FF1">
            <w:pPr>
              <w:jc w:val="right"/>
              <w:rPr>
                <w:rFonts w:ascii="Microsoft Sans Serif" w:hAnsi="Microsoft Sans Serif" w:cs="Microsoft Sans Serif"/>
                <w:color w:val="404040"/>
                <w:sz w:val="16"/>
                <w:szCs w:val="16"/>
              </w:rPr>
            </w:pPr>
          </w:p>
        </w:tc>
        <w:tc>
          <w:tcPr>
            <w:tcW w:w="750" w:type="pct"/>
            <w:tcBorders>
              <w:top w:val="nil"/>
              <w:left w:val="nil"/>
              <w:bottom w:val="single" w:sz="4" w:space="0" w:color="auto"/>
              <w:right w:val="nil"/>
            </w:tcBorders>
            <w:shd w:val="clear" w:color="auto" w:fill="auto"/>
            <w:vAlign w:val="center"/>
          </w:tcPr>
          <w:p w14:paraId="5B7518CC" w14:textId="77777777" w:rsidR="00766FF1" w:rsidRPr="00FB38E1" w:rsidRDefault="00766FF1" w:rsidP="00766FF1">
            <w:pPr>
              <w:jc w:val="right"/>
              <w:rPr>
                <w:rFonts w:ascii="Microsoft Sans Serif" w:hAnsi="Microsoft Sans Serif" w:cs="Microsoft Sans Serif"/>
                <w:color w:val="404040"/>
                <w:sz w:val="16"/>
                <w:szCs w:val="16"/>
              </w:rPr>
            </w:pPr>
          </w:p>
        </w:tc>
        <w:tc>
          <w:tcPr>
            <w:tcW w:w="752" w:type="pct"/>
            <w:tcBorders>
              <w:top w:val="nil"/>
              <w:left w:val="nil"/>
              <w:bottom w:val="single" w:sz="4" w:space="0" w:color="auto"/>
              <w:right w:val="nil"/>
            </w:tcBorders>
            <w:shd w:val="clear" w:color="auto" w:fill="auto"/>
            <w:vAlign w:val="center"/>
          </w:tcPr>
          <w:p w14:paraId="36452A51" w14:textId="77777777" w:rsidR="00766FF1" w:rsidRPr="00FB38E1" w:rsidRDefault="00766FF1" w:rsidP="00766FF1">
            <w:pPr>
              <w:jc w:val="right"/>
              <w:rPr>
                <w:rFonts w:ascii="Microsoft Sans Serif" w:hAnsi="Microsoft Sans Serif" w:cs="Microsoft Sans Serif"/>
                <w:color w:val="404040"/>
                <w:sz w:val="16"/>
                <w:szCs w:val="16"/>
              </w:rPr>
            </w:pPr>
          </w:p>
        </w:tc>
        <w:tc>
          <w:tcPr>
            <w:tcW w:w="750" w:type="pct"/>
            <w:tcBorders>
              <w:top w:val="nil"/>
              <w:left w:val="nil"/>
              <w:bottom w:val="single" w:sz="4" w:space="0" w:color="auto"/>
              <w:right w:val="nil"/>
            </w:tcBorders>
            <w:shd w:val="clear" w:color="auto" w:fill="auto"/>
            <w:vAlign w:val="center"/>
          </w:tcPr>
          <w:p w14:paraId="167547F6" w14:textId="37F69A11" w:rsidR="00766FF1" w:rsidRPr="00FB38E1" w:rsidRDefault="00766FF1" w:rsidP="00766FF1">
            <w:pPr>
              <w:jc w:val="right"/>
              <w:rPr>
                <w:rFonts w:ascii="Microsoft Sans Serif" w:hAnsi="Microsoft Sans Serif" w:cs="Microsoft Sans Serif"/>
                <w:sz w:val="16"/>
                <w:szCs w:val="16"/>
              </w:rPr>
            </w:pPr>
            <w:r w:rsidRPr="00FB38E1">
              <w:rPr>
                <w:rFonts w:ascii="Microsoft Sans Serif" w:hAnsi="Microsoft Sans Serif" w:cs="Microsoft Sans Serif"/>
                <w:b/>
                <w:sz w:val="16"/>
                <w:szCs w:val="16"/>
              </w:rPr>
              <w:t>Aktif Toplamı</w:t>
            </w:r>
          </w:p>
        </w:tc>
        <w:tc>
          <w:tcPr>
            <w:tcW w:w="720" w:type="pct"/>
            <w:tcBorders>
              <w:top w:val="nil"/>
              <w:left w:val="nil"/>
              <w:bottom w:val="single" w:sz="4" w:space="0" w:color="auto"/>
              <w:right w:val="nil"/>
            </w:tcBorders>
            <w:shd w:val="clear" w:color="auto" w:fill="auto"/>
            <w:vAlign w:val="center"/>
          </w:tcPr>
          <w:p w14:paraId="2C565660" w14:textId="1C7F8122" w:rsidR="00766FF1" w:rsidRPr="00FB38E1" w:rsidRDefault="00766FF1" w:rsidP="00766FF1">
            <w:pPr>
              <w:jc w:val="right"/>
              <w:rPr>
                <w:rFonts w:ascii="Microsoft Sans Serif" w:hAnsi="Microsoft Sans Serif" w:cs="Microsoft Sans Serif"/>
                <w:sz w:val="16"/>
                <w:szCs w:val="16"/>
              </w:rPr>
            </w:pPr>
            <w:r w:rsidRPr="00FB38E1">
              <w:rPr>
                <w:rFonts w:ascii="Microsoft Sans Serif" w:hAnsi="Microsoft Sans Serif" w:cs="Microsoft Sans Serif"/>
                <w:b/>
                <w:sz w:val="16"/>
                <w:szCs w:val="16"/>
              </w:rPr>
              <w:t>Yasal Sermaye</w:t>
            </w:r>
          </w:p>
        </w:tc>
      </w:tr>
      <w:tr w:rsidR="00766FF1" w:rsidRPr="00FB38E1" w14:paraId="51734007" w14:textId="77777777" w:rsidTr="00766FF1">
        <w:tc>
          <w:tcPr>
            <w:tcW w:w="1546" w:type="pct"/>
            <w:tcBorders>
              <w:top w:val="single" w:sz="4" w:space="0" w:color="auto"/>
              <w:bottom w:val="nil"/>
            </w:tcBorders>
            <w:vAlign w:val="bottom"/>
          </w:tcPr>
          <w:p w14:paraId="3384EF73" w14:textId="77777777" w:rsidR="00766FF1" w:rsidRPr="00FB38E1" w:rsidRDefault="00766FF1" w:rsidP="00766FF1">
            <w:pPr>
              <w:rPr>
                <w:rFonts w:ascii="Microsoft Sans Serif" w:hAnsi="Microsoft Sans Serif" w:cs="Microsoft Sans Serif"/>
                <w:sz w:val="16"/>
                <w:szCs w:val="16"/>
              </w:rPr>
            </w:pPr>
            <w:r w:rsidRPr="00FB38E1">
              <w:rPr>
                <w:rFonts w:ascii="Microsoft Sans Serif" w:hAnsi="Microsoft Sans Serif" w:cs="Microsoft Sans Serif"/>
                <w:sz w:val="16"/>
                <w:szCs w:val="16"/>
              </w:rPr>
              <w:t>Kıyı Bnk. Blg. Şubeler</w:t>
            </w:r>
          </w:p>
        </w:tc>
        <w:tc>
          <w:tcPr>
            <w:tcW w:w="481" w:type="pct"/>
            <w:tcBorders>
              <w:top w:val="single" w:sz="4" w:space="0" w:color="auto"/>
              <w:left w:val="nil"/>
              <w:bottom w:val="nil"/>
              <w:right w:val="nil"/>
            </w:tcBorders>
            <w:shd w:val="clear" w:color="auto" w:fill="auto"/>
            <w:vAlign w:val="center"/>
          </w:tcPr>
          <w:p w14:paraId="0DE2E805" w14:textId="559A64A3"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p>
        </w:tc>
        <w:tc>
          <w:tcPr>
            <w:tcW w:w="750" w:type="pct"/>
            <w:tcBorders>
              <w:top w:val="single" w:sz="4" w:space="0" w:color="auto"/>
              <w:left w:val="nil"/>
              <w:bottom w:val="nil"/>
              <w:right w:val="nil"/>
            </w:tcBorders>
            <w:shd w:val="clear" w:color="auto" w:fill="auto"/>
            <w:vAlign w:val="center"/>
          </w:tcPr>
          <w:p w14:paraId="54EBC81B" w14:textId="4DC8BE6A"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5</w:t>
            </w:r>
          </w:p>
        </w:tc>
        <w:tc>
          <w:tcPr>
            <w:tcW w:w="752" w:type="pct"/>
            <w:tcBorders>
              <w:top w:val="single" w:sz="4" w:space="0" w:color="auto"/>
              <w:left w:val="nil"/>
              <w:bottom w:val="nil"/>
              <w:right w:val="nil"/>
            </w:tcBorders>
            <w:shd w:val="clear" w:color="auto" w:fill="auto"/>
            <w:vAlign w:val="center"/>
          </w:tcPr>
          <w:p w14:paraId="746887CD" w14:textId="4080EB93" w:rsidR="00766FF1" w:rsidRPr="00FB38E1" w:rsidRDefault="00766FF1" w:rsidP="00766FF1">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1-Bahreyn</w:t>
            </w:r>
          </w:p>
        </w:tc>
        <w:tc>
          <w:tcPr>
            <w:tcW w:w="750" w:type="pct"/>
            <w:tcBorders>
              <w:top w:val="single" w:sz="4" w:space="0" w:color="auto"/>
              <w:left w:val="nil"/>
              <w:bottom w:val="nil"/>
              <w:right w:val="nil"/>
            </w:tcBorders>
            <w:shd w:val="clear" w:color="auto" w:fill="auto"/>
            <w:vAlign w:val="center"/>
          </w:tcPr>
          <w:p w14:paraId="692EB510" w14:textId="4B836055" w:rsidR="00766FF1" w:rsidRPr="00FB38E1" w:rsidRDefault="00766FF1" w:rsidP="00766FF1">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themeColor="text1" w:themeTint="BF"/>
                <w:sz w:val="16"/>
                <w:szCs w:val="16"/>
              </w:rPr>
              <w:t>60.175.349</w:t>
            </w:r>
          </w:p>
        </w:tc>
        <w:tc>
          <w:tcPr>
            <w:tcW w:w="720" w:type="pct"/>
            <w:tcBorders>
              <w:top w:val="single" w:sz="4" w:space="0" w:color="auto"/>
              <w:left w:val="nil"/>
              <w:bottom w:val="nil"/>
              <w:right w:val="nil"/>
            </w:tcBorders>
            <w:shd w:val="clear" w:color="auto" w:fill="auto"/>
            <w:vAlign w:val="center"/>
          </w:tcPr>
          <w:p w14:paraId="3FE50EBD" w14:textId="2A30E653" w:rsidR="00766FF1" w:rsidRPr="00FB38E1" w:rsidRDefault="00766FF1" w:rsidP="00766FF1">
            <w:pPr>
              <w:jc w:val="right"/>
              <w:rPr>
                <w:rFonts w:ascii="Microsoft Sans Serif" w:hAnsi="Microsoft Sans Serif" w:cs="Microsoft Sans Serif"/>
                <w:b/>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p>
        </w:tc>
      </w:tr>
      <w:tr w:rsidR="00766FF1" w:rsidRPr="00FB38E1" w14:paraId="2CE4D772" w14:textId="77777777" w:rsidTr="00766FF1">
        <w:tc>
          <w:tcPr>
            <w:tcW w:w="1546" w:type="pct"/>
            <w:tcBorders>
              <w:top w:val="nil"/>
              <w:bottom w:val="thickThinSmallGap" w:sz="24" w:space="0" w:color="auto"/>
            </w:tcBorders>
            <w:vAlign w:val="bottom"/>
          </w:tcPr>
          <w:p w14:paraId="4D6C1E70" w14:textId="77777777" w:rsidR="00766FF1" w:rsidRPr="00FB38E1" w:rsidRDefault="00766FF1" w:rsidP="00766FF1">
            <w:pPr>
              <w:rPr>
                <w:rFonts w:ascii="Microsoft Sans Serif" w:hAnsi="Microsoft Sans Serif" w:cs="Microsoft Sans Serif"/>
                <w:sz w:val="16"/>
                <w:szCs w:val="16"/>
              </w:rPr>
            </w:pPr>
            <w:r w:rsidRPr="00FB38E1">
              <w:rPr>
                <w:rFonts w:ascii="Microsoft Sans Serif" w:hAnsi="Microsoft Sans Serif" w:cs="Microsoft Sans Serif"/>
                <w:sz w:val="16"/>
                <w:szCs w:val="16"/>
              </w:rPr>
              <w:t>Yurt dışı şube</w:t>
            </w:r>
          </w:p>
        </w:tc>
        <w:tc>
          <w:tcPr>
            <w:tcW w:w="481" w:type="pct"/>
            <w:tcBorders>
              <w:top w:val="nil"/>
              <w:left w:val="nil"/>
              <w:bottom w:val="thickThinSmallGap" w:sz="24" w:space="0" w:color="auto"/>
              <w:right w:val="nil"/>
            </w:tcBorders>
            <w:shd w:val="clear" w:color="auto" w:fill="auto"/>
            <w:vAlign w:val="center"/>
          </w:tcPr>
          <w:p w14:paraId="47D89CFB" w14:textId="05F29967"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w:t>
            </w:r>
          </w:p>
        </w:tc>
        <w:tc>
          <w:tcPr>
            <w:tcW w:w="750" w:type="pct"/>
            <w:tcBorders>
              <w:top w:val="nil"/>
              <w:left w:val="nil"/>
              <w:bottom w:val="thickThinSmallGap" w:sz="24" w:space="0" w:color="auto"/>
              <w:right w:val="nil"/>
            </w:tcBorders>
            <w:shd w:val="clear" w:color="auto" w:fill="auto"/>
            <w:vAlign w:val="center"/>
          </w:tcPr>
          <w:p w14:paraId="5C0B3168" w14:textId="0CB4F6F5"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25</w:t>
            </w:r>
          </w:p>
        </w:tc>
        <w:tc>
          <w:tcPr>
            <w:tcW w:w="752" w:type="pct"/>
            <w:tcBorders>
              <w:top w:val="nil"/>
              <w:left w:val="nil"/>
              <w:bottom w:val="thickThinSmallGap" w:sz="24" w:space="0" w:color="auto"/>
              <w:right w:val="nil"/>
            </w:tcBorders>
            <w:shd w:val="clear" w:color="auto" w:fill="auto"/>
            <w:vAlign w:val="center"/>
          </w:tcPr>
          <w:p w14:paraId="34735606" w14:textId="6E84F3BC" w:rsidR="00766FF1" w:rsidRPr="00FB38E1" w:rsidRDefault="00766FF1" w:rsidP="00766FF1">
            <w:pPr>
              <w:jc w:val="lef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2-KKTC</w:t>
            </w:r>
          </w:p>
        </w:tc>
        <w:tc>
          <w:tcPr>
            <w:tcW w:w="750" w:type="pct"/>
            <w:tcBorders>
              <w:top w:val="nil"/>
              <w:left w:val="nil"/>
              <w:bottom w:val="thickThinSmallGap" w:sz="24" w:space="0" w:color="auto"/>
              <w:right w:val="nil"/>
            </w:tcBorders>
            <w:shd w:val="clear" w:color="auto" w:fill="auto"/>
            <w:vAlign w:val="center"/>
          </w:tcPr>
          <w:p w14:paraId="47B7E598" w14:textId="4D30AC3C"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1.648.197</w:t>
            </w:r>
          </w:p>
        </w:tc>
        <w:tc>
          <w:tcPr>
            <w:tcW w:w="720" w:type="pct"/>
            <w:tcBorders>
              <w:top w:val="nil"/>
              <w:left w:val="nil"/>
              <w:bottom w:val="thickThinSmallGap" w:sz="24" w:space="0" w:color="auto"/>
              <w:right w:val="nil"/>
            </w:tcBorders>
            <w:shd w:val="clear" w:color="auto" w:fill="auto"/>
            <w:vAlign w:val="center"/>
          </w:tcPr>
          <w:p w14:paraId="74EFC1A5" w14:textId="0D962CE0" w:rsidR="00766FF1" w:rsidRPr="00FB38E1" w:rsidRDefault="00766FF1" w:rsidP="00766FF1">
            <w:pPr>
              <w:jc w:val="right"/>
              <w:rPr>
                <w:rFonts w:ascii="Microsoft Sans Serif" w:hAnsi="Microsoft Sans Serif" w:cs="Microsoft Sans Serif"/>
                <w:color w:val="404040" w:themeColor="text1" w:themeTint="BF"/>
                <w:sz w:val="16"/>
                <w:szCs w:val="16"/>
              </w:rPr>
            </w:pPr>
            <w:r w:rsidRPr="00FB38E1">
              <w:rPr>
                <w:rFonts w:ascii="Microsoft Sans Serif" w:hAnsi="Microsoft Sans Serif" w:cs="Microsoft Sans Serif"/>
                <w:color w:val="404040" w:themeColor="text1" w:themeTint="BF"/>
                <w:sz w:val="16"/>
                <w:szCs w:val="16"/>
              </w:rPr>
              <w:t>-</w:t>
            </w:r>
          </w:p>
        </w:tc>
      </w:tr>
    </w:tbl>
    <w:p w14:paraId="397E662E" w14:textId="77777777" w:rsidR="008230E7" w:rsidRPr="00FB38E1" w:rsidRDefault="008230E7" w:rsidP="00364B59">
      <w:pPr>
        <w:pStyle w:val="BASLIK2"/>
        <w:widowControl/>
        <w:numPr>
          <w:ilvl w:val="0"/>
          <w:numId w:val="67"/>
        </w:numPr>
        <w:spacing w:line="240" w:lineRule="exact"/>
        <w:ind w:left="0" w:hanging="567"/>
        <w:rPr>
          <w:rFonts w:ascii="Microsoft Sans Serif" w:hAnsi="Microsoft Sans Serif" w:cs="Microsoft Sans Serif"/>
          <w:noProof/>
          <w:snapToGrid w:val="0"/>
          <w:sz w:val="20"/>
          <w:szCs w:val="20"/>
          <w:lang w:val="de-DE"/>
        </w:rPr>
      </w:pPr>
      <w:r w:rsidRPr="00FB38E1">
        <w:rPr>
          <w:rFonts w:ascii="Microsoft Sans Serif" w:hAnsi="Microsoft Sans Serif" w:cs="Microsoft Sans Serif"/>
          <w:bCs w:val="0"/>
          <w:iCs/>
          <w:sz w:val="20"/>
          <w:szCs w:val="20"/>
        </w:rPr>
        <w:t>Banka’nın yurt içi ve yurt dışı şube ve temsilcilik açması, kapatması, organizasyonu önemli ölçüde değiştirmesi durumunda konuya ilişkin açıklamalar</w:t>
      </w:r>
    </w:p>
    <w:p w14:paraId="4122B459" w14:textId="6CF74596" w:rsidR="008230E7" w:rsidRPr="00FB38E1" w:rsidRDefault="008230E7" w:rsidP="008230E7">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rPr>
      </w:pPr>
      <w:r w:rsidRPr="00FB38E1">
        <w:rPr>
          <w:rFonts w:ascii="Microsoft Sans Serif" w:hAnsi="Microsoft Sans Serif" w:cs="Microsoft Sans Serif"/>
          <w:color w:val="404040" w:themeColor="text1" w:themeTint="BF"/>
          <w:sz w:val="20"/>
          <w:szCs w:val="20"/>
        </w:rPr>
        <w:t>202</w:t>
      </w:r>
      <w:r w:rsidR="002C3CA5" w:rsidRPr="00FB38E1">
        <w:rPr>
          <w:rFonts w:ascii="Microsoft Sans Serif" w:hAnsi="Microsoft Sans Serif" w:cs="Microsoft Sans Serif"/>
          <w:color w:val="404040" w:themeColor="text1" w:themeTint="BF"/>
          <w:sz w:val="20"/>
          <w:szCs w:val="20"/>
        </w:rPr>
        <w:t>4</w:t>
      </w:r>
      <w:r w:rsidRPr="00FB38E1">
        <w:rPr>
          <w:rFonts w:ascii="Microsoft Sans Serif" w:hAnsi="Microsoft Sans Serif" w:cs="Microsoft Sans Serif"/>
          <w:color w:val="404040" w:themeColor="text1" w:themeTint="BF"/>
          <w:sz w:val="20"/>
          <w:szCs w:val="20"/>
        </w:rPr>
        <w:t xml:space="preserve"> yılı içerisinde </w:t>
      </w:r>
      <w:r w:rsidR="00766FF1" w:rsidRPr="00FB38E1">
        <w:rPr>
          <w:rFonts w:ascii="Microsoft Sans Serif" w:hAnsi="Microsoft Sans Serif" w:cs="Microsoft Sans Serif"/>
          <w:color w:val="404040" w:themeColor="text1" w:themeTint="BF"/>
          <w:sz w:val="20"/>
          <w:szCs w:val="20"/>
        </w:rPr>
        <w:t xml:space="preserve">6 </w:t>
      </w:r>
      <w:r w:rsidRPr="00FB38E1">
        <w:rPr>
          <w:rFonts w:ascii="Microsoft Sans Serif" w:hAnsi="Microsoft Sans Serif" w:cs="Microsoft Sans Serif"/>
          <w:color w:val="404040" w:themeColor="text1" w:themeTint="BF"/>
          <w:sz w:val="20"/>
          <w:szCs w:val="20"/>
        </w:rPr>
        <w:t xml:space="preserve">adet şube açılmış, </w:t>
      </w:r>
      <w:r w:rsidR="00766FF1" w:rsidRPr="00FB38E1">
        <w:rPr>
          <w:rFonts w:ascii="Microsoft Sans Serif" w:hAnsi="Microsoft Sans Serif" w:cs="Microsoft Sans Serif"/>
          <w:color w:val="404040" w:themeColor="text1" w:themeTint="BF"/>
          <w:sz w:val="20"/>
          <w:szCs w:val="20"/>
        </w:rPr>
        <w:t>17</w:t>
      </w:r>
      <w:r w:rsidRPr="00FB38E1">
        <w:rPr>
          <w:rFonts w:ascii="Microsoft Sans Serif" w:hAnsi="Microsoft Sans Serif" w:cs="Microsoft Sans Serif"/>
          <w:color w:val="404040" w:themeColor="text1" w:themeTint="BF"/>
          <w:sz w:val="20"/>
          <w:szCs w:val="20"/>
        </w:rPr>
        <w:t xml:space="preserve"> adet şube kapatılmıştır.</w:t>
      </w:r>
    </w:p>
    <w:p w14:paraId="1617B225" w14:textId="6D942E56" w:rsidR="00B44105" w:rsidRPr="00FB38E1" w:rsidRDefault="008230E7" w:rsidP="002C3CA5">
      <w:pPr>
        <w:pStyle w:val="ListParagraph"/>
        <w:autoSpaceDE w:val="0"/>
        <w:autoSpaceDN w:val="0"/>
        <w:adjustRightInd w:val="0"/>
        <w:spacing w:before="120" w:after="0" w:line="220" w:lineRule="exact"/>
        <w:ind w:left="0"/>
        <w:contextualSpacing w:val="0"/>
        <w:rPr>
          <w:rFonts w:ascii="Microsoft Sans Serif" w:hAnsi="Microsoft Sans Serif" w:cs="Microsoft Sans Serif"/>
          <w:color w:val="404040" w:themeColor="text1" w:themeTint="BF"/>
          <w:sz w:val="20"/>
          <w:szCs w:val="20"/>
          <w:lang w:eastAsia="tr-TR"/>
        </w:rPr>
      </w:pPr>
      <w:r w:rsidRPr="00FB38E1">
        <w:rPr>
          <w:rFonts w:ascii="Microsoft Sans Serif" w:hAnsi="Microsoft Sans Serif" w:cs="Microsoft Sans Serif"/>
          <w:color w:val="404040" w:themeColor="text1" w:themeTint="BF"/>
          <w:sz w:val="20"/>
          <w:szCs w:val="20"/>
          <w:lang w:eastAsia="tr-TR"/>
        </w:rPr>
        <w:br w:type="page"/>
      </w:r>
    </w:p>
    <w:p w14:paraId="47A0A50C" w14:textId="2374C37D" w:rsidR="00575192" w:rsidRPr="00FB38E1" w:rsidRDefault="004443CB" w:rsidP="00575192">
      <w:pPr>
        <w:pStyle w:val="BASLIK2"/>
        <w:widowControl/>
        <w:spacing w:before="0" w:after="0" w:line="240" w:lineRule="auto"/>
        <w:ind w:firstLine="0"/>
        <w:rPr>
          <w:rFonts w:ascii="Microsoft Sans Serif" w:hAnsi="Microsoft Sans Serif" w:cs="Microsoft Sans Serif"/>
          <w:bCs w:val="0"/>
          <w:sz w:val="28"/>
          <w:szCs w:val="28"/>
        </w:rPr>
      </w:pPr>
      <w:r w:rsidRPr="00FB38E1">
        <w:rPr>
          <w:rFonts w:ascii="Microsoft Sans Serif" w:hAnsi="Microsoft Sans Serif" w:cs="Microsoft Sans Serif"/>
          <w:bCs w:val="0"/>
          <w:sz w:val="28"/>
          <w:szCs w:val="28"/>
        </w:rPr>
        <w:t>ALTINCI</w:t>
      </w:r>
      <w:r w:rsidR="00575192" w:rsidRPr="00FB38E1">
        <w:rPr>
          <w:rFonts w:ascii="Microsoft Sans Serif" w:hAnsi="Microsoft Sans Serif" w:cs="Microsoft Sans Serif"/>
          <w:bCs w:val="0"/>
          <w:sz w:val="28"/>
          <w:szCs w:val="28"/>
        </w:rPr>
        <w:t xml:space="preserve"> BÖLÜM</w:t>
      </w:r>
    </w:p>
    <w:p w14:paraId="27EB0321" w14:textId="77777777" w:rsidR="002C3CA5" w:rsidRPr="00FB38E1" w:rsidRDefault="002C3CA5" w:rsidP="002C3CA5">
      <w:pPr>
        <w:pStyle w:val="ListParagraph"/>
        <w:autoSpaceDE w:val="0"/>
        <w:autoSpaceDN w:val="0"/>
        <w:adjustRightInd w:val="0"/>
        <w:spacing w:before="120" w:after="0" w:line="220" w:lineRule="exact"/>
        <w:ind w:left="0"/>
        <w:contextualSpacing w:val="0"/>
        <w:rPr>
          <w:rFonts w:ascii="Microsoft Sans Serif" w:hAnsi="Microsoft Sans Serif" w:cs="Microsoft Sans Serif"/>
          <w:b/>
          <w:color w:val="404040" w:themeColor="text1" w:themeTint="BF"/>
          <w:sz w:val="20"/>
          <w:szCs w:val="20"/>
          <w:lang w:eastAsia="tr-TR"/>
        </w:rPr>
      </w:pPr>
      <w:r w:rsidRPr="00FB38E1">
        <w:rPr>
          <w:rFonts w:ascii="Microsoft Sans Serif" w:hAnsi="Microsoft Sans Serif" w:cs="Microsoft Sans Serif"/>
          <w:b/>
          <w:sz w:val="28"/>
          <w:szCs w:val="28"/>
        </w:rPr>
        <w:t>DİĞER AÇIKLAMALAR</w:t>
      </w:r>
    </w:p>
    <w:p w14:paraId="7DE3D5B6" w14:textId="77777777" w:rsidR="002C3CA5" w:rsidRPr="00FB38E1" w:rsidRDefault="002C3CA5" w:rsidP="00364B59">
      <w:pPr>
        <w:pStyle w:val="BASLIK2"/>
        <w:widowControl/>
        <w:numPr>
          <w:ilvl w:val="0"/>
          <w:numId w:val="68"/>
        </w:numPr>
        <w:spacing w:line="240" w:lineRule="exact"/>
        <w:ind w:left="0" w:hanging="851"/>
        <w:rPr>
          <w:rFonts w:ascii="Microsoft Sans Serif" w:hAnsi="Microsoft Sans Serif" w:cs="Microsoft Sans Serif"/>
          <w:noProof/>
          <w:snapToGrid w:val="0"/>
          <w:lang w:val="de-DE"/>
        </w:rPr>
      </w:pPr>
      <w:r w:rsidRPr="00FB38E1">
        <w:rPr>
          <w:rFonts w:ascii="Microsoft Sans Serif" w:hAnsi="Microsoft Sans Serif" w:cs="Microsoft Sans Serif"/>
          <w:noProof/>
          <w:snapToGrid w:val="0"/>
          <w:lang w:val="de-DE"/>
        </w:rPr>
        <w:t>Banka’nın faaliyetlerine ilişkin diğer açıklamalar</w:t>
      </w:r>
    </w:p>
    <w:p w14:paraId="288AA752" w14:textId="77777777" w:rsidR="002C3CA5" w:rsidRPr="00FB38E1" w:rsidRDefault="002C3CA5" w:rsidP="00364B59">
      <w:pPr>
        <w:pStyle w:val="Head1"/>
        <w:keepNext w:val="0"/>
        <w:keepLines w:val="0"/>
        <w:numPr>
          <w:ilvl w:val="0"/>
          <w:numId w:val="69"/>
        </w:numPr>
        <w:spacing w:before="240" w:after="120" w:line="240" w:lineRule="exact"/>
        <w:ind w:left="0" w:right="0" w:hanging="425"/>
        <w:outlineLvl w:val="9"/>
        <w:rPr>
          <w:rFonts w:ascii="Microsoft Sans Serif" w:hAnsi="Microsoft Sans Serif" w:cs="Microsoft Sans Serif"/>
          <w:sz w:val="20"/>
          <w:szCs w:val="20"/>
        </w:rPr>
      </w:pPr>
      <w:r w:rsidRPr="00FB38E1">
        <w:rPr>
          <w:rFonts w:ascii="Microsoft Sans Serif" w:hAnsi="Microsoft Sans Serif" w:cs="Microsoft Sans Serif"/>
          <w:sz w:val="20"/>
          <w:szCs w:val="20"/>
        </w:rPr>
        <w:t>Banka’nın faaliyetlerine ilişkin açıklamalar</w:t>
      </w:r>
    </w:p>
    <w:p w14:paraId="6A41C689" w14:textId="77777777" w:rsidR="002C3CA5" w:rsidRPr="00FB38E1" w:rsidRDefault="002C3CA5" w:rsidP="002C3CA5">
      <w:pPr>
        <w:pStyle w:val="BASLIK2"/>
        <w:widowControl/>
        <w:spacing w:before="120" w:after="0" w:line="220" w:lineRule="exact"/>
        <w:ind w:firstLine="0"/>
        <w:rPr>
          <w:rFonts w:ascii="Microsoft Sans Serif" w:eastAsiaTheme="minorHAnsi" w:hAnsi="Microsoft Sans Serif" w:cs="Microsoft Sans Serif"/>
          <w:b w:val="0"/>
          <w:bCs w:val="0"/>
          <w:color w:val="404040" w:themeColor="text1" w:themeTint="BF"/>
          <w:sz w:val="20"/>
          <w:szCs w:val="20"/>
          <w:lang w:eastAsia="tr-TR"/>
        </w:rPr>
      </w:pPr>
      <w:r w:rsidRPr="00FB38E1">
        <w:rPr>
          <w:rFonts w:ascii="Microsoft Sans Serif" w:eastAsiaTheme="minorHAnsi" w:hAnsi="Microsoft Sans Serif" w:cs="Microsoft Sans Serif"/>
          <w:b w:val="0"/>
          <w:bCs w:val="0"/>
          <w:color w:val="404040" w:themeColor="text1" w:themeTint="BF"/>
          <w:sz w:val="20"/>
          <w:szCs w:val="20"/>
          <w:lang w:eastAsia="tr-TR"/>
        </w:rPr>
        <w:t>Bulunmamaktadır.</w:t>
      </w:r>
    </w:p>
    <w:p w14:paraId="786A5620" w14:textId="77777777" w:rsidR="002C3CA5" w:rsidRPr="00FB38E1" w:rsidRDefault="002C3CA5" w:rsidP="00364B59">
      <w:pPr>
        <w:pStyle w:val="Head1"/>
        <w:keepNext w:val="0"/>
        <w:keepLines w:val="0"/>
        <w:numPr>
          <w:ilvl w:val="0"/>
          <w:numId w:val="69"/>
        </w:numPr>
        <w:spacing w:before="240" w:after="120" w:line="240" w:lineRule="exact"/>
        <w:ind w:left="0" w:right="0" w:hanging="425"/>
        <w:outlineLvl w:val="9"/>
        <w:rPr>
          <w:rFonts w:ascii="Microsoft Sans Serif" w:hAnsi="Microsoft Sans Serif" w:cs="Microsoft Sans Serif"/>
          <w:sz w:val="20"/>
          <w:szCs w:val="20"/>
        </w:rPr>
      </w:pPr>
      <w:r w:rsidRPr="00FB38E1">
        <w:rPr>
          <w:rFonts w:ascii="Microsoft Sans Serif" w:hAnsi="Microsoft Sans Serif" w:cs="Microsoft Sans Serif"/>
          <w:sz w:val="20"/>
          <w:szCs w:val="20"/>
        </w:rPr>
        <w:t>Bankaların uluslararası derecelendirme kuruluşlarına yaptırmış oldukları derecelendirmeye ilişkin özet bilgiler</w:t>
      </w:r>
    </w:p>
    <w:tbl>
      <w:tblPr>
        <w:tblStyle w:val="TableGrid"/>
        <w:tblW w:w="9639" w:type="dxa"/>
        <w:tblInd w:w="57" w:type="dxa"/>
        <w:tblBorders>
          <w:top w:val="thinThickSmallGap" w:sz="24" w:space="0" w:color="auto"/>
          <w:left w:val="none" w:sz="0" w:space="0" w:color="auto"/>
          <w:bottom w:val="thickThinSmallGap" w:sz="24"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3204"/>
        <w:gridCol w:w="1560"/>
        <w:gridCol w:w="283"/>
        <w:gridCol w:w="2977"/>
        <w:gridCol w:w="1615"/>
      </w:tblGrid>
      <w:tr w:rsidR="00766FF1" w:rsidRPr="00FB38E1" w14:paraId="559DB349" w14:textId="77777777" w:rsidTr="00766FF1">
        <w:tc>
          <w:tcPr>
            <w:tcW w:w="1662" w:type="pct"/>
            <w:tcBorders>
              <w:top w:val="thinThickSmallGap" w:sz="24" w:space="0" w:color="auto"/>
              <w:bottom w:val="single" w:sz="4" w:space="0" w:color="auto"/>
            </w:tcBorders>
            <w:vAlign w:val="bottom"/>
          </w:tcPr>
          <w:p w14:paraId="2276FA18" w14:textId="14738324" w:rsidR="00766FF1" w:rsidRPr="00FB38E1" w:rsidRDefault="00766FF1" w:rsidP="00766FF1">
            <w:pPr>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Moody’s*</w:t>
            </w:r>
          </w:p>
        </w:tc>
        <w:tc>
          <w:tcPr>
            <w:tcW w:w="809" w:type="pct"/>
            <w:tcBorders>
              <w:top w:val="thinThickSmallGap" w:sz="24" w:space="0" w:color="auto"/>
              <w:bottom w:val="single" w:sz="4" w:space="0" w:color="auto"/>
            </w:tcBorders>
          </w:tcPr>
          <w:p w14:paraId="496536EC" w14:textId="77777777" w:rsidR="00766FF1" w:rsidRPr="00FB38E1" w:rsidRDefault="00766FF1" w:rsidP="00766FF1">
            <w:pPr>
              <w:jc w:val="right"/>
              <w:rPr>
                <w:rFonts w:ascii="Microsoft Sans Serif" w:hAnsi="Microsoft Sans Serif" w:cs="Microsoft Sans Serif"/>
                <w:b/>
                <w:bCs/>
                <w:color w:val="000000"/>
                <w:sz w:val="16"/>
                <w:szCs w:val="16"/>
              </w:rPr>
            </w:pPr>
          </w:p>
        </w:tc>
        <w:tc>
          <w:tcPr>
            <w:tcW w:w="147" w:type="pct"/>
            <w:tcBorders>
              <w:top w:val="nil"/>
              <w:bottom w:val="nil"/>
            </w:tcBorders>
          </w:tcPr>
          <w:p w14:paraId="4AF8CB28" w14:textId="77777777" w:rsidR="00766FF1" w:rsidRPr="00FB38E1" w:rsidRDefault="00766FF1" w:rsidP="00766FF1">
            <w:pPr>
              <w:jc w:val="right"/>
              <w:rPr>
                <w:rFonts w:ascii="Microsoft Sans Serif" w:hAnsi="Microsoft Sans Serif" w:cs="Microsoft Sans Serif"/>
                <w:b/>
                <w:bCs/>
                <w:color w:val="000000"/>
                <w:sz w:val="16"/>
                <w:szCs w:val="16"/>
              </w:rPr>
            </w:pPr>
          </w:p>
        </w:tc>
        <w:tc>
          <w:tcPr>
            <w:tcW w:w="1544" w:type="pct"/>
            <w:tcBorders>
              <w:top w:val="thinThickSmallGap" w:sz="24" w:space="0" w:color="auto"/>
              <w:bottom w:val="single" w:sz="4" w:space="0" w:color="auto"/>
            </w:tcBorders>
            <w:vAlign w:val="bottom"/>
          </w:tcPr>
          <w:p w14:paraId="4596AC0D" w14:textId="366B0CB4" w:rsidR="00766FF1" w:rsidRPr="00FB38E1" w:rsidRDefault="00766FF1" w:rsidP="00766FF1">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rPr>
              <w:t>Fitch Ratings**</w:t>
            </w:r>
          </w:p>
        </w:tc>
        <w:tc>
          <w:tcPr>
            <w:tcW w:w="838" w:type="pct"/>
            <w:tcBorders>
              <w:top w:val="thinThickSmallGap" w:sz="24" w:space="0" w:color="auto"/>
              <w:bottom w:val="single" w:sz="4" w:space="0" w:color="auto"/>
            </w:tcBorders>
            <w:vAlign w:val="bottom"/>
          </w:tcPr>
          <w:p w14:paraId="4053457D" w14:textId="77777777" w:rsidR="00766FF1" w:rsidRPr="00FB38E1" w:rsidRDefault="00766FF1" w:rsidP="00766FF1">
            <w:pPr>
              <w:jc w:val="left"/>
              <w:rPr>
                <w:rFonts w:ascii="Microsoft Sans Serif" w:hAnsi="Microsoft Sans Serif" w:cs="Microsoft Sans Serif"/>
                <w:b/>
                <w:bCs/>
                <w:color w:val="000000"/>
                <w:sz w:val="16"/>
                <w:szCs w:val="16"/>
              </w:rPr>
            </w:pPr>
          </w:p>
        </w:tc>
      </w:tr>
      <w:tr w:rsidR="00766FF1" w:rsidRPr="00FB38E1" w14:paraId="26A9BF3E" w14:textId="77777777" w:rsidTr="00766FF1">
        <w:tc>
          <w:tcPr>
            <w:tcW w:w="1662" w:type="pct"/>
            <w:tcBorders>
              <w:top w:val="nil"/>
              <w:bottom w:val="nil"/>
            </w:tcBorders>
            <w:vAlign w:val="bottom"/>
          </w:tcPr>
          <w:p w14:paraId="1DF3E06C" w14:textId="16800ADA" w:rsidR="00766FF1" w:rsidRPr="00FB38E1" w:rsidRDefault="00766FF1" w:rsidP="00766FF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Görünüm</w:t>
            </w:r>
          </w:p>
        </w:tc>
        <w:tc>
          <w:tcPr>
            <w:tcW w:w="809" w:type="pct"/>
            <w:tcBorders>
              <w:top w:val="nil"/>
              <w:bottom w:val="nil"/>
            </w:tcBorders>
            <w:vAlign w:val="center"/>
          </w:tcPr>
          <w:p w14:paraId="2FF54E1A" w14:textId="5FD888A3"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404040"/>
                <w:sz w:val="16"/>
                <w:szCs w:val="16"/>
                <w:lang w:eastAsia="tr-TR"/>
              </w:rPr>
              <w:t>Pozitif</w:t>
            </w:r>
          </w:p>
        </w:tc>
        <w:tc>
          <w:tcPr>
            <w:tcW w:w="147" w:type="pct"/>
            <w:tcBorders>
              <w:top w:val="nil"/>
              <w:bottom w:val="nil"/>
            </w:tcBorders>
          </w:tcPr>
          <w:p w14:paraId="70C1FE21" w14:textId="77777777" w:rsidR="00766FF1" w:rsidRPr="00FB38E1" w:rsidRDefault="00766FF1" w:rsidP="00766FF1">
            <w:pPr>
              <w:jc w:val="right"/>
              <w:rPr>
                <w:rFonts w:ascii="Microsoft Sans Serif" w:hAnsi="Microsoft Sans Serif" w:cs="Microsoft Sans Serif"/>
                <w:color w:val="404040"/>
                <w:sz w:val="16"/>
                <w:szCs w:val="16"/>
              </w:rPr>
            </w:pPr>
          </w:p>
        </w:tc>
        <w:tc>
          <w:tcPr>
            <w:tcW w:w="1544" w:type="pct"/>
            <w:tcBorders>
              <w:top w:val="nil"/>
              <w:bottom w:val="nil"/>
            </w:tcBorders>
            <w:vAlign w:val="bottom"/>
          </w:tcPr>
          <w:p w14:paraId="5D3F2B27" w14:textId="161E374B"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Görünüm</w:t>
            </w:r>
          </w:p>
        </w:tc>
        <w:tc>
          <w:tcPr>
            <w:tcW w:w="838" w:type="pct"/>
            <w:tcBorders>
              <w:top w:val="nil"/>
              <w:bottom w:val="nil"/>
            </w:tcBorders>
            <w:vAlign w:val="center"/>
          </w:tcPr>
          <w:p w14:paraId="5B67580D" w14:textId="395B4103"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lang w:eastAsia="tr-TR"/>
              </w:rPr>
              <w:t>Durağan</w:t>
            </w:r>
          </w:p>
        </w:tc>
      </w:tr>
      <w:tr w:rsidR="00766FF1" w:rsidRPr="00FB38E1" w14:paraId="1E2AEF59" w14:textId="77777777" w:rsidTr="00766FF1">
        <w:tc>
          <w:tcPr>
            <w:tcW w:w="1662" w:type="pct"/>
            <w:tcBorders>
              <w:top w:val="nil"/>
              <w:bottom w:val="nil"/>
            </w:tcBorders>
            <w:vAlign w:val="bottom"/>
          </w:tcPr>
          <w:p w14:paraId="591A832A" w14:textId="4F2F5E49" w:rsidR="00766FF1" w:rsidRPr="00FB38E1" w:rsidRDefault="00766FF1" w:rsidP="00766FF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Uzun Vadeli Yabancı Para Mevduat </w:t>
            </w:r>
          </w:p>
        </w:tc>
        <w:tc>
          <w:tcPr>
            <w:tcW w:w="809" w:type="pct"/>
            <w:tcBorders>
              <w:top w:val="nil"/>
              <w:bottom w:val="nil"/>
            </w:tcBorders>
            <w:vAlign w:val="center"/>
          </w:tcPr>
          <w:p w14:paraId="6926D3B2" w14:textId="44E9A1B6"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404040"/>
                <w:sz w:val="16"/>
                <w:szCs w:val="16"/>
                <w:lang w:eastAsia="tr-TR"/>
              </w:rPr>
              <w:t>Ba3</w:t>
            </w:r>
          </w:p>
        </w:tc>
        <w:tc>
          <w:tcPr>
            <w:tcW w:w="147" w:type="pct"/>
            <w:tcBorders>
              <w:top w:val="nil"/>
              <w:bottom w:val="nil"/>
            </w:tcBorders>
          </w:tcPr>
          <w:p w14:paraId="11945405" w14:textId="77777777" w:rsidR="00766FF1" w:rsidRPr="00FB38E1" w:rsidRDefault="00766FF1" w:rsidP="00766FF1">
            <w:pPr>
              <w:jc w:val="right"/>
              <w:rPr>
                <w:rFonts w:ascii="Microsoft Sans Serif" w:hAnsi="Microsoft Sans Serif" w:cs="Microsoft Sans Serif"/>
                <w:color w:val="404040"/>
                <w:sz w:val="16"/>
                <w:szCs w:val="16"/>
              </w:rPr>
            </w:pPr>
          </w:p>
        </w:tc>
        <w:tc>
          <w:tcPr>
            <w:tcW w:w="1544" w:type="pct"/>
            <w:tcBorders>
              <w:top w:val="nil"/>
              <w:bottom w:val="nil"/>
            </w:tcBorders>
            <w:vAlign w:val="bottom"/>
          </w:tcPr>
          <w:p w14:paraId="0267FD11" w14:textId="21720E49"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Uzun Vadeli Yabancı Para</w:t>
            </w:r>
          </w:p>
        </w:tc>
        <w:tc>
          <w:tcPr>
            <w:tcW w:w="838" w:type="pct"/>
            <w:tcBorders>
              <w:top w:val="nil"/>
              <w:bottom w:val="nil"/>
            </w:tcBorders>
            <w:vAlign w:val="center"/>
          </w:tcPr>
          <w:p w14:paraId="6A641FF5" w14:textId="5F59AC3C"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lang w:eastAsia="tr-TR"/>
              </w:rPr>
              <w:t>BB-</w:t>
            </w:r>
          </w:p>
        </w:tc>
      </w:tr>
      <w:tr w:rsidR="00766FF1" w:rsidRPr="00FB38E1" w14:paraId="62073D81" w14:textId="77777777" w:rsidTr="00766FF1">
        <w:tc>
          <w:tcPr>
            <w:tcW w:w="1662" w:type="pct"/>
            <w:tcBorders>
              <w:top w:val="nil"/>
              <w:bottom w:val="nil"/>
            </w:tcBorders>
            <w:vAlign w:val="bottom"/>
          </w:tcPr>
          <w:p w14:paraId="702CDEAE" w14:textId="1A087059" w:rsidR="00766FF1" w:rsidRPr="00FB38E1" w:rsidRDefault="00766FF1" w:rsidP="00766FF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Kısa Vadeli Yabancı Para Mevduat </w:t>
            </w:r>
          </w:p>
        </w:tc>
        <w:tc>
          <w:tcPr>
            <w:tcW w:w="809" w:type="pct"/>
            <w:tcBorders>
              <w:top w:val="nil"/>
              <w:bottom w:val="nil"/>
            </w:tcBorders>
            <w:vAlign w:val="center"/>
          </w:tcPr>
          <w:p w14:paraId="04679FA4" w14:textId="0F3DE9BB"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404040"/>
                <w:sz w:val="16"/>
                <w:szCs w:val="16"/>
                <w:lang w:eastAsia="tr-TR"/>
              </w:rPr>
              <w:t>Not Prime</w:t>
            </w:r>
          </w:p>
        </w:tc>
        <w:tc>
          <w:tcPr>
            <w:tcW w:w="147" w:type="pct"/>
            <w:tcBorders>
              <w:top w:val="nil"/>
              <w:bottom w:val="nil"/>
            </w:tcBorders>
          </w:tcPr>
          <w:p w14:paraId="166415BF" w14:textId="77777777" w:rsidR="00766FF1" w:rsidRPr="00FB38E1" w:rsidRDefault="00766FF1" w:rsidP="00766FF1">
            <w:pPr>
              <w:jc w:val="right"/>
              <w:rPr>
                <w:rFonts w:ascii="Microsoft Sans Serif" w:hAnsi="Microsoft Sans Serif" w:cs="Microsoft Sans Serif"/>
                <w:color w:val="404040"/>
                <w:sz w:val="16"/>
                <w:szCs w:val="16"/>
              </w:rPr>
            </w:pPr>
          </w:p>
        </w:tc>
        <w:tc>
          <w:tcPr>
            <w:tcW w:w="1544" w:type="pct"/>
            <w:tcBorders>
              <w:top w:val="nil"/>
              <w:bottom w:val="nil"/>
            </w:tcBorders>
            <w:vAlign w:val="bottom"/>
          </w:tcPr>
          <w:p w14:paraId="18A2F896" w14:textId="0B9C4A2D"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Kısa Vadeli Yabancı Para</w:t>
            </w:r>
          </w:p>
        </w:tc>
        <w:tc>
          <w:tcPr>
            <w:tcW w:w="838" w:type="pct"/>
            <w:tcBorders>
              <w:top w:val="nil"/>
              <w:bottom w:val="nil"/>
            </w:tcBorders>
            <w:vAlign w:val="center"/>
          </w:tcPr>
          <w:p w14:paraId="3F274ECF" w14:textId="0CA4FCF2"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lang w:eastAsia="tr-TR"/>
              </w:rPr>
              <w:t>B</w:t>
            </w:r>
          </w:p>
        </w:tc>
      </w:tr>
      <w:tr w:rsidR="00766FF1" w:rsidRPr="00FB38E1" w14:paraId="73FA27AC" w14:textId="77777777" w:rsidTr="00766FF1">
        <w:tc>
          <w:tcPr>
            <w:tcW w:w="1662" w:type="pct"/>
            <w:tcBorders>
              <w:top w:val="nil"/>
              <w:bottom w:val="nil"/>
            </w:tcBorders>
            <w:vAlign w:val="bottom"/>
          </w:tcPr>
          <w:p w14:paraId="4ACF63B1" w14:textId="0092A017" w:rsidR="00766FF1" w:rsidRPr="00FB38E1" w:rsidRDefault="00766FF1" w:rsidP="00766FF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 xml:space="preserve">Uzun Vadeli Yerel Para Mevduat </w:t>
            </w:r>
          </w:p>
        </w:tc>
        <w:tc>
          <w:tcPr>
            <w:tcW w:w="809" w:type="pct"/>
            <w:tcBorders>
              <w:top w:val="nil"/>
              <w:bottom w:val="nil"/>
            </w:tcBorders>
            <w:vAlign w:val="center"/>
          </w:tcPr>
          <w:p w14:paraId="11305160" w14:textId="683DD442"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404040"/>
                <w:sz w:val="16"/>
                <w:szCs w:val="16"/>
                <w:lang w:eastAsia="tr-TR"/>
              </w:rPr>
              <w:t>Ba2</w:t>
            </w:r>
          </w:p>
        </w:tc>
        <w:tc>
          <w:tcPr>
            <w:tcW w:w="147" w:type="pct"/>
            <w:tcBorders>
              <w:top w:val="nil"/>
              <w:bottom w:val="nil"/>
            </w:tcBorders>
          </w:tcPr>
          <w:p w14:paraId="05AE7BB6" w14:textId="77777777" w:rsidR="00766FF1" w:rsidRPr="00FB38E1" w:rsidRDefault="00766FF1" w:rsidP="00766FF1">
            <w:pPr>
              <w:jc w:val="right"/>
              <w:rPr>
                <w:rFonts w:ascii="Microsoft Sans Serif" w:hAnsi="Microsoft Sans Serif" w:cs="Microsoft Sans Serif"/>
                <w:color w:val="404040"/>
                <w:sz w:val="16"/>
                <w:szCs w:val="16"/>
              </w:rPr>
            </w:pPr>
          </w:p>
        </w:tc>
        <w:tc>
          <w:tcPr>
            <w:tcW w:w="1544" w:type="pct"/>
            <w:tcBorders>
              <w:top w:val="nil"/>
              <w:bottom w:val="nil"/>
            </w:tcBorders>
            <w:vAlign w:val="bottom"/>
          </w:tcPr>
          <w:p w14:paraId="11CCB290" w14:textId="7F1A3336"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Uzun Vadeli Yerel Para</w:t>
            </w:r>
          </w:p>
        </w:tc>
        <w:tc>
          <w:tcPr>
            <w:tcW w:w="838" w:type="pct"/>
            <w:tcBorders>
              <w:top w:val="nil"/>
              <w:bottom w:val="nil"/>
            </w:tcBorders>
            <w:vAlign w:val="center"/>
          </w:tcPr>
          <w:p w14:paraId="74EAEFB0" w14:textId="4167C7D5"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lang w:eastAsia="tr-TR"/>
              </w:rPr>
              <w:t>BB-</w:t>
            </w:r>
          </w:p>
        </w:tc>
      </w:tr>
      <w:tr w:rsidR="00766FF1" w:rsidRPr="00FB38E1" w14:paraId="1289CC50" w14:textId="77777777" w:rsidTr="00766FF1">
        <w:tc>
          <w:tcPr>
            <w:tcW w:w="1662" w:type="pct"/>
            <w:tcBorders>
              <w:top w:val="nil"/>
              <w:bottom w:val="nil"/>
            </w:tcBorders>
            <w:vAlign w:val="bottom"/>
          </w:tcPr>
          <w:p w14:paraId="5ED0F1AF" w14:textId="109E2A49" w:rsidR="00766FF1" w:rsidRPr="00FB38E1" w:rsidRDefault="00766FF1" w:rsidP="00766FF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Kısa Vadeli Yerel Para Mevduat</w:t>
            </w:r>
          </w:p>
        </w:tc>
        <w:tc>
          <w:tcPr>
            <w:tcW w:w="809" w:type="pct"/>
            <w:tcBorders>
              <w:top w:val="nil"/>
              <w:bottom w:val="nil"/>
            </w:tcBorders>
            <w:vAlign w:val="center"/>
          </w:tcPr>
          <w:p w14:paraId="10D4BEB0" w14:textId="1F3CF601"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404040"/>
                <w:sz w:val="16"/>
                <w:szCs w:val="16"/>
                <w:lang w:eastAsia="tr-TR"/>
              </w:rPr>
              <w:t>Not Prime</w:t>
            </w:r>
          </w:p>
        </w:tc>
        <w:tc>
          <w:tcPr>
            <w:tcW w:w="147" w:type="pct"/>
            <w:tcBorders>
              <w:top w:val="nil"/>
              <w:bottom w:val="nil"/>
            </w:tcBorders>
          </w:tcPr>
          <w:p w14:paraId="4CA41FEE" w14:textId="77777777" w:rsidR="00766FF1" w:rsidRPr="00FB38E1" w:rsidRDefault="00766FF1" w:rsidP="00766FF1">
            <w:pPr>
              <w:jc w:val="right"/>
              <w:rPr>
                <w:rFonts w:ascii="Microsoft Sans Serif" w:hAnsi="Microsoft Sans Serif" w:cs="Microsoft Sans Serif"/>
                <w:color w:val="404040"/>
                <w:sz w:val="16"/>
                <w:szCs w:val="16"/>
              </w:rPr>
            </w:pPr>
          </w:p>
        </w:tc>
        <w:tc>
          <w:tcPr>
            <w:tcW w:w="1544" w:type="pct"/>
            <w:tcBorders>
              <w:top w:val="nil"/>
              <w:bottom w:val="nil"/>
            </w:tcBorders>
            <w:vAlign w:val="bottom"/>
          </w:tcPr>
          <w:p w14:paraId="4F69DDED" w14:textId="6D5778EF"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Kısa Vadeli Yerel Para</w:t>
            </w:r>
          </w:p>
        </w:tc>
        <w:tc>
          <w:tcPr>
            <w:tcW w:w="838" w:type="pct"/>
            <w:tcBorders>
              <w:top w:val="nil"/>
              <w:bottom w:val="nil"/>
            </w:tcBorders>
            <w:vAlign w:val="center"/>
          </w:tcPr>
          <w:p w14:paraId="2B73BF97" w14:textId="2D9F8B14"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lang w:eastAsia="tr-TR"/>
              </w:rPr>
              <w:t xml:space="preserve">B </w:t>
            </w:r>
          </w:p>
        </w:tc>
      </w:tr>
      <w:tr w:rsidR="00766FF1" w:rsidRPr="00FB38E1" w14:paraId="7A190ABD" w14:textId="77777777" w:rsidTr="00766FF1">
        <w:tc>
          <w:tcPr>
            <w:tcW w:w="1662" w:type="pct"/>
            <w:tcBorders>
              <w:top w:val="nil"/>
              <w:bottom w:val="nil"/>
            </w:tcBorders>
            <w:vAlign w:val="bottom"/>
          </w:tcPr>
          <w:p w14:paraId="4B6FE557" w14:textId="17F7D77F" w:rsidR="00766FF1" w:rsidRPr="00FB38E1" w:rsidRDefault="00766FF1" w:rsidP="00766FF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Temel Kredi Değerlendirmesi (BCA)</w:t>
            </w:r>
          </w:p>
        </w:tc>
        <w:tc>
          <w:tcPr>
            <w:tcW w:w="809" w:type="pct"/>
            <w:tcBorders>
              <w:top w:val="nil"/>
              <w:bottom w:val="nil"/>
            </w:tcBorders>
            <w:vAlign w:val="center"/>
          </w:tcPr>
          <w:p w14:paraId="1EBE1100" w14:textId="6121A6CC"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404040"/>
                <w:sz w:val="16"/>
                <w:szCs w:val="16"/>
                <w:lang w:eastAsia="tr-TR"/>
              </w:rPr>
              <w:t>b2</w:t>
            </w:r>
          </w:p>
        </w:tc>
        <w:tc>
          <w:tcPr>
            <w:tcW w:w="147" w:type="pct"/>
            <w:tcBorders>
              <w:top w:val="nil"/>
              <w:bottom w:val="nil"/>
            </w:tcBorders>
          </w:tcPr>
          <w:p w14:paraId="7C9EF108" w14:textId="77777777" w:rsidR="00766FF1" w:rsidRPr="00FB38E1" w:rsidRDefault="00766FF1" w:rsidP="00766FF1">
            <w:pPr>
              <w:jc w:val="right"/>
              <w:rPr>
                <w:rFonts w:ascii="Microsoft Sans Serif" w:hAnsi="Microsoft Sans Serif" w:cs="Microsoft Sans Serif"/>
                <w:color w:val="404040"/>
                <w:sz w:val="16"/>
                <w:szCs w:val="16"/>
              </w:rPr>
            </w:pPr>
          </w:p>
        </w:tc>
        <w:tc>
          <w:tcPr>
            <w:tcW w:w="1544" w:type="pct"/>
            <w:tcBorders>
              <w:top w:val="nil"/>
              <w:bottom w:val="nil"/>
            </w:tcBorders>
            <w:vAlign w:val="bottom"/>
          </w:tcPr>
          <w:p w14:paraId="7891BD68" w14:textId="65479D9B"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Finansal Dayanıklılık</w:t>
            </w:r>
          </w:p>
        </w:tc>
        <w:tc>
          <w:tcPr>
            <w:tcW w:w="838" w:type="pct"/>
            <w:tcBorders>
              <w:top w:val="nil"/>
              <w:bottom w:val="nil"/>
            </w:tcBorders>
            <w:vAlign w:val="center"/>
          </w:tcPr>
          <w:p w14:paraId="0A1C4894" w14:textId="5B4015D8"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lang w:eastAsia="tr-TR"/>
              </w:rPr>
              <w:t>b+</w:t>
            </w:r>
          </w:p>
        </w:tc>
      </w:tr>
      <w:tr w:rsidR="00766FF1" w:rsidRPr="00FB38E1" w14:paraId="4FDE0120" w14:textId="77777777" w:rsidTr="00766FF1">
        <w:tc>
          <w:tcPr>
            <w:tcW w:w="1662" w:type="pct"/>
            <w:tcBorders>
              <w:top w:val="nil"/>
              <w:bottom w:val="nil"/>
            </w:tcBorders>
            <w:vAlign w:val="bottom"/>
          </w:tcPr>
          <w:p w14:paraId="2DBDDE9C" w14:textId="4492E093" w:rsidR="00766FF1" w:rsidRPr="00FB38E1" w:rsidRDefault="00766FF1" w:rsidP="00766FF1">
            <w:pPr>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lang w:eastAsia="tr-TR"/>
              </w:rPr>
              <w:t>Düzeltilmiş Temel Kredi Değerlendirmesi (Adj. BCA)</w:t>
            </w:r>
          </w:p>
        </w:tc>
        <w:tc>
          <w:tcPr>
            <w:tcW w:w="809" w:type="pct"/>
            <w:tcBorders>
              <w:top w:val="nil"/>
              <w:bottom w:val="nil"/>
            </w:tcBorders>
            <w:vAlign w:val="center"/>
          </w:tcPr>
          <w:p w14:paraId="6811DA84" w14:textId="51BE50D3"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b/>
                <w:bCs/>
                <w:color w:val="404040"/>
                <w:sz w:val="16"/>
                <w:szCs w:val="16"/>
                <w:lang w:eastAsia="tr-TR"/>
              </w:rPr>
              <w:t>ba2</w:t>
            </w:r>
          </w:p>
        </w:tc>
        <w:tc>
          <w:tcPr>
            <w:tcW w:w="147" w:type="pct"/>
            <w:tcBorders>
              <w:top w:val="nil"/>
              <w:bottom w:val="nil"/>
            </w:tcBorders>
          </w:tcPr>
          <w:p w14:paraId="0FF8DD9C" w14:textId="77777777" w:rsidR="00766FF1" w:rsidRPr="00FB38E1" w:rsidRDefault="00766FF1" w:rsidP="00766FF1">
            <w:pPr>
              <w:jc w:val="right"/>
              <w:rPr>
                <w:rFonts w:ascii="Microsoft Sans Serif" w:hAnsi="Microsoft Sans Serif" w:cs="Microsoft Sans Serif"/>
                <w:color w:val="404040"/>
                <w:sz w:val="16"/>
                <w:szCs w:val="16"/>
              </w:rPr>
            </w:pPr>
          </w:p>
        </w:tc>
        <w:tc>
          <w:tcPr>
            <w:tcW w:w="1544" w:type="pct"/>
            <w:tcBorders>
              <w:top w:val="nil"/>
              <w:bottom w:val="nil"/>
            </w:tcBorders>
            <w:vAlign w:val="bottom"/>
          </w:tcPr>
          <w:p w14:paraId="595A737A" w14:textId="76D895CF"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Hissedar Destek</w:t>
            </w:r>
          </w:p>
        </w:tc>
        <w:tc>
          <w:tcPr>
            <w:tcW w:w="838" w:type="pct"/>
            <w:tcBorders>
              <w:top w:val="nil"/>
              <w:bottom w:val="nil"/>
            </w:tcBorders>
            <w:vAlign w:val="center"/>
          </w:tcPr>
          <w:p w14:paraId="7E0CE5EF" w14:textId="62568110"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lang w:eastAsia="tr-TR"/>
              </w:rPr>
              <w:t>bb-</w:t>
            </w:r>
          </w:p>
        </w:tc>
      </w:tr>
      <w:tr w:rsidR="00766FF1" w:rsidRPr="00FB38E1" w14:paraId="6D7D95DF" w14:textId="77777777" w:rsidTr="00766FF1">
        <w:tc>
          <w:tcPr>
            <w:tcW w:w="1662" w:type="pct"/>
            <w:tcBorders>
              <w:top w:val="nil"/>
              <w:bottom w:val="nil"/>
            </w:tcBorders>
            <w:vAlign w:val="bottom"/>
          </w:tcPr>
          <w:p w14:paraId="12DE19D8" w14:textId="77777777" w:rsidR="00766FF1" w:rsidRPr="00FB38E1" w:rsidRDefault="00766FF1" w:rsidP="00766FF1">
            <w:pPr>
              <w:rPr>
                <w:rFonts w:ascii="Microsoft Sans Serif" w:hAnsi="Microsoft Sans Serif" w:cs="Microsoft Sans Serif"/>
                <w:color w:val="404040"/>
                <w:sz w:val="12"/>
                <w:szCs w:val="12"/>
              </w:rPr>
            </w:pPr>
          </w:p>
        </w:tc>
        <w:tc>
          <w:tcPr>
            <w:tcW w:w="809" w:type="pct"/>
            <w:tcBorders>
              <w:top w:val="nil"/>
              <w:bottom w:val="nil"/>
            </w:tcBorders>
          </w:tcPr>
          <w:p w14:paraId="6D92388D" w14:textId="77777777" w:rsidR="00766FF1" w:rsidRPr="00FB38E1" w:rsidRDefault="00766FF1" w:rsidP="00766FF1">
            <w:pPr>
              <w:jc w:val="right"/>
              <w:rPr>
                <w:rFonts w:ascii="Microsoft Sans Serif" w:hAnsi="Microsoft Sans Serif" w:cs="Microsoft Sans Serif"/>
                <w:color w:val="404040"/>
                <w:sz w:val="16"/>
                <w:szCs w:val="16"/>
              </w:rPr>
            </w:pPr>
          </w:p>
        </w:tc>
        <w:tc>
          <w:tcPr>
            <w:tcW w:w="147" w:type="pct"/>
            <w:tcBorders>
              <w:top w:val="nil"/>
              <w:bottom w:val="nil"/>
            </w:tcBorders>
          </w:tcPr>
          <w:p w14:paraId="1D906532" w14:textId="77777777" w:rsidR="00766FF1" w:rsidRPr="00FB38E1" w:rsidRDefault="00766FF1" w:rsidP="00766FF1">
            <w:pPr>
              <w:jc w:val="right"/>
              <w:rPr>
                <w:rFonts w:ascii="Microsoft Sans Serif" w:hAnsi="Microsoft Sans Serif" w:cs="Microsoft Sans Serif"/>
                <w:color w:val="404040"/>
                <w:sz w:val="16"/>
                <w:szCs w:val="16"/>
              </w:rPr>
            </w:pPr>
          </w:p>
        </w:tc>
        <w:tc>
          <w:tcPr>
            <w:tcW w:w="1544" w:type="pct"/>
            <w:tcBorders>
              <w:top w:val="nil"/>
              <w:bottom w:val="nil"/>
            </w:tcBorders>
            <w:vAlign w:val="bottom"/>
          </w:tcPr>
          <w:p w14:paraId="4786FF43" w14:textId="0A7EC74D" w:rsidR="00766FF1" w:rsidRPr="00FB38E1" w:rsidRDefault="00766FF1" w:rsidP="00766FF1">
            <w:pPr>
              <w:jc w:val="left"/>
              <w:rPr>
                <w:rFonts w:ascii="Microsoft Sans Serif" w:hAnsi="Microsoft Sans Serif" w:cs="Microsoft Sans Serif"/>
                <w:color w:val="404040"/>
                <w:sz w:val="16"/>
                <w:szCs w:val="16"/>
              </w:rPr>
            </w:pPr>
            <w:r w:rsidRPr="00FB38E1">
              <w:rPr>
                <w:rFonts w:ascii="Microsoft Sans Serif" w:hAnsi="Microsoft Sans Serif" w:cs="Microsoft Sans Serif"/>
                <w:color w:val="404040"/>
                <w:sz w:val="16"/>
                <w:szCs w:val="16"/>
              </w:rPr>
              <w:t>Ulusal</w:t>
            </w:r>
          </w:p>
        </w:tc>
        <w:tc>
          <w:tcPr>
            <w:tcW w:w="838" w:type="pct"/>
            <w:tcBorders>
              <w:top w:val="nil"/>
              <w:bottom w:val="nil"/>
            </w:tcBorders>
            <w:vAlign w:val="center"/>
          </w:tcPr>
          <w:p w14:paraId="20FB8DDA" w14:textId="5D132291" w:rsidR="00766FF1" w:rsidRPr="00FB38E1" w:rsidRDefault="00766FF1" w:rsidP="00766FF1">
            <w:pPr>
              <w:jc w:val="left"/>
              <w:rPr>
                <w:rFonts w:ascii="Microsoft Sans Serif" w:hAnsi="Microsoft Sans Serif" w:cs="Microsoft Sans Serif"/>
                <w:b/>
                <w:color w:val="404040"/>
                <w:sz w:val="16"/>
                <w:szCs w:val="16"/>
              </w:rPr>
            </w:pPr>
            <w:r w:rsidRPr="00FB38E1">
              <w:rPr>
                <w:rFonts w:ascii="Microsoft Sans Serif" w:hAnsi="Microsoft Sans Serif" w:cs="Microsoft Sans Serif"/>
                <w:b/>
                <w:bCs/>
                <w:color w:val="000000"/>
                <w:sz w:val="16"/>
                <w:szCs w:val="16"/>
                <w:lang w:eastAsia="tr-TR"/>
              </w:rPr>
              <w:t>AA (tur) (Durağan)</w:t>
            </w:r>
          </w:p>
        </w:tc>
      </w:tr>
      <w:tr w:rsidR="00766FF1" w:rsidRPr="00FB38E1" w14:paraId="47FE4313" w14:textId="77777777" w:rsidTr="00766FF1">
        <w:tc>
          <w:tcPr>
            <w:tcW w:w="1662" w:type="pct"/>
            <w:tcBorders>
              <w:top w:val="nil"/>
              <w:bottom w:val="thickThinSmallGap" w:sz="24" w:space="0" w:color="auto"/>
            </w:tcBorders>
            <w:vAlign w:val="center"/>
          </w:tcPr>
          <w:p w14:paraId="05EB7644" w14:textId="2C887B74" w:rsidR="00766FF1" w:rsidRPr="00FB38E1" w:rsidRDefault="00766FF1" w:rsidP="00766FF1">
            <w:pPr>
              <w:rPr>
                <w:rFonts w:ascii="Microsoft Sans Serif" w:hAnsi="Microsoft Sans Serif" w:cs="Microsoft Sans Serif"/>
                <w:b/>
                <w:bCs/>
                <w:color w:val="000000"/>
                <w:sz w:val="16"/>
                <w:szCs w:val="16"/>
              </w:rPr>
            </w:pPr>
            <w:r w:rsidRPr="00FB38E1">
              <w:rPr>
                <w:rFonts w:ascii="Microsoft Sans Serif" w:hAnsi="Microsoft Sans Serif" w:cs="Microsoft Sans Serif"/>
                <w:color w:val="404040"/>
                <w:sz w:val="12"/>
                <w:szCs w:val="12"/>
                <w:lang w:eastAsia="tr-TR"/>
              </w:rPr>
              <w:t>*23.07.2024 tarihi itibarıyla</w:t>
            </w:r>
          </w:p>
        </w:tc>
        <w:tc>
          <w:tcPr>
            <w:tcW w:w="809" w:type="pct"/>
            <w:tcBorders>
              <w:top w:val="nil"/>
              <w:bottom w:val="thickThinSmallGap" w:sz="24" w:space="0" w:color="auto"/>
            </w:tcBorders>
            <w:vAlign w:val="center"/>
          </w:tcPr>
          <w:p w14:paraId="3524B1B2" w14:textId="0AF4CD76" w:rsidR="00766FF1" w:rsidRPr="00FB38E1" w:rsidRDefault="00766FF1" w:rsidP="00766FF1">
            <w:pPr>
              <w:jc w:val="right"/>
              <w:rPr>
                <w:rFonts w:ascii="Microsoft Sans Serif" w:hAnsi="Microsoft Sans Serif" w:cs="Microsoft Sans Serif"/>
                <w:b/>
                <w:bCs/>
                <w:color w:val="000000"/>
                <w:sz w:val="16"/>
                <w:szCs w:val="16"/>
              </w:rPr>
            </w:pPr>
            <w:r w:rsidRPr="00FB38E1">
              <w:rPr>
                <w:rFonts w:ascii="Microsoft Sans Serif" w:hAnsi="Microsoft Sans Serif" w:cs="Microsoft Sans Serif"/>
                <w:b/>
                <w:bCs/>
                <w:color w:val="000000"/>
                <w:sz w:val="16"/>
                <w:szCs w:val="16"/>
                <w:lang w:eastAsia="tr-TR"/>
              </w:rPr>
              <w:t> </w:t>
            </w:r>
          </w:p>
        </w:tc>
        <w:tc>
          <w:tcPr>
            <w:tcW w:w="147" w:type="pct"/>
            <w:tcBorders>
              <w:top w:val="nil"/>
              <w:bottom w:val="nil"/>
            </w:tcBorders>
            <w:vAlign w:val="center"/>
          </w:tcPr>
          <w:p w14:paraId="5BC1CCD5" w14:textId="77777777" w:rsidR="00766FF1" w:rsidRPr="00FB38E1" w:rsidRDefault="00766FF1" w:rsidP="00766FF1">
            <w:pPr>
              <w:jc w:val="right"/>
              <w:rPr>
                <w:rFonts w:ascii="Microsoft Sans Serif" w:hAnsi="Microsoft Sans Serif" w:cs="Microsoft Sans Serif"/>
                <w:b/>
                <w:bCs/>
                <w:color w:val="000000"/>
                <w:sz w:val="16"/>
                <w:szCs w:val="16"/>
              </w:rPr>
            </w:pPr>
          </w:p>
        </w:tc>
        <w:tc>
          <w:tcPr>
            <w:tcW w:w="1544" w:type="pct"/>
            <w:tcBorders>
              <w:top w:val="nil"/>
              <w:bottom w:val="thickThinSmallGap" w:sz="24" w:space="0" w:color="auto"/>
            </w:tcBorders>
            <w:vAlign w:val="center"/>
          </w:tcPr>
          <w:p w14:paraId="34DBF90C" w14:textId="41826207" w:rsidR="00766FF1" w:rsidRPr="00FB38E1" w:rsidRDefault="00766FF1" w:rsidP="00766FF1">
            <w:pPr>
              <w:jc w:val="left"/>
              <w:rPr>
                <w:rFonts w:ascii="Microsoft Sans Serif" w:hAnsi="Microsoft Sans Serif" w:cs="Microsoft Sans Serif"/>
                <w:b/>
                <w:bCs/>
                <w:color w:val="000000"/>
                <w:sz w:val="16"/>
                <w:szCs w:val="16"/>
              </w:rPr>
            </w:pPr>
            <w:r w:rsidRPr="00FB38E1">
              <w:rPr>
                <w:rFonts w:ascii="Microsoft Sans Serif" w:hAnsi="Microsoft Sans Serif" w:cs="Microsoft Sans Serif"/>
                <w:color w:val="000000"/>
                <w:sz w:val="12"/>
                <w:szCs w:val="12"/>
                <w:lang w:eastAsia="tr-TR"/>
              </w:rPr>
              <w:t>**17.09.2024 tarihi itibarıyla</w:t>
            </w:r>
          </w:p>
        </w:tc>
        <w:tc>
          <w:tcPr>
            <w:tcW w:w="838" w:type="pct"/>
            <w:tcBorders>
              <w:top w:val="nil"/>
              <w:bottom w:val="thickThinSmallGap" w:sz="24" w:space="0" w:color="auto"/>
            </w:tcBorders>
            <w:vAlign w:val="bottom"/>
          </w:tcPr>
          <w:p w14:paraId="75EE09E3" w14:textId="77777777" w:rsidR="00766FF1" w:rsidRPr="00FB38E1" w:rsidRDefault="00766FF1" w:rsidP="00766FF1">
            <w:pPr>
              <w:jc w:val="left"/>
              <w:rPr>
                <w:rFonts w:ascii="Microsoft Sans Serif" w:hAnsi="Microsoft Sans Serif" w:cs="Microsoft Sans Serif"/>
                <w:b/>
                <w:bCs/>
                <w:color w:val="000000"/>
                <w:sz w:val="16"/>
                <w:szCs w:val="16"/>
              </w:rPr>
            </w:pPr>
          </w:p>
        </w:tc>
      </w:tr>
    </w:tbl>
    <w:p w14:paraId="00600241" w14:textId="77777777" w:rsidR="002C3CA5" w:rsidRPr="00FB38E1" w:rsidRDefault="002C3CA5" w:rsidP="00364B59">
      <w:pPr>
        <w:pStyle w:val="Head1"/>
        <w:keepNext w:val="0"/>
        <w:keepLines w:val="0"/>
        <w:numPr>
          <w:ilvl w:val="0"/>
          <w:numId w:val="69"/>
        </w:numPr>
        <w:spacing w:before="240" w:after="120" w:line="240" w:lineRule="exact"/>
        <w:ind w:left="0" w:right="0" w:hanging="425"/>
        <w:outlineLvl w:val="9"/>
        <w:rPr>
          <w:rFonts w:ascii="Microsoft Sans Serif" w:hAnsi="Microsoft Sans Serif" w:cs="Microsoft Sans Serif"/>
          <w:sz w:val="20"/>
          <w:szCs w:val="20"/>
        </w:rPr>
      </w:pPr>
      <w:r w:rsidRPr="00FB38E1">
        <w:rPr>
          <w:rFonts w:ascii="Microsoft Sans Serif" w:hAnsi="Microsoft Sans Serif" w:cs="Microsoft Sans Serif"/>
          <w:noProof/>
          <w:snapToGrid w:val="0"/>
          <w:sz w:val="20"/>
          <w:szCs w:val="20"/>
          <w:lang w:val="de-DE"/>
        </w:rPr>
        <w:t>Bilanço sonrası hususlar</w:t>
      </w:r>
    </w:p>
    <w:p w14:paraId="7E431CA0" w14:textId="3F90DBF4" w:rsidR="002C3CA5" w:rsidRPr="00FB38E1" w:rsidRDefault="002A5899" w:rsidP="002C3CA5">
      <w:pPr>
        <w:pStyle w:val="BASLIK2"/>
        <w:widowControl/>
        <w:spacing w:before="120" w:after="0" w:line="220" w:lineRule="exact"/>
        <w:ind w:firstLine="0"/>
        <w:rPr>
          <w:rFonts w:ascii="Microsoft Sans Serif" w:hAnsi="Microsoft Sans Serif" w:cs="Microsoft Sans Serif"/>
          <w:b w:val="0"/>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Bulunmamaktadır</w:t>
      </w:r>
      <w:r w:rsidR="002C3CA5" w:rsidRPr="00FB38E1">
        <w:rPr>
          <w:rFonts w:ascii="Microsoft Sans Serif" w:hAnsi="Microsoft Sans Serif" w:cs="Microsoft Sans Serif"/>
          <w:b w:val="0"/>
          <w:color w:val="404040" w:themeColor="text1" w:themeTint="BF"/>
          <w:sz w:val="20"/>
          <w:szCs w:val="20"/>
        </w:rPr>
        <w:t>.</w:t>
      </w:r>
    </w:p>
    <w:p w14:paraId="6FAE1BFC" w14:textId="77777777" w:rsidR="002C3CA5" w:rsidRPr="00FB38E1" w:rsidRDefault="002C3CA5" w:rsidP="002C3CA5">
      <w:pPr>
        <w:pStyle w:val="BASLIK2"/>
        <w:widowControl/>
        <w:spacing w:before="120" w:after="0" w:line="220" w:lineRule="exact"/>
        <w:ind w:firstLine="0"/>
        <w:rPr>
          <w:rFonts w:ascii="Microsoft Sans Serif" w:hAnsi="Microsoft Sans Serif" w:cs="Microsoft Sans Serif"/>
          <w:b w:val="0"/>
          <w:bCs w:val="0"/>
          <w:color w:val="404040" w:themeColor="text1" w:themeTint="BF"/>
          <w:sz w:val="20"/>
          <w:szCs w:val="20"/>
        </w:rPr>
      </w:pPr>
    </w:p>
    <w:p w14:paraId="6E14674C" w14:textId="37F9E750" w:rsidR="00C24AC4" w:rsidRPr="00FB38E1" w:rsidRDefault="002C3CA5" w:rsidP="005B4EB5">
      <w:pPr>
        <w:pStyle w:val="BASLIK2"/>
        <w:widowControl/>
        <w:spacing w:before="0" w:after="0" w:line="240" w:lineRule="auto"/>
        <w:ind w:firstLine="0"/>
        <w:rPr>
          <w:rFonts w:ascii="Microsoft Sans Serif" w:hAnsi="Microsoft Sans Serif" w:cs="Microsoft Sans Serif"/>
          <w:bCs w:val="0"/>
          <w:sz w:val="28"/>
          <w:szCs w:val="28"/>
        </w:rPr>
      </w:pPr>
      <w:r w:rsidRPr="00FB38E1">
        <w:rPr>
          <w:rFonts w:ascii="Microsoft Sans Serif" w:eastAsiaTheme="minorHAnsi" w:hAnsi="Microsoft Sans Serif" w:cs="Microsoft Sans Serif"/>
          <w:b w:val="0"/>
          <w:bCs w:val="0"/>
          <w:color w:val="404040" w:themeColor="text1" w:themeTint="BF"/>
          <w:sz w:val="20"/>
          <w:szCs w:val="20"/>
          <w:lang w:eastAsia="tr-TR"/>
        </w:rPr>
        <w:br w:type="page"/>
      </w:r>
    </w:p>
    <w:p w14:paraId="257C930A" w14:textId="77777777" w:rsidR="00B83D34" w:rsidRPr="00FB38E1" w:rsidRDefault="00B83D34" w:rsidP="00B83D34">
      <w:pPr>
        <w:spacing w:after="0"/>
        <w:rPr>
          <w:rFonts w:ascii="Microsoft Sans Serif" w:hAnsi="Microsoft Sans Serif" w:cs="Microsoft Sans Serif"/>
          <w:sz w:val="28"/>
          <w:szCs w:val="28"/>
        </w:rPr>
      </w:pPr>
      <w:r w:rsidRPr="00FB38E1">
        <w:rPr>
          <w:rFonts w:ascii="Microsoft Sans Serif" w:hAnsi="Microsoft Sans Serif" w:cs="Microsoft Sans Serif"/>
          <w:b/>
          <w:bCs/>
          <w:sz w:val="28"/>
          <w:szCs w:val="28"/>
        </w:rPr>
        <w:t>YEDİNCİ BÖLÜM</w:t>
      </w:r>
    </w:p>
    <w:p w14:paraId="3021D591" w14:textId="77777777" w:rsidR="002C3CA5" w:rsidRPr="00FB38E1" w:rsidRDefault="002C3CA5" w:rsidP="002C3CA5">
      <w:pPr>
        <w:pStyle w:val="BASLIK2"/>
        <w:widowControl/>
        <w:spacing w:before="0" w:after="0" w:line="240" w:lineRule="auto"/>
        <w:ind w:firstLine="0"/>
        <w:rPr>
          <w:rFonts w:ascii="Microsoft Sans Serif" w:hAnsi="Microsoft Sans Serif" w:cs="Microsoft Sans Serif"/>
          <w:sz w:val="28"/>
          <w:szCs w:val="28"/>
        </w:rPr>
      </w:pPr>
      <w:r w:rsidRPr="00FB38E1">
        <w:rPr>
          <w:rFonts w:ascii="Microsoft Sans Serif" w:hAnsi="Microsoft Sans Serif" w:cs="Microsoft Sans Serif"/>
          <w:sz w:val="28"/>
          <w:szCs w:val="28"/>
        </w:rPr>
        <w:t>BAĞIMSIZ DENETİM RAPORU</w:t>
      </w:r>
    </w:p>
    <w:p w14:paraId="1D0AE422" w14:textId="77777777" w:rsidR="002C3CA5" w:rsidRPr="00FB38E1" w:rsidRDefault="002C3CA5" w:rsidP="002C3CA5">
      <w:pPr>
        <w:pStyle w:val="BASLIK2"/>
        <w:widowControl/>
        <w:numPr>
          <w:ilvl w:val="0"/>
          <w:numId w:val="30"/>
        </w:numPr>
        <w:spacing w:line="240" w:lineRule="exact"/>
        <w:ind w:left="0" w:hanging="851"/>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rPr>
        <w:t>Bağımsız denetim raporuna ilişkin olarak açıklanması gereken hususlar</w:t>
      </w:r>
    </w:p>
    <w:p w14:paraId="45DEB8A1" w14:textId="386218A1" w:rsidR="002C3CA5" w:rsidRPr="00FB38E1" w:rsidRDefault="002C3CA5" w:rsidP="002C3CA5">
      <w:pPr>
        <w:pStyle w:val="BASLIK2"/>
        <w:widowControl/>
        <w:spacing w:before="120" w:after="0" w:line="220" w:lineRule="exact"/>
        <w:ind w:firstLine="0"/>
        <w:rPr>
          <w:rFonts w:ascii="Microsoft Sans Serif" w:hAnsi="Microsoft Sans Serif" w:cs="Microsoft Sans Serif"/>
          <w:b w:val="0"/>
          <w:noProof/>
          <w:color w:val="404040" w:themeColor="text1" w:themeTint="BF"/>
          <w:sz w:val="20"/>
          <w:szCs w:val="20"/>
        </w:rPr>
      </w:pPr>
      <w:r w:rsidRPr="00FB38E1">
        <w:rPr>
          <w:rFonts w:ascii="Microsoft Sans Serif" w:hAnsi="Microsoft Sans Serif" w:cs="Microsoft Sans Serif"/>
          <w:b w:val="0"/>
          <w:color w:val="404040" w:themeColor="text1" w:themeTint="BF"/>
          <w:sz w:val="20"/>
          <w:szCs w:val="20"/>
        </w:rPr>
        <w:t xml:space="preserve">Banka’nın kamuya açıklanan konsolide olmayan finansal tablo ve dipnotları DRT Bağımsız Denetim ve Serbest  Muhasebeci Mali Müşavirlik A.Ş. (Member Firm of Deloitte Touche Tohmatsu Limited) tarafından bağımsız denetime tabi tutulmuş olup, </w:t>
      </w:r>
      <w:r w:rsidR="00632DC5" w:rsidRPr="00FB38E1">
        <w:rPr>
          <w:rFonts w:ascii="Microsoft Sans Serif" w:hAnsi="Microsoft Sans Serif" w:cs="Microsoft Sans Serif"/>
          <w:b w:val="0"/>
          <w:color w:val="404040" w:themeColor="text1" w:themeTint="BF"/>
          <w:sz w:val="20"/>
          <w:szCs w:val="20"/>
        </w:rPr>
        <w:t>2</w:t>
      </w:r>
      <w:r w:rsidR="007E2543" w:rsidRPr="00FB38E1">
        <w:rPr>
          <w:rFonts w:ascii="Microsoft Sans Serif" w:hAnsi="Microsoft Sans Serif" w:cs="Microsoft Sans Serif"/>
          <w:b w:val="0"/>
          <w:color w:val="404040" w:themeColor="text1" w:themeTint="BF"/>
          <w:sz w:val="20"/>
          <w:szCs w:val="20"/>
        </w:rPr>
        <w:t>8</w:t>
      </w:r>
      <w:r w:rsidRPr="00FB38E1">
        <w:rPr>
          <w:rFonts w:ascii="Microsoft Sans Serif" w:hAnsi="Microsoft Sans Serif" w:cs="Microsoft Sans Serif"/>
          <w:b w:val="0"/>
          <w:color w:val="404040" w:themeColor="text1" w:themeTint="BF"/>
          <w:sz w:val="20"/>
          <w:szCs w:val="20"/>
        </w:rPr>
        <w:t xml:space="preserve"> Ocak 202</w:t>
      </w:r>
      <w:r w:rsidR="00632DC5" w:rsidRPr="00FB38E1">
        <w:rPr>
          <w:rFonts w:ascii="Microsoft Sans Serif" w:hAnsi="Microsoft Sans Serif" w:cs="Microsoft Sans Serif"/>
          <w:b w:val="0"/>
          <w:color w:val="404040" w:themeColor="text1" w:themeTint="BF"/>
          <w:sz w:val="20"/>
          <w:szCs w:val="20"/>
        </w:rPr>
        <w:t>5</w:t>
      </w:r>
      <w:r w:rsidRPr="00FB38E1">
        <w:rPr>
          <w:rFonts w:ascii="Microsoft Sans Serif" w:hAnsi="Microsoft Sans Serif" w:cs="Microsoft Sans Serif"/>
          <w:b w:val="0"/>
          <w:color w:val="404040" w:themeColor="text1" w:themeTint="BF"/>
          <w:sz w:val="20"/>
          <w:szCs w:val="20"/>
        </w:rPr>
        <w:t xml:space="preserve"> tarihli bağımsız denetim raporu konsolide olmayan finansal tabloların önünde sunulmuştur</w:t>
      </w:r>
      <w:r w:rsidRPr="00FB38E1">
        <w:rPr>
          <w:rFonts w:ascii="Microsoft Sans Serif" w:hAnsi="Microsoft Sans Serif" w:cs="Microsoft Sans Serif"/>
          <w:b w:val="0"/>
          <w:noProof/>
          <w:color w:val="404040" w:themeColor="text1" w:themeTint="BF"/>
          <w:sz w:val="20"/>
          <w:szCs w:val="20"/>
        </w:rPr>
        <w:t>.</w:t>
      </w:r>
    </w:p>
    <w:p w14:paraId="0C5DCEE2" w14:textId="77777777" w:rsidR="002C3CA5" w:rsidRPr="00FB38E1" w:rsidRDefault="002C3CA5" w:rsidP="002C3CA5">
      <w:pPr>
        <w:pStyle w:val="BASLIK2"/>
        <w:widowControl/>
        <w:numPr>
          <w:ilvl w:val="0"/>
          <w:numId w:val="30"/>
        </w:numPr>
        <w:spacing w:line="240" w:lineRule="exact"/>
        <w:ind w:left="0" w:hanging="851"/>
        <w:rPr>
          <w:rFonts w:ascii="Microsoft Sans Serif" w:hAnsi="Microsoft Sans Serif" w:cs="Microsoft Sans Serif"/>
          <w:b w:val="0"/>
          <w:color w:val="404040" w:themeColor="text1" w:themeTint="BF"/>
          <w:sz w:val="16"/>
          <w:szCs w:val="16"/>
        </w:rPr>
      </w:pPr>
      <w:r w:rsidRPr="00FB38E1">
        <w:rPr>
          <w:rFonts w:ascii="Microsoft Sans Serif" w:hAnsi="Microsoft Sans Serif" w:cs="Microsoft Sans Serif"/>
        </w:rPr>
        <w:t>Bağımsız denetçi tarafından hazırlanan açıklama ve dipnotlar</w:t>
      </w:r>
    </w:p>
    <w:p w14:paraId="05D67824" w14:textId="77777777" w:rsidR="002C3CA5" w:rsidRPr="008A296B" w:rsidRDefault="002C3CA5" w:rsidP="002C3CA5">
      <w:pPr>
        <w:pStyle w:val="BASLIK2"/>
        <w:widowControl/>
        <w:spacing w:before="0" w:after="0" w:line="240" w:lineRule="auto"/>
        <w:ind w:firstLine="0"/>
        <w:rPr>
          <w:rFonts w:ascii="Microsoft Sans Serif" w:eastAsiaTheme="minorHAnsi" w:hAnsi="Microsoft Sans Serif" w:cs="Microsoft Sans Serif"/>
          <w:b w:val="0"/>
          <w:bCs w:val="0"/>
          <w:color w:val="404040" w:themeColor="text1" w:themeTint="BF"/>
          <w:sz w:val="20"/>
          <w:szCs w:val="20"/>
        </w:rPr>
      </w:pPr>
      <w:r w:rsidRPr="00FB38E1">
        <w:rPr>
          <w:rFonts w:ascii="Microsoft Sans Serif" w:eastAsiaTheme="minorHAnsi" w:hAnsi="Microsoft Sans Serif" w:cs="Microsoft Sans Serif"/>
          <w:b w:val="0"/>
          <w:bCs w:val="0"/>
          <w:color w:val="404040" w:themeColor="text1" w:themeTint="BF"/>
          <w:sz w:val="20"/>
          <w:szCs w:val="20"/>
        </w:rPr>
        <w:t>Banka’nın faaliyetleriyle ilgili olan, ancak yukarıdaki bölümlerde belirtilmeyen önemli bir husus ve gerekli görülen açıklama ve dipnot bulunmamaktadır.</w:t>
      </w:r>
    </w:p>
    <w:p w14:paraId="0FCBADDC" w14:textId="77777777" w:rsidR="002C3CA5" w:rsidRPr="008A296B" w:rsidRDefault="002C3CA5" w:rsidP="002C3CA5">
      <w:pPr>
        <w:pStyle w:val="BASLIK2"/>
        <w:widowControl/>
        <w:spacing w:before="0" w:after="0" w:line="240" w:lineRule="auto"/>
        <w:ind w:firstLine="0"/>
        <w:rPr>
          <w:rFonts w:ascii="Microsoft Sans Serif" w:eastAsiaTheme="minorHAnsi" w:hAnsi="Microsoft Sans Serif" w:cs="Microsoft Sans Serif"/>
          <w:b w:val="0"/>
          <w:bCs w:val="0"/>
          <w:color w:val="404040" w:themeColor="text1" w:themeTint="BF"/>
          <w:sz w:val="20"/>
          <w:szCs w:val="20"/>
        </w:rPr>
      </w:pPr>
    </w:p>
    <w:p w14:paraId="0AFB2D41" w14:textId="5D97D172" w:rsidR="00D470A6" w:rsidRPr="008A296B" w:rsidRDefault="00D470A6" w:rsidP="00B83D34">
      <w:pPr>
        <w:spacing w:before="120" w:after="120" w:line="240" w:lineRule="exact"/>
        <w:rPr>
          <w:rFonts w:ascii="Microsoft Sans Serif" w:eastAsia="Calibri" w:hAnsi="Microsoft Sans Serif" w:cs="Microsoft Sans Serif"/>
          <w:b/>
          <w:noProof/>
          <w:sz w:val="20"/>
          <w:szCs w:val="20"/>
        </w:rPr>
      </w:pPr>
    </w:p>
    <w:sectPr w:rsidR="00D470A6" w:rsidRPr="008A296B" w:rsidSect="000B6DF7">
      <w:pgSz w:w="11906" w:h="16838"/>
      <w:pgMar w:top="-1985" w:right="567" w:bottom="-862" w:left="1701" w:header="709"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B0223" w14:textId="77777777" w:rsidR="00EA2415" w:rsidRDefault="00EA2415" w:rsidP="007F6813">
      <w:pPr>
        <w:spacing w:after="0"/>
      </w:pPr>
      <w:r>
        <w:separator/>
      </w:r>
    </w:p>
  </w:endnote>
  <w:endnote w:type="continuationSeparator" w:id="0">
    <w:p w14:paraId="03DF90C9" w14:textId="77777777" w:rsidR="00EA2415" w:rsidRDefault="00EA2415" w:rsidP="007F68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687" w:usb1="00000000" w:usb2="00000000" w:usb3="00000000" w:csb0="0000009F" w:csb1="00000000"/>
  </w:font>
  <w:font w:name="Book Antiqua">
    <w:panose1 w:val="02040602050305030304"/>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50B1F" w14:textId="77777777" w:rsidR="00EA2415" w:rsidRDefault="00EA241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16129" w14:textId="5A6DA89D" w:rsidR="00EA2415" w:rsidRDefault="00EA2415">
    <w:pPr>
      <w:pStyle w:val="Footer"/>
      <w:jc w:val="center"/>
      <w:rPr>
        <w:rFonts w:ascii="Microsoft Sans Serif" w:hAnsi="Microsoft Sans Serif" w:cs="Microsoft Sans Serif"/>
        <w:bCs/>
        <w:sz w:val="18"/>
        <w:szCs w:val="18"/>
      </w:rPr>
    </w:pPr>
    <w:r w:rsidRPr="00AE279E">
      <w:rPr>
        <w:rFonts w:ascii="Microsoft Sans Serif" w:hAnsi="Microsoft Sans Serif" w:cs="Microsoft Sans Serif"/>
        <w:bCs/>
        <w:sz w:val="18"/>
        <w:szCs w:val="18"/>
      </w:rPr>
      <w:t>İlişikteki notlar bu finansal tabloların ayrılmaz bir parçasıdır.</w:t>
    </w:r>
  </w:p>
  <w:p w14:paraId="4A8A9ECC" w14:textId="77777777" w:rsidR="00EA2415" w:rsidRDefault="00EA2415">
    <w:pPr>
      <w:pStyle w:val="Footer"/>
      <w:jc w:val="center"/>
      <w:rPr>
        <w:rFonts w:ascii="Microsoft Sans Serif" w:hAnsi="Microsoft Sans Serif" w:cs="Microsoft Sans Serif"/>
        <w:bCs/>
        <w:sz w:val="18"/>
        <w:szCs w:val="18"/>
      </w:rPr>
    </w:pPr>
  </w:p>
  <w:p w14:paraId="6D952E17" w14:textId="77777777" w:rsidR="00EA2415" w:rsidRDefault="00EA2415">
    <w:pPr>
      <w:pStyle w:val="Footer"/>
      <w:jc w:val="center"/>
      <w:rPr>
        <w:rFonts w:ascii="Microsoft Sans Serif" w:hAnsi="Microsoft Sans Serif" w:cs="Microsoft Sans Serif"/>
        <w:bCs/>
        <w:sz w:val="18"/>
        <w:szCs w:val="18"/>
      </w:rPr>
    </w:pPr>
  </w:p>
  <w:p w14:paraId="08E4791C" w14:textId="77777777" w:rsidR="00EA2415" w:rsidRDefault="00EA2415">
    <w:pPr>
      <w:pStyle w:val="Footer"/>
      <w:jc w:val="center"/>
      <w:rPr>
        <w:rFonts w:ascii="Microsoft Sans Serif" w:hAnsi="Microsoft Sans Serif" w:cs="Microsoft Sans Serif"/>
        <w:bCs/>
        <w:sz w:val="18"/>
        <w:szCs w:val="18"/>
      </w:rPr>
    </w:pPr>
  </w:p>
  <w:p w14:paraId="5675C738" w14:textId="0E0E41C0" w:rsidR="00EA2415" w:rsidRPr="00C56009" w:rsidRDefault="005F24F5">
    <w:pPr>
      <w:pStyle w:val="Footer"/>
      <w:jc w:val="center"/>
      <w:rPr>
        <w:color w:val="404040" w:themeColor="text1" w:themeTint="BF"/>
      </w:rPr>
    </w:pPr>
    <w:sdt>
      <w:sdtPr>
        <w:id w:val="249629446"/>
        <w:docPartObj>
          <w:docPartGallery w:val="Page Numbers (Bottom of Page)"/>
          <w:docPartUnique/>
        </w:docPartObj>
      </w:sdtPr>
      <w:sdtEndPr>
        <w:rPr>
          <w:noProof/>
          <w:color w:val="404040" w:themeColor="text1" w:themeTint="BF"/>
        </w:rPr>
      </w:sdtEndPr>
      <w:sdtContent>
        <w:r w:rsidR="00EA2415" w:rsidRPr="00C56009">
          <w:rPr>
            <w:rFonts w:ascii="Microsoft Sans Serif" w:hAnsi="Microsoft Sans Serif" w:cs="Microsoft Sans Serif"/>
            <w:color w:val="404040" w:themeColor="text1" w:themeTint="BF"/>
          </w:rPr>
          <w:fldChar w:fldCharType="begin"/>
        </w:r>
        <w:r w:rsidR="00EA2415" w:rsidRPr="00C56009">
          <w:rPr>
            <w:rFonts w:ascii="Microsoft Sans Serif" w:hAnsi="Microsoft Sans Serif" w:cs="Microsoft Sans Serif"/>
            <w:color w:val="404040" w:themeColor="text1" w:themeTint="BF"/>
          </w:rPr>
          <w:instrText xml:space="preserve"> PAGE   \* MERGEFORMAT </w:instrText>
        </w:r>
        <w:r w:rsidR="00EA2415" w:rsidRPr="00C56009">
          <w:rPr>
            <w:rFonts w:ascii="Microsoft Sans Serif" w:hAnsi="Microsoft Sans Serif" w:cs="Microsoft Sans Serif"/>
            <w:color w:val="404040" w:themeColor="text1" w:themeTint="BF"/>
          </w:rPr>
          <w:fldChar w:fldCharType="separate"/>
        </w:r>
        <w:r>
          <w:rPr>
            <w:rFonts w:ascii="Microsoft Sans Serif" w:hAnsi="Microsoft Sans Serif" w:cs="Microsoft Sans Serif"/>
            <w:noProof/>
            <w:color w:val="404040" w:themeColor="text1" w:themeTint="BF"/>
          </w:rPr>
          <w:t>10</w:t>
        </w:r>
        <w:r w:rsidR="00EA2415" w:rsidRPr="00C56009">
          <w:rPr>
            <w:rFonts w:ascii="Microsoft Sans Serif" w:hAnsi="Microsoft Sans Serif" w:cs="Microsoft Sans Serif"/>
            <w:noProof/>
            <w:color w:val="404040" w:themeColor="text1" w:themeTint="BF"/>
          </w:rPr>
          <w:fldChar w:fldCharType="end"/>
        </w:r>
      </w:sdtContent>
    </w:sdt>
  </w:p>
  <w:p w14:paraId="7F6882BC" w14:textId="77777777" w:rsidR="00EA2415" w:rsidRDefault="00EA24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063E" w14:textId="09C24591" w:rsidR="00EA2415" w:rsidRDefault="00EA2415">
    <w:pPr>
      <w:pStyle w:val="Footer"/>
      <w:jc w:val="center"/>
      <w:rPr>
        <w:rFonts w:ascii="Microsoft Sans Serif" w:hAnsi="Microsoft Sans Serif" w:cs="Microsoft Sans Serif"/>
        <w:bCs/>
        <w:sz w:val="18"/>
        <w:szCs w:val="18"/>
      </w:rPr>
    </w:pPr>
  </w:p>
  <w:p w14:paraId="627C102E" w14:textId="77777777" w:rsidR="00EA2415" w:rsidRDefault="00EA2415">
    <w:pPr>
      <w:pStyle w:val="Footer"/>
      <w:jc w:val="center"/>
      <w:rPr>
        <w:rFonts w:ascii="Microsoft Sans Serif" w:hAnsi="Microsoft Sans Serif" w:cs="Microsoft Sans Serif"/>
        <w:bCs/>
        <w:sz w:val="18"/>
        <w:szCs w:val="18"/>
      </w:rPr>
    </w:pPr>
  </w:p>
  <w:p w14:paraId="381444A7" w14:textId="77777777" w:rsidR="00EA2415" w:rsidRDefault="00EA2415">
    <w:pPr>
      <w:pStyle w:val="Footer"/>
      <w:jc w:val="center"/>
      <w:rPr>
        <w:rFonts w:ascii="Microsoft Sans Serif" w:hAnsi="Microsoft Sans Serif" w:cs="Microsoft Sans Serif"/>
        <w:bCs/>
        <w:sz w:val="18"/>
        <w:szCs w:val="18"/>
      </w:rPr>
    </w:pPr>
  </w:p>
  <w:p w14:paraId="7C9A831F" w14:textId="1C23A00B" w:rsidR="00EA2415" w:rsidRPr="00C56009" w:rsidRDefault="005F24F5">
    <w:pPr>
      <w:pStyle w:val="Footer"/>
      <w:jc w:val="center"/>
      <w:rPr>
        <w:color w:val="404040" w:themeColor="text1" w:themeTint="BF"/>
      </w:rPr>
    </w:pPr>
    <w:sdt>
      <w:sdtPr>
        <w:id w:val="-295609805"/>
        <w:docPartObj>
          <w:docPartGallery w:val="Page Numbers (Bottom of Page)"/>
          <w:docPartUnique/>
        </w:docPartObj>
      </w:sdtPr>
      <w:sdtEndPr>
        <w:rPr>
          <w:noProof/>
          <w:color w:val="404040" w:themeColor="text1" w:themeTint="BF"/>
        </w:rPr>
      </w:sdtEndPr>
      <w:sdtContent>
        <w:r w:rsidR="00EA2415" w:rsidRPr="00C56009">
          <w:rPr>
            <w:rFonts w:ascii="Microsoft Sans Serif" w:hAnsi="Microsoft Sans Serif" w:cs="Microsoft Sans Serif"/>
            <w:color w:val="404040" w:themeColor="text1" w:themeTint="BF"/>
          </w:rPr>
          <w:fldChar w:fldCharType="begin"/>
        </w:r>
        <w:r w:rsidR="00EA2415" w:rsidRPr="00C56009">
          <w:rPr>
            <w:rFonts w:ascii="Microsoft Sans Serif" w:hAnsi="Microsoft Sans Serif" w:cs="Microsoft Sans Serif"/>
            <w:color w:val="404040" w:themeColor="text1" w:themeTint="BF"/>
          </w:rPr>
          <w:instrText xml:space="preserve"> PAGE   \* MERGEFORMAT </w:instrText>
        </w:r>
        <w:r w:rsidR="00EA2415" w:rsidRPr="00C56009">
          <w:rPr>
            <w:rFonts w:ascii="Microsoft Sans Serif" w:hAnsi="Microsoft Sans Serif" w:cs="Microsoft Sans Serif"/>
            <w:color w:val="404040" w:themeColor="text1" w:themeTint="BF"/>
          </w:rPr>
          <w:fldChar w:fldCharType="separate"/>
        </w:r>
        <w:r>
          <w:rPr>
            <w:rFonts w:ascii="Microsoft Sans Serif" w:hAnsi="Microsoft Sans Serif" w:cs="Microsoft Sans Serif"/>
            <w:noProof/>
            <w:color w:val="404040" w:themeColor="text1" w:themeTint="BF"/>
          </w:rPr>
          <w:t>12</w:t>
        </w:r>
        <w:r w:rsidR="00EA2415" w:rsidRPr="00C56009">
          <w:rPr>
            <w:rFonts w:ascii="Microsoft Sans Serif" w:hAnsi="Microsoft Sans Serif" w:cs="Microsoft Sans Serif"/>
            <w:noProof/>
            <w:color w:val="404040" w:themeColor="text1" w:themeTint="BF"/>
          </w:rPr>
          <w:fldChar w:fldCharType="end"/>
        </w:r>
      </w:sdtContent>
    </w:sdt>
  </w:p>
  <w:p w14:paraId="4EA52EE7" w14:textId="77777777" w:rsidR="00EA2415" w:rsidRDefault="00EA24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4901070"/>
      <w:docPartObj>
        <w:docPartGallery w:val="Page Numbers (Bottom of Page)"/>
        <w:docPartUnique/>
      </w:docPartObj>
    </w:sdtPr>
    <w:sdtEndPr>
      <w:rPr>
        <w:noProof/>
      </w:rPr>
    </w:sdtEndPr>
    <w:sdtContent>
      <w:p w14:paraId="4F714B2C" w14:textId="5BF151ED" w:rsidR="00EA2415" w:rsidRDefault="00EA2415" w:rsidP="00477B3B">
        <w:pPr>
          <w:pStyle w:val="Footer"/>
          <w:jc w:val="center"/>
        </w:pPr>
        <w:r>
          <w:fldChar w:fldCharType="begin"/>
        </w:r>
        <w:r>
          <w:instrText xml:space="preserve"> PAGE   \* MERGEFORMAT </w:instrText>
        </w:r>
        <w:r>
          <w:fldChar w:fldCharType="separate"/>
        </w:r>
        <w:r w:rsidR="005F24F5">
          <w:rPr>
            <w:noProof/>
          </w:rPr>
          <w:t>52</w:t>
        </w:r>
        <w:r>
          <w:rPr>
            <w:noProof/>
          </w:rPr>
          <w:fldChar w:fldCharType="end"/>
        </w:r>
      </w:p>
    </w:sdtContent>
  </w:sdt>
  <w:p w14:paraId="485DB41F" w14:textId="77777777" w:rsidR="00EA2415" w:rsidRDefault="00EA241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80319" w14:textId="77777777" w:rsidR="00EA2415" w:rsidRDefault="00EA2415">
    <w:pPr>
      <w:pStyle w:val="Footer"/>
      <w:jc w:val="center"/>
      <w:rPr>
        <w:rFonts w:ascii="Microsoft Sans Serif" w:hAnsi="Microsoft Sans Serif" w:cs="Microsoft Sans Serif"/>
        <w:bCs/>
        <w:sz w:val="18"/>
        <w:szCs w:val="18"/>
      </w:rPr>
    </w:pPr>
  </w:p>
  <w:p w14:paraId="5D7B99BE" w14:textId="77777777" w:rsidR="00EA2415" w:rsidRDefault="00EA2415">
    <w:pPr>
      <w:pStyle w:val="Footer"/>
      <w:jc w:val="center"/>
      <w:rPr>
        <w:rFonts w:ascii="Microsoft Sans Serif" w:hAnsi="Microsoft Sans Serif" w:cs="Microsoft Sans Serif"/>
        <w:bCs/>
        <w:sz w:val="18"/>
        <w:szCs w:val="18"/>
      </w:rPr>
    </w:pPr>
  </w:p>
  <w:p w14:paraId="69C5E8AF" w14:textId="77777777" w:rsidR="00EA2415" w:rsidRDefault="00EA2415">
    <w:pPr>
      <w:pStyle w:val="Footer"/>
      <w:jc w:val="center"/>
      <w:rPr>
        <w:rFonts w:ascii="Microsoft Sans Serif" w:hAnsi="Microsoft Sans Serif" w:cs="Microsoft Sans Serif"/>
        <w:bCs/>
        <w:sz w:val="18"/>
        <w:szCs w:val="18"/>
      </w:rPr>
    </w:pPr>
  </w:p>
  <w:p w14:paraId="687C7988" w14:textId="043186A0" w:rsidR="00EA2415" w:rsidRPr="00C56009" w:rsidRDefault="005F24F5">
    <w:pPr>
      <w:pStyle w:val="Footer"/>
      <w:jc w:val="center"/>
      <w:rPr>
        <w:color w:val="404040" w:themeColor="text1" w:themeTint="BF"/>
      </w:rPr>
    </w:pPr>
    <w:sdt>
      <w:sdtPr>
        <w:id w:val="1222259769"/>
        <w:docPartObj>
          <w:docPartGallery w:val="Page Numbers (Bottom of Page)"/>
          <w:docPartUnique/>
        </w:docPartObj>
      </w:sdtPr>
      <w:sdtEndPr>
        <w:rPr>
          <w:noProof/>
          <w:color w:val="404040" w:themeColor="text1" w:themeTint="BF"/>
        </w:rPr>
      </w:sdtEndPr>
      <w:sdtContent>
        <w:r w:rsidR="00EA2415" w:rsidRPr="00C56009">
          <w:rPr>
            <w:rFonts w:ascii="Microsoft Sans Serif" w:hAnsi="Microsoft Sans Serif" w:cs="Microsoft Sans Serif"/>
            <w:color w:val="404040" w:themeColor="text1" w:themeTint="BF"/>
          </w:rPr>
          <w:fldChar w:fldCharType="begin"/>
        </w:r>
        <w:r w:rsidR="00EA2415" w:rsidRPr="00C56009">
          <w:rPr>
            <w:rFonts w:ascii="Microsoft Sans Serif" w:hAnsi="Microsoft Sans Serif" w:cs="Microsoft Sans Serif"/>
            <w:color w:val="404040" w:themeColor="text1" w:themeTint="BF"/>
          </w:rPr>
          <w:instrText xml:space="preserve"> PAGE   \* MERGEFORMAT </w:instrText>
        </w:r>
        <w:r w:rsidR="00EA2415" w:rsidRPr="00C56009">
          <w:rPr>
            <w:rFonts w:ascii="Microsoft Sans Serif" w:hAnsi="Microsoft Sans Serif" w:cs="Microsoft Sans Serif"/>
            <w:color w:val="404040" w:themeColor="text1" w:themeTint="BF"/>
          </w:rPr>
          <w:fldChar w:fldCharType="separate"/>
        </w:r>
        <w:r>
          <w:rPr>
            <w:rFonts w:ascii="Microsoft Sans Serif" w:hAnsi="Microsoft Sans Serif" w:cs="Microsoft Sans Serif"/>
            <w:noProof/>
            <w:color w:val="404040" w:themeColor="text1" w:themeTint="BF"/>
          </w:rPr>
          <w:t>61</w:t>
        </w:r>
        <w:r w:rsidR="00EA2415" w:rsidRPr="00C56009">
          <w:rPr>
            <w:rFonts w:ascii="Microsoft Sans Serif" w:hAnsi="Microsoft Sans Serif" w:cs="Microsoft Sans Serif"/>
            <w:noProof/>
            <w:color w:val="404040" w:themeColor="text1" w:themeTint="BF"/>
          </w:rPr>
          <w:fldChar w:fldCharType="end"/>
        </w:r>
      </w:sdtContent>
    </w:sdt>
  </w:p>
  <w:p w14:paraId="0A4F4F32" w14:textId="77777777" w:rsidR="00EA2415" w:rsidRDefault="00EA241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780863"/>
      <w:docPartObj>
        <w:docPartGallery w:val="Page Numbers (Bottom of Page)"/>
        <w:docPartUnique/>
      </w:docPartObj>
    </w:sdtPr>
    <w:sdtEndPr>
      <w:rPr>
        <w:noProof/>
      </w:rPr>
    </w:sdtEndPr>
    <w:sdtContent>
      <w:p w14:paraId="6F52FE8C" w14:textId="4F347530" w:rsidR="00EA2415" w:rsidRDefault="00EA2415">
        <w:pPr>
          <w:pStyle w:val="Footer"/>
          <w:jc w:val="center"/>
        </w:pPr>
        <w:r w:rsidRPr="00025C91">
          <w:rPr>
            <w:rFonts w:ascii="Microsoft Sans Serif" w:hAnsi="Microsoft Sans Serif" w:cs="Microsoft Sans Serif"/>
          </w:rPr>
          <w:fldChar w:fldCharType="begin"/>
        </w:r>
        <w:r w:rsidRPr="00025C91">
          <w:rPr>
            <w:rFonts w:ascii="Microsoft Sans Serif" w:hAnsi="Microsoft Sans Serif" w:cs="Microsoft Sans Serif"/>
          </w:rPr>
          <w:instrText xml:space="preserve"> PAGE   \* MERGEFORMAT </w:instrText>
        </w:r>
        <w:r w:rsidRPr="00025C91">
          <w:rPr>
            <w:rFonts w:ascii="Microsoft Sans Serif" w:hAnsi="Microsoft Sans Serif" w:cs="Microsoft Sans Serif"/>
          </w:rPr>
          <w:fldChar w:fldCharType="separate"/>
        </w:r>
        <w:r>
          <w:rPr>
            <w:rFonts w:ascii="Microsoft Sans Serif" w:hAnsi="Microsoft Sans Serif" w:cs="Microsoft Sans Serif"/>
            <w:noProof/>
          </w:rPr>
          <w:t>96</w:t>
        </w:r>
        <w:r w:rsidRPr="00025C91">
          <w:rPr>
            <w:rFonts w:ascii="Microsoft Sans Serif" w:hAnsi="Microsoft Sans Serif" w:cs="Microsoft Sans Serif"/>
            <w:noProof/>
          </w:rPr>
          <w:fldChar w:fldCharType="end"/>
        </w:r>
      </w:p>
    </w:sdtContent>
  </w:sdt>
  <w:p w14:paraId="5DFC2BC8" w14:textId="77777777" w:rsidR="00EA2415" w:rsidRDefault="00EA241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8E8C6" w14:textId="77777777" w:rsidR="00EA2415" w:rsidRDefault="00EA2415">
    <w:pPr>
      <w:pStyle w:val="Footer"/>
      <w:jc w:val="center"/>
    </w:pPr>
  </w:p>
  <w:p w14:paraId="6946DE40" w14:textId="77777777" w:rsidR="00EA2415" w:rsidRDefault="00EA24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517E8" w14:textId="77777777" w:rsidR="00EA2415" w:rsidRDefault="00EA2415">
    <w:pPr>
      <w:pStyle w:val="Footer"/>
      <w:jc w:val="center"/>
    </w:pPr>
    <w:r>
      <w:fldChar w:fldCharType="begin"/>
    </w:r>
    <w:r>
      <w:instrText xml:space="preserve"> PAGE   \* MERGEFORMAT </w:instrText>
    </w:r>
    <w:r>
      <w:fldChar w:fldCharType="separate"/>
    </w:r>
    <w:r>
      <w:rPr>
        <w:noProof/>
      </w:rPr>
      <w:t>11</w:t>
    </w:r>
    <w:r>
      <w:rPr>
        <w:noProof/>
      </w:rPr>
      <w:fldChar w:fldCharType="end"/>
    </w:r>
  </w:p>
  <w:p w14:paraId="08D303C4" w14:textId="77777777" w:rsidR="00EA2415" w:rsidRDefault="00EA2415" w:rsidP="00DE3C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7BF6" w14:textId="77777777" w:rsidR="00EA2415" w:rsidRDefault="00EA241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91C9B" w14:textId="022AAC05" w:rsidR="00EA2415" w:rsidRDefault="00EA2415">
    <w:pPr>
      <w:pStyle w:val="Footer"/>
      <w:jc w:val="center"/>
    </w:pPr>
  </w:p>
  <w:p w14:paraId="56EA086D" w14:textId="77777777" w:rsidR="00EA2415" w:rsidRDefault="00EA241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C5908" w14:textId="5F44129C" w:rsidR="00EA2415" w:rsidRDefault="00EA2415">
    <w:pPr>
      <w:pStyle w:val="Footer"/>
      <w:jc w:val="center"/>
    </w:pPr>
    <w:r>
      <w:fldChar w:fldCharType="begin"/>
    </w:r>
    <w:r>
      <w:instrText xml:space="preserve"> PAGE   \* MERGEFORMAT </w:instrText>
    </w:r>
    <w:r>
      <w:fldChar w:fldCharType="separate"/>
    </w:r>
    <w:r>
      <w:rPr>
        <w:noProof/>
      </w:rPr>
      <w:t>11</w:t>
    </w:r>
    <w:r>
      <w:rPr>
        <w:noProof/>
      </w:rPr>
      <w:fldChar w:fldCharType="end"/>
    </w:r>
  </w:p>
  <w:p w14:paraId="5C6062CB" w14:textId="77777777" w:rsidR="00EA2415" w:rsidRDefault="00EA2415" w:rsidP="00DE3C9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3201E" w14:textId="3408F3FF" w:rsidR="00EA2415" w:rsidRDefault="00EA2415">
    <w:pPr>
      <w:pStyle w:val="Footer"/>
      <w:jc w:val="center"/>
      <w:rPr>
        <w:rFonts w:ascii="Microsoft Sans Serif" w:hAnsi="Microsoft Sans Serif" w:cs="Microsoft Sans Serif"/>
        <w:bCs/>
        <w:sz w:val="18"/>
        <w:szCs w:val="18"/>
      </w:rPr>
    </w:pPr>
    <w:r w:rsidRPr="00AE279E">
      <w:rPr>
        <w:rFonts w:ascii="Microsoft Sans Serif" w:hAnsi="Microsoft Sans Serif" w:cs="Microsoft Sans Serif"/>
        <w:bCs/>
        <w:sz w:val="18"/>
        <w:szCs w:val="18"/>
      </w:rPr>
      <w:t>İlişikteki notlar bu finansal tabloların ayrılmaz bir parçasıdır.</w:t>
    </w:r>
  </w:p>
  <w:p w14:paraId="56855E85" w14:textId="4F36D84D" w:rsidR="00EA2415" w:rsidRDefault="00EA2415">
    <w:pPr>
      <w:pStyle w:val="Footer"/>
      <w:jc w:val="center"/>
      <w:rPr>
        <w:rFonts w:ascii="Microsoft Sans Serif" w:hAnsi="Microsoft Sans Serif" w:cs="Microsoft Sans Serif"/>
        <w:bCs/>
        <w:sz w:val="18"/>
        <w:szCs w:val="18"/>
      </w:rPr>
    </w:pPr>
  </w:p>
  <w:p w14:paraId="0614E867" w14:textId="77777777" w:rsidR="00EA2415" w:rsidRDefault="00EA2415">
    <w:pPr>
      <w:pStyle w:val="Footer"/>
      <w:jc w:val="center"/>
      <w:rPr>
        <w:rFonts w:ascii="Microsoft Sans Serif" w:hAnsi="Microsoft Sans Serif" w:cs="Microsoft Sans Serif"/>
        <w:bCs/>
        <w:sz w:val="18"/>
        <w:szCs w:val="18"/>
      </w:rPr>
    </w:pPr>
  </w:p>
  <w:p w14:paraId="32EBF1E0" w14:textId="315B68F3" w:rsidR="00EA2415" w:rsidRDefault="00EA2415">
    <w:pPr>
      <w:pStyle w:val="Footer"/>
      <w:jc w:val="center"/>
    </w:pPr>
    <w:r>
      <w:fldChar w:fldCharType="begin"/>
    </w:r>
    <w:r>
      <w:instrText xml:space="preserve"> PAGE   \* MERGEFORMAT </w:instrText>
    </w:r>
    <w:r>
      <w:fldChar w:fldCharType="separate"/>
    </w:r>
    <w:r w:rsidR="005F24F5">
      <w:rPr>
        <w:noProof/>
      </w:rPr>
      <w:t>11</w:t>
    </w:r>
    <w:r>
      <w:rPr>
        <w:noProof/>
      </w:rPr>
      <w:fldChar w:fldCharType="end"/>
    </w:r>
  </w:p>
  <w:p w14:paraId="20AAFBE1" w14:textId="77777777" w:rsidR="00EA2415" w:rsidRDefault="00EA2415" w:rsidP="00DE3C9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137700"/>
      <w:docPartObj>
        <w:docPartGallery w:val="Page Numbers (Bottom of Page)"/>
        <w:docPartUnique/>
      </w:docPartObj>
    </w:sdtPr>
    <w:sdtEndPr>
      <w:rPr>
        <w:rFonts w:ascii="Microsoft Sans Serif" w:hAnsi="Microsoft Sans Serif" w:cs="Microsoft Sans Serif"/>
        <w:noProof/>
      </w:rPr>
    </w:sdtEndPr>
    <w:sdtContent>
      <w:p w14:paraId="0FCD2333" w14:textId="447EC6BF" w:rsidR="00EA2415" w:rsidRPr="00025C91" w:rsidRDefault="00EA2415">
        <w:pPr>
          <w:pStyle w:val="Footer"/>
          <w:jc w:val="center"/>
          <w:rPr>
            <w:rFonts w:ascii="Microsoft Sans Serif" w:hAnsi="Microsoft Sans Serif" w:cs="Microsoft Sans Serif"/>
          </w:rPr>
        </w:pPr>
        <w:r w:rsidRPr="00025C91">
          <w:rPr>
            <w:rFonts w:ascii="Microsoft Sans Serif" w:hAnsi="Microsoft Sans Serif" w:cs="Microsoft Sans Serif"/>
          </w:rPr>
          <w:fldChar w:fldCharType="begin"/>
        </w:r>
        <w:r w:rsidRPr="00025C91">
          <w:rPr>
            <w:rFonts w:ascii="Microsoft Sans Serif" w:hAnsi="Microsoft Sans Serif" w:cs="Microsoft Sans Serif"/>
          </w:rPr>
          <w:instrText xml:space="preserve"> PAGE   \* MERGEFORMAT </w:instrText>
        </w:r>
        <w:r w:rsidRPr="00025C91">
          <w:rPr>
            <w:rFonts w:ascii="Microsoft Sans Serif" w:hAnsi="Microsoft Sans Serif" w:cs="Microsoft Sans Serif"/>
          </w:rPr>
          <w:fldChar w:fldCharType="separate"/>
        </w:r>
        <w:r w:rsidR="005F24F5">
          <w:rPr>
            <w:rFonts w:ascii="Microsoft Sans Serif" w:hAnsi="Microsoft Sans Serif" w:cs="Microsoft Sans Serif"/>
            <w:noProof/>
          </w:rPr>
          <w:t>3</w:t>
        </w:r>
        <w:r w:rsidRPr="00025C91">
          <w:rPr>
            <w:rFonts w:ascii="Microsoft Sans Serif" w:hAnsi="Microsoft Sans Serif" w:cs="Microsoft Sans Serif"/>
            <w:noProof/>
          </w:rPr>
          <w:fldChar w:fldCharType="end"/>
        </w:r>
      </w:p>
    </w:sdtContent>
  </w:sdt>
  <w:p w14:paraId="5C5677F0" w14:textId="77777777" w:rsidR="00EA2415" w:rsidRDefault="00EA241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A19EC" w14:textId="77777777" w:rsidR="00EA2415" w:rsidRDefault="00EA2415">
    <w:pPr>
      <w:pStyle w:val="Footer"/>
      <w:jc w:val="center"/>
    </w:pPr>
  </w:p>
  <w:p w14:paraId="7DE14FA4" w14:textId="77777777" w:rsidR="00EA2415" w:rsidRDefault="00EA2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B90EA" w14:textId="77777777" w:rsidR="00EA2415" w:rsidRDefault="00EA2415" w:rsidP="007F6813">
      <w:pPr>
        <w:spacing w:after="0"/>
      </w:pPr>
      <w:r>
        <w:separator/>
      </w:r>
    </w:p>
  </w:footnote>
  <w:footnote w:type="continuationSeparator" w:id="0">
    <w:p w14:paraId="6AEBD648" w14:textId="77777777" w:rsidR="00EA2415" w:rsidRDefault="00EA2415" w:rsidP="007F681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75EA2" w14:textId="77777777" w:rsidR="00EA2415" w:rsidRPr="00225772" w:rsidRDefault="00EA2415"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6B763AB3" w14:textId="77777777" w:rsidR="00EA2415" w:rsidRPr="00225772" w:rsidRDefault="00EA2415"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31B6DAAA" w14:textId="77777777" w:rsidR="00EA2415" w:rsidRDefault="00EA2415"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4EEF8C7D" w14:textId="77777777" w:rsidR="00EA2415" w:rsidRPr="00D04DCB" w:rsidRDefault="00EA2415"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56ED845B" w14:textId="77777777" w:rsidR="00EA2415" w:rsidRDefault="00EA241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70932" w14:textId="77777777" w:rsidR="00EA2415" w:rsidRDefault="00EA24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628E3" w14:textId="77777777" w:rsidR="00EA2415" w:rsidRPr="00D04DCB" w:rsidRDefault="00EA2415"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57CB4AA7" w14:textId="7041E36F" w:rsidR="00EA2415" w:rsidRPr="00D04DCB" w:rsidRDefault="00EA2415" w:rsidP="00B10664">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ARALIK 2024 TARİHİ</w:t>
    </w:r>
    <w:r w:rsidRPr="00D04DCB">
      <w:rPr>
        <w:rFonts w:ascii="Microsoft Sans Serif" w:hAnsi="Microsoft Sans Serif" w:cs="Microsoft Sans Serif"/>
        <w:sz w:val="24"/>
        <w:szCs w:val="24"/>
      </w:rPr>
      <w:t xml:space="preserve"> İTİBARIYLA</w:t>
    </w:r>
  </w:p>
  <w:p w14:paraId="2CFBDFBB" w14:textId="3111F52E" w:rsidR="00EA2415" w:rsidRPr="00D04DCB" w:rsidRDefault="00EA2415" w:rsidP="00B10664">
    <w:pPr>
      <w:pStyle w:val="Subhead"/>
      <w:tabs>
        <w:tab w:val="clear" w:pos="-360"/>
      </w:tabs>
      <w:spacing w:before="0" w:line="240" w:lineRule="auto"/>
      <w:ind w:left="0" w:firstLine="0"/>
      <w:rPr>
        <w:rFonts w:ascii="Microsoft Sans Serif" w:hAnsi="Microsoft Sans Serif" w:cs="Microsoft Sans Serif"/>
        <w:sz w:val="24"/>
        <w:szCs w:val="24"/>
      </w:rPr>
    </w:pP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D04DCB">
      <w:rPr>
        <w:rFonts w:ascii="Microsoft Sans Serif" w:hAnsi="Microsoft Sans Serif" w:cs="Microsoft Sans Serif"/>
        <w:sz w:val="24"/>
        <w:szCs w:val="24"/>
      </w:rPr>
      <w:t>FİNANSAL DURUM TABLO</w:t>
    </w:r>
    <w:r>
      <w:rPr>
        <w:rFonts w:ascii="Microsoft Sans Serif" w:hAnsi="Microsoft Sans Serif" w:cs="Microsoft Sans Serif"/>
        <w:sz w:val="24"/>
        <w:szCs w:val="24"/>
      </w:rPr>
      <w:t>SU (BİLANÇO)</w:t>
    </w:r>
  </w:p>
  <w:p w14:paraId="55C2D476" w14:textId="77777777" w:rsidR="00EA2415" w:rsidRPr="00B10664" w:rsidRDefault="00EA2415"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C1FFF" w14:textId="1A1995B3" w:rsidR="00EA2415" w:rsidRPr="00D04DCB" w:rsidRDefault="00EA2415" w:rsidP="00B10664">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10446BFB" w14:textId="6E29DB3E" w:rsidR="00EA2415" w:rsidRPr="00D04DCB" w:rsidRDefault="00EA2415" w:rsidP="00B10664">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ARALIK 2024 TARİHİ</w:t>
    </w:r>
    <w:r w:rsidRPr="00D04DCB">
      <w:rPr>
        <w:rFonts w:ascii="Microsoft Sans Serif" w:hAnsi="Microsoft Sans Serif" w:cs="Microsoft Sans Serif"/>
        <w:sz w:val="24"/>
        <w:szCs w:val="24"/>
      </w:rPr>
      <w:t xml:space="preserve"> İTİBARIYLA</w:t>
    </w:r>
  </w:p>
  <w:p w14:paraId="2BEF36B4" w14:textId="439466FA" w:rsidR="00EA2415" w:rsidRPr="00D04DCB" w:rsidRDefault="00EA2415" w:rsidP="00B10664">
    <w:pPr>
      <w:pStyle w:val="Subhead"/>
      <w:tabs>
        <w:tab w:val="clear" w:pos="-360"/>
      </w:tabs>
      <w:spacing w:before="0" w:line="240" w:lineRule="auto"/>
      <w:ind w:left="0" w:firstLine="0"/>
      <w:rPr>
        <w:rFonts w:ascii="Microsoft Sans Serif" w:hAnsi="Microsoft Sans Serif" w:cs="Microsoft Sans Serif"/>
        <w:sz w:val="24"/>
        <w:szCs w:val="24"/>
      </w:rPr>
    </w:pP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D04DCB">
      <w:rPr>
        <w:rFonts w:ascii="Microsoft Sans Serif" w:hAnsi="Microsoft Sans Serif" w:cs="Microsoft Sans Serif"/>
        <w:sz w:val="24"/>
        <w:szCs w:val="24"/>
      </w:rPr>
      <w:t>FİNANSAL DURUM TABLO</w:t>
    </w:r>
    <w:r>
      <w:rPr>
        <w:rFonts w:ascii="Microsoft Sans Serif" w:hAnsi="Microsoft Sans Serif" w:cs="Microsoft Sans Serif"/>
        <w:sz w:val="24"/>
        <w:szCs w:val="24"/>
      </w:rPr>
      <w:t>SU (BİLANÇO)</w:t>
    </w:r>
  </w:p>
  <w:p w14:paraId="13126BEA" w14:textId="77777777" w:rsidR="00EA2415" w:rsidRPr="00B10664" w:rsidRDefault="00EA2415" w:rsidP="00B10664">
    <w:pPr>
      <w:pStyle w:val="Header"/>
      <w:pBdr>
        <w:bottom w:val="single" w:sz="4" w:space="1" w:color="auto"/>
      </w:pBdr>
    </w:pPr>
    <w:r w:rsidRPr="00B10664">
      <w:rPr>
        <w:rFonts w:ascii="Microsoft Sans Serif" w:hAnsi="Microsoft Sans Serif" w:cs="Microsoft Sans Serif"/>
        <w:position w:val="-6"/>
        <w:sz w:val="18"/>
        <w:szCs w:val="18"/>
      </w:rPr>
      <w:t>(Para birimi: Tutarlar Bin Türk Lirası olarak ifade edilmiştir.)</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53A7C" w14:textId="77777777" w:rsidR="00EA2415" w:rsidRPr="000835C4" w:rsidRDefault="00EA2415" w:rsidP="00F24F5A">
    <w:pPr>
      <w:pStyle w:val="Head"/>
      <w:tabs>
        <w:tab w:val="clear" w:pos="-360"/>
      </w:tabs>
      <w:spacing w:before="0"/>
      <w:ind w:left="0" w:firstLine="0"/>
      <w:rPr>
        <w:rFonts w:ascii="Microsoft Sans Serif" w:hAnsi="Microsoft Sans Serif" w:cs="Microsoft Sans Serif"/>
        <w:sz w:val="26"/>
        <w:szCs w:val="26"/>
      </w:rPr>
    </w:pPr>
    <w:r w:rsidRPr="000835C4">
      <w:rPr>
        <w:rFonts w:ascii="Microsoft Sans Serif" w:hAnsi="Microsoft Sans Serif" w:cs="Microsoft Sans Serif"/>
        <w:sz w:val="26"/>
        <w:szCs w:val="26"/>
      </w:rPr>
      <w:t>DENİZBANK ANONİM ŞİRKETİ</w:t>
    </w:r>
  </w:p>
  <w:p w14:paraId="24E18875" w14:textId="2E0CD046" w:rsidR="00EA2415" w:rsidRPr="000835C4" w:rsidRDefault="00EA2415" w:rsidP="00F24F5A">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ARALIK 2024 TARİHİ</w:t>
    </w:r>
    <w:r w:rsidRPr="000835C4">
      <w:rPr>
        <w:rFonts w:ascii="Microsoft Sans Serif" w:hAnsi="Microsoft Sans Serif" w:cs="Microsoft Sans Serif"/>
        <w:sz w:val="24"/>
        <w:szCs w:val="24"/>
      </w:rPr>
      <w:t xml:space="preserve"> İTİBARIYLA</w:t>
    </w:r>
  </w:p>
  <w:p w14:paraId="7B3CA912" w14:textId="20F31045" w:rsidR="00EA2415" w:rsidRPr="000835C4" w:rsidRDefault="00EA2415" w:rsidP="00F24F5A">
    <w:pPr>
      <w:pStyle w:val="Subhead"/>
      <w:tabs>
        <w:tab w:val="clear" w:pos="-360"/>
      </w:tabs>
      <w:spacing w:before="0" w:line="240" w:lineRule="auto"/>
      <w:ind w:left="0" w:firstLine="0"/>
      <w:rPr>
        <w:rFonts w:ascii="Microsoft Sans Serif" w:hAnsi="Microsoft Sans Serif" w:cs="Microsoft Sans Serif"/>
        <w:sz w:val="24"/>
        <w:szCs w:val="24"/>
      </w:rPr>
    </w:pPr>
    <w:r w:rsidRPr="000835C4">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 xml:space="preserve">OLMAYAN </w:t>
    </w:r>
    <w:r w:rsidRPr="000835C4">
      <w:rPr>
        <w:rFonts w:ascii="Microsoft Sans Serif" w:hAnsi="Microsoft Sans Serif" w:cs="Microsoft Sans Serif"/>
        <w:sz w:val="24"/>
        <w:szCs w:val="24"/>
      </w:rPr>
      <w:t>NAZIM HESAPLAR TABLO</w:t>
    </w:r>
    <w:r>
      <w:rPr>
        <w:rFonts w:ascii="Microsoft Sans Serif" w:hAnsi="Microsoft Sans Serif" w:cs="Microsoft Sans Serif"/>
        <w:sz w:val="24"/>
        <w:szCs w:val="24"/>
      </w:rPr>
      <w:t>SU</w:t>
    </w:r>
  </w:p>
  <w:p w14:paraId="612F1D0F" w14:textId="77777777" w:rsidR="00EA2415" w:rsidRPr="00B10664" w:rsidRDefault="00EA2415" w:rsidP="00F24F5A">
    <w:pPr>
      <w:pStyle w:val="Header"/>
      <w:pBdr>
        <w:bottom w:val="single" w:sz="4" w:space="1" w:color="auto"/>
      </w:pBdr>
    </w:pPr>
    <w:r w:rsidRPr="000835C4">
      <w:rPr>
        <w:rFonts w:ascii="Microsoft Sans Serif" w:hAnsi="Microsoft Sans Serif" w:cs="Microsoft Sans Serif"/>
        <w:position w:val="-6"/>
        <w:sz w:val="18"/>
        <w:szCs w:val="18"/>
      </w:rPr>
      <w:t>(Para birimi: Tutarlar Bin Türk Lirası olarak ifade edilmiştir.)</w:t>
    </w:r>
  </w:p>
  <w:p w14:paraId="133DCC84" w14:textId="2CCF92F3" w:rsidR="00EA2415" w:rsidRPr="00F24F5A" w:rsidRDefault="00EA2415" w:rsidP="00F24F5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4D7F2" w14:textId="77777777" w:rsidR="00EA2415" w:rsidRPr="00D04DCB" w:rsidRDefault="00EA2415" w:rsidP="001A6375">
    <w:pPr>
      <w:pStyle w:val="Head"/>
      <w:tabs>
        <w:tab w:val="clear" w:pos="-360"/>
      </w:tabs>
      <w:spacing w:before="0"/>
      <w:ind w:left="0" w:firstLine="0"/>
      <w:rPr>
        <w:rFonts w:ascii="Microsoft Sans Serif" w:hAnsi="Microsoft Sans Serif" w:cs="Microsoft Sans Serif"/>
        <w:sz w:val="26"/>
        <w:szCs w:val="26"/>
      </w:rPr>
    </w:pPr>
    <w:r w:rsidRPr="00D04DCB">
      <w:rPr>
        <w:rFonts w:ascii="Microsoft Sans Serif" w:hAnsi="Microsoft Sans Serif" w:cs="Microsoft Sans Serif"/>
        <w:sz w:val="26"/>
        <w:szCs w:val="26"/>
      </w:rPr>
      <w:t>DENİZBANK ANONİM ŞİRKETİ</w:t>
    </w:r>
  </w:p>
  <w:p w14:paraId="75AD6050" w14:textId="04241FFA" w:rsidR="00EA2415" w:rsidRPr="00D04DCB" w:rsidRDefault="00EA2415" w:rsidP="001A6375">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 xml:space="preserve">31 ARALIK 2024 </w:t>
    </w:r>
    <w:r w:rsidRPr="00D04DCB">
      <w:rPr>
        <w:rFonts w:ascii="Microsoft Sans Serif" w:hAnsi="Microsoft Sans Serif" w:cs="Microsoft Sans Serif"/>
        <w:sz w:val="24"/>
        <w:szCs w:val="24"/>
      </w:rPr>
      <w:t>TARİHİNDE SONA EREN</w:t>
    </w:r>
  </w:p>
  <w:p w14:paraId="1754D194" w14:textId="61048700" w:rsidR="00EA2415" w:rsidRPr="00D04DCB" w:rsidRDefault="00EA2415" w:rsidP="001A6375">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DÖNEM</w:t>
    </w:r>
    <w:r w:rsidRPr="00D04DCB">
      <w:rPr>
        <w:rFonts w:ascii="Microsoft Sans Serif" w:hAnsi="Microsoft Sans Serif" w:cs="Microsoft Sans Serif"/>
        <w:sz w:val="24"/>
        <w:szCs w:val="24"/>
      </w:rPr>
      <w:t xml:space="preserve">E </w:t>
    </w:r>
    <w:r>
      <w:rPr>
        <w:rFonts w:ascii="Microsoft Sans Serif" w:hAnsi="Microsoft Sans Serif" w:cs="Microsoft Sans Serif"/>
        <w:sz w:val="24"/>
        <w:szCs w:val="24"/>
      </w:rPr>
      <w:t xml:space="preserve">İLİŞKİN </w:t>
    </w:r>
    <w:r w:rsidRPr="00D04DCB">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OLMAYAN KAR VEYA ZARAR TABLOSU</w:t>
    </w:r>
  </w:p>
  <w:p w14:paraId="2BF8DFA0" w14:textId="77777777" w:rsidR="00EA2415" w:rsidRPr="00D04DCB" w:rsidRDefault="00EA2415" w:rsidP="001A6375">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0EC5" w14:textId="77777777" w:rsidR="00EA2415" w:rsidRPr="00225772" w:rsidRDefault="00EA2415" w:rsidP="001A6375">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37B89001" w14:textId="79C1BBDF" w:rsidR="00EA2415" w:rsidRPr="00225772" w:rsidRDefault="00EA2415" w:rsidP="00BC4CDF">
    <w:pPr>
      <w:pStyle w:val="Subhead"/>
      <w:tabs>
        <w:tab w:val="clear" w:pos="-360"/>
      </w:tabs>
      <w:spacing w:before="0" w:line="240" w:lineRule="auto"/>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ARALIK 2024 TARİHİ</w:t>
    </w:r>
    <w:r w:rsidRPr="00225772">
      <w:rPr>
        <w:rFonts w:ascii="Microsoft Sans Serif" w:hAnsi="Microsoft Sans Serif" w:cs="Microsoft Sans Serif"/>
        <w:sz w:val="24"/>
        <w:szCs w:val="24"/>
      </w:rPr>
      <w:t>NDE SONA EREN</w:t>
    </w:r>
    <w:r>
      <w:rPr>
        <w:rFonts w:ascii="Microsoft Sans Serif" w:hAnsi="Microsoft Sans Serif" w:cs="Microsoft Sans Serif"/>
        <w:sz w:val="24"/>
        <w:szCs w:val="24"/>
      </w:rPr>
      <w:t xml:space="preserve"> DÖNEME İLİŞKİN</w:t>
    </w:r>
  </w:p>
  <w:p w14:paraId="50935AB7" w14:textId="595C9099" w:rsidR="00EA2415" w:rsidRPr="00D04DCB" w:rsidRDefault="00EA2415" w:rsidP="00BC4CDF">
    <w:pPr>
      <w:pStyle w:val="Subhead"/>
      <w:tabs>
        <w:tab w:val="clear" w:pos="-360"/>
      </w:tabs>
      <w:spacing w:before="0" w:line="240" w:lineRule="auto"/>
      <w:ind w:left="0" w:firstLine="0"/>
      <w:jc w:val="left"/>
      <w:rPr>
        <w:rFonts w:ascii="Microsoft Sans Serif" w:hAnsi="Microsoft Sans Serif" w:cs="Microsoft Sans Serif"/>
        <w:sz w:val="24"/>
        <w:szCs w:val="24"/>
      </w:rPr>
    </w:pPr>
    <w:r w:rsidRPr="00225772">
      <w:rPr>
        <w:rFonts w:ascii="Microsoft Sans Serif" w:hAnsi="Microsoft Sans Serif" w:cs="Microsoft Sans Serif"/>
        <w:sz w:val="24"/>
        <w:szCs w:val="24"/>
      </w:rPr>
      <w:t xml:space="preserve">KONSOLİDE </w:t>
    </w:r>
    <w:r>
      <w:rPr>
        <w:rFonts w:ascii="Microsoft Sans Serif" w:hAnsi="Microsoft Sans Serif" w:cs="Microsoft Sans Serif"/>
        <w:sz w:val="24"/>
        <w:szCs w:val="24"/>
      </w:rPr>
      <w:t>OLMAYAN KAR VEYA ZARAR VE DİĞER KAPSAMLI GELİR TABLOSU</w:t>
    </w:r>
  </w:p>
  <w:p w14:paraId="400BFE9D" w14:textId="77777777" w:rsidR="00EA2415" w:rsidRPr="00D04DCB" w:rsidRDefault="00EA2415" w:rsidP="001A6375">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E637E" w14:textId="77777777" w:rsidR="00EA2415" w:rsidRPr="00225772" w:rsidRDefault="00EA2415" w:rsidP="000F4461">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4A72A865" w14:textId="4FAFEF18" w:rsidR="00EA2415" w:rsidRDefault="00EA2415" w:rsidP="00A93B2A">
    <w:pPr>
      <w:pStyle w:val="Subhead"/>
      <w:tabs>
        <w:tab w:val="right" w:pos="9639"/>
      </w:tabs>
      <w:spacing w:before="0" w:line="240" w:lineRule="exact"/>
      <w:ind w:left="0" w:firstLine="0"/>
      <w:jc w:val="left"/>
      <w:rPr>
        <w:rFonts w:ascii="Microsoft Sans Serif" w:hAnsi="Microsoft Sans Serif" w:cs="Microsoft Sans Serif"/>
        <w:sz w:val="16"/>
        <w:szCs w:val="16"/>
      </w:rPr>
    </w:pPr>
    <w:r>
      <w:rPr>
        <w:rFonts w:ascii="Microsoft Sans Serif" w:hAnsi="Microsoft Sans Serif" w:cs="Microsoft Sans Serif"/>
        <w:sz w:val="24"/>
        <w:szCs w:val="24"/>
      </w:rPr>
      <w:t>31 ARALIK 2024 TARİHİNDE SONA EREN DÖNEME İLİŞKİN</w:t>
    </w:r>
    <w:r>
      <w:rPr>
        <w:rFonts w:ascii="Microsoft Sans Serif" w:hAnsi="Microsoft Sans Serif" w:cs="Microsoft Sans Serif"/>
        <w:bCs/>
        <w:i/>
        <w:iCs/>
        <w:sz w:val="16"/>
        <w:szCs w:val="16"/>
      </w:rPr>
      <w:tab/>
    </w:r>
  </w:p>
  <w:p w14:paraId="5533187D" w14:textId="54195E38" w:rsidR="00EA2415" w:rsidRPr="00225772" w:rsidRDefault="00EA2415" w:rsidP="00A93B2A">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OLMAYAN ÖZKAYNAK DEĞİŞİM TABLOSU</w:t>
    </w:r>
  </w:p>
  <w:p w14:paraId="243F6082" w14:textId="77777777" w:rsidR="00EA2415" w:rsidRPr="00D04DCB" w:rsidRDefault="00EA2415" w:rsidP="000F4461">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2E6620B0" w14:textId="77777777" w:rsidR="00EA2415" w:rsidRPr="000F4461" w:rsidRDefault="00EA2415" w:rsidP="000F446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46B37" w14:textId="77777777" w:rsidR="00EA2415" w:rsidRPr="00225772" w:rsidRDefault="00EA2415" w:rsidP="006650DB">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7CB1FBFC" w14:textId="795EA74B" w:rsidR="00EA2415" w:rsidRDefault="00EA2415" w:rsidP="00A93B2A">
    <w:pPr>
      <w:pStyle w:val="Subhead"/>
      <w:tabs>
        <w:tab w:val="right" w:pos="9639"/>
      </w:tabs>
      <w:spacing w:before="0" w:line="240" w:lineRule="exact"/>
      <w:ind w:left="0" w:firstLine="0"/>
      <w:jc w:val="left"/>
      <w:rPr>
        <w:rFonts w:ascii="Microsoft Sans Serif" w:hAnsi="Microsoft Sans Serif" w:cs="Microsoft Sans Serif"/>
        <w:b/>
        <w:sz w:val="24"/>
        <w:szCs w:val="24"/>
      </w:rPr>
    </w:pPr>
    <w:r>
      <w:rPr>
        <w:rFonts w:ascii="Microsoft Sans Serif" w:hAnsi="Microsoft Sans Serif" w:cs="Microsoft Sans Serif"/>
        <w:sz w:val="24"/>
        <w:szCs w:val="24"/>
      </w:rPr>
      <w:t xml:space="preserve">31 ARALIK 2024 TARİHİNDE SONA EREN DÖNEME İLİŞKİN </w:t>
    </w:r>
  </w:p>
  <w:p w14:paraId="531CFF09" w14:textId="77777777" w:rsidR="00EA2415" w:rsidRPr="006F2022" w:rsidRDefault="00EA2415" w:rsidP="00DD2AA1">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OLMAYAN KAR DAĞITIM TABLOSU</w:t>
    </w:r>
  </w:p>
  <w:p w14:paraId="1A70EC4A" w14:textId="77777777" w:rsidR="00EA2415" w:rsidRPr="00D04DCB" w:rsidRDefault="00EA2415" w:rsidP="006650DB">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 xml:space="preserve"> (Para birimi: Tutarlar Bin Türk Lirası olarak ifade edilmiştir.)</w:t>
    </w:r>
  </w:p>
  <w:p w14:paraId="79259B8F" w14:textId="77777777" w:rsidR="00EA2415" w:rsidRPr="000F4461" w:rsidRDefault="00EA2415" w:rsidP="000F446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AC2D8" w14:textId="77777777" w:rsidR="00EA2415" w:rsidRPr="00E35CBA" w:rsidRDefault="00EA2415" w:rsidP="00E35CBA">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r w:rsidRPr="00E35CBA">
      <w:rPr>
        <w:rFonts w:ascii="Microsoft Sans Serif" w:hAnsi="Microsoft Sans Serif" w:cs="Microsoft Sans Serif"/>
        <w:sz w:val="26"/>
        <w:szCs w:val="26"/>
      </w:rPr>
      <w:t xml:space="preserve"> </w:t>
    </w:r>
  </w:p>
  <w:p w14:paraId="68518101" w14:textId="69D9B447" w:rsidR="00EA2415" w:rsidRDefault="00EA2415" w:rsidP="00E35CBA">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ARALIK 2024 TARİHİNDE SONA EREN DÖNEME İLİŞKİN</w:t>
    </w:r>
  </w:p>
  <w:p w14:paraId="19CEE778" w14:textId="77777777" w:rsidR="00EA2415" w:rsidRDefault="00EA2415" w:rsidP="00DD2AA1">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KONSOLİDE OLMAYAN NAKİT AKIŞ TABLOSU</w:t>
    </w:r>
  </w:p>
  <w:p w14:paraId="3192B3D9" w14:textId="77777777" w:rsidR="00EA2415" w:rsidRPr="00E35CBA" w:rsidRDefault="00EA2415" w:rsidP="00E35CBA">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E35CBA">
      <w:rPr>
        <w:rFonts w:ascii="Microsoft Sans Serif" w:hAnsi="Microsoft Sans Serif" w:cs="Microsoft Sans Serif"/>
        <w:position w:val="-6"/>
        <w:sz w:val="18"/>
        <w:szCs w:val="18"/>
      </w:rPr>
      <w:t xml:space="preserve"> (Para birimi: Tutarlar Bin Türk Lirası olarak ifade edilmiştir.)</w:t>
    </w:r>
  </w:p>
  <w:p w14:paraId="640A49B9" w14:textId="77777777" w:rsidR="00EA2415" w:rsidRPr="007215BC" w:rsidRDefault="00EA2415">
    <w:pPr>
      <w:pStyle w:val="Header"/>
    </w:pPr>
  </w:p>
  <w:p w14:paraId="79BB1964" w14:textId="77777777" w:rsidR="00EA2415" w:rsidRPr="0047436F" w:rsidRDefault="00EA2415" w:rsidP="00DE3C9B">
    <w:pPr>
      <w:pStyle w:val="BodyText"/>
      <w:spacing w:before="0" w:after="0" w:line="240" w:lineRule="auto"/>
      <w:ind w:left="964"/>
      <w:rPr>
        <w:rFonts w:ascii="Trebuchet MS" w:hAnsi="Trebuchet MS"/>
        <w:position w:val="-6"/>
        <w:sz w:val="18"/>
        <w:szCs w:val="18"/>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C4E84" w14:textId="77777777" w:rsidR="00EA2415" w:rsidRPr="006F2022" w:rsidRDefault="00EA2415" w:rsidP="005A20A8">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740CE582" w14:textId="27FB8DCE" w:rsidR="00EA2415" w:rsidRPr="006F2022" w:rsidRDefault="00EA2415" w:rsidP="005A20A8">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3</w:t>
    </w:r>
    <w:r>
      <w:rPr>
        <w:rFonts w:ascii="Microsoft Sans Serif" w:hAnsi="Microsoft Sans Serif" w:cs="Microsoft Sans Serif"/>
        <w:sz w:val="24"/>
        <w:szCs w:val="24"/>
      </w:rPr>
      <w:t>1 ARALIK 2024</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2DCD97FA" w14:textId="77777777" w:rsidR="00EA2415" w:rsidRDefault="00EA2415"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434C0D17" w14:textId="77777777" w:rsidR="00EA2415" w:rsidRPr="00D04DCB" w:rsidRDefault="00EA2415"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579EF8D5" w14:textId="77777777" w:rsidR="00EA2415" w:rsidRPr="000F4461" w:rsidRDefault="00EA2415" w:rsidP="000F44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2323D" w14:textId="77777777" w:rsidR="00EA2415" w:rsidRDefault="00EA241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2351CA" w14:textId="77777777" w:rsidR="00EA2415" w:rsidRPr="006F2022" w:rsidRDefault="00EA2415" w:rsidP="005A20A8">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5B05BAE7" w14:textId="6C5EF9CD" w:rsidR="00EA2415" w:rsidRPr="006F2022" w:rsidRDefault="00EA2415" w:rsidP="005A20A8">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3</w:t>
    </w:r>
    <w:r>
      <w:rPr>
        <w:rFonts w:ascii="Microsoft Sans Serif" w:hAnsi="Microsoft Sans Serif" w:cs="Microsoft Sans Serif"/>
        <w:sz w:val="24"/>
        <w:szCs w:val="24"/>
      </w:rPr>
      <w:t>1 ARALIK 2024</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05E007F6" w14:textId="77777777" w:rsidR="00EA2415" w:rsidRDefault="00EA2415"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7E9E2C40" w14:textId="77777777" w:rsidR="00EA2415" w:rsidRPr="00D04DCB" w:rsidRDefault="00EA2415"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151482D2" w14:textId="77777777" w:rsidR="00EA2415" w:rsidRPr="000F4461" w:rsidRDefault="00EA2415" w:rsidP="000F446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9C630" w14:textId="77777777" w:rsidR="00EA2415" w:rsidRPr="006F2022" w:rsidRDefault="00EA2415" w:rsidP="005A20A8">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7174C892" w14:textId="3B1DB265" w:rsidR="00EA2415" w:rsidRPr="006F2022" w:rsidRDefault="00EA2415" w:rsidP="005A20A8">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3</w:t>
    </w:r>
    <w:r>
      <w:rPr>
        <w:rFonts w:ascii="Microsoft Sans Serif" w:hAnsi="Microsoft Sans Serif" w:cs="Microsoft Sans Serif"/>
        <w:sz w:val="24"/>
        <w:szCs w:val="24"/>
      </w:rPr>
      <w:t>1 ARALIK 2024</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283F7E87" w14:textId="77777777" w:rsidR="00EA2415" w:rsidRDefault="00EA2415"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26E5D3B1" w14:textId="77777777" w:rsidR="00EA2415" w:rsidRPr="00D04DCB" w:rsidRDefault="00EA2415"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59F6EE30" w14:textId="77777777" w:rsidR="00EA2415" w:rsidRPr="000F4461" w:rsidRDefault="00EA2415" w:rsidP="000F4461">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B1C24" w14:textId="77777777" w:rsidR="00EA2415" w:rsidRDefault="00EA2415" w:rsidP="00740187">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12C36D8B" w14:textId="7D75E500" w:rsidR="00EA2415" w:rsidRPr="002E2CEA" w:rsidRDefault="00EA2415" w:rsidP="00740187">
    <w:pPr>
      <w:pStyle w:val="Head"/>
      <w:tabs>
        <w:tab w:val="clear" w:pos="-360"/>
      </w:tabs>
      <w:spacing w:before="0"/>
      <w:ind w:left="0" w:firstLine="0"/>
      <w:rPr>
        <w:rFonts w:ascii="Microsoft Sans Serif" w:hAnsi="Microsoft Sans Serif" w:cs="Microsoft Sans Serif"/>
        <w:b w:val="0"/>
        <w:sz w:val="24"/>
        <w:szCs w:val="24"/>
      </w:rPr>
    </w:pPr>
    <w:r>
      <w:rPr>
        <w:rFonts w:ascii="Microsoft Sans Serif" w:hAnsi="Microsoft Sans Serif" w:cs="Microsoft Sans Serif"/>
        <w:b w:val="0"/>
        <w:sz w:val="24"/>
        <w:szCs w:val="24"/>
      </w:rPr>
      <w:t>31 ARALIK 2024</w:t>
    </w:r>
    <w:r w:rsidRPr="002E2CEA">
      <w:rPr>
        <w:rFonts w:ascii="Microsoft Sans Serif" w:hAnsi="Microsoft Sans Serif" w:cs="Microsoft Sans Serif"/>
        <w:b w:val="0"/>
        <w:sz w:val="24"/>
        <w:szCs w:val="24"/>
      </w:rPr>
      <w:t xml:space="preserve"> TARİHİ İTİBARIYLA KONSOLİDE OLMAYAN</w:t>
    </w:r>
  </w:p>
  <w:p w14:paraId="6E4E2684" w14:textId="77777777" w:rsidR="00EA2415" w:rsidRDefault="00EA2415" w:rsidP="005A20A8">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6F2022">
      <w:rPr>
        <w:rFonts w:ascii="Microsoft Sans Serif" w:hAnsi="Microsoft Sans Serif" w:cs="Microsoft Sans Serif"/>
        <w:sz w:val="24"/>
        <w:szCs w:val="24"/>
      </w:rPr>
      <w:t>FİNANSAL TABLOLARA İLİŞKİN AÇIKLAMA VE DİPNOTLAR</w:t>
    </w:r>
    <w:r w:rsidRPr="00D04DCB">
      <w:rPr>
        <w:rFonts w:ascii="Microsoft Sans Serif" w:hAnsi="Microsoft Sans Serif" w:cs="Microsoft Sans Serif"/>
        <w:position w:val="-6"/>
        <w:sz w:val="18"/>
        <w:szCs w:val="18"/>
      </w:rPr>
      <w:t xml:space="preserve"> </w:t>
    </w:r>
  </w:p>
  <w:p w14:paraId="4728788F" w14:textId="77777777" w:rsidR="00EA2415" w:rsidRPr="00B92267" w:rsidRDefault="00EA2415" w:rsidP="00B92267">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w:t>
    </w:r>
    <w:r>
      <w:rPr>
        <w:rFonts w:ascii="Microsoft Sans Serif" w:hAnsi="Microsoft Sans Serif" w:cs="Microsoft Sans Serif"/>
        <w:position w:val="-6"/>
        <w:sz w:val="18"/>
        <w:szCs w:val="18"/>
      </w:rPr>
      <w:t>irası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D5D" w14:textId="77777777" w:rsidR="00EA2415" w:rsidRPr="004C18C9" w:rsidRDefault="00EA2415" w:rsidP="00DE3C9B">
    <w:pPr>
      <w:pStyle w:val="Head"/>
      <w:pBdr>
        <w:bottom w:val="single" w:sz="4" w:space="1" w:color="auto"/>
      </w:pBdr>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4E8B7EF2" w14:textId="77777777" w:rsidR="00EA2415" w:rsidRPr="004C18C9" w:rsidRDefault="00EA2415"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TARİHİ İTİBARIYLA KONSOLİDE</w:t>
    </w:r>
  </w:p>
  <w:p w14:paraId="5891F4E9" w14:textId="77777777" w:rsidR="00EA2415" w:rsidRPr="004C18C9" w:rsidRDefault="00EA2415"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4C18C9">
      <w:rPr>
        <w:rFonts w:ascii="Trebuchet MS" w:hAnsi="Trebuchet MS"/>
        <w:sz w:val="24"/>
        <w:szCs w:val="24"/>
      </w:rPr>
      <w:t>FİNANSAL TABLOLARA İLİŞKİN AÇIKLAMA VE DİPNOTLAR</w:t>
    </w:r>
  </w:p>
  <w:p w14:paraId="726D772B" w14:textId="77777777" w:rsidR="00EA2415" w:rsidRPr="00CE2B26" w:rsidRDefault="00EA2415" w:rsidP="00DE3C9B">
    <w:pPr>
      <w:pStyle w:val="Header"/>
      <w:pBdr>
        <w:bottom w:val="single" w:sz="4" w:space="1" w:color="auto"/>
      </w:pBdr>
      <w:rPr>
        <w:szCs w:val="16"/>
        <w:lang w:val="it-IT"/>
      </w:rPr>
    </w:pPr>
    <w:r w:rsidRPr="003B65C9">
      <w:rPr>
        <w:rFonts w:ascii="Trebuchet MS" w:hAnsi="Trebuchet MS"/>
        <w:position w:val="-6"/>
        <w:sz w:val="18"/>
        <w:szCs w:val="18"/>
      </w:rPr>
      <w:t>(Para birimi: Tutarlar Bin Türk Lirası olarak ifade edilmiştir.)</w:t>
    </w:r>
  </w:p>
  <w:p w14:paraId="6C81955E" w14:textId="77777777" w:rsidR="00EA2415" w:rsidRPr="007215BC" w:rsidRDefault="00EA2415">
    <w:pPr>
      <w:pStyle w:val="Header"/>
    </w:pPr>
  </w:p>
  <w:p w14:paraId="424C34F4" w14:textId="77777777" w:rsidR="00EA2415" w:rsidRPr="0047436F" w:rsidRDefault="00EA2415" w:rsidP="00DE3C9B">
    <w:pPr>
      <w:pStyle w:val="BodyText"/>
      <w:spacing w:before="0" w:after="0" w:line="240" w:lineRule="auto"/>
      <w:ind w:left="964"/>
      <w:rPr>
        <w:rFonts w:ascii="Trebuchet MS" w:hAnsi="Trebuchet MS"/>
        <w:position w:val="-6"/>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34F83E" w14:textId="77777777" w:rsidR="00EA2415" w:rsidRPr="00225772" w:rsidRDefault="00EA2415"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2524582A" w14:textId="49489440" w:rsidR="00EA2415" w:rsidRPr="00225772" w:rsidRDefault="00EA2415"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7E56FD79" w14:textId="77777777" w:rsidR="00EA2415" w:rsidRDefault="00EA2415"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6A471054" w14:textId="77777777" w:rsidR="00EA2415" w:rsidRPr="00D04DCB" w:rsidRDefault="00EA2415"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175E0668" w14:textId="77777777" w:rsidR="00EA2415" w:rsidRDefault="00EA24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1D00C" w14:textId="77777777" w:rsidR="00EA2415" w:rsidRDefault="00EA241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B8CD1" w14:textId="77777777" w:rsidR="00EA2415" w:rsidRPr="004C18C9" w:rsidRDefault="00EA2415" w:rsidP="00DE3C9B">
    <w:pPr>
      <w:pStyle w:val="Head"/>
      <w:pBdr>
        <w:bottom w:val="single" w:sz="4" w:space="1" w:color="auto"/>
      </w:pBdr>
      <w:tabs>
        <w:tab w:val="clear" w:pos="-360"/>
      </w:tabs>
      <w:spacing w:before="0"/>
      <w:ind w:left="0" w:firstLine="0"/>
      <w:rPr>
        <w:rFonts w:ascii="Trebuchet MS" w:hAnsi="Trebuchet MS"/>
        <w:sz w:val="26"/>
        <w:szCs w:val="26"/>
      </w:rPr>
    </w:pPr>
    <w:r w:rsidRPr="004C18C9">
      <w:rPr>
        <w:rFonts w:ascii="Trebuchet MS" w:hAnsi="Trebuchet MS"/>
        <w:sz w:val="26"/>
        <w:szCs w:val="26"/>
      </w:rPr>
      <w:t>DENİZBANK ANONİM ŞİRKETİ</w:t>
    </w:r>
  </w:p>
  <w:p w14:paraId="20960D76" w14:textId="77777777" w:rsidR="00EA2415" w:rsidRPr="004C18C9" w:rsidRDefault="00EA2415"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Pr>
        <w:rFonts w:ascii="Trebuchet MS" w:hAnsi="Trebuchet MS"/>
        <w:sz w:val="24"/>
        <w:szCs w:val="24"/>
      </w:rPr>
      <w:t>31 ARALIK 2012</w:t>
    </w:r>
    <w:r w:rsidRPr="004C18C9">
      <w:rPr>
        <w:rFonts w:ascii="Trebuchet MS" w:hAnsi="Trebuchet MS"/>
        <w:sz w:val="24"/>
        <w:szCs w:val="24"/>
      </w:rPr>
      <w:t xml:space="preserve"> TARİHİ İTİBARIYLA KONSOLİDE</w:t>
    </w:r>
  </w:p>
  <w:p w14:paraId="378F321F" w14:textId="77777777" w:rsidR="00EA2415" w:rsidRPr="004C18C9" w:rsidRDefault="00EA2415" w:rsidP="00DE3C9B">
    <w:pPr>
      <w:pStyle w:val="Subhead"/>
      <w:pBdr>
        <w:bottom w:val="single" w:sz="4" w:space="1" w:color="auto"/>
      </w:pBdr>
      <w:tabs>
        <w:tab w:val="clear" w:pos="-360"/>
      </w:tabs>
      <w:spacing w:before="0" w:line="240" w:lineRule="auto"/>
      <w:ind w:left="0" w:firstLine="0"/>
      <w:rPr>
        <w:rFonts w:ascii="Trebuchet MS" w:hAnsi="Trebuchet MS"/>
        <w:sz w:val="24"/>
        <w:szCs w:val="24"/>
      </w:rPr>
    </w:pPr>
    <w:r w:rsidRPr="004C18C9">
      <w:rPr>
        <w:rFonts w:ascii="Trebuchet MS" w:hAnsi="Trebuchet MS"/>
        <w:sz w:val="24"/>
        <w:szCs w:val="24"/>
      </w:rPr>
      <w:t>FİNANSAL TABLOLARA İLİŞKİN AÇIKLAMA VE DİPNOTLAR</w:t>
    </w:r>
  </w:p>
  <w:p w14:paraId="0B82A954" w14:textId="77777777" w:rsidR="00EA2415" w:rsidRPr="00CE2B26" w:rsidRDefault="00EA2415" w:rsidP="00DE3C9B">
    <w:pPr>
      <w:pStyle w:val="Header"/>
      <w:pBdr>
        <w:bottom w:val="single" w:sz="4" w:space="1" w:color="auto"/>
      </w:pBdr>
      <w:rPr>
        <w:szCs w:val="16"/>
        <w:lang w:val="it-IT"/>
      </w:rPr>
    </w:pPr>
    <w:r w:rsidRPr="003B65C9">
      <w:rPr>
        <w:rFonts w:ascii="Trebuchet MS" w:hAnsi="Trebuchet MS"/>
        <w:position w:val="-6"/>
        <w:sz w:val="18"/>
        <w:szCs w:val="18"/>
      </w:rPr>
      <w:t>(Para birimi: Tutarlar Bin Türk Lirası olarak ifade edilmiştir.)</w:t>
    </w:r>
  </w:p>
  <w:p w14:paraId="2EA6BBBB" w14:textId="77777777" w:rsidR="00EA2415" w:rsidRPr="007215BC" w:rsidRDefault="00EA2415">
    <w:pPr>
      <w:pStyle w:val="Header"/>
    </w:pPr>
  </w:p>
  <w:p w14:paraId="4D7CC1F6" w14:textId="77777777" w:rsidR="00EA2415" w:rsidRPr="0047436F" w:rsidRDefault="00EA2415" w:rsidP="00DE3C9B">
    <w:pPr>
      <w:pStyle w:val="BodyText"/>
      <w:spacing w:before="0" w:after="0" w:line="240" w:lineRule="auto"/>
      <w:ind w:left="964"/>
      <w:rPr>
        <w:rFonts w:ascii="Trebuchet MS" w:hAnsi="Trebuchet MS"/>
        <w:position w:val="-6"/>
        <w:sz w:val="18"/>
        <w:szCs w:val="1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922FC" w14:textId="77777777" w:rsidR="00EA2415" w:rsidRPr="00225772" w:rsidRDefault="00EA2415" w:rsidP="005879EC">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p>
  <w:p w14:paraId="077FC723" w14:textId="77777777" w:rsidR="00EA2415" w:rsidRPr="00225772" w:rsidRDefault="00EA2415" w:rsidP="005879EC">
    <w:pPr>
      <w:pStyle w:val="Subhead"/>
      <w:tabs>
        <w:tab w:val="clear" w:pos="-360"/>
      </w:tabs>
      <w:spacing w:before="0" w:line="240" w:lineRule="auto"/>
      <w:ind w:left="0" w:firstLine="0"/>
      <w:rPr>
        <w:rFonts w:ascii="Microsoft Sans Serif" w:hAnsi="Microsoft Sans Serif" w:cs="Microsoft Sans Serif"/>
        <w:sz w:val="24"/>
        <w:szCs w:val="24"/>
      </w:rPr>
    </w:pPr>
    <w:r w:rsidRPr="00225772">
      <w:rPr>
        <w:rFonts w:ascii="Microsoft Sans Serif" w:hAnsi="Microsoft Sans Serif" w:cs="Microsoft Sans Serif"/>
        <w:sz w:val="24"/>
        <w:szCs w:val="24"/>
      </w:rPr>
      <w:t>3</w:t>
    </w:r>
    <w:r>
      <w:rPr>
        <w:rFonts w:ascii="Microsoft Sans Serif" w:hAnsi="Microsoft Sans Serif" w:cs="Microsoft Sans Serif"/>
        <w:sz w:val="24"/>
        <w:szCs w:val="24"/>
      </w:rPr>
      <w:t xml:space="preserve">1 ARALIK 2017 </w:t>
    </w:r>
    <w:r w:rsidRPr="00225772">
      <w:rPr>
        <w:rFonts w:ascii="Microsoft Sans Serif" w:hAnsi="Microsoft Sans Serif" w:cs="Microsoft Sans Serif"/>
        <w:sz w:val="24"/>
        <w:szCs w:val="24"/>
      </w:rPr>
      <w:t>TARİH</w:t>
    </w:r>
    <w:r>
      <w:rPr>
        <w:rFonts w:ascii="Microsoft Sans Serif" w:hAnsi="Microsoft Sans Serif" w:cs="Microsoft Sans Serif"/>
        <w:sz w:val="24"/>
        <w:szCs w:val="24"/>
      </w:rPr>
      <w:t>İ</w:t>
    </w:r>
    <w:r w:rsidRPr="00225772">
      <w:rPr>
        <w:rFonts w:ascii="Microsoft Sans Serif" w:hAnsi="Microsoft Sans Serif" w:cs="Microsoft Sans Serif"/>
        <w:sz w:val="24"/>
        <w:szCs w:val="24"/>
      </w:rPr>
      <w:t>NDE SONA EREN</w:t>
    </w:r>
  </w:p>
  <w:p w14:paraId="4C0735EC" w14:textId="77777777" w:rsidR="00EA2415" w:rsidRDefault="00EA2415"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225772">
      <w:rPr>
        <w:rFonts w:ascii="Microsoft Sans Serif" w:hAnsi="Microsoft Sans Serif" w:cs="Microsoft Sans Serif"/>
        <w:sz w:val="24"/>
        <w:szCs w:val="24"/>
      </w:rPr>
      <w:t xml:space="preserve">DÖNEME AİT KONSOLİDE </w:t>
    </w:r>
    <w:r>
      <w:rPr>
        <w:rFonts w:ascii="Microsoft Sans Serif" w:hAnsi="Microsoft Sans Serif" w:cs="Microsoft Sans Serif"/>
        <w:sz w:val="24"/>
        <w:szCs w:val="24"/>
      </w:rPr>
      <w:t xml:space="preserve">OLMAYAN </w:t>
    </w:r>
    <w:r w:rsidRPr="00225772">
      <w:rPr>
        <w:rFonts w:ascii="Microsoft Sans Serif" w:hAnsi="Microsoft Sans Serif" w:cs="Microsoft Sans Serif"/>
        <w:sz w:val="24"/>
        <w:szCs w:val="24"/>
      </w:rPr>
      <w:t>NAKİT AKIŞ TABLO</w:t>
    </w:r>
    <w:r>
      <w:rPr>
        <w:rFonts w:ascii="Microsoft Sans Serif" w:hAnsi="Microsoft Sans Serif" w:cs="Microsoft Sans Serif"/>
        <w:sz w:val="24"/>
        <w:szCs w:val="24"/>
      </w:rPr>
      <w:t>SU</w:t>
    </w:r>
    <w:r w:rsidRPr="00D04DCB">
      <w:rPr>
        <w:rFonts w:ascii="Microsoft Sans Serif" w:hAnsi="Microsoft Sans Serif" w:cs="Microsoft Sans Serif"/>
        <w:position w:val="-6"/>
        <w:sz w:val="18"/>
        <w:szCs w:val="18"/>
      </w:rPr>
      <w:t xml:space="preserve"> </w:t>
    </w:r>
  </w:p>
  <w:p w14:paraId="4BAC7F04" w14:textId="77777777" w:rsidR="00EA2415" w:rsidRPr="00D04DCB" w:rsidRDefault="00EA2415" w:rsidP="005879EC">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D04DCB">
      <w:rPr>
        <w:rFonts w:ascii="Microsoft Sans Serif" w:hAnsi="Microsoft Sans Serif" w:cs="Microsoft Sans Serif"/>
        <w:position w:val="-6"/>
        <w:sz w:val="18"/>
        <w:szCs w:val="18"/>
      </w:rPr>
      <w:t>(Para birimi: Tutarlar Bin Türk Lirası olarak ifade edilmiştir.)</w:t>
    </w:r>
  </w:p>
  <w:p w14:paraId="3391A5F4" w14:textId="77777777" w:rsidR="00EA2415" w:rsidRDefault="00EA24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127D3" w14:textId="77777777" w:rsidR="00EA2415" w:rsidRPr="00E35CBA" w:rsidRDefault="00EA2415" w:rsidP="00E35CBA">
    <w:pPr>
      <w:pStyle w:val="Head"/>
      <w:tabs>
        <w:tab w:val="clear" w:pos="-360"/>
      </w:tabs>
      <w:spacing w:before="0"/>
      <w:ind w:left="0" w:firstLine="0"/>
      <w:rPr>
        <w:rFonts w:ascii="Microsoft Sans Serif" w:hAnsi="Microsoft Sans Serif" w:cs="Microsoft Sans Serif"/>
        <w:sz w:val="26"/>
        <w:szCs w:val="26"/>
      </w:rPr>
    </w:pPr>
    <w:r w:rsidRPr="00225772">
      <w:rPr>
        <w:rFonts w:ascii="Microsoft Sans Serif" w:hAnsi="Microsoft Sans Serif" w:cs="Microsoft Sans Serif"/>
        <w:sz w:val="26"/>
        <w:szCs w:val="26"/>
      </w:rPr>
      <w:t>DENİZBANK ANONİM ŞİRKETİ</w:t>
    </w:r>
    <w:r w:rsidRPr="00E35CBA">
      <w:rPr>
        <w:rFonts w:ascii="Microsoft Sans Serif" w:hAnsi="Microsoft Sans Serif" w:cs="Microsoft Sans Serif"/>
        <w:sz w:val="26"/>
        <w:szCs w:val="26"/>
      </w:rPr>
      <w:t xml:space="preserve"> </w:t>
    </w:r>
  </w:p>
  <w:p w14:paraId="4C439CC6" w14:textId="77777777" w:rsidR="00EA2415" w:rsidRDefault="00EA2415" w:rsidP="00E35CBA">
    <w:pPr>
      <w:pStyle w:val="Subhead"/>
      <w:tabs>
        <w:tab w:val="right" w:pos="9639"/>
      </w:tabs>
      <w:spacing w:before="0" w:line="240" w:lineRule="exact"/>
      <w:ind w:left="0" w:firstLine="0"/>
      <w:jc w:val="left"/>
      <w:rPr>
        <w:rFonts w:ascii="Microsoft Sans Serif" w:hAnsi="Microsoft Sans Serif" w:cs="Microsoft Sans Serif"/>
        <w:sz w:val="24"/>
        <w:szCs w:val="24"/>
      </w:rPr>
    </w:pPr>
    <w:r>
      <w:rPr>
        <w:rFonts w:ascii="Microsoft Sans Serif" w:hAnsi="Microsoft Sans Serif" w:cs="Microsoft Sans Serif"/>
        <w:sz w:val="24"/>
        <w:szCs w:val="24"/>
      </w:rPr>
      <w:t>31 ARALIK 2020 TARİHİNDE SONA EREN DÖNEME İLİŞKİN</w:t>
    </w:r>
  </w:p>
  <w:p w14:paraId="7EBD771B" w14:textId="0E819994" w:rsidR="00EA2415" w:rsidRDefault="00EA2415" w:rsidP="00DD2AA1">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FİNANSAL TABLOLAR</w:t>
    </w:r>
    <w:r>
      <w:rPr>
        <w:rFonts w:ascii="Microsoft Sans Serif" w:hAnsi="Microsoft Sans Serif" w:cs="Microsoft Sans Serif"/>
        <w:sz w:val="24"/>
        <w:szCs w:val="24"/>
      </w:rPr>
      <w:t>A İLİŞKİN AÇIKLAMA VE DİPNOTLAR</w:t>
    </w:r>
  </w:p>
  <w:p w14:paraId="2F897F8A" w14:textId="72D55F7F" w:rsidR="00EA2415" w:rsidRPr="00E35CBA" w:rsidRDefault="00EA2415" w:rsidP="00E35CBA">
    <w:pPr>
      <w:pStyle w:val="BodyText"/>
      <w:pBdr>
        <w:bottom w:val="single" w:sz="4" w:space="1" w:color="auto"/>
      </w:pBdr>
      <w:spacing w:before="0" w:after="0" w:line="240" w:lineRule="auto"/>
      <w:rPr>
        <w:rFonts w:ascii="Microsoft Sans Serif" w:hAnsi="Microsoft Sans Serif" w:cs="Microsoft Sans Serif"/>
        <w:position w:val="-6"/>
        <w:sz w:val="18"/>
        <w:szCs w:val="18"/>
      </w:rPr>
    </w:pPr>
    <w:r w:rsidRPr="00E35CBA">
      <w:rPr>
        <w:rFonts w:ascii="Microsoft Sans Serif" w:hAnsi="Microsoft Sans Serif" w:cs="Microsoft Sans Serif"/>
        <w:position w:val="-6"/>
        <w:sz w:val="18"/>
        <w:szCs w:val="18"/>
      </w:rPr>
      <w:t xml:space="preserve"> (Para birimi: Tutarlar Bin Türk Lirası olarak ifade edilmiştir.)</w:t>
    </w:r>
  </w:p>
  <w:p w14:paraId="48EE9026" w14:textId="77777777" w:rsidR="00EA2415" w:rsidRPr="007215BC" w:rsidRDefault="00EA2415">
    <w:pPr>
      <w:pStyle w:val="Header"/>
    </w:pPr>
  </w:p>
  <w:p w14:paraId="031CD26E" w14:textId="77777777" w:rsidR="00EA2415" w:rsidRPr="0047436F" w:rsidRDefault="00EA2415" w:rsidP="00DE3C9B">
    <w:pPr>
      <w:pStyle w:val="BodyText"/>
      <w:spacing w:before="0" w:after="0" w:line="240" w:lineRule="auto"/>
      <w:ind w:left="964"/>
      <w:rPr>
        <w:rFonts w:ascii="Trebuchet MS" w:hAnsi="Trebuchet MS"/>
        <w:position w:val="-6"/>
        <w:sz w:val="18"/>
        <w:szCs w:val="1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BA6B0" w14:textId="77777777" w:rsidR="00EA2415" w:rsidRPr="006F2022" w:rsidRDefault="00EA2415" w:rsidP="003F7AC2">
    <w:pPr>
      <w:pStyle w:val="Head"/>
      <w:tabs>
        <w:tab w:val="clear" w:pos="-360"/>
      </w:tabs>
      <w:spacing w:before="0"/>
      <w:ind w:left="0" w:firstLine="0"/>
      <w:rPr>
        <w:rFonts w:ascii="Microsoft Sans Serif" w:hAnsi="Microsoft Sans Serif" w:cs="Microsoft Sans Serif"/>
        <w:sz w:val="26"/>
        <w:szCs w:val="26"/>
      </w:rPr>
    </w:pPr>
    <w:r w:rsidRPr="006F2022">
      <w:rPr>
        <w:rFonts w:ascii="Microsoft Sans Serif" w:hAnsi="Microsoft Sans Serif" w:cs="Microsoft Sans Serif"/>
        <w:sz w:val="26"/>
        <w:szCs w:val="26"/>
      </w:rPr>
      <w:t>DENİZBANK ANONİM ŞİRKETİ</w:t>
    </w:r>
  </w:p>
  <w:p w14:paraId="0996A0F5" w14:textId="5684A65D" w:rsidR="00EA2415" w:rsidRPr="006F2022" w:rsidRDefault="00EA2415" w:rsidP="003F7AC2">
    <w:pPr>
      <w:pStyle w:val="Subhead"/>
      <w:tabs>
        <w:tab w:val="clear" w:pos="-360"/>
      </w:tabs>
      <w:spacing w:before="0" w:line="240" w:lineRule="auto"/>
      <w:ind w:left="0" w:firstLine="0"/>
      <w:rPr>
        <w:rFonts w:ascii="Microsoft Sans Serif" w:hAnsi="Microsoft Sans Serif" w:cs="Microsoft Sans Serif"/>
        <w:sz w:val="24"/>
        <w:szCs w:val="24"/>
      </w:rPr>
    </w:pPr>
    <w:r>
      <w:rPr>
        <w:rFonts w:ascii="Microsoft Sans Serif" w:hAnsi="Microsoft Sans Serif" w:cs="Microsoft Sans Serif"/>
        <w:sz w:val="24"/>
        <w:szCs w:val="24"/>
      </w:rPr>
      <w:t>31 ARALIK 2024</w:t>
    </w:r>
    <w:r w:rsidRPr="006F2022">
      <w:rPr>
        <w:rFonts w:ascii="Microsoft Sans Serif" w:hAnsi="Microsoft Sans Serif" w:cs="Microsoft Sans Serif"/>
        <w:sz w:val="24"/>
        <w:szCs w:val="24"/>
      </w:rPr>
      <w:t xml:space="preserve"> TARİHİ İTİBARIYLA KONSOLİDE</w:t>
    </w:r>
    <w:r>
      <w:rPr>
        <w:rFonts w:ascii="Microsoft Sans Serif" w:hAnsi="Microsoft Sans Serif" w:cs="Microsoft Sans Serif"/>
        <w:sz w:val="24"/>
        <w:szCs w:val="24"/>
      </w:rPr>
      <w:t xml:space="preserve"> OLMAYAN</w:t>
    </w:r>
  </w:p>
  <w:p w14:paraId="72A98382" w14:textId="77777777" w:rsidR="00EA2415" w:rsidRPr="006F2022" w:rsidRDefault="00EA2415" w:rsidP="003F7AC2">
    <w:pPr>
      <w:pStyle w:val="Subhead"/>
      <w:tabs>
        <w:tab w:val="clear" w:pos="-360"/>
      </w:tabs>
      <w:spacing w:before="0" w:line="240" w:lineRule="auto"/>
      <w:ind w:left="0" w:firstLine="0"/>
      <w:rPr>
        <w:rFonts w:ascii="Microsoft Sans Serif" w:hAnsi="Microsoft Sans Serif" w:cs="Microsoft Sans Serif"/>
        <w:sz w:val="24"/>
        <w:szCs w:val="24"/>
      </w:rPr>
    </w:pPr>
    <w:r w:rsidRPr="006F2022">
      <w:rPr>
        <w:rFonts w:ascii="Microsoft Sans Serif" w:hAnsi="Microsoft Sans Serif" w:cs="Microsoft Sans Serif"/>
        <w:sz w:val="24"/>
        <w:szCs w:val="24"/>
      </w:rPr>
      <w:t>FİNANSAL TABLOLARA İLİŞKİN AÇIKLAMA VE DİPNOTLAR</w:t>
    </w:r>
  </w:p>
  <w:p w14:paraId="6C270E61" w14:textId="77777777" w:rsidR="00EA2415" w:rsidRDefault="00EA2415" w:rsidP="003F7AC2">
    <w:pPr>
      <w:pStyle w:val="Header"/>
      <w:pBdr>
        <w:bottom w:val="single" w:sz="4" w:space="1" w:color="auto"/>
      </w:pBdr>
    </w:pPr>
    <w:r w:rsidRPr="006F2022">
      <w:rPr>
        <w:rFonts w:ascii="Microsoft Sans Serif" w:hAnsi="Microsoft Sans Serif" w:cs="Microsoft Sans Serif"/>
        <w:position w:val="-6"/>
        <w:sz w:val="18"/>
        <w:szCs w:val="18"/>
      </w:rPr>
      <w:t>(Para birimi: Tutarlar Bin Türk Lirası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964AEF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F7025"/>
    <w:multiLevelType w:val="hybridMultilevel"/>
    <w:tmpl w:val="60E49CDA"/>
    <w:lvl w:ilvl="0" w:tplc="F24E2578">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17F20F3"/>
    <w:multiLevelType w:val="hybridMultilevel"/>
    <w:tmpl w:val="997816E6"/>
    <w:lvl w:ilvl="0" w:tplc="BD94717A">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35C0C22"/>
    <w:multiLevelType w:val="hybridMultilevel"/>
    <w:tmpl w:val="14CC4A92"/>
    <w:lvl w:ilvl="0" w:tplc="29866018">
      <w:start w:val="1"/>
      <w:numFmt w:val="upperRoman"/>
      <w:lvlText w:val="%1."/>
      <w:lvlJc w:val="left"/>
      <w:pPr>
        <w:ind w:left="108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3A20A75"/>
    <w:multiLevelType w:val="hybridMultilevel"/>
    <w:tmpl w:val="897E228C"/>
    <w:lvl w:ilvl="0" w:tplc="A81842B2">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045029C8"/>
    <w:multiLevelType w:val="hybridMultilevel"/>
    <w:tmpl w:val="CD446574"/>
    <w:lvl w:ilvl="0" w:tplc="0409000F">
      <w:start w:val="1"/>
      <w:numFmt w:val="decimal"/>
      <w:lvlText w:val="%1."/>
      <w:lvlJc w:val="left"/>
      <w:pPr>
        <w:ind w:left="722" w:hanging="360"/>
      </w:pPr>
      <w:rPr>
        <w:color w:val="auto"/>
      </w:rPr>
    </w:lvl>
    <w:lvl w:ilvl="1" w:tplc="4830D12A">
      <w:start w:val="3"/>
      <w:numFmt w:val="lowerLetter"/>
      <w:lvlText w:val="%2."/>
      <w:lvlJc w:val="left"/>
      <w:pPr>
        <w:ind w:left="1442" w:hanging="360"/>
      </w:pPr>
      <w:rPr>
        <w:rFonts w:hint="default"/>
      </w:rPr>
    </w:lvl>
    <w:lvl w:ilvl="2" w:tplc="041F001B" w:tentative="1">
      <w:start w:val="1"/>
      <w:numFmt w:val="lowerRoman"/>
      <w:lvlText w:val="%3."/>
      <w:lvlJc w:val="right"/>
      <w:pPr>
        <w:ind w:left="2162" w:hanging="180"/>
      </w:pPr>
    </w:lvl>
    <w:lvl w:ilvl="3" w:tplc="041F000F" w:tentative="1">
      <w:start w:val="1"/>
      <w:numFmt w:val="decimal"/>
      <w:lvlText w:val="%4."/>
      <w:lvlJc w:val="left"/>
      <w:pPr>
        <w:ind w:left="2882" w:hanging="360"/>
      </w:pPr>
    </w:lvl>
    <w:lvl w:ilvl="4" w:tplc="041F0019" w:tentative="1">
      <w:start w:val="1"/>
      <w:numFmt w:val="lowerLetter"/>
      <w:lvlText w:val="%5."/>
      <w:lvlJc w:val="left"/>
      <w:pPr>
        <w:ind w:left="3602" w:hanging="360"/>
      </w:pPr>
    </w:lvl>
    <w:lvl w:ilvl="5" w:tplc="041F001B" w:tentative="1">
      <w:start w:val="1"/>
      <w:numFmt w:val="lowerRoman"/>
      <w:lvlText w:val="%6."/>
      <w:lvlJc w:val="right"/>
      <w:pPr>
        <w:ind w:left="4322" w:hanging="180"/>
      </w:pPr>
    </w:lvl>
    <w:lvl w:ilvl="6" w:tplc="041F000F" w:tentative="1">
      <w:start w:val="1"/>
      <w:numFmt w:val="decimal"/>
      <w:lvlText w:val="%7."/>
      <w:lvlJc w:val="left"/>
      <w:pPr>
        <w:ind w:left="5042" w:hanging="360"/>
      </w:pPr>
    </w:lvl>
    <w:lvl w:ilvl="7" w:tplc="041F0019" w:tentative="1">
      <w:start w:val="1"/>
      <w:numFmt w:val="lowerLetter"/>
      <w:lvlText w:val="%8."/>
      <w:lvlJc w:val="left"/>
      <w:pPr>
        <w:ind w:left="5762" w:hanging="360"/>
      </w:pPr>
    </w:lvl>
    <w:lvl w:ilvl="8" w:tplc="041F001B" w:tentative="1">
      <w:start w:val="1"/>
      <w:numFmt w:val="lowerRoman"/>
      <w:lvlText w:val="%9."/>
      <w:lvlJc w:val="right"/>
      <w:pPr>
        <w:ind w:left="6482" w:hanging="180"/>
      </w:pPr>
    </w:lvl>
  </w:abstractNum>
  <w:abstractNum w:abstractNumId="6" w15:restartNumberingAfterBreak="0">
    <w:nsid w:val="05106E19"/>
    <w:multiLevelType w:val="hybridMultilevel"/>
    <w:tmpl w:val="E8E4FE12"/>
    <w:lvl w:ilvl="0" w:tplc="680C1C0A">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5280E98"/>
    <w:multiLevelType w:val="hybridMultilevel"/>
    <w:tmpl w:val="7EECB238"/>
    <w:lvl w:ilvl="0" w:tplc="503EC448">
      <w:start w:val="1"/>
      <w:numFmt w:val="upperRoman"/>
      <w:lvlText w:val="%1."/>
      <w:lvlJc w:val="left"/>
      <w:pPr>
        <w:tabs>
          <w:tab w:val="num" w:pos="5250"/>
        </w:tabs>
        <w:ind w:left="5250" w:hanging="720"/>
      </w:pPr>
      <w:rPr>
        <w:rFonts w:hint="default"/>
      </w:rPr>
    </w:lvl>
    <w:lvl w:ilvl="1" w:tplc="04090019">
      <w:start w:val="1"/>
      <w:numFmt w:val="lowerLetter"/>
      <w:lvlText w:val="%2."/>
      <w:lvlJc w:val="left"/>
      <w:pPr>
        <w:tabs>
          <w:tab w:val="num" w:pos="5610"/>
        </w:tabs>
        <w:ind w:left="5610" w:hanging="360"/>
      </w:pPr>
    </w:lvl>
    <w:lvl w:ilvl="2" w:tplc="0409001B">
      <w:start w:val="1"/>
      <w:numFmt w:val="lowerRoman"/>
      <w:lvlText w:val="%3."/>
      <w:lvlJc w:val="right"/>
      <w:pPr>
        <w:tabs>
          <w:tab w:val="num" w:pos="6330"/>
        </w:tabs>
        <w:ind w:left="6330" w:hanging="180"/>
      </w:pPr>
    </w:lvl>
    <w:lvl w:ilvl="3" w:tplc="0409000F">
      <w:start w:val="1"/>
      <w:numFmt w:val="decimal"/>
      <w:lvlText w:val="%4."/>
      <w:lvlJc w:val="left"/>
      <w:pPr>
        <w:tabs>
          <w:tab w:val="num" w:pos="7050"/>
        </w:tabs>
        <w:ind w:left="7050" w:hanging="360"/>
      </w:pPr>
    </w:lvl>
    <w:lvl w:ilvl="4" w:tplc="04090019">
      <w:start w:val="1"/>
      <w:numFmt w:val="lowerLetter"/>
      <w:lvlText w:val="%5."/>
      <w:lvlJc w:val="left"/>
      <w:pPr>
        <w:tabs>
          <w:tab w:val="num" w:pos="7770"/>
        </w:tabs>
        <w:ind w:left="7770" w:hanging="360"/>
      </w:pPr>
    </w:lvl>
    <w:lvl w:ilvl="5" w:tplc="0409001B">
      <w:start w:val="1"/>
      <w:numFmt w:val="lowerRoman"/>
      <w:lvlText w:val="%6."/>
      <w:lvlJc w:val="right"/>
      <w:pPr>
        <w:tabs>
          <w:tab w:val="num" w:pos="8490"/>
        </w:tabs>
        <w:ind w:left="8490" w:hanging="180"/>
      </w:pPr>
    </w:lvl>
    <w:lvl w:ilvl="6" w:tplc="0409000F">
      <w:start w:val="1"/>
      <w:numFmt w:val="decimal"/>
      <w:lvlText w:val="%7."/>
      <w:lvlJc w:val="left"/>
      <w:pPr>
        <w:tabs>
          <w:tab w:val="num" w:pos="9210"/>
        </w:tabs>
        <w:ind w:left="9210" w:hanging="360"/>
      </w:pPr>
    </w:lvl>
    <w:lvl w:ilvl="7" w:tplc="04090019">
      <w:start w:val="1"/>
      <w:numFmt w:val="lowerLetter"/>
      <w:lvlText w:val="%8."/>
      <w:lvlJc w:val="left"/>
      <w:pPr>
        <w:tabs>
          <w:tab w:val="num" w:pos="9930"/>
        </w:tabs>
        <w:ind w:left="9930" w:hanging="360"/>
      </w:pPr>
    </w:lvl>
    <w:lvl w:ilvl="8" w:tplc="0409001B">
      <w:start w:val="1"/>
      <w:numFmt w:val="lowerRoman"/>
      <w:lvlText w:val="%9."/>
      <w:lvlJc w:val="right"/>
      <w:pPr>
        <w:tabs>
          <w:tab w:val="num" w:pos="10650"/>
        </w:tabs>
        <w:ind w:left="10650" w:hanging="180"/>
      </w:pPr>
    </w:lvl>
  </w:abstractNum>
  <w:abstractNum w:abstractNumId="8" w15:restartNumberingAfterBreak="0">
    <w:nsid w:val="08C176CA"/>
    <w:multiLevelType w:val="hybridMultilevel"/>
    <w:tmpl w:val="FFBA4A86"/>
    <w:lvl w:ilvl="0" w:tplc="041F000D">
      <w:start w:val="1"/>
      <w:numFmt w:val="bullet"/>
      <w:lvlText w:val=""/>
      <w:lvlJc w:val="left"/>
      <w:pPr>
        <w:ind w:left="1084" w:hanging="360"/>
      </w:pPr>
      <w:rPr>
        <w:rFonts w:ascii="Wingdings" w:hAnsi="Wingdings" w:hint="default"/>
      </w:rPr>
    </w:lvl>
    <w:lvl w:ilvl="1" w:tplc="041F0003" w:tentative="1">
      <w:start w:val="1"/>
      <w:numFmt w:val="bullet"/>
      <w:lvlText w:val="o"/>
      <w:lvlJc w:val="left"/>
      <w:pPr>
        <w:ind w:left="1804" w:hanging="360"/>
      </w:pPr>
      <w:rPr>
        <w:rFonts w:ascii="Courier New" w:hAnsi="Courier New" w:cs="Courier New" w:hint="default"/>
      </w:rPr>
    </w:lvl>
    <w:lvl w:ilvl="2" w:tplc="041F0005" w:tentative="1">
      <w:start w:val="1"/>
      <w:numFmt w:val="bullet"/>
      <w:lvlText w:val=""/>
      <w:lvlJc w:val="left"/>
      <w:pPr>
        <w:ind w:left="2524" w:hanging="360"/>
      </w:pPr>
      <w:rPr>
        <w:rFonts w:ascii="Wingdings" w:hAnsi="Wingdings" w:hint="default"/>
      </w:rPr>
    </w:lvl>
    <w:lvl w:ilvl="3" w:tplc="041F0001" w:tentative="1">
      <w:start w:val="1"/>
      <w:numFmt w:val="bullet"/>
      <w:lvlText w:val=""/>
      <w:lvlJc w:val="left"/>
      <w:pPr>
        <w:ind w:left="3244" w:hanging="360"/>
      </w:pPr>
      <w:rPr>
        <w:rFonts w:ascii="Symbol" w:hAnsi="Symbol" w:hint="default"/>
      </w:rPr>
    </w:lvl>
    <w:lvl w:ilvl="4" w:tplc="041F0003" w:tentative="1">
      <w:start w:val="1"/>
      <w:numFmt w:val="bullet"/>
      <w:lvlText w:val="o"/>
      <w:lvlJc w:val="left"/>
      <w:pPr>
        <w:ind w:left="3964" w:hanging="360"/>
      </w:pPr>
      <w:rPr>
        <w:rFonts w:ascii="Courier New" w:hAnsi="Courier New" w:cs="Courier New" w:hint="default"/>
      </w:rPr>
    </w:lvl>
    <w:lvl w:ilvl="5" w:tplc="041F0005" w:tentative="1">
      <w:start w:val="1"/>
      <w:numFmt w:val="bullet"/>
      <w:lvlText w:val=""/>
      <w:lvlJc w:val="left"/>
      <w:pPr>
        <w:ind w:left="4684" w:hanging="360"/>
      </w:pPr>
      <w:rPr>
        <w:rFonts w:ascii="Wingdings" w:hAnsi="Wingdings" w:hint="default"/>
      </w:rPr>
    </w:lvl>
    <w:lvl w:ilvl="6" w:tplc="041F0001" w:tentative="1">
      <w:start w:val="1"/>
      <w:numFmt w:val="bullet"/>
      <w:lvlText w:val=""/>
      <w:lvlJc w:val="left"/>
      <w:pPr>
        <w:ind w:left="5404" w:hanging="360"/>
      </w:pPr>
      <w:rPr>
        <w:rFonts w:ascii="Symbol" w:hAnsi="Symbol" w:hint="default"/>
      </w:rPr>
    </w:lvl>
    <w:lvl w:ilvl="7" w:tplc="041F0003" w:tentative="1">
      <w:start w:val="1"/>
      <w:numFmt w:val="bullet"/>
      <w:lvlText w:val="o"/>
      <w:lvlJc w:val="left"/>
      <w:pPr>
        <w:ind w:left="6124" w:hanging="360"/>
      </w:pPr>
      <w:rPr>
        <w:rFonts w:ascii="Courier New" w:hAnsi="Courier New" w:cs="Courier New" w:hint="default"/>
      </w:rPr>
    </w:lvl>
    <w:lvl w:ilvl="8" w:tplc="041F0005" w:tentative="1">
      <w:start w:val="1"/>
      <w:numFmt w:val="bullet"/>
      <w:lvlText w:val=""/>
      <w:lvlJc w:val="left"/>
      <w:pPr>
        <w:ind w:left="6844" w:hanging="360"/>
      </w:pPr>
      <w:rPr>
        <w:rFonts w:ascii="Wingdings" w:hAnsi="Wingdings" w:hint="default"/>
      </w:rPr>
    </w:lvl>
  </w:abstractNum>
  <w:abstractNum w:abstractNumId="9" w15:restartNumberingAfterBreak="0">
    <w:nsid w:val="09E25E51"/>
    <w:multiLevelType w:val="hybridMultilevel"/>
    <w:tmpl w:val="505651A6"/>
    <w:lvl w:ilvl="0" w:tplc="ACD84BB4">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0DF10BC1"/>
    <w:multiLevelType w:val="hybridMultilevel"/>
    <w:tmpl w:val="3744AD3C"/>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EA178D4"/>
    <w:multiLevelType w:val="hybridMultilevel"/>
    <w:tmpl w:val="BC0823F0"/>
    <w:lvl w:ilvl="0" w:tplc="0409000F">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11169B5"/>
    <w:multiLevelType w:val="hybridMultilevel"/>
    <w:tmpl w:val="FDE84D70"/>
    <w:lvl w:ilvl="0" w:tplc="E640E7B2">
      <w:start w:val="2"/>
      <w:numFmt w:val="upperRoman"/>
      <w:lvlText w:val="%1."/>
      <w:lvlJc w:val="right"/>
      <w:pPr>
        <w:ind w:left="1080" w:hanging="720"/>
      </w:pPr>
      <w:rPr>
        <w:rFonts w:hint="default"/>
        <w:b/>
        <w:color w:val="auto"/>
        <w:sz w:val="22"/>
        <w:szCs w:val="22"/>
      </w:rPr>
    </w:lvl>
    <w:lvl w:ilvl="1" w:tplc="B9B4B0E2">
      <w:start w:val="1"/>
      <w:numFmt w:val="lowerLetter"/>
      <w:lvlText w:val="%2."/>
      <w:lvlJc w:val="left"/>
      <w:pPr>
        <w:ind w:left="1440" w:hanging="360"/>
      </w:pPr>
      <w:rPr>
        <w:b/>
        <w:color w:val="auto"/>
      </w:rPr>
    </w:lvl>
    <w:lvl w:ilvl="2" w:tplc="432C4DD0">
      <w:start w:val="1"/>
      <w:numFmt w:val="decimal"/>
      <w:lvlText w:val="%3."/>
      <w:lvlJc w:val="left"/>
      <w:pPr>
        <w:ind w:left="2160" w:hanging="180"/>
      </w:pPr>
      <w:rPr>
        <w:b/>
        <w:color w:val="auto"/>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1767E42"/>
    <w:multiLevelType w:val="hybridMultilevel"/>
    <w:tmpl w:val="FB580CDA"/>
    <w:lvl w:ilvl="0" w:tplc="235E2C0E">
      <w:start w:val="1"/>
      <w:numFmt w:val="decimal"/>
      <w:lvlText w:val="%1."/>
      <w:lvlJc w:val="left"/>
      <w:pPr>
        <w:ind w:left="360" w:hanging="360"/>
      </w:pPr>
      <w:rPr>
        <w:rFonts w:hint="default"/>
        <w:b/>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1B206B4"/>
    <w:multiLevelType w:val="hybridMultilevel"/>
    <w:tmpl w:val="0160136A"/>
    <w:lvl w:ilvl="0" w:tplc="041F0019">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35C57BB"/>
    <w:multiLevelType w:val="hybridMultilevel"/>
    <w:tmpl w:val="CD0E1B96"/>
    <w:lvl w:ilvl="0" w:tplc="6140401E">
      <w:start w:val="3"/>
      <w:numFmt w:val="upperRoman"/>
      <w:lvlText w:val="%1."/>
      <w:lvlJc w:val="right"/>
      <w:pPr>
        <w:ind w:left="1080" w:hanging="720"/>
      </w:pPr>
      <w:rPr>
        <w:rFonts w:hint="default"/>
        <w:b/>
        <w:color w:val="auto"/>
        <w:sz w:val="22"/>
        <w:szCs w:val="22"/>
      </w:rPr>
    </w:lvl>
    <w:lvl w:ilvl="1" w:tplc="0938F2FA">
      <w:start w:val="1"/>
      <w:numFmt w:val="lowerLetter"/>
      <w:lvlText w:val="%2."/>
      <w:lvlJc w:val="left"/>
      <w:pPr>
        <w:ind w:left="1440" w:hanging="360"/>
      </w:pPr>
      <w:rPr>
        <w:b/>
        <w:color w:val="auto"/>
      </w:rPr>
    </w:lvl>
    <w:lvl w:ilvl="2" w:tplc="5BD2FB00">
      <w:start w:val="1"/>
      <w:numFmt w:val="decimal"/>
      <w:lvlText w:val="%3."/>
      <w:lvlJc w:val="left"/>
      <w:pPr>
        <w:ind w:left="2160" w:hanging="180"/>
      </w:pPr>
      <w:rPr>
        <w:b/>
        <w:color w:val="auto"/>
      </w:rPr>
    </w:lvl>
    <w:lvl w:ilvl="3" w:tplc="041F000F">
      <w:start w:val="1"/>
      <w:numFmt w:val="decimal"/>
      <w:lvlText w:val="%4."/>
      <w:lvlJc w:val="left"/>
      <w:pPr>
        <w:ind w:left="2880" w:hanging="360"/>
      </w:pPr>
    </w:lvl>
    <w:lvl w:ilvl="4" w:tplc="041F0019" w:tentative="1">
      <w:start w:val="1"/>
      <w:numFmt w:val="lowerLetter"/>
      <w:lvlText w:val="%5."/>
      <w:lvlJc w:val="left"/>
      <w:pPr>
        <w:ind w:left="3600" w:hanging="360"/>
      </w:pPr>
    </w:lvl>
    <w:lvl w:ilvl="5" w:tplc="2DFC8AA4">
      <w:start w:val="1"/>
      <w:numFmt w:val="lowerRoman"/>
      <w:lvlText w:val="(%6)"/>
      <w:lvlJc w:val="right"/>
      <w:pPr>
        <w:ind w:left="4320" w:hanging="180"/>
      </w:pPr>
      <w:rPr>
        <w:rFonts w:hint="default"/>
      </w:r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6E20A0A"/>
    <w:multiLevelType w:val="hybridMultilevel"/>
    <w:tmpl w:val="1B9A36EE"/>
    <w:lvl w:ilvl="0" w:tplc="041F000F">
      <w:start w:val="1"/>
      <w:numFmt w:val="decimal"/>
      <w:lvlText w:val="%1."/>
      <w:lvlJc w:val="left"/>
      <w:pPr>
        <w:ind w:left="502"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8E7145E"/>
    <w:multiLevelType w:val="hybridMultilevel"/>
    <w:tmpl w:val="67E4EFB8"/>
    <w:lvl w:ilvl="0" w:tplc="EBF0EE62">
      <w:start w:val="1"/>
      <w:numFmt w:val="lowerLetter"/>
      <w:lvlText w:val="%1."/>
      <w:lvlJc w:val="left"/>
      <w:pPr>
        <w:ind w:left="360"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1B303C7D"/>
    <w:multiLevelType w:val="hybridMultilevel"/>
    <w:tmpl w:val="92ECF14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CA76EDA"/>
    <w:multiLevelType w:val="hybridMultilevel"/>
    <w:tmpl w:val="F0C8DF78"/>
    <w:lvl w:ilvl="0" w:tplc="B3AEA56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1CFB0017"/>
    <w:multiLevelType w:val="hybridMultilevel"/>
    <w:tmpl w:val="6248E7A2"/>
    <w:lvl w:ilvl="0" w:tplc="4C26C20C">
      <w:start w:val="1"/>
      <w:numFmt w:val="lowerRoman"/>
      <w:lvlText w:val="(%1)"/>
      <w:lvlJc w:val="left"/>
      <w:pPr>
        <w:ind w:left="360" w:hanging="360"/>
      </w:pPr>
      <w:rPr>
        <w:rFonts w:hint="default"/>
        <w:b w:val="0"/>
        <w:sz w:val="20"/>
        <w:szCs w:val="20"/>
      </w:rPr>
    </w:lvl>
    <w:lvl w:ilvl="1" w:tplc="D5EAEBBC">
      <w:start w:val="1"/>
      <w:numFmt w:val="lowerLetter"/>
      <w:lvlText w:val="%2."/>
      <w:lvlJc w:val="left"/>
      <w:pPr>
        <w:ind w:left="1440" w:hanging="360"/>
      </w:pPr>
      <w:rPr>
        <w:color w:val="auto"/>
        <w:sz w:val="20"/>
        <w:szCs w:val="20"/>
      </w:rPr>
    </w:lvl>
    <w:lvl w:ilvl="2" w:tplc="041F001B">
      <w:start w:val="1"/>
      <w:numFmt w:val="lowerRoman"/>
      <w:lvlText w:val="%3."/>
      <w:lvlJc w:val="right"/>
      <w:pPr>
        <w:ind w:left="18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D7A1B31"/>
    <w:multiLevelType w:val="hybridMultilevel"/>
    <w:tmpl w:val="9B8AA04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1E0728E8"/>
    <w:multiLevelType w:val="hybridMultilevel"/>
    <w:tmpl w:val="9346741C"/>
    <w:lvl w:ilvl="0" w:tplc="26ECB58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1EF54812"/>
    <w:multiLevelType w:val="hybridMultilevel"/>
    <w:tmpl w:val="A3C0A550"/>
    <w:lvl w:ilvl="0" w:tplc="614E7DF6">
      <w:start w:val="1"/>
      <w:numFmt w:val="lowerLetter"/>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0633016"/>
    <w:multiLevelType w:val="hybridMultilevel"/>
    <w:tmpl w:val="82986E86"/>
    <w:lvl w:ilvl="0" w:tplc="73DA0E68">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209246F6"/>
    <w:multiLevelType w:val="hybridMultilevel"/>
    <w:tmpl w:val="A164097E"/>
    <w:lvl w:ilvl="0" w:tplc="9ACCFF96">
      <w:start w:val="1"/>
      <w:numFmt w:val="lowerLetter"/>
      <w:lvlText w:val="%1."/>
      <w:lvlJc w:val="left"/>
      <w:pPr>
        <w:ind w:left="720" w:hanging="360"/>
      </w:pPr>
      <w:rPr>
        <w:rFonts w:hint="default"/>
        <w:b/>
        <w:color w:val="auto"/>
      </w:rPr>
    </w:lvl>
    <w:lvl w:ilvl="1" w:tplc="58FAECCA">
      <w:start w:val="1"/>
      <w:numFmt w:val="lowerLetter"/>
      <w:lvlText w:val="%2."/>
      <w:lvlJc w:val="left"/>
      <w:pPr>
        <w:ind w:left="1440" w:hanging="360"/>
      </w:pPr>
      <w:rPr>
        <w:b/>
        <w:color w:val="auto"/>
      </w:rPr>
    </w:lvl>
    <w:lvl w:ilvl="2" w:tplc="041F000F">
      <w:start w:val="1"/>
      <w:numFmt w:val="decimal"/>
      <w:lvlText w:val="%3."/>
      <w:lvlJc w:val="left"/>
      <w:pPr>
        <w:ind w:left="2160" w:hanging="180"/>
      </w:pPr>
    </w:lvl>
    <w:lvl w:ilvl="3" w:tplc="A636D094">
      <w:start w:val="11"/>
      <w:numFmt w:val="upperRoman"/>
      <w:lvlText w:val="%4."/>
      <w:lvlJc w:val="lef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238D08DD"/>
    <w:multiLevelType w:val="hybridMultilevel"/>
    <w:tmpl w:val="87F2D03A"/>
    <w:lvl w:ilvl="0" w:tplc="73FABE44">
      <w:start w:val="1"/>
      <w:numFmt w:val="lowerLetter"/>
      <w:lvlText w:val="%1."/>
      <w:lvlJc w:val="left"/>
      <w:pPr>
        <w:ind w:left="720" w:hanging="360"/>
      </w:pPr>
      <w:rPr>
        <w:b/>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82740562">
      <w:start w:val="1"/>
      <w:numFmt w:val="decimal"/>
      <w:lvlText w:val="%4."/>
      <w:lvlJc w:val="left"/>
      <w:pPr>
        <w:ind w:left="2880" w:hanging="360"/>
      </w:pPr>
      <w:rPr>
        <w:color w:val="auto"/>
        <w:sz w:val="20"/>
        <w:szCs w:val="20"/>
      </w:r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53470F5"/>
    <w:multiLevelType w:val="hybridMultilevel"/>
    <w:tmpl w:val="654C91E4"/>
    <w:lvl w:ilvl="0" w:tplc="84E6DC96">
      <w:start w:val="1"/>
      <w:numFmt w:val="decimal"/>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29" w15:restartNumberingAfterBreak="0">
    <w:nsid w:val="28BB5111"/>
    <w:multiLevelType w:val="hybridMultilevel"/>
    <w:tmpl w:val="66846FFE"/>
    <w:lvl w:ilvl="0" w:tplc="C13A66B0">
      <w:start w:val="1"/>
      <w:numFmt w:val="decimal"/>
      <w:lvlText w:val="%1."/>
      <w:lvlJc w:val="left"/>
      <w:pPr>
        <w:ind w:left="502" w:hanging="360"/>
      </w:pPr>
      <w:rPr>
        <w:rFonts w:hint="default"/>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0" w15:restartNumberingAfterBreak="0">
    <w:nsid w:val="2C2C5CC0"/>
    <w:multiLevelType w:val="hybridMultilevel"/>
    <w:tmpl w:val="0694ABCE"/>
    <w:lvl w:ilvl="0" w:tplc="041F0019">
      <w:start w:val="1"/>
      <w:numFmt w:val="lowerLetter"/>
      <w:lvlText w:val="%1."/>
      <w:lvlJc w:val="left"/>
      <w:pPr>
        <w:ind w:left="1451" w:hanging="360"/>
      </w:pPr>
    </w:lvl>
    <w:lvl w:ilvl="1" w:tplc="041F0019" w:tentative="1">
      <w:start w:val="1"/>
      <w:numFmt w:val="lowerLetter"/>
      <w:lvlText w:val="%2."/>
      <w:lvlJc w:val="left"/>
      <w:pPr>
        <w:ind w:left="2171" w:hanging="360"/>
      </w:pPr>
    </w:lvl>
    <w:lvl w:ilvl="2" w:tplc="041F001B" w:tentative="1">
      <w:start w:val="1"/>
      <w:numFmt w:val="lowerRoman"/>
      <w:lvlText w:val="%3."/>
      <w:lvlJc w:val="right"/>
      <w:pPr>
        <w:ind w:left="2891" w:hanging="180"/>
      </w:pPr>
    </w:lvl>
    <w:lvl w:ilvl="3" w:tplc="041F000F" w:tentative="1">
      <w:start w:val="1"/>
      <w:numFmt w:val="decimal"/>
      <w:lvlText w:val="%4."/>
      <w:lvlJc w:val="left"/>
      <w:pPr>
        <w:ind w:left="3611" w:hanging="360"/>
      </w:pPr>
    </w:lvl>
    <w:lvl w:ilvl="4" w:tplc="041F0019" w:tentative="1">
      <w:start w:val="1"/>
      <w:numFmt w:val="lowerLetter"/>
      <w:lvlText w:val="%5."/>
      <w:lvlJc w:val="left"/>
      <w:pPr>
        <w:ind w:left="4331" w:hanging="360"/>
      </w:pPr>
    </w:lvl>
    <w:lvl w:ilvl="5" w:tplc="041F001B" w:tentative="1">
      <w:start w:val="1"/>
      <w:numFmt w:val="lowerRoman"/>
      <w:lvlText w:val="%6."/>
      <w:lvlJc w:val="right"/>
      <w:pPr>
        <w:ind w:left="5051" w:hanging="180"/>
      </w:pPr>
    </w:lvl>
    <w:lvl w:ilvl="6" w:tplc="041F000F" w:tentative="1">
      <w:start w:val="1"/>
      <w:numFmt w:val="decimal"/>
      <w:lvlText w:val="%7."/>
      <w:lvlJc w:val="left"/>
      <w:pPr>
        <w:ind w:left="5771" w:hanging="360"/>
      </w:pPr>
    </w:lvl>
    <w:lvl w:ilvl="7" w:tplc="041F0019" w:tentative="1">
      <w:start w:val="1"/>
      <w:numFmt w:val="lowerLetter"/>
      <w:lvlText w:val="%8."/>
      <w:lvlJc w:val="left"/>
      <w:pPr>
        <w:ind w:left="6491" w:hanging="360"/>
      </w:pPr>
    </w:lvl>
    <w:lvl w:ilvl="8" w:tplc="041F001B" w:tentative="1">
      <w:start w:val="1"/>
      <w:numFmt w:val="lowerRoman"/>
      <w:lvlText w:val="%9."/>
      <w:lvlJc w:val="right"/>
      <w:pPr>
        <w:ind w:left="7211" w:hanging="180"/>
      </w:pPr>
    </w:lvl>
  </w:abstractNum>
  <w:abstractNum w:abstractNumId="31" w15:restartNumberingAfterBreak="0">
    <w:nsid w:val="2E0705B0"/>
    <w:multiLevelType w:val="hybridMultilevel"/>
    <w:tmpl w:val="999A4CB8"/>
    <w:lvl w:ilvl="0" w:tplc="C13A66B0">
      <w:start w:val="1"/>
      <w:numFmt w:val="decimal"/>
      <w:lvlText w:val="%1."/>
      <w:lvlJc w:val="left"/>
      <w:pPr>
        <w:ind w:left="720" w:hanging="360"/>
      </w:pPr>
      <w:rPr>
        <w:rFonts w:hint="default"/>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2F313256"/>
    <w:multiLevelType w:val="hybridMultilevel"/>
    <w:tmpl w:val="E72AFDAA"/>
    <w:lvl w:ilvl="0" w:tplc="1F76353E">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3" w15:restartNumberingAfterBreak="0">
    <w:nsid w:val="333D6D92"/>
    <w:multiLevelType w:val="hybridMultilevel"/>
    <w:tmpl w:val="5C92CD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33E5194D"/>
    <w:multiLevelType w:val="hybridMultilevel"/>
    <w:tmpl w:val="7264DBE6"/>
    <w:lvl w:ilvl="0" w:tplc="890E76A0">
      <w:start w:val="1"/>
      <w:numFmt w:val="low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5" w15:restartNumberingAfterBreak="0">
    <w:nsid w:val="353A3700"/>
    <w:multiLevelType w:val="hybridMultilevel"/>
    <w:tmpl w:val="8C6C7522"/>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82358A1"/>
    <w:multiLevelType w:val="hybridMultilevel"/>
    <w:tmpl w:val="DD2ED84A"/>
    <w:lvl w:ilvl="0" w:tplc="B0AC66B0">
      <w:start w:val="1"/>
      <w:numFmt w:val="lowerLetter"/>
      <w:lvlText w:val="%1."/>
      <w:lvlJc w:val="left"/>
      <w:pPr>
        <w:ind w:left="360" w:hanging="360"/>
      </w:pPr>
      <w:rPr>
        <w:rFonts w:ascii="Microsoft Sans Serif" w:hAnsi="Microsoft Sans Serif" w:cs="Microsoft Sans Serif" w:hint="default"/>
        <w:b/>
        <w:i w:val="0"/>
        <w:sz w:val="20"/>
        <w:szCs w:val="20"/>
      </w:rPr>
    </w:lvl>
    <w:lvl w:ilvl="1" w:tplc="041F0019">
      <w:start w:val="1"/>
      <w:numFmt w:val="lowerLetter"/>
      <w:lvlText w:val="%2."/>
      <w:lvlJc w:val="left"/>
      <w:pPr>
        <w:ind w:left="1440" w:hanging="360"/>
      </w:pPr>
    </w:lvl>
    <w:lvl w:ilvl="2" w:tplc="041F001B">
      <w:start w:val="1"/>
      <w:numFmt w:val="lowerRoman"/>
      <w:lvlText w:val="%3."/>
      <w:lvlJc w:val="right"/>
      <w:pPr>
        <w:ind w:left="18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38FE1859"/>
    <w:multiLevelType w:val="hybridMultilevel"/>
    <w:tmpl w:val="9F145586"/>
    <w:lvl w:ilvl="0" w:tplc="4C26C20C">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9BA5AB8"/>
    <w:multiLevelType w:val="hybridMultilevel"/>
    <w:tmpl w:val="386CFFE8"/>
    <w:lvl w:ilvl="0" w:tplc="98989368">
      <w:start w:val="1"/>
      <w:numFmt w:val="lowerLetter"/>
      <w:lvlText w:val="%1."/>
      <w:lvlJc w:val="left"/>
      <w:pPr>
        <w:ind w:left="6739"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3DE2386D"/>
    <w:multiLevelType w:val="hybridMultilevel"/>
    <w:tmpl w:val="ED7C3D6C"/>
    <w:lvl w:ilvl="0" w:tplc="AD8ED220">
      <w:start w:val="1"/>
      <w:numFmt w:val="lowerLetter"/>
      <w:lvlText w:val="%1."/>
      <w:lvlJc w:val="left"/>
      <w:pPr>
        <w:ind w:left="36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3FA67A98"/>
    <w:multiLevelType w:val="hybridMultilevel"/>
    <w:tmpl w:val="EB6290F6"/>
    <w:lvl w:ilvl="0" w:tplc="4B600216">
      <w:start w:val="1"/>
      <w:numFmt w:val="lowerLetter"/>
      <w:lvlText w:val="%1."/>
      <w:lvlJc w:val="left"/>
      <w:pPr>
        <w:ind w:left="144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3FB54740"/>
    <w:multiLevelType w:val="hybridMultilevel"/>
    <w:tmpl w:val="6E18226E"/>
    <w:lvl w:ilvl="0" w:tplc="B9EC12D8">
      <w:start w:val="201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40693D5E"/>
    <w:multiLevelType w:val="hybridMultilevel"/>
    <w:tmpl w:val="8E888A6C"/>
    <w:lvl w:ilvl="0" w:tplc="2D6499FA">
      <w:start w:val="1"/>
      <w:numFmt w:val="decimal"/>
      <w:lvlText w:val="(%1)"/>
      <w:lvlJc w:val="left"/>
      <w:pPr>
        <w:ind w:left="4471" w:hanging="360"/>
      </w:pPr>
      <w:rPr>
        <w:rFonts w:hint="default"/>
      </w:rPr>
    </w:lvl>
    <w:lvl w:ilvl="1" w:tplc="041F0019" w:tentative="1">
      <w:start w:val="1"/>
      <w:numFmt w:val="lowerLetter"/>
      <w:lvlText w:val="%2."/>
      <w:lvlJc w:val="left"/>
      <w:pPr>
        <w:ind w:left="5191" w:hanging="360"/>
      </w:pPr>
    </w:lvl>
    <w:lvl w:ilvl="2" w:tplc="041F001B" w:tentative="1">
      <w:start w:val="1"/>
      <w:numFmt w:val="lowerRoman"/>
      <w:lvlText w:val="%3."/>
      <w:lvlJc w:val="right"/>
      <w:pPr>
        <w:ind w:left="5911" w:hanging="180"/>
      </w:pPr>
    </w:lvl>
    <w:lvl w:ilvl="3" w:tplc="041F000F" w:tentative="1">
      <w:start w:val="1"/>
      <w:numFmt w:val="decimal"/>
      <w:lvlText w:val="%4."/>
      <w:lvlJc w:val="left"/>
      <w:pPr>
        <w:ind w:left="6631" w:hanging="360"/>
      </w:pPr>
    </w:lvl>
    <w:lvl w:ilvl="4" w:tplc="041F0019" w:tentative="1">
      <w:start w:val="1"/>
      <w:numFmt w:val="lowerLetter"/>
      <w:lvlText w:val="%5."/>
      <w:lvlJc w:val="left"/>
      <w:pPr>
        <w:ind w:left="7351" w:hanging="360"/>
      </w:pPr>
    </w:lvl>
    <w:lvl w:ilvl="5" w:tplc="041F001B" w:tentative="1">
      <w:start w:val="1"/>
      <w:numFmt w:val="lowerRoman"/>
      <w:lvlText w:val="%6."/>
      <w:lvlJc w:val="right"/>
      <w:pPr>
        <w:ind w:left="8071" w:hanging="180"/>
      </w:pPr>
    </w:lvl>
    <w:lvl w:ilvl="6" w:tplc="041F000F" w:tentative="1">
      <w:start w:val="1"/>
      <w:numFmt w:val="decimal"/>
      <w:lvlText w:val="%7."/>
      <w:lvlJc w:val="left"/>
      <w:pPr>
        <w:ind w:left="8791" w:hanging="360"/>
      </w:pPr>
    </w:lvl>
    <w:lvl w:ilvl="7" w:tplc="041F0019" w:tentative="1">
      <w:start w:val="1"/>
      <w:numFmt w:val="lowerLetter"/>
      <w:lvlText w:val="%8."/>
      <w:lvlJc w:val="left"/>
      <w:pPr>
        <w:ind w:left="9511" w:hanging="360"/>
      </w:pPr>
    </w:lvl>
    <w:lvl w:ilvl="8" w:tplc="041F001B" w:tentative="1">
      <w:start w:val="1"/>
      <w:numFmt w:val="lowerRoman"/>
      <w:lvlText w:val="%9."/>
      <w:lvlJc w:val="right"/>
      <w:pPr>
        <w:ind w:left="10231" w:hanging="180"/>
      </w:pPr>
    </w:lvl>
  </w:abstractNum>
  <w:abstractNum w:abstractNumId="43" w15:restartNumberingAfterBreak="0">
    <w:nsid w:val="430E407F"/>
    <w:multiLevelType w:val="hybridMultilevel"/>
    <w:tmpl w:val="67047024"/>
    <w:lvl w:ilvl="0" w:tplc="B9EC12D8">
      <w:start w:val="201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43B952E1"/>
    <w:multiLevelType w:val="hybridMultilevel"/>
    <w:tmpl w:val="ADEEF12C"/>
    <w:lvl w:ilvl="0" w:tplc="7F36DB10">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46A85E06"/>
    <w:multiLevelType w:val="hybridMultilevel"/>
    <w:tmpl w:val="D018DF12"/>
    <w:lvl w:ilvl="0" w:tplc="041F0013">
      <w:start w:val="1"/>
      <w:numFmt w:val="upperRoman"/>
      <w:lvlText w:val="%1."/>
      <w:lvlJc w:val="right"/>
      <w:pPr>
        <w:ind w:left="1080" w:hanging="720"/>
      </w:pPr>
      <w:rPr>
        <w:rFonts w:hint="default"/>
        <w:b/>
        <w:color w:val="auto"/>
        <w:sz w:val="22"/>
        <w:szCs w:val="22"/>
      </w:rPr>
    </w:lvl>
    <w:lvl w:ilvl="1" w:tplc="AD8ED220">
      <w:start w:val="1"/>
      <w:numFmt w:val="lowerLetter"/>
      <w:lvlText w:val="%2."/>
      <w:lvlJc w:val="left"/>
      <w:pPr>
        <w:ind w:left="360" w:hanging="360"/>
      </w:pPr>
      <w:rPr>
        <w:b/>
        <w:color w:val="auto"/>
      </w:rPr>
    </w:lvl>
    <w:lvl w:ilvl="2" w:tplc="585C1C32">
      <w:start w:val="1"/>
      <w:numFmt w:val="decimal"/>
      <w:lvlText w:val="%3."/>
      <w:lvlJc w:val="left"/>
      <w:pPr>
        <w:ind w:left="360" w:hanging="360"/>
      </w:pPr>
      <w:rPr>
        <w:rFonts w:hint="default"/>
        <w:b/>
        <w:color w:val="auto"/>
      </w:rPr>
    </w:lvl>
    <w:lvl w:ilvl="3" w:tplc="ADF28BA2">
      <w:start w:val="1"/>
      <w:numFmt w:val="lowerRoman"/>
      <w:lvlText w:val="(%4)"/>
      <w:lvlJc w:val="lef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92D0921"/>
    <w:multiLevelType w:val="multilevel"/>
    <w:tmpl w:val="4F84E04C"/>
    <w:styleLink w:val="Style6"/>
    <w:lvl w:ilvl="0">
      <w:start w:val="1"/>
      <w:numFmt w:val="upperRoman"/>
      <w:lvlText w:val="%1."/>
      <w:lvlJc w:val="center"/>
      <w:pPr>
        <w:tabs>
          <w:tab w:val="num" w:pos="1304"/>
        </w:tabs>
        <w:ind w:left="1474" w:hanging="1474"/>
      </w:pPr>
      <w:rPr>
        <w:rFonts w:hint="default"/>
        <w:b w:val="0"/>
        <w:bCs w:val="0"/>
        <w:i w:val="0"/>
        <w:iCs w:val="0"/>
      </w:rPr>
    </w:lvl>
    <w:lvl w:ilvl="1">
      <w:start w:val="1"/>
      <w:numFmt w:val="lowerLetter"/>
      <w:lvlText w:val="%2."/>
      <w:lvlJc w:val="left"/>
      <w:pPr>
        <w:tabs>
          <w:tab w:val="num" w:pos="1440"/>
        </w:tabs>
        <w:ind w:left="1440" w:hanging="360"/>
      </w:pPr>
      <w:rPr>
        <w:rFonts w:hint="default"/>
      </w:rPr>
    </w:lvl>
    <w:lvl w:ilvl="2">
      <w:start w:val="1"/>
      <w:numFmt w:val="upp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4CF93DD7"/>
    <w:multiLevelType w:val="hybridMultilevel"/>
    <w:tmpl w:val="5B041050"/>
    <w:lvl w:ilvl="0" w:tplc="71F0A90A">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D0A3E70"/>
    <w:multiLevelType w:val="hybridMultilevel"/>
    <w:tmpl w:val="E85833AA"/>
    <w:lvl w:ilvl="0" w:tplc="C750D318">
      <w:start w:val="1"/>
      <w:numFmt w:val="lowerRoman"/>
      <w:lvlText w:val="(%1)"/>
      <w:lvlJc w:val="left"/>
      <w:pPr>
        <w:ind w:left="720" w:hanging="360"/>
      </w:pPr>
      <w:rPr>
        <w:rFonts w:hint="default"/>
        <w:b w:val="0"/>
        <w:color w:val="auto"/>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4E0A224D"/>
    <w:multiLevelType w:val="hybridMultilevel"/>
    <w:tmpl w:val="44D4D98A"/>
    <w:lvl w:ilvl="0" w:tplc="E02CA064">
      <w:start w:val="1"/>
      <w:numFmt w:val="decimal"/>
      <w:lvlText w:val="%1."/>
      <w:lvlJc w:val="left"/>
      <w:pPr>
        <w:ind w:left="2160" w:hanging="18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FA12AF4"/>
    <w:multiLevelType w:val="hybridMultilevel"/>
    <w:tmpl w:val="63845E9E"/>
    <w:lvl w:ilvl="0" w:tplc="48204126">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1" w15:restartNumberingAfterBreak="0">
    <w:nsid w:val="50FF0558"/>
    <w:multiLevelType w:val="hybridMultilevel"/>
    <w:tmpl w:val="633A3A5E"/>
    <w:lvl w:ilvl="0" w:tplc="CCAEE5FC">
      <w:start w:val="1"/>
      <w:numFmt w:val="upperRoman"/>
      <w:lvlText w:val="%1."/>
      <w:lvlJc w:val="left"/>
      <w:pPr>
        <w:ind w:left="1080" w:hanging="720"/>
      </w:pPr>
      <w:rPr>
        <w:rFonts w:ascii="Microsoft Sans Serif" w:hAnsi="Microsoft Sans Serif" w:cs="Microsoft Sans Serif" w:hint="default"/>
        <w:b/>
        <w:color w:val="auto"/>
        <w:sz w:val="22"/>
        <w:szCs w:val="22"/>
      </w:rPr>
    </w:lvl>
    <w:lvl w:ilvl="1" w:tplc="E2A20106">
      <w:start w:val="1"/>
      <w:numFmt w:val="lowerLetter"/>
      <w:lvlText w:val="%2."/>
      <w:lvlJc w:val="left"/>
      <w:pPr>
        <w:ind w:left="360" w:hanging="360"/>
      </w:pPr>
      <w:rPr>
        <w:b/>
        <w:color w:val="auto"/>
      </w:rPr>
    </w:lvl>
    <w:lvl w:ilvl="2" w:tplc="7F8C8EE2">
      <w:start w:val="1"/>
      <w:numFmt w:val="decimal"/>
      <w:lvlText w:val="%3."/>
      <w:lvlJc w:val="left"/>
      <w:pPr>
        <w:ind w:left="360" w:hanging="360"/>
      </w:pPr>
      <w:rPr>
        <w:rFonts w:hint="default"/>
        <w:b/>
        <w:color w:val="auto"/>
      </w:rPr>
    </w:lvl>
    <w:lvl w:ilvl="3" w:tplc="6876FC92">
      <w:start w:val="1"/>
      <w:numFmt w:val="lowerRoman"/>
      <w:lvlText w:val="(%4)"/>
      <w:lvlJc w:val="right"/>
      <w:pPr>
        <w:ind w:left="3240" w:hanging="720"/>
      </w:pPr>
      <w:rPr>
        <w:rFonts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17410D0"/>
    <w:multiLevelType w:val="hybridMultilevel"/>
    <w:tmpl w:val="49ACD2B0"/>
    <w:lvl w:ilvl="0" w:tplc="260CDFCE">
      <w:start w:val="1"/>
      <w:numFmt w:val="lowerRoman"/>
      <w:lvlText w:val="(%1)"/>
      <w:lvlJc w:val="left"/>
      <w:pPr>
        <w:ind w:left="720" w:hanging="360"/>
      </w:pPr>
      <w:rPr>
        <w:rFonts w:hint="default"/>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52137A3A"/>
    <w:multiLevelType w:val="hybridMultilevel"/>
    <w:tmpl w:val="614282F8"/>
    <w:lvl w:ilvl="0" w:tplc="D9727A86">
      <w:start w:val="1"/>
      <w:numFmt w:val="lowerLetter"/>
      <w:lvlText w:val="%1."/>
      <w:lvlJc w:val="left"/>
      <w:pPr>
        <w:ind w:left="720" w:hanging="360"/>
      </w:pPr>
      <w:rPr>
        <w:b/>
        <w:i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52FC627A"/>
    <w:multiLevelType w:val="hybridMultilevel"/>
    <w:tmpl w:val="EC3A156A"/>
    <w:lvl w:ilvl="0" w:tplc="EE1AEB98">
      <w:start w:val="1"/>
      <w:numFmt w:val="upperRoman"/>
      <w:lvlText w:val="%1."/>
      <w:lvlJc w:val="left"/>
      <w:pPr>
        <w:ind w:left="720" w:hanging="720"/>
      </w:pPr>
      <w:rPr>
        <w:rFonts w:hint="default"/>
        <w:b/>
        <w:color w:val="auto"/>
        <w:sz w:val="22"/>
        <w:szCs w:val="22"/>
      </w:rPr>
    </w:lvl>
    <w:lvl w:ilvl="1" w:tplc="A43C32F2">
      <w:numFmt w:val="bullet"/>
      <w:lvlText w:val="•"/>
      <w:lvlJc w:val="left"/>
      <w:pPr>
        <w:ind w:left="1440" w:hanging="360"/>
      </w:pPr>
      <w:rPr>
        <w:rFonts w:ascii="Microsoft Sans Serif" w:eastAsia="Times New Roman" w:hAnsi="Microsoft Sans Serif" w:cs="Microsoft Sans Serif"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30B02EA"/>
    <w:multiLevelType w:val="hybridMultilevel"/>
    <w:tmpl w:val="7938CF06"/>
    <w:lvl w:ilvl="0" w:tplc="91E201A0">
      <w:start w:val="1"/>
      <w:numFmt w:val="lowerRoman"/>
      <w:lvlText w:val="(%1)"/>
      <w:lvlJc w:val="left"/>
      <w:pPr>
        <w:ind w:left="720" w:hanging="720"/>
      </w:pPr>
      <w:rPr>
        <w:rFonts w:hint="default"/>
        <w:b w:val="0"/>
        <w:color w:val="auto"/>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6" w15:restartNumberingAfterBreak="0">
    <w:nsid w:val="569605EE"/>
    <w:multiLevelType w:val="hybridMultilevel"/>
    <w:tmpl w:val="0AE42272"/>
    <w:lvl w:ilvl="0" w:tplc="BA52703A">
      <w:start w:val="1"/>
      <w:numFmt w:val="lowerRoman"/>
      <w:lvlText w:val="(%1)"/>
      <w:lvlJc w:val="right"/>
      <w:pPr>
        <w:ind w:left="652" w:hanging="360"/>
      </w:pPr>
      <w:rPr>
        <w:rFonts w:hint="default"/>
        <w:b w:val="0"/>
        <w:color w:val="auto"/>
      </w:rPr>
    </w:lvl>
    <w:lvl w:ilvl="1" w:tplc="041F0019" w:tentative="1">
      <w:start w:val="1"/>
      <w:numFmt w:val="lowerLetter"/>
      <w:lvlText w:val="%2."/>
      <w:lvlJc w:val="left"/>
      <w:pPr>
        <w:ind w:left="1372" w:hanging="360"/>
      </w:pPr>
    </w:lvl>
    <w:lvl w:ilvl="2" w:tplc="041F001B" w:tentative="1">
      <w:start w:val="1"/>
      <w:numFmt w:val="lowerRoman"/>
      <w:lvlText w:val="%3."/>
      <w:lvlJc w:val="right"/>
      <w:pPr>
        <w:ind w:left="2092" w:hanging="180"/>
      </w:pPr>
    </w:lvl>
    <w:lvl w:ilvl="3" w:tplc="041F000F" w:tentative="1">
      <w:start w:val="1"/>
      <w:numFmt w:val="decimal"/>
      <w:lvlText w:val="%4."/>
      <w:lvlJc w:val="left"/>
      <w:pPr>
        <w:ind w:left="2812" w:hanging="360"/>
      </w:pPr>
    </w:lvl>
    <w:lvl w:ilvl="4" w:tplc="041F0019" w:tentative="1">
      <w:start w:val="1"/>
      <w:numFmt w:val="lowerLetter"/>
      <w:lvlText w:val="%5."/>
      <w:lvlJc w:val="left"/>
      <w:pPr>
        <w:ind w:left="3532" w:hanging="360"/>
      </w:pPr>
    </w:lvl>
    <w:lvl w:ilvl="5" w:tplc="041F001B" w:tentative="1">
      <w:start w:val="1"/>
      <w:numFmt w:val="lowerRoman"/>
      <w:lvlText w:val="%6."/>
      <w:lvlJc w:val="right"/>
      <w:pPr>
        <w:ind w:left="4252" w:hanging="180"/>
      </w:pPr>
    </w:lvl>
    <w:lvl w:ilvl="6" w:tplc="041F000F" w:tentative="1">
      <w:start w:val="1"/>
      <w:numFmt w:val="decimal"/>
      <w:lvlText w:val="%7."/>
      <w:lvlJc w:val="left"/>
      <w:pPr>
        <w:ind w:left="4972" w:hanging="360"/>
      </w:pPr>
    </w:lvl>
    <w:lvl w:ilvl="7" w:tplc="041F0019" w:tentative="1">
      <w:start w:val="1"/>
      <w:numFmt w:val="lowerLetter"/>
      <w:lvlText w:val="%8."/>
      <w:lvlJc w:val="left"/>
      <w:pPr>
        <w:ind w:left="5692" w:hanging="360"/>
      </w:pPr>
    </w:lvl>
    <w:lvl w:ilvl="8" w:tplc="041F001B" w:tentative="1">
      <w:start w:val="1"/>
      <w:numFmt w:val="lowerRoman"/>
      <w:lvlText w:val="%9."/>
      <w:lvlJc w:val="right"/>
      <w:pPr>
        <w:ind w:left="6412" w:hanging="180"/>
      </w:pPr>
    </w:lvl>
  </w:abstractNum>
  <w:abstractNum w:abstractNumId="57" w15:restartNumberingAfterBreak="0">
    <w:nsid w:val="56CA4D3D"/>
    <w:multiLevelType w:val="hybridMultilevel"/>
    <w:tmpl w:val="AC629C3E"/>
    <w:lvl w:ilvl="0" w:tplc="B7E0BD46">
      <w:start w:val="1"/>
      <w:numFmt w:val="upperRoman"/>
      <w:lvlText w:val="%1."/>
      <w:lvlJc w:val="left"/>
      <w:pPr>
        <w:ind w:left="720" w:hanging="720"/>
      </w:pPr>
      <w:rPr>
        <w:rFonts w:ascii="Microsoft Sans Serif" w:hAnsi="Microsoft Sans Serif" w:cs="Microsoft Sans Serif"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8" w15:restartNumberingAfterBreak="0">
    <w:nsid w:val="57412FBD"/>
    <w:multiLevelType w:val="hybridMultilevel"/>
    <w:tmpl w:val="549C5D0A"/>
    <w:lvl w:ilvl="0" w:tplc="A6AA634C">
      <w:start w:val="1"/>
      <w:numFmt w:val="lowerLetter"/>
      <w:lvlText w:val="%1."/>
      <w:lvlJc w:val="left"/>
      <w:pPr>
        <w:ind w:left="36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59974B9B"/>
    <w:multiLevelType w:val="hybridMultilevel"/>
    <w:tmpl w:val="D93689BA"/>
    <w:lvl w:ilvl="0" w:tplc="22F67FC8">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0" w15:restartNumberingAfterBreak="0">
    <w:nsid w:val="62E370DD"/>
    <w:multiLevelType w:val="hybridMultilevel"/>
    <w:tmpl w:val="D6309FD0"/>
    <w:lvl w:ilvl="0" w:tplc="4C26C20C">
      <w:start w:val="1"/>
      <w:numFmt w:val="lowerRoman"/>
      <w:lvlText w:val="(%1)"/>
      <w:lvlJc w:val="left"/>
      <w:pPr>
        <w:ind w:left="720" w:hanging="720"/>
      </w:pPr>
      <w:rPr>
        <w:rFonts w:hint="default"/>
        <w:b w:val="0"/>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1" w15:restartNumberingAfterBreak="0">
    <w:nsid w:val="6350316E"/>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3822EB1"/>
    <w:multiLevelType w:val="hybridMultilevel"/>
    <w:tmpl w:val="5B94B41E"/>
    <w:lvl w:ilvl="0" w:tplc="D8106050">
      <w:start w:val="1"/>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3" w15:restartNumberingAfterBreak="0">
    <w:nsid w:val="67F748D8"/>
    <w:multiLevelType w:val="hybridMultilevel"/>
    <w:tmpl w:val="FF0E6AB4"/>
    <w:lvl w:ilvl="0" w:tplc="C13A66B0">
      <w:start w:val="1"/>
      <w:numFmt w:val="decimal"/>
      <w:lvlText w:val="%1."/>
      <w:lvlJc w:val="left"/>
      <w:pPr>
        <w:ind w:left="720" w:hanging="360"/>
      </w:pPr>
      <w:rPr>
        <w:rFonts w:hint="default"/>
        <w:color w:val="auto"/>
        <w:sz w:val="20"/>
        <w:szCs w:val="2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4" w15:restartNumberingAfterBreak="0">
    <w:nsid w:val="693A1230"/>
    <w:multiLevelType w:val="hybridMultilevel"/>
    <w:tmpl w:val="47085FEC"/>
    <w:lvl w:ilvl="0" w:tplc="5DF4CE84">
      <w:start w:val="1"/>
      <w:numFmt w:val="upperRoman"/>
      <w:lvlText w:val="%1."/>
      <w:lvlJc w:val="left"/>
      <w:pPr>
        <w:ind w:left="3130" w:hanging="720"/>
      </w:pPr>
      <w:rPr>
        <w:rFonts w:hint="default"/>
        <w:b w:val="0"/>
        <w:sz w:val="22"/>
        <w:szCs w:val="22"/>
      </w:rPr>
    </w:lvl>
    <w:lvl w:ilvl="1" w:tplc="041F0019" w:tentative="1">
      <w:start w:val="1"/>
      <w:numFmt w:val="lowerLetter"/>
      <w:lvlText w:val="%2."/>
      <w:lvlJc w:val="left"/>
      <w:pPr>
        <w:ind w:left="3916" w:hanging="360"/>
      </w:pPr>
    </w:lvl>
    <w:lvl w:ilvl="2" w:tplc="041F001B" w:tentative="1">
      <w:start w:val="1"/>
      <w:numFmt w:val="lowerRoman"/>
      <w:lvlText w:val="%3."/>
      <w:lvlJc w:val="right"/>
      <w:pPr>
        <w:ind w:left="4636" w:hanging="180"/>
      </w:pPr>
    </w:lvl>
    <w:lvl w:ilvl="3" w:tplc="041F000F" w:tentative="1">
      <w:start w:val="1"/>
      <w:numFmt w:val="decimal"/>
      <w:lvlText w:val="%4."/>
      <w:lvlJc w:val="left"/>
      <w:pPr>
        <w:ind w:left="5356" w:hanging="360"/>
      </w:pPr>
    </w:lvl>
    <w:lvl w:ilvl="4" w:tplc="041F0019" w:tentative="1">
      <w:start w:val="1"/>
      <w:numFmt w:val="lowerLetter"/>
      <w:lvlText w:val="%5."/>
      <w:lvlJc w:val="left"/>
      <w:pPr>
        <w:ind w:left="6076" w:hanging="360"/>
      </w:pPr>
    </w:lvl>
    <w:lvl w:ilvl="5" w:tplc="041F001B" w:tentative="1">
      <w:start w:val="1"/>
      <w:numFmt w:val="lowerRoman"/>
      <w:lvlText w:val="%6."/>
      <w:lvlJc w:val="right"/>
      <w:pPr>
        <w:ind w:left="6796" w:hanging="180"/>
      </w:pPr>
    </w:lvl>
    <w:lvl w:ilvl="6" w:tplc="041F000F" w:tentative="1">
      <w:start w:val="1"/>
      <w:numFmt w:val="decimal"/>
      <w:lvlText w:val="%7."/>
      <w:lvlJc w:val="left"/>
      <w:pPr>
        <w:ind w:left="7516" w:hanging="360"/>
      </w:pPr>
    </w:lvl>
    <w:lvl w:ilvl="7" w:tplc="041F0019" w:tentative="1">
      <w:start w:val="1"/>
      <w:numFmt w:val="lowerLetter"/>
      <w:lvlText w:val="%8."/>
      <w:lvlJc w:val="left"/>
      <w:pPr>
        <w:ind w:left="8236" w:hanging="360"/>
      </w:pPr>
    </w:lvl>
    <w:lvl w:ilvl="8" w:tplc="041F001B" w:tentative="1">
      <w:start w:val="1"/>
      <w:numFmt w:val="lowerRoman"/>
      <w:lvlText w:val="%9."/>
      <w:lvlJc w:val="right"/>
      <w:pPr>
        <w:ind w:left="8956" w:hanging="180"/>
      </w:pPr>
    </w:lvl>
  </w:abstractNum>
  <w:abstractNum w:abstractNumId="65" w15:restartNumberingAfterBreak="0">
    <w:nsid w:val="69C15F8C"/>
    <w:multiLevelType w:val="hybridMultilevel"/>
    <w:tmpl w:val="C694D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15:restartNumberingAfterBreak="0">
    <w:nsid w:val="6BB83E3E"/>
    <w:multiLevelType w:val="hybridMultilevel"/>
    <w:tmpl w:val="44F6E160"/>
    <w:lvl w:ilvl="0" w:tplc="A4BEB1A0">
      <w:start w:val="1"/>
      <w:numFmt w:val="lowerLetter"/>
      <w:lvlText w:val="%1."/>
      <w:lvlJc w:val="left"/>
      <w:pPr>
        <w:ind w:left="360" w:hanging="360"/>
      </w:pPr>
      <w:rPr>
        <w:rFonts w:hint="default"/>
        <w:b/>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7"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68" w15:restartNumberingAfterBreak="0">
    <w:nsid w:val="71CD1C01"/>
    <w:multiLevelType w:val="hybridMultilevel"/>
    <w:tmpl w:val="6F2EA94E"/>
    <w:lvl w:ilvl="0" w:tplc="2D8A85B4">
      <w:start w:val="6"/>
      <w:numFmt w:val="upperRoman"/>
      <w:lvlText w:val="%1."/>
      <w:lvlJc w:val="left"/>
      <w:pPr>
        <w:ind w:left="720" w:hanging="720"/>
      </w:pPr>
      <w:rPr>
        <w:rFonts w:hint="default"/>
        <w:b/>
        <w:color w:val="auto"/>
        <w:sz w:val="22"/>
        <w:szCs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75342D60"/>
    <w:multiLevelType w:val="hybridMultilevel"/>
    <w:tmpl w:val="1C7059F2"/>
    <w:lvl w:ilvl="0" w:tplc="1724304C">
      <w:start w:val="1"/>
      <w:numFmt w:val="lowerLetter"/>
      <w:lvlText w:val="%1."/>
      <w:lvlJc w:val="left"/>
      <w:pPr>
        <w:ind w:left="720" w:hanging="360"/>
      </w:pPr>
      <w:rPr>
        <w:rFonts w:ascii="Microsoft Sans Serif" w:hAnsi="Microsoft Sans Serif" w:cs="Microsoft Sans Serif"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78C325D0"/>
    <w:multiLevelType w:val="hybridMultilevel"/>
    <w:tmpl w:val="BC0823F0"/>
    <w:lvl w:ilvl="0" w:tplc="0409000F">
      <w:start w:val="1"/>
      <w:numFmt w:val="decimal"/>
      <w:lvlText w:val="%1."/>
      <w:lvlJc w:val="left"/>
      <w:pPr>
        <w:ind w:left="36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1" w15:restartNumberingAfterBreak="0">
    <w:nsid w:val="7C10422E"/>
    <w:multiLevelType w:val="hybridMultilevel"/>
    <w:tmpl w:val="92AA26E6"/>
    <w:lvl w:ilvl="0" w:tplc="0409000F">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10"/>
  </w:num>
  <w:num w:numId="3">
    <w:abstractNumId w:val="35"/>
  </w:num>
  <w:num w:numId="4">
    <w:abstractNumId w:val="21"/>
  </w:num>
  <w:num w:numId="5">
    <w:abstractNumId w:val="64"/>
  </w:num>
  <w:num w:numId="6">
    <w:abstractNumId w:val="32"/>
  </w:num>
  <w:num w:numId="7">
    <w:abstractNumId w:val="17"/>
  </w:num>
  <w:num w:numId="8">
    <w:abstractNumId w:val="4"/>
  </w:num>
  <w:num w:numId="9">
    <w:abstractNumId w:val="22"/>
  </w:num>
  <w:num w:numId="10">
    <w:abstractNumId w:val="59"/>
  </w:num>
  <w:num w:numId="11">
    <w:abstractNumId w:val="50"/>
  </w:num>
  <w:num w:numId="12">
    <w:abstractNumId w:val="1"/>
  </w:num>
  <w:num w:numId="13">
    <w:abstractNumId w:val="2"/>
  </w:num>
  <w:num w:numId="14">
    <w:abstractNumId w:val="58"/>
  </w:num>
  <w:num w:numId="15">
    <w:abstractNumId w:val="66"/>
  </w:num>
  <w:num w:numId="16">
    <w:abstractNumId w:val="34"/>
  </w:num>
  <w:num w:numId="17">
    <w:abstractNumId w:val="36"/>
  </w:num>
  <w:num w:numId="18">
    <w:abstractNumId w:val="29"/>
  </w:num>
  <w:num w:numId="19">
    <w:abstractNumId w:val="19"/>
  </w:num>
  <w:num w:numId="20">
    <w:abstractNumId w:val="27"/>
  </w:num>
  <w:num w:numId="21">
    <w:abstractNumId w:val="13"/>
  </w:num>
  <w:num w:numId="22">
    <w:abstractNumId w:val="55"/>
  </w:num>
  <w:num w:numId="23">
    <w:abstractNumId w:val="9"/>
  </w:num>
  <w:num w:numId="24">
    <w:abstractNumId w:val="60"/>
  </w:num>
  <w:num w:numId="25">
    <w:abstractNumId w:val="16"/>
  </w:num>
  <w:num w:numId="26">
    <w:abstractNumId w:val="20"/>
  </w:num>
  <w:num w:numId="27">
    <w:abstractNumId w:val="24"/>
  </w:num>
  <w:num w:numId="28">
    <w:abstractNumId w:val="48"/>
  </w:num>
  <w:num w:numId="29">
    <w:abstractNumId w:val="37"/>
  </w:num>
  <w:num w:numId="30">
    <w:abstractNumId w:val="3"/>
  </w:num>
  <w:num w:numId="31">
    <w:abstractNumId w:val="68"/>
  </w:num>
  <w:num w:numId="32">
    <w:abstractNumId w:val="46"/>
  </w:num>
  <w:num w:numId="33">
    <w:abstractNumId w:val="12"/>
  </w:num>
  <w:num w:numId="34">
    <w:abstractNumId w:val="15"/>
  </w:num>
  <w:num w:numId="35">
    <w:abstractNumId w:val="57"/>
  </w:num>
  <w:num w:numId="36">
    <w:abstractNumId w:val="38"/>
  </w:num>
  <w:num w:numId="37">
    <w:abstractNumId w:val="6"/>
  </w:num>
  <w:num w:numId="38">
    <w:abstractNumId w:val="49"/>
  </w:num>
  <w:num w:numId="39">
    <w:abstractNumId w:val="44"/>
  </w:num>
  <w:num w:numId="40">
    <w:abstractNumId w:val="40"/>
  </w:num>
  <w:num w:numId="41">
    <w:abstractNumId w:val="54"/>
  </w:num>
  <w:num w:numId="42">
    <w:abstractNumId w:val="52"/>
  </w:num>
  <w:num w:numId="43">
    <w:abstractNumId w:val="47"/>
  </w:num>
  <w:num w:numId="44">
    <w:abstractNumId w:val="26"/>
  </w:num>
  <w:num w:numId="45">
    <w:abstractNumId w:val="69"/>
  </w:num>
  <w:num w:numId="46">
    <w:abstractNumId w:val="25"/>
  </w:num>
  <w:num w:numId="47">
    <w:abstractNumId w:val="0"/>
  </w:num>
  <w:num w:numId="48">
    <w:abstractNumId w:val="42"/>
  </w:num>
  <w:num w:numId="49">
    <w:abstractNumId w:val="62"/>
  </w:num>
  <w:num w:numId="50">
    <w:abstractNumId w:val="65"/>
  </w:num>
  <w:num w:numId="51">
    <w:abstractNumId w:val="53"/>
  </w:num>
  <w:num w:numId="52">
    <w:abstractNumId w:val="33"/>
  </w:num>
  <w:num w:numId="53">
    <w:abstractNumId w:val="61"/>
  </w:num>
  <w:num w:numId="54">
    <w:abstractNumId w:val="31"/>
  </w:num>
  <w:num w:numId="55">
    <w:abstractNumId w:val="5"/>
  </w:num>
  <w:num w:numId="56">
    <w:abstractNumId w:val="56"/>
  </w:num>
  <w:num w:numId="57">
    <w:abstractNumId w:val="63"/>
  </w:num>
  <w:num w:numId="58">
    <w:abstractNumId w:val="11"/>
  </w:num>
  <w:num w:numId="59">
    <w:abstractNumId w:val="70"/>
  </w:num>
  <w:num w:numId="60">
    <w:abstractNumId w:val="71"/>
  </w:num>
  <w:num w:numId="61">
    <w:abstractNumId w:val="23"/>
  </w:num>
  <w:num w:numId="62">
    <w:abstractNumId w:val="41"/>
  </w:num>
  <w:num w:numId="63">
    <w:abstractNumId w:val="43"/>
  </w:num>
  <w:num w:numId="64">
    <w:abstractNumId w:val="8"/>
  </w:num>
  <w:num w:numId="65">
    <w:abstractNumId w:val="45"/>
  </w:num>
  <w:num w:numId="66">
    <w:abstractNumId w:val="39"/>
  </w:num>
  <w:num w:numId="67">
    <w:abstractNumId w:val="14"/>
  </w:num>
  <w:num w:numId="68">
    <w:abstractNumId w:val="51"/>
  </w:num>
  <w:num w:numId="69">
    <w:abstractNumId w:val="30"/>
  </w:num>
  <w:num w:numId="70">
    <w:abstractNumId w:val="28"/>
  </w:num>
  <w:num w:numId="71">
    <w:abstractNumId w:val="67"/>
  </w:num>
  <w:num w:numId="72">
    <w:abstractNumId w:val="1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AU" w:vendorID="64" w:dllVersion="6" w:nlCheck="1" w:checkStyle="1"/>
  <w:activeWritingStyle w:appName="MSWord" w:lang="ar-SA" w:vendorID="64" w:dllVersion="6" w:nlCheck="1" w:checkStyle="0"/>
  <w:activeWritingStyle w:appName="MSWord" w:lang="de-DE" w:vendorID="64" w:dllVersion="6" w:nlCheck="1" w:checkStyle="0"/>
  <w:activeWritingStyle w:appName="MSWord" w:lang="tr-TR"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tr-TR" w:vendorID="64" w:dllVersion="0" w:nlCheck="1" w:checkStyle="0"/>
  <w:activeWritingStyle w:appName="MSWord" w:lang="es-ES" w:vendorID="64" w:dllVersion="0" w:nlCheck="1" w:checkStyle="0"/>
  <w:activeWritingStyle w:appName="MSWord" w:lang="en-US" w:vendorID="64" w:dllVersion="0" w:nlCheck="1" w:checkStyle="0"/>
  <w:activeWritingStyle w:appName="MSWord" w:lang="fr-FR" w:vendorID="64" w:dllVersion="0" w:nlCheck="1" w:checkStyle="0"/>
  <w:activeWritingStyle w:appName="MSWord" w:lang="es-ES" w:vendorID="64" w:dllVersion="4096" w:nlCheck="1" w:checkStyle="0"/>
  <w:activeWritingStyle w:appName="MSWord" w:lang="en-AU" w:vendorID="64" w:dllVersion="4096" w:nlCheck="1" w:checkStyle="0"/>
  <w:defaultTabStop w:val="0"/>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629"/>
    <w:rsid w:val="0000024B"/>
    <w:rsid w:val="00000513"/>
    <w:rsid w:val="000007E6"/>
    <w:rsid w:val="00000BEE"/>
    <w:rsid w:val="00001214"/>
    <w:rsid w:val="00001F11"/>
    <w:rsid w:val="00002739"/>
    <w:rsid w:val="000029BE"/>
    <w:rsid w:val="00002A59"/>
    <w:rsid w:val="00002B52"/>
    <w:rsid w:val="00002B76"/>
    <w:rsid w:val="00002BB6"/>
    <w:rsid w:val="000039AF"/>
    <w:rsid w:val="00003EDE"/>
    <w:rsid w:val="00003F34"/>
    <w:rsid w:val="000040BE"/>
    <w:rsid w:val="0000429B"/>
    <w:rsid w:val="00004450"/>
    <w:rsid w:val="00004497"/>
    <w:rsid w:val="000046B5"/>
    <w:rsid w:val="00004B39"/>
    <w:rsid w:val="00004C12"/>
    <w:rsid w:val="00004C2E"/>
    <w:rsid w:val="00004D24"/>
    <w:rsid w:val="0000509C"/>
    <w:rsid w:val="000050B8"/>
    <w:rsid w:val="00005375"/>
    <w:rsid w:val="000056FB"/>
    <w:rsid w:val="00005746"/>
    <w:rsid w:val="00005EAF"/>
    <w:rsid w:val="00005EF2"/>
    <w:rsid w:val="00006475"/>
    <w:rsid w:val="00006955"/>
    <w:rsid w:val="00006AB1"/>
    <w:rsid w:val="00006E51"/>
    <w:rsid w:val="000070F6"/>
    <w:rsid w:val="0000787B"/>
    <w:rsid w:val="0000795B"/>
    <w:rsid w:val="00007965"/>
    <w:rsid w:val="00007F5E"/>
    <w:rsid w:val="000101D1"/>
    <w:rsid w:val="000102DF"/>
    <w:rsid w:val="00010315"/>
    <w:rsid w:val="000105C0"/>
    <w:rsid w:val="0001080E"/>
    <w:rsid w:val="00010919"/>
    <w:rsid w:val="00011081"/>
    <w:rsid w:val="000116A3"/>
    <w:rsid w:val="00012178"/>
    <w:rsid w:val="000121B2"/>
    <w:rsid w:val="000124BE"/>
    <w:rsid w:val="000125E6"/>
    <w:rsid w:val="00013352"/>
    <w:rsid w:val="00013485"/>
    <w:rsid w:val="0001349A"/>
    <w:rsid w:val="000134A5"/>
    <w:rsid w:val="00013ADD"/>
    <w:rsid w:val="00013C78"/>
    <w:rsid w:val="0001437F"/>
    <w:rsid w:val="00014419"/>
    <w:rsid w:val="00014746"/>
    <w:rsid w:val="00015BAE"/>
    <w:rsid w:val="00015CB1"/>
    <w:rsid w:val="000161C0"/>
    <w:rsid w:val="000161CC"/>
    <w:rsid w:val="000165C5"/>
    <w:rsid w:val="000168BC"/>
    <w:rsid w:val="00016962"/>
    <w:rsid w:val="00016B8F"/>
    <w:rsid w:val="00016BB1"/>
    <w:rsid w:val="0001740F"/>
    <w:rsid w:val="00017ABF"/>
    <w:rsid w:val="0002053F"/>
    <w:rsid w:val="00020695"/>
    <w:rsid w:val="000207AD"/>
    <w:rsid w:val="000209C9"/>
    <w:rsid w:val="00020A9D"/>
    <w:rsid w:val="00020D0B"/>
    <w:rsid w:val="00021090"/>
    <w:rsid w:val="000215F5"/>
    <w:rsid w:val="00021B17"/>
    <w:rsid w:val="00021F47"/>
    <w:rsid w:val="0002200E"/>
    <w:rsid w:val="0002283C"/>
    <w:rsid w:val="00022A25"/>
    <w:rsid w:val="00023267"/>
    <w:rsid w:val="000232A4"/>
    <w:rsid w:val="00023463"/>
    <w:rsid w:val="000234FC"/>
    <w:rsid w:val="0002375C"/>
    <w:rsid w:val="000238AE"/>
    <w:rsid w:val="00023A61"/>
    <w:rsid w:val="00023AB7"/>
    <w:rsid w:val="00023BC4"/>
    <w:rsid w:val="00023EBF"/>
    <w:rsid w:val="0002442F"/>
    <w:rsid w:val="00024438"/>
    <w:rsid w:val="00024485"/>
    <w:rsid w:val="000247B5"/>
    <w:rsid w:val="00024887"/>
    <w:rsid w:val="00024B1D"/>
    <w:rsid w:val="00024CB1"/>
    <w:rsid w:val="00025077"/>
    <w:rsid w:val="00025A4B"/>
    <w:rsid w:val="00025C91"/>
    <w:rsid w:val="00025CAC"/>
    <w:rsid w:val="00025F3F"/>
    <w:rsid w:val="0002621F"/>
    <w:rsid w:val="000271B1"/>
    <w:rsid w:val="00027870"/>
    <w:rsid w:val="00027B74"/>
    <w:rsid w:val="00027C3C"/>
    <w:rsid w:val="00027DFD"/>
    <w:rsid w:val="0003006C"/>
    <w:rsid w:val="000304EA"/>
    <w:rsid w:val="00030770"/>
    <w:rsid w:val="00030A39"/>
    <w:rsid w:val="0003112E"/>
    <w:rsid w:val="000317A3"/>
    <w:rsid w:val="00032025"/>
    <w:rsid w:val="00032029"/>
    <w:rsid w:val="000325A9"/>
    <w:rsid w:val="00032905"/>
    <w:rsid w:val="000329A2"/>
    <w:rsid w:val="000329C1"/>
    <w:rsid w:val="00032D1D"/>
    <w:rsid w:val="00032DC3"/>
    <w:rsid w:val="00032E86"/>
    <w:rsid w:val="0003319A"/>
    <w:rsid w:val="0003319F"/>
    <w:rsid w:val="0003320B"/>
    <w:rsid w:val="00033288"/>
    <w:rsid w:val="000332BC"/>
    <w:rsid w:val="0003343B"/>
    <w:rsid w:val="000342E6"/>
    <w:rsid w:val="00034479"/>
    <w:rsid w:val="00034523"/>
    <w:rsid w:val="00034B0C"/>
    <w:rsid w:val="00034B2B"/>
    <w:rsid w:val="00034F04"/>
    <w:rsid w:val="00035416"/>
    <w:rsid w:val="000355C0"/>
    <w:rsid w:val="00035707"/>
    <w:rsid w:val="0003597E"/>
    <w:rsid w:val="00035A19"/>
    <w:rsid w:val="00035C16"/>
    <w:rsid w:val="00035D13"/>
    <w:rsid w:val="00035D40"/>
    <w:rsid w:val="00035D9C"/>
    <w:rsid w:val="00035E82"/>
    <w:rsid w:val="0003645B"/>
    <w:rsid w:val="00036977"/>
    <w:rsid w:val="00036BFB"/>
    <w:rsid w:val="00036C87"/>
    <w:rsid w:val="00036DBE"/>
    <w:rsid w:val="00036E7D"/>
    <w:rsid w:val="00036F05"/>
    <w:rsid w:val="00037C8B"/>
    <w:rsid w:val="0004091F"/>
    <w:rsid w:val="000409A9"/>
    <w:rsid w:val="0004175F"/>
    <w:rsid w:val="0004196B"/>
    <w:rsid w:val="00041C76"/>
    <w:rsid w:val="00041C99"/>
    <w:rsid w:val="00041CF4"/>
    <w:rsid w:val="00042A52"/>
    <w:rsid w:val="00042C87"/>
    <w:rsid w:val="00042CEE"/>
    <w:rsid w:val="00042D73"/>
    <w:rsid w:val="00042F1B"/>
    <w:rsid w:val="00042F85"/>
    <w:rsid w:val="00043100"/>
    <w:rsid w:val="0004350B"/>
    <w:rsid w:val="0004364C"/>
    <w:rsid w:val="00043985"/>
    <w:rsid w:val="0004404D"/>
    <w:rsid w:val="00044696"/>
    <w:rsid w:val="000446FE"/>
    <w:rsid w:val="00044AB0"/>
    <w:rsid w:val="00045377"/>
    <w:rsid w:val="00045907"/>
    <w:rsid w:val="00046014"/>
    <w:rsid w:val="00046072"/>
    <w:rsid w:val="00046343"/>
    <w:rsid w:val="0004668E"/>
    <w:rsid w:val="0004680E"/>
    <w:rsid w:val="0004683A"/>
    <w:rsid w:val="0004686B"/>
    <w:rsid w:val="00047123"/>
    <w:rsid w:val="0004721E"/>
    <w:rsid w:val="00047364"/>
    <w:rsid w:val="00047823"/>
    <w:rsid w:val="000479A6"/>
    <w:rsid w:val="000479FE"/>
    <w:rsid w:val="00047C87"/>
    <w:rsid w:val="0005018F"/>
    <w:rsid w:val="00050928"/>
    <w:rsid w:val="00050DE3"/>
    <w:rsid w:val="00050E45"/>
    <w:rsid w:val="000514C0"/>
    <w:rsid w:val="00051540"/>
    <w:rsid w:val="00051549"/>
    <w:rsid w:val="00051D84"/>
    <w:rsid w:val="00051DDA"/>
    <w:rsid w:val="00052250"/>
    <w:rsid w:val="000522FB"/>
    <w:rsid w:val="0005232A"/>
    <w:rsid w:val="000523D8"/>
    <w:rsid w:val="0005281F"/>
    <w:rsid w:val="00052853"/>
    <w:rsid w:val="00052D05"/>
    <w:rsid w:val="00052E59"/>
    <w:rsid w:val="0005307E"/>
    <w:rsid w:val="000533E9"/>
    <w:rsid w:val="00053A1D"/>
    <w:rsid w:val="00053B77"/>
    <w:rsid w:val="00053D8A"/>
    <w:rsid w:val="000540A9"/>
    <w:rsid w:val="00054C04"/>
    <w:rsid w:val="00054CB5"/>
    <w:rsid w:val="000552AD"/>
    <w:rsid w:val="000553D1"/>
    <w:rsid w:val="00055BEA"/>
    <w:rsid w:val="00055EF3"/>
    <w:rsid w:val="00056003"/>
    <w:rsid w:val="00056040"/>
    <w:rsid w:val="00056597"/>
    <w:rsid w:val="000566F6"/>
    <w:rsid w:val="00056A0F"/>
    <w:rsid w:val="00056ADA"/>
    <w:rsid w:val="000570A7"/>
    <w:rsid w:val="00057635"/>
    <w:rsid w:val="000578A8"/>
    <w:rsid w:val="00057F33"/>
    <w:rsid w:val="00060031"/>
    <w:rsid w:val="000602B8"/>
    <w:rsid w:val="000607A6"/>
    <w:rsid w:val="000607C3"/>
    <w:rsid w:val="00060B64"/>
    <w:rsid w:val="00061129"/>
    <w:rsid w:val="000613DD"/>
    <w:rsid w:val="00061808"/>
    <w:rsid w:val="00061B7D"/>
    <w:rsid w:val="00061BA9"/>
    <w:rsid w:val="00061EC2"/>
    <w:rsid w:val="00061F18"/>
    <w:rsid w:val="00061FFC"/>
    <w:rsid w:val="0006209B"/>
    <w:rsid w:val="0006221E"/>
    <w:rsid w:val="000622C8"/>
    <w:rsid w:val="00062A49"/>
    <w:rsid w:val="00062AB6"/>
    <w:rsid w:val="00062D36"/>
    <w:rsid w:val="0006331A"/>
    <w:rsid w:val="0006341F"/>
    <w:rsid w:val="00063543"/>
    <w:rsid w:val="00063F41"/>
    <w:rsid w:val="00064345"/>
    <w:rsid w:val="00064A12"/>
    <w:rsid w:val="0006577E"/>
    <w:rsid w:val="00065B3D"/>
    <w:rsid w:val="00065D89"/>
    <w:rsid w:val="00066035"/>
    <w:rsid w:val="0006629A"/>
    <w:rsid w:val="000662E0"/>
    <w:rsid w:val="000664AA"/>
    <w:rsid w:val="00066737"/>
    <w:rsid w:val="0006694E"/>
    <w:rsid w:val="00066C9B"/>
    <w:rsid w:val="00066E0C"/>
    <w:rsid w:val="00067048"/>
    <w:rsid w:val="00067190"/>
    <w:rsid w:val="00067198"/>
    <w:rsid w:val="00067763"/>
    <w:rsid w:val="00067A2C"/>
    <w:rsid w:val="00067DC8"/>
    <w:rsid w:val="00070031"/>
    <w:rsid w:val="000700D4"/>
    <w:rsid w:val="00070800"/>
    <w:rsid w:val="00070841"/>
    <w:rsid w:val="00070C12"/>
    <w:rsid w:val="00070ED7"/>
    <w:rsid w:val="000710EB"/>
    <w:rsid w:val="000713F7"/>
    <w:rsid w:val="00071E24"/>
    <w:rsid w:val="00071EDB"/>
    <w:rsid w:val="0007205D"/>
    <w:rsid w:val="00072A6C"/>
    <w:rsid w:val="00072D85"/>
    <w:rsid w:val="00072EFF"/>
    <w:rsid w:val="00073723"/>
    <w:rsid w:val="0007375B"/>
    <w:rsid w:val="00073819"/>
    <w:rsid w:val="00073AEA"/>
    <w:rsid w:val="00073C43"/>
    <w:rsid w:val="00073FED"/>
    <w:rsid w:val="00074AB1"/>
    <w:rsid w:val="00074EA0"/>
    <w:rsid w:val="000753B7"/>
    <w:rsid w:val="00075472"/>
    <w:rsid w:val="00075861"/>
    <w:rsid w:val="00075AB4"/>
    <w:rsid w:val="00075AE2"/>
    <w:rsid w:val="00075F50"/>
    <w:rsid w:val="000760D6"/>
    <w:rsid w:val="00076418"/>
    <w:rsid w:val="000764EA"/>
    <w:rsid w:val="0007661F"/>
    <w:rsid w:val="00076687"/>
    <w:rsid w:val="00076902"/>
    <w:rsid w:val="00076C9E"/>
    <w:rsid w:val="00077089"/>
    <w:rsid w:val="000771C9"/>
    <w:rsid w:val="0007747C"/>
    <w:rsid w:val="00077BB8"/>
    <w:rsid w:val="000800D9"/>
    <w:rsid w:val="000806C1"/>
    <w:rsid w:val="000816F9"/>
    <w:rsid w:val="000817EC"/>
    <w:rsid w:val="00081810"/>
    <w:rsid w:val="00081C6B"/>
    <w:rsid w:val="00081C7B"/>
    <w:rsid w:val="00081CB1"/>
    <w:rsid w:val="00081F37"/>
    <w:rsid w:val="000822A4"/>
    <w:rsid w:val="00082849"/>
    <w:rsid w:val="0008436C"/>
    <w:rsid w:val="00084387"/>
    <w:rsid w:val="000843B3"/>
    <w:rsid w:val="00084F72"/>
    <w:rsid w:val="0008555A"/>
    <w:rsid w:val="00085945"/>
    <w:rsid w:val="00085A82"/>
    <w:rsid w:val="00085D82"/>
    <w:rsid w:val="00086170"/>
    <w:rsid w:val="000865A6"/>
    <w:rsid w:val="00086917"/>
    <w:rsid w:val="00086A1D"/>
    <w:rsid w:val="00086B6C"/>
    <w:rsid w:val="00086C53"/>
    <w:rsid w:val="00087006"/>
    <w:rsid w:val="0008712F"/>
    <w:rsid w:val="00087B22"/>
    <w:rsid w:val="00087BCD"/>
    <w:rsid w:val="00087BF4"/>
    <w:rsid w:val="00087D93"/>
    <w:rsid w:val="00087F54"/>
    <w:rsid w:val="00090080"/>
    <w:rsid w:val="0009011F"/>
    <w:rsid w:val="000901D8"/>
    <w:rsid w:val="0009046E"/>
    <w:rsid w:val="000908C3"/>
    <w:rsid w:val="000909FE"/>
    <w:rsid w:val="00090BE0"/>
    <w:rsid w:val="00090D4B"/>
    <w:rsid w:val="00090F86"/>
    <w:rsid w:val="000912F8"/>
    <w:rsid w:val="0009147A"/>
    <w:rsid w:val="00091735"/>
    <w:rsid w:val="00091A5A"/>
    <w:rsid w:val="00091B30"/>
    <w:rsid w:val="000920B9"/>
    <w:rsid w:val="000920F6"/>
    <w:rsid w:val="000921D4"/>
    <w:rsid w:val="000922C5"/>
    <w:rsid w:val="00092A4C"/>
    <w:rsid w:val="00092C44"/>
    <w:rsid w:val="00093288"/>
    <w:rsid w:val="000938BD"/>
    <w:rsid w:val="00093CAE"/>
    <w:rsid w:val="000945B3"/>
    <w:rsid w:val="000947DD"/>
    <w:rsid w:val="00094A53"/>
    <w:rsid w:val="00094C7F"/>
    <w:rsid w:val="00094DED"/>
    <w:rsid w:val="00094F5B"/>
    <w:rsid w:val="00095643"/>
    <w:rsid w:val="0009587B"/>
    <w:rsid w:val="00095BFD"/>
    <w:rsid w:val="00095F2A"/>
    <w:rsid w:val="0009618B"/>
    <w:rsid w:val="00096254"/>
    <w:rsid w:val="00096D1C"/>
    <w:rsid w:val="00097574"/>
    <w:rsid w:val="00097D72"/>
    <w:rsid w:val="000A00ED"/>
    <w:rsid w:val="000A0467"/>
    <w:rsid w:val="000A0525"/>
    <w:rsid w:val="000A0AF4"/>
    <w:rsid w:val="000A0D37"/>
    <w:rsid w:val="000A0E03"/>
    <w:rsid w:val="000A0E75"/>
    <w:rsid w:val="000A1399"/>
    <w:rsid w:val="000A1771"/>
    <w:rsid w:val="000A1872"/>
    <w:rsid w:val="000A1C03"/>
    <w:rsid w:val="000A1D64"/>
    <w:rsid w:val="000A2009"/>
    <w:rsid w:val="000A2097"/>
    <w:rsid w:val="000A2258"/>
    <w:rsid w:val="000A3116"/>
    <w:rsid w:val="000A3201"/>
    <w:rsid w:val="000A339B"/>
    <w:rsid w:val="000A346F"/>
    <w:rsid w:val="000A383D"/>
    <w:rsid w:val="000A3B9E"/>
    <w:rsid w:val="000A3DC0"/>
    <w:rsid w:val="000A3DFA"/>
    <w:rsid w:val="000A4091"/>
    <w:rsid w:val="000A413C"/>
    <w:rsid w:val="000A4377"/>
    <w:rsid w:val="000A45BD"/>
    <w:rsid w:val="000A46EA"/>
    <w:rsid w:val="000A4A11"/>
    <w:rsid w:val="000A5307"/>
    <w:rsid w:val="000A5573"/>
    <w:rsid w:val="000A58DE"/>
    <w:rsid w:val="000A5F88"/>
    <w:rsid w:val="000A5F9B"/>
    <w:rsid w:val="000A6176"/>
    <w:rsid w:val="000A6978"/>
    <w:rsid w:val="000A6C09"/>
    <w:rsid w:val="000A72FA"/>
    <w:rsid w:val="000A78C3"/>
    <w:rsid w:val="000A7A09"/>
    <w:rsid w:val="000A7CAB"/>
    <w:rsid w:val="000B0274"/>
    <w:rsid w:val="000B0333"/>
    <w:rsid w:val="000B042A"/>
    <w:rsid w:val="000B0470"/>
    <w:rsid w:val="000B07E3"/>
    <w:rsid w:val="000B0A8D"/>
    <w:rsid w:val="000B0D27"/>
    <w:rsid w:val="000B2370"/>
    <w:rsid w:val="000B2659"/>
    <w:rsid w:val="000B2A6A"/>
    <w:rsid w:val="000B2DE5"/>
    <w:rsid w:val="000B3031"/>
    <w:rsid w:val="000B3123"/>
    <w:rsid w:val="000B31A5"/>
    <w:rsid w:val="000B3354"/>
    <w:rsid w:val="000B38FF"/>
    <w:rsid w:val="000B3C56"/>
    <w:rsid w:val="000B4201"/>
    <w:rsid w:val="000B4407"/>
    <w:rsid w:val="000B442A"/>
    <w:rsid w:val="000B44DD"/>
    <w:rsid w:val="000B485D"/>
    <w:rsid w:val="000B4D3E"/>
    <w:rsid w:val="000B54AA"/>
    <w:rsid w:val="000B54BA"/>
    <w:rsid w:val="000B557C"/>
    <w:rsid w:val="000B61E3"/>
    <w:rsid w:val="000B6744"/>
    <w:rsid w:val="000B69C2"/>
    <w:rsid w:val="000B6DF7"/>
    <w:rsid w:val="000B7165"/>
    <w:rsid w:val="000B733C"/>
    <w:rsid w:val="000B746D"/>
    <w:rsid w:val="000B7643"/>
    <w:rsid w:val="000B7724"/>
    <w:rsid w:val="000B7791"/>
    <w:rsid w:val="000B7886"/>
    <w:rsid w:val="000B7E4D"/>
    <w:rsid w:val="000B7F73"/>
    <w:rsid w:val="000B7F92"/>
    <w:rsid w:val="000C0011"/>
    <w:rsid w:val="000C0071"/>
    <w:rsid w:val="000C07B8"/>
    <w:rsid w:val="000C09FF"/>
    <w:rsid w:val="000C128D"/>
    <w:rsid w:val="000C1714"/>
    <w:rsid w:val="000C1774"/>
    <w:rsid w:val="000C18A9"/>
    <w:rsid w:val="000C1D1D"/>
    <w:rsid w:val="000C1F2E"/>
    <w:rsid w:val="000C2141"/>
    <w:rsid w:val="000C2257"/>
    <w:rsid w:val="000C227D"/>
    <w:rsid w:val="000C27F8"/>
    <w:rsid w:val="000C2C8E"/>
    <w:rsid w:val="000C2E57"/>
    <w:rsid w:val="000C3297"/>
    <w:rsid w:val="000C3434"/>
    <w:rsid w:val="000C36EB"/>
    <w:rsid w:val="000C379F"/>
    <w:rsid w:val="000C3B35"/>
    <w:rsid w:val="000C3B88"/>
    <w:rsid w:val="000C3D1A"/>
    <w:rsid w:val="000C406E"/>
    <w:rsid w:val="000C42F2"/>
    <w:rsid w:val="000C4A59"/>
    <w:rsid w:val="000C4D84"/>
    <w:rsid w:val="000C50A7"/>
    <w:rsid w:val="000C50C9"/>
    <w:rsid w:val="000C52FE"/>
    <w:rsid w:val="000C5377"/>
    <w:rsid w:val="000C54E1"/>
    <w:rsid w:val="000C5568"/>
    <w:rsid w:val="000C5598"/>
    <w:rsid w:val="000C5876"/>
    <w:rsid w:val="000C58FC"/>
    <w:rsid w:val="000C5A2D"/>
    <w:rsid w:val="000C5DD5"/>
    <w:rsid w:val="000C5E5D"/>
    <w:rsid w:val="000C6700"/>
    <w:rsid w:val="000C67AA"/>
    <w:rsid w:val="000C6937"/>
    <w:rsid w:val="000C6B88"/>
    <w:rsid w:val="000C7222"/>
    <w:rsid w:val="000C7B3F"/>
    <w:rsid w:val="000C7B70"/>
    <w:rsid w:val="000C7DF4"/>
    <w:rsid w:val="000C7F54"/>
    <w:rsid w:val="000C7FAE"/>
    <w:rsid w:val="000D0058"/>
    <w:rsid w:val="000D028F"/>
    <w:rsid w:val="000D1031"/>
    <w:rsid w:val="000D1803"/>
    <w:rsid w:val="000D1ABE"/>
    <w:rsid w:val="000D2636"/>
    <w:rsid w:val="000D28A5"/>
    <w:rsid w:val="000D2A07"/>
    <w:rsid w:val="000D2C2B"/>
    <w:rsid w:val="000D2EE7"/>
    <w:rsid w:val="000D3105"/>
    <w:rsid w:val="000D3416"/>
    <w:rsid w:val="000D3D77"/>
    <w:rsid w:val="000D4255"/>
    <w:rsid w:val="000D46C9"/>
    <w:rsid w:val="000D490B"/>
    <w:rsid w:val="000D4D02"/>
    <w:rsid w:val="000D4E5A"/>
    <w:rsid w:val="000D51FC"/>
    <w:rsid w:val="000D58AA"/>
    <w:rsid w:val="000D5A28"/>
    <w:rsid w:val="000D5EC9"/>
    <w:rsid w:val="000D5F8C"/>
    <w:rsid w:val="000D6137"/>
    <w:rsid w:val="000D68A8"/>
    <w:rsid w:val="000D6FD6"/>
    <w:rsid w:val="000D7565"/>
    <w:rsid w:val="000D793B"/>
    <w:rsid w:val="000D79EC"/>
    <w:rsid w:val="000D7BC5"/>
    <w:rsid w:val="000D7C04"/>
    <w:rsid w:val="000E04E5"/>
    <w:rsid w:val="000E087A"/>
    <w:rsid w:val="000E0A24"/>
    <w:rsid w:val="000E0CAB"/>
    <w:rsid w:val="000E12B5"/>
    <w:rsid w:val="000E15F8"/>
    <w:rsid w:val="000E1629"/>
    <w:rsid w:val="000E194B"/>
    <w:rsid w:val="000E2105"/>
    <w:rsid w:val="000E234D"/>
    <w:rsid w:val="000E25CE"/>
    <w:rsid w:val="000E276E"/>
    <w:rsid w:val="000E2D5E"/>
    <w:rsid w:val="000E2FFE"/>
    <w:rsid w:val="000E3005"/>
    <w:rsid w:val="000E33E3"/>
    <w:rsid w:val="000E3556"/>
    <w:rsid w:val="000E355F"/>
    <w:rsid w:val="000E399A"/>
    <w:rsid w:val="000E3ABC"/>
    <w:rsid w:val="000E3BF5"/>
    <w:rsid w:val="000E4209"/>
    <w:rsid w:val="000E44E5"/>
    <w:rsid w:val="000E4847"/>
    <w:rsid w:val="000E4BE9"/>
    <w:rsid w:val="000E53F5"/>
    <w:rsid w:val="000E5907"/>
    <w:rsid w:val="000E59DA"/>
    <w:rsid w:val="000E6011"/>
    <w:rsid w:val="000E63D1"/>
    <w:rsid w:val="000E6534"/>
    <w:rsid w:val="000E6AFD"/>
    <w:rsid w:val="000E6EB4"/>
    <w:rsid w:val="000E6F61"/>
    <w:rsid w:val="000E7273"/>
    <w:rsid w:val="000E7939"/>
    <w:rsid w:val="000E7940"/>
    <w:rsid w:val="000E7C1D"/>
    <w:rsid w:val="000E7E92"/>
    <w:rsid w:val="000F02BD"/>
    <w:rsid w:val="000F02D1"/>
    <w:rsid w:val="000F041D"/>
    <w:rsid w:val="000F0988"/>
    <w:rsid w:val="000F0BC8"/>
    <w:rsid w:val="000F0F7B"/>
    <w:rsid w:val="000F12CF"/>
    <w:rsid w:val="000F1787"/>
    <w:rsid w:val="000F181F"/>
    <w:rsid w:val="000F1F51"/>
    <w:rsid w:val="000F2080"/>
    <w:rsid w:val="000F2097"/>
    <w:rsid w:val="000F20BE"/>
    <w:rsid w:val="000F280C"/>
    <w:rsid w:val="000F2B6A"/>
    <w:rsid w:val="000F2B70"/>
    <w:rsid w:val="000F2DE6"/>
    <w:rsid w:val="000F31C6"/>
    <w:rsid w:val="000F3248"/>
    <w:rsid w:val="000F3E39"/>
    <w:rsid w:val="000F42F7"/>
    <w:rsid w:val="000F4327"/>
    <w:rsid w:val="000F4352"/>
    <w:rsid w:val="000F4461"/>
    <w:rsid w:val="000F4643"/>
    <w:rsid w:val="000F479E"/>
    <w:rsid w:val="000F47EA"/>
    <w:rsid w:val="000F489A"/>
    <w:rsid w:val="000F4979"/>
    <w:rsid w:val="000F4C2D"/>
    <w:rsid w:val="000F4CC9"/>
    <w:rsid w:val="000F4CE0"/>
    <w:rsid w:val="000F4D80"/>
    <w:rsid w:val="000F4EA6"/>
    <w:rsid w:val="000F4F64"/>
    <w:rsid w:val="000F5259"/>
    <w:rsid w:val="000F5281"/>
    <w:rsid w:val="000F5439"/>
    <w:rsid w:val="000F5DF1"/>
    <w:rsid w:val="000F6660"/>
    <w:rsid w:val="000F6734"/>
    <w:rsid w:val="000F673C"/>
    <w:rsid w:val="000F6978"/>
    <w:rsid w:val="000F6F72"/>
    <w:rsid w:val="000F7112"/>
    <w:rsid w:val="000F7397"/>
    <w:rsid w:val="000F7469"/>
    <w:rsid w:val="000F74CA"/>
    <w:rsid w:val="000F78AC"/>
    <w:rsid w:val="000F7D14"/>
    <w:rsid w:val="00100DC9"/>
    <w:rsid w:val="0010180F"/>
    <w:rsid w:val="00101C91"/>
    <w:rsid w:val="00101D9A"/>
    <w:rsid w:val="00101EB4"/>
    <w:rsid w:val="00101EED"/>
    <w:rsid w:val="00101EF0"/>
    <w:rsid w:val="00102244"/>
    <w:rsid w:val="00102291"/>
    <w:rsid w:val="001022B6"/>
    <w:rsid w:val="001029A2"/>
    <w:rsid w:val="00103257"/>
    <w:rsid w:val="0010347F"/>
    <w:rsid w:val="0010383F"/>
    <w:rsid w:val="00103AA1"/>
    <w:rsid w:val="00103B86"/>
    <w:rsid w:val="00103BCC"/>
    <w:rsid w:val="00103BF4"/>
    <w:rsid w:val="00103EB8"/>
    <w:rsid w:val="00104485"/>
    <w:rsid w:val="001047CB"/>
    <w:rsid w:val="001047EA"/>
    <w:rsid w:val="00104A41"/>
    <w:rsid w:val="00104AF3"/>
    <w:rsid w:val="00104C30"/>
    <w:rsid w:val="00104F5A"/>
    <w:rsid w:val="00104FCC"/>
    <w:rsid w:val="00105250"/>
    <w:rsid w:val="0010578D"/>
    <w:rsid w:val="00105DC2"/>
    <w:rsid w:val="00105F62"/>
    <w:rsid w:val="0010607F"/>
    <w:rsid w:val="001062FC"/>
    <w:rsid w:val="0010668A"/>
    <w:rsid w:val="00106706"/>
    <w:rsid w:val="00106900"/>
    <w:rsid w:val="00106A1C"/>
    <w:rsid w:val="00106DB0"/>
    <w:rsid w:val="001071B5"/>
    <w:rsid w:val="00107409"/>
    <w:rsid w:val="001078E6"/>
    <w:rsid w:val="00107AF3"/>
    <w:rsid w:val="00107B59"/>
    <w:rsid w:val="00107D1C"/>
    <w:rsid w:val="0011008B"/>
    <w:rsid w:val="00110555"/>
    <w:rsid w:val="00110C1D"/>
    <w:rsid w:val="00110D81"/>
    <w:rsid w:val="00111025"/>
    <w:rsid w:val="00111238"/>
    <w:rsid w:val="001114ED"/>
    <w:rsid w:val="00111A41"/>
    <w:rsid w:val="00111D97"/>
    <w:rsid w:val="00112004"/>
    <w:rsid w:val="0011213A"/>
    <w:rsid w:val="001121D3"/>
    <w:rsid w:val="001123C5"/>
    <w:rsid w:val="001123CA"/>
    <w:rsid w:val="001127B0"/>
    <w:rsid w:val="00112C3A"/>
    <w:rsid w:val="00112CDB"/>
    <w:rsid w:val="00113152"/>
    <w:rsid w:val="001131BA"/>
    <w:rsid w:val="00113313"/>
    <w:rsid w:val="0011334E"/>
    <w:rsid w:val="00113A64"/>
    <w:rsid w:val="001145F2"/>
    <w:rsid w:val="00114721"/>
    <w:rsid w:val="001152FF"/>
    <w:rsid w:val="001154AF"/>
    <w:rsid w:val="00115525"/>
    <w:rsid w:val="00115545"/>
    <w:rsid w:val="00115DFD"/>
    <w:rsid w:val="00115F60"/>
    <w:rsid w:val="001163B9"/>
    <w:rsid w:val="00116A91"/>
    <w:rsid w:val="00116BFB"/>
    <w:rsid w:val="00116C35"/>
    <w:rsid w:val="00116C4D"/>
    <w:rsid w:val="00116F24"/>
    <w:rsid w:val="0011741E"/>
    <w:rsid w:val="0011744D"/>
    <w:rsid w:val="00117687"/>
    <w:rsid w:val="00120079"/>
    <w:rsid w:val="0012067D"/>
    <w:rsid w:val="00120C99"/>
    <w:rsid w:val="00120CE8"/>
    <w:rsid w:val="00120CFF"/>
    <w:rsid w:val="00120EA3"/>
    <w:rsid w:val="00120F59"/>
    <w:rsid w:val="00121049"/>
    <w:rsid w:val="001211B3"/>
    <w:rsid w:val="0012123C"/>
    <w:rsid w:val="001213B2"/>
    <w:rsid w:val="00121744"/>
    <w:rsid w:val="00121A59"/>
    <w:rsid w:val="00121AD0"/>
    <w:rsid w:val="001225D8"/>
    <w:rsid w:val="00122C1F"/>
    <w:rsid w:val="00122F55"/>
    <w:rsid w:val="00122F7A"/>
    <w:rsid w:val="00123398"/>
    <w:rsid w:val="001233BC"/>
    <w:rsid w:val="001237B3"/>
    <w:rsid w:val="00123EF3"/>
    <w:rsid w:val="0012401D"/>
    <w:rsid w:val="001242D6"/>
    <w:rsid w:val="001243F2"/>
    <w:rsid w:val="00125516"/>
    <w:rsid w:val="001256DD"/>
    <w:rsid w:val="00125AA0"/>
    <w:rsid w:val="00125E92"/>
    <w:rsid w:val="00126465"/>
    <w:rsid w:val="001264C7"/>
    <w:rsid w:val="001268D0"/>
    <w:rsid w:val="00126BE9"/>
    <w:rsid w:val="00126F26"/>
    <w:rsid w:val="0012713A"/>
    <w:rsid w:val="00127353"/>
    <w:rsid w:val="00127437"/>
    <w:rsid w:val="0012751E"/>
    <w:rsid w:val="001276D2"/>
    <w:rsid w:val="001279F1"/>
    <w:rsid w:val="0013002D"/>
    <w:rsid w:val="00130530"/>
    <w:rsid w:val="001307A4"/>
    <w:rsid w:val="001308D9"/>
    <w:rsid w:val="0013090A"/>
    <w:rsid w:val="00130995"/>
    <w:rsid w:val="001309DC"/>
    <w:rsid w:val="00130F16"/>
    <w:rsid w:val="00131ECE"/>
    <w:rsid w:val="00132A6E"/>
    <w:rsid w:val="00132E8B"/>
    <w:rsid w:val="00132F1E"/>
    <w:rsid w:val="00133098"/>
    <w:rsid w:val="001330BE"/>
    <w:rsid w:val="001330F6"/>
    <w:rsid w:val="00133BE0"/>
    <w:rsid w:val="00134184"/>
    <w:rsid w:val="00134384"/>
    <w:rsid w:val="00134662"/>
    <w:rsid w:val="001347F9"/>
    <w:rsid w:val="0013510D"/>
    <w:rsid w:val="00135190"/>
    <w:rsid w:val="001352EF"/>
    <w:rsid w:val="00135466"/>
    <w:rsid w:val="00135573"/>
    <w:rsid w:val="001359BF"/>
    <w:rsid w:val="00135C09"/>
    <w:rsid w:val="00135DCD"/>
    <w:rsid w:val="0013604A"/>
    <w:rsid w:val="0013624B"/>
    <w:rsid w:val="001367B4"/>
    <w:rsid w:val="001367D7"/>
    <w:rsid w:val="00136AA7"/>
    <w:rsid w:val="00136C36"/>
    <w:rsid w:val="00136C63"/>
    <w:rsid w:val="00136EB5"/>
    <w:rsid w:val="0013712D"/>
    <w:rsid w:val="001374EA"/>
    <w:rsid w:val="00137578"/>
    <w:rsid w:val="00137C4C"/>
    <w:rsid w:val="00137C5D"/>
    <w:rsid w:val="00137CAF"/>
    <w:rsid w:val="00140203"/>
    <w:rsid w:val="00140550"/>
    <w:rsid w:val="00140703"/>
    <w:rsid w:val="0014078E"/>
    <w:rsid w:val="00140937"/>
    <w:rsid w:val="00140AF8"/>
    <w:rsid w:val="00140DEE"/>
    <w:rsid w:val="00141224"/>
    <w:rsid w:val="001414E3"/>
    <w:rsid w:val="001415B9"/>
    <w:rsid w:val="00141800"/>
    <w:rsid w:val="00142438"/>
    <w:rsid w:val="001425A9"/>
    <w:rsid w:val="00142CF8"/>
    <w:rsid w:val="001436FD"/>
    <w:rsid w:val="001438EB"/>
    <w:rsid w:val="00143DB0"/>
    <w:rsid w:val="001440C6"/>
    <w:rsid w:val="0014410E"/>
    <w:rsid w:val="00144374"/>
    <w:rsid w:val="0014451F"/>
    <w:rsid w:val="001447FA"/>
    <w:rsid w:val="00144B55"/>
    <w:rsid w:val="00144F90"/>
    <w:rsid w:val="00145454"/>
    <w:rsid w:val="0014550B"/>
    <w:rsid w:val="00145630"/>
    <w:rsid w:val="001456F1"/>
    <w:rsid w:val="001459FE"/>
    <w:rsid w:val="00145DDA"/>
    <w:rsid w:val="001462C3"/>
    <w:rsid w:val="001464DE"/>
    <w:rsid w:val="001471F5"/>
    <w:rsid w:val="0014726A"/>
    <w:rsid w:val="0014726C"/>
    <w:rsid w:val="00147429"/>
    <w:rsid w:val="001475D9"/>
    <w:rsid w:val="00147A53"/>
    <w:rsid w:val="00147D27"/>
    <w:rsid w:val="00147F73"/>
    <w:rsid w:val="001503FB"/>
    <w:rsid w:val="001508A5"/>
    <w:rsid w:val="00150EBD"/>
    <w:rsid w:val="00151966"/>
    <w:rsid w:val="00151A8B"/>
    <w:rsid w:val="00151B0B"/>
    <w:rsid w:val="0015231F"/>
    <w:rsid w:val="00152497"/>
    <w:rsid w:val="001528DD"/>
    <w:rsid w:val="00152A12"/>
    <w:rsid w:val="00152A28"/>
    <w:rsid w:val="00152A49"/>
    <w:rsid w:val="00153077"/>
    <w:rsid w:val="00153095"/>
    <w:rsid w:val="001531F4"/>
    <w:rsid w:val="00153FB6"/>
    <w:rsid w:val="0015416D"/>
    <w:rsid w:val="00154951"/>
    <w:rsid w:val="00155452"/>
    <w:rsid w:val="00155457"/>
    <w:rsid w:val="00155BAA"/>
    <w:rsid w:val="00155EE7"/>
    <w:rsid w:val="00155FA0"/>
    <w:rsid w:val="001560BA"/>
    <w:rsid w:val="0015612D"/>
    <w:rsid w:val="00156160"/>
    <w:rsid w:val="00156233"/>
    <w:rsid w:val="0015662C"/>
    <w:rsid w:val="00156900"/>
    <w:rsid w:val="00156D30"/>
    <w:rsid w:val="00156DD0"/>
    <w:rsid w:val="00156F34"/>
    <w:rsid w:val="00157079"/>
    <w:rsid w:val="001571E6"/>
    <w:rsid w:val="00157340"/>
    <w:rsid w:val="0015739E"/>
    <w:rsid w:val="001574B2"/>
    <w:rsid w:val="001575B1"/>
    <w:rsid w:val="001601FD"/>
    <w:rsid w:val="00160223"/>
    <w:rsid w:val="00160491"/>
    <w:rsid w:val="0016055B"/>
    <w:rsid w:val="00160C19"/>
    <w:rsid w:val="00160E23"/>
    <w:rsid w:val="00160E7C"/>
    <w:rsid w:val="00160EC0"/>
    <w:rsid w:val="00161588"/>
    <w:rsid w:val="001615C7"/>
    <w:rsid w:val="00161E6C"/>
    <w:rsid w:val="00161F8C"/>
    <w:rsid w:val="0016282D"/>
    <w:rsid w:val="001629E9"/>
    <w:rsid w:val="00162D3F"/>
    <w:rsid w:val="00162D99"/>
    <w:rsid w:val="00163B17"/>
    <w:rsid w:val="00163D13"/>
    <w:rsid w:val="0016406B"/>
    <w:rsid w:val="00164F51"/>
    <w:rsid w:val="00165810"/>
    <w:rsid w:val="001658BF"/>
    <w:rsid w:val="00165D12"/>
    <w:rsid w:val="00165D51"/>
    <w:rsid w:val="00165D53"/>
    <w:rsid w:val="00165EA7"/>
    <w:rsid w:val="0016601F"/>
    <w:rsid w:val="00166139"/>
    <w:rsid w:val="00166155"/>
    <w:rsid w:val="001662A2"/>
    <w:rsid w:val="00166378"/>
    <w:rsid w:val="001666A9"/>
    <w:rsid w:val="00166816"/>
    <w:rsid w:val="00166A79"/>
    <w:rsid w:val="00166DF3"/>
    <w:rsid w:val="00166F5F"/>
    <w:rsid w:val="00167066"/>
    <w:rsid w:val="001670AE"/>
    <w:rsid w:val="001671D2"/>
    <w:rsid w:val="00167678"/>
    <w:rsid w:val="001714F4"/>
    <w:rsid w:val="00171941"/>
    <w:rsid w:val="00171CE3"/>
    <w:rsid w:val="001722F8"/>
    <w:rsid w:val="00172879"/>
    <w:rsid w:val="00172A55"/>
    <w:rsid w:val="00172A9F"/>
    <w:rsid w:val="00172B99"/>
    <w:rsid w:val="00173051"/>
    <w:rsid w:val="001734D7"/>
    <w:rsid w:val="00173597"/>
    <w:rsid w:val="001736A8"/>
    <w:rsid w:val="00173D38"/>
    <w:rsid w:val="001740F9"/>
    <w:rsid w:val="00174522"/>
    <w:rsid w:val="00174640"/>
    <w:rsid w:val="00174684"/>
    <w:rsid w:val="00174E66"/>
    <w:rsid w:val="00174F6A"/>
    <w:rsid w:val="0017557F"/>
    <w:rsid w:val="001759EA"/>
    <w:rsid w:val="00175A3A"/>
    <w:rsid w:val="00175E62"/>
    <w:rsid w:val="00175F21"/>
    <w:rsid w:val="00176677"/>
    <w:rsid w:val="00176D84"/>
    <w:rsid w:val="0017703A"/>
    <w:rsid w:val="001771FB"/>
    <w:rsid w:val="00177436"/>
    <w:rsid w:val="00177892"/>
    <w:rsid w:val="00177F80"/>
    <w:rsid w:val="00177FFD"/>
    <w:rsid w:val="001800CB"/>
    <w:rsid w:val="00180148"/>
    <w:rsid w:val="00180170"/>
    <w:rsid w:val="00180376"/>
    <w:rsid w:val="0018040F"/>
    <w:rsid w:val="0018048D"/>
    <w:rsid w:val="0018087E"/>
    <w:rsid w:val="00180BF9"/>
    <w:rsid w:val="00180BFF"/>
    <w:rsid w:val="00180C5F"/>
    <w:rsid w:val="00180D0B"/>
    <w:rsid w:val="00180E83"/>
    <w:rsid w:val="00180EA7"/>
    <w:rsid w:val="00180F64"/>
    <w:rsid w:val="00180FE6"/>
    <w:rsid w:val="00181390"/>
    <w:rsid w:val="00181528"/>
    <w:rsid w:val="00181ABF"/>
    <w:rsid w:val="00181C89"/>
    <w:rsid w:val="00181CB2"/>
    <w:rsid w:val="00182087"/>
    <w:rsid w:val="001823F3"/>
    <w:rsid w:val="001824FD"/>
    <w:rsid w:val="00182514"/>
    <w:rsid w:val="001828FF"/>
    <w:rsid w:val="00183100"/>
    <w:rsid w:val="001833B4"/>
    <w:rsid w:val="00183742"/>
    <w:rsid w:val="001839EA"/>
    <w:rsid w:val="00183DBF"/>
    <w:rsid w:val="00183F17"/>
    <w:rsid w:val="00184116"/>
    <w:rsid w:val="00184A3B"/>
    <w:rsid w:val="00184D91"/>
    <w:rsid w:val="001850C8"/>
    <w:rsid w:val="00186205"/>
    <w:rsid w:val="0018639E"/>
    <w:rsid w:val="00186446"/>
    <w:rsid w:val="0018680F"/>
    <w:rsid w:val="001868D0"/>
    <w:rsid w:val="00186C40"/>
    <w:rsid w:val="00187725"/>
    <w:rsid w:val="00187A48"/>
    <w:rsid w:val="0019017F"/>
    <w:rsid w:val="00190514"/>
    <w:rsid w:val="00190DC6"/>
    <w:rsid w:val="00190F63"/>
    <w:rsid w:val="001910D3"/>
    <w:rsid w:val="00191672"/>
    <w:rsid w:val="001918B1"/>
    <w:rsid w:val="00191934"/>
    <w:rsid w:val="00191EFB"/>
    <w:rsid w:val="001920AE"/>
    <w:rsid w:val="00192372"/>
    <w:rsid w:val="001925FE"/>
    <w:rsid w:val="001927EB"/>
    <w:rsid w:val="00192A99"/>
    <w:rsid w:val="00192B24"/>
    <w:rsid w:val="00192D69"/>
    <w:rsid w:val="00193030"/>
    <w:rsid w:val="00193103"/>
    <w:rsid w:val="00193109"/>
    <w:rsid w:val="00193207"/>
    <w:rsid w:val="0019341D"/>
    <w:rsid w:val="00193592"/>
    <w:rsid w:val="0019382F"/>
    <w:rsid w:val="00193C04"/>
    <w:rsid w:val="00193D66"/>
    <w:rsid w:val="00193E5C"/>
    <w:rsid w:val="0019479C"/>
    <w:rsid w:val="00194818"/>
    <w:rsid w:val="001949A2"/>
    <w:rsid w:val="00194A59"/>
    <w:rsid w:val="00194C9B"/>
    <w:rsid w:val="00194CCA"/>
    <w:rsid w:val="00194D59"/>
    <w:rsid w:val="001955ED"/>
    <w:rsid w:val="0019586E"/>
    <w:rsid w:val="001959CA"/>
    <w:rsid w:val="00195B18"/>
    <w:rsid w:val="001963D9"/>
    <w:rsid w:val="001963E2"/>
    <w:rsid w:val="001964FF"/>
    <w:rsid w:val="0019658C"/>
    <w:rsid w:val="001966E5"/>
    <w:rsid w:val="00196A53"/>
    <w:rsid w:val="00196DBB"/>
    <w:rsid w:val="00197667"/>
    <w:rsid w:val="00197BA2"/>
    <w:rsid w:val="00197D31"/>
    <w:rsid w:val="001A021D"/>
    <w:rsid w:val="001A03F7"/>
    <w:rsid w:val="001A0448"/>
    <w:rsid w:val="001A044D"/>
    <w:rsid w:val="001A065B"/>
    <w:rsid w:val="001A071C"/>
    <w:rsid w:val="001A07C0"/>
    <w:rsid w:val="001A0A50"/>
    <w:rsid w:val="001A0BF3"/>
    <w:rsid w:val="001A0FBF"/>
    <w:rsid w:val="001A159E"/>
    <w:rsid w:val="001A15A7"/>
    <w:rsid w:val="001A194E"/>
    <w:rsid w:val="001A1A4A"/>
    <w:rsid w:val="001A1B23"/>
    <w:rsid w:val="001A1E76"/>
    <w:rsid w:val="001A20D2"/>
    <w:rsid w:val="001A21A3"/>
    <w:rsid w:val="001A239B"/>
    <w:rsid w:val="001A255A"/>
    <w:rsid w:val="001A2B20"/>
    <w:rsid w:val="001A32F2"/>
    <w:rsid w:val="001A37DC"/>
    <w:rsid w:val="001A3A50"/>
    <w:rsid w:val="001A3E23"/>
    <w:rsid w:val="001A442E"/>
    <w:rsid w:val="001A45C2"/>
    <w:rsid w:val="001A45C6"/>
    <w:rsid w:val="001A46E9"/>
    <w:rsid w:val="001A4894"/>
    <w:rsid w:val="001A48E0"/>
    <w:rsid w:val="001A4B45"/>
    <w:rsid w:val="001A4DBE"/>
    <w:rsid w:val="001A4E23"/>
    <w:rsid w:val="001A5282"/>
    <w:rsid w:val="001A56A0"/>
    <w:rsid w:val="001A56B5"/>
    <w:rsid w:val="001A5E3A"/>
    <w:rsid w:val="001A5E56"/>
    <w:rsid w:val="001A6322"/>
    <w:rsid w:val="001A6375"/>
    <w:rsid w:val="001A6A5F"/>
    <w:rsid w:val="001A6D80"/>
    <w:rsid w:val="001A6DA2"/>
    <w:rsid w:val="001A73C7"/>
    <w:rsid w:val="001A7496"/>
    <w:rsid w:val="001A782A"/>
    <w:rsid w:val="001A79C8"/>
    <w:rsid w:val="001A7D28"/>
    <w:rsid w:val="001A7FA0"/>
    <w:rsid w:val="001B003C"/>
    <w:rsid w:val="001B01D0"/>
    <w:rsid w:val="001B06B4"/>
    <w:rsid w:val="001B0A66"/>
    <w:rsid w:val="001B0B7B"/>
    <w:rsid w:val="001B0C44"/>
    <w:rsid w:val="001B1BB0"/>
    <w:rsid w:val="001B1CEB"/>
    <w:rsid w:val="001B1E36"/>
    <w:rsid w:val="001B22AC"/>
    <w:rsid w:val="001B282C"/>
    <w:rsid w:val="001B2EA6"/>
    <w:rsid w:val="001B2F0A"/>
    <w:rsid w:val="001B2FC1"/>
    <w:rsid w:val="001B3022"/>
    <w:rsid w:val="001B353B"/>
    <w:rsid w:val="001B381F"/>
    <w:rsid w:val="001B3848"/>
    <w:rsid w:val="001B3DCD"/>
    <w:rsid w:val="001B440E"/>
    <w:rsid w:val="001B4B5C"/>
    <w:rsid w:val="001B4C2D"/>
    <w:rsid w:val="001B4E71"/>
    <w:rsid w:val="001B4F82"/>
    <w:rsid w:val="001B50D9"/>
    <w:rsid w:val="001B5174"/>
    <w:rsid w:val="001B5572"/>
    <w:rsid w:val="001B56D7"/>
    <w:rsid w:val="001B5799"/>
    <w:rsid w:val="001B5B09"/>
    <w:rsid w:val="001B5CFE"/>
    <w:rsid w:val="001B5D46"/>
    <w:rsid w:val="001B6130"/>
    <w:rsid w:val="001B6748"/>
    <w:rsid w:val="001B6A79"/>
    <w:rsid w:val="001B6B42"/>
    <w:rsid w:val="001B6DB1"/>
    <w:rsid w:val="001B6FE8"/>
    <w:rsid w:val="001B71FB"/>
    <w:rsid w:val="001B7490"/>
    <w:rsid w:val="001B7540"/>
    <w:rsid w:val="001B7C2F"/>
    <w:rsid w:val="001C0352"/>
    <w:rsid w:val="001C04E3"/>
    <w:rsid w:val="001C0680"/>
    <w:rsid w:val="001C1004"/>
    <w:rsid w:val="001C1106"/>
    <w:rsid w:val="001C129D"/>
    <w:rsid w:val="001C171F"/>
    <w:rsid w:val="001C1785"/>
    <w:rsid w:val="001C18E0"/>
    <w:rsid w:val="001C1DC2"/>
    <w:rsid w:val="001C1ECC"/>
    <w:rsid w:val="001C1FBE"/>
    <w:rsid w:val="001C215F"/>
    <w:rsid w:val="001C2166"/>
    <w:rsid w:val="001C2452"/>
    <w:rsid w:val="001C276B"/>
    <w:rsid w:val="001C2A66"/>
    <w:rsid w:val="001C2A8E"/>
    <w:rsid w:val="001C2B76"/>
    <w:rsid w:val="001C2C71"/>
    <w:rsid w:val="001C3159"/>
    <w:rsid w:val="001C3567"/>
    <w:rsid w:val="001C39BA"/>
    <w:rsid w:val="001C40AE"/>
    <w:rsid w:val="001C4E44"/>
    <w:rsid w:val="001C4FAB"/>
    <w:rsid w:val="001C60DD"/>
    <w:rsid w:val="001C69B3"/>
    <w:rsid w:val="001C6A81"/>
    <w:rsid w:val="001C6C5C"/>
    <w:rsid w:val="001C73D3"/>
    <w:rsid w:val="001C76EB"/>
    <w:rsid w:val="001C7848"/>
    <w:rsid w:val="001C79E7"/>
    <w:rsid w:val="001C7A19"/>
    <w:rsid w:val="001C7B66"/>
    <w:rsid w:val="001D0169"/>
    <w:rsid w:val="001D0434"/>
    <w:rsid w:val="001D04FE"/>
    <w:rsid w:val="001D06CF"/>
    <w:rsid w:val="001D089A"/>
    <w:rsid w:val="001D0A06"/>
    <w:rsid w:val="001D0B3F"/>
    <w:rsid w:val="001D0B68"/>
    <w:rsid w:val="001D0E2A"/>
    <w:rsid w:val="001D0EA4"/>
    <w:rsid w:val="001D135A"/>
    <w:rsid w:val="001D142C"/>
    <w:rsid w:val="001D19A1"/>
    <w:rsid w:val="001D19B2"/>
    <w:rsid w:val="001D1D25"/>
    <w:rsid w:val="001D2031"/>
    <w:rsid w:val="001D227D"/>
    <w:rsid w:val="001D22F6"/>
    <w:rsid w:val="001D2453"/>
    <w:rsid w:val="001D275B"/>
    <w:rsid w:val="001D27DC"/>
    <w:rsid w:val="001D281E"/>
    <w:rsid w:val="001D2CA9"/>
    <w:rsid w:val="001D2E98"/>
    <w:rsid w:val="001D2EA0"/>
    <w:rsid w:val="001D334B"/>
    <w:rsid w:val="001D3726"/>
    <w:rsid w:val="001D3A4B"/>
    <w:rsid w:val="001D3DE3"/>
    <w:rsid w:val="001D3E2F"/>
    <w:rsid w:val="001D3F1F"/>
    <w:rsid w:val="001D41B5"/>
    <w:rsid w:val="001D428F"/>
    <w:rsid w:val="001D4463"/>
    <w:rsid w:val="001D47BB"/>
    <w:rsid w:val="001D49A3"/>
    <w:rsid w:val="001D49A8"/>
    <w:rsid w:val="001D4C3D"/>
    <w:rsid w:val="001D5B52"/>
    <w:rsid w:val="001D5B6A"/>
    <w:rsid w:val="001D61AA"/>
    <w:rsid w:val="001D62CF"/>
    <w:rsid w:val="001D6621"/>
    <w:rsid w:val="001D6EDF"/>
    <w:rsid w:val="001D6F0D"/>
    <w:rsid w:val="001D7946"/>
    <w:rsid w:val="001D7F7B"/>
    <w:rsid w:val="001E0122"/>
    <w:rsid w:val="001E0303"/>
    <w:rsid w:val="001E0611"/>
    <w:rsid w:val="001E06DA"/>
    <w:rsid w:val="001E074C"/>
    <w:rsid w:val="001E0A44"/>
    <w:rsid w:val="001E1AA3"/>
    <w:rsid w:val="001E2242"/>
    <w:rsid w:val="001E22B1"/>
    <w:rsid w:val="001E2840"/>
    <w:rsid w:val="001E2887"/>
    <w:rsid w:val="001E2B28"/>
    <w:rsid w:val="001E2CCD"/>
    <w:rsid w:val="001E3C22"/>
    <w:rsid w:val="001E40D5"/>
    <w:rsid w:val="001E4256"/>
    <w:rsid w:val="001E493D"/>
    <w:rsid w:val="001E4B7D"/>
    <w:rsid w:val="001E512F"/>
    <w:rsid w:val="001E516E"/>
    <w:rsid w:val="001E5204"/>
    <w:rsid w:val="001E53B4"/>
    <w:rsid w:val="001E5443"/>
    <w:rsid w:val="001E56DC"/>
    <w:rsid w:val="001E5921"/>
    <w:rsid w:val="001E5BC1"/>
    <w:rsid w:val="001E6153"/>
    <w:rsid w:val="001E6BA5"/>
    <w:rsid w:val="001E6BFA"/>
    <w:rsid w:val="001E6BFB"/>
    <w:rsid w:val="001E6C48"/>
    <w:rsid w:val="001E6D18"/>
    <w:rsid w:val="001E73B8"/>
    <w:rsid w:val="001E7819"/>
    <w:rsid w:val="001F03B8"/>
    <w:rsid w:val="001F0958"/>
    <w:rsid w:val="001F0C0D"/>
    <w:rsid w:val="001F0CC1"/>
    <w:rsid w:val="001F0E5E"/>
    <w:rsid w:val="001F0EDC"/>
    <w:rsid w:val="001F107A"/>
    <w:rsid w:val="001F1210"/>
    <w:rsid w:val="001F1471"/>
    <w:rsid w:val="001F14CA"/>
    <w:rsid w:val="001F1809"/>
    <w:rsid w:val="001F1C49"/>
    <w:rsid w:val="001F1D44"/>
    <w:rsid w:val="001F1E25"/>
    <w:rsid w:val="001F22D0"/>
    <w:rsid w:val="001F2626"/>
    <w:rsid w:val="001F26DE"/>
    <w:rsid w:val="001F27C8"/>
    <w:rsid w:val="001F2BAF"/>
    <w:rsid w:val="001F2CCF"/>
    <w:rsid w:val="001F2CE5"/>
    <w:rsid w:val="001F2D9C"/>
    <w:rsid w:val="001F30C1"/>
    <w:rsid w:val="001F323F"/>
    <w:rsid w:val="001F3285"/>
    <w:rsid w:val="001F346A"/>
    <w:rsid w:val="001F393A"/>
    <w:rsid w:val="001F3A13"/>
    <w:rsid w:val="001F41F5"/>
    <w:rsid w:val="001F47C3"/>
    <w:rsid w:val="001F494A"/>
    <w:rsid w:val="001F4A24"/>
    <w:rsid w:val="001F4AB5"/>
    <w:rsid w:val="001F4B44"/>
    <w:rsid w:val="001F4C6C"/>
    <w:rsid w:val="001F5353"/>
    <w:rsid w:val="001F5651"/>
    <w:rsid w:val="001F577F"/>
    <w:rsid w:val="001F6210"/>
    <w:rsid w:val="001F6241"/>
    <w:rsid w:val="001F6D88"/>
    <w:rsid w:val="001F731B"/>
    <w:rsid w:val="001F7A2C"/>
    <w:rsid w:val="001F7BA8"/>
    <w:rsid w:val="001F7BF9"/>
    <w:rsid w:val="001F7C7B"/>
    <w:rsid w:val="002000F6"/>
    <w:rsid w:val="00200A02"/>
    <w:rsid w:val="00200A93"/>
    <w:rsid w:val="00200B79"/>
    <w:rsid w:val="00200D4C"/>
    <w:rsid w:val="00200E89"/>
    <w:rsid w:val="002010A3"/>
    <w:rsid w:val="00201D8E"/>
    <w:rsid w:val="002020BC"/>
    <w:rsid w:val="002028AD"/>
    <w:rsid w:val="00202B13"/>
    <w:rsid w:val="00202DEA"/>
    <w:rsid w:val="0020323B"/>
    <w:rsid w:val="00203371"/>
    <w:rsid w:val="002038A2"/>
    <w:rsid w:val="002038CB"/>
    <w:rsid w:val="002038D6"/>
    <w:rsid w:val="00203922"/>
    <w:rsid w:val="00203A89"/>
    <w:rsid w:val="00203BB5"/>
    <w:rsid w:val="00204133"/>
    <w:rsid w:val="002045F6"/>
    <w:rsid w:val="00204696"/>
    <w:rsid w:val="00204789"/>
    <w:rsid w:val="0020479F"/>
    <w:rsid w:val="00204B0F"/>
    <w:rsid w:val="0020506B"/>
    <w:rsid w:val="00205621"/>
    <w:rsid w:val="0020587E"/>
    <w:rsid w:val="0020642B"/>
    <w:rsid w:val="00206498"/>
    <w:rsid w:val="00206680"/>
    <w:rsid w:val="002067F1"/>
    <w:rsid w:val="002068BA"/>
    <w:rsid w:val="0020692C"/>
    <w:rsid w:val="00206A11"/>
    <w:rsid w:val="00206BC0"/>
    <w:rsid w:val="00206FAE"/>
    <w:rsid w:val="002074CE"/>
    <w:rsid w:val="002074E5"/>
    <w:rsid w:val="002078C0"/>
    <w:rsid w:val="00207964"/>
    <w:rsid w:val="00207AC2"/>
    <w:rsid w:val="00207B90"/>
    <w:rsid w:val="00207F29"/>
    <w:rsid w:val="0021000E"/>
    <w:rsid w:val="002101A2"/>
    <w:rsid w:val="002102A4"/>
    <w:rsid w:val="00210391"/>
    <w:rsid w:val="0021057B"/>
    <w:rsid w:val="002105AC"/>
    <w:rsid w:val="002109EE"/>
    <w:rsid w:val="002109F7"/>
    <w:rsid w:val="00210AAB"/>
    <w:rsid w:val="00210CE3"/>
    <w:rsid w:val="00211092"/>
    <w:rsid w:val="0021186B"/>
    <w:rsid w:val="00211A0E"/>
    <w:rsid w:val="00211C74"/>
    <w:rsid w:val="002120C8"/>
    <w:rsid w:val="00212385"/>
    <w:rsid w:val="002126CE"/>
    <w:rsid w:val="00212ACC"/>
    <w:rsid w:val="00212DC4"/>
    <w:rsid w:val="0021304E"/>
    <w:rsid w:val="00213077"/>
    <w:rsid w:val="0021309A"/>
    <w:rsid w:val="002131FE"/>
    <w:rsid w:val="002133B9"/>
    <w:rsid w:val="0021352C"/>
    <w:rsid w:val="00213ACC"/>
    <w:rsid w:val="00213D5A"/>
    <w:rsid w:val="0021405D"/>
    <w:rsid w:val="002142AB"/>
    <w:rsid w:val="002144CB"/>
    <w:rsid w:val="00214A2E"/>
    <w:rsid w:val="00214AB4"/>
    <w:rsid w:val="00214BFF"/>
    <w:rsid w:val="00214F7A"/>
    <w:rsid w:val="002150F2"/>
    <w:rsid w:val="00215208"/>
    <w:rsid w:val="00215511"/>
    <w:rsid w:val="00215593"/>
    <w:rsid w:val="002155EB"/>
    <w:rsid w:val="002155F7"/>
    <w:rsid w:val="002156DB"/>
    <w:rsid w:val="002156F7"/>
    <w:rsid w:val="00215A65"/>
    <w:rsid w:val="00215EDE"/>
    <w:rsid w:val="0021665D"/>
    <w:rsid w:val="002167A5"/>
    <w:rsid w:val="0021763C"/>
    <w:rsid w:val="00217985"/>
    <w:rsid w:val="002179D8"/>
    <w:rsid w:val="00217C78"/>
    <w:rsid w:val="00217CDB"/>
    <w:rsid w:val="00217D3C"/>
    <w:rsid w:val="00220284"/>
    <w:rsid w:val="0022035A"/>
    <w:rsid w:val="002204E9"/>
    <w:rsid w:val="00220773"/>
    <w:rsid w:val="00220A78"/>
    <w:rsid w:val="00220B5A"/>
    <w:rsid w:val="00220B97"/>
    <w:rsid w:val="00220C34"/>
    <w:rsid w:val="00220E99"/>
    <w:rsid w:val="00221203"/>
    <w:rsid w:val="00221811"/>
    <w:rsid w:val="00221A5B"/>
    <w:rsid w:val="00221C07"/>
    <w:rsid w:val="00221CE8"/>
    <w:rsid w:val="00221CFE"/>
    <w:rsid w:val="00221D0C"/>
    <w:rsid w:val="00221DFA"/>
    <w:rsid w:val="00221E09"/>
    <w:rsid w:val="00222251"/>
    <w:rsid w:val="002222EA"/>
    <w:rsid w:val="0022234B"/>
    <w:rsid w:val="0022277D"/>
    <w:rsid w:val="002227EC"/>
    <w:rsid w:val="00223497"/>
    <w:rsid w:val="00223A3A"/>
    <w:rsid w:val="00223AB0"/>
    <w:rsid w:val="002242AC"/>
    <w:rsid w:val="002242F7"/>
    <w:rsid w:val="002243C8"/>
    <w:rsid w:val="00224818"/>
    <w:rsid w:val="00224E05"/>
    <w:rsid w:val="00225319"/>
    <w:rsid w:val="0022535D"/>
    <w:rsid w:val="0022548B"/>
    <w:rsid w:val="00225602"/>
    <w:rsid w:val="002257C4"/>
    <w:rsid w:val="00225D73"/>
    <w:rsid w:val="00226106"/>
    <w:rsid w:val="00226239"/>
    <w:rsid w:val="00226346"/>
    <w:rsid w:val="00226425"/>
    <w:rsid w:val="00226545"/>
    <w:rsid w:val="0022769F"/>
    <w:rsid w:val="0022774E"/>
    <w:rsid w:val="0022777B"/>
    <w:rsid w:val="00227851"/>
    <w:rsid w:val="0022786E"/>
    <w:rsid w:val="00227C71"/>
    <w:rsid w:val="00227DF0"/>
    <w:rsid w:val="0023031C"/>
    <w:rsid w:val="0023069C"/>
    <w:rsid w:val="002308FA"/>
    <w:rsid w:val="002310CD"/>
    <w:rsid w:val="0023115E"/>
    <w:rsid w:val="00232030"/>
    <w:rsid w:val="0023230F"/>
    <w:rsid w:val="00232620"/>
    <w:rsid w:val="0023263E"/>
    <w:rsid w:val="00232A16"/>
    <w:rsid w:val="0023337B"/>
    <w:rsid w:val="00233842"/>
    <w:rsid w:val="0023386E"/>
    <w:rsid w:val="00234238"/>
    <w:rsid w:val="0023429A"/>
    <w:rsid w:val="002342A5"/>
    <w:rsid w:val="002345FB"/>
    <w:rsid w:val="00234720"/>
    <w:rsid w:val="00234834"/>
    <w:rsid w:val="00234AA8"/>
    <w:rsid w:val="00234B46"/>
    <w:rsid w:val="00234C59"/>
    <w:rsid w:val="00235CF6"/>
    <w:rsid w:val="00235F32"/>
    <w:rsid w:val="00235F48"/>
    <w:rsid w:val="002360BD"/>
    <w:rsid w:val="0023616E"/>
    <w:rsid w:val="002363DA"/>
    <w:rsid w:val="002364C0"/>
    <w:rsid w:val="00236EB3"/>
    <w:rsid w:val="00236FA0"/>
    <w:rsid w:val="00237185"/>
    <w:rsid w:val="0023730E"/>
    <w:rsid w:val="002373A9"/>
    <w:rsid w:val="00237989"/>
    <w:rsid w:val="00237EDD"/>
    <w:rsid w:val="00240685"/>
    <w:rsid w:val="00240948"/>
    <w:rsid w:val="00240B5A"/>
    <w:rsid w:val="00240BA6"/>
    <w:rsid w:val="0024197B"/>
    <w:rsid w:val="0024217C"/>
    <w:rsid w:val="0024270B"/>
    <w:rsid w:val="0024271A"/>
    <w:rsid w:val="00242BF0"/>
    <w:rsid w:val="00242CAC"/>
    <w:rsid w:val="00243029"/>
    <w:rsid w:val="00243476"/>
    <w:rsid w:val="002434E5"/>
    <w:rsid w:val="002439F0"/>
    <w:rsid w:val="00243B84"/>
    <w:rsid w:val="002442C9"/>
    <w:rsid w:val="0024449A"/>
    <w:rsid w:val="00244BAB"/>
    <w:rsid w:val="00245291"/>
    <w:rsid w:val="002455E7"/>
    <w:rsid w:val="00245851"/>
    <w:rsid w:val="002458DB"/>
    <w:rsid w:val="00245D6E"/>
    <w:rsid w:val="00246164"/>
    <w:rsid w:val="0024624D"/>
    <w:rsid w:val="00246587"/>
    <w:rsid w:val="002466AC"/>
    <w:rsid w:val="002467B4"/>
    <w:rsid w:val="00246A40"/>
    <w:rsid w:val="00246BC7"/>
    <w:rsid w:val="00246BE6"/>
    <w:rsid w:val="00247064"/>
    <w:rsid w:val="00247420"/>
    <w:rsid w:val="002474BA"/>
    <w:rsid w:val="002476A4"/>
    <w:rsid w:val="002478C2"/>
    <w:rsid w:val="00247B2B"/>
    <w:rsid w:val="00247E4C"/>
    <w:rsid w:val="00247EFD"/>
    <w:rsid w:val="00250151"/>
    <w:rsid w:val="00250155"/>
    <w:rsid w:val="00250221"/>
    <w:rsid w:val="00250288"/>
    <w:rsid w:val="0025047D"/>
    <w:rsid w:val="0025050A"/>
    <w:rsid w:val="002505A5"/>
    <w:rsid w:val="00250BD0"/>
    <w:rsid w:val="00250CA5"/>
    <w:rsid w:val="00250E1A"/>
    <w:rsid w:val="0025111C"/>
    <w:rsid w:val="00251298"/>
    <w:rsid w:val="00251369"/>
    <w:rsid w:val="00251527"/>
    <w:rsid w:val="00251CA7"/>
    <w:rsid w:val="00251D9A"/>
    <w:rsid w:val="002520EB"/>
    <w:rsid w:val="002523F7"/>
    <w:rsid w:val="002524D6"/>
    <w:rsid w:val="00252E92"/>
    <w:rsid w:val="00252F1A"/>
    <w:rsid w:val="00252FC2"/>
    <w:rsid w:val="002531DD"/>
    <w:rsid w:val="002532AF"/>
    <w:rsid w:val="002534B6"/>
    <w:rsid w:val="0025388A"/>
    <w:rsid w:val="00253A63"/>
    <w:rsid w:val="00253A7A"/>
    <w:rsid w:val="00253AB4"/>
    <w:rsid w:val="00253BCA"/>
    <w:rsid w:val="00253C9E"/>
    <w:rsid w:val="00253DD0"/>
    <w:rsid w:val="00253ED0"/>
    <w:rsid w:val="00254329"/>
    <w:rsid w:val="00254967"/>
    <w:rsid w:val="002552D7"/>
    <w:rsid w:val="0025541A"/>
    <w:rsid w:val="00255C60"/>
    <w:rsid w:val="00256389"/>
    <w:rsid w:val="002568B9"/>
    <w:rsid w:val="0025696E"/>
    <w:rsid w:val="00257028"/>
    <w:rsid w:val="0025721A"/>
    <w:rsid w:val="0025735E"/>
    <w:rsid w:val="002576EA"/>
    <w:rsid w:val="00257743"/>
    <w:rsid w:val="002577EA"/>
    <w:rsid w:val="0025786F"/>
    <w:rsid w:val="0025794A"/>
    <w:rsid w:val="0025794C"/>
    <w:rsid w:val="00257A34"/>
    <w:rsid w:val="00257CBD"/>
    <w:rsid w:val="00257DE1"/>
    <w:rsid w:val="00257E4C"/>
    <w:rsid w:val="00257F76"/>
    <w:rsid w:val="00260022"/>
    <w:rsid w:val="002601D0"/>
    <w:rsid w:val="00260457"/>
    <w:rsid w:val="002606B3"/>
    <w:rsid w:val="00260805"/>
    <w:rsid w:val="00260994"/>
    <w:rsid w:val="00260CA5"/>
    <w:rsid w:val="00261016"/>
    <w:rsid w:val="00261205"/>
    <w:rsid w:val="00261516"/>
    <w:rsid w:val="00261739"/>
    <w:rsid w:val="00261D8D"/>
    <w:rsid w:val="0026204E"/>
    <w:rsid w:val="002625E7"/>
    <w:rsid w:val="00262A98"/>
    <w:rsid w:val="0026302B"/>
    <w:rsid w:val="0026348F"/>
    <w:rsid w:val="002635BA"/>
    <w:rsid w:val="0026376D"/>
    <w:rsid w:val="0026392C"/>
    <w:rsid w:val="002639AA"/>
    <w:rsid w:val="00263C8B"/>
    <w:rsid w:val="00263D16"/>
    <w:rsid w:val="00263D8D"/>
    <w:rsid w:val="00263F16"/>
    <w:rsid w:val="00263F38"/>
    <w:rsid w:val="002644D0"/>
    <w:rsid w:val="0026456D"/>
    <w:rsid w:val="00264E39"/>
    <w:rsid w:val="00265844"/>
    <w:rsid w:val="002659AB"/>
    <w:rsid w:val="00265F56"/>
    <w:rsid w:val="0026622A"/>
    <w:rsid w:val="00266618"/>
    <w:rsid w:val="00266A03"/>
    <w:rsid w:val="00266CC2"/>
    <w:rsid w:val="00266FA9"/>
    <w:rsid w:val="002673B3"/>
    <w:rsid w:val="002678B9"/>
    <w:rsid w:val="00267BB3"/>
    <w:rsid w:val="00270026"/>
    <w:rsid w:val="0027010B"/>
    <w:rsid w:val="002709DF"/>
    <w:rsid w:val="00270C12"/>
    <w:rsid w:val="00270CA5"/>
    <w:rsid w:val="00270E83"/>
    <w:rsid w:val="0027121A"/>
    <w:rsid w:val="0027189B"/>
    <w:rsid w:val="00271A4C"/>
    <w:rsid w:val="00271A52"/>
    <w:rsid w:val="00271CB1"/>
    <w:rsid w:val="00271DC9"/>
    <w:rsid w:val="00271F40"/>
    <w:rsid w:val="00272499"/>
    <w:rsid w:val="00272A86"/>
    <w:rsid w:val="00272AB3"/>
    <w:rsid w:val="00272CAD"/>
    <w:rsid w:val="00272DC2"/>
    <w:rsid w:val="00272F65"/>
    <w:rsid w:val="00272FFC"/>
    <w:rsid w:val="0027326C"/>
    <w:rsid w:val="002735C6"/>
    <w:rsid w:val="00273980"/>
    <w:rsid w:val="00273DD9"/>
    <w:rsid w:val="00273E2B"/>
    <w:rsid w:val="00274882"/>
    <w:rsid w:val="002748D1"/>
    <w:rsid w:val="0027494C"/>
    <w:rsid w:val="00274BB6"/>
    <w:rsid w:val="00274DCB"/>
    <w:rsid w:val="00274F9F"/>
    <w:rsid w:val="0027513D"/>
    <w:rsid w:val="00275208"/>
    <w:rsid w:val="00275431"/>
    <w:rsid w:val="00275C37"/>
    <w:rsid w:val="00275FC3"/>
    <w:rsid w:val="002763AB"/>
    <w:rsid w:val="00276A30"/>
    <w:rsid w:val="00276DB3"/>
    <w:rsid w:val="00276E0A"/>
    <w:rsid w:val="002773D5"/>
    <w:rsid w:val="0027753A"/>
    <w:rsid w:val="0027779E"/>
    <w:rsid w:val="002779F1"/>
    <w:rsid w:val="00277A24"/>
    <w:rsid w:val="00277C84"/>
    <w:rsid w:val="002800D1"/>
    <w:rsid w:val="002807E8"/>
    <w:rsid w:val="0028086B"/>
    <w:rsid w:val="00280E83"/>
    <w:rsid w:val="0028166A"/>
    <w:rsid w:val="002817B3"/>
    <w:rsid w:val="00281820"/>
    <w:rsid w:val="00281C86"/>
    <w:rsid w:val="00281DAA"/>
    <w:rsid w:val="002821B9"/>
    <w:rsid w:val="00282360"/>
    <w:rsid w:val="00282562"/>
    <w:rsid w:val="00282773"/>
    <w:rsid w:val="002828FF"/>
    <w:rsid w:val="00282C16"/>
    <w:rsid w:val="00282D71"/>
    <w:rsid w:val="00283014"/>
    <w:rsid w:val="0028309A"/>
    <w:rsid w:val="002840F3"/>
    <w:rsid w:val="002842EB"/>
    <w:rsid w:val="002843D7"/>
    <w:rsid w:val="00284808"/>
    <w:rsid w:val="00284D80"/>
    <w:rsid w:val="002850B4"/>
    <w:rsid w:val="00285210"/>
    <w:rsid w:val="00285565"/>
    <w:rsid w:val="00285576"/>
    <w:rsid w:val="0028598D"/>
    <w:rsid w:val="00285B8C"/>
    <w:rsid w:val="002860EB"/>
    <w:rsid w:val="0028614C"/>
    <w:rsid w:val="002863DF"/>
    <w:rsid w:val="00286455"/>
    <w:rsid w:val="0028651E"/>
    <w:rsid w:val="0028685E"/>
    <w:rsid w:val="00286B6A"/>
    <w:rsid w:val="00286D94"/>
    <w:rsid w:val="00287136"/>
    <w:rsid w:val="002878B1"/>
    <w:rsid w:val="00287BAB"/>
    <w:rsid w:val="00287F76"/>
    <w:rsid w:val="0029005B"/>
    <w:rsid w:val="00290083"/>
    <w:rsid w:val="00290238"/>
    <w:rsid w:val="00290345"/>
    <w:rsid w:val="0029039D"/>
    <w:rsid w:val="002904C7"/>
    <w:rsid w:val="002905BF"/>
    <w:rsid w:val="002905C6"/>
    <w:rsid w:val="00290689"/>
    <w:rsid w:val="00290AD5"/>
    <w:rsid w:val="00290BEC"/>
    <w:rsid w:val="00290D92"/>
    <w:rsid w:val="002911D3"/>
    <w:rsid w:val="00291266"/>
    <w:rsid w:val="00291608"/>
    <w:rsid w:val="00291A7E"/>
    <w:rsid w:val="00291BFC"/>
    <w:rsid w:val="002922ED"/>
    <w:rsid w:val="002930BC"/>
    <w:rsid w:val="002931D7"/>
    <w:rsid w:val="00293272"/>
    <w:rsid w:val="0029367E"/>
    <w:rsid w:val="002937FE"/>
    <w:rsid w:val="00293B44"/>
    <w:rsid w:val="00293C84"/>
    <w:rsid w:val="00293E22"/>
    <w:rsid w:val="00294932"/>
    <w:rsid w:val="00294E7E"/>
    <w:rsid w:val="00294E96"/>
    <w:rsid w:val="002951C4"/>
    <w:rsid w:val="00295276"/>
    <w:rsid w:val="00295348"/>
    <w:rsid w:val="002954A3"/>
    <w:rsid w:val="00295762"/>
    <w:rsid w:val="00295AC9"/>
    <w:rsid w:val="00295AE9"/>
    <w:rsid w:val="00295C6E"/>
    <w:rsid w:val="00295D9B"/>
    <w:rsid w:val="00296458"/>
    <w:rsid w:val="00296D4E"/>
    <w:rsid w:val="00296F4A"/>
    <w:rsid w:val="00296F5A"/>
    <w:rsid w:val="0029749F"/>
    <w:rsid w:val="0029778E"/>
    <w:rsid w:val="00297C4A"/>
    <w:rsid w:val="002A0186"/>
    <w:rsid w:val="002A02D6"/>
    <w:rsid w:val="002A06D6"/>
    <w:rsid w:val="002A0806"/>
    <w:rsid w:val="002A08C4"/>
    <w:rsid w:val="002A0B6E"/>
    <w:rsid w:val="002A0B85"/>
    <w:rsid w:val="002A0D49"/>
    <w:rsid w:val="002A0E8C"/>
    <w:rsid w:val="002A0FD8"/>
    <w:rsid w:val="002A12E2"/>
    <w:rsid w:val="002A1350"/>
    <w:rsid w:val="002A13F9"/>
    <w:rsid w:val="002A18CA"/>
    <w:rsid w:val="002A1A78"/>
    <w:rsid w:val="002A1B77"/>
    <w:rsid w:val="002A227C"/>
    <w:rsid w:val="002A24FC"/>
    <w:rsid w:val="002A2C6C"/>
    <w:rsid w:val="002A2DAA"/>
    <w:rsid w:val="002A2E49"/>
    <w:rsid w:val="002A3055"/>
    <w:rsid w:val="002A31A1"/>
    <w:rsid w:val="002A3383"/>
    <w:rsid w:val="002A36F1"/>
    <w:rsid w:val="002A3958"/>
    <w:rsid w:val="002A3EC1"/>
    <w:rsid w:val="002A4098"/>
    <w:rsid w:val="002A4D4D"/>
    <w:rsid w:val="002A4E20"/>
    <w:rsid w:val="002A500C"/>
    <w:rsid w:val="002A583D"/>
    <w:rsid w:val="002A5899"/>
    <w:rsid w:val="002A5A49"/>
    <w:rsid w:val="002A5A4E"/>
    <w:rsid w:val="002A5C37"/>
    <w:rsid w:val="002A5CE8"/>
    <w:rsid w:val="002A5D67"/>
    <w:rsid w:val="002A62A8"/>
    <w:rsid w:val="002A62FE"/>
    <w:rsid w:val="002A6814"/>
    <w:rsid w:val="002A684F"/>
    <w:rsid w:val="002A6CF9"/>
    <w:rsid w:val="002A74F7"/>
    <w:rsid w:val="002A75A4"/>
    <w:rsid w:val="002A77F8"/>
    <w:rsid w:val="002A7BC1"/>
    <w:rsid w:val="002A7EBF"/>
    <w:rsid w:val="002B00CA"/>
    <w:rsid w:val="002B0322"/>
    <w:rsid w:val="002B03F2"/>
    <w:rsid w:val="002B04B5"/>
    <w:rsid w:val="002B04FA"/>
    <w:rsid w:val="002B060B"/>
    <w:rsid w:val="002B0660"/>
    <w:rsid w:val="002B0BD0"/>
    <w:rsid w:val="002B0C6A"/>
    <w:rsid w:val="002B0D3B"/>
    <w:rsid w:val="002B0E13"/>
    <w:rsid w:val="002B0F69"/>
    <w:rsid w:val="002B1219"/>
    <w:rsid w:val="002B13B7"/>
    <w:rsid w:val="002B13F5"/>
    <w:rsid w:val="002B19BD"/>
    <w:rsid w:val="002B201B"/>
    <w:rsid w:val="002B207D"/>
    <w:rsid w:val="002B2E2C"/>
    <w:rsid w:val="002B3033"/>
    <w:rsid w:val="002B3168"/>
    <w:rsid w:val="002B363C"/>
    <w:rsid w:val="002B3646"/>
    <w:rsid w:val="002B3660"/>
    <w:rsid w:val="002B36AD"/>
    <w:rsid w:val="002B3790"/>
    <w:rsid w:val="002B3C07"/>
    <w:rsid w:val="002B3F97"/>
    <w:rsid w:val="002B41D4"/>
    <w:rsid w:val="002B4265"/>
    <w:rsid w:val="002B446A"/>
    <w:rsid w:val="002B4985"/>
    <w:rsid w:val="002B4E8E"/>
    <w:rsid w:val="002B4EDB"/>
    <w:rsid w:val="002B4F9E"/>
    <w:rsid w:val="002B509F"/>
    <w:rsid w:val="002B5197"/>
    <w:rsid w:val="002B54F6"/>
    <w:rsid w:val="002B556E"/>
    <w:rsid w:val="002B5848"/>
    <w:rsid w:val="002B5B49"/>
    <w:rsid w:val="002B60F1"/>
    <w:rsid w:val="002B618D"/>
    <w:rsid w:val="002B61BD"/>
    <w:rsid w:val="002B61CA"/>
    <w:rsid w:val="002B6926"/>
    <w:rsid w:val="002B6BDD"/>
    <w:rsid w:val="002B6EB3"/>
    <w:rsid w:val="002B7182"/>
    <w:rsid w:val="002B74C2"/>
    <w:rsid w:val="002B7C5A"/>
    <w:rsid w:val="002C000C"/>
    <w:rsid w:val="002C0193"/>
    <w:rsid w:val="002C037D"/>
    <w:rsid w:val="002C0446"/>
    <w:rsid w:val="002C05F2"/>
    <w:rsid w:val="002C07B5"/>
    <w:rsid w:val="002C094F"/>
    <w:rsid w:val="002C0A7B"/>
    <w:rsid w:val="002C0DF0"/>
    <w:rsid w:val="002C0EDC"/>
    <w:rsid w:val="002C0FB0"/>
    <w:rsid w:val="002C105B"/>
    <w:rsid w:val="002C1961"/>
    <w:rsid w:val="002C1DA5"/>
    <w:rsid w:val="002C1E72"/>
    <w:rsid w:val="002C219B"/>
    <w:rsid w:val="002C2CAE"/>
    <w:rsid w:val="002C2D2D"/>
    <w:rsid w:val="002C2D35"/>
    <w:rsid w:val="002C2FF0"/>
    <w:rsid w:val="002C2FF3"/>
    <w:rsid w:val="002C3120"/>
    <w:rsid w:val="002C3AC7"/>
    <w:rsid w:val="002C3CA5"/>
    <w:rsid w:val="002C3D29"/>
    <w:rsid w:val="002C468A"/>
    <w:rsid w:val="002C48A3"/>
    <w:rsid w:val="002C4B4C"/>
    <w:rsid w:val="002C4BFE"/>
    <w:rsid w:val="002C4DC5"/>
    <w:rsid w:val="002C53B9"/>
    <w:rsid w:val="002C54D7"/>
    <w:rsid w:val="002C56E1"/>
    <w:rsid w:val="002C59AD"/>
    <w:rsid w:val="002C59DA"/>
    <w:rsid w:val="002C5A87"/>
    <w:rsid w:val="002C5BA0"/>
    <w:rsid w:val="002C61D3"/>
    <w:rsid w:val="002C647A"/>
    <w:rsid w:val="002C68E6"/>
    <w:rsid w:val="002C69A9"/>
    <w:rsid w:val="002C6BB1"/>
    <w:rsid w:val="002C6D77"/>
    <w:rsid w:val="002C6F20"/>
    <w:rsid w:val="002C75BB"/>
    <w:rsid w:val="002C75C0"/>
    <w:rsid w:val="002C7ACF"/>
    <w:rsid w:val="002C7B22"/>
    <w:rsid w:val="002D029D"/>
    <w:rsid w:val="002D056D"/>
    <w:rsid w:val="002D09B8"/>
    <w:rsid w:val="002D0B73"/>
    <w:rsid w:val="002D111D"/>
    <w:rsid w:val="002D1851"/>
    <w:rsid w:val="002D1B07"/>
    <w:rsid w:val="002D1D3B"/>
    <w:rsid w:val="002D25A9"/>
    <w:rsid w:val="002D2922"/>
    <w:rsid w:val="002D30AA"/>
    <w:rsid w:val="002D3493"/>
    <w:rsid w:val="002D3C12"/>
    <w:rsid w:val="002D3CE1"/>
    <w:rsid w:val="002D4245"/>
    <w:rsid w:val="002D425D"/>
    <w:rsid w:val="002D4483"/>
    <w:rsid w:val="002D4D71"/>
    <w:rsid w:val="002D4DC1"/>
    <w:rsid w:val="002D509D"/>
    <w:rsid w:val="002D51FE"/>
    <w:rsid w:val="002D533A"/>
    <w:rsid w:val="002D567D"/>
    <w:rsid w:val="002D598F"/>
    <w:rsid w:val="002D5A60"/>
    <w:rsid w:val="002D5C17"/>
    <w:rsid w:val="002D65FA"/>
    <w:rsid w:val="002D6ABB"/>
    <w:rsid w:val="002D6CD2"/>
    <w:rsid w:val="002D6FD2"/>
    <w:rsid w:val="002D770D"/>
    <w:rsid w:val="002D79A2"/>
    <w:rsid w:val="002E0E90"/>
    <w:rsid w:val="002E1017"/>
    <w:rsid w:val="002E10E8"/>
    <w:rsid w:val="002E1D76"/>
    <w:rsid w:val="002E239E"/>
    <w:rsid w:val="002E2451"/>
    <w:rsid w:val="002E25A8"/>
    <w:rsid w:val="002E2A3F"/>
    <w:rsid w:val="002E2A88"/>
    <w:rsid w:val="002E2AB4"/>
    <w:rsid w:val="002E2CEA"/>
    <w:rsid w:val="002E3081"/>
    <w:rsid w:val="002E3213"/>
    <w:rsid w:val="002E3958"/>
    <w:rsid w:val="002E39C7"/>
    <w:rsid w:val="002E3C4F"/>
    <w:rsid w:val="002E45A3"/>
    <w:rsid w:val="002E474A"/>
    <w:rsid w:val="002E4976"/>
    <w:rsid w:val="002E4BB9"/>
    <w:rsid w:val="002E5639"/>
    <w:rsid w:val="002E57C0"/>
    <w:rsid w:val="002E5CA4"/>
    <w:rsid w:val="002E5CE2"/>
    <w:rsid w:val="002E633C"/>
    <w:rsid w:val="002E67FA"/>
    <w:rsid w:val="002E68AB"/>
    <w:rsid w:val="002E6E9E"/>
    <w:rsid w:val="002E704B"/>
    <w:rsid w:val="002E709C"/>
    <w:rsid w:val="002E70A0"/>
    <w:rsid w:val="002E7255"/>
    <w:rsid w:val="002E7485"/>
    <w:rsid w:val="002E765D"/>
    <w:rsid w:val="002E79CD"/>
    <w:rsid w:val="002E7B9F"/>
    <w:rsid w:val="002E7BB7"/>
    <w:rsid w:val="002F009F"/>
    <w:rsid w:val="002F00E9"/>
    <w:rsid w:val="002F050D"/>
    <w:rsid w:val="002F053A"/>
    <w:rsid w:val="002F0B11"/>
    <w:rsid w:val="002F0B22"/>
    <w:rsid w:val="002F0DBB"/>
    <w:rsid w:val="002F11B6"/>
    <w:rsid w:val="002F13E5"/>
    <w:rsid w:val="002F1CE3"/>
    <w:rsid w:val="002F1FA3"/>
    <w:rsid w:val="002F1FF4"/>
    <w:rsid w:val="002F210B"/>
    <w:rsid w:val="002F2564"/>
    <w:rsid w:val="002F2685"/>
    <w:rsid w:val="002F26A3"/>
    <w:rsid w:val="002F2759"/>
    <w:rsid w:val="002F2DDB"/>
    <w:rsid w:val="002F2DEB"/>
    <w:rsid w:val="002F3C35"/>
    <w:rsid w:val="002F3D02"/>
    <w:rsid w:val="002F3F3C"/>
    <w:rsid w:val="002F4051"/>
    <w:rsid w:val="002F40DA"/>
    <w:rsid w:val="002F445A"/>
    <w:rsid w:val="002F4A67"/>
    <w:rsid w:val="002F4D79"/>
    <w:rsid w:val="002F4D8F"/>
    <w:rsid w:val="002F5559"/>
    <w:rsid w:val="002F5615"/>
    <w:rsid w:val="002F56F6"/>
    <w:rsid w:val="002F584D"/>
    <w:rsid w:val="002F58DD"/>
    <w:rsid w:val="002F60F0"/>
    <w:rsid w:val="002F64EC"/>
    <w:rsid w:val="002F6704"/>
    <w:rsid w:val="002F6C9E"/>
    <w:rsid w:val="002F6D05"/>
    <w:rsid w:val="002F6E65"/>
    <w:rsid w:val="002F767D"/>
    <w:rsid w:val="002F774F"/>
    <w:rsid w:val="0030004F"/>
    <w:rsid w:val="0030079B"/>
    <w:rsid w:val="00300988"/>
    <w:rsid w:val="00300A39"/>
    <w:rsid w:val="00300EA1"/>
    <w:rsid w:val="003013EB"/>
    <w:rsid w:val="0030140F"/>
    <w:rsid w:val="00301A95"/>
    <w:rsid w:val="00301ED7"/>
    <w:rsid w:val="00301F05"/>
    <w:rsid w:val="00301F4C"/>
    <w:rsid w:val="00301FAC"/>
    <w:rsid w:val="003021BB"/>
    <w:rsid w:val="003022BF"/>
    <w:rsid w:val="00302359"/>
    <w:rsid w:val="003024B2"/>
    <w:rsid w:val="00302577"/>
    <w:rsid w:val="003025B9"/>
    <w:rsid w:val="003026B4"/>
    <w:rsid w:val="00302871"/>
    <w:rsid w:val="00302896"/>
    <w:rsid w:val="003028C0"/>
    <w:rsid w:val="00302D33"/>
    <w:rsid w:val="00303765"/>
    <w:rsid w:val="00303D07"/>
    <w:rsid w:val="00303F1C"/>
    <w:rsid w:val="00304064"/>
    <w:rsid w:val="00304215"/>
    <w:rsid w:val="00304433"/>
    <w:rsid w:val="0030446C"/>
    <w:rsid w:val="0030552D"/>
    <w:rsid w:val="003055D9"/>
    <w:rsid w:val="00305788"/>
    <w:rsid w:val="00305A45"/>
    <w:rsid w:val="00305FE4"/>
    <w:rsid w:val="00306D84"/>
    <w:rsid w:val="00306E48"/>
    <w:rsid w:val="00306F19"/>
    <w:rsid w:val="003076A9"/>
    <w:rsid w:val="0030775B"/>
    <w:rsid w:val="00307B69"/>
    <w:rsid w:val="00307E5A"/>
    <w:rsid w:val="00307E88"/>
    <w:rsid w:val="003101D0"/>
    <w:rsid w:val="00310538"/>
    <w:rsid w:val="00310872"/>
    <w:rsid w:val="003108D4"/>
    <w:rsid w:val="00310DF6"/>
    <w:rsid w:val="0031161A"/>
    <w:rsid w:val="0031171D"/>
    <w:rsid w:val="003119CC"/>
    <w:rsid w:val="00311B7C"/>
    <w:rsid w:val="00311C48"/>
    <w:rsid w:val="00311CF1"/>
    <w:rsid w:val="00311E1B"/>
    <w:rsid w:val="00311ED7"/>
    <w:rsid w:val="003126E5"/>
    <w:rsid w:val="00312AE1"/>
    <w:rsid w:val="00312B46"/>
    <w:rsid w:val="00312B62"/>
    <w:rsid w:val="00312C12"/>
    <w:rsid w:val="00312E08"/>
    <w:rsid w:val="00312E64"/>
    <w:rsid w:val="00313178"/>
    <w:rsid w:val="0031389E"/>
    <w:rsid w:val="00313B0E"/>
    <w:rsid w:val="00313BE7"/>
    <w:rsid w:val="00313F3C"/>
    <w:rsid w:val="0031407E"/>
    <w:rsid w:val="00314198"/>
    <w:rsid w:val="0031431D"/>
    <w:rsid w:val="00314536"/>
    <w:rsid w:val="0031461E"/>
    <w:rsid w:val="003149CF"/>
    <w:rsid w:val="00314F0C"/>
    <w:rsid w:val="00315304"/>
    <w:rsid w:val="003154B3"/>
    <w:rsid w:val="00315730"/>
    <w:rsid w:val="0031573E"/>
    <w:rsid w:val="00315C6A"/>
    <w:rsid w:val="00315CA2"/>
    <w:rsid w:val="00315E62"/>
    <w:rsid w:val="00315EEF"/>
    <w:rsid w:val="00315FA4"/>
    <w:rsid w:val="00316460"/>
    <w:rsid w:val="0031657E"/>
    <w:rsid w:val="00316929"/>
    <w:rsid w:val="00316DEA"/>
    <w:rsid w:val="00316F27"/>
    <w:rsid w:val="00317AE4"/>
    <w:rsid w:val="00317C61"/>
    <w:rsid w:val="00317C83"/>
    <w:rsid w:val="00317D3D"/>
    <w:rsid w:val="00317E2F"/>
    <w:rsid w:val="0032001A"/>
    <w:rsid w:val="0032010F"/>
    <w:rsid w:val="0032040E"/>
    <w:rsid w:val="00320581"/>
    <w:rsid w:val="00320719"/>
    <w:rsid w:val="003208DB"/>
    <w:rsid w:val="00320B20"/>
    <w:rsid w:val="00320BCC"/>
    <w:rsid w:val="00320EDA"/>
    <w:rsid w:val="00320F04"/>
    <w:rsid w:val="003211C7"/>
    <w:rsid w:val="00321E0D"/>
    <w:rsid w:val="00322862"/>
    <w:rsid w:val="00323132"/>
    <w:rsid w:val="00323F52"/>
    <w:rsid w:val="00324015"/>
    <w:rsid w:val="0032428F"/>
    <w:rsid w:val="003242ED"/>
    <w:rsid w:val="00324407"/>
    <w:rsid w:val="00324E08"/>
    <w:rsid w:val="00324FB7"/>
    <w:rsid w:val="00325618"/>
    <w:rsid w:val="00325DD5"/>
    <w:rsid w:val="00325DE3"/>
    <w:rsid w:val="0032647E"/>
    <w:rsid w:val="0032668E"/>
    <w:rsid w:val="00327282"/>
    <w:rsid w:val="0032728D"/>
    <w:rsid w:val="00327409"/>
    <w:rsid w:val="00327B28"/>
    <w:rsid w:val="00327E28"/>
    <w:rsid w:val="00327E62"/>
    <w:rsid w:val="00327F8E"/>
    <w:rsid w:val="0033005E"/>
    <w:rsid w:val="00330547"/>
    <w:rsid w:val="00330AA8"/>
    <w:rsid w:val="00330CE1"/>
    <w:rsid w:val="00331406"/>
    <w:rsid w:val="00331729"/>
    <w:rsid w:val="003319A4"/>
    <w:rsid w:val="00331E67"/>
    <w:rsid w:val="00332171"/>
    <w:rsid w:val="003326FC"/>
    <w:rsid w:val="0033276F"/>
    <w:rsid w:val="00332853"/>
    <w:rsid w:val="00332C6C"/>
    <w:rsid w:val="003333F0"/>
    <w:rsid w:val="0033345B"/>
    <w:rsid w:val="00333677"/>
    <w:rsid w:val="00333B86"/>
    <w:rsid w:val="00333C6D"/>
    <w:rsid w:val="00333DD7"/>
    <w:rsid w:val="003340E5"/>
    <w:rsid w:val="003341C3"/>
    <w:rsid w:val="00334323"/>
    <w:rsid w:val="00334364"/>
    <w:rsid w:val="00334374"/>
    <w:rsid w:val="0033514A"/>
    <w:rsid w:val="0033578D"/>
    <w:rsid w:val="00335829"/>
    <w:rsid w:val="003361AA"/>
    <w:rsid w:val="00336C7D"/>
    <w:rsid w:val="00336C8B"/>
    <w:rsid w:val="00336F3D"/>
    <w:rsid w:val="00337210"/>
    <w:rsid w:val="0033726A"/>
    <w:rsid w:val="003372FF"/>
    <w:rsid w:val="0033748F"/>
    <w:rsid w:val="0033796C"/>
    <w:rsid w:val="00337C2D"/>
    <w:rsid w:val="00337FE4"/>
    <w:rsid w:val="0034003A"/>
    <w:rsid w:val="003400DF"/>
    <w:rsid w:val="00340295"/>
    <w:rsid w:val="00340746"/>
    <w:rsid w:val="00340953"/>
    <w:rsid w:val="00340A4F"/>
    <w:rsid w:val="00340AEA"/>
    <w:rsid w:val="00340DE4"/>
    <w:rsid w:val="00341091"/>
    <w:rsid w:val="0034117C"/>
    <w:rsid w:val="00341855"/>
    <w:rsid w:val="003419A5"/>
    <w:rsid w:val="0034323A"/>
    <w:rsid w:val="0034371C"/>
    <w:rsid w:val="00343BE0"/>
    <w:rsid w:val="00343CA7"/>
    <w:rsid w:val="00343D77"/>
    <w:rsid w:val="003441C9"/>
    <w:rsid w:val="003445EC"/>
    <w:rsid w:val="003446D0"/>
    <w:rsid w:val="003448CD"/>
    <w:rsid w:val="00344A2D"/>
    <w:rsid w:val="00344A75"/>
    <w:rsid w:val="00344A9D"/>
    <w:rsid w:val="00344E92"/>
    <w:rsid w:val="00345355"/>
    <w:rsid w:val="00345B28"/>
    <w:rsid w:val="00345B51"/>
    <w:rsid w:val="00345ED4"/>
    <w:rsid w:val="003461A1"/>
    <w:rsid w:val="00346226"/>
    <w:rsid w:val="00346854"/>
    <w:rsid w:val="0034731A"/>
    <w:rsid w:val="0034745E"/>
    <w:rsid w:val="0034767C"/>
    <w:rsid w:val="0034788A"/>
    <w:rsid w:val="00347F44"/>
    <w:rsid w:val="0035055E"/>
    <w:rsid w:val="00350625"/>
    <w:rsid w:val="00350D9D"/>
    <w:rsid w:val="00350F4D"/>
    <w:rsid w:val="00350FBB"/>
    <w:rsid w:val="003514CC"/>
    <w:rsid w:val="0035181F"/>
    <w:rsid w:val="003518AA"/>
    <w:rsid w:val="00351E44"/>
    <w:rsid w:val="00351F57"/>
    <w:rsid w:val="00352407"/>
    <w:rsid w:val="00352503"/>
    <w:rsid w:val="00352861"/>
    <w:rsid w:val="003530A6"/>
    <w:rsid w:val="0035316C"/>
    <w:rsid w:val="0035339A"/>
    <w:rsid w:val="00353ABF"/>
    <w:rsid w:val="00354150"/>
    <w:rsid w:val="003543F3"/>
    <w:rsid w:val="00354EF2"/>
    <w:rsid w:val="003551F7"/>
    <w:rsid w:val="0035528B"/>
    <w:rsid w:val="0035582B"/>
    <w:rsid w:val="003559D2"/>
    <w:rsid w:val="003560AC"/>
    <w:rsid w:val="003562F0"/>
    <w:rsid w:val="0035695F"/>
    <w:rsid w:val="00356C6C"/>
    <w:rsid w:val="00356ED6"/>
    <w:rsid w:val="0035759C"/>
    <w:rsid w:val="003579C4"/>
    <w:rsid w:val="00360216"/>
    <w:rsid w:val="003604E8"/>
    <w:rsid w:val="0036059B"/>
    <w:rsid w:val="00360759"/>
    <w:rsid w:val="00360EC6"/>
    <w:rsid w:val="00361023"/>
    <w:rsid w:val="00361105"/>
    <w:rsid w:val="003616DA"/>
    <w:rsid w:val="00361BBB"/>
    <w:rsid w:val="00362159"/>
    <w:rsid w:val="00362859"/>
    <w:rsid w:val="00362949"/>
    <w:rsid w:val="00362A77"/>
    <w:rsid w:val="00362E26"/>
    <w:rsid w:val="003634F6"/>
    <w:rsid w:val="003636F0"/>
    <w:rsid w:val="003637F4"/>
    <w:rsid w:val="00363810"/>
    <w:rsid w:val="00363A04"/>
    <w:rsid w:val="00363E52"/>
    <w:rsid w:val="00363FF0"/>
    <w:rsid w:val="00364104"/>
    <w:rsid w:val="00364367"/>
    <w:rsid w:val="00364655"/>
    <w:rsid w:val="0036480A"/>
    <w:rsid w:val="00364B2F"/>
    <w:rsid w:val="00364B59"/>
    <w:rsid w:val="00364FA0"/>
    <w:rsid w:val="00365CF3"/>
    <w:rsid w:val="00366CB0"/>
    <w:rsid w:val="00366FC5"/>
    <w:rsid w:val="00367073"/>
    <w:rsid w:val="00367141"/>
    <w:rsid w:val="003671F5"/>
    <w:rsid w:val="00367307"/>
    <w:rsid w:val="0036746A"/>
    <w:rsid w:val="00367B69"/>
    <w:rsid w:val="003707DB"/>
    <w:rsid w:val="00370DC6"/>
    <w:rsid w:val="0037139E"/>
    <w:rsid w:val="00371F54"/>
    <w:rsid w:val="00371FDE"/>
    <w:rsid w:val="00372B3A"/>
    <w:rsid w:val="00372C2D"/>
    <w:rsid w:val="00372DF8"/>
    <w:rsid w:val="00372FBB"/>
    <w:rsid w:val="0037310B"/>
    <w:rsid w:val="0037329C"/>
    <w:rsid w:val="003738C9"/>
    <w:rsid w:val="00373954"/>
    <w:rsid w:val="003739D6"/>
    <w:rsid w:val="00373BBA"/>
    <w:rsid w:val="00373CB6"/>
    <w:rsid w:val="00373D02"/>
    <w:rsid w:val="00373D85"/>
    <w:rsid w:val="0037444A"/>
    <w:rsid w:val="00374AA4"/>
    <w:rsid w:val="00374C9E"/>
    <w:rsid w:val="00374D85"/>
    <w:rsid w:val="00374EE8"/>
    <w:rsid w:val="0037528E"/>
    <w:rsid w:val="0037533E"/>
    <w:rsid w:val="0037544C"/>
    <w:rsid w:val="00375478"/>
    <w:rsid w:val="00375544"/>
    <w:rsid w:val="003755C2"/>
    <w:rsid w:val="00375B60"/>
    <w:rsid w:val="00376199"/>
    <w:rsid w:val="00376372"/>
    <w:rsid w:val="003771BE"/>
    <w:rsid w:val="00377272"/>
    <w:rsid w:val="003774C4"/>
    <w:rsid w:val="00377621"/>
    <w:rsid w:val="00377A7C"/>
    <w:rsid w:val="00377B5B"/>
    <w:rsid w:val="00377DB0"/>
    <w:rsid w:val="00380627"/>
    <w:rsid w:val="00380629"/>
    <w:rsid w:val="00380A66"/>
    <w:rsid w:val="00380AE1"/>
    <w:rsid w:val="003815D5"/>
    <w:rsid w:val="0038199B"/>
    <w:rsid w:val="00381B17"/>
    <w:rsid w:val="00381CA7"/>
    <w:rsid w:val="00381D06"/>
    <w:rsid w:val="0038216A"/>
    <w:rsid w:val="003825E2"/>
    <w:rsid w:val="003827D5"/>
    <w:rsid w:val="0038285E"/>
    <w:rsid w:val="00382C67"/>
    <w:rsid w:val="00382D21"/>
    <w:rsid w:val="00383310"/>
    <w:rsid w:val="00383595"/>
    <w:rsid w:val="00383834"/>
    <w:rsid w:val="00383EB2"/>
    <w:rsid w:val="00384050"/>
    <w:rsid w:val="0038406E"/>
    <w:rsid w:val="00384915"/>
    <w:rsid w:val="00385233"/>
    <w:rsid w:val="00385637"/>
    <w:rsid w:val="00385B9A"/>
    <w:rsid w:val="00385E57"/>
    <w:rsid w:val="00385FCC"/>
    <w:rsid w:val="00386042"/>
    <w:rsid w:val="003860AC"/>
    <w:rsid w:val="0038642E"/>
    <w:rsid w:val="00386461"/>
    <w:rsid w:val="0038663A"/>
    <w:rsid w:val="00386E75"/>
    <w:rsid w:val="0038701E"/>
    <w:rsid w:val="0038706D"/>
    <w:rsid w:val="003870AA"/>
    <w:rsid w:val="003871BF"/>
    <w:rsid w:val="003871DE"/>
    <w:rsid w:val="003875AC"/>
    <w:rsid w:val="003875DF"/>
    <w:rsid w:val="00387B24"/>
    <w:rsid w:val="00387CAD"/>
    <w:rsid w:val="00387D9A"/>
    <w:rsid w:val="00390314"/>
    <w:rsid w:val="0039031F"/>
    <w:rsid w:val="0039053E"/>
    <w:rsid w:val="00390738"/>
    <w:rsid w:val="00390A49"/>
    <w:rsid w:val="00390EA5"/>
    <w:rsid w:val="00391B36"/>
    <w:rsid w:val="00391BB1"/>
    <w:rsid w:val="00391C4D"/>
    <w:rsid w:val="00391D9F"/>
    <w:rsid w:val="00392043"/>
    <w:rsid w:val="00392494"/>
    <w:rsid w:val="00392684"/>
    <w:rsid w:val="00392813"/>
    <w:rsid w:val="00392894"/>
    <w:rsid w:val="00392B4D"/>
    <w:rsid w:val="00393055"/>
    <w:rsid w:val="00393E45"/>
    <w:rsid w:val="00393EBE"/>
    <w:rsid w:val="003940F0"/>
    <w:rsid w:val="0039412B"/>
    <w:rsid w:val="003944F8"/>
    <w:rsid w:val="00394646"/>
    <w:rsid w:val="0039469E"/>
    <w:rsid w:val="003946C2"/>
    <w:rsid w:val="00394732"/>
    <w:rsid w:val="00394A8D"/>
    <w:rsid w:val="00394BF1"/>
    <w:rsid w:val="003950BA"/>
    <w:rsid w:val="00395547"/>
    <w:rsid w:val="00395AFE"/>
    <w:rsid w:val="003961B1"/>
    <w:rsid w:val="003963A1"/>
    <w:rsid w:val="003967D8"/>
    <w:rsid w:val="00396BB1"/>
    <w:rsid w:val="0039713D"/>
    <w:rsid w:val="003973B7"/>
    <w:rsid w:val="00397612"/>
    <w:rsid w:val="0039779D"/>
    <w:rsid w:val="0039784D"/>
    <w:rsid w:val="00397B0E"/>
    <w:rsid w:val="00397D5A"/>
    <w:rsid w:val="00397FED"/>
    <w:rsid w:val="003A0046"/>
    <w:rsid w:val="003A0242"/>
    <w:rsid w:val="003A047D"/>
    <w:rsid w:val="003A0860"/>
    <w:rsid w:val="003A0951"/>
    <w:rsid w:val="003A0D99"/>
    <w:rsid w:val="003A0E4D"/>
    <w:rsid w:val="003A0F5D"/>
    <w:rsid w:val="003A105F"/>
    <w:rsid w:val="003A12DA"/>
    <w:rsid w:val="003A174C"/>
    <w:rsid w:val="003A18D2"/>
    <w:rsid w:val="003A1F91"/>
    <w:rsid w:val="003A240E"/>
    <w:rsid w:val="003A29E9"/>
    <w:rsid w:val="003A2A4B"/>
    <w:rsid w:val="003A2E93"/>
    <w:rsid w:val="003A2FE8"/>
    <w:rsid w:val="003A35FC"/>
    <w:rsid w:val="003A3C1D"/>
    <w:rsid w:val="003A4C81"/>
    <w:rsid w:val="003A4D13"/>
    <w:rsid w:val="003A4DC5"/>
    <w:rsid w:val="003A5048"/>
    <w:rsid w:val="003A529F"/>
    <w:rsid w:val="003A5EA2"/>
    <w:rsid w:val="003A5FBC"/>
    <w:rsid w:val="003A6389"/>
    <w:rsid w:val="003A64CA"/>
    <w:rsid w:val="003A6664"/>
    <w:rsid w:val="003A697E"/>
    <w:rsid w:val="003A6D4B"/>
    <w:rsid w:val="003A707D"/>
    <w:rsid w:val="003A75F2"/>
    <w:rsid w:val="003A76E3"/>
    <w:rsid w:val="003A775D"/>
    <w:rsid w:val="003A77A0"/>
    <w:rsid w:val="003A7951"/>
    <w:rsid w:val="003A7D81"/>
    <w:rsid w:val="003A7E05"/>
    <w:rsid w:val="003A7E07"/>
    <w:rsid w:val="003B0187"/>
    <w:rsid w:val="003B0772"/>
    <w:rsid w:val="003B09DA"/>
    <w:rsid w:val="003B0C3F"/>
    <w:rsid w:val="003B0E9E"/>
    <w:rsid w:val="003B0FB1"/>
    <w:rsid w:val="003B10A4"/>
    <w:rsid w:val="003B118C"/>
    <w:rsid w:val="003B119D"/>
    <w:rsid w:val="003B137F"/>
    <w:rsid w:val="003B1489"/>
    <w:rsid w:val="003B16A3"/>
    <w:rsid w:val="003B1A63"/>
    <w:rsid w:val="003B1BFD"/>
    <w:rsid w:val="003B1C43"/>
    <w:rsid w:val="003B22D8"/>
    <w:rsid w:val="003B2612"/>
    <w:rsid w:val="003B273C"/>
    <w:rsid w:val="003B2AAB"/>
    <w:rsid w:val="003B2EAE"/>
    <w:rsid w:val="003B3119"/>
    <w:rsid w:val="003B3323"/>
    <w:rsid w:val="003B3391"/>
    <w:rsid w:val="003B352D"/>
    <w:rsid w:val="003B3808"/>
    <w:rsid w:val="003B3966"/>
    <w:rsid w:val="003B3E24"/>
    <w:rsid w:val="003B439A"/>
    <w:rsid w:val="003B4413"/>
    <w:rsid w:val="003B485C"/>
    <w:rsid w:val="003B4EC7"/>
    <w:rsid w:val="003B4F2E"/>
    <w:rsid w:val="003B5063"/>
    <w:rsid w:val="003B52BE"/>
    <w:rsid w:val="003B53CC"/>
    <w:rsid w:val="003B543A"/>
    <w:rsid w:val="003B5532"/>
    <w:rsid w:val="003B554C"/>
    <w:rsid w:val="003B55E6"/>
    <w:rsid w:val="003B5B77"/>
    <w:rsid w:val="003B5C2E"/>
    <w:rsid w:val="003B616C"/>
    <w:rsid w:val="003B61DF"/>
    <w:rsid w:val="003B6342"/>
    <w:rsid w:val="003B6671"/>
    <w:rsid w:val="003B677F"/>
    <w:rsid w:val="003B680A"/>
    <w:rsid w:val="003B6AED"/>
    <w:rsid w:val="003B6DD0"/>
    <w:rsid w:val="003B6FB3"/>
    <w:rsid w:val="003B7269"/>
    <w:rsid w:val="003B733C"/>
    <w:rsid w:val="003B7A21"/>
    <w:rsid w:val="003B7A7D"/>
    <w:rsid w:val="003B7B0A"/>
    <w:rsid w:val="003C0308"/>
    <w:rsid w:val="003C0442"/>
    <w:rsid w:val="003C064B"/>
    <w:rsid w:val="003C0A43"/>
    <w:rsid w:val="003C0CCE"/>
    <w:rsid w:val="003C10CE"/>
    <w:rsid w:val="003C12A6"/>
    <w:rsid w:val="003C1563"/>
    <w:rsid w:val="003C178B"/>
    <w:rsid w:val="003C17F4"/>
    <w:rsid w:val="003C1814"/>
    <w:rsid w:val="003C1842"/>
    <w:rsid w:val="003C1C77"/>
    <w:rsid w:val="003C2527"/>
    <w:rsid w:val="003C293F"/>
    <w:rsid w:val="003C3BE1"/>
    <w:rsid w:val="003C3E3B"/>
    <w:rsid w:val="003C43AF"/>
    <w:rsid w:val="003C4426"/>
    <w:rsid w:val="003C4649"/>
    <w:rsid w:val="003C4C28"/>
    <w:rsid w:val="003C5D98"/>
    <w:rsid w:val="003C5DD6"/>
    <w:rsid w:val="003C5E1F"/>
    <w:rsid w:val="003C5EA7"/>
    <w:rsid w:val="003C62A6"/>
    <w:rsid w:val="003C67D8"/>
    <w:rsid w:val="003C6985"/>
    <w:rsid w:val="003C6B9F"/>
    <w:rsid w:val="003C7633"/>
    <w:rsid w:val="003C79F0"/>
    <w:rsid w:val="003C7C51"/>
    <w:rsid w:val="003C7EB4"/>
    <w:rsid w:val="003C7FCD"/>
    <w:rsid w:val="003D005E"/>
    <w:rsid w:val="003D0633"/>
    <w:rsid w:val="003D06B0"/>
    <w:rsid w:val="003D06F7"/>
    <w:rsid w:val="003D070A"/>
    <w:rsid w:val="003D079A"/>
    <w:rsid w:val="003D0BFE"/>
    <w:rsid w:val="003D0C2B"/>
    <w:rsid w:val="003D0DE4"/>
    <w:rsid w:val="003D10BA"/>
    <w:rsid w:val="003D10FC"/>
    <w:rsid w:val="003D1E22"/>
    <w:rsid w:val="003D1F6B"/>
    <w:rsid w:val="003D1FB5"/>
    <w:rsid w:val="003D25CB"/>
    <w:rsid w:val="003D27F8"/>
    <w:rsid w:val="003D283A"/>
    <w:rsid w:val="003D2860"/>
    <w:rsid w:val="003D2D3D"/>
    <w:rsid w:val="003D2DA2"/>
    <w:rsid w:val="003D2EA2"/>
    <w:rsid w:val="003D2F86"/>
    <w:rsid w:val="003D2FAE"/>
    <w:rsid w:val="003D33F6"/>
    <w:rsid w:val="003D3994"/>
    <w:rsid w:val="003D3FF0"/>
    <w:rsid w:val="003D480A"/>
    <w:rsid w:val="003D499A"/>
    <w:rsid w:val="003D4C89"/>
    <w:rsid w:val="003D512F"/>
    <w:rsid w:val="003D5A50"/>
    <w:rsid w:val="003D5C8F"/>
    <w:rsid w:val="003D5F71"/>
    <w:rsid w:val="003D6400"/>
    <w:rsid w:val="003D65C6"/>
    <w:rsid w:val="003D66B5"/>
    <w:rsid w:val="003D6941"/>
    <w:rsid w:val="003D6945"/>
    <w:rsid w:val="003D6D23"/>
    <w:rsid w:val="003D6D41"/>
    <w:rsid w:val="003D6E7F"/>
    <w:rsid w:val="003D6FD3"/>
    <w:rsid w:val="003D72B0"/>
    <w:rsid w:val="003D72DB"/>
    <w:rsid w:val="003D739E"/>
    <w:rsid w:val="003D7510"/>
    <w:rsid w:val="003D7522"/>
    <w:rsid w:val="003D7629"/>
    <w:rsid w:val="003D77C2"/>
    <w:rsid w:val="003D78B9"/>
    <w:rsid w:val="003D79D1"/>
    <w:rsid w:val="003D7E44"/>
    <w:rsid w:val="003E01A9"/>
    <w:rsid w:val="003E03EC"/>
    <w:rsid w:val="003E05AD"/>
    <w:rsid w:val="003E0748"/>
    <w:rsid w:val="003E0AD5"/>
    <w:rsid w:val="003E0B3A"/>
    <w:rsid w:val="003E0B55"/>
    <w:rsid w:val="003E0DF0"/>
    <w:rsid w:val="003E0DF8"/>
    <w:rsid w:val="003E10D8"/>
    <w:rsid w:val="003E151A"/>
    <w:rsid w:val="003E190D"/>
    <w:rsid w:val="003E1E7B"/>
    <w:rsid w:val="003E22C7"/>
    <w:rsid w:val="003E22DB"/>
    <w:rsid w:val="003E2737"/>
    <w:rsid w:val="003E2AE8"/>
    <w:rsid w:val="003E2B3C"/>
    <w:rsid w:val="003E2D76"/>
    <w:rsid w:val="003E3006"/>
    <w:rsid w:val="003E3454"/>
    <w:rsid w:val="003E3D18"/>
    <w:rsid w:val="003E3FC7"/>
    <w:rsid w:val="003E3FFD"/>
    <w:rsid w:val="003E4070"/>
    <w:rsid w:val="003E480C"/>
    <w:rsid w:val="003E4A94"/>
    <w:rsid w:val="003E4D68"/>
    <w:rsid w:val="003E4F6F"/>
    <w:rsid w:val="003E5124"/>
    <w:rsid w:val="003E51CE"/>
    <w:rsid w:val="003E546D"/>
    <w:rsid w:val="003E56E4"/>
    <w:rsid w:val="003E5A69"/>
    <w:rsid w:val="003E5BCE"/>
    <w:rsid w:val="003E64FD"/>
    <w:rsid w:val="003E6BDD"/>
    <w:rsid w:val="003E732F"/>
    <w:rsid w:val="003E7B41"/>
    <w:rsid w:val="003E7C19"/>
    <w:rsid w:val="003E7C9C"/>
    <w:rsid w:val="003F0291"/>
    <w:rsid w:val="003F0F4E"/>
    <w:rsid w:val="003F125B"/>
    <w:rsid w:val="003F17D8"/>
    <w:rsid w:val="003F1DF3"/>
    <w:rsid w:val="003F2055"/>
    <w:rsid w:val="003F2D08"/>
    <w:rsid w:val="003F2DF0"/>
    <w:rsid w:val="003F2F00"/>
    <w:rsid w:val="003F2F52"/>
    <w:rsid w:val="003F314C"/>
    <w:rsid w:val="003F32DD"/>
    <w:rsid w:val="003F35EF"/>
    <w:rsid w:val="003F3941"/>
    <w:rsid w:val="003F3A6E"/>
    <w:rsid w:val="003F4494"/>
    <w:rsid w:val="003F44EA"/>
    <w:rsid w:val="003F4608"/>
    <w:rsid w:val="003F4838"/>
    <w:rsid w:val="003F48AB"/>
    <w:rsid w:val="003F4A52"/>
    <w:rsid w:val="003F4CF9"/>
    <w:rsid w:val="003F4E34"/>
    <w:rsid w:val="003F4FC9"/>
    <w:rsid w:val="003F509D"/>
    <w:rsid w:val="003F50F2"/>
    <w:rsid w:val="003F529C"/>
    <w:rsid w:val="003F5851"/>
    <w:rsid w:val="003F5FF4"/>
    <w:rsid w:val="003F6441"/>
    <w:rsid w:val="003F6455"/>
    <w:rsid w:val="003F64A7"/>
    <w:rsid w:val="003F66A1"/>
    <w:rsid w:val="003F68CE"/>
    <w:rsid w:val="003F6AA7"/>
    <w:rsid w:val="003F6CDB"/>
    <w:rsid w:val="003F6E7D"/>
    <w:rsid w:val="003F7134"/>
    <w:rsid w:val="003F73E8"/>
    <w:rsid w:val="003F79D2"/>
    <w:rsid w:val="003F7AC2"/>
    <w:rsid w:val="003F7BF7"/>
    <w:rsid w:val="00400275"/>
    <w:rsid w:val="0040027B"/>
    <w:rsid w:val="0040093A"/>
    <w:rsid w:val="004010D5"/>
    <w:rsid w:val="0040133F"/>
    <w:rsid w:val="00401348"/>
    <w:rsid w:val="00401560"/>
    <w:rsid w:val="004016E3"/>
    <w:rsid w:val="00401886"/>
    <w:rsid w:val="00401BBC"/>
    <w:rsid w:val="00401C78"/>
    <w:rsid w:val="00401D41"/>
    <w:rsid w:val="00401FF5"/>
    <w:rsid w:val="004020C6"/>
    <w:rsid w:val="0040217A"/>
    <w:rsid w:val="0040221B"/>
    <w:rsid w:val="004025EC"/>
    <w:rsid w:val="004026B9"/>
    <w:rsid w:val="00402701"/>
    <w:rsid w:val="00402C6C"/>
    <w:rsid w:val="00402DE0"/>
    <w:rsid w:val="004030C4"/>
    <w:rsid w:val="0040365B"/>
    <w:rsid w:val="00403702"/>
    <w:rsid w:val="00403715"/>
    <w:rsid w:val="00403E7E"/>
    <w:rsid w:val="00403FBF"/>
    <w:rsid w:val="0040403B"/>
    <w:rsid w:val="0040409F"/>
    <w:rsid w:val="00404461"/>
    <w:rsid w:val="004048B7"/>
    <w:rsid w:val="00404FE9"/>
    <w:rsid w:val="00405B91"/>
    <w:rsid w:val="00405C2C"/>
    <w:rsid w:val="00405D87"/>
    <w:rsid w:val="004061CA"/>
    <w:rsid w:val="00406363"/>
    <w:rsid w:val="004067BB"/>
    <w:rsid w:val="00406B44"/>
    <w:rsid w:val="00407100"/>
    <w:rsid w:val="00407F25"/>
    <w:rsid w:val="00410063"/>
    <w:rsid w:val="00410AB4"/>
    <w:rsid w:val="00410C8E"/>
    <w:rsid w:val="00411386"/>
    <w:rsid w:val="0041186E"/>
    <w:rsid w:val="00411BE6"/>
    <w:rsid w:val="00411C4D"/>
    <w:rsid w:val="00411C57"/>
    <w:rsid w:val="00411D9A"/>
    <w:rsid w:val="00412F86"/>
    <w:rsid w:val="004132BB"/>
    <w:rsid w:val="004133B9"/>
    <w:rsid w:val="00413E63"/>
    <w:rsid w:val="00414403"/>
    <w:rsid w:val="00414521"/>
    <w:rsid w:val="004145EA"/>
    <w:rsid w:val="00414946"/>
    <w:rsid w:val="00414B55"/>
    <w:rsid w:val="00414B68"/>
    <w:rsid w:val="0041531F"/>
    <w:rsid w:val="004155D6"/>
    <w:rsid w:val="00415AB8"/>
    <w:rsid w:val="00415E45"/>
    <w:rsid w:val="0041638D"/>
    <w:rsid w:val="00416534"/>
    <w:rsid w:val="00416868"/>
    <w:rsid w:val="00416A8D"/>
    <w:rsid w:val="00416B0C"/>
    <w:rsid w:val="00416BD5"/>
    <w:rsid w:val="00416C40"/>
    <w:rsid w:val="00416CAA"/>
    <w:rsid w:val="00416FB8"/>
    <w:rsid w:val="00417026"/>
    <w:rsid w:val="0041757B"/>
    <w:rsid w:val="00417E84"/>
    <w:rsid w:val="004205EE"/>
    <w:rsid w:val="0042077E"/>
    <w:rsid w:val="00420A62"/>
    <w:rsid w:val="00420B5B"/>
    <w:rsid w:val="00420CFF"/>
    <w:rsid w:val="00420D75"/>
    <w:rsid w:val="0042145E"/>
    <w:rsid w:val="004218BA"/>
    <w:rsid w:val="004219C1"/>
    <w:rsid w:val="00421E0F"/>
    <w:rsid w:val="00421E49"/>
    <w:rsid w:val="00421F0C"/>
    <w:rsid w:val="00422346"/>
    <w:rsid w:val="0042242E"/>
    <w:rsid w:val="00422BF3"/>
    <w:rsid w:val="00423173"/>
    <w:rsid w:val="00423363"/>
    <w:rsid w:val="004237B1"/>
    <w:rsid w:val="004245DA"/>
    <w:rsid w:val="004245DB"/>
    <w:rsid w:val="00424D65"/>
    <w:rsid w:val="004250F9"/>
    <w:rsid w:val="0042560E"/>
    <w:rsid w:val="0042563D"/>
    <w:rsid w:val="004256EA"/>
    <w:rsid w:val="00425C36"/>
    <w:rsid w:val="00425F0E"/>
    <w:rsid w:val="00426146"/>
    <w:rsid w:val="004261E9"/>
    <w:rsid w:val="004262BF"/>
    <w:rsid w:val="00426431"/>
    <w:rsid w:val="00426515"/>
    <w:rsid w:val="004267E6"/>
    <w:rsid w:val="00426B98"/>
    <w:rsid w:val="00426E36"/>
    <w:rsid w:val="00426F13"/>
    <w:rsid w:val="004273DC"/>
    <w:rsid w:val="004276B9"/>
    <w:rsid w:val="0042779A"/>
    <w:rsid w:val="00427CCC"/>
    <w:rsid w:val="004301F2"/>
    <w:rsid w:val="004305D5"/>
    <w:rsid w:val="00430669"/>
    <w:rsid w:val="00431008"/>
    <w:rsid w:val="00431124"/>
    <w:rsid w:val="0043123D"/>
    <w:rsid w:val="00431305"/>
    <w:rsid w:val="00431596"/>
    <w:rsid w:val="004319B6"/>
    <w:rsid w:val="00431A80"/>
    <w:rsid w:val="00431C0A"/>
    <w:rsid w:val="00431CC3"/>
    <w:rsid w:val="004321D5"/>
    <w:rsid w:val="0043289F"/>
    <w:rsid w:val="004328E1"/>
    <w:rsid w:val="00432B42"/>
    <w:rsid w:val="0043376B"/>
    <w:rsid w:val="004338DF"/>
    <w:rsid w:val="00433A07"/>
    <w:rsid w:val="00433CD8"/>
    <w:rsid w:val="00433D32"/>
    <w:rsid w:val="004340F3"/>
    <w:rsid w:val="00434135"/>
    <w:rsid w:val="00434497"/>
    <w:rsid w:val="00434606"/>
    <w:rsid w:val="00434D71"/>
    <w:rsid w:val="00434DCB"/>
    <w:rsid w:val="00434F63"/>
    <w:rsid w:val="004350D0"/>
    <w:rsid w:val="004351D8"/>
    <w:rsid w:val="004352AA"/>
    <w:rsid w:val="004353E1"/>
    <w:rsid w:val="0043552D"/>
    <w:rsid w:val="00435868"/>
    <w:rsid w:val="00435ADF"/>
    <w:rsid w:val="00435D6D"/>
    <w:rsid w:val="00435DF0"/>
    <w:rsid w:val="00435F52"/>
    <w:rsid w:val="0043616F"/>
    <w:rsid w:val="004366F8"/>
    <w:rsid w:val="004368E8"/>
    <w:rsid w:val="00436945"/>
    <w:rsid w:val="00436E18"/>
    <w:rsid w:val="004371FA"/>
    <w:rsid w:val="0043754B"/>
    <w:rsid w:val="004377D3"/>
    <w:rsid w:val="00437BB4"/>
    <w:rsid w:val="004400B5"/>
    <w:rsid w:val="00440279"/>
    <w:rsid w:val="004403A9"/>
    <w:rsid w:val="0044073D"/>
    <w:rsid w:val="00440FAF"/>
    <w:rsid w:val="00441058"/>
    <w:rsid w:val="00441568"/>
    <w:rsid w:val="00441846"/>
    <w:rsid w:val="00441C74"/>
    <w:rsid w:val="00441CCA"/>
    <w:rsid w:val="00441E33"/>
    <w:rsid w:val="00442081"/>
    <w:rsid w:val="004420C0"/>
    <w:rsid w:val="004424C9"/>
    <w:rsid w:val="00442736"/>
    <w:rsid w:val="00442A15"/>
    <w:rsid w:val="00442AD2"/>
    <w:rsid w:val="00442B61"/>
    <w:rsid w:val="00442EB2"/>
    <w:rsid w:val="00442FAA"/>
    <w:rsid w:val="0044324A"/>
    <w:rsid w:val="00443592"/>
    <w:rsid w:val="004440A6"/>
    <w:rsid w:val="00444272"/>
    <w:rsid w:val="004443CB"/>
    <w:rsid w:val="0044450B"/>
    <w:rsid w:val="0044452F"/>
    <w:rsid w:val="004447A5"/>
    <w:rsid w:val="004449D4"/>
    <w:rsid w:val="00444B54"/>
    <w:rsid w:val="00444CD6"/>
    <w:rsid w:val="0044504B"/>
    <w:rsid w:val="00445265"/>
    <w:rsid w:val="004455C8"/>
    <w:rsid w:val="004457F2"/>
    <w:rsid w:val="00445C46"/>
    <w:rsid w:val="00445C52"/>
    <w:rsid w:val="00445CBE"/>
    <w:rsid w:val="00445D58"/>
    <w:rsid w:val="004460F2"/>
    <w:rsid w:val="004465E8"/>
    <w:rsid w:val="004466F8"/>
    <w:rsid w:val="004467EA"/>
    <w:rsid w:val="00447447"/>
    <w:rsid w:val="00447795"/>
    <w:rsid w:val="00447D16"/>
    <w:rsid w:val="00447FD3"/>
    <w:rsid w:val="00450579"/>
    <w:rsid w:val="00450604"/>
    <w:rsid w:val="00450610"/>
    <w:rsid w:val="00450658"/>
    <w:rsid w:val="004506D5"/>
    <w:rsid w:val="00450B52"/>
    <w:rsid w:val="00450C60"/>
    <w:rsid w:val="00450DAA"/>
    <w:rsid w:val="004513F7"/>
    <w:rsid w:val="004517FD"/>
    <w:rsid w:val="00451C6F"/>
    <w:rsid w:val="00451CB9"/>
    <w:rsid w:val="00451EDF"/>
    <w:rsid w:val="00452141"/>
    <w:rsid w:val="0045258F"/>
    <w:rsid w:val="00452649"/>
    <w:rsid w:val="004526C3"/>
    <w:rsid w:val="004530C9"/>
    <w:rsid w:val="004538AD"/>
    <w:rsid w:val="004538D9"/>
    <w:rsid w:val="00454537"/>
    <w:rsid w:val="004547DB"/>
    <w:rsid w:val="00454D9F"/>
    <w:rsid w:val="00454F6E"/>
    <w:rsid w:val="00454FF4"/>
    <w:rsid w:val="00455023"/>
    <w:rsid w:val="0045504C"/>
    <w:rsid w:val="00455415"/>
    <w:rsid w:val="00455A27"/>
    <w:rsid w:val="00455EA6"/>
    <w:rsid w:val="004569FB"/>
    <w:rsid w:val="00456AA9"/>
    <w:rsid w:val="00456C4A"/>
    <w:rsid w:val="00456CE3"/>
    <w:rsid w:val="00456D91"/>
    <w:rsid w:val="00457115"/>
    <w:rsid w:val="00457262"/>
    <w:rsid w:val="00457554"/>
    <w:rsid w:val="00457C91"/>
    <w:rsid w:val="00457CC1"/>
    <w:rsid w:val="0046028B"/>
    <w:rsid w:val="004602E1"/>
    <w:rsid w:val="004603B2"/>
    <w:rsid w:val="00461421"/>
    <w:rsid w:val="0046152C"/>
    <w:rsid w:val="00461C7D"/>
    <w:rsid w:val="00462121"/>
    <w:rsid w:val="00462256"/>
    <w:rsid w:val="0046242D"/>
    <w:rsid w:val="004628ED"/>
    <w:rsid w:val="00462D62"/>
    <w:rsid w:val="00463350"/>
    <w:rsid w:val="00463429"/>
    <w:rsid w:val="004638A0"/>
    <w:rsid w:val="00463A45"/>
    <w:rsid w:val="00463AFE"/>
    <w:rsid w:val="00463C99"/>
    <w:rsid w:val="00463D09"/>
    <w:rsid w:val="0046419E"/>
    <w:rsid w:val="004644D4"/>
    <w:rsid w:val="00464B06"/>
    <w:rsid w:val="00464E09"/>
    <w:rsid w:val="00464EFD"/>
    <w:rsid w:val="00464F2E"/>
    <w:rsid w:val="00465146"/>
    <w:rsid w:val="0046517E"/>
    <w:rsid w:val="00465397"/>
    <w:rsid w:val="0046572B"/>
    <w:rsid w:val="00465CE1"/>
    <w:rsid w:val="004662C3"/>
    <w:rsid w:val="0046663F"/>
    <w:rsid w:val="00466ABC"/>
    <w:rsid w:val="00466BA2"/>
    <w:rsid w:val="00466E09"/>
    <w:rsid w:val="004671B6"/>
    <w:rsid w:val="004673B4"/>
    <w:rsid w:val="00467625"/>
    <w:rsid w:val="004677E8"/>
    <w:rsid w:val="004678AF"/>
    <w:rsid w:val="00467CDF"/>
    <w:rsid w:val="00470118"/>
    <w:rsid w:val="004707E1"/>
    <w:rsid w:val="00470865"/>
    <w:rsid w:val="004709E5"/>
    <w:rsid w:val="00470B6D"/>
    <w:rsid w:val="00470C43"/>
    <w:rsid w:val="0047102D"/>
    <w:rsid w:val="0047166D"/>
    <w:rsid w:val="0047167F"/>
    <w:rsid w:val="004716BD"/>
    <w:rsid w:val="00471779"/>
    <w:rsid w:val="00471FBD"/>
    <w:rsid w:val="004720C1"/>
    <w:rsid w:val="0047233D"/>
    <w:rsid w:val="004723A8"/>
    <w:rsid w:val="00472809"/>
    <w:rsid w:val="004729ED"/>
    <w:rsid w:val="00473057"/>
    <w:rsid w:val="00473E02"/>
    <w:rsid w:val="004741BA"/>
    <w:rsid w:val="004742D9"/>
    <w:rsid w:val="004742E6"/>
    <w:rsid w:val="00474399"/>
    <w:rsid w:val="004749B3"/>
    <w:rsid w:val="00474AD9"/>
    <w:rsid w:val="00475081"/>
    <w:rsid w:val="00475327"/>
    <w:rsid w:val="00475A8F"/>
    <w:rsid w:val="00475D2D"/>
    <w:rsid w:val="00476195"/>
    <w:rsid w:val="00476672"/>
    <w:rsid w:val="004767FF"/>
    <w:rsid w:val="0047697F"/>
    <w:rsid w:val="00476CE6"/>
    <w:rsid w:val="00477216"/>
    <w:rsid w:val="00477656"/>
    <w:rsid w:val="004776F6"/>
    <w:rsid w:val="00477B3B"/>
    <w:rsid w:val="00477BE1"/>
    <w:rsid w:val="00477BEA"/>
    <w:rsid w:val="00480607"/>
    <w:rsid w:val="00480855"/>
    <w:rsid w:val="004812D3"/>
    <w:rsid w:val="00481AA8"/>
    <w:rsid w:val="00481D82"/>
    <w:rsid w:val="00481F85"/>
    <w:rsid w:val="00481FF7"/>
    <w:rsid w:val="00482114"/>
    <w:rsid w:val="00482136"/>
    <w:rsid w:val="0048232F"/>
    <w:rsid w:val="004826A4"/>
    <w:rsid w:val="00482766"/>
    <w:rsid w:val="004827AC"/>
    <w:rsid w:val="004827AE"/>
    <w:rsid w:val="0048297B"/>
    <w:rsid w:val="00482AD0"/>
    <w:rsid w:val="00482D39"/>
    <w:rsid w:val="00482F90"/>
    <w:rsid w:val="0048304A"/>
    <w:rsid w:val="004832ED"/>
    <w:rsid w:val="00483965"/>
    <w:rsid w:val="00483A18"/>
    <w:rsid w:val="00483BED"/>
    <w:rsid w:val="00483E1C"/>
    <w:rsid w:val="00484021"/>
    <w:rsid w:val="00484699"/>
    <w:rsid w:val="00484737"/>
    <w:rsid w:val="00484B1A"/>
    <w:rsid w:val="00484B45"/>
    <w:rsid w:val="00485401"/>
    <w:rsid w:val="0048558E"/>
    <w:rsid w:val="00485905"/>
    <w:rsid w:val="00485CFB"/>
    <w:rsid w:val="00485D09"/>
    <w:rsid w:val="0048652F"/>
    <w:rsid w:val="004866EF"/>
    <w:rsid w:val="0048698E"/>
    <w:rsid w:val="00486B65"/>
    <w:rsid w:val="00486BF7"/>
    <w:rsid w:val="00486FBF"/>
    <w:rsid w:val="00487270"/>
    <w:rsid w:val="004874C2"/>
    <w:rsid w:val="004879A1"/>
    <w:rsid w:val="004879C0"/>
    <w:rsid w:val="00487BDF"/>
    <w:rsid w:val="00487C1F"/>
    <w:rsid w:val="00487F17"/>
    <w:rsid w:val="00490423"/>
    <w:rsid w:val="00490E95"/>
    <w:rsid w:val="0049141F"/>
    <w:rsid w:val="00491494"/>
    <w:rsid w:val="0049154A"/>
    <w:rsid w:val="00491702"/>
    <w:rsid w:val="0049170C"/>
    <w:rsid w:val="00491888"/>
    <w:rsid w:val="004919D2"/>
    <w:rsid w:val="00492626"/>
    <w:rsid w:val="00493753"/>
    <w:rsid w:val="004937BD"/>
    <w:rsid w:val="004939D6"/>
    <w:rsid w:val="00493ACF"/>
    <w:rsid w:val="00493D47"/>
    <w:rsid w:val="00493F05"/>
    <w:rsid w:val="00494073"/>
    <w:rsid w:val="0049420D"/>
    <w:rsid w:val="004945CA"/>
    <w:rsid w:val="004946AE"/>
    <w:rsid w:val="0049480A"/>
    <w:rsid w:val="00495004"/>
    <w:rsid w:val="00495099"/>
    <w:rsid w:val="00495346"/>
    <w:rsid w:val="00495711"/>
    <w:rsid w:val="0049595D"/>
    <w:rsid w:val="00495EF9"/>
    <w:rsid w:val="00496077"/>
    <w:rsid w:val="004961C6"/>
    <w:rsid w:val="0049638F"/>
    <w:rsid w:val="00496612"/>
    <w:rsid w:val="00496920"/>
    <w:rsid w:val="00496D72"/>
    <w:rsid w:val="00496D81"/>
    <w:rsid w:val="00497845"/>
    <w:rsid w:val="00497977"/>
    <w:rsid w:val="00497D59"/>
    <w:rsid w:val="004A0209"/>
    <w:rsid w:val="004A026F"/>
    <w:rsid w:val="004A0906"/>
    <w:rsid w:val="004A0C24"/>
    <w:rsid w:val="004A159E"/>
    <w:rsid w:val="004A16D8"/>
    <w:rsid w:val="004A180F"/>
    <w:rsid w:val="004A1813"/>
    <w:rsid w:val="004A183C"/>
    <w:rsid w:val="004A227D"/>
    <w:rsid w:val="004A2440"/>
    <w:rsid w:val="004A2739"/>
    <w:rsid w:val="004A2745"/>
    <w:rsid w:val="004A27EE"/>
    <w:rsid w:val="004A28B5"/>
    <w:rsid w:val="004A2EA7"/>
    <w:rsid w:val="004A3B68"/>
    <w:rsid w:val="004A3CE1"/>
    <w:rsid w:val="004A401F"/>
    <w:rsid w:val="004A4417"/>
    <w:rsid w:val="004A4A58"/>
    <w:rsid w:val="004A4A74"/>
    <w:rsid w:val="004A50F5"/>
    <w:rsid w:val="004A5292"/>
    <w:rsid w:val="004A5423"/>
    <w:rsid w:val="004A54B8"/>
    <w:rsid w:val="004A5819"/>
    <w:rsid w:val="004A5F6B"/>
    <w:rsid w:val="004A661B"/>
    <w:rsid w:val="004A669B"/>
    <w:rsid w:val="004A74F5"/>
    <w:rsid w:val="004A78F1"/>
    <w:rsid w:val="004A7940"/>
    <w:rsid w:val="004A7F63"/>
    <w:rsid w:val="004B00AC"/>
    <w:rsid w:val="004B01D1"/>
    <w:rsid w:val="004B043F"/>
    <w:rsid w:val="004B0A68"/>
    <w:rsid w:val="004B0AE0"/>
    <w:rsid w:val="004B1600"/>
    <w:rsid w:val="004B185D"/>
    <w:rsid w:val="004B1984"/>
    <w:rsid w:val="004B1C2A"/>
    <w:rsid w:val="004B1E54"/>
    <w:rsid w:val="004B25C4"/>
    <w:rsid w:val="004B2FFB"/>
    <w:rsid w:val="004B31CC"/>
    <w:rsid w:val="004B33BD"/>
    <w:rsid w:val="004B392F"/>
    <w:rsid w:val="004B3FBA"/>
    <w:rsid w:val="004B4759"/>
    <w:rsid w:val="004B47D3"/>
    <w:rsid w:val="004B4C1C"/>
    <w:rsid w:val="004B4E68"/>
    <w:rsid w:val="004B502E"/>
    <w:rsid w:val="004B52B2"/>
    <w:rsid w:val="004B5675"/>
    <w:rsid w:val="004B5AF1"/>
    <w:rsid w:val="004B5D29"/>
    <w:rsid w:val="004B61E1"/>
    <w:rsid w:val="004B63EA"/>
    <w:rsid w:val="004B6851"/>
    <w:rsid w:val="004C0275"/>
    <w:rsid w:val="004C09FD"/>
    <w:rsid w:val="004C0DED"/>
    <w:rsid w:val="004C1435"/>
    <w:rsid w:val="004C1483"/>
    <w:rsid w:val="004C14F0"/>
    <w:rsid w:val="004C16BE"/>
    <w:rsid w:val="004C1E02"/>
    <w:rsid w:val="004C1F45"/>
    <w:rsid w:val="004C2110"/>
    <w:rsid w:val="004C2213"/>
    <w:rsid w:val="004C2395"/>
    <w:rsid w:val="004C2520"/>
    <w:rsid w:val="004C2618"/>
    <w:rsid w:val="004C26FB"/>
    <w:rsid w:val="004C28E9"/>
    <w:rsid w:val="004C3658"/>
    <w:rsid w:val="004C3901"/>
    <w:rsid w:val="004C3A24"/>
    <w:rsid w:val="004C3C6B"/>
    <w:rsid w:val="004C3CA9"/>
    <w:rsid w:val="004C3EEE"/>
    <w:rsid w:val="004C46B8"/>
    <w:rsid w:val="004C4799"/>
    <w:rsid w:val="004C4D4E"/>
    <w:rsid w:val="004C5983"/>
    <w:rsid w:val="004C59D7"/>
    <w:rsid w:val="004C5D6F"/>
    <w:rsid w:val="004C611E"/>
    <w:rsid w:val="004C613F"/>
    <w:rsid w:val="004C67A0"/>
    <w:rsid w:val="004C6BCC"/>
    <w:rsid w:val="004C700D"/>
    <w:rsid w:val="004C7256"/>
    <w:rsid w:val="004C73B4"/>
    <w:rsid w:val="004C793B"/>
    <w:rsid w:val="004C7A77"/>
    <w:rsid w:val="004C7C87"/>
    <w:rsid w:val="004C7E73"/>
    <w:rsid w:val="004D0537"/>
    <w:rsid w:val="004D0670"/>
    <w:rsid w:val="004D078F"/>
    <w:rsid w:val="004D0867"/>
    <w:rsid w:val="004D0CAE"/>
    <w:rsid w:val="004D0F15"/>
    <w:rsid w:val="004D1153"/>
    <w:rsid w:val="004D1213"/>
    <w:rsid w:val="004D15E4"/>
    <w:rsid w:val="004D2A1C"/>
    <w:rsid w:val="004D2BF9"/>
    <w:rsid w:val="004D37A3"/>
    <w:rsid w:val="004D3998"/>
    <w:rsid w:val="004D45A8"/>
    <w:rsid w:val="004D4706"/>
    <w:rsid w:val="004D48F2"/>
    <w:rsid w:val="004D4D25"/>
    <w:rsid w:val="004D5100"/>
    <w:rsid w:val="004D569C"/>
    <w:rsid w:val="004D5700"/>
    <w:rsid w:val="004D578D"/>
    <w:rsid w:val="004D5C4B"/>
    <w:rsid w:val="004D5CEB"/>
    <w:rsid w:val="004D607A"/>
    <w:rsid w:val="004D6441"/>
    <w:rsid w:val="004D6736"/>
    <w:rsid w:val="004D6FDD"/>
    <w:rsid w:val="004D70A7"/>
    <w:rsid w:val="004D71AF"/>
    <w:rsid w:val="004D78C5"/>
    <w:rsid w:val="004D797C"/>
    <w:rsid w:val="004D7A08"/>
    <w:rsid w:val="004D7AB7"/>
    <w:rsid w:val="004D7DC8"/>
    <w:rsid w:val="004D7ED5"/>
    <w:rsid w:val="004E05A6"/>
    <w:rsid w:val="004E0843"/>
    <w:rsid w:val="004E0C30"/>
    <w:rsid w:val="004E112F"/>
    <w:rsid w:val="004E1588"/>
    <w:rsid w:val="004E1B47"/>
    <w:rsid w:val="004E1C55"/>
    <w:rsid w:val="004E2051"/>
    <w:rsid w:val="004E2253"/>
    <w:rsid w:val="004E2938"/>
    <w:rsid w:val="004E2B13"/>
    <w:rsid w:val="004E35AE"/>
    <w:rsid w:val="004E37A8"/>
    <w:rsid w:val="004E3C56"/>
    <w:rsid w:val="004E3F3A"/>
    <w:rsid w:val="004E4153"/>
    <w:rsid w:val="004E41C3"/>
    <w:rsid w:val="004E4526"/>
    <w:rsid w:val="004E483D"/>
    <w:rsid w:val="004E4CE6"/>
    <w:rsid w:val="004E4FAB"/>
    <w:rsid w:val="004E5776"/>
    <w:rsid w:val="004E5D64"/>
    <w:rsid w:val="004E66E3"/>
    <w:rsid w:val="004E6D3C"/>
    <w:rsid w:val="004E71AD"/>
    <w:rsid w:val="004E789D"/>
    <w:rsid w:val="004F00A7"/>
    <w:rsid w:val="004F00D6"/>
    <w:rsid w:val="004F0234"/>
    <w:rsid w:val="004F08C0"/>
    <w:rsid w:val="004F0B2E"/>
    <w:rsid w:val="004F0B62"/>
    <w:rsid w:val="004F0C5E"/>
    <w:rsid w:val="004F0D19"/>
    <w:rsid w:val="004F1408"/>
    <w:rsid w:val="004F14A0"/>
    <w:rsid w:val="004F17F9"/>
    <w:rsid w:val="004F18E6"/>
    <w:rsid w:val="004F2039"/>
    <w:rsid w:val="004F20C0"/>
    <w:rsid w:val="004F27E3"/>
    <w:rsid w:val="004F2950"/>
    <w:rsid w:val="004F297A"/>
    <w:rsid w:val="004F2A16"/>
    <w:rsid w:val="004F2E20"/>
    <w:rsid w:val="004F2EB0"/>
    <w:rsid w:val="004F3196"/>
    <w:rsid w:val="004F31D8"/>
    <w:rsid w:val="004F36BF"/>
    <w:rsid w:val="004F3B12"/>
    <w:rsid w:val="004F3B5E"/>
    <w:rsid w:val="004F3D1B"/>
    <w:rsid w:val="004F4466"/>
    <w:rsid w:val="004F49BF"/>
    <w:rsid w:val="004F4B83"/>
    <w:rsid w:val="004F4FC7"/>
    <w:rsid w:val="004F51F3"/>
    <w:rsid w:val="004F5332"/>
    <w:rsid w:val="004F5345"/>
    <w:rsid w:val="004F53DA"/>
    <w:rsid w:val="004F5811"/>
    <w:rsid w:val="004F6151"/>
    <w:rsid w:val="004F61A9"/>
    <w:rsid w:val="004F68CE"/>
    <w:rsid w:val="004F6EE6"/>
    <w:rsid w:val="004F6FD8"/>
    <w:rsid w:val="004F7377"/>
    <w:rsid w:val="004F74D5"/>
    <w:rsid w:val="004F7FAD"/>
    <w:rsid w:val="00500016"/>
    <w:rsid w:val="0050031E"/>
    <w:rsid w:val="00500346"/>
    <w:rsid w:val="00500928"/>
    <w:rsid w:val="00500B35"/>
    <w:rsid w:val="00500B5C"/>
    <w:rsid w:val="005012EE"/>
    <w:rsid w:val="005013BD"/>
    <w:rsid w:val="005017D8"/>
    <w:rsid w:val="00501C89"/>
    <w:rsid w:val="00501E91"/>
    <w:rsid w:val="00501F0E"/>
    <w:rsid w:val="005020D5"/>
    <w:rsid w:val="0050210A"/>
    <w:rsid w:val="0050266F"/>
    <w:rsid w:val="005027C8"/>
    <w:rsid w:val="00502AE8"/>
    <w:rsid w:val="00502CBB"/>
    <w:rsid w:val="00503204"/>
    <w:rsid w:val="00503716"/>
    <w:rsid w:val="00503785"/>
    <w:rsid w:val="00503867"/>
    <w:rsid w:val="005039C9"/>
    <w:rsid w:val="00504073"/>
    <w:rsid w:val="005040CB"/>
    <w:rsid w:val="00504499"/>
    <w:rsid w:val="005048D3"/>
    <w:rsid w:val="00504995"/>
    <w:rsid w:val="00504FA2"/>
    <w:rsid w:val="00504FDA"/>
    <w:rsid w:val="00505236"/>
    <w:rsid w:val="0050553F"/>
    <w:rsid w:val="00505586"/>
    <w:rsid w:val="00505A14"/>
    <w:rsid w:val="00505D8C"/>
    <w:rsid w:val="00505E9F"/>
    <w:rsid w:val="005061B7"/>
    <w:rsid w:val="00506349"/>
    <w:rsid w:val="00506A44"/>
    <w:rsid w:val="0050755B"/>
    <w:rsid w:val="005076B3"/>
    <w:rsid w:val="005100E8"/>
    <w:rsid w:val="00510936"/>
    <w:rsid w:val="00510B28"/>
    <w:rsid w:val="00510B6F"/>
    <w:rsid w:val="00510B7D"/>
    <w:rsid w:val="00510BA3"/>
    <w:rsid w:val="0051103C"/>
    <w:rsid w:val="00511400"/>
    <w:rsid w:val="00511E4A"/>
    <w:rsid w:val="00511EF0"/>
    <w:rsid w:val="00512322"/>
    <w:rsid w:val="00512DA6"/>
    <w:rsid w:val="00513058"/>
    <w:rsid w:val="00513081"/>
    <w:rsid w:val="0051310B"/>
    <w:rsid w:val="00513260"/>
    <w:rsid w:val="00513357"/>
    <w:rsid w:val="005136FA"/>
    <w:rsid w:val="00513776"/>
    <w:rsid w:val="00513B88"/>
    <w:rsid w:val="00513EC9"/>
    <w:rsid w:val="00513F4C"/>
    <w:rsid w:val="00514C6A"/>
    <w:rsid w:val="00514CCB"/>
    <w:rsid w:val="00514E0C"/>
    <w:rsid w:val="0051518B"/>
    <w:rsid w:val="0051523D"/>
    <w:rsid w:val="0051543F"/>
    <w:rsid w:val="005156A4"/>
    <w:rsid w:val="00515D6C"/>
    <w:rsid w:val="005162BC"/>
    <w:rsid w:val="0051661D"/>
    <w:rsid w:val="0051698D"/>
    <w:rsid w:val="00516BDC"/>
    <w:rsid w:val="00516BEE"/>
    <w:rsid w:val="00516C19"/>
    <w:rsid w:val="00516C7E"/>
    <w:rsid w:val="005172EB"/>
    <w:rsid w:val="00517381"/>
    <w:rsid w:val="00517808"/>
    <w:rsid w:val="00517B0C"/>
    <w:rsid w:val="00517B50"/>
    <w:rsid w:val="00517EA8"/>
    <w:rsid w:val="00520259"/>
    <w:rsid w:val="005203CB"/>
    <w:rsid w:val="00520629"/>
    <w:rsid w:val="005209BA"/>
    <w:rsid w:val="00520A86"/>
    <w:rsid w:val="00520F51"/>
    <w:rsid w:val="0052101C"/>
    <w:rsid w:val="0052129B"/>
    <w:rsid w:val="005213DE"/>
    <w:rsid w:val="005215DE"/>
    <w:rsid w:val="00521861"/>
    <w:rsid w:val="00521993"/>
    <w:rsid w:val="0052261F"/>
    <w:rsid w:val="00522735"/>
    <w:rsid w:val="005228C8"/>
    <w:rsid w:val="005229F3"/>
    <w:rsid w:val="00522DE1"/>
    <w:rsid w:val="00522DEA"/>
    <w:rsid w:val="0052304B"/>
    <w:rsid w:val="005232A5"/>
    <w:rsid w:val="005237B3"/>
    <w:rsid w:val="00523A37"/>
    <w:rsid w:val="00523B8F"/>
    <w:rsid w:val="0052430C"/>
    <w:rsid w:val="00524509"/>
    <w:rsid w:val="00525A49"/>
    <w:rsid w:val="00525E73"/>
    <w:rsid w:val="00525F15"/>
    <w:rsid w:val="00526056"/>
    <w:rsid w:val="00526629"/>
    <w:rsid w:val="0052677F"/>
    <w:rsid w:val="005268B9"/>
    <w:rsid w:val="00526B66"/>
    <w:rsid w:val="00526EA1"/>
    <w:rsid w:val="005277DE"/>
    <w:rsid w:val="00527C20"/>
    <w:rsid w:val="00527D5B"/>
    <w:rsid w:val="00527ECA"/>
    <w:rsid w:val="00530154"/>
    <w:rsid w:val="00530225"/>
    <w:rsid w:val="005302EF"/>
    <w:rsid w:val="005303D0"/>
    <w:rsid w:val="00530891"/>
    <w:rsid w:val="005308DD"/>
    <w:rsid w:val="00530924"/>
    <w:rsid w:val="005319C7"/>
    <w:rsid w:val="00531AC1"/>
    <w:rsid w:val="00531BB6"/>
    <w:rsid w:val="00531FE0"/>
    <w:rsid w:val="005321E0"/>
    <w:rsid w:val="005322EE"/>
    <w:rsid w:val="00532365"/>
    <w:rsid w:val="005323E4"/>
    <w:rsid w:val="005327D1"/>
    <w:rsid w:val="0053287B"/>
    <w:rsid w:val="00532D6E"/>
    <w:rsid w:val="0053315C"/>
    <w:rsid w:val="0053335F"/>
    <w:rsid w:val="00534058"/>
    <w:rsid w:val="00534084"/>
    <w:rsid w:val="005342F9"/>
    <w:rsid w:val="0053468E"/>
    <w:rsid w:val="00534CFE"/>
    <w:rsid w:val="00534F0D"/>
    <w:rsid w:val="0053542D"/>
    <w:rsid w:val="00535581"/>
    <w:rsid w:val="00535BB5"/>
    <w:rsid w:val="00535C1E"/>
    <w:rsid w:val="00535DC9"/>
    <w:rsid w:val="00535E87"/>
    <w:rsid w:val="00536682"/>
    <w:rsid w:val="00536A52"/>
    <w:rsid w:val="00536BBA"/>
    <w:rsid w:val="00536BEF"/>
    <w:rsid w:val="00536DB6"/>
    <w:rsid w:val="00536E01"/>
    <w:rsid w:val="00536F37"/>
    <w:rsid w:val="00536FE1"/>
    <w:rsid w:val="005371A3"/>
    <w:rsid w:val="005372B3"/>
    <w:rsid w:val="005373F7"/>
    <w:rsid w:val="00537690"/>
    <w:rsid w:val="00537958"/>
    <w:rsid w:val="0053797A"/>
    <w:rsid w:val="00537C23"/>
    <w:rsid w:val="00537F7C"/>
    <w:rsid w:val="0054000C"/>
    <w:rsid w:val="00540273"/>
    <w:rsid w:val="005404DB"/>
    <w:rsid w:val="00540532"/>
    <w:rsid w:val="00540C64"/>
    <w:rsid w:val="00540DE6"/>
    <w:rsid w:val="0054113E"/>
    <w:rsid w:val="005411A8"/>
    <w:rsid w:val="005415E1"/>
    <w:rsid w:val="005417F2"/>
    <w:rsid w:val="005419A8"/>
    <w:rsid w:val="00541A15"/>
    <w:rsid w:val="00541BE0"/>
    <w:rsid w:val="00541F28"/>
    <w:rsid w:val="0054259F"/>
    <w:rsid w:val="00542963"/>
    <w:rsid w:val="00542A3F"/>
    <w:rsid w:val="00542A61"/>
    <w:rsid w:val="00542BA6"/>
    <w:rsid w:val="00542DE4"/>
    <w:rsid w:val="005433BD"/>
    <w:rsid w:val="005437DE"/>
    <w:rsid w:val="005439B3"/>
    <w:rsid w:val="00543A5A"/>
    <w:rsid w:val="00543B86"/>
    <w:rsid w:val="00543DB6"/>
    <w:rsid w:val="00544023"/>
    <w:rsid w:val="00544B94"/>
    <w:rsid w:val="00544D38"/>
    <w:rsid w:val="00544DE4"/>
    <w:rsid w:val="00544E0D"/>
    <w:rsid w:val="00544F66"/>
    <w:rsid w:val="00544FD2"/>
    <w:rsid w:val="00545042"/>
    <w:rsid w:val="005451BC"/>
    <w:rsid w:val="005452AE"/>
    <w:rsid w:val="0054565A"/>
    <w:rsid w:val="0054571B"/>
    <w:rsid w:val="0054588B"/>
    <w:rsid w:val="00545F47"/>
    <w:rsid w:val="00546540"/>
    <w:rsid w:val="0054661A"/>
    <w:rsid w:val="00546908"/>
    <w:rsid w:val="0054732F"/>
    <w:rsid w:val="0054743C"/>
    <w:rsid w:val="005479C1"/>
    <w:rsid w:val="00547BE2"/>
    <w:rsid w:val="00550AAD"/>
    <w:rsid w:val="00550CD4"/>
    <w:rsid w:val="0055104D"/>
    <w:rsid w:val="0055108D"/>
    <w:rsid w:val="00551136"/>
    <w:rsid w:val="00551339"/>
    <w:rsid w:val="005519AB"/>
    <w:rsid w:val="00551ED8"/>
    <w:rsid w:val="00551F87"/>
    <w:rsid w:val="005527FF"/>
    <w:rsid w:val="0055280E"/>
    <w:rsid w:val="005529A8"/>
    <w:rsid w:val="00552C44"/>
    <w:rsid w:val="00552E3B"/>
    <w:rsid w:val="00552F17"/>
    <w:rsid w:val="0055370F"/>
    <w:rsid w:val="00553D18"/>
    <w:rsid w:val="00553EB5"/>
    <w:rsid w:val="00553FFB"/>
    <w:rsid w:val="00554317"/>
    <w:rsid w:val="00554356"/>
    <w:rsid w:val="005545C6"/>
    <w:rsid w:val="00554698"/>
    <w:rsid w:val="00554C1B"/>
    <w:rsid w:val="00554D66"/>
    <w:rsid w:val="00554D6A"/>
    <w:rsid w:val="00554E82"/>
    <w:rsid w:val="00554F41"/>
    <w:rsid w:val="0055505B"/>
    <w:rsid w:val="0055580B"/>
    <w:rsid w:val="00555DD5"/>
    <w:rsid w:val="00555E78"/>
    <w:rsid w:val="00555E97"/>
    <w:rsid w:val="00555FD4"/>
    <w:rsid w:val="0055616A"/>
    <w:rsid w:val="005561A4"/>
    <w:rsid w:val="005567A7"/>
    <w:rsid w:val="00556B5B"/>
    <w:rsid w:val="00556BA4"/>
    <w:rsid w:val="00556D4B"/>
    <w:rsid w:val="00556D97"/>
    <w:rsid w:val="00556F12"/>
    <w:rsid w:val="005570FA"/>
    <w:rsid w:val="0055728C"/>
    <w:rsid w:val="00557788"/>
    <w:rsid w:val="00557E8F"/>
    <w:rsid w:val="00557FC2"/>
    <w:rsid w:val="00560268"/>
    <w:rsid w:val="0056047D"/>
    <w:rsid w:val="00560874"/>
    <w:rsid w:val="00560BCC"/>
    <w:rsid w:val="005611B0"/>
    <w:rsid w:val="005615FE"/>
    <w:rsid w:val="00561928"/>
    <w:rsid w:val="005619B7"/>
    <w:rsid w:val="00561A32"/>
    <w:rsid w:val="00561C34"/>
    <w:rsid w:val="00561DFE"/>
    <w:rsid w:val="00561EA3"/>
    <w:rsid w:val="00562085"/>
    <w:rsid w:val="005623AF"/>
    <w:rsid w:val="00562807"/>
    <w:rsid w:val="00562915"/>
    <w:rsid w:val="00562A5A"/>
    <w:rsid w:val="00562B42"/>
    <w:rsid w:val="0056308C"/>
    <w:rsid w:val="0056335A"/>
    <w:rsid w:val="005633E7"/>
    <w:rsid w:val="00563940"/>
    <w:rsid w:val="00563AC3"/>
    <w:rsid w:val="00563BD3"/>
    <w:rsid w:val="00563BF5"/>
    <w:rsid w:val="00564583"/>
    <w:rsid w:val="00564683"/>
    <w:rsid w:val="00564B8E"/>
    <w:rsid w:val="00564BD6"/>
    <w:rsid w:val="00564C26"/>
    <w:rsid w:val="00564EAD"/>
    <w:rsid w:val="00565076"/>
    <w:rsid w:val="0056538C"/>
    <w:rsid w:val="00565450"/>
    <w:rsid w:val="00565589"/>
    <w:rsid w:val="00565B9C"/>
    <w:rsid w:val="005665E2"/>
    <w:rsid w:val="00566EF9"/>
    <w:rsid w:val="00567048"/>
    <w:rsid w:val="00567366"/>
    <w:rsid w:val="00567438"/>
    <w:rsid w:val="005677CF"/>
    <w:rsid w:val="00567AF9"/>
    <w:rsid w:val="005700A4"/>
    <w:rsid w:val="005703E0"/>
    <w:rsid w:val="00570515"/>
    <w:rsid w:val="005705C4"/>
    <w:rsid w:val="0057063B"/>
    <w:rsid w:val="00570BB9"/>
    <w:rsid w:val="00570DD0"/>
    <w:rsid w:val="00571229"/>
    <w:rsid w:val="0057189A"/>
    <w:rsid w:val="005719C8"/>
    <w:rsid w:val="00571BE2"/>
    <w:rsid w:val="00571D70"/>
    <w:rsid w:val="00571E59"/>
    <w:rsid w:val="00571E67"/>
    <w:rsid w:val="005723EB"/>
    <w:rsid w:val="00572817"/>
    <w:rsid w:val="0057283E"/>
    <w:rsid w:val="00572964"/>
    <w:rsid w:val="00573012"/>
    <w:rsid w:val="005733F6"/>
    <w:rsid w:val="00573642"/>
    <w:rsid w:val="00573770"/>
    <w:rsid w:val="00573799"/>
    <w:rsid w:val="0057414D"/>
    <w:rsid w:val="00574478"/>
    <w:rsid w:val="0057459B"/>
    <w:rsid w:val="00574783"/>
    <w:rsid w:val="0057499F"/>
    <w:rsid w:val="00574AAA"/>
    <w:rsid w:val="00574B02"/>
    <w:rsid w:val="00575192"/>
    <w:rsid w:val="00575704"/>
    <w:rsid w:val="00575B23"/>
    <w:rsid w:val="00576A53"/>
    <w:rsid w:val="00576BDD"/>
    <w:rsid w:val="00577392"/>
    <w:rsid w:val="0057752D"/>
    <w:rsid w:val="005777A0"/>
    <w:rsid w:val="00580104"/>
    <w:rsid w:val="0058028A"/>
    <w:rsid w:val="0058035E"/>
    <w:rsid w:val="00580755"/>
    <w:rsid w:val="0058085A"/>
    <w:rsid w:val="00580FE1"/>
    <w:rsid w:val="005813A0"/>
    <w:rsid w:val="0058148A"/>
    <w:rsid w:val="00581587"/>
    <w:rsid w:val="005817BD"/>
    <w:rsid w:val="00581AB2"/>
    <w:rsid w:val="00582438"/>
    <w:rsid w:val="005824FF"/>
    <w:rsid w:val="00582580"/>
    <w:rsid w:val="00582A3E"/>
    <w:rsid w:val="00582F97"/>
    <w:rsid w:val="00583077"/>
    <w:rsid w:val="005834FD"/>
    <w:rsid w:val="005835D2"/>
    <w:rsid w:val="00583A2F"/>
    <w:rsid w:val="00583A46"/>
    <w:rsid w:val="00583C4A"/>
    <w:rsid w:val="0058448C"/>
    <w:rsid w:val="00584B9E"/>
    <w:rsid w:val="00584E28"/>
    <w:rsid w:val="00584FC1"/>
    <w:rsid w:val="0058575C"/>
    <w:rsid w:val="005858A0"/>
    <w:rsid w:val="005859F4"/>
    <w:rsid w:val="00585A04"/>
    <w:rsid w:val="0058602B"/>
    <w:rsid w:val="005863EE"/>
    <w:rsid w:val="005864B3"/>
    <w:rsid w:val="00586704"/>
    <w:rsid w:val="00586921"/>
    <w:rsid w:val="005876E0"/>
    <w:rsid w:val="00587704"/>
    <w:rsid w:val="005879EC"/>
    <w:rsid w:val="00587B79"/>
    <w:rsid w:val="00587FDA"/>
    <w:rsid w:val="00587FE9"/>
    <w:rsid w:val="00590255"/>
    <w:rsid w:val="0059035F"/>
    <w:rsid w:val="005906FE"/>
    <w:rsid w:val="00591161"/>
    <w:rsid w:val="005911B3"/>
    <w:rsid w:val="005919B9"/>
    <w:rsid w:val="005919F7"/>
    <w:rsid w:val="00591AC2"/>
    <w:rsid w:val="00591CB2"/>
    <w:rsid w:val="00591F27"/>
    <w:rsid w:val="00592043"/>
    <w:rsid w:val="0059267A"/>
    <w:rsid w:val="0059333E"/>
    <w:rsid w:val="0059334C"/>
    <w:rsid w:val="005934EB"/>
    <w:rsid w:val="0059371A"/>
    <w:rsid w:val="005939D2"/>
    <w:rsid w:val="00593FBF"/>
    <w:rsid w:val="005940C3"/>
    <w:rsid w:val="00594186"/>
    <w:rsid w:val="00594388"/>
    <w:rsid w:val="00594797"/>
    <w:rsid w:val="005948B5"/>
    <w:rsid w:val="00594D5B"/>
    <w:rsid w:val="00594E02"/>
    <w:rsid w:val="00594E6D"/>
    <w:rsid w:val="00594E9D"/>
    <w:rsid w:val="00594EBC"/>
    <w:rsid w:val="0059595D"/>
    <w:rsid w:val="00595A86"/>
    <w:rsid w:val="00595B67"/>
    <w:rsid w:val="00595D07"/>
    <w:rsid w:val="00595D38"/>
    <w:rsid w:val="00595DE7"/>
    <w:rsid w:val="005960C6"/>
    <w:rsid w:val="00596568"/>
    <w:rsid w:val="005966FA"/>
    <w:rsid w:val="00596773"/>
    <w:rsid w:val="00596CA9"/>
    <w:rsid w:val="00596F49"/>
    <w:rsid w:val="00597139"/>
    <w:rsid w:val="0059743A"/>
    <w:rsid w:val="00597A7F"/>
    <w:rsid w:val="00597BA9"/>
    <w:rsid w:val="00597EC6"/>
    <w:rsid w:val="005A02C2"/>
    <w:rsid w:val="005A0468"/>
    <w:rsid w:val="005A069C"/>
    <w:rsid w:val="005A073A"/>
    <w:rsid w:val="005A0B1E"/>
    <w:rsid w:val="005A1152"/>
    <w:rsid w:val="005A11F8"/>
    <w:rsid w:val="005A1A21"/>
    <w:rsid w:val="005A1F79"/>
    <w:rsid w:val="005A20A8"/>
    <w:rsid w:val="005A227D"/>
    <w:rsid w:val="005A2932"/>
    <w:rsid w:val="005A2BF4"/>
    <w:rsid w:val="005A2D06"/>
    <w:rsid w:val="005A2E4C"/>
    <w:rsid w:val="005A2F7F"/>
    <w:rsid w:val="005A3111"/>
    <w:rsid w:val="005A3194"/>
    <w:rsid w:val="005A31F6"/>
    <w:rsid w:val="005A332D"/>
    <w:rsid w:val="005A3F7A"/>
    <w:rsid w:val="005A418D"/>
    <w:rsid w:val="005A4906"/>
    <w:rsid w:val="005A49B6"/>
    <w:rsid w:val="005A4BCC"/>
    <w:rsid w:val="005A5B4C"/>
    <w:rsid w:val="005A5C2E"/>
    <w:rsid w:val="005A5C6C"/>
    <w:rsid w:val="005A5D62"/>
    <w:rsid w:val="005A6264"/>
    <w:rsid w:val="005A6320"/>
    <w:rsid w:val="005A6675"/>
    <w:rsid w:val="005A7219"/>
    <w:rsid w:val="005A7585"/>
    <w:rsid w:val="005A75BC"/>
    <w:rsid w:val="005A7673"/>
    <w:rsid w:val="005A7D9E"/>
    <w:rsid w:val="005B0030"/>
    <w:rsid w:val="005B00B5"/>
    <w:rsid w:val="005B00C1"/>
    <w:rsid w:val="005B01AD"/>
    <w:rsid w:val="005B03B1"/>
    <w:rsid w:val="005B0A43"/>
    <w:rsid w:val="005B0E94"/>
    <w:rsid w:val="005B1481"/>
    <w:rsid w:val="005B158C"/>
    <w:rsid w:val="005B1835"/>
    <w:rsid w:val="005B1967"/>
    <w:rsid w:val="005B199C"/>
    <w:rsid w:val="005B19D7"/>
    <w:rsid w:val="005B1AB5"/>
    <w:rsid w:val="005B1D0E"/>
    <w:rsid w:val="005B22F2"/>
    <w:rsid w:val="005B2A9E"/>
    <w:rsid w:val="005B2BC7"/>
    <w:rsid w:val="005B2BEB"/>
    <w:rsid w:val="005B2E0D"/>
    <w:rsid w:val="005B3585"/>
    <w:rsid w:val="005B37FB"/>
    <w:rsid w:val="005B39E7"/>
    <w:rsid w:val="005B3A29"/>
    <w:rsid w:val="005B456B"/>
    <w:rsid w:val="005B4779"/>
    <w:rsid w:val="005B4C2F"/>
    <w:rsid w:val="005B4E0A"/>
    <w:rsid w:val="005B4EB5"/>
    <w:rsid w:val="005B559F"/>
    <w:rsid w:val="005B6479"/>
    <w:rsid w:val="005B6B9E"/>
    <w:rsid w:val="005B6D9C"/>
    <w:rsid w:val="005B6F91"/>
    <w:rsid w:val="005B70CA"/>
    <w:rsid w:val="005B742C"/>
    <w:rsid w:val="005B78DE"/>
    <w:rsid w:val="005B7A0E"/>
    <w:rsid w:val="005B7A7C"/>
    <w:rsid w:val="005C013A"/>
    <w:rsid w:val="005C0146"/>
    <w:rsid w:val="005C0AF1"/>
    <w:rsid w:val="005C0BBD"/>
    <w:rsid w:val="005C0F81"/>
    <w:rsid w:val="005C14FA"/>
    <w:rsid w:val="005C1894"/>
    <w:rsid w:val="005C227C"/>
    <w:rsid w:val="005C2817"/>
    <w:rsid w:val="005C286B"/>
    <w:rsid w:val="005C28AE"/>
    <w:rsid w:val="005C2994"/>
    <w:rsid w:val="005C2E9E"/>
    <w:rsid w:val="005C2F7A"/>
    <w:rsid w:val="005C38E7"/>
    <w:rsid w:val="005C3EBC"/>
    <w:rsid w:val="005C4132"/>
    <w:rsid w:val="005C434D"/>
    <w:rsid w:val="005C47F2"/>
    <w:rsid w:val="005C48D8"/>
    <w:rsid w:val="005C4BFC"/>
    <w:rsid w:val="005C4C0C"/>
    <w:rsid w:val="005C508B"/>
    <w:rsid w:val="005C5316"/>
    <w:rsid w:val="005C5970"/>
    <w:rsid w:val="005C5AC3"/>
    <w:rsid w:val="005C5B60"/>
    <w:rsid w:val="005C5E86"/>
    <w:rsid w:val="005C61A4"/>
    <w:rsid w:val="005C658F"/>
    <w:rsid w:val="005C661D"/>
    <w:rsid w:val="005C669A"/>
    <w:rsid w:val="005C679A"/>
    <w:rsid w:val="005C6887"/>
    <w:rsid w:val="005C6A01"/>
    <w:rsid w:val="005C6A0A"/>
    <w:rsid w:val="005C7155"/>
    <w:rsid w:val="005C733C"/>
    <w:rsid w:val="005D0078"/>
    <w:rsid w:val="005D0179"/>
    <w:rsid w:val="005D0863"/>
    <w:rsid w:val="005D08E0"/>
    <w:rsid w:val="005D0B01"/>
    <w:rsid w:val="005D134A"/>
    <w:rsid w:val="005D19C4"/>
    <w:rsid w:val="005D205A"/>
    <w:rsid w:val="005D2180"/>
    <w:rsid w:val="005D21D2"/>
    <w:rsid w:val="005D24E5"/>
    <w:rsid w:val="005D2662"/>
    <w:rsid w:val="005D2A1F"/>
    <w:rsid w:val="005D2C04"/>
    <w:rsid w:val="005D2C73"/>
    <w:rsid w:val="005D325A"/>
    <w:rsid w:val="005D38C8"/>
    <w:rsid w:val="005D396F"/>
    <w:rsid w:val="005D39B0"/>
    <w:rsid w:val="005D4026"/>
    <w:rsid w:val="005D4146"/>
    <w:rsid w:val="005D42ED"/>
    <w:rsid w:val="005D4781"/>
    <w:rsid w:val="005D4857"/>
    <w:rsid w:val="005D4A10"/>
    <w:rsid w:val="005D4AE4"/>
    <w:rsid w:val="005D4B9F"/>
    <w:rsid w:val="005D4CC6"/>
    <w:rsid w:val="005D4D18"/>
    <w:rsid w:val="005D5803"/>
    <w:rsid w:val="005D6349"/>
    <w:rsid w:val="005D6E73"/>
    <w:rsid w:val="005D71D2"/>
    <w:rsid w:val="005D72E1"/>
    <w:rsid w:val="005D780C"/>
    <w:rsid w:val="005D78AE"/>
    <w:rsid w:val="005E00C4"/>
    <w:rsid w:val="005E0489"/>
    <w:rsid w:val="005E07D7"/>
    <w:rsid w:val="005E082B"/>
    <w:rsid w:val="005E084E"/>
    <w:rsid w:val="005E088B"/>
    <w:rsid w:val="005E1192"/>
    <w:rsid w:val="005E1B49"/>
    <w:rsid w:val="005E210F"/>
    <w:rsid w:val="005E21D1"/>
    <w:rsid w:val="005E2412"/>
    <w:rsid w:val="005E2536"/>
    <w:rsid w:val="005E2776"/>
    <w:rsid w:val="005E282D"/>
    <w:rsid w:val="005E3400"/>
    <w:rsid w:val="005E3AD3"/>
    <w:rsid w:val="005E3CFA"/>
    <w:rsid w:val="005E3DDE"/>
    <w:rsid w:val="005E4135"/>
    <w:rsid w:val="005E417C"/>
    <w:rsid w:val="005E427E"/>
    <w:rsid w:val="005E49ED"/>
    <w:rsid w:val="005E4B54"/>
    <w:rsid w:val="005E4BED"/>
    <w:rsid w:val="005E4C93"/>
    <w:rsid w:val="005E4E1B"/>
    <w:rsid w:val="005E5094"/>
    <w:rsid w:val="005E54F2"/>
    <w:rsid w:val="005E574C"/>
    <w:rsid w:val="005E5994"/>
    <w:rsid w:val="005E5F0A"/>
    <w:rsid w:val="005E6759"/>
    <w:rsid w:val="005E677D"/>
    <w:rsid w:val="005E6DBC"/>
    <w:rsid w:val="005E6EE6"/>
    <w:rsid w:val="005E7784"/>
    <w:rsid w:val="005E7A98"/>
    <w:rsid w:val="005F008C"/>
    <w:rsid w:val="005F077C"/>
    <w:rsid w:val="005F082F"/>
    <w:rsid w:val="005F151D"/>
    <w:rsid w:val="005F1A5A"/>
    <w:rsid w:val="005F1E4A"/>
    <w:rsid w:val="005F1E75"/>
    <w:rsid w:val="005F21B3"/>
    <w:rsid w:val="005F236E"/>
    <w:rsid w:val="005F24F5"/>
    <w:rsid w:val="005F2838"/>
    <w:rsid w:val="005F2D08"/>
    <w:rsid w:val="005F2DE2"/>
    <w:rsid w:val="005F3462"/>
    <w:rsid w:val="005F3994"/>
    <w:rsid w:val="005F3B7B"/>
    <w:rsid w:val="005F3D55"/>
    <w:rsid w:val="005F4105"/>
    <w:rsid w:val="005F4116"/>
    <w:rsid w:val="005F4300"/>
    <w:rsid w:val="005F4321"/>
    <w:rsid w:val="005F43C0"/>
    <w:rsid w:val="005F5894"/>
    <w:rsid w:val="005F5A64"/>
    <w:rsid w:val="005F5ED8"/>
    <w:rsid w:val="005F6B1D"/>
    <w:rsid w:val="005F6DE4"/>
    <w:rsid w:val="005F6FFA"/>
    <w:rsid w:val="005F715B"/>
    <w:rsid w:val="005F792C"/>
    <w:rsid w:val="005F7A4A"/>
    <w:rsid w:val="005F7BE9"/>
    <w:rsid w:val="006002AB"/>
    <w:rsid w:val="00600361"/>
    <w:rsid w:val="006004A8"/>
    <w:rsid w:val="006006D9"/>
    <w:rsid w:val="00600763"/>
    <w:rsid w:val="006007F8"/>
    <w:rsid w:val="00600807"/>
    <w:rsid w:val="0060094E"/>
    <w:rsid w:val="00600C67"/>
    <w:rsid w:val="00600F2F"/>
    <w:rsid w:val="0060195E"/>
    <w:rsid w:val="00601B1F"/>
    <w:rsid w:val="00601D3A"/>
    <w:rsid w:val="00601D5D"/>
    <w:rsid w:val="00601E2E"/>
    <w:rsid w:val="00602226"/>
    <w:rsid w:val="0060243A"/>
    <w:rsid w:val="00602674"/>
    <w:rsid w:val="00602980"/>
    <w:rsid w:val="00602F02"/>
    <w:rsid w:val="006039FF"/>
    <w:rsid w:val="00603B8E"/>
    <w:rsid w:val="00603D4B"/>
    <w:rsid w:val="00603FC8"/>
    <w:rsid w:val="0060449F"/>
    <w:rsid w:val="00604627"/>
    <w:rsid w:val="0060479A"/>
    <w:rsid w:val="006049BE"/>
    <w:rsid w:val="00604E8F"/>
    <w:rsid w:val="0060518B"/>
    <w:rsid w:val="006067B9"/>
    <w:rsid w:val="006067E8"/>
    <w:rsid w:val="00606831"/>
    <w:rsid w:val="006068B3"/>
    <w:rsid w:val="0060694A"/>
    <w:rsid w:val="00607358"/>
    <w:rsid w:val="00607415"/>
    <w:rsid w:val="006074D5"/>
    <w:rsid w:val="006075B1"/>
    <w:rsid w:val="006078E9"/>
    <w:rsid w:val="006078FC"/>
    <w:rsid w:val="00607936"/>
    <w:rsid w:val="00607B72"/>
    <w:rsid w:val="00607CDA"/>
    <w:rsid w:val="006104D0"/>
    <w:rsid w:val="0061096D"/>
    <w:rsid w:val="0061121C"/>
    <w:rsid w:val="00611668"/>
    <w:rsid w:val="006123EB"/>
    <w:rsid w:val="00612B9E"/>
    <w:rsid w:val="00612FDD"/>
    <w:rsid w:val="00613176"/>
    <w:rsid w:val="006133D7"/>
    <w:rsid w:val="006133E3"/>
    <w:rsid w:val="00613432"/>
    <w:rsid w:val="00613CB8"/>
    <w:rsid w:val="00614784"/>
    <w:rsid w:val="00614911"/>
    <w:rsid w:val="006149CF"/>
    <w:rsid w:val="00614FD4"/>
    <w:rsid w:val="0061514B"/>
    <w:rsid w:val="00615281"/>
    <w:rsid w:val="00615768"/>
    <w:rsid w:val="00615942"/>
    <w:rsid w:val="006159E5"/>
    <w:rsid w:val="00615A05"/>
    <w:rsid w:val="0061692F"/>
    <w:rsid w:val="00616A15"/>
    <w:rsid w:val="00616DBE"/>
    <w:rsid w:val="00617212"/>
    <w:rsid w:val="006175CA"/>
    <w:rsid w:val="006176C5"/>
    <w:rsid w:val="006179CF"/>
    <w:rsid w:val="006179E4"/>
    <w:rsid w:val="00617E28"/>
    <w:rsid w:val="0062137E"/>
    <w:rsid w:val="00622470"/>
    <w:rsid w:val="0062257C"/>
    <w:rsid w:val="00622734"/>
    <w:rsid w:val="00622978"/>
    <w:rsid w:val="00622D83"/>
    <w:rsid w:val="00622DE8"/>
    <w:rsid w:val="00622E75"/>
    <w:rsid w:val="00622F7E"/>
    <w:rsid w:val="00623298"/>
    <w:rsid w:val="00623471"/>
    <w:rsid w:val="00623843"/>
    <w:rsid w:val="00623889"/>
    <w:rsid w:val="00623E65"/>
    <w:rsid w:val="0062426B"/>
    <w:rsid w:val="006244EE"/>
    <w:rsid w:val="00624950"/>
    <w:rsid w:val="0062499B"/>
    <w:rsid w:val="006254A3"/>
    <w:rsid w:val="00625892"/>
    <w:rsid w:val="00625EB4"/>
    <w:rsid w:val="00625FF1"/>
    <w:rsid w:val="00626581"/>
    <w:rsid w:val="0062706D"/>
    <w:rsid w:val="006275E6"/>
    <w:rsid w:val="0062796C"/>
    <w:rsid w:val="00627A3D"/>
    <w:rsid w:val="00627BE7"/>
    <w:rsid w:val="00630A98"/>
    <w:rsid w:val="00630D28"/>
    <w:rsid w:val="00631300"/>
    <w:rsid w:val="006319CC"/>
    <w:rsid w:val="00631C56"/>
    <w:rsid w:val="00632C2B"/>
    <w:rsid w:val="00632D71"/>
    <w:rsid w:val="00632DC5"/>
    <w:rsid w:val="00633D85"/>
    <w:rsid w:val="0063487B"/>
    <w:rsid w:val="00634A4D"/>
    <w:rsid w:val="00634D1A"/>
    <w:rsid w:val="00635516"/>
    <w:rsid w:val="0063552A"/>
    <w:rsid w:val="0063554C"/>
    <w:rsid w:val="0063563C"/>
    <w:rsid w:val="006358D4"/>
    <w:rsid w:val="006359C0"/>
    <w:rsid w:val="00635BBB"/>
    <w:rsid w:val="00635FA2"/>
    <w:rsid w:val="00636C54"/>
    <w:rsid w:val="00636CF0"/>
    <w:rsid w:val="00636E1C"/>
    <w:rsid w:val="00636F96"/>
    <w:rsid w:val="00637067"/>
    <w:rsid w:val="006372A8"/>
    <w:rsid w:val="006376E5"/>
    <w:rsid w:val="00637756"/>
    <w:rsid w:val="006377CC"/>
    <w:rsid w:val="00637A9A"/>
    <w:rsid w:val="00637E0F"/>
    <w:rsid w:val="006400CF"/>
    <w:rsid w:val="0064017B"/>
    <w:rsid w:val="006403C0"/>
    <w:rsid w:val="00640420"/>
    <w:rsid w:val="00640AE5"/>
    <w:rsid w:val="00640C72"/>
    <w:rsid w:val="00640E74"/>
    <w:rsid w:val="00641D7F"/>
    <w:rsid w:val="00641FEF"/>
    <w:rsid w:val="0064231A"/>
    <w:rsid w:val="006423E2"/>
    <w:rsid w:val="00642657"/>
    <w:rsid w:val="006429C4"/>
    <w:rsid w:val="00642A87"/>
    <w:rsid w:val="00642BAC"/>
    <w:rsid w:val="00642C89"/>
    <w:rsid w:val="0064352F"/>
    <w:rsid w:val="0064364B"/>
    <w:rsid w:val="0064378D"/>
    <w:rsid w:val="00643798"/>
    <w:rsid w:val="00643832"/>
    <w:rsid w:val="00643A8E"/>
    <w:rsid w:val="0064464C"/>
    <w:rsid w:val="00644A14"/>
    <w:rsid w:val="00644BD2"/>
    <w:rsid w:val="0064502F"/>
    <w:rsid w:val="0064514B"/>
    <w:rsid w:val="006457AA"/>
    <w:rsid w:val="00645BF0"/>
    <w:rsid w:val="00645C2B"/>
    <w:rsid w:val="00645CEC"/>
    <w:rsid w:val="00645E2A"/>
    <w:rsid w:val="00646060"/>
    <w:rsid w:val="006464A2"/>
    <w:rsid w:val="00646CA2"/>
    <w:rsid w:val="00646D55"/>
    <w:rsid w:val="006470E6"/>
    <w:rsid w:val="00647648"/>
    <w:rsid w:val="00647A9C"/>
    <w:rsid w:val="00647B25"/>
    <w:rsid w:val="00647CF1"/>
    <w:rsid w:val="0065066B"/>
    <w:rsid w:val="0065067D"/>
    <w:rsid w:val="00650912"/>
    <w:rsid w:val="00650C0D"/>
    <w:rsid w:val="00650CA0"/>
    <w:rsid w:val="00650D54"/>
    <w:rsid w:val="00650FB0"/>
    <w:rsid w:val="006517D9"/>
    <w:rsid w:val="00651820"/>
    <w:rsid w:val="0065191E"/>
    <w:rsid w:val="00651ACF"/>
    <w:rsid w:val="00651B7E"/>
    <w:rsid w:val="00651BA3"/>
    <w:rsid w:val="00651DFF"/>
    <w:rsid w:val="00652101"/>
    <w:rsid w:val="00652171"/>
    <w:rsid w:val="0065234F"/>
    <w:rsid w:val="00652CE2"/>
    <w:rsid w:val="006533F8"/>
    <w:rsid w:val="0065364C"/>
    <w:rsid w:val="006538A3"/>
    <w:rsid w:val="00654364"/>
    <w:rsid w:val="00654555"/>
    <w:rsid w:val="0065487C"/>
    <w:rsid w:val="0065491D"/>
    <w:rsid w:val="00654967"/>
    <w:rsid w:val="00654BD0"/>
    <w:rsid w:val="00654E59"/>
    <w:rsid w:val="00654E98"/>
    <w:rsid w:val="00654F4C"/>
    <w:rsid w:val="00654FC9"/>
    <w:rsid w:val="0065502D"/>
    <w:rsid w:val="00655890"/>
    <w:rsid w:val="00655C50"/>
    <w:rsid w:val="00655D93"/>
    <w:rsid w:val="00656742"/>
    <w:rsid w:val="006568FF"/>
    <w:rsid w:val="006569F2"/>
    <w:rsid w:val="00656A10"/>
    <w:rsid w:val="00656EA0"/>
    <w:rsid w:val="0065701C"/>
    <w:rsid w:val="0065709E"/>
    <w:rsid w:val="006572B2"/>
    <w:rsid w:val="0065771C"/>
    <w:rsid w:val="00657E99"/>
    <w:rsid w:val="0066046B"/>
    <w:rsid w:val="00661255"/>
    <w:rsid w:val="006613B6"/>
    <w:rsid w:val="006613F1"/>
    <w:rsid w:val="006614A8"/>
    <w:rsid w:val="006616DC"/>
    <w:rsid w:val="006623AB"/>
    <w:rsid w:val="00662739"/>
    <w:rsid w:val="00662942"/>
    <w:rsid w:val="006629DB"/>
    <w:rsid w:val="006629E5"/>
    <w:rsid w:val="00662E57"/>
    <w:rsid w:val="0066348D"/>
    <w:rsid w:val="00663AA1"/>
    <w:rsid w:val="00663AA5"/>
    <w:rsid w:val="00663B4D"/>
    <w:rsid w:val="00664205"/>
    <w:rsid w:val="00664388"/>
    <w:rsid w:val="0066480E"/>
    <w:rsid w:val="00664B74"/>
    <w:rsid w:val="00664D60"/>
    <w:rsid w:val="006650DB"/>
    <w:rsid w:val="006652EA"/>
    <w:rsid w:val="0066555E"/>
    <w:rsid w:val="00665758"/>
    <w:rsid w:val="0066581D"/>
    <w:rsid w:val="00665D47"/>
    <w:rsid w:val="00665F16"/>
    <w:rsid w:val="00666241"/>
    <w:rsid w:val="00666385"/>
    <w:rsid w:val="006663AF"/>
    <w:rsid w:val="00666479"/>
    <w:rsid w:val="00666502"/>
    <w:rsid w:val="006665A6"/>
    <w:rsid w:val="006665DE"/>
    <w:rsid w:val="0066675E"/>
    <w:rsid w:val="006667E4"/>
    <w:rsid w:val="0066686B"/>
    <w:rsid w:val="00666A08"/>
    <w:rsid w:val="00666A5F"/>
    <w:rsid w:val="00666C33"/>
    <w:rsid w:val="006671F1"/>
    <w:rsid w:val="00667205"/>
    <w:rsid w:val="00667432"/>
    <w:rsid w:val="00667438"/>
    <w:rsid w:val="006700C3"/>
    <w:rsid w:val="006701E2"/>
    <w:rsid w:val="00670364"/>
    <w:rsid w:val="0067072A"/>
    <w:rsid w:val="00670758"/>
    <w:rsid w:val="00670855"/>
    <w:rsid w:val="00670F44"/>
    <w:rsid w:val="0067106A"/>
    <w:rsid w:val="006714D1"/>
    <w:rsid w:val="00673513"/>
    <w:rsid w:val="00673559"/>
    <w:rsid w:val="00673612"/>
    <w:rsid w:val="0067380B"/>
    <w:rsid w:val="006743AB"/>
    <w:rsid w:val="0067460A"/>
    <w:rsid w:val="0067471C"/>
    <w:rsid w:val="00674A01"/>
    <w:rsid w:val="00674DB9"/>
    <w:rsid w:val="00674F93"/>
    <w:rsid w:val="00674FD2"/>
    <w:rsid w:val="00675351"/>
    <w:rsid w:val="00676017"/>
    <w:rsid w:val="00676685"/>
    <w:rsid w:val="006766CB"/>
    <w:rsid w:val="006768EA"/>
    <w:rsid w:val="0067693F"/>
    <w:rsid w:val="00676B89"/>
    <w:rsid w:val="00676BE8"/>
    <w:rsid w:val="0067783C"/>
    <w:rsid w:val="00677B59"/>
    <w:rsid w:val="00677B6E"/>
    <w:rsid w:val="00677BE6"/>
    <w:rsid w:val="00677D07"/>
    <w:rsid w:val="00677E8F"/>
    <w:rsid w:val="0068091D"/>
    <w:rsid w:val="00680D16"/>
    <w:rsid w:val="00680D1F"/>
    <w:rsid w:val="00680EB8"/>
    <w:rsid w:val="006810D8"/>
    <w:rsid w:val="006814CC"/>
    <w:rsid w:val="0068163D"/>
    <w:rsid w:val="00681A4A"/>
    <w:rsid w:val="00681B60"/>
    <w:rsid w:val="00681D7B"/>
    <w:rsid w:val="00681E2D"/>
    <w:rsid w:val="00682613"/>
    <w:rsid w:val="00682958"/>
    <w:rsid w:val="00682985"/>
    <w:rsid w:val="00682AE8"/>
    <w:rsid w:val="00682AF8"/>
    <w:rsid w:val="00682BB2"/>
    <w:rsid w:val="006833CC"/>
    <w:rsid w:val="00683697"/>
    <w:rsid w:val="006838F9"/>
    <w:rsid w:val="00683C18"/>
    <w:rsid w:val="00683C5C"/>
    <w:rsid w:val="00683E48"/>
    <w:rsid w:val="006841F4"/>
    <w:rsid w:val="006845E5"/>
    <w:rsid w:val="00684619"/>
    <w:rsid w:val="0068487E"/>
    <w:rsid w:val="006849E2"/>
    <w:rsid w:val="00684AC7"/>
    <w:rsid w:val="00684B0F"/>
    <w:rsid w:val="00684BA8"/>
    <w:rsid w:val="00684C98"/>
    <w:rsid w:val="00684CF0"/>
    <w:rsid w:val="006851D4"/>
    <w:rsid w:val="00685266"/>
    <w:rsid w:val="006852E3"/>
    <w:rsid w:val="00685342"/>
    <w:rsid w:val="006853E6"/>
    <w:rsid w:val="00685881"/>
    <w:rsid w:val="00685A2F"/>
    <w:rsid w:val="00685E55"/>
    <w:rsid w:val="006863E5"/>
    <w:rsid w:val="00686468"/>
    <w:rsid w:val="00686834"/>
    <w:rsid w:val="00686B21"/>
    <w:rsid w:val="00686BFE"/>
    <w:rsid w:val="00686E27"/>
    <w:rsid w:val="00686E9E"/>
    <w:rsid w:val="00686F90"/>
    <w:rsid w:val="00687303"/>
    <w:rsid w:val="00687375"/>
    <w:rsid w:val="006873D5"/>
    <w:rsid w:val="00687838"/>
    <w:rsid w:val="00687C6B"/>
    <w:rsid w:val="0069010C"/>
    <w:rsid w:val="006904A5"/>
    <w:rsid w:val="0069052D"/>
    <w:rsid w:val="0069080C"/>
    <w:rsid w:val="00690812"/>
    <w:rsid w:val="00690981"/>
    <w:rsid w:val="00690B6F"/>
    <w:rsid w:val="00691317"/>
    <w:rsid w:val="006913B4"/>
    <w:rsid w:val="006914A2"/>
    <w:rsid w:val="006924AD"/>
    <w:rsid w:val="00692580"/>
    <w:rsid w:val="006935C3"/>
    <w:rsid w:val="00693782"/>
    <w:rsid w:val="006938AE"/>
    <w:rsid w:val="006938FB"/>
    <w:rsid w:val="00693DDE"/>
    <w:rsid w:val="00693E33"/>
    <w:rsid w:val="00693F8B"/>
    <w:rsid w:val="0069400C"/>
    <w:rsid w:val="0069472F"/>
    <w:rsid w:val="006948D7"/>
    <w:rsid w:val="00694A51"/>
    <w:rsid w:val="00694E3E"/>
    <w:rsid w:val="00694F6B"/>
    <w:rsid w:val="00695124"/>
    <w:rsid w:val="006951EA"/>
    <w:rsid w:val="006954B7"/>
    <w:rsid w:val="00695A99"/>
    <w:rsid w:val="00695A9B"/>
    <w:rsid w:val="0069648F"/>
    <w:rsid w:val="00696C49"/>
    <w:rsid w:val="00697518"/>
    <w:rsid w:val="00697535"/>
    <w:rsid w:val="00697536"/>
    <w:rsid w:val="00697614"/>
    <w:rsid w:val="0069769D"/>
    <w:rsid w:val="00697738"/>
    <w:rsid w:val="00697B35"/>
    <w:rsid w:val="00697CD7"/>
    <w:rsid w:val="006A01F4"/>
    <w:rsid w:val="006A0430"/>
    <w:rsid w:val="006A0451"/>
    <w:rsid w:val="006A0942"/>
    <w:rsid w:val="006A0989"/>
    <w:rsid w:val="006A09D9"/>
    <w:rsid w:val="006A0BB1"/>
    <w:rsid w:val="006A0E09"/>
    <w:rsid w:val="006A14E7"/>
    <w:rsid w:val="006A1887"/>
    <w:rsid w:val="006A1A05"/>
    <w:rsid w:val="006A1C85"/>
    <w:rsid w:val="006A2066"/>
    <w:rsid w:val="006A20E2"/>
    <w:rsid w:val="006A2175"/>
    <w:rsid w:val="006A2283"/>
    <w:rsid w:val="006A2636"/>
    <w:rsid w:val="006A2696"/>
    <w:rsid w:val="006A2746"/>
    <w:rsid w:val="006A2B54"/>
    <w:rsid w:val="006A30F3"/>
    <w:rsid w:val="006A3318"/>
    <w:rsid w:val="006A3428"/>
    <w:rsid w:val="006A3698"/>
    <w:rsid w:val="006A483F"/>
    <w:rsid w:val="006A5AFE"/>
    <w:rsid w:val="006A5CE3"/>
    <w:rsid w:val="006A5DCB"/>
    <w:rsid w:val="006A69A3"/>
    <w:rsid w:val="006A69DE"/>
    <w:rsid w:val="006A6B00"/>
    <w:rsid w:val="006A6C4B"/>
    <w:rsid w:val="006A6D70"/>
    <w:rsid w:val="006A6FD6"/>
    <w:rsid w:val="006A71AF"/>
    <w:rsid w:val="006A74D2"/>
    <w:rsid w:val="006A7B21"/>
    <w:rsid w:val="006B063A"/>
    <w:rsid w:val="006B117E"/>
    <w:rsid w:val="006B180E"/>
    <w:rsid w:val="006B1FAE"/>
    <w:rsid w:val="006B2160"/>
    <w:rsid w:val="006B2169"/>
    <w:rsid w:val="006B21A9"/>
    <w:rsid w:val="006B2830"/>
    <w:rsid w:val="006B2B84"/>
    <w:rsid w:val="006B2FBE"/>
    <w:rsid w:val="006B327C"/>
    <w:rsid w:val="006B344B"/>
    <w:rsid w:val="006B3F81"/>
    <w:rsid w:val="006B3FDC"/>
    <w:rsid w:val="006B4120"/>
    <w:rsid w:val="006B42D3"/>
    <w:rsid w:val="006B43AD"/>
    <w:rsid w:val="006B45C1"/>
    <w:rsid w:val="006B47B6"/>
    <w:rsid w:val="006B4A61"/>
    <w:rsid w:val="006B4C94"/>
    <w:rsid w:val="006B51D5"/>
    <w:rsid w:val="006B5399"/>
    <w:rsid w:val="006B545B"/>
    <w:rsid w:val="006B5495"/>
    <w:rsid w:val="006B59FB"/>
    <w:rsid w:val="006B5A54"/>
    <w:rsid w:val="006B5DF9"/>
    <w:rsid w:val="006B6248"/>
    <w:rsid w:val="006B6291"/>
    <w:rsid w:val="006B63E7"/>
    <w:rsid w:val="006B6884"/>
    <w:rsid w:val="006B69D3"/>
    <w:rsid w:val="006B6ADF"/>
    <w:rsid w:val="006B7423"/>
    <w:rsid w:val="006B7C25"/>
    <w:rsid w:val="006B7ED6"/>
    <w:rsid w:val="006C0228"/>
    <w:rsid w:val="006C03A2"/>
    <w:rsid w:val="006C03EB"/>
    <w:rsid w:val="006C0594"/>
    <w:rsid w:val="006C070B"/>
    <w:rsid w:val="006C07BF"/>
    <w:rsid w:val="006C0AA8"/>
    <w:rsid w:val="006C0BAF"/>
    <w:rsid w:val="006C14E3"/>
    <w:rsid w:val="006C1644"/>
    <w:rsid w:val="006C189C"/>
    <w:rsid w:val="006C1E7F"/>
    <w:rsid w:val="006C1EE0"/>
    <w:rsid w:val="006C2462"/>
    <w:rsid w:val="006C26AC"/>
    <w:rsid w:val="006C28CC"/>
    <w:rsid w:val="006C28DF"/>
    <w:rsid w:val="006C2A56"/>
    <w:rsid w:val="006C3180"/>
    <w:rsid w:val="006C358C"/>
    <w:rsid w:val="006C3872"/>
    <w:rsid w:val="006C4101"/>
    <w:rsid w:val="006C411B"/>
    <w:rsid w:val="006C4235"/>
    <w:rsid w:val="006C4499"/>
    <w:rsid w:val="006C4A49"/>
    <w:rsid w:val="006C4EFE"/>
    <w:rsid w:val="006C4F7A"/>
    <w:rsid w:val="006C5B34"/>
    <w:rsid w:val="006C5BF0"/>
    <w:rsid w:val="006C5CDF"/>
    <w:rsid w:val="006C6364"/>
    <w:rsid w:val="006C659F"/>
    <w:rsid w:val="006C65BB"/>
    <w:rsid w:val="006C68B8"/>
    <w:rsid w:val="006C6DE3"/>
    <w:rsid w:val="006C7265"/>
    <w:rsid w:val="006C7626"/>
    <w:rsid w:val="006C7909"/>
    <w:rsid w:val="006C7E5B"/>
    <w:rsid w:val="006D063E"/>
    <w:rsid w:val="006D0C66"/>
    <w:rsid w:val="006D117C"/>
    <w:rsid w:val="006D13F6"/>
    <w:rsid w:val="006D1624"/>
    <w:rsid w:val="006D1981"/>
    <w:rsid w:val="006D1A2D"/>
    <w:rsid w:val="006D2011"/>
    <w:rsid w:val="006D228D"/>
    <w:rsid w:val="006D2455"/>
    <w:rsid w:val="006D246F"/>
    <w:rsid w:val="006D286F"/>
    <w:rsid w:val="006D2BCB"/>
    <w:rsid w:val="006D3792"/>
    <w:rsid w:val="006D399E"/>
    <w:rsid w:val="006D3BEB"/>
    <w:rsid w:val="006D3D03"/>
    <w:rsid w:val="006D3D87"/>
    <w:rsid w:val="006D463A"/>
    <w:rsid w:val="006D46E8"/>
    <w:rsid w:val="006D4831"/>
    <w:rsid w:val="006D4CA6"/>
    <w:rsid w:val="006D4CB0"/>
    <w:rsid w:val="006D5328"/>
    <w:rsid w:val="006D55C2"/>
    <w:rsid w:val="006D564C"/>
    <w:rsid w:val="006D60B9"/>
    <w:rsid w:val="006D6666"/>
    <w:rsid w:val="006D6751"/>
    <w:rsid w:val="006D6F6B"/>
    <w:rsid w:val="006D7E9B"/>
    <w:rsid w:val="006E01A5"/>
    <w:rsid w:val="006E038A"/>
    <w:rsid w:val="006E0903"/>
    <w:rsid w:val="006E0B54"/>
    <w:rsid w:val="006E0D14"/>
    <w:rsid w:val="006E0D77"/>
    <w:rsid w:val="006E10B4"/>
    <w:rsid w:val="006E10FF"/>
    <w:rsid w:val="006E15C6"/>
    <w:rsid w:val="006E15EB"/>
    <w:rsid w:val="006E1ABA"/>
    <w:rsid w:val="006E1E0E"/>
    <w:rsid w:val="006E2165"/>
    <w:rsid w:val="006E23CE"/>
    <w:rsid w:val="006E2585"/>
    <w:rsid w:val="006E29D4"/>
    <w:rsid w:val="006E2BCD"/>
    <w:rsid w:val="006E2DD2"/>
    <w:rsid w:val="006E2FDE"/>
    <w:rsid w:val="006E3411"/>
    <w:rsid w:val="006E34F4"/>
    <w:rsid w:val="006E3504"/>
    <w:rsid w:val="006E3866"/>
    <w:rsid w:val="006E3B65"/>
    <w:rsid w:val="006E4731"/>
    <w:rsid w:val="006E499E"/>
    <w:rsid w:val="006E5902"/>
    <w:rsid w:val="006E60A6"/>
    <w:rsid w:val="006E65E1"/>
    <w:rsid w:val="006E65FD"/>
    <w:rsid w:val="006E6BFB"/>
    <w:rsid w:val="006E6C46"/>
    <w:rsid w:val="006E70DE"/>
    <w:rsid w:val="006E7348"/>
    <w:rsid w:val="006E7381"/>
    <w:rsid w:val="006E73B0"/>
    <w:rsid w:val="006E77E6"/>
    <w:rsid w:val="006E7B81"/>
    <w:rsid w:val="006F0074"/>
    <w:rsid w:val="006F015E"/>
    <w:rsid w:val="006F0196"/>
    <w:rsid w:val="006F0A22"/>
    <w:rsid w:val="006F0A7A"/>
    <w:rsid w:val="006F0B02"/>
    <w:rsid w:val="006F0B86"/>
    <w:rsid w:val="006F15DF"/>
    <w:rsid w:val="006F1618"/>
    <w:rsid w:val="006F1BEB"/>
    <w:rsid w:val="006F1F14"/>
    <w:rsid w:val="006F2255"/>
    <w:rsid w:val="006F23C1"/>
    <w:rsid w:val="006F2541"/>
    <w:rsid w:val="006F2695"/>
    <w:rsid w:val="006F2997"/>
    <w:rsid w:val="006F2A66"/>
    <w:rsid w:val="006F2BF8"/>
    <w:rsid w:val="006F3097"/>
    <w:rsid w:val="006F30F0"/>
    <w:rsid w:val="006F38B8"/>
    <w:rsid w:val="006F38D2"/>
    <w:rsid w:val="006F3B88"/>
    <w:rsid w:val="006F3DCF"/>
    <w:rsid w:val="006F3E06"/>
    <w:rsid w:val="006F404A"/>
    <w:rsid w:val="006F454F"/>
    <w:rsid w:val="006F4582"/>
    <w:rsid w:val="006F46DB"/>
    <w:rsid w:val="006F4AD4"/>
    <w:rsid w:val="006F536F"/>
    <w:rsid w:val="006F5548"/>
    <w:rsid w:val="006F58A3"/>
    <w:rsid w:val="006F6358"/>
    <w:rsid w:val="006F6645"/>
    <w:rsid w:val="006F7692"/>
    <w:rsid w:val="006F7B1C"/>
    <w:rsid w:val="0070007C"/>
    <w:rsid w:val="007000A8"/>
    <w:rsid w:val="007003D3"/>
    <w:rsid w:val="00701099"/>
    <w:rsid w:val="007010B5"/>
    <w:rsid w:val="00701321"/>
    <w:rsid w:val="0070151C"/>
    <w:rsid w:val="007016D4"/>
    <w:rsid w:val="007016FC"/>
    <w:rsid w:val="00701805"/>
    <w:rsid w:val="0070186F"/>
    <w:rsid w:val="00701C4A"/>
    <w:rsid w:val="00702354"/>
    <w:rsid w:val="00702893"/>
    <w:rsid w:val="00702A1D"/>
    <w:rsid w:val="00702A6E"/>
    <w:rsid w:val="00702CC6"/>
    <w:rsid w:val="00702EC7"/>
    <w:rsid w:val="007030E9"/>
    <w:rsid w:val="0070318A"/>
    <w:rsid w:val="00703325"/>
    <w:rsid w:val="00703380"/>
    <w:rsid w:val="007033A7"/>
    <w:rsid w:val="007035D4"/>
    <w:rsid w:val="007039DF"/>
    <w:rsid w:val="00703B17"/>
    <w:rsid w:val="00703B68"/>
    <w:rsid w:val="00703D0E"/>
    <w:rsid w:val="0070422A"/>
    <w:rsid w:val="0070429E"/>
    <w:rsid w:val="00704554"/>
    <w:rsid w:val="0070493F"/>
    <w:rsid w:val="00704BFE"/>
    <w:rsid w:val="00704E28"/>
    <w:rsid w:val="007057B8"/>
    <w:rsid w:val="007059BA"/>
    <w:rsid w:val="00705C4D"/>
    <w:rsid w:val="00706CB0"/>
    <w:rsid w:val="00706DEA"/>
    <w:rsid w:val="00707482"/>
    <w:rsid w:val="00707607"/>
    <w:rsid w:val="007076BE"/>
    <w:rsid w:val="00707843"/>
    <w:rsid w:val="00707B59"/>
    <w:rsid w:val="00707CCE"/>
    <w:rsid w:val="007101C4"/>
    <w:rsid w:val="0071050A"/>
    <w:rsid w:val="007108FD"/>
    <w:rsid w:val="007109A8"/>
    <w:rsid w:val="00710AD2"/>
    <w:rsid w:val="00710C1F"/>
    <w:rsid w:val="00710E79"/>
    <w:rsid w:val="00711092"/>
    <w:rsid w:val="007113D1"/>
    <w:rsid w:val="007117A0"/>
    <w:rsid w:val="00711983"/>
    <w:rsid w:val="00711D62"/>
    <w:rsid w:val="007124AC"/>
    <w:rsid w:val="0071259A"/>
    <w:rsid w:val="0071270A"/>
    <w:rsid w:val="007128FD"/>
    <w:rsid w:val="00712AD8"/>
    <w:rsid w:val="00712B40"/>
    <w:rsid w:val="00712E2B"/>
    <w:rsid w:val="00713393"/>
    <w:rsid w:val="0071388C"/>
    <w:rsid w:val="0071392D"/>
    <w:rsid w:val="00713BF8"/>
    <w:rsid w:val="00713D5E"/>
    <w:rsid w:val="0071404F"/>
    <w:rsid w:val="007141BC"/>
    <w:rsid w:val="007144CB"/>
    <w:rsid w:val="00714507"/>
    <w:rsid w:val="007148F4"/>
    <w:rsid w:val="00714C18"/>
    <w:rsid w:val="00714D22"/>
    <w:rsid w:val="00714E4A"/>
    <w:rsid w:val="00714F73"/>
    <w:rsid w:val="007150D0"/>
    <w:rsid w:val="00715141"/>
    <w:rsid w:val="007151DD"/>
    <w:rsid w:val="007152ED"/>
    <w:rsid w:val="00715500"/>
    <w:rsid w:val="0071584D"/>
    <w:rsid w:val="00715C6A"/>
    <w:rsid w:val="00715D36"/>
    <w:rsid w:val="00715D51"/>
    <w:rsid w:val="00715D89"/>
    <w:rsid w:val="007160A3"/>
    <w:rsid w:val="0071611E"/>
    <w:rsid w:val="00716369"/>
    <w:rsid w:val="007166AE"/>
    <w:rsid w:val="0071675D"/>
    <w:rsid w:val="007173E1"/>
    <w:rsid w:val="00717473"/>
    <w:rsid w:val="00717523"/>
    <w:rsid w:val="007176DC"/>
    <w:rsid w:val="00717AE9"/>
    <w:rsid w:val="00717ECB"/>
    <w:rsid w:val="007202C6"/>
    <w:rsid w:val="007206B1"/>
    <w:rsid w:val="007206EB"/>
    <w:rsid w:val="007207A4"/>
    <w:rsid w:val="00720A39"/>
    <w:rsid w:val="00720F9B"/>
    <w:rsid w:val="00721381"/>
    <w:rsid w:val="0072197E"/>
    <w:rsid w:val="00721A96"/>
    <w:rsid w:val="00721F92"/>
    <w:rsid w:val="00722334"/>
    <w:rsid w:val="0072245E"/>
    <w:rsid w:val="007224C5"/>
    <w:rsid w:val="00722529"/>
    <w:rsid w:val="00722D5A"/>
    <w:rsid w:val="00722DA9"/>
    <w:rsid w:val="007231DE"/>
    <w:rsid w:val="00723363"/>
    <w:rsid w:val="00723E19"/>
    <w:rsid w:val="00723FD0"/>
    <w:rsid w:val="00724316"/>
    <w:rsid w:val="00724BCF"/>
    <w:rsid w:val="00724C29"/>
    <w:rsid w:val="00724CBD"/>
    <w:rsid w:val="00724D8A"/>
    <w:rsid w:val="007251D7"/>
    <w:rsid w:val="00725439"/>
    <w:rsid w:val="00725674"/>
    <w:rsid w:val="00725680"/>
    <w:rsid w:val="00725948"/>
    <w:rsid w:val="00725D64"/>
    <w:rsid w:val="00725E3E"/>
    <w:rsid w:val="00726295"/>
    <w:rsid w:val="00726388"/>
    <w:rsid w:val="007264FB"/>
    <w:rsid w:val="00726879"/>
    <w:rsid w:val="007270C9"/>
    <w:rsid w:val="00727112"/>
    <w:rsid w:val="0072741F"/>
    <w:rsid w:val="0072747F"/>
    <w:rsid w:val="00730013"/>
    <w:rsid w:val="0073018C"/>
    <w:rsid w:val="007302F0"/>
    <w:rsid w:val="00730796"/>
    <w:rsid w:val="007308BE"/>
    <w:rsid w:val="00730A6A"/>
    <w:rsid w:val="00730BE0"/>
    <w:rsid w:val="0073163D"/>
    <w:rsid w:val="00731840"/>
    <w:rsid w:val="007319A3"/>
    <w:rsid w:val="00731B4C"/>
    <w:rsid w:val="00731B59"/>
    <w:rsid w:val="00731C69"/>
    <w:rsid w:val="00731D17"/>
    <w:rsid w:val="00731D74"/>
    <w:rsid w:val="00731E56"/>
    <w:rsid w:val="00731EC3"/>
    <w:rsid w:val="00731F45"/>
    <w:rsid w:val="00731F7F"/>
    <w:rsid w:val="007320E1"/>
    <w:rsid w:val="0073226B"/>
    <w:rsid w:val="007322E6"/>
    <w:rsid w:val="007325CF"/>
    <w:rsid w:val="00732788"/>
    <w:rsid w:val="00732AB8"/>
    <w:rsid w:val="00732AE3"/>
    <w:rsid w:val="00732E23"/>
    <w:rsid w:val="00733A3B"/>
    <w:rsid w:val="00733AC4"/>
    <w:rsid w:val="00733EB0"/>
    <w:rsid w:val="00734119"/>
    <w:rsid w:val="00734284"/>
    <w:rsid w:val="00734305"/>
    <w:rsid w:val="00734480"/>
    <w:rsid w:val="00734787"/>
    <w:rsid w:val="0073486C"/>
    <w:rsid w:val="007348C0"/>
    <w:rsid w:val="00735591"/>
    <w:rsid w:val="00735C09"/>
    <w:rsid w:val="00735F71"/>
    <w:rsid w:val="007360AA"/>
    <w:rsid w:val="007368C6"/>
    <w:rsid w:val="00736A46"/>
    <w:rsid w:val="00736C1E"/>
    <w:rsid w:val="00736DEB"/>
    <w:rsid w:val="00736E76"/>
    <w:rsid w:val="00737151"/>
    <w:rsid w:val="0073717F"/>
    <w:rsid w:val="0073719E"/>
    <w:rsid w:val="007374A2"/>
    <w:rsid w:val="007376FE"/>
    <w:rsid w:val="007376FF"/>
    <w:rsid w:val="00737A19"/>
    <w:rsid w:val="00737A8F"/>
    <w:rsid w:val="00737B05"/>
    <w:rsid w:val="00737C6F"/>
    <w:rsid w:val="00740187"/>
    <w:rsid w:val="00740497"/>
    <w:rsid w:val="007404AF"/>
    <w:rsid w:val="0074077B"/>
    <w:rsid w:val="007408F1"/>
    <w:rsid w:val="007408F7"/>
    <w:rsid w:val="00740A02"/>
    <w:rsid w:val="007415B1"/>
    <w:rsid w:val="00741764"/>
    <w:rsid w:val="007419F3"/>
    <w:rsid w:val="00741A1A"/>
    <w:rsid w:val="00741B1B"/>
    <w:rsid w:val="00741E13"/>
    <w:rsid w:val="00741F81"/>
    <w:rsid w:val="007422F0"/>
    <w:rsid w:val="0074251A"/>
    <w:rsid w:val="00742574"/>
    <w:rsid w:val="00742973"/>
    <w:rsid w:val="00742AED"/>
    <w:rsid w:val="00742BCE"/>
    <w:rsid w:val="00742C99"/>
    <w:rsid w:val="00742F1B"/>
    <w:rsid w:val="007432ED"/>
    <w:rsid w:val="0074336A"/>
    <w:rsid w:val="0074365D"/>
    <w:rsid w:val="00743A5B"/>
    <w:rsid w:val="00743AC3"/>
    <w:rsid w:val="0074401D"/>
    <w:rsid w:val="007440E1"/>
    <w:rsid w:val="00744219"/>
    <w:rsid w:val="00744603"/>
    <w:rsid w:val="0074542C"/>
    <w:rsid w:val="00746055"/>
    <w:rsid w:val="007460F7"/>
    <w:rsid w:val="00746132"/>
    <w:rsid w:val="00746766"/>
    <w:rsid w:val="00746B8C"/>
    <w:rsid w:val="00746BBD"/>
    <w:rsid w:val="00746E64"/>
    <w:rsid w:val="00746FA4"/>
    <w:rsid w:val="00747F91"/>
    <w:rsid w:val="00750302"/>
    <w:rsid w:val="007503E1"/>
    <w:rsid w:val="007504B9"/>
    <w:rsid w:val="00750568"/>
    <w:rsid w:val="007508B0"/>
    <w:rsid w:val="00750D31"/>
    <w:rsid w:val="00750D63"/>
    <w:rsid w:val="00750D8C"/>
    <w:rsid w:val="00750EA9"/>
    <w:rsid w:val="00751447"/>
    <w:rsid w:val="0075183D"/>
    <w:rsid w:val="007518B9"/>
    <w:rsid w:val="00751BF6"/>
    <w:rsid w:val="00751E2A"/>
    <w:rsid w:val="00751F04"/>
    <w:rsid w:val="0075204B"/>
    <w:rsid w:val="00752AE2"/>
    <w:rsid w:val="00752D8D"/>
    <w:rsid w:val="00752DED"/>
    <w:rsid w:val="00752E20"/>
    <w:rsid w:val="0075332D"/>
    <w:rsid w:val="00753359"/>
    <w:rsid w:val="007533EC"/>
    <w:rsid w:val="00753AE9"/>
    <w:rsid w:val="007541A6"/>
    <w:rsid w:val="007544D4"/>
    <w:rsid w:val="00754826"/>
    <w:rsid w:val="00754DD4"/>
    <w:rsid w:val="00754F2C"/>
    <w:rsid w:val="00754FE9"/>
    <w:rsid w:val="0075538E"/>
    <w:rsid w:val="00756132"/>
    <w:rsid w:val="007561AF"/>
    <w:rsid w:val="0075654B"/>
    <w:rsid w:val="007566C7"/>
    <w:rsid w:val="007568E1"/>
    <w:rsid w:val="007568E3"/>
    <w:rsid w:val="00756A8B"/>
    <w:rsid w:val="00756AD3"/>
    <w:rsid w:val="00757306"/>
    <w:rsid w:val="007573D3"/>
    <w:rsid w:val="007575E2"/>
    <w:rsid w:val="007576CF"/>
    <w:rsid w:val="00757781"/>
    <w:rsid w:val="00757783"/>
    <w:rsid w:val="007579B3"/>
    <w:rsid w:val="00757A85"/>
    <w:rsid w:val="00757ED2"/>
    <w:rsid w:val="00760065"/>
    <w:rsid w:val="007607CB"/>
    <w:rsid w:val="00760A89"/>
    <w:rsid w:val="00761871"/>
    <w:rsid w:val="00761890"/>
    <w:rsid w:val="00761FAC"/>
    <w:rsid w:val="00761FD0"/>
    <w:rsid w:val="007625E7"/>
    <w:rsid w:val="0076260D"/>
    <w:rsid w:val="0076263A"/>
    <w:rsid w:val="00762CA6"/>
    <w:rsid w:val="00763612"/>
    <w:rsid w:val="0076363F"/>
    <w:rsid w:val="0076376F"/>
    <w:rsid w:val="00763C31"/>
    <w:rsid w:val="0076415B"/>
    <w:rsid w:val="0076438B"/>
    <w:rsid w:val="0076453C"/>
    <w:rsid w:val="007645D1"/>
    <w:rsid w:val="0076476A"/>
    <w:rsid w:val="00764B79"/>
    <w:rsid w:val="00764D35"/>
    <w:rsid w:val="00764FD0"/>
    <w:rsid w:val="00765317"/>
    <w:rsid w:val="00765768"/>
    <w:rsid w:val="00765831"/>
    <w:rsid w:val="007659BE"/>
    <w:rsid w:val="00765AED"/>
    <w:rsid w:val="00765D6C"/>
    <w:rsid w:val="0076623F"/>
    <w:rsid w:val="0076652B"/>
    <w:rsid w:val="007668BD"/>
    <w:rsid w:val="00766AE0"/>
    <w:rsid w:val="00766E4E"/>
    <w:rsid w:val="00766FF1"/>
    <w:rsid w:val="0076721E"/>
    <w:rsid w:val="00767292"/>
    <w:rsid w:val="0076735B"/>
    <w:rsid w:val="007675A3"/>
    <w:rsid w:val="00767726"/>
    <w:rsid w:val="00767775"/>
    <w:rsid w:val="00767955"/>
    <w:rsid w:val="00767A0F"/>
    <w:rsid w:val="00767A20"/>
    <w:rsid w:val="00767EA5"/>
    <w:rsid w:val="0077002B"/>
    <w:rsid w:val="00770615"/>
    <w:rsid w:val="00770680"/>
    <w:rsid w:val="0077075E"/>
    <w:rsid w:val="0077077F"/>
    <w:rsid w:val="00770D03"/>
    <w:rsid w:val="00770D44"/>
    <w:rsid w:val="00770E7E"/>
    <w:rsid w:val="00770EA0"/>
    <w:rsid w:val="00771016"/>
    <w:rsid w:val="00771629"/>
    <w:rsid w:val="007717CE"/>
    <w:rsid w:val="0077218A"/>
    <w:rsid w:val="00772408"/>
    <w:rsid w:val="00772511"/>
    <w:rsid w:val="00772867"/>
    <w:rsid w:val="00772956"/>
    <w:rsid w:val="00772A7D"/>
    <w:rsid w:val="00772B13"/>
    <w:rsid w:val="00772C08"/>
    <w:rsid w:val="00772DF0"/>
    <w:rsid w:val="00772EF5"/>
    <w:rsid w:val="00772F2E"/>
    <w:rsid w:val="00772F56"/>
    <w:rsid w:val="007734D2"/>
    <w:rsid w:val="00773D3F"/>
    <w:rsid w:val="00773E9F"/>
    <w:rsid w:val="007753A3"/>
    <w:rsid w:val="0077547E"/>
    <w:rsid w:val="00775639"/>
    <w:rsid w:val="007756D4"/>
    <w:rsid w:val="007758EE"/>
    <w:rsid w:val="00775921"/>
    <w:rsid w:val="00775FA3"/>
    <w:rsid w:val="0077687C"/>
    <w:rsid w:val="0077688D"/>
    <w:rsid w:val="00776A84"/>
    <w:rsid w:val="00776B4D"/>
    <w:rsid w:val="00776F20"/>
    <w:rsid w:val="00777430"/>
    <w:rsid w:val="007776DB"/>
    <w:rsid w:val="00777C5D"/>
    <w:rsid w:val="00777D5D"/>
    <w:rsid w:val="0078072A"/>
    <w:rsid w:val="0078093B"/>
    <w:rsid w:val="00780FC2"/>
    <w:rsid w:val="00781113"/>
    <w:rsid w:val="0078151D"/>
    <w:rsid w:val="00781C0A"/>
    <w:rsid w:val="007824B7"/>
    <w:rsid w:val="00782F35"/>
    <w:rsid w:val="0078308C"/>
    <w:rsid w:val="00783AA4"/>
    <w:rsid w:val="00783DEB"/>
    <w:rsid w:val="00783F3E"/>
    <w:rsid w:val="00784E68"/>
    <w:rsid w:val="00784F7E"/>
    <w:rsid w:val="007853A2"/>
    <w:rsid w:val="007853B4"/>
    <w:rsid w:val="007854B6"/>
    <w:rsid w:val="0078563D"/>
    <w:rsid w:val="00785756"/>
    <w:rsid w:val="0078589D"/>
    <w:rsid w:val="007858D2"/>
    <w:rsid w:val="00785DE6"/>
    <w:rsid w:val="007862DB"/>
    <w:rsid w:val="007864D9"/>
    <w:rsid w:val="007867F2"/>
    <w:rsid w:val="0078680C"/>
    <w:rsid w:val="00786826"/>
    <w:rsid w:val="00786C99"/>
    <w:rsid w:val="00786F7F"/>
    <w:rsid w:val="007870C8"/>
    <w:rsid w:val="00787267"/>
    <w:rsid w:val="00787972"/>
    <w:rsid w:val="00787DCA"/>
    <w:rsid w:val="00787E7F"/>
    <w:rsid w:val="00790198"/>
    <w:rsid w:val="0079023F"/>
    <w:rsid w:val="00790289"/>
    <w:rsid w:val="0079038B"/>
    <w:rsid w:val="00790565"/>
    <w:rsid w:val="00790810"/>
    <w:rsid w:val="00790A1E"/>
    <w:rsid w:val="00790E54"/>
    <w:rsid w:val="00790FA2"/>
    <w:rsid w:val="007911CE"/>
    <w:rsid w:val="007921A0"/>
    <w:rsid w:val="007921B5"/>
    <w:rsid w:val="0079220F"/>
    <w:rsid w:val="00792894"/>
    <w:rsid w:val="00792D51"/>
    <w:rsid w:val="00792DD1"/>
    <w:rsid w:val="007938BB"/>
    <w:rsid w:val="0079417E"/>
    <w:rsid w:val="00794338"/>
    <w:rsid w:val="007943A3"/>
    <w:rsid w:val="00794468"/>
    <w:rsid w:val="0079456F"/>
    <w:rsid w:val="00794ACB"/>
    <w:rsid w:val="00794BEB"/>
    <w:rsid w:val="00794F20"/>
    <w:rsid w:val="00794F54"/>
    <w:rsid w:val="00794FAC"/>
    <w:rsid w:val="00795203"/>
    <w:rsid w:val="007956CE"/>
    <w:rsid w:val="00795710"/>
    <w:rsid w:val="00795769"/>
    <w:rsid w:val="00795AF7"/>
    <w:rsid w:val="00795E32"/>
    <w:rsid w:val="0079625D"/>
    <w:rsid w:val="0079650E"/>
    <w:rsid w:val="00796562"/>
    <w:rsid w:val="00796771"/>
    <w:rsid w:val="00796892"/>
    <w:rsid w:val="007970DF"/>
    <w:rsid w:val="0079738F"/>
    <w:rsid w:val="00797ABD"/>
    <w:rsid w:val="007A036B"/>
    <w:rsid w:val="007A03CD"/>
    <w:rsid w:val="007A092F"/>
    <w:rsid w:val="007A0E5A"/>
    <w:rsid w:val="007A0F6D"/>
    <w:rsid w:val="007A1103"/>
    <w:rsid w:val="007A15BE"/>
    <w:rsid w:val="007A16CD"/>
    <w:rsid w:val="007A1B7B"/>
    <w:rsid w:val="007A1CBF"/>
    <w:rsid w:val="007A2361"/>
    <w:rsid w:val="007A281F"/>
    <w:rsid w:val="007A2EEF"/>
    <w:rsid w:val="007A399A"/>
    <w:rsid w:val="007A3A12"/>
    <w:rsid w:val="007A4534"/>
    <w:rsid w:val="007A45B5"/>
    <w:rsid w:val="007A492B"/>
    <w:rsid w:val="007A4D0B"/>
    <w:rsid w:val="007A4F62"/>
    <w:rsid w:val="007A5080"/>
    <w:rsid w:val="007A5195"/>
    <w:rsid w:val="007A5411"/>
    <w:rsid w:val="007A57C3"/>
    <w:rsid w:val="007A57C5"/>
    <w:rsid w:val="007A58A5"/>
    <w:rsid w:val="007A5A0D"/>
    <w:rsid w:val="007A5C62"/>
    <w:rsid w:val="007A5CA1"/>
    <w:rsid w:val="007A5DE3"/>
    <w:rsid w:val="007A60D1"/>
    <w:rsid w:val="007A658E"/>
    <w:rsid w:val="007A6831"/>
    <w:rsid w:val="007A6C1B"/>
    <w:rsid w:val="007A6F77"/>
    <w:rsid w:val="007A708E"/>
    <w:rsid w:val="007A7123"/>
    <w:rsid w:val="007A7466"/>
    <w:rsid w:val="007A76D6"/>
    <w:rsid w:val="007A7736"/>
    <w:rsid w:val="007A7DE1"/>
    <w:rsid w:val="007A7E2F"/>
    <w:rsid w:val="007B0098"/>
    <w:rsid w:val="007B00D2"/>
    <w:rsid w:val="007B00EA"/>
    <w:rsid w:val="007B01E8"/>
    <w:rsid w:val="007B02AA"/>
    <w:rsid w:val="007B0440"/>
    <w:rsid w:val="007B0497"/>
    <w:rsid w:val="007B05D4"/>
    <w:rsid w:val="007B0D6D"/>
    <w:rsid w:val="007B0F22"/>
    <w:rsid w:val="007B11CE"/>
    <w:rsid w:val="007B123A"/>
    <w:rsid w:val="007B19FC"/>
    <w:rsid w:val="007B1A7B"/>
    <w:rsid w:val="007B1CF4"/>
    <w:rsid w:val="007B24DB"/>
    <w:rsid w:val="007B2790"/>
    <w:rsid w:val="007B2A90"/>
    <w:rsid w:val="007B33A1"/>
    <w:rsid w:val="007B3447"/>
    <w:rsid w:val="007B354A"/>
    <w:rsid w:val="007B394F"/>
    <w:rsid w:val="007B3A4F"/>
    <w:rsid w:val="007B433E"/>
    <w:rsid w:val="007B4802"/>
    <w:rsid w:val="007B4A6C"/>
    <w:rsid w:val="007B532C"/>
    <w:rsid w:val="007B54CB"/>
    <w:rsid w:val="007B5D5C"/>
    <w:rsid w:val="007B639A"/>
    <w:rsid w:val="007B66A1"/>
    <w:rsid w:val="007B6717"/>
    <w:rsid w:val="007B673E"/>
    <w:rsid w:val="007B679D"/>
    <w:rsid w:val="007B68D4"/>
    <w:rsid w:val="007B6D59"/>
    <w:rsid w:val="007B7066"/>
    <w:rsid w:val="007B747A"/>
    <w:rsid w:val="007B7513"/>
    <w:rsid w:val="007B752B"/>
    <w:rsid w:val="007B7549"/>
    <w:rsid w:val="007B75B2"/>
    <w:rsid w:val="007B7CB6"/>
    <w:rsid w:val="007C0607"/>
    <w:rsid w:val="007C0B54"/>
    <w:rsid w:val="007C0D4D"/>
    <w:rsid w:val="007C0EB8"/>
    <w:rsid w:val="007C102F"/>
    <w:rsid w:val="007C1078"/>
    <w:rsid w:val="007C10DE"/>
    <w:rsid w:val="007C1674"/>
    <w:rsid w:val="007C1CAE"/>
    <w:rsid w:val="007C1D42"/>
    <w:rsid w:val="007C1D97"/>
    <w:rsid w:val="007C20C8"/>
    <w:rsid w:val="007C2683"/>
    <w:rsid w:val="007C293D"/>
    <w:rsid w:val="007C2951"/>
    <w:rsid w:val="007C3323"/>
    <w:rsid w:val="007C3411"/>
    <w:rsid w:val="007C3455"/>
    <w:rsid w:val="007C491D"/>
    <w:rsid w:val="007C4AB4"/>
    <w:rsid w:val="007C4BF5"/>
    <w:rsid w:val="007C5196"/>
    <w:rsid w:val="007C5448"/>
    <w:rsid w:val="007C58E5"/>
    <w:rsid w:val="007C5A7A"/>
    <w:rsid w:val="007C5B75"/>
    <w:rsid w:val="007C5C0F"/>
    <w:rsid w:val="007C5C88"/>
    <w:rsid w:val="007C610F"/>
    <w:rsid w:val="007C620E"/>
    <w:rsid w:val="007C6725"/>
    <w:rsid w:val="007C7552"/>
    <w:rsid w:val="007C7695"/>
    <w:rsid w:val="007C779F"/>
    <w:rsid w:val="007C7946"/>
    <w:rsid w:val="007D0042"/>
    <w:rsid w:val="007D0175"/>
    <w:rsid w:val="007D0627"/>
    <w:rsid w:val="007D09D2"/>
    <w:rsid w:val="007D0E38"/>
    <w:rsid w:val="007D124D"/>
    <w:rsid w:val="007D15E6"/>
    <w:rsid w:val="007D160E"/>
    <w:rsid w:val="007D1AF2"/>
    <w:rsid w:val="007D1F2D"/>
    <w:rsid w:val="007D1FE8"/>
    <w:rsid w:val="007D20D0"/>
    <w:rsid w:val="007D2399"/>
    <w:rsid w:val="007D255C"/>
    <w:rsid w:val="007D25B2"/>
    <w:rsid w:val="007D2ECE"/>
    <w:rsid w:val="007D2ED5"/>
    <w:rsid w:val="007D3056"/>
    <w:rsid w:val="007D3266"/>
    <w:rsid w:val="007D3513"/>
    <w:rsid w:val="007D356F"/>
    <w:rsid w:val="007D39CD"/>
    <w:rsid w:val="007D3B1E"/>
    <w:rsid w:val="007D3F8A"/>
    <w:rsid w:val="007D4279"/>
    <w:rsid w:val="007D4711"/>
    <w:rsid w:val="007D49EB"/>
    <w:rsid w:val="007D4C2E"/>
    <w:rsid w:val="007D4E24"/>
    <w:rsid w:val="007D4F24"/>
    <w:rsid w:val="007D5070"/>
    <w:rsid w:val="007D517F"/>
    <w:rsid w:val="007D54E1"/>
    <w:rsid w:val="007D5B0F"/>
    <w:rsid w:val="007D5DBC"/>
    <w:rsid w:val="007D6113"/>
    <w:rsid w:val="007D6882"/>
    <w:rsid w:val="007D69B4"/>
    <w:rsid w:val="007D6D5C"/>
    <w:rsid w:val="007D6FC6"/>
    <w:rsid w:val="007D70F0"/>
    <w:rsid w:val="007D7203"/>
    <w:rsid w:val="007D79E2"/>
    <w:rsid w:val="007D7AB7"/>
    <w:rsid w:val="007E021C"/>
    <w:rsid w:val="007E09FD"/>
    <w:rsid w:val="007E0C25"/>
    <w:rsid w:val="007E1018"/>
    <w:rsid w:val="007E1153"/>
    <w:rsid w:val="007E11B8"/>
    <w:rsid w:val="007E129C"/>
    <w:rsid w:val="007E1549"/>
    <w:rsid w:val="007E15C8"/>
    <w:rsid w:val="007E16F1"/>
    <w:rsid w:val="007E1AB5"/>
    <w:rsid w:val="007E1EE2"/>
    <w:rsid w:val="007E2001"/>
    <w:rsid w:val="007E209F"/>
    <w:rsid w:val="007E23B5"/>
    <w:rsid w:val="007E2543"/>
    <w:rsid w:val="007E2729"/>
    <w:rsid w:val="007E27B8"/>
    <w:rsid w:val="007E2AAD"/>
    <w:rsid w:val="007E2E20"/>
    <w:rsid w:val="007E33C3"/>
    <w:rsid w:val="007E352A"/>
    <w:rsid w:val="007E39C9"/>
    <w:rsid w:val="007E3D03"/>
    <w:rsid w:val="007E429B"/>
    <w:rsid w:val="007E4325"/>
    <w:rsid w:val="007E479F"/>
    <w:rsid w:val="007E4C86"/>
    <w:rsid w:val="007E4E54"/>
    <w:rsid w:val="007E5105"/>
    <w:rsid w:val="007E512D"/>
    <w:rsid w:val="007E5653"/>
    <w:rsid w:val="007E567E"/>
    <w:rsid w:val="007E6291"/>
    <w:rsid w:val="007E63C3"/>
    <w:rsid w:val="007E6C5A"/>
    <w:rsid w:val="007E6E17"/>
    <w:rsid w:val="007E7212"/>
    <w:rsid w:val="007E75AB"/>
    <w:rsid w:val="007E7835"/>
    <w:rsid w:val="007E7A34"/>
    <w:rsid w:val="007F04AB"/>
    <w:rsid w:val="007F08FD"/>
    <w:rsid w:val="007F0BAF"/>
    <w:rsid w:val="007F105B"/>
    <w:rsid w:val="007F1736"/>
    <w:rsid w:val="007F18BF"/>
    <w:rsid w:val="007F1EAF"/>
    <w:rsid w:val="007F2277"/>
    <w:rsid w:val="007F2A05"/>
    <w:rsid w:val="007F30EA"/>
    <w:rsid w:val="007F3AB8"/>
    <w:rsid w:val="007F3C60"/>
    <w:rsid w:val="007F3ED1"/>
    <w:rsid w:val="007F424E"/>
    <w:rsid w:val="007F44F9"/>
    <w:rsid w:val="007F4716"/>
    <w:rsid w:val="007F4BAF"/>
    <w:rsid w:val="007F4CE6"/>
    <w:rsid w:val="007F4E71"/>
    <w:rsid w:val="007F4F14"/>
    <w:rsid w:val="007F524A"/>
    <w:rsid w:val="007F5541"/>
    <w:rsid w:val="007F5C63"/>
    <w:rsid w:val="007F5DFC"/>
    <w:rsid w:val="007F5EF9"/>
    <w:rsid w:val="007F6266"/>
    <w:rsid w:val="007F627C"/>
    <w:rsid w:val="007F6669"/>
    <w:rsid w:val="007F6780"/>
    <w:rsid w:val="007F6813"/>
    <w:rsid w:val="007F6B7A"/>
    <w:rsid w:val="007F6FBB"/>
    <w:rsid w:val="007F70E5"/>
    <w:rsid w:val="007F7395"/>
    <w:rsid w:val="007F78E0"/>
    <w:rsid w:val="007F79D4"/>
    <w:rsid w:val="007F7BDD"/>
    <w:rsid w:val="007F7C57"/>
    <w:rsid w:val="007F7DF4"/>
    <w:rsid w:val="00800283"/>
    <w:rsid w:val="008002D3"/>
    <w:rsid w:val="008005CF"/>
    <w:rsid w:val="00800872"/>
    <w:rsid w:val="00800A94"/>
    <w:rsid w:val="00800B13"/>
    <w:rsid w:val="00800CE6"/>
    <w:rsid w:val="00801287"/>
    <w:rsid w:val="00801536"/>
    <w:rsid w:val="00801696"/>
    <w:rsid w:val="00801774"/>
    <w:rsid w:val="008019DB"/>
    <w:rsid w:val="00801AEA"/>
    <w:rsid w:val="00801D16"/>
    <w:rsid w:val="00801E3D"/>
    <w:rsid w:val="008023F3"/>
    <w:rsid w:val="008026A0"/>
    <w:rsid w:val="008027C1"/>
    <w:rsid w:val="00802E48"/>
    <w:rsid w:val="0080329E"/>
    <w:rsid w:val="008035FB"/>
    <w:rsid w:val="00803767"/>
    <w:rsid w:val="00803E22"/>
    <w:rsid w:val="00804197"/>
    <w:rsid w:val="00804AC0"/>
    <w:rsid w:val="00804C10"/>
    <w:rsid w:val="00804F82"/>
    <w:rsid w:val="008053FC"/>
    <w:rsid w:val="008054F0"/>
    <w:rsid w:val="00805A11"/>
    <w:rsid w:val="00805F48"/>
    <w:rsid w:val="008064AF"/>
    <w:rsid w:val="008069D0"/>
    <w:rsid w:val="00806AC8"/>
    <w:rsid w:val="00806DBB"/>
    <w:rsid w:val="00807A5E"/>
    <w:rsid w:val="0081048F"/>
    <w:rsid w:val="00810598"/>
    <w:rsid w:val="00810A67"/>
    <w:rsid w:val="00810BB0"/>
    <w:rsid w:val="00810D42"/>
    <w:rsid w:val="008115CF"/>
    <w:rsid w:val="0081194D"/>
    <w:rsid w:val="00811E50"/>
    <w:rsid w:val="00812314"/>
    <w:rsid w:val="008124A2"/>
    <w:rsid w:val="008126FD"/>
    <w:rsid w:val="008129A7"/>
    <w:rsid w:val="00812C5E"/>
    <w:rsid w:val="00812F08"/>
    <w:rsid w:val="00813344"/>
    <w:rsid w:val="0081358F"/>
    <w:rsid w:val="00813838"/>
    <w:rsid w:val="0081386E"/>
    <w:rsid w:val="00813A6B"/>
    <w:rsid w:val="00813C12"/>
    <w:rsid w:val="00813ED3"/>
    <w:rsid w:val="00814157"/>
    <w:rsid w:val="008142B5"/>
    <w:rsid w:val="00814A6E"/>
    <w:rsid w:val="00814A7B"/>
    <w:rsid w:val="008150EC"/>
    <w:rsid w:val="00815224"/>
    <w:rsid w:val="00815EC5"/>
    <w:rsid w:val="00815FD1"/>
    <w:rsid w:val="00815FE2"/>
    <w:rsid w:val="0081611E"/>
    <w:rsid w:val="00816801"/>
    <w:rsid w:val="00816EAA"/>
    <w:rsid w:val="00816F72"/>
    <w:rsid w:val="00817028"/>
    <w:rsid w:val="0081716F"/>
    <w:rsid w:val="008171E9"/>
    <w:rsid w:val="008179D5"/>
    <w:rsid w:val="00817C4F"/>
    <w:rsid w:val="008200B7"/>
    <w:rsid w:val="0082023B"/>
    <w:rsid w:val="0082027A"/>
    <w:rsid w:val="00820887"/>
    <w:rsid w:val="0082094A"/>
    <w:rsid w:val="00820C29"/>
    <w:rsid w:val="00820D92"/>
    <w:rsid w:val="00820F29"/>
    <w:rsid w:val="00820FDD"/>
    <w:rsid w:val="0082145C"/>
    <w:rsid w:val="00821E74"/>
    <w:rsid w:val="00822110"/>
    <w:rsid w:val="0082262D"/>
    <w:rsid w:val="0082269B"/>
    <w:rsid w:val="00822B31"/>
    <w:rsid w:val="00822D56"/>
    <w:rsid w:val="00823013"/>
    <w:rsid w:val="008230E7"/>
    <w:rsid w:val="00823735"/>
    <w:rsid w:val="00823B34"/>
    <w:rsid w:val="00823C47"/>
    <w:rsid w:val="00824187"/>
    <w:rsid w:val="0082430F"/>
    <w:rsid w:val="0082473B"/>
    <w:rsid w:val="00824D28"/>
    <w:rsid w:val="00825470"/>
    <w:rsid w:val="00825974"/>
    <w:rsid w:val="00825FD5"/>
    <w:rsid w:val="00825FEC"/>
    <w:rsid w:val="008260B6"/>
    <w:rsid w:val="008261EA"/>
    <w:rsid w:val="00826571"/>
    <w:rsid w:val="00826580"/>
    <w:rsid w:val="00826924"/>
    <w:rsid w:val="00826D85"/>
    <w:rsid w:val="00826F85"/>
    <w:rsid w:val="008270E5"/>
    <w:rsid w:val="008271D6"/>
    <w:rsid w:val="00827294"/>
    <w:rsid w:val="008275EC"/>
    <w:rsid w:val="00827636"/>
    <w:rsid w:val="008276DA"/>
    <w:rsid w:val="00827BB8"/>
    <w:rsid w:val="00827CA3"/>
    <w:rsid w:val="00827EBB"/>
    <w:rsid w:val="008307C3"/>
    <w:rsid w:val="00830D4A"/>
    <w:rsid w:val="00830F0F"/>
    <w:rsid w:val="00831F55"/>
    <w:rsid w:val="00832262"/>
    <w:rsid w:val="00832AA3"/>
    <w:rsid w:val="00832D24"/>
    <w:rsid w:val="00832F14"/>
    <w:rsid w:val="00833199"/>
    <w:rsid w:val="00833234"/>
    <w:rsid w:val="00833B8C"/>
    <w:rsid w:val="00834355"/>
    <w:rsid w:val="00834B09"/>
    <w:rsid w:val="00834CE0"/>
    <w:rsid w:val="0083555E"/>
    <w:rsid w:val="00835583"/>
    <w:rsid w:val="00835E6D"/>
    <w:rsid w:val="0083611D"/>
    <w:rsid w:val="0083616D"/>
    <w:rsid w:val="00836EF2"/>
    <w:rsid w:val="0083702C"/>
    <w:rsid w:val="008371C4"/>
    <w:rsid w:val="00837902"/>
    <w:rsid w:val="00837C09"/>
    <w:rsid w:val="00837CA4"/>
    <w:rsid w:val="00837E00"/>
    <w:rsid w:val="00840171"/>
    <w:rsid w:val="008407BF"/>
    <w:rsid w:val="00840983"/>
    <w:rsid w:val="00840A52"/>
    <w:rsid w:val="00840AD5"/>
    <w:rsid w:val="00840FA5"/>
    <w:rsid w:val="0084146D"/>
    <w:rsid w:val="00841624"/>
    <w:rsid w:val="0084170B"/>
    <w:rsid w:val="00841E38"/>
    <w:rsid w:val="00842091"/>
    <w:rsid w:val="00842110"/>
    <w:rsid w:val="00842283"/>
    <w:rsid w:val="00842324"/>
    <w:rsid w:val="00843AAC"/>
    <w:rsid w:val="00843C43"/>
    <w:rsid w:val="00844274"/>
    <w:rsid w:val="00844A99"/>
    <w:rsid w:val="00844BF8"/>
    <w:rsid w:val="00844FD0"/>
    <w:rsid w:val="0084502B"/>
    <w:rsid w:val="0084534F"/>
    <w:rsid w:val="008458F0"/>
    <w:rsid w:val="008459B8"/>
    <w:rsid w:val="00845B65"/>
    <w:rsid w:val="00845C17"/>
    <w:rsid w:val="00845DDC"/>
    <w:rsid w:val="00845E6D"/>
    <w:rsid w:val="00845F35"/>
    <w:rsid w:val="00845F3C"/>
    <w:rsid w:val="0084624B"/>
    <w:rsid w:val="008462B1"/>
    <w:rsid w:val="008462BF"/>
    <w:rsid w:val="00847084"/>
    <w:rsid w:val="008472FD"/>
    <w:rsid w:val="00847343"/>
    <w:rsid w:val="00847682"/>
    <w:rsid w:val="0084799A"/>
    <w:rsid w:val="00847A0B"/>
    <w:rsid w:val="00847B68"/>
    <w:rsid w:val="00847FDF"/>
    <w:rsid w:val="0085011F"/>
    <w:rsid w:val="00850589"/>
    <w:rsid w:val="00850611"/>
    <w:rsid w:val="0085088F"/>
    <w:rsid w:val="008508F0"/>
    <w:rsid w:val="0085093D"/>
    <w:rsid w:val="00850AA2"/>
    <w:rsid w:val="00850B6E"/>
    <w:rsid w:val="00850C4F"/>
    <w:rsid w:val="00850F61"/>
    <w:rsid w:val="00850F6E"/>
    <w:rsid w:val="00851212"/>
    <w:rsid w:val="008513BE"/>
    <w:rsid w:val="00851DA1"/>
    <w:rsid w:val="00852539"/>
    <w:rsid w:val="008527EB"/>
    <w:rsid w:val="00852DB8"/>
    <w:rsid w:val="0085315E"/>
    <w:rsid w:val="00853592"/>
    <w:rsid w:val="008535C5"/>
    <w:rsid w:val="00853BFF"/>
    <w:rsid w:val="00854909"/>
    <w:rsid w:val="00854A27"/>
    <w:rsid w:val="00854A31"/>
    <w:rsid w:val="00854AE4"/>
    <w:rsid w:val="00854D70"/>
    <w:rsid w:val="00855929"/>
    <w:rsid w:val="00855AFE"/>
    <w:rsid w:val="00855BFB"/>
    <w:rsid w:val="00855C7E"/>
    <w:rsid w:val="00855F05"/>
    <w:rsid w:val="008568C0"/>
    <w:rsid w:val="00856BD0"/>
    <w:rsid w:val="00856DD7"/>
    <w:rsid w:val="00856F08"/>
    <w:rsid w:val="00857077"/>
    <w:rsid w:val="0085708E"/>
    <w:rsid w:val="00857327"/>
    <w:rsid w:val="00857A68"/>
    <w:rsid w:val="008607B2"/>
    <w:rsid w:val="008615BC"/>
    <w:rsid w:val="00861814"/>
    <w:rsid w:val="008619A9"/>
    <w:rsid w:val="00861BD7"/>
    <w:rsid w:val="00861C56"/>
    <w:rsid w:val="00861D4E"/>
    <w:rsid w:val="00861F43"/>
    <w:rsid w:val="00862290"/>
    <w:rsid w:val="00862617"/>
    <w:rsid w:val="00862674"/>
    <w:rsid w:val="00862BDF"/>
    <w:rsid w:val="00862D4B"/>
    <w:rsid w:val="008635FE"/>
    <w:rsid w:val="008636E7"/>
    <w:rsid w:val="00863848"/>
    <w:rsid w:val="00863C40"/>
    <w:rsid w:val="00863D41"/>
    <w:rsid w:val="00863D66"/>
    <w:rsid w:val="00864529"/>
    <w:rsid w:val="00864565"/>
    <w:rsid w:val="00864687"/>
    <w:rsid w:val="00864BC2"/>
    <w:rsid w:val="00864EC5"/>
    <w:rsid w:val="00865146"/>
    <w:rsid w:val="008651C4"/>
    <w:rsid w:val="00865AA2"/>
    <w:rsid w:val="00865B5E"/>
    <w:rsid w:val="00866D58"/>
    <w:rsid w:val="00866E83"/>
    <w:rsid w:val="00867001"/>
    <w:rsid w:val="00867194"/>
    <w:rsid w:val="00867334"/>
    <w:rsid w:val="00867587"/>
    <w:rsid w:val="0086765F"/>
    <w:rsid w:val="00867667"/>
    <w:rsid w:val="00867CBB"/>
    <w:rsid w:val="0087001E"/>
    <w:rsid w:val="008702F4"/>
    <w:rsid w:val="008706AC"/>
    <w:rsid w:val="008713C1"/>
    <w:rsid w:val="00871538"/>
    <w:rsid w:val="008717DF"/>
    <w:rsid w:val="008719F0"/>
    <w:rsid w:val="00872415"/>
    <w:rsid w:val="008727F9"/>
    <w:rsid w:val="00872C70"/>
    <w:rsid w:val="00872D9C"/>
    <w:rsid w:val="0087311B"/>
    <w:rsid w:val="00873CC6"/>
    <w:rsid w:val="00873D29"/>
    <w:rsid w:val="00873E84"/>
    <w:rsid w:val="00874645"/>
    <w:rsid w:val="008749ED"/>
    <w:rsid w:val="00874EF2"/>
    <w:rsid w:val="008750B5"/>
    <w:rsid w:val="00875534"/>
    <w:rsid w:val="0087554F"/>
    <w:rsid w:val="00875F19"/>
    <w:rsid w:val="00876FE0"/>
    <w:rsid w:val="008778A8"/>
    <w:rsid w:val="00877B5D"/>
    <w:rsid w:val="008803BA"/>
    <w:rsid w:val="008804DC"/>
    <w:rsid w:val="0088118E"/>
    <w:rsid w:val="00881334"/>
    <w:rsid w:val="00881572"/>
    <w:rsid w:val="00881658"/>
    <w:rsid w:val="008818D4"/>
    <w:rsid w:val="00881AEB"/>
    <w:rsid w:val="00881B40"/>
    <w:rsid w:val="00881C04"/>
    <w:rsid w:val="00881D7E"/>
    <w:rsid w:val="0088200C"/>
    <w:rsid w:val="008820B6"/>
    <w:rsid w:val="00882241"/>
    <w:rsid w:val="008824CA"/>
    <w:rsid w:val="00882517"/>
    <w:rsid w:val="00882847"/>
    <w:rsid w:val="008828CC"/>
    <w:rsid w:val="00882C4D"/>
    <w:rsid w:val="00882EB2"/>
    <w:rsid w:val="008837EB"/>
    <w:rsid w:val="00883C19"/>
    <w:rsid w:val="00883D3C"/>
    <w:rsid w:val="008841E5"/>
    <w:rsid w:val="008843C5"/>
    <w:rsid w:val="00884436"/>
    <w:rsid w:val="00884483"/>
    <w:rsid w:val="0088459D"/>
    <w:rsid w:val="0088480F"/>
    <w:rsid w:val="00884B58"/>
    <w:rsid w:val="00884E2D"/>
    <w:rsid w:val="00884F70"/>
    <w:rsid w:val="0088500B"/>
    <w:rsid w:val="00885233"/>
    <w:rsid w:val="008852C8"/>
    <w:rsid w:val="00885491"/>
    <w:rsid w:val="008856CC"/>
    <w:rsid w:val="0088607F"/>
    <w:rsid w:val="00886359"/>
    <w:rsid w:val="008863CA"/>
    <w:rsid w:val="00886448"/>
    <w:rsid w:val="00886D84"/>
    <w:rsid w:val="008870A9"/>
    <w:rsid w:val="0088727E"/>
    <w:rsid w:val="0088736E"/>
    <w:rsid w:val="0088760A"/>
    <w:rsid w:val="00887FA4"/>
    <w:rsid w:val="0089003A"/>
    <w:rsid w:val="0089024D"/>
    <w:rsid w:val="00890ABE"/>
    <w:rsid w:val="00890E05"/>
    <w:rsid w:val="00891283"/>
    <w:rsid w:val="00891502"/>
    <w:rsid w:val="00891775"/>
    <w:rsid w:val="00891EC5"/>
    <w:rsid w:val="0089225C"/>
    <w:rsid w:val="00892B3B"/>
    <w:rsid w:val="00892E45"/>
    <w:rsid w:val="00892E4B"/>
    <w:rsid w:val="0089303D"/>
    <w:rsid w:val="0089321A"/>
    <w:rsid w:val="008933EB"/>
    <w:rsid w:val="008934EA"/>
    <w:rsid w:val="00893610"/>
    <w:rsid w:val="008936F7"/>
    <w:rsid w:val="008938B7"/>
    <w:rsid w:val="00893CF8"/>
    <w:rsid w:val="00893DD3"/>
    <w:rsid w:val="00893E9A"/>
    <w:rsid w:val="0089402E"/>
    <w:rsid w:val="008945F5"/>
    <w:rsid w:val="008946BF"/>
    <w:rsid w:val="00894A9C"/>
    <w:rsid w:val="00894AE2"/>
    <w:rsid w:val="00894FF9"/>
    <w:rsid w:val="00895216"/>
    <w:rsid w:val="0089585C"/>
    <w:rsid w:val="00895CF9"/>
    <w:rsid w:val="0089621E"/>
    <w:rsid w:val="0089623F"/>
    <w:rsid w:val="00896ADC"/>
    <w:rsid w:val="00896B2C"/>
    <w:rsid w:val="00896FCE"/>
    <w:rsid w:val="00896FF6"/>
    <w:rsid w:val="0089776F"/>
    <w:rsid w:val="008977D2"/>
    <w:rsid w:val="00897916"/>
    <w:rsid w:val="0089796D"/>
    <w:rsid w:val="00897AF5"/>
    <w:rsid w:val="00897FB8"/>
    <w:rsid w:val="008A06C9"/>
    <w:rsid w:val="008A0A31"/>
    <w:rsid w:val="008A0BD7"/>
    <w:rsid w:val="008A0CE2"/>
    <w:rsid w:val="008A18EF"/>
    <w:rsid w:val="008A19DF"/>
    <w:rsid w:val="008A1A0C"/>
    <w:rsid w:val="008A1DB9"/>
    <w:rsid w:val="008A1FCF"/>
    <w:rsid w:val="008A2449"/>
    <w:rsid w:val="008A244E"/>
    <w:rsid w:val="008A26BF"/>
    <w:rsid w:val="008A289B"/>
    <w:rsid w:val="008A296B"/>
    <w:rsid w:val="008A29AE"/>
    <w:rsid w:val="008A3448"/>
    <w:rsid w:val="008A37D3"/>
    <w:rsid w:val="008A38C2"/>
    <w:rsid w:val="008A39B0"/>
    <w:rsid w:val="008A3AB0"/>
    <w:rsid w:val="008A3CB6"/>
    <w:rsid w:val="008A4410"/>
    <w:rsid w:val="008A473A"/>
    <w:rsid w:val="008A53F5"/>
    <w:rsid w:val="008A54EC"/>
    <w:rsid w:val="008A5B5F"/>
    <w:rsid w:val="008A5D4F"/>
    <w:rsid w:val="008A6133"/>
    <w:rsid w:val="008A65DD"/>
    <w:rsid w:val="008A6675"/>
    <w:rsid w:val="008A6AC7"/>
    <w:rsid w:val="008A6B5A"/>
    <w:rsid w:val="008A6BF5"/>
    <w:rsid w:val="008A6C2E"/>
    <w:rsid w:val="008A709F"/>
    <w:rsid w:val="008A75F4"/>
    <w:rsid w:val="008A761B"/>
    <w:rsid w:val="008A7681"/>
    <w:rsid w:val="008A76C6"/>
    <w:rsid w:val="008A7B0A"/>
    <w:rsid w:val="008A7EF0"/>
    <w:rsid w:val="008A7EF2"/>
    <w:rsid w:val="008A7F06"/>
    <w:rsid w:val="008B0174"/>
    <w:rsid w:val="008B0201"/>
    <w:rsid w:val="008B0243"/>
    <w:rsid w:val="008B038C"/>
    <w:rsid w:val="008B03B8"/>
    <w:rsid w:val="008B0547"/>
    <w:rsid w:val="008B05BB"/>
    <w:rsid w:val="008B0605"/>
    <w:rsid w:val="008B08D8"/>
    <w:rsid w:val="008B0E0F"/>
    <w:rsid w:val="008B0E13"/>
    <w:rsid w:val="008B19E0"/>
    <w:rsid w:val="008B1BD3"/>
    <w:rsid w:val="008B1D2B"/>
    <w:rsid w:val="008B1EDF"/>
    <w:rsid w:val="008B238B"/>
    <w:rsid w:val="008B2810"/>
    <w:rsid w:val="008B45E0"/>
    <w:rsid w:val="008B4A47"/>
    <w:rsid w:val="008B4EAE"/>
    <w:rsid w:val="008B5301"/>
    <w:rsid w:val="008B543C"/>
    <w:rsid w:val="008B566F"/>
    <w:rsid w:val="008B5774"/>
    <w:rsid w:val="008B5BEF"/>
    <w:rsid w:val="008B5D80"/>
    <w:rsid w:val="008B5E3E"/>
    <w:rsid w:val="008B60B5"/>
    <w:rsid w:val="008B63F1"/>
    <w:rsid w:val="008B663E"/>
    <w:rsid w:val="008B6762"/>
    <w:rsid w:val="008B6A6D"/>
    <w:rsid w:val="008B74D5"/>
    <w:rsid w:val="008B794A"/>
    <w:rsid w:val="008B7B59"/>
    <w:rsid w:val="008B7B92"/>
    <w:rsid w:val="008C004C"/>
    <w:rsid w:val="008C0555"/>
    <w:rsid w:val="008C0E16"/>
    <w:rsid w:val="008C17F0"/>
    <w:rsid w:val="008C17FD"/>
    <w:rsid w:val="008C1B7B"/>
    <w:rsid w:val="008C1ED4"/>
    <w:rsid w:val="008C2614"/>
    <w:rsid w:val="008C2C01"/>
    <w:rsid w:val="008C2E36"/>
    <w:rsid w:val="008C304A"/>
    <w:rsid w:val="008C3C05"/>
    <w:rsid w:val="008C403D"/>
    <w:rsid w:val="008C4145"/>
    <w:rsid w:val="008C4193"/>
    <w:rsid w:val="008C4E1D"/>
    <w:rsid w:val="008C4F44"/>
    <w:rsid w:val="008C516E"/>
    <w:rsid w:val="008C52EA"/>
    <w:rsid w:val="008C56C3"/>
    <w:rsid w:val="008C5877"/>
    <w:rsid w:val="008C5A2C"/>
    <w:rsid w:val="008C5BBB"/>
    <w:rsid w:val="008C6120"/>
    <w:rsid w:val="008C640E"/>
    <w:rsid w:val="008C6EFB"/>
    <w:rsid w:val="008C718A"/>
    <w:rsid w:val="008C71DF"/>
    <w:rsid w:val="008C72B3"/>
    <w:rsid w:val="008C7399"/>
    <w:rsid w:val="008C772E"/>
    <w:rsid w:val="008C7FD3"/>
    <w:rsid w:val="008D0081"/>
    <w:rsid w:val="008D05BC"/>
    <w:rsid w:val="008D09CF"/>
    <w:rsid w:val="008D0AF1"/>
    <w:rsid w:val="008D0CE4"/>
    <w:rsid w:val="008D1065"/>
    <w:rsid w:val="008D1460"/>
    <w:rsid w:val="008D1ACF"/>
    <w:rsid w:val="008D1BEE"/>
    <w:rsid w:val="008D2175"/>
    <w:rsid w:val="008D218F"/>
    <w:rsid w:val="008D23CB"/>
    <w:rsid w:val="008D2480"/>
    <w:rsid w:val="008D2A12"/>
    <w:rsid w:val="008D2A4C"/>
    <w:rsid w:val="008D2EAA"/>
    <w:rsid w:val="008D31A0"/>
    <w:rsid w:val="008D3389"/>
    <w:rsid w:val="008D34B7"/>
    <w:rsid w:val="008D34C7"/>
    <w:rsid w:val="008D34E9"/>
    <w:rsid w:val="008D360C"/>
    <w:rsid w:val="008D36E1"/>
    <w:rsid w:val="008D3774"/>
    <w:rsid w:val="008D3A3C"/>
    <w:rsid w:val="008D3D14"/>
    <w:rsid w:val="008D41AA"/>
    <w:rsid w:val="008D48FE"/>
    <w:rsid w:val="008D569E"/>
    <w:rsid w:val="008D57DB"/>
    <w:rsid w:val="008D57EE"/>
    <w:rsid w:val="008D5841"/>
    <w:rsid w:val="008D5B74"/>
    <w:rsid w:val="008D5BBF"/>
    <w:rsid w:val="008D6249"/>
    <w:rsid w:val="008D6E9C"/>
    <w:rsid w:val="008D7196"/>
    <w:rsid w:val="008D7B44"/>
    <w:rsid w:val="008D7B85"/>
    <w:rsid w:val="008D7BBB"/>
    <w:rsid w:val="008D7D55"/>
    <w:rsid w:val="008D7DE7"/>
    <w:rsid w:val="008E020F"/>
    <w:rsid w:val="008E0545"/>
    <w:rsid w:val="008E062C"/>
    <w:rsid w:val="008E079B"/>
    <w:rsid w:val="008E0846"/>
    <w:rsid w:val="008E0A76"/>
    <w:rsid w:val="008E0BDE"/>
    <w:rsid w:val="008E0CCC"/>
    <w:rsid w:val="008E0F06"/>
    <w:rsid w:val="008E1190"/>
    <w:rsid w:val="008E1319"/>
    <w:rsid w:val="008E15CE"/>
    <w:rsid w:val="008E1867"/>
    <w:rsid w:val="008E19B8"/>
    <w:rsid w:val="008E1D91"/>
    <w:rsid w:val="008E1F84"/>
    <w:rsid w:val="008E1FBD"/>
    <w:rsid w:val="008E204D"/>
    <w:rsid w:val="008E2093"/>
    <w:rsid w:val="008E2228"/>
    <w:rsid w:val="008E2586"/>
    <w:rsid w:val="008E32E7"/>
    <w:rsid w:val="008E3390"/>
    <w:rsid w:val="008E39B1"/>
    <w:rsid w:val="008E3ADD"/>
    <w:rsid w:val="008E3C6B"/>
    <w:rsid w:val="008E3CD2"/>
    <w:rsid w:val="008E3D7E"/>
    <w:rsid w:val="008E432C"/>
    <w:rsid w:val="008E43FA"/>
    <w:rsid w:val="008E48C3"/>
    <w:rsid w:val="008E4AD9"/>
    <w:rsid w:val="008E4B96"/>
    <w:rsid w:val="008E4BEC"/>
    <w:rsid w:val="008E4C4B"/>
    <w:rsid w:val="008E5484"/>
    <w:rsid w:val="008E5C38"/>
    <w:rsid w:val="008E5CA5"/>
    <w:rsid w:val="008E5F94"/>
    <w:rsid w:val="008E6286"/>
    <w:rsid w:val="008E65ED"/>
    <w:rsid w:val="008E6774"/>
    <w:rsid w:val="008E67DB"/>
    <w:rsid w:val="008E6A4D"/>
    <w:rsid w:val="008E70C0"/>
    <w:rsid w:val="008E7194"/>
    <w:rsid w:val="008E750A"/>
    <w:rsid w:val="008E751F"/>
    <w:rsid w:val="008E76A4"/>
    <w:rsid w:val="008E77E8"/>
    <w:rsid w:val="008E7A3D"/>
    <w:rsid w:val="008E7F25"/>
    <w:rsid w:val="008F0128"/>
    <w:rsid w:val="008F0291"/>
    <w:rsid w:val="008F03DB"/>
    <w:rsid w:val="008F0880"/>
    <w:rsid w:val="008F0F5C"/>
    <w:rsid w:val="008F188D"/>
    <w:rsid w:val="008F1ACB"/>
    <w:rsid w:val="008F221B"/>
    <w:rsid w:val="008F2559"/>
    <w:rsid w:val="008F2702"/>
    <w:rsid w:val="008F31AA"/>
    <w:rsid w:val="008F3428"/>
    <w:rsid w:val="008F38AB"/>
    <w:rsid w:val="008F3A36"/>
    <w:rsid w:val="008F3BFF"/>
    <w:rsid w:val="008F3D69"/>
    <w:rsid w:val="008F408B"/>
    <w:rsid w:val="008F460F"/>
    <w:rsid w:val="008F4653"/>
    <w:rsid w:val="008F47EE"/>
    <w:rsid w:val="008F4AB8"/>
    <w:rsid w:val="008F4D15"/>
    <w:rsid w:val="008F4F09"/>
    <w:rsid w:val="008F503F"/>
    <w:rsid w:val="008F51C5"/>
    <w:rsid w:val="008F527D"/>
    <w:rsid w:val="008F5599"/>
    <w:rsid w:val="008F5635"/>
    <w:rsid w:val="008F574F"/>
    <w:rsid w:val="008F580F"/>
    <w:rsid w:val="008F5E14"/>
    <w:rsid w:val="008F60E7"/>
    <w:rsid w:val="008F630F"/>
    <w:rsid w:val="008F67DD"/>
    <w:rsid w:val="008F6ABB"/>
    <w:rsid w:val="008F721A"/>
    <w:rsid w:val="008F775E"/>
    <w:rsid w:val="008F77E4"/>
    <w:rsid w:val="008F78B7"/>
    <w:rsid w:val="008F7CC9"/>
    <w:rsid w:val="008F7DE1"/>
    <w:rsid w:val="00900190"/>
    <w:rsid w:val="009013E5"/>
    <w:rsid w:val="00901817"/>
    <w:rsid w:val="00901F91"/>
    <w:rsid w:val="00902085"/>
    <w:rsid w:val="0090214A"/>
    <w:rsid w:val="0090244B"/>
    <w:rsid w:val="009025D2"/>
    <w:rsid w:val="0090282B"/>
    <w:rsid w:val="00902BFB"/>
    <w:rsid w:val="00902C88"/>
    <w:rsid w:val="00902E1F"/>
    <w:rsid w:val="00902F51"/>
    <w:rsid w:val="00903306"/>
    <w:rsid w:val="009034A5"/>
    <w:rsid w:val="0090392D"/>
    <w:rsid w:val="00904351"/>
    <w:rsid w:val="00904385"/>
    <w:rsid w:val="0090464E"/>
    <w:rsid w:val="009046DD"/>
    <w:rsid w:val="00904EF1"/>
    <w:rsid w:val="00904F7E"/>
    <w:rsid w:val="00905B75"/>
    <w:rsid w:val="00905C1F"/>
    <w:rsid w:val="009067A3"/>
    <w:rsid w:val="00906E90"/>
    <w:rsid w:val="00906FFB"/>
    <w:rsid w:val="00907459"/>
    <w:rsid w:val="009075D8"/>
    <w:rsid w:val="0090795A"/>
    <w:rsid w:val="00907BD5"/>
    <w:rsid w:val="00907BD8"/>
    <w:rsid w:val="00907FF8"/>
    <w:rsid w:val="00910098"/>
    <w:rsid w:val="009101B6"/>
    <w:rsid w:val="009101E9"/>
    <w:rsid w:val="00910912"/>
    <w:rsid w:val="00910AF5"/>
    <w:rsid w:val="00910FB0"/>
    <w:rsid w:val="00911431"/>
    <w:rsid w:val="0091147C"/>
    <w:rsid w:val="00911701"/>
    <w:rsid w:val="00911D26"/>
    <w:rsid w:val="00912730"/>
    <w:rsid w:val="009128C0"/>
    <w:rsid w:val="00912C8C"/>
    <w:rsid w:val="00912CE5"/>
    <w:rsid w:val="00913620"/>
    <w:rsid w:val="0091372A"/>
    <w:rsid w:val="00913E2A"/>
    <w:rsid w:val="0091413D"/>
    <w:rsid w:val="0091438F"/>
    <w:rsid w:val="00914841"/>
    <w:rsid w:val="009150ED"/>
    <w:rsid w:val="009153F9"/>
    <w:rsid w:val="0091544D"/>
    <w:rsid w:val="00915466"/>
    <w:rsid w:val="009154B0"/>
    <w:rsid w:val="00915629"/>
    <w:rsid w:val="009156E0"/>
    <w:rsid w:val="0091669A"/>
    <w:rsid w:val="00916751"/>
    <w:rsid w:val="00916B50"/>
    <w:rsid w:val="009170B0"/>
    <w:rsid w:val="00917307"/>
    <w:rsid w:val="00917772"/>
    <w:rsid w:val="00917B59"/>
    <w:rsid w:val="00917B71"/>
    <w:rsid w:val="00917C23"/>
    <w:rsid w:val="00917E55"/>
    <w:rsid w:val="00917F72"/>
    <w:rsid w:val="0092024D"/>
    <w:rsid w:val="00920313"/>
    <w:rsid w:val="00920911"/>
    <w:rsid w:val="00920BD2"/>
    <w:rsid w:val="00921301"/>
    <w:rsid w:val="0092181A"/>
    <w:rsid w:val="009218AC"/>
    <w:rsid w:val="0092199A"/>
    <w:rsid w:val="00921A21"/>
    <w:rsid w:val="00921AAE"/>
    <w:rsid w:val="00921B34"/>
    <w:rsid w:val="00921B68"/>
    <w:rsid w:val="00921F83"/>
    <w:rsid w:val="00922155"/>
    <w:rsid w:val="00922182"/>
    <w:rsid w:val="009223CA"/>
    <w:rsid w:val="00922409"/>
    <w:rsid w:val="00922453"/>
    <w:rsid w:val="009224C4"/>
    <w:rsid w:val="009224E4"/>
    <w:rsid w:val="0092285E"/>
    <w:rsid w:val="00922D28"/>
    <w:rsid w:val="00922D70"/>
    <w:rsid w:val="0092334C"/>
    <w:rsid w:val="00923688"/>
    <w:rsid w:val="009238AE"/>
    <w:rsid w:val="00923BA0"/>
    <w:rsid w:val="00923EB0"/>
    <w:rsid w:val="00924EF5"/>
    <w:rsid w:val="0092558D"/>
    <w:rsid w:val="0092595B"/>
    <w:rsid w:val="00925A90"/>
    <w:rsid w:val="00925AB6"/>
    <w:rsid w:val="00925C6A"/>
    <w:rsid w:val="009262C7"/>
    <w:rsid w:val="009262F2"/>
    <w:rsid w:val="00926B8B"/>
    <w:rsid w:val="00927420"/>
    <w:rsid w:val="00927C0C"/>
    <w:rsid w:val="00930011"/>
    <w:rsid w:val="00930069"/>
    <w:rsid w:val="00930201"/>
    <w:rsid w:val="0093087F"/>
    <w:rsid w:val="00930A55"/>
    <w:rsid w:val="00930ABB"/>
    <w:rsid w:val="00930E66"/>
    <w:rsid w:val="00930F07"/>
    <w:rsid w:val="0093105F"/>
    <w:rsid w:val="00931213"/>
    <w:rsid w:val="009312F0"/>
    <w:rsid w:val="00931446"/>
    <w:rsid w:val="00931840"/>
    <w:rsid w:val="009318B1"/>
    <w:rsid w:val="009318E9"/>
    <w:rsid w:val="00931C60"/>
    <w:rsid w:val="00931F34"/>
    <w:rsid w:val="00931F46"/>
    <w:rsid w:val="0093216B"/>
    <w:rsid w:val="009329C4"/>
    <w:rsid w:val="009331B2"/>
    <w:rsid w:val="00933F60"/>
    <w:rsid w:val="00934180"/>
    <w:rsid w:val="00934254"/>
    <w:rsid w:val="009342BA"/>
    <w:rsid w:val="009349F8"/>
    <w:rsid w:val="00934A4A"/>
    <w:rsid w:val="00934BF4"/>
    <w:rsid w:val="00934D49"/>
    <w:rsid w:val="0093526B"/>
    <w:rsid w:val="0093578F"/>
    <w:rsid w:val="009357ED"/>
    <w:rsid w:val="009360CD"/>
    <w:rsid w:val="00936393"/>
    <w:rsid w:val="009363AE"/>
    <w:rsid w:val="009365BB"/>
    <w:rsid w:val="00936757"/>
    <w:rsid w:val="00936893"/>
    <w:rsid w:val="00936937"/>
    <w:rsid w:val="00936A5D"/>
    <w:rsid w:val="00936C11"/>
    <w:rsid w:val="009371EE"/>
    <w:rsid w:val="009374A5"/>
    <w:rsid w:val="00937583"/>
    <w:rsid w:val="009375AA"/>
    <w:rsid w:val="009375FA"/>
    <w:rsid w:val="0093791D"/>
    <w:rsid w:val="00937B18"/>
    <w:rsid w:val="009403D2"/>
    <w:rsid w:val="00940B0B"/>
    <w:rsid w:val="00940CDE"/>
    <w:rsid w:val="0094108B"/>
    <w:rsid w:val="0094145D"/>
    <w:rsid w:val="009418BD"/>
    <w:rsid w:val="00941A56"/>
    <w:rsid w:val="00941DF0"/>
    <w:rsid w:val="00941E4D"/>
    <w:rsid w:val="00941FA2"/>
    <w:rsid w:val="00942209"/>
    <w:rsid w:val="00942572"/>
    <w:rsid w:val="0094264B"/>
    <w:rsid w:val="0094291F"/>
    <w:rsid w:val="009429E0"/>
    <w:rsid w:val="00942C1A"/>
    <w:rsid w:val="00942D43"/>
    <w:rsid w:val="0094310F"/>
    <w:rsid w:val="009432EB"/>
    <w:rsid w:val="00943306"/>
    <w:rsid w:val="00943491"/>
    <w:rsid w:val="009435E1"/>
    <w:rsid w:val="00943891"/>
    <w:rsid w:val="009439FD"/>
    <w:rsid w:val="00943F55"/>
    <w:rsid w:val="00944485"/>
    <w:rsid w:val="00944DFE"/>
    <w:rsid w:val="00944E28"/>
    <w:rsid w:val="00944E4E"/>
    <w:rsid w:val="00944F96"/>
    <w:rsid w:val="00945011"/>
    <w:rsid w:val="0094511E"/>
    <w:rsid w:val="00945125"/>
    <w:rsid w:val="00945341"/>
    <w:rsid w:val="009461A3"/>
    <w:rsid w:val="0094632B"/>
    <w:rsid w:val="009466A6"/>
    <w:rsid w:val="00946822"/>
    <w:rsid w:val="00946F29"/>
    <w:rsid w:val="009470BE"/>
    <w:rsid w:val="0094731E"/>
    <w:rsid w:val="009473E7"/>
    <w:rsid w:val="00947545"/>
    <w:rsid w:val="00947CB5"/>
    <w:rsid w:val="0095011D"/>
    <w:rsid w:val="00950155"/>
    <w:rsid w:val="00950370"/>
    <w:rsid w:val="009506B9"/>
    <w:rsid w:val="00950B95"/>
    <w:rsid w:val="00950CA9"/>
    <w:rsid w:val="00951049"/>
    <w:rsid w:val="0095115D"/>
    <w:rsid w:val="009513C3"/>
    <w:rsid w:val="0095165D"/>
    <w:rsid w:val="00951678"/>
    <w:rsid w:val="009518CE"/>
    <w:rsid w:val="009520E0"/>
    <w:rsid w:val="009521E5"/>
    <w:rsid w:val="009525B7"/>
    <w:rsid w:val="009527CA"/>
    <w:rsid w:val="00952BFF"/>
    <w:rsid w:val="00952F5D"/>
    <w:rsid w:val="00953032"/>
    <w:rsid w:val="00953142"/>
    <w:rsid w:val="009533DD"/>
    <w:rsid w:val="009533FF"/>
    <w:rsid w:val="009534D5"/>
    <w:rsid w:val="00954029"/>
    <w:rsid w:val="00954401"/>
    <w:rsid w:val="00954432"/>
    <w:rsid w:val="0095462F"/>
    <w:rsid w:val="009546D8"/>
    <w:rsid w:val="009547C0"/>
    <w:rsid w:val="00954A11"/>
    <w:rsid w:val="00955589"/>
    <w:rsid w:val="00955742"/>
    <w:rsid w:val="009561CA"/>
    <w:rsid w:val="00956489"/>
    <w:rsid w:val="0095649D"/>
    <w:rsid w:val="009565E4"/>
    <w:rsid w:val="009565EC"/>
    <w:rsid w:val="009570A3"/>
    <w:rsid w:val="00957421"/>
    <w:rsid w:val="009576C7"/>
    <w:rsid w:val="0095786C"/>
    <w:rsid w:val="00957A70"/>
    <w:rsid w:val="00957C9E"/>
    <w:rsid w:val="00960012"/>
    <w:rsid w:val="0096023D"/>
    <w:rsid w:val="009603FB"/>
    <w:rsid w:val="0096071E"/>
    <w:rsid w:val="0096075B"/>
    <w:rsid w:val="009609B0"/>
    <w:rsid w:val="00960B47"/>
    <w:rsid w:val="00960E47"/>
    <w:rsid w:val="0096150C"/>
    <w:rsid w:val="0096164E"/>
    <w:rsid w:val="00961970"/>
    <w:rsid w:val="00961A08"/>
    <w:rsid w:val="00961D7E"/>
    <w:rsid w:val="00961E77"/>
    <w:rsid w:val="009620D3"/>
    <w:rsid w:val="00962501"/>
    <w:rsid w:val="00962F3F"/>
    <w:rsid w:val="0096320D"/>
    <w:rsid w:val="00963D5E"/>
    <w:rsid w:val="00963E81"/>
    <w:rsid w:val="00963E8C"/>
    <w:rsid w:val="00963F4C"/>
    <w:rsid w:val="00964267"/>
    <w:rsid w:val="009643EF"/>
    <w:rsid w:val="009648BC"/>
    <w:rsid w:val="00964C0C"/>
    <w:rsid w:val="00964E25"/>
    <w:rsid w:val="00965166"/>
    <w:rsid w:val="0096520C"/>
    <w:rsid w:val="00965B38"/>
    <w:rsid w:val="00965B97"/>
    <w:rsid w:val="009660D3"/>
    <w:rsid w:val="009663E1"/>
    <w:rsid w:val="0096665E"/>
    <w:rsid w:val="00966949"/>
    <w:rsid w:val="00966950"/>
    <w:rsid w:val="00966A32"/>
    <w:rsid w:val="00966D32"/>
    <w:rsid w:val="00967156"/>
    <w:rsid w:val="009673B2"/>
    <w:rsid w:val="00967495"/>
    <w:rsid w:val="009676F6"/>
    <w:rsid w:val="00967766"/>
    <w:rsid w:val="009679F7"/>
    <w:rsid w:val="00967DEA"/>
    <w:rsid w:val="00967FE7"/>
    <w:rsid w:val="009700A8"/>
    <w:rsid w:val="00970180"/>
    <w:rsid w:val="00970257"/>
    <w:rsid w:val="009707C0"/>
    <w:rsid w:val="00970E11"/>
    <w:rsid w:val="00970F28"/>
    <w:rsid w:val="0097102B"/>
    <w:rsid w:val="00971080"/>
    <w:rsid w:val="009713EB"/>
    <w:rsid w:val="009719E3"/>
    <w:rsid w:val="00971B07"/>
    <w:rsid w:val="00971BDF"/>
    <w:rsid w:val="00971C83"/>
    <w:rsid w:val="0097206E"/>
    <w:rsid w:val="00972774"/>
    <w:rsid w:val="00972F30"/>
    <w:rsid w:val="00972FED"/>
    <w:rsid w:val="00973172"/>
    <w:rsid w:val="00973475"/>
    <w:rsid w:val="0097348B"/>
    <w:rsid w:val="009734EA"/>
    <w:rsid w:val="00973550"/>
    <w:rsid w:val="00973606"/>
    <w:rsid w:val="0097360D"/>
    <w:rsid w:val="009737D8"/>
    <w:rsid w:val="0097395A"/>
    <w:rsid w:val="009739CA"/>
    <w:rsid w:val="00973DEE"/>
    <w:rsid w:val="009740C7"/>
    <w:rsid w:val="00974483"/>
    <w:rsid w:val="00974512"/>
    <w:rsid w:val="0097479E"/>
    <w:rsid w:val="0097482F"/>
    <w:rsid w:val="00974B92"/>
    <w:rsid w:val="00974F74"/>
    <w:rsid w:val="00974FF2"/>
    <w:rsid w:val="0097522C"/>
    <w:rsid w:val="0097546F"/>
    <w:rsid w:val="009757A5"/>
    <w:rsid w:val="009758E8"/>
    <w:rsid w:val="00975DA4"/>
    <w:rsid w:val="0097607F"/>
    <w:rsid w:val="009764EB"/>
    <w:rsid w:val="00976572"/>
    <w:rsid w:val="00976C45"/>
    <w:rsid w:val="00976D61"/>
    <w:rsid w:val="00976FF6"/>
    <w:rsid w:val="009770FE"/>
    <w:rsid w:val="00977F8C"/>
    <w:rsid w:val="00980026"/>
    <w:rsid w:val="009802A7"/>
    <w:rsid w:val="00980729"/>
    <w:rsid w:val="00980C4C"/>
    <w:rsid w:val="00980CB0"/>
    <w:rsid w:val="00980DC3"/>
    <w:rsid w:val="00981083"/>
    <w:rsid w:val="00981101"/>
    <w:rsid w:val="00981149"/>
    <w:rsid w:val="009811B2"/>
    <w:rsid w:val="0098149F"/>
    <w:rsid w:val="009815E6"/>
    <w:rsid w:val="00981A4C"/>
    <w:rsid w:val="00982186"/>
    <w:rsid w:val="009825C8"/>
    <w:rsid w:val="00982D96"/>
    <w:rsid w:val="00982ED3"/>
    <w:rsid w:val="00983065"/>
    <w:rsid w:val="00983438"/>
    <w:rsid w:val="009839CA"/>
    <w:rsid w:val="00983CD0"/>
    <w:rsid w:val="00983F6F"/>
    <w:rsid w:val="00983F91"/>
    <w:rsid w:val="009841F8"/>
    <w:rsid w:val="00984365"/>
    <w:rsid w:val="009844B1"/>
    <w:rsid w:val="00984576"/>
    <w:rsid w:val="00984D64"/>
    <w:rsid w:val="00984DAC"/>
    <w:rsid w:val="00984F03"/>
    <w:rsid w:val="00985D07"/>
    <w:rsid w:val="00985D9D"/>
    <w:rsid w:val="00985F8C"/>
    <w:rsid w:val="00986559"/>
    <w:rsid w:val="00986602"/>
    <w:rsid w:val="00986B67"/>
    <w:rsid w:val="00986F6A"/>
    <w:rsid w:val="0098712D"/>
    <w:rsid w:val="0098714E"/>
    <w:rsid w:val="009872D2"/>
    <w:rsid w:val="009874C9"/>
    <w:rsid w:val="009877AB"/>
    <w:rsid w:val="00987E76"/>
    <w:rsid w:val="009903A4"/>
    <w:rsid w:val="009903BE"/>
    <w:rsid w:val="009906A2"/>
    <w:rsid w:val="009906CB"/>
    <w:rsid w:val="00990957"/>
    <w:rsid w:val="00990B83"/>
    <w:rsid w:val="00990EFE"/>
    <w:rsid w:val="00990F41"/>
    <w:rsid w:val="00991349"/>
    <w:rsid w:val="009914E8"/>
    <w:rsid w:val="009919C7"/>
    <w:rsid w:val="00991C33"/>
    <w:rsid w:val="009920A1"/>
    <w:rsid w:val="00992187"/>
    <w:rsid w:val="00992346"/>
    <w:rsid w:val="00992E49"/>
    <w:rsid w:val="009935F1"/>
    <w:rsid w:val="009936BE"/>
    <w:rsid w:val="00993A27"/>
    <w:rsid w:val="00993C88"/>
    <w:rsid w:val="00994312"/>
    <w:rsid w:val="009946BA"/>
    <w:rsid w:val="00994757"/>
    <w:rsid w:val="0099488A"/>
    <w:rsid w:val="009948AC"/>
    <w:rsid w:val="009956BB"/>
    <w:rsid w:val="00995DB0"/>
    <w:rsid w:val="00995E40"/>
    <w:rsid w:val="009968AA"/>
    <w:rsid w:val="00996BFB"/>
    <w:rsid w:val="00996DF3"/>
    <w:rsid w:val="00996F4F"/>
    <w:rsid w:val="00996FBC"/>
    <w:rsid w:val="009974B7"/>
    <w:rsid w:val="009976F8"/>
    <w:rsid w:val="00997B0A"/>
    <w:rsid w:val="00997C98"/>
    <w:rsid w:val="00997FAA"/>
    <w:rsid w:val="009A08E6"/>
    <w:rsid w:val="009A0944"/>
    <w:rsid w:val="009A09CB"/>
    <w:rsid w:val="009A0C42"/>
    <w:rsid w:val="009A150C"/>
    <w:rsid w:val="009A1A17"/>
    <w:rsid w:val="009A1C0D"/>
    <w:rsid w:val="009A1F5F"/>
    <w:rsid w:val="009A23CC"/>
    <w:rsid w:val="009A282D"/>
    <w:rsid w:val="009A2851"/>
    <w:rsid w:val="009A29D9"/>
    <w:rsid w:val="009A2C51"/>
    <w:rsid w:val="009A2C8C"/>
    <w:rsid w:val="009A2CB5"/>
    <w:rsid w:val="009A2E73"/>
    <w:rsid w:val="009A2FE3"/>
    <w:rsid w:val="009A3556"/>
    <w:rsid w:val="009A36EB"/>
    <w:rsid w:val="009A398A"/>
    <w:rsid w:val="009A3AEC"/>
    <w:rsid w:val="009A3CFC"/>
    <w:rsid w:val="009A4184"/>
    <w:rsid w:val="009A43E7"/>
    <w:rsid w:val="009A4494"/>
    <w:rsid w:val="009A46DB"/>
    <w:rsid w:val="009A4793"/>
    <w:rsid w:val="009A47F2"/>
    <w:rsid w:val="009A4BDF"/>
    <w:rsid w:val="009A4DCC"/>
    <w:rsid w:val="009A4F15"/>
    <w:rsid w:val="009A521F"/>
    <w:rsid w:val="009A5527"/>
    <w:rsid w:val="009A5639"/>
    <w:rsid w:val="009A5D53"/>
    <w:rsid w:val="009A6F24"/>
    <w:rsid w:val="009A750C"/>
    <w:rsid w:val="009A7D75"/>
    <w:rsid w:val="009B03FA"/>
    <w:rsid w:val="009B08AE"/>
    <w:rsid w:val="009B0DA9"/>
    <w:rsid w:val="009B0F70"/>
    <w:rsid w:val="009B0F93"/>
    <w:rsid w:val="009B1566"/>
    <w:rsid w:val="009B171C"/>
    <w:rsid w:val="009B18CA"/>
    <w:rsid w:val="009B1E44"/>
    <w:rsid w:val="009B1EFD"/>
    <w:rsid w:val="009B2106"/>
    <w:rsid w:val="009B2A2C"/>
    <w:rsid w:val="009B3014"/>
    <w:rsid w:val="009B319A"/>
    <w:rsid w:val="009B3887"/>
    <w:rsid w:val="009B43FB"/>
    <w:rsid w:val="009B48B9"/>
    <w:rsid w:val="009B4A2A"/>
    <w:rsid w:val="009B4C45"/>
    <w:rsid w:val="009B4F3A"/>
    <w:rsid w:val="009B504E"/>
    <w:rsid w:val="009B5183"/>
    <w:rsid w:val="009B54F2"/>
    <w:rsid w:val="009B5722"/>
    <w:rsid w:val="009B5906"/>
    <w:rsid w:val="009B5AEE"/>
    <w:rsid w:val="009B5AF6"/>
    <w:rsid w:val="009B64EB"/>
    <w:rsid w:val="009B6573"/>
    <w:rsid w:val="009B683D"/>
    <w:rsid w:val="009B6A56"/>
    <w:rsid w:val="009B6AFE"/>
    <w:rsid w:val="009B6B66"/>
    <w:rsid w:val="009B6F6E"/>
    <w:rsid w:val="009B74FA"/>
    <w:rsid w:val="009B75B3"/>
    <w:rsid w:val="009B77D1"/>
    <w:rsid w:val="009B7AA8"/>
    <w:rsid w:val="009B7E06"/>
    <w:rsid w:val="009C00C6"/>
    <w:rsid w:val="009C0304"/>
    <w:rsid w:val="009C0453"/>
    <w:rsid w:val="009C06BC"/>
    <w:rsid w:val="009C0A32"/>
    <w:rsid w:val="009C0D82"/>
    <w:rsid w:val="009C12C1"/>
    <w:rsid w:val="009C1448"/>
    <w:rsid w:val="009C1611"/>
    <w:rsid w:val="009C166F"/>
    <w:rsid w:val="009C1746"/>
    <w:rsid w:val="009C1892"/>
    <w:rsid w:val="009C18B6"/>
    <w:rsid w:val="009C1D17"/>
    <w:rsid w:val="009C208B"/>
    <w:rsid w:val="009C214A"/>
    <w:rsid w:val="009C25BA"/>
    <w:rsid w:val="009C2D33"/>
    <w:rsid w:val="009C30F3"/>
    <w:rsid w:val="009C3156"/>
    <w:rsid w:val="009C360D"/>
    <w:rsid w:val="009C3845"/>
    <w:rsid w:val="009C39F4"/>
    <w:rsid w:val="009C3D5F"/>
    <w:rsid w:val="009C3F19"/>
    <w:rsid w:val="009C43D8"/>
    <w:rsid w:val="009C494A"/>
    <w:rsid w:val="009C49F5"/>
    <w:rsid w:val="009C4CEF"/>
    <w:rsid w:val="009C4F85"/>
    <w:rsid w:val="009C51F7"/>
    <w:rsid w:val="009C5208"/>
    <w:rsid w:val="009C58FD"/>
    <w:rsid w:val="009C61DE"/>
    <w:rsid w:val="009C62CA"/>
    <w:rsid w:val="009C6801"/>
    <w:rsid w:val="009C6930"/>
    <w:rsid w:val="009C79C6"/>
    <w:rsid w:val="009C7A5C"/>
    <w:rsid w:val="009C7DC4"/>
    <w:rsid w:val="009D0066"/>
    <w:rsid w:val="009D012A"/>
    <w:rsid w:val="009D02BD"/>
    <w:rsid w:val="009D0632"/>
    <w:rsid w:val="009D067F"/>
    <w:rsid w:val="009D0836"/>
    <w:rsid w:val="009D0DE2"/>
    <w:rsid w:val="009D0DF3"/>
    <w:rsid w:val="009D0E11"/>
    <w:rsid w:val="009D0E79"/>
    <w:rsid w:val="009D201F"/>
    <w:rsid w:val="009D2348"/>
    <w:rsid w:val="009D24E4"/>
    <w:rsid w:val="009D2547"/>
    <w:rsid w:val="009D2D6B"/>
    <w:rsid w:val="009D2D90"/>
    <w:rsid w:val="009D3466"/>
    <w:rsid w:val="009D35D4"/>
    <w:rsid w:val="009D384A"/>
    <w:rsid w:val="009D3AFA"/>
    <w:rsid w:val="009D4196"/>
    <w:rsid w:val="009D430C"/>
    <w:rsid w:val="009D4320"/>
    <w:rsid w:val="009D4360"/>
    <w:rsid w:val="009D486D"/>
    <w:rsid w:val="009D4BC3"/>
    <w:rsid w:val="009D501A"/>
    <w:rsid w:val="009D51B3"/>
    <w:rsid w:val="009D538B"/>
    <w:rsid w:val="009D57D4"/>
    <w:rsid w:val="009D5C31"/>
    <w:rsid w:val="009D6027"/>
    <w:rsid w:val="009D61E1"/>
    <w:rsid w:val="009D6238"/>
    <w:rsid w:val="009D6432"/>
    <w:rsid w:val="009D66CB"/>
    <w:rsid w:val="009D6B9E"/>
    <w:rsid w:val="009D6D38"/>
    <w:rsid w:val="009D6EFB"/>
    <w:rsid w:val="009D6FA3"/>
    <w:rsid w:val="009D7679"/>
    <w:rsid w:val="009D7B22"/>
    <w:rsid w:val="009D7E51"/>
    <w:rsid w:val="009E0E93"/>
    <w:rsid w:val="009E14A3"/>
    <w:rsid w:val="009E18C1"/>
    <w:rsid w:val="009E19B6"/>
    <w:rsid w:val="009E1EBF"/>
    <w:rsid w:val="009E270A"/>
    <w:rsid w:val="009E2926"/>
    <w:rsid w:val="009E2A92"/>
    <w:rsid w:val="009E2F65"/>
    <w:rsid w:val="009E3228"/>
    <w:rsid w:val="009E38E3"/>
    <w:rsid w:val="009E3A80"/>
    <w:rsid w:val="009E3DDC"/>
    <w:rsid w:val="009E4408"/>
    <w:rsid w:val="009E5113"/>
    <w:rsid w:val="009E5449"/>
    <w:rsid w:val="009E56B6"/>
    <w:rsid w:val="009E5A57"/>
    <w:rsid w:val="009E5C75"/>
    <w:rsid w:val="009E5D59"/>
    <w:rsid w:val="009E654E"/>
    <w:rsid w:val="009E6836"/>
    <w:rsid w:val="009E6D26"/>
    <w:rsid w:val="009E6E3D"/>
    <w:rsid w:val="009E714A"/>
    <w:rsid w:val="009E7172"/>
    <w:rsid w:val="009E777E"/>
    <w:rsid w:val="009E7794"/>
    <w:rsid w:val="009E79A1"/>
    <w:rsid w:val="009E7B79"/>
    <w:rsid w:val="009E7C9E"/>
    <w:rsid w:val="009F0AF5"/>
    <w:rsid w:val="009F0E74"/>
    <w:rsid w:val="009F13DF"/>
    <w:rsid w:val="009F1E5B"/>
    <w:rsid w:val="009F1ECF"/>
    <w:rsid w:val="009F1F14"/>
    <w:rsid w:val="009F252C"/>
    <w:rsid w:val="009F263F"/>
    <w:rsid w:val="009F2BA4"/>
    <w:rsid w:val="009F2E18"/>
    <w:rsid w:val="009F307F"/>
    <w:rsid w:val="009F3DB6"/>
    <w:rsid w:val="009F403C"/>
    <w:rsid w:val="009F4A18"/>
    <w:rsid w:val="009F4B16"/>
    <w:rsid w:val="009F4B21"/>
    <w:rsid w:val="009F4E0B"/>
    <w:rsid w:val="009F4F6C"/>
    <w:rsid w:val="009F5053"/>
    <w:rsid w:val="009F529C"/>
    <w:rsid w:val="009F52CC"/>
    <w:rsid w:val="009F52F3"/>
    <w:rsid w:val="009F56F8"/>
    <w:rsid w:val="009F57D2"/>
    <w:rsid w:val="009F59EF"/>
    <w:rsid w:val="009F5B2C"/>
    <w:rsid w:val="009F5E1D"/>
    <w:rsid w:val="009F631C"/>
    <w:rsid w:val="009F653A"/>
    <w:rsid w:val="009F68C8"/>
    <w:rsid w:val="009F6BC1"/>
    <w:rsid w:val="009F6F8E"/>
    <w:rsid w:val="009F70AA"/>
    <w:rsid w:val="009F739C"/>
    <w:rsid w:val="009F74D9"/>
    <w:rsid w:val="009F78F3"/>
    <w:rsid w:val="009F7AC4"/>
    <w:rsid w:val="009F7C39"/>
    <w:rsid w:val="009F7D26"/>
    <w:rsid w:val="009F7FFB"/>
    <w:rsid w:val="00A00970"/>
    <w:rsid w:val="00A00A43"/>
    <w:rsid w:val="00A00AF1"/>
    <w:rsid w:val="00A00D10"/>
    <w:rsid w:val="00A01254"/>
    <w:rsid w:val="00A013F5"/>
    <w:rsid w:val="00A014F5"/>
    <w:rsid w:val="00A01512"/>
    <w:rsid w:val="00A017D9"/>
    <w:rsid w:val="00A018BD"/>
    <w:rsid w:val="00A01943"/>
    <w:rsid w:val="00A01C18"/>
    <w:rsid w:val="00A01D46"/>
    <w:rsid w:val="00A02052"/>
    <w:rsid w:val="00A02375"/>
    <w:rsid w:val="00A024C5"/>
    <w:rsid w:val="00A02EFA"/>
    <w:rsid w:val="00A031A4"/>
    <w:rsid w:val="00A0343A"/>
    <w:rsid w:val="00A036D0"/>
    <w:rsid w:val="00A038C0"/>
    <w:rsid w:val="00A03AF7"/>
    <w:rsid w:val="00A03D00"/>
    <w:rsid w:val="00A03F0D"/>
    <w:rsid w:val="00A0400E"/>
    <w:rsid w:val="00A0407C"/>
    <w:rsid w:val="00A040D1"/>
    <w:rsid w:val="00A04620"/>
    <w:rsid w:val="00A048E2"/>
    <w:rsid w:val="00A04C23"/>
    <w:rsid w:val="00A052D5"/>
    <w:rsid w:val="00A053F0"/>
    <w:rsid w:val="00A054DB"/>
    <w:rsid w:val="00A0562F"/>
    <w:rsid w:val="00A056CD"/>
    <w:rsid w:val="00A05A7A"/>
    <w:rsid w:val="00A05D7B"/>
    <w:rsid w:val="00A05EC4"/>
    <w:rsid w:val="00A06030"/>
    <w:rsid w:val="00A065D6"/>
    <w:rsid w:val="00A06C9B"/>
    <w:rsid w:val="00A06E59"/>
    <w:rsid w:val="00A06E76"/>
    <w:rsid w:val="00A07767"/>
    <w:rsid w:val="00A077A4"/>
    <w:rsid w:val="00A07ACA"/>
    <w:rsid w:val="00A07B6B"/>
    <w:rsid w:val="00A07E36"/>
    <w:rsid w:val="00A07F43"/>
    <w:rsid w:val="00A07FA9"/>
    <w:rsid w:val="00A106C3"/>
    <w:rsid w:val="00A1091D"/>
    <w:rsid w:val="00A109E9"/>
    <w:rsid w:val="00A10AD6"/>
    <w:rsid w:val="00A112E3"/>
    <w:rsid w:val="00A11346"/>
    <w:rsid w:val="00A113FF"/>
    <w:rsid w:val="00A1159E"/>
    <w:rsid w:val="00A11A0F"/>
    <w:rsid w:val="00A11DAF"/>
    <w:rsid w:val="00A11E97"/>
    <w:rsid w:val="00A12332"/>
    <w:rsid w:val="00A12764"/>
    <w:rsid w:val="00A128DA"/>
    <w:rsid w:val="00A128F3"/>
    <w:rsid w:val="00A12A78"/>
    <w:rsid w:val="00A12DD7"/>
    <w:rsid w:val="00A12F5C"/>
    <w:rsid w:val="00A13755"/>
    <w:rsid w:val="00A13A74"/>
    <w:rsid w:val="00A13DEB"/>
    <w:rsid w:val="00A141C7"/>
    <w:rsid w:val="00A145BC"/>
    <w:rsid w:val="00A14633"/>
    <w:rsid w:val="00A1491C"/>
    <w:rsid w:val="00A14E19"/>
    <w:rsid w:val="00A156B1"/>
    <w:rsid w:val="00A15BF9"/>
    <w:rsid w:val="00A16024"/>
    <w:rsid w:val="00A16398"/>
    <w:rsid w:val="00A1641B"/>
    <w:rsid w:val="00A16563"/>
    <w:rsid w:val="00A16724"/>
    <w:rsid w:val="00A1712A"/>
    <w:rsid w:val="00A1719E"/>
    <w:rsid w:val="00A17870"/>
    <w:rsid w:val="00A17FF0"/>
    <w:rsid w:val="00A200E3"/>
    <w:rsid w:val="00A206B4"/>
    <w:rsid w:val="00A2096E"/>
    <w:rsid w:val="00A20C24"/>
    <w:rsid w:val="00A21719"/>
    <w:rsid w:val="00A21ABA"/>
    <w:rsid w:val="00A21B7A"/>
    <w:rsid w:val="00A21E3B"/>
    <w:rsid w:val="00A21F4C"/>
    <w:rsid w:val="00A22011"/>
    <w:rsid w:val="00A22778"/>
    <w:rsid w:val="00A22D63"/>
    <w:rsid w:val="00A22F31"/>
    <w:rsid w:val="00A234D5"/>
    <w:rsid w:val="00A2366B"/>
    <w:rsid w:val="00A2372A"/>
    <w:rsid w:val="00A23EC9"/>
    <w:rsid w:val="00A242FD"/>
    <w:rsid w:val="00A24595"/>
    <w:rsid w:val="00A24A69"/>
    <w:rsid w:val="00A24F88"/>
    <w:rsid w:val="00A25162"/>
    <w:rsid w:val="00A25670"/>
    <w:rsid w:val="00A25702"/>
    <w:rsid w:val="00A258AF"/>
    <w:rsid w:val="00A2593F"/>
    <w:rsid w:val="00A25A50"/>
    <w:rsid w:val="00A25AC4"/>
    <w:rsid w:val="00A25AE9"/>
    <w:rsid w:val="00A25B1A"/>
    <w:rsid w:val="00A25E72"/>
    <w:rsid w:val="00A25F65"/>
    <w:rsid w:val="00A26160"/>
    <w:rsid w:val="00A26350"/>
    <w:rsid w:val="00A263C0"/>
    <w:rsid w:val="00A26673"/>
    <w:rsid w:val="00A26783"/>
    <w:rsid w:val="00A2698A"/>
    <w:rsid w:val="00A26A5A"/>
    <w:rsid w:val="00A26AB1"/>
    <w:rsid w:val="00A26E14"/>
    <w:rsid w:val="00A27196"/>
    <w:rsid w:val="00A27654"/>
    <w:rsid w:val="00A27B2F"/>
    <w:rsid w:val="00A30263"/>
    <w:rsid w:val="00A30530"/>
    <w:rsid w:val="00A30997"/>
    <w:rsid w:val="00A309FD"/>
    <w:rsid w:val="00A30A4F"/>
    <w:rsid w:val="00A30B50"/>
    <w:rsid w:val="00A30EB7"/>
    <w:rsid w:val="00A317A3"/>
    <w:rsid w:val="00A31CEA"/>
    <w:rsid w:val="00A32923"/>
    <w:rsid w:val="00A32B30"/>
    <w:rsid w:val="00A32BCA"/>
    <w:rsid w:val="00A32DE0"/>
    <w:rsid w:val="00A331A8"/>
    <w:rsid w:val="00A332B2"/>
    <w:rsid w:val="00A335E9"/>
    <w:rsid w:val="00A3362E"/>
    <w:rsid w:val="00A339D9"/>
    <w:rsid w:val="00A33A40"/>
    <w:rsid w:val="00A33E87"/>
    <w:rsid w:val="00A33F6A"/>
    <w:rsid w:val="00A3420D"/>
    <w:rsid w:val="00A3447F"/>
    <w:rsid w:val="00A347B2"/>
    <w:rsid w:val="00A349C3"/>
    <w:rsid w:val="00A34D3C"/>
    <w:rsid w:val="00A34D61"/>
    <w:rsid w:val="00A35424"/>
    <w:rsid w:val="00A3556D"/>
    <w:rsid w:val="00A35575"/>
    <w:rsid w:val="00A356CD"/>
    <w:rsid w:val="00A3583D"/>
    <w:rsid w:val="00A35841"/>
    <w:rsid w:val="00A35C94"/>
    <w:rsid w:val="00A35E25"/>
    <w:rsid w:val="00A35E44"/>
    <w:rsid w:val="00A35E73"/>
    <w:rsid w:val="00A36482"/>
    <w:rsid w:val="00A36773"/>
    <w:rsid w:val="00A367F1"/>
    <w:rsid w:val="00A36A7C"/>
    <w:rsid w:val="00A36FD1"/>
    <w:rsid w:val="00A3727D"/>
    <w:rsid w:val="00A3783A"/>
    <w:rsid w:val="00A37F99"/>
    <w:rsid w:val="00A40094"/>
    <w:rsid w:val="00A40883"/>
    <w:rsid w:val="00A408D1"/>
    <w:rsid w:val="00A40AD6"/>
    <w:rsid w:val="00A40B5C"/>
    <w:rsid w:val="00A40F4D"/>
    <w:rsid w:val="00A414E0"/>
    <w:rsid w:val="00A41A91"/>
    <w:rsid w:val="00A41AC0"/>
    <w:rsid w:val="00A41B00"/>
    <w:rsid w:val="00A41DB3"/>
    <w:rsid w:val="00A41F10"/>
    <w:rsid w:val="00A421FC"/>
    <w:rsid w:val="00A4229D"/>
    <w:rsid w:val="00A426D3"/>
    <w:rsid w:val="00A427D9"/>
    <w:rsid w:val="00A427DF"/>
    <w:rsid w:val="00A42DF8"/>
    <w:rsid w:val="00A42E57"/>
    <w:rsid w:val="00A433E7"/>
    <w:rsid w:val="00A43926"/>
    <w:rsid w:val="00A4394C"/>
    <w:rsid w:val="00A43F19"/>
    <w:rsid w:val="00A4436A"/>
    <w:rsid w:val="00A44F53"/>
    <w:rsid w:val="00A4524F"/>
    <w:rsid w:val="00A4550D"/>
    <w:rsid w:val="00A458CF"/>
    <w:rsid w:val="00A45985"/>
    <w:rsid w:val="00A459B1"/>
    <w:rsid w:val="00A45A93"/>
    <w:rsid w:val="00A45ED3"/>
    <w:rsid w:val="00A464E3"/>
    <w:rsid w:val="00A4670A"/>
    <w:rsid w:val="00A46AC5"/>
    <w:rsid w:val="00A46B3C"/>
    <w:rsid w:val="00A46F29"/>
    <w:rsid w:val="00A474F7"/>
    <w:rsid w:val="00A475FB"/>
    <w:rsid w:val="00A479F4"/>
    <w:rsid w:val="00A47CAD"/>
    <w:rsid w:val="00A500D2"/>
    <w:rsid w:val="00A501B6"/>
    <w:rsid w:val="00A50224"/>
    <w:rsid w:val="00A506ED"/>
    <w:rsid w:val="00A508D9"/>
    <w:rsid w:val="00A50A13"/>
    <w:rsid w:val="00A50BDD"/>
    <w:rsid w:val="00A51224"/>
    <w:rsid w:val="00A51479"/>
    <w:rsid w:val="00A5151E"/>
    <w:rsid w:val="00A516AC"/>
    <w:rsid w:val="00A51868"/>
    <w:rsid w:val="00A519DA"/>
    <w:rsid w:val="00A51C47"/>
    <w:rsid w:val="00A51C71"/>
    <w:rsid w:val="00A51FAB"/>
    <w:rsid w:val="00A52219"/>
    <w:rsid w:val="00A525CD"/>
    <w:rsid w:val="00A52A5B"/>
    <w:rsid w:val="00A52CBD"/>
    <w:rsid w:val="00A52F48"/>
    <w:rsid w:val="00A53BA5"/>
    <w:rsid w:val="00A53CC1"/>
    <w:rsid w:val="00A54544"/>
    <w:rsid w:val="00A5478E"/>
    <w:rsid w:val="00A54835"/>
    <w:rsid w:val="00A54943"/>
    <w:rsid w:val="00A54E8D"/>
    <w:rsid w:val="00A557B6"/>
    <w:rsid w:val="00A55AF7"/>
    <w:rsid w:val="00A56674"/>
    <w:rsid w:val="00A56BC2"/>
    <w:rsid w:val="00A57296"/>
    <w:rsid w:val="00A57741"/>
    <w:rsid w:val="00A577C5"/>
    <w:rsid w:val="00A57A66"/>
    <w:rsid w:val="00A60154"/>
    <w:rsid w:val="00A602AF"/>
    <w:rsid w:val="00A6039C"/>
    <w:rsid w:val="00A60C2C"/>
    <w:rsid w:val="00A6132C"/>
    <w:rsid w:val="00A613EE"/>
    <w:rsid w:val="00A614BD"/>
    <w:rsid w:val="00A617F3"/>
    <w:rsid w:val="00A61A5D"/>
    <w:rsid w:val="00A61D3A"/>
    <w:rsid w:val="00A61DCA"/>
    <w:rsid w:val="00A61EA0"/>
    <w:rsid w:val="00A62230"/>
    <w:rsid w:val="00A623CA"/>
    <w:rsid w:val="00A62B61"/>
    <w:rsid w:val="00A6317C"/>
    <w:rsid w:val="00A63A0E"/>
    <w:rsid w:val="00A63BC1"/>
    <w:rsid w:val="00A63F1A"/>
    <w:rsid w:val="00A6403F"/>
    <w:rsid w:val="00A640DA"/>
    <w:rsid w:val="00A6412C"/>
    <w:rsid w:val="00A641ED"/>
    <w:rsid w:val="00A64398"/>
    <w:rsid w:val="00A6459A"/>
    <w:rsid w:val="00A64840"/>
    <w:rsid w:val="00A64C1D"/>
    <w:rsid w:val="00A64D04"/>
    <w:rsid w:val="00A64F0E"/>
    <w:rsid w:val="00A653D7"/>
    <w:rsid w:val="00A6570F"/>
    <w:rsid w:val="00A65759"/>
    <w:rsid w:val="00A65BBE"/>
    <w:rsid w:val="00A65CFF"/>
    <w:rsid w:val="00A66011"/>
    <w:rsid w:val="00A66021"/>
    <w:rsid w:val="00A6628A"/>
    <w:rsid w:val="00A6633B"/>
    <w:rsid w:val="00A664DE"/>
    <w:rsid w:val="00A666A3"/>
    <w:rsid w:val="00A67135"/>
    <w:rsid w:val="00A67A2C"/>
    <w:rsid w:val="00A67F5E"/>
    <w:rsid w:val="00A702AF"/>
    <w:rsid w:val="00A70845"/>
    <w:rsid w:val="00A70A01"/>
    <w:rsid w:val="00A70D7B"/>
    <w:rsid w:val="00A7118C"/>
    <w:rsid w:val="00A71761"/>
    <w:rsid w:val="00A71C78"/>
    <w:rsid w:val="00A72307"/>
    <w:rsid w:val="00A723ED"/>
    <w:rsid w:val="00A724E5"/>
    <w:rsid w:val="00A72827"/>
    <w:rsid w:val="00A7311E"/>
    <w:rsid w:val="00A732BB"/>
    <w:rsid w:val="00A73418"/>
    <w:rsid w:val="00A737F2"/>
    <w:rsid w:val="00A73AF2"/>
    <w:rsid w:val="00A73FA0"/>
    <w:rsid w:val="00A74235"/>
    <w:rsid w:val="00A7490D"/>
    <w:rsid w:val="00A7497C"/>
    <w:rsid w:val="00A749F1"/>
    <w:rsid w:val="00A74A2F"/>
    <w:rsid w:val="00A74AD9"/>
    <w:rsid w:val="00A74C8F"/>
    <w:rsid w:val="00A74D3A"/>
    <w:rsid w:val="00A74E4D"/>
    <w:rsid w:val="00A74F6B"/>
    <w:rsid w:val="00A75063"/>
    <w:rsid w:val="00A750D7"/>
    <w:rsid w:val="00A75C0D"/>
    <w:rsid w:val="00A76312"/>
    <w:rsid w:val="00A764CD"/>
    <w:rsid w:val="00A76603"/>
    <w:rsid w:val="00A767EE"/>
    <w:rsid w:val="00A8001D"/>
    <w:rsid w:val="00A80F16"/>
    <w:rsid w:val="00A80FDF"/>
    <w:rsid w:val="00A81028"/>
    <w:rsid w:val="00A811C0"/>
    <w:rsid w:val="00A813D6"/>
    <w:rsid w:val="00A81510"/>
    <w:rsid w:val="00A81523"/>
    <w:rsid w:val="00A819FB"/>
    <w:rsid w:val="00A81E1A"/>
    <w:rsid w:val="00A81F60"/>
    <w:rsid w:val="00A821FA"/>
    <w:rsid w:val="00A82A9E"/>
    <w:rsid w:val="00A82C39"/>
    <w:rsid w:val="00A82F5D"/>
    <w:rsid w:val="00A8322E"/>
    <w:rsid w:val="00A836E2"/>
    <w:rsid w:val="00A83AAD"/>
    <w:rsid w:val="00A83CC4"/>
    <w:rsid w:val="00A83D20"/>
    <w:rsid w:val="00A847A6"/>
    <w:rsid w:val="00A84C86"/>
    <w:rsid w:val="00A84FF4"/>
    <w:rsid w:val="00A8508E"/>
    <w:rsid w:val="00A85175"/>
    <w:rsid w:val="00A85226"/>
    <w:rsid w:val="00A857B6"/>
    <w:rsid w:val="00A85D28"/>
    <w:rsid w:val="00A85D56"/>
    <w:rsid w:val="00A86167"/>
    <w:rsid w:val="00A86254"/>
    <w:rsid w:val="00A867F4"/>
    <w:rsid w:val="00A86B1E"/>
    <w:rsid w:val="00A86E5A"/>
    <w:rsid w:val="00A8713B"/>
    <w:rsid w:val="00A871F3"/>
    <w:rsid w:val="00A87DC2"/>
    <w:rsid w:val="00A90662"/>
    <w:rsid w:val="00A90703"/>
    <w:rsid w:val="00A907A6"/>
    <w:rsid w:val="00A908E0"/>
    <w:rsid w:val="00A90AB0"/>
    <w:rsid w:val="00A90D73"/>
    <w:rsid w:val="00A91452"/>
    <w:rsid w:val="00A91D02"/>
    <w:rsid w:val="00A92A69"/>
    <w:rsid w:val="00A92FA8"/>
    <w:rsid w:val="00A93210"/>
    <w:rsid w:val="00A93662"/>
    <w:rsid w:val="00A93810"/>
    <w:rsid w:val="00A9394D"/>
    <w:rsid w:val="00A93B2A"/>
    <w:rsid w:val="00A94205"/>
    <w:rsid w:val="00A94426"/>
    <w:rsid w:val="00A94A4F"/>
    <w:rsid w:val="00A94ACD"/>
    <w:rsid w:val="00A94BCE"/>
    <w:rsid w:val="00A9517A"/>
    <w:rsid w:val="00A952F6"/>
    <w:rsid w:val="00A9542E"/>
    <w:rsid w:val="00A95831"/>
    <w:rsid w:val="00A95C24"/>
    <w:rsid w:val="00A95DD5"/>
    <w:rsid w:val="00A960F9"/>
    <w:rsid w:val="00A96395"/>
    <w:rsid w:val="00A96429"/>
    <w:rsid w:val="00A96502"/>
    <w:rsid w:val="00A96910"/>
    <w:rsid w:val="00A969D6"/>
    <w:rsid w:val="00A96FAD"/>
    <w:rsid w:val="00A97017"/>
    <w:rsid w:val="00A97174"/>
    <w:rsid w:val="00A972F4"/>
    <w:rsid w:val="00A97BC1"/>
    <w:rsid w:val="00A97DC6"/>
    <w:rsid w:val="00AA00F1"/>
    <w:rsid w:val="00AA0378"/>
    <w:rsid w:val="00AA0589"/>
    <w:rsid w:val="00AA06C9"/>
    <w:rsid w:val="00AA0985"/>
    <w:rsid w:val="00AA0C80"/>
    <w:rsid w:val="00AA0E80"/>
    <w:rsid w:val="00AA1245"/>
    <w:rsid w:val="00AA1867"/>
    <w:rsid w:val="00AA1A72"/>
    <w:rsid w:val="00AA2150"/>
    <w:rsid w:val="00AA2321"/>
    <w:rsid w:val="00AA280C"/>
    <w:rsid w:val="00AA28FE"/>
    <w:rsid w:val="00AA2AD5"/>
    <w:rsid w:val="00AA2B37"/>
    <w:rsid w:val="00AA2DF6"/>
    <w:rsid w:val="00AA3491"/>
    <w:rsid w:val="00AA3A45"/>
    <w:rsid w:val="00AA4422"/>
    <w:rsid w:val="00AA450F"/>
    <w:rsid w:val="00AA4773"/>
    <w:rsid w:val="00AA489E"/>
    <w:rsid w:val="00AA52DD"/>
    <w:rsid w:val="00AA5399"/>
    <w:rsid w:val="00AA53A1"/>
    <w:rsid w:val="00AA5968"/>
    <w:rsid w:val="00AA5D9C"/>
    <w:rsid w:val="00AA6214"/>
    <w:rsid w:val="00AA75EF"/>
    <w:rsid w:val="00AA76C0"/>
    <w:rsid w:val="00AA77FE"/>
    <w:rsid w:val="00AA79C4"/>
    <w:rsid w:val="00AA7A17"/>
    <w:rsid w:val="00AA7E1A"/>
    <w:rsid w:val="00AA7EE5"/>
    <w:rsid w:val="00AB00A9"/>
    <w:rsid w:val="00AB048F"/>
    <w:rsid w:val="00AB07AB"/>
    <w:rsid w:val="00AB0BD5"/>
    <w:rsid w:val="00AB12EE"/>
    <w:rsid w:val="00AB1401"/>
    <w:rsid w:val="00AB154D"/>
    <w:rsid w:val="00AB1804"/>
    <w:rsid w:val="00AB18E0"/>
    <w:rsid w:val="00AB1B3E"/>
    <w:rsid w:val="00AB1D90"/>
    <w:rsid w:val="00AB1F6E"/>
    <w:rsid w:val="00AB23A7"/>
    <w:rsid w:val="00AB249F"/>
    <w:rsid w:val="00AB2CCC"/>
    <w:rsid w:val="00AB2E7F"/>
    <w:rsid w:val="00AB335D"/>
    <w:rsid w:val="00AB34D4"/>
    <w:rsid w:val="00AB34E0"/>
    <w:rsid w:val="00AB3594"/>
    <w:rsid w:val="00AB3817"/>
    <w:rsid w:val="00AB38D0"/>
    <w:rsid w:val="00AB3A2E"/>
    <w:rsid w:val="00AB3A4D"/>
    <w:rsid w:val="00AB3CEB"/>
    <w:rsid w:val="00AB40FF"/>
    <w:rsid w:val="00AB4223"/>
    <w:rsid w:val="00AB447A"/>
    <w:rsid w:val="00AB46D9"/>
    <w:rsid w:val="00AB490F"/>
    <w:rsid w:val="00AB4D0C"/>
    <w:rsid w:val="00AB4ED8"/>
    <w:rsid w:val="00AB548D"/>
    <w:rsid w:val="00AB5750"/>
    <w:rsid w:val="00AB5B84"/>
    <w:rsid w:val="00AB5CC0"/>
    <w:rsid w:val="00AB5E57"/>
    <w:rsid w:val="00AB6105"/>
    <w:rsid w:val="00AB6721"/>
    <w:rsid w:val="00AB6E85"/>
    <w:rsid w:val="00AB7094"/>
    <w:rsid w:val="00AB7271"/>
    <w:rsid w:val="00AB7275"/>
    <w:rsid w:val="00AB74A7"/>
    <w:rsid w:val="00AB754B"/>
    <w:rsid w:val="00AB7777"/>
    <w:rsid w:val="00AB79B9"/>
    <w:rsid w:val="00AB7B24"/>
    <w:rsid w:val="00AC0492"/>
    <w:rsid w:val="00AC0510"/>
    <w:rsid w:val="00AC09F8"/>
    <w:rsid w:val="00AC11F4"/>
    <w:rsid w:val="00AC1497"/>
    <w:rsid w:val="00AC1906"/>
    <w:rsid w:val="00AC1B05"/>
    <w:rsid w:val="00AC1B08"/>
    <w:rsid w:val="00AC1DCA"/>
    <w:rsid w:val="00AC231D"/>
    <w:rsid w:val="00AC2D87"/>
    <w:rsid w:val="00AC32F4"/>
    <w:rsid w:val="00AC33BE"/>
    <w:rsid w:val="00AC3431"/>
    <w:rsid w:val="00AC3580"/>
    <w:rsid w:val="00AC3762"/>
    <w:rsid w:val="00AC3972"/>
    <w:rsid w:val="00AC3E1A"/>
    <w:rsid w:val="00AC4111"/>
    <w:rsid w:val="00AC41B1"/>
    <w:rsid w:val="00AC41DF"/>
    <w:rsid w:val="00AC42D0"/>
    <w:rsid w:val="00AC4B1A"/>
    <w:rsid w:val="00AC5736"/>
    <w:rsid w:val="00AC5859"/>
    <w:rsid w:val="00AC5AAD"/>
    <w:rsid w:val="00AC5F75"/>
    <w:rsid w:val="00AC61E3"/>
    <w:rsid w:val="00AC6420"/>
    <w:rsid w:val="00AC6BF0"/>
    <w:rsid w:val="00AC74B0"/>
    <w:rsid w:val="00AC777D"/>
    <w:rsid w:val="00AC7803"/>
    <w:rsid w:val="00AC78B9"/>
    <w:rsid w:val="00AC7B35"/>
    <w:rsid w:val="00AC7BB8"/>
    <w:rsid w:val="00AC7E1A"/>
    <w:rsid w:val="00AD0334"/>
    <w:rsid w:val="00AD035F"/>
    <w:rsid w:val="00AD0436"/>
    <w:rsid w:val="00AD052C"/>
    <w:rsid w:val="00AD05DD"/>
    <w:rsid w:val="00AD072E"/>
    <w:rsid w:val="00AD0EDA"/>
    <w:rsid w:val="00AD12CF"/>
    <w:rsid w:val="00AD1547"/>
    <w:rsid w:val="00AD1655"/>
    <w:rsid w:val="00AD170F"/>
    <w:rsid w:val="00AD1A49"/>
    <w:rsid w:val="00AD1BDA"/>
    <w:rsid w:val="00AD22DE"/>
    <w:rsid w:val="00AD274E"/>
    <w:rsid w:val="00AD2761"/>
    <w:rsid w:val="00AD2A6F"/>
    <w:rsid w:val="00AD359A"/>
    <w:rsid w:val="00AD398A"/>
    <w:rsid w:val="00AD3A7E"/>
    <w:rsid w:val="00AD4328"/>
    <w:rsid w:val="00AD46EB"/>
    <w:rsid w:val="00AD4C98"/>
    <w:rsid w:val="00AD4DA8"/>
    <w:rsid w:val="00AD4E89"/>
    <w:rsid w:val="00AD56FA"/>
    <w:rsid w:val="00AD5868"/>
    <w:rsid w:val="00AD5870"/>
    <w:rsid w:val="00AD5913"/>
    <w:rsid w:val="00AD5AC3"/>
    <w:rsid w:val="00AD5AEC"/>
    <w:rsid w:val="00AD5DC5"/>
    <w:rsid w:val="00AD5ECE"/>
    <w:rsid w:val="00AD718D"/>
    <w:rsid w:val="00AD73E9"/>
    <w:rsid w:val="00AD7A1F"/>
    <w:rsid w:val="00AE0CBB"/>
    <w:rsid w:val="00AE10E9"/>
    <w:rsid w:val="00AE185C"/>
    <w:rsid w:val="00AE18F5"/>
    <w:rsid w:val="00AE23E2"/>
    <w:rsid w:val="00AE279E"/>
    <w:rsid w:val="00AE2A6F"/>
    <w:rsid w:val="00AE2C32"/>
    <w:rsid w:val="00AE32EF"/>
    <w:rsid w:val="00AE3BAF"/>
    <w:rsid w:val="00AE3EEC"/>
    <w:rsid w:val="00AE400A"/>
    <w:rsid w:val="00AE47A6"/>
    <w:rsid w:val="00AE4904"/>
    <w:rsid w:val="00AE4DDC"/>
    <w:rsid w:val="00AE511B"/>
    <w:rsid w:val="00AE5151"/>
    <w:rsid w:val="00AE515E"/>
    <w:rsid w:val="00AE534C"/>
    <w:rsid w:val="00AE54BB"/>
    <w:rsid w:val="00AE607B"/>
    <w:rsid w:val="00AE645C"/>
    <w:rsid w:val="00AE66A1"/>
    <w:rsid w:val="00AE68E1"/>
    <w:rsid w:val="00AE6A13"/>
    <w:rsid w:val="00AE6CAA"/>
    <w:rsid w:val="00AE71A2"/>
    <w:rsid w:val="00AE7413"/>
    <w:rsid w:val="00AE7682"/>
    <w:rsid w:val="00AE794D"/>
    <w:rsid w:val="00AE7AAE"/>
    <w:rsid w:val="00AE7B72"/>
    <w:rsid w:val="00AE7E35"/>
    <w:rsid w:val="00AF04FF"/>
    <w:rsid w:val="00AF06EE"/>
    <w:rsid w:val="00AF0771"/>
    <w:rsid w:val="00AF09EE"/>
    <w:rsid w:val="00AF0BCA"/>
    <w:rsid w:val="00AF0C70"/>
    <w:rsid w:val="00AF11DD"/>
    <w:rsid w:val="00AF120B"/>
    <w:rsid w:val="00AF1480"/>
    <w:rsid w:val="00AF167B"/>
    <w:rsid w:val="00AF16D9"/>
    <w:rsid w:val="00AF1865"/>
    <w:rsid w:val="00AF18FF"/>
    <w:rsid w:val="00AF24AC"/>
    <w:rsid w:val="00AF2CDC"/>
    <w:rsid w:val="00AF2CFA"/>
    <w:rsid w:val="00AF30AF"/>
    <w:rsid w:val="00AF3469"/>
    <w:rsid w:val="00AF3475"/>
    <w:rsid w:val="00AF3491"/>
    <w:rsid w:val="00AF389A"/>
    <w:rsid w:val="00AF3A2F"/>
    <w:rsid w:val="00AF3A81"/>
    <w:rsid w:val="00AF3ECB"/>
    <w:rsid w:val="00AF445F"/>
    <w:rsid w:val="00AF4843"/>
    <w:rsid w:val="00AF49B9"/>
    <w:rsid w:val="00AF4E74"/>
    <w:rsid w:val="00AF4F63"/>
    <w:rsid w:val="00AF5455"/>
    <w:rsid w:val="00AF55F1"/>
    <w:rsid w:val="00AF5610"/>
    <w:rsid w:val="00AF59BD"/>
    <w:rsid w:val="00AF5A3B"/>
    <w:rsid w:val="00AF624B"/>
    <w:rsid w:val="00AF67CF"/>
    <w:rsid w:val="00AF7088"/>
    <w:rsid w:val="00AF7105"/>
    <w:rsid w:val="00AF7288"/>
    <w:rsid w:val="00AF7681"/>
    <w:rsid w:val="00AF79EC"/>
    <w:rsid w:val="00AF7A20"/>
    <w:rsid w:val="00AF7EF9"/>
    <w:rsid w:val="00B00441"/>
    <w:rsid w:val="00B009FF"/>
    <w:rsid w:val="00B00F1A"/>
    <w:rsid w:val="00B00F95"/>
    <w:rsid w:val="00B0196D"/>
    <w:rsid w:val="00B01B34"/>
    <w:rsid w:val="00B01B91"/>
    <w:rsid w:val="00B01CB9"/>
    <w:rsid w:val="00B02CD6"/>
    <w:rsid w:val="00B031BA"/>
    <w:rsid w:val="00B03759"/>
    <w:rsid w:val="00B03B44"/>
    <w:rsid w:val="00B04344"/>
    <w:rsid w:val="00B044B8"/>
    <w:rsid w:val="00B04586"/>
    <w:rsid w:val="00B049AB"/>
    <w:rsid w:val="00B04B56"/>
    <w:rsid w:val="00B04C60"/>
    <w:rsid w:val="00B04D1D"/>
    <w:rsid w:val="00B04DBA"/>
    <w:rsid w:val="00B04DDB"/>
    <w:rsid w:val="00B04F5C"/>
    <w:rsid w:val="00B050E3"/>
    <w:rsid w:val="00B052F8"/>
    <w:rsid w:val="00B054F9"/>
    <w:rsid w:val="00B057B0"/>
    <w:rsid w:val="00B05973"/>
    <w:rsid w:val="00B05BD4"/>
    <w:rsid w:val="00B064A5"/>
    <w:rsid w:val="00B065A3"/>
    <w:rsid w:val="00B0676A"/>
    <w:rsid w:val="00B0677C"/>
    <w:rsid w:val="00B06B27"/>
    <w:rsid w:val="00B07287"/>
    <w:rsid w:val="00B072D4"/>
    <w:rsid w:val="00B0773B"/>
    <w:rsid w:val="00B077DB"/>
    <w:rsid w:val="00B103BD"/>
    <w:rsid w:val="00B1060D"/>
    <w:rsid w:val="00B10664"/>
    <w:rsid w:val="00B1075E"/>
    <w:rsid w:val="00B107D0"/>
    <w:rsid w:val="00B107DE"/>
    <w:rsid w:val="00B10A2D"/>
    <w:rsid w:val="00B10F4C"/>
    <w:rsid w:val="00B113A5"/>
    <w:rsid w:val="00B117CE"/>
    <w:rsid w:val="00B11BA7"/>
    <w:rsid w:val="00B11D83"/>
    <w:rsid w:val="00B12759"/>
    <w:rsid w:val="00B127A5"/>
    <w:rsid w:val="00B12BD1"/>
    <w:rsid w:val="00B1308A"/>
    <w:rsid w:val="00B13705"/>
    <w:rsid w:val="00B13EDE"/>
    <w:rsid w:val="00B14215"/>
    <w:rsid w:val="00B15394"/>
    <w:rsid w:val="00B15578"/>
    <w:rsid w:val="00B15604"/>
    <w:rsid w:val="00B15A6C"/>
    <w:rsid w:val="00B15ACA"/>
    <w:rsid w:val="00B15F5F"/>
    <w:rsid w:val="00B15FAD"/>
    <w:rsid w:val="00B16970"/>
    <w:rsid w:val="00B16D74"/>
    <w:rsid w:val="00B16F3A"/>
    <w:rsid w:val="00B1700C"/>
    <w:rsid w:val="00B177CC"/>
    <w:rsid w:val="00B17862"/>
    <w:rsid w:val="00B178EF"/>
    <w:rsid w:val="00B17A14"/>
    <w:rsid w:val="00B17C59"/>
    <w:rsid w:val="00B17F01"/>
    <w:rsid w:val="00B20080"/>
    <w:rsid w:val="00B20165"/>
    <w:rsid w:val="00B201A0"/>
    <w:rsid w:val="00B20316"/>
    <w:rsid w:val="00B2059A"/>
    <w:rsid w:val="00B207CC"/>
    <w:rsid w:val="00B20BBA"/>
    <w:rsid w:val="00B20BEF"/>
    <w:rsid w:val="00B2170B"/>
    <w:rsid w:val="00B2172F"/>
    <w:rsid w:val="00B21ABA"/>
    <w:rsid w:val="00B21C5F"/>
    <w:rsid w:val="00B22056"/>
    <w:rsid w:val="00B220D1"/>
    <w:rsid w:val="00B2219A"/>
    <w:rsid w:val="00B2233C"/>
    <w:rsid w:val="00B2245D"/>
    <w:rsid w:val="00B22854"/>
    <w:rsid w:val="00B231E6"/>
    <w:rsid w:val="00B232AA"/>
    <w:rsid w:val="00B234D8"/>
    <w:rsid w:val="00B23D83"/>
    <w:rsid w:val="00B23E7E"/>
    <w:rsid w:val="00B245D3"/>
    <w:rsid w:val="00B24706"/>
    <w:rsid w:val="00B248C1"/>
    <w:rsid w:val="00B248D7"/>
    <w:rsid w:val="00B25240"/>
    <w:rsid w:val="00B2532A"/>
    <w:rsid w:val="00B25386"/>
    <w:rsid w:val="00B255B5"/>
    <w:rsid w:val="00B25761"/>
    <w:rsid w:val="00B25A08"/>
    <w:rsid w:val="00B25D78"/>
    <w:rsid w:val="00B26461"/>
    <w:rsid w:val="00B2671C"/>
    <w:rsid w:val="00B26AAC"/>
    <w:rsid w:val="00B26ACD"/>
    <w:rsid w:val="00B26B9A"/>
    <w:rsid w:val="00B26B9E"/>
    <w:rsid w:val="00B26C8B"/>
    <w:rsid w:val="00B26D77"/>
    <w:rsid w:val="00B26F9E"/>
    <w:rsid w:val="00B27420"/>
    <w:rsid w:val="00B2774C"/>
    <w:rsid w:val="00B27F7A"/>
    <w:rsid w:val="00B27FEB"/>
    <w:rsid w:val="00B3000A"/>
    <w:rsid w:val="00B300E8"/>
    <w:rsid w:val="00B304B4"/>
    <w:rsid w:val="00B304F1"/>
    <w:rsid w:val="00B30771"/>
    <w:rsid w:val="00B30FA5"/>
    <w:rsid w:val="00B31479"/>
    <w:rsid w:val="00B31895"/>
    <w:rsid w:val="00B318D5"/>
    <w:rsid w:val="00B31D85"/>
    <w:rsid w:val="00B32AE9"/>
    <w:rsid w:val="00B32F90"/>
    <w:rsid w:val="00B33A86"/>
    <w:rsid w:val="00B33E4E"/>
    <w:rsid w:val="00B33FAA"/>
    <w:rsid w:val="00B342EA"/>
    <w:rsid w:val="00B344AB"/>
    <w:rsid w:val="00B350D8"/>
    <w:rsid w:val="00B351C6"/>
    <w:rsid w:val="00B355FE"/>
    <w:rsid w:val="00B357A0"/>
    <w:rsid w:val="00B359CF"/>
    <w:rsid w:val="00B35BDE"/>
    <w:rsid w:val="00B366F8"/>
    <w:rsid w:val="00B368BF"/>
    <w:rsid w:val="00B36AA2"/>
    <w:rsid w:val="00B36F36"/>
    <w:rsid w:val="00B37206"/>
    <w:rsid w:val="00B375D4"/>
    <w:rsid w:val="00B37752"/>
    <w:rsid w:val="00B377C2"/>
    <w:rsid w:val="00B37A84"/>
    <w:rsid w:val="00B37AE7"/>
    <w:rsid w:val="00B37F6D"/>
    <w:rsid w:val="00B400C5"/>
    <w:rsid w:val="00B40221"/>
    <w:rsid w:val="00B40380"/>
    <w:rsid w:val="00B404F9"/>
    <w:rsid w:val="00B406CD"/>
    <w:rsid w:val="00B409F6"/>
    <w:rsid w:val="00B40DF1"/>
    <w:rsid w:val="00B40FDF"/>
    <w:rsid w:val="00B413B8"/>
    <w:rsid w:val="00B41713"/>
    <w:rsid w:val="00B418D2"/>
    <w:rsid w:val="00B41A41"/>
    <w:rsid w:val="00B41CE1"/>
    <w:rsid w:val="00B421BD"/>
    <w:rsid w:val="00B421DE"/>
    <w:rsid w:val="00B422A9"/>
    <w:rsid w:val="00B42675"/>
    <w:rsid w:val="00B428BA"/>
    <w:rsid w:val="00B42CA8"/>
    <w:rsid w:val="00B42F31"/>
    <w:rsid w:val="00B4346C"/>
    <w:rsid w:val="00B43710"/>
    <w:rsid w:val="00B4375A"/>
    <w:rsid w:val="00B43834"/>
    <w:rsid w:val="00B43B98"/>
    <w:rsid w:val="00B440DE"/>
    <w:rsid w:val="00B44105"/>
    <w:rsid w:val="00B442A0"/>
    <w:rsid w:val="00B44925"/>
    <w:rsid w:val="00B44C85"/>
    <w:rsid w:val="00B44E2B"/>
    <w:rsid w:val="00B452D4"/>
    <w:rsid w:val="00B455CF"/>
    <w:rsid w:val="00B45641"/>
    <w:rsid w:val="00B4579D"/>
    <w:rsid w:val="00B45994"/>
    <w:rsid w:val="00B45F81"/>
    <w:rsid w:val="00B45FAE"/>
    <w:rsid w:val="00B462AE"/>
    <w:rsid w:val="00B466A4"/>
    <w:rsid w:val="00B466C5"/>
    <w:rsid w:val="00B466E5"/>
    <w:rsid w:val="00B46852"/>
    <w:rsid w:val="00B46939"/>
    <w:rsid w:val="00B46A95"/>
    <w:rsid w:val="00B46B6D"/>
    <w:rsid w:val="00B46C75"/>
    <w:rsid w:val="00B4713B"/>
    <w:rsid w:val="00B4714B"/>
    <w:rsid w:val="00B474F6"/>
    <w:rsid w:val="00B475FC"/>
    <w:rsid w:val="00B47658"/>
    <w:rsid w:val="00B47818"/>
    <w:rsid w:val="00B4790E"/>
    <w:rsid w:val="00B47AA0"/>
    <w:rsid w:val="00B47C7F"/>
    <w:rsid w:val="00B47F90"/>
    <w:rsid w:val="00B5097D"/>
    <w:rsid w:val="00B50BFE"/>
    <w:rsid w:val="00B50DB8"/>
    <w:rsid w:val="00B50EA8"/>
    <w:rsid w:val="00B5126B"/>
    <w:rsid w:val="00B51283"/>
    <w:rsid w:val="00B514F2"/>
    <w:rsid w:val="00B51572"/>
    <w:rsid w:val="00B51A58"/>
    <w:rsid w:val="00B51B30"/>
    <w:rsid w:val="00B5203D"/>
    <w:rsid w:val="00B5203E"/>
    <w:rsid w:val="00B528A0"/>
    <w:rsid w:val="00B53667"/>
    <w:rsid w:val="00B536FF"/>
    <w:rsid w:val="00B537DB"/>
    <w:rsid w:val="00B53AAF"/>
    <w:rsid w:val="00B53C60"/>
    <w:rsid w:val="00B53EF4"/>
    <w:rsid w:val="00B54254"/>
    <w:rsid w:val="00B544F2"/>
    <w:rsid w:val="00B54702"/>
    <w:rsid w:val="00B54B6E"/>
    <w:rsid w:val="00B54D94"/>
    <w:rsid w:val="00B5508E"/>
    <w:rsid w:val="00B55713"/>
    <w:rsid w:val="00B5585A"/>
    <w:rsid w:val="00B55D91"/>
    <w:rsid w:val="00B561E1"/>
    <w:rsid w:val="00B56504"/>
    <w:rsid w:val="00B5656F"/>
    <w:rsid w:val="00B5663A"/>
    <w:rsid w:val="00B566B5"/>
    <w:rsid w:val="00B56E28"/>
    <w:rsid w:val="00B56F29"/>
    <w:rsid w:val="00B56F55"/>
    <w:rsid w:val="00B57024"/>
    <w:rsid w:val="00B60DD3"/>
    <w:rsid w:val="00B610FE"/>
    <w:rsid w:val="00B61469"/>
    <w:rsid w:val="00B614B9"/>
    <w:rsid w:val="00B61671"/>
    <w:rsid w:val="00B61B19"/>
    <w:rsid w:val="00B61B7A"/>
    <w:rsid w:val="00B61C85"/>
    <w:rsid w:val="00B61E76"/>
    <w:rsid w:val="00B61F6B"/>
    <w:rsid w:val="00B62127"/>
    <w:rsid w:val="00B622B9"/>
    <w:rsid w:val="00B625A8"/>
    <w:rsid w:val="00B625EA"/>
    <w:rsid w:val="00B6283C"/>
    <w:rsid w:val="00B62BA9"/>
    <w:rsid w:val="00B62D6C"/>
    <w:rsid w:val="00B62E56"/>
    <w:rsid w:val="00B62ED4"/>
    <w:rsid w:val="00B6312D"/>
    <w:rsid w:val="00B633DE"/>
    <w:rsid w:val="00B63882"/>
    <w:rsid w:val="00B638C0"/>
    <w:rsid w:val="00B638CC"/>
    <w:rsid w:val="00B63CBC"/>
    <w:rsid w:val="00B63D4C"/>
    <w:rsid w:val="00B6424C"/>
    <w:rsid w:val="00B64284"/>
    <w:rsid w:val="00B64451"/>
    <w:rsid w:val="00B6470C"/>
    <w:rsid w:val="00B649FD"/>
    <w:rsid w:val="00B64D97"/>
    <w:rsid w:val="00B65226"/>
    <w:rsid w:val="00B65387"/>
    <w:rsid w:val="00B6580E"/>
    <w:rsid w:val="00B65C52"/>
    <w:rsid w:val="00B65CDC"/>
    <w:rsid w:val="00B66083"/>
    <w:rsid w:val="00B662D0"/>
    <w:rsid w:val="00B66385"/>
    <w:rsid w:val="00B667DB"/>
    <w:rsid w:val="00B66B08"/>
    <w:rsid w:val="00B66B2A"/>
    <w:rsid w:val="00B66E68"/>
    <w:rsid w:val="00B6725A"/>
    <w:rsid w:val="00B6747C"/>
    <w:rsid w:val="00B67563"/>
    <w:rsid w:val="00B675C7"/>
    <w:rsid w:val="00B67C34"/>
    <w:rsid w:val="00B67DC7"/>
    <w:rsid w:val="00B67F99"/>
    <w:rsid w:val="00B700A0"/>
    <w:rsid w:val="00B7038D"/>
    <w:rsid w:val="00B710A7"/>
    <w:rsid w:val="00B711E1"/>
    <w:rsid w:val="00B71327"/>
    <w:rsid w:val="00B715DF"/>
    <w:rsid w:val="00B71680"/>
    <w:rsid w:val="00B71975"/>
    <w:rsid w:val="00B71BBC"/>
    <w:rsid w:val="00B71D27"/>
    <w:rsid w:val="00B71D6C"/>
    <w:rsid w:val="00B71F16"/>
    <w:rsid w:val="00B71F56"/>
    <w:rsid w:val="00B727FC"/>
    <w:rsid w:val="00B728B1"/>
    <w:rsid w:val="00B729DE"/>
    <w:rsid w:val="00B72B1A"/>
    <w:rsid w:val="00B72B31"/>
    <w:rsid w:val="00B72B69"/>
    <w:rsid w:val="00B72E93"/>
    <w:rsid w:val="00B72F47"/>
    <w:rsid w:val="00B73A47"/>
    <w:rsid w:val="00B742C5"/>
    <w:rsid w:val="00B74DBE"/>
    <w:rsid w:val="00B74FAA"/>
    <w:rsid w:val="00B754EC"/>
    <w:rsid w:val="00B75932"/>
    <w:rsid w:val="00B759B4"/>
    <w:rsid w:val="00B75ECC"/>
    <w:rsid w:val="00B76136"/>
    <w:rsid w:val="00B76283"/>
    <w:rsid w:val="00B76321"/>
    <w:rsid w:val="00B7661E"/>
    <w:rsid w:val="00B76BDC"/>
    <w:rsid w:val="00B76E67"/>
    <w:rsid w:val="00B76F36"/>
    <w:rsid w:val="00B76F7A"/>
    <w:rsid w:val="00B76FFE"/>
    <w:rsid w:val="00B773D3"/>
    <w:rsid w:val="00B776AF"/>
    <w:rsid w:val="00B77767"/>
    <w:rsid w:val="00B77B7E"/>
    <w:rsid w:val="00B77BBA"/>
    <w:rsid w:val="00B80328"/>
    <w:rsid w:val="00B80629"/>
    <w:rsid w:val="00B80BF1"/>
    <w:rsid w:val="00B811FE"/>
    <w:rsid w:val="00B81377"/>
    <w:rsid w:val="00B81CFC"/>
    <w:rsid w:val="00B81D46"/>
    <w:rsid w:val="00B8266F"/>
    <w:rsid w:val="00B82676"/>
    <w:rsid w:val="00B828F9"/>
    <w:rsid w:val="00B82FDB"/>
    <w:rsid w:val="00B83014"/>
    <w:rsid w:val="00B83773"/>
    <w:rsid w:val="00B838AD"/>
    <w:rsid w:val="00B83D34"/>
    <w:rsid w:val="00B83E9F"/>
    <w:rsid w:val="00B84544"/>
    <w:rsid w:val="00B848F5"/>
    <w:rsid w:val="00B84917"/>
    <w:rsid w:val="00B849B2"/>
    <w:rsid w:val="00B849EA"/>
    <w:rsid w:val="00B84B3D"/>
    <w:rsid w:val="00B84F51"/>
    <w:rsid w:val="00B856A9"/>
    <w:rsid w:val="00B85D57"/>
    <w:rsid w:val="00B85E9F"/>
    <w:rsid w:val="00B861CB"/>
    <w:rsid w:val="00B868C3"/>
    <w:rsid w:val="00B86A07"/>
    <w:rsid w:val="00B86CB7"/>
    <w:rsid w:val="00B87166"/>
    <w:rsid w:val="00B873FC"/>
    <w:rsid w:val="00B87422"/>
    <w:rsid w:val="00B87672"/>
    <w:rsid w:val="00B877C3"/>
    <w:rsid w:val="00B87BE7"/>
    <w:rsid w:val="00B90130"/>
    <w:rsid w:val="00B901ED"/>
    <w:rsid w:val="00B9025D"/>
    <w:rsid w:val="00B902D1"/>
    <w:rsid w:val="00B9052D"/>
    <w:rsid w:val="00B90652"/>
    <w:rsid w:val="00B90760"/>
    <w:rsid w:val="00B90A6B"/>
    <w:rsid w:val="00B90B02"/>
    <w:rsid w:val="00B9110C"/>
    <w:rsid w:val="00B91195"/>
    <w:rsid w:val="00B91253"/>
    <w:rsid w:val="00B91918"/>
    <w:rsid w:val="00B919D4"/>
    <w:rsid w:val="00B91A59"/>
    <w:rsid w:val="00B91FA6"/>
    <w:rsid w:val="00B92267"/>
    <w:rsid w:val="00B92677"/>
    <w:rsid w:val="00B92AC9"/>
    <w:rsid w:val="00B92CAD"/>
    <w:rsid w:val="00B92D0C"/>
    <w:rsid w:val="00B92D59"/>
    <w:rsid w:val="00B93E98"/>
    <w:rsid w:val="00B93E9A"/>
    <w:rsid w:val="00B94420"/>
    <w:rsid w:val="00B94958"/>
    <w:rsid w:val="00B94C0B"/>
    <w:rsid w:val="00B94DB3"/>
    <w:rsid w:val="00B95263"/>
    <w:rsid w:val="00B953C2"/>
    <w:rsid w:val="00B9557C"/>
    <w:rsid w:val="00B9559B"/>
    <w:rsid w:val="00B959A8"/>
    <w:rsid w:val="00B959D1"/>
    <w:rsid w:val="00B95A22"/>
    <w:rsid w:val="00B95D20"/>
    <w:rsid w:val="00B95EA6"/>
    <w:rsid w:val="00B96021"/>
    <w:rsid w:val="00B96484"/>
    <w:rsid w:val="00B966A4"/>
    <w:rsid w:val="00B96A8B"/>
    <w:rsid w:val="00B96D59"/>
    <w:rsid w:val="00B97038"/>
    <w:rsid w:val="00B974E3"/>
    <w:rsid w:val="00B978E7"/>
    <w:rsid w:val="00B97BAC"/>
    <w:rsid w:val="00B97EAF"/>
    <w:rsid w:val="00BA021C"/>
    <w:rsid w:val="00BA023C"/>
    <w:rsid w:val="00BA083C"/>
    <w:rsid w:val="00BA0A95"/>
    <w:rsid w:val="00BA1605"/>
    <w:rsid w:val="00BA167E"/>
    <w:rsid w:val="00BA1907"/>
    <w:rsid w:val="00BA19D9"/>
    <w:rsid w:val="00BA1AA7"/>
    <w:rsid w:val="00BA1C40"/>
    <w:rsid w:val="00BA2221"/>
    <w:rsid w:val="00BA27BF"/>
    <w:rsid w:val="00BA2D5C"/>
    <w:rsid w:val="00BA38E8"/>
    <w:rsid w:val="00BA3BF2"/>
    <w:rsid w:val="00BA3C76"/>
    <w:rsid w:val="00BA48F2"/>
    <w:rsid w:val="00BA4EA3"/>
    <w:rsid w:val="00BA4FDE"/>
    <w:rsid w:val="00BA50D3"/>
    <w:rsid w:val="00BA5454"/>
    <w:rsid w:val="00BA5637"/>
    <w:rsid w:val="00BA5ED7"/>
    <w:rsid w:val="00BA5F6B"/>
    <w:rsid w:val="00BA666D"/>
    <w:rsid w:val="00BA6B81"/>
    <w:rsid w:val="00BA6D78"/>
    <w:rsid w:val="00BA6DEB"/>
    <w:rsid w:val="00BA6E71"/>
    <w:rsid w:val="00BB0217"/>
    <w:rsid w:val="00BB02AA"/>
    <w:rsid w:val="00BB0931"/>
    <w:rsid w:val="00BB0AD7"/>
    <w:rsid w:val="00BB106A"/>
    <w:rsid w:val="00BB1175"/>
    <w:rsid w:val="00BB1592"/>
    <w:rsid w:val="00BB1B8A"/>
    <w:rsid w:val="00BB1D72"/>
    <w:rsid w:val="00BB1F44"/>
    <w:rsid w:val="00BB2317"/>
    <w:rsid w:val="00BB23AD"/>
    <w:rsid w:val="00BB23BD"/>
    <w:rsid w:val="00BB24A2"/>
    <w:rsid w:val="00BB262B"/>
    <w:rsid w:val="00BB26B3"/>
    <w:rsid w:val="00BB26BB"/>
    <w:rsid w:val="00BB2A0C"/>
    <w:rsid w:val="00BB2A4E"/>
    <w:rsid w:val="00BB3658"/>
    <w:rsid w:val="00BB38AE"/>
    <w:rsid w:val="00BB40CD"/>
    <w:rsid w:val="00BB44B6"/>
    <w:rsid w:val="00BB465A"/>
    <w:rsid w:val="00BB48F7"/>
    <w:rsid w:val="00BB494E"/>
    <w:rsid w:val="00BB49BD"/>
    <w:rsid w:val="00BB49C7"/>
    <w:rsid w:val="00BB4A91"/>
    <w:rsid w:val="00BB4B74"/>
    <w:rsid w:val="00BB4FA2"/>
    <w:rsid w:val="00BB4FC7"/>
    <w:rsid w:val="00BB519F"/>
    <w:rsid w:val="00BB54A8"/>
    <w:rsid w:val="00BB57EE"/>
    <w:rsid w:val="00BB5A0E"/>
    <w:rsid w:val="00BB5D22"/>
    <w:rsid w:val="00BB5D9A"/>
    <w:rsid w:val="00BB602F"/>
    <w:rsid w:val="00BB6058"/>
    <w:rsid w:val="00BB6109"/>
    <w:rsid w:val="00BB61F0"/>
    <w:rsid w:val="00BB63A9"/>
    <w:rsid w:val="00BB6938"/>
    <w:rsid w:val="00BB69CB"/>
    <w:rsid w:val="00BB6B43"/>
    <w:rsid w:val="00BB6DEC"/>
    <w:rsid w:val="00BB6E89"/>
    <w:rsid w:val="00BB7121"/>
    <w:rsid w:val="00BB7D88"/>
    <w:rsid w:val="00BB7DB4"/>
    <w:rsid w:val="00BB7DEC"/>
    <w:rsid w:val="00BC00B3"/>
    <w:rsid w:val="00BC0155"/>
    <w:rsid w:val="00BC0191"/>
    <w:rsid w:val="00BC057C"/>
    <w:rsid w:val="00BC05AA"/>
    <w:rsid w:val="00BC0B0F"/>
    <w:rsid w:val="00BC0B69"/>
    <w:rsid w:val="00BC11BB"/>
    <w:rsid w:val="00BC11E8"/>
    <w:rsid w:val="00BC1252"/>
    <w:rsid w:val="00BC16AE"/>
    <w:rsid w:val="00BC19B0"/>
    <w:rsid w:val="00BC1AA5"/>
    <w:rsid w:val="00BC1B2E"/>
    <w:rsid w:val="00BC1D82"/>
    <w:rsid w:val="00BC1FBB"/>
    <w:rsid w:val="00BC2136"/>
    <w:rsid w:val="00BC23B3"/>
    <w:rsid w:val="00BC2623"/>
    <w:rsid w:val="00BC29D2"/>
    <w:rsid w:val="00BC29F6"/>
    <w:rsid w:val="00BC31FE"/>
    <w:rsid w:val="00BC3567"/>
    <w:rsid w:val="00BC3873"/>
    <w:rsid w:val="00BC3A5C"/>
    <w:rsid w:val="00BC3C89"/>
    <w:rsid w:val="00BC404B"/>
    <w:rsid w:val="00BC4158"/>
    <w:rsid w:val="00BC48D6"/>
    <w:rsid w:val="00BC4B59"/>
    <w:rsid w:val="00BC4BC0"/>
    <w:rsid w:val="00BC4CDE"/>
    <w:rsid w:val="00BC4CDF"/>
    <w:rsid w:val="00BC5110"/>
    <w:rsid w:val="00BC557F"/>
    <w:rsid w:val="00BC57FB"/>
    <w:rsid w:val="00BC5AD4"/>
    <w:rsid w:val="00BC5CC7"/>
    <w:rsid w:val="00BC5CCF"/>
    <w:rsid w:val="00BC5E4C"/>
    <w:rsid w:val="00BC6023"/>
    <w:rsid w:val="00BC615B"/>
    <w:rsid w:val="00BC6890"/>
    <w:rsid w:val="00BC6E18"/>
    <w:rsid w:val="00BC71F8"/>
    <w:rsid w:val="00BC7379"/>
    <w:rsid w:val="00BC744E"/>
    <w:rsid w:val="00BC768C"/>
    <w:rsid w:val="00BC77FA"/>
    <w:rsid w:val="00BC78A9"/>
    <w:rsid w:val="00BC7C42"/>
    <w:rsid w:val="00BD0043"/>
    <w:rsid w:val="00BD04C6"/>
    <w:rsid w:val="00BD06FF"/>
    <w:rsid w:val="00BD0C0E"/>
    <w:rsid w:val="00BD0DA6"/>
    <w:rsid w:val="00BD0FF7"/>
    <w:rsid w:val="00BD114A"/>
    <w:rsid w:val="00BD169A"/>
    <w:rsid w:val="00BD25A1"/>
    <w:rsid w:val="00BD31C4"/>
    <w:rsid w:val="00BD3527"/>
    <w:rsid w:val="00BD36E7"/>
    <w:rsid w:val="00BD3C81"/>
    <w:rsid w:val="00BD40C4"/>
    <w:rsid w:val="00BD4D45"/>
    <w:rsid w:val="00BD559C"/>
    <w:rsid w:val="00BD5A20"/>
    <w:rsid w:val="00BD60B5"/>
    <w:rsid w:val="00BD6262"/>
    <w:rsid w:val="00BD6CAD"/>
    <w:rsid w:val="00BD713A"/>
    <w:rsid w:val="00BD7B30"/>
    <w:rsid w:val="00BE0193"/>
    <w:rsid w:val="00BE05E0"/>
    <w:rsid w:val="00BE0710"/>
    <w:rsid w:val="00BE097D"/>
    <w:rsid w:val="00BE0A3A"/>
    <w:rsid w:val="00BE0D00"/>
    <w:rsid w:val="00BE0E40"/>
    <w:rsid w:val="00BE15C9"/>
    <w:rsid w:val="00BE19D5"/>
    <w:rsid w:val="00BE1AA1"/>
    <w:rsid w:val="00BE2A56"/>
    <w:rsid w:val="00BE2A8F"/>
    <w:rsid w:val="00BE2B2C"/>
    <w:rsid w:val="00BE2E8C"/>
    <w:rsid w:val="00BE2F3E"/>
    <w:rsid w:val="00BE345C"/>
    <w:rsid w:val="00BE37CD"/>
    <w:rsid w:val="00BE37DB"/>
    <w:rsid w:val="00BE3C8A"/>
    <w:rsid w:val="00BE3C95"/>
    <w:rsid w:val="00BE518F"/>
    <w:rsid w:val="00BE5731"/>
    <w:rsid w:val="00BE5B4D"/>
    <w:rsid w:val="00BE5BFF"/>
    <w:rsid w:val="00BE5D4D"/>
    <w:rsid w:val="00BE5FD3"/>
    <w:rsid w:val="00BE6BC3"/>
    <w:rsid w:val="00BE6D0C"/>
    <w:rsid w:val="00BE7166"/>
    <w:rsid w:val="00BE728F"/>
    <w:rsid w:val="00BE7754"/>
    <w:rsid w:val="00BE78F5"/>
    <w:rsid w:val="00BE7B76"/>
    <w:rsid w:val="00BE7F47"/>
    <w:rsid w:val="00BF0017"/>
    <w:rsid w:val="00BF001A"/>
    <w:rsid w:val="00BF0141"/>
    <w:rsid w:val="00BF021D"/>
    <w:rsid w:val="00BF0340"/>
    <w:rsid w:val="00BF07B5"/>
    <w:rsid w:val="00BF0FD1"/>
    <w:rsid w:val="00BF12CE"/>
    <w:rsid w:val="00BF145A"/>
    <w:rsid w:val="00BF1C00"/>
    <w:rsid w:val="00BF1CF1"/>
    <w:rsid w:val="00BF1F99"/>
    <w:rsid w:val="00BF231F"/>
    <w:rsid w:val="00BF24F6"/>
    <w:rsid w:val="00BF2D9D"/>
    <w:rsid w:val="00BF2E02"/>
    <w:rsid w:val="00BF2E4C"/>
    <w:rsid w:val="00BF31F7"/>
    <w:rsid w:val="00BF423F"/>
    <w:rsid w:val="00BF43B0"/>
    <w:rsid w:val="00BF4680"/>
    <w:rsid w:val="00BF488A"/>
    <w:rsid w:val="00BF49AA"/>
    <w:rsid w:val="00BF4D27"/>
    <w:rsid w:val="00BF4D63"/>
    <w:rsid w:val="00BF4F37"/>
    <w:rsid w:val="00BF509C"/>
    <w:rsid w:val="00BF5700"/>
    <w:rsid w:val="00BF58EB"/>
    <w:rsid w:val="00BF5C9B"/>
    <w:rsid w:val="00BF5CC5"/>
    <w:rsid w:val="00BF6768"/>
    <w:rsid w:val="00BF6814"/>
    <w:rsid w:val="00BF7002"/>
    <w:rsid w:val="00BF7080"/>
    <w:rsid w:val="00BF75E5"/>
    <w:rsid w:val="00BF78CF"/>
    <w:rsid w:val="00BF7C31"/>
    <w:rsid w:val="00BF7E96"/>
    <w:rsid w:val="00C0092A"/>
    <w:rsid w:val="00C009C8"/>
    <w:rsid w:val="00C00B1F"/>
    <w:rsid w:val="00C00CCD"/>
    <w:rsid w:val="00C00D6A"/>
    <w:rsid w:val="00C010B6"/>
    <w:rsid w:val="00C01314"/>
    <w:rsid w:val="00C01344"/>
    <w:rsid w:val="00C019EF"/>
    <w:rsid w:val="00C01E7E"/>
    <w:rsid w:val="00C01FD9"/>
    <w:rsid w:val="00C020E7"/>
    <w:rsid w:val="00C0246C"/>
    <w:rsid w:val="00C02634"/>
    <w:rsid w:val="00C02660"/>
    <w:rsid w:val="00C02809"/>
    <w:rsid w:val="00C02995"/>
    <w:rsid w:val="00C02B75"/>
    <w:rsid w:val="00C02C85"/>
    <w:rsid w:val="00C02E72"/>
    <w:rsid w:val="00C0325D"/>
    <w:rsid w:val="00C0370F"/>
    <w:rsid w:val="00C04117"/>
    <w:rsid w:val="00C0425F"/>
    <w:rsid w:val="00C0477D"/>
    <w:rsid w:val="00C047C9"/>
    <w:rsid w:val="00C049F9"/>
    <w:rsid w:val="00C04B23"/>
    <w:rsid w:val="00C04B30"/>
    <w:rsid w:val="00C04FC5"/>
    <w:rsid w:val="00C05025"/>
    <w:rsid w:val="00C051BE"/>
    <w:rsid w:val="00C05978"/>
    <w:rsid w:val="00C05D58"/>
    <w:rsid w:val="00C05FAD"/>
    <w:rsid w:val="00C062C6"/>
    <w:rsid w:val="00C066CC"/>
    <w:rsid w:val="00C0689E"/>
    <w:rsid w:val="00C06A82"/>
    <w:rsid w:val="00C06B67"/>
    <w:rsid w:val="00C06BB3"/>
    <w:rsid w:val="00C074FE"/>
    <w:rsid w:val="00C10B0F"/>
    <w:rsid w:val="00C10BC8"/>
    <w:rsid w:val="00C10FA7"/>
    <w:rsid w:val="00C1131B"/>
    <w:rsid w:val="00C11465"/>
    <w:rsid w:val="00C116A0"/>
    <w:rsid w:val="00C117EA"/>
    <w:rsid w:val="00C122BE"/>
    <w:rsid w:val="00C12329"/>
    <w:rsid w:val="00C12B9B"/>
    <w:rsid w:val="00C12DC5"/>
    <w:rsid w:val="00C12E2B"/>
    <w:rsid w:val="00C12FE8"/>
    <w:rsid w:val="00C13D11"/>
    <w:rsid w:val="00C13E53"/>
    <w:rsid w:val="00C13EE7"/>
    <w:rsid w:val="00C13FDD"/>
    <w:rsid w:val="00C1417E"/>
    <w:rsid w:val="00C14827"/>
    <w:rsid w:val="00C14B21"/>
    <w:rsid w:val="00C14C3D"/>
    <w:rsid w:val="00C14C99"/>
    <w:rsid w:val="00C14F7B"/>
    <w:rsid w:val="00C15204"/>
    <w:rsid w:val="00C15253"/>
    <w:rsid w:val="00C15348"/>
    <w:rsid w:val="00C15620"/>
    <w:rsid w:val="00C15723"/>
    <w:rsid w:val="00C15AA3"/>
    <w:rsid w:val="00C16028"/>
    <w:rsid w:val="00C160CB"/>
    <w:rsid w:val="00C168F8"/>
    <w:rsid w:val="00C16A94"/>
    <w:rsid w:val="00C16CEA"/>
    <w:rsid w:val="00C16DE8"/>
    <w:rsid w:val="00C178A5"/>
    <w:rsid w:val="00C17BF4"/>
    <w:rsid w:val="00C17F0D"/>
    <w:rsid w:val="00C200C9"/>
    <w:rsid w:val="00C2022A"/>
    <w:rsid w:val="00C20231"/>
    <w:rsid w:val="00C203DD"/>
    <w:rsid w:val="00C20948"/>
    <w:rsid w:val="00C20A8D"/>
    <w:rsid w:val="00C20BAD"/>
    <w:rsid w:val="00C20DB7"/>
    <w:rsid w:val="00C20E12"/>
    <w:rsid w:val="00C2102F"/>
    <w:rsid w:val="00C218B7"/>
    <w:rsid w:val="00C21B8B"/>
    <w:rsid w:val="00C21E82"/>
    <w:rsid w:val="00C22305"/>
    <w:rsid w:val="00C224BA"/>
    <w:rsid w:val="00C2271B"/>
    <w:rsid w:val="00C227CD"/>
    <w:rsid w:val="00C22842"/>
    <w:rsid w:val="00C22B1E"/>
    <w:rsid w:val="00C22E0D"/>
    <w:rsid w:val="00C22E57"/>
    <w:rsid w:val="00C2303C"/>
    <w:rsid w:val="00C230B9"/>
    <w:rsid w:val="00C23857"/>
    <w:rsid w:val="00C23A35"/>
    <w:rsid w:val="00C23C63"/>
    <w:rsid w:val="00C2430F"/>
    <w:rsid w:val="00C2448D"/>
    <w:rsid w:val="00C249A7"/>
    <w:rsid w:val="00C24AC4"/>
    <w:rsid w:val="00C2520B"/>
    <w:rsid w:val="00C252CF"/>
    <w:rsid w:val="00C253C6"/>
    <w:rsid w:val="00C25984"/>
    <w:rsid w:val="00C25BB5"/>
    <w:rsid w:val="00C25EA1"/>
    <w:rsid w:val="00C2600A"/>
    <w:rsid w:val="00C266E2"/>
    <w:rsid w:val="00C26DBF"/>
    <w:rsid w:val="00C26F4E"/>
    <w:rsid w:val="00C26F53"/>
    <w:rsid w:val="00C274CD"/>
    <w:rsid w:val="00C2778E"/>
    <w:rsid w:val="00C27931"/>
    <w:rsid w:val="00C27ABF"/>
    <w:rsid w:val="00C27B24"/>
    <w:rsid w:val="00C27CEB"/>
    <w:rsid w:val="00C27F7F"/>
    <w:rsid w:val="00C3014D"/>
    <w:rsid w:val="00C30344"/>
    <w:rsid w:val="00C30405"/>
    <w:rsid w:val="00C30426"/>
    <w:rsid w:val="00C306D3"/>
    <w:rsid w:val="00C30A63"/>
    <w:rsid w:val="00C31326"/>
    <w:rsid w:val="00C313FB"/>
    <w:rsid w:val="00C3194A"/>
    <w:rsid w:val="00C31BF0"/>
    <w:rsid w:val="00C31DC3"/>
    <w:rsid w:val="00C3220E"/>
    <w:rsid w:val="00C3247F"/>
    <w:rsid w:val="00C32B42"/>
    <w:rsid w:val="00C32E10"/>
    <w:rsid w:val="00C32FE2"/>
    <w:rsid w:val="00C33086"/>
    <w:rsid w:val="00C332C0"/>
    <w:rsid w:val="00C3384E"/>
    <w:rsid w:val="00C33A18"/>
    <w:rsid w:val="00C33A2B"/>
    <w:rsid w:val="00C34230"/>
    <w:rsid w:val="00C347A8"/>
    <w:rsid w:val="00C34A7D"/>
    <w:rsid w:val="00C34FC8"/>
    <w:rsid w:val="00C35537"/>
    <w:rsid w:val="00C3582C"/>
    <w:rsid w:val="00C3583E"/>
    <w:rsid w:val="00C35D24"/>
    <w:rsid w:val="00C35D32"/>
    <w:rsid w:val="00C35FBE"/>
    <w:rsid w:val="00C366ED"/>
    <w:rsid w:val="00C37045"/>
    <w:rsid w:val="00C372F3"/>
    <w:rsid w:val="00C37462"/>
    <w:rsid w:val="00C37895"/>
    <w:rsid w:val="00C3796E"/>
    <w:rsid w:val="00C37995"/>
    <w:rsid w:val="00C379BD"/>
    <w:rsid w:val="00C37CD2"/>
    <w:rsid w:val="00C37CE3"/>
    <w:rsid w:val="00C4003E"/>
    <w:rsid w:val="00C403FB"/>
    <w:rsid w:val="00C4064E"/>
    <w:rsid w:val="00C40819"/>
    <w:rsid w:val="00C40864"/>
    <w:rsid w:val="00C408C7"/>
    <w:rsid w:val="00C414E4"/>
    <w:rsid w:val="00C41716"/>
    <w:rsid w:val="00C417C6"/>
    <w:rsid w:val="00C41AC3"/>
    <w:rsid w:val="00C42257"/>
    <w:rsid w:val="00C42D21"/>
    <w:rsid w:val="00C42D8A"/>
    <w:rsid w:val="00C4327E"/>
    <w:rsid w:val="00C433EB"/>
    <w:rsid w:val="00C43631"/>
    <w:rsid w:val="00C43678"/>
    <w:rsid w:val="00C43690"/>
    <w:rsid w:val="00C437C7"/>
    <w:rsid w:val="00C4380B"/>
    <w:rsid w:val="00C43E0F"/>
    <w:rsid w:val="00C440E2"/>
    <w:rsid w:val="00C4424D"/>
    <w:rsid w:val="00C4426D"/>
    <w:rsid w:val="00C4456C"/>
    <w:rsid w:val="00C44D71"/>
    <w:rsid w:val="00C44F11"/>
    <w:rsid w:val="00C450A7"/>
    <w:rsid w:val="00C45F94"/>
    <w:rsid w:val="00C461CF"/>
    <w:rsid w:val="00C463A0"/>
    <w:rsid w:val="00C465EE"/>
    <w:rsid w:val="00C46731"/>
    <w:rsid w:val="00C46747"/>
    <w:rsid w:val="00C46E26"/>
    <w:rsid w:val="00C470B0"/>
    <w:rsid w:val="00C4726A"/>
    <w:rsid w:val="00C47526"/>
    <w:rsid w:val="00C47554"/>
    <w:rsid w:val="00C477A5"/>
    <w:rsid w:val="00C47812"/>
    <w:rsid w:val="00C47D9E"/>
    <w:rsid w:val="00C503D4"/>
    <w:rsid w:val="00C50DEB"/>
    <w:rsid w:val="00C50F86"/>
    <w:rsid w:val="00C51754"/>
    <w:rsid w:val="00C517C4"/>
    <w:rsid w:val="00C51880"/>
    <w:rsid w:val="00C52650"/>
    <w:rsid w:val="00C527D3"/>
    <w:rsid w:val="00C5295A"/>
    <w:rsid w:val="00C5295C"/>
    <w:rsid w:val="00C52E14"/>
    <w:rsid w:val="00C5307B"/>
    <w:rsid w:val="00C537CC"/>
    <w:rsid w:val="00C53C54"/>
    <w:rsid w:val="00C53C83"/>
    <w:rsid w:val="00C53C9D"/>
    <w:rsid w:val="00C53F13"/>
    <w:rsid w:val="00C53F3F"/>
    <w:rsid w:val="00C54488"/>
    <w:rsid w:val="00C547C2"/>
    <w:rsid w:val="00C547E2"/>
    <w:rsid w:val="00C54855"/>
    <w:rsid w:val="00C55558"/>
    <w:rsid w:val="00C5566A"/>
    <w:rsid w:val="00C55F11"/>
    <w:rsid w:val="00C56009"/>
    <w:rsid w:val="00C5606C"/>
    <w:rsid w:val="00C566C0"/>
    <w:rsid w:val="00C56A23"/>
    <w:rsid w:val="00C56D90"/>
    <w:rsid w:val="00C5712B"/>
    <w:rsid w:val="00C603AF"/>
    <w:rsid w:val="00C606FD"/>
    <w:rsid w:val="00C608E3"/>
    <w:rsid w:val="00C60BE1"/>
    <w:rsid w:val="00C610D2"/>
    <w:rsid w:val="00C61425"/>
    <w:rsid w:val="00C615AB"/>
    <w:rsid w:val="00C61BC0"/>
    <w:rsid w:val="00C61F43"/>
    <w:rsid w:val="00C6207C"/>
    <w:rsid w:val="00C6213C"/>
    <w:rsid w:val="00C624A0"/>
    <w:rsid w:val="00C6251A"/>
    <w:rsid w:val="00C62965"/>
    <w:rsid w:val="00C62B7A"/>
    <w:rsid w:val="00C62D45"/>
    <w:rsid w:val="00C62E49"/>
    <w:rsid w:val="00C63508"/>
    <w:rsid w:val="00C638DE"/>
    <w:rsid w:val="00C63A85"/>
    <w:rsid w:val="00C63C4E"/>
    <w:rsid w:val="00C64068"/>
    <w:rsid w:val="00C64F36"/>
    <w:rsid w:val="00C65282"/>
    <w:rsid w:val="00C65451"/>
    <w:rsid w:val="00C65473"/>
    <w:rsid w:val="00C65BBF"/>
    <w:rsid w:val="00C65E84"/>
    <w:rsid w:val="00C665D2"/>
    <w:rsid w:val="00C667C5"/>
    <w:rsid w:val="00C667FB"/>
    <w:rsid w:val="00C668BD"/>
    <w:rsid w:val="00C669BA"/>
    <w:rsid w:val="00C66BD2"/>
    <w:rsid w:val="00C66D79"/>
    <w:rsid w:val="00C66DB9"/>
    <w:rsid w:val="00C66DE7"/>
    <w:rsid w:val="00C67461"/>
    <w:rsid w:val="00C67559"/>
    <w:rsid w:val="00C6771A"/>
    <w:rsid w:val="00C67863"/>
    <w:rsid w:val="00C67929"/>
    <w:rsid w:val="00C67BE2"/>
    <w:rsid w:val="00C67CE0"/>
    <w:rsid w:val="00C700C0"/>
    <w:rsid w:val="00C700CD"/>
    <w:rsid w:val="00C7021E"/>
    <w:rsid w:val="00C705F8"/>
    <w:rsid w:val="00C7075C"/>
    <w:rsid w:val="00C70BD3"/>
    <w:rsid w:val="00C70F19"/>
    <w:rsid w:val="00C711BA"/>
    <w:rsid w:val="00C71213"/>
    <w:rsid w:val="00C713D1"/>
    <w:rsid w:val="00C71920"/>
    <w:rsid w:val="00C71A02"/>
    <w:rsid w:val="00C720ED"/>
    <w:rsid w:val="00C7228C"/>
    <w:rsid w:val="00C723D3"/>
    <w:rsid w:val="00C724B9"/>
    <w:rsid w:val="00C725B3"/>
    <w:rsid w:val="00C72C18"/>
    <w:rsid w:val="00C72FA0"/>
    <w:rsid w:val="00C731F4"/>
    <w:rsid w:val="00C73299"/>
    <w:rsid w:val="00C732C5"/>
    <w:rsid w:val="00C73836"/>
    <w:rsid w:val="00C73886"/>
    <w:rsid w:val="00C73C37"/>
    <w:rsid w:val="00C73EB7"/>
    <w:rsid w:val="00C7465A"/>
    <w:rsid w:val="00C747D2"/>
    <w:rsid w:val="00C74A1E"/>
    <w:rsid w:val="00C74EF8"/>
    <w:rsid w:val="00C753DC"/>
    <w:rsid w:val="00C75680"/>
    <w:rsid w:val="00C757B5"/>
    <w:rsid w:val="00C757E6"/>
    <w:rsid w:val="00C75811"/>
    <w:rsid w:val="00C7613B"/>
    <w:rsid w:val="00C76916"/>
    <w:rsid w:val="00C77394"/>
    <w:rsid w:val="00C774CE"/>
    <w:rsid w:val="00C776AB"/>
    <w:rsid w:val="00C7788E"/>
    <w:rsid w:val="00C77DDB"/>
    <w:rsid w:val="00C77EA6"/>
    <w:rsid w:val="00C77EB6"/>
    <w:rsid w:val="00C801E8"/>
    <w:rsid w:val="00C802BD"/>
    <w:rsid w:val="00C802E8"/>
    <w:rsid w:val="00C80681"/>
    <w:rsid w:val="00C806AD"/>
    <w:rsid w:val="00C807CF"/>
    <w:rsid w:val="00C80831"/>
    <w:rsid w:val="00C816F5"/>
    <w:rsid w:val="00C81DBB"/>
    <w:rsid w:val="00C820AF"/>
    <w:rsid w:val="00C82176"/>
    <w:rsid w:val="00C822B7"/>
    <w:rsid w:val="00C82350"/>
    <w:rsid w:val="00C8291A"/>
    <w:rsid w:val="00C82928"/>
    <w:rsid w:val="00C82B71"/>
    <w:rsid w:val="00C82EFF"/>
    <w:rsid w:val="00C82F90"/>
    <w:rsid w:val="00C83038"/>
    <w:rsid w:val="00C83724"/>
    <w:rsid w:val="00C838CD"/>
    <w:rsid w:val="00C83A71"/>
    <w:rsid w:val="00C83CB7"/>
    <w:rsid w:val="00C83CFD"/>
    <w:rsid w:val="00C83DD8"/>
    <w:rsid w:val="00C841E6"/>
    <w:rsid w:val="00C84247"/>
    <w:rsid w:val="00C842EE"/>
    <w:rsid w:val="00C84520"/>
    <w:rsid w:val="00C84A24"/>
    <w:rsid w:val="00C84B38"/>
    <w:rsid w:val="00C84F2C"/>
    <w:rsid w:val="00C851BB"/>
    <w:rsid w:val="00C85AEC"/>
    <w:rsid w:val="00C86278"/>
    <w:rsid w:val="00C86B6C"/>
    <w:rsid w:val="00C86C60"/>
    <w:rsid w:val="00C86F98"/>
    <w:rsid w:val="00C872F0"/>
    <w:rsid w:val="00C8734A"/>
    <w:rsid w:val="00C8737E"/>
    <w:rsid w:val="00C87575"/>
    <w:rsid w:val="00C8767E"/>
    <w:rsid w:val="00C87AD6"/>
    <w:rsid w:val="00C87C7E"/>
    <w:rsid w:val="00C87F83"/>
    <w:rsid w:val="00C90B5C"/>
    <w:rsid w:val="00C91325"/>
    <w:rsid w:val="00C91693"/>
    <w:rsid w:val="00C91F15"/>
    <w:rsid w:val="00C92099"/>
    <w:rsid w:val="00C92282"/>
    <w:rsid w:val="00C9243E"/>
    <w:rsid w:val="00C929B6"/>
    <w:rsid w:val="00C92C10"/>
    <w:rsid w:val="00C92D37"/>
    <w:rsid w:val="00C92EFE"/>
    <w:rsid w:val="00C93766"/>
    <w:rsid w:val="00C9386D"/>
    <w:rsid w:val="00C939FC"/>
    <w:rsid w:val="00C93A9C"/>
    <w:rsid w:val="00C93DF1"/>
    <w:rsid w:val="00C93EB4"/>
    <w:rsid w:val="00C94124"/>
    <w:rsid w:val="00C94910"/>
    <w:rsid w:val="00C94927"/>
    <w:rsid w:val="00C9516A"/>
    <w:rsid w:val="00C951AB"/>
    <w:rsid w:val="00C9599B"/>
    <w:rsid w:val="00C95A70"/>
    <w:rsid w:val="00C95AF4"/>
    <w:rsid w:val="00C95C31"/>
    <w:rsid w:val="00C96533"/>
    <w:rsid w:val="00C96581"/>
    <w:rsid w:val="00C96C14"/>
    <w:rsid w:val="00C96C4F"/>
    <w:rsid w:val="00C96CB4"/>
    <w:rsid w:val="00C96D65"/>
    <w:rsid w:val="00C96E10"/>
    <w:rsid w:val="00C973C9"/>
    <w:rsid w:val="00C9769B"/>
    <w:rsid w:val="00C977AC"/>
    <w:rsid w:val="00C97AF4"/>
    <w:rsid w:val="00C97B20"/>
    <w:rsid w:val="00CA0F8C"/>
    <w:rsid w:val="00CA14D8"/>
    <w:rsid w:val="00CA1CD8"/>
    <w:rsid w:val="00CA1F73"/>
    <w:rsid w:val="00CA2000"/>
    <w:rsid w:val="00CA22FB"/>
    <w:rsid w:val="00CA26C6"/>
    <w:rsid w:val="00CA28C8"/>
    <w:rsid w:val="00CA2A30"/>
    <w:rsid w:val="00CA34E2"/>
    <w:rsid w:val="00CA36F5"/>
    <w:rsid w:val="00CA3AF3"/>
    <w:rsid w:val="00CA3C7D"/>
    <w:rsid w:val="00CA3F3E"/>
    <w:rsid w:val="00CA4278"/>
    <w:rsid w:val="00CA49A8"/>
    <w:rsid w:val="00CA49E1"/>
    <w:rsid w:val="00CA4E66"/>
    <w:rsid w:val="00CA4E9A"/>
    <w:rsid w:val="00CA5283"/>
    <w:rsid w:val="00CA5524"/>
    <w:rsid w:val="00CA5925"/>
    <w:rsid w:val="00CA5D36"/>
    <w:rsid w:val="00CA6199"/>
    <w:rsid w:val="00CA63C9"/>
    <w:rsid w:val="00CA6426"/>
    <w:rsid w:val="00CA6865"/>
    <w:rsid w:val="00CA6AF7"/>
    <w:rsid w:val="00CA6F39"/>
    <w:rsid w:val="00CA7278"/>
    <w:rsid w:val="00CA731D"/>
    <w:rsid w:val="00CA77A7"/>
    <w:rsid w:val="00CA7C06"/>
    <w:rsid w:val="00CA7D76"/>
    <w:rsid w:val="00CA7EA6"/>
    <w:rsid w:val="00CA7EBD"/>
    <w:rsid w:val="00CA7FAB"/>
    <w:rsid w:val="00CA7FFD"/>
    <w:rsid w:val="00CB00B0"/>
    <w:rsid w:val="00CB011B"/>
    <w:rsid w:val="00CB0147"/>
    <w:rsid w:val="00CB0707"/>
    <w:rsid w:val="00CB0841"/>
    <w:rsid w:val="00CB0BDC"/>
    <w:rsid w:val="00CB0E47"/>
    <w:rsid w:val="00CB0FAE"/>
    <w:rsid w:val="00CB1253"/>
    <w:rsid w:val="00CB1278"/>
    <w:rsid w:val="00CB12B7"/>
    <w:rsid w:val="00CB131B"/>
    <w:rsid w:val="00CB14A9"/>
    <w:rsid w:val="00CB1586"/>
    <w:rsid w:val="00CB17A8"/>
    <w:rsid w:val="00CB17C3"/>
    <w:rsid w:val="00CB186F"/>
    <w:rsid w:val="00CB1DA0"/>
    <w:rsid w:val="00CB1ED0"/>
    <w:rsid w:val="00CB1F75"/>
    <w:rsid w:val="00CB2027"/>
    <w:rsid w:val="00CB2043"/>
    <w:rsid w:val="00CB20A1"/>
    <w:rsid w:val="00CB2397"/>
    <w:rsid w:val="00CB2C48"/>
    <w:rsid w:val="00CB2D75"/>
    <w:rsid w:val="00CB2D9E"/>
    <w:rsid w:val="00CB30AA"/>
    <w:rsid w:val="00CB32E5"/>
    <w:rsid w:val="00CB36B1"/>
    <w:rsid w:val="00CB39BB"/>
    <w:rsid w:val="00CB3A60"/>
    <w:rsid w:val="00CB3BEE"/>
    <w:rsid w:val="00CB3E52"/>
    <w:rsid w:val="00CB3FB6"/>
    <w:rsid w:val="00CB40CF"/>
    <w:rsid w:val="00CB465F"/>
    <w:rsid w:val="00CB46F8"/>
    <w:rsid w:val="00CB491C"/>
    <w:rsid w:val="00CB4AA0"/>
    <w:rsid w:val="00CB5156"/>
    <w:rsid w:val="00CB531E"/>
    <w:rsid w:val="00CB536B"/>
    <w:rsid w:val="00CB540B"/>
    <w:rsid w:val="00CB5766"/>
    <w:rsid w:val="00CB59E6"/>
    <w:rsid w:val="00CB63C9"/>
    <w:rsid w:val="00CB65AB"/>
    <w:rsid w:val="00CB68C7"/>
    <w:rsid w:val="00CB6AC7"/>
    <w:rsid w:val="00CB6B9C"/>
    <w:rsid w:val="00CB6C6E"/>
    <w:rsid w:val="00CB6D8F"/>
    <w:rsid w:val="00CB6E70"/>
    <w:rsid w:val="00CB7225"/>
    <w:rsid w:val="00CB7513"/>
    <w:rsid w:val="00CB7611"/>
    <w:rsid w:val="00CB7708"/>
    <w:rsid w:val="00CB7914"/>
    <w:rsid w:val="00CB7A3F"/>
    <w:rsid w:val="00CB7E3E"/>
    <w:rsid w:val="00CB7EC6"/>
    <w:rsid w:val="00CC0146"/>
    <w:rsid w:val="00CC065A"/>
    <w:rsid w:val="00CC08E6"/>
    <w:rsid w:val="00CC0A3A"/>
    <w:rsid w:val="00CC0FD9"/>
    <w:rsid w:val="00CC1141"/>
    <w:rsid w:val="00CC1204"/>
    <w:rsid w:val="00CC151B"/>
    <w:rsid w:val="00CC19AA"/>
    <w:rsid w:val="00CC20F6"/>
    <w:rsid w:val="00CC2727"/>
    <w:rsid w:val="00CC30A3"/>
    <w:rsid w:val="00CC34E2"/>
    <w:rsid w:val="00CC374E"/>
    <w:rsid w:val="00CC3CE3"/>
    <w:rsid w:val="00CC41FB"/>
    <w:rsid w:val="00CC42F5"/>
    <w:rsid w:val="00CC445C"/>
    <w:rsid w:val="00CC45A4"/>
    <w:rsid w:val="00CC4696"/>
    <w:rsid w:val="00CC4F12"/>
    <w:rsid w:val="00CC64FD"/>
    <w:rsid w:val="00CC65DD"/>
    <w:rsid w:val="00CC6A56"/>
    <w:rsid w:val="00CC6C11"/>
    <w:rsid w:val="00CC6F2A"/>
    <w:rsid w:val="00CC73EC"/>
    <w:rsid w:val="00CC7CD4"/>
    <w:rsid w:val="00CC7F1F"/>
    <w:rsid w:val="00CC7FEA"/>
    <w:rsid w:val="00CD00D3"/>
    <w:rsid w:val="00CD0510"/>
    <w:rsid w:val="00CD0667"/>
    <w:rsid w:val="00CD0962"/>
    <w:rsid w:val="00CD0976"/>
    <w:rsid w:val="00CD16A2"/>
    <w:rsid w:val="00CD1751"/>
    <w:rsid w:val="00CD19EA"/>
    <w:rsid w:val="00CD1BF8"/>
    <w:rsid w:val="00CD261E"/>
    <w:rsid w:val="00CD2D24"/>
    <w:rsid w:val="00CD3492"/>
    <w:rsid w:val="00CD34C4"/>
    <w:rsid w:val="00CD38C3"/>
    <w:rsid w:val="00CD3C6F"/>
    <w:rsid w:val="00CD3EA1"/>
    <w:rsid w:val="00CD3F09"/>
    <w:rsid w:val="00CD3FDE"/>
    <w:rsid w:val="00CD48CF"/>
    <w:rsid w:val="00CD4925"/>
    <w:rsid w:val="00CD4C48"/>
    <w:rsid w:val="00CD4D54"/>
    <w:rsid w:val="00CD4DD8"/>
    <w:rsid w:val="00CD4ED0"/>
    <w:rsid w:val="00CD538B"/>
    <w:rsid w:val="00CD5527"/>
    <w:rsid w:val="00CD56B5"/>
    <w:rsid w:val="00CD5A32"/>
    <w:rsid w:val="00CD5AB5"/>
    <w:rsid w:val="00CD5C52"/>
    <w:rsid w:val="00CD5D0D"/>
    <w:rsid w:val="00CD625C"/>
    <w:rsid w:val="00CD6494"/>
    <w:rsid w:val="00CD6559"/>
    <w:rsid w:val="00CD6566"/>
    <w:rsid w:val="00CD6E95"/>
    <w:rsid w:val="00CD736B"/>
    <w:rsid w:val="00CD73B6"/>
    <w:rsid w:val="00CD771C"/>
    <w:rsid w:val="00CE0303"/>
    <w:rsid w:val="00CE054A"/>
    <w:rsid w:val="00CE066B"/>
    <w:rsid w:val="00CE0909"/>
    <w:rsid w:val="00CE0F98"/>
    <w:rsid w:val="00CE1B6B"/>
    <w:rsid w:val="00CE1EE4"/>
    <w:rsid w:val="00CE24BD"/>
    <w:rsid w:val="00CE26F2"/>
    <w:rsid w:val="00CE2850"/>
    <w:rsid w:val="00CE2897"/>
    <w:rsid w:val="00CE2DFD"/>
    <w:rsid w:val="00CE32BD"/>
    <w:rsid w:val="00CE36BA"/>
    <w:rsid w:val="00CE390F"/>
    <w:rsid w:val="00CE3C4E"/>
    <w:rsid w:val="00CE3F4D"/>
    <w:rsid w:val="00CE415C"/>
    <w:rsid w:val="00CE450F"/>
    <w:rsid w:val="00CE4668"/>
    <w:rsid w:val="00CE4892"/>
    <w:rsid w:val="00CE4F7E"/>
    <w:rsid w:val="00CE5134"/>
    <w:rsid w:val="00CE5141"/>
    <w:rsid w:val="00CE5714"/>
    <w:rsid w:val="00CE61D2"/>
    <w:rsid w:val="00CE6445"/>
    <w:rsid w:val="00CE6877"/>
    <w:rsid w:val="00CE6C0E"/>
    <w:rsid w:val="00CE702C"/>
    <w:rsid w:val="00CE71F4"/>
    <w:rsid w:val="00CE7363"/>
    <w:rsid w:val="00CE743D"/>
    <w:rsid w:val="00CE76A4"/>
    <w:rsid w:val="00CE7AE5"/>
    <w:rsid w:val="00CE7C7A"/>
    <w:rsid w:val="00CF01B8"/>
    <w:rsid w:val="00CF0630"/>
    <w:rsid w:val="00CF0C7C"/>
    <w:rsid w:val="00CF0F79"/>
    <w:rsid w:val="00CF0FD6"/>
    <w:rsid w:val="00CF14C6"/>
    <w:rsid w:val="00CF1F64"/>
    <w:rsid w:val="00CF2644"/>
    <w:rsid w:val="00CF2BBD"/>
    <w:rsid w:val="00CF2EE7"/>
    <w:rsid w:val="00CF308E"/>
    <w:rsid w:val="00CF34A1"/>
    <w:rsid w:val="00CF35E5"/>
    <w:rsid w:val="00CF3845"/>
    <w:rsid w:val="00CF3D62"/>
    <w:rsid w:val="00CF40C9"/>
    <w:rsid w:val="00CF4F97"/>
    <w:rsid w:val="00CF4FFB"/>
    <w:rsid w:val="00CF54A3"/>
    <w:rsid w:val="00CF58ED"/>
    <w:rsid w:val="00CF594C"/>
    <w:rsid w:val="00CF5BB9"/>
    <w:rsid w:val="00CF5E30"/>
    <w:rsid w:val="00CF638B"/>
    <w:rsid w:val="00CF66BF"/>
    <w:rsid w:val="00CF6A39"/>
    <w:rsid w:val="00CF7236"/>
    <w:rsid w:val="00CF7406"/>
    <w:rsid w:val="00CF76AC"/>
    <w:rsid w:val="00CF7702"/>
    <w:rsid w:val="00CF78A6"/>
    <w:rsid w:val="00CF7933"/>
    <w:rsid w:val="00CF7AE0"/>
    <w:rsid w:val="00CF7FA0"/>
    <w:rsid w:val="00D00015"/>
    <w:rsid w:val="00D0055D"/>
    <w:rsid w:val="00D00E31"/>
    <w:rsid w:val="00D013D2"/>
    <w:rsid w:val="00D01789"/>
    <w:rsid w:val="00D01A0F"/>
    <w:rsid w:val="00D01DBD"/>
    <w:rsid w:val="00D01E0C"/>
    <w:rsid w:val="00D0253F"/>
    <w:rsid w:val="00D0280F"/>
    <w:rsid w:val="00D02845"/>
    <w:rsid w:val="00D0299D"/>
    <w:rsid w:val="00D02B5D"/>
    <w:rsid w:val="00D02C38"/>
    <w:rsid w:val="00D02CF5"/>
    <w:rsid w:val="00D0308F"/>
    <w:rsid w:val="00D0316B"/>
    <w:rsid w:val="00D03437"/>
    <w:rsid w:val="00D0365D"/>
    <w:rsid w:val="00D0396E"/>
    <w:rsid w:val="00D03C54"/>
    <w:rsid w:val="00D044D6"/>
    <w:rsid w:val="00D0456A"/>
    <w:rsid w:val="00D048EA"/>
    <w:rsid w:val="00D0491D"/>
    <w:rsid w:val="00D04AD2"/>
    <w:rsid w:val="00D04D5A"/>
    <w:rsid w:val="00D055CE"/>
    <w:rsid w:val="00D05D31"/>
    <w:rsid w:val="00D05E6F"/>
    <w:rsid w:val="00D06227"/>
    <w:rsid w:val="00D06336"/>
    <w:rsid w:val="00D0652B"/>
    <w:rsid w:val="00D068E1"/>
    <w:rsid w:val="00D06B57"/>
    <w:rsid w:val="00D0732F"/>
    <w:rsid w:val="00D07585"/>
    <w:rsid w:val="00D0787D"/>
    <w:rsid w:val="00D07D1F"/>
    <w:rsid w:val="00D10131"/>
    <w:rsid w:val="00D10423"/>
    <w:rsid w:val="00D106E0"/>
    <w:rsid w:val="00D1078F"/>
    <w:rsid w:val="00D107CA"/>
    <w:rsid w:val="00D107DF"/>
    <w:rsid w:val="00D108A8"/>
    <w:rsid w:val="00D10AD9"/>
    <w:rsid w:val="00D11347"/>
    <w:rsid w:val="00D117B6"/>
    <w:rsid w:val="00D1194D"/>
    <w:rsid w:val="00D12085"/>
    <w:rsid w:val="00D120BD"/>
    <w:rsid w:val="00D122CF"/>
    <w:rsid w:val="00D122E9"/>
    <w:rsid w:val="00D12C96"/>
    <w:rsid w:val="00D12D2A"/>
    <w:rsid w:val="00D12E41"/>
    <w:rsid w:val="00D13C03"/>
    <w:rsid w:val="00D13CFB"/>
    <w:rsid w:val="00D13F4A"/>
    <w:rsid w:val="00D14130"/>
    <w:rsid w:val="00D14905"/>
    <w:rsid w:val="00D1490B"/>
    <w:rsid w:val="00D149D4"/>
    <w:rsid w:val="00D14D13"/>
    <w:rsid w:val="00D14F86"/>
    <w:rsid w:val="00D15244"/>
    <w:rsid w:val="00D15455"/>
    <w:rsid w:val="00D155D1"/>
    <w:rsid w:val="00D15672"/>
    <w:rsid w:val="00D15798"/>
    <w:rsid w:val="00D15998"/>
    <w:rsid w:val="00D15BB0"/>
    <w:rsid w:val="00D15CB1"/>
    <w:rsid w:val="00D16328"/>
    <w:rsid w:val="00D165FC"/>
    <w:rsid w:val="00D16639"/>
    <w:rsid w:val="00D1663E"/>
    <w:rsid w:val="00D166A8"/>
    <w:rsid w:val="00D169DE"/>
    <w:rsid w:val="00D16AAA"/>
    <w:rsid w:val="00D16BFB"/>
    <w:rsid w:val="00D16F46"/>
    <w:rsid w:val="00D17FC2"/>
    <w:rsid w:val="00D17FDE"/>
    <w:rsid w:val="00D20137"/>
    <w:rsid w:val="00D201BD"/>
    <w:rsid w:val="00D2023C"/>
    <w:rsid w:val="00D204CA"/>
    <w:rsid w:val="00D206C7"/>
    <w:rsid w:val="00D20E26"/>
    <w:rsid w:val="00D210A4"/>
    <w:rsid w:val="00D21233"/>
    <w:rsid w:val="00D216AF"/>
    <w:rsid w:val="00D21B55"/>
    <w:rsid w:val="00D21C82"/>
    <w:rsid w:val="00D21CEA"/>
    <w:rsid w:val="00D21F08"/>
    <w:rsid w:val="00D2205D"/>
    <w:rsid w:val="00D220F4"/>
    <w:rsid w:val="00D2238E"/>
    <w:rsid w:val="00D224F3"/>
    <w:rsid w:val="00D225C2"/>
    <w:rsid w:val="00D2272C"/>
    <w:rsid w:val="00D22CE7"/>
    <w:rsid w:val="00D22D4F"/>
    <w:rsid w:val="00D22EC6"/>
    <w:rsid w:val="00D234D4"/>
    <w:rsid w:val="00D23715"/>
    <w:rsid w:val="00D2380A"/>
    <w:rsid w:val="00D23F11"/>
    <w:rsid w:val="00D2431E"/>
    <w:rsid w:val="00D2480E"/>
    <w:rsid w:val="00D24A91"/>
    <w:rsid w:val="00D24B96"/>
    <w:rsid w:val="00D250D2"/>
    <w:rsid w:val="00D2559C"/>
    <w:rsid w:val="00D2567A"/>
    <w:rsid w:val="00D25781"/>
    <w:rsid w:val="00D25B37"/>
    <w:rsid w:val="00D25BE7"/>
    <w:rsid w:val="00D25D74"/>
    <w:rsid w:val="00D2607B"/>
    <w:rsid w:val="00D2620D"/>
    <w:rsid w:val="00D26445"/>
    <w:rsid w:val="00D26769"/>
    <w:rsid w:val="00D26824"/>
    <w:rsid w:val="00D269C1"/>
    <w:rsid w:val="00D26C3A"/>
    <w:rsid w:val="00D27387"/>
    <w:rsid w:val="00D2745C"/>
    <w:rsid w:val="00D276B6"/>
    <w:rsid w:val="00D27721"/>
    <w:rsid w:val="00D300D4"/>
    <w:rsid w:val="00D303B6"/>
    <w:rsid w:val="00D30710"/>
    <w:rsid w:val="00D30A4E"/>
    <w:rsid w:val="00D30C41"/>
    <w:rsid w:val="00D30D1E"/>
    <w:rsid w:val="00D30E4D"/>
    <w:rsid w:val="00D30F35"/>
    <w:rsid w:val="00D3169A"/>
    <w:rsid w:val="00D31766"/>
    <w:rsid w:val="00D317DF"/>
    <w:rsid w:val="00D318E7"/>
    <w:rsid w:val="00D31EFC"/>
    <w:rsid w:val="00D32191"/>
    <w:rsid w:val="00D32229"/>
    <w:rsid w:val="00D32337"/>
    <w:rsid w:val="00D32613"/>
    <w:rsid w:val="00D32784"/>
    <w:rsid w:val="00D33420"/>
    <w:rsid w:val="00D33943"/>
    <w:rsid w:val="00D3404F"/>
    <w:rsid w:val="00D341F8"/>
    <w:rsid w:val="00D349B7"/>
    <w:rsid w:val="00D34B58"/>
    <w:rsid w:val="00D34C4C"/>
    <w:rsid w:val="00D34F72"/>
    <w:rsid w:val="00D35177"/>
    <w:rsid w:val="00D352FA"/>
    <w:rsid w:val="00D35363"/>
    <w:rsid w:val="00D353BE"/>
    <w:rsid w:val="00D355CA"/>
    <w:rsid w:val="00D358DD"/>
    <w:rsid w:val="00D35B75"/>
    <w:rsid w:val="00D35BA8"/>
    <w:rsid w:val="00D35F4B"/>
    <w:rsid w:val="00D36A24"/>
    <w:rsid w:val="00D36B22"/>
    <w:rsid w:val="00D36D86"/>
    <w:rsid w:val="00D3712B"/>
    <w:rsid w:val="00D371A3"/>
    <w:rsid w:val="00D37698"/>
    <w:rsid w:val="00D37858"/>
    <w:rsid w:val="00D3788D"/>
    <w:rsid w:val="00D37B2E"/>
    <w:rsid w:val="00D37E28"/>
    <w:rsid w:val="00D4006A"/>
    <w:rsid w:val="00D40356"/>
    <w:rsid w:val="00D40601"/>
    <w:rsid w:val="00D40A14"/>
    <w:rsid w:val="00D40A53"/>
    <w:rsid w:val="00D40B8B"/>
    <w:rsid w:val="00D40C27"/>
    <w:rsid w:val="00D40CF5"/>
    <w:rsid w:val="00D4156F"/>
    <w:rsid w:val="00D415E6"/>
    <w:rsid w:val="00D41AA9"/>
    <w:rsid w:val="00D41CDE"/>
    <w:rsid w:val="00D41D75"/>
    <w:rsid w:val="00D42425"/>
    <w:rsid w:val="00D42514"/>
    <w:rsid w:val="00D427D0"/>
    <w:rsid w:val="00D427DF"/>
    <w:rsid w:val="00D429A6"/>
    <w:rsid w:val="00D42A27"/>
    <w:rsid w:val="00D42A8F"/>
    <w:rsid w:val="00D42AB6"/>
    <w:rsid w:val="00D437E6"/>
    <w:rsid w:val="00D43F5E"/>
    <w:rsid w:val="00D44537"/>
    <w:rsid w:val="00D448DE"/>
    <w:rsid w:val="00D45026"/>
    <w:rsid w:val="00D45A8C"/>
    <w:rsid w:val="00D45F43"/>
    <w:rsid w:val="00D4619C"/>
    <w:rsid w:val="00D46336"/>
    <w:rsid w:val="00D46764"/>
    <w:rsid w:val="00D46C0E"/>
    <w:rsid w:val="00D470A6"/>
    <w:rsid w:val="00D473F3"/>
    <w:rsid w:val="00D47474"/>
    <w:rsid w:val="00D47B9A"/>
    <w:rsid w:val="00D501EC"/>
    <w:rsid w:val="00D50233"/>
    <w:rsid w:val="00D50270"/>
    <w:rsid w:val="00D5030B"/>
    <w:rsid w:val="00D50492"/>
    <w:rsid w:val="00D50A41"/>
    <w:rsid w:val="00D50B91"/>
    <w:rsid w:val="00D5139A"/>
    <w:rsid w:val="00D51883"/>
    <w:rsid w:val="00D51A52"/>
    <w:rsid w:val="00D51C3B"/>
    <w:rsid w:val="00D52381"/>
    <w:rsid w:val="00D5456F"/>
    <w:rsid w:val="00D54881"/>
    <w:rsid w:val="00D54A6D"/>
    <w:rsid w:val="00D54F8D"/>
    <w:rsid w:val="00D5508A"/>
    <w:rsid w:val="00D55664"/>
    <w:rsid w:val="00D55798"/>
    <w:rsid w:val="00D563D4"/>
    <w:rsid w:val="00D56525"/>
    <w:rsid w:val="00D569DA"/>
    <w:rsid w:val="00D56ADB"/>
    <w:rsid w:val="00D5717D"/>
    <w:rsid w:val="00D5748D"/>
    <w:rsid w:val="00D57C0D"/>
    <w:rsid w:val="00D57CFE"/>
    <w:rsid w:val="00D57E29"/>
    <w:rsid w:val="00D57F60"/>
    <w:rsid w:val="00D57FD1"/>
    <w:rsid w:val="00D606C8"/>
    <w:rsid w:val="00D60A0D"/>
    <w:rsid w:val="00D60C12"/>
    <w:rsid w:val="00D6109C"/>
    <w:rsid w:val="00D614CB"/>
    <w:rsid w:val="00D61662"/>
    <w:rsid w:val="00D61B65"/>
    <w:rsid w:val="00D61E15"/>
    <w:rsid w:val="00D6208E"/>
    <w:rsid w:val="00D624D0"/>
    <w:rsid w:val="00D624E1"/>
    <w:rsid w:val="00D62A68"/>
    <w:rsid w:val="00D63723"/>
    <w:rsid w:val="00D63CEE"/>
    <w:rsid w:val="00D63CF5"/>
    <w:rsid w:val="00D63FD0"/>
    <w:rsid w:val="00D641A7"/>
    <w:rsid w:val="00D642A9"/>
    <w:rsid w:val="00D647E1"/>
    <w:rsid w:val="00D64AA0"/>
    <w:rsid w:val="00D64D3B"/>
    <w:rsid w:val="00D65553"/>
    <w:rsid w:val="00D6558B"/>
    <w:rsid w:val="00D65625"/>
    <w:rsid w:val="00D658F9"/>
    <w:rsid w:val="00D65A68"/>
    <w:rsid w:val="00D65C80"/>
    <w:rsid w:val="00D65FF4"/>
    <w:rsid w:val="00D66060"/>
    <w:rsid w:val="00D660A2"/>
    <w:rsid w:val="00D66148"/>
    <w:rsid w:val="00D662FA"/>
    <w:rsid w:val="00D66337"/>
    <w:rsid w:val="00D663A2"/>
    <w:rsid w:val="00D66658"/>
    <w:rsid w:val="00D6683B"/>
    <w:rsid w:val="00D66BE7"/>
    <w:rsid w:val="00D66CAB"/>
    <w:rsid w:val="00D671AF"/>
    <w:rsid w:val="00D67466"/>
    <w:rsid w:val="00D67A70"/>
    <w:rsid w:val="00D67AB3"/>
    <w:rsid w:val="00D67B6A"/>
    <w:rsid w:val="00D67C27"/>
    <w:rsid w:val="00D704C0"/>
    <w:rsid w:val="00D70515"/>
    <w:rsid w:val="00D70D94"/>
    <w:rsid w:val="00D711BE"/>
    <w:rsid w:val="00D713E7"/>
    <w:rsid w:val="00D71AD0"/>
    <w:rsid w:val="00D71BA5"/>
    <w:rsid w:val="00D71F8F"/>
    <w:rsid w:val="00D72473"/>
    <w:rsid w:val="00D72AF2"/>
    <w:rsid w:val="00D730A1"/>
    <w:rsid w:val="00D730F3"/>
    <w:rsid w:val="00D73137"/>
    <w:rsid w:val="00D73637"/>
    <w:rsid w:val="00D73A55"/>
    <w:rsid w:val="00D73AE7"/>
    <w:rsid w:val="00D73D15"/>
    <w:rsid w:val="00D7433F"/>
    <w:rsid w:val="00D746AD"/>
    <w:rsid w:val="00D74764"/>
    <w:rsid w:val="00D74B18"/>
    <w:rsid w:val="00D74B85"/>
    <w:rsid w:val="00D74C2B"/>
    <w:rsid w:val="00D74E96"/>
    <w:rsid w:val="00D74EF4"/>
    <w:rsid w:val="00D74F38"/>
    <w:rsid w:val="00D7500F"/>
    <w:rsid w:val="00D7537B"/>
    <w:rsid w:val="00D75840"/>
    <w:rsid w:val="00D759C2"/>
    <w:rsid w:val="00D75C82"/>
    <w:rsid w:val="00D75D7D"/>
    <w:rsid w:val="00D75DCD"/>
    <w:rsid w:val="00D75DDF"/>
    <w:rsid w:val="00D75F1C"/>
    <w:rsid w:val="00D762A0"/>
    <w:rsid w:val="00D76521"/>
    <w:rsid w:val="00D765D5"/>
    <w:rsid w:val="00D76A9A"/>
    <w:rsid w:val="00D76EAE"/>
    <w:rsid w:val="00D77187"/>
    <w:rsid w:val="00D772E5"/>
    <w:rsid w:val="00D777CA"/>
    <w:rsid w:val="00D7784F"/>
    <w:rsid w:val="00D77F7D"/>
    <w:rsid w:val="00D802F7"/>
    <w:rsid w:val="00D808E9"/>
    <w:rsid w:val="00D80DA0"/>
    <w:rsid w:val="00D80FCB"/>
    <w:rsid w:val="00D81096"/>
    <w:rsid w:val="00D81326"/>
    <w:rsid w:val="00D81429"/>
    <w:rsid w:val="00D815E9"/>
    <w:rsid w:val="00D81949"/>
    <w:rsid w:val="00D819B6"/>
    <w:rsid w:val="00D81A7D"/>
    <w:rsid w:val="00D82057"/>
    <w:rsid w:val="00D821A3"/>
    <w:rsid w:val="00D822CF"/>
    <w:rsid w:val="00D82769"/>
    <w:rsid w:val="00D82AFF"/>
    <w:rsid w:val="00D82B8C"/>
    <w:rsid w:val="00D8311D"/>
    <w:rsid w:val="00D83142"/>
    <w:rsid w:val="00D8327A"/>
    <w:rsid w:val="00D83432"/>
    <w:rsid w:val="00D83647"/>
    <w:rsid w:val="00D83CBC"/>
    <w:rsid w:val="00D83E58"/>
    <w:rsid w:val="00D83FCC"/>
    <w:rsid w:val="00D84834"/>
    <w:rsid w:val="00D84AE3"/>
    <w:rsid w:val="00D84BD9"/>
    <w:rsid w:val="00D84E4C"/>
    <w:rsid w:val="00D84FAE"/>
    <w:rsid w:val="00D852F6"/>
    <w:rsid w:val="00D854E1"/>
    <w:rsid w:val="00D856FC"/>
    <w:rsid w:val="00D85873"/>
    <w:rsid w:val="00D858C2"/>
    <w:rsid w:val="00D86067"/>
    <w:rsid w:val="00D86290"/>
    <w:rsid w:val="00D8635B"/>
    <w:rsid w:val="00D866C1"/>
    <w:rsid w:val="00D86819"/>
    <w:rsid w:val="00D86845"/>
    <w:rsid w:val="00D86D71"/>
    <w:rsid w:val="00D86EBF"/>
    <w:rsid w:val="00D870EA"/>
    <w:rsid w:val="00D870EC"/>
    <w:rsid w:val="00D876BE"/>
    <w:rsid w:val="00D878FE"/>
    <w:rsid w:val="00D87ED2"/>
    <w:rsid w:val="00D90205"/>
    <w:rsid w:val="00D902C5"/>
    <w:rsid w:val="00D90464"/>
    <w:rsid w:val="00D904B3"/>
    <w:rsid w:val="00D908DE"/>
    <w:rsid w:val="00D909DB"/>
    <w:rsid w:val="00D90A05"/>
    <w:rsid w:val="00D90AD7"/>
    <w:rsid w:val="00D90E42"/>
    <w:rsid w:val="00D90FCF"/>
    <w:rsid w:val="00D91492"/>
    <w:rsid w:val="00D9176C"/>
    <w:rsid w:val="00D91DDD"/>
    <w:rsid w:val="00D92198"/>
    <w:rsid w:val="00D9252F"/>
    <w:rsid w:val="00D9303B"/>
    <w:rsid w:val="00D93605"/>
    <w:rsid w:val="00D936BB"/>
    <w:rsid w:val="00D93989"/>
    <w:rsid w:val="00D93ADB"/>
    <w:rsid w:val="00D940B6"/>
    <w:rsid w:val="00D941C5"/>
    <w:rsid w:val="00D9442D"/>
    <w:rsid w:val="00D9448F"/>
    <w:rsid w:val="00D945FD"/>
    <w:rsid w:val="00D94D33"/>
    <w:rsid w:val="00D94E96"/>
    <w:rsid w:val="00D95122"/>
    <w:rsid w:val="00D95928"/>
    <w:rsid w:val="00D95BAE"/>
    <w:rsid w:val="00D9660C"/>
    <w:rsid w:val="00D9670D"/>
    <w:rsid w:val="00D96C3D"/>
    <w:rsid w:val="00D9707A"/>
    <w:rsid w:val="00D9744D"/>
    <w:rsid w:val="00D97675"/>
    <w:rsid w:val="00D97677"/>
    <w:rsid w:val="00D978F2"/>
    <w:rsid w:val="00D97929"/>
    <w:rsid w:val="00D97985"/>
    <w:rsid w:val="00D97D63"/>
    <w:rsid w:val="00D97E96"/>
    <w:rsid w:val="00DA02EA"/>
    <w:rsid w:val="00DA0459"/>
    <w:rsid w:val="00DA105D"/>
    <w:rsid w:val="00DA119C"/>
    <w:rsid w:val="00DA1F9F"/>
    <w:rsid w:val="00DA2B5B"/>
    <w:rsid w:val="00DA2C57"/>
    <w:rsid w:val="00DA2CA6"/>
    <w:rsid w:val="00DA314F"/>
    <w:rsid w:val="00DA322A"/>
    <w:rsid w:val="00DA32A6"/>
    <w:rsid w:val="00DA38EB"/>
    <w:rsid w:val="00DA3E11"/>
    <w:rsid w:val="00DA3E8D"/>
    <w:rsid w:val="00DA3F50"/>
    <w:rsid w:val="00DA412C"/>
    <w:rsid w:val="00DA47AC"/>
    <w:rsid w:val="00DA503B"/>
    <w:rsid w:val="00DA51DD"/>
    <w:rsid w:val="00DA5549"/>
    <w:rsid w:val="00DA57DF"/>
    <w:rsid w:val="00DA5CAD"/>
    <w:rsid w:val="00DA5E19"/>
    <w:rsid w:val="00DA5E88"/>
    <w:rsid w:val="00DA5F87"/>
    <w:rsid w:val="00DA60DF"/>
    <w:rsid w:val="00DA60E7"/>
    <w:rsid w:val="00DA62E6"/>
    <w:rsid w:val="00DA63D8"/>
    <w:rsid w:val="00DA6541"/>
    <w:rsid w:val="00DA668A"/>
    <w:rsid w:val="00DA6AC5"/>
    <w:rsid w:val="00DA6B67"/>
    <w:rsid w:val="00DA7093"/>
    <w:rsid w:val="00DA7221"/>
    <w:rsid w:val="00DA72DB"/>
    <w:rsid w:val="00DA733F"/>
    <w:rsid w:val="00DA768C"/>
    <w:rsid w:val="00DA7A27"/>
    <w:rsid w:val="00DA7ADF"/>
    <w:rsid w:val="00DA7FB7"/>
    <w:rsid w:val="00DB02DB"/>
    <w:rsid w:val="00DB0772"/>
    <w:rsid w:val="00DB0A8F"/>
    <w:rsid w:val="00DB0BE9"/>
    <w:rsid w:val="00DB0CB3"/>
    <w:rsid w:val="00DB0FA4"/>
    <w:rsid w:val="00DB1352"/>
    <w:rsid w:val="00DB13E0"/>
    <w:rsid w:val="00DB164F"/>
    <w:rsid w:val="00DB1B6D"/>
    <w:rsid w:val="00DB1DB8"/>
    <w:rsid w:val="00DB2309"/>
    <w:rsid w:val="00DB23C8"/>
    <w:rsid w:val="00DB2479"/>
    <w:rsid w:val="00DB2584"/>
    <w:rsid w:val="00DB2867"/>
    <w:rsid w:val="00DB2BF9"/>
    <w:rsid w:val="00DB2E33"/>
    <w:rsid w:val="00DB2EF8"/>
    <w:rsid w:val="00DB30E0"/>
    <w:rsid w:val="00DB3ADB"/>
    <w:rsid w:val="00DB3BC6"/>
    <w:rsid w:val="00DB3D7E"/>
    <w:rsid w:val="00DB3F27"/>
    <w:rsid w:val="00DB41B6"/>
    <w:rsid w:val="00DB475F"/>
    <w:rsid w:val="00DB48AE"/>
    <w:rsid w:val="00DB4EB1"/>
    <w:rsid w:val="00DB4FC5"/>
    <w:rsid w:val="00DB5445"/>
    <w:rsid w:val="00DB54C9"/>
    <w:rsid w:val="00DB57D6"/>
    <w:rsid w:val="00DB5C85"/>
    <w:rsid w:val="00DB5EA2"/>
    <w:rsid w:val="00DB61C2"/>
    <w:rsid w:val="00DB63B6"/>
    <w:rsid w:val="00DB6A07"/>
    <w:rsid w:val="00DB6ABC"/>
    <w:rsid w:val="00DB6FB7"/>
    <w:rsid w:val="00DB6FE0"/>
    <w:rsid w:val="00DB771D"/>
    <w:rsid w:val="00DB7EF4"/>
    <w:rsid w:val="00DB7F57"/>
    <w:rsid w:val="00DC0117"/>
    <w:rsid w:val="00DC05BE"/>
    <w:rsid w:val="00DC0604"/>
    <w:rsid w:val="00DC0767"/>
    <w:rsid w:val="00DC0A9A"/>
    <w:rsid w:val="00DC0B88"/>
    <w:rsid w:val="00DC0F3B"/>
    <w:rsid w:val="00DC11DA"/>
    <w:rsid w:val="00DC12E8"/>
    <w:rsid w:val="00DC132E"/>
    <w:rsid w:val="00DC135C"/>
    <w:rsid w:val="00DC147D"/>
    <w:rsid w:val="00DC1651"/>
    <w:rsid w:val="00DC17DD"/>
    <w:rsid w:val="00DC1828"/>
    <w:rsid w:val="00DC183A"/>
    <w:rsid w:val="00DC1CC3"/>
    <w:rsid w:val="00DC20D2"/>
    <w:rsid w:val="00DC222F"/>
    <w:rsid w:val="00DC2EA4"/>
    <w:rsid w:val="00DC2EB7"/>
    <w:rsid w:val="00DC3AFD"/>
    <w:rsid w:val="00DC3AFF"/>
    <w:rsid w:val="00DC3BD7"/>
    <w:rsid w:val="00DC3CBD"/>
    <w:rsid w:val="00DC4350"/>
    <w:rsid w:val="00DC4F64"/>
    <w:rsid w:val="00DC518E"/>
    <w:rsid w:val="00DC563E"/>
    <w:rsid w:val="00DC5654"/>
    <w:rsid w:val="00DC5EAC"/>
    <w:rsid w:val="00DC5F69"/>
    <w:rsid w:val="00DC627D"/>
    <w:rsid w:val="00DC6454"/>
    <w:rsid w:val="00DC6A8F"/>
    <w:rsid w:val="00DC70DB"/>
    <w:rsid w:val="00DC7404"/>
    <w:rsid w:val="00DC7AA2"/>
    <w:rsid w:val="00DC7BDE"/>
    <w:rsid w:val="00DC7CD3"/>
    <w:rsid w:val="00DD0177"/>
    <w:rsid w:val="00DD0394"/>
    <w:rsid w:val="00DD039F"/>
    <w:rsid w:val="00DD09C7"/>
    <w:rsid w:val="00DD10A0"/>
    <w:rsid w:val="00DD1807"/>
    <w:rsid w:val="00DD1EB9"/>
    <w:rsid w:val="00DD1F86"/>
    <w:rsid w:val="00DD2012"/>
    <w:rsid w:val="00DD21EB"/>
    <w:rsid w:val="00DD2332"/>
    <w:rsid w:val="00DD26E5"/>
    <w:rsid w:val="00DD272A"/>
    <w:rsid w:val="00DD2AA1"/>
    <w:rsid w:val="00DD2BBE"/>
    <w:rsid w:val="00DD3861"/>
    <w:rsid w:val="00DD3A88"/>
    <w:rsid w:val="00DD40CB"/>
    <w:rsid w:val="00DD466A"/>
    <w:rsid w:val="00DD4B14"/>
    <w:rsid w:val="00DD4E59"/>
    <w:rsid w:val="00DD51C0"/>
    <w:rsid w:val="00DD51EF"/>
    <w:rsid w:val="00DD51FB"/>
    <w:rsid w:val="00DD528A"/>
    <w:rsid w:val="00DD5424"/>
    <w:rsid w:val="00DD5C8B"/>
    <w:rsid w:val="00DD5E06"/>
    <w:rsid w:val="00DD6A22"/>
    <w:rsid w:val="00DD6FAD"/>
    <w:rsid w:val="00DD72FA"/>
    <w:rsid w:val="00DD7664"/>
    <w:rsid w:val="00DD78C4"/>
    <w:rsid w:val="00DD78CA"/>
    <w:rsid w:val="00DD7F02"/>
    <w:rsid w:val="00DE02D7"/>
    <w:rsid w:val="00DE0534"/>
    <w:rsid w:val="00DE099B"/>
    <w:rsid w:val="00DE0BD4"/>
    <w:rsid w:val="00DE0C55"/>
    <w:rsid w:val="00DE10AA"/>
    <w:rsid w:val="00DE1174"/>
    <w:rsid w:val="00DE17B9"/>
    <w:rsid w:val="00DE1A44"/>
    <w:rsid w:val="00DE1B2D"/>
    <w:rsid w:val="00DE1C49"/>
    <w:rsid w:val="00DE2283"/>
    <w:rsid w:val="00DE2F96"/>
    <w:rsid w:val="00DE3B09"/>
    <w:rsid w:val="00DE3C9B"/>
    <w:rsid w:val="00DE4395"/>
    <w:rsid w:val="00DE4409"/>
    <w:rsid w:val="00DE476B"/>
    <w:rsid w:val="00DE49A3"/>
    <w:rsid w:val="00DE49AA"/>
    <w:rsid w:val="00DE5256"/>
    <w:rsid w:val="00DE56AD"/>
    <w:rsid w:val="00DE5CCA"/>
    <w:rsid w:val="00DE5DEE"/>
    <w:rsid w:val="00DE6487"/>
    <w:rsid w:val="00DE6681"/>
    <w:rsid w:val="00DE6C13"/>
    <w:rsid w:val="00DE6C95"/>
    <w:rsid w:val="00DE6FE0"/>
    <w:rsid w:val="00DE7169"/>
    <w:rsid w:val="00DE71A6"/>
    <w:rsid w:val="00DE74E2"/>
    <w:rsid w:val="00DE793D"/>
    <w:rsid w:val="00DE7ADB"/>
    <w:rsid w:val="00DE7C8A"/>
    <w:rsid w:val="00DF01CD"/>
    <w:rsid w:val="00DF07B3"/>
    <w:rsid w:val="00DF0A88"/>
    <w:rsid w:val="00DF0DBC"/>
    <w:rsid w:val="00DF0DD7"/>
    <w:rsid w:val="00DF0EB1"/>
    <w:rsid w:val="00DF15D7"/>
    <w:rsid w:val="00DF17C4"/>
    <w:rsid w:val="00DF197C"/>
    <w:rsid w:val="00DF1B19"/>
    <w:rsid w:val="00DF1B1E"/>
    <w:rsid w:val="00DF1F65"/>
    <w:rsid w:val="00DF263C"/>
    <w:rsid w:val="00DF2AD3"/>
    <w:rsid w:val="00DF2C8E"/>
    <w:rsid w:val="00DF34EE"/>
    <w:rsid w:val="00DF35C2"/>
    <w:rsid w:val="00DF37CE"/>
    <w:rsid w:val="00DF3A33"/>
    <w:rsid w:val="00DF3BBE"/>
    <w:rsid w:val="00DF3EA8"/>
    <w:rsid w:val="00DF43CF"/>
    <w:rsid w:val="00DF45E8"/>
    <w:rsid w:val="00DF480B"/>
    <w:rsid w:val="00DF4FA7"/>
    <w:rsid w:val="00DF50D9"/>
    <w:rsid w:val="00DF51BD"/>
    <w:rsid w:val="00DF575E"/>
    <w:rsid w:val="00DF5AB0"/>
    <w:rsid w:val="00DF5B71"/>
    <w:rsid w:val="00DF5B7B"/>
    <w:rsid w:val="00DF5C48"/>
    <w:rsid w:val="00DF5CD6"/>
    <w:rsid w:val="00DF5F61"/>
    <w:rsid w:val="00DF6141"/>
    <w:rsid w:val="00DF6475"/>
    <w:rsid w:val="00DF6748"/>
    <w:rsid w:val="00DF6763"/>
    <w:rsid w:val="00DF6CB3"/>
    <w:rsid w:val="00DF6D00"/>
    <w:rsid w:val="00DF6D4D"/>
    <w:rsid w:val="00DF6DD8"/>
    <w:rsid w:val="00DF6FDF"/>
    <w:rsid w:val="00DF7711"/>
    <w:rsid w:val="00DF7A6A"/>
    <w:rsid w:val="00DF7BBD"/>
    <w:rsid w:val="00DF7EAF"/>
    <w:rsid w:val="00DF7FF4"/>
    <w:rsid w:val="00E0011D"/>
    <w:rsid w:val="00E00387"/>
    <w:rsid w:val="00E005D1"/>
    <w:rsid w:val="00E010E9"/>
    <w:rsid w:val="00E0110D"/>
    <w:rsid w:val="00E01133"/>
    <w:rsid w:val="00E011C1"/>
    <w:rsid w:val="00E015E1"/>
    <w:rsid w:val="00E0164A"/>
    <w:rsid w:val="00E016EA"/>
    <w:rsid w:val="00E01DA1"/>
    <w:rsid w:val="00E025CA"/>
    <w:rsid w:val="00E02634"/>
    <w:rsid w:val="00E0312D"/>
    <w:rsid w:val="00E0361F"/>
    <w:rsid w:val="00E036D3"/>
    <w:rsid w:val="00E038D5"/>
    <w:rsid w:val="00E0398F"/>
    <w:rsid w:val="00E03A9F"/>
    <w:rsid w:val="00E03F27"/>
    <w:rsid w:val="00E0419F"/>
    <w:rsid w:val="00E047DC"/>
    <w:rsid w:val="00E04E32"/>
    <w:rsid w:val="00E04E85"/>
    <w:rsid w:val="00E04EA0"/>
    <w:rsid w:val="00E05B7A"/>
    <w:rsid w:val="00E05BB3"/>
    <w:rsid w:val="00E05BD4"/>
    <w:rsid w:val="00E0602B"/>
    <w:rsid w:val="00E062B3"/>
    <w:rsid w:val="00E06664"/>
    <w:rsid w:val="00E06DEA"/>
    <w:rsid w:val="00E103A4"/>
    <w:rsid w:val="00E10442"/>
    <w:rsid w:val="00E10604"/>
    <w:rsid w:val="00E10B16"/>
    <w:rsid w:val="00E10D33"/>
    <w:rsid w:val="00E10E54"/>
    <w:rsid w:val="00E117D1"/>
    <w:rsid w:val="00E11C6F"/>
    <w:rsid w:val="00E11C95"/>
    <w:rsid w:val="00E12523"/>
    <w:rsid w:val="00E12E6F"/>
    <w:rsid w:val="00E130F0"/>
    <w:rsid w:val="00E13C0D"/>
    <w:rsid w:val="00E13CD7"/>
    <w:rsid w:val="00E14145"/>
    <w:rsid w:val="00E14222"/>
    <w:rsid w:val="00E14754"/>
    <w:rsid w:val="00E14897"/>
    <w:rsid w:val="00E15673"/>
    <w:rsid w:val="00E158A9"/>
    <w:rsid w:val="00E15AE3"/>
    <w:rsid w:val="00E1620E"/>
    <w:rsid w:val="00E16313"/>
    <w:rsid w:val="00E16778"/>
    <w:rsid w:val="00E169A4"/>
    <w:rsid w:val="00E16AAE"/>
    <w:rsid w:val="00E16BEA"/>
    <w:rsid w:val="00E16FDA"/>
    <w:rsid w:val="00E1706F"/>
    <w:rsid w:val="00E170E8"/>
    <w:rsid w:val="00E179FF"/>
    <w:rsid w:val="00E17AB4"/>
    <w:rsid w:val="00E17CBB"/>
    <w:rsid w:val="00E17E88"/>
    <w:rsid w:val="00E17F07"/>
    <w:rsid w:val="00E20138"/>
    <w:rsid w:val="00E2036F"/>
    <w:rsid w:val="00E20D63"/>
    <w:rsid w:val="00E215C5"/>
    <w:rsid w:val="00E217B5"/>
    <w:rsid w:val="00E21B6A"/>
    <w:rsid w:val="00E21D95"/>
    <w:rsid w:val="00E21E11"/>
    <w:rsid w:val="00E21F95"/>
    <w:rsid w:val="00E22056"/>
    <w:rsid w:val="00E22450"/>
    <w:rsid w:val="00E224F9"/>
    <w:rsid w:val="00E22DD5"/>
    <w:rsid w:val="00E23004"/>
    <w:rsid w:val="00E23046"/>
    <w:rsid w:val="00E233D5"/>
    <w:rsid w:val="00E23553"/>
    <w:rsid w:val="00E23CEC"/>
    <w:rsid w:val="00E23EE4"/>
    <w:rsid w:val="00E23EE6"/>
    <w:rsid w:val="00E24060"/>
    <w:rsid w:val="00E240BA"/>
    <w:rsid w:val="00E241A2"/>
    <w:rsid w:val="00E2446C"/>
    <w:rsid w:val="00E24C9A"/>
    <w:rsid w:val="00E24E95"/>
    <w:rsid w:val="00E250F0"/>
    <w:rsid w:val="00E252B0"/>
    <w:rsid w:val="00E25485"/>
    <w:rsid w:val="00E254A5"/>
    <w:rsid w:val="00E25641"/>
    <w:rsid w:val="00E25914"/>
    <w:rsid w:val="00E259D2"/>
    <w:rsid w:val="00E25D8C"/>
    <w:rsid w:val="00E25E9C"/>
    <w:rsid w:val="00E25EE4"/>
    <w:rsid w:val="00E26AAC"/>
    <w:rsid w:val="00E26C96"/>
    <w:rsid w:val="00E26D80"/>
    <w:rsid w:val="00E27067"/>
    <w:rsid w:val="00E27473"/>
    <w:rsid w:val="00E2775E"/>
    <w:rsid w:val="00E279F9"/>
    <w:rsid w:val="00E27C33"/>
    <w:rsid w:val="00E27C79"/>
    <w:rsid w:val="00E302EA"/>
    <w:rsid w:val="00E306EC"/>
    <w:rsid w:val="00E31BD5"/>
    <w:rsid w:val="00E31D0D"/>
    <w:rsid w:val="00E31D7B"/>
    <w:rsid w:val="00E32178"/>
    <w:rsid w:val="00E3235F"/>
    <w:rsid w:val="00E32678"/>
    <w:rsid w:val="00E327AD"/>
    <w:rsid w:val="00E328D0"/>
    <w:rsid w:val="00E32BF3"/>
    <w:rsid w:val="00E32C12"/>
    <w:rsid w:val="00E32C6B"/>
    <w:rsid w:val="00E3326F"/>
    <w:rsid w:val="00E33F0F"/>
    <w:rsid w:val="00E344A8"/>
    <w:rsid w:val="00E346DF"/>
    <w:rsid w:val="00E34E2E"/>
    <w:rsid w:val="00E351C4"/>
    <w:rsid w:val="00E35270"/>
    <w:rsid w:val="00E35CBA"/>
    <w:rsid w:val="00E3625D"/>
    <w:rsid w:val="00E36335"/>
    <w:rsid w:val="00E36442"/>
    <w:rsid w:val="00E369EB"/>
    <w:rsid w:val="00E36C7D"/>
    <w:rsid w:val="00E36E0A"/>
    <w:rsid w:val="00E37153"/>
    <w:rsid w:val="00E371C8"/>
    <w:rsid w:val="00E37613"/>
    <w:rsid w:val="00E37873"/>
    <w:rsid w:val="00E37DFD"/>
    <w:rsid w:val="00E37F46"/>
    <w:rsid w:val="00E40561"/>
    <w:rsid w:val="00E40A5F"/>
    <w:rsid w:val="00E40E97"/>
    <w:rsid w:val="00E4101E"/>
    <w:rsid w:val="00E410D8"/>
    <w:rsid w:val="00E41276"/>
    <w:rsid w:val="00E413B8"/>
    <w:rsid w:val="00E4171A"/>
    <w:rsid w:val="00E41739"/>
    <w:rsid w:val="00E41A18"/>
    <w:rsid w:val="00E41A31"/>
    <w:rsid w:val="00E41D25"/>
    <w:rsid w:val="00E41D5B"/>
    <w:rsid w:val="00E41F80"/>
    <w:rsid w:val="00E4229A"/>
    <w:rsid w:val="00E423C0"/>
    <w:rsid w:val="00E4265C"/>
    <w:rsid w:val="00E42693"/>
    <w:rsid w:val="00E426F1"/>
    <w:rsid w:val="00E4280D"/>
    <w:rsid w:val="00E42864"/>
    <w:rsid w:val="00E428CF"/>
    <w:rsid w:val="00E4295E"/>
    <w:rsid w:val="00E42984"/>
    <w:rsid w:val="00E42FA2"/>
    <w:rsid w:val="00E430B5"/>
    <w:rsid w:val="00E43390"/>
    <w:rsid w:val="00E433BD"/>
    <w:rsid w:val="00E43766"/>
    <w:rsid w:val="00E43BBF"/>
    <w:rsid w:val="00E43EEB"/>
    <w:rsid w:val="00E441A7"/>
    <w:rsid w:val="00E443C9"/>
    <w:rsid w:val="00E44680"/>
    <w:rsid w:val="00E44B28"/>
    <w:rsid w:val="00E44BD2"/>
    <w:rsid w:val="00E44C34"/>
    <w:rsid w:val="00E450FB"/>
    <w:rsid w:val="00E4547E"/>
    <w:rsid w:val="00E460E8"/>
    <w:rsid w:val="00E460F6"/>
    <w:rsid w:val="00E4663F"/>
    <w:rsid w:val="00E466D4"/>
    <w:rsid w:val="00E46854"/>
    <w:rsid w:val="00E468DE"/>
    <w:rsid w:val="00E4691B"/>
    <w:rsid w:val="00E4695A"/>
    <w:rsid w:val="00E469BA"/>
    <w:rsid w:val="00E469E2"/>
    <w:rsid w:val="00E46C09"/>
    <w:rsid w:val="00E46E27"/>
    <w:rsid w:val="00E476EA"/>
    <w:rsid w:val="00E47EAB"/>
    <w:rsid w:val="00E5016F"/>
    <w:rsid w:val="00E50481"/>
    <w:rsid w:val="00E507D1"/>
    <w:rsid w:val="00E50883"/>
    <w:rsid w:val="00E5096D"/>
    <w:rsid w:val="00E50A0F"/>
    <w:rsid w:val="00E50BA5"/>
    <w:rsid w:val="00E50CFD"/>
    <w:rsid w:val="00E51142"/>
    <w:rsid w:val="00E512F8"/>
    <w:rsid w:val="00E51376"/>
    <w:rsid w:val="00E5154E"/>
    <w:rsid w:val="00E516C8"/>
    <w:rsid w:val="00E517B5"/>
    <w:rsid w:val="00E51E36"/>
    <w:rsid w:val="00E52046"/>
    <w:rsid w:val="00E52265"/>
    <w:rsid w:val="00E52370"/>
    <w:rsid w:val="00E5318B"/>
    <w:rsid w:val="00E53323"/>
    <w:rsid w:val="00E53414"/>
    <w:rsid w:val="00E537E0"/>
    <w:rsid w:val="00E53820"/>
    <w:rsid w:val="00E538DA"/>
    <w:rsid w:val="00E53984"/>
    <w:rsid w:val="00E539A4"/>
    <w:rsid w:val="00E53CF1"/>
    <w:rsid w:val="00E53E98"/>
    <w:rsid w:val="00E54058"/>
    <w:rsid w:val="00E54132"/>
    <w:rsid w:val="00E5417B"/>
    <w:rsid w:val="00E54833"/>
    <w:rsid w:val="00E5497C"/>
    <w:rsid w:val="00E549C0"/>
    <w:rsid w:val="00E54AD1"/>
    <w:rsid w:val="00E54C38"/>
    <w:rsid w:val="00E553CC"/>
    <w:rsid w:val="00E558E4"/>
    <w:rsid w:val="00E55B46"/>
    <w:rsid w:val="00E55CF2"/>
    <w:rsid w:val="00E55EF6"/>
    <w:rsid w:val="00E56397"/>
    <w:rsid w:val="00E5655D"/>
    <w:rsid w:val="00E573D8"/>
    <w:rsid w:val="00E57638"/>
    <w:rsid w:val="00E57D1C"/>
    <w:rsid w:val="00E57F2A"/>
    <w:rsid w:val="00E57FE5"/>
    <w:rsid w:val="00E602AE"/>
    <w:rsid w:val="00E603B7"/>
    <w:rsid w:val="00E60B04"/>
    <w:rsid w:val="00E60D1B"/>
    <w:rsid w:val="00E6101B"/>
    <w:rsid w:val="00E61182"/>
    <w:rsid w:val="00E612F4"/>
    <w:rsid w:val="00E613F5"/>
    <w:rsid w:val="00E6147B"/>
    <w:rsid w:val="00E6159C"/>
    <w:rsid w:val="00E61616"/>
    <w:rsid w:val="00E61D52"/>
    <w:rsid w:val="00E61DE6"/>
    <w:rsid w:val="00E620C9"/>
    <w:rsid w:val="00E62562"/>
    <w:rsid w:val="00E62583"/>
    <w:rsid w:val="00E6264A"/>
    <w:rsid w:val="00E62795"/>
    <w:rsid w:val="00E62AB5"/>
    <w:rsid w:val="00E62CE6"/>
    <w:rsid w:val="00E62DBE"/>
    <w:rsid w:val="00E6359A"/>
    <w:rsid w:val="00E6393E"/>
    <w:rsid w:val="00E63AD3"/>
    <w:rsid w:val="00E63DAD"/>
    <w:rsid w:val="00E63E51"/>
    <w:rsid w:val="00E64272"/>
    <w:rsid w:val="00E6441A"/>
    <w:rsid w:val="00E648A0"/>
    <w:rsid w:val="00E6490C"/>
    <w:rsid w:val="00E64B62"/>
    <w:rsid w:val="00E65040"/>
    <w:rsid w:val="00E65073"/>
    <w:rsid w:val="00E65343"/>
    <w:rsid w:val="00E655DB"/>
    <w:rsid w:val="00E6571E"/>
    <w:rsid w:val="00E6597F"/>
    <w:rsid w:val="00E66027"/>
    <w:rsid w:val="00E6614A"/>
    <w:rsid w:val="00E66A7B"/>
    <w:rsid w:val="00E66CF6"/>
    <w:rsid w:val="00E66CF7"/>
    <w:rsid w:val="00E66DD9"/>
    <w:rsid w:val="00E66F55"/>
    <w:rsid w:val="00E66F64"/>
    <w:rsid w:val="00E6718D"/>
    <w:rsid w:val="00E678A9"/>
    <w:rsid w:val="00E7013D"/>
    <w:rsid w:val="00E70262"/>
    <w:rsid w:val="00E7033D"/>
    <w:rsid w:val="00E703DB"/>
    <w:rsid w:val="00E703DE"/>
    <w:rsid w:val="00E7068F"/>
    <w:rsid w:val="00E706C8"/>
    <w:rsid w:val="00E70993"/>
    <w:rsid w:val="00E70CB8"/>
    <w:rsid w:val="00E71331"/>
    <w:rsid w:val="00E7150A"/>
    <w:rsid w:val="00E71659"/>
    <w:rsid w:val="00E71712"/>
    <w:rsid w:val="00E7183F"/>
    <w:rsid w:val="00E7187F"/>
    <w:rsid w:val="00E71B1B"/>
    <w:rsid w:val="00E71F3B"/>
    <w:rsid w:val="00E721C6"/>
    <w:rsid w:val="00E726AE"/>
    <w:rsid w:val="00E727AB"/>
    <w:rsid w:val="00E72AAA"/>
    <w:rsid w:val="00E72CDA"/>
    <w:rsid w:val="00E72CFB"/>
    <w:rsid w:val="00E72D80"/>
    <w:rsid w:val="00E72FC8"/>
    <w:rsid w:val="00E73029"/>
    <w:rsid w:val="00E733DE"/>
    <w:rsid w:val="00E73673"/>
    <w:rsid w:val="00E73E59"/>
    <w:rsid w:val="00E73F41"/>
    <w:rsid w:val="00E742CE"/>
    <w:rsid w:val="00E743EC"/>
    <w:rsid w:val="00E74B4F"/>
    <w:rsid w:val="00E74C94"/>
    <w:rsid w:val="00E74E3A"/>
    <w:rsid w:val="00E75823"/>
    <w:rsid w:val="00E75B73"/>
    <w:rsid w:val="00E75C99"/>
    <w:rsid w:val="00E75FE8"/>
    <w:rsid w:val="00E760D5"/>
    <w:rsid w:val="00E76505"/>
    <w:rsid w:val="00E767E7"/>
    <w:rsid w:val="00E76A28"/>
    <w:rsid w:val="00E76B28"/>
    <w:rsid w:val="00E76F35"/>
    <w:rsid w:val="00E76FB1"/>
    <w:rsid w:val="00E77133"/>
    <w:rsid w:val="00E77162"/>
    <w:rsid w:val="00E77184"/>
    <w:rsid w:val="00E771CD"/>
    <w:rsid w:val="00E77683"/>
    <w:rsid w:val="00E776A1"/>
    <w:rsid w:val="00E7776E"/>
    <w:rsid w:val="00E778DA"/>
    <w:rsid w:val="00E77BCD"/>
    <w:rsid w:val="00E77E3B"/>
    <w:rsid w:val="00E77FC7"/>
    <w:rsid w:val="00E803B1"/>
    <w:rsid w:val="00E8053A"/>
    <w:rsid w:val="00E8085B"/>
    <w:rsid w:val="00E80980"/>
    <w:rsid w:val="00E80AFB"/>
    <w:rsid w:val="00E80D47"/>
    <w:rsid w:val="00E81088"/>
    <w:rsid w:val="00E810B6"/>
    <w:rsid w:val="00E815F2"/>
    <w:rsid w:val="00E8179E"/>
    <w:rsid w:val="00E818E6"/>
    <w:rsid w:val="00E81CC4"/>
    <w:rsid w:val="00E81D06"/>
    <w:rsid w:val="00E81E44"/>
    <w:rsid w:val="00E81E65"/>
    <w:rsid w:val="00E82333"/>
    <w:rsid w:val="00E824C6"/>
    <w:rsid w:val="00E8292D"/>
    <w:rsid w:val="00E82A91"/>
    <w:rsid w:val="00E82CE3"/>
    <w:rsid w:val="00E83380"/>
    <w:rsid w:val="00E8338F"/>
    <w:rsid w:val="00E835D1"/>
    <w:rsid w:val="00E835F9"/>
    <w:rsid w:val="00E83689"/>
    <w:rsid w:val="00E838CF"/>
    <w:rsid w:val="00E83F2A"/>
    <w:rsid w:val="00E84127"/>
    <w:rsid w:val="00E8454D"/>
    <w:rsid w:val="00E8469A"/>
    <w:rsid w:val="00E847C4"/>
    <w:rsid w:val="00E848A4"/>
    <w:rsid w:val="00E848B9"/>
    <w:rsid w:val="00E8500F"/>
    <w:rsid w:val="00E850A5"/>
    <w:rsid w:val="00E85312"/>
    <w:rsid w:val="00E85352"/>
    <w:rsid w:val="00E85857"/>
    <w:rsid w:val="00E85C8F"/>
    <w:rsid w:val="00E85D61"/>
    <w:rsid w:val="00E85DB3"/>
    <w:rsid w:val="00E85F8B"/>
    <w:rsid w:val="00E85FF5"/>
    <w:rsid w:val="00E86032"/>
    <w:rsid w:val="00E86731"/>
    <w:rsid w:val="00E868B4"/>
    <w:rsid w:val="00E869E2"/>
    <w:rsid w:val="00E86AB4"/>
    <w:rsid w:val="00E86B4E"/>
    <w:rsid w:val="00E86D15"/>
    <w:rsid w:val="00E86E77"/>
    <w:rsid w:val="00E872EA"/>
    <w:rsid w:val="00E8755A"/>
    <w:rsid w:val="00E875F3"/>
    <w:rsid w:val="00E87B6C"/>
    <w:rsid w:val="00E87FDD"/>
    <w:rsid w:val="00E9074A"/>
    <w:rsid w:val="00E909EA"/>
    <w:rsid w:val="00E90CC5"/>
    <w:rsid w:val="00E90CE2"/>
    <w:rsid w:val="00E90DBE"/>
    <w:rsid w:val="00E9106D"/>
    <w:rsid w:val="00E910B5"/>
    <w:rsid w:val="00E9185E"/>
    <w:rsid w:val="00E91870"/>
    <w:rsid w:val="00E918B8"/>
    <w:rsid w:val="00E918DE"/>
    <w:rsid w:val="00E91AE1"/>
    <w:rsid w:val="00E91E2A"/>
    <w:rsid w:val="00E920F4"/>
    <w:rsid w:val="00E9217E"/>
    <w:rsid w:val="00E923A7"/>
    <w:rsid w:val="00E924C9"/>
    <w:rsid w:val="00E92678"/>
    <w:rsid w:val="00E929A4"/>
    <w:rsid w:val="00E93043"/>
    <w:rsid w:val="00E9367B"/>
    <w:rsid w:val="00E939ED"/>
    <w:rsid w:val="00E93B9A"/>
    <w:rsid w:val="00E93C1B"/>
    <w:rsid w:val="00E93DA0"/>
    <w:rsid w:val="00E93ED5"/>
    <w:rsid w:val="00E94133"/>
    <w:rsid w:val="00E9426D"/>
    <w:rsid w:val="00E945C0"/>
    <w:rsid w:val="00E94862"/>
    <w:rsid w:val="00E948A9"/>
    <w:rsid w:val="00E94A08"/>
    <w:rsid w:val="00E94BC9"/>
    <w:rsid w:val="00E94E81"/>
    <w:rsid w:val="00E952EB"/>
    <w:rsid w:val="00E953FB"/>
    <w:rsid w:val="00E95406"/>
    <w:rsid w:val="00E955F3"/>
    <w:rsid w:val="00E95B82"/>
    <w:rsid w:val="00E95E8C"/>
    <w:rsid w:val="00E9608C"/>
    <w:rsid w:val="00E96263"/>
    <w:rsid w:val="00E96653"/>
    <w:rsid w:val="00E966BC"/>
    <w:rsid w:val="00E96732"/>
    <w:rsid w:val="00E96950"/>
    <w:rsid w:val="00E9698E"/>
    <w:rsid w:val="00E96DD4"/>
    <w:rsid w:val="00E9733F"/>
    <w:rsid w:val="00E97A7E"/>
    <w:rsid w:val="00E97C2C"/>
    <w:rsid w:val="00E97D0A"/>
    <w:rsid w:val="00E97F70"/>
    <w:rsid w:val="00E97FD2"/>
    <w:rsid w:val="00EA002A"/>
    <w:rsid w:val="00EA03A4"/>
    <w:rsid w:val="00EA0440"/>
    <w:rsid w:val="00EA0482"/>
    <w:rsid w:val="00EA0668"/>
    <w:rsid w:val="00EA0F24"/>
    <w:rsid w:val="00EA1529"/>
    <w:rsid w:val="00EA16EB"/>
    <w:rsid w:val="00EA1B4F"/>
    <w:rsid w:val="00EA1C4E"/>
    <w:rsid w:val="00EA1E54"/>
    <w:rsid w:val="00EA2415"/>
    <w:rsid w:val="00EA299B"/>
    <w:rsid w:val="00EA2DB4"/>
    <w:rsid w:val="00EA2F11"/>
    <w:rsid w:val="00EA2FBD"/>
    <w:rsid w:val="00EA314E"/>
    <w:rsid w:val="00EA31A6"/>
    <w:rsid w:val="00EA3544"/>
    <w:rsid w:val="00EA36C0"/>
    <w:rsid w:val="00EA377B"/>
    <w:rsid w:val="00EA3D5D"/>
    <w:rsid w:val="00EA44E1"/>
    <w:rsid w:val="00EA4585"/>
    <w:rsid w:val="00EA45A2"/>
    <w:rsid w:val="00EA4CBA"/>
    <w:rsid w:val="00EA4EE8"/>
    <w:rsid w:val="00EA4FF2"/>
    <w:rsid w:val="00EA5448"/>
    <w:rsid w:val="00EA5E7A"/>
    <w:rsid w:val="00EA61B4"/>
    <w:rsid w:val="00EA61CE"/>
    <w:rsid w:val="00EA6533"/>
    <w:rsid w:val="00EA653B"/>
    <w:rsid w:val="00EA6811"/>
    <w:rsid w:val="00EA693F"/>
    <w:rsid w:val="00EA6B9D"/>
    <w:rsid w:val="00EA6CDB"/>
    <w:rsid w:val="00EA702A"/>
    <w:rsid w:val="00EA7118"/>
    <w:rsid w:val="00EA73D2"/>
    <w:rsid w:val="00EA7516"/>
    <w:rsid w:val="00EA765D"/>
    <w:rsid w:val="00EA76ED"/>
    <w:rsid w:val="00EA7B5D"/>
    <w:rsid w:val="00EB0620"/>
    <w:rsid w:val="00EB0923"/>
    <w:rsid w:val="00EB0967"/>
    <w:rsid w:val="00EB0B85"/>
    <w:rsid w:val="00EB0C34"/>
    <w:rsid w:val="00EB0FA8"/>
    <w:rsid w:val="00EB1017"/>
    <w:rsid w:val="00EB10F1"/>
    <w:rsid w:val="00EB12AD"/>
    <w:rsid w:val="00EB1305"/>
    <w:rsid w:val="00EB180B"/>
    <w:rsid w:val="00EB20F6"/>
    <w:rsid w:val="00EB27BE"/>
    <w:rsid w:val="00EB2B82"/>
    <w:rsid w:val="00EB2C7C"/>
    <w:rsid w:val="00EB2EA7"/>
    <w:rsid w:val="00EB32A9"/>
    <w:rsid w:val="00EB3CAF"/>
    <w:rsid w:val="00EB3DA8"/>
    <w:rsid w:val="00EB3DBE"/>
    <w:rsid w:val="00EB4343"/>
    <w:rsid w:val="00EB48B6"/>
    <w:rsid w:val="00EB4C40"/>
    <w:rsid w:val="00EB4E4C"/>
    <w:rsid w:val="00EB52EC"/>
    <w:rsid w:val="00EB5AEE"/>
    <w:rsid w:val="00EB5E84"/>
    <w:rsid w:val="00EB6283"/>
    <w:rsid w:val="00EB65C2"/>
    <w:rsid w:val="00EB66D8"/>
    <w:rsid w:val="00EB680A"/>
    <w:rsid w:val="00EB6FE2"/>
    <w:rsid w:val="00EB7324"/>
    <w:rsid w:val="00EB73DE"/>
    <w:rsid w:val="00EB7612"/>
    <w:rsid w:val="00EB7665"/>
    <w:rsid w:val="00EB7709"/>
    <w:rsid w:val="00EB7E10"/>
    <w:rsid w:val="00EC0097"/>
    <w:rsid w:val="00EC06EF"/>
    <w:rsid w:val="00EC0898"/>
    <w:rsid w:val="00EC0A91"/>
    <w:rsid w:val="00EC1218"/>
    <w:rsid w:val="00EC12FD"/>
    <w:rsid w:val="00EC1A16"/>
    <w:rsid w:val="00EC21F3"/>
    <w:rsid w:val="00EC2EF6"/>
    <w:rsid w:val="00EC3048"/>
    <w:rsid w:val="00EC3472"/>
    <w:rsid w:val="00EC361E"/>
    <w:rsid w:val="00EC391C"/>
    <w:rsid w:val="00EC3ADC"/>
    <w:rsid w:val="00EC3EA8"/>
    <w:rsid w:val="00EC43DB"/>
    <w:rsid w:val="00EC445D"/>
    <w:rsid w:val="00EC4955"/>
    <w:rsid w:val="00EC4D13"/>
    <w:rsid w:val="00EC4EDE"/>
    <w:rsid w:val="00EC4F8E"/>
    <w:rsid w:val="00EC56A9"/>
    <w:rsid w:val="00EC57C4"/>
    <w:rsid w:val="00EC5BA0"/>
    <w:rsid w:val="00EC6032"/>
    <w:rsid w:val="00EC62DF"/>
    <w:rsid w:val="00EC6B07"/>
    <w:rsid w:val="00EC6DDD"/>
    <w:rsid w:val="00EC7168"/>
    <w:rsid w:val="00EC741E"/>
    <w:rsid w:val="00EC74B8"/>
    <w:rsid w:val="00EC765E"/>
    <w:rsid w:val="00EC76A1"/>
    <w:rsid w:val="00EC7863"/>
    <w:rsid w:val="00EC792C"/>
    <w:rsid w:val="00EC7997"/>
    <w:rsid w:val="00EC7A07"/>
    <w:rsid w:val="00EC7DB7"/>
    <w:rsid w:val="00EC7F57"/>
    <w:rsid w:val="00ED0291"/>
    <w:rsid w:val="00ED02E4"/>
    <w:rsid w:val="00ED04FD"/>
    <w:rsid w:val="00ED08E2"/>
    <w:rsid w:val="00ED0B12"/>
    <w:rsid w:val="00ED0B19"/>
    <w:rsid w:val="00ED0C63"/>
    <w:rsid w:val="00ED118E"/>
    <w:rsid w:val="00ED12B7"/>
    <w:rsid w:val="00ED184A"/>
    <w:rsid w:val="00ED19BA"/>
    <w:rsid w:val="00ED1B4F"/>
    <w:rsid w:val="00ED1D5C"/>
    <w:rsid w:val="00ED1E77"/>
    <w:rsid w:val="00ED20DF"/>
    <w:rsid w:val="00ED2445"/>
    <w:rsid w:val="00ED269B"/>
    <w:rsid w:val="00ED28CA"/>
    <w:rsid w:val="00ED31DC"/>
    <w:rsid w:val="00ED33B0"/>
    <w:rsid w:val="00ED3644"/>
    <w:rsid w:val="00ED3823"/>
    <w:rsid w:val="00ED389C"/>
    <w:rsid w:val="00ED3B5B"/>
    <w:rsid w:val="00ED3B85"/>
    <w:rsid w:val="00ED3C6F"/>
    <w:rsid w:val="00ED3D72"/>
    <w:rsid w:val="00ED3E8D"/>
    <w:rsid w:val="00ED4322"/>
    <w:rsid w:val="00ED442B"/>
    <w:rsid w:val="00ED4986"/>
    <w:rsid w:val="00ED4AC6"/>
    <w:rsid w:val="00ED4B63"/>
    <w:rsid w:val="00ED4EEC"/>
    <w:rsid w:val="00ED512E"/>
    <w:rsid w:val="00ED5614"/>
    <w:rsid w:val="00ED5BCE"/>
    <w:rsid w:val="00ED5D4F"/>
    <w:rsid w:val="00ED61EF"/>
    <w:rsid w:val="00ED6B62"/>
    <w:rsid w:val="00ED6F68"/>
    <w:rsid w:val="00ED711D"/>
    <w:rsid w:val="00ED7885"/>
    <w:rsid w:val="00ED7A47"/>
    <w:rsid w:val="00ED7BAB"/>
    <w:rsid w:val="00ED7CC9"/>
    <w:rsid w:val="00EE04BE"/>
    <w:rsid w:val="00EE0A91"/>
    <w:rsid w:val="00EE13B6"/>
    <w:rsid w:val="00EE1A60"/>
    <w:rsid w:val="00EE1F58"/>
    <w:rsid w:val="00EE201F"/>
    <w:rsid w:val="00EE2164"/>
    <w:rsid w:val="00EE242D"/>
    <w:rsid w:val="00EE2630"/>
    <w:rsid w:val="00EE2850"/>
    <w:rsid w:val="00EE28CA"/>
    <w:rsid w:val="00EE2915"/>
    <w:rsid w:val="00EE2F52"/>
    <w:rsid w:val="00EE2FFD"/>
    <w:rsid w:val="00EE3015"/>
    <w:rsid w:val="00EE33B2"/>
    <w:rsid w:val="00EE35B9"/>
    <w:rsid w:val="00EE37D5"/>
    <w:rsid w:val="00EE38C1"/>
    <w:rsid w:val="00EE3D27"/>
    <w:rsid w:val="00EE3D4E"/>
    <w:rsid w:val="00EE41CB"/>
    <w:rsid w:val="00EE4D20"/>
    <w:rsid w:val="00EE530A"/>
    <w:rsid w:val="00EE5420"/>
    <w:rsid w:val="00EE56B7"/>
    <w:rsid w:val="00EE584E"/>
    <w:rsid w:val="00EE5883"/>
    <w:rsid w:val="00EE5B8F"/>
    <w:rsid w:val="00EE5D49"/>
    <w:rsid w:val="00EE5DC6"/>
    <w:rsid w:val="00EE6006"/>
    <w:rsid w:val="00EE655F"/>
    <w:rsid w:val="00EE65A7"/>
    <w:rsid w:val="00EE6677"/>
    <w:rsid w:val="00EE6A39"/>
    <w:rsid w:val="00EE6F36"/>
    <w:rsid w:val="00EE715C"/>
    <w:rsid w:val="00EE76A8"/>
    <w:rsid w:val="00EE781E"/>
    <w:rsid w:val="00EE7875"/>
    <w:rsid w:val="00EE79B6"/>
    <w:rsid w:val="00EE7FC0"/>
    <w:rsid w:val="00EF007F"/>
    <w:rsid w:val="00EF0826"/>
    <w:rsid w:val="00EF0B61"/>
    <w:rsid w:val="00EF0E70"/>
    <w:rsid w:val="00EF0F4E"/>
    <w:rsid w:val="00EF12C8"/>
    <w:rsid w:val="00EF14A6"/>
    <w:rsid w:val="00EF1E67"/>
    <w:rsid w:val="00EF2182"/>
    <w:rsid w:val="00EF21BF"/>
    <w:rsid w:val="00EF25E9"/>
    <w:rsid w:val="00EF28FB"/>
    <w:rsid w:val="00EF2AC2"/>
    <w:rsid w:val="00EF2AD7"/>
    <w:rsid w:val="00EF2B0B"/>
    <w:rsid w:val="00EF2D43"/>
    <w:rsid w:val="00EF2FAD"/>
    <w:rsid w:val="00EF3239"/>
    <w:rsid w:val="00EF33B5"/>
    <w:rsid w:val="00EF382F"/>
    <w:rsid w:val="00EF3AB5"/>
    <w:rsid w:val="00EF3BA5"/>
    <w:rsid w:val="00EF3C85"/>
    <w:rsid w:val="00EF3CA5"/>
    <w:rsid w:val="00EF3F4A"/>
    <w:rsid w:val="00EF4177"/>
    <w:rsid w:val="00EF41A5"/>
    <w:rsid w:val="00EF47E1"/>
    <w:rsid w:val="00EF487B"/>
    <w:rsid w:val="00EF4F82"/>
    <w:rsid w:val="00EF50DE"/>
    <w:rsid w:val="00EF5240"/>
    <w:rsid w:val="00EF5A6C"/>
    <w:rsid w:val="00EF6491"/>
    <w:rsid w:val="00EF66B6"/>
    <w:rsid w:val="00EF67DA"/>
    <w:rsid w:val="00EF69AB"/>
    <w:rsid w:val="00EF6F78"/>
    <w:rsid w:val="00EF75AF"/>
    <w:rsid w:val="00EF7889"/>
    <w:rsid w:val="00EF793E"/>
    <w:rsid w:val="00EF7BD4"/>
    <w:rsid w:val="00EF7ED7"/>
    <w:rsid w:val="00F00656"/>
    <w:rsid w:val="00F008B2"/>
    <w:rsid w:val="00F0099E"/>
    <w:rsid w:val="00F01114"/>
    <w:rsid w:val="00F018CC"/>
    <w:rsid w:val="00F01920"/>
    <w:rsid w:val="00F01CD4"/>
    <w:rsid w:val="00F025D4"/>
    <w:rsid w:val="00F028BE"/>
    <w:rsid w:val="00F02906"/>
    <w:rsid w:val="00F029BB"/>
    <w:rsid w:val="00F029D9"/>
    <w:rsid w:val="00F031D3"/>
    <w:rsid w:val="00F03298"/>
    <w:rsid w:val="00F032CC"/>
    <w:rsid w:val="00F0335F"/>
    <w:rsid w:val="00F0356F"/>
    <w:rsid w:val="00F03D85"/>
    <w:rsid w:val="00F03F6D"/>
    <w:rsid w:val="00F03FCE"/>
    <w:rsid w:val="00F0404D"/>
    <w:rsid w:val="00F049F9"/>
    <w:rsid w:val="00F04AD5"/>
    <w:rsid w:val="00F04AF0"/>
    <w:rsid w:val="00F05076"/>
    <w:rsid w:val="00F051F2"/>
    <w:rsid w:val="00F0563C"/>
    <w:rsid w:val="00F05732"/>
    <w:rsid w:val="00F05A1D"/>
    <w:rsid w:val="00F05ACD"/>
    <w:rsid w:val="00F05C65"/>
    <w:rsid w:val="00F05C97"/>
    <w:rsid w:val="00F05E3F"/>
    <w:rsid w:val="00F06137"/>
    <w:rsid w:val="00F06243"/>
    <w:rsid w:val="00F06653"/>
    <w:rsid w:val="00F0689C"/>
    <w:rsid w:val="00F070C8"/>
    <w:rsid w:val="00F0713B"/>
    <w:rsid w:val="00F07423"/>
    <w:rsid w:val="00F07470"/>
    <w:rsid w:val="00F0747B"/>
    <w:rsid w:val="00F077FD"/>
    <w:rsid w:val="00F07966"/>
    <w:rsid w:val="00F0799E"/>
    <w:rsid w:val="00F07BFD"/>
    <w:rsid w:val="00F07D01"/>
    <w:rsid w:val="00F07DAE"/>
    <w:rsid w:val="00F07E6D"/>
    <w:rsid w:val="00F07E91"/>
    <w:rsid w:val="00F07F0D"/>
    <w:rsid w:val="00F10829"/>
    <w:rsid w:val="00F10830"/>
    <w:rsid w:val="00F10934"/>
    <w:rsid w:val="00F10E24"/>
    <w:rsid w:val="00F11208"/>
    <w:rsid w:val="00F112A1"/>
    <w:rsid w:val="00F117F0"/>
    <w:rsid w:val="00F11996"/>
    <w:rsid w:val="00F11EB6"/>
    <w:rsid w:val="00F12288"/>
    <w:rsid w:val="00F122A9"/>
    <w:rsid w:val="00F122CA"/>
    <w:rsid w:val="00F12C5E"/>
    <w:rsid w:val="00F12F5F"/>
    <w:rsid w:val="00F1351C"/>
    <w:rsid w:val="00F135EB"/>
    <w:rsid w:val="00F141F8"/>
    <w:rsid w:val="00F1425D"/>
    <w:rsid w:val="00F144A4"/>
    <w:rsid w:val="00F14B4E"/>
    <w:rsid w:val="00F14C21"/>
    <w:rsid w:val="00F14C85"/>
    <w:rsid w:val="00F14D0F"/>
    <w:rsid w:val="00F15141"/>
    <w:rsid w:val="00F15E42"/>
    <w:rsid w:val="00F1638F"/>
    <w:rsid w:val="00F166E1"/>
    <w:rsid w:val="00F1759F"/>
    <w:rsid w:val="00F17A33"/>
    <w:rsid w:val="00F20069"/>
    <w:rsid w:val="00F20329"/>
    <w:rsid w:val="00F20BE1"/>
    <w:rsid w:val="00F2102C"/>
    <w:rsid w:val="00F2131B"/>
    <w:rsid w:val="00F21E8B"/>
    <w:rsid w:val="00F21FC3"/>
    <w:rsid w:val="00F2233B"/>
    <w:rsid w:val="00F223B0"/>
    <w:rsid w:val="00F22401"/>
    <w:rsid w:val="00F22799"/>
    <w:rsid w:val="00F228B5"/>
    <w:rsid w:val="00F229BD"/>
    <w:rsid w:val="00F22A10"/>
    <w:rsid w:val="00F22C73"/>
    <w:rsid w:val="00F22D2B"/>
    <w:rsid w:val="00F22FD1"/>
    <w:rsid w:val="00F231C8"/>
    <w:rsid w:val="00F23257"/>
    <w:rsid w:val="00F232AB"/>
    <w:rsid w:val="00F23460"/>
    <w:rsid w:val="00F23751"/>
    <w:rsid w:val="00F23DBC"/>
    <w:rsid w:val="00F23E5C"/>
    <w:rsid w:val="00F23F01"/>
    <w:rsid w:val="00F24774"/>
    <w:rsid w:val="00F2479A"/>
    <w:rsid w:val="00F24CEB"/>
    <w:rsid w:val="00F24F3B"/>
    <w:rsid w:val="00F24F5A"/>
    <w:rsid w:val="00F2515D"/>
    <w:rsid w:val="00F2553B"/>
    <w:rsid w:val="00F258FC"/>
    <w:rsid w:val="00F264E5"/>
    <w:rsid w:val="00F26B9E"/>
    <w:rsid w:val="00F26CBF"/>
    <w:rsid w:val="00F26CCB"/>
    <w:rsid w:val="00F2709C"/>
    <w:rsid w:val="00F2775B"/>
    <w:rsid w:val="00F27EBC"/>
    <w:rsid w:val="00F27F20"/>
    <w:rsid w:val="00F30054"/>
    <w:rsid w:val="00F30256"/>
    <w:rsid w:val="00F30C15"/>
    <w:rsid w:val="00F30DA5"/>
    <w:rsid w:val="00F31101"/>
    <w:rsid w:val="00F31B69"/>
    <w:rsid w:val="00F31C47"/>
    <w:rsid w:val="00F31FD0"/>
    <w:rsid w:val="00F3232D"/>
    <w:rsid w:val="00F323A0"/>
    <w:rsid w:val="00F33D7C"/>
    <w:rsid w:val="00F3496F"/>
    <w:rsid w:val="00F34A3A"/>
    <w:rsid w:val="00F34B71"/>
    <w:rsid w:val="00F34BFA"/>
    <w:rsid w:val="00F34CBC"/>
    <w:rsid w:val="00F34DB4"/>
    <w:rsid w:val="00F35164"/>
    <w:rsid w:val="00F356B1"/>
    <w:rsid w:val="00F3572A"/>
    <w:rsid w:val="00F35CD2"/>
    <w:rsid w:val="00F35DA2"/>
    <w:rsid w:val="00F35F37"/>
    <w:rsid w:val="00F35FA5"/>
    <w:rsid w:val="00F36355"/>
    <w:rsid w:val="00F36392"/>
    <w:rsid w:val="00F364B5"/>
    <w:rsid w:val="00F36748"/>
    <w:rsid w:val="00F367B9"/>
    <w:rsid w:val="00F36A23"/>
    <w:rsid w:val="00F3722C"/>
    <w:rsid w:val="00F37390"/>
    <w:rsid w:val="00F3798B"/>
    <w:rsid w:val="00F37C36"/>
    <w:rsid w:val="00F401EF"/>
    <w:rsid w:val="00F40382"/>
    <w:rsid w:val="00F407E6"/>
    <w:rsid w:val="00F409CB"/>
    <w:rsid w:val="00F40DBA"/>
    <w:rsid w:val="00F40F8B"/>
    <w:rsid w:val="00F411FE"/>
    <w:rsid w:val="00F41C3D"/>
    <w:rsid w:val="00F4288D"/>
    <w:rsid w:val="00F42C51"/>
    <w:rsid w:val="00F42CDB"/>
    <w:rsid w:val="00F431FA"/>
    <w:rsid w:val="00F43216"/>
    <w:rsid w:val="00F43219"/>
    <w:rsid w:val="00F43672"/>
    <w:rsid w:val="00F439EC"/>
    <w:rsid w:val="00F43C07"/>
    <w:rsid w:val="00F43F97"/>
    <w:rsid w:val="00F44596"/>
    <w:rsid w:val="00F449D0"/>
    <w:rsid w:val="00F450D6"/>
    <w:rsid w:val="00F456C8"/>
    <w:rsid w:val="00F45BEE"/>
    <w:rsid w:val="00F46081"/>
    <w:rsid w:val="00F46106"/>
    <w:rsid w:val="00F469B9"/>
    <w:rsid w:val="00F46C84"/>
    <w:rsid w:val="00F46EC3"/>
    <w:rsid w:val="00F46F2F"/>
    <w:rsid w:val="00F470E0"/>
    <w:rsid w:val="00F471F3"/>
    <w:rsid w:val="00F47268"/>
    <w:rsid w:val="00F475CF"/>
    <w:rsid w:val="00F4793B"/>
    <w:rsid w:val="00F479E9"/>
    <w:rsid w:val="00F47B2F"/>
    <w:rsid w:val="00F47B4C"/>
    <w:rsid w:val="00F47B8D"/>
    <w:rsid w:val="00F47D1F"/>
    <w:rsid w:val="00F502CC"/>
    <w:rsid w:val="00F51A00"/>
    <w:rsid w:val="00F51AB1"/>
    <w:rsid w:val="00F52331"/>
    <w:rsid w:val="00F527A3"/>
    <w:rsid w:val="00F52ECC"/>
    <w:rsid w:val="00F5333F"/>
    <w:rsid w:val="00F53B02"/>
    <w:rsid w:val="00F53BC8"/>
    <w:rsid w:val="00F54022"/>
    <w:rsid w:val="00F54075"/>
    <w:rsid w:val="00F5455A"/>
    <w:rsid w:val="00F54777"/>
    <w:rsid w:val="00F549F9"/>
    <w:rsid w:val="00F54B1C"/>
    <w:rsid w:val="00F54D8A"/>
    <w:rsid w:val="00F54DA1"/>
    <w:rsid w:val="00F554BC"/>
    <w:rsid w:val="00F55537"/>
    <w:rsid w:val="00F5553E"/>
    <w:rsid w:val="00F55963"/>
    <w:rsid w:val="00F55C50"/>
    <w:rsid w:val="00F55D56"/>
    <w:rsid w:val="00F56479"/>
    <w:rsid w:val="00F56AFD"/>
    <w:rsid w:val="00F56CCC"/>
    <w:rsid w:val="00F56E70"/>
    <w:rsid w:val="00F5759B"/>
    <w:rsid w:val="00F576EF"/>
    <w:rsid w:val="00F5798A"/>
    <w:rsid w:val="00F57BE4"/>
    <w:rsid w:val="00F57F6D"/>
    <w:rsid w:val="00F57FF5"/>
    <w:rsid w:val="00F605CB"/>
    <w:rsid w:val="00F60F68"/>
    <w:rsid w:val="00F613C1"/>
    <w:rsid w:val="00F61410"/>
    <w:rsid w:val="00F616BD"/>
    <w:rsid w:val="00F618BD"/>
    <w:rsid w:val="00F61CFA"/>
    <w:rsid w:val="00F620F6"/>
    <w:rsid w:val="00F62138"/>
    <w:rsid w:val="00F62247"/>
    <w:rsid w:val="00F626EB"/>
    <w:rsid w:val="00F628CB"/>
    <w:rsid w:val="00F62F95"/>
    <w:rsid w:val="00F63294"/>
    <w:rsid w:val="00F633F3"/>
    <w:rsid w:val="00F63483"/>
    <w:rsid w:val="00F63776"/>
    <w:rsid w:val="00F63B9D"/>
    <w:rsid w:val="00F63E2A"/>
    <w:rsid w:val="00F6510E"/>
    <w:rsid w:val="00F65126"/>
    <w:rsid w:val="00F651A9"/>
    <w:rsid w:val="00F65436"/>
    <w:rsid w:val="00F65B65"/>
    <w:rsid w:val="00F65FF6"/>
    <w:rsid w:val="00F662BB"/>
    <w:rsid w:val="00F66366"/>
    <w:rsid w:val="00F664FF"/>
    <w:rsid w:val="00F6657A"/>
    <w:rsid w:val="00F665DD"/>
    <w:rsid w:val="00F6667C"/>
    <w:rsid w:val="00F66897"/>
    <w:rsid w:val="00F66A82"/>
    <w:rsid w:val="00F66B82"/>
    <w:rsid w:val="00F66C7E"/>
    <w:rsid w:val="00F66CB1"/>
    <w:rsid w:val="00F6703F"/>
    <w:rsid w:val="00F67164"/>
    <w:rsid w:val="00F67310"/>
    <w:rsid w:val="00F67408"/>
    <w:rsid w:val="00F676E0"/>
    <w:rsid w:val="00F6778E"/>
    <w:rsid w:val="00F67850"/>
    <w:rsid w:val="00F67D59"/>
    <w:rsid w:val="00F7006C"/>
    <w:rsid w:val="00F70637"/>
    <w:rsid w:val="00F706B1"/>
    <w:rsid w:val="00F7074C"/>
    <w:rsid w:val="00F709E0"/>
    <w:rsid w:val="00F70B40"/>
    <w:rsid w:val="00F71070"/>
    <w:rsid w:val="00F7127A"/>
    <w:rsid w:val="00F7135C"/>
    <w:rsid w:val="00F71A50"/>
    <w:rsid w:val="00F71C34"/>
    <w:rsid w:val="00F71CAE"/>
    <w:rsid w:val="00F71D0F"/>
    <w:rsid w:val="00F71D1E"/>
    <w:rsid w:val="00F71EB4"/>
    <w:rsid w:val="00F72534"/>
    <w:rsid w:val="00F72796"/>
    <w:rsid w:val="00F7284A"/>
    <w:rsid w:val="00F729FD"/>
    <w:rsid w:val="00F72CEB"/>
    <w:rsid w:val="00F72F6B"/>
    <w:rsid w:val="00F73011"/>
    <w:rsid w:val="00F73CF7"/>
    <w:rsid w:val="00F746B4"/>
    <w:rsid w:val="00F74C83"/>
    <w:rsid w:val="00F74FBA"/>
    <w:rsid w:val="00F75055"/>
    <w:rsid w:val="00F75222"/>
    <w:rsid w:val="00F75E8B"/>
    <w:rsid w:val="00F768F6"/>
    <w:rsid w:val="00F769B7"/>
    <w:rsid w:val="00F76B9D"/>
    <w:rsid w:val="00F770B4"/>
    <w:rsid w:val="00F77162"/>
    <w:rsid w:val="00F773C4"/>
    <w:rsid w:val="00F773DE"/>
    <w:rsid w:val="00F7774C"/>
    <w:rsid w:val="00F7788E"/>
    <w:rsid w:val="00F77C4F"/>
    <w:rsid w:val="00F77D36"/>
    <w:rsid w:val="00F800FD"/>
    <w:rsid w:val="00F8020F"/>
    <w:rsid w:val="00F8030A"/>
    <w:rsid w:val="00F805A1"/>
    <w:rsid w:val="00F80697"/>
    <w:rsid w:val="00F80780"/>
    <w:rsid w:val="00F809FC"/>
    <w:rsid w:val="00F80BB3"/>
    <w:rsid w:val="00F80CD6"/>
    <w:rsid w:val="00F80E9A"/>
    <w:rsid w:val="00F815C9"/>
    <w:rsid w:val="00F818CD"/>
    <w:rsid w:val="00F81999"/>
    <w:rsid w:val="00F81A86"/>
    <w:rsid w:val="00F81C20"/>
    <w:rsid w:val="00F81C6E"/>
    <w:rsid w:val="00F81DEA"/>
    <w:rsid w:val="00F81E14"/>
    <w:rsid w:val="00F81EC7"/>
    <w:rsid w:val="00F82074"/>
    <w:rsid w:val="00F828B5"/>
    <w:rsid w:val="00F828C4"/>
    <w:rsid w:val="00F82AFA"/>
    <w:rsid w:val="00F82B6E"/>
    <w:rsid w:val="00F82B80"/>
    <w:rsid w:val="00F83145"/>
    <w:rsid w:val="00F83A22"/>
    <w:rsid w:val="00F83DF7"/>
    <w:rsid w:val="00F83F37"/>
    <w:rsid w:val="00F84759"/>
    <w:rsid w:val="00F84BA7"/>
    <w:rsid w:val="00F852D7"/>
    <w:rsid w:val="00F8544E"/>
    <w:rsid w:val="00F8548D"/>
    <w:rsid w:val="00F85CF2"/>
    <w:rsid w:val="00F85FFC"/>
    <w:rsid w:val="00F860C6"/>
    <w:rsid w:val="00F86704"/>
    <w:rsid w:val="00F867D3"/>
    <w:rsid w:val="00F86881"/>
    <w:rsid w:val="00F86D4C"/>
    <w:rsid w:val="00F86F21"/>
    <w:rsid w:val="00F87400"/>
    <w:rsid w:val="00F8764F"/>
    <w:rsid w:val="00F879A4"/>
    <w:rsid w:val="00F87BC4"/>
    <w:rsid w:val="00F87CF8"/>
    <w:rsid w:val="00F87D5A"/>
    <w:rsid w:val="00F9011E"/>
    <w:rsid w:val="00F903EE"/>
    <w:rsid w:val="00F9065D"/>
    <w:rsid w:val="00F907F4"/>
    <w:rsid w:val="00F90888"/>
    <w:rsid w:val="00F909FC"/>
    <w:rsid w:val="00F90C71"/>
    <w:rsid w:val="00F913C5"/>
    <w:rsid w:val="00F913E2"/>
    <w:rsid w:val="00F91419"/>
    <w:rsid w:val="00F9176F"/>
    <w:rsid w:val="00F91AC7"/>
    <w:rsid w:val="00F9216F"/>
    <w:rsid w:val="00F923E0"/>
    <w:rsid w:val="00F923F4"/>
    <w:rsid w:val="00F925FC"/>
    <w:rsid w:val="00F926A5"/>
    <w:rsid w:val="00F926EC"/>
    <w:rsid w:val="00F928C2"/>
    <w:rsid w:val="00F931CF"/>
    <w:rsid w:val="00F932B6"/>
    <w:rsid w:val="00F9333D"/>
    <w:rsid w:val="00F9369E"/>
    <w:rsid w:val="00F936A5"/>
    <w:rsid w:val="00F93B6E"/>
    <w:rsid w:val="00F94A54"/>
    <w:rsid w:val="00F9546D"/>
    <w:rsid w:val="00F9578E"/>
    <w:rsid w:val="00F95CA7"/>
    <w:rsid w:val="00F95D89"/>
    <w:rsid w:val="00F95DA1"/>
    <w:rsid w:val="00F961A2"/>
    <w:rsid w:val="00F96963"/>
    <w:rsid w:val="00F96FBE"/>
    <w:rsid w:val="00F96FE9"/>
    <w:rsid w:val="00F9766F"/>
    <w:rsid w:val="00F978BD"/>
    <w:rsid w:val="00F97B0B"/>
    <w:rsid w:val="00F97B6C"/>
    <w:rsid w:val="00F97D94"/>
    <w:rsid w:val="00FA04DF"/>
    <w:rsid w:val="00FA050C"/>
    <w:rsid w:val="00FA08D5"/>
    <w:rsid w:val="00FA0BCA"/>
    <w:rsid w:val="00FA0F3D"/>
    <w:rsid w:val="00FA12B5"/>
    <w:rsid w:val="00FA143A"/>
    <w:rsid w:val="00FA1F70"/>
    <w:rsid w:val="00FA1F8F"/>
    <w:rsid w:val="00FA2850"/>
    <w:rsid w:val="00FA290B"/>
    <w:rsid w:val="00FA29C5"/>
    <w:rsid w:val="00FA29F5"/>
    <w:rsid w:val="00FA2E00"/>
    <w:rsid w:val="00FA2F54"/>
    <w:rsid w:val="00FA31BB"/>
    <w:rsid w:val="00FA32CC"/>
    <w:rsid w:val="00FA3316"/>
    <w:rsid w:val="00FA342B"/>
    <w:rsid w:val="00FA3583"/>
    <w:rsid w:val="00FA3A02"/>
    <w:rsid w:val="00FA3AD8"/>
    <w:rsid w:val="00FA415A"/>
    <w:rsid w:val="00FA458E"/>
    <w:rsid w:val="00FA4CBB"/>
    <w:rsid w:val="00FA4E23"/>
    <w:rsid w:val="00FA4F2D"/>
    <w:rsid w:val="00FA505A"/>
    <w:rsid w:val="00FA5C93"/>
    <w:rsid w:val="00FA5F46"/>
    <w:rsid w:val="00FA6248"/>
    <w:rsid w:val="00FA669E"/>
    <w:rsid w:val="00FA69D1"/>
    <w:rsid w:val="00FA6B55"/>
    <w:rsid w:val="00FA6FEA"/>
    <w:rsid w:val="00FA75AE"/>
    <w:rsid w:val="00FA76E0"/>
    <w:rsid w:val="00FA7E26"/>
    <w:rsid w:val="00FB00C7"/>
    <w:rsid w:val="00FB013A"/>
    <w:rsid w:val="00FB032C"/>
    <w:rsid w:val="00FB0560"/>
    <w:rsid w:val="00FB0603"/>
    <w:rsid w:val="00FB0F32"/>
    <w:rsid w:val="00FB1BAB"/>
    <w:rsid w:val="00FB1FFB"/>
    <w:rsid w:val="00FB2255"/>
    <w:rsid w:val="00FB22D8"/>
    <w:rsid w:val="00FB2678"/>
    <w:rsid w:val="00FB288F"/>
    <w:rsid w:val="00FB2C68"/>
    <w:rsid w:val="00FB2D98"/>
    <w:rsid w:val="00FB2EC0"/>
    <w:rsid w:val="00FB2FD1"/>
    <w:rsid w:val="00FB37EB"/>
    <w:rsid w:val="00FB38E1"/>
    <w:rsid w:val="00FB39C7"/>
    <w:rsid w:val="00FB3A29"/>
    <w:rsid w:val="00FB3F7C"/>
    <w:rsid w:val="00FB4222"/>
    <w:rsid w:val="00FB43B5"/>
    <w:rsid w:val="00FB45AF"/>
    <w:rsid w:val="00FB4753"/>
    <w:rsid w:val="00FB4CEB"/>
    <w:rsid w:val="00FB4E78"/>
    <w:rsid w:val="00FB5304"/>
    <w:rsid w:val="00FB55A1"/>
    <w:rsid w:val="00FB5651"/>
    <w:rsid w:val="00FB58EF"/>
    <w:rsid w:val="00FB5ABC"/>
    <w:rsid w:val="00FB6141"/>
    <w:rsid w:val="00FB6398"/>
    <w:rsid w:val="00FB6539"/>
    <w:rsid w:val="00FB67C7"/>
    <w:rsid w:val="00FB7855"/>
    <w:rsid w:val="00FB7D24"/>
    <w:rsid w:val="00FC06B7"/>
    <w:rsid w:val="00FC12D5"/>
    <w:rsid w:val="00FC1C48"/>
    <w:rsid w:val="00FC216F"/>
    <w:rsid w:val="00FC2790"/>
    <w:rsid w:val="00FC2BDC"/>
    <w:rsid w:val="00FC2C82"/>
    <w:rsid w:val="00FC3274"/>
    <w:rsid w:val="00FC3926"/>
    <w:rsid w:val="00FC3D5C"/>
    <w:rsid w:val="00FC412F"/>
    <w:rsid w:val="00FC42CC"/>
    <w:rsid w:val="00FC43EB"/>
    <w:rsid w:val="00FC4573"/>
    <w:rsid w:val="00FC4A49"/>
    <w:rsid w:val="00FC4B80"/>
    <w:rsid w:val="00FC5073"/>
    <w:rsid w:val="00FC519C"/>
    <w:rsid w:val="00FC5B27"/>
    <w:rsid w:val="00FC659B"/>
    <w:rsid w:val="00FC6BCA"/>
    <w:rsid w:val="00FC729E"/>
    <w:rsid w:val="00FC74B7"/>
    <w:rsid w:val="00FC74C1"/>
    <w:rsid w:val="00FC75FE"/>
    <w:rsid w:val="00FC7727"/>
    <w:rsid w:val="00FC7959"/>
    <w:rsid w:val="00FC7CF8"/>
    <w:rsid w:val="00FC7ECB"/>
    <w:rsid w:val="00FC7F32"/>
    <w:rsid w:val="00FD00D1"/>
    <w:rsid w:val="00FD02D5"/>
    <w:rsid w:val="00FD05B4"/>
    <w:rsid w:val="00FD0801"/>
    <w:rsid w:val="00FD0982"/>
    <w:rsid w:val="00FD0B28"/>
    <w:rsid w:val="00FD0BE8"/>
    <w:rsid w:val="00FD0BEC"/>
    <w:rsid w:val="00FD0C8C"/>
    <w:rsid w:val="00FD0F40"/>
    <w:rsid w:val="00FD11CA"/>
    <w:rsid w:val="00FD11D2"/>
    <w:rsid w:val="00FD1974"/>
    <w:rsid w:val="00FD1975"/>
    <w:rsid w:val="00FD25BD"/>
    <w:rsid w:val="00FD25C7"/>
    <w:rsid w:val="00FD269B"/>
    <w:rsid w:val="00FD2B73"/>
    <w:rsid w:val="00FD2C86"/>
    <w:rsid w:val="00FD3064"/>
    <w:rsid w:val="00FD337B"/>
    <w:rsid w:val="00FD3678"/>
    <w:rsid w:val="00FD368B"/>
    <w:rsid w:val="00FD38A5"/>
    <w:rsid w:val="00FD4351"/>
    <w:rsid w:val="00FD436A"/>
    <w:rsid w:val="00FD4A20"/>
    <w:rsid w:val="00FD4AA3"/>
    <w:rsid w:val="00FD4B50"/>
    <w:rsid w:val="00FD5358"/>
    <w:rsid w:val="00FD5B10"/>
    <w:rsid w:val="00FD5D3B"/>
    <w:rsid w:val="00FD62BC"/>
    <w:rsid w:val="00FD6314"/>
    <w:rsid w:val="00FD635E"/>
    <w:rsid w:val="00FD6373"/>
    <w:rsid w:val="00FD637B"/>
    <w:rsid w:val="00FD6432"/>
    <w:rsid w:val="00FD6CBA"/>
    <w:rsid w:val="00FD6CD5"/>
    <w:rsid w:val="00FD6D77"/>
    <w:rsid w:val="00FD6F98"/>
    <w:rsid w:val="00FD7093"/>
    <w:rsid w:val="00FD727F"/>
    <w:rsid w:val="00FD72C5"/>
    <w:rsid w:val="00FD738F"/>
    <w:rsid w:val="00FD76C5"/>
    <w:rsid w:val="00FD79AA"/>
    <w:rsid w:val="00FD7C89"/>
    <w:rsid w:val="00FD7E7B"/>
    <w:rsid w:val="00FE0632"/>
    <w:rsid w:val="00FE06E4"/>
    <w:rsid w:val="00FE087C"/>
    <w:rsid w:val="00FE0960"/>
    <w:rsid w:val="00FE0C27"/>
    <w:rsid w:val="00FE1121"/>
    <w:rsid w:val="00FE1347"/>
    <w:rsid w:val="00FE18D4"/>
    <w:rsid w:val="00FE1D1A"/>
    <w:rsid w:val="00FE1E8F"/>
    <w:rsid w:val="00FE22DA"/>
    <w:rsid w:val="00FE2576"/>
    <w:rsid w:val="00FE264B"/>
    <w:rsid w:val="00FE2788"/>
    <w:rsid w:val="00FE2CFA"/>
    <w:rsid w:val="00FE2E7E"/>
    <w:rsid w:val="00FE31DA"/>
    <w:rsid w:val="00FE346E"/>
    <w:rsid w:val="00FE3A14"/>
    <w:rsid w:val="00FE3D4A"/>
    <w:rsid w:val="00FE3E44"/>
    <w:rsid w:val="00FE4255"/>
    <w:rsid w:val="00FE4591"/>
    <w:rsid w:val="00FE4864"/>
    <w:rsid w:val="00FE4875"/>
    <w:rsid w:val="00FE48D1"/>
    <w:rsid w:val="00FE50A8"/>
    <w:rsid w:val="00FE522E"/>
    <w:rsid w:val="00FE556D"/>
    <w:rsid w:val="00FE5733"/>
    <w:rsid w:val="00FE5823"/>
    <w:rsid w:val="00FE623C"/>
    <w:rsid w:val="00FE63B4"/>
    <w:rsid w:val="00FE7570"/>
    <w:rsid w:val="00FE77A1"/>
    <w:rsid w:val="00FE77F1"/>
    <w:rsid w:val="00FE7B1E"/>
    <w:rsid w:val="00FE7B80"/>
    <w:rsid w:val="00FE7F95"/>
    <w:rsid w:val="00FF0057"/>
    <w:rsid w:val="00FF0ADD"/>
    <w:rsid w:val="00FF1313"/>
    <w:rsid w:val="00FF133E"/>
    <w:rsid w:val="00FF166D"/>
    <w:rsid w:val="00FF1A33"/>
    <w:rsid w:val="00FF1AE3"/>
    <w:rsid w:val="00FF1B8B"/>
    <w:rsid w:val="00FF1BC2"/>
    <w:rsid w:val="00FF1DAC"/>
    <w:rsid w:val="00FF1F3C"/>
    <w:rsid w:val="00FF22CC"/>
    <w:rsid w:val="00FF25C4"/>
    <w:rsid w:val="00FF284E"/>
    <w:rsid w:val="00FF2A93"/>
    <w:rsid w:val="00FF2E16"/>
    <w:rsid w:val="00FF320B"/>
    <w:rsid w:val="00FF3457"/>
    <w:rsid w:val="00FF3485"/>
    <w:rsid w:val="00FF36FE"/>
    <w:rsid w:val="00FF3942"/>
    <w:rsid w:val="00FF3ED3"/>
    <w:rsid w:val="00FF3EF3"/>
    <w:rsid w:val="00FF3FCE"/>
    <w:rsid w:val="00FF41D7"/>
    <w:rsid w:val="00FF4AE9"/>
    <w:rsid w:val="00FF4BB7"/>
    <w:rsid w:val="00FF4C4A"/>
    <w:rsid w:val="00FF4F20"/>
    <w:rsid w:val="00FF54D7"/>
    <w:rsid w:val="00FF580C"/>
    <w:rsid w:val="00FF5DB0"/>
    <w:rsid w:val="00FF6370"/>
    <w:rsid w:val="00FF66CF"/>
    <w:rsid w:val="00FF6B45"/>
    <w:rsid w:val="00FF6BCE"/>
    <w:rsid w:val="00FF6CDB"/>
    <w:rsid w:val="00FF70DD"/>
    <w:rsid w:val="00FF712B"/>
    <w:rsid w:val="00FF79F7"/>
    <w:rsid w:val="00FF7B2F"/>
    <w:rsid w:val="00FF7D08"/>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7541C72"/>
  <w15:docId w15:val="{030FDADB-474A-47C4-A0A2-7B5FB044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B34"/>
  </w:style>
  <w:style w:type="paragraph" w:styleId="Heading1">
    <w:name w:val="heading 1"/>
    <w:aliases w:val="h1"/>
    <w:basedOn w:val="Normal"/>
    <w:next w:val="Normal"/>
    <w:link w:val="Heading1Char"/>
    <w:qFormat/>
    <w:rsid w:val="006C5B34"/>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6C5B34"/>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C5B34"/>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C5B34"/>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C5B34"/>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C5B34"/>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C5B34"/>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C5B34"/>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C5B34"/>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6C5B34"/>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6C5B34"/>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C5B34"/>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C5B34"/>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C5B34"/>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C5B34"/>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C5B34"/>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C5B34"/>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C5B34"/>
    <w:rPr>
      <w:rFonts w:asciiTheme="majorHAnsi" w:eastAsiaTheme="majorEastAsia" w:hAnsiTheme="majorHAnsi" w:cstheme="majorBidi"/>
      <w:i/>
      <w:iCs/>
      <w:spacing w:val="5"/>
      <w:sz w:val="20"/>
      <w:szCs w:val="20"/>
    </w:rPr>
  </w:style>
  <w:style w:type="paragraph" w:styleId="Title">
    <w:name w:val="Title"/>
    <w:basedOn w:val="Normal"/>
    <w:next w:val="Normal"/>
    <w:link w:val="TitleChar"/>
    <w:qFormat/>
    <w:rsid w:val="006C5B34"/>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C5B34"/>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C5B34"/>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C5B34"/>
    <w:rPr>
      <w:rFonts w:asciiTheme="majorHAnsi" w:eastAsiaTheme="majorEastAsia" w:hAnsiTheme="majorHAnsi" w:cstheme="majorBidi"/>
      <w:i/>
      <w:iCs/>
      <w:spacing w:val="13"/>
      <w:sz w:val="24"/>
      <w:szCs w:val="24"/>
    </w:rPr>
  </w:style>
  <w:style w:type="character" w:styleId="Strong">
    <w:name w:val="Strong"/>
    <w:uiPriority w:val="22"/>
    <w:qFormat/>
    <w:rsid w:val="006C5B34"/>
    <w:rPr>
      <w:b/>
      <w:bCs/>
    </w:rPr>
  </w:style>
  <w:style w:type="character" w:styleId="Emphasis">
    <w:name w:val="Emphasis"/>
    <w:uiPriority w:val="20"/>
    <w:qFormat/>
    <w:rsid w:val="006C5B34"/>
    <w:rPr>
      <w:b/>
      <w:bCs/>
      <w:i/>
      <w:iCs/>
      <w:spacing w:val="10"/>
      <w:bdr w:val="none" w:sz="0" w:space="0" w:color="auto"/>
      <w:shd w:val="clear" w:color="auto" w:fill="auto"/>
    </w:rPr>
  </w:style>
  <w:style w:type="paragraph" w:styleId="NoSpacing">
    <w:name w:val="No Spacing"/>
    <w:basedOn w:val="Normal"/>
    <w:uiPriority w:val="1"/>
    <w:qFormat/>
    <w:rsid w:val="006C5B34"/>
    <w:pPr>
      <w:spacing w:after="0"/>
    </w:pPr>
  </w:style>
  <w:style w:type="paragraph" w:styleId="ListParagraph">
    <w:name w:val="List Paragraph"/>
    <w:aliases w:val="Bullets"/>
    <w:basedOn w:val="Normal"/>
    <w:link w:val="ListParagraphChar"/>
    <w:uiPriority w:val="34"/>
    <w:qFormat/>
    <w:rsid w:val="006C5B34"/>
    <w:pPr>
      <w:ind w:left="720"/>
      <w:contextualSpacing/>
    </w:pPr>
  </w:style>
  <w:style w:type="paragraph" w:styleId="Quote">
    <w:name w:val="Quote"/>
    <w:basedOn w:val="Normal"/>
    <w:next w:val="Normal"/>
    <w:link w:val="QuoteChar"/>
    <w:uiPriority w:val="29"/>
    <w:qFormat/>
    <w:rsid w:val="006C5B34"/>
    <w:pPr>
      <w:spacing w:before="200" w:after="0"/>
      <w:ind w:left="360" w:right="360"/>
    </w:pPr>
    <w:rPr>
      <w:i/>
      <w:iCs/>
    </w:rPr>
  </w:style>
  <w:style w:type="character" w:customStyle="1" w:styleId="QuoteChar">
    <w:name w:val="Quote Char"/>
    <w:basedOn w:val="DefaultParagraphFont"/>
    <w:link w:val="Quote"/>
    <w:uiPriority w:val="29"/>
    <w:rsid w:val="006C5B34"/>
    <w:rPr>
      <w:i/>
      <w:iCs/>
    </w:rPr>
  </w:style>
  <w:style w:type="paragraph" w:styleId="IntenseQuote">
    <w:name w:val="Intense Quote"/>
    <w:basedOn w:val="Normal"/>
    <w:next w:val="Normal"/>
    <w:link w:val="IntenseQuoteChar"/>
    <w:uiPriority w:val="30"/>
    <w:qFormat/>
    <w:rsid w:val="006C5B34"/>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6C5B34"/>
    <w:rPr>
      <w:b/>
      <w:bCs/>
      <w:i/>
      <w:iCs/>
    </w:rPr>
  </w:style>
  <w:style w:type="character" w:styleId="SubtleEmphasis">
    <w:name w:val="Subtle Emphasis"/>
    <w:uiPriority w:val="19"/>
    <w:qFormat/>
    <w:rsid w:val="006C5B34"/>
    <w:rPr>
      <w:i/>
      <w:iCs/>
    </w:rPr>
  </w:style>
  <w:style w:type="character" w:styleId="IntenseEmphasis">
    <w:name w:val="Intense Emphasis"/>
    <w:uiPriority w:val="21"/>
    <w:qFormat/>
    <w:rsid w:val="006C5B34"/>
    <w:rPr>
      <w:b/>
      <w:bCs/>
    </w:rPr>
  </w:style>
  <w:style w:type="character" w:styleId="SubtleReference">
    <w:name w:val="Subtle Reference"/>
    <w:uiPriority w:val="31"/>
    <w:qFormat/>
    <w:rsid w:val="006C5B34"/>
    <w:rPr>
      <w:smallCaps/>
    </w:rPr>
  </w:style>
  <w:style w:type="character" w:styleId="IntenseReference">
    <w:name w:val="Intense Reference"/>
    <w:uiPriority w:val="32"/>
    <w:qFormat/>
    <w:rsid w:val="006C5B34"/>
    <w:rPr>
      <w:smallCaps/>
      <w:spacing w:val="5"/>
      <w:u w:val="single"/>
    </w:rPr>
  </w:style>
  <w:style w:type="character" w:styleId="BookTitle">
    <w:name w:val="Book Title"/>
    <w:uiPriority w:val="33"/>
    <w:qFormat/>
    <w:rsid w:val="006C5B34"/>
    <w:rPr>
      <w:i/>
      <w:iCs/>
      <w:smallCaps/>
      <w:spacing w:val="5"/>
    </w:rPr>
  </w:style>
  <w:style w:type="paragraph" w:styleId="TOCHeading">
    <w:name w:val="TOC Heading"/>
    <w:basedOn w:val="Heading1"/>
    <w:next w:val="Normal"/>
    <w:uiPriority w:val="39"/>
    <w:semiHidden/>
    <w:unhideWhenUsed/>
    <w:qFormat/>
    <w:rsid w:val="006C5B34"/>
    <w:pPr>
      <w:outlineLvl w:val="9"/>
    </w:pPr>
    <w:rPr>
      <w:lang w:bidi="en-US"/>
    </w:rPr>
  </w:style>
  <w:style w:type="table" w:styleId="TableGrid">
    <w:name w:val="Table Grid"/>
    <w:basedOn w:val="TableNormal"/>
    <w:uiPriority w:val="59"/>
    <w:rsid w:val="003D76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6813"/>
    <w:pPr>
      <w:tabs>
        <w:tab w:val="center" w:pos="4536"/>
        <w:tab w:val="right" w:pos="9072"/>
      </w:tabs>
      <w:spacing w:after="0"/>
    </w:pPr>
  </w:style>
  <w:style w:type="character" w:customStyle="1" w:styleId="HeaderChar">
    <w:name w:val="Header Char"/>
    <w:basedOn w:val="DefaultParagraphFont"/>
    <w:link w:val="Header"/>
    <w:uiPriority w:val="99"/>
    <w:rsid w:val="007F6813"/>
  </w:style>
  <w:style w:type="paragraph" w:styleId="Footer">
    <w:name w:val="footer"/>
    <w:basedOn w:val="Normal"/>
    <w:link w:val="FooterChar"/>
    <w:uiPriority w:val="99"/>
    <w:unhideWhenUsed/>
    <w:rsid w:val="007F6813"/>
    <w:pPr>
      <w:tabs>
        <w:tab w:val="center" w:pos="4536"/>
        <w:tab w:val="right" w:pos="9072"/>
      </w:tabs>
      <w:spacing w:after="0"/>
    </w:pPr>
  </w:style>
  <w:style w:type="character" w:customStyle="1" w:styleId="FooterChar">
    <w:name w:val="Footer Char"/>
    <w:basedOn w:val="DefaultParagraphFont"/>
    <w:link w:val="Footer"/>
    <w:uiPriority w:val="99"/>
    <w:rsid w:val="007F6813"/>
  </w:style>
  <w:style w:type="paragraph" w:styleId="BodyText">
    <w:name w:val="Body Text"/>
    <w:basedOn w:val="Normal"/>
    <w:link w:val="BodyTextChar"/>
    <w:rsid w:val="007F6813"/>
    <w:pPr>
      <w:spacing w:before="130" w:after="130" w:line="260" w:lineRule="atLeast"/>
    </w:pPr>
    <w:rPr>
      <w:rFonts w:ascii="Times New Roman" w:eastAsia="Times New Roman" w:hAnsi="Times New Roman" w:cs="Times New Roman"/>
    </w:rPr>
  </w:style>
  <w:style w:type="character" w:customStyle="1" w:styleId="BodyTextChar">
    <w:name w:val="Body Text Char"/>
    <w:basedOn w:val="DefaultParagraphFont"/>
    <w:link w:val="BodyText"/>
    <w:rsid w:val="007F6813"/>
    <w:rPr>
      <w:rFonts w:ascii="Times New Roman" w:eastAsia="Times New Roman" w:hAnsi="Times New Roman" w:cs="Times New Roman"/>
    </w:rPr>
  </w:style>
  <w:style w:type="paragraph" w:customStyle="1" w:styleId="Head">
    <w:name w:val="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sz w:val="30"/>
      <w:szCs w:val="30"/>
    </w:rPr>
  </w:style>
  <w:style w:type="paragraph" w:customStyle="1" w:styleId="Subhead">
    <w:name w:val="Subhead"/>
    <w:basedOn w:val="Heading2"/>
    <w:rsid w:val="007F6813"/>
    <w:pPr>
      <w:keepNext/>
      <w:keepLines/>
      <w:tabs>
        <w:tab w:val="num" w:pos="-360"/>
        <w:tab w:val="num" w:pos="1080"/>
      </w:tabs>
      <w:spacing w:before="130" w:line="280" w:lineRule="atLeast"/>
      <w:ind w:left="720" w:hanging="360"/>
    </w:pPr>
    <w:rPr>
      <w:rFonts w:ascii="Times New Roman" w:eastAsia="Times New Roman" w:hAnsi="Times New Roman" w:cs="Times New Roman"/>
      <w:b w:val="0"/>
      <w:bCs w:val="0"/>
      <w:sz w:val="30"/>
      <w:szCs w:val="30"/>
    </w:rPr>
  </w:style>
  <w:style w:type="character" w:styleId="Hyperlink">
    <w:name w:val="Hyperlink"/>
    <w:rsid w:val="0024624D"/>
    <w:rPr>
      <w:color w:val="0000FF"/>
      <w:u w:val="single"/>
    </w:rPr>
  </w:style>
  <w:style w:type="paragraph" w:customStyle="1" w:styleId="BodybyBD">
    <w:name w:val="Body.by.BD"/>
    <w:link w:val="BodybyBDChar"/>
    <w:rsid w:val="0024624D"/>
    <w:pPr>
      <w:keepLines/>
      <w:spacing w:before="130" w:after="130" w:line="260" w:lineRule="exact"/>
    </w:pPr>
    <w:rPr>
      <w:rFonts w:ascii="Times New Roman" w:eastAsia="Times New Roman" w:hAnsi="Times New Roman" w:cs="Times New Roman"/>
    </w:rPr>
  </w:style>
  <w:style w:type="character" w:customStyle="1" w:styleId="BodybyBDChar">
    <w:name w:val="Body.by.BD Char"/>
    <w:link w:val="BodybyBD"/>
    <w:rsid w:val="0024624D"/>
    <w:rPr>
      <w:rFonts w:ascii="Times New Roman" w:eastAsia="Times New Roman" w:hAnsi="Times New Roman" w:cs="Times New Roman"/>
    </w:rPr>
  </w:style>
  <w:style w:type="paragraph" w:customStyle="1" w:styleId="xl26">
    <w:name w:val="xl26"/>
    <w:basedOn w:val="Normal"/>
    <w:rsid w:val="009C0A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Times New Roman" w:eastAsia="Arial Unicode MS" w:hAnsi="Times New Roman" w:cs="Times New Roman"/>
      <w:sz w:val="24"/>
      <w:szCs w:val="24"/>
      <w:lang w:val="en-US"/>
    </w:rPr>
  </w:style>
  <w:style w:type="paragraph" w:styleId="BalloonText">
    <w:name w:val="Balloon Text"/>
    <w:basedOn w:val="Normal"/>
    <w:link w:val="BalloonTextChar"/>
    <w:uiPriority w:val="99"/>
    <w:semiHidden/>
    <w:unhideWhenUsed/>
    <w:rsid w:val="009C0A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A32"/>
    <w:rPr>
      <w:rFonts w:ascii="Tahoma" w:hAnsi="Tahoma" w:cs="Tahoma"/>
      <w:sz w:val="16"/>
      <w:szCs w:val="16"/>
    </w:rPr>
  </w:style>
  <w:style w:type="paragraph" w:styleId="NormalWeb">
    <w:name w:val="Normal (Web)"/>
    <w:basedOn w:val="Normal"/>
    <w:uiPriority w:val="99"/>
    <w:rsid w:val="00B76FFE"/>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BDDKmetin">
    <w:name w:val="BDDK metin"/>
    <w:basedOn w:val="Normal"/>
    <w:link w:val="BDDKmetinChar"/>
    <w:rsid w:val="00B76FFE"/>
    <w:pPr>
      <w:spacing w:before="120" w:after="0" w:line="240" w:lineRule="exact"/>
    </w:pPr>
    <w:rPr>
      <w:rFonts w:ascii="Times New Roman" w:eastAsia="Times New Roman" w:hAnsi="Times New Roman" w:cs="Times New Roman"/>
      <w:lang w:val="pt-BR" w:eastAsia="tr-TR"/>
    </w:rPr>
  </w:style>
  <w:style w:type="character" w:customStyle="1" w:styleId="BDDKmetinChar">
    <w:name w:val="BDDK metin Char"/>
    <w:link w:val="BDDKmetin"/>
    <w:rsid w:val="00B76FFE"/>
    <w:rPr>
      <w:rFonts w:ascii="Times New Roman" w:eastAsia="Times New Roman" w:hAnsi="Times New Roman" w:cs="Times New Roman"/>
      <w:lang w:val="pt-BR" w:eastAsia="tr-TR"/>
    </w:rPr>
  </w:style>
  <w:style w:type="paragraph" w:styleId="BodyTextIndent">
    <w:name w:val="Body Text Indent"/>
    <w:basedOn w:val="Normal"/>
    <w:link w:val="BodyTextIndentChar1"/>
    <w:rsid w:val="00206498"/>
    <w:pPr>
      <w:spacing w:after="120"/>
      <w:ind w:left="283"/>
    </w:pPr>
    <w:rPr>
      <w:rFonts w:ascii="Times New Roman" w:eastAsia="Times New Roman" w:hAnsi="Times New Roman" w:cs="Times New Roman"/>
      <w:sz w:val="24"/>
      <w:szCs w:val="24"/>
      <w:lang w:eastAsia="tr-TR"/>
    </w:rPr>
  </w:style>
  <w:style w:type="character" w:customStyle="1" w:styleId="BodyTextIndentChar">
    <w:name w:val="Body Text Indent Char"/>
    <w:basedOn w:val="DefaultParagraphFont"/>
    <w:uiPriority w:val="99"/>
    <w:semiHidden/>
    <w:rsid w:val="00206498"/>
  </w:style>
  <w:style w:type="character" w:customStyle="1" w:styleId="BodyTextIndentChar1">
    <w:name w:val="Body Text Indent Char1"/>
    <w:link w:val="BodyTextIndent"/>
    <w:locked/>
    <w:rsid w:val="00206498"/>
    <w:rPr>
      <w:rFonts w:ascii="Times New Roman" w:eastAsia="Times New Roman" w:hAnsi="Times New Roman" w:cs="Times New Roman"/>
      <w:sz w:val="24"/>
      <w:szCs w:val="24"/>
      <w:lang w:eastAsia="tr-TR"/>
    </w:rPr>
  </w:style>
  <w:style w:type="character" w:customStyle="1" w:styleId="CharChar">
    <w:name w:val="Char Char"/>
    <w:locked/>
    <w:rsid w:val="0033796C"/>
    <w:rPr>
      <w:sz w:val="24"/>
      <w:szCs w:val="24"/>
      <w:lang w:val="tr-TR" w:eastAsia="tr-TR"/>
    </w:rPr>
  </w:style>
  <w:style w:type="paragraph" w:customStyle="1" w:styleId="Head1">
    <w:name w:val="Head 1"/>
    <w:basedOn w:val="Heading1"/>
    <w:rsid w:val="00B10664"/>
    <w:pPr>
      <w:keepNext/>
      <w:keepLines/>
      <w:tabs>
        <w:tab w:val="num" w:pos="-218"/>
      </w:tabs>
      <w:spacing w:before="130" w:after="130" w:line="280" w:lineRule="atLeast"/>
      <w:ind w:left="-218" w:right="-45" w:hanging="360"/>
      <w:contextualSpacing w:val="0"/>
    </w:pPr>
    <w:rPr>
      <w:rFonts w:ascii="Times New Roman" w:eastAsia="Times New Roman" w:hAnsi="Times New Roman" w:cs="Times New Roman"/>
      <w:sz w:val="24"/>
      <w:szCs w:val="24"/>
    </w:rPr>
  </w:style>
  <w:style w:type="paragraph" w:customStyle="1" w:styleId="xl29">
    <w:name w:val="xl29"/>
    <w:basedOn w:val="Normal"/>
    <w:rsid w:val="00C807C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Times New Roman" w:eastAsia="Arial Unicode MS" w:hAnsi="Times New Roman" w:cs="Times New Roman"/>
      <w:color w:val="000000"/>
      <w:sz w:val="18"/>
      <w:szCs w:val="18"/>
      <w:lang w:val="en-US"/>
    </w:rPr>
  </w:style>
  <w:style w:type="character" w:styleId="PageNumber">
    <w:name w:val="page number"/>
    <w:basedOn w:val="DefaultParagraphFont"/>
    <w:rsid w:val="00B56F55"/>
  </w:style>
  <w:style w:type="paragraph" w:customStyle="1" w:styleId="BDDKbalk1">
    <w:name w:val="BDDK başlık1"/>
    <w:basedOn w:val="Normal"/>
    <w:link w:val="BDDKbalk1Char"/>
    <w:rsid w:val="002B556E"/>
    <w:pPr>
      <w:spacing w:before="240" w:after="120" w:line="260" w:lineRule="exact"/>
      <w:ind w:left="-805"/>
    </w:pPr>
    <w:rPr>
      <w:rFonts w:ascii="Times New Roman" w:eastAsia="Times New Roman" w:hAnsi="Times New Roman" w:cs="Times New Roman"/>
      <w:b/>
      <w:bCs/>
      <w:lang w:eastAsia="tr-TR"/>
    </w:rPr>
  </w:style>
  <w:style w:type="character" w:customStyle="1" w:styleId="BDDKbalk1Char">
    <w:name w:val="BDDK başlık1 Char"/>
    <w:link w:val="BDDKbalk1"/>
    <w:rsid w:val="002B556E"/>
    <w:rPr>
      <w:rFonts w:ascii="Times New Roman" w:eastAsia="Times New Roman" w:hAnsi="Times New Roman" w:cs="Times New Roman"/>
      <w:b/>
      <w:bCs/>
      <w:lang w:eastAsia="tr-TR"/>
    </w:rPr>
  </w:style>
  <w:style w:type="paragraph" w:customStyle="1" w:styleId="xl46">
    <w:name w:val="xl46"/>
    <w:basedOn w:val="Normal"/>
    <w:rsid w:val="00AC09F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styleId="PlainText">
    <w:name w:val="Plain Text"/>
    <w:basedOn w:val="Normal"/>
    <w:link w:val="PlainTextChar"/>
    <w:uiPriority w:val="99"/>
    <w:unhideWhenUsed/>
    <w:rsid w:val="000B4201"/>
    <w:pPr>
      <w:spacing w:after="0"/>
    </w:pPr>
    <w:rPr>
      <w:rFonts w:ascii="Calibri" w:eastAsia="Calibri" w:hAnsi="Calibri" w:cs="Times New Roman"/>
      <w:szCs w:val="21"/>
      <w:lang w:val="x-none"/>
    </w:rPr>
  </w:style>
  <w:style w:type="character" w:customStyle="1" w:styleId="PlainTextChar">
    <w:name w:val="Plain Text Char"/>
    <w:basedOn w:val="DefaultParagraphFont"/>
    <w:link w:val="PlainText"/>
    <w:uiPriority w:val="99"/>
    <w:rsid w:val="000B4201"/>
    <w:rPr>
      <w:rFonts w:ascii="Calibri" w:eastAsia="Calibri" w:hAnsi="Calibri" w:cs="Times New Roman"/>
      <w:szCs w:val="21"/>
      <w:lang w:val="x-none"/>
    </w:rPr>
  </w:style>
  <w:style w:type="paragraph" w:customStyle="1" w:styleId="xl37">
    <w:name w:val="xl37"/>
    <w:basedOn w:val="Normal"/>
    <w:rsid w:val="000B420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pPr>
    <w:rPr>
      <w:rFonts w:ascii="Times New Roman" w:eastAsia="Arial Unicode MS" w:hAnsi="Times New Roman" w:cs="Times New Roman"/>
      <w:color w:val="000000"/>
      <w:sz w:val="18"/>
      <w:szCs w:val="18"/>
      <w:lang w:val="en-US"/>
    </w:rPr>
  </w:style>
  <w:style w:type="paragraph" w:customStyle="1" w:styleId="Default">
    <w:name w:val="Default"/>
    <w:rsid w:val="000B4201"/>
    <w:pPr>
      <w:autoSpaceDE w:val="0"/>
      <w:autoSpaceDN w:val="0"/>
      <w:adjustRightInd w:val="0"/>
      <w:spacing w:after="0"/>
    </w:pPr>
    <w:rPr>
      <w:rFonts w:ascii="Arial" w:eastAsia="Times New Roman" w:hAnsi="Arial" w:cs="Arial"/>
      <w:color w:val="000000"/>
      <w:sz w:val="24"/>
      <w:szCs w:val="24"/>
      <w:lang w:eastAsia="tr-TR"/>
    </w:rPr>
  </w:style>
  <w:style w:type="paragraph" w:customStyle="1" w:styleId="NormalTrebuchet">
    <w:name w:val="Normal+Trebuchet"/>
    <w:basedOn w:val="Normal"/>
    <w:rsid w:val="00E74C94"/>
    <w:pPr>
      <w:spacing w:after="0"/>
    </w:pPr>
    <w:rPr>
      <w:rFonts w:ascii="Trebuchet MS" w:eastAsia="Times New Roman" w:hAnsi="Trebuchet MS" w:cs="Times New Roman"/>
      <w:b/>
      <w:bCs/>
      <w:sz w:val="28"/>
      <w:szCs w:val="28"/>
      <w:lang w:eastAsia="tr-TR"/>
    </w:rPr>
  </w:style>
  <w:style w:type="paragraph" w:customStyle="1" w:styleId="Head3">
    <w:name w:val="Head3"/>
    <w:basedOn w:val="Normal"/>
    <w:link w:val="Head3Char"/>
    <w:rsid w:val="00F364B5"/>
    <w:pPr>
      <w:keepNext/>
      <w:keepLines/>
      <w:spacing w:before="60" w:after="120" w:line="260" w:lineRule="exact"/>
      <w:ind w:right="-45" w:hanging="900"/>
    </w:pPr>
    <w:rPr>
      <w:rFonts w:ascii="Times New Roman" w:eastAsia="Times New Roman" w:hAnsi="Times New Roman" w:cs="Times New Roman"/>
      <w:b/>
      <w:bCs/>
      <w:i/>
      <w:iCs/>
    </w:rPr>
  </w:style>
  <w:style w:type="character" w:customStyle="1" w:styleId="Head3Char">
    <w:name w:val="Head3 Char"/>
    <w:link w:val="Head3"/>
    <w:locked/>
    <w:rsid w:val="00F364B5"/>
    <w:rPr>
      <w:rFonts w:ascii="Times New Roman" w:eastAsia="Times New Roman" w:hAnsi="Times New Roman" w:cs="Times New Roman"/>
      <w:b/>
      <w:bCs/>
      <w:i/>
      <w:iCs/>
    </w:rPr>
  </w:style>
  <w:style w:type="paragraph" w:customStyle="1" w:styleId="1tipi">
    <w:name w:val="(1) tipi"/>
    <w:basedOn w:val="Normal"/>
    <w:rsid w:val="0084170B"/>
    <w:pPr>
      <w:tabs>
        <w:tab w:val="left" w:pos="1134"/>
      </w:tabs>
      <w:spacing w:after="0"/>
    </w:pPr>
    <w:rPr>
      <w:rFonts w:ascii="Arial" w:eastAsia="Times New Roman" w:hAnsi="Arial" w:cs="Arial"/>
      <w:sz w:val="24"/>
      <w:szCs w:val="24"/>
      <w:lang w:val="en-US" w:eastAsia="tr-TR"/>
    </w:rPr>
  </w:style>
  <w:style w:type="paragraph" w:customStyle="1" w:styleId="baslik1">
    <w:name w:val="baslik1"/>
    <w:basedOn w:val="Normal"/>
    <w:rsid w:val="00E97A7E"/>
    <w:pPr>
      <w:spacing w:before="240" w:after="120"/>
      <w:ind w:hanging="720"/>
    </w:pPr>
    <w:rPr>
      <w:rFonts w:ascii="Times New Roman" w:eastAsia="Times New Roman" w:hAnsi="Times New Roman" w:cs="Times New Roman"/>
      <w:b/>
      <w:bCs/>
      <w:lang w:eastAsia="tr-TR"/>
    </w:rPr>
  </w:style>
  <w:style w:type="paragraph" w:customStyle="1" w:styleId="BASLIK2">
    <w:name w:val="BASLIK2"/>
    <w:basedOn w:val="Head3"/>
    <w:link w:val="BASLIK2Char"/>
    <w:rsid w:val="00363810"/>
    <w:pPr>
      <w:keepNext w:val="0"/>
      <w:keepLines w:val="0"/>
      <w:widowControl w:val="0"/>
      <w:spacing w:before="240"/>
      <w:ind w:right="0" w:hanging="720"/>
    </w:pPr>
    <w:rPr>
      <w:i w:val="0"/>
      <w:iCs w:val="0"/>
    </w:rPr>
  </w:style>
  <w:style w:type="character" w:customStyle="1" w:styleId="BASLIK2Char">
    <w:name w:val="BASLIK2 Char"/>
    <w:basedOn w:val="Head3Char"/>
    <w:link w:val="BASLIK2"/>
    <w:locked/>
    <w:rsid w:val="00363810"/>
    <w:rPr>
      <w:rFonts w:ascii="Times New Roman" w:eastAsia="Times New Roman" w:hAnsi="Times New Roman" w:cs="Times New Roman"/>
      <w:b/>
      <w:bCs/>
      <w:i w:val="0"/>
      <w:iCs w:val="0"/>
    </w:rPr>
  </w:style>
  <w:style w:type="paragraph" w:customStyle="1" w:styleId="H2">
    <w:name w:val="H2"/>
    <w:basedOn w:val="Head3"/>
    <w:link w:val="H2Char"/>
    <w:rsid w:val="00593FBF"/>
    <w:pPr>
      <w:keepNext w:val="0"/>
      <w:keepLines w:val="0"/>
      <w:spacing w:before="240" w:line="240" w:lineRule="auto"/>
      <w:ind w:right="0" w:hanging="720"/>
    </w:pPr>
  </w:style>
  <w:style w:type="character" w:customStyle="1" w:styleId="H2Char">
    <w:name w:val="H2 Char"/>
    <w:basedOn w:val="Head3Char"/>
    <w:link w:val="H2"/>
    <w:locked/>
    <w:rsid w:val="00593FBF"/>
    <w:rPr>
      <w:rFonts w:ascii="Times New Roman" w:eastAsia="Times New Roman" w:hAnsi="Times New Roman" w:cs="Times New Roman"/>
      <w:b/>
      <w:bCs/>
      <w:i/>
      <w:iCs/>
    </w:rPr>
  </w:style>
  <w:style w:type="paragraph" w:customStyle="1" w:styleId="YAZI">
    <w:name w:val="YAZI"/>
    <w:basedOn w:val="BodyTextIndent"/>
    <w:link w:val="YAZIChar"/>
    <w:rsid w:val="00593FBF"/>
    <w:pPr>
      <w:tabs>
        <w:tab w:val="left" w:pos="900"/>
      </w:tabs>
      <w:spacing w:line="260" w:lineRule="exact"/>
      <w:ind w:left="0"/>
    </w:pPr>
    <w:rPr>
      <w:noProof/>
      <w:sz w:val="22"/>
      <w:szCs w:val="22"/>
    </w:rPr>
  </w:style>
  <w:style w:type="character" w:customStyle="1" w:styleId="YAZIChar">
    <w:name w:val="YAZI Char"/>
    <w:link w:val="YAZI"/>
    <w:locked/>
    <w:rsid w:val="00593FBF"/>
    <w:rPr>
      <w:rFonts w:ascii="Times New Roman" w:eastAsia="Times New Roman" w:hAnsi="Times New Roman" w:cs="Times New Roman"/>
      <w:noProof/>
      <w:lang w:eastAsia="tr-TR"/>
    </w:rPr>
  </w:style>
  <w:style w:type="paragraph" w:customStyle="1" w:styleId="ABLOCKPARA">
    <w:name w:val="A BLOCK PARA"/>
    <w:basedOn w:val="Normal"/>
    <w:rsid w:val="00593FBF"/>
    <w:pPr>
      <w:spacing w:after="0"/>
    </w:pPr>
    <w:rPr>
      <w:rFonts w:ascii="Book Antiqua" w:eastAsia="Times New Roman" w:hAnsi="Book Antiqua" w:cs="Book Antiqua"/>
    </w:rPr>
  </w:style>
  <w:style w:type="paragraph" w:customStyle="1" w:styleId="xl25">
    <w:name w:val="xl25"/>
    <w:basedOn w:val="Normal"/>
    <w:rsid w:val="00006A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Arial Unicode MS"/>
      <w:sz w:val="24"/>
      <w:szCs w:val="24"/>
      <w:lang w:val="en-US"/>
    </w:rPr>
  </w:style>
  <w:style w:type="paragraph" w:customStyle="1" w:styleId="BASLIK10">
    <w:name w:val="BASLIK1"/>
    <w:basedOn w:val="BodyTextIndent"/>
    <w:link w:val="BASLIK1Char"/>
    <w:rsid w:val="003C064B"/>
    <w:pPr>
      <w:tabs>
        <w:tab w:val="left" w:pos="900"/>
      </w:tabs>
      <w:spacing w:before="240"/>
      <w:ind w:left="0" w:hanging="720"/>
    </w:pPr>
    <w:rPr>
      <w:b/>
      <w:bCs/>
      <w:sz w:val="22"/>
      <w:szCs w:val="22"/>
    </w:rPr>
  </w:style>
  <w:style w:type="character" w:customStyle="1" w:styleId="BASLIK1Char">
    <w:name w:val="BASLIK1 Char"/>
    <w:link w:val="BASLIK10"/>
    <w:locked/>
    <w:rsid w:val="003C064B"/>
    <w:rPr>
      <w:rFonts w:ascii="Times New Roman" w:eastAsia="Times New Roman" w:hAnsi="Times New Roman" w:cs="Times New Roman"/>
      <w:b/>
      <w:bCs/>
      <w:lang w:eastAsia="tr-TR"/>
    </w:rPr>
  </w:style>
  <w:style w:type="paragraph" w:styleId="CommentText">
    <w:name w:val="annotation text"/>
    <w:basedOn w:val="Normal"/>
    <w:link w:val="CommentTextChar"/>
    <w:uiPriority w:val="99"/>
    <w:semiHidden/>
    <w:rsid w:val="00D65625"/>
    <w:pPr>
      <w:spacing w:after="0" w:line="260" w:lineRule="atLeast"/>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D65625"/>
    <w:rPr>
      <w:rFonts w:ascii="Times New Roman" w:eastAsia="Times New Roman" w:hAnsi="Times New Roman" w:cs="Times New Roman"/>
      <w:sz w:val="20"/>
      <w:szCs w:val="20"/>
    </w:rPr>
  </w:style>
  <w:style w:type="paragraph" w:customStyle="1" w:styleId="Head4">
    <w:name w:val="Head4"/>
    <w:basedOn w:val="Head3"/>
    <w:rsid w:val="00BC768C"/>
    <w:pPr>
      <w:tabs>
        <w:tab w:val="num" w:pos="340"/>
      </w:tabs>
      <w:ind w:left="340" w:right="0" w:hanging="340"/>
    </w:pPr>
    <w:rPr>
      <w:b w:val="0"/>
      <w:bCs w:val="0"/>
    </w:rPr>
  </w:style>
  <w:style w:type="paragraph" w:customStyle="1" w:styleId="Head31">
    <w:name w:val="Head3.1"/>
    <w:basedOn w:val="Normal"/>
    <w:rsid w:val="0028614C"/>
    <w:pPr>
      <w:keepNext/>
      <w:keepLines/>
      <w:spacing w:after="0" w:line="260" w:lineRule="exact"/>
      <w:ind w:hanging="810"/>
    </w:pPr>
    <w:rPr>
      <w:rFonts w:ascii="Times New Roman" w:eastAsia="Times New Roman" w:hAnsi="Times New Roman" w:cs="Times New Roman"/>
      <w:b/>
      <w:bCs/>
      <w:i/>
      <w:iCs/>
    </w:rPr>
  </w:style>
  <w:style w:type="character" w:styleId="CommentReference">
    <w:name w:val="annotation reference"/>
    <w:basedOn w:val="DefaultParagraphFont"/>
    <w:uiPriority w:val="99"/>
    <w:semiHidden/>
    <w:unhideWhenUsed/>
    <w:rsid w:val="00282562"/>
    <w:rPr>
      <w:sz w:val="16"/>
      <w:szCs w:val="16"/>
    </w:rPr>
  </w:style>
  <w:style w:type="paragraph" w:styleId="CommentSubject">
    <w:name w:val="annotation subject"/>
    <w:basedOn w:val="CommentText"/>
    <w:next w:val="CommentText"/>
    <w:link w:val="CommentSubjectChar"/>
    <w:uiPriority w:val="99"/>
    <w:semiHidden/>
    <w:unhideWhenUsed/>
    <w:rsid w:val="00282562"/>
    <w:pPr>
      <w:spacing w:after="20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282562"/>
    <w:rPr>
      <w:rFonts w:ascii="Times New Roman" w:eastAsia="Times New Roman" w:hAnsi="Times New Roman" w:cs="Times New Roman"/>
      <w:b/>
      <w:bCs/>
      <w:sz w:val="20"/>
      <w:szCs w:val="20"/>
    </w:rPr>
  </w:style>
  <w:style w:type="numbering" w:customStyle="1" w:styleId="Style6">
    <w:name w:val="Style6"/>
    <w:rsid w:val="001211B3"/>
    <w:pPr>
      <w:numPr>
        <w:numId w:val="32"/>
      </w:numPr>
    </w:pPr>
  </w:style>
  <w:style w:type="numbering" w:customStyle="1" w:styleId="Style61">
    <w:name w:val="Style61"/>
    <w:rsid w:val="008A473A"/>
  </w:style>
  <w:style w:type="paragraph" w:styleId="Revision">
    <w:name w:val="Revision"/>
    <w:hidden/>
    <w:uiPriority w:val="99"/>
    <w:semiHidden/>
    <w:rsid w:val="00CC1141"/>
    <w:pPr>
      <w:spacing w:after="0"/>
      <w:jc w:val="left"/>
    </w:pPr>
  </w:style>
  <w:style w:type="character" w:customStyle="1" w:styleId="TextChar">
    <w:name w:val="Text Char"/>
    <w:link w:val="Text"/>
    <w:locked/>
    <w:rsid w:val="00477656"/>
    <w:rPr>
      <w:rFonts w:ascii="Arial" w:hAnsi="Arial" w:cs="Arial"/>
      <w:color w:val="000000"/>
      <w:lang w:eastAsia="de-DE"/>
    </w:rPr>
  </w:style>
  <w:style w:type="paragraph" w:customStyle="1" w:styleId="Text">
    <w:name w:val="Text"/>
    <w:link w:val="TextChar"/>
    <w:rsid w:val="00477656"/>
    <w:pPr>
      <w:snapToGrid w:val="0"/>
      <w:spacing w:after="0" w:line="360" w:lineRule="auto"/>
    </w:pPr>
    <w:rPr>
      <w:rFonts w:ascii="Arial" w:hAnsi="Arial" w:cs="Arial"/>
      <w:color w:val="000000"/>
      <w:lang w:eastAsia="de-DE"/>
    </w:rPr>
  </w:style>
  <w:style w:type="paragraph" w:styleId="ListBullet">
    <w:name w:val="List Bullet"/>
    <w:basedOn w:val="Normal"/>
    <w:uiPriority w:val="99"/>
    <w:unhideWhenUsed/>
    <w:rsid w:val="0097482F"/>
    <w:pPr>
      <w:numPr>
        <w:numId w:val="47"/>
      </w:numPr>
      <w:contextualSpacing/>
    </w:pPr>
  </w:style>
  <w:style w:type="character" w:customStyle="1" w:styleId="ListParagraphChar">
    <w:name w:val="List Paragraph Char"/>
    <w:aliases w:val="Bullets Char"/>
    <w:link w:val="ListParagraph"/>
    <w:uiPriority w:val="34"/>
    <w:locked/>
    <w:rsid w:val="00132E8B"/>
  </w:style>
  <w:style w:type="paragraph" w:customStyle="1" w:styleId="pumatext">
    <w:name w:val="pumatext"/>
    <w:basedOn w:val="Text"/>
    <w:rsid w:val="00805A11"/>
    <w:pPr>
      <w:spacing w:before="80" w:after="80"/>
      <w:ind w:left="567"/>
    </w:pPr>
    <w:rPr>
      <w:rFonts w:eastAsia="Times New Roman" w:cs="Times New Roman"/>
      <w:szCs w:val="20"/>
      <w:lang w:val="en-GB"/>
    </w:rPr>
  </w:style>
  <w:style w:type="character" w:styleId="LineNumber">
    <w:name w:val="line number"/>
    <w:basedOn w:val="DefaultParagraphFont"/>
    <w:uiPriority w:val="99"/>
    <w:semiHidden/>
    <w:unhideWhenUsed/>
    <w:rsid w:val="00B625EA"/>
  </w:style>
  <w:style w:type="table" w:customStyle="1" w:styleId="TableGrid1">
    <w:name w:val="Table Grid1"/>
    <w:basedOn w:val="TableNormal"/>
    <w:next w:val="TableGrid"/>
    <w:uiPriority w:val="59"/>
    <w:rsid w:val="00E60D1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2477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p2">
    <w:name w:val="gmail-p2"/>
    <w:basedOn w:val="Normal"/>
    <w:rsid w:val="00240685"/>
    <w:pPr>
      <w:spacing w:before="100" w:beforeAutospacing="1" w:after="100" w:afterAutospacing="1"/>
      <w:jc w:val="left"/>
    </w:pPr>
    <w:rPr>
      <w:rFonts w:ascii="Times New Roman" w:hAnsi="Times New Roman" w:cs="Times New Roman"/>
      <w:sz w:val="24"/>
      <w:szCs w:val="24"/>
      <w:lang w:eastAsia="tr-TR"/>
    </w:rPr>
  </w:style>
  <w:style w:type="paragraph" w:customStyle="1" w:styleId="pf0">
    <w:name w:val="pf0"/>
    <w:basedOn w:val="Normal"/>
    <w:rsid w:val="00CB0841"/>
    <w:pPr>
      <w:spacing w:before="100" w:beforeAutospacing="1" w:after="100" w:afterAutospacing="1"/>
      <w:jc w:val="left"/>
    </w:pPr>
    <w:rPr>
      <w:rFonts w:ascii="Times New Roman" w:eastAsia="Times New Roman" w:hAnsi="Times New Roman" w:cs="Times New Roman"/>
      <w:sz w:val="24"/>
      <w:szCs w:val="24"/>
      <w:lang w:eastAsia="tr-TR"/>
    </w:rPr>
  </w:style>
  <w:style w:type="paragraph" w:customStyle="1" w:styleId="default0">
    <w:name w:val="default"/>
    <w:basedOn w:val="Normal"/>
    <w:rsid w:val="00615281"/>
    <w:pPr>
      <w:spacing w:after="0"/>
      <w:jc w:val="left"/>
    </w:pPr>
    <w:rPr>
      <w:rFonts w:ascii="Calibri" w:eastAsia="Calibri" w:hAnsi="Calibri" w:cs="Calibri"/>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260">
      <w:bodyDiv w:val="1"/>
      <w:marLeft w:val="0"/>
      <w:marRight w:val="0"/>
      <w:marTop w:val="0"/>
      <w:marBottom w:val="0"/>
      <w:divBdr>
        <w:top w:val="none" w:sz="0" w:space="0" w:color="auto"/>
        <w:left w:val="none" w:sz="0" w:space="0" w:color="auto"/>
        <w:bottom w:val="none" w:sz="0" w:space="0" w:color="auto"/>
        <w:right w:val="none" w:sz="0" w:space="0" w:color="auto"/>
      </w:divBdr>
    </w:div>
    <w:div w:id="1275277">
      <w:bodyDiv w:val="1"/>
      <w:marLeft w:val="0"/>
      <w:marRight w:val="0"/>
      <w:marTop w:val="0"/>
      <w:marBottom w:val="0"/>
      <w:divBdr>
        <w:top w:val="none" w:sz="0" w:space="0" w:color="auto"/>
        <w:left w:val="none" w:sz="0" w:space="0" w:color="auto"/>
        <w:bottom w:val="none" w:sz="0" w:space="0" w:color="auto"/>
        <w:right w:val="none" w:sz="0" w:space="0" w:color="auto"/>
      </w:divBdr>
    </w:div>
    <w:div w:id="10883989">
      <w:bodyDiv w:val="1"/>
      <w:marLeft w:val="0"/>
      <w:marRight w:val="0"/>
      <w:marTop w:val="0"/>
      <w:marBottom w:val="0"/>
      <w:divBdr>
        <w:top w:val="none" w:sz="0" w:space="0" w:color="auto"/>
        <w:left w:val="none" w:sz="0" w:space="0" w:color="auto"/>
        <w:bottom w:val="none" w:sz="0" w:space="0" w:color="auto"/>
        <w:right w:val="none" w:sz="0" w:space="0" w:color="auto"/>
      </w:divBdr>
    </w:div>
    <w:div w:id="12539390">
      <w:bodyDiv w:val="1"/>
      <w:marLeft w:val="0"/>
      <w:marRight w:val="0"/>
      <w:marTop w:val="0"/>
      <w:marBottom w:val="0"/>
      <w:divBdr>
        <w:top w:val="none" w:sz="0" w:space="0" w:color="auto"/>
        <w:left w:val="none" w:sz="0" w:space="0" w:color="auto"/>
        <w:bottom w:val="none" w:sz="0" w:space="0" w:color="auto"/>
        <w:right w:val="none" w:sz="0" w:space="0" w:color="auto"/>
      </w:divBdr>
    </w:div>
    <w:div w:id="13385810">
      <w:bodyDiv w:val="1"/>
      <w:marLeft w:val="0"/>
      <w:marRight w:val="0"/>
      <w:marTop w:val="0"/>
      <w:marBottom w:val="0"/>
      <w:divBdr>
        <w:top w:val="none" w:sz="0" w:space="0" w:color="auto"/>
        <w:left w:val="none" w:sz="0" w:space="0" w:color="auto"/>
        <w:bottom w:val="none" w:sz="0" w:space="0" w:color="auto"/>
        <w:right w:val="none" w:sz="0" w:space="0" w:color="auto"/>
      </w:divBdr>
    </w:div>
    <w:div w:id="13775710">
      <w:bodyDiv w:val="1"/>
      <w:marLeft w:val="0"/>
      <w:marRight w:val="0"/>
      <w:marTop w:val="0"/>
      <w:marBottom w:val="0"/>
      <w:divBdr>
        <w:top w:val="none" w:sz="0" w:space="0" w:color="auto"/>
        <w:left w:val="none" w:sz="0" w:space="0" w:color="auto"/>
        <w:bottom w:val="none" w:sz="0" w:space="0" w:color="auto"/>
        <w:right w:val="none" w:sz="0" w:space="0" w:color="auto"/>
      </w:divBdr>
    </w:div>
    <w:div w:id="21368034">
      <w:bodyDiv w:val="1"/>
      <w:marLeft w:val="0"/>
      <w:marRight w:val="0"/>
      <w:marTop w:val="0"/>
      <w:marBottom w:val="0"/>
      <w:divBdr>
        <w:top w:val="none" w:sz="0" w:space="0" w:color="auto"/>
        <w:left w:val="none" w:sz="0" w:space="0" w:color="auto"/>
        <w:bottom w:val="none" w:sz="0" w:space="0" w:color="auto"/>
        <w:right w:val="none" w:sz="0" w:space="0" w:color="auto"/>
      </w:divBdr>
    </w:div>
    <w:div w:id="31224334">
      <w:bodyDiv w:val="1"/>
      <w:marLeft w:val="0"/>
      <w:marRight w:val="0"/>
      <w:marTop w:val="0"/>
      <w:marBottom w:val="0"/>
      <w:divBdr>
        <w:top w:val="none" w:sz="0" w:space="0" w:color="auto"/>
        <w:left w:val="none" w:sz="0" w:space="0" w:color="auto"/>
        <w:bottom w:val="none" w:sz="0" w:space="0" w:color="auto"/>
        <w:right w:val="none" w:sz="0" w:space="0" w:color="auto"/>
      </w:divBdr>
    </w:div>
    <w:div w:id="50270326">
      <w:bodyDiv w:val="1"/>
      <w:marLeft w:val="0"/>
      <w:marRight w:val="0"/>
      <w:marTop w:val="0"/>
      <w:marBottom w:val="0"/>
      <w:divBdr>
        <w:top w:val="none" w:sz="0" w:space="0" w:color="auto"/>
        <w:left w:val="none" w:sz="0" w:space="0" w:color="auto"/>
        <w:bottom w:val="none" w:sz="0" w:space="0" w:color="auto"/>
        <w:right w:val="none" w:sz="0" w:space="0" w:color="auto"/>
      </w:divBdr>
    </w:div>
    <w:div w:id="67919241">
      <w:bodyDiv w:val="1"/>
      <w:marLeft w:val="0"/>
      <w:marRight w:val="0"/>
      <w:marTop w:val="0"/>
      <w:marBottom w:val="0"/>
      <w:divBdr>
        <w:top w:val="none" w:sz="0" w:space="0" w:color="auto"/>
        <w:left w:val="none" w:sz="0" w:space="0" w:color="auto"/>
        <w:bottom w:val="none" w:sz="0" w:space="0" w:color="auto"/>
        <w:right w:val="none" w:sz="0" w:space="0" w:color="auto"/>
      </w:divBdr>
    </w:div>
    <w:div w:id="81413047">
      <w:bodyDiv w:val="1"/>
      <w:marLeft w:val="0"/>
      <w:marRight w:val="0"/>
      <w:marTop w:val="0"/>
      <w:marBottom w:val="0"/>
      <w:divBdr>
        <w:top w:val="none" w:sz="0" w:space="0" w:color="auto"/>
        <w:left w:val="none" w:sz="0" w:space="0" w:color="auto"/>
        <w:bottom w:val="none" w:sz="0" w:space="0" w:color="auto"/>
        <w:right w:val="none" w:sz="0" w:space="0" w:color="auto"/>
      </w:divBdr>
    </w:div>
    <w:div w:id="101805147">
      <w:bodyDiv w:val="1"/>
      <w:marLeft w:val="0"/>
      <w:marRight w:val="0"/>
      <w:marTop w:val="0"/>
      <w:marBottom w:val="0"/>
      <w:divBdr>
        <w:top w:val="none" w:sz="0" w:space="0" w:color="auto"/>
        <w:left w:val="none" w:sz="0" w:space="0" w:color="auto"/>
        <w:bottom w:val="none" w:sz="0" w:space="0" w:color="auto"/>
        <w:right w:val="none" w:sz="0" w:space="0" w:color="auto"/>
      </w:divBdr>
    </w:div>
    <w:div w:id="103693571">
      <w:bodyDiv w:val="1"/>
      <w:marLeft w:val="0"/>
      <w:marRight w:val="0"/>
      <w:marTop w:val="0"/>
      <w:marBottom w:val="0"/>
      <w:divBdr>
        <w:top w:val="none" w:sz="0" w:space="0" w:color="auto"/>
        <w:left w:val="none" w:sz="0" w:space="0" w:color="auto"/>
        <w:bottom w:val="none" w:sz="0" w:space="0" w:color="auto"/>
        <w:right w:val="none" w:sz="0" w:space="0" w:color="auto"/>
      </w:divBdr>
    </w:div>
    <w:div w:id="113329870">
      <w:bodyDiv w:val="1"/>
      <w:marLeft w:val="0"/>
      <w:marRight w:val="0"/>
      <w:marTop w:val="0"/>
      <w:marBottom w:val="0"/>
      <w:divBdr>
        <w:top w:val="none" w:sz="0" w:space="0" w:color="auto"/>
        <w:left w:val="none" w:sz="0" w:space="0" w:color="auto"/>
        <w:bottom w:val="none" w:sz="0" w:space="0" w:color="auto"/>
        <w:right w:val="none" w:sz="0" w:space="0" w:color="auto"/>
      </w:divBdr>
    </w:div>
    <w:div w:id="144317055">
      <w:bodyDiv w:val="1"/>
      <w:marLeft w:val="0"/>
      <w:marRight w:val="0"/>
      <w:marTop w:val="0"/>
      <w:marBottom w:val="0"/>
      <w:divBdr>
        <w:top w:val="none" w:sz="0" w:space="0" w:color="auto"/>
        <w:left w:val="none" w:sz="0" w:space="0" w:color="auto"/>
        <w:bottom w:val="none" w:sz="0" w:space="0" w:color="auto"/>
        <w:right w:val="none" w:sz="0" w:space="0" w:color="auto"/>
      </w:divBdr>
    </w:div>
    <w:div w:id="146019583">
      <w:bodyDiv w:val="1"/>
      <w:marLeft w:val="0"/>
      <w:marRight w:val="0"/>
      <w:marTop w:val="0"/>
      <w:marBottom w:val="0"/>
      <w:divBdr>
        <w:top w:val="none" w:sz="0" w:space="0" w:color="auto"/>
        <w:left w:val="none" w:sz="0" w:space="0" w:color="auto"/>
        <w:bottom w:val="none" w:sz="0" w:space="0" w:color="auto"/>
        <w:right w:val="none" w:sz="0" w:space="0" w:color="auto"/>
      </w:divBdr>
    </w:div>
    <w:div w:id="148064529">
      <w:bodyDiv w:val="1"/>
      <w:marLeft w:val="0"/>
      <w:marRight w:val="0"/>
      <w:marTop w:val="0"/>
      <w:marBottom w:val="0"/>
      <w:divBdr>
        <w:top w:val="none" w:sz="0" w:space="0" w:color="auto"/>
        <w:left w:val="none" w:sz="0" w:space="0" w:color="auto"/>
        <w:bottom w:val="none" w:sz="0" w:space="0" w:color="auto"/>
        <w:right w:val="none" w:sz="0" w:space="0" w:color="auto"/>
      </w:divBdr>
    </w:div>
    <w:div w:id="155919235">
      <w:bodyDiv w:val="1"/>
      <w:marLeft w:val="0"/>
      <w:marRight w:val="0"/>
      <w:marTop w:val="0"/>
      <w:marBottom w:val="0"/>
      <w:divBdr>
        <w:top w:val="none" w:sz="0" w:space="0" w:color="auto"/>
        <w:left w:val="none" w:sz="0" w:space="0" w:color="auto"/>
        <w:bottom w:val="none" w:sz="0" w:space="0" w:color="auto"/>
        <w:right w:val="none" w:sz="0" w:space="0" w:color="auto"/>
      </w:divBdr>
    </w:div>
    <w:div w:id="156501878">
      <w:bodyDiv w:val="1"/>
      <w:marLeft w:val="0"/>
      <w:marRight w:val="0"/>
      <w:marTop w:val="0"/>
      <w:marBottom w:val="0"/>
      <w:divBdr>
        <w:top w:val="none" w:sz="0" w:space="0" w:color="auto"/>
        <w:left w:val="none" w:sz="0" w:space="0" w:color="auto"/>
        <w:bottom w:val="none" w:sz="0" w:space="0" w:color="auto"/>
        <w:right w:val="none" w:sz="0" w:space="0" w:color="auto"/>
      </w:divBdr>
    </w:div>
    <w:div w:id="165636117">
      <w:bodyDiv w:val="1"/>
      <w:marLeft w:val="0"/>
      <w:marRight w:val="0"/>
      <w:marTop w:val="0"/>
      <w:marBottom w:val="0"/>
      <w:divBdr>
        <w:top w:val="none" w:sz="0" w:space="0" w:color="auto"/>
        <w:left w:val="none" w:sz="0" w:space="0" w:color="auto"/>
        <w:bottom w:val="none" w:sz="0" w:space="0" w:color="auto"/>
        <w:right w:val="none" w:sz="0" w:space="0" w:color="auto"/>
      </w:divBdr>
    </w:div>
    <w:div w:id="166987451">
      <w:bodyDiv w:val="1"/>
      <w:marLeft w:val="0"/>
      <w:marRight w:val="0"/>
      <w:marTop w:val="0"/>
      <w:marBottom w:val="0"/>
      <w:divBdr>
        <w:top w:val="none" w:sz="0" w:space="0" w:color="auto"/>
        <w:left w:val="none" w:sz="0" w:space="0" w:color="auto"/>
        <w:bottom w:val="none" w:sz="0" w:space="0" w:color="auto"/>
        <w:right w:val="none" w:sz="0" w:space="0" w:color="auto"/>
      </w:divBdr>
    </w:div>
    <w:div w:id="169493003">
      <w:bodyDiv w:val="1"/>
      <w:marLeft w:val="0"/>
      <w:marRight w:val="0"/>
      <w:marTop w:val="0"/>
      <w:marBottom w:val="0"/>
      <w:divBdr>
        <w:top w:val="none" w:sz="0" w:space="0" w:color="auto"/>
        <w:left w:val="none" w:sz="0" w:space="0" w:color="auto"/>
        <w:bottom w:val="none" w:sz="0" w:space="0" w:color="auto"/>
        <w:right w:val="none" w:sz="0" w:space="0" w:color="auto"/>
      </w:divBdr>
    </w:div>
    <w:div w:id="177621816">
      <w:bodyDiv w:val="1"/>
      <w:marLeft w:val="0"/>
      <w:marRight w:val="0"/>
      <w:marTop w:val="0"/>
      <w:marBottom w:val="0"/>
      <w:divBdr>
        <w:top w:val="none" w:sz="0" w:space="0" w:color="auto"/>
        <w:left w:val="none" w:sz="0" w:space="0" w:color="auto"/>
        <w:bottom w:val="none" w:sz="0" w:space="0" w:color="auto"/>
        <w:right w:val="none" w:sz="0" w:space="0" w:color="auto"/>
      </w:divBdr>
    </w:div>
    <w:div w:id="187332001">
      <w:bodyDiv w:val="1"/>
      <w:marLeft w:val="0"/>
      <w:marRight w:val="0"/>
      <w:marTop w:val="0"/>
      <w:marBottom w:val="0"/>
      <w:divBdr>
        <w:top w:val="none" w:sz="0" w:space="0" w:color="auto"/>
        <w:left w:val="none" w:sz="0" w:space="0" w:color="auto"/>
        <w:bottom w:val="none" w:sz="0" w:space="0" w:color="auto"/>
        <w:right w:val="none" w:sz="0" w:space="0" w:color="auto"/>
      </w:divBdr>
    </w:div>
    <w:div w:id="194510874">
      <w:bodyDiv w:val="1"/>
      <w:marLeft w:val="0"/>
      <w:marRight w:val="0"/>
      <w:marTop w:val="0"/>
      <w:marBottom w:val="0"/>
      <w:divBdr>
        <w:top w:val="none" w:sz="0" w:space="0" w:color="auto"/>
        <w:left w:val="none" w:sz="0" w:space="0" w:color="auto"/>
        <w:bottom w:val="none" w:sz="0" w:space="0" w:color="auto"/>
        <w:right w:val="none" w:sz="0" w:space="0" w:color="auto"/>
      </w:divBdr>
    </w:div>
    <w:div w:id="195123291">
      <w:bodyDiv w:val="1"/>
      <w:marLeft w:val="0"/>
      <w:marRight w:val="0"/>
      <w:marTop w:val="0"/>
      <w:marBottom w:val="0"/>
      <w:divBdr>
        <w:top w:val="none" w:sz="0" w:space="0" w:color="auto"/>
        <w:left w:val="none" w:sz="0" w:space="0" w:color="auto"/>
        <w:bottom w:val="none" w:sz="0" w:space="0" w:color="auto"/>
        <w:right w:val="none" w:sz="0" w:space="0" w:color="auto"/>
      </w:divBdr>
    </w:div>
    <w:div w:id="198131872">
      <w:bodyDiv w:val="1"/>
      <w:marLeft w:val="0"/>
      <w:marRight w:val="0"/>
      <w:marTop w:val="0"/>
      <w:marBottom w:val="0"/>
      <w:divBdr>
        <w:top w:val="none" w:sz="0" w:space="0" w:color="auto"/>
        <w:left w:val="none" w:sz="0" w:space="0" w:color="auto"/>
        <w:bottom w:val="none" w:sz="0" w:space="0" w:color="auto"/>
        <w:right w:val="none" w:sz="0" w:space="0" w:color="auto"/>
      </w:divBdr>
    </w:div>
    <w:div w:id="207572460">
      <w:bodyDiv w:val="1"/>
      <w:marLeft w:val="0"/>
      <w:marRight w:val="0"/>
      <w:marTop w:val="0"/>
      <w:marBottom w:val="0"/>
      <w:divBdr>
        <w:top w:val="none" w:sz="0" w:space="0" w:color="auto"/>
        <w:left w:val="none" w:sz="0" w:space="0" w:color="auto"/>
        <w:bottom w:val="none" w:sz="0" w:space="0" w:color="auto"/>
        <w:right w:val="none" w:sz="0" w:space="0" w:color="auto"/>
      </w:divBdr>
    </w:div>
    <w:div w:id="212615648">
      <w:bodyDiv w:val="1"/>
      <w:marLeft w:val="0"/>
      <w:marRight w:val="0"/>
      <w:marTop w:val="0"/>
      <w:marBottom w:val="0"/>
      <w:divBdr>
        <w:top w:val="none" w:sz="0" w:space="0" w:color="auto"/>
        <w:left w:val="none" w:sz="0" w:space="0" w:color="auto"/>
        <w:bottom w:val="none" w:sz="0" w:space="0" w:color="auto"/>
        <w:right w:val="none" w:sz="0" w:space="0" w:color="auto"/>
      </w:divBdr>
    </w:div>
    <w:div w:id="215094015">
      <w:bodyDiv w:val="1"/>
      <w:marLeft w:val="0"/>
      <w:marRight w:val="0"/>
      <w:marTop w:val="0"/>
      <w:marBottom w:val="0"/>
      <w:divBdr>
        <w:top w:val="none" w:sz="0" w:space="0" w:color="auto"/>
        <w:left w:val="none" w:sz="0" w:space="0" w:color="auto"/>
        <w:bottom w:val="none" w:sz="0" w:space="0" w:color="auto"/>
        <w:right w:val="none" w:sz="0" w:space="0" w:color="auto"/>
      </w:divBdr>
    </w:div>
    <w:div w:id="215629612">
      <w:bodyDiv w:val="1"/>
      <w:marLeft w:val="0"/>
      <w:marRight w:val="0"/>
      <w:marTop w:val="0"/>
      <w:marBottom w:val="0"/>
      <w:divBdr>
        <w:top w:val="none" w:sz="0" w:space="0" w:color="auto"/>
        <w:left w:val="none" w:sz="0" w:space="0" w:color="auto"/>
        <w:bottom w:val="none" w:sz="0" w:space="0" w:color="auto"/>
        <w:right w:val="none" w:sz="0" w:space="0" w:color="auto"/>
      </w:divBdr>
    </w:div>
    <w:div w:id="216091966">
      <w:bodyDiv w:val="1"/>
      <w:marLeft w:val="0"/>
      <w:marRight w:val="0"/>
      <w:marTop w:val="0"/>
      <w:marBottom w:val="0"/>
      <w:divBdr>
        <w:top w:val="none" w:sz="0" w:space="0" w:color="auto"/>
        <w:left w:val="none" w:sz="0" w:space="0" w:color="auto"/>
        <w:bottom w:val="none" w:sz="0" w:space="0" w:color="auto"/>
        <w:right w:val="none" w:sz="0" w:space="0" w:color="auto"/>
      </w:divBdr>
    </w:div>
    <w:div w:id="228929761">
      <w:bodyDiv w:val="1"/>
      <w:marLeft w:val="0"/>
      <w:marRight w:val="0"/>
      <w:marTop w:val="0"/>
      <w:marBottom w:val="0"/>
      <w:divBdr>
        <w:top w:val="none" w:sz="0" w:space="0" w:color="auto"/>
        <w:left w:val="none" w:sz="0" w:space="0" w:color="auto"/>
        <w:bottom w:val="none" w:sz="0" w:space="0" w:color="auto"/>
        <w:right w:val="none" w:sz="0" w:space="0" w:color="auto"/>
      </w:divBdr>
    </w:div>
    <w:div w:id="229969849">
      <w:bodyDiv w:val="1"/>
      <w:marLeft w:val="0"/>
      <w:marRight w:val="0"/>
      <w:marTop w:val="0"/>
      <w:marBottom w:val="0"/>
      <w:divBdr>
        <w:top w:val="none" w:sz="0" w:space="0" w:color="auto"/>
        <w:left w:val="none" w:sz="0" w:space="0" w:color="auto"/>
        <w:bottom w:val="none" w:sz="0" w:space="0" w:color="auto"/>
        <w:right w:val="none" w:sz="0" w:space="0" w:color="auto"/>
      </w:divBdr>
    </w:div>
    <w:div w:id="236207317">
      <w:bodyDiv w:val="1"/>
      <w:marLeft w:val="0"/>
      <w:marRight w:val="0"/>
      <w:marTop w:val="0"/>
      <w:marBottom w:val="0"/>
      <w:divBdr>
        <w:top w:val="none" w:sz="0" w:space="0" w:color="auto"/>
        <w:left w:val="none" w:sz="0" w:space="0" w:color="auto"/>
        <w:bottom w:val="none" w:sz="0" w:space="0" w:color="auto"/>
        <w:right w:val="none" w:sz="0" w:space="0" w:color="auto"/>
      </w:divBdr>
    </w:div>
    <w:div w:id="237205877">
      <w:bodyDiv w:val="1"/>
      <w:marLeft w:val="0"/>
      <w:marRight w:val="0"/>
      <w:marTop w:val="0"/>
      <w:marBottom w:val="0"/>
      <w:divBdr>
        <w:top w:val="none" w:sz="0" w:space="0" w:color="auto"/>
        <w:left w:val="none" w:sz="0" w:space="0" w:color="auto"/>
        <w:bottom w:val="none" w:sz="0" w:space="0" w:color="auto"/>
        <w:right w:val="none" w:sz="0" w:space="0" w:color="auto"/>
      </w:divBdr>
    </w:div>
    <w:div w:id="239683979">
      <w:bodyDiv w:val="1"/>
      <w:marLeft w:val="0"/>
      <w:marRight w:val="0"/>
      <w:marTop w:val="0"/>
      <w:marBottom w:val="0"/>
      <w:divBdr>
        <w:top w:val="none" w:sz="0" w:space="0" w:color="auto"/>
        <w:left w:val="none" w:sz="0" w:space="0" w:color="auto"/>
        <w:bottom w:val="none" w:sz="0" w:space="0" w:color="auto"/>
        <w:right w:val="none" w:sz="0" w:space="0" w:color="auto"/>
      </w:divBdr>
    </w:div>
    <w:div w:id="243537272">
      <w:bodyDiv w:val="1"/>
      <w:marLeft w:val="0"/>
      <w:marRight w:val="0"/>
      <w:marTop w:val="0"/>
      <w:marBottom w:val="0"/>
      <w:divBdr>
        <w:top w:val="none" w:sz="0" w:space="0" w:color="auto"/>
        <w:left w:val="none" w:sz="0" w:space="0" w:color="auto"/>
        <w:bottom w:val="none" w:sz="0" w:space="0" w:color="auto"/>
        <w:right w:val="none" w:sz="0" w:space="0" w:color="auto"/>
      </w:divBdr>
    </w:div>
    <w:div w:id="248200199">
      <w:bodyDiv w:val="1"/>
      <w:marLeft w:val="0"/>
      <w:marRight w:val="0"/>
      <w:marTop w:val="0"/>
      <w:marBottom w:val="0"/>
      <w:divBdr>
        <w:top w:val="none" w:sz="0" w:space="0" w:color="auto"/>
        <w:left w:val="none" w:sz="0" w:space="0" w:color="auto"/>
        <w:bottom w:val="none" w:sz="0" w:space="0" w:color="auto"/>
        <w:right w:val="none" w:sz="0" w:space="0" w:color="auto"/>
      </w:divBdr>
    </w:div>
    <w:div w:id="249588865">
      <w:bodyDiv w:val="1"/>
      <w:marLeft w:val="0"/>
      <w:marRight w:val="0"/>
      <w:marTop w:val="0"/>
      <w:marBottom w:val="0"/>
      <w:divBdr>
        <w:top w:val="none" w:sz="0" w:space="0" w:color="auto"/>
        <w:left w:val="none" w:sz="0" w:space="0" w:color="auto"/>
        <w:bottom w:val="none" w:sz="0" w:space="0" w:color="auto"/>
        <w:right w:val="none" w:sz="0" w:space="0" w:color="auto"/>
      </w:divBdr>
    </w:div>
    <w:div w:id="249975426">
      <w:bodyDiv w:val="1"/>
      <w:marLeft w:val="0"/>
      <w:marRight w:val="0"/>
      <w:marTop w:val="0"/>
      <w:marBottom w:val="0"/>
      <w:divBdr>
        <w:top w:val="none" w:sz="0" w:space="0" w:color="auto"/>
        <w:left w:val="none" w:sz="0" w:space="0" w:color="auto"/>
        <w:bottom w:val="none" w:sz="0" w:space="0" w:color="auto"/>
        <w:right w:val="none" w:sz="0" w:space="0" w:color="auto"/>
      </w:divBdr>
    </w:div>
    <w:div w:id="252671388">
      <w:bodyDiv w:val="1"/>
      <w:marLeft w:val="0"/>
      <w:marRight w:val="0"/>
      <w:marTop w:val="0"/>
      <w:marBottom w:val="0"/>
      <w:divBdr>
        <w:top w:val="none" w:sz="0" w:space="0" w:color="auto"/>
        <w:left w:val="none" w:sz="0" w:space="0" w:color="auto"/>
        <w:bottom w:val="none" w:sz="0" w:space="0" w:color="auto"/>
        <w:right w:val="none" w:sz="0" w:space="0" w:color="auto"/>
      </w:divBdr>
    </w:div>
    <w:div w:id="253438909">
      <w:bodyDiv w:val="1"/>
      <w:marLeft w:val="0"/>
      <w:marRight w:val="0"/>
      <w:marTop w:val="0"/>
      <w:marBottom w:val="0"/>
      <w:divBdr>
        <w:top w:val="none" w:sz="0" w:space="0" w:color="auto"/>
        <w:left w:val="none" w:sz="0" w:space="0" w:color="auto"/>
        <w:bottom w:val="none" w:sz="0" w:space="0" w:color="auto"/>
        <w:right w:val="none" w:sz="0" w:space="0" w:color="auto"/>
      </w:divBdr>
    </w:div>
    <w:div w:id="259678262">
      <w:bodyDiv w:val="1"/>
      <w:marLeft w:val="0"/>
      <w:marRight w:val="0"/>
      <w:marTop w:val="0"/>
      <w:marBottom w:val="0"/>
      <w:divBdr>
        <w:top w:val="none" w:sz="0" w:space="0" w:color="auto"/>
        <w:left w:val="none" w:sz="0" w:space="0" w:color="auto"/>
        <w:bottom w:val="none" w:sz="0" w:space="0" w:color="auto"/>
        <w:right w:val="none" w:sz="0" w:space="0" w:color="auto"/>
      </w:divBdr>
    </w:div>
    <w:div w:id="259874417">
      <w:bodyDiv w:val="1"/>
      <w:marLeft w:val="0"/>
      <w:marRight w:val="0"/>
      <w:marTop w:val="0"/>
      <w:marBottom w:val="0"/>
      <w:divBdr>
        <w:top w:val="none" w:sz="0" w:space="0" w:color="auto"/>
        <w:left w:val="none" w:sz="0" w:space="0" w:color="auto"/>
        <w:bottom w:val="none" w:sz="0" w:space="0" w:color="auto"/>
        <w:right w:val="none" w:sz="0" w:space="0" w:color="auto"/>
      </w:divBdr>
    </w:div>
    <w:div w:id="262229160">
      <w:bodyDiv w:val="1"/>
      <w:marLeft w:val="0"/>
      <w:marRight w:val="0"/>
      <w:marTop w:val="0"/>
      <w:marBottom w:val="0"/>
      <w:divBdr>
        <w:top w:val="none" w:sz="0" w:space="0" w:color="auto"/>
        <w:left w:val="none" w:sz="0" w:space="0" w:color="auto"/>
        <w:bottom w:val="none" w:sz="0" w:space="0" w:color="auto"/>
        <w:right w:val="none" w:sz="0" w:space="0" w:color="auto"/>
      </w:divBdr>
    </w:div>
    <w:div w:id="262422003">
      <w:bodyDiv w:val="1"/>
      <w:marLeft w:val="0"/>
      <w:marRight w:val="0"/>
      <w:marTop w:val="0"/>
      <w:marBottom w:val="0"/>
      <w:divBdr>
        <w:top w:val="none" w:sz="0" w:space="0" w:color="auto"/>
        <w:left w:val="none" w:sz="0" w:space="0" w:color="auto"/>
        <w:bottom w:val="none" w:sz="0" w:space="0" w:color="auto"/>
        <w:right w:val="none" w:sz="0" w:space="0" w:color="auto"/>
      </w:divBdr>
    </w:div>
    <w:div w:id="272400194">
      <w:bodyDiv w:val="1"/>
      <w:marLeft w:val="0"/>
      <w:marRight w:val="0"/>
      <w:marTop w:val="0"/>
      <w:marBottom w:val="0"/>
      <w:divBdr>
        <w:top w:val="none" w:sz="0" w:space="0" w:color="auto"/>
        <w:left w:val="none" w:sz="0" w:space="0" w:color="auto"/>
        <w:bottom w:val="none" w:sz="0" w:space="0" w:color="auto"/>
        <w:right w:val="none" w:sz="0" w:space="0" w:color="auto"/>
      </w:divBdr>
    </w:div>
    <w:div w:id="283856024">
      <w:bodyDiv w:val="1"/>
      <w:marLeft w:val="0"/>
      <w:marRight w:val="0"/>
      <w:marTop w:val="0"/>
      <w:marBottom w:val="0"/>
      <w:divBdr>
        <w:top w:val="none" w:sz="0" w:space="0" w:color="auto"/>
        <w:left w:val="none" w:sz="0" w:space="0" w:color="auto"/>
        <w:bottom w:val="none" w:sz="0" w:space="0" w:color="auto"/>
        <w:right w:val="none" w:sz="0" w:space="0" w:color="auto"/>
      </w:divBdr>
    </w:div>
    <w:div w:id="284971450">
      <w:bodyDiv w:val="1"/>
      <w:marLeft w:val="0"/>
      <w:marRight w:val="0"/>
      <w:marTop w:val="0"/>
      <w:marBottom w:val="0"/>
      <w:divBdr>
        <w:top w:val="none" w:sz="0" w:space="0" w:color="auto"/>
        <w:left w:val="none" w:sz="0" w:space="0" w:color="auto"/>
        <w:bottom w:val="none" w:sz="0" w:space="0" w:color="auto"/>
        <w:right w:val="none" w:sz="0" w:space="0" w:color="auto"/>
      </w:divBdr>
    </w:div>
    <w:div w:id="292103113">
      <w:bodyDiv w:val="1"/>
      <w:marLeft w:val="0"/>
      <w:marRight w:val="0"/>
      <w:marTop w:val="0"/>
      <w:marBottom w:val="0"/>
      <w:divBdr>
        <w:top w:val="none" w:sz="0" w:space="0" w:color="auto"/>
        <w:left w:val="none" w:sz="0" w:space="0" w:color="auto"/>
        <w:bottom w:val="none" w:sz="0" w:space="0" w:color="auto"/>
        <w:right w:val="none" w:sz="0" w:space="0" w:color="auto"/>
      </w:divBdr>
    </w:div>
    <w:div w:id="301694630">
      <w:bodyDiv w:val="1"/>
      <w:marLeft w:val="0"/>
      <w:marRight w:val="0"/>
      <w:marTop w:val="0"/>
      <w:marBottom w:val="0"/>
      <w:divBdr>
        <w:top w:val="none" w:sz="0" w:space="0" w:color="auto"/>
        <w:left w:val="none" w:sz="0" w:space="0" w:color="auto"/>
        <w:bottom w:val="none" w:sz="0" w:space="0" w:color="auto"/>
        <w:right w:val="none" w:sz="0" w:space="0" w:color="auto"/>
      </w:divBdr>
    </w:div>
    <w:div w:id="305429038">
      <w:bodyDiv w:val="1"/>
      <w:marLeft w:val="0"/>
      <w:marRight w:val="0"/>
      <w:marTop w:val="0"/>
      <w:marBottom w:val="0"/>
      <w:divBdr>
        <w:top w:val="none" w:sz="0" w:space="0" w:color="auto"/>
        <w:left w:val="none" w:sz="0" w:space="0" w:color="auto"/>
        <w:bottom w:val="none" w:sz="0" w:space="0" w:color="auto"/>
        <w:right w:val="none" w:sz="0" w:space="0" w:color="auto"/>
      </w:divBdr>
    </w:div>
    <w:div w:id="307323229">
      <w:bodyDiv w:val="1"/>
      <w:marLeft w:val="0"/>
      <w:marRight w:val="0"/>
      <w:marTop w:val="0"/>
      <w:marBottom w:val="0"/>
      <w:divBdr>
        <w:top w:val="none" w:sz="0" w:space="0" w:color="auto"/>
        <w:left w:val="none" w:sz="0" w:space="0" w:color="auto"/>
        <w:bottom w:val="none" w:sz="0" w:space="0" w:color="auto"/>
        <w:right w:val="none" w:sz="0" w:space="0" w:color="auto"/>
      </w:divBdr>
    </w:div>
    <w:div w:id="335350883">
      <w:bodyDiv w:val="1"/>
      <w:marLeft w:val="0"/>
      <w:marRight w:val="0"/>
      <w:marTop w:val="0"/>
      <w:marBottom w:val="0"/>
      <w:divBdr>
        <w:top w:val="none" w:sz="0" w:space="0" w:color="auto"/>
        <w:left w:val="none" w:sz="0" w:space="0" w:color="auto"/>
        <w:bottom w:val="none" w:sz="0" w:space="0" w:color="auto"/>
        <w:right w:val="none" w:sz="0" w:space="0" w:color="auto"/>
      </w:divBdr>
    </w:div>
    <w:div w:id="339896368">
      <w:bodyDiv w:val="1"/>
      <w:marLeft w:val="0"/>
      <w:marRight w:val="0"/>
      <w:marTop w:val="0"/>
      <w:marBottom w:val="0"/>
      <w:divBdr>
        <w:top w:val="none" w:sz="0" w:space="0" w:color="auto"/>
        <w:left w:val="none" w:sz="0" w:space="0" w:color="auto"/>
        <w:bottom w:val="none" w:sz="0" w:space="0" w:color="auto"/>
        <w:right w:val="none" w:sz="0" w:space="0" w:color="auto"/>
      </w:divBdr>
    </w:div>
    <w:div w:id="342972796">
      <w:bodyDiv w:val="1"/>
      <w:marLeft w:val="0"/>
      <w:marRight w:val="0"/>
      <w:marTop w:val="0"/>
      <w:marBottom w:val="0"/>
      <w:divBdr>
        <w:top w:val="none" w:sz="0" w:space="0" w:color="auto"/>
        <w:left w:val="none" w:sz="0" w:space="0" w:color="auto"/>
        <w:bottom w:val="none" w:sz="0" w:space="0" w:color="auto"/>
        <w:right w:val="none" w:sz="0" w:space="0" w:color="auto"/>
      </w:divBdr>
    </w:div>
    <w:div w:id="345834617">
      <w:bodyDiv w:val="1"/>
      <w:marLeft w:val="0"/>
      <w:marRight w:val="0"/>
      <w:marTop w:val="0"/>
      <w:marBottom w:val="0"/>
      <w:divBdr>
        <w:top w:val="none" w:sz="0" w:space="0" w:color="auto"/>
        <w:left w:val="none" w:sz="0" w:space="0" w:color="auto"/>
        <w:bottom w:val="none" w:sz="0" w:space="0" w:color="auto"/>
        <w:right w:val="none" w:sz="0" w:space="0" w:color="auto"/>
      </w:divBdr>
    </w:div>
    <w:div w:id="345988876">
      <w:bodyDiv w:val="1"/>
      <w:marLeft w:val="0"/>
      <w:marRight w:val="0"/>
      <w:marTop w:val="0"/>
      <w:marBottom w:val="0"/>
      <w:divBdr>
        <w:top w:val="none" w:sz="0" w:space="0" w:color="auto"/>
        <w:left w:val="none" w:sz="0" w:space="0" w:color="auto"/>
        <w:bottom w:val="none" w:sz="0" w:space="0" w:color="auto"/>
        <w:right w:val="none" w:sz="0" w:space="0" w:color="auto"/>
      </w:divBdr>
    </w:div>
    <w:div w:id="346565045">
      <w:bodyDiv w:val="1"/>
      <w:marLeft w:val="0"/>
      <w:marRight w:val="0"/>
      <w:marTop w:val="0"/>
      <w:marBottom w:val="0"/>
      <w:divBdr>
        <w:top w:val="none" w:sz="0" w:space="0" w:color="auto"/>
        <w:left w:val="none" w:sz="0" w:space="0" w:color="auto"/>
        <w:bottom w:val="none" w:sz="0" w:space="0" w:color="auto"/>
        <w:right w:val="none" w:sz="0" w:space="0" w:color="auto"/>
      </w:divBdr>
    </w:div>
    <w:div w:id="346954836">
      <w:bodyDiv w:val="1"/>
      <w:marLeft w:val="0"/>
      <w:marRight w:val="0"/>
      <w:marTop w:val="0"/>
      <w:marBottom w:val="0"/>
      <w:divBdr>
        <w:top w:val="none" w:sz="0" w:space="0" w:color="auto"/>
        <w:left w:val="none" w:sz="0" w:space="0" w:color="auto"/>
        <w:bottom w:val="none" w:sz="0" w:space="0" w:color="auto"/>
        <w:right w:val="none" w:sz="0" w:space="0" w:color="auto"/>
      </w:divBdr>
    </w:div>
    <w:div w:id="349919361">
      <w:bodyDiv w:val="1"/>
      <w:marLeft w:val="0"/>
      <w:marRight w:val="0"/>
      <w:marTop w:val="0"/>
      <w:marBottom w:val="0"/>
      <w:divBdr>
        <w:top w:val="none" w:sz="0" w:space="0" w:color="auto"/>
        <w:left w:val="none" w:sz="0" w:space="0" w:color="auto"/>
        <w:bottom w:val="none" w:sz="0" w:space="0" w:color="auto"/>
        <w:right w:val="none" w:sz="0" w:space="0" w:color="auto"/>
      </w:divBdr>
    </w:div>
    <w:div w:id="353044862">
      <w:bodyDiv w:val="1"/>
      <w:marLeft w:val="0"/>
      <w:marRight w:val="0"/>
      <w:marTop w:val="0"/>
      <w:marBottom w:val="0"/>
      <w:divBdr>
        <w:top w:val="none" w:sz="0" w:space="0" w:color="auto"/>
        <w:left w:val="none" w:sz="0" w:space="0" w:color="auto"/>
        <w:bottom w:val="none" w:sz="0" w:space="0" w:color="auto"/>
        <w:right w:val="none" w:sz="0" w:space="0" w:color="auto"/>
      </w:divBdr>
    </w:div>
    <w:div w:id="356467271">
      <w:bodyDiv w:val="1"/>
      <w:marLeft w:val="0"/>
      <w:marRight w:val="0"/>
      <w:marTop w:val="0"/>
      <w:marBottom w:val="0"/>
      <w:divBdr>
        <w:top w:val="none" w:sz="0" w:space="0" w:color="auto"/>
        <w:left w:val="none" w:sz="0" w:space="0" w:color="auto"/>
        <w:bottom w:val="none" w:sz="0" w:space="0" w:color="auto"/>
        <w:right w:val="none" w:sz="0" w:space="0" w:color="auto"/>
      </w:divBdr>
    </w:div>
    <w:div w:id="362175311">
      <w:bodyDiv w:val="1"/>
      <w:marLeft w:val="0"/>
      <w:marRight w:val="0"/>
      <w:marTop w:val="0"/>
      <w:marBottom w:val="0"/>
      <w:divBdr>
        <w:top w:val="none" w:sz="0" w:space="0" w:color="auto"/>
        <w:left w:val="none" w:sz="0" w:space="0" w:color="auto"/>
        <w:bottom w:val="none" w:sz="0" w:space="0" w:color="auto"/>
        <w:right w:val="none" w:sz="0" w:space="0" w:color="auto"/>
      </w:divBdr>
    </w:div>
    <w:div w:id="362899913">
      <w:bodyDiv w:val="1"/>
      <w:marLeft w:val="0"/>
      <w:marRight w:val="0"/>
      <w:marTop w:val="0"/>
      <w:marBottom w:val="0"/>
      <w:divBdr>
        <w:top w:val="none" w:sz="0" w:space="0" w:color="auto"/>
        <w:left w:val="none" w:sz="0" w:space="0" w:color="auto"/>
        <w:bottom w:val="none" w:sz="0" w:space="0" w:color="auto"/>
        <w:right w:val="none" w:sz="0" w:space="0" w:color="auto"/>
      </w:divBdr>
    </w:div>
    <w:div w:id="366613042">
      <w:bodyDiv w:val="1"/>
      <w:marLeft w:val="0"/>
      <w:marRight w:val="0"/>
      <w:marTop w:val="0"/>
      <w:marBottom w:val="0"/>
      <w:divBdr>
        <w:top w:val="none" w:sz="0" w:space="0" w:color="auto"/>
        <w:left w:val="none" w:sz="0" w:space="0" w:color="auto"/>
        <w:bottom w:val="none" w:sz="0" w:space="0" w:color="auto"/>
        <w:right w:val="none" w:sz="0" w:space="0" w:color="auto"/>
      </w:divBdr>
    </w:div>
    <w:div w:id="367536760">
      <w:bodyDiv w:val="1"/>
      <w:marLeft w:val="0"/>
      <w:marRight w:val="0"/>
      <w:marTop w:val="0"/>
      <w:marBottom w:val="0"/>
      <w:divBdr>
        <w:top w:val="none" w:sz="0" w:space="0" w:color="auto"/>
        <w:left w:val="none" w:sz="0" w:space="0" w:color="auto"/>
        <w:bottom w:val="none" w:sz="0" w:space="0" w:color="auto"/>
        <w:right w:val="none" w:sz="0" w:space="0" w:color="auto"/>
      </w:divBdr>
    </w:div>
    <w:div w:id="371657518">
      <w:bodyDiv w:val="1"/>
      <w:marLeft w:val="0"/>
      <w:marRight w:val="0"/>
      <w:marTop w:val="0"/>
      <w:marBottom w:val="0"/>
      <w:divBdr>
        <w:top w:val="none" w:sz="0" w:space="0" w:color="auto"/>
        <w:left w:val="none" w:sz="0" w:space="0" w:color="auto"/>
        <w:bottom w:val="none" w:sz="0" w:space="0" w:color="auto"/>
        <w:right w:val="none" w:sz="0" w:space="0" w:color="auto"/>
      </w:divBdr>
    </w:div>
    <w:div w:id="377317776">
      <w:bodyDiv w:val="1"/>
      <w:marLeft w:val="0"/>
      <w:marRight w:val="0"/>
      <w:marTop w:val="0"/>
      <w:marBottom w:val="0"/>
      <w:divBdr>
        <w:top w:val="none" w:sz="0" w:space="0" w:color="auto"/>
        <w:left w:val="none" w:sz="0" w:space="0" w:color="auto"/>
        <w:bottom w:val="none" w:sz="0" w:space="0" w:color="auto"/>
        <w:right w:val="none" w:sz="0" w:space="0" w:color="auto"/>
      </w:divBdr>
    </w:div>
    <w:div w:id="390926545">
      <w:bodyDiv w:val="1"/>
      <w:marLeft w:val="0"/>
      <w:marRight w:val="0"/>
      <w:marTop w:val="0"/>
      <w:marBottom w:val="0"/>
      <w:divBdr>
        <w:top w:val="none" w:sz="0" w:space="0" w:color="auto"/>
        <w:left w:val="none" w:sz="0" w:space="0" w:color="auto"/>
        <w:bottom w:val="none" w:sz="0" w:space="0" w:color="auto"/>
        <w:right w:val="none" w:sz="0" w:space="0" w:color="auto"/>
      </w:divBdr>
    </w:div>
    <w:div w:id="392119349">
      <w:bodyDiv w:val="1"/>
      <w:marLeft w:val="0"/>
      <w:marRight w:val="0"/>
      <w:marTop w:val="0"/>
      <w:marBottom w:val="0"/>
      <w:divBdr>
        <w:top w:val="none" w:sz="0" w:space="0" w:color="auto"/>
        <w:left w:val="none" w:sz="0" w:space="0" w:color="auto"/>
        <w:bottom w:val="none" w:sz="0" w:space="0" w:color="auto"/>
        <w:right w:val="none" w:sz="0" w:space="0" w:color="auto"/>
      </w:divBdr>
    </w:div>
    <w:div w:id="412514092">
      <w:bodyDiv w:val="1"/>
      <w:marLeft w:val="0"/>
      <w:marRight w:val="0"/>
      <w:marTop w:val="0"/>
      <w:marBottom w:val="0"/>
      <w:divBdr>
        <w:top w:val="none" w:sz="0" w:space="0" w:color="auto"/>
        <w:left w:val="none" w:sz="0" w:space="0" w:color="auto"/>
        <w:bottom w:val="none" w:sz="0" w:space="0" w:color="auto"/>
        <w:right w:val="none" w:sz="0" w:space="0" w:color="auto"/>
      </w:divBdr>
    </w:div>
    <w:div w:id="412515073">
      <w:bodyDiv w:val="1"/>
      <w:marLeft w:val="0"/>
      <w:marRight w:val="0"/>
      <w:marTop w:val="0"/>
      <w:marBottom w:val="0"/>
      <w:divBdr>
        <w:top w:val="none" w:sz="0" w:space="0" w:color="auto"/>
        <w:left w:val="none" w:sz="0" w:space="0" w:color="auto"/>
        <w:bottom w:val="none" w:sz="0" w:space="0" w:color="auto"/>
        <w:right w:val="none" w:sz="0" w:space="0" w:color="auto"/>
      </w:divBdr>
    </w:div>
    <w:div w:id="434716463">
      <w:bodyDiv w:val="1"/>
      <w:marLeft w:val="0"/>
      <w:marRight w:val="0"/>
      <w:marTop w:val="0"/>
      <w:marBottom w:val="0"/>
      <w:divBdr>
        <w:top w:val="none" w:sz="0" w:space="0" w:color="auto"/>
        <w:left w:val="none" w:sz="0" w:space="0" w:color="auto"/>
        <w:bottom w:val="none" w:sz="0" w:space="0" w:color="auto"/>
        <w:right w:val="none" w:sz="0" w:space="0" w:color="auto"/>
      </w:divBdr>
    </w:div>
    <w:div w:id="446317065">
      <w:bodyDiv w:val="1"/>
      <w:marLeft w:val="0"/>
      <w:marRight w:val="0"/>
      <w:marTop w:val="0"/>
      <w:marBottom w:val="0"/>
      <w:divBdr>
        <w:top w:val="none" w:sz="0" w:space="0" w:color="auto"/>
        <w:left w:val="none" w:sz="0" w:space="0" w:color="auto"/>
        <w:bottom w:val="none" w:sz="0" w:space="0" w:color="auto"/>
        <w:right w:val="none" w:sz="0" w:space="0" w:color="auto"/>
      </w:divBdr>
    </w:div>
    <w:div w:id="454520067">
      <w:bodyDiv w:val="1"/>
      <w:marLeft w:val="0"/>
      <w:marRight w:val="0"/>
      <w:marTop w:val="0"/>
      <w:marBottom w:val="0"/>
      <w:divBdr>
        <w:top w:val="none" w:sz="0" w:space="0" w:color="auto"/>
        <w:left w:val="none" w:sz="0" w:space="0" w:color="auto"/>
        <w:bottom w:val="none" w:sz="0" w:space="0" w:color="auto"/>
        <w:right w:val="none" w:sz="0" w:space="0" w:color="auto"/>
      </w:divBdr>
    </w:div>
    <w:div w:id="454524801">
      <w:bodyDiv w:val="1"/>
      <w:marLeft w:val="0"/>
      <w:marRight w:val="0"/>
      <w:marTop w:val="0"/>
      <w:marBottom w:val="0"/>
      <w:divBdr>
        <w:top w:val="none" w:sz="0" w:space="0" w:color="auto"/>
        <w:left w:val="none" w:sz="0" w:space="0" w:color="auto"/>
        <w:bottom w:val="none" w:sz="0" w:space="0" w:color="auto"/>
        <w:right w:val="none" w:sz="0" w:space="0" w:color="auto"/>
      </w:divBdr>
    </w:div>
    <w:div w:id="462038404">
      <w:bodyDiv w:val="1"/>
      <w:marLeft w:val="0"/>
      <w:marRight w:val="0"/>
      <w:marTop w:val="0"/>
      <w:marBottom w:val="0"/>
      <w:divBdr>
        <w:top w:val="none" w:sz="0" w:space="0" w:color="auto"/>
        <w:left w:val="none" w:sz="0" w:space="0" w:color="auto"/>
        <w:bottom w:val="none" w:sz="0" w:space="0" w:color="auto"/>
        <w:right w:val="none" w:sz="0" w:space="0" w:color="auto"/>
      </w:divBdr>
    </w:div>
    <w:div w:id="464812625">
      <w:bodyDiv w:val="1"/>
      <w:marLeft w:val="0"/>
      <w:marRight w:val="0"/>
      <w:marTop w:val="0"/>
      <w:marBottom w:val="0"/>
      <w:divBdr>
        <w:top w:val="none" w:sz="0" w:space="0" w:color="auto"/>
        <w:left w:val="none" w:sz="0" w:space="0" w:color="auto"/>
        <w:bottom w:val="none" w:sz="0" w:space="0" w:color="auto"/>
        <w:right w:val="none" w:sz="0" w:space="0" w:color="auto"/>
      </w:divBdr>
    </w:div>
    <w:div w:id="470901247">
      <w:bodyDiv w:val="1"/>
      <w:marLeft w:val="0"/>
      <w:marRight w:val="0"/>
      <w:marTop w:val="0"/>
      <w:marBottom w:val="0"/>
      <w:divBdr>
        <w:top w:val="none" w:sz="0" w:space="0" w:color="auto"/>
        <w:left w:val="none" w:sz="0" w:space="0" w:color="auto"/>
        <w:bottom w:val="none" w:sz="0" w:space="0" w:color="auto"/>
        <w:right w:val="none" w:sz="0" w:space="0" w:color="auto"/>
      </w:divBdr>
    </w:div>
    <w:div w:id="476801205">
      <w:bodyDiv w:val="1"/>
      <w:marLeft w:val="0"/>
      <w:marRight w:val="0"/>
      <w:marTop w:val="0"/>
      <w:marBottom w:val="0"/>
      <w:divBdr>
        <w:top w:val="none" w:sz="0" w:space="0" w:color="auto"/>
        <w:left w:val="none" w:sz="0" w:space="0" w:color="auto"/>
        <w:bottom w:val="none" w:sz="0" w:space="0" w:color="auto"/>
        <w:right w:val="none" w:sz="0" w:space="0" w:color="auto"/>
      </w:divBdr>
    </w:div>
    <w:div w:id="480118979">
      <w:bodyDiv w:val="1"/>
      <w:marLeft w:val="0"/>
      <w:marRight w:val="0"/>
      <w:marTop w:val="0"/>
      <w:marBottom w:val="0"/>
      <w:divBdr>
        <w:top w:val="none" w:sz="0" w:space="0" w:color="auto"/>
        <w:left w:val="none" w:sz="0" w:space="0" w:color="auto"/>
        <w:bottom w:val="none" w:sz="0" w:space="0" w:color="auto"/>
        <w:right w:val="none" w:sz="0" w:space="0" w:color="auto"/>
      </w:divBdr>
    </w:div>
    <w:div w:id="515771290">
      <w:bodyDiv w:val="1"/>
      <w:marLeft w:val="0"/>
      <w:marRight w:val="0"/>
      <w:marTop w:val="0"/>
      <w:marBottom w:val="0"/>
      <w:divBdr>
        <w:top w:val="none" w:sz="0" w:space="0" w:color="auto"/>
        <w:left w:val="none" w:sz="0" w:space="0" w:color="auto"/>
        <w:bottom w:val="none" w:sz="0" w:space="0" w:color="auto"/>
        <w:right w:val="none" w:sz="0" w:space="0" w:color="auto"/>
      </w:divBdr>
    </w:div>
    <w:div w:id="516890148">
      <w:bodyDiv w:val="1"/>
      <w:marLeft w:val="0"/>
      <w:marRight w:val="0"/>
      <w:marTop w:val="0"/>
      <w:marBottom w:val="0"/>
      <w:divBdr>
        <w:top w:val="none" w:sz="0" w:space="0" w:color="auto"/>
        <w:left w:val="none" w:sz="0" w:space="0" w:color="auto"/>
        <w:bottom w:val="none" w:sz="0" w:space="0" w:color="auto"/>
        <w:right w:val="none" w:sz="0" w:space="0" w:color="auto"/>
      </w:divBdr>
    </w:div>
    <w:div w:id="518858740">
      <w:bodyDiv w:val="1"/>
      <w:marLeft w:val="0"/>
      <w:marRight w:val="0"/>
      <w:marTop w:val="0"/>
      <w:marBottom w:val="0"/>
      <w:divBdr>
        <w:top w:val="none" w:sz="0" w:space="0" w:color="auto"/>
        <w:left w:val="none" w:sz="0" w:space="0" w:color="auto"/>
        <w:bottom w:val="none" w:sz="0" w:space="0" w:color="auto"/>
        <w:right w:val="none" w:sz="0" w:space="0" w:color="auto"/>
      </w:divBdr>
    </w:div>
    <w:div w:id="527253532">
      <w:bodyDiv w:val="1"/>
      <w:marLeft w:val="0"/>
      <w:marRight w:val="0"/>
      <w:marTop w:val="0"/>
      <w:marBottom w:val="0"/>
      <w:divBdr>
        <w:top w:val="none" w:sz="0" w:space="0" w:color="auto"/>
        <w:left w:val="none" w:sz="0" w:space="0" w:color="auto"/>
        <w:bottom w:val="none" w:sz="0" w:space="0" w:color="auto"/>
        <w:right w:val="none" w:sz="0" w:space="0" w:color="auto"/>
      </w:divBdr>
    </w:div>
    <w:div w:id="532227100">
      <w:bodyDiv w:val="1"/>
      <w:marLeft w:val="0"/>
      <w:marRight w:val="0"/>
      <w:marTop w:val="0"/>
      <w:marBottom w:val="0"/>
      <w:divBdr>
        <w:top w:val="none" w:sz="0" w:space="0" w:color="auto"/>
        <w:left w:val="none" w:sz="0" w:space="0" w:color="auto"/>
        <w:bottom w:val="none" w:sz="0" w:space="0" w:color="auto"/>
        <w:right w:val="none" w:sz="0" w:space="0" w:color="auto"/>
      </w:divBdr>
    </w:div>
    <w:div w:id="532422729">
      <w:bodyDiv w:val="1"/>
      <w:marLeft w:val="0"/>
      <w:marRight w:val="0"/>
      <w:marTop w:val="0"/>
      <w:marBottom w:val="0"/>
      <w:divBdr>
        <w:top w:val="none" w:sz="0" w:space="0" w:color="auto"/>
        <w:left w:val="none" w:sz="0" w:space="0" w:color="auto"/>
        <w:bottom w:val="none" w:sz="0" w:space="0" w:color="auto"/>
        <w:right w:val="none" w:sz="0" w:space="0" w:color="auto"/>
      </w:divBdr>
    </w:div>
    <w:div w:id="543370372">
      <w:bodyDiv w:val="1"/>
      <w:marLeft w:val="0"/>
      <w:marRight w:val="0"/>
      <w:marTop w:val="0"/>
      <w:marBottom w:val="0"/>
      <w:divBdr>
        <w:top w:val="none" w:sz="0" w:space="0" w:color="auto"/>
        <w:left w:val="none" w:sz="0" w:space="0" w:color="auto"/>
        <w:bottom w:val="none" w:sz="0" w:space="0" w:color="auto"/>
        <w:right w:val="none" w:sz="0" w:space="0" w:color="auto"/>
      </w:divBdr>
    </w:div>
    <w:div w:id="543753623">
      <w:bodyDiv w:val="1"/>
      <w:marLeft w:val="0"/>
      <w:marRight w:val="0"/>
      <w:marTop w:val="0"/>
      <w:marBottom w:val="0"/>
      <w:divBdr>
        <w:top w:val="none" w:sz="0" w:space="0" w:color="auto"/>
        <w:left w:val="none" w:sz="0" w:space="0" w:color="auto"/>
        <w:bottom w:val="none" w:sz="0" w:space="0" w:color="auto"/>
        <w:right w:val="none" w:sz="0" w:space="0" w:color="auto"/>
      </w:divBdr>
    </w:div>
    <w:div w:id="553735402">
      <w:bodyDiv w:val="1"/>
      <w:marLeft w:val="0"/>
      <w:marRight w:val="0"/>
      <w:marTop w:val="0"/>
      <w:marBottom w:val="0"/>
      <w:divBdr>
        <w:top w:val="none" w:sz="0" w:space="0" w:color="auto"/>
        <w:left w:val="none" w:sz="0" w:space="0" w:color="auto"/>
        <w:bottom w:val="none" w:sz="0" w:space="0" w:color="auto"/>
        <w:right w:val="none" w:sz="0" w:space="0" w:color="auto"/>
      </w:divBdr>
    </w:div>
    <w:div w:id="560362815">
      <w:bodyDiv w:val="1"/>
      <w:marLeft w:val="0"/>
      <w:marRight w:val="0"/>
      <w:marTop w:val="0"/>
      <w:marBottom w:val="0"/>
      <w:divBdr>
        <w:top w:val="none" w:sz="0" w:space="0" w:color="auto"/>
        <w:left w:val="none" w:sz="0" w:space="0" w:color="auto"/>
        <w:bottom w:val="none" w:sz="0" w:space="0" w:color="auto"/>
        <w:right w:val="none" w:sz="0" w:space="0" w:color="auto"/>
      </w:divBdr>
    </w:div>
    <w:div w:id="572131870">
      <w:bodyDiv w:val="1"/>
      <w:marLeft w:val="0"/>
      <w:marRight w:val="0"/>
      <w:marTop w:val="0"/>
      <w:marBottom w:val="0"/>
      <w:divBdr>
        <w:top w:val="none" w:sz="0" w:space="0" w:color="auto"/>
        <w:left w:val="none" w:sz="0" w:space="0" w:color="auto"/>
        <w:bottom w:val="none" w:sz="0" w:space="0" w:color="auto"/>
        <w:right w:val="none" w:sz="0" w:space="0" w:color="auto"/>
      </w:divBdr>
    </w:div>
    <w:div w:id="577447334">
      <w:bodyDiv w:val="1"/>
      <w:marLeft w:val="0"/>
      <w:marRight w:val="0"/>
      <w:marTop w:val="0"/>
      <w:marBottom w:val="0"/>
      <w:divBdr>
        <w:top w:val="none" w:sz="0" w:space="0" w:color="auto"/>
        <w:left w:val="none" w:sz="0" w:space="0" w:color="auto"/>
        <w:bottom w:val="none" w:sz="0" w:space="0" w:color="auto"/>
        <w:right w:val="none" w:sz="0" w:space="0" w:color="auto"/>
      </w:divBdr>
    </w:div>
    <w:div w:id="579800560">
      <w:bodyDiv w:val="1"/>
      <w:marLeft w:val="0"/>
      <w:marRight w:val="0"/>
      <w:marTop w:val="0"/>
      <w:marBottom w:val="0"/>
      <w:divBdr>
        <w:top w:val="none" w:sz="0" w:space="0" w:color="auto"/>
        <w:left w:val="none" w:sz="0" w:space="0" w:color="auto"/>
        <w:bottom w:val="none" w:sz="0" w:space="0" w:color="auto"/>
        <w:right w:val="none" w:sz="0" w:space="0" w:color="auto"/>
      </w:divBdr>
    </w:div>
    <w:div w:id="580531569">
      <w:bodyDiv w:val="1"/>
      <w:marLeft w:val="0"/>
      <w:marRight w:val="0"/>
      <w:marTop w:val="0"/>
      <w:marBottom w:val="0"/>
      <w:divBdr>
        <w:top w:val="none" w:sz="0" w:space="0" w:color="auto"/>
        <w:left w:val="none" w:sz="0" w:space="0" w:color="auto"/>
        <w:bottom w:val="none" w:sz="0" w:space="0" w:color="auto"/>
        <w:right w:val="none" w:sz="0" w:space="0" w:color="auto"/>
      </w:divBdr>
    </w:div>
    <w:div w:id="584072930">
      <w:bodyDiv w:val="1"/>
      <w:marLeft w:val="0"/>
      <w:marRight w:val="0"/>
      <w:marTop w:val="0"/>
      <w:marBottom w:val="0"/>
      <w:divBdr>
        <w:top w:val="none" w:sz="0" w:space="0" w:color="auto"/>
        <w:left w:val="none" w:sz="0" w:space="0" w:color="auto"/>
        <w:bottom w:val="none" w:sz="0" w:space="0" w:color="auto"/>
        <w:right w:val="none" w:sz="0" w:space="0" w:color="auto"/>
      </w:divBdr>
    </w:div>
    <w:div w:id="593632238">
      <w:bodyDiv w:val="1"/>
      <w:marLeft w:val="0"/>
      <w:marRight w:val="0"/>
      <w:marTop w:val="0"/>
      <w:marBottom w:val="0"/>
      <w:divBdr>
        <w:top w:val="none" w:sz="0" w:space="0" w:color="auto"/>
        <w:left w:val="none" w:sz="0" w:space="0" w:color="auto"/>
        <w:bottom w:val="none" w:sz="0" w:space="0" w:color="auto"/>
        <w:right w:val="none" w:sz="0" w:space="0" w:color="auto"/>
      </w:divBdr>
    </w:div>
    <w:div w:id="599678600">
      <w:bodyDiv w:val="1"/>
      <w:marLeft w:val="0"/>
      <w:marRight w:val="0"/>
      <w:marTop w:val="0"/>
      <w:marBottom w:val="0"/>
      <w:divBdr>
        <w:top w:val="none" w:sz="0" w:space="0" w:color="auto"/>
        <w:left w:val="none" w:sz="0" w:space="0" w:color="auto"/>
        <w:bottom w:val="none" w:sz="0" w:space="0" w:color="auto"/>
        <w:right w:val="none" w:sz="0" w:space="0" w:color="auto"/>
      </w:divBdr>
    </w:div>
    <w:div w:id="612832473">
      <w:bodyDiv w:val="1"/>
      <w:marLeft w:val="0"/>
      <w:marRight w:val="0"/>
      <w:marTop w:val="0"/>
      <w:marBottom w:val="0"/>
      <w:divBdr>
        <w:top w:val="none" w:sz="0" w:space="0" w:color="auto"/>
        <w:left w:val="none" w:sz="0" w:space="0" w:color="auto"/>
        <w:bottom w:val="none" w:sz="0" w:space="0" w:color="auto"/>
        <w:right w:val="none" w:sz="0" w:space="0" w:color="auto"/>
      </w:divBdr>
    </w:div>
    <w:div w:id="618217751">
      <w:bodyDiv w:val="1"/>
      <w:marLeft w:val="0"/>
      <w:marRight w:val="0"/>
      <w:marTop w:val="0"/>
      <w:marBottom w:val="0"/>
      <w:divBdr>
        <w:top w:val="none" w:sz="0" w:space="0" w:color="auto"/>
        <w:left w:val="none" w:sz="0" w:space="0" w:color="auto"/>
        <w:bottom w:val="none" w:sz="0" w:space="0" w:color="auto"/>
        <w:right w:val="none" w:sz="0" w:space="0" w:color="auto"/>
      </w:divBdr>
    </w:div>
    <w:div w:id="618297460">
      <w:bodyDiv w:val="1"/>
      <w:marLeft w:val="0"/>
      <w:marRight w:val="0"/>
      <w:marTop w:val="0"/>
      <w:marBottom w:val="0"/>
      <w:divBdr>
        <w:top w:val="none" w:sz="0" w:space="0" w:color="auto"/>
        <w:left w:val="none" w:sz="0" w:space="0" w:color="auto"/>
        <w:bottom w:val="none" w:sz="0" w:space="0" w:color="auto"/>
        <w:right w:val="none" w:sz="0" w:space="0" w:color="auto"/>
      </w:divBdr>
    </w:div>
    <w:div w:id="632173954">
      <w:bodyDiv w:val="1"/>
      <w:marLeft w:val="0"/>
      <w:marRight w:val="0"/>
      <w:marTop w:val="0"/>
      <w:marBottom w:val="0"/>
      <w:divBdr>
        <w:top w:val="none" w:sz="0" w:space="0" w:color="auto"/>
        <w:left w:val="none" w:sz="0" w:space="0" w:color="auto"/>
        <w:bottom w:val="none" w:sz="0" w:space="0" w:color="auto"/>
        <w:right w:val="none" w:sz="0" w:space="0" w:color="auto"/>
      </w:divBdr>
    </w:div>
    <w:div w:id="633944765">
      <w:bodyDiv w:val="1"/>
      <w:marLeft w:val="0"/>
      <w:marRight w:val="0"/>
      <w:marTop w:val="0"/>
      <w:marBottom w:val="0"/>
      <w:divBdr>
        <w:top w:val="none" w:sz="0" w:space="0" w:color="auto"/>
        <w:left w:val="none" w:sz="0" w:space="0" w:color="auto"/>
        <w:bottom w:val="none" w:sz="0" w:space="0" w:color="auto"/>
        <w:right w:val="none" w:sz="0" w:space="0" w:color="auto"/>
      </w:divBdr>
    </w:div>
    <w:div w:id="634022469">
      <w:bodyDiv w:val="1"/>
      <w:marLeft w:val="0"/>
      <w:marRight w:val="0"/>
      <w:marTop w:val="0"/>
      <w:marBottom w:val="0"/>
      <w:divBdr>
        <w:top w:val="none" w:sz="0" w:space="0" w:color="auto"/>
        <w:left w:val="none" w:sz="0" w:space="0" w:color="auto"/>
        <w:bottom w:val="none" w:sz="0" w:space="0" w:color="auto"/>
        <w:right w:val="none" w:sz="0" w:space="0" w:color="auto"/>
      </w:divBdr>
    </w:div>
    <w:div w:id="638345899">
      <w:bodyDiv w:val="1"/>
      <w:marLeft w:val="0"/>
      <w:marRight w:val="0"/>
      <w:marTop w:val="0"/>
      <w:marBottom w:val="0"/>
      <w:divBdr>
        <w:top w:val="none" w:sz="0" w:space="0" w:color="auto"/>
        <w:left w:val="none" w:sz="0" w:space="0" w:color="auto"/>
        <w:bottom w:val="none" w:sz="0" w:space="0" w:color="auto"/>
        <w:right w:val="none" w:sz="0" w:space="0" w:color="auto"/>
      </w:divBdr>
    </w:div>
    <w:div w:id="642465277">
      <w:bodyDiv w:val="1"/>
      <w:marLeft w:val="0"/>
      <w:marRight w:val="0"/>
      <w:marTop w:val="0"/>
      <w:marBottom w:val="0"/>
      <w:divBdr>
        <w:top w:val="none" w:sz="0" w:space="0" w:color="auto"/>
        <w:left w:val="none" w:sz="0" w:space="0" w:color="auto"/>
        <w:bottom w:val="none" w:sz="0" w:space="0" w:color="auto"/>
        <w:right w:val="none" w:sz="0" w:space="0" w:color="auto"/>
      </w:divBdr>
    </w:div>
    <w:div w:id="648292017">
      <w:bodyDiv w:val="1"/>
      <w:marLeft w:val="0"/>
      <w:marRight w:val="0"/>
      <w:marTop w:val="0"/>
      <w:marBottom w:val="0"/>
      <w:divBdr>
        <w:top w:val="none" w:sz="0" w:space="0" w:color="auto"/>
        <w:left w:val="none" w:sz="0" w:space="0" w:color="auto"/>
        <w:bottom w:val="none" w:sz="0" w:space="0" w:color="auto"/>
        <w:right w:val="none" w:sz="0" w:space="0" w:color="auto"/>
      </w:divBdr>
    </w:div>
    <w:div w:id="648368158">
      <w:bodyDiv w:val="1"/>
      <w:marLeft w:val="0"/>
      <w:marRight w:val="0"/>
      <w:marTop w:val="0"/>
      <w:marBottom w:val="0"/>
      <w:divBdr>
        <w:top w:val="none" w:sz="0" w:space="0" w:color="auto"/>
        <w:left w:val="none" w:sz="0" w:space="0" w:color="auto"/>
        <w:bottom w:val="none" w:sz="0" w:space="0" w:color="auto"/>
        <w:right w:val="none" w:sz="0" w:space="0" w:color="auto"/>
      </w:divBdr>
    </w:div>
    <w:div w:id="648942645">
      <w:bodyDiv w:val="1"/>
      <w:marLeft w:val="0"/>
      <w:marRight w:val="0"/>
      <w:marTop w:val="0"/>
      <w:marBottom w:val="0"/>
      <w:divBdr>
        <w:top w:val="none" w:sz="0" w:space="0" w:color="auto"/>
        <w:left w:val="none" w:sz="0" w:space="0" w:color="auto"/>
        <w:bottom w:val="none" w:sz="0" w:space="0" w:color="auto"/>
        <w:right w:val="none" w:sz="0" w:space="0" w:color="auto"/>
      </w:divBdr>
    </w:div>
    <w:div w:id="651518010">
      <w:bodyDiv w:val="1"/>
      <w:marLeft w:val="0"/>
      <w:marRight w:val="0"/>
      <w:marTop w:val="0"/>
      <w:marBottom w:val="0"/>
      <w:divBdr>
        <w:top w:val="none" w:sz="0" w:space="0" w:color="auto"/>
        <w:left w:val="none" w:sz="0" w:space="0" w:color="auto"/>
        <w:bottom w:val="none" w:sz="0" w:space="0" w:color="auto"/>
        <w:right w:val="none" w:sz="0" w:space="0" w:color="auto"/>
      </w:divBdr>
    </w:div>
    <w:div w:id="658386102">
      <w:bodyDiv w:val="1"/>
      <w:marLeft w:val="0"/>
      <w:marRight w:val="0"/>
      <w:marTop w:val="0"/>
      <w:marBottom w:val="0"/>
      <w:divBdr>
        <w:top w:val="none" w:sz="0" w:space="0" w:color="auto"/>
        <w:left w:val="none" w:sz="0" w:space="0" w:color="auto"/>
        <w:bottom w:val="none" w:sz="0" w:space="0" w:color="auto"/>
        <w:right w:val="none" w:sz="0" w:space="0" w:color="auto"/>
      </w:divBdr>
    </w:div>
    <w:div w:id="661471446">
      <w:bodyDiv w:val="1"/>
      <w:marLeft w:val="0"/>
      <w:marRight w:val="0"/>
      <w:marTop w:val="0"/>
      <w:marBottom w:val="0"/>
      <w:divBdr>
        <w:top w:val="none" w:sz="0" w:space="0" w:color="auto"/>
        <w:left w:val="none" w:sz="0" w:space="0" w:color="auto"/>
        <w:bottom w:val="none" w:sz="0" w:space="0" w:color="auto"/>
        <w:right w:val="none" w:sz="0" w:space="0" w:color="auto"/>
      </w:divBdr>
    </w:div>
    <w:div w:id="664666617">
      <w:bodyDiv w:val="1"/>
      <w:marLeft w:val="0"/>
      <w:marRight w:val="0"/>
      <w:marTop w:val="0"/>
      <w:marBottom w:val="0"/>
      <w:divBdr>
        <w:top w:val="none" w:sz="0" w:space="0" w:color="auto"/>
        <w:left w:val="none" w:sz="0" w:space="0" w:color="auto"/>
        <w:bottom w:val="none" w:sz="0" w:space="0" w:color="auto"/>
        <w:right w:val="none" w:sz="0" w:space="0" w:color="auto"/>
      </w:divBdr>
    </w:div>
    <w:div w:id="677002595">
      <w:bodyDiv w:val="1"/>
      <w:marLeft w:val="0"/>
      <w:marRight w:val="0"/>
      <w:marTop w:val="0"/>
      <w:marBottom w:val="0"/>
      <w:divBdr>
        <w:top w:val="none" w:sz="0" w:space="0" w:color="auto"/>
        <w:left w:val="none" w:sz="0" w:space="0" w:color="auto"/>
        <w:bottom w:val="none" w:sz="0" w:space="0" w:color="auto"/>
        <w:right w:val="none" w:sz="0" w:space="0" w:color="auto"/>
      </w:divBdr>
    </w:div>
    <w:div w:id="678391301">
      <w:bodyDiv w:val="1"/>
      <w:marLeft w:val="0"/>
      <w:marRight w:val="0"/>
      <w:marTop w:val="0"/>
      <w:marBottom w:val="0"/>
      <w:divBdr>
        <w:top w:val="none" w:sz="0" w:space="0" w:color="auto"/>
        <w:left w:val="none" w:sz="0" w:space="0" w:color="auto"/>
        <w:bottom w:val="none" w:sz="0" w:space="0" w:color="auto"/>
        <w:right w:val="none" w:sz="0" w:space="0" w:color="auto"/>
      </w:divBdr>
    </w:div>
    <w:div w:id="705368556">
      <w:bodyDiv w:val="1"/>
      <w:marLeft w:val="0"/>
      <w:marRight w:val="0"/>
      <w:marTop w:val="0"/>
      <w:marBottom w:val="0"/>
      <w:divBdr>
        <w:top w:val="none" w:sz="0" w:space="0" w:color="auto"/>
        <w:left w:val="none" w:sz="0" w:space="0" w:color="auto"/>
        <w:bottom w:val="none" w:sz="0" w:space="0" w:color="auto"/>
        <w:right w:val="none" w:sz="0" w:space="0" w:color="auto"/>
      </w:divBdr>
    </w:div>
    <w:div w:id="708411355">
      <w:bodyDiv w:val="1"/>
      <w:marLeft w:val="0"/>
      <w:marRight w:val="0"/>
      <w:marTop w:val="0"/>
      <w:marBottom w:val="0"/>
      <w:divBdr>
        <w:top w:val="none" w:sz="0" w:space="0" w:color="auto"/>
        <w:left w:val="none" w:sz="0" w:space="0" w:color="auto"/>
        <w:bottom w:val="none" w:sz="0" w:space="0" w:color="auto"/>
        <w:right w:val="none" w:sz="0" w:space="0" w:color="auto"/>
      </w:divBdr>
    </w:div>
    <w:div w:id="715086496">
      <w:bodyDiv w:val="1"/>
      <w:marLeft w:val="0"/>
      <w:marRight w:val="0"/>
      <w:marTop w:val="0"/>
      <w:marBottom w:val="0"/>
      <w:divBdr>
        <w:top w:val="none" w:sz="0" w:space="0" w:color="auto"/>
        <w:left w:val="none" w:sz="0" w:space="0" w:color="auto"/>
        <w:bottom w:val="none" w:sz="0" w:space="0" w:color="auto"/>
        <w:right w:val="none" w:sz="0" w:space="0" w:color="auto"/>
      </w:divBdr>
    </w:div>
    <w:div w:id="717357613">
      <w:bodyDiv w:val="1"/>
      <w:marLeft w:val="0"/>
      <w:marRight w:val="0"/>
      <w:marTop w:val="0"/>
      <w:marBottom w:val="0"/>
      <w:divBdr>
        <w:top w:val="none" w:sz="0" w:space="0" w:color="auto"/>
        <w:left w:val="none" w:sz="0" w:space="0" w:color="auto"/>
        <w:bottom w:val="none" w:sz="0" w:space="0" w:color="auto"/>
        <w:right w:val="none" w:sz="0" w:space="0" w:color="auto"/>
      </w:divBdr>
    </w:div>
    <w:div w:id="721438556">
      <w:bodyDiv w:val="1"/>
      <w:marLeft w:val="0"/>
      <w:marRight w:val="0"/>
      <w:marTop w:val="0"/>
      <w:marBottom w:val="0"/>
      <w:divBdr>
        <w:top w:val="none" w:sz="0" w:space="0" w:color="auto"/>
        <w:left w:val="none" w:sz="0" w:space="0" w:color="auto"/>
        <w:bottom w:val="none" w:sz="0" w:space="0" w:color="auto"/>
        <w:right w:val="none" w:sz="0" w:space="0" w:color="auto"/>
      </w:divBdr>
    </w:div>
    <w:div w:id="740906444">
      <w:bodyDiv w:val="1"/>
      <w:marLeft w:val="0"/>
      <w:marRight w:val="0"/>
      <w:marTop w:val="0"/>
      <w:marBottom w:val="0"/>
      <w:divBdr>
        <w:top w:val="none" w:sz="0" w:space="0" w:color="auto"/>
        <w:left w:val="none" w:sz="0" w:space="0" w:color="auto"/>
        <w:bottom w:val="none" w:sz="0" w:space="0" w:color="auto"/>
        <w:right w:val="none" w:sz="0" w:space="0" w:color="auto"/>
      </w:divBdr>
    </w:div>
    <w:div w:id="751246426">
      <w:bodyDiv w:val="1"/>
      <w:marLeft w:val="0"/>
      <w:marRight w:val="0"/>
      <w:marTop w:val="0"/>
      <w:marBottom w:val="0"/>
      <w:divBdr>
        <w:top w:val="none" w:sz="0" w:space="0" w:color="auto"/>
        <w:left w:val="none" w:sz="0" w:space="0" w:color="auto"/>
        <w:bottom w:val="none" w:sz="0" w:space="0" w:color="auto"/>
        <w:right w:val="none" w:sz="0" w:space="0" w:color="auto"/>
      </w:divBdr>
    </w:div>
    <w:div w:id="754548361">
      <w:bodyDiv w:val="1"/>
      <w:marLeft w:val="0"/>
      <w:marRight w:val="0"/>
      <w:marTop w:val="0"/>
      <w:marBottom w:val="0"/>
      <w:divBdr>
        <w:top w:val="none" w:sz="0" w:space="0" w:color="auto"/>
        <w:left w:val="none" w:sz="0" w:space="0" w:color="auto"/>
        <w:bottom w:val="none" w:sz="0" w:space="0" w:color="auto"/>
        <w:right w:val="none" w:sz="0" w:space="0" w:color="auto"/>
      </w:divBdr>
    </w:div>
    <w:div w:id="760756358">
      <w:bodyDiv w:val="1"/>
      <w:marLeft w:val="0"/>
      <w:marRight w:val="0"/>
      <w:marTop w:val="0"/>
      <w:marBottom w:val="0"/>
      <w:divBdr>
        <w:top w:val="none" w:sz="0" w:space="0" w:color="auto"/>
        <w:left w:val="none" w:sz="0" w:space="0" w:color="auto"/>
        <w:bottom w:val="none" w:sz="0" w:space="0" w:color="auto"/>
        <w:right w:val="none" w:sz="0" w:space="0" w:color="auto"/>
      </w:divBdr>
    </w:div>
    <w:div w:id="772434973">
      <w:bodyDiv w:val="1"/>
      <w:marLeft w:val="0"/>
      <w:marRight w:val="0"/>
      <w:marTop w:val="0"/>
      <w:marBottom w:val="0"/>
      <w:divBdr>
        <w:top w:val="none" w:sz="0" w:space="0" w:color="auto"/>
        <w:left w:val="none" w:sz="0" w:space="0" w:color="auto"/>
        <w:bottom w:val="none" w:sz="0" w:space="0" w:color="auto"/>
        <w:right w:val="none" w:sz="0" w:space="0" w:color="auto"/>
      </w:divBdr>
    </w:div>
    <w:div w:id="773987720">
      <w:bodyDiv w:val="1"/>
      <w:marLeft w:val="0"/>
      <w:marRight w:val="0"/>
      <w:marTop w:val="0"/>
      <w:marBottom w:val="0"/>
      <w:divBdr>
        <w:top w:val="none" w:sz="0" w:space="0" w:color="auto"/>
        <w:left w:val="none" w:sz="0" w:space="0" w:color="auto"/>
        <w:bottom w:val="none" w:sz="0" w:space="0" w:color="auto"/>
        <w:right w:val="none" w:sz="0" w:space="0" w:color="auto"/>
      </w:divBdr>
    </w:div>
    <w:div w:id="775180310">
      <w:bodyDiv w:val="1"/>
      <w:marLeft w:val="0"/>
      <w:marRight w:val="0"/>
      <w:marTop w:val="0"/>
      <w:marBottom w:val="0"/>
      <w:divBdr>
        <w:top w:val="none" w:sz="0" w:space="0" w:color="auto"/>
        <w:left w:val="none" w:sz="0" w:space="0" w:color="auto"/>
        <w:bottom w:val="none" w:sz="0" w:space="0" w:color="auto"/>
        <w:right w:val="none" w:sz="0" w:space="0" w:color="auto"/>
      </w:divBdr>
    </w:div>
    <w:div w:id="780609718">
      <w:bodyDiv w:val="1"/>
      <w:marLeft w:val="0"/>
      <w:marRight w:val="0"/>
      <w:marTop w:val="0"/>
      <w:marBottom w:val="0"/>
      <w:divBdr>
        <w:top w:val="none" w:sz="0" w:space="0" w:color="auto"/>
        <w:left w:val="none" w:sz="0" w:space="0" w:color="auto"/>
        <w:bottom w:val="none" w:sz="0" w:space="0" w:color="auto"/>
        <w:right w:val="none" w:sz="0" w:space="0" w:color="auto"/>
      </w:divBdr>
    </w:div>
    <w:div w:id="780803428">
      <w:bodyDiv w:val="1"/>
      <w:marLeft w:val="0"/>
      <w:marRight w:val="0"/>
      <w:marTop w:val="0"/>
      <w:marBottom w:val="0"/>
      <w:divBdr>
        <w:top w:val="none" w:sz="0" w:space="0" w:color="auto"/>
        <w:left w:val="none" w:sz="0" w:space="0" w:color="auto"/>
        <w:bottom w:val="none" w:sz="0" w:space="0" w:color="auto"/>
        <w:right w:val="none" w:sz="0" w:space="0" w:color="auto"/>
      </w:divBdr>
    </w:div>
    <w:div w:id="795948861">
      <w:bodyDiv w:val="1"/>
      <w:marLeft w:val="0"/>
      <w:marRight w:val="0"/>
      <w:marTop w:val="0"/>
      <w:marBottom w:val="0"/>
      <w:divBdr>
        <w:top w:val="none" w:sz="0" w:space="0" w:color="auto"/>
        <w:left w:val="none" w:sz="0" w:space="0" w:color="auto"/>
        <w:bottom w:val="none" w:sz="0" w:space="0" w:color="auto"/>
        <w:right w:val="none" w:sz="0" w:space="0" w:color="auto"/>
      </w:divBdr>
    </w:div>
    <w:div w:id="797262045">
      <w:bodyDiv w:val="1"/>
      <w:marLeft w:val="0"/>
      <w:marRight w:val="0"/>
      <w:marTop w:val="0"/>
      <w:marBottom w:val="0"/>
      <w:divBdr>
        <w:top w:val="none" w:sz="0" w:space="0" w:color="auto"/>
        <w:left w:val="none" w:sz="0" w:space="0" w:color="auto"/>
        <w:bottom w:val="none" w:sz="0" w:space="0" w:color="auto"/>
        <w:right w:val="none" w:sz="0" w:space="0" w:color="auto"/>
      </w:divBdr>
    </w:div>
    <w:div w:id="800683542">
      <w:bodyDiv w:val="1"/>
      <w:marLeft w:val="0"/>
      <w:marRight w:val="0"/>
      <w:marTop w:val="0"/>
      <w:marBottom w:val="0"/>
      <w:divBdr>
        <w:top w:val="none" w:sz="0" w:space="0" w:color="auto"/>
        <w:left w:val="none" w:sz="0" w:space="0" w:color="auto"/>
        <w:bottom w:val="none" w:sz="0" w:space="0" w:color="auto"/>
        <w:right w:val="none" w:sz="0" w:space="0" w:color="auto"/>
      </w:divBdr>
    </w:div>
    <w:div w:id="809833706">
      <w:bodyDiv w:val="1"/>
      <w:marLeft w:val="0"/>
      <w:marRight w:val="0"/>
      <w:marTop w:val="0"/>
      <w:marBottom w:val="0"/>
      <w:divBdr>
        <w:top w:val="none" w:sz="0" w:space="0" w:color="auto"/>
        <w:left w:val="none" w:sz="0" w:space="0" w:color="auto"/>
        <w:bottom w:val="none" w:sz="0" w:space="0" w:color="auto"/>
        <w:right w:val="none" w:sz="0" w:space="0" w:color="auto"/>
      </w:divBdr>
    </w:div>
    <w:div w:id="832721084">
      <w:bodyDiv w:val="1"/>
      <w:marLeft w:val="0"/>
      <w:marRight w:val="0"/>
      <w:marTop w:val="0"/>
      <w:marBottom w:val="0"/>
      <w:divBdr>
        <w:top w:val="none" w:sz="0" w:space="0" w:color="auto"/>
        <w:left w:val="none" w:sz="0" w:space="0" w:color="auto"/>
        <w:bottom w:val="none" w:sz="0" w:space="0" w:color="auto"/>
        <w:right w:val="none" w:sz="0" w:space="0" w:color="auto"/>
      </w:divBdr>
    </w:div>
    <w:div w:id="838812567">
      <w:bodyDiv w:val="1"/>
      <w:marLeft w:val="0"/>
      <w:marRight w:val="0"/>
      <w:marTop w:val="0"/>
      <w:marBottom w:val="0"/>
      <w:divBdr>
        <w:top w:val="none" w:sz="0" w:space="0" w:color="auto"/>
        <w:left w:val="none" w:sz="0" w:space="0" w:color="auto"/>
        <w:bottom w:val="none" w:sz="0" w:space="0" w:color="auto"/>
        <w:right w:val="none" w:sz="0" w:space="0" w:color="auto"/>
      </w:divBdr>
    </w:div>
    <w:div w:id="845483698">
      <w:bodyDiv w:val="1"/>
      <w:marLeft w:val="0"/>
      <w:marRight w:val="0"/>
      <w:marTop w:val="0"/>
      <w:marBottom w:val="0"/>
      <w:divBdr>
        <w:top w:val="none" w:sz="0" w:space="0" w:color="auto"/>
        <w:left w:val="none" w:sz="0" w:space="0" w:color="auto"/>
        <w:bottom w:val="none" w:sz="0" w:space="0" w:color="auto"/>
        <w:right w:val="none" w:sz="0" w:space="0" w:color="auto"/>
      </w:divBdr>
    </w:div>
    <w:div w:id="864902762">
      <w:bodyDiv w:val="1"/>
      <w:marLeft w:val="0"/>
      <w:marRight w:val="0"/>
      <w:marTop w:val="0"/>
      <w:marBottom w:val="0"/>
      <w:divBdr>
        <w:top w:val="none" w:sz="0" w:space="0" w:color="auto"/>
        <w:left w:val="none" w:sz="0" w:space="0" w:color="auto"/>
        <w:bottom w:val="none" w:sz="0" w:space="0" w:color="auto"/>
        <w:right w:val="none" w:sz="0" w:space="0" w:color="auto"/>
      </w:divBdr>
    </w:div>
    <w:div w:id="877396153">
      <w:bodyDiv w:val="1"/>
      <w:marLeft w:val="0"/>
      <w:marRight w:val="0"/>
      <w:marTop w:val="0"/>
      <w:marBottom w:val="0"/>
      <w:divBdr>
        <w:top w:val="none" w:sz="0" w:space="0" w:color="auto"/>
        <w:left w:val="none" w:sz="0" w:space="0" w:color="auto"/>
        <w:bottom w:val="none" w:sz="0" w:space="0" w:color="auto"/>
        <w:right w:val="none" w:sz="0" w:space="0" w:color="auto"/>
      </w:divBdr>
    </w:div>
    <w:div w:id="879829139">
      <w:bodyDiv w:val="1"/>
      <w:marLeft w:val="0"/>
      <w:marRight w:val="0"/>
      <w:marTop w:val="0"/>
      <w:marBottom w:val="0"/>
      <w:divBdr>
        <w:top w:val="none" w:sz="0" w:space="0" w:color="auto"/>
        <w:left w:val="none" w:sz="0" w:space="0" w:color="auto"/>
        <w:bottom w:val="none" w:sz="0" w:space="0" w:color="auto"/>
        <w:right w:val="none" w:sz="0" w:space="0" w:color="auto"/>
      </w:divBdr>
    </w:div>
    <w:div w:id="887374499">
      <w:bodyDiv w:val="1"/>
      <w:marLeft w:val="0"/>
      <w:marRight w:val="0"/>
      <w:marTop w:val="0"/>
      <w:marBottom w:val="0"/>
      <w:divBdr>
        <w:top w:val="none" w:sz="0" w:space="0" w:color="auto"/>
        <w:left w:val="none" w:sz="0" w:space="0" w:color="auto"/>
        <w:bottom w:val="none" w:sz="0" w:space="0" w:color="auto"/>
        <w:right w:val="none" w:sz="0" w:space="0" w:color="auto"/>
      </w:divBdr>
    </w:div>
    <w:div w:id="889343987">
      <w:bodyDiv w:val="1"/>
      <w:marLeft w:val="0"/>
      <w:marRight w:val="0"/>
      <w:marTop w:val="0"/>
      <w:marBottom w:val="0"/>
      <w:divBdr>
        <w:top w:val="none" w:sz="0" w:space="0" w:color="auto"/>
        <w:left w:val="none" w:sz="0" w:space="0" w:color="auto"/>
        <w:bottom w:val="none" w:sz="0" w:space="0" w:color="auto"/>
        <w:right w:val="none" w:sz="0" w:space="0" w:color="auto"/>
      </w:divBdr>
    </w:div>
    <w:div w:id="889461637">
      <w:bodyDiv w:val="1"/>
      <w:marLeft w:val="0"/>
      <w:marRight w:val="0"/>
      <w:marTop w:val="0"/>
      <w:marBottom w:val="0"/>
      <w:divBdr>
        <w:top w:val="none" w:sz="0" w:space="0" w:color="auto"/>
        <w:left w:val="none" w:sz="0" w:space="0" w:color="auto"/>
        <w:bottom w:val="none" w:sz="0" w:space="0" w:color="auto"/>
        <w:right w:val="none" w:sz="0" w:space="0" w:color="auto"/>
      </w:divBdr>
    </w:div>
    <w:div w:id="897398623">
      <w:bodyDiv w:val="1"/>
      <w:marLeft w:val="0"/>
      <w:marRight w:val="0"/>
      <w:marTop w:val="0"/>
      <w:marBottom w:val="0"/>
      <w:divBdr>
        <w:top w:val="none" w:sz="0" w:space="0" w:color="auto"/>
        <w:left w:val="none" w:sz="0" w:space="0" w:color="auto"/>
        <w:bottom w:val="none" w:sz="0" w:space="0" w:color="auto"/>
        <w:right w:val="none" w:sz="0" w:space="0" w:color="auto"/>
      </w:divBdr>
    </w:div>
    <w:div w:id="898133804">
      <w:bodyDiv w:val="1"/>
      <w:marLeft w:val="0"/>
      <w:marRight w:val="0"/>
      <w:marTop w:val="0"/>
      <w:marBottom w:val="0"/>
      <w:divBdr>
        <w:top w:val="none" w:sz="0" w:space="0" w:color="auto"/>
        <w:left w:val="none" w:sz="0" w:space="0" w:color="auto"/>
        <w:bottom w:val="none" w:sz="0" w:space="0" w:color="auto"/>
        <w:right w:val="none" w:sz="0" w:space="0" w:color="auto"/>
      </w:divBdr>
    </w:div>
    <w:div w:id="905726988">
      <w:bodyDiv w:val="1"/>
      <w:marLeft w:val="0"/>
      <w:marRight w:val="0"/>
      <w:marTop w:val="0"/>
      <w:marBottom w:val="0"/>
      <w:divBdr>
        <w:top w:val="none" w:sz="0" w:space="0" w:color="auto"/>
        <w:left w:val="none" w:sz="0" w:space="0" w:color="auto"/>
        <w:bottom w:val="none" w:sz="0" w:space="0" w:color="auto"/>
        <w:right w:val="none" w:sz="0" w:space="0" w:color="auto"/>
      </w:divBdr>
    </w:div>
    <w:div w:id="906691685">
      <w:bodyDiv w:val="1"/>
      <w:marLeft w:val="0"/>
      <w:marRight w:val="0"/>
      <w:marTop w:val="0"/>
      <w:marBottom w:val="0"/>
      <w:divBdr>
        <w:top w:val="none" w:sz="0" w:space="0" w:color="auto"/>
        <w:left w:val="none" w:sz="0" w:space="0" w:color="auto"/>
        <w:bottom w:val="none" w:sz="0" w:space="0" w:color="auto"/>
        <w:right w:val="none" w:sz="0" w:space="0" w:color="auto"/>
      </w:divBdr>
    </w:div>
    <w:div w:id="907807277">
      <w:bodyDiv w:val="1"/>
      <w:marLeft w:val="0"/>
      <w:marRight w:val="0"/>
      <w:marTop w:val="0"/>
      <w:marBottom w:val="0"/>
      <w:divBdr>
        <w:top w:val="none" w:sz="0" w:space="0" w:color="auto"/>
        <w:left w:val="none" w:sz="0" w:space="0" w:color="auto"/>
        <w:bottom w:val="none" w:sz="0" w:space="0" w:color="auto"/>
        <w:right w:val="none" w:sz="0" w:space="0" w:color="auto"/>
      </w:divBdr>
    </w:div>
    <w:div w:id="912621517">
      <w:bodyDiv w:val="1"/>
      <w:marLeft w:val="0"/>
      <w:marRight w:val="0"/>
      <w:marTop w:val="0"/>
      <w:marBottom w:val="0"/>
      <w:divBdr>
        <w:top w:val="none" w:sz="0" w:space="0" w:color="auto"/>
        <w:left w:val="none" w:sz="0" w:space="0" w:color="auto"/>
        <w:bottom w:val="none" w:sz="0" w:space="0" w:color="auto"/>
        <w:right w:val="none" w:sz="0" w:space="0" w:color="auto"/>
      </w:divBdr>
    </w:div>
    <w:div w:id="926306178">
      <w:bodyDiv w:val="1"/>
      <w:marLeft w:val="0"/>
      <w:marRight w:val="0"/>
      <w:marTop w:val="0"/>
      <w:marBottom w:val="0"/>
      <w:divBdr>
        <w:top w:val="none" w:sz="0" w:space="0" w:color="auto"/>
        <w:left w:val="none" w:sz="0" w:space="0" w:color="auto"/>
        <w:bottom w:val="none" w:sz="0" w:space="0" w:color="auto"/>
        <w:right w:val="none" w:sz="0" w:space="0" w:color="auto"/>
      </w:divBdr>
    </w:div>
    <w:div w:id="929316320">
      <w:bodyDiv w:val="1"/>
      <w:marLeft w:val="0"/>
      <w:marRight w:val="0"/>
      <w:marTop w:val="0"/>
      <w:marBottom w:val="0"/>
      <w:divBdr>
        <w:top w:val="none" w:sz="0" w:space="0" w:color="auto"/>
        <w:left w:val="none" w:sz="0" w:space="0" w:color="auto"/>
        <w:bottom w:val="none" w:sz="0" w:space="0" w:color="auto"/>
        <w:right w:val="none" w:sz="0" w:space="0" w:color="auto"/>
      </w:divBdr>
    </w:div>
    <w:div w:id="929848009">
      <w:bodyDiv w:val="1"/>
      <w:marLeft w:val="0"/>
      <w:marRight w:val="0"/>
      <w:marTop w:val="0"/>
      <w:marBottom w:val="0"/>
      <w:divBdr>
        <w:top w:val="none" w:sz="0" w:space="0" w:color="auto"/>
        <w:left w:val="none" w:sz="0" w:space="0" w:color="auto"/>
        <w:bottom w:val="none" w:sz="0" w:space="0" w:color="auto"/>
        <w:right w:val="none" w:sz="0" w:space="0" w:color="auto"/>
      </w:divBdr>
    </w:div>
    <w:div w:id="943877547">
      <w:bodyDiv w:val="1"/>
      <w:marLeft w:val="0"/>
      <w:marRight w:val="0"/>
      <w:marTop w:val="0"/>
      <w:marBottom w:val="0"/>
      <w:divBdr>
        <w:top w:val="none" w:sz="0" w:space="0" w:color="auto"/>
        <w:left w:val="none" w:sz="0" w:space="0" w:color="auto"/>
        <w:bottom w:val="none" w:sz="0" w:space="0" w:color="auto"/>
        <w:right w:val="none" w:sz="0" w:space="0" w:color="auto"/>
      </w:divBdr>
    </w:div>
    <w:div w:id="956377947">
      <w:bodyDiv w:val="1"/>
      <w:marLeft w:val="0"/>
      <w:marRight w:val="0"/>
      <w:marTop w:val="0"/>
      <w:marBottom w:val="0"/>
      <w:divBdr>
        <w:top w:val="none" w:sz="0" w:space="0" w:color="auto"/>
        <w:left w:val="none" w:sz="0" w:space="0" w:color="auto"/>
        <w:bottom w:val="none" w:sz="0" w:space="0" w:color="auto"/>
        <w:right w:val="none" w:sz="0" w:space="0" w:color="auto"/>
      </w:divBdr>
    </w:div>
    <w:div w:id="965820410">
      <w:bodyDiv w:val="1"/>
      <w:marLeft w:val="0"/>
      <w:marRight w:val="0"/>
      <w:marTop w:val="0"/>
      <w:marBottom w:val="0"/>
      <w:divBdr>
        <w:top w:val="none" w:sz="0" w:space="0" w:color="auto"/>
        <w:left w:val="none" w:sz="0" w:space="0" w:color="auto"/>
        <w:bottom w:val="none" w:sz="0" w:space="0" w:color="auto"/>
        <w:right w:val="none" w:sz="0" w:space="0" w:color="auto"/>
      </w:divBdr>
    </w:div>
    <w:div w:id="980037369">
      <w:bodyDiv w:val="1"/>
      <w:marLeft w:val="0"/>
      <w:marRight w:val="0"/>
      <w:marTop w:val="0"/>
      <w:marBottom w:val="0"/>
      <w:divBdr>
        <w:top w:val="none" w:sz="0" w:space="0" w:color="auto"/>
        <w:left w:val="none" w:sz="0" w:space="0" w:color="auto"/>
        <w:bottom w:val="none" w:sz="0" w:space="0" w:color="auto"/>
        <w:right w:val="none" w:sz="0" w:space="0" w:color="auto"/>
      </w:divBdr>
    </w:div>
    <w:div w:id="985233616">
      <w:bodyDiv w:val="1"/>
      <w:marLeft w:val="0"/>
      <w:marRight w:val="0"/>
      <w:marTop w:val="0"/>
      <w:marBottom w:val="0"/>
      <w:divBdr>
        <w:top w:val="none" w:sz="0" w:space="0" w:color="auto"/>
        <w:left w:val="none" w:sz="0" w:space="0" w:color="auto"/>
        <w:bottom w:val="none" w:sz="0" w:space="0" w:color="auto"/>
        <w:right w:val="none" w:sz="0" w:space="0" w:color="auto"/>
      </w:divBdr>
    </w:div>
    <w:div w:id="987396619">
      <w:bodyDiv w:val="1"/>
      <w:marLeft w:val="0"/>
      <w:marRight w:val="0"/>
      <w:marTop w:val="0"/>
      <w:marBottom w:val="0"/>
      <w:divBdr>
        <w:top w:val="none" w:sz="0" w:space="0" w:color="auto"/>
        <w:left w:val="none" w:sz="0" w:space="0" w:color="auto"/>
        <w:bottom w:val="none" w:sz="0" w:space="0" w:color="auto"/>
        <w:right w:val="none" w:sz="0" w:space="0" w:color="auto"/>
      </w:divBdr>
    </w:div>
    <w:div w:id="1005785904">
      <w:bodyDiv w:val="1"/>
      <w:marLeft w:val="0"/>
      <w:marRight w:val="0"/>
      <w:marTop w:val="0"/>
      <w:marBottom w:val="0"/>
      <w:divBdr>
        <w:top w:val="none" w:sz="0" w:space="0" w:color="auto"/>
        <w:left w:val="none" w:sz="0" w:space="0" w:color="auto"/>
        <w:bottom w:val="none" w:sz="0" w:space="0" w:color="auto"/>
        <w:right w:val="none" w:sz="0" w:space="0" w:color="auto"/>
      </w:divBdr>
    </w:div>
    <w:div w:id="1013219196">
      <w:bodyDiv w:val="1"/>
      <w:marLeft w:val="0"/>
      <w:marRight w:val="0"/>
      <w:marTop w:val="0"/>
      <w:marBottom w:val="0"/>
      <w:divBdr>
        <w:top w:val="none" w:sz="0" w:space="0" w:color="auto"/>
        <w:left w:val="none" w:sz="0" w:space="0" w:color="auto"/>
        <w:bottom w:val="none" w:sz="0" w:space="0" w:color="auto"/>
        <w:right w:val="none" w:sz="0" w:space="0" w:color="auto"/>
      </w:divBdr>
    </w:div>
    <w:div w:id="1029914984">
      <w:bodyDiv w:val="1"/>
      <w:marLeft w:val="0"/>
      <w:marRight w:val="0"/>
      <w:marTop w:val="0"/>
      <w:marBottom w:val="0"/>
      <w:divBdr>
        <w:top w:val="none" w:sz="0" w:space="0" w:color="auto"/>
        <w:left w:val="none" w:sz="0" w:space="0" w:color="auto"/>
        <w:bottom w:val="none" w:sz="0" w:space="0" w:color="auto"/>
        <w:right w:val="none" w:sz="0" w:space="0" w:color="auto"/>
      </w:divBdr>
    </w:div>
    <w:div w:id="1036811474">
      <w:bodyDiv w:val="1"/>
      <w:marLeft w:val="0"/>
      <w:marRight w:val="0"/>
      <w:marTop w:val="0"/>
      <w:marBottom w:val="0"/>
      <w:divBdr>
        <w:top w:val="none" w:sz="0" w:space="0" w:color="auto"/>
        <w:left w:val="none" w:sz="0" w:space="0" w:color="auto"/>
        <w:bottom w:val="none" w:sz="0" w:space="0" w:color="auto"/>
        <w:right w:val="none" w:sz="0" w:space="0" w:color="auto"/>
      </w:divBdr>
    </w:div>
    <w:div w:id="1040057017">
      <w:bodyDiv w:val="1"/>
      <w:marLeft w:val="0"/>
      <w:marRight w:val="0"/>
      <w:marTop w:val="0"/>
      <w:marBottom w:val="0"/>
      <w:divBdr>
        <w:top w:val="none" w:sz="0" w:space="0" w:color="auto"/>
        <w:left w:val="none" w:sz="0" w:space="0" w:color="auto"/>
        <w:bottom w:val="none" w:sz="0" w:space="0" w:color="auto"/>
        <w:right w:val="none" w:sz="0" w:space="0" w:color="auto"/>
      </w:divBdr>
    </w:div>
    <w:div w:id="1043291380">
      <w:bodyDiv w:val="1"/>
      <w:marLeft w:val="0"/>
      <w:marRight w:val="0"/>
      <w:marTop w:val="0"/>
      <w:marBottom w:val="0"/>
      <w:divBdr>
        <w:top w:val="none" w:sz="0" w:space="0" w:color="auto"/>
        <w:left w:val="none" w:sz="0" w:space="0" w:color="auto"/>
        <w:bottom w:val="none" w:sz="0" w:space="0" w:color="auto"/>
        <w:right w:val="none" w:sz="0" w:space="0" w:color="auto"/>
      </w:divBdr>
    </w:div>
    <w:div w:id="1058553156">
      <w:bodyDiv w:val="1"/>
      <w:marLeft w:val="0"/>
      <w:marRight w:val="0"/>
      <w:marTop w:val="0"/>
      <w:marBottom w:val="0"/>
      <w:divBdr>
        <w:top w:val="none" w:sz="0" w:space="0" w:color="auto"/>
        <w:left w:val="none" w:sz="0" w:space="0" w:color="auto"/>
        <w:bottom w:val="none" w:sz="0" w:space="0" w:color="auto"/>
        <w:right w:val="none" w:sz="0" w:space="0" w:color="auto"/>
      </w:divBdr>
    </w:div>
    <w:div w:id="1058817217">
      <w:bodyDiv w:val="1"/>
      <w:marLeft w:val="0"/>
      <w:marRight w:val="0"/>
      <w:marTop w:val="0"/>
      <w:marBottom w:val="0"/>
      <w:divBdr>
        <w:top w:val="none" w:sz="0" w:space="0" w:color="auto"/>
        <w:left w:val="none" w:sz="0" w:space="0" w:color="auto"/>
        <w:bottom w:val="none" w:sz="0" w:space="0" w:color="auto"/>
        <w:right w:val="none" w:sz="0" w:space="0" w:color="auto"/>
      </w:divBdr>
    </w:div>
    <w:div w:id="1073312682">
      <w:bodyDiv w:val="1"/>
      <w:marLeft w:val="0"/>
      <w:marRight w:val="0"/>
      <w:marTop w:val="0"/>
      <w:marBottom w:val="0"/>
      <w:divBdr>
        <w:top w:val="none" w:sz="0" w:space="0" w:color="auto"/>
        <w:left w:val="none" w:sz="0" w:space="0" w:color="auto"/>
        <w:bottom w:val="none" w:sz="0" w:space="0" w:color="auto"/>
        <w:right w:val="none" w:sz="0" w:space="0" w:color="auto"/>
      </w:divBdr>
    </w:div>
    <w:div w:id="1076979099">
      <w:bodyDiv w:val="1"/>
      <w:marLeft w:val="0"/>
      <w:marRight w:val="0"/>
      <w:marTop w:val="0"/>
      <w:marBottom w:val="0"/>
      <w:divBdr>
        <w:top w:val="none" w:sz="0" w:space="0" w:color="auto"/>
        <w:left w:val="none" w:sz="0" w:space="0" w:color="auto"/>
        <w:bottom w:val="none" w:sz="0" w:space="0" w:color="auto"/>
        <w:right w:val="none" w:sz="0" w:space="0" w:color="auto"/>
      </w:divBdr>
    </w:div>
    <w:div w:id="1082920393">
      <w:bodyDiv w:val="1"/>
      <w:marLeft w:val="0"/>
      <w:marRight w:val="0"/>
      <w:marTop w:val="0"/>
      <w:marBottom w:val="0"/>
      <w:divBdr>
        <w:top w:val="none" w:sz="0" w:space="0" w:color="auto"/>
        <w:left w:val="none" w:sz="0" w:space="0" w:color="auto"/>
        <w:bottom w:val="none" w:sz="0" w:space="0" w:color="auto"/>
        <w:right w:val="none" w:sz="0" w:space="0" w:color="auto"/>
      </w:divBdr>
    </w:div>
    <w:div w:id="1083644238">
      <w:bodyDiv w:val="1"/>
      <w:marLeft w:val="0"/>
      <w:marRight w:val="0"/>
      <w:marTop w:val="0"/>
      <w:marBottom w:val="0"/>
      <w:divBdr>
        <w:top w:val="none" w:sz="0" w:space="0" w:color="auto"/>
        <w:left w:val="none" w:sz="0" w:space="0" w:color="auto"/>
        <w:bottom w:val="none" w:sz="0" w:space="0" w:color="auto"/>
        <w:right w:val="none" w:sz="0" w:space="0" w:color="auto"/>
      </w:divBdr>
    </w:div>
    <w:div w:id="1085150875">
      <w:bodyDiv w:val="1"/>
      <w:marLeft w:val="0"/>
      <w:marRight w:val="0"/>
      <w:marTop w:val="0"/>
      <w:marBottom w:val="0"/>
      <w:divBdr>
        <w:top w:val="none" w:sz="0" w:space="0" w:color="auto"/>
        <w:left w:val="none" w:sz="0" w:space="0" w:color="auto"/>
        <w:bottom w:val="none" w:sz="0" w:space="0" w:color="auto"/>
        <w:right w:val="none" w:sz="0" w:space="0" w:color="auto"/>
      </w:divBdr>
    </w:div>
    <w:div w:id="1089035462">
      <w:bodyDiv w:val="1"/>
      <w:marLeft w:val="0"/>
      <w:marRight w:val="0"/>
      <w:marTop w:val="0"/>
      <w:marBottom w:val="0"/>
      <w:divBdr>
        <w:top w:val="none" w:sz="0" w:space="0" w:color="auto"/>
        <w:left w:val="none" w:sz="0" w:space="0" w:color="auto"/>
        <w:bottom w:val="none" w:sz="0" w:space="0" w:color="auto"/>
        <w:right w:val="none" w:sz="0" w:space="0" w:color="auto"/>
      </w:divBdr>
    </w:div>
    <w:div w:id="1090616743">
      <w:bodyDiv w:val="1"/>
      <w:marLeft w:val="0"/>
      <w:marRight w:val="0"/>
      <w:marTop w:val="0"/>
      <w:marBottom w:val="0"/>
      <w:divBdr>
        <w:top w:val="none" w:sz="0" w:space="0" w:color="auto"/>
        <w:left w:val="none" w:sz="0" w:space="0" w:color="auto"/>
        <w:bottom w:val="none" w:sz="0" w:space="0" w:color="auto"/>
        <w:right w:val="none" w:sz="0" w:space="0" w:color="auto"/>
      </w:divBdr>
    </w:div>
    <w:div w:id="1092163656">
      <w:bodyDiv w:val="1"/>
      <w:marLeft w:val="0"/>
      <w:marRight w:val="0"/>
      <w:marTop w:val="0"/>
      <w:marBottom w:val="0"/>
      <w:divBdr>
        <w:top w:val="none" w:sz="0" w:space="0" w:color="auto"/>
        <w:left w:val="none" w:sz="0" w:space="0" w:color="auto"/>
        <w:bottom w:val="none" w:sz="0" w:space="0" w:color="auto"/>
        <w:right w:val="none" w:sz="0" w:space="0" w:color="auto"/>
      </w:divBdr>
    </w:div>
    <w:div w:id="1105421033">
      <w:bodyDiv w:val="1"/>
      <w:marLeft w:val="0"/>
      <w:marRight w:val="0"/>
      <w:marTop w:val="0"/>
      <w:marBottom w:val="0"/>
      <w:divBdr>
        <w:top w:val="none" w:sz="0" w:space="0" w:color="auto"/>
        <w:left w:val="none" w:sz="0" w:space="0" w:color="auto"/>
        <w:bottom w:val="none" w:sz="0" w:space="0" w:color="auto"/>
        <w:right w:val="none" w:sz="0" w:space="0" w:color="auto"/>
      </w:divBdr>
    </w:div>
    <w:div w:id="1118375649">
      <w:bodyDiv w:val="1"/>
      <w:marLeft w:val="0"/>
      <w:marRight w:val="0"/>
      <w:marTop w:val="0"/>
      <w:marBottom w:val="0"/>
      <w:divBdr>
        <w:top w:val="none" w:sz="0" w:space="0" w:color="auto"/>
        <w:left w:val="none" w:sz="0" w:space="0" w:color="auto"/>
        <w:bottom w:val="none" w:sz="0" w:space="0" w:color="auto"/>
        <w:right w:val="none" w:sz="0" w:space="0" w:color="auto"/>
      </w:divBdr>
    </w:div>
    <w:div w:id="1126773120">
      <w:bodyDiv w:val="1"/>
      <w:marLeft w:val="0"/>
      <w:marRight w:val="0"/>
      <w:marTop w:val="0"/>
      <w:marBottom w:val="0"/>
      <w:divBdr>
        <w:top w:val="none" w:sz="0" w:space="0" w:color="auto"/>
        <w:left w:val="none" w:sz="0" w:space="0" w:color="auto"/>
        <w:bottom w:val="none" w:sz="0" w:space="0" w:color="auto"/>
        <w:right w:val="none" w:sz="0" w:space="0" w:color="auto"/>
      </w:divBdr>
    </w:div>
    <w:div w:id="1133135893">
      <w:bodyDiv w:val="1"/>
      <w:marLeft w:val="0"/>
      <w:marRight w:val="0"/>
      <w:marTop w:val="0"/>
      <w:marBottom w:val="0"/>
      <w:divBdr>
        <w:top w:val="none" w:sz="0" w:space="0" w:color="auto"/>
        <w:left w:val="none" w:sz="0" w:space="0" w:color="auto"/>
        <w:bottom w:val="none" w:sz="0" w:space="0" w:color="auto"/>
        <w:right w:val="none" w:sz="0" w:space="0" w:color="auto"/>
      </w:divBdr>
    </w:div>
    <w:div w:id="1142890727">
      <w:bodyDiv w:val="1"/>
      <w:marLeft w:val="0"/>
      <w:marRight w:val="0"/>
      <w:marTop w:val="0"/>
      <w:marBottom w:val="0"/>
      <w:divBdr>
        <w:top w:val="none" w:sz="0" w:space="0" w:color="auto"/>
        <w:left w:val="none" w:sz="0" w:space="0" w:color="auto"/>
        <w:bottom w:val="none" w:sz="0" w:space="0" w:color="auto"/>
        <w:right w:val="none" w:sz="0" w:space="0" w:color="auto"/>
      </w:divBdr>
    </w:div>
    <w:div w:id="1143429985">
      <w:bodyDiv w:val="1"/>
      <w:marLeft w:val="0"/>
      <w:marRight w:val="0"/>
      <w:marTop w:val="0"/>
      <w:marBottom w:val="0"/>
      <w:divBdr>
        <w:top w:val="none" w:sz="0" w:space="0" w:color="auto"/>
        <w:left w:val="none" w:sz="0" w:space="0" w:color="auto"/>
        <w:bottom w:val="none" w:sz="0" w:space="0" w:color="auto"/>
        <w:right w:val="none" w:sz="0" w:space="0" w:color="auto"/>
      </w:divBdr>
    </w:div>
    <w:div w:id="1145243849">
      <w:bodyDiv w:val="1"/>
      <w:marLeft w:val="0"/>
      <w:marRight w:val="0"/>
      <w:marTop w:val="0"/>
      <w:marBottom w:val="0"/>
      <w:divBdr>
        <w:top w:val="none" w:sz="0" w:space="0" w:color="auto"/>
        <w:left w:val="none" w:sz="0" w:space="0" w:color="auto"/>
        <w:bottom w:val="none" w:sz="0" w:space="0" w:color="auto"/>
        <w:right w:val="none" w:sz="0" w:space="0" w:color="auto"/>
      </w:divBdr>
    </w:div>
    <w:div w:id="1145390249">
      <w:bodyDiv w:val="1"/>
      <w:marLeft w:val="0"/>
      <w:marRight w:val="0"/>
      <w:marTop w:val="0"/>
      <w:marBottom w:val="0"/>
      <w:divBdr>
        <w:top w:val="none" w:sz="0" w:space="0" w:color="auto"/>
        <w:left w:val="none" w:sz="0" w:space="0" w:color="auto"/>
        <w:bottom w:val="none" w:sz="0" w:space="0" w:color="auto"/>
        <w:right w:val="none" w:sz="0" w:space="0" w:color="auto"/>
      </w:divBdr>
    </w:div>
    <w:div w:id="1148474339">
      <w:bodyDiv w:val="1"/>
      <w:marLeft w:val="0"/>
      <w:marRight w:val="0"/>
      <w:marTop w:val="0"/>
      <w:marBottom w:val="0"/>
      <w:divBdr>
        <w:top w:val="none" w:sz="0" w:space="0" w:color="auto"/>
        <w:left w:val="none" w:sz="0" w:space="0" w:color="auto"/>
        <w:bottom w:val="none" w:sz="0" w:space="0" w:color="auto"/>
        <w:right w:val="none" w:sz="0" w:space="0" w:color="auto"/>
      </w:divBdr>
    </w:div>
    <w:div w:id="1148521910">
      <w:bodyDiv w:val="1"/>
      <w:marLeft w:val="0"/>
      <w:marRight w:val="0"/>
      <w:marTop w:val="0"/>
      <w:marBottom w:val="0"/>
      <w:divBdr>
        <w:top w:val="none" w:sz="0" w:space="0" w:color="auto"/>
        <w:left w:val="none" w:sz="0" w:space="0" w:color="auto"/>
        <w:bottom w:val="none" w:sz="0" w:space="0" w:color="auto"/>
        <w:right w:val="none" w:sz="0" w:space="0" w:color="auto"/>
      </w:divBdr>
    </w:div>
    <w:div w:id="1151869404">
      <w:bodyDiv w:val="1"/>
      <w:marLeft w:val="0"/>
      <w:marRight w:val="0"/>
      <w:marTop w:val="0"/>
      <w:marBottom w:val="0"/>
      <w:divBdr>
        <w:top w:val="none" w:sz="0" w:space="0" w:color="auto"/>
        <w:left w:val="none" w:sz="0" w:space="0" w:color="auto"/>
        <w:bottom w:val="none" w:sz="0" w:space="0" w:color="auto"/>
        <w:right w:val="none" w:sz="0" w:space="0" w:color="auto"/>
      </w:divBdr>
    </w:div>
    <w:div w:id="1156340822">
      <w:bodyDiv w:val="1"/>
      <w:marLeft w:val="0"/>
      <w:marRight w:val="0"/>
      <w:marTop w:val="0"/>
      <w:marBottom w:val="0"/>
      <w:divBdr>
        <w:top w:val="none" w:sz="0" w:space="0" w:color="auto"/>
        <w:left w:val="none" w:sz="0" w:space="0" w:color="auto"/>
        <w:bottom w:val="none" w:sz="0" w:space="0" w:color="auto"/>
        <w:right w:val="none" w:sz="0" w:space="0" w:color="auto"/>
      </w:divBdr>
    </w:div>
    <w:div w:id="1163930504">
      <w:bodyDiv w:val="1"/>
      <w:marLeft w:val="0"/>
      <w:marRight w:val="0"/>
      <w:marTop w:val="0"/>
      <w:marBottom w:val="0"/>
      <w:divBdr>
        <w:top w:val="none" w:sz="0" w:space="0" w:color="auto"/>
        <w:left w:val="none" w:sz="0" w:space="0" w:color="auto"/>
        <w:bottom w:val="none" w:sz="0" w:space="0" w:color="auto"/>
        <w:right w:val="none" w:sz="0" w:space="0" w:color="auto"/>
      </w:divBdr>
    </w:div>
    <w:div w:id="1164661056">
      <w:bodyDiv w:val="1"/>
      <w:marLeft w:val="0"/>
      <w:marRight w:val="0"/>
      <w:marTop w:val="0"/>
      <w:marBottom w:val="0"/>
      <w:divBdr>
        <w:top w:val="none" w:sz="0" w:space="0" w:color="auto"/>
        <w:left w:val="none" w:sz="0" w:space="0" w:color="auto"/>
        <w:bottom w:val="none" w:sz="0" w:space="0" w:color="auto"/>
        <w:right w:val="none" w:sz="0" w:space="0" w:color="auto"/>
      </w:divBdr>
    </w:div>
    <w:div w:id="1169831492">
      <w:bodyDiv w:val="1"/>
      <w:marLeft w:val="0"/>
      <w:marRight w:val="0"/>
      <w:marTop w:val="0"/>
      <w:marBottom w:val="0"/>
      <w:divBdr>
        <w:top w:val="none" w:sz="0" w:space="0" w:color="auto"/>
        <w:left w:val="none" w:sz="0" w:space="0" w:color="auto"/>
        <w:bottom w:val="none" w:sz="0" w:space="0" w:color="auto"/>
        <w:right w:val="none" w:sz="0" w:space="0" w:color="auto"/>
      </w:divBdr>
    </w:div>
    <w:div w:id="1173378838">
      <w:bodyDiv w:val="1"/>
      <w:marLeft w:val="0"/>
      <w:marRight w:val="0"/>
      <w:marTop w:val="0"/>
      <w:marBottom w:val="0"/>
      <w:divBdr>
        <w:top w:val="none" w:sz="0" w:space="0" w:color="auto"/>
        <w:left w:val="none" w:sz="0" w:space="0" w:color="auto"/>
        <w:bottom w:val="none" w:sz="0" w:space="0" w:color="auto"/>
        <w:right w:val="none" w:sz="0" w:space="0" w:color="auto"/>
      </w:divBdr>
    </w:div>
    <w:div w:id="1173881940">
      <w:bodyDiv w:val="1"/>
      <w:marLeft w:val="0"/>
      <w:marRight w:val="0"/>
      <w:marTop w:val="0"/>
      <w:marBottom w:val="0"/>
      <w:divBdr>
        <w:top w:val="none" w:sz="0" w:space="0" w:color="auto"/>
        <w:left w:val="none" w:sz="0" w:space="0" w:color="auto"/>
        <w:bottom w:val="none" w:sz="0" w:space="0" w:color="auto"/>
        <w:right w:val="none" w:sz="0" w:space="0" w:color="auto"/>
      </w:divBdr>
    </w:div>
    <w:div w:id="1175614293">
      <w:bodyDiv w:val="1"/>
      <w:marLeft w:val="0"/>
      <w:marRight w:val="0"/>
      <w:marTop w:val="0"/>
      <w:marBottom w:val="0"/>
      <w:divBdr>
        <w:top w:val="none" w:sz="0" w:space="0" w:color="auto"/>
        <w:left w:val="none" w:sz="0" w:space="0" w:color="auto"/>
        <w:bottom w:val="none" w:sz="0" w:space="0" w:color="auto"/>
        <w:right w:val="none" w:sz="0" w:space="0" w:color="auto"/>
      </w:divBdr>
    </w:div>
    <w:div w:id="1176652840">
      <w:bodyDiv w:val="1"/>
      <w:marLeft w:val="0"/>
      <w:marRight w:val="0"/>
      <w:marTop w:val="0"/>
      <w:marBottom w:val="0"/>
      <w:divBdr>
        <w:top w:val="none" w:sz="0" w:space="0" w:color="auto"/>
        <w:left w:val="none" w:sz="0" w:space="0" w:color="auto"/>
        <w:bottom w:val="none" w:sz="0" w:space="0" w:color="auto"/>
        <w:right w:val="none" w:sz="0" w:space="0" w:color="auto"/>
      </w:divBdr>
    </w:div>
    <w:div w:id="1180656989">
      <w:bodyDiv w:val="1"/>
      <w:marLeft w:val="0"/>
      <w:marRight w:val="0"/>
      <w:marTop w:val="0"/>
      <w:marBottom w:val="0"/>
      <w:divBdr>
        <w:top w:val="none" w:sz="0" w:space="0" w:color="auto"/>
        <w:left w:val="none" w:sz="0" w:space="0" w:color="auto"/>
        <w:bottom w:val="none" w:sz="0" w:space="0" w:color="auto"/>
        <w:right w:val="none" w:sz="0" w:space="0" w:color="auto"/>
      </w:divBdr>
    </w:div>
    <w:div w:id="1184319778">
      <w:bodyDiv w:val="1"/>
      <w:marLeft w:val="0"/>
      <w:marRight w:val="0"/>
      <w:marTop w:val="0"/>
      <w:marBottom w:val="0"/>
      <w:divBdr>
        <w:top w:val="none" w:sz="0" w:space="0" w:color="auto"/>
        <w:left w:val="none" w:sz="0" w:space="0" w:color="auto"/>
        <w:bottom w:val="none" w:sz="0" w:space="0" w:color="auto"/>
        <w:right w:val="none" w:sz="0" w:space="0" w:color="auto"/>
      </w:divBdr>
    </w:div>
    <w:div w:id="1186287442">
      <w:bodyDiv w:val="1"/>
      <w:marLeft w:val="0"/>
      <w:marRight w:val="0"/>
      <w:marTop w:val="0"/>
      <w:marBottom w:val="0"/>
      <w:divBdr>
        <w:top w:val="none" w:sz="0" w:space="0" w:color="auto"/>
        <w:left w:val="none" w:sz="0" w:space="0" w:color="auto"/>
        <w:bottom w:val="none" w:sz="0" w:space="0" w:color="auto"/>
        <w:right w:val="none" w:sz="0" w:space="0" w:color="auto"/>
      </w:divBdr>
    </w:div>
    <w:div w:id="1188522217">
      <w:bodyDiv w:val="1"/>
      <w:marLeft w:val="0"/>
      <w:marRight w:val="0"/>
      <w:marTop w:val="0"/>
      <w:marBottom w:val="0"/>
      <w:divBdr>
        <w:top w:val="none" w:sz="0" w:space="0" w:color="auto"/>
        <w:left w:val="none" w:sz="0" w:space="0" w:color="auto"/>
        <w:bottom w:val="none" w:sz="0" w:space="0" w:color="auto"/>
        <w:right w:val="none" w:sz="0" w:space="0" w:color="auto"/>
      </w:divBdr>
    </w:div>
    <w:div w:id="1189372363">
      <w:bodyDiv w:val="1"/>
      <w:marLeft w:val="0"/>
      <w:marRight w:val="0"/>
      <w:marTop w:val="0"/>
      <w:marBottom w:val="0"/>
      <w:divBdr>
        <w:top w:val="none" w:sz="0" w:space="0" w:color="auto"/>
        <w:left w:val="none" w:sz="0" w:space="0" w:color="auto"/>
        <w:bottom w:val="none" w:sz="0" w:space="0" w:color="auto"/>
        <w:right w:val="none" w:sz="0" w:space="0" w:color="auto"/>
      </w:divBdr>
    </w:div>
    <w:div w:id="1195970289">
      <w:bodyDiv w:val="1"/>
      <w:marLeft w:val="0"/>
      <w:marRight w:val="0"/>
      <w:marTop w:val="0"/>
      <w:marBottom w:val="0"/>
      <w:divBdr>
        <w:top w:val="none" w:sz="0" w:space="0" w:color="auto"/>
        <w:left w:val="none" w:sz="0" w:space="0" w:color="auto"/>
        <w:bottom w:val="none" w:sz="0" w:space="0" w:color="auto"/>
        <w:right w:val="none" w:sz="0" w:space="0" w:color="auto"/>
      </w:divBdr>
    </w:div>
    <w:div w:id="1197697512">
      <w:bodyDiv w:val="1"/>
      <w:marLeft w:val="0"/>
      <w:marRight w:val="0"/>
      <w:marTop w:val="0"/>
      <w:marBottom w:val="0"/>
      <w:divBdr>
        <w:top w:val="none" w:sz="0" w:space="0" w:color="auto"/>
        <w:left w:val="none" w:sz="0" w:space="0" w:color="auto"/>
        <w:bottom w:val="none" w:sz="0" w:space="0" w:color="auto"/>
        <w:right w:val="none" w:sz="0" w:space="0" w:color="auto"/>
      </w:divBdr>
    </w:div>
    <w:div w:id="1202399263">
      <w:bodyDiv w:val="1"/>
      <w:marLeft w:val="0"/>
      <w:marRight w:val="0"/>
      <w:marTop w:val="0"/>
      <w:marBottom w:val="0"/>
      <w:divBdr>
        <w:top w:val="none" w:sz="0" w:space="0" w:color="auto"/>
        <w:left w:val="none" w:sz="0" w:space="0" w:color="auto"/>
        <w:bottom w:val="none" w:sz="0" w:space="0" w:color="auto"/>
        <w:right w:val="none" w:sz="0" w:space="0" w:color="auto"/>
      </w:divBdr>
    </w:div>
    <w:div w:id="1215585430">
      <w:bodyDiv w:val="1"/>
      <w:marLeft w:val="0"/>
      <w:marRight w:val="0"/>
      <w:marTop w:val="0"/>
      <w:marBottom w:val="0"/>
      <w:divBdr>
        <w:top w:val="none" w:sz="0" w:space="0" w:color="auto"/>
        <w:left w:val="none" w:sz="0" w:space="0" w:color="auto"/>
        <w:bottom w:val="none" w:sz="0" w:space="0" w:color="auto"/>
        <w:right w:val="none" w:sz="0" w:space="0" w:color="auto"/>
      </w:divBdr>
    </w:div>
    <w:div w:id="1227691696">
      <w:bodyDiv w:val="1"/>
      <w:marLeft w:val="0"/>
      <w:marRight w:val="0"/>
      <w:marTop w:val="0"/>
      <w:marBottom w:val="0"/>
      <w:divBdr>
        <w:top w:val="none" w:sz="0" w:space="0" w:color="auto"/>
        <w:left w:val="none" w:sz="0" w:space="0" w:color="auto"/>
        <w:bottom w:val="none" w:sz="0" w:space="0" w:color="auto"/>
        <w:right w:val="none" w:sz="0" w:space="0" w:color="auto"/>
      </w:divBdr>
    </w:div>
    <w:div w:id="1237790080">
      <w:bodyDiv w:val="1"/>
      <w:marLeft w:val="0"/>
      <w:marRight w:val="0"/>
      <w:marTop w:val="0"/>
      <w:marBottom w:val="0"/>
      <w:divBdr>
        <w:top w:val="none" w:sz="0" w:space="0" w:color="auto"/>
        <w:left w:val="none" w:sz="0" w:space="0" w:color="auto"/>
        <w:bottom w:val="none" w:sz="0" w:space="0" w:color="auto"/>
        <w:right w:val="none" w:sz="0" w:space="0" w:color="auto"/>
      </w:divBdr>
    </w:div>
    <w:div w:id="1243174308">
      <w:bodyDiv w:val="1"/>
      <w:marLeft w:val="0"/>
      <w:marRight w:val="0"/>
      <w:marTop w:val="0"/>
      <w:marBottom w:val="0"/>
      <w:divBdr>
        <w:top w:val="none" w:sz="0" w:space="0" w:color="auto"/>
        <w:left w:val="none" w:sz="0" w:space="0" w:color="auto"/>
        <w:bottom w:val="none" w:sz="0" w:space="0" w:color="auto"/>
        <w:right w:val="none" w:sz="0" w:space="0" w:color="auto"/>
      </w:divBdr>
    </w:div>
    <w:div w:id="1251739110">
      <w:bodyDiv w:val="1"/>
      <w:marLeft w:val="0"/>
      <w:marRight w:val="0"/>
      <w:marTop w:val="0"/>
      <w:marBottom w:val="0"/>
      <w:divBdr>
        <w:top w:val="none" w:sz="0" w:space="0" w:color="auto"/>
        <w:left w:val="none" w:sz="0" w:space="0" w:color="auto"/>
        <w:bottom w:val="none" w:sz="0" w:space="0" w:color="auto"/>
        <w:right w:val="none" w:sz="0" w:space="0" w:color="auto"/>
      </w:divBdr>
    </w:div>
    <w:div w:id="1253658307">
      <w:bodyDiv w:val="1"/>
      <w:marLeft w:val="0"/>
      <w:marRight w:val="0"/>
      <w:marTop w:val="0"/>
      <w:marBottom w:val="0"/>
      <w:divBdr>
        <w:top w:val="none" w:sz="0" w:space="0" w:color="auto"/>
        <w:left w:val="none" w:sz="0" w:space="0" w:color="auto"/>
        <w:bottom w:val="none" w:sz="0" w:space="0" w:color="auto"/>
        <w:right w:val="none" w:sz="0" w:space="0" w:color="auto"/>
      </w:divBdr>
    </w:div>
    <w:div w:id="1255742359">
      <w:bodyDiv w:val="1"/>
      <w:marLeft w:val="0"/>
      <w:marRight w:val="0"/>
      <w:marTop w:val="0"/>
      <w:marBottom w:val="0"/>
      <w:divBdr>
        <w:top w:val="none" w:sz="0" w:space="0" w:color="auto"/>
        <w:left w:val="none" w:sz="0" w:space="0" w:color="auto"/>
        <w:bottom w:val="none" w:sz="0" w:space="0" w:color="auto"/>
        <w:right w:val="none" w:sz="0" w:space="0" w:color="auto"/>
      </w:divBdr>
    </w:div>
    <w:div w:id="1256667687">
      <w:bodyDiv w:val="1"/>
      <w:marLeft w:val="0"/>
      <w:marRight w:val="0"/>
      <w:marTop w:val="0"/>
      <w:marBottom w:val="0"/>
      <w:divBdr>
        <w:top w:val="none" w:sz="0" w:space="0" w:color="auto"/>
        <w:left w:val="none" w:sz="0" w:space="0" w:color="auto"/>
        <w:bottom w:val="none" w:sz="0" w:space="0" w:color="auto"/>
        <w:right w:val="none" w:sz="0" w:space="0" w:color="auto"/>
      </w:divBdr>
    </w:div>
    <w:div w:id="1260211479">
      <w:bodyDiv w:val="1"/>
      <w:marLeft w:val="0"/>
      <w:marRight w:val="0"/>
      <w:marTop w:val="0"/>
      <w:marBottom w:val="0"/>
      <w:divBdr>
        <w:top w:val="none" w:sz="0" w:space="0" w:color="auto"/>
        <w:left w:val="none" w:sz="0" w:space="0" w:color="auto"/>
        <w:bottom w:val="none" w:sz="0" w:space="0" w:color="auto"/>
        <w:right w:val="none" w:sz="0" w:space="0" w:color="auto"/>
      </w:divBdr>
    </w:div>
    <w:div w:id="1266812063">
      <w:bodyDiv w:val="1"/>
      <w:marLeft w:val="0"/>
      <w:marRight w:val="0"/>
      <w:marTop w:val="0"/>
      <w:marBottom w:val="0"/>
      <w:divBdr>
        <w:top w:val="none" w:sz="0" w:space="0" w:color="auto"/>
        <w:left w:val="none" w:sz="0" w:space="0" w:color="auto"/>
        <w:bottom w:val="none" w:sz="0" w:space="0" w:color="auto"/>
        <w:right w:val="none" w:sz="0" w:space="0" w:color="auto"/>
      </w:divBdr>
    </w:div>
    <w:div w:id="1267426583">
      <w:bodyDiv w:val="1"/>
      <w:marLeft w:val="0"/>
      <w:marRight w:val="0"/>
      <w:marTop w:val="0"/>
      <w:marBottom w:val="0"/>
      <w:divBdr>
        <w:top w:val="none" w:sz="0" w:space="0" w:color="auto"/>
        <w:left w:val="none" w:sz="0" w:space="0" w:color="auto"/>
        <w:bottom w:val="none" w:sz="0" w:space="0" w:color="auto"/>
        <w:right w:val="none" w:sz="0" w:space="0" w:color="auto"/>
      </w:divBdr>
    </w:div>
    <w:div w:id="1269462031">
      <w:bodyDiv w:val="1"/>
      <w:marLeft w:val="0"/>
      <w:marRight w:val="0"/>
      <w:marTop w:val="0"/>
      <w:marBottom w:val="0"/>
      <w:divBdr>
        <w:top w:val="none" w:sz="0" w:space="0" w:color="auto"/>
        <w:left w:val="none" w:sz="0" w:space="0" w:color="auto"/>
        <w:bottom w:val="none" w:sz="0" w:space="0" w:color="auto"/>
        <w:right w:val="none" w:sz="0" w:space="0" w:color="auto"/>
      </w:divBdr>
    </w:div>
    <w:div w:id="1274482060">
      <w:bodyDiv w:val="1"/>
      <w:marLeft w:val="0"/>
      <w:marRight w:val="0"/>
      <w:marTop w:val="0"/>
      <w:marBottom w:val="0"/>
      <w:divBdr>
        <w:top w:val="none" w:sz="0" w:space="0" w:color="auto"/>
        <w:left w:val="none" w:sz="0" w:space="0" w:color="auto"/>
        <w:bottom w:val="none" w:sz="0" w:space="0" w:color="auto"/>
        <w:right w:val="none" w:sz="0" w:space="0" w:color="auto"/>
      </w:divBdr>
    </w:div>
    <w:div w:id="1276717621">
      <w:bodyDiv w:val="1"/>
      <w:marLeft w:val="0"/>
      <w:marRight w:val="0"/>
      <w:marTop w:val="0"/>
      <w:marBottom w:val="0"/>
      <w:divBdr>
        <w:top w:val="none" w:sz="0" w:space="0" w:color="auto"/>
        <w:left w:val="none" w:sz="0" w:space="0" w:color="auto"/>
        <w:bottom w:val="none" w:sz="0" w:space="0" w:color="auto"/>
        <w:right w:val="none" w:sz="0" w:space="0" w:color="auto"/>
      </w:divBdr>
    </w:div>
    <w:div w:id="1279676116">
      <w:bodyDiv w:val="1"/>
      <w:marLeft w:val="0"/>
      <w:marRight w:val="0"/>
      <w:marTop w:val="0"/>
      <w:marBottom w:val="0"/>
      <w:divBdr>
        <w:top w:val="none" w:sz="0" w:space="0" w:color="auto"/>
        <w:left w:val="none" w:sz="0" w:space="0" w:color="auto"/>
        <w:bottom w:val="none" w:sz="0" w:space="0" w:color="auto"/>
        <w:right w:val="none" w:sz="0" w:space="0" w:color="auto"/>
      </w:divBdr>
    </w:div>
    <w:div w:id="1282151623">
      <w:bodyDiv w:val="1"/>
      <w:marLeft w:val="0"/>
      <w:marRight w:val="0"/>
      <w:marTop w:val="0"/>
      <w:marBottom w:val="0"/>
      <w:divBdr>
        <w:top w:val="none" w:sz="0" w:space="0" w:color="auto"/>
        <w:left w:val="none" w:sz="0" w:space="0" w:color="auto"/>
        <w:bottom w:val="none" w:sz="0" w:space="0" w:color="auto"/>
        <w:right w:val="none" w:sz="0" w:space="0" w:color="auto"/>
      </w:divBdr>
    </w:div>
    <w:div w:id="1296957793">
      <w:bodyDiv w:val="1"/>
      <w:marLeft w:val="0"/>
      <w:marRight w:val="0"/>
      <w:marTop w:val="0"/>
      <w:marBottom w:val="0"/>
      <w:divBdr>
        <w:top w:val="none" w:sz="0" w:space="0" w:color="auto"/>
        <w:left w:val="none" w:sz="0" w:space="0" w:color="auto"/>
        <w:bottom w:val="none" w:sz="0" w:space="0" w:color="auto"/>
        <w:right w:val="none" w:sz="0" w:space="0" w:color="auto"/>
      </w:divBdr>
    </w:div>
    <w:div w:id="1301106858">
      <w:bodyDiv w:val="1"/>
      <w:marLeft w:val="0"/>
      <w:marRight w:val="0"/>
      <w:marTop w:val="0"/>
      <w:marBottom w:val="0"/>
      <w:divBdr>
        <w:top w:val="none" w:sz="0" w:space="0" w:color="auto"/>
        <w:left w:val="none" w:sz="0" w:space="0" w:color="auto"/>
        <w:bottom w:val="none" w:sz="0" w:space="0" w:color="auto"/>
        <w:right w:val="none" w:sz="0" w:space="0" w:color="auto"/>
      </w:divBdr>
    </w:div>
    <w:div w:id="1301348536">
      <w:bodyDiv w:val="1"/>
      <w:marLeft w:val="0"/>
      <w:marRight w:val="0"/>
      <w:marTop w:val="0"/>
      <w:marBottom w:val="0"/>
      <w:divBdr>
        <w:top w:val="none" w:sz="0" w:space="0" w:color="auto"/>
        <w:left w:val="none" w:sz="0" w:space="0" w:color="auto"/>
        <w:bottom w:val="none" w:sz="0" w:space="0" w:color="auto"/>
        <w:right w:val="none" w:sz="0" w:space="0" w:color="auto"/>
      </w:divBdr>
    </w:div>
    <w:div w:id="1309168486">
      <w:bodyDiv w:val="1"/>
      <w:marLeft w:val="0"/>
      <w:marRight w:val="0"/>
      <w:marTop w:val="0"/>
      <w:marBottom w:val="0"/>
      <w:divBdr>
        <w:top w:val="none" w:sz="0" w:space="0" w:color="auto"/>
        <w:left w:val="none" w:sz="0" w:space="0" w:color="auto"/>
        <w:bottom w:val="none" w:sz="0" w:space="0" w:color="auto"/>
        <w:right w:val="none" w:sz="0" w:space="0" w:color="auto"/>
      </w:divBdr>
    </w:div>
    <w:div w:id="1309431056">
      <w:bodyDiv w:val="1"/>
      <w:marLeft w:val="0"/>
      <w:marRight w:val="0"/>
      <w:marTop w:val="0"/>
      <w:marBottom w:val="0"/>
      <w:divBdr>
        <w:top w:val="none" w:sz="0" w:space="0" w:color="auto"/>
        <w:left w:val="none" w:sz="0" w:space="0" w:color="auto"/>
        <w:bottom w:val="none" w:sz="0" w:space="0" w:color="auto"/>
        <w:right w:val="none" w:sz="0" w:space="0" w:color="auto"/>
      </w:divBdr>
    </w:div>
    <w:div w:id="1320042081">
      <w:bodyDiv w:val="1"/>
      <w:marLeft w:val="0"/>
      <w:marRight w:val="0"/>
      <w:marTop w:val="0"/>
      <w:marBottom w:val="0"/>
      <w:divBdr>
        <w:top w:val="none" w:sz="0" w:space="0" w:color="auto"/>
        <w:left w:val="none" w:sz="0" w:space="0" w:color="auto"/>
        <w:bottom w:val="none" w:sz="0" w:space="0" w:color="auto"/>
        <w:right w:val="none" w:sz="0" w:space="0" w:color="auto"/>
      </w:divBdr>
    </w:div>
    <w:div w:id="1334381824">
      <w:bodyDiv w:val="1"/>
      <w:marLeft w:val="0"/>
      <w:marRight w:val="0"/>
      <w:marTop w:val="0"/>
      <w:marBottom w:val="0"/>
      <w:divBdr>
        <w:top w:val="none" w:sz="0" w:space="0" w:color="auto"/>
        <w:left w:val="none" w:sz="0" w:space="0" w:color="auto"/>
        <w:bottom w:val="none" w:sz="0" w:space="0" w:color="auto"/>
        <w:right w:val="none" w:sz="0" w:space="0" w:color="auto"/>
      </w:divBdr>
    </w:div>
    <w:div w:id="1342392932">
      <w:bodyDiv w:val="1"/>
      <w:marLeft w:val="0"/>
      <w:marRight w:val="0"/>
      <w:marTop w:val="0"/>
      <w:marBottom w:val="0"/>
      <w:divBdr>
        <w:top w:val="none" w:sz="0" w:space="0" w:color="auto"/>
        <w:left w:val="none" w:sz="0" w:space="0" w:color="auto"/>
        <w:bottom w:val="none" w:sz="0" w:space="0" w:color="auto"/>
        <w:right w:val="none" w:sz="0" w:space="0" w:color="auto"/>
      </w:divBdr>
    </w:div>
    <w:div w:id="1346974655">
      <w:bodyDiv w:val="1"/>
      <w:marLeft w:val="0"/>
      <w:marRight w:val="0"/>
      <w:marTop w:val="0"/>
      <w:marBottom w:val="0"/>
      <w:divBdr>
        <w:top w:val="none" w:sz="0" w:space="0" w:color="auto"/>
        <w:left w:val="none" w:sz="0" w:space="0" w:color="auto"/>
        <w:bottom w:val="none" w:sz="0" w:space="0" w:color="auto"/>
        <w:right w:val="none" w:sz="0" w:space="0" w:color="auto"/>
      </w:divBdr>
    </w:div>
    <w:div w:id="1353384587">
      <w:bodyDiv w:val="1"/>
      <w:marLeft w:val="0"/>
      <w:marRight w:val="0"/>
      <w:marTop w:val="0"/>
      <w:marBottom w:val="0"/>
      <w:divBdr>
        <w:top w:val="none" w:sz="0" w:space="0" w:color="auto"/>
        <w:left w:val="none" w:sz="0" w:space="0" w:color="auto"/>
        <w:bottom w:val="none" w:sz="0" w:space="0" w:color="auto"/>
        <w:right w:val="none" w:sz="0" w:space="0" w:color="auto"/>
      </w:divBdr>
    </w:div>
    <w:div w:id="1359962966">
      <w:bodyDiv w:val="1"/>
      <w:marLeft w:val="0"/>
      <w:marRight w:val="0"/>
      <w:marTop w:val="0"/>
      <w:marBottom w:val="0"/>
      <w:divBdr>
        <w:top w:val="none" w:sz="0" w:space="0" w:color="auto"/>
        <w:left w:val="none" w:sz="0" w:space="0" w:color="auto"/>
        <w:bottom w:val="none" w:sz="0" w:space="0" w:color="auto"/>
        <w:right w:val="none" w:sz="0" w:space="0" w:color="auto"/>
      </w:divBdr>
    </w:div>
    <w:div w:id="1360358132">
      <w:bodyDiv w:val="1"/>
      <w:marLeft w:val="0"/>
      <w:marRight w:val="0"/>
      <w:marTop w:val="0"/>
      <w:marBottom w:val="0"/>
      <w:divBdr>
        <w:top w:val="none" w:sz="0" w:space="0" w:color="auto"/>
        <w:left w:val="none" w:sz="0" w:space="0" w:color="auto"/>
        <w:bottom w:val="none" w:sz="0" w:space="0" w:color="auto"/>
        <w:right w:val="none" w:sz="0" w:space="0" w:color="auto"/>
      </w:divBdr>
    </w:div>
    <w:div w:id="1362588946">
      <w:bodyDiv w:val="1"/>
      <w:marLeft w:val="0"/>
      <w:marRight w:val="0"/>
      <w:marTop w:val="0"/>
      <w:marBottom w:val="0"/>
      <w:divBdr>
        <w:top w:val="none" w:sz="0" w:space="0" w:color="auto"/>
        <w:left w:val="none" w:sz="0" w:space="0" w:color="auto"/>
        <w:bottom w:val="none" w:sz="0" w:space="0" w:color="auto"/>
        <w:right w:val="none" w:sz="0" w:space="0" w:color="auto"/>
      </w:divBdr>
    </w:div>
    <w:div w:id="1375083719">
      <w:bodyDiv w:val="1"/>
      <w:marLeft w:val="0"/>
      <w:marRight w:val="0"/>
      <w:marTop w:val="0"/>
      <w:marBottom w:val="0"/>
      <w:divBdr>
        <w:top w:val="none" w:sz="0" w:space="0" w:color="auto"/>
        <w:left w:val="none" w:sz="0" w:space="0" w:color="auto"/>
        <w:bottom w:val="none" w:sz="0" w:space="0" w:color="auto"/>
        <w:right w:val="none" w:sz="0" w:space="0" w:color="auto"/>
      </w:divBdr>
    </w:div>
    <w:div w:id="1377000663">
      <w:bodyDiv w:val="1"/>
      <w:marLeft w:val="0"/>
      <w:marRight w:val="0"/>
      <w:marTop w:val="0"/>
      <w:marBottom w:val="0"/>
      <w:divBdr>
        <w:top w:val="none" w:sz="0" w:space="0" w:color="auto"/>
        <w:left w:val="none" w:sz="0" w:space="0" w:color="auto"/>
        <w:bottom w:val="none" w:sz="0" w:space="0" w:color="auto"/>
        <w:right w:val="none" w:sz="0" w:space="0" w:color="auto"/>
      </w:divBdr>
    </w:div>
    <w:div w:id="1378969017">
      <w:bodyDiv w:val="1"/>
      <w:marLeft w:val="0"/>
      <w:marRight w:val="0"/>
      <w:marTop w:val="0"/>
      <w:marBottom w:val="0"/>
      <w:divBdr>
        <w:top w:val="none" w:sz="0" w:space="0" w:color="auto"/>
        <w:left w:val="none" w:sz="0" w:space="0" w:color="auto"/>
        <w:bottom w:val="none" w:sz="0" w:space="0" w:color="auto"/>
        <w:right w:val="none" w:sz="0" w:space="0" w:color="auto"/>
      </w:divBdr>
    </w:div>
    <w:div w:id="1384794232">
      <w:bodyDiv w:val="1"/>
      <w:marLeft w:val="0"/>
      <w:marRight w:val="0"/>
      <w:marTop w:val="0"/>
      <w:marBottom w:val="0"/>
      <w:divBdr>
        <w:top w:val="none" w:sz="0" w:space="0" w:color="auto"/>
        <w:left w:val="none" w:sz="0" w:space="0" w:color="auto"/>
        <w:bottom w:val="none" w:sz="0" w:space="0" w:color="auto"/>
        <w:right w:val="none" w:sz="0" w:space="0" w:color="auto"/>
      </w:divBdr>
    </w:div>
    <w:div w:id="1394154377">
      <w:bodyDiv w:val="1"/>
      <w:marLeft w:val="0"/>
      <w:marRight w:val="0"/>
      <w:marTop w:val="0"/>
      <w:marBottom w:val="0"/>
      <w:divBdr>
        <w:top w:val="none" w:sz="0" w:space="0" w:color="auto"/>
        <w:left w:val="none" w:sz="0" w:space="0" w:color="auto"/>
        <w:bottom w:val="none" w:sz="0" w:space="0" w:color="auto"/>
        <w:right w:val="none" w:sz="0" w:space="0" w:color="auto"/>
      </w:divBdr>
    </w:div>
    <w:div w:id="1412700023">
      <w:bodyDiv w:val="1"/>
      <w:marLeft w:val="0"/>
      <w:marRight w:val="0"/>
      <w:marTop w:val="0"/>
      <w:marBottom w:val="0"/>
      <w:divBdr>
        <w:top w:val="none" w:sz="0" w:space="0" w:color="auto"/>
        <w:left w:val="none" w:sz="0" w:space="0" w:color="auto"/>
        <w:bottom w:val="none" w:sz="0" w:space="0" w:color="auto"/>
        <w:right w:val="none" w:sz="0" w:space="0" w:color="auto"/>
      </w:divBdr>
    </w:div>
    <w:div w:id="1419669422">
      <w:bodyDiv w:val="1"/>
      <w:marLeft w:val="0"/>
      <w:marRight w:val="0"/>
      <w:marTop w:val="0"/>
      <w:marBottom w:val="0"/>
      <w:divBdr>
        <w:top w:val="none" w:sz="0" w:space="0" w:color="auto"/>
        <w:left w:val="none" w:sz="0" w:space="0" w:color="auto"/>
        <w:bottom w:val="none" w:sz="0" w:space="0" w:color="auto"/>
        <w:right w:val="none" w:sz="0" w:space="0" w:color="auto"/>
      </w:divBdr>
    </w:div>
    <w:div w:id="1439373722">
      <w:bodyDiv w:val="1"/>
      <w:marLeft w:val="0"/>
      <w:marRight w:val="0"/>
      <w:marTop w:val="0"/>
      <w:marBottom w:val="0"/>
      <w:divBdr>
        <w:top w:val="none" w:sz="0" w:space="0" w:color="auto"/>
        <w:left w:val="none" w:sz="0" w:space="0" w:color="auto"/>
        <w:bottom w:val="none" w:sz="0" w:space="0" w:color="auto"/>
        <w:right w:val="none" w:sz="0" w:space="0" w:color="auto"/>
      </w:divBdr>
    </w:div>
    <w:div w:id="1442917211">
      <w:bodyDiv w:val="1"/>
      <w:marLeft w:val="0"/>
      <w:marRight w:val="0"/>
      <w:marTop w:val="0"/>
      <w:marBottom w:val="0"/>
      <w:divBdr>
        <w:top w:val="none" w:sz="0" w:space="0" w:color="auto"/>
        <w:left w:val="none" w:sz="0" w:space="0" w:color="auto"/>
        <w:bottom w:val="none" w:sz="0" w:space="0" w:color="auto"/>
        <w:right w:val="none" w:sz="0" w:space="0" w:color="auto"/>
      </w:divBdr>
    </w:div>
    <w:div w:id="1450392371">
      <w:bodyDiv w:val="1"/>
      <w:marLeft w:val="0"/>
      <w:marRight w:val="0"/>
      <w:marTop w:val="0"/>
      <w:marBottom w:val="0"/>
      <w:divBdr>
        <w:top w:val="none" w:sz="0" w:space="0" w:color="auto"/>
        <w:left w:val="none" w:sz="0" w:space="0" w:color="auto"/>
        <w:bottom w:val="none" w:sz="0" w:space="0" w:color="auto"/>
        <w:right w:val="none" w:sz="0" w:space="0" w:color="auto"/>
      </w:divBdr>
    </w:div>
    <w:div w:id="1458838365">
      <w:bodyDiv w:val="1"/>
      <w:marLeft w:val="0"/>
      <w:marRight w:val="0"/>
      <w:marTop w:val="0"/>
      <w:marBottom w:val="0"/>
      <w:divBdr>
        <w:top w:val="none" w:sz="0" w:space="0" w:color="auto"/>
        <w:left w:val="none" w:sz="0" w:space="0" w:color="auto"/>
        <w:bottom w:val="none" w:sz="0" w:space="0" w:color="auto"/>
        <w:right w:val="none" w:sz="0" w:space="0" w:color="auto"/>
      </w:divBdr>
    </w:div>
    <w:div w:id="1466656077">
      <w:bodyDiv w:val="1"/>
      <w:marLeft w:val="0"/>
      <w:marRight w:val="0"/>
      <w:marTop w:val="0"/>
      <w:marBottom w:val="0"/>
      <w:divBdr>
        <w:top w:val="none" w:sz="0" w:space="0" w:color="auto"/>
        <w:left w:val="none" w:sz="0" w:space="0" w:color="auto"/>
        <w:bottom w:val="none" w:sz="0" w:space="0" w:color="auto"/>
        <w:right w:val="none" w:sz="0" w:space="0" w:color="auto"/>
      </w:divBdr>
    </w:div>
    <w:div w:id="1467891855">
      <w:bodyDiv w:val="1"/>
      <w:marLeft w:val="0"/>
      <w:marRight w:val="0"/>
      <w:marTop w:val="0"/>
      <w:marBottom w:val="0"/>
      <w:divBdr>
        <w:top w:val="none" w:sz="0" w:space="0" w:color="auto"/>
        <w:left w:val="none" w:sz="0" w:space="0" w:color="auto"/>
        <w:bottom w:val="none" w:sz="0" w:space="0" w:color="auto"/>
        <w:right w:val="none" w:sz="0" w:space="0" w:color="auto"/>
      </w:divBdr>
    </w:div>
    <w:div w:id="1473062863">
      <w:bodyDiv w:val="1"/>
      <w:marLeft w:val="0"/>
      <w:marRight w:val="0"/>
      <w:marTop w:val="0"/>
      <w:marBottom w:val="0"/>
      <w:divBdr>
        <w:top w:val="none" w:sz="0" w:space="0" w:color="auto"/>
        <w:left w:val="none" w:sz="0" w:space="0" w:color="auto"/>
        <w:bottom w:val="none" w:sz="0" w:space="0" w:color="auto"/>
        <w:right w:val="none" w:sz="0" w:space="0" w:color="auto"/>
      </w:divBdr>
    </w:div>
    <w:div w:id="1476333180">
      <w:bodyDiv w:val="1"/>
      <w:marLeft w:val="0"/>
      <w:marRight w:val="0"/>
      <w:marTop w:val="0"/>
      <w:marBottom w:val="0"/>
      <w:divBdr>
        <w:top w:val="none" w:sz="0" w:space="0" w:color="auto"/>
        <w:left w:val="none" w:sz="0" w:space="0" w:color="auto"/>
        <w:bottom w:val="none" w:sz="0" w:space="0" w:color="auto"/>
        <w:right w:val="none" w:sz="0" w:space="0" w:color="auto"/>
      </w:divBdr>
    </w:div>
    <w:div w:id="1478262176">
      <w:bodyDiv w:val="1"/>
      <w:marLeft w:val="0"/>
      <w:marRight w:val="0"/>
      <w:marTop w:val="0"/>
      <w:marBottom w:val="0"/>
      <w:divBdr>
        <w:top w:val="none" w:sz="0" w:space="0" w:color="auto"/>
        <w:left w:val="none" w:sz="0" w:space="0" w:color="auto"/>
        <w:bottom w:val="none" w:sz="0" w:space="0" w:color="auto"/>
        <w:right w:val="none" w:sz="0" w:space="0" w:color="auto"/>
      </w:divBdr>
    </w:div>
    <w:div w:id="1485665543">
      <w:bodyDiv w:val="1"/>
      <w:marLeft w:val="0"/>
      <w:marRight w:val="0"/>
      <w:marTop w:val="0"/>
      <w:marBottom w:val="0"/>
      <w:divBdr>
        <w:top w:val="none" w:sz="0" w:space="0" w:color="auto"/>
        <w:left w:val="none" w:sz="0" w:space="0" w:color="auto"/>
        <w:bottom w:val="none" w:sz="0" w:space="0" w:color="auto"/>
        <w:right w:val="none" w:sz="0" w:space="0" w:color="auto"/>
      </w:divBdr>
    </w:div>
    <w:div w:id="1520660510">
      <w:bodyDiv w:val="1"/>
      <w:marLeft w:val="0"/>
      <w:marRight w:val="0"/>
      <w:marTop w:val="0"/>
      <w:marBottom w:val="0"/>
      <w:divBdr>
        <w:top w:val="none" w:sz="0" w:space="0" w:color="auto"/>
        <w:left w:val="none" w:sz="0" w:space="0" w:color="auto"/>
        <w:bottom w:val="none" w:sz="0" w:space="0" w:color="auto"/>
        <w:right w:val="none" w:sz="0" w:space="0" w:color="auto"/>
      </w:divBdr>
    </w:div>
    <w:div w:id="1531530501">
      <w:bodyDiv w:val="1"/>
      <w:marLeft w:val="0"/>
      <w:marRight w:val="0"/>
      <w:marTop w:val="0"/>
      <w:marBottom w:val="0"/>
      <w:divBdr>
        <w:top w:val="none" w:sz="0" w:space="0" w:color="auto"/>
        <w:left w:val="none" w:sz="0" w:space="0" w:color="auto"/>
        <w:bottom w:val="none" w:sz="0" w:space="0" w:color="auto"/>
        <w:right w:val="none" w:sz="0" w:space="0" w:color="auto"/>
      </w:divBdr>
    </w:div>
    <w:div w:id="1538279469">
      <w:bodyDiv w:val="1"/>
      <w:marLeft w:val="0"/>
      <w:marRight w:val="0"/>
      <w:marTop w:val="0"/>
      <w:marBottom w:val="0"/>
      <w:divBdr>
        <w:top w:val="none" w:sz="0" w:space="0" w:color="auto"/>
        <w:left w:val="none" w:sz="0" w:space="0" w:color="auto"/>
        <w:bottom w:val="none" w:sz="0" w:space="0" w:color="auto"/>
        <w:right w:val="none" w:sz="0" w:space="0" w:color="auto"/>
      </w:divBdr>
    </w:div>
    <w:div w:id="1541088589">
      <w:bodyDiv w:val="1"/>
      <w:marLeft w:val="0"/>
      <w:marRight w:val="0"/>
      <w:marTop w:val="0"/>
      <w:marBottom w:val="0"/>
      <w:divBdr>
        <w:top w:val="none" w:sz="0" w:space="0" w:color="auto"/>
        <w:left w:val="none" w:sz="0" w:space="0" w:color="auto"/>
        <w:bottom w:val="none" w:sz="0" w:space="0" w:color="auto"/>
        <w:right w:val="none" w:sz="0" w:space="0" w:color="auto"/>
      </w:divBdr>
    </w:div>
    <w:div w:id="1549147607">
      <w:bodyDiv w:val="1"/>
      <w:marLeft w:val="0"/>
      <w:marRight w:val="0"/>
      <w:marTop w:val="0"/>
      <w:marBottom w:val="0"/>
      <w:divBdr>
        <w:top w:val="none" w:sz="0" w:space="0" w:color="auto"/>
        <w:left w:val="none" w:sz="0" w:space="0" w:color="auto"/>
        <w:bottom w:val="none" w:sz="0" w:space="0" w:color="auto"/>
        <w:right w:val="none" w:sz="0" w:space="0" w:color="auto"/>
      </w:divBdr>
    </w:div>
    <w:div w:id="1563708880">
      <w:bodyDiv w:val="1"/>
      <w:marLeft w:val="0"/>
      <w:marRight w:val="0"/>
      <w:marTop w:val="0"/>
      <w:marBottom w:val="0"/>
      <w:divBdr>
        <w:top w:val="none" w:sz="0" w:space="0" w:color="auto"/>
        <w:left w:val="none" w:sz="0" w:space="0" w:color="auto"/>
        <w:bottom w:val="none" w:sz="0" w:space="0" w:color="auto"/>
        <w:right w:val="none" w:sz="0" w:space="0" w:color="auto"/>
      </w:divBdr>
    </w:div>
    <w:div w:id="1566260567">
      <w:bodyDiv w:val="1"/>
      <w:marLeft w:val="0"/>
      <w:marRight w:val="0"/>
      <w:marTop w:val="0"/>
      <w:marBottom w:val="0"/>
      <w:divBdr>
        <w:top w:val="none" w:sz="0" w:space="0" w:color="auto"/>
        <w:left w:val="none" w:sz="0" w:space="0" w:color="auto"/>
        <w:bottom w:val="none" w:sz="0" w:space="0" w:color="auto"/>
        <w:right w:val="none" w:sz="0" w:space="0" w:color="auto"/>
      </w:divBdr>
    </w:div>
    <w:div w:id="1599749356">
      <w:bodyDiv w:val="1"/>
      <w:marLeft w:val="0"/>
      <w:marRight w:val="0"/>
      <w:marTop w:val="0"/>
      <w:marBottom w:val="0"/>
      <w:divBdr>
        <w:top w:val="none" w:sz="0" w:space="0" w:color="auto"/>
        <w:left w:val="none" w:sz="0" w:space="0" w:color="auto"/>
        <w:bottom w:val="none" w:sz="0" w:space="0" w:color="auto"/>
        <w:right w:val="none" w:sz="0" w:space="0" w:color="auto"/>
      </w:divBdr>
    </w:div>
    <w:div w:id="1611090579">
      <w:bodyDiv w:val="1"/>
      <w:marLeft w:val="0"/>
      <w:marRight w:val="0"/>
      <w:marTop w:val="0"/>
      <w:marBottom w:val="0"/>
      <w:divBdr>
        <w:top w:val="none" w:sz="0" w:space="0" w:color="auto"/>
        <w:left w:val="none" w:sz="0" w:space="0" w:color="auto"/>
        <w:bottom w:val="none" w:sz="0" w:space="0" w:color="auto"/>
        <w:right w:val="none" w:sz="0" w:space="0" w:color="auto"/>
      </w:divBdr>
    </w:div>
    <w:div w:id="1616983087">
      <w:bodyDiv w:val="1"/>
      <w:marLeft w:val="0"/>
      <w:marRight w:val="0"/>
      <w:marTop w:val="0"/>
      <w:marBottom w:val="0"/>
      <w:divBdr>
        <w:top w:val="none" w:sz="0" w:space="0" w:color="auto"/>
        <w:left w:val="none" w:sz="0" w:space="0" w:color="auto"/>
        <w:bottom w:val="none" w:sz="0" w:space="0" w:color="auto"/>
        <w:right w:val="none" w:sz="0" w:space="0" w:color="auto"/>
      </w:divBdr>
    </w:div>
    <w:div w:id="1618028001">
      <w:bodyDiv w:val="1"/>
      <w:marLeft w:val="0"/>
      <w:marRight w:val="0"/>
      <w:marTop w:val="0"/>
      <w:marBottom w:val="0"/>
      <w:divBdr>
        <w:top w:val="none" w:sz="0" w:space="0" w:color="auto"/>
        <w:left w:val="none" w:sz="0" w:space="0" w:color="auto"/>
        <w:bottom w:val="none" w:sz="0" w:space="0" w:color="auto"/>
        <w:right w:val="none" w:sz="0" w:space="0" w:color="auto"/>
      </w:divBdr>
    </w:div>
    <w:div w:id="1630166412">
      <w:bodyDiv w:val="1"/>
      <w:marLeft w:val="0"/>
      <w:marRight w:val="0"/>
      <w:marTop w:val="0"/>
      <w:marBottom w:val="0"/>
      <w:divBdr>
        <w:top w:val="none" w:sz="0" w:space="0" w:color="auto"/>
        <w:left w:val="none" w:sz="0" w:space="0" w:color="auto"/>
        <w:bottom w:val="none" w:sz="0" w:space="0" w:color="auto"/>
        <w:right w:val="none" w:sz="0" w:space="0" w:color="auto"/>
      </w:divBdr>
    </w:div>
    <w:div w:id="1635326135">
      <w:bodyDiv w:val="1"/>
      <w:marLeft w:val="0"/>
      <w:marRight w:val="0"/>
      <w:marTop w:val="0"/>
      <w:marBottom w:val="0"/>
      <w:divBdr>
        <w:top w:val="none" w:sz="0" w:space="0" w:color="auto"/>
        <w:left w:val="none" w:sz="0" w:space="0" w:color="auto"/>
        <w:bottom w:val="none" w:sz="0" w:space="0" w:color="auto"/>
        <w:right w:val="none" w:sz="0" w:space="0" w:color="auto"/>
      </w:divBdr>
    </w:div>
    <w:div w:id="1644500050">
      <w:bodyDiv w:val="1"/>
      <w:marLeft w:val="0"/>
      <w:marRight w:val="0"/>
      <w:marTop w:val="0"/>
      <w:marBottom w:val="0"/>
      <w:divBdr>
        <w:top w:val="none" w:sz="0" w:space="0" w:color="auto"/>
        <w:left w:val="none" w:sz="0" w:space="0" w:color="auto"/>
        <w:bottom w:val="none" w:sz="0" w:space="0" w:color="auto"/>
        <w:right w:val="none" w:sz="0" w:space="0" w:color="auto"/>
      </w:divBdr>
    </w:div>
    <w:div w:id="1656058740">
      <w:bodyDiv w:val="1"/>
      <w:marLeft w:val="0"/>
      <w:marRight w:val="0"/>
      <w:marTop w:val="0"/>
      <w:marBottom w:val="0"/>
      <w:divBdr>
        <w:top w:val="none" w:sz="0" w:space="0" w:color="auto"/>
        <w:left w:val="none" w:sz="0" w:space="0" w:color="auto"/>
        <w:bottom w:val="none" w:sz="0" w:space="0" w:color="auto"/>
        <w:right w:val="none" w:sz="0" w:space="0" w:color="auto"/>
      </w:divBdr>
    </w:div>
    <w:div w:id="1660645578">
      <w:bodyDiv w:val="1"/>
      <w:marLeft w:val="0"/>
      <w:marRight w:val="0"/>
      <w:marTop w:val="0"/>
      <w:marBottom w:val="0"/>
      <w:divBdr>
        <w:top w:val="none" w:sz="0" w:space="0" w:color="auto"/>
        <w:left w:val="none" w:sz="0" w:space="0" w:color="auto"/>
        <w:bottom w:val="none" w:sz="0" w:space="0" w:color="auto"/>
        <w:right w:val="none" w:sz="0" w:space="0" w:color="auto"/>
      </w:divBdr>
    </w:div>
    <w:div w:id="1670327870">
      <w:bodyDiv w:val="1"/>
      <w:marLeft w:val="0"/>
      <w:marRight w:val="0"/>
      <w:marTop w:val="0"/>
      <w:marBottom w:val="0"/>
      <w:divBdr>
        <w:top w:val="none" w:sz="0" w:space="0" w:color="auto"/>
        <w:left w:val="none" w:sz="0" w:space="0" w:color="auto"/>
        <w:bottom w:val="none" w:sz="0" w:space="0" w:color="auto"/>
        <w:right w:val="none" w:sz="0" w:space="0" w:color="auto"/>
      </w:divBdr>
    </w:div>
    <w:div w:id="1673142870">
      <w:bodyDiv w:val="1"/>
      <w:marLeft w:val="0"/>
      <w:marRight w:val="0"/>
      <w:marTop w:val="0"/>
      <w:marBottom w:val="0"/>
      <w:divBdr>
        <w:top w:val="none" w:sz="0" w:space="0" w:color="auto"/>
        <w:left w:val="none" w:sz="0" w:space="0" w:color="auto"/>
        <w:bottom w:val="none" w:sz="0" w:space="0" w:color="auto"/>
        <w:right w:val="none" w:sz="0" w:space="0" w:color="auto"/>
      </w:divBdr>
    </w:div>
    <w:div w:id="1680887810">
      <w:bodyDiv w:val="1"/>
      <w:marLeft w:val="0"/>
      <w:marRight w:val="0"/>
      <w:marTop w:val="0"/>
      <w:marBottom w:val="0"/>
      <w:divBdr>
        <w:top w:val="none" w:sz="0" w:space="0" w:color="auto"/>
        <w:left w:val="none" w:sz="0" w:space="0" w:color="auto"/>
        <w:bottom w:val="none" w:sz="0" w:space="0" w:color="auto"/>
        <w:right w:val="none" w:sz="0" w:space="0" w:color="auto"/>
      </w:divBdr>
    </w:div>
    <w:div w:id="1699116798">
      <w:bodyDiv w:val="1"/>
      <w:marLeft w:val="0"/>
      <w:marRight w:val="0"/>
      <w:marTop w:val="0"/>
      <w:marBottom w:val="0"/>
      <w:divBdr>
        <w:top w:val="none" w:sz="0" w:space="0" w:color="auto"/>
        <w:left w:val="none" w:sz="0" w:space="0" w:color="auto"/>
        <w:bottom w:val="none" w:sz="0" w:space="0" w:color="auto"/>
        <w:right w:val="none" w:sz="0" w:space="0" w:color="auto"/>
      </w:divBdr>
    </w:div>
    <w:div w:id="1720587692">
      <w:bodyDiv w:val="1"/>
      <w:marLeft w:val="0"/>
      <w:marRight w:val="0"/>
      <w:marTop w:val="0"/>
      <w:marBottom w:val="0"/>
      <w:divBdr>
        <w:top w:val="none" w:sz="0" w:space="0" w:color="auto"/>
        <w:left w:val="none" w:sz="0" w:space="0" w:color="auto"/>
        <w:bottom w:val="none" w:sz="0" w:space="0" w:color="auto"/>
        <w:right w:val="none" w:sz="0" w:space="0" w:color="auto"/>
      </w:divBdr>
    </w:div>
    <w:div w:id="1723364864">
      <w:bodyDiv w:val="1"/>
      <w:marLeft w:val="0"/>
      <w:marRight w:val="0"/>
      <w:marTop w:val="0"/>
      <w:marBottom w:val="0"/>
      <w:divBdr>
        <w:top w:val="none" w:sz="0" w:space="0" w:color="auto"/>
        <w:left w:val="none" w:sz="0" w:space="0" w:color="auto"/>
        <w:bottom w:val="none" w:sz="0" w:space="0" w:color="auto"/>
        <w:right w:val="none" w:sz="0" w:space="0" w:color="auto"/>
      </w:divBdr>
    </w:div>
    <w:div w:id="1726684558">
      <w:bodyDiv w:val="1"/>
      <w:marLeft w:val="0"/>
      <w:marRight w:val="0"/>
      <w:marTop w:val="0"/>
      <w:marBottom w:val="0"/>
      <w:divBdr>
        <w:top w:val="none" w:sz="0" w:space="0" w:color="auto"/>
        <w:left w:val="none" w:sz="0" w:space="0" w:color="auto"/>
        <w:bottom w:val="none" w:sz="0" w:space="0" w:color="auto"/>
        <w:right w:val="none" w:sz="0" w:space="0" w:color="auto"/>
      </w:divBdr>
    </w:div>
    <w:div w:id="1726948369">
      <w:bodyDiv w:val="1"/>
      <w:marLeft w:val="0"/>
      <w:marRight w:val="0"/>
      <w:marTop w:val="0"/>
      <w:marBottom w:val="0"/>
      <w:divBdr>
        <w:top w:val="none" w:sz="0" w:space="0" w:color="auto"/>
        <w:left w:val="none" w:sz="0" w:space="0" w:color="auto"/>
        <w:bottom w:val="none" w:sz="0" w:space="0" w:color="auto"/>
        <w:right w:val="none" w:sz="0" w:space="0" w:color="auto"/>
      </w:divBdr>
    </w:div>
    <w:div w:id="1728449727">
      <w:bodyDiv w:val="1"/>
      <w:marLeft w:val="0"/>
      <w:marRight w:val="0"/>
      <w:marTop w:val="0"/>
      <w:marBottom w:val="0"/>
      <w:divBdr>
        <w:top w:val="none" w:sz="0" w:space="0" w:color="auto"/>
        <w:left w:val="none" w:sz="0" w:space="0" w:color="auto"/>
        <w:bottom w:val="none" w:sz="0" w:space="0" w:color="auto"/>
        <w:right w:val="none" w:sz="0" w:space="0" w:color="auto"/>
      </w:divBdr>
    </w:div>
    <w:div w:id="1737361839">
      <w:bodyDiv w:val="1"/>
      <w:marLeft w:val="0"/>
      <w:marRight w:val="0"/>
      <w:marTop w:val="0"/>
      <w:marBottom w:val="0"/>
      <w:divBdr>
        <w:top w:val="none" w:sz="0" w:space="0" w:color="auto"/>
        <w:left w:val="none" w:sz="0" w:space="0" w:color="auto"/>
        <w:bottom w:val="none" w:sz="0" w:space="0" w:color="auto"/>
        <w:right w:val="none" w:sz="0" w:space="0" w:color="auto"/>
      </w:divBdr>
    </w:div>
    <w:div w:id="1744451943">
      <w:bodyDiv w:val="1"/>
      <w:marLeft w:val="0"/>
      <w:marRight w:val="0"/>
      <w:marTop w:val="0"/>
      <w:marBottom w:val="0"/>
      <w:divBdr>
        <w:top w:val="none" w:sz="0" w:space="0" w:color="auto"/>
        <w:left w:val="none" w:sz="0" w:space="0" w:color="auto"/>
        <w:bottom w:val="none" w:sz="0" w:space="0" w:color="auto"/>
        <w:right w:val="none" w:sz="0" w:space="0" w:color="auto"/>
      </w:divBdr>
    </w:div>
    <w:div w:id="1745452052">
      <w:bodyDiv w:val="1"/>
      <w:marLeft w:val="0"/>
      <w:marRight w:val="0"/>
      <w:marTop w:val="0"/>
      <w:marBottom w:val="0"/>
      <w:divBdr>
        <w:top w:val="none" w:sz="0" w:space="0" w:color="auto"/>
        <w:left w:val="none" w:sz="0" w:space="0" w:color="auto"/>
        <w:bottom w:val="none" w:sz="0" w:space="0" w:color="auto"/>
        <w:right w:val="none" w:sz="0" w:space="0" w:color="auto"/>
      </w:divBdr>
    </w:div>
    <w:div w:id="1754351349">
      <w:bodyDiv w:val="1"/>
      <w:marLeft w:val="0"/>
      <w:marRight w:val="0"/>
      <w:marTop w:val="0"/>
      <w:marBottom w:val="0"/>
      <w:divBdr>
        <w:top w:val="none" w:sz="0" w:space="0" w:color="auto"/>
        <w:left w:val="none" w:sz="0" w:space="0" w:color="auto"/>
        <w:bottom w:val="none" w:sz="0" w:space="0" w:color="auto"/>
        <w:right w:val="none" w:sz="0" w:space="0" w:color="auto"/>
      </w:divBdr>
    </w:div>
    <w:div w:id="1755931035">
      <w:bodyDiv w:val="1"/>
      <w:marLeft w:val="0"/>
      <w:marRight w:val="0"/>
      <w:marTop w:val="0"/>
      <w:marBottom w:val="0"/>
      <w:divBdr>
        <w:top w:val="none" w:sz="0" w:space="0" w:color="auto"/>
        <w:left w:val="none" w:sz="0" w:space="0" w:color="auto"/>
        <w:bottom w:val="none" w:sz="0" w:space="0" w:color="auto"/>
        <w:right w:val="none" w:sz="0" w:space="0" w:color="auto"/>
      </w:divBdr>
    </w:div>
    <w:div w:id="1756974406">
      <w:bodyDiv w:val="1"/>
      <w:marLeft w:val="0"/>
      <w:marRight w:val="0"/>
      <w:marTop w:val="0"/>
      <w:marBottom w:val="0"/>
      <w:divBdr>
        <w:top w:val="none" w:sz="0" w:space="0" w:color="auto"/>
        <w:left w:val="none" w:sz="0" w:space="0" w:color="auto"/>
        <w:bottom w:val="none" w:sz="0" w:space="0" w:color="auto"/>
        <w:right w:val="none" w:sz="0" w:space="0" w:color="auto"/>
      </w:divBdr>
    </w:div>
    <w:div w:id="1767193276">
      <w:bodyDiv w:val="1"/>
      <w:marLeft w:val="0"/>
      <w:marRight w:val="0"/>
      <w:marTop w:val="0"/>
      <w:marBottom w:val="0"/>
      <w:divBdr>
        <w:top w:val="none" w:sz="0" w:space="0" w:color="auto"/>
        <w:left w:val="none" w:sz="0" w:space="0" w:color="auto"/>
        <w:bottom w:val="none" w:sz="0" w:space="0" w:color="auto"/>
        <w:right w:val="none" w:sz="0" w:space="0" w:color="auto"/>
      </w:divBdr>
    </w:div>
    <w:div w:id="1774783831">
      <w:bodyDiv w:val="1"/>
      <w:marLeft w:val="0"/>
      <w:marRight w:val="0"/>
      <w:marTop w:val="0"/>
      <w:marBottom w:val="0"/>
      <w:divBdr>
        <w:top w:val="none" w:sz="0" w:space="0" w:color="auto"/>
        <w:left w:val="none" w:sz="0" w:space="0" w:color="auto"/>
        <w:bottom w:val="none" w:sz="0" w:space="0" w:color="auto"/>
        <w:right w:val="none" w:sz="0" w:space="0" w:color="auto"/>
      </w:divBdr>
    </w:div>
    <w:div w:id="1789005364">
      <w:bodyDiv w:val="1"/>
      <w:marLeft w:val="0"/>
      <w:marRight w:val="0"/>
      <w:marTop w:val="0"/>
      <w:marBottom w:val="0"/>
      <w:divBdr>
        <w:top w:val="none" w:sz="0" w:space="0" w:color="auto"/>
        <w:left w:val="none" w:sz="0" w:space="0" w:color="auto"/>
        <w:bottom w:val="none" w:sz="0" w:space="0" w:color="auto"/>
        <w:right w:val="none" w:sz="0" w:space="0" w:color="auto"/>
      </w:divBdr>
    </w:div>
    <w:div w:id="1791973643">
      <w:bodyDiv w:val="1"/>
      <w:marLeft w:val="0"/>
      <w:marRight w:val="0"/>
      <w:marTop w:val="0"/>
      <w:marBottom w:val="0"/>
      <w:divBdr>
        <w:top w:val="none" w:sz="0" w:space="0" w:color="auto"/>
        <w:left w:val="none" w:sz="0" w:space="0" w:color="auto"/>
        <w:bottom w:val="none" w:sz="0" w:space="0" w:color="auto"/>
        <w:right w:val="none" w:sz="0" w:space="0" w:color="auto"/>
      </w:divBdr>
    </w:div>
    <w:div w:id="1799570597">
      <w:bodyDiv w:val="1"/>
      <w:marLeft w:val="0"/>
      <w:marRight w:val="0"/>
      <w:marTop w:val="0"/>
      <w:marBottom w:val="0"/>
      <w:divBdr>
        <w:top w:val="none" w:sz="0" w:space="0" w:color="auto"/>
        <w:left w:val="none" w:sz="0" w:space="0" w:color="auto"/>
        <w:bottom w:val="none" w:sz="0" w:space="0" w:color="auto"/>
        <w:right w:val="none" w:sz="0" w:space="0" w:color="auto"/>
      </w:divBdr>
    </w:div>
    <w:div w:id="1811244644">
      <w:bodyDiv w:val="1"/>
      <w:marLeft w:val="0"/>
      <w:marRight w:val="0"/>
      <w:marTop w:val="0"/>
      <w:marBottom w:val="0"/>
      <w:divBdr>
        <w:top w:val="none" w:sz="0" w:space="0" w:color="auto"/>
        <w:left w:val="none" w:sz="0" w:space="0" w:color="auto"/>
        <w:bottom w:val="none" w:sz="0" w:space="0" w:color="auto"/>
        <w:right w:val="none" w:sz="0" w:space="0" w:color="auto"/>
      </w:divBdr>
    </w:div>
    <w:div w:id="1816558678">
      <w:bodyDiv w:val="1"/>
      <w:marLeft w:val="0"/>
      <w:marRight w:val="0"/>
      <w:marTop w:val="0"/>
      <w:marBottom w:val="0"/>
      <w:divBdr>
        <w:top w:val="none" w:sz="0" w:space="0" w:color="auto"/>
        <w:left w:val="none" w:sz="0" w:space="0" w:color="auto"/>
        <w:bottom w:val="none" w:sz="0" w:space="0" w:color="auto"/>
        <w:right w:val="none" w:sz="0" w:space="0" w:color="auto"/>
      </w:divBdr>
    </w:div>
    <w:div w:id="1828931965">
      <w:bodyDiv w:val="1"/>
      <w:marLeft w:val="0"/>
      <w:marRight w:val="0"/>
      <w:marTop w:val="0"/>
      <w:marBottom w:val="0"/>
      <w:divBdr>
        <w:top w:val="none" w:sz="0" w:space="0" w:color="auto"/>
        <w:left w:val="none" w:sz="0" w:space="0" w:color="auto"/>
        <w:bottom w:val="none" w:sz="0" w:space="0" w:color="auto"/>
        <w:right w:val="none" w:sz="0" w:space="0" w:color="auto"/>
      </w:divBdr>
    </w:div>
    <w:div w:id="1835564513">
      <w:bodyDiv w:val="1"/>
      <w:marLeft w:val="0"/>
      <w:marRight w:val="0"/>
      <w:marTop w:val="0"/>
      <w:marBottom w:val="0"/>
      <w:divBdr>
        <w:top w:val="none" w:sz="0" w:space="0" w:color="auto"/>
        <w:left w:val="none" w:sz="0" w:space="0" w:color="auto"/>
        <w:bottom w:val="none" w:sz="0" w:space="0" w:color="auto"/>
        <w:right w:val="none" w:sz="0" w:space="0" w:color="auto"/>
      </w:divBdr>
    </w:div>
    <w:div w:id="1842239015">
      <w:bodyDiv w:val="1"/>
      <w:marLeft w:val="0"/>
      <w:marRight w:val="0"/>
      <w:marTop w:val="0"/>
      <w:marBottom w:val="0"/>
      <w:divBdr>
        <w:top w:val="none" w:sz="0" w:space="0" w:color="auto"/>
        <w:left w:val="none" w:sz="0" w:space="0" w:color="auto"/>
        <w:bottom w:val="none" w:sz="0" w:space="0" w:color="auto"/>
        <w:right w:val="none" w:sz="0" w:space="0" w:color="auto"/>
      </w:divBdr>
    </w:div>
    <w:div w:id="1859343064">
      <w:bodyDiv w:val="1"/>
      <w:marLeft w:val="0"/>
      <w:marRight w:val="0"/>
      <w:marTop w:val="0"/>
      <w:marBottom w:val="0"/>
      <w:divBdr>
        <w:top w:val="none" w:sz="0" w:space="0" w:color="auto"/>
        <w:left w:val="none" w:sz="0" w:space="0" w:color="auto"/>
        <w:bottom w:val="none" w:sz="0" w:space="0" w:color="auto"/>
        <w:right w:val="none" w:sz="0" w:space="0" w:color="auto"/>
      </w:divBdr>
    </w:div>
    <w:div w:id="1869222916">
      <w:bodyDiv w:val="1"/>
      <w:marLeft w:val="0"/>
      <w:marRight w:val="0"/>
      <w:marTop w:val="0"/>
      <w:marBottom w:val="0"/>
      <w:divBdr>
        <w:top w:val="none" w:sz="0" w:space="0" w:color="auto"/>
        <w:left w:val="none" w:sz="0" w:space="0" w:color="auto"/>
        <w:bottom w:val="none" w:sz="0" w:space="0" w:color="auto"/>
        <w:right w:val="none" w:sz="0" w:space="0" w:color="auto"/>
      </w:divBdr>
    </w:div>
    <w:div w:id="1875389979">
      <w:bodyDiv w:val="1"/>
      <w:marLeft w:val="0"/>
      <w:marRight w:val="0"/>
      <w:marTop w:val="0"/>
      <w:marBottom w:val="0"/>
      <w:divBdr>
        <w:top w:val="none" w:sz="0" w:space="0" w:color="auto"/>
        <w:left w:val="none" w:sz="0" w:space="0" w:color="auto"/>
        <w:bottom w:val="none" w:sz="0" w:space="0" w:color="auto"/>
        <w:right w:val="none" w:sz="0" w:space="0" w:color="auto"/>
      </w:divBdr>
    </w:div>
    <w:div w:id="1876847991">
      <w:bodyDiv w:val="1"/>
      <w:marLeft w:val="0"/>
      <w:marRight w:val="0"/>
      <w:marTop w:val="0"/>
      <w:marBottom w:val="0"/>
      <w:divBdr>
        <w:top w:val="none" w:sz="0" w:space="0" w:color="auto"/>
        <w:left w:val="none" w:sz="0" w:space="0" w:color="auto"/>
        <w:bottom w:val="none" w:sz="0" w:space="0" w:color="auto"/>
        <w:right w:val="none" w:sz="0" w:space="0" w:color="auto"/>
      </w:divBdr>
    </w:div>
    <w:div w:id="1884904029">
      <w:bodyDiv w:val="1"/>
      <w:marLeft w:val="0"/>
      <w:marRight w:val="0"/>
      <w:marTop w:val="0"/>
      <w:marBottom w:val="0"/>
      <w:divBdr>
        <w:top w:val="none" w:sz="0" w:space="0" w:color="auto"/>
        <w:left w:val="none" w:sz="0" w:space="0" w:color="auto"/>
        <w:bottom w:val="none" w:sz="0" w:space="0" w:color="auto"/>
        <w:right w:val="none" w:sz="0" w:space="0" w:color="auto"/>
      </w:divBdr>
    </w:div>
    <w:div w:id="1891960931">
      <w:bodyDiv w:val="1"/>
      <w:marLeft w:val="0"/>
      <w:marRight w:val="0"/>
      <w:marTop w:val="0"/>
      <w:marBottom w:val="0"/>
      <w:divBdr>
        <w:top w:val="none" w:sz="0" w:space="0" w:color="auto"/>
        <w:left w:val="none" w:sz="0" w:space="0" w:color="auto"/>
        <w:bottom w:val="none" w:sz="0" w:space="0" w:color="auto"/>
        <w:right w:val="none" w:sz="0" w:space="0" w:color="auto"/>
      </w:divBdr>
    </w:div>
    <w:div w:id="1899709051">
      <w:bodyDiv w:val="1"/>
      <w:marLeft w:val="0"/>
      <w:marRight w:val="0"/>
      <w:marTop w:val="0"/>
      <w:marBottom w:val="0"/>
      <w:divBdr>
        <w:top w:val="none" w:sz="0" w:space="0" w:color="auto"/>
        <w:left w:val="none" w:sz="0" w:space="0" w:color="auto"/>
        <w:bottom w:val="none" w:sz="0" w:space="0" w:color="auto"/>
        <w:right w:val="none" w:sz="0" w:space="0" w:color="auto"/>
      </w:divBdr>
    </w:div>
    <w:div w:id="1916815534">
      <w:bodyDiv w:val="1"/>
      <w:marLeft w:val="0"/>
      <w:marRight w:val="0"/>
      <w:marTop w:val="0"/>
      <w:marBottom w:val="0"/>
      <w:divBdr>
        <w:top w:val="none" w:sz="0" w:space="0" w:color="auto"/>
        <w:left w:val="none" w:sz="0" w:space="0" w:color="auto"/>
        <w:bottom w:val="none" w:sz="0" w:space="0" w:color="auto"/>
        <w:right w:val="none" w:sz="0" w:space="0" w:color="auto"/>
      </w:divBdr>
    </w:div>
    <w:div w:id="1921867277">
      <w:bodyDiv w:val="1"/>
      <w:marLeft w:val="0"/>
      <w:marRight w:val="0"/>
      <w:marTop w:val="0"/>
      <w:marBottom w:val="0"/>
      <w:divBdr>
        <w:top w:val="none" w:sz="0" w:space="0" w:color="auto"/>
        <w:left w:val="none" w:sz="0" w:space="0" w:color="auto"/>
        <w:bottom w:val="none" w:sz="0" w:space="0" w:color="auto"/>
        <w:right w:val="none" w:sz="0" w:space="0" w:color="auto"/>
      </w:divBdr>
    </w:div>
    <w:div w:id="1924604837">
      <w:bodyDiv w:val="1"/>
      <w:marLeft w:val="0"/>
      <w:marRight w:val="0"/>
      <w:marTop w:val="0"/>
      <w:marBottom w:val="0"/>
      <w:divBdr>
        <w:top w:val="none" w:sz="0" w:space="0" w:color="auto"/>
        <w:left w:val="none" w:sz="0" w:space="0" w:color="auto"/>
        <w:bottom w:val="none" w:sz="0" w:space="0" w:color="auto"/>
        <w:right w:val="none" w:sz="0" w:space="0" w:color="auto"/>
      </w:divBdr>
    </w:div>
    <w:div w:id="1928029382">
      <w:bodyDiv w:val="1"/>
      <w:marLeft w:val="0"/>
      <w:marRight w:val="0"/>
      <w:marTop w:val="0"/>
      <w:marBottom w:val="0"/>
      <w:divBdr>
        <w:top w:val="none" w:sz="0" w:space="0" w:color="auto"/>
        <w:left w:val="none" w:sz="0" w:space="0" w:color="auto"/>
        <w:bottom w:val="none" w:sz="0" w:space="0" w:color="auto"/>
        <w:right w:val="none" w:sz="0" w:space="0" w:color="auto"/>
      </w:divBdr>
    </w:div>
    <w:div w:id="1929343398">
      <w:bodyDiv w:val="1"/>
      <w:marLeft w:val="0"/>
      <w:marRight w:val="0"/>
      <w:marTop w:val="0"/>
      <w:marBottom w:val="0"/>
      <w:divBdr>
        <w:top w:val="none" w:sz="0" w:space="0" w:color="auto"/>
        <w:left w:val="none" w:sz="0" w:space="0" w:color="auto"/>
        <w:bottom w:val="none" w:sz="0" w:space="0" w:color="auto"/>
        <w:right w:val="none" w:sz="0" w:space="0" w:color="auto"/>
      </w:divBdr>
    </w:div>
    <w:div w:id="1934316339">
      <w:bodyDiv w:val="1"/>
      <w:marLeft w:val="0"/>
      <w:marRight w:val="0"/>
      <w:marTop w:val="0"/>
      <w:marBottom w:val="0"/>
      <w:divBdr>
        <w:top w:val="none" w:sz="0" w:space="0" w:color="auto"/>
        <w:left w:val="none" w:sz="0" w:space="0" w:color="auto"/>
        <w:bottom w:val="none" w:sz="0" w:space="0" w:color="auto"/>
        <w:right w:val="none" w:sz="0" w:space="0" w:color="auto"/>
      </w:divBdr>
    </w:div>
    <w:div w:id="1940749586">
      <w:bodyDiv w:val="1"/>
      <w:marLeft w:val="0"/>
      <w:marRight w:val="0"/>
      <w:marTop w:val="0"/>
      <w:marBottom w:val="0"/>
      <w:divBdr>
        <w:top w:val="none" w:sz="0" w:space="0" w:color="auto"/>
        <w:left w:val="none" w:sz="0" w:space="0" w:color="auto"/>
        <w:bottom w:val="none" w:sz="0" w:space="0" w:color="auto"/>
        <w:right w:val="none" w:sz="0" w:space="0" w:color="auto"/>
      </w:divBdr>
    </w:div>
    <w:div w:id="1948003100">
      <w:bodyDiv w:val="1"/>
      <w:marLeft w:val="0"/>
      <w:marRight w:val="0"/>
      <w:marTop w:val="0"/>
      <w:marBottom w:val="0"/>
      <w:divBdr>
        <w:top w:val="none" w:sz="0" w:space="0" w:color="auto"/>
        <w:left w:val="none" w:sz="0" w:space="0" w:color="auto"/>
        <w:bottom w:val="none" w:sz="0" w:space="0" w:color="auto"/>
        <w:right w:val="none" w:sz="0" w:space="0" w:color="auto"/>
      </w:divBdr>
    </w:div>
    <w:div w:id="1952011908">
      <w:bodyDiv w:val="1"/>
      <w:marLeft w:val="0"/>
      <w:marRight w:val="0"/>
      <w:marTop w:val="0"/>
      <w:marBottom w:val="0"/>
      <w:divBdr>
        <w:top w:val="none" w:sz="0" w:space="0" w:color="auto"/>
        <w:left w:val="none" w:sz="0" w:space="0" w:color="auto"/>
        <w:bottom w:val="none" w:sz="0" w:space="0" w:color="auto"/>
        <w:right w:val="none" w:sz="0" w:space="0" w:color="auto"/>
      </w:divBdr>
    </w:div>
    <w:div w:id="1955552736">
      <w:bodyDiv w:val="1"/>
      <w:marLeft w:val="0"/>
      <w:marRight w:val="0"/>
      <w:marTop w:val="0"/>
      <w:marBottom w:val="0"/>
      <w:divBdr>
        <w:top w:val="none" w:sz="0" w:space="0" w:color="auto"/>
        <w:left w:val="none" w:sz="0" w:space="0" w:color="auto"/>
        <w:bottom w:val="none" w:sz="0" w:space="0" w:color="auto"/>
        <w:right w:val="none" w:sz="0" w:space="0" w:color="auto"/>
      </w:divBdr>
    </w:div>
    <w:div w:id="1956475858">
      <w:bodyDiv w:val="1"/>
      <w:marLeft w:val="0"/>
      <w:marRight w:val="0"/>
      <w:marTop w:val="0"/>
      <w:marBottom w:val="0"/>
      <w:divBdr>
        <w:top w:val="none" w:sz="0" w:space="0" w:color="auto"/>
        <w:left w:val="none" w:sz="0" w:space="0" w:color="auto"/>
        <w:bottom w:val="none" w:sz="0" w:space="0" w:color="auto"/>
        <w:right w:val="none" w:sz="0" w:space="0" w:color="auto"/>
      </w:divBdr>
    </w:div>
    <w:div w:id="1957562686">
      <w:bodyDiv w:val="1"/>
      <w:marLeft w:val="0"/>
      <w:marRight w:val="0"/>
      <w:marTop w:val="0"/>
      <w:marBottom w:val="0"/>
      <w:divBdr>
        <w:top w:val="none" w:sz="0" w:space="0" w:color="auto"/>
        <w:left w:val="none" w:sz="0" w:space="0" w:color="auto"/>
        <w:bottom w:val="none" w:sz="0" w:space="0" w:color="auto"/>
        <w:right w:val="none" w:sz="0" w:space="0" w:color="auto"/>
      </w:divBdr>
    </w:div>
    <w:div w:id="1960068520">
      <w:bodyDiv w:val="1"/>
      <w:marLeft w:val="0"/>
      <w:marRight w:val="0"/>
      <w:marTop w:val="0"/>
      <w:marBottom w:val="0"/>
      <w:divBdr>
        <w:top w:val="none" w:sz="0" w:space="0" w:color="auto"/>
        <w:left w:val="none" w:sz="0" w:space="0" w:color="auto"/>
        <w:bottom w:val="none" w:sz="0" w:space="0" w:color="auto"/>
        <w:right w:val="none" w:sz="0" w:space="0" w:color="auto"/>
      </w:divBdr>
    </w:div>
    <w:div w:id="1976328831">
      <w:bodyDiv w:val="1"/>
      <w:marLeft w:val="0"/>
      <w:marRight w:val="0"/>
      <w:marTop w:val="0"/>
      <w:marBottom w:val="0"/>
      <w:divBdr>
        <w:top w:val="none" w:sz="0" w:space="0" w:color="auto"/>
        <w:left w:val="none" w:sz="0" w:space="0" w:color="auto"/>
        <w:bottom w:val="none" w:sz="0" w:space="0" w:color="auto"/>
        <w:right w:val="none" w:sz="0" w:space="0" w:color="auto"/>
      </w:divBdr>
    </w:div>
    <w:div w:id="1977102269">
      <w:bodyDiv w:val="1"/>
      <w:marLeft w:val="0"/>
      <w:marRight w:val="0"/>
      <w:marTop w:val="0"/>
      <w:marBottom w:val="0"/>
      <w:divBdr>
        <w:top w:val="none" w:sz="0" w:space="0" w:color="auto"/>
        <w:left w:val="none" w:sz="0" w:space="0" w:color="auto"/>
        <w:bottom w:val="none" w:sz="0" w:space="0" w:color="auto"/>
        <w:right w:val="none" w:sz="0" w:space="0" w:color="auto"/>
      </w:divBdr>
    </w:div>
    <w:div w:id="1977107164">
      <w:bodyDiv w:val="1"/>
      <w:marLeft w:val="0"/>
      <w:marRight w:val="0"/>
      <w:marTop w:val="0"/>
      <w:marBottom w:val="0"/>
      <w:divBdr>
        <w:top w:val="none" w:sz="0" w:space="0" w:color="auto"/>
        <w:left w:val="none" w:sz="0" w:space="0" w:color="auto"/>
        <w:bottom w:val="none" w:sz="0" w:space="0" w:color="auto"/>
        <w:right w:val="none" w:sz="0" w:space="0" w:color="auto"/>
      </w:divBdr>
    </w:div>
    <w:div w:id="1987200480">
      <w:bodyDiv w:val="1"/>
      <w:marLeft w:val="0"/>
      <w:marRight w:val="0"/>
      <w:marTop w:val="0"/>
      <w:marBottom w:val="0"/>
      <w:divBdr>
        <w:top w:val="none" w:sz="0" w:space="0" w:color="auto"/>
        <w:left w:val="none" w:sz="0" w:space="0" w:color="auto"/>
        <w:bottom w:val="none" w:sz="0" w:space="0" w:color="auto"/>
        <w:right w:val="none" w:sz="0" w:space="0" w:color="auto"/>
      </w:divBdr>
    </w:div>
    <w:div w:id="1990088908">
      <w:bodyDiv w:val="1"/>
      <w:marLeft w:val="0"/>
      <w:marRight w:val="0"/>
      <w:marTop w:val="0"/>
      <w:marBottom w:val="0"/>
      <w:divBdr>
        <w:top w:val="none" w:sz="0" w:space="0" w:color="auto"/>
        <w:left w:val="none" w:sz="0" w:space="0" w:color="auto"/>
        <w:bottom w:val="none" w:sz="0" w:space="0" w:color="auto"/>
        <w:right w:val="none" w:sz="0" w:space="0" w:color="auto"/>
      </w:divBdr>
    </w:div>
    <w:div w:id="1995329806">
      <w:bodyDiv w:val="1"/>
      <w:marLeft w:val="0"/>
      <w:marRight w:val="0"/>
      <w:marTop w:val="0"/>
      <w:marBottom w:val="0"/>
      <w:divBdr>
        <w:top w:val="none" w:sz="0" w:space="0" w:color="auto"/>
        <w:left w:val="none" w:sz="0" w:space="0" w:color="auto"/>
        <w:bottom w:val="none" w:sz="0" w:space="0" w:color="auto"/>
        <w:right w:val="none" w:sz="0" w:space="0" w:color="auto"/>
      </w:divBdr>
    </w:div>
    <w:div w:id="2002925968">
      <w:bodyDiv w:val="1"/>
      <w:marLeft w:val="0"/>
      <w:marRight w:val="0"/>
      <w:marTop w:val="0"/>
      <w:marBottom w:val="0"/>
      <w:divBdr>
        <w:top w:val="none" w:sz="0" w:space="0" w:color="auto"/>
        <w:left w:val="none" w:sz="0" w:space="0" w:color="auto"/>
        <w:bottom w:val="none" w:sz="0" w:space="0" w:color="auto"/>
        <w:right w:val="none" w:sz="0" w:space="0" w:color="auto"/>
      </w:divBdr>
    </w:div>
    <w:div w:id="2018074443">
      <w:bodyDiv w:val="1"/>
      <w:marLeft w:val="0"/>
      <w:marRight w:val="0"/>
      <w:marTop w:val="0"/>
      <w:marBottom w:val="0"/>
      <w:divBdr>
        <w:top w:val="none" w:sz="0" w:space="0" w:color="auto"/>
        <w:left w:val="none" w:sz="0" w:space="0" w:color="auto"/>
        <w:bottom w:val="none" w:sz="0" w:space="0" w:color="auto"/>
        <w:right w:val="none" w:sz="0" w:space="0" w:color="auto"/>
      </w:divBdr>
    </w:div>
    <w:div w:id="2018579867">
      <w:bodyDiv w:val="1"/>
      <w:marLeft w:val="0"/>
      <w:marRight w:val="0"/>
      <w:marTop w:val="0"/>
      <w:marBottom w:val="0"/>
      <w:divBdr>
        <w:top w:val="none" w:sz="0" w:space="0" w:color="auto"/>
        <w:left w:val="none" w:sz="0" w:space="0" w:color="auto"/>
        <w:bottom w:val="none" w:sz="0" w:space="0" w:color="auto"/>
        <w:right w:val="none" w:sz="0" w:space="0" w:color="auto"/>
      </w:divBdr>
    </w:div>
    <w:div w:id="2025477767">
      <w:bodyDiv w:val="1"/>
      <w:marLeft w:val="0"/>
      <w:marRight w:val="0"/>
      <w:marTop w:val="0"/>
      <w:marBottom w:val="0"/>
      <w:divBdr>
        <w:top w:val="none" w:sz="0" w:space="0" w:color="auto"/>
        <w:left w:val="none" w:sz="0" w:space="0" w:color="auto"/>
        <w:bottom w:val="none" w:sz="0" w:space="0" w:color="auto"/>
        <w:right w:val="none" w:sz="0" w:space="0" w:color="auto"/>
      </w:divBdr>
    </w:div>
    <w:div w:id="2031879920">
      <w:bodyDiv w:val="1"/>
      <w:marLeft w:val="0"/>
      <w:marRight w:val="0"/>
      <w:marTop w:val="0"/>
      <w:marBottom w:val="0"/>
      <w:divBdr>
        <w:top w:val="none" w:sz="0" w:space="0" w:color="auto"/>
        <w:left w:val="none" w:sz="0" w:space="0" w:color="auto"/>
        <w:bottom w:val="none" w:sz="0" w:space="0" w:color="auto"/>
        <w:right w:val="none" w:sz="0" w:space="0" w:color="auto"/>
      </w:divBdr>
    </w:div>
    <w:div w:id="2043944824">
      <w:bodyDiv w:val="1"/>
      <w:marLeft w:val="0"/>
      <w:marRight w:val="0"/>
      <w:marTop w:val="0"/>
      <w:marBottom w:val="0"/>
      <w:divBdr>
        <w:top w:val="none" w:sz="0" w:space="0" w:color="auto"/>
        <w:left w:val="none" w:sz="0" w:space="0" w:color="auto"/>
        <w:bottom w:val="none" w:sz="0" w:space="0" w:color="auto"/>
        <w:right w:val="none" w:sz="0" w:space="0" w:color="auto"/>
      </w:divBdr>
    </w:div>
    <w:div w:id="2050299766">
      <w:bodyDiv w:val="1"/>
      <w:marLeft w:val="0"/>
      <w:marRight w:val="0"/>
      <w:marTop w:val="0"/>
      <w:marBottom w:val="0"/>
      <w:divBdr>
        <w:top w:val="none" w:sz="0" w:space="0" w:color="auto"/>
        <w:left w:val="none" w:sz="0" w:space="0" w:color="auto"/>
        <w:bottom w:val="none" w:sz="0" w:space="0" w:color="auto"/>
        <w:right w:val="none" w:sz="0" w:space="0" w:color="auto"/>
      </w:divBdr>
    </w:div>
    <w:div w:id="2059276701">
      <w:bodyDiv w:val="1"/>
      <w:marLeft w:val="0"/>
      <w:marRight w:val="0"/>
      <w:marTop w:val="0"/>
      <w:marBottom w:val="0"/>
      <w:divBdr>
        <w:top w:val="none" w:sz="0" w:space="0" w:color="auto"/>
        <w:left w:val="none" w:sz="0" w:space="0" w:color="auto"/>
        <w:bottom w:val="none" w:sz="0" w:space="0" w:color="auto"/>
        <w:right w:val="none" w:sz="0" w:space="0" w:color="auto"/>
      </w:divBdr>
    </w:div>
    <w:div w:id="2061244263">
      <w:bodyDiv w:val="1"/>
      <w:marLeft w:val="0"/>
      <w:marRight w:val="0"/>
      <w:marTop w:val="0"/>
      <w:marBottom w:val="0"/>
      <w:divBdr>
        <w:top w:val="none" w:sz="0" w:space="0" w:color="auto"/>
        <w:left w:val="none" w:sz="0" w:space="0" w:color="auto"/>
        <w:bottom w:val="none" w:sz="0" w:space="0" w:color="auto"/>
        <w:right w:val="none" w:sz="0" w:space="0" w:color="auto"/>
      </w:divBdr>
    </w:div>
    <w:div w:id="2063169692">
      <w:bodyDiv w:val="1"/>
      <w:marLeft w:val="0"/>
      <w:marRight w:val="0"/>
      <w:marTop w:val="0"/>
      <w:marBottom w:val="0"/>
      <w:divBdr>
        <w:top w:val="none" w:sz="0" w:space="0" w:color="auto"/>
        <w:left w:val="none" w:sz="0" w:space="0" w:color="auto"/>
        <w:bottom w:val="none" w:sz="0" w:space="0" w:color="auto"/>
        <w:right w:val="none" w:sz="0" w:space="0" w:color="auto"/>
      </w:divBdr>
    </w:div>
    <w:div w:id="2073237308">
      <w:bodyDiv w:val="1"/>
      <w:marLeft w:val="0"/>
      <w:marRight w:val="0"/>
      <w:marTop w:val="0"/>
      <w:marBottom w:val="0"/>
      <w:divBdr>
        <w:top w:val="none" w:sz="0" w:space="0" w:color="auto"/>
        <w:left w:val="none" w:sz="0" w:space="0" w:color="auto"/>
        <w:bottom w:val="none" w:sz="0" w:space="0" w:color="auto"/>
        <w:right w:val="none" w:sz="0" w:space="0" w:color="auto"/>
      </w:divBdr>
    </w:div>
    <w:div w:id="2073576323">
      <w:bodyDiv w:val="1"/>
      <w:marLeft w:val="0"/>
      <w:marRight w:val="0"/>
      <w:marTop w:val="0"/>
      <w:marBottom w:val="0"/>
      <w:divBdr>
        <w:top w:val="none" w:sz="0" w:space="0" w:color="auto"/>
        <w:left w:val="none" w:sz="0" w:space="0" w:color="auto"/>
        <w:bottom w:val="none" w:sz="0" w:space="0" w:color="auto"/>
        <w:right w:val="none" w:sz="0" w:space="0" w:color="auto"/>
      </w:divBdr>
    </w:div>
    <w:div w:id="2074695345">
      <w:bodyDiv w:val="1"/>
      <w:marLeft w:val="0"/>
      <w:marRight w:val="0"/>
      <w:marTop w:val="0"/>
      <w:marBottom w:val="0"/>
      <w:divBdr>
        <w:top w:val="none" w:sz="0" w:space="0" w:color="auto"/>
        <w:left w:val="none" w:sz="0" w:space="0" w:color="auto"/>
        <w:bottom w:val="none" w:sz="0" w:space="0" w:color="auto"/>
        <w:right w:val="none" w:sz="0" w:space="0" w:color="auto"/>
      </w:divBdr>
    </w:div>
    <w:div w:id="2103186706">
      <w:bodyDiv w:val="1"/>
      <w:marLeft w:val="0"/>
      <w:marRight w:val="0"/>
      <w:marTop w:val="0"/>
      <w:marBottom w:val="0"/>
      <w:divBdr>
        <w:top w:val="none" w:sz="0" w:space="0" w:color="auto"/>
        <w:left w:val="none" w:sz="0" w:space="0" w:color="auto"/>
        <w:bottom w:val="none" w:sz="0" w:space="0" w:color="auto"/>
        <w:right w:val="none" w:sz="0" w:space="0" w:color="auto"/>
      </w:divBdr>
    </w:div>
    <w:div w:id="2108771199">
      <w:bodyDiv w:val="1"/>
      <w:marLeft w:val="0"/>
      <w:marRight w:val="0"/>
      <w:marTop w:val="0"/>
      <w:marBottom w:val="0"/>
      <w:divBdr>
        <w:top w:val="none" w:sz="0" w:space="0" w:color="auto"/>
        <w:left w:val="none" w:sz="0" w:space="0" w:color="auto"/>
        <w:bottom w:val="none" w:sz="0" w:space="0" w:color="auto"/>
        <w:right w:val="none" w:sz="0" w:space="0" w:color="auto"/>
      </w:divBdr>
    </w:div>
    <w:div w:id="2124231498">
      <w:bodyDiv w:val="1"/>
      <w:marLeft w:val="0"/>
      <w:marRight w:val="0"/>
      <w:marTop w:val="0"/>
      <w:marBottom w:val="0"/>
      <w:divBdr>
        <w:top w:val="none" w:sz="0" w:space="0" w:color="auto"/>
        <w:left w:val="none" w:sz="0" w:space="0" w:color="auto"/>
        <w:bottom w:val="none" w:sz="0" w:space="0" w:color="auto"/>
        <w:right w:val="none" w:sz="0" w:space="0" w:color="auto"/>
      </w:divBdr>
    </w:div>
    <w:div w:id="2137327946">
      <w:bodyDiv w:val="1"/>
      <w:marLeft w:val="0"/>
      <w:marRight w:val="0"/>
      <w:marTop w:val="0"/>
      <w:marBottom w:val="0"/>
      <w:divBdr>
        <w:top w:val="none" w:sz="0" w:space="0" w:color="auto"/>
        <w:left w:val="none" w:sz="0" w:space="0" w:color="auto"/>
        <w:bottom w:val="none" w:sz="0" w:space="0" w:color="auto"/>
        <w:right w:val="none" w:sz="0" w:space="0" w:color="auto"/>
      </w:divBdr>
    </w:div>
    <w:div w:id="2141680811">
      <w:bodyDiv w:val="1"/>
      <w:marLeft w:val="0"/>
      <w:marRight w:val="0"/>
      <w:marTop w:val="0"/>
      <w:marBottom w:val="0"/>
      <w:divBdr>
        <w:top w:val="none" w:sz="0" w:space="0" w:color="auto"/>
        <w:left w:val="none" w:sz="0" w:space="0" w:color="auto"/>
        <w:bottom w:val="none" w:sz="0" w:space="0" w:color="auto"/>
        <w:right w:val="none" w:sz="0" w:space="0" w:color="auto"/>
      </w:divBdr>
    </w:div>
    <w:div w:id="214469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www.denizbank.com" TargetMode="External"/><Relationship Id="rId39" Type="http://schemas.openxmlformats.org/officeDocument/2006/relationships/header" Target="header14.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9.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footer" Target="footer14.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header" Target="header10.xml"/><Relationship Id="rId38" Type="http://schemas.openxmlformats.org/officeDocument/2006/relationships/header" Target="header13.xml"/><Relationship Id="rId46"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8.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6.xml"/><Relationship Id="rId32" Type="http://schemas.openxmlformats.org/officeDocument/2006/relationships/footer" Target="footer8.xml"/><Relationship Id="rId37" Type="http://schemas.openxmlformats.org/officeDocument/2006/relationships/header" Target="header12.xml"/><Relationship Id="rId40" Type="http://schemas.openxmlformats.org/officeDocument/2006/relationships/header" Target="header15.xml"/><Relationship Id="rId45" Type="http://schemas.openxmlformats.org/officeDocument/2006/relationships/header" Target="header19.xml"/><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header" Target="header7.xml"/><Relationship Id="rId36" Type="http://schemas.openxmlformats.org/officeDocument/2006/relationships/footer" Target="footer10.xml"/><Relationship Id="rId49" Type="http://schemas.openxmlformats.org/officeDocument/2006/relationships/header" Target="header21.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header" Target="header9.xml"/><Relationship Id="rId44" Type="http://schemas.openxmlformats.org/officeDocument/2006/relationships/header" Target="header18.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http://www.denizbank.com" TargetMode="Externa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footer" Target="footer11.xml"/><Relationship Id="rId48" Type="http://schemas.openxmlformats.org/officeDocument/2006/relationships/footer" Target="footer13.xml"/><Relationship Id="rId8" Type="http://schemas.openxmlformats.org/officeDocument/2006/relationships/numbering" Target="numbering.xml"/><Relationship Id="rId51"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XMLData TextToDisplay="%CLASSIFICATIONDATETIME%">06:37 05/03/2019</XMLData>
</file>

<file path=customXml/item2.xml><?xml version="1.0" encoding="utf-8"?>
<XMLData TextToDisplay="%EMAILADDRESS%">Gizem.Delibas@denizbank.com</XMLData>
</file>

<file path=customXml/item3.xml><?xml version="1.0" encoding="utf-8"?>
<XMLData TextToDisplay="%DOCUMENTGUID%">{00000000-0000-0000-0000-000000000000}</XMLData>
</file>

<file path=customXml/item4.xml><?xml version="1.0" encoding="utf-8"?>
<XMLData TextToDisplay="RightsWATCHMark">2|Denizbank-GENEL-HIZMETE_OZEL|{00000000-0000-0000-0000-000000000000}</XMLData>
</file>

<file path=customXml/item5.xml><?xml version="1.0" encoding="utf-8"?>
<XMLData TextToDisplay="%HOSTNAME%">c01347264.deniz.denizbank.com</XMLData>
</file>

<file path=customXml/item6.xml><?xml version="1.0" encoding="utf-8"?>
<XMLData TextToDisplay="%USERNAME%">GIZEMDEL</XMLDat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6ADFB4-BD5B-476D-AB6E-1A99901D93B8}">
  <ds:schemaRefs/>
</ds:datastoreItem>
</file>

<file path=customXml/itemProps2.xml><?xml version="1.0" encoding="utf-8"?>
<ds:datastoreItem xmlns:ds="http://schemas.openxmlformats.org/officeDocument/2006/customXml" ds:itemID="{EDD32809-63D8-439C-BA2D-B2575A015A0F}">
  <ds:schemaRefs/>
</ds:datastoreItem>
</file>

<file path=customXml/itemProps3.xml><?xml version="1.0" encoding="utf-8"?>
<ds:datastoreItem xmlns:ds="http://schemas.openxmlformats.org/officeDocument/2006/customXml" ds:itemID="{B7AA8E2D-EE1F-4C42-834C-DD2682070EC8}">
  <ds:schemaRefs/>
</ds:datastoreItem>
</file>

<file path=customXml/itemProps4.xml><?xml version="1.0" encoding="utf-8"?>
<ds:datastoreItem xmlns:ds="http://schemas.openxmlformats.org/officeDocument/2006/customXml" ds:itemID="{A9FE6DC8-150E-4741-AB36-3B11AEDC2942}">
  <ds:schemaRefs/>
</ds:datastoreItem>
</file>

<file path=customXml/itemProps5.xml><?xml version="1.0" encoding="utf-8"?>
<ds:datastoreItem xmlns:ds="http://schemas.openxmlformats.org/officeDocument/2006/customXml" ds:itemID="{C948DE3F-E489-44BD-87DB-7097F5F2B381}">
  <ds:schemaRefs/>
</ds:datastoreItem>
</file>

<file path=customXml/itemProps6.xml><?xml version="1.0" encoding="utf-8"?>
<ds:datastoreItem xmlns:ds="http://schemas.openxmlformats.org/officeDocument/2006/customXml" ds:itemID="{30263F12-2ABF-48F2-BDC8-C102DC84DC77}">
  <ds:schemaRefs/>
</ds:datastoreItem>
</file>

<file path=customXml/itemProps7.xml><?xml version="1.0" encoding="utf-8"?>
<ds:datastoreItem xmlns:ds="http://schemas.openxmlformats.org/officeDocument/2006/customXml" ds:itemID="{A59E8C25-68A3-4EF1-BF41-D15B65670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76</Pages>
  <Words>59038</Words>
  <Characters>336517</Characters>
  <Application>Microsoft Office Word</Application>
  <DocSecurity>0</DocSecurity>
  <Lines>2804</Lines>
  <Paragraphs>789</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Denizbank</Company>
  <LinksUpToDate>false</LinksUpToDate>
  <CharactersWithSpaces>394766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IMGEI</dc:creator>
  <cp:lastModifiedBy>Aynur Küçük</cp:lastModifiedBy>
  <cp:revision>2</cp:revision>
  <cp:lastPrinted>2023-05-05T17:02:00Z</cp:lastPrinted>
  <dcterms:created xsi:type="dcterms:W3CDTF">2025-02-12T06:54:00Z</dcterms:created>
  <dcterms:modified xsi:type="dcterms:W3CDTF">2025-02-12T06:54:00Z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2|Denizbank-GENEL-HIZMETE_OZEL|{00000000-0000-0000-0000-000000000000}</vt:lpwstr>
  </property>
  <property fmtid="{D5CDD505-2E9C-101B-9397-08002B2CF9AE}" pid="3" name="MSIP_Label_589256c7-9946-44df-b379-51beb93fd2d9_Enabled">
    <vt:lpwstr>true</vt:lpwstr>
  </property>
  <property fmtid="{D5CDD505-2E9C-101B-9397-08002B2CF9AE}" pid="4" name="MSIP_Label_589256c7-9946-44df-b379-51beb93fd2d9_SetDate">
    <vt:lpwstr>2023-02-13T17:46:49Z</vt:lpwstr>
  </property>
  <property fmtid="{D5CDD505-2E9C-101B-9397-08002B2CF9AE}" pid="5" name="MSIP_Label_589256c7-9946-44df-b379-51beb93fd2d9_Method">
    <vt:lpwstr>Privileged</vt:lpwstr>
  </property>
  <property fmtid="{D5CDD505-2E9C-101B-9397-08002B2CF9AE}" pid="6" name="MSIP_Label_589256c7-9946-44df-b379-51beb93fd2d9_Name">
    <vt:lpwstr>589256c7-9946-44df-b379-51beb93fd2d9</vt:lpwstr>
  </property>
  <property fmtid="{D5CDD505-2E9C-101B-9397-08002B2CF9AE}" pid="7" name="MSIP_Label_589256c7-9946-44df-b379-51beb93fd2d9_SiteId">
    <vt:lpwstr>36da45f1-dd2c-4d1f-af13-5abe46b99921</vt:lpwstr>
  </property>
  <property fmtid="{D5CDD505-2E9C-101B-9397-08002B2CF9AE}" pid="8" name="MSIP_Label_589256c7-9946-44df-b379-51beb93fd2d9_ActionId">
    <vt:lpwstr>1e16aa0f-9f2a-4673-ae02-30e850356ba8</vt:lpwstr>
  </property>
  <property fmtid="{D5CDD505-2E9C-101B-9397-08002B2CF9AE}" pid="9" name="MSIP_Label_589256c7-9946-44df-b379-51beb93fd2d9_ContentBits">
    <vt:lpwstr>0</vt:lpwstr>
  </property>
</Properties>
</file>